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A6D14" w14:textId="4F50A2D6" w:rsidR="00185D29" w:rsidRDefault="0008327B" w:rsidP="00F06E14">
      <w:pPr>
        <w:pStyle w:val="Reportsubtitle"/>
        <w:rPr>
          <w:b/>
          <w:color w:val="auto"/>
        </w:rPr>
      </w:pPr>
      <w:r>
        <w:rPr>
          <w:b/>
          <w:color w:val="auto"/>
        </w:rPr>
        <w:t xml:space="preserve">Response to the </w:t>
      </w:r>
      <w:r w:rsidR="009E330A">
        <w:rPr>
          <w:b/>
          <w:color w:val="auto"/>
        </w:rPr>
        <w:t>i</w:t>
      </w:r>
      <w:r w:rsidR="00185D29" w:rsidRPr="00185D29">
        <w:rPr>
          <w:b/>
          <w:color w:val="auto"/>
        </w:rPr>
        <w:t xml:space="preserve">mplementation of the Spectrum Pricing Review </w:t>
      </w:r>
      <w:r>
        <w:rPr>
          <w:b/>
          <w:color w:val="auto"/>
        </w:rPr>
        <w:t>(</w:t>
      </w:r>
      <w:r w:rsidR="00390E89">
        <w:rPr>
          <w:b/>
          <w:color w:val="auto"/>
        </w:rPr>
        <w:t>p</w:t>
      </w:r>
      <w:r>
        <w:rPr>
          <w:b/>
          <w:color w:val="auto"/>
        </w:rPr>
        <w:t>art 2)</w:t>
      </w:r>
    </w:p>
    <w:p w14:paraId="3857A77B" w14:textId="7C9D5FFA" w:rsidR="00F06E14" w:rsidRDefault="00770B3F" w:rsidP="00F06E14">
      <w:pPr>
        <w:pStyle w:val="Reportsubtitle"/>
      </w:pPr>
      <w:r>
        <w:t xml:space="preserve">Consultation </w:t>
      </w:r>
      <w:r w:rsidR="00185D29">
        <w:t>on</w:t>
      </w:r>
      <w:r w:rsidR="00390E89">
        <w:t xml:space="preserve"> the second t</w:t>
      </w:r>
      <w:r w:rsidR="00185D29">
        <w:t xml:space="preserve">ranche </w:t>
      </w:r>
      <w:r w:rsidR="00390E89">
        <w:t xml:space="preserve">of </w:t>
      </w:r>
      <w:r w:rsidR="00577F1A">
        <w:t>reform proposals</w:t>
      </w:r>
      <w:r w:rsidR="00185D29">
        <w:t xml:space="preserve"> </w:t>
      </w:r>
    </w:p>
    <w:p w14:paraId="15C0F82C" w14:textId="3EE63F46" w:rsidR="00C97736" w:rsidRPr="000D76E0" w:rsidRDefault="003D499E" w:rsidP="00EC2B68">
      <w:pPr>
        <w:pStyle w:val="Reportdate"/>
        <w:spacing w:after="7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October</w:t>
      </w:r>
      <w:r w:rsidR="00BD4421">
        <w:t xml:space="preserve"> 20</w:t>
      </w:r>
      <w:r w:rsidR="008E0428">
        <w:t>2</w:t>
      </w:r>
      <w:r w:rsidR="003253EE">
        <w:t>1</w:t>
      </w:r>
    </w:p>
    <w:p w14:paraId="26FD7C57" w14:textId="77777777" w:rsidR="0005011A" w:rsidRPr="00F44F3A" w:rsidRDefault="0005011A" w:rsidP="00FC07B9">
      <w:pPr>
        <w:pStyle w:val="ACMACorporateAddressHeader"/>
      </w:pPr>
      <w:r w:rsidRPr="00F44F3A">
        <w:lastRenderedPageBreak/>
        <w:t>Canberra</w:t>
      </w:r>
    </w:p>
    <w:p w14:paraId="6597CC9A"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0B91163A" w14:textId="77777777" w:rsidR="0005011A" w:rsidRPr="00FC07B9" w:rsidRDefault="0005011A" w:rsidP="00FC07B9">
      <w:pPr>
        <w:pStyle w:val="ACMACorporateAddresses"/>
      </w:pPr>
      <w:r w:rsidRPr="00FC07B9">
        <w:t>PO Box 78</w:t>
      </w:r>
      <w:r w:rsidRPr="00FC07B9">
        <w:br/>
        <w:t>Belconnen ACT 2616</w:t>
      </w:r>
    </w:p>
    <w:p w14:paraId="580E6039"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3A8E4A8A" w14:textId="77777777" w:rsidR="0005011A" w:rsidRPr="00F44F3A" w:rsidRDefault="0005011A" w:rsidP="00FC07B9">
      <w:pPr>
        <w:pStyle w:val="ACMACorporateAddressHeader"/>
      </w:pPr>
      <w:r w:rsidRPr="00F44F3A">
        <w:t>Melbourne</w:t>
      </w:r>
    </w:p>
    <w:p w14:paraId="7FCE762E"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2E98D20D"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37BF02A2"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35D4C663" w14:textId="77777777" w:rsidR="0005011A" w:rsidRPr="00F44F3A" w:rsidRDefault="0005011A" w:rsidP="00FC07B9">
      <w:pPr>
        <w:pStyle w:val="ACMACorporateAddressHeader"/>
      </w:pPr>
      <w:r w:rsidRPr="00F44F3A">
        <w:t>Sydney</w:t>
      </w:r>
    </w:p>
    <w:p w14:paraId="3ECB8D05"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21EDD67B"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3C49E21C"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79741333" w14:textId="77777777" w:rsidR="00140318" w:rsidRPr="006D46E5" w:rsidRDefault="00140318" w:rsidP="00FC07B9">
      <w:pPr>
        <w:pStyle w:val="ACMACopyrightHeader"/>
      </w:pPr>
      <w:r w:rsidRPr="00140318">
        <w:t>Copyright notice</w:t>
      </w:r>
    </w:p>
    <w:p w14:paraId="75119338" w14:textId="77777777" w:rsidR="00140318" w:rsidRPr="006D46E5" w:rsidRDefault="00623FF9" w:rsidP="00623FF9">
      <w:pPr>
        <w:pStyle w:val="ACMACClogo"/>
      </w:pPr>
      <w:r w:rsidRPr="00623FF9">
        <w:rPr>
          <w:noProof/>
        </w:rPr>
        <w:drawing>
          <wp:inline distT="0" distB="0" distL="0" distR="0" wp14:anchorId="2A91EA0F" wp14:editId="3ACD142C">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3E49C9C0" w14:textId="77777777" w:rsidR="00AA2DE5" w:rsidRDefault="00265C29" w:rsidP="00AA2DE5">
      <w:pPr>
        <w:pStyle w:val="ACMACorporateAddresses"/>
        <w:rPr>
          <w:rStyle w:val="Hyperlink"/>
        </w:rPr>
      </w:pPr>
      <w:hyperlink r:id="rId13" w:history="1">
        <w:r w:rsidR="00AA2DE5">
          <w:rPr>
            <w:rStyle w:val="Hyperlink"/>
          </w:rPr>
          <w:t>https://creativecommons.org/licenses/by/4.0/</w:t>
        </w:r>
      </w:hyperlink>
    </w:p>
    <w:p w14:paraId="2FCD8EB6"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7BE8AC4A" w14:textId="77777777" w:rsidR="00AA2DE5" w:rsidRDefault="00AA2DE5" w:rsidP="00AA2DE5">
      <w:pPr>
        <w:pStyle w:val="ACMACorporateAddresses"/>
      </w:pPr>
      <w:r>
        <w:t>We request attribution as © Commonwealth of Australia (Australian Communications and Media Authority) 20</w:t>
      </w:r>
      <w:r w:rsidR="00C41F21">
        <w:t>2</w:t>
      </w:r>
      <w:r w:rsidR="00023A36">
        <w:t>1</w:t>
      </w:r>
      <w:r>
        <w:t>.</w:t>
      </w:r>
    </w:p>
    <w:p w14:paraId="28267A5C" w14:textId="77777777" w:rsidR="00AA2DE5" w:rsidRDefault="00AA2DE5" w:rsidP="00AA2DE5">
      <w:pPr>
        <w:pStyle w:val="ACMACorporateAddresses"/>
      </w:pPr>
      <w:r>
        <w:t>All other rights are reserved.</w:t>
      </w:r>
    </w:p>
    <w:p w14:paraId="6730EF6A"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5B5DA719" w14:textId="77777777" w:rsidR="00AA2DE5" w:rsidRDefault="00AA2DE5" w:rsidP="00AA2DE5">
      <w:pPr>
        <w:pStyle w:val="ACMACorporateAddresses"/>
      </w:pPr>
      <w:r>
        <w:t>Written enquiries may be sent to:</w:t>
      </w:r>
    </w:p>
    <w:p w14:paraId="32E05202"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62B6EE17" w14:textId="77777777" w:rsidR="00D16FE3" w:rsidRDefault="00D16FE3" w:rsidP="00D16FE3">
      <w:pPr>
        <w:pStyle w:val="ACMACorporateAddresses"/>
        <w:rPr>
          <w:rStyle w:val="Hyperlink"/>
        </w:rPr>
      </w:pPr>
    </w:p>
    <w:p w14:paraId="1ED8E09E"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0CB84362" w14:textId="7ACD32CE" w:rsidR="00EA7680" w:rsidRDefault="006A3ECF">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"1-2" \h \z \t "Exec summary heading,1" </w:instrText>
      </w:r>
      <w:r>
        <w:rPr>
          <w:rFonts w:cs="Arial"/>
        </w:rPr>
        <w:fldChar w:fldCharType="separate"/>
      </w:r>
      <w:hyperlink w:anchor="_Toc86153486" w:history="1">
        <w:r w:rsidR="00EA7680" w:rsidRPr="00653DBD">
          <w:rPr>
            <w:rStyle w:val="Hyperlink"/>
          </w:rPr>
          <w:t>Executive summary</w:t>
        </w:r>
        <w:r w:rsidR="00EA7680">
          <w:rPr>
            <w:webHidden/>
          </w:rPr>
          <w:tab/>
        </w:r>
        <w:r w:rsidR="00EA7680">
          <w:rPr>
            <w:webHidden/>
          </w:rPr>
          <w:fldChar w:fldCharType="begin"/>
        </w:r>
        <w:r w:rsidR="00EA7680">
          <w:rPr>
            <w:webHidden/>
          </w:rPr>
          <w:instrText xml:space="preserve"> PAGEREF _Toc86153486 \h </w:instrText>
        </w:r>
        <w:r w:rsidR="00EA7680">
          <w:rPr>
            <w:webHidden/>
          </w:rPr>
        </w:r>
        <w:r w:rsidR="00EA7680">
          <w:rPr>
            <w:webHidden/>
          </w:rPr>
          <w:fldChar w:fldCharType="separate"/>
        </w:r>
        <w:r w:rsidR="00EA7680">
          <w:rPr>
            <w:webHidden/>
          </w:rPr>
          <w:t>1</w:t>
        </w:r>
        <w:r w:rsidR="00EA7680">
          <w:rPr>
            <w:webHidden/>
          </w:rPr>
          <w:fldChar w:fldCharType="end"/>
        </w:r>
      </w:hyperlink>
    </w:p>
    <w:p w14:paraId="13FDBE93" w14:textId="35B8BF82" w:rsidR="00EA7680" w:rsidRDefault="00265C29">
      <w:pPr>
        <w:pStyle w:val="TOC2"/>
        <w:rPr>
          <w:rFonts w:asciiTheme="minorHAnsi" w:eastAsiaTheme="minorEastAsia" w:hAnsiTheme="minorHAnsi" w:cstheme="minorBidi"/>
          <w:spacing w:val="0"/>
          <w:sz w:val="22"/>
          <w:szCs w:val="22"/>
        </w:rPr>
      </w:pPr>
      <w:hyperlink w:anchor="_Toc86153487" w:history="1">
        <w:r w:rsidR="00EA7680" w:rsidRPr="00653DBD">
          <w:rPr>
            <w:rStyle w:val="Hyperlink"/>
          </w:rPr>
          <w:t>Tranche two reform proposals</w:t>
        </w:r>
        <w:r w:rsidR="00EA7680">
          <w:rPr>
            <w:webHidden/>
          </w:rPr>
          <w:tab/>
        </w:r>
        <w:r w:rsidR="00EA7680">
          <w:rPr>
            <w:webHidden/>
          </w:rPr>
          <w:fldChar w:fldCharType="begin"/>
        </w:r>
        <w:r w:rsidR="00EA7680">
          <w:rPr>
            <w:webHidden/>
          </w:rPr>
          <w:instrText xml:space="preserve"> PAGEREF _Toc86153487 \h </w:instrText>
        </w:r>
        <w:r w:rsidR="00EA7680">
          <w:rPr>
            <w:webHidden/>
          </w:rPr>
        </w:r>
        <w:r w:rsidR="00EA7680">
          <w:rPr>
            <w:webHidden/>
          </w:rPr>
          <w:fldChar w:fldCharType="separate"/>
        </w:r>
        <w:r w:rsidR="00EA7680">
          <w:rPr>
            <w:webHidden/>
          </w:rPr>
          <w:t>1</w:t>
        </w:r>
        <w:r w:rsidR="00EA7680">
          <w:rPr>
            <w:webHidden/>
          </w:rPr>
          <w:fldChar w:fldCharType="end"/>
        </w:r>
      </w:hyperlink>
    </w:p>
    <w:p w14:paraId="0884DB2E" w14:textId="5AAF00A7" w:rsidR="00EA7680" w:rsidRDefault="00265C29">
      <w:pPr>
        <w:pStyle w:val="TOC2"/>
        <w:rPr>
          <w:rFonts w:asciiTheme="minorHAnsi" w:eastAsiaTheme="minorEastAsia" w:hAnsiTheme="minorHAnsi" w:cstheme="minorBidi"/>
          <w:spacing w:val="0"/>
          <w:sz w:val="22"/>
          <w:szCs w:val="22"/>
        </w:rPr>
      </w:pPr>
      <w:hyperlink w:anchor="_Toc86153488" w:history="1">
        <w:r w:rsidR="00EA7680" w:rsidRPr="00653DBD">
          <w:rPr>
            <w:rStyle w:val="Hyperlink"/>
          </w:rPr>
          <w:t>Proposal to adjust tranche one reforms</w:t>
        </w:r>
        <w:r w:rsidR="00EA7680">
          <w:rPr>
            <w:webHidden/>
          </w:rPr>
          <w:tab/>
        </w:r>
        <w:r w:rsidR="00EA7680">
          <w:rPr>
            <w:webHidden/>
          </w:rPr>
          <w:fldChar w:fldCharType="begin"/>
        </w:r>
        <w:r w:rsidR="00EA7680">
          <w:rPr>
            <w:webHidden/>
          </w:rPr>
          <w:instrText xml:space="preserve"> PAGEREF _Toc86153488 \h </w:instrText>
        </w:r>
        <w:r w:rsidR="00EA7680">
          <w:rPr>
            <w:webHidden/>
          </w:rPr>
        </w:r>
        <w:r w:rsidR="00EA7680">
          <w:rPr>
            <w:webHidden/>
          </w:rPr>
          <w:fldChar w:fldCharType="separate"/>
        </w:r>
        <w:r w:rsidR="00EA7680">
          <w:rPr>
            <w:webHidden/>
          </w:rPr>
          <w:t>2</w:t>
        </w:r>
        <w:r w:rsidR="00EA7680">
          <w:rPr>
            <w:webHidden/>
          </w:rPr>
          <w:fldChar w:fldCharType="end"/>
        </w:r>
      </w:hyperlink>
    </w:p>
    <w:p w14:paraId="6BD93C04" w14:textId="24F09657" w:rsidR="00EA7680" w:rsidRDefault="00265C29">
      <w:pPr>
        <w:pStyle w:val="TOC2"/>
        <w:rPr>
          <w:rFonts w:asciiTheme="minorHAnsi" w:eastAsiaTheme="minorEastAsia" w:hAnsiTheme="minorHAnsi" w:cstheme="minorBidi"/>
          <w:spacing w:val="0"/>
          <w:sz w:val="22"/>
          <w:szCs w:val="22"/>
        </w:rPr>
      </w:pPr>
      <w:hyperlink w:anchor="_Toc86153489" w:history="1">
        <w:r w:rsidR="00EA7680" w:rsidRPr="00653DBD">
          <w:rPr>
            <w:rStyle w:val="Hyperlink"/>
          </w:rPr>
          <w:t>Draft tax determinations</w:t>
        </w:r>
        <w:r w:rsidR="00EA7680">
          <w:rPr>
            <w:webHidden/>
          </w:rPr>
          <w:tab/>
        </w:r>
        <w:r w:rsidR="00EA7680">
          <w:rPr>
            <w:webHidden/>
          </w:rPr>
          <w:fldChar w:fldCharType="begin"/>
        </w:r>
        <w:r w:rsidR="00EA7680">
          <w:rPr>
            <w:webHidden/>
          </w:rPr>
          <w:instrText xml:space="preserve"> PAGEREF _Toc86153489 \h </w:instrText>
        </w:r>
        <w:r w:rsidR="00EA7680">
          <w:rPr>
            <w:webHidden/>
          </w:rPr>
        </w:r>
        <w:r w:rsidR="00EA7680">
          <w:rPr>
            <w:webHidden/>
          </w:rPr>
          <w:fldChar w:fldCharType="separate"/>
        </w:r>
        <w:r w:rsidR="00EA7680">
          <w:rPr>
            <w:webHidden/>
          </w:rPr>
          <w:t>2</w:t>
        </w:r>
        <w:r w:rsidR="00EA7680">
          <w:rPr>
            <w:webHidden/>
          </w:rPr>
          <w:fldChar w:fldCharType="end"/>
        </w:r>
      </w:hyperlink>
    </w:p>
    <w:p w14:paraId="07E04A29" w14:textId="796F5CF2" w:rsidR="00EA7680" w:rsidRDefault="00265C29">
      <w:pPr>
        <w:pStyle w:val="TOC1"/>
        <w:rPr>
          <w:rFonts w:asciiTheme="minorHAnsi" w:eastAsiaTheme="minorEastAsia" w:hAnsiTheme="minorHAnsi" w:cstheme="minorBidi"/>
          <w:b w:val="0"/>
          <w:spacing w:val="0"/>
          <w:sz w:val="22"/>
          <w:szCs w:val="22"/>
        </w:rPr>
      </w:pPr>
      <w:hyperlink w:anchor="_Toc86153490" w:history="1">
        <w:r w:rsidR="00EA7680" w:rsidRPr="00653DBD">
          <w:rPr>
            <w:rStyle w:val="Hyperlink"/>
          </w:rPr>
          <w:t>Issues for comment</w:t>
        </w:r>
        <w:r w:rsidR="00EA7680">
          <w:rPr>
            <w:webHidden/>
          </w:rPr>
          <w:tab/>
        </w:r>
        <w:r w:rsidR="00EA7680">
          <w:rPr>
            <w:webHidden/>
          </w:rPr>
          <w:fldChar w:fldCharType="begin"/>
        </w:r>
        <w:r w:rsidR="00EA7680">
          <w:rPr>
            <w:webHidden/>
          </w:rPr>
          <w:instrText xml:space="preserve"> PAGEREF _Toc86153490 \h </w:instrText>
        </w:r>
        <w:r w:rsidR="00EA7680">
          <w:rPr>
            <w:webHidden/>
          </w:rPr>
        </w:r>
        <w:r w:rsidR="00EA7680">
          <w:rPr>
            <w:webHidden/>
          </w:rPr>
          <w:fldChar w:fldCharType="separate"/>
        </w:r>
        <w:r w:rsidR="00EA7680">
          <w:rPr>
            <w:webHidden/>
          </w:rPr>
          <w:t>3</w:t>
        </w:r>
        <w:r w:rsidR="00EA7680">
          <w:rPr>
            <w:webHidden/>
          </w:rPr>
          <w:fldChar w:fldCharType="end"/>
        </w:r>
      </w:hyperlink>
    </w:p>
    <w:p w14:paraId="4289BF2A" w14:textId="006530AB" w:rsidR="00EA7680" w:rsidRDefault="00265C29">
      <w:pPr>
        <w:pStyle w:val="TOC1"/>
        <w:rPr>
          <w:rFonts w:asciiTheme="minorHAnsi" w:eastAsiaTheme="minorEastAsia" w:hAnsiTheme="minorHAnsi" w:cstheme="minorBidi"/>
          <w:b w:val="0"/>
          <w:spacing w:val="0"/>
          <w:sz w:val="22"/>
          <w:szCs w:val="22"/>
        </w:rPr>
      </w:pPr>
      <w:hyperlink w:anchor="_Toc86153491" w:history="1">
        <w:r w:rsidR="00EA7680" w:rsidRPr="00653DBD">
          <w:rPr>
            <w:rStyle w:val="Hyperlink"/>
          </w:rPr>
          <w:t>Invitation to comment</w:t>
        </w:r>
        <w:r w:rsidR="00EA7680">
          <w:rPr>
            <w:webHidden/>
          </w:rPr>
          <w:tab/>
        </w:r>
        <w:r w:rsidR="00EA7680">
          <w:rPr>
            <w:webHidden/>
          </w:rPr>
          <w:fldChar w:fldCharType="begin"/>
        </w:r>
        <w:r w:rsidR="00EA7680">
          <w:rPr>
            <w:webHidden/>
          </w:rPr>
          <w:instrText xml:space="preserve"> PAGEREF _Toc86153491 \h </w:instrText>
        </w:r>
        <w:r w:rsidR="00EA7680">
          <w:rPr>
            <w:webHidden/>
          </w:rPr>
        </w:r>
        <w:r w:rsidR="00EA7680">
          <w:rPr>
            <w:webHidden/>
          </w:rPr>
          <w:fldChar w:fldCharType="separate"/>
        </w:r>
        <w:r w:rsidR="00EA7680">
          <w:rPr>
            <w:webHidden/>
          </w:rPr>
          <w:t>4</w:t>
        </w:r>
        <w:r w:rsidR="00EA7680">
          <w:rPr>
            <w:webHidden/>
          </w:rPr>
          <w:fldChar w:fldCharType="end"/>
        </w:r>
      </w:hyperlink>
    </w:p>
    <w:p w14:paraId="397797E8" w14:textId="7A338A78" w:rsidR="00EA7680" w:rsidRDefault="00265C29">
      <w:pPr>
        <w:pStyle w:val="TOC2"/>
        <w:rPr>
          <w:rFonts w:asciiTheme="minorHAnsi" w:eastAsiaTheme="minorEastAsia" w:hAnsiTheme="minorHAnsi" w:cstheme="minorBidi"/>
          <w:spacing w:val="0"/>
          <w:sz w:val="22"/>
          <w:szCs w:val="22"/>
        </w:rPr>
      </w:pPr>
      <w:hyperlink w:anchor="_Toc86153492" w:history="1">
        <w:r w:rsidR="00EA7680" w:rsidRPr="00653DBD">
          <w:rPr>
            <w:rStyle w:val="Hyperlink"/>
          </w:rPr>
          <w:t>Making a submission</w:t>
        </w:r>
        <w:r w:rsidR="00EA7680">
          <w:rPr>
            <w:webHidden/>
          </w:rPr>
          <w:tab/>
        </w:r>
        <w:r w:rsidR="00EA7680">
          <w:rPr>
            <w:webHidden/>
          </w:rPr>
          <w:fldChar w:fldCharType="begin"/>
        </w:r>
        <w:r w:rsidR="00EA7680">
          <w:rPr>
            <w:webHidden/>
          </w:rPr>
          <w:instrText xml:space="preserve"> PAGEREF _Toc86153492 \h </w:instrText>
        </w:r>
        <w:r w:rsidR="00EA7680">
          <w:rPr>
            <w:webHidden/>
          </w:rPr>
        </w:r>
        <w:r w:rsidR="00EA7680">
          <w:rPr>
            <w:webHidden/>
          </w:rPr>
          <w:fldChar w:fldCharType="separate"/>
        </w:r>
        <w:r w:rsidR="00EA7680">
          <w:rPr>
            <w:webHidden/>
          </w:rPr>
          <w:t>4</w:t>
        </w:r>
        <w:r w:rsidR="00EA7680">
          <w:rPr>
            <w:webHidden/>
          </w:rPr>
          <w:fldChar w:fldCharType="end"/>
        </w:r>
      </w:hyperlink>
    </w:p>
    <w:p w14:paraId="3C0B7D77" w14:textId="321FE61E" w:rsidR="00EA7680" w:rsidRDefault="00265C29">
      <w:pPr>
        <w:pStyle w:val="TOC1"/>
        <w:rPr>
          <w:rFonts w:asciiTheme="minorHAnsi" w:eastAsiaTheme="minorEastAsia" w:hAnsiTheme="minorHAnsi" w:cstheme="minorBidi"/>
          <w:b w:val="0"/>
          <w:spacing w:val="0"/>
          <w:sz w:val="22"/>
          <w:szCs w:val="22"/>
        </w:rPr>
      </w:pPr>
      <w:hyperlink w:anchor="_Toc86153493" w:history="1">
        <w:r w:rsidR="00EA7680" w:rsidRPr="00653DBD">
          <w:rPr>
            <w:rStyle w:val="Hyperlink"/>
          </w:rPr>
          <w:t>Proposals for updating the tax formula</w:t>
        </w:r>
        <w:r w:rsidR="00EA7680">
          <w:rPr>
            <w:webHidden/>
          </w:rPr>
          <w:tab/>
        </w:r>
        <w:r w:rsidR="00EA7680">
          <w:rPr>
            <w:webHidden/>
          </w:rPr>
          <w:fldChar w:fldCharType="begin"/>
        </w:r>
        <w:r w:rsidR="00EA7680">
          <w:rPr>
            <w:webHidden/>
          </w:rPr>
          <w:instrText xml:space="preserve"> PAGEREF _Toc86153493 \h </w:instrText>
        </w:r>
        <w:r w:rsidR="00EA7680">
          <w:rPr>
            <w:webHidden/>
          </w:rPr>
        </w:r>
        <w:r w:rsidR="00EA7680">
          <w:rPr>
            <w:webHidden/>
          </w:rPr>
          <w:fldChar w:fldCharType="separate"/>
        </w:r>
        <w:r w:rsidR="00EA7680">
          <w:rPr>
            <w:webHidden/>
          </w:rPr>
          <w:t>5</w:t>
        </w:r>
        <w:r w:rsidR="00EA7680">
          <w:rPr>
            <w:webHidden/>
          </w:rPr>
          <w:fldChar w:fldCharType="end"/>
        </w:r>
      </w:hyperlink>
    </w:p>
    <w:p w14:paraId="1FD9246F" w14:textId="68BBEE59" w:rsidR="00EA7680" w:rsidRDefault="00265C29">
      <w:pPr>
        <w:pStyle w:val="TOC2"/>
        <w:rPr>
          <w:rFonts w:asciiTheme="minorHAnsi" w:eastAsiaTheme="minorEastAsia" w:hAnsiTheme="minorHAnsi" w:cstheme="minorBidi"/>
          <w:spacing w:val="0"/>
          <w:sz w:val="22"/>
          <w:szCs w:val="22"/>
        </w:rPr>
      </w:pPr>
      <w:hyperlink w:anchor="_Toc86153494" w:history="1">
        <w:r w:rsidR="00EA7680" w:rsidRPr="00653DBD">
          <w:rPr>
            <w:rStyle w:val="Hyperlink"/>
          </w:rPr>
          <w:t>Amalgamate the &gt;30 to 403 MHz range into a single band</w:t>
        </w:r>
        <w:r w:rsidR="00EA7680">
          <w:rPr>
            <w:webHidden/>
          </w:rPr>
          <w:tab/>
        </w:r>
        <w:r w:rsidR="00EA7680">
          <w:rPr>
            <w:webHidden/>
          </w:rPr>
          <w:fldChar w:fldCharType="begin"/>
        </w:r>
        <w:r w:rsidR="00EA7680">
          <w:rPr>
            <w:webHidden/>
          </w:rPr>
          <w:instrText xml:space="preserve"> PAGEREF _Toc86153494 \h </w:instrText>
        </w:r>
        <w:r w:rsidR="00EA7680">
          <w:rPr>
            <w:webHidden/>
          </w:rPr>
        </w:r>
        <w:r w:rsidR="00EA7680">
          <w:rPr>
            <w:webHidden/>
          </w:rPr>
          <w:fldChar w:fldCharType="separate"/>
        </w:r>
        <w:r w:rsidR="00EA7680">
          <w:rPr>
            <w:webHidden/>
          </w:rPr>
          <w:t>7</w:t>
        </w:r>
        <w:r w:rsidR="00EA7680">
          <w:rPr>
            <w:webHidden/>
          </w:rPr>
          <w:fldChar w:fldCharType="end"/>
        </w:r>
      </w:hyperlink>
    </w:p>
    <w:p w14:paraId="685786DF" w14:textId="18A99197" w:rsidR="00EA7680" w:rsidRDefault="00265C29">
      <w:pPr>
        <w:pStyle w:val="TOC2"/>
        <w:rPr>
          <w:rFonts w:asciiTheme="minorHAnsi" w:eastAsiaTheme="minorEastAsia" w:hAnsiTheme="minorHAnsi" w:cstheme="minorBidi"/>
          <w:spacing w:val="0"/>
          <w:sz w:val="22"/>
          <w:szCs w:val="22"/>
        </w:rPr>
      </w:pPr>
      <w:hyperlink w:anchor="_Toc86153495" w:history="1">
        <w:r w:rsidR="00EA7680" w:rsidRPr="00653DBD">
          <w:rPr>
            <w:rStyle w:val="Hyperlink"/>
          </w:rPr>
          <w:t>Increase weightings for the &gt;2,690 to 5,000 MHz spectrum location</w:t>
        </w:r>
        <w:r w:rsidR="00EA7680">
          <w:rPr>
            <w:webHidden/>
          </w:rPr>
          <w:tab/>
        </w:r>
        <w:r w:rsidR="00EA7680">
          <w:rPr>
            <w:webHidden/>
          </w:rPr>
          <w:fldChar w:fldCharType="begin"/>
        </w:r>
        <w:r w:rsidR="00EA7680">
          <w:rPr>
            <w:webHidden/>
          </w:rPr>
          <w:instrText xml:space="preserve"> PAGEREF _Toc86153495 \h </w:instrText>
        </w:r>
        <w:r w:rsidR="00EA7680">
          <w:rPr>
            <w:webHidden/>
          </w:rPr>
        </w:r>
        <w:r w:rsidR="00EA7680">
          <w:rPr>
            <w:webHidden/>
          </w:rPr>
          <w:fldChar w:fldCharType="separate"/>
        </w:r>
        <w:r w:rsidR="00EA7680">
          <w:rPr>
            <w:webHidden/>
          </w:rPr>
          <w:t>8</w:t>
        </w:r>
        <w:r w:rsidR="00EA7680">
          <w:rPr>
            <w:webHidden/>
          </w:rPr>
          <w:fldChar w:fldCharType="end"/>
        </w:r>
      </w:hyperlink>
    </w:p>
    <w:p w14:paraId="00DDFCF8" w14:textId="48A84F0E" w:rsidR="00EA7680" w:rsidRDefault="00265C29">
      <w:pPr>
        <w:pStyle w:val="TOC2"/>
        <w:rPr>
          <w:rFonts w:asciiTheme="minorHAnsi" w:eastAsiaTheme="minorEastAsia" w:hAnsiTheme="minorHAnsi" w:cstheme="minorBidi"/>
          <w:spacing w:val="0"/>
          <w:sz w:val="22"/>
          <w:szCs w:val="22"/>
        </w:rPr>
      </w:pPr>
      <w:hyperlink w:anchor="_Toc86153496" w:history="1">
        <w:r w:rsidR="00EA7680" w:rsidRPr="00653DBD">
          <w:rPr>
            <w:rStyle w:val="Hyperlink"/>
          </w:rPr>
          <w:t>Introduce new spectrum location band for services above 100 GHz</w:t>
        </w:r>
        <w:r w:rsidR="00EA7680">
          <w:rPr>
            <w:webHidden/>
          </w:rPr>
          <w:tab/>
        </w:r>
        <w:r w:rsidR="00EA7680">
          <w:rPr>
            <w:webHidden/>
          </w:rPr>
          <w:fldChar w:fldCharType="begin"/>
        </w:r>
        <w:r w:rsidR="00EA7680">
          <w:rPr>
            <w:webHidden/>
          </w:rPr>
          <w:instrText xml:space="preserve"> PAGEREF _Toc86153496 \h </w:instrText>
        </w:r>
        <w:r w:rsidR="00EA7680">
          <w:rPr>
            <w:webHidden/>
          </w:rPr>
        </w:r>
        <w:r w:rsidR="00EA7680">
          <w:rPr>
            <w:webHidden/>
          </w:rPr>
          <w:fldChar w:fldCharType="separate"/>
        </w:r>
        <w:r w:rsidR="00EA7680">
          <w:rPr>
            <w:webHidden/>
          </w:rPr>
          <w:t>9</w:t>
        </w:r>
        <w:r w:rsidR="00EA7680">
          <w:rPr>
            <w:webHidden/>
          </w:rPr>
          <w:fldChar w:fldCharType="end"/>
        </w:r>
      </w:hyperlink>
    </w:p>
    <w:p w14:paraId="5F3E7568" w14:textId="27360405" w:rsidR="00EA7680" w:rsidRDefault="00265C29">
      <w:pPr>
        <w:pStyle w:val="TOC2"/>
        <w:rPr>
          <w:rFonts w:asciiTheme="minorHAnsi" w:eastAsiaTheme="minorEastAsia" w:hAnsiTheme="minorHAnsi" w:cstheme="minorBidi"/>
          <w:spacing w:val="0"/>
          <w:sz w:val="22"/>
          <w:szCs w:val="22"/>
        </w:rPr>
      </w:pPr>
      <w:hyperlink w:anchor="_Toc86153497" w:history="1">
        <w:r w:rsidR="00EA7680" w:rsidRPr="00653DBD">
          <w:rPr>
            <w:rStyle w:val="Hyperlink"/>
          </w:rPr>
          <w:t>Cease annual CPI updates to taxes, and instead regularly update taxes based on annual population data updates</w:t>
        </w:r>
        <w:r w:rsidR="00EA7680">
          <w:rPr>
            <w:webHidden/>
          </w:rPr>
          <w:tab/>
        </w:r>
        <w:r w:rsidR="00EA7680">
          <w:rPr>
            <w:webHidden/>
          </w:rPr>
          <w:fldChar w:fldCharType="begin"/>
        </w:r>
        <w:r w:rsidR="00EA7680">
          <w:rPr>
            <w:webHidden/>
          </w:rPr>
          <w:instrText xml:space="preserve"> PAGEREF _Toc86153497 \h </w:instrText>
        </w:r>
        <w:r w:rsidR="00EA7680">
          <w:rPr>
            <w:webHidden/>
          </w:rPr>
        </w:r>
        <w:r w:rsidR="00EA7680">
          <w:rPr>
            <w:webHidden/>
          </w:rPr>
          <w:fldChar w:fldCharType="separate"/>
        </w:r>
        <w:r w:rsidR="00EA7680">
          <w:rPr>
            <w:webHidden/>
          </w:rPr>
          <w:t>10</w:t>
        </w:r>
        <w:r w:rsidR="00EA7680">
          <w:rPr>
            <w:webHidden/>
          </w:rPr>
          <w:fldChar w:fldCharType="end"/>
        </w:r>
      </w:hyperlink>
    </w:p>
    <w:p w14:paraId="7A2B0346" w14:textId="71B5FAAD" w:rsidR="00EA7680" w:rsidRDefault="00265C29">
      <w:pPr>
        <w:pStyle w:val="TOC2"/>
        <w:rPr>
          <w:rFonts w:asciiTheme="minorHAnsi" w:eastAsiaTheme="minorEastAsia" w:hAnsiTheme="minorHAnsi" w:cstheme="minorBidi"/>
          <w:spacing w:val="0"/>
          <w:sz w:val="22"/>
          <w:szCs w:val="22"/>
        </w:rPr>
      </w:pPr>
      <w:hyperlink w:anchor="_Toc86153498" w:history="1">
        <w:r w:rsidR="00EA7680" w:rsidRPr="00653DBD">
          <w:rPr>
            <w:rStyle w:val="Hyperlink"/>
          </w:rPr>
          <w:t>Update area definitions for Perth and Adelaide</w:t>
        </w:r>
        <w:r w:rsidR="00EA7680">
          <w:rPr>
            <w:webHidden/>
          </w:rPr>
          <w:tab/>
        </w:r>
        <w:r w:rsidR="00EA7680">
          <w:rPr>
            <w:webHidden/>
          </w:rPr>
          <w:fldChar w:fldCharType="begin"/>
        </w:r>
        <w:r w:rsidR="00EA7680">
          <w:rPr>
            <w:webHidden/>
          </w:rPr>
          <w:instrText xml:space="preserve"> PAGEREF _Toc86153498 \h </w:instrText>
        </w:r>
        <w:r w:rsidR="00EA7680">
          <w:rPr>
            <w:webHidden/>
          </w:rPr>
        </w:r>
        <w:r w:rsidR="00EA7680">
          <w:rPr>
            <w:webHidden/>
          </w:rPr>
          <w:fldChar w:fldCharType="separate"/>
        </w:r>
        <w:r w:rsidR="00EA7680">
          <w:rPr>
            <w:webHidden/>
          </w:rPr>
          <w:t>11</w:t>
        </w:r>
        <w:r w:rsidR="00EA7680">
          <w:rPr>
            <w:webHidden/>
          </w:rPr>
          <w:fldChar w:fldCharType="end"/>
        </w:r>
      </w:hyperlink>
    </w:p>
    <w:p w14:paraId="5F29A0B2" w14:textId="1D2B4C60" w:rsidR="00EA7680" w:rsidRDefault="00265C29">
      <w:pPr>
        <w:pStyle w:val="TOC1"/>
        <w:rPr>
          <w:rFonts w:asciiTheme="minorHAnsi" w:eastAsiaTheme="minorEastAsia" w:hAnsiTheme="minorHAnsi" w:cstheme="minorBidi"/>
          <w:b w:val="0"/>
          <w:spacing w:val="0"/>
          <w:sz w:val="22"/>
          <w:szCs w:val="22"/>
        </w:rPr>
      </w:pPr>
      <w:hyperlink w:anchor="_Toc86153499" w:history="1">
        <w:r w:rsidR="00EA7680" w:rsidRPr="00653DBD">
          <w:rPr>
            <w:rStyle w:val="Hyperlink"/>
          </w:rPr>
          <w:t>Proposal for reduced tax rates for HPON licences</w:t>
        </w:r>
        <w:r w:rsidR="00EA7680">
          <w:rPr>
            <w:webHidden/>
          </w:rPr>
          <w:tab/>
        </w:r>
        <w:r w:rsidR="00EA7680">
          <w:rPr>
            <w:webHidden/>
          </w:rPr>
          <w:fldChar w:fldCharType="begin"/>
        </w:r>
        <w:r w:rsidR="00EA7680">
          <w:rPr>
            <w:webHidden/>
          </w:rPr>
          <w:instrText xml:space="preserve"> PAGEREF _Toc86153499 \h </w:instrText>
        </w:r>
        <w:r w:rsidR="00EA7680">
          <w:rPr>
            <w:webHidden/>
          </w:rPr>
        </w:r>
        <w:r w:rsidR="00EA7680">
          <w:rPr>
            <w:webHidden/>
          </w:rPr>
          <w:fldChar w:fldCharType="separate"/>
        </w:r>
        <w:r w:rsidR="00EA7680">
          <w:rPr>
            <w:webHidden/>
          </w:rPr>
          <w:t>15</w:t>
        </w:r>
        <w:r w:rsidR="00EA7680">
          <w:rPr>
            <w:webHidden/>
          </w:rPr>
          <w:fldChar w:fldCharType="end"/>
        </w:r>
      </w:hyperlink>
    </w:p>
    <w:p w14:paraId="5B06A7B3" w14:textId="2CEEECD0" w:rsidR="00EA7680" w:rsidRDefault="00265C29">
      <w:pPr>
        <w:pStyle w:val="TOC1"/>
        <w:rPr>
          <w:rFonts w:asciiTheme="minorHAnsi" w:eastAsiaTheme="minorEastAsia" w:hAnsiTheme="minorHAnsi" w:cstheme="minorBidi"/>
          <w:b w:val="0"/>
          <w:spacing w:val="0"/>
          <w:sz w:val="22"/>
          <w:szCs w:val="22"/>
        </w:rPr>
      </w:pPr>
      <w:hyperlink w:anchor="_Toc86153500" w:history="1">
        <w:r w:rsidR="00EA7680" w:rsidRPr="00653DBD">
          <w:rPr>
            <w:rStyle w:val="Hyperlink"/>
          </w:rPr>
          <w:t>Proposal to adjust tranche one reforms</w:t>
        </w:r>
        <w:r w:rsidR="00EA7680">
          <w:rPr>
            <w:webHidden/>
          </w:rPr>
          <w:tab/>
        </w:r>
        <w:r w:rsidR="00EA7680">
          <w:rPr>
            <w:webHidden/>
          </w:rPr>
          <w:fldChar w:fldCharType="begin"/>
        </w:r>
        <w:r w:rsidR="00EA7680">
          <w:rPr>
            <w:webHidden/>
          </w:rPr>
          <w:instrText xml:space="preserve"> PAGEREF _Toc86153500 \h </w:instrText>
        </w:r>
        <w:r w:rsidR="00EA7680">
          <w:rPr>
            <w:webHidden/>
          </w:rPr>
        </w:r>
        <w:r w:rsidR="00EA7680">
          <w:rPr>
            <w:webHidden/>
          </w:rPr>
          <w:fldChar w:fldCharType="separate"/>
        </w:r>
        <w:r w:rsidR="00EA7680">
          <w:rPr>
            <w:webHidden/>
          </w:rPr>
          <w:t>18</w:t>
        </w:r>
        <w:r w:rsidR="00EA7680">
          <w:rPr>
            <w:webHidden/>
          </w:rPr>
          <w:fldChar w:fldCharType="end"/>
        </w:r>
      </w:hyperlink>
    </w:p>
    <w:p w14:paraId="295C7278" w14:textId="3222C7F3" w:rsidR="00EA7680" w:rsidRDefault="00265C29">
      <w:pPr>
        <w:pStyle w:val="TOC2"/>
        <w:rPr>
          <w:rFonts w:asciiTheme="minorHAnsi" w:eastAsiaTheme="minorEastAsia" w:hAnsiTheme="minorHAnsi" w:cstheme="minorBidi"/>
          <w:spacing w:val="0"/>
          <w:sz w:val="22"/>
          <w:szCs w:val="22"/>
        </w:rPr>
      </w:pPr>
      <w:hyperlink w:anchor="_Toc86153501" w:history="1">
        <w:r w:rsidR="00EA7680" w:rsidRPr="00653DBD">
          <w:rPr>
            <w:rStyle w:val="Hyperlink"/>
          </w:rPr>
          <w:t>Definitions of low-power and micro-power spectrum accesses</w:t>
        </w:r>
        <w:r w:rsidR="00EA7680">
          <w:rPr>
            <w:webHidden/>
          </w:rPr>
          <w:tab/>
        </w:r>
        <w:r w:rsidR="00EA7680">
          <w:rPr>
            <w:webHidden/>
          </w:rPr>
          <w:fldChar w:fldCharType="begin"/>
        </w:r>
        <w:r w:rsidR="00EA7680">
          <w:rPr>
            <w:webHidden/>
          </w:rPr>
          <w:instrText xml:space="preserve"> PAGEREF _Toc86153501 \h </w:instrText>
        </w:r>
        <w:r w:rsidR="00EA7680">
          <w:rPr>
            <w:webHidden/>
          </w:rPr>
        </w:r>
        <w:r w:rsidR="00EA7680">
          <w:rPr>
            <w:webHidden/>
          </w:rPr>
          <w:fldChar w:fldCharType="separate"/>
        </w:r>
        <w:r w:rsidR="00EA7680">
          <w:rPr>
            <w:webHidden/>
          </w:rPr>
          <w:t>18</w:t>
        </w:r>
        <w:r w:rsidR="00EA7680">
          <w:rPr>
            <w:webHidden/>
          </w:rPr>
          <w:fldChar w:fldCharType="end"/>
        </w:r>
      </w:hyperlink>
    </w:p>
    <w:p w14:paraId="5AA02369" w14:textId="26B0CAB7" w:rsidR="00EA7680" w:rsidRDefault="00265C29">
      <w:pPr>
        <w:pStyle w:val="TOC2"/>
        <w:rPr>
          <w:rFonts w:asciiTheme="minorHAnsi" w:eastAsiaTheme="minorEastAsia" w:hAnsiTheme="minorHAnsi" w:cstheme="minorBidi"/>
          <w:spacing w:val="0"/>
          <w:sz w:val="22"/>
          <w:szCs w:val="22"/>
        </w:rPr>
      </w:pPr>
      <w:hyperlink w:anchor="_Toc86153502" w:history="1">
        <w:r w:rsidR="00EA7680" w:rsidRPr="00653DBD">
          <w:rPr>
            <w:rStyle w:val="Hyperlink"/>
          </w:rPr>
          <w:t>Adjustment to the earth station systems price</w:t>
        </w:r>
        <w:r w:rsidR="00EA7680">
          <w:rPr>
            <w:webHidden/>
          </w:rPr>
          <w:tab/>
        </w:r>
        <w:r w:rsidR="00EA7680">
          <w:rPr>
            <w:webHidden/>
          </w:rPr>
          <w:fldChar w:fldCharType="begin"/>
        </w:r>
        <w:r w:rsidR="00EA7680">
          <w:rPr>
            <w:webHidden/>
          </w:rPr>
          <w:instrText xml:space="preserve"> PAGEREF _Toc86153502 \h </w:instrText>
        </w:r>
        <w:r w:rsidR="00EA7680">
          <w:rPr>
            <w:webHidden/>
          </w:rPr>
        </w:r>
        <w:r w:rsidR="00EA7680">
          <w:rPr>
            <w:webHidden/>
          </w:rPr>
          <w:fldChar w:fldCharType="separate"/>
        </w:r>
        <w:r w:rsidR="00EA7680">
          <w:rPr>
            <w:webHidden/>
          </w:rPr>
          <w:t>18</w:t>
        </w:r>
        <w:r w:rsidR="00EA7680">
          <w:rPr>
            <w:webHidden/>
          </w:rPr>
          <w:fldChar w:fldCharType="end"/>
        </w:r>
      </w:hyperlink>
    </w:p>
    <w:p w14:paraId="4C7B475D" w14:textId="49C4E6C6" w:rsidR="00EA7680" w:rsidRDefault="00265C29">
      <w:pPr>
        <w:pStyle w:val="TOC1"/>
        <w:rPr>
          <w:rFonts w:asciiTheme="minorHAnsi" w:eastAsiaTheme="minorEastAsia" w:hAnsiTheme="minorHAnsi" w:cstheme="minorBidi"/>
          <w:b w:val="0"/>
          <w:spacing w:val="0"/>
          <w:sz w:val="22"/>
          <w:szCs w:val="22"/>
        </w:rPr>
      </w:pPr>
      <w:hyperlink w:anchor="_Toc86153503" w:history="1">
        <w:r w:rsidR="00EA7680" w:rsidRPr="00653DBD">
          <w:rPr>
            <w:rStyle w:val="Hyperlink"/>
          </w:rPr>
          <w:t>Other pricing issues</w:t>
        </w:r>
        <w:r w:rsidR="00EA7680">
          <w:rPr>
            <w:webHidden/>
          </w:rPr>
          <w:tab/>
        </w:r>
        <w:r w:rsidR="00EA7680">
          <w:rPr>
            <w:webHidden/>
          </w:rPr>
          <w:fldChar w:fldCharType="begin"/>
        </w:r>
        <w:r w:rsidR="00EA7680">
          <w:rPr>
            <w:webHidden/>
          </w:rPr>
          <w:instrText xml:space="preserve"> PAGEREF _Toc86153503 \h </w:instrText>
        </w:r>
        <w:r w:rsidR="00EA7680">
          <w:rPr>
            <w:webHidden/>
          </w:rPr>
        </w:r>
        <w:r w:rsidR="00EA7680">
          <w:rPr>
            <w:webHidden/>
          </w:rPr>
          <w:fldChar w:fldCharType="separate"/>
        </w:r>
        <w:r w:rsidR="00EA7680">
          <w:rPr>
            <w:webHidden/>
          </w:rPr>
          <w:t>20</w:t>
        </w:r>
        <w:r w:rsidR="00EA7680">
          <w:rPr>
            <w:webHidden/>
          </w:rPr>
          <w:fldChar w:fldCharType="end"/>
        </w:r>
      </w:hyperlink>
    </w:p>
    <w:p w14:paraId="306D9AEB" w14:textId="14C82279" w:rsidR="00EA7680" w:rsidRDefault="00265C29">
      <w:pPr>
        <w:pStyle w:val="TOC2"/>
        <w:rPr>
          <w:rFonts w:asciiTheme="minorHAnsi" w:eastAsiaTheme="minorEastAsia" w:hAnsiTheme="minorHAnsi" w:cstheme="minorBidi"/>
          <w:spacing w:val="0"/>
          <w:sz w:val="22"/>
          <w:szCs w:val="22"/>
        </w:rPr>
      </w:pPr>
      <w:hyperlink w:anchor="_Toc86153504" w:history="1">
        <w:r w:rsidR="00EA7680" w:rsidRPr="00653DBD">
          <w:rPr>
            <w:rStyle w:val="Hyperlink"/>
          </w:rPr>
          <w:t>Pricing for varying levels of interference protection</w:t>
        </w:r>
        <w:r w:rsidR="00EA7680">
          <w:rPr>
            <w:webHidden/>
          </w:rPr>
          <w:tab/>
        </w:r>
        <w:r w:rsidR="00EA7680">
          <w:rPr>
            <w:webHidden/>
          </w:rPr>
          <w:fldChar w:fldCharType="begin"/>
        </w:r>
        <w:r w:rsidR="00EA7680">
          <w:rPr>
            <w:webHidden/>
          </w:rPr>
          <w:instrText xml:space="preserve"> PAGEREF _Toc86153504 \h </w:instrText>
        </w:r>
        <w:r w:rsidR="00EA7680">
          <w:rPr>
            <w:webHidden/>
          </w:rPr>
        </w:r>
        <w:r w:rsidR="00EA7680">
          <w:rPr>
            <w:webHidden/>
          </w:rPr>
          <w:fldChar w:fldCharType="separate"/>
        </w:r>
        <w:r w:rsidR="00EA7680">
          <w:rPr>
            <w:webHidden/>
          </w:rPr>
          <w:t>20</w:t>
        </w:r>
        <w:r w:rsidR="00EA7680">
          <w:rPr>
            <w:webHidden/>
          </w:rPr>
          <w:fldChar w:fldCharType="end"/>
        </w:r>
      </w:hyperlink>
    </w:p>
    <w:p w14:paraId="4C1E73E1" w14:textId="3BCAA467" w:rsidR="004D56FF" w:rsidRPr="000D76E0" w:rsidRDefault="006A3ECF">
      <w:pPr>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noProof/>
          <w:spacing w:val="-14"/>
          <w:sz w:val="28"/>
        </w:rPr>
        <w:fldChar w:fldCharType="end"/>
      </w:r>
    </w:p>
    <w:p w14:paraId="47506F35" w14:textId="77777777" w:rsidR="009D6C71" w:rsidRPr="009174F3" w:rsidRDefault="009D6C71" w:rsidP="009174F3">
      <w:pPr>
        <w:pStyle w:val="Execsummaryheading"/>
      </w:pPr>
      <w:bookmarkStart w:id="0" w:name="_Toc86153486"/>
      <w:r w:rsidRPr="009174F3">
        <w:lastRenderedPageBreak/>
        <w:t>Executive summary</w:t>
      </w:r>
      <w:bookmarkEnd w:id="0"/>
    </w:p>
    <w:p w14:paraId="192E63F1" w14:textId="1D467594" w:rsidR="00ED027F" w:rsidRDefault="00836691" w:rsidP="00836691">
      <w:pPr>
        <w:pStyle w:val="Heading2"/>
      </w:pPr>
      <w:bookmarkStart w:id="1" w:name="_Toc86153487"/>
      <w:bookmarkStart w:id="2" w:name="_Toc433122125"/>
      <w:r>
        <w:t xml:space="preserve">Tranche </w:t>
      </w:r>
      <w:r w:rsidR="00C64C86">
        <w:t xml:space="preserve">two </w:t>
      </w:r>
      <w:r>
        <w:t>reform proposals</w:t>
      </w:r>
      <w:bookmarkEnd w:id="1"/>
    </w:p>
    <w:p w14:paraId="7676BA5C" w14:textId="5C3268EF" w:rsidR="00232AD7" w:rsidRDefault="11A5C687" w:rsidP="77B20063">
      <w:r>
        <w:t>The ACMA is proposing a</w:t>
      </w:r>
      <w:r w:rsidR="002C6CD5">
        <w:t xml:space="preserve"> second </w:t>
      </w:r>
      <w:r>
        <w:t>tranche of tax reforms to address</w:t>
      </w:r>
      <w:r w:rsidR="000516AF">
        <w:t xml:space="preserve"> remaining</w:t>
      </w:r>
      <w:r>
        <w:t xml:space="preserve"> </w:t>
      </w:r>
      <w:hyperlink r:id="rId24">
        <w:r w:rsidR="005A1967" w:rsidRPr="005A1967">
          <w:rPr>
            <w:rStyle w:val="Hyperlink"/>
            <w:i/>
            <w:iCs/>
          </w:rPr>
          <w:t>S</w:t>
        </w:r>
        <w:r w:rsidRPr="005A1967">
          <w:rPr>
            <w:rStyle w:val="Hyperlink"/>
            <w:i/>
            <w:iCs/>
          </w:rPr>
          <w:t xml:space="preserve">pectrum </w:t>
        </w:r>
        <w:r w:rsidR="005A1967" w:rsidRPr="005A1967">
          <w:rPr>
            <w:rStyle w:val="Hyperlink"/>
            <w:i/>
            <w:iCs/>
          </w:rPr>
          <w:t>P</w:t>
        </w:r>
        <w:r w:rsidRPr="005A1967">
          <w:rPr>
            <w:rStyle w:val="Hyperlink"/>
            <w:i/>
            <w:iCs/>
          </w:rPr>
          <w:t>ricing review</w:t>
        </w:r>
        <w:r w:rsidRPr="77B20063">
          <w:rPr>
            <w:rStyle w:val="Hyperlink"/>
          </w:rPr>
          <w:t xml:space="preserve"> (SPR)</w:t>
        </w:r>
      </w:hyperlink>
      <w:r>
        <w:t xml:space="preserve"> </w:t>
      </w:r>
      <w:r w:rsidR="00FD4525">
        <w:t xml:space="preserve">report </w:t>
      </w:r>
      <w:r>
        <w:t>reco</w:t>
      </w:r>
      <w:r w:rsidR="2096BDB0">
        <w:t xml:space="preserve">mmendations, and feedback from stakeholders </w:t>
      </w:r>
      <w:r w:rsidR="00306B19">
        <w:t xml:space="preserve">provided </w:t>
      </w:r>
      <w:r w:rsidR="2096BDB0">
        <w:t xml:space="preserve">during earlier consultations. </w:t>
      </w:r>
    </w:p>
    <w:p w14:paraId="6881CE81" w14:textId="77777777" w:rsidR="002C6CD5" w:rsidRDefault="00232AD7" w:rsidP="006040D1">
      <w:pPr>
        <w:pStyle w:val="Paragraphbeforelist"/>
      </w:pPr>
      <w:r>
        <w:t xml:space="preserve">In the </w:t>
      </w:r>
      <w:hyperlink r:id="rId25" w:history="1">
        <w:r w:rsidR="00C03858" w:rsidRPr="006040D1">
          <w:rPr>
            <w:rStyle w:val="Hyperlink"/>
            <w:i/>
            <w:iCs/>
          </w:rPr>
          <w:t>Response to implementation of the Spectrum Pricing Review</w:t>
        </w:r>
      </w:hyperlink>
      <w:r w:rsidR="00C03858">
        <w:t xml:space="preserve"> </w:t>
      </w:r>
      <w:r w:rsidR="002C6CD5">
        <w:t xml:space="preserve">consultation paper, we: </w:t>
      </w:r>
    </w:p>
    <w:p w14:paraId="0BECE2F3" w14:textId="27974AB3" w:rsidR="002C6CD5" w:rsidRDefault="00677151" w:rsidP="002C6CD5">
      <w:pPr>
        <w:pStyle w:val="Bulletlevel1"/>
      </w:pPr>
      <w:r>
        <w:t xml:space="preserve">responded to industry submissions </w:t>
      </w:r>
      <w:r w:rsidR="009C6D11">
        <w:t xml:space="preserve">on the 6 </w:t>
      </w:r>
      <w:r w:rsidR="00112B45">
        <w:t xml:space="preserve">focus areas </w:t>
      </w:r>
      <w:r w:rsidR="0011004E">
        <w:t>for review of prices</w:t>
      </w:r>
    </w:p>
    <w:p w14:paraId="118261AC" w14:textId="72198712" w:rsidR="002C6CD5" w:rsidRDefault="00112B45" w:rsidP="002C6CD5">
      <w:pPr>
        <w:pStyle w:val="Bulletlevel1"/>
      </w:pPr>
      <w:r>
        <w:t>pub</w:t>
      </w:r>
      <w:r w:rsidR="000516AF">
        <w:t xml:space="preserve">lished </w:t>
      </w:r>
      <w:r w:rsidR="0041469F">
        <w:t>spectrum pricing guidelines</w:t>
      </w:r>
      <w:r w:rsidR="000469B8">
        <w:t xml:space="preserve"> that guide the ACMA’s pricing </w:t>
      </w:r>
      <w:r w:rsidR="00354690">
        <w:t>decisions</w:t>
      </w:r>
    </w:p>
    <w:p w14:paraId="027ED148" w14:textId="55A2997F" w:rsidR="00715722" w:rsidRPr="00023A36" w:rsidRDefault="00112B45" w:rsidP="006040D1">
      <w:pPr>
        <w:pStyle w:val="Bulletlevel1last"/>
      </w:pPr>
      <w:r>
        <w:t xml:space="preserve">proposed </w:t>
      </w:r>
      <w:r w:rsidR="1291B897">
        <w:t xml:space="preserve">a </w:t>
      </w:r>
      <w:hyperlink r:id="rId26" w:anchor="outcome-part-2-and-next-steps">
        <w:r w:rsidR="002C6CD5">
          <w:rPr>
            <w:rStyle w:val="Hyperlink"/>
          </w:rPr>
          <w:t xml:space="preserve">first </w:t>
        </w:r>
        <w:r w:rsidR="1291B897" w:rsidRPr="77B20063">
          <w:rPr>
            <w:rStyle w:val="Hyperlink"/>
          </w:rPr>
          <w:t>tranche of reforms</w:t>
        </w:r>
      </w:hyperlink>
      <w:r w:rsidR="1291B897">
        <w:t xml:space="preserve"> </w:t>
      </w:r>
      <w:r w:rsidR="1F12743D">
        <w:t xml:space="preserve">that came </w:t>
      </w:r>
      <w:r w:rsidR="1291B897">
        <w:t>in</w:t>
      </w:r>
      <w:r w:rsidR="069C82A3">
        <w:t>to effect on 12</w:t>
      </w:r>
      <w:r w:rsidR="1291B897">
        <w:t xml:space="preserve"> July</w:t>
      </w:r>
      <w:r w:rsidR="229675B2">
        <w:t xml:space="preserve"> 2021</w:t>
      </w:r>
      <w:r w:rsidR="1291B897">
        <w:t>.</w:t>
      </w:r>
    </w:p>
    <w:p w14:paraId="57E39C2F" w14:textId="2F264DD5" w:rsidR="00715722" w:rsidRPr="00023A36" w:rsidRDefault="2096BDB0" w:rsidP="006040D1">
      <w:pPr>
        <w:pStyle w:val="Paragraphbeforelist"/>
      </w:pPr>
      <w:r>
        <w:t>Th</w:t>
      </w:r>
      <w:r w:rsidR="5003B8CB">
        <w:t xml:space="preserve">is </w:t>
      </w:r>
      <w:r w:rsidR="002C6CD5">
        <w:t xml:space="preserve">second </w:t>
      </w:r>
      <w:r w:rsidR="5003B8CB">
        <w:t>tranche of</w:t>
      </w:r>
      <w:r>
        <w:t xml:space="preserve"> reform proposals </w:t>
      </w:r>
      <w:r w:rsidR="14D1F52C">
        <w:t>focus</w:t>
      </w:r>
      <w:r w:rsidR="003616CF">
        <w:t>es</w:t>
      </w:r>
      <w:r w:rsidR="14D1F52C">
        <w:t xml:space="preserve"> on updating the assigned apparatus licence tax formula</w:t>
      </w:r>
      <w:r w:rsidR="00F1000E">
        <w:t xml:space="preserve"> to address SPR recommendation </w:t>
      </w:r>
      <w:r w:rsidR="00064CA3">
        <w:t>7</w:t>
      </w:r>
      <w:r w:rsidR="14D1F52C">
        <w:t>.</w:t>
      </w:r>
      <w:r w:rsidR="009F43F2">
        <w:rPr>
          <w:rStyle w:val="FootnoteReference"/>
        </w:rPr>
        <w:footnoteReference w:id="2"/>
      </w:r>
      <w:r w:rsidR="14D1F52C">
        <w:t xml:space="preserve"> The ACMA proposes to</w:t>
      </w:r>
      <w:r w:rsidR="009A69B2">
        <w:t xml:space="preserve"> amend the </w:t>
      </w:r>
      <w:r w:rsidR="009A69B2" w:rsidRPr="006040D1">
        <w:t>Radiocommunications (Receiver Licence Tax) Determination 2015</w:t>
      </w:r>
      <w:r w:rsidR="009A69B2">
        <w:rPr>
          <w:i/>
          <w:iCs/>
        </w:rPr>
        <w:t xml:space="preserve"> </w:t>
      </w:r>
      <w:r w:rsidR="009A69B2">
        <w:t xml:space="preserve">and the </w:t>
      </w:r>
      <w:r w:rsidR="009A69B2" w:rsidRPr="006040D1">
        <w:t>Radiocommunications (Transmitter Licence Tax) Determination 2015</w:t>
      </w:r>
      <w:r w:rsidR="009A69B2">
        <w:t xml:space="preserve"> to</w:t>
      </w:r>
      <w:r w:rsidR="14D1F52C">
        <w:t>:</w:t>
      </w:r>
    </w:p>
    <w:p w14:paraId="3EA7B8D8" w14:textId="6B84C21D" w:rsidR="00715722" w:rsidRDefault="00395B18" w:rsidP="77B20063">
      <w:pPr>
        <w:pStyle w:val="Bulletlevel1"/>
        <w:numPr>
          <w:ilvl w:val="0"/>
          <w:numId w:val="22"/>
        </w:numPr>
        <w:ind w:left="295" w:hanging="295"/>
      </w:pPr>
      <w:r>
        <w:t>Simplify the location weightings table</w:t>
      </w:r>
      <w:r w:rsidR="009A69B2">
        <w:t>s</w:t>
      </w:r>
      <w:r>
        <w:t xml:space="preserve"> by c</w:t>
      </w:r>
      <w:r w:rsidR="2C76149F">
        <w:t>onsolidat</w:t>
      </w:r>
      <w:r>
        <w:t>ing</w:t>
      </w:r>
      <w:r w:rsidR="2C76149F">
        <w:t xml:space="preserve"> the </w:t>
      </w:r>
      <w:r w:rsidR="223EA2E2">
        <w:t>&gt;30</w:t>
      </w:r>
      <w:r w:rsidR="00E95166">
        <w:t>–</w:t>
      </w:r>
      <w:r w:rsidR="223EA2E2">
        <w:t>403 MHz frequency range into a single band.</w:t>
      </w:r>
    </w:p>
    <w:p w14:paraId="4EB9A21C" w14:textId="344975EF" w:rsidR="00A766EE" w:rsidRPr="00DD0965" w:rsidRDefault="00A766EE" w:rsidP="00A766EE">
      <w:pPr>
        <w:pStyle w:val="Bulletlevel1"/>
        <w:numPr>
          <w:ilvl w:val="0"/>
          <w:numId w:val="22"/>
        </w:numPr>
        <w:ind w:left="295" w:hanging="295"/>
      </w:pPr>
      <w:r w:rsidRPr="00DD0965">
        <w:t xml:space="preserve">Increase weightings for the 2,690 to 5,000 MHz spectrum location </w:t>
      </w:r>
      <w:r w:rsidR="00F971B4">
        <w:t>band</w:t>
      </w:r>
      <w:r w:rsidRPr="00DD0965">
        <w:t xml:space="preserve"> for high and </w:t>
      </w:r>
      <w:r w:rsidRPr="00DD0965" w:rsidDel="008835EE">
        <w:t>medium</w:t>
      </w:r>
      <w:r w:rsidR="008835EE">
        <w:t>-</w:t>
      </w:r>
      <w:r w:rsidRPr="00DD0965">
        <w:t>density geographic areas</w:t>
      </w:r>
      <w:r w:rsidR="007D2BF7">
        <w:t xml:space="preserve"> to reflect the relatively large increase in demand</w:t>
      </w:r>
      <w:r w:rsidR="008F71D4">
        <w:t xml:space="preserve"> for this spectrum in these areas</w:t>
      </w:r>
      <w:r w:rsidR="00912A2C">
        <w:t xml:space="preserve"> and the general increase in prices </w:t>
      </w:r>
      <w:r w:rsidR="00C0784F">
        <w:t>for</w:t>
      </w:r>
      <w:r w:rsidR="00865163">
        <w:t xml:space="preserve"> similar </w:t>
      </w:r>
      <w:r w:rsidR="00912A2C">
        <w:t>spectrum</w:t>
      </w:r>
      <w:r w:rsidRPr="00DD0965">
        <w:t>.</w:t>
      </w:r>
    </w:p>
    <w:p w14:paraId="4ED7198D" w14:textId="5B7B0274" w:rsidR="00715722" w:rsidRDefault="2C76149F" w:rsidP="77B20063">
      <w:pPr>
        <w:pStyle w:val="Bulletlevel1"/>
        <w:numPr>
          <w:ilvl w:val="0"/>
          <w:numId w:val="22"/>
        </w:numPr>
        <w:ind w:left="295" w:hanging="295"/>
      </w:pPr>
      <w:r>
        <w:t>Add a new</w:t>
      </w:r>
      <w:r w:rsidR="00566860">
        <w:t xml:space="preserve"> spectrum location</w:t>
      </w:r>
      <w:r>
        <w:t xml:space="preserve"> </w:t>
      </w:r>
      <w:r w:rsidR="631CBBEC">
        <w:t xml:space="preserve">band &gt;100 GHz where </w:t>
      </w:r>
      <w:r w:rsidR="008F71D4">
        <w:t xml:space="preserve">licences will generally </w:t>
      </w:r>
      <w:r w:rsidR="631CBBEC">
        <w:t>incur the min</w:t>
      </w:r>
      <w:r w:rsidR="008F71D4">
        <w:t>imum</w:t>
      </w:r>
      <w:r w:rsidR="631CBBEC">
        <w:t xml:space="preserve"> tax (currently $41.3</w:t>
      </w:r>
      <w:r w:rsidR="551EBF8F">
        <w:t>7</w:t>
      </w:r>
      <w:r w:rsidR="631CBBEC">
        <w:t>)</w:t>
      </w:r>
      <w:r w:rsidR="008F71D4">
        <w:t>,</w:t>
      </w:r>
      <w:r w:rsidR="6B140DAF">
        <w:t xml:space="preserve"> reflect</w:t>
      </w:r>
      <w:r w:rsidR="008F71D4">
        <w:t>ing the</w:t>
      </w:r>
      <w:r w:rsidR="6B140DAF">
        <w:t xml:space="preserve"> lower potential for interference at these higher </w:t>
      </w:r>
      <w:r w:rsidR="45B7F02D">
        <w:t>frequencies</w:t>
      </w:r>
      <w:r w:rsidR="6B140DAF">
        <w:t>, and facilitat</w:t>
      </w:r>
      <w:r w:rsidR="008F71D4">
        <w:t>ing the</w:t>
      </w:r>
      <w:r w:rsidR="6B140DAF">
        <w:t xml:space="preserve"> use of services expected to require very large bandwidths. </w:t>
      </w:r>
    </w:p>
    <w:p w14:paraId="0A73DFF8" w14:textId="48DC18C0" w:rsidR="00326A2F" w:rsidRDefault="00326A2F" w:rsidP="77B20063">
      <w:pPr>
        <w:pStyle w:val="Bulletlevel1"/>
        <w:numPr>
          <w:ilvl w:val="0"/>
          <w:numId w:val="22"/>
        </w:numPr>
        <w:ind w:left="295" w:hanging="295"/>
      </w:pPr>
      <w:r w:rsidRPr="00326A2F">
        <w:t xml:space="preserve">Cease annual </w:t>
      </w:r>
      <w:r w:rsidR="00923C84">
        <w:t>consumer price index (</w:t>
      </w:r>
      <w:r w:rsidRPr="00326A2F">
        <w:t>CPI</w:t>
      </w:r>
      <w:r w:rsidR="00923C84">
        <w:t>)</w:t>
      </w:r>
      <w:r w:rsidRPr="00326A2F">
        <w:t xml:space="preserve"> updates to taxes, and instead</w:t>
      </w:r>
      <w:r w:rsidR="00F56D78">
        <w:t xml:space="preserve"> regularly</w:t>
      </w:r>
      <w:r w:rsidRPr="00326A2F">
        <w:t xml:space="preserve"> update taxes based on population growth</w:t>
      </w:r>
      <w:r w:rsidR="00923C84">
        <w:t xml:space="preserve"> specific to </w:t>
      </w:r>
      <w:r w:rsidR="003363D0">
        <w:t>density areas</w:t>
      </w:r>
      <w:r w:rsidR="00EE46E6">
        <w:t>.</w:t>
      </w:r>
    </w:p>
    <w:p w14:paraId="7E19BB5F" w14:textId="4F033488" w:rsidR="00326A2F" w:rsidRPr="00023A36" w:rsidRDefault="00EE46E6" w:rsidP="001B1BEB">
      <w:pPr>
        <w:pStyle w:val="Bulletlevel1last"/>
      </w:pPr>
      <w:r w:rsidRPr="00EE46E6">
        <w:t>Updat</w:t>
      </w:r>
      <w:r w:rsidR="00961A48">
        <w:t>e</w:t>
      </w:r>
      <w:r w:rsidRPr="00EE46E6">
        <w:t xml:space="preserve"> density area definitions for Perth and Adelaide</w:t>
      </w:r>
      <w:r>
        <w:t>.</w:t>
      </w:r>
    </w:p>
    <w:p w14:paraId="15570893" w14:textId="205F6664" w:rsidR="00715722" w:rsidRPr="00023A36" w:rsidRDefault="14D1F52C" w:rsidP="77B20063">
      <w:r>
        <w:t>The</w:t>
      </w:r>
      <w:r w:rsidR="4A5BC821">
        <w:t xml:space="preserve"> ACMA also proposes to reduce tax rates for </w:t>
      </w:r>
      <w:r w:rsidR="001029D2">
        <w:t xml:space="preserve">transmitter licences used to provide </w:t>
      </w:r>
      <w:r w:rsidR="4A5BC821">
        <w:t xml:space="preserve">high-power open narrowcasting (HPON) </w:t>
      </w:r>
      <w:r w:rsidR="001029D2">
        <w:t xml:space="preserve">services, </w:t>
      </w:r>
      <w:r w:rsidR="1E64BA35">
        <w:t>to bring them closer in line with commercial broadcasting taxes</w:t>
      </w:r>
      <w:r w:rsidR="00941DB2">
        <w:t xml:space="preserve"> and </w:t>
      </w:r>
      <w:r w:rsidR="00075E95">
        <w:t xml:space="preserve">charge different tax rates for </w:t>
      </w:r>
      <w:r w:rsidR="001029D2">
        <w:t xml:space="preserve">television, </w:t>
      </w:r>
      <w:r w:rsidR="00075E95">
        <w:t>FM</w:t>
      </w:r>
      <w:r w:rsidR="001029D2">
        <w:t xml:space="preserve"> </w:t>
      </w:r>
      <w:r w:rsidR="00075E95">
        <w:t>and AM</w:t>
      </w:r>
      <w:r w:rsidR="005E00BB">
        <w:t xml:space="preserve"> HPON</w:t>
      </w:r>
      <w:r w:rsidR="00075E95" w:rsidDel="001029D2">
        <w:t xml:space="preserve"> </w:t>
      </w:r>
      <w:r w:rsidR="001029D2">
        <w:t>licences</w:t>
      </w:r>
      <w:r w:rsidR="00E95166">
        <w:t xml:space="preserve">. This will help </w:t>
      </w:r>
      <w:r w:rsidR="00075E95">
        <w:t>reflect the difference in bandwidth</w:t>
      </w:r>
      <w:r w:rsidR="001029D2">
        <w:t xml:space="preserve"> used by each</w:t>
      </w:r>
      <w:r w:rsidR="1E64BA35">
        <w:t xml:space="preserve">. </w:t>
      </w:r>
    </w:p>
    <w:p w14:paraId="03C749BC" w14:textId="19111BFF" w:rsidR="00282CFF" w:rsidRDefault="00E95166" w:rsidP="00282CFF">
      <w:r>
        <w:t xml:space="preserve">We </w:t>
      </w:r>
      <w:r w:rsidR="00282CFF">
        <w:t>consider the</w:t>
      </w:r>
      <w:r>
        <w:t xml:space="preserve"> second </w:t>
      </w:r>
      <w:r w:rsidR="00282CFF">
        <w:t xml:space="preserve">tranche </w:t>
      </w:r>
      <w:r w:rsidR="00DC5601">
        <w:t xml:space="preserve">of pricing reforms </w:t>
      </w:r>
      <w:r w:rsidR="00282CFF">
        <w:t xml:space="preserve">to be the final tranche </w:t>
      </w:r>
      <w:r w:rsidR="005E0249">
        <w:t xml:space="preserve">of </w:t>
      </w:r>
      <w:r>
        <w:t xml:space="preserve">our </w:t>
      </w:r>
      <w:r w:rsidR="005E0249">
        <w:t>changes to tax</w:t>
      </w:r>
      <w:r w:rsidR="00911E51">
        <w:t>ation arrangements</w:t>
      </w:r>
      <w:r w:rsidR="005E0249">
        <w:t xml:space="preserve"> </w:t>
      </w:r>
      <w:r w:rsidR="00282CFF">
        <w:t xml:space="preserve">relating to the </w:t>
      </w:r>
      <w:r w:rsidR="005E0249">
        <w:t>S</w:t>
      </w:r>
      <w:r w:rsidR="00282CFF">
        <w:t xml:space="preserve">pectrum </w:t>
      </w:r>
      <w:r w:rsidR="005E0249">
        <w:t>P</w:t>
      </w:r>
      <w:r w:rsidR="00282CFF">
        <w:t xml:space="preserve">ricing </w:t>
      </w:r>
      <w:r w:rsidR="005E0249">
        <w:t>R</w:t>
      </w:r>
      <w:r w:rsidR="00282CFF">
        <w:t>eview report</w:t>
      </w:r>
      <w:r>
        <w:t>. However, we w</w:t>
      </w:r>
      <w:r w:rsidR="00282CFF">
        <w:t xml:space="preserve">ill continue to update </w:t>
      </w:r>
      <w:r w:rsidR="00DC5601">
        <w:t xml:space="preserve">spectrum taxes as necessary </w:t>
      </w:r>
      <w:r w:rsidR="00282CFF">
        <w:t xml:space="preserve">to keep pace with the rapidly changing communications and media </w:t>
      </w:r>
      <w:r w:rsidR="00DC5601">
        <w:t>technologies and their uses</w:t>
      </w:r>
      <w:r w:rsidR="00282CFF">
        <w:t>.</w:t>
      </w:r>
    </w:p>
    <w:p w14:paraId="1769E966" w14:textId="00B4B32F" w:rsidR="00282CFF" w:rsidRPr="00023A36" w:rsidRDefault="000E5FE2" w:rsidP="00282CFF">
      <w:pPr>
        <w:pStyle w:val="Heading2"/>
      </w:pPr>
      <w:bookmarkStart w:id="3" w:name="_Toc86153488"/>
      <w:r>
        <w:lastRenderedPageBreak/>
        <w:t>Proposal to a</w:t>
      </w:r>
      <w:r w:rsidR="00282CFF">
        <w:t>djust</w:t>
      </w:r>
      <w:r>
        <w:t xml:space="preserve"> </w:t>
      </w:r>
      <w:r w:rsidR="00E95166">
        <w:t>t</w:t>
      </w:r>
      <w:r w:rsidR="00282CFF">
        <w:t xml:space="preserve">ranche </w:t>
      </w:r>
      <w:r w:rsidR="00E95166">
        <w:t>one</w:t>
      </w:r>
      <w:r w:rsidR="00282CFF">
        <w:t xml:space="preserve"> </w:t>
      </w:r>
      <w:r>
        <w:t>reforms</w:t>
      </w:r>
      <w:bookmarkEnd w:id="3"/>
    </w:p>
    <w:p w14:paraId="213D84FF" w14:textId="14262A90" w:rsidR="00715722" w:rsidRPr="00023A36" w:rsidRDefault="00392583" w:rsidP="77B20063">
      <w:r>
        <w:t xml:space="preserve">Since implementing the </w:t>
      </w:r>
      <w:r w:rsidR="00E95166">
        <w:t xml:space="preserve">first </w:t>
      </w:r>
      <w:r>
        <w:t xml:space="preserve">tranche </w:t>
      </w:r>
      <w:r w:rsidR="00E95166">
        <w:t xml:space="preserve">of </w:t>
      </w:r>
      <w:r>
        <w:t>reforms</w:t>
      </w:r>
      <w:r w:rsidR="00911E51">
        <w:t>,</w:t>
      </w:r>
      <w:r>
        <w:t xml:space="preserve"> t</w:t>
      </w:r>
      <w:r w:rsidR="31BAFC8B">
        <w:t xml:space="preserve">he ACMA </w:t>
      </w:r>
      <w:r w:rsidR="00DC5601">
        <w:t xml:space="preserve">also </w:t>
      </w:r>
      <w:r w:rsidR="011413B7">
        <w:t>receiv</w:t>
      </w:r>
      <w:r w:rsidR="37A2728B">
        <w:t>ed</w:t>
      </w:r>
      <w:r w:rsidR="011413B7">
        <w:t xml:space="preserve"> </w:t>
      </w:r>
      <w:r w:rsidR="6C2B945F">
        <w:t xml:space="preserve">useful </w:t>
      </w:r>
      <w:r w:rsidR="00DC5601">
        <w:t>additional</w:t>
      </w:r>
      <w:r w:rsidR="011413B7">
        <w:t xml:space="preserve"> feedback </w:t>
      </w:r>
      <w:r w:rsidR="00443CDE">
        <w:t xml:space="preserve">on </w:t>
      </w:r>
      <w:r w:rsidR="10893D02">
        <w:t>th</w:t>
      </w:r>
      <w:r w:rsidR="00E95166">
        <w:t>em</w:t>
      </w:r>
      <w:r w:rsidR="4F0BEF36">
        <w:t xml:space="preserve">. </w:t>
      </w:r>
      <w:r w:rsidR="250A62C6">
        <w:t>Consequently,</w:t>
      </w:r>
      <w:r w:rsidR="10893D02">
        <w:t xml:space="preserve"> </w:t>
      </w:r>
      <w:r w:rsidR="00E95166">
        <w:t xml:space="preserve">we are </w:t>
      </w:r>
      <w:r w:rsidR="00317374">
        <w:t>proposing</w:t>
      </w:r>
      <w:r w:rsidR="011413B7">
        <w:t xml:space="preserve"> some changes to</w:t>
      </w:r>
      <w:r w:rsidR="66CD1CB3">
        <w:t xml:space="preserve"> </w:t>
      </w:r>
      <w:r w:rsidR="011413B7">
        <w:t xml:space="preserve">the definition of </w:t>
      </w:r>
      <w:r w:rsidR="5D0718E5">
        <w:t xml:space="preserve">low-power and </w:t>
      </w:r>
      <w:r w:rsidR="011413B7">
        <w:t>micro</w:t>
      </w:r>
      <w:r w:rsidR="659E96D8">
        <w:t xml:space="preserve">-power </w:t>
      </w:r>
      <w:r w:rsidR="00443CDE">
        <w:t xml:space="preserve">spectrum </w:t>
      </w:r>
      <w:r w:rsidR="00062D8C">
        <w:t>accesses</w:t>
      </w:r>
      <w:r w:rsidR="79C33140">
        <w:t xml:space="preserve">, and to the earth station system </w:t>
      </w:r>
      <w:r w:rsidR="00D819ED">
        <w:t>arrangements</w:t>
      </w:r>
      <w:r w:rsidR="00E95166">
        <w:t xml:space="preserve">. This will </w:t>
      </w:r>
      <w:r w:rsidR="3E3D04B0">
        <w:t>allow for more flexibility with earth station system configurations</w:t>
      </w:r>
      <w:r w:rsidR="00D905B2">
        <w:t xml:space="preserve"> eligible for the </w:t>
      </w:r>
      <w:r w:rsidR="00D819ED">
        <w:t>‘</w:t>
      </w:r>
      <w:r w:rsidR="00D144F0">
        <w:t>system price</w:t>
      </w:r>
      <w:r w:rsidR="00D819ED">
        <w:t>’</w:t>
      </w:r>
      <w:r w:rsidR="00062D8C">
        <w:t>.</w:t>
      </w:r>
    </w:p>
    <w:p w14:paraId="61E2B5DA" w14:textId="47FA59D8" w:rsidR="00010D2F" w:rsidRDefault="00010D2F" w:rsidP="00010D2F">
      <w:pPr>
        <w:pStyle w:val="Heading2"/>
      </w:pPr>
      <w:bookmarkStart w:id="4" w:name="_Toc86153489"/>
      <w:r>
        <w:t>Draft tax determinations</w:t>
      </w:r>
      <w:bookmarkEnd w:id="4"/>
    </w:p>
    <w:p w14:paraId="37B6C1FF" w14:textId="07D94F35" w:rsidR="006F40DF" w:rsidRDefault="00010D2F" w:rsidP="006040D1">
      <w:pPr>
        <w:pStyle w:val="Paragraphbeforelist"/>
      </w:pPr>
      <w:r>
        <w:t xml:space="preserve">The proposals discussed in the paper are </w:t>
      </w:r>
      <w:r w:rsidR="00D819ED">
        <w:t>set out</w:t>
      </w:r>
      <w:r w:rsidR="00074C52">
        <w:t xml:space="preserve"> </w:t>
      </w:r>
      <w:r>
        <w:t>in the accompanying</w:t>
      </w:r>
      <w:r w:rsidR="00811CD5">
        <w:t xml:space="preserve"> </w:t>
      </w:r>
      <w:r w:rsidR="00C256BB">
        <w:t xml:space="preserve">draft </w:t>
      </w:r>
      <w:r w:rsidR="006B4ED2">
        <w:t xml:space="preserve">tax </w:t>
      </w:r>
      <w:r w:rsidR="00F27127">
        <w:t>determinations</w:t>
      </w:r>
      <w:r w:rsidR="006F40DF">
        <w:t>:</w:t>
      </w:r>
    </w:p>
    <w:p w14:paraId="388E92FA" w14:textId="6183C32A" w:rsidR="006F40DF" w:rsidRDefault="00811CD5" w:rsidP="00811CD5">
      <w:pPr>
        <w:pStyle w:val="Bulletlevel1"/>
      </w:pPr>
      <w:r>
        <w:t>Attachment A</w:t>
      </w:r>
      <w:r w:rsidR="00E95166">
        <w:t xml:space="preserve">: </w:t>
      </w:r>
      <w:r w:rsidR="006F40DF" w:rsidRPr="006F40DF">
        <w:t>Draft Radiocommunications (Transmitter Licence Tax) Amendment Determination 2021 (No. 3)</w:t>
      </w:r>
      <w:r w:rsidR="00E95166">
        <w:t>.</w:t>
      </w:r>
    </w:p>
    <w:p w14:paraId="036E77F8" w14:textId="16E31E7E" w:rsidR="006F40DF" w:rsidRDefault="00811CD5" w:rsidP="0071079F">
      <w:pPr>
        <w:pStyle w:val="Bulletlevel1last"/>
      </w:pPr>
      <w:r>
        <w:t>Attachment B</w:t>
      </w:r>
      <w:r w:rsidR="00E95166">
        <w:t>:</w:t>
      </w:r>
      <w:r>
        <w:t xml:space="preserve"> </w:t>
      </w:r>
      <w:r w:rsidR="006F40DF" w:rsidRPr="006F40DF">
        <w:t>Draft Radiocommunications (Receiver Licence Tax) Amendment Determination 2021 (No. 3)</w:t>
      </w:r>
      <w:r w:rsidR="00E95166">
        <w:t>.</w:t>
      </w:r>
    </w:p>
    <w:p w14:paraId="6A557DA5" w14:textId="22158165" w:rsidR="00010D2F" w:rsidRPr="00023A36" w:rsidRDefault="006F40DF" w:rsidP="77B20063">
      <w:r>
        <w:t xml:space="preserve">Please read </w:t>
      </w:r>
      <w:r w:rsidR="00811CD5">
        <w:t xml:space="preserve">this consultation paper in conjunction with these </w:t>
      </w:r>
      <w:r w:rsidR="00E95166">
        <w:t>a</w:t>
      </w:r>
      <w:r w:rsidR="00811CD5">
        <w:t xml:space="preserve">ttachments. </w:t>
      </w:r>
    </w:p>
    <w:p w14:paraId="2D01EDF5" w14:textId="7571293F" w:rsidR="00715722" w:rsidRPr="00023A36" w:rsidRDefault="00715722" w:rsidP="77B20063"/>
    <w:p w14:paraId="4FC0CA5B" w14:textId="37B4003C" w:rsidR="00715722" w:rsidRPr="00023A36" w:rsidRDefault="00715722" w:rsidP="00715722">
      <w:pPr>
        <w:pStyle w:val="Heading1"/>
      </w:pPr>
      <w:bookmarkStart w:id="5" w:name="_Toc86153490"/>
      <w:r>
        <w:lastRenderedPageBreak/>
        <w:t>Issue</w:t>
      </w:r>
      <w:r w:rsidRPr="003253EE">
        <w:t>s</w:t>
      </w:r>
      <w:r w:rsidRPr="00023A36">
        <w:t xml:space="preserve"> for comment</w:t>
      </w:r>
      <w:bookmarkEnd w:id="2"/>
      <w:bookmarkEnd w:id="5"/>
    </w:p>
    <w:p w14:paraId="3401E62C" w14:textId="629CE5B4" w:rsidR="00AC46FB" w:rsidRPr="00023A36" w:rsidRDefault="00AC46FB" w:rsidP="00AC46FB">
      <w:pPr>
        <w:pStyle w:val="Paragraphbeforelist"/>
      </w:pPr>
      <w:r w:rsidRPr="00023A36">
        <w:t>The ACMA invites comments on the issues set out in this paper</w:t>
      </w:r>
      <w:r w:rsidR="00E95166">
        <w:t>.</w:t>
      </w:r>
    </w:p>
    <w:p w14:paraId="79D93D36" w14:textId="0EB319AD" w:rsidR="00001053" w:rsidRPr="00395023" w:rsidRDefault="00001053" w:rsidP="00001053">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351DC7">
        <w:t>Question 1</w:t>
      </w:r>
    </w:p>
    <w:p w14:paraId="1F8B5556" w14:textId="6C55055B" w:rsidR="00C90655" w:rsidRDefault="00C90655" w:rsidP="00C90655">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Do you have any comments on the proposal to amalgamate </w:t>
      </w:r>
      <w:r w:rsidRPr="00502EA6">
        <w:t xml:space="preserve">the &gt;30 to 403 MHz range </w:t>
      </w:r>
      <w:r>
        <w:t xml:space="preserve">for the tax formula? </w:t>
      </w:r>
    </w:p>
    <w:p w14:paraId="654A96D8" w14:textId="3489B217" w:rsidR="008731CD" w:rsidRPr="00395023" w:rsidRDefault="008731CD" w:rsidP="008731CD">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351DC7">
        <w:t xml:space="preserve">Question </w:t>
      </w:r>
      <w:r>
        <w:t>2</w:t>
      </w:r>
    </w:p>
    <w:p w14:paraId="7A720623" w14:textId="14BB5A30" w:rsidR="00C90655" w:rsidRDefault="00C90655" w:rsidP="00AA2C87">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Do you have any comments on the proposal to increase location weightings for </w:t>
      </w:r>
      <w:r w:rsidRPr="00502EA6">
        <w:t xml:space="preserve">the </w:t>
      </w:r>
      <w:r>
        <w:t xml:space="preserve">high and medium-density areas in the </w:t>
      </w:r>
      <w:r w:rsidRPr="00DE0B07">
        <w:t xml:space="preserve">&gt;2,690 to 5,000 MHz </w:t>
      </w:r>
      <w:r w:rsidRPr="00502EA6">
        <w:t>range</w:t>
      </w:r>
      <w:r>
        <w:t>?</w:t>
      </w:r>
    </w:p>
    <w:p w14:paraId="01C2E84A" w14:textId="77777777" w:rsidR="00AC657C" w:rsidRDefault="00AC657C" w:rsidP="00AC657C">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t>Question 3</w:t>
      </w:r>
    </w:p>
    <w:p w14:paraId="3AAAD4A9" w14:textId="1E1B7C3C" w:rsidR="00AA2C87" w:rsidRPr="002A0C4B" w:rsidRDefault="00AA2C87" w:rsidP="00AA2C87">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Do you have </w:t>
      </w:r>
      <w:r w:rsidRPr="00551969">
        <w:t xml:space="preserve">any comments on the </w:t>
      </w:r>
      <w:r w:rsidRPr="00395023">
        <w:t>appropriateness of the proposed</w:t>
      </w:r>
      <w:r w:rsidR="005B5A10">
        <w:t xml:space="preserve"> </w:t>
      </w:r>
      <w:r w:rsidR="005837CF">
        <w:t>spectrum location weighting for frequencies above</w:t>
      </w:r>
      <w:r w:rsidRPr="00395023">
        <w:t xml:space="preserve"> 100 </w:t>
      </w:r>
      <w:r w:rsidR="00795169">
        <w:t>G</w:t>
      </w:r>
      <w:r w:rsidRPr="00395023">
        <w:t>Hz</w:t>
      </w:r>
      <w:r w:rsidRPr="00551969">
        <w:t>?</w:t>
      </w:r>
    </w:p>
    <w:p w14:paraId="2088A7AA" w14:textId="2BFB932B" w:rsidR="00AC657C" w:rsidRDefault="00AC657C" w:rsidP="00AC657C">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t>Question 4</w:t>
      </w:r>
    </w:p>
    <w:p w14:paraId="7B38AB23" w14:textId="1F79C392" w:rsidR="00AA2C87" w:rsidRDefault="00AA2C87" w:rsidP="00AA2C87">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rsidRPr="00395023">
        <w:t xml:space="preserve">The minimum tax in </w:t>
      </w:r>
      <w:r w:rsidR="00795169">
        <w:t xml:space="preserve">the proposed band above 100 GHz </w:t>
      </w:r>
      <w:r w:rsidRPr="00395023">
        <w:t xml:space="preserve">is intended for services exhibiting limited interference potential to other services. Should the ACMA restrict the minimum tax above 100 </w:t>
      </w:r>
      <w:r w:rsidR="00795169">
        <w:t>G</w:t>
      </w:r>
      <w:r w:rsidRPr="00395023">
        <w:t>Hz to services</w:t>
      </w:r>
      <w:r w:rsidR="005837CF">
        <w:t>,</w:t>
      </w:r>
      <w:r w:rsidRPr="00395023">
        <w:t xml:space="preserve"> such as optical communications</w:t>
      </w:r>
      <w:r w:rsidR="005837CF">
        <w:t>,</w:t>
      </w:r>
      <w:r w:rsidRPr="00395023">
        <w:t xml:space="preserve"> with </w:t>
      </w:r>
      <w:r w:rsidR="005837CF">
        <w:t xml:space="preserve">known </w:t>
      </w:r>
      <w:r w:rsidRPr="00395023">
        <w:t>limited spectrum denial?</w:t>
      </w:r>
    </w:p>
    <w:p w14:paraId="3F676A66" w14:textId="58C0A6C7" w:rsidR="00C90655" w:rsidRDefault="00C90655" w:rsidP="00C90655">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Del="00AC657C">
        <w:t xml:space="preserve">Question </w:t>
      </w:r>
      <w:r w:rsidR="00AC657C">
        <w:t>5</w:t>
      </w:r>
    </w:p>
    <w:p w14:paraId="7D6990F6" w14:textId="727FAD17" w:rsidR="00C90655" w:rsidRPr="00C02F26" w:rsidRDefault="00C90655" w:rsidP="00C90655">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rsidRPr="00757939">
        <w:t>Do you have any comments on the propos</w:t>
      </w:r>
      <w:r>
        <w:t>ed method to update taxes</w:t>
      </w:r>
      <w:r w:rsidR="0076603D">
        <w:t xml:space="preserve"> by reference to population change, rather than annual adjustments based on the consumer price index</w:t>
      </w:r>
      <w:r w:rsidRPr="00757939">
        <w:t>?</w:t>
      </w:r>
    </w:p>
    <w:p w14:paraId="04878987" w14:textId="71CB08D1" w:rsidR="00C90655" w:rsidRDefault="00C90655" w:rsidP="00C90655">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Question </w:t>
      </w:r>
      <w:r w:rsidR="00AC657C">
        <w:t>6</w:t>
      </w:r>
    </w:p>
    <w:p w14:paraId="1DCE1321" w14:textId="27203A67" w:rsidR="0075704F" w:rsidRDefault="0075704F" w:rsidP="0075704F">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rsidRPr="00757939">
        <w:t xml:space="preserve">Do you have any comments on the </w:t>
      </w:r>
      <w:r>
        <w:t xml:space="preserve">density area framework, proposed density area definitions, or </w:t>
      </w:r>
      <w:r w:rsidRPr="00757939">
        <w:t>propos</w:t>
      </w:r>
      <w:r>
        <w:t xml:space="preserve">ed changes to the Perth and Adelaide </w:t>
      </w:r>
      <w:r w:rsidDel="008835EE">
        <w:t>medium</w:t>
      </w:r>
      <w:r>
        <w:t>-density areas</w:t>
      </w:r>
      <w:r w:rsidRPr="00757939">
        <w:t>?</w:t>
      </w:r>
    </w:p>
    <w:p w14:paraId="5211D52B" w14:textId="40251E4A" w:rsidR="003927B1" w:rsidRPr="00395023" w:rsidRDefault="003927B1" w:rsidP="003927B1">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351DC7">
        <w:t xml:space="preserve">Question </w:t>
      </w:r>
      <w:r w:rsidR="00AC657C">
        <w:t>7</w:t>
      </w:r>
    </w:p>
    <w:p w14:paraId="1E0E4458" w14:textId="1A6D3C64" w:rsidR="00001053" w:rsidRDefault="002F73D8" w:rsidP="00001053">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Do you have any comments on the</w:t>
      </w:r>
      <w:r w:rsidR="00001053">
        <w:t xml:space="preserve"> tax reform proposals for HPON</w:t>
      </w:r>
      <w:r w:rsidR="00EC644E">
        <w:t xml:space="preserve"> licence</w:t>
      </w:r>
      <w:r w:rsidR="00001053">
        <w:t xml:space="preserve">s? </w:t>
      </w:r>
    </w:p>
    <w:p w14:paraId="60554932" w14:textId="6B07D5BF" w:rsidR="00C90655" w:rsidRPr="00395023" w:rsidRDefault="00C90655" w:rsidP="00C90655">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351DC7">
        <w:t xml:space="preserve">Question </w:t>
      </w:r>
      <w:r w:rsidR="00AC657C">
        <w:t>8</w:t>
      </w:r>
    </w:p>
    <w:p w14:paraId="2460A409" w14:textId="38251610" w:rsidR="00001053" w:rsidRDefault="00C90655" w:rsidP="00C90655">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Do you have any comments on the proposed adjustments to the tranche </w:t>
      </w:r>
      <w:r w:rsidR="00E95166">
        <w:t>one</w:t>
      </w:r>
      <w:r>
        <w:t xml:space="preserve"> reforms?</w:t>
      </w:r>
    </w:p>
    <w:p w14:paraId="340971DD" w14:textId="269FEA90" w:rsidR="00C90655" w:rsidRPr="00235D23" w:rsidRDefault="00C90655" w:rsidP="00C90655">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235D23">
        <w:t xml:space="preserve">Question </w:t>
      </w:r>
      <w:r w:rsidR="00AC657C" w:rsidRPr="00235D23">
        <w:t>9</w:t>
      </w:r>
    </w:p>
    <w:p w14:paraId="4E9748E5" w14:textId="38FC82BE" w:rsidR="00C90655" w:rsidRPr="00235D23" w:rsidRDefault="00127915" w:rsidP="00C90655">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rsidRPr="00235D23">
        <w:t xml:space="preserve">Do you have </w:t>
      </w:r>
      <w:r w:rsidR="00422410" w:rsidRPr="00235D23">
        <w:t xml:space="preserve">suggestions </w:t>
      </w:r>
      <w:r w:rsidR="00FD4525">
        <w:t>for</w:t>
      </w:r>
      <w:r w:rsidRPr="00235D23">
        <w:t xml:space="preserve"> any additional </w:t>
      </w:r>
      <w:r w:rsidR="00981609" w:rsidRPr="00235D23">
        <w:t xml:space="preserve">pricing </w:t>
      </w:r>
      <w:r w:rsidRPr="00235D23">
        <w:t xml:space="preserve">measures the ACMA could consider </w:t>
      </w:r>
      <w:r w:rsidR="00422410" w:rsidRPr="00235D23">
        <w:t xml:space="preserve">to encourage spectrally efficient </w:t>
      </w:r>
      <w:r w:rsidR="00981609" w:rsidRPr="00235D23">
        <w:t>technology deployments?</w:t>
      </w:r>
    </w:p>
    <w:p w14:paraId="04270248" w14:textId="0093488F" w:rsidR="000C239E" w:rsidRPr="00395023" w:rsidRDefault="000C239E" w:rsidP="000C239E">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351DC7">
        <w:t xml:space="preserve">Question </w:t>
      </w:r>
      <w:r w:rsidR="00AC657C">
        <w:t>10</w:t>
      </w:r>
    </w:p>
    <w:p w14:paraId="57F8AEA3" w14:textId="1848D478" w:rsidR="00C22F1C" w:rsidRPr="00D24B6E" w:rsidRDefault="000C239E" w:rsidP="000A60ED">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Are there any other comments that you would like to </w:t>
      </w:r>
      <w:r w:rsidR="0074641D">
        <w:t xml:space="preserve">give </w:t>
      </w:r>
      <w:r w:rsidR="000E7698">
        <w:t xml:space="preserve">relating to the proposals </w:t>
      </w:r>
      <w:r w:rsidR="00471289">
        <w:t xml:space="preserve">in this paper </w:t>
      </w:r>
      <w:r w:rsidR="000E7698">
        <w:t xml:space="preserve">or other aspects of the </w:t>
      </w:r>
      <w:r w:rsidR="000D40C6">
        <w:t>apparatus licence tax</w:t>
      </w:r>
      <w:r w:rsidR="000E7698">
        <w:t xml:space="preserve"> regime?</w:t>
      </w:r>
      <w:r w:rsidR="00E95166">
        <w:br/>
      </w:r>
      <w:r w:rsidR="000E7698">
        <w:t xml:space="preserve"> </w:t>
      </w:r>
    </w:p>
    <w:p w14:paraId="768B4FA9" w14:textId="77777777" w:rsidR="00D04986" w:rsidRDefault="00D04986" w:rsidP="00D04986">
      <w:pPr>
        <w:pStyle w:val="Heading1"/>
      </w:pPr>
      <w:bookmarkStart w:id="6" w:name="_Toc86153491"/>
      <w:r>
        <w:lastRenderedPageBreak/>
        <w:t>Invitation to comment</w:t>
      </w:r>
      <w:bookmarkEnd w:id="6"/>
    </w:p>
    <w:p w14:paraId="597BEF85" w14:textId="77777777" w:rsidR="00D04986" w:rsidRDefault="00D04986" w:rsidP="00D04986">
      <w:pPr>
        <w:pStyle w:val="Heading2"/>
      </w:pPr>
      <w:bookmarkStart w:id="7" w:name="_Toc86153492"/>
      <w:r>
        <w:t>Making a submission</w:t>
      </w:r>
      <w:bookmarkEnd w:id="7"/>
    </w:p>
    <w:p w14:paraId="02A0952A" w14:textId="41BBA16D" w:rsidR="00D04986" w:rsidRDefault="00D04986" w:rsidP="00D04986">
      <w:r>
        <w:t xml:space="preserve">We invite comments on the issues set out in this </w:t>
      </w:r>
      <w:r w:rsidR="00FD4525">
        <w:t xml:space="preserve">consultation </w:t>
      </w:r>
      <w:r>
        <w:t xml:space="preserve">paper. </w:t>
      </w:r>
    </w:p>
    <w:p w14:paraId="6587298C" w14:textId="77777777" w:rsidR="00D04986" w:rsidRDefault="00265C29" w:rsidP="00D04986">
      <w:pPr>
        <w:pStyle w:val="Bulletlevel1"/>
      </w:pPr>
      <w:hyperlink r:id="rId27" w:history="1">
        <w:r w:rsidR="00D04986">
          <w:rPr>
            <w:rStyle w:val="Hyperlink"/>
          </w:rPr>
          <w:t>Online submissions</w:t>
        </w:r>
      </w:hyperlink>
      <w:r w:rsidR="00D04986">
        <w:t xml:space="preserve"> can be made by </w:t>
      </w:r>
      <w:r w:rsidR="00D04986" w:rsidRPr="0070133D">
        <w:t>uploading</w:t>
      </w:r>
      <w:r w:rsidR="00D04986">
        <w:t xml:space="preserve"> a document. Submissions in PDF, Microsoft Word or Rich Text Format are preferred.</w:t>
      </w:r>
    </w:p>
    <w:p w14:paraId="0D51D008" w14:textId="77777777" w:rsidR="00D04986" w:rsidRDefault="00D04986" w:rsidP="00D04986">
      <w:pPr>
        <w:pStyle w:val="Bulletlevel1"/>
      </w:pPr>
      <w:r>
        <w:t xml:space="preserve">Submissions by post can be sent to: </w:t>
      </w:r>
    </w:p>
    <w:p w14:paraId="16A68A2A" w14:textId="77777777" w:rsidR="00D04986" w:rsidRDefault="00D04986" w:rsidP="00D04986">
      <w:pPr>
        <w:tabs>
          <w:tab w:val="num" w:pos="295"/>
        </w:tabs>
        <w:spacing w:after="0"/>
        <w:ind w:left="295"/>
      </w:pPr>
      <w:r w:rsidRPr="77B20063">
        <w:t>The Manager</w:t>
      </w:r>
    </w:p>
    <w:p w14:paraId="0E0F3D22" w14:textId="77777777" w:rsidR="00D04986" w:rsidRDefault="00D04986" w:rsidP="00D04986">
      <w:pPr>
        <w:spacing w:after="0"/>
        <w:ind w:left="295"/>
      </w:pPr>
      <w:r w:rsidRPr="77B20063">
        <w:t>Economics Advisory</w:t>
      </w:r>
    </w:p>
    <w:p w14:paraId="79A90CF3" w14:textId="77777777" w:rsidR="00D04986" w:rsidRDefault="00D04986" w:rsidP="00D04986">
      <w:pPr>
        <w:spacing w:after="0"/>
        <w:ind w:left="295"/>
      </w:pPr>
      <w:r w:rsidRPr="77B20063">
        <w:t>Australian Communications and Media Authority</w:t>
      </w:r>
    </w:p>
    <w:p w14:paraId="6562D10B" w14:textId="77777777" w:rsidR="00D04986" w:rsidRDefault="00D04986" w:rsidP="00D04986">
      <w:pPr>
        <w:tabs>
          <w:tab w:val="num" w:pos="295"/>
        </w:tabs>
        <w:spacing w:after="0"/>
        <w:ind w:left="295"/>
      </w:pPr>
      <w:r w:rsidRPr="77B20063">
        <w:t>PO Box 13112 Law Courts</w:t>
      </w:r>
    </w:p>
    <w:p w14:paraId="1AFA7C20" w14:textId="77777777" w:rsidR="00D04986" w:rsidRDefault="00D04986" w:rsidP="00D04986">
      <w:pPr>
        <w:tabs>
          <w:tab w:val="num" w:pos="295"/>
        </w:tabs>
        <w:spacing w:after="0"/>
        <w:ind w:left="295"/>
      </w:pPr>
      <w:r w:rsidRPr="77B20063">
        <w:t>Melbourne Victoria 8010</w:t>
      </w:r>
    </w:p>
    <w:p w14:paraId="16788509" w14:textId="77777777" w:rsidR="00D04986" w:rsidRDefault="00D04986" w:rsidP="00D04986">
      <w:pPr>
        <w:ind w:left="295"/>
        <w:rPr>
          <w:highlight w:val="yellow"/>
        </w:rPr>
      </w:pPr>
    </w:p>
    <w:p w14:paraId="28946098" w14:textId="62891386" w:rsidR="00D04986" w:rsidRDefault="00D04986" w:rsidP="00D04986">
      <w:r>
        <w:t xml:space="preserve">The closing date for submissions is </w:t>
      </w:r>
      <w:r w:rsidRPr="006040D1">
        <w:rPr>
          <w:b/>
          <w:bCs/>
        </w:rPr>
        <w:t xml:space="preserve">COB, </w:t>
      </w:r>
      <w:r w:rsidR="24FDE1D4" w:rsidRPr="006040D1">
        <w:rPr>
          <w:b/>
          <w:bCs/>
        </w:rPr>
        <w:t>Friday</w:t>
      </w:r>
      <w:r w:rsidR="24FDE1D4">
        <w:t xml:space="preserve"> </w:t>
      </w:r>
      <w:r w:rsidR="24FDE1D4" w:rsidRPr="006040D1">
        <w:rPr>
          <w:b/>
          <w:bCs/>
        </w:rPr>
        <w:t>10 December</w:t>
      </w:r>
      <w:r w:rsidRPr="006040D1">
        <w:rPr>
          <w:b/>
          <w:bCs/>
        </w:rPr>
        <w:t xml:space="preserve"> 20</w:t>
      </w:r>
      <w:r w:rsidR="7335B80E" w:rsidRPr="006040D1">
        <w:rPr>
          <w:b/>
          <w:bCs/>
        </w:rPr>
        <w:t>21</w:t>
      </w:r>
      <w:r>
        <w:t>.</w:t>
      </w:r>
    </w:p>
    <w:p w14:paraId="5F4A7525" w14:textId="77777777" w:rsidR="00D04986" w:rsidRDefault="00D04986" w:rsidP="00D04986">
      <w:r>
        <w:t xml:space="preserve">Consultation enquiries can be emailed to </w:t>
      </w:r>
      <w:hyperlink r:id="rId28">
        <w:r w:rsidRPr="77B20063">
          <w:rPr>
            <w:rStyle w:val="Hyperlink"/>
            <w:rFonts w:eastAsia="Arial" w:cs="Arial"/>
            <w:szCs w:val="20"/>
          </w:rPr>
          <w:t>spectrumpricing@acma.gov.au</w:t>
        </w:r>
      </w:hyperlink>
      <w:r w:rsidRPr="77B20063">
        <w:rPr>
          <w:rFonts w:eastAsia="Arial" w:cs="Arial"/>
          <w:color w:val="000000" w:themeColor="text1"/>
          <w:szCs w:val="20"/>
        </w:rPr>
        <w:t>.</w:t>
      </w:r>
    </w:p>
    <w:p w14:paraId="467CE2AF" w14:textId="77777777" w:rsidR="00D04986" w:rsidRDefault="00D04986" w:rsidP="00D04986">
      <w:pPr>
        <w:pStyle w:val="Heading4"/>
      </w:pPr>
      <w:r>
        <w:t xml:space="preserve">Publication of </w:t>
      </w:r>
      <w:r w:rsidRPr="005B2F0D">
        <w:t>submissions</w:t>
      </w:r>
    </w:p>
    <w:p w14:paraId="40113009" w14:textId="77777777" w:rsidR="00D04986" w:rsidRDefault="00D04986" w:rsidP="00D04986">
      <w:r>
        <w:t>We publish submissions on our website</w:t>
      </w:r>
      <w:r>
        <w:rPr>
          <w:rFonts w:cs="Arial"/>
        </w:rPr>
        <w:t>, including personal information (such as names and contact details)</w:t>
      </w:r>
      <w:r>
        <w:t xml:space="preserve">, except for information that you have claimed (and we have accepted) is confidential. </w:t>
      </w:r>
    </w:p>
    <w:p w14:paraId="6E6CA8A7" w14:textId="77777777" w:rsidR="00D04986" w:rsidRDefault="00D04986" w:rsidP="00D04986">
      <w:r>
        <w:t>Confidential information will not be published or otherwise released unless required or authorised by law.</w:t>
      </w:r>
    </w:p>
    <w:p w14:paraId="598EF146" w14:textId="77777777" w:rsidR="00D04986" w:rsidRDefault="00D04986" w:rsidP="00D04986">
      <w:pPr>
        <w:pStyle w:val="Heading4"/>
      </w:pPr>
      <w:r>
        <w:t>Privacy</w:t>
      </w:r>
    </w:p>
    <w:p w14:paraId="5BCAE5C4" w14:textId="77777777" w:rsidR="00D04986" w:rsidRDefault="00D04986" w:rsidP="00D04986">
      <w:pPr>
        <w:pStyle w:val="Paragraph"/>
      </w:pPr>
      <w:r>
        <w:t xml:space="preserve">View information about our policy on the </w:t>
      </w:r>
      <w:hyperlink r:id="rId29" w:history="1">
        <w:r>
          <w:rPr>
            <w:rStyle w:val="Hyperlink"/>
          </w:rPr>
          <w:t>p</w:t>
        </w:r>
        <w:r w:rsidRPr="00E21056">
          <w:rPr>
            <w:rStyle w:val="Hyperlink"/>
          </w:rPr>
          <w:t>ublication of submissions</w:t>
        </w:r>
      </w:hyperlink>
      <w:r>
        <w:t>, including collection of personal information during consultation and how we handle that information.</w:t>
      </w:r>
    </w:p>
    <w:p w14:paraId="11DD7A28" w14:textId="77777777" w:rsidR="00D04986" w:rsidRPr="0041233F" w:rsidRDefault="00D04986" w:rsidP="00D04986">
      <w:pPr>
        <w:pStyle w:val="Paragraph"/>
      </w:pPr>
      <w:r>
        <w:t xml:space="preserve">Information on the </w:t>
      </w:r>
      <w:r>
        <w:rPr>
          <w:i/>
        </w:rPr>
        <w:t xml:space="preserve">Privacy Act 1988, </w:t>
      </w:r>
      <w:r>
        <w:t xml:space="preserve">how to access or correct personal information, how to make a privacy complaint and how we will deal with any complaints, is available in our </w:t>
      </w:r>
      <w:hyperlink r:id="rId30" w:history="1">
        <w:r w:rsidRPr="00E21056">
          <w:rPr>
            <w:rStyle w:val="Hyperlink"/>
          </w:rPr>
          <w:t>privacy policy</w:t>
        </w:r>
      </w:hyperlink>
      <w:r>
        <w:t xml:space="preserve">. </w:t>
      </w:r>
    </w:p>
    <w:p w14:paraId="649EE648" w14:textId="15472120" w:rsidR="0078332D" w:rsidRDefault="008653B6" w:rsidP="0078332D">
      <w:pPr>
        <w:pStyle w:val="Heading1"/>
      </w:pPr>
      <w:bookmarkStart w:id="8" w:name="_Toc86153493"/>
      <w:r>
        <w:lastRenderedPageBreak/>
        <w:t>Proposals for u</w:t>
      </w:r>
      <w:r w:rsidR="0078332D">
        <w:t>pdating the tax formula</w:t>
      </w:r>
      <w:bookmarkEnd w:id="8"/>
    </w:p>
    <w:p w14:paraId="796A9B15" w14:textId="01ED3EC3" w:rsidR="739DD110" w:rsidRDefault="008A72C0" w:rsidP="77B20063">
      <w:pPr>
        <w:pStyle w:val="Paragraph"/>
        <w:rPr>
          <w:rFonts w:eastAsia="Arial"/>
          <w:color w:val="000000" w:themeColor="text1"/>
          <w:sz w:val="22"/>
          <w:szCs w:val="22"/>
        </w:rPr>
      </w:pPr>
      <w:r>
        <w:t xml:space="preserve">Under the </w:t>
      </w:r>
      <w:r w:rsidRPr="006040D1">
        <w:t>Radiocommunications (Receiver Licence Tax) Determination 2015</w:t>
      </w:r>
      <w:r>
        <w:rPr>
          <w:i/>
          <w:iCs/>
        </w:rPr>
        <w:t xml:space="preserve"> </w:t>
      </w:r>
      <w:r>
        <w:t xml:space="preserve">and the </w:t>
      </w:r>
      <w:r w:rsidRPr="006040D1">
        <w:t>Radiocommunications (Transmitter Licence Tax) Determination</w:t>
      </w:r>
      <w:r>
        <w:rPr>
          <w:i/>
          <w:iCs/>
        </w:rPr>
        <w:t xml:space="preserve"> </w:t>
      </w:r>
      <w:r w:rsidRPr="00257AE3">
        <w:t>2015</w:t>
      </w:r>
      <w:r>
        <w:t>, m</w:t>
      </w:r>
      <w:r w:rsidR="739DD110" w:rsidRPr="00FC2A89">
        <w:t>ost</w:t>
      </w:r>
      <w:r>
        <w:t xml:space="preserve"> amounts of</w:t>
      </w:r>
      <w:r w:rsidR="739DD110" w:rsidRPr="77B20063">
        <w:t xml:space="preserve"> apparatus licence </w:t>
      </w:r>
      <w:r>
        <w:t>tax</w:t>
      </w:r>
      <w:r w:rsidRPr="77B20063">
        <w:t xml:space="preserve"> </w:t>
      </w:r>
      <w:r w:rsidR="739DD110" w:rsidRPr="77B20063">
        <w:t xml:space="preserve">are calculated using the </w:t>
      </w:r>
      <w:r>
        <w:t>‘</w:t>
      </w:r>
      <w:r w:rsidR="739DD110" w:rsidRPr="77B20063">
        <w:t>assigned licence tax formula</w:t>
      </w:r>
      <w:r>
        <w:t>’</w:t>
      </w:r>
      <w:r w:rsidR="006E0188">
        <w:t xml:space="preserve"> (also known as the administrative pricing formula)</w:t>
      </w:r>
      <w:r w:rsidR="739DD110" w:rsidRPr="77B20063">
        <w:t xml:space="preserve">. The </w:t>
      </w:r>
      <w:r w:rsidR="00234AC4">
        <w:t xml:space="preserve">amount of </w:t>
      </w:r>
      <w:r w:rsidR="739DD110" w:rsidRPr="77B20063">
        <w:t>tax</w:t>
      </w:r>
      <w:r w:rsidR="00234AC4">
        <w:t xml:space="preserve"> payable</w:t>
      </w:r>
      <w:r w:rsidR="739DD110" w:rsidRPr="77B20063">
        <w:t xml:space="preserve"> is calculated by multiplying the factors of bandwidth, power, location weighting, an adjustment factor, and a normalisation factor.</w:t>
      </w:r>
      <w:r w:rsidR="739DD110" w:rsidRPr="001C7373">
        <w:rPr>
          <w:vertAlign w:val="superscript"/>
        </w:rPr>
        <w:footnoteReference w:id="3"/>
      </w:r>
      <w:r w:rsidR="00A02308">
        <w:t xml:space="preserve"> The formula is used to </w:t>
      </w:r>
      <w:r w:rsidR="00B628BA">
        <w:t xml:space="preserve">encourage efficient use of </w:t>
      </w:r>
      <w:r w:rsidR="00CD0035">
        <w:t xml:space="preserve">spectrum </w:t>
      </w:r>
      <w:r w:rsidR="00B628BA">
        <w:t xml:space="preserve">by </w:t>
      </w:r>
      <w:r w:rsidR="004D4087" w:rsidRPr="004D4087">
        <w:t>setting relatively higher taxes where there is higher demand and higher potential for congestion and interference, and vice versa.</w:t>
      </w:r>
    </w:p>
    <w:p w14:paraId="03AA7BFF" w14:textId="01CC3E54" w:rsidR="1FA15E52" w:rsidRDefault="1FA15E52" w:rsidP="77B20063">
      <w:pPr>
        <w:pStyle w:val="Paragraph"/>
        <w:rPr>
          <w:rFonts w:eastAsia="Arial"/>
          <w:color w:val="000000" w:themeColor="text1"/>
          <w:sz w:val="22"/>
          <w:szCs w:val="22"/>
        </w:rPr>
      </w:pPr>
      <w:r w:rsidRPr="77B20063">
        <w:t xml:space="preserve">The </w:t>
      </w:r>
      <w:r w:rsidR="003172D1">
        <w:t xml:space="preserve">SPR </w:t>
      </w:r>
      <w:r w:rsidRPr="77B20063">
        <w:t>report recommended that the</w:t>
      </w:r>
      <w:r w:rsidR="5E464383" w:rsidRPr="77B20063">
        <w:t xml:space="preserve"> ACMA review the</w:t>
      </w:r>
      <w:r w:rsidRPr="77B20063">
        <w:t xml:space="preserve"> </w:t>
      </w:r>
      <w:r w:rsidR="00412389">
        <w:t>assigned licence tax formula</w:t>
      </w:r>
      <w:r w:rsidRPr="77B20063">
        <w:t>’s parameters, including density areas, the number of pricing bands, and the number of power categories</w:t>
      </w:r>
      <w:r w:rsidR="16849251" w:rsidRPr="77B20063">
        <w:t xml:space="preserve">, to </w:t>
      </w:r>
      <w:r w:rsidRPr="77B20063">
        <w:t>reflect changes in density, demography and demand</w:t>
      </w:r>
      <w:r w:rsidR="0B6FFFC3" w:rsidRPr="77B20063">
        <w:t xml:space="preserve"> (</w:t>
      </w:r>
      <w:r w:rsidR="006307CC">
        <w:t>R</w:t>
      </w:r>
      <w:r w:rsidR="0B6FFFC3" w:rsidRPr="77B20063">
        <w:t xml:space="preserve">ecommendation 7). </w:t>
      </w:r>
    </w:p>
    <w:p w14:paraId="534A908E" w14:textId="562CA58B" w:rsidR="308CE385" w:rsidRDefault="308CE385" w:rsidP="77B20063">
      <w:pPr>
        <w:pStyle w:val="Paragraph"/>
        <w:rPr>
          <w:rFonts w:eastAsia="Arial"/>
          <w:color w:val="000000" w:themeColor="text1"/>
          <w:sz w:val="22"/>
          <w:szCs w:val="22"/>
        </w:rPr>
      </w:pPr>
      <w:r w:rsidRPr="77B20063">
        <w:t xml:space="preserve">The </w:t>
      </w:r>
      <w:r w:rsidR="0768F62F" w:rsidRPr="77B20063">
        <w:t xml:space="preserve">formula and the </w:t>
      </w:r>
      <w:r w:rsidR="0E2C5627" w:rsidRPr="77B20063">
        <w:t xml:space="preserve">underlying </w:t>
      </w:r>
      <w:r w:rsidRPr="77B20063">
        <w:t xml:space="preserve">location weightings </w:t>
      </w:r>
      <w:r w:rsidR="03D01F6C" w:rsidRPr="77B20063">
        <w:t xml:space="preserve">were designed to </w:t>
      </w:r>
      <w:r w:rsidRPr="77B20063">
        <w:t xml:space="preserve">reflect the </w:t>
      </w:r>
      <w:r w:rsidR="52B39F9A" w:rsidRPr="77B20063">
        <w:t xml:space="preserve">relative </w:t>
      </w:r>
      <w:r w:rsidRPr="77B20063">
        <w:t xml:space="preserve">density of services and demand for spectrum at different frequencies and </w:t>
      </w:r>
      <w:r w:rsidR="00FD4525">
        <w:t xml:space="preserve">different </w:t>
      </w:r>
      <w:r w:rsidRPr="77B20063">
        <w:t>geographic areas.</w:t>
      </w:r>
      <w:r w:rsidR="472B7B25" w:rsidRPr="77B20063">
        <w:t xml:space="preserve"> </w:t>
      </w:r>
      <w:r w:rsidR="004E2345">
        <w:t>T</w:t>
      </w:r>
      <w:r w:rsidR="472B7B25" w:rsidRPr="77B20063">
        <w:t>he current set of location weightings ha</w:t>
      </w:r>
      <w:r w:rsidR="00586893">
        <w:t>s</w:t>
      </w:r>
      <w:r w:rsidR="472B7B25" w:rsidRPr="77B20063">
        <w:t xml:space="preserve"> not been updated since 2004.</w:t>
      </w:r>
    </w:p>
    <w:p w14:paraId="56480E4A" w14:textId="08CBE2D3" w:rsidR="591A35FE" w:rsidRDefault="591A35FE" w:rsidP="77B20063">
      <w:pPr>
        <w:pStyle w:val="Paragraphbeforelist"/>
        <w:rPr>
          <w:rFonts w:eastAsia="Arial"/>
          <w:color w:val="000000" w:themeColor="text1"/>
          <w:sz w:val="22"/>
          <w:szCs w:val="22"/>
        </w:rPr>
      </w:pPr>
      <w:r w:rsidRPr="77B20063">
        <w:t>The ACMA has reviewed the</w:t>
      </w:r>
      <w:r w:rsidR="7F4D5E13" w:rsidRPr="77B20063">
        <w:t xml:space="preserve"> formula </w:t>
      </w:r>
      <w:r w:rsidR="2C23ADF1" w:rsidRPr="77B20063">
        <w:t xml:space="preserve">and </w:t>
      </w:r>
      <w:r w:rsidR="255A4AA0" w:rsidRPr="77B20063">
        <w:t>propose</w:t>
      </w:r>
      <w:r w:rsidR="4F62ECC2" w:rsidRPr="77B20063">
        <w:t>s</w:t>
      </w:r>
      <w:r w:rsidR="255A4AA0" w:rsidRPr="77B20063">
        <w:t xml:space="preserve"> the following set of changes to location weightings:</w:t>
      </w:r>
    </w:p>
    <w:p w14:paraId="3757952C" w14:textId="43012D75" w:rsidR="255A4AA0" w:rsidRDefault="255A4AA0" w:rsidP="77B20063">
      <w:pPr>
        <w:pStyle w:val="Bulletlevel1"/>
        <w:numPr>
          <w:ilvl w:val="0"/>
          <w:numId w:val="21"/>
        </w:numPr>
        <w:ind w:left="295" w:hanging="295"/>
      </w:pPr>
      <w:r w:rsidRPr="77B20063">
        <w:t xml:space="preserve">Amalgamation of the three spectrum location </w:t>
      </w:r>
      <w:r w:rsidR="007C300D">
        <w:t>bands</w:t>
      </w:r>
      <w:r w:rsidRPr="77B20063">
        <w:t xml:space="preserve"> between </w:t>
      </w:r>
      <w:r w:rsidR="4A1B05BB" w:rsidRPr="77B20063">
        <w:t>&gt;</w:t>
      </w:r>
      <w:r w:rsidRPr="77B20063">
        <w:t>30 to 403</w:t>
      </w:r>
      <w:r w:rsidR="00D517C4">
        <w:t> </w:t>
      </w:r>
      <w:r w:rsidRPr="77B20063">
        <w:t xml:space="preserve">MHz to form a single </w:t>
      </w:r>
      <w:r w:rsidR="007F6238">
        <w:t>band</w:t>
      </w:r>
      <w:r w:rsidRPr="77B20063">
        <w:t>.</w:t>
      </w:r>
    </w:p>
    <w:p w14:paraId="6B357354" w14:textId="307892DF" w:rsidR="00697137" w:rsidRPr="00DD0965" w:rsidRDefault="00697137" w:rsidP="00697137">
      <w:pPr>
        <w:pStyle w:val="Bulletlevel1"/>
        <w:numPr>
          <w:ilvl w:val="0"/>
          <w:numId w:val="21"/>
        </w:numPr>
        <w:ind w:left="295" w:hanging="295"/>
      </w:pPr>
      <w:r w:rsidRPr="00DD0965">
        <w:t>Increas</w:t>
      </w:r>
      <w:r w:rsidR="00FD4525">
        <w:t>ing</w:t>
      </w:r>
      <w:r w:rsidRPr="00DD0965">
        <w:t xml:space="preserve"> weightings for the 2,690 to 5,000 MHz spectrum location </w:t>
      </w:r>
      <w:r w:rsidR="007F6238">
        <w:t>band</w:t>
      </w:r>
      <w:r w:rsidRPr="00DD0965">
        <w:t xml:space="preserve"> for high and medium density geographic areas</w:t>
      </w:r>
      <w:r>
        <w:t xml:space="preserve"> to reflect the relatively large increase in demand</w:t>
      </w:r>
      <w:r w:rsidR="00C4099A">
        <w:t xml:space="preserve"> in this spectrum and </w:t>
      </w:r>
      <w:r w:rsidR="00941B11">
        <w:t>higher prices</w:t>
      </w:r>
      <w:r w:rsidR="00FC387F">
        <w:t xml:space="preserve"> for spectrum </w:t>
      </w:r>
      <w:r w:rsidR="007242E3">
        <w:t xml:space="preserve">in </w:t>
      </w:r>
      <w:r w:rsidR="00C4099A">
        <w:t>these areas</w:t>
      </w:r>
      <w:r w:rsidRPr="00DD0965">
        <w:t>.</w:t>
      </w:r>
    </w:p>
    <w:p w14:paraId="5D318E90" w14:textId="1CA74723" w:rsidR="255A4AA0" w:rsidRDefault="255A4AA0" w:rsidP="77B20063">
      <w:pPr>
        <w:pStyle w:val="Bulletlevel1"/>
        <w:numPr>
          <w:ilvl w:val="0"/>
          <w:numId w:val="21"/>
        </w:numPr>
        <w:ind w:left="295" w:hanging="295"/>
      </w:pPr>
      <w:r w:rsidRPr="77B20063">
        <w:t>Introduc</w:t>
      </w:r>
      <w:r w:rsidR="00FD4525">
        <w:t>ing</w:t>
      </w:r>
      <w:r w:rsidRPr="77B20063">
        <w:t xml:space="preserve"> a new spectrum location </w:t>
      </w:r>
      <w:r w:rsidR="007F6238">
        <w:t>band</w:t>
      </w:r>
      <w:r w:rsidRPr="77B20063">
        <w:t xml:space="preserve"> for services above 100 GHz</w:t>
      </w:r>
      <w:r w:rsidR="00C4099A">
        <w:t>,</w:t>
      </w:r>
      <w:r w:rsidRPr="77B20063">
        <w:t xml:space="preserve"> </w:t>
      </w:r>
      <w:r w:rsidR="00184954">
        <w:t xml:space="preserve">for which the amount of tax will be </w:t>
      </w:r>
      <w:r w:rsidR="005537BA" w:rsidDel="00C4099A">
        <w:t>the</w:t>
      </w:r>
      <w:r w:rsidR="005537BA">
        <w:t xml:space="preserve"> </w:t>
      </w:r>
      <w:r w:rsidRPr="77B20063">
        <w:t>minimum tax</w:t>
      </w:r>
      <w:r w:rsidR="00C4099A">
        <w:t xml:space="preserve"> payable</w:t>
      </w:r>
      <w:r w:rsidR="00184954">
        <w:t xml:space="preserve"> for any licence</w:t>
      </w:r>
      <w:r w:rsidRPr="77B20063">
        <w:t xml:space="preserve"> (</w:t>
      </w:r>
      <w:r w:rsidR="00C4099A">
        <w:t xml:space="preserve">currently, </w:t>
      </w:r>
      <w:r w:rsidRPr="77B20063">
        <w:t>$41.37).</w:t>
      </w:r>
    </w:p>
    <w:p w14:paraId="7EE1A338" w14:textId="5860C030" w:rsidR="416E40B2" w:rsidRDefault="416E40B2" w:rsidP="77B20063">
      <w:pPr>
        <w:pStyle w:val="Bulletlevel1"/>
        <w:numPr>
          <w:ilvl w:val="0"/>
          <w:numId w:val="21"/>
        </w:numPr>
        <w:ind w:left="295" w:hanging="295"/>
      </w:pPr>
      <w:r w:rsidRPr="77B20063">
        <w:t>Ceas</w:t>
      </w:r>
      <w:r w:rsidR="00FD4525">
        <w:t>ing</w:t>
      </w:r>
      <w:r w:rsidRPr="77B20063">
        <w:t xml:space="preserve"> annual consumer price index (CPI) updates to taxes, and instead upd</w:t>
      </w:r>
      <w:r w:rsidR="35C141B2" w:rsidRPr="77B20063">
        <w:t>ate taxes based on population growth</w:t>
      </w:r>
      <w:r w:rsidR="008C1FDA">
        <w:t xml:space="preserve"> specific to density areas</w:t>
      </w:r>
      <w:r w:rsidR="35C141B2" w:rsidRPr="77B20063">
        <w:t>.</w:t>
      </w:r>
    </w:p>
    <w:p w14:paraId="425DA1BB" w14:textId="529203EF" w:rsidR="2F0F7EE1" w:rsidRDefault="2F0F7EE1" w:rsidP="006040D1">
      <w:pPr>
        <w:pStyle w:val="Bulletlevel1last"/>
      </w:pPr>
      <w:r w:rsidRPr="77B20063">
        <w:t>Updating</w:t>
      </w:r>
      <w:r w:rsidR="00FD4525">
        <w:t xml:space="preserve"> the</w:t>
      </w:r>
      <w:r w:rsidRPr="77B20063">
        <w:t xml:space="preserve"> density area definitions for Perth and Adelaide.</w:t>
      </w:r>
    </w:p>
    <w:p w14:paraId="74B75EBF" w14:textId="1D430334" w:rsidR="6668E45A" w:rsidRDefault="6668E45A" w:rsidP="77B20063">
      <w:pPr>
        <w:pStyle w:val="Paragraph"/>
        <w:rPr>
          <w:rFonts w:eastAsia="Arial"/>
          <w:color w:val="000000" w:themeColor="text1"/>
          <w:sz w:val="22"/>
          <w:szCs w:val="22"/>
        </w:rPr>
      </w:pPr>
      <w:r w:rsidRPr="77B20063">
        <w:t xml:space="preserve">These proposed changes </w:t>
      </w:r>
      <w:r w:rsidR="7DF9A5C0" w:rsidRPr="77B20063">
        <w:t>are summarised in the proposed location weight</w:t>
      </w:r>
      <w:r w:rsidR="006415E7">
        <w:t>ings</w:t>
      </w:r>
      <w:r w:rsidR="7DF9A5C0" w:rsidRPr="77B20063">
        <w:t xml:space="preserve"> </w:t>
      </w:r>
      <w:r w:rsidR="007848F1">
        <w:t xml:space="preserve">in </w:t>
      </w:r>
      <w:r w:rsidR="00973199">
        <w:t>T</w:t>
      </w:r>
      <w:r w:rsidR="7DF9A5C0" w:rsidRPr="77B20063">
        <w:t>able</w:t>
      </w:r>
      <w:r w:rsidR="007848F1">
        <w:t> </w:t>
      </w:r>
      <w:r w:rsidR="00171E9D">
        <w:t>1</w:t>
      </w:r>
      <w:r w:rsidR="007848F1">
        <w:t xml:space="preserve"> </w:t>
      </w:r>
      <w:r w:rsidR="7DF9A5C0" w:rsidRPr="77B20063">
        <w:t>below. Grey highlighted cells denote changes</w:t>
      </w:r>
      <w:r w:rsidR="2BE3289A" w:rsidRPr="77B20063">
        <w:t xml:space="preserve"> already</w:t>
      </w:r>
      <w:r w:rsidR="7DF9A5C0" w:rsidRPr="77B20063">
        <w:t xml:space="preserve"> made in the</w:t>
      </w:r>
      <w:r w:rsidR="00973199">
        <w:t xml:space="preserve"> first </w:t>
      </w:r>
      <w:r w:rsidR="7DF9A5C0" w:rsidRPr="77B20063">
        <w:t xml:space="preserve">tranche of proposals, </w:t>
      </w:r>
      <w:r w:rsidR="00F2789C">
        <w:t>orange</w:t>
      </w:r>
      <w:r w:rsidR="00F2789C" w:rsidRPr="77B20063">
        <w:t xml:space="preserve"> </w:t>
      </w:r>
      <w:r w:rsidR="7DF9A5C0" w:rsidRPr="77B20063">
        <w:t>cells highlight likely tax increases, and green cells highlight likely tax decreases.</w:t>
      </w:r>
      <w:r w:rsidR="003C3CF0">
        <w:t xml:space="preserve"> This can be compared with the current location weight</w:t>
      </w:r>
      <w:r w:rsidR="006415E7">
        <w:t>ings</w:t>
      </w:r>
      <w:r w:rsidR="003C3CF0">
        <w:t xml:space="preserve"> in </w:t>
      </w:r>
      <w:r w:rsidR="00E8244C">
        <w:t xml:space="preserve">Table </w:t>
      </w:r>
      <w:r w:rsidR="00546429">
        <w:t>2</w:t>
      </w:r>
      <w:r w:rsidR="00E8244C">
        <w:t>.</w:t>
      </w:r>
    </w:p>
    <w:p w14:paraId="026D7B7D" w14:textId="28D43117" w:rsidR="77B20063" w:rsidRDefault="340CF9CF" w:rsidP="006040D1">
      <w:pPr>
        <w:pStyle w:val="Tableheading"/>
        <w:keepLines/>
        <w:rPr>
          <w:rFonts w:eastAsia="Arial"/>
        </w:rPr>
      </w:pPr>
      <w:r w:rsidRPr="77B20063">
        <w:rPr>
          <w:rFonts w:eastAsia="Arial"/>
        </w:rPr>
        <w:lastRenderedPageBreak/>
        <w:t>Proposed location weightings</w:t>
      </w:r>
    </w:p>
    <w:tbl>
      <w:tblPr>
        <w:tblW w:w="7641" w:type="dxa"/>
        <w:tblInd w:w="-10" w:type="dxa"/>
        <w:tblCellMar>
          <w:top w:w="57" w:type="dxa"/>
          <w:bottom w:w="57" w:type="dxa"/>
        </w:tblCellMar>
        <w:tblLook w:val="04A0" w:firstRow="1" w:lastRow="0" w:firstColumn="1" w:lastColumn="0" w:noHBand="0" w:noVBand="1"/>
      </w:tblPr>
      <w:tblGrid>
        <w:gridCol w:w="2144"/>
        <w:gridCol w:w="1346"/>
        <w:gridCol w:w="940"/>
        <w:gridCol w:w="1151"/>
        <w:gridCol w:w="940"/>
        <w:gridCol w:w="1120"/>
      </w:tblGrid>
      <w:tr w:rsidR="007D4485" w:rsidRPr="00F347CB" w14:paraId="418F0AA4" w14:textId="77777777" w:rsidTr="006040D1">
        <w:trPr>
          <w:trHeight w:val="294"/>
        </w:trPr>
        <w:tc>
          <w:tcPr>
            <w:tcW w:w="2144" w:type="dxa"/>
            <w:tcBorders>
              <w:top w:val="single" w:sz="8" w:space="0" w:color="auto"/>
              <w:left w:val="single" w:sz="8" w:space="0" w:color="auto"/>
              <w:bottom w:val="single" w:sz="8" w:space="0" w:color="auto"/>
              <w:right w:val="single" w:sz="8" w:space="0" w:color="auto"/>
            </w:tcBorders>
            <w:shd w:val="clear" w:color="000000" w:fill="404040"/>
            <w:noWrap/>
            <w:vAlign w:val="center"/>
            <w:hideMark/>
          </w:tcPr>
          <w:p w14:paraId="181A5697" w14:textId="77777777" w:rsidR="00263AF9" w:rsidRPr="00F71814" w:rsidRDefault="00263AF9" w:rsidP="006040D1">
            <w:pPr>
              <w:keepNext/>
              <w:keepLines/>
              <w:spacing w:after="0" w:line="240" w:lineRule="auto"/>
              <w:rPr>
                <w:rFonts w:cs="Arial"/>
                <w:b/>
                <w:bCs/>
                <w:color w:val="FFFFFF"/>
                <w:sz w:val="18"/>
                <w:szCs w:val="22"/>
              </w:rPr>
            </w:pPr>
            <w:r w:rsidRPr="00F71814">
              <w:rPr>
                <w:rFonts w:cs="Arial"/>
                <w:b/>
                <w:bCs/>
                <w:color w:val="FFFFFF"/>
                <w:sz w:val="18"/>
                <w:szCs w:val="22"/>
              </w:rPr>
              <w:t> </w:t>
            </w:r>
          </w:p>
        </w:tc>
        <w:tc>
          <w:tcPr>
            <w:tcW w:w="5497" w:type="dxa"/>
            <w:gridSpan w:val="5"/>
            <w:tcBorders>
              <w:top w:val="single" w:sz="8" w:space="0" w:color="auto"/>
              <w:left w:val="nil"/>
              <w:bottom w:val="single" w:sz="8" w:space="0" w:color="auto"/>
              <w:right w:val="single" w:sz="8" w:space="0" w:color="000000"/>
            </w:tcBorders>
            <w:shd w:val="clear" w:color="000000" w:fill="404040"/>
            <w:noWrap/>
            <w:vAlign w:val="center"/>
            <w:hideMark/>
          </w:tcPr>
          <w:p w14:paraId="4578ACEE" w14:textId="77777777" w:rsidR="00263AF9" w:rsidRPr="00F71814" w:rsidRDefault="00263AF9" w:rsidP="006040D1">
            <w:pPr>
              <w:keepNext/>
              <w:keepLines/>
              <w:spacing w:after="0" w:line="240" w:lineRule="auto"/>
              <w:jc w:val="center"/>
              <w:rPr>
                <w:rFonts w:cs="Arial"/>
                <w:b/>
                <w:bCs/>
                <w:color w:val="FFFFFF"/>
                <w:sz w:val="18"/>
                <w:szCs w:val="22"/>
              </w:rPr>
            </w:pPr>
            <w:r w:rsidRPr="00F71814">
              <w:rPr>
                <w:rFonts w:cs="Arial"/>
                <w:b/>
                <w:bCs/>
                <w:color w:val="FFFFFF"/>
                <w:sz w:val="18"/>
                <w:szCs w:val="22"/>
              </w:rPr>
              <w:t>Geographic location</w:t>
            </w:r>
          </w:p>
        </w:tc>
      </w:tr>
      <w:tr w:rsidR="00D91699" w:rsidRPr="00F347CB" w14:paraId="3BFC9800" w14:textId="77777777" w:rsidTr="006040D1">
        <w:trPr>
          <w:trHeight w:val="294"/>
        </w:trPr>
        <w:tc>
          <w:tcPr>
            <w:tcW w:w="2144" w:type="dxa"/>
            <w:tcBorders>
              <w:top w:val="nil"/>
              <w:left w:val="single" w:sz="8" w:space="0" w:color="auto"/>
              <w:bottom w:val="single" w:sz="8" w:space="0" w:color="auto"/>
              <w:right w:val="single" w:sz="8" w:space="0" w:color="auto"/>
            </w:tcBorders>
            <w:shd w:val="clear" w:color="000000" w:fill="404040"/>
            <w:noWrap/>
            <w:vAlign w:val="center"/>
            <w:hideMark/>
          </w:tcPr>
          <w:p w14:paraId="279809CD" w14:textId="77777777" w:rsidR="00263AF9" w:rsidRPr="00F71814" w:rsidRDefault="00263AF9" w:rsidP="006040D1">
            <w:pPr>
              <w:keepNext/>
              <w:keepLines/>
              <w:spacing w:after="0" w:line="240" w:lineRule="auto"/>
              <w:rPr>
                <w:rFonts w:cs="Arial"/>
                <w:b/>
                <w:bCs/>
                <w:color w:val="FFFFFF"/>
                <w:sz w:val="18"/>
                <w:szCs w:val="22"/>
              </w:rPr>
            </w:pPr>
            <w:r w:rsidRPr="00F71814">
              <w:rPr>
                <w:rFonts w:cs="Arial"/>
                <w:b/>
                <w:bCs/>
                <w:color w:val="FFFFFF"/>
                <w:sz w:val="18"/>
                <w:szCs w:val="22"/>
              </w:rPr>
              <w:t>Spectrum location</w:t>
            </w:r>
          </w:p>
        </w:tc>
        <w:tc>
          <w:tcPr>
            <w:tcW w:w="1346" w:type="dxa"/>
            <w:tcBorders>
              <w:top w:val="nil"/>
              <w:left w:val="nil"/>
              <w:bottom w:val="single" w:sz="8" w:space="0" w:color="auto"/>
              <w:right w:val="single" w:sz="8" w:space="0" w:color="auto"/>
            </w:tcBorders>
            <w:shd w:val="clear" w:color="000000" w:fill="404040"/>
            <w:noWrap/>
            <w:vAlign w:val="center"/>
            <w:hideMark/>
          </w:tcPr>
          <w:p w14:paraId="0EBCB73F" w14:textId="77777777" w:rsidR="00263AF9" w:rsidRPr="00F71814" w:rsidRDefault="00263AF9" w:rsidP="006040D1">
            <w:pPr>
              <w:keepNext/>
              <w:keepLines/>
              <w:spacing w:after="0" w:line="240" w:lineRule="auto"/>
              <w:jc w:val="center"/>
              <w:rPr>
                <w:rFonts w:cs="Arial"/>
                <w:b/>
                <w:bCs/>
                <w:color w:val="FFFFFF"/>
                <w:sz w:val="18"/>
                <w:szCs w:val="22"/>
              </w:rPr>
            </w:pPr>
            <w:r w:rsidRPr="00F71814">
              <w:rPr>
                <w:rFonts w:cs="Arial"/>
                <w:b/>
                <w:bCs/>
                <w:color w:val="FFFFFF"/>
                <w:sz w:val="18"/>
                <w:szCs w:val="22"/>
              </w:rPr>
              <w:t>Aus-wide</w:t>
            </w:r>
          </w:p>
        </w:tc>
        <w:tc>
          <w:tcPr>
            <w:tcW w:w="940" w:type="dxa"/>
            <w:tcBorders>
              <w:top w:val="nil"/>
              <w:left w:val="nil"/>
              <w:bottom w:val="single" w:sz="8" w:space="0" w:color="auto"/>
              <w:right w:val="single" w:sz="8" w:space="0" w:color="auto"/>
            </w:tcBorders>
            <w:shd w:val="clear" w:color="000000" w:fill="404040"/>
            <w:noWrap/>
            <w:vAlign w:val="center"/>
            <w:hideMark/>
          </w:tcPr>
          <w:p w14:paraId="78CEA115" w14:textId="77777777" w:rsidR="00263AF9" w:rsidRPr="00F71814" w:rsidRDefault="00263AF9" w:rsidP="006040D1">
            <w:pPr>
              <w:keepNext/>
              <w:keepLines/>
              <w:spacing w:after="0" w:line="240" w:lineRule="auto"/>
              <w:jc w:val="center"/>
              <w:rPr>
                <w:rFonts w:cs="Arial"/>
                <w:b/>
                <w:bCs/>
                <w:color w:val="FFFFFF"/>
                <w:sz w:val="18"/>
                <w:szCs w:val="22"/>
              </w:rPr>
            </w:pPr>
            <w:r w:rsidRPr="00F71814">
              <w:rPr>
                <w:rFonts w:cs="Arial"/>
                <w:b/>
                <w:bCs/>
                <w:color w:val="FFFFFF"/>
                <w:sz w:val="18"/>
                <w:szCs w:val="22"/>
              </w:rPr>
              <w:t>High</w:t>
            </w:r>
          </w:p>
        </w:tc>
        <w:tc>
          <w:tcPr>
            <w:tcW w:w="1151" w:type="dxa"/>
            <w:tcBorders>
              <w:top w:val="nil"/>
              <w:left w:val="nil"/>
              <w:bottom w:val="single" w:sz="8" w:space="0" w:color="auto"/>
              <w:right w:val="single" w:sz="8" w:space="0" w:color="auto"/>
            </w:tcBorders>
            <w:shd w:val="clear" w:color="000000" w:fill="404040"/>
            <w:noWrap/>
            <w:vAlign w:val="center"/>
            <w:hideMark/>
          </w:tcPr>
          <w:p w14:paraId="2A06A17C" w14:textId="77777777" w:rsidR="00263AF9" w:rsidRPr="00F71814" w:rsidRDefault="00263AF9" w:rsidP="006040D1">
            <w:pPr>
              <w:keepNext/>
              <w:keepLines/>
              <w:spacing w:after="0" w:line="240" w:lineRule="auto"/>
              <w:jc w:val="center"/>
              <w:rPr>
                <w:rFonts w:cs="Arial"/>
                <w:b/>
                <w:bCs/>
                <w:color w:val="FFFFFF"/>
                <w:sz w:val="18"/>
                <w:szCs w:val="22"/>
              </w:rPr>
            </w:pPr>
            <w:r w:rsidRPr="00F71814">
              <w:rPr>
                <w:rFonts w:cs="Arial"/>
                <w:b/>
                <w:bCs/>
                <w:color w:val="FFFFFF"/>
                <w:sz w:val="18"/>
                <w:szCs w:val="22"/>
              </w:rPr>
              <w:t>Medium</w:t>
            </w:r>
          </w:p>
        </w:tc>
        <w:tc>
          <w:tcPr>
            <w:tcW w:w="940" w:type="dxa"/>
            <w:tcBorders>
              <w:top w:val="nil"/>
              <w:left w:val="nil"/>
              <w:bottom w:val="single" w:sz="8" w:space="0" w:color="auto"/>
              <w:right w:val="single" w:sz="8" w:space="0" w:color="auto"/>
            </w:tcBorders>
            <w:shd w:val="clear" w:color="000000" w:fill="404040"/>
            <w:noWrap/>
            <w:vAlign w:val="center"/>
            <w:hideMark/>
          </w:tcPr>
          <w:p w14:paraId="5B6DD974" w14:textId="77777777" w:rsidR="00263AF9" w:rsidRPr="00F71814" w:rsidRDefault="00263AF9" w:rsidP="006040D1">
            <w:pPr>
              <w:keepNext/>
              <w:keepLines/>
              <w:spacing w:after="0" w:line="240" w:lineRule="auto"/>
              <w:jc w:val="center"/>
              <w:rPr>
                <w:rFonts w:cs="Arial"/>
                <w:b/>
                <w:bCs/>
                <w:color w:val="FFFFFF"/>
                <w:sz w:val="18"/>
                <w:szCs w:val="22"/>
              </w:rPr>
            </w:pPr>
            <w:r w:rsidRPr="00F71814">
              <w:rPr>
                <w:rFonts w:cs="Arial"/>
                <w:b/>
                <w:bCs/>
                <w:color w:val="FFFFFF"/>
                <w:sz w:val="18"/>
                <w:szCs w:val="22"/>
              </w:rPr>
              <w:t>Low</w:t>
            </w:r>
          </w:p>
        </w:tc>
        <w:tc>
          <w:tcPr>
            <w:tcW w:w="1118" w:type="dxa"/>
            <w:tcBorders>
              <w:top w:val="nil"/>
              <w:left w:val="nil"/>
              <w:bottom w:val="single" w:sz="8" w:space="0" w:color="auto"/>
              <w:right w:val="single" w:sz="8" w:space="0" w:color="auto"/>
            </w:tcBorders>
            <w:shd w:val="clear" w:color="000000" w:fill="404040"/>
            <w:noWrap/>
            <w:vAlign w:val="center"/>
            <w:hideMark/>
          </w:tcPr>
          <w:p w14:paraId="203C14F4" w14:textId="77777777" w:rsidR="00263AF9" w:rsidRPr="00F71814" w:rsidRDefault="00263AF9" w:rsidP="006040D1">
            <w:pPr>
              <w:keepNext/>
              <w:keepLines/>
              <w:spacing w:after="0" w:line="240" w:lineRule="auto"/>
              <w:jc w:val="center"/>
              <w:rPr>
                <w:rFonts w:cs="Arial"/>
                <w:b/>
                <w:bCs/>
                <w:color w:val="FFFFFF"/>
                <w:sz w:val="18"/>
                <w:szCs w:val="22"/>
              </w:rPr>
            </w:pPr>
            <w:r w:rsidRPr="00F71814">
              <w:rPr>
                <w:rFonts w:cs="Arial"/>
                <w:b/>
                <w:bCs/>
                <w:color w:val="FFFFFF"/>
                <w:sz w:val="18"/>
                <w:szCs w:val="22"/>
              </w:rPr>
              <w:t>Remote</w:t>
            </w:r>
          </w:p>
        </w:tc>
      </w:tr>
      <w:tr w:rsidR="00263AF9" w:rsidRPr="00F347CB" w14:paraId="39A3CDA4"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64601D27" w14:textId="77777777" w:rsidR="00263AF9" w:rsidRPr="00F71814" w:rsidRDefault="00263AF9" w:rsidP="006040D1">
            <w:pPr>
              <w:keepNext/>
              <w:keepLines/>
              <w:spacing w:after="0" w:line="240" w:lineRule="auto"/>
              <w:rPr>
                <w:rFonts w:cs="Arial"/>
                <w:color w:val="000000"/>
                <w:sz w:val="18"/>
                <w:szCs w:val="22"/>
              </w:rPr>
            </w:pPr>
            <w:r w:rsidRPr="00F71814">
              <w:rPr>
                <w:rFonts w:cs="Arial"/>
                <w:color w:val="000000"/>
                <w:sz w:val="18"/>
                <w:szCs w:val="22"/>
              </w:rPr>
              <w:t>30 MHz and below</w:t>
            </w:r>
          </w:p>
        </w:tc>
        <w:tc>
          <w:tcPr>
            <w:tcW w:w="1346" w:type="dxa"/>
            <w:tcBorders>
              <w:top w:val="nil"/>
              <w:left w:val="nil"/>
              <w:bottom w:val="single" w:sz="8" w:space="0" w:color="auto"/>
              <w:right w:val="single" w:sz="8" w:space="0" w:color="auto"/>
            </w:tcBorders>
            <w:shd w:val="clear" w:color="auto" w:fill="auto"/>
            <w:noWrap/>
            <w:vAlign w:val="center"/>
            <w:hideMark/>
          </w:tcPr>
          <w:p w14:paraId="564B4340"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4.315</w:t>
            </w:r>
          </w:p>
        </w:tc>
        <w:tc>
          <w:tcPr>
            <w:tcW w:w="940" w:type="dxa"/>
            <w:tcBorders>
              <w:top w:val="nil"/>
              <w:left w:val="nil"/>
              <w:bottom w:val="single" w:sz="8" w:space="0" w:color="auto"/>
              <w:right w:val="single" w:sz="8" w:space="0" w:color="auto"/>
            </w:tcBorders>
            <w:shd w:val="clear" w:color="auto" w:fill="auto"/>
            <w:noWrap/>
            <w:vAlign w:val="center"/>
            <w:hideMark/>
          </w:tcPr>
          <w:p w14:paraId="205FBF2D"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4.315</w:t>
            </w:r>
          </w:p>
        </w:tc>
        <w:tc>
          <w:tcPr>
            <w:tcW w:w="1151" w:type="dxa"/>
            <w:tcBorders>
              <w:top w:val="nil"/>
              <w:left w:val="nil"/>
              <w:bottom w:val="single" w:sz="8" w:space="0" w:color="auto"/>
              <w:right w:val="single" w:sz="8" w:space="0" w:color="auto"/>
            </w:tcBorders>
            <w:shd w:val="clear" w:color="auto" w:fill="auto"/>
            <w:noWrap/>
            <w:vAlign w:val="center"/>
            <w:hideMark/>
          </w:tcPr>
          <w:p w14:paraId="1435DB6C"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4.315</w:t>
            </w:r>
          </w:p>
        </w:tc>
        <w:tc>
          <w:tcPr>
            <w:tcW w:w="940" w:type="dxa"/>
            <w:tcBorders>
              <w:top w:val="nil"/>
              <w:left w:val="nil"/>
              <w:bottom w:val="single" w:sz="8" w:space="0" w:color="auto"/>
              <w:right w:val="single" w:sz="8" w:space="0" w:color="auto"/>
            </w:tcBorders>
            <w:shd w:val="clear" w:color="auto" w:fill="auto"/>
            <w:noWrap/>
            <w:vAlign w:val="center"/>
            <w:hideMark/>
          </w:tcPr>
          <w:p w14:paraId="712F68F1"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4.315</w:t>
            </w:r>
          </w:p>
        </w:tc>
        <w:tc>
          <w:tcPr>
            <w:tcW w:w="1118" w:type="dxa"/>
            <w:tcBorders>
              <w:top w:val="nil"/>
              <w:left w:val="nil"/>
              <w:bottom w:val="single" w:sz="8" w:space="0" w:color="auto"/>
              <w:right w:val="single" w:sz="8" w:space="0" w:color="auto"/>
            </w:tcBorders>
            <w:shd w:val="clear" w:color="auto" w:fill="auto"/>
            <w:noWrap/>
            <w:vAlign w:val="center"/>
            <w:hideMark/>
          </w:tcPr>
          <w:p w14:paraId="42D9D3EC"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4.315</w:t>
            </w:r>
          </w:p>
        </w:tc>
      </w:tr>
      <w:tr w:rsidR="005758BB" w:rsidRPr="00F347CB" w14:paraId="36BA23D8"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5C14DC4D" w14:textId="77777777" w:rsidR="00263AF9" w:rsidRPr="00F71814" w:rsidRDefault="00263AF9" w:rsidP="006040D1">
            <w:pPr>
              <w:keepNext/>
              <w:keepLines/>
              <w:spacing w:after="0" w:line="240" w:lineRule="auto"/>
              <w:rPr>
                <w:rFonts w:cs="Arial"/>
                <w:color w:val="000000"/>
                <w:sz w:val="18"/>
                <w:szCs w:val="22"/>
              </w:rPr>
            </w:pPr>
            <w:r w:rsidRPr="00F71814">
              <w:rPr>
                <w:rFonts w:cs="Arial"/>
                <w:color w:val="000000"/>
                <w:sz w:val="18"/>
                <w:szCs w:val="22"/>
              </w:rPr>
              <w:t>&gt;30 to 403 MHz</w:t>
            </w:r>
          </w:p>
        </w:tc>
        <w:tc>
          <w:tcPr>
            <w:tcW w:w="1346" w:type="dxa"/>
            <w:tcBorders>
              <w:top w:val="nil"/>
              <w:left w:val="nil"/>
              <w:bottom w:val="single" w:sz="8" w:space="0" w:color="auto"/>
              <w:right w:val="single" w:sz="8" w:space="0" w:color="auto"/>
            </w:tcBorders>
            <w:shd w:val="clear" w:color="000000" w:fill="C6E0B4"/>
            <w:noWrap/>
            <w:vAlign w:val="center"/>
            <w:hideMark/>
          </w:tcPr>
          <w:p w14:paraId="27545A01"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9.747</w:t>
            </w:r>
          </w:p>
        </w:tc>
        <w:tc>
          <w:tcPr>
            <w:tcW w:w="940" w:type="dxa"/>
            <w:tcBorders>
              <w:top w:val="nil"/>
              <w:left w:val="nil"/>
              <w:bottom w:val="single" w:sz="8" w:space="0" w:color="auto"/>
              <w:right w:val="single" w:sz="8" w:space="0" w:color="auto"/>
            </w:tcBorders>
            <w:shd w:val="clear" w:color="000000" w:fill="C6E0B4"/>
            <w:noWrap/>
            <w:vAlign w:val="center"/>
            <w:hideMark/>
          </w:tcPr>
          <w:p w14:paraId="6A0D9EA5"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3.807</w:t>
            </w:r>
          </w:p>
        </w:tc>
        <w:tc>
          <w:tcPr>
            <w:tcW w:w="1151" w:type="dxa"/>
            <w:tcBorders>
              <w:top w:val="nil"/>
              <w:left w:val="nil"/>
              <w:bottom w:val="single" w:sz="8" w:space="0" w:color="auto"/>
              <w:right w:val="single" w:sz="8" w:space="0" w:color="auto"/>
            </w:tcBorders>
            <w:shd w:val="clear" w:color="000000" w:fill="C6E0B4"/>
            <w:noWrap/>
            <w:vAlign w:val="center"/>
            <w:hideMark/>
          </w:tcPr>
          <w:p w14:paraId="278C0851"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1.878</w:t>
            </w:r>
          </w:p>
        </w:tc>
        <w:tc>
          <w:tcPr>
            <w:tcW w:w="940" w:type="dxa"/>
            <w:tcBorders>
              <w:top w:val="nil"/>
              <w:left w:val="nil"/>
              <w:bottom w:val="single" w:sz="8" w:space="0" w:color="auto"/>
              <w:right w:val="single" w:sz="8" w:space="0" w:color="auto"/>
            </w:tcBorders>
            <w:shd w:val="clear" w:color="000000" w:fill="C6E0B4"/>
            <w:noWrap/>
            <w:vAlign w:val="center"/>
            <w:hideMark/>
          </w:tcPr>
          <w:p w14:paraId="4227E63D"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0.421</w:t>
            </w:r>
          </w:p>
        </w:tc>
        <w:tc>
          <w:tcPr>
            <w:tcW w:w="1118" w:type="dxa"/>
            <w:tcBorders>
              <w:top w:val="nil"/>
              <w:left w:val="nil"/>
              <w:bottom w:val="single" w:sz="8" w:space="0" w:color="auto"/>
              <w:right w:val="single" w:sz="8" w:space="0" w:color="auto"/>
            </w:tcBorders>
            <w:shd w:val="clear" w:color="000000" w:fill="C6E0B4"/>
            <w:noWrap/>
            <w:vAlign w:val="center"/>
            <w:hideMark/>
          </w:tcPr>
          <w:p w14:paraId="0FB891B2"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0.21</w:t>
            </w:r>
          </w:p>
        </w:tc>
      </w:tr>
      <w:tr w:rsidR="00263AF9" w:rsidRPr="00F347CB" w14:paraId="6ECF090F"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1DFDE891" w14:textId="77777777" w:rsidR="00263AF9" w:rsidRPr="00F71814" w:rsidRDefault="00263AF9" w:rsidP="006040D1">
            <w:pPr>
              <w:keepNext/>
              <w:keepLines/>
              <w:spacing w:after="0" w:line="240" w:lineRule="auto"/>
              <w:rPr>
                <w:rFonts w:cs="Arial"/>
                <w:color w:val="000000"/>
                <w:sz w:val="18"/>
                <w:szCs w:val="22"/>
              </w:rPr>
            </w:pPr>
            <w:r w:rsidRPr="00F71814">
              <w:rPr>
                <w:rFonts w:cs="Arial"/>
                <w:color w:val="000000"/>
                <w:sz w:val="18"/>
                <w:szCs w:val="22"/>
              </w:rPr>
              <w:t>&gt;403 to 520 MHz</w:t>
            </w:r>
          </w:p>
        </w:tc>
        <w:tc>
          <w:tcPr>
            <w:tcW w:w="1346" w:type="dxa"/>
            <w:tcBorders>
              <w:top w:val="nil"/>
              <w:left w:val="nil"/>
              <w:bottom w:val="single" w:sz="8" w:space="0" w:color="auto"/>
              <w:right w:val="single" w:sz="8" w:space="0" w:color="auto"/>
            </w:tcBorders>
            <w:shd w:val="clear" w:color="auto" w:fill="auto"/>
            <w:noWrap/>
            <w:vAlign w:val="center"/>
            <w:hideMark/>
          </w:tcPr>
          <w:p w14:paraId="30CFC703"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10</w:t>
            </w:r>
          </w:p>
        </w:tc>
        <w:tc>
          <w:tcPr>
            <w:tcW w:w="940" w:type="dxa"/>
            <w:tcBorders>
              <w:top w:val="nil"/>
              <w:left w:val="nil"/>
              <w:bottom w:val="single" w:sz="8" w:space="0" w:color="auto"/>
              <w:right w:val="single" w:sz="8" w:space="0" w:color="auto"/>
            </w:tcBorders>
            <w:shd w:val="clear" w:color="auto" w:fill="auto"/>
            <w:noWrap/>
            <w:vAlign w:val="center"/>
            <w:hideMark/>
          </w:tcPr>
          <w:p w14:paraId="2E128ABE"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7.4114</w:t>
            </w:r>
          </w:p>
        </w:tc>
        <w:tc>
          <w:tcPr>
            <w:tcW w:w="1151" w:type="dxa"/>
            <w:tcBorders>
              <w:top w:val="nil"/>
              <w:left w:val="nil"/>
              <w:bottom w:val="single" w:sz="8" w:space="0" w:color="auto"/>
              <w:right w:val="single" w:sz="8" w:space="0" w:color="auto"/>
            </w:tcBorders>
            <w:shd w:val="clear" w:color="auto" w:fill="auto"/>
            <w:noWrap/>
            <w:vAlign w:val="center"/>
            <w:hideMark/>
          </w:tcPr>
          <w:p w14:paraId="18616DE6"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2.562</w:t>
            </w:r>
          </w:p>
        </w:tc>
        <w:tc>
          <w:tcPr>
            <w:tcW w:w="940" w:type="dxa"/>
            <w:tcBorders>
              <w:top w:val="nil"/>
              <w:left w:val="nil"/>
              <w:bottom w:val="single" w:sz="8" w:space="0" w:color="auto"/>
              <w:right w:val="single" w:sz="8" w:space="0" w:color="auto"/>
            </w:tcBorders>
            <w:shd w:val="clear" w:color="auto" w:fill="auto"/>
            <w:noWrap/>
            <w:vAlign w:val="center"/>
            <w:hideMark/>
          </w:tcPr>
          <w:p w14:paraId="6CC1BFFB"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0.437</w:t>
            </w:r>
          </w:p>
        </w:tc>
        <w:tc>
          <w:tcPr>
            <w:tcW w:w="1118" w:type="dxa"/>
            <w:tcBorders>
              <w:top w:val="nil"/>
              <w:left w:val="nil"/>
              <w:bottom w:val="single" w:sz="8" w:space="0" w:color="auto"/>
              <w:right w:val="single" w:sz="8" w:space="0" w:color="auto"/>
            </w:tcBorders>
            <w:shd w:val="clear" w:color="auto" w:fill="auto"/>
            <w:noWrap/>
            <w:vAlign w:val="center"/>
            <w:hideMark/>
          </w:tcPr>
          <w:p w14:paraId="5FEEFF8F"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w:t>
            </w:r>
          </w:p>
        </w:tc>
      </w:tr>
      <w:tr w:rsidR="00263AF9" w:rsidRPr="00F347CB" w14:paraId="0FE730BA"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179B64CF" w14:textId="77777777" w:rsidR="00263AF9" w:rsidRPr="00F71814" w:rsidRDefault="00263AF9" w:rsidP="006040D1">
            <w:pPr>
              <w:keepNext/>
              <w:keepLines/>
              <w:spacing w:after="0" w:line="240" w:lineRule="auto"/>
              <w:rPr>
                <w:rFonts w:cs="Arial"/>
                <w:color w:val="000000"/>
                <w:sz w:val="18"/>
                <w:szCs w:val="22"/>
              </w:rPr>
            </w:pPr>
            <w:r w:rsidRPr="00F71814">
              <w:rPr>
                <w:rFonts w:cs="Arial"/>
                <w:color w:val="000000"/>
                <w:sz w:val="18"/>
                <w:szCs w:val="22"/>
              </w:rPr>
              <w:t>&gt;520 to 960 MHz</w:t>
            </w:r>
          </w:p>
        </w:tc>
        <w:tc>
          <w:tcPr>
            <w:tcW w:w="1346" w:type="dxa"/>
            <w:tcBorders>
              <w:top w:val="nil"/>
              <w:left w:val="nil"/>
              <w:bottom w:val="single" w:sz="8" w:space="0" w:color="auto"/>
              <w:right w:val="single" w:sz="8" w:space="0" w:color="auto"/>
            </w:tcBorders>
            <w:shd w:val="clear" w:color="auto" w:fill="auto"/>
            <w:noWrap/>
            <w:vAlign w:val="center"/>
            <w:hideMark/>
          </w:tcPr>
          <w:p w14:paraId="3F772374"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10</w:t>
            </w:r>
          </w:p>
        </w:tc>
        <w:tc>
          <w:tcPr>
            <w:tcW w:w="940" w:type="dxa"/>
            <w:tcBorders>
              <w:top w:val="nil"/>
              <w:left w:val="nil"/>
              <w:bottom w:val="single" w:sz="8" w:space="0" w:color="auto"/>
              <w:right w:val="single" w:sz="8" w:space="0" w:color="auto"/>
            </w:tcBorders>
            <w:shd w:val="clear" w:color="auto" w:fill="auto"/>
            <w:noWrap/>
            <w:vAlign w:val="center"/>
            <w:hideMark/>
          </w:tcPr>
          <w:p w14:paraId="5897F334"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5.6</w:t>
            </w:r>
          </w:p>
        </w:tc>
        <w:tc>
          <w:tcPr>
            <w:tcW w:w="1151" w:type="dxa"/>
            <w:tcBorders>
              <w:top w:val="nil"/>
              <w:left w:val="nil"/>
              <w:bottom w:val="single" w:sz="8" w:space="0" w:color="auto"/>
              <w:right w:val="single" w:sz="8" w:space="0" w:color="auto"/>
            </w:tcBorders>
            <w:shd w:val="clear" w:color="auto" w:fill="auto"/>
            <w:noWrap/>
            <w:vAlign w:val="center"/>
            <w:hideMark/>
          </w:tcPr>
          <w:p w14:paraId="5859F877"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2.562</w:t>
            </w:r>
          </w:p>
        </w:tc>
        <w:tc>
          <w:tcPr>
            <w:tcW w:w="940" w:type="dxa"/>
            <w:tcBorders>
              <w:top w:val="nil"/>
              <w:left w:val="nil"/>
              <w:bottom w:val="single" w:sz="8" w:space="0" w:color="auto"/>
              <w:right w:val="single" w:sz="8" w:space="0" w:color="auto"/>
            </w:tcBorders>
            <w:shd w:val="clear" w:color="auto" w:fill="auto"/>
            <w:noWrap/>
            <w:vAlign w:val="center"/>
            <w:hideMark/>
          </w:tcPr>
          <w:p w14:paraId="0E9DE0A0"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0.437</w:t>
            </w:r>
          </w:p>
        </w:tc>
        <w:tc>
          <w:tcPr>
            <w:tcW w:w="1118" w:type="dxa"/>
            <w:tcBorders>
              <w:top w:val="nil"/>
              <w:left w:val="nil"/>
              <w:bottom w:val="single" w:sz="8" w:space="0" w:color="auto"/>
              <w:right w:val="single" w:sz="8" w:space="0" w:color="auto"/>
            </w:tcBorders>
            <w:shd w:val="clear" w:color="auto" w:fill="auto"/>
            <w:noWrap/>
            <w:vAlign w:val="center"/>
            <w:hideMark/>
          </w:tcPr>
          <w:p w14:paraId="59BF031C"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0.218</w:t>
            </w:r>
          </w:p>
        </w:tc>
      </w:tr>
      <w:tr w:rsidR="00263AF9" w:rsidRPr="00F347CB" w14:paraId="23B4FDCA"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33450419" w14:textId="77777777" w:rsidR="00263AF9" w:rsidRPr="00F71814" w:rsidRDefault="00263AF9" w:rsidP="006040D1">
            <w:pPr>
              <w:keepNext/>
              <w:keepLines/>
              <w:spacing w:after="0" w:line="240" w:lineRule="auto"/>
              <w:rPr>
                <w:rFonts w:cs="Arial"/>
                <w:color w:val="000000"/>
                <w:sz w:val="18"/>
                <w:szCs w:val="22"/>
              </w:rPr>
            </w:pPr>
            <w:r w:rsidRPr="00F71814">
              <w:rPr>
                <w:rFonts w:cs="Arial"/>
                <w:color w:val="000000"/>
                <w:sz w:val="18"/>
                <w:szCs w:val="22"/>
              </w:rPr>
              <w:t>&gt;960 to 2,690 MHz</w:t>
            </w:r>
          </w:p>
        </w:tc>
        <w:tc>
          <w:tcPr>
            <w:tcW w:w="1346" w:type="dxa"/>
            <w:tcBorders>
              <w:top w:val="nil"/>
              <w:left w:val="nil"/>
              <w:bottom w:val="single" w:sz="8" w:space="0" w:color="auto"/>
              <w:right w:val="single" w:sz="8" w:space="0" w:color="auto"/>
            </w:tcBorders>
            <w:shd w:val="clear" w:color="auto" w:fill="auto"/>
            <w:noWrap/>
            <w:vAlign w:val="center"/>
            <w:hideMark/>
          </w:tcPr>
          <w:p w14:paraId="79BAF338"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9.985</w:t>
            </w:r>
          </w:p>
        </w:tc>
        <w:tc>
          <w:tcPr>
            <w:tcW w:w="940" w:type="dxa"/>
            <w:tcBorders>
              <w:top w:val="nil"/>
              <w:left w:val="nil"/>
              <w:bottom w:val="single" w:sz="8" w:space="0" w:color="auto"/>
              <w:right w:val="single" w:sz="8" w:space="0" w:color="auto"/>
            </w:tcBorders>
            <w:shd w:val="clear" w:color="auto" w:fill="auto"/>
            <w:noWrap/>
            <w:vAlign w:val="center"/>
            <w:hideMark/>
          </w:tcPr>
          <w:p w14:paraId="141197C5"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2.241</w:t>
            </w:r>
          </w:p>
        </w:tc>
        <w:tc>
          <w:tcPr>
            <w:tcW w:w="1151" w:type="dxa"/>
            <w:tcBorders>
              <w:top w:val="nil"/>
              <w:left w:val="nil"/>
              <w:bottom w:val="single" w:sz="8" w:space="0" w:color="auto"/>
              <w:right w:val="single" w:sz="8" w:space="0" w:color="auto"/>
            </w:tcBorders>
            <w:shd w:val="clear" w:color="auto" w:fill="auto"/>
            <w:noWrap/>
            <w:vAlign w:val="center"/>
            <w:hideMark/>
          </w:tcPr>
          <w:p w14:paraId="01F80DC1"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1.036</w:t>
            </w:r>
          </w:p>
        </w:tc>
        <w:tc>
          <w:tcPr>
            <w:tcW w:w="940" w:type="dxa"/>
            <w:tcBorders>
              <w:top w:val="nil"/>
              <w:left w:val="nil"/>
              <w:bottom w:val="single" w:sz="8" w:space="0" w:color="auto"/>
              <w:right w:val="single" w:sz="8" w:space="0" w:color="auto"/>
            </w:tcBorders>
            <w:shd w:val="clear" w:color="auto" w:fill="auto"/>
            <w:noWrap/>
            <w:vAlign w:val="center"/>
            <w:hideMark/>
          </w:tcPr>
          <w:p w14:paraId="24344689"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0.521</w:t>
            </w:r>
          </w:p>
        </w:tc>
        <w:tc>
          <w:tcPr>
            <w:tcW w:w="1118" w:type="dxa"/>
            <w:tcBorders>
              <w:top w:val="nil"/>
              <w:left w:val="nil"/>
              <w:bottom w:val="single" w:sz="8" w:space="0" w:color="auto"/>
              <w:right w:val="single" w:sz="8" w:space="0" w:color="auto"/>
            </w:tcBorders>
            <w:shd w:val="clear" w:color="auto" w:fill="auto"/>
            <w:noWrap/>
            <w:vAlign w:val="center"/>
            <w:hideMark/>
          </w:tcPr>
          <w:p w14:paraId="0482A9B3"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0.26</w:t>
            </w:r>
          </w:p>
        </w:tc>
      </w:tr>
      <w:tr w:rsidR="007D4485" w:rsidRPr="00F347CB" w14:paraId="1785F699"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7178E5FA" w14:textId="77777777" w:rsidR="00263AF9" w:rsidRPr="00F71814" w:rsidRDefault="00263AF9" w:rsidP="006040D1">
            <w:pPr>
              <w:keepNext/>
              <w:keepLines/>
              <w:spacing w:after="0" w:line="240" w:lineRule="auto"/>
              <w:rPr>
                <w:rFonts w:cs="Arial"/>
                <w:color w:val="000000"/>
                <w:sz w:val="18"/>
                <w:szCs w:val="22"/>
              </w:rPr>
            </w:pPr>
            <w:r w:rsidRPr="00F71814">
              <w:rPr>
                <w:rFonts w:cs="Arial"/>
                <w:color w:val="000000"/>
                <w:sz w:val="18"/>
                <w:szCs w:val="22"/>
              </w:rPr>
              <w:t>&gt;2,690 to 5,000 MHz</w:t>
            </w:r>
          </w:p>
        </w:tc>
        <w:tc>
          <w:tcPr>
            <w:tcW w:w="1346" w:type="dxa"/>
            <w:tcBorders>
              <w:top w:val="nil"/>
              <w:left w:val="nil"/>
              <w:bottom w:val="single" w:sz="8" w:space="0" w:color="auto"/>
              <w:right w:val="single" w:sz="8" w:space="0" w:color="auto"/>
            </w:tcBorders>
            <w:shd w:val="clear" w:color="auto" w:fill="auto"/>
            <w:noWrap/>
            <w:vAlign w:val="center"/>
            <w:hideMark/>
          </w:tcPr>
          <w:p w14:paraId="461B9F7B"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9.974</w:t>
            </w:r>
          </w:p>
        </w:tc>
        <w:tc>
          <w:tcPr>
            <w:tcW w:w="940" w:type="dxa"/>
            <w:tcBorders>
              <w:top w:val="nil"/>
              <w:left w:val="nil"/>
              <w:bottom w:val="single" w:sz="8" w:space="0" w:color="auto"/>
              <w:right w:val="single" w:sz="8" w:space="0" w:color="auto"/>
            </w:tcBorders>
            <w:shd w:val="clear" w:color="000000" w:fill="F8CBAD"/>
            <w:noWrap/>
            <w:vAlign w:val="center"/>
            <w:hideMark/>
          </w:tcPr>
          <w:p w14:paraId="2CC20EAC"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2.689</w:t>
            </w:r>
          </w:p>
        </w:tc>
        <w:tc>
          <w:tcPr>
            <w:tcW w:w="1151" w:type="dxa"/>
            <w:tcBorders>
              <w:top w:val="nil"/>
              <w:left w:val="nil"/>
              <w:bottom w:val="single" w:sz="8" w:space="0" w:color="auto"/>
              <w:right w:val="single" w:sz="8" w:space="0" w:color="auto"/>
            </w:tcBorders>
            <w:shd w:val="clear" w:color="000000" w:fill="F8CBAD"/>
            <w:noWrap/>
            <w:vAlign w:val="center"/>
            <w:hideMark/>
          </w:tcPr>
          <w:p w14:paraId="2BB99FEC"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1.243</w:t>
            </w:r>
          </w:p>
        </w:tc>
        <w:tc>
          <w:tcPr>
            <w:tcW w:w="940" w:type="dxa"/>
            <w:tcBorders>
              <w:top w:val="nil"/>
              <w:left w:val="nil"/>
              <w:bottom w:val="single" w:sz="8" w:space="0" w:color="auto"/>
              <w:right w:val="single" w:sz="8" w:space="0" w:color="auto"/>
            </w:tcBorders>
            <w:shd w:val="clear" w:color="auto" w:fill="auto"/>
            <w:noWrap/>
            <w:vAlign w:val="center"/>
            <w:hideMark/>
          </w:tcPr>
          <w:p w14:paraId="0B38E67F"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0.622</w:t>
            </w:r>
          </w:p>
        </w:tc>
        <w:tc>
          <w:tcPr>
            <w:tcW w:w="1118" w:type="dxa"/>
            <w:tcBorders>
              <w:top w:val="nil"/>
              <w:left w:val="nil"/>
              <w:bottom w:val="single" w:sz="8" w:space="0" w:color="auto"/>
              <w:right w:val="single" w:sz="8" w:space="0" w:color="auto"/>
            </w:tcBorders>
            <w:shd w:val="clear" w:color="auto" w:fill="auto"/>
            <w:noWrap/>
            <w:vAlign w:val="center"/>
            <w:hideMark/>
          </w:tcPr>
          <w:p w14:paraId="20EF4DBC"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0.311</w:t>
            </w:r>
          </w:p>
        </w:tc>
      </w:tr>
      <w:tr w:rsidR="005758BB" w:rsidRPr="00F347CB" w14:paraId="4F7550EF"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09520222" w14:textId="77777777" w:rsidR="00263AF9" w:rsidRPr="00F71814" w:rsidRDefault="00263AF9" w:rsidP="006040D1">
            <w:pPr>
              <w:keepNext/>
              <w:keepLines/>
              <w:spacing w:after="0" w:line="240" w:lineRule="auto"/>
              <w:rPr>
                <w:rFonts w:cs="Arial"/>
                <w:color w:val="000000"/>
                <w:sz w:val="18"/>
                <w:szCs w:val="22"/>
              </w:rPr>
            </w:pPr>
            <w:r w:rsidRPr="00F71814">
              <w:rPr>
                <w:rFonts w:cs="Arial"/>
                <w:color w:val="000000"/>
                <w:sz w:val="18"/>
                <w:szCs w:val="22"/>
              </w:rPr>
              <w:t>&gt;5.0 to 8.5 GHz</w:t>
            </w:r>
          </w:p>
        </w:tc>
        <w:tc>
          <w:tcPr>
            <w:tcW w:w="1346" w:type="dxa"/>
            <w:tcBorders>
              <w:top w:val="nil"/>
              <w:left w:val="nil"/>
              <w:bottom w:val="single" w:sz="8" w:space="0" w:color="auto"/>
              <w:right w:val="single" w:sz="8" w:space="0" w:color="auto"/>
            </w:tcBorders>
            <w:shd w:val="clear" w:color="000000" w:fill="D9D9D9"/>
            <w:noWrap/>
            <w:vAlign w:val="center"/>
            <w:hideMark/>
          </w:tcPr>
          <w:p w14:paraId="2A288ED2"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4.2105</w:t>
            </w:r>
          </w:p>
        </w:tc>
        <w:tc>
          <w:tcPr>
            <w:tcW w:w="940" w:type="dxa"/>
            <w:tcBorders>
              <w:top w:val="nil"/>
              <w:left w:val="nil"/>
              <w:bottom w:val="single" w:sz="8" w:space="0" w:color="auto"/>
              <w:right w:val="single" w:sz="8" w:space="0" w:color="auto"/>
            </w:tcBorders>
            <w:shd w:val="clear" w:color="000000" w:fill="D9D9D9"/>
            <w:noWrap/>
            <w:vAlign w:val="center"/>
            <w:hideMark/>
          </w:tcPr>
          <w:p w14:paraId="70FBD82A"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0.7785</w:t>
            </w:r>
          </w:p>
        </w:tc>
        <w:tc>
          <w:tcPr>
            <w:tcW w:w="1151" w:type="dxa"/>
            <w:tcBorders>
              <w:top w:val="nil"/>
              <w:left w:val="nil"/>
              <w:bottom w:val="single" w:sz="8" w:space="0" w:color="auto"/>
              <w:right w:val="single" w:sz="8" w:space="0" w:color="auto"/>
            </w:tcBorders>
            <w:shd w:val="clear" w:color="000000" w:fill="D9D9D9"/>
            <w:noWrap/>
            <w:vAlign w:val="center"/>
            <w:hideMark/>
          </w:tcPr>
          <w:p w14:paraId="08A0C736"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0.3625</w:t>
            </w:r>
          </w:p>
        </w:tc>
        <w:tc>
          <w:tcPr>
            <w:tcW w:w="940" w:type="dxa"/>
            <w:tcBorders>
              <w:top w:val="nil"/>
              <w:left w:val="nil"/>
              <w:bottom w:val="single" w:sz="8" w:space="0" w:color="auto"/>
              <w:right w:val="single" w:sz="8" w:space="0" w:color="auto"/>
            </w:tcBorders>
            <w:shd w:val="clear" w:color="000000" w:fill="D9D9D9"/>
            <w:noWrap/>
            <w:vAlign w:val="center"/>
            <w:hideMark/>
          </w:tcPr>
          <w:p w14:paraId="1B071126"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0.1650</w:t>
            </w:r>
          </w:p>
        </w:tc>
        <w:tc>
          <w:tcPr>
            <w:tcW w:w="1118" w:type="dxa"/>
            <w:tcBorders>
              <w:top w:val="nil"/>
              <w:left w:val="nil"/>
              <w:bottom w:val="single" w:sz="8" w:space="0" w:color="auto"/>
              <w:right w:val="single" w:sz="8" w:space="0" w:color="auto"/>
            </w:tcBorders>
            <w:shd w:val="clear" w:color="000000" w:fill="D9D9D9"/>
            <w:noWrap/>
            <w:vAlign w:val="center"/>
            <w:hideMark/>
          </w:tcPr>
          <w:p w14:paraId="7929B0EC"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0.0800</w:t>
            </w:r>
          </w:p>
        </w:tc>
      </w:tr>
      <w:tr w:rsidR="005758BB" w:rsidRPr="00F347CB" w14:paraId="2F27470B"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62AEBCC2" w14:textId="77777777" w:rsidR="00263AF9" w:rsidRPr="00F71814" w:rsidRDefault="00263AF9" w:rsidP="006040D1">
            <w:pPr>
              <w:keepNext/>
              <w:keepLines/>
              <w:spacing w:after="0" w:line="240" w:lineRule="auto"/>
              <w:rPr>
                <w:rFonts w:cs="Arial"/>
                <w:color w:val="000000"/>
                <w:sz w:val="18"/>
                <w:szCs w:val="22"/>
              </w:rPr>
            </w:pPr>
            <w:r w:rsidRPr="00F71814">
              <w:rPr>
                <w:rFonts w:cs="Arial"/>
                <w:color w:val="000000"/>
                <w:sz w:val="18"/>
                <w:szCs w:val="22"/>
              </w:rPr>
              <w:t>&gt;8.5 to 14.5 GHz</w:t>
            </w:r>
          </w:p>
        </w:tc>
        <w:tc>
          <w:tcPr>
            <w:tcW w:w="1346" w:type="dxa"/>
            <w:tcBorders>
              <w:top w:val="nil"/>
              <w:left w:val="nil"/>
              <w:bottom w:val="single" w:sz="8" w:space="0" w:color="auto"/>
              <w:right w:val="single" w:sz="8" w:space="0" w:color="auto"/>
            </w:tcBorders>
            <w:shd w:val="clear" w:color="000000" w:fill="D9D9D9"/>
            <w:noWrap/>
            <w:vAlign w:val="center"/>
            <w:hideMark/>
          </w:tcPr>
          <w:p w14:paraId="648C59CE"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0.3711</w:t>
            </w:r>
          </w:p>
        </w:tc>
        <w:tc>
          <w:tcPr>
            <w:tcW w:w="940" w:type="dxa"/>
            <w:tcBorders>
              <w:top w:val="nil"/>
              <w:left w:val="nil"/>
              <w:bottom w:val="single" w:sz="8" w:space="0" w:color="auto"/>
              <w:right w:val="single" w:sz="8" w:space="0" w:color="auto"/>
            </w:tcBorders>
            <w:shd w:val="clear" w:color="000000" w:fill="D9D9D9"/>
            <w:noWrap/>
            <w:vAlign w:val="center"/>
            <w:hideMark/>
          </w:tcPr>
          <w:p w14:paraId="775E3349"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0.1336</w:t>
            </w:r>
          </w:p>
        </w:tc>
        <w:tc>
          <w:tcPr>
            <w:tcW w:w="1151" w:type="dxa"/>
            <w:tcBorders>
              <w:top w:val="nil"/>
              <w:left w:val="nil"/>
              <w:bottom w:val="single" w:sz="8" w:space="0" w:color="auto"/>
              <w:right w:val="single" w:sz="8" w:space="0" w:color="auto"/>
            </w:tcBorders>
            <w:shd w:val="clear" w:color="000000" w:fill="D9D9D9"/>
            <w:noWrap/>
            <w:vAlign w:val="center"/>
            <w:hideMark/>
          </w:tcPr>
          <w:p w14:paraId="73E27698"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0.0316</w:t>
            </w:r>
          </w:p>
        </w:tc>
        <w:tc>
          <w:tcPr>
            <w:tcW w:w="940" w:type="dxa"/>
            <w:tcBorders>
              <w:top w:val="nil"/>
              <w:left w:val="nil"/>
              <w:bottom w:val="single" w:sz="8" w:space="0" w:color="auto"/>
              <w:right w:val="single" w:sz="8" w:space="0" w:color="auto"/>
            </w:tcBorders>
            <w:shd w:val="clear" w:color="000000" w:fill="D9D9D9"/>
            <w:noWrap/>
            <w:vAlign w:val="center"/>
            <w:hideMark/>
          </w:tcPr>
          <w:p w14:paraId="51ECA7D1"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0.0023</w:t>
            </w:r>
          </w:p>
        </w:tc>
        <w:tc>
          <w:tcPr>
            <w:tcW w:w="1118" w:type="dxa"/>
            <w:tcBorders>
              <w:top w:val="nil"/>
              <w:left w:val="nil"/>
              <w:bottom w:val="single" w:sz="8" w:space="0" w:color="auto"/>
              <w:right w:val="single" w:sz="8" w:space="0" w:color="auto"/>
            </w:tcBorders>
            <w:shd w:val="clear" w:color="000000" w:fill="D9D9D9"/>
            <w:noWrap/>
            <w:vAlign w:val="center"/>
            <w:hideMark/>
          </w:tcPr>
          <w:p w14:paraId="7EEEEDD7" w14:textId="77777777" w:rsidR="00263AF9" w:rsidRPr="00F71814" w:rsidRDefault="00263AF9" w:rsidP="006040D1">
            <w:pPr>
              <w:keepNext/>
              <w:keepLines/>
              <w:spacing w:after="0" w:line="240" w:lineRule="auto"/>
              <w:jc w:val="right"/>
              <w:rPr>
                <w:rFonts w:cs="Arial"/>
                <w:color w:val="000000"/>
                <w:sz w:val="18"/>
                <w:szCs w:val="22"/>
              </w:rPr>
            </w:pPr>
            <w:r w:rsidRPr="00F71814">
              <w:rPr>
                <w:rFonts w:cs="Arial"/>
                <w:color w:val="000000"/>
                <w:sz w:val="18"/>
                <w:szCs w:val="22"/>
              </w:rPr>
              <w:t>0.0011</w:t>
            </w:r>
          </w:p>
        </w:tc>
      </w:tr>
      <w:tr w:rsidR="005758BB" w:rsidRPr="00F347CB" w14:paraId="73872FBA"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10DD473E" w14:textId="77777777" w:rsidR="00263AF9" w:rsidRPr="00F71814" w:rsidRDefault="00263AF9" w:rsidP="008A5614">
            <w:pPr>
              <w:spacing w:after="0" w:line="240" w:lineRule="auto"/>
              <w:rPr>
                <w:rFonts w:cs="Arial"/>
                <w:color w:val="000000"/>
                <w:sz w:val="18"/>
                <w:szCs w:val="22"/>
              </w:rPr>
            </w:pPr>
            <w:r w:rsidRPr="00F71814">
              <w:rPr>
                <w:rFonts w:cs="Arial"/>
                <w:color w:val="000000"/>
                <w:sz w:val="18"/>
                <w:szCs w:val="22"/>
              </w:rPr>
              <w:t>&gt;14.5 to 31.3 GHz</w:t>
            </w:r>
          </w:p>
        </w:tc>
        <w:tc>
          <w:tcPr>
            <w:tcW w:w="1346" w:type="dxa"/>
            <w:tcBorders>
              <w:top w:val="nil"/>
              <w:left w:val="nil"/>
              <w:bottom w:val="single" w:sz="8" w:space="0" w:color="auto"/>
              <w:right w:val="single" w:sz="8" w:space="0" w:color="auto"/>
            </w:tcBorders>
            <w:shd w:val="clear" w:color="000000" w:fill="D9D9D9"/>
            <w:noWrap/>
            <w:vAlign w:val="center"/>
            <w:hideMark/>
          </w:tcPr>
          <w:p w14:paraId="1402CBA0"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0.3711</w:t>
            </w:r>
          </w:p>
        </w:tc>
        <w:tc>
          <w:tcPr>
            <w:tcW w:w="940" w:type="dxa"/>
            <w:tcBorders>
              <w:top w:val="nil"/>
              <w:left w:val="nil"/>
              <w:bottom w:val="single" w:sz="8" w:space="0" w:color="auto"/>
              <w:right w:val="single" w:sz="8" w:space="0" w:color="auto"/>
            </w:tcBorders>
            <w:shd w:val="clear" w:color="000000" w:fill="D9D9D9"/>
            <w:noWrap/>
            <w:vAlign w:val="center"/>
            <w:hideMark/>
          </w:tcPr>
          <w:p w14:paraId="4A4A7225"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0.0988</w:t>
            </w:r>
          </w:p>
        </w:tc>
        <w:tc>
          <w:tcPr>
            <w:tcW w:w="1151" w:type="dxa"/>
            <w:tcBorders>
              <w:top w:val="nil"/>
              <w:left w:val="nil"/>
              <w:bottom w:val="single" w:sz="8" w:space="0" w:color="auto"/>
              <w:right w:val="single" w:sz="8" w:space="0" w:color="auto"/>
            </w:tcBorders>
            <w:shd w:val="clear" w:color="000000" w:fill="D9D9D9"/>
            <w:noWrap/>
            <w:vAlign w:val="center"/>
            <w:hideMark/>
          </w:tcPr>
          <w:p w14:paraId="2509D80D"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0.0217</w:t>
            </w:r>
          </w:p>
        </w:tc>
        <w:tc>
          <w:tcPr>
            <w:tcW w:w="940" w:type="dxa"/>
            <w:tcBorders>
              <w:top w:val="nil"/>
              <w:left w:val="nil"/>
              <w:bottom w:val="single" w:sz="8" w:space="0" w:color="auto"/>
              <w:right w:val="single" w:sz="8" w:space="0" w:color="auto"/>
            </w:tcBorders>
            <w:shd w:val="clear" w:color="000000" w:fill="D9D9D9"/>
            <w:noWrap/>
            <w:vAlign w:val="center"/>
            <w:hideMark/>
          </w:tcPr>
          <w:p w14:paraId="05B21FB3"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0.0023</w:t>
            </w:r>
          </w:p>
        </w:tc>
        <w:tc>
          <w:tcPr>
            <w:tcW w:w="1118" w:type="dxa"/>
            <w:tcBorders>
              <w:top w:val="nil"/>
              <w:left w:val="nil"/>
              <w:bottom w:val="single" w:sz="8" w:space="0" w:color="auto"/>
              <w:right w:val="single" w:sz="8" w:space="0" w:color="auto"/>
            </w:tcBorders>
            <w:shd w:val="clear" w:color="000000" w:fill="D9D9D9"/>
            <w:noWrap/>
            <w:vAlign w:val="center"/>
            <w:hideMark/>
          </w:tcPr>
          <w:p w14:paraId="1D76D99D"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0.0011</w:t>
            </w:r>
          </w:p>
        </w:tc>
      </w:tr>
      <w:tr w:rsidR="005758BB" w:rsidRPr="00F347CB" w14:paraId="52A25516"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243EEEA7" w14:textId="77777777" w:rsidR="00263AF9" w:rsidRPr="00F71814" w:rsidRDefault="00263AF9" w:rsidP="008A5614">
            <w:pPr>
              <w:spacing w:after="0" w:line="240" w:lineRule="auto"/>
              <w:rPr>
                <w:rFonts w:cs="Arial"/>
                <w:color w:val="000000"/>
                <w:sz w:val="18"/>
                <w:szCs w:val="22"/>
              </w:rPr>
            </w:pPr>
            <w:r w:rsidRPr="00F71814">
              <w:rPr>
                <w:rFonts w:cs="Arial"/>
                <w:color w:val="000000"/>
                <w:sz w:val="18"/>
                <w:szCs w:val="22"/>
              </w:rPr>
              <w:t>&gt;31.3 to 51.4 GHz</w:t>
            </w:r>
          </w:p>
        </w:tc>
        <w:tc>
          <w:tcPr>
            <w:tcW w:w="1346" w:type="dxa"/>
            <w:tcBorders>
              <w:top w:val="nil"/>
              <w:left w:val="nil"/>
              <w:bottom w:val="single" w:sz="8" w:space="0" w:color="auto"/>
              <w:right w:val="single" w:sz="8" w:space="0" w:color="auto"/>
            </w:tcBorders>
            <w:shd w:val="clear" w:color="000000" w:fill="D9D9D9"/>
            <w:noWrap/>
            <w:vAlign w:val="center"/>
            <w:hideMark/>
          </w:tcPr>
          <w:p w14:paraId="1D564EB8"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0.1012</w:t>
            </w:r>
          </w:p>
        </w:tc>
        <w:tc>
          <w:tcPr>
            <w:tcW w:w="940" w:type="dxa"/>
            <w:tcBorders>
              <w:top w:val="nil"/>
              <w:left w:val="nil"/>
              <w:bottom w:val="single" w:sz="8" w:space="0" w:color="auto"/>
              <w:right w:val="single" w:sz="8" w:space="0" w:color="auto"/>
            </w:tcBorders>
            <w:shd w:val="clear" w:color="000000" w:fill="D9D9D9"/>
            <w:noWrap/>
            <w:vAlign w:val="center"/>
            <w:hideMark/>
          </w:tcPr>
          <w:p w14:paraId="1316985A"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0.0539</w:t>
            </w:r>
          </w:p>
        </w:tc>
        <w:tc>
          <w:tcPr>
            <w:tcW w:w="1151" w:type="dxa"/>
            <w:tcBorders>
              <w:top w:val="nil"/>
              <w:left w:val="nil"/>
              <w:bottom w:val="single" w:sz="8" w:space="0" w:color="auto"/>
              <w:right w:val="single" w:sz="8" w:space="0" w:color="auto"/>
            </w:tcBorders>
            <w:shd w:val="clear" w:color="000000" w:fill="D9D9D9"/>
            <w:noWrap/>
            <w:vAlign w:val="center"/>
            <w:hideMark/>
          </w:tcPr>
          <w:p w14:paraId="64DF6E50"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0.0117</w:t>
            </w:r>
          </w:p>
        </w:tc>
        <w:tc>
          <w:tcPr>
            <w:tcW w:w="940" w:type="dxa"/>
            <w:tcBorders>
              <w:top w:val="nil"/>
              <w:left w:val="nil"/>
              <w:bottom w:val="single" w:sz="8" w:space="0" w:color="auto"/>
              <w:right w:val="single" w:sz="8" w:space="0" w:color="auto"/>
            </w:tcBorders>
            <w:shd w:val="clear" w:color="000000" w:fill="D9D9D9"/>
            <w:noWrap/>
            <w:vAlign w:val="center"/>
            <w:hideMark/>
          </w:tcPr>
          <w:p w14:paraId="6A97E70D"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0.0004</w:t>
            </w:r>
          </w:p>
        </w:tc>
        <w:tc>
          <w:tcPr>
            <w:tcW w:w="1118" w:type="dxa"/>
            <w:tcBorders>
              <w:top w:val="nil"/>
              <w:left w:val="nil"/>
              <w:bottom w:val="single" w:sz="8" w:space="0" w:color="auto"/>
              <w:right w:val="single" w:sz="8" w:space="0" w:color="auto"/>
            </w:tcBorders>
            <w:shd w:val="clear" w:color="000000" w:fill="D9D9D9"/>
            <w:noWrap/>
            <w:vAlign w:val="center"/>
            <w:hideMark/>
          </w:tcPr>
          <w:p w14:paraId="6087BE74"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0.0002</w:t>
            </w:r>
          </w:p>
        </w:tc>
      </w:tr>
      <w:tr w:rsidR="005758BB" w:rsidRPr="00F347CB" w14:paraId="2C059B97"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38A70AE1" w14:textId="77777777" w:rsidR="00263AF9" w:rsidRPr="00F71814" w:rsidRDefault="00263AF9" w:rsidP="008A5614">
            <w:pPr>
              <w:spacing w:after="0" w:line="240" w:lineRule="auto"/>
              <w:rPr>
                <w:rFonts w:cs="Arial"/>
                <w:color w:val="000000"/>
                <w:sz w:val="18"/>
                <w:szCs w:val="22"/>
              </w:rPr>
            </w:pPr>
            <w:r w:rsidRPr="00F71814">
              <w:rPr>
                <w:rFonts w:cs="Arial"/>
                <w:color w:val="000000"/>
                <w:sz w:val="18"/>
                <w:szCs w:val="22"/>
              </w:rPr>
              <w:t>51.4 GHz to 100 GHz</w:t>
            </w:r>
          </w:p>
        </w:tc>
        <w:tc>
          <w:tcPr>
            <w:tcW w:w="1346" w:type="dxa"/>
            <w:tcBorders>
              <w:top w:val="nil"/>
              <w:left w:val="nil"/>
              <w:bottom w:val="single" w:sz="8" w:space="0" w:color="auto"/>
              <w:right w:val="single" w:sz="8" w:space="0" w:color="auto"/>
            </w:tcBorders>
            <w:shd w:val="clear" w:color="000000" w:fill="D9D9D9"/>
            <w:noWrap/>
            <w:vAlign w:val="center"/>
            <w:hideMark/>
          </w:tcPr>
          <w:p w14:paraId="7B592410"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0.01</w:t>
            </w:r>
          </w:p>
        </w:tc>
        <w:tc>
          <w:tcPr>
            <w:tcW w:w="940" w:type="dxa"/>
            <w:tcBorders>
              <w:top w:val="nil"/>
              <w:left w:val="nil"/>
              <w:bottom w:val="single" w:sz="8" w:space="0" w:color="auto"/>
              <w:right w:val="single" w:sz="8" w:space="0" w:color="auto"/>
            </w:tcBorders>
            <w:shd w:val="clear" w:color="000000" w:fill="D9D9D9"/>
            <w:noWrap/>
            <w:vAlign w:val="center"/>
            <w:hideMark/>
          </w:tcPr>
          <w:p w14:paraId="25C98136"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0.001</w:t>
            </w:r>
          </w:p>
        </w:tc>
        <w:tc>
          <w:tcPr>
            <w:tcW w:w="1151" w:type="dxa"/>
            <w:tcBorders>
              <w:top w:val="nil"/>
              <w:left w:val="nil"/>
              <w:bottom w:val="single" w:sz="8" w:space="0" w:color="auto"/>
              <w:right w:val="single" w:sz="8" w:space="0" w:color="auto"/>
            </w:tcBorders>
            <w:shd w:val="clear" w:color="000000" w:fill="D9D9D9"/>
            <w:noWrap/>
            <w:vAlign w:val="center"/>
            <w:hideMark/>
          </w:tcPr>
          <w:p w14:paraId="3E6EB0C9"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0.001</w:t>
            </w:r>
          </w:p>
        </w:tc>
        <w:tc>
          <w:tcPr>
            <w:tcW w:w="940" w:type="dxa"/>
            <w:tcBorders>
              <w:top w:val="nil"/>
              <w:left w:val="nil"/>
              <w:bottom w:val="single" w:sz="8" w:space="0" w:color="auto"/>
              <w:right w:val="single" w:sz="8" w:space="0" w:color="auto"/>
            </w:tcBorders>
            <w:shd w:val="clear" w:color="000000" w:fill="D9D9D9"/>
            <w:noWrap/>
            <w:vAlign w:val="center"/>
            <w:hideMark/>
          </w:tcPr>
          <w:p w14:paraId="3780E364"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0.0001</w:t>
            </w:r>
          </w:p>
        </w:tc>
        <w:tc>
          <w:tcPr>
            <w:tcW w:w="1118" w:type="dxa"/>
            <w:tcBorders>
              <w:top w:val="nil"/>
              <w:left w:val="nil"/>
              <w:bottom w:val="single" w:sz="8" w:space="0" w:color="auto"/>
              <w:right w:val="single" w:sz="8" w:space="0" w:color="auto"/>
            </w:tcBorders>
            <w:shd w:val="clear" w:color="000000" w:fill="D9D9D9"/>
            <w:noWrap/>
            <w:vAlign w:val="center"/>
            <w:hideMark/>
          </w:tcPr>
          <w:p w14:paraId="66A03B08"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0.0001</w:t>
            </w:r>
          </w:p>
        </w:tc>
      </w:tr>
      <w:tr w:rsidR="005758BB" w:rsidRPr="00F347CB" w14:paraId="485B0821" w14:textId="77777777" w:rsidTr="006040D1">
        <w:trPr>
          <w:trHeight w:val="294"/>
        </w:trPr>
        <w:tc>
          <w:tcPr>
            <w:tcW w:w="2144" w:type="dxa"/>
            <w:tcBorders>
              <w:top w:val="nil"/>
              <w:left w:val="single" w:sz="8" w:space="0" w:color="auto"/>
              <w:bottom w:val="single" w:sz="8" w:space="0" w:color="auto"/>
              <w:right w:val="single" w:sz="8" w:space="0" w:color="auto"/>
            </w:tcBorders>
            <w:shd w:val="clear" w:color="auto" w:fill="auto"/>
            <w:noWrap/>
            <w:vAlign w:val="center"/>
            <w:hideMark/>
          </w:tcPr>
          <w:p w14:paraId="6E2EC918" w14:textId="77777777" w:rsidR="00263AF9" w:rsidRPr="00F71814" w:rsidRDefault="00263AF9" w:rsidP="008A5614">
            <w:pPr>
              <w:spacing w:after="0" w:line="240" w:lineRule="auto"/>
              <w:rPr>
                <w:rFonts w:cs="Arial"/>
                <w:color w:val="000000"/>
                <w:sz w:val="18"/>
                <w:szCs w:val="22"/>
              </w:rPr>
            </w:pPr>
            <w:r w:rsidRPr="00F71814">
              <w:rPr>
                <w:rFonts w:cs="Arial"/>
                <w:color w:val="000000"/>
                <w:sz w:val="18"/>
                <w:szCs w:val="22"/>
              </w:rPr>
              <w:t>Above 100 GHz</w:t>
            </w:r>
          </w:p>
        </w:tc>
        <w:tc>
          <w:tcPr>
            <w:tcW w:w="1346" w:type="dxa"/>
            <w:tcBorders>
              <w:top w:val="nil"/>
              <w:left w:val="nil"/>
              <w:bottom w:val="single" w:sz="8" w:space="0" w:color="auto"/>
              <w:right w:val="single" w:sz="8" w:space="0" w:color="auto"/>
            </w:tcBorders>
            <w:shd w:val="clear" w:color="000000" w:fill="C6E0B4"/>
            <w:noWrap/>
            <w:vAlign w:val="center"/>
            <w:hideMark/>
          </w:tcPr>
          <w:p w14:paraId="13E58460"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w:t>
            </w:r>
          </w:p>
        </w:tc>
        <w:tc>
          <w:tcPr>
            <w:tcW w:w="940" w:type="dxa"/>
            <w:tcBorders>
              <w:top w:val="nil"/>
              <w:left w:val="nil"/>
              <w:bottom w:val="single" w:sz="8" w:space="0" w:color="auto"/>
              <w:right w:val="single" w:sz="8" w:space="0" w:color="auto"/>
            </w:tcBorders>
            <w:shd w:val="clear" w:color="000000" w:fill="C6E0B4"/>
            <w:noWrap/>
            <w:vAlign w:val="center"/>
            <w:hideMark/>
          </w:tcPr>
          <w:p w14:paraId="671404A7"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w:t>
            </w:r>
          </w:p>
        </w:tc>
        <w:tc>
          <w:tcPr>
            <w:tcW w:w="1151" w:type="dxa"/>
            <w:tcBorders>
              <w:top w:val="nil"/>
              <w:left w:val="nil"/>
              <w:bottom w:val="single" w:sz="8" w:space="0" w:color="auto"/>
              <w:right w:val="single" w:sz="8" w:space="0" w:color="auto"/>
            </w:tcBorders>
            <w:shd w:val="clear" w:color="000000" w:fill="C6E0B4"/>
            <w:noWrap/>
            <w:vAlign w:val="center"/>
            <w:hideMark/>
          </w:tcPr>
          <w:p w14:paraId="06037A33"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w:t>
            </w:r>
          </w:p>
        </w:tc>
        <w:tc>
          <w:tcPr>
            <w:tcW w:w="940" w:type="dxa"/>
            <w:tcBorders>
              <w:top w:val="nil"/>
              <w:left w:val="nil"/>
              <w:bottom w:val="single" w:sz="8" w:space="0" w:color="auto"/>
              <w:right w:val="single" w:sz="8" w:space="0" w:color="auto"/>
            </w:tcBorders>
            <w:shd w:val="clear" w:color="000000" w:fill="C6E0B4"/>
            <w:noWrap/>
            <w:vAlign w:val="center"/>
            <w:hideMark/>
          </w:tcPr>
          <w:p w14:paraId="4E73AFD9"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w:t>
            </w:r>
          </w:p>
        </w:tc>
        <w:tc>
          <w:tcPr>
            <w:tcW w:w="1118" w:type="dxa"/>
            <w:tcBorders>
              <w:top w:val="nil"/>
              <w:left w:val="nil"/>
              <w:bottom w:val="single" w:sz="8" w:space="0" w:color="auto"/>
              <w:right w:val="single" w:sz="8" w:space="0" w:color="auto"/>
            </w:tcBorders>
            <w:shd w:val="clear" w:color="000000" w:fill="C6E0B4"/>
            <w:noWrap/>
            <w:vAlign w:val="center"/>
            <w:hideMark/>
          </w:tcPr>
          <w:p w14:paraId="472DEFF3" w14:textId="77777777" w:rsidR="00263AF9" w:rsidRPr="00F71814" w:rsidRDefault="00263AF9" w:rsidP="008A5614">
            <w:pPr>
              <w:spacing w:after="0" w:line="240" w:lineRule="auto"/>
              <w:jc w:val="right"/>
              <w:rPr>
                <w:rFonts w:cs="Arial"/>
                <w:color w:val="000000"/>
                <w:sz w:val="18"/>
                <w:szCs w:val="22"/>
              </w:rPr>
            </w:pPr>
            <w:r w:rsidRPr="00F71814">
              <w:rPr>
                <w:rFonts w:cs="Arial"/>
                <w:color w:val="000000"/>
                <w:sz w:val="18"/>
                <w:szCs w:val="22"/>
              </w:rPr>
              <w:t>0</w:t>
            </w:r>
          </w:p>
        </w:tc>
      </w:tr>
    </w:tbl>
    <w:p w14:paraId="1F7CF6F2" w14:textId="77777777" w:rsidR="00263AF9" w:rsidRPr="00263AF9" w:rsidRDefault="00263AF9" w:rsidP="00263AF9">
      <w:pPr>
        <w:pStyle w:val="Paragraph"/>
        <w:rPr>
          <w:rFonts w:eastAsia="Arial"/>
        </w:rPr>
      </w:pPr>
    </w:p>
    <w:p w14:paraId="6CEF549F" w14:textId="56CBD11C" w:rsidR="60024DF6" w:rsidRDefault="60024DF6" w:rsidP="00850877">
      <w:pPr>
        <w:pStyle w:val="Tableheading"/>
        <w:rPr>
          <w:rFonts w:eastAsia="Arial"/>
        </w:rPr>
      </w:pPr>
      <w:r w:rsidRPr="77B20063">
        <w:rPr>
          <w:rFonts w:eastAsia="Arial"/>
        </w:rPr>
        <w:t>Current location weightings</w:t>
      </w:r>
    </w:p>
    <w:tbl>
      <w:tblPr>
        <w:tblW w:w="7651" w:type="dxa"/>
        <w:tblCellMar>
          <w:top w:w="57" w:type="dxa"/>
          <w:bottom w:w="57" w:type="dxa"/>
        </w:tblCellMar>
        <w:tblLook w:val="04A0" w:firstRow="1" w:lastRow="0" w:firstColumn="1" w:lastColumn="0" w:noHBand="0" w:noVBand="1"/>
      </w:tblPr>
      <w:tblGrid>
        <w:gridCol w:w="2146"/>
        <w:gridCol w:w="1388"/>
        <w:gridCol w:w="970"/>
        <w:gridCol w:w="1015"/>
        <w:gridCol w:w="975"/>
        <w:gridCol w:w="1157"/>
      </w:tblGrid>
      <w:tr w:rsidR="003248E9" w:rsidRPr="00F733D5" w14:paraId="61C4D7F4" w14:textId="77777777" w:rsidTr="006040D1">
        <w:trPr>
          <w:trHeight w:val="242"/>
        </w:trPr>
        <w:tc>
          <w:tcPr>
            <w:tcW w:w="2146" w:type="dxa"/>
            <w:tcBorders>
              <w:top w:val="single" w:sz="8" w:space="0" w:color="auto"/>
              <w:left w:val="single" w:sz="8" w:space="0" w:color="auto"/>
              <w:bottom w:val="single" w:sz="8" w:space="0" w:color="auto"/>
              <w:right w:val="single" w:sz="8" w:space="0" w:color="auto"/>
            </w:tcBorders>
            <w:shd w:val="clear" w:color="000000" w:fill="404040"/>
            <w:noWrap/>
            <w:vAlign w:val="center"/>
            <w:hideMark/>
          </w:tcPr>
          <w:p w14:paraId="4E16403A" w14:textId="137FAE12" w:rsidR="003248E9" w:rsidRPr="00F71814" w:rsidRDefault="003248E9" w:rsidP="008A5614">
            <w:pPr>
              <w:spacing w:after="0" w:line="240" w:lineRule="auto"/>
              <w:rPr>
                <w:rFonts w:cs="Arial"/>
                <w:b/>
                <w:bCs/>
                <w:color w:val="FFFFFF"/>
                <w:sz w:val="18"/>
                <w:szCs w:val="22"/>
              </w:rPr>
            </w:pPr>
            <w:r w:rsidRPr="00F71814">
              <w:rPr>
                <w:rFonts w:cs="Arial"/>
                <w:b/>
                <w:bCs/>
                <w:color w:val="FFFFFF"/>
                <w:sz w:val="18"/>
                <w:szCs w:val="22"/>
              </w:rPr>
              <w:t> </w:t>
            </w:r>
          </w:p>
        </w:tc>
        <w:tc>
          <w:tcPr>
            <w:tcW w:w="5505" w:type="dxa"/>
            <w:gridSpan w:val="5"/>
            <w:tcBorders>
              <w:top w:val="single" w:sz="8" w:space="0" w:color="auto"/>
              <w:left w:val="nil"/>
              <w:bottom w:val="single" w:sz="8" w:space="0" w:color="auto"/>
              <w:right w:val="single" w:sz="8" w:space="0" w:color="000000"/>
            </w:tcBorders>
            <w:shd w:val="clear" w:color="000000" w:fill="404040"/>
            <w:noWrap/>
            <w:vAlign w:val="center"/>
            <w:hideMark/>
          </w:tcPr>
          <w:p w14:paraId="3AC049F2" w14:textId="1864B55C" w:rsidR="003248E9" w:rsidRPr="00F71814" w:rsidRDefault="003248E9" w:rsidP="008A5614">
            <w:pPr>
              <w:spacing w:after="0" w:line="240" w:lineRule="auto"/>
              <w:jc w:val="center"/>
              <w:rPr>
                <w:rFonts w:cs="Arial"/>
                <w:b/>
                <w:bCs/>
                <w:color w:val="FFFFFF"/>
                <w:sz w:val="18"/>
                <w:szCs w:val="22"/>
              </w:rPr>
            </w:pPr>
            <w:r w:rsidRPr="00F71814">
              <w:rPr>
                <w:rFonts w:cs="Arial"/>
                <w:b/>
                <w:bCs/>
                <w:color w:val="FFFFFF"/>
                <w:sz w:val="18"/>
                <w:szCs w:val="22"/>
              </w:rPr>
              <w:t>Geographic location</w:t>
            </w:r>
          </w:p>
        </w:tc>
      </w:tr>
      <w:tr w:rsidR="00F8626F" w:rsidRPr="00F733D5" w14:paraId="28A80D40" w14:textId="77777777" w:rsidTr="00F8626F">
        <w:trPr>
          <w:trHeight w:val="242"/>
        </w:trPr>
        <w:tc>
          <w:tcPr>
            <w:tcW w:w="2146" w:type="dxa"/>
            <w:tcBorders>
              <w:top w:val="nil"/>
              <w:left w:val="single" w:sz="8" w:space="0" w:color="auto"/>
              <w:bottom w:val="single" w:sz="8" w:space="0" w:color="auto"/>
              <w:right w:val="single" w:sz="8" w:space="0" w:color="auto"/>
            </w:tcBorders>
            <w:shd w:val="clear" w:color="000000" w:fill="404040"/>
            <w:noWrap/>
            <w:vAlign w:val="center"/>
            <w:hideMark/>
          </w:tcPr>
          <w:p w14:paraId="41129EF6" w14:textId="0A2B0DCF" w:rsidR="003248E9" w:rsidRPr="00F71814" w:rsidRDefault="003248E9" w:rsidP="008A5614">
            <w:pPr>
              <w:spacing w:after="0" w:line="240" w:lineRule="auto"/>
              <w:rPr>
                <w:rFonts w:cs="Arial"/>
                <w:b/>
                <w:bCs/>
                <w:color w:val="FFFFFF"/>
                <w:sz w:val="18"/>
                <w:szCs w:val="22"/>
              </w:rPr>
            </w:pPr>
            <w:r w:rsidRPr="00F71814">
              <w:rPr>
                <w:rFonts w:cs="Arial"/>
                <w:b/>
                <w:bCs/>
                <w:color w:val="FFFFFF"/>
                <w:sz w:val="18"/>
                <w:szCs w:val="22"/>
              </w:rPr>
              <w:t>Spectrum location</w:t>
            </w:r>
          </w:p>
        </w:tc>
        <w:tc>
          <w:tcPr>
            <w:tcW w:w="1388" w:type="dxa"/>
            <w:tcBorders>
              <w:top w:val="nil"/>
              <w:left w:val="nil"/>
              <w:bottom w:val="single" w:sz="8" w:space="0" w:color="auto"/>
              <w:right w:val="single" w:sz="8" w:space="0" w:color="auto"/>
            </w:tcBorders>
            <w:shd w:val="clear" w:color="000000" w:fill="404040"/>
            <w:noWrap/>
            <w:vAlign w:val="center"/>
            <w:hideMark/>
          </w:tcPr>
          <w:p w14:paraId="391E3E62" w14:textId="46C717D5" w:rsidR="003248E9" w:rsidRPr="00F71814" w:rsidRDefault="003248E9" w:rsidP="006040D1">
            <w:pPr>
              <w:spacing w:after="0" w:line="240" w:lineRule="auto"/>
              <w:jc w:val="center"/>
              <w:rPr>
                <w:rFonts w:cs="Arial"/>
                <w:b/>
                <w:bCs/>
                <w:color w:val="FFFFFF"/>
                <w:sz w:val="18"/>
                <w:szCs w:val="22"/>
              </w:rPr>
            </w:pPr>
            <w:r w:rsidRPr="00F71814">
              <w:rPr>
                <w:rFonts w:cs="Arial"/>
                <w:b/>
                <w:bCs/>
                <w:color w:val="FFFFFF"/>
                <w:sz w:val="18"/>
                <w:szCs w:val="22"/>
              </w:rPr>
              <w:t>Aus-wide</w:t>
            </w:r>
          </w:p>
        </w:tc>
        <w:tc>
          <w:tcPr>
            <w:tcW w:w="970" w:type="dxa"/>
            <w:tcBorders>
              <w:top w:val="nil"/>
              <w:left w:val="nil"/>
              <w:bottom w:val="single" w:sz="8" w:space="0" w:color="auto"/>
              <w:right w:val="single" w:sz="8" w:space="0" w:color="auto"/>
            </w:tcBorders>
            <w:shd w:val="clear" w:color="000000" w:fill="404040"/>
            <w:noWrap/>
            <w:vAlign w:val="center"/>
            <w:hideMark/>
          </w:tcPr>
          <w:p w14:paraId="6F72D2CF" w14:textId="20A08DD6" w:rsidR="003248E9" w:rsidRPr="00F71814" w:rsidRDefault="003248E9" w:rsidP="006040D1">
            <w:pPr>
              <w:spacing w:after="0" w:line="240" w:lineRule="auto"/>
              <w:jc w:val="center"/>
              <w:rPr>
                <w:rFonts w:cs="Arial"/>
                <w:b/>
                <w:bCs/>
                <w:color w:val="FFFFFF"/>
                <w:sz w:val="18"/>
                <w:szCs w:val="22"/>
              </w:rPr>
            </w:pPr>
            <w:r w:rsidRPr="00F71814">
              <w:rPr>
                <w:rFonts w:cs="Arial"/>
                <w:b/>
                <w:bCs/>
                <w:color w:val="FFFFFF"/>
                <w:sz w:val="18"/>
                <w:szCs w:val="22"/>
              </w:rPr>
              <w:t>High</w:t>
            </w:r>
          </w:p>
        </w:tc>
        <w:tc>
          <w:tcPr>
            <w:tcW w:w="1015" w:type="dxa"/>
            <w:tcBorders>
              <w:top w:val="nil"/>
              <w:left w:val="nil"/>
              <w:bottom w:val="single" w:sz="8" w:space="0" w:color="auto"/>
              <w:right w:val="single" w:sz="8" w:space="0" w:color="auto"/>
            </w:tcBorders>
            <w:shd w:val="clear" w:color="000000" w:fill="404040"/>
            <w:noWrap/>
            <w:vAlign w:val="center"/>
            <w:hideMark/>
          </w:tcPr>
          <w:p w14:paraId="2475779E" w14:textId="717FCA3C" w:rsidR="003248E9" w:rsidRPr="00F71814" w:rsidRDefault="003248E9" w:rsidP="006040D1">
            <w:pPr>
              <w:spacing w:after="0" w:line="240" w:lineRule="auto"/>
              <w:jc w:val="center"/>
              <w:rPr>
                <w:rFonts w:cs="Arial"/>
                <w:b/>
                <w:bCs/>
                <w:color w:val="FFFFFF"/>
                <w:sz w:val="18"/>
                <w:szCs w:val="22"/>
              </w:rPr>
            </w:pPr>
            <w:r w:rsidRPr="00F71814">
              <w:rPr>
                <w:rFonts w:cs="Arial"/>
                <w:b/>
                <w:bCs/>
                <w:color w:val="FFFFFF"/>
                <w:sz w:val="18"/>
                <w:szCs w:val="22"/>
              </w:rPr>
              <w:t>Medium</w:t>
            </w:r>
          </w:p>
        </w:tc>
        <w:tc>
          <w:tcPr>
            <w:tcW w:w="975" w:type="dxa"/>
            <w:tcBorders>
              <w:top w:val="nil"/>
              <w:left w:val="nil"/>
              <w:bottom w:val="single" w:sz="8" w:space="0" w:color="auto"/>
              <w:right w:val="single" w:sz="8" w:space="0" w:color="auto"/>
            </w:tcBorders>
            <w:shd w:val="clear" w:color="000000" w:fill="404040"/>
            <w:noWrap/>
            <w:vAlign w:val="center"/>
            <w:hideMark/>
          </w:tcPr>
          <w:p w14:paraId="5B12CDB2" w14:textId="27631919" w:rsidR="003248E9" w:rsidRPr="00F71814" w:rsidRDefault="003248E9" w:rsidP="006040D1">
            <w:pPr>
              <w:spacing w:after="0" w:line="240" w:lineRule="auto"/>
              <w:jc w:val="center"/>
              <w:rPr>
                <w:rFonts w:cs="Arial"/>
                <w:b/>
                <w:bCs/>
                <w:color w:val="FFFFFF"/>
                <w:sz w:val="18"/>
                <w:szCs w:val="22"/>
              </w:rPr>
            </w:pPr>
            <w:r w:rsidRPr="00F71814">
              <w:rPr>
                <w:rFonts w:cs="Arial"/>
                <w:b/>
                <w:bCs/>
                <w:color w:val="FFFFFF"/>
                <w:sz w:val="18"/>
                <w:szCs w:val="22"/>
              </w:rPr>
              <w:t>Low</w:t>
            </w:r>
          </w:p>
        </w:tc>
        <w:tc>
          <w:tcPr>
            <w:tcW w:w="1157" w:type="dxa"/>
            <w:tcBorders>
              <w:top w:val="nil"/>
              <w:left w:val="nil"/>
              <w:bottom w:val="single" w:sz="8" w:space="0" w:color="auto"/>
              <w:right w:val="single" w:sz="8" w:space="0" w:color="auto"/>
            </w:tcBorders>
            <w:shd w:val="clear" w:color="000000" w:fill="404040"/>
            <w:noWrap/>
            <w:vAlign w:val="center"/>
            <w:hideMark/>
          </w:tcPr>
          <w:p w14:paraId="7CC95E9C" w14:textId="362360E3" w:rsidR="003248E9" w:rsidRPr="00F71814" w:rsidRDefault="003248E9" w:rsidP="006040D1">
            <w:pPr>
              <w:spacing w:after="0" w:line="240" w:lineRule="auto"/>
              <w:jc w:val="center"/>
              <w:rPr>
                <w:rFonts w:cs="Arial"/>
                <w:b/>
                <w:bCs/>
                <w:color w:val="FFFFFF"/>
                <w:sz w:val="18"/>
                <w:szCs w:val="22"/>
              </w:rPr>
            </w:pPr>
            <w:r w:rsidRPr="00F71814">
              <w:rPr>
                <w:rFonts w:cs="Arial"/>
                <w:b/>
                <w:bCs/>
                <w:color w:val="FFFFFF"/>
                <w:sz w:val="18"/>
                <w:szCs w:val="22"/>
              </w:rPr>
              <w:t>Remote</w:t>
            </w:r>
          </w:p>
        </w:tc>
      </w:tr>
      <w:tr w:rsidR="003248E9" w:rsidRPr="00F733D5" w14:paraId="13B41FB6"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59295402" w14:textId="27E15B78"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30 MHz and below</w:t>
            </w:r>
          </w:p>
        </w:tc>
        <w:tc>
          <w:tcPr>
            <w:tcW w:w="1388" w:type="dxa"/>
            <w:tcBorders>
              <w:top w:val="nil"/>
              <w:left w:val="nil"/>
              <w:bottom w:val="single" w:sz="8" w:space="0" w:color="auto"/>
              <w:right w:val="single" w:sz="8" w:space="0" w:color="auto"/>
            </w:tcBorders>
            <w:shd w:val="clear" w:color="auto" w:fill="auto"/>
            <w:noWrap/>
            <w:vAlign w:val="center"/>
            <w:hideMark/>
          </w:tcPr>
          <w:p w14:paraId="777F6BCD" w14:textId="4285C771"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4.315</w:t>
            </w:r>
          </w:p>
        </w:tc>
        <w:tc>
          <w:tcPr>
            <w:tcW w:w="970" w:type="dxa"/>
            <w:tcBorders>
              <w:top w:val="nil"/>
              <w:left w:val="nil"/>
              <w:bottom w:val="single" w:sz="8" w:space="0" w:color="auto"/>
              <w:right w:val="single" w:sz="8" w:space="0" w:color="auto"/>
            </w:tcBorders>
            <w:shd w:val="clear" w:color="auto" w:fill="auto"/>
            <w:noWrap/>
            <w:vAlign w:val="center"/>
            <w:hideMark/>
          </w:tcPr>
          <w:p w14:paraId="64D214EB" w14:textId="1AC25408"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4.315</w:t>
            </w:r>
          </w:p>
        </w:tc>
        <w:tc>
          <w:tcPr>
            <w:tcW w:w="1015" w:type="dxa"/>
            <w:tcBorders>
              <w:top w:val="nil"/>
              <w:left w:val="nil"/>
              <w:bottom w:val="single" w:sz="8" w:space="0" w:color="auto"/>
              <w:right w:val="single" w:sz="8" w:space="0" w:color="auto"/>
            </w:tcBorders>
            <w:shd w:val="clear" w:color="auto" w:fill="auto"/>
            <w:noWrap/>
            <w:vAlign w:val="center"/>
            <w:hideMark/>
          </w:tcPr>
          <w:p w14:paraId="70510373" w14:textId="1322C2C6"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4.315</w:t>
            </w:r>
          </w:p>
        </w:tc>
        <w:tc>
          <w:tcPr>
            <w:tcW w:w="975" w:type="dxa"/>
            <w:tcBorders>
              <w:top w:val="nil"/>
              <w:left w:val="nil"/>
              <w:bottom w:val="single" w:sz="8" w:space="0" w:color="auto"/>
              <w:right w:val="single" w:sz="8" w:space="0" w:color="auto"/>
            </w:tcBorders>
            <w:shd w:val="clear" w:color="auto" w:fill="auto"/>
            <w:noWrap/>
            <w:vAlign w:val="center"/>
            <w:hideMark/>
          </w:tcPr>
          <w:p w14:paraId="294C2F75" w14:textId="6EE7507B"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4.315</w:t>
            </w:r>
          </w:p>
        </w:tc>
        <w:tc>
          <w:tcPr>
            <w:tcW w:w="1157" w:type="dxa"/>
            <w:tcBorders>
              <w:top w:val="nil"/>
              <w:left w:val="nil"/>
              <w:bottom w:val="single" w:sz="8" w:space="0" w:color="auto"/>
              <w:right w:val="single" w:sz="8" w:space="0" w:color="auto"/>
            </w:tcBorders>
            <w:shd w:val="clear" w:color="auto" w:fill="auto"/>
            <w:noWrap/>
            <w:vAlign w:val="center"/>
            <w:hideMark/>
          </w:tcPr>
          <w:p w14:paraId="4BC32A4F" w14:textId="1FD4FF34"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4.315</w:t>
            </w:r>
          </w:p>
        </w:tc>
      </w:tr>
      <w:tr w:rsidR="003248E9" w:rsidRPr="00F733D5" w14:paraId="05B5457E"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58377733" w14:textId="7A4572EB"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&gt;30 to 70 MHz</w:t>
            </w:r>
          </w:p>
        </w:tc>
        <w:tc>
          <w:tcPr>
            <w:tcW w:w="1388" w:type="dxa"/>
            <w:tcBorders>
              <w:top w:val="nil"/>
              <w:left w:val="nil"/>
              <w:bottom w:val="single" w:sz="8" w:space="0" w:color="auto"/>
              <w:right w:val="single" w:sz="8" w:space="0" w:color="auto"/>
            </w:tcBorders>
            <w:shd w:val="clear" w:color="auto" w:fill="auto"/>
            <w:noWrap/>
            <w:vAlign w:val="center"/>
            <w:hideMark/>
          </w:tcPr>
          <w:p w14:paraId="27E55AA8" w14:textId="2E5A778A"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9.747</w:t>
            </w:r>
          </w:p>
        </w:tc>
        <w:tc>
          <w:tcPr>
            <w:tcW w:w="970" w:type="dxa"/>
            <w:tcBorders>
              <w:top w:val="nil"/>
              <w:left w:val="nil"/>
              <w:bottom w:val="single" w:sz="8" w:space="0" w:color="auto"/>
              <w:right w:val="single" w:sz="8" w:space="0" w:color="auto"/>
            </w:tcBorders>
            <w:shd w:val="clear" w:color="auto" w:fill="auto"/>
            <w:noWrap/>
            <w:vAlign w:val="center"/>
            <w:hideMark/>
          </w:tcPr>
          <w:p w14:paraId="208B3091" w14:textId="48B3EB1C"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3.807</w:t>
            </w:r>
          </w:p>
        </w:tc>
        <w:tc>
          <w:tcPr>
            <w:tcW w:w="1015" w:type="dxa"/>
            <w:tcBorders>
              <w:top w:val="nil"/>
              <w:left w:val="nil"/>
              <w:bottom w:val="single" w:sz="8" w:space="0" w:color="auto"/>
              <w:right w:val="single" w:sz="8" w:space="0" w:color="auto"/>
            </w:tcBorders>
            <w:shd w:val="clear" w:color="auto" w:fill="auto"/>
            <w:noWrap/>
            <w:vAlign w:val="center"/>
            <w:hideMark/>
          </w:tcPr>
          <w:p w14:paraId="5F23DC63" w14:textId="5CBAF970"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2.025</w:t>
            </w:r>
          </w:p>
        </w:tc>
        <w:tc>
          <w:tcPr>
            <w:tcW w:w="975" w:type="dxa"/>
            <w:tcBorders>
              <w:top w:val="nil"/>
              <w:left w:val="nil"/>
              <w:bottom w:val="single" w:sz="8" w:space="0" w:color="auto"/>
              <w:right w:val="single" w:sz="8" w:space="0" w:color="auto"/>
            </w:tcBorders>
            <w:shd w:val="clear" w:color="auto" w:fill="auto"/>
            <w:noWrap/>
            <w:vAlign w:val="center"/>
            <w:hideMark/>
          </w:tcPr>
          <w:p w14:paraId="58CD3118" w14:textId="3189C4A6"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0.437</w:t>
            </w:r>
          </w:p>
        </w:tc>
        <w:tc>
          <w:tcPr>
            <w:tcW w:w="1157" w:type="dxa"/>
            <w:tcBorders>
              <w:top w:val="nil"/>
              <w:left w:val="nil"/>
              <w:bottom w:val="single" w:sz="8" w:space="0" w:color="auto"/>
              <w:right w:val="single" w:sz="8" w:space="0" w:color="auto"/>
            </w:tcBorders>
            <w:shd w:val="clear" w:color="auto" w:fill="auto"/>
            <w:noWrap/>
            <w:vAlign w:val="center"/>
            <w:hideMark/>
          </w:tcPr>
          <w:p w14:paraId="24B38559" w14:textId="0F2D3025"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0.218</w:t>
            </w:r>
          </w:p>
        </w:tc>
      </w:tr>
      <w:tr w:rsidR="003248E9" w:rsidRPr="00F733D5" w14:paraId="5E526090"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5FC49AF6" w14:textId="4A77E682"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&gt;70 to 399.9 MHz</w:t>
            </w:r>
          </w:p>
        </w:tc>
        <w:tc>
          <w:tcPr>
            <w:tcW w:w="1388" w:type="dxa"/>
            <w:tcBorders>
              <w:top w:val="nil"/>
              <w:left w:val="nil"/>
              <w:bottom w:val="single" w:sz="8" w:space="0" w:color="auto"/>
              <w:right w:val="single" w:sz="8" w:space="0" w:color="auto"/>
            </w:tcBorders>
            <w:shd w:val="clear" w:color="auto" w:fill="auto"/>
            <w:noWrap/>
            <w:vAlign w:val="center"/>
            <w:hideMark/>
          </w:tcPr>
          <w:p w14:paraId="6A129544" w14:textId="3B97E5C3"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10</w:t>
            </w:r>
          </w:p>
        </w:tc>
        <w:tc>
          <w:tcPr>
            <w:tcW w:w="970" w:type="dxa"/>
            <w:tcBorders>
              <w:top w:val="nil"/>
              <w:left w:val="nil"/>
              <w:bottom w:val="single" w:sz="8" w:space="0" w:color="auto"/>
              <w:right w:val="single" w:sz="8" w:space="0" w:color="auto"/>
            </w:tcBorders>
            <w:shd w:val="clear" w:color="auto" w:fill="auto"/>
            <w:noWrap/>
            <w:vAlign w:val="center"/>
            <w:hideMark/>
          </w:tcPr>
          <w:p w14:paraId="6A1135AF" w14:textId="54E08153"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4.104</w:t>
            </w:r>
          </w:p>
        </w:tc>
        <w:tc>
          <w:tcPr>
            <w:tcW w:w="1015" w:type="dxa"/>
            <w:tcBorders>
              <w:top w:val="nil"/>
              <w:left w:val="nil"/>
              <w:bottom w:val="single" w:sz="8" w:space="0" w:color="auto"/>
              <w:right w:val="single" w:sz="8" w:space="0" w:color="auto"/>
            </w:tcBorders>
            <w:shd w:val="clear" w:color="auto" w:fill="auto"/>
            <w:noWrap/>
            <w:vAlign w:val="center"/>
            <w:hideMark/>
          </w:tcPr>
          <w:p w14:paraId="096AD3B7" w14:textId="694F77ED"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1.878</w:t>
            </w:r>
          </w:p>
        </w:tc>
        <w:tc>
          <w:tcPr>
            <w:tcW w:w="975" w:type="dxa"/>
            <w:tcBorders>
              <w:top w:val="nil"/>
              <w:left w:val="nil"/>
              <w:bottom w:val="single" w:sz="8" w:space="0" w:color="auto"/>
              <w:right w:val="single" w:sz="8" w:space="0" w:color="auto"/>
            </w:tcBorders>
            <w:shd w:val="clear" w:color="auto" w:fill="auto"/>
            <w:noWrap/>
            <w:vAlign w:val="center"/>
            <w:hideMark/>
          </w:tcPr>
          <w:p w14:paraId="54DA0863" w14:textId="780E07E4"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0.421</w:t>
            </w:r>
          </w:p>
        </w:tc>
        <w:tc>
          <w:tcPr>
            <w:tcW w:w="1157" w:type="dxa"/>
            <w:tcBorders>
              <w:top w:val="nil"/>
              <w:left w:val="nil"/>
              <w:bottom w:val="single" w:sz="8" w:space="0" w:color="auto"/>
              <w:right w:val="single" w:sz="8" w:space="0" w:color="auto"/>
            </w:tcBorders>
            <w:shd w:val="clear" w:color="auto" w:fill="auto"/>
            <w:noWrap/>
            <w:vAlign w:val="center"/>
            <w:hideMark/>
          </w:tcPr>
          <w:p w14:paraId="2C39ADE1" w14:textId="285E4A67"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0.21</w:t>
            </w:r>
          </w:p>
        </w:tc>
      </w:tr>
      <w:tr w:rsidR="003248E9" w:rsidRPr="00F733D5" w14:paraId="474E7D39"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713C5861" w14:textId="133D47D8"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&gt;399.9 to 403 MHz</w:t>
            </w:r>
          </w:p>
        </w:tc>
        <w:tc>
          <w:tcPr>
            <w:tcW w:w="1388" w:type="dxa"/>
            <w:tcBorders>
              <w:top w:val="nil"/>
              <w:left w:val="nil"/>
              <w:bottom w:val="single" w:sz="8" w:space="0" w:color="auto"/>
              <w:right w:val="single" w:sz="8" w:space="0" w:color="auto"/>
            </w:tcBorders>
            <w:shd w:val="clear" w:color="auto" w:fill="auto"/>
            <w:noWrap/>
            <w:vAlign w:val="center"/>
            <w:hideMark/>
          </w:tcPr>
          <w:p w14:paraId="565BB3A9" w14:textId="6CD86D12"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10</w:t>
            </w:r>
          </w:p>
        </w:tc>
        <w:tc>
          <w:tcPr>
            <w:tcW w:w="970" w:type="dxa"/>
            <w:tcBorders>
              <w:top w:val="nil"/>
              <w:left w:val="nil"/>
              <w:bottom w:val="single" w:sz="8" w:space="0" w:color="auto"/>
              <w:right w:val="single" w:sz="8" w:space="0" w:color="auto"/>
            </w:tcBorders>
            <w:shd w:val="clear" w:color="auto" w:fill="auto"/>
            <w:noWrap/>
            <w:vAlign w:val="center"/>
            <w:hideMark/>
          </w:tcPr>
          <w:p w14:paraId="0C99A38B" w14:textId="74AB4E28"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5.6</w:t>
            </w:r>
          </w:p>
        </w:tc>
        <w:tc>
          <w:tcPr>
            <w:tcW w:w="1015" w:type="dxa"/>
            <w:tcBorders>
              <w:top w:val="nil"/>
              <w:left w:val="nil"/>
              <w:bottom w:val="single" w:sz="8" w:space="0" w:color="auto"/>
              <w:right w:val="single" w:sz="8" w:space="0" w:color="auto"/>
            </w:tcBorders>
            <w:shd w:val="clear" w:color="auto" w:fill="auto"/>
            <w:noWrap/>
            <w:vAlign w:val="center"/>
            <w:hideMark/>
          </w:tcPr>
          <w:p w14:paraId="1BF53F31" w14:textId="53C6A756"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2.562</w:t>
            </w:r>
          </w:p>
        </w:tc>
        <w:tc>
          <w:tcPr>
            <w:tcW w:w="975" w:type="dxa"/>
            <w:tcBorders>
              <w:top w:val="nil"/>
              <w:left w:val="nil"/>
              <w:bottom w:val="single" w:sz="8" w:space="0" w:color="auto"/>
              <w:right w:val="single" w:sz="8" w:space="0" w:color="auto"/>
            </w:tcBorders>
            <w:shd w:val="clear" w:color="auto" w:fill="auto"/>
            <w:noWrap/>
            <w:vAlign w:val="center"/>
            <w:hideMark/>
          </w:tcPr>
          <w:p w14:paraId="20A8924F" w14:textId="1F5E900D"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0.437</w:t>
            </w:r>
          </w:p>
        </w:tc>
        <w:tc>
          <w:tcPr>
            <w:tcW w:w="1157" w:type="dxa"/>
            <w:tcBorders>
              <w:top w:val="nil"/>
              <w:left w:val="nil"/>
              <w:bottom w:val="single" w:sz="8" w:space="0" w:color="auto"/>
              <w:right w:val="single" w:sz="8" w:space="0" w:color="auto"/>
            </w:tcBorders>
            <w:shd w:val="clear" w:color="auto" w:fill="auto"/>
            <w:noWrap/>
            <w:vAlign w:val="center"/>
            <w:hideMark/>
          </w:tcPr>
          <w:p w14:paraId="18418F02" w14:textId="3F6C89B3"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0.218</w:t>
            </w:r>
          </w:p>
        </w:tc>
      </w:tr>
      <w:tr w:rsidR="003248E9" w:rsidRPr="00F733D5" w14:paraId="20F47774"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1DDF73C5" w14:textId="40BE4A7A"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&gt;403 to 520 MHz</w:t>
            </w:r>
          </w:p>
        </w:tc>
        <w:tc>
          <w:tcPr>
            <w:tcW w:w="1388" w:type="dxa"/>
            <w:tcBorders>
              <w:top w:val="nil"/>
              <w:left w:val="nil"/>
              <w:bottom w:val="single" w:sz="8" w:space="0" w:color="auto"/>
              <w:right w:val="single" w:sz="8" w:space="0" w:color="auto"/>
            </w:tcBorders>
            <w:shd w:val="clear" w:color="auto" w:fill="auto"/>
            <w:noWrap/>
            <w:vAlign w:val="center"/>
            <w:hideMark/>
          </w:tcPr>
          <w:p w14:paraId="420F14E1" w14:textId="704D6331"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10</w:t>
            </w:r>
          </w:p>
        </w:tc>
        <w:tc>
          <w:tcPr>
            <w:tcW w:w="970" w:type="dxa"/>
            <w:tcBorders>
              <w:top w:val="nil"/>
              <w:left w:val="nil"/>
              <w:bottom w:val="single" w:sz="8" w:space="0" w:color="auto"/>
              <w:right w:val="single" w:sz="8" w:space="0" w:color="auto"/>
            </w:tcBorders>
            <w:shd w:val="clear" w:color="auto" w:fill="auto"/>
            <w:noWrap/>
            <w:vAlign w:val="center"/>
            <w:hideMark/>
          </w:tcPr>
          <w:p w14:paraId="49719305" w14:textId="5ADA574C"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7.4114</w:t>
            </w:r>
          </w:p>
        </w:tc>
        <w:tc>
          <w:tcPr>
            <w:tcW w:w="1015" w:type="dxa"/>
            <w:tcBorders>
              <w:top w:val="nil"/>
              <w:left w:val="nil"/>
              <w:bottom w:val="single" w:sz="8" w:space="0" w:color="auto"/>
              <w:right w:val="single" w:sz="8" w:space="0" w:color="auto"/>
            </w:tcBorders>
            <w:shd w:val="clear" w:color="auto" w:fill="auto"/>
            <w:noWrap/>
            <w:vAlign w:val="center"/>
            <w:hideMark/>
          </w:tcPr>
          <w:p w14:paraId="6EFE80B2" w14:textId="40B1D696"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2.562</w:t>
            </w:r>
          </w:p>
        </w:tc>
        <w:tc>
          <w:tcPr>
            <w:tcW w:w="975" w:type="dxa"/>
            <w:tcBorders>
              <w:top w:val="nil"/>
              <w:left w:val="nil"/>
              <w:bottom w:val="single" w:sz="8" w:space="0" w:color="auto"/>
              <w:right w:val="single" w:sz="8" w:space="0" w:color="auto"/>
            </w:tcBorders>
            <w:shd w:val="clear" w:color="auto" w:fill="auto"/>
            <w:noWrap/>
            <w:vAlign w:val="center"/>
            <w:hideMark/>
          </w:tcPr>
          <w:p w14:paraId="648EAF57" w14:textId="506938CF"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0.437</w:t>
            </w:r>
          </w:p>
        </w:tc>
        <w:tc>
          <w:tcPr>
            <w:tcW w:w="1157" w:type="dxa"/>
            <w:tcBorders>
              <w:top w:val="nil"/>
              <w:left w:val="nil"/>
              <w:bottom w:val="single" w:sz="8" w:space="0" w:color="auto"/>
              <w:right w:val="single" w:sz="8" w:space="0" w:color="auto"/>
            </w:tcBorders>
            <w:shd w:val="clear" w:color="auto" w:fill="auto"/>
            <w:noWrap/>
            <w:vAlign w:val="center"/>
            <w:hideMark/>
          </w:tcPr>
          <w:p w14:paraId="3F278754" w14:textId="18EB50FA"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w:t>
            </w:r>
          </w:p>
        </w:tc>
      </w:tr>
      <w:tr w:rsidR="003248E9" w:rsidRPr="00F733D5" w14:paraId="118CA3ED"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7A366B85" w14:textId="41725E4C"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&gt;520 to 960 MHz</w:t>
            </w:r>
          </w:p>
        </w:tc>
        <w:tc>
          <w:tcPr>
            <w:tcW w:w="1388" w:type="dxa"/>
            <w:tcBorders>
              <w:top w:val="nil"/>
              <w:left w:val="nil"/>
              <w:bottom w:val="single" w:sz="8" w:space="0" w:color="auto"/>
              <w:right w:val="single" w:sz="8" w:space="0" w:color="auto"/>
            </w:tcBorders>
            <w:shd w:val="clear" w:color="auto" w:fill="auto"/>
            <w:noWrap/>
            <w:vAlign w:val="center"/>
            <w:hideMark/>
          </w:tcPr>
          <w:p w14:paraId="15D59604" w14:textId="5D47878B"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10</w:t>
            </w:r>
          </w:p>
        </w:tc>
        <w:tc>
          <w:tcPr>
            <w:tcW w:w="970" w:type="dxa"/>
            <w:tcBorders>
              <w:top w:val="nil"/>
              <w:left w:val="nil"/>
              <w:bottom w:val="single" w:sz="8" w:space="0" w:color="auto"/>
              <w:right w:val="single" w:sz="8" w:space="0" w:color="auto"/>
            </w:tcBorders>
            <w:shd w:val="clear" w:color="auto" w:fill="auto"/>
            <w:noWrap/>
            <w:vAlign w:val="center"/>
            <w:hideMark/>
          </w:tcPr>
          <w:p w14:paraId="6D36E461" w14:textId="1C230D2B"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5.6</w:t>
            </w:r>
          </w:p>
        </w:tc>
        <w:tc>
          <w:tcPr>
            <w:tcW w:w="1015" w:type="dxa"/>
            <w:tcBorders>
              <w:top w:val="nil"/>
              <w:left w:val="nil"/>
              <w:bottom w:val="single" w:sz="8" w:space="0" w:color="auto"/>
              <w:right w:val="single" w:sz="8" w:space="0" w:color="auto"/>
            </w:tcBorders>
            <w:shd w:val="clear" w:color="auto" w:fill="auto"/>
            <w:noWrap/>
            <w:vAlign w:val="center"/>
            <w:hideMark/>
          </w:tcPr>
          <w:p w14:paraId="4F2D649F" w14:textId="6AB57773"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2.562</w:t>
            </w:r>
          </w:p>
        </w:tc>
        <w:tc>
          <w:tcPr>
            <w:tcW w:w="975" w:type="dxa"/>
            <w:tcBorders>
              <w:top w:val="nil"/>
              <w:left w:val="nil"/>
              <w:bottom w:val="single" w:sz="8" w:space="0" w:color="auto"/>
              <w:right w:val="single" w:sz="8" w:space="0" w:color="auto"/>
            </w:tcBorders>
            <w:shd w:val="clear" w:color="auto" w:fill="auto"/>
            <w:noWrap/>
            <w:vAlign w:val="center"/>
            <w:hideMark/>
          </w:tcPr>
          <w:p w14:paraId="48341EC3" w14:textId="4816C7C0"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0.437</w:t>
            </w:r>
          </w:p>
        </w:tc>
        <w:tc>
          <w:tcPr>
            <w:tcW w:w="1157" w:type="dxa"/>
            <w:tcBorders>
              <w:top w:val="nil"/>
              <w:left w:val="nil"/>
              <w:bottom w:val="single" w:sz="8" w:space="0" w:color="auto"/>
              <w:right w:val="single" w:sz="8" w:space="0" w:color="auto"/>
            </w:tcBorders>
            <w:shd w:val="clear" w:color="auto" w:fill="auto"/>
            <w:noWrap/>
            <w:vAlign w:val="center"/>
            <w:hideMark/>
          </w:tcPr>
          <w:p w14:paraId="5B857DDC" w14:textId="0496B7BA"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0.218</w:t>
            </w:r>
          </w:p>
        </w:tc>
      </w:tr>
      <w:tr w:rsidR="003248E9" w:rsidRPr="00F733D5" w14:paraId="7062CD82"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11FCD520" w14:textId="1750489B"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&gt;960 to 2,690 MHz</w:t>
            </w:r>
          </w:p>
        </w:tc>
        <w:tc>
          <w:tcPr>
            <w:tcW w:w="1388" w:type="dxa"/>
            <w:tcBorders>
              <w:top w:val="nil"/>
              <w:left w:val="nil"/>
              <w:bottom w:val="single" w:sz="8" w:space="0" w:color="auto"/>
              <w:right w:val="single" w:sz="8" w:space="0" w:color="auto"/>
            </w:tcBorders>
            <w:shd w:val="clear" w:color="auto" w:fill="auto"/>
            <w:noWrap/>
            <w:vAlign w:val="center"/>
            <w:hideMark/>
          </w:tcPr>
          <w:p w14:paraId="50FF5851" w14:textId="71B9C5A5"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9.985</w:t>
            </w:r>
          </w:p>
        </w:tc>
        <w:tc>
          <w:tcPr>
            <w:tcW w:w="970" w:type="dxa"/>
            <w:tcBorders>
              <w:top w:val="nil"/>
              <w:left w:val="nil"/>
              <w:bottom w:val="single" w:sz="8" w:space="0" w:color="auto"/>
              <w:right w:val="single" w:sz="8" w:space="0" w:color="auto"/>
            </w:tcBorders>
            <w:shd w:val="clear" w:color="auto" w:fill="auto"/>
            <w:noWrap/>
            <w:vAlign w:val="center"/>
            <w:hideMark/>
          </w:tcPr>
          <w:p w14:paraId="42398D4D" w14:textId="0B8B0269"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2.241</w:t>
            </w:r>
          </w:p>
        </w:tc>
        <w:tc>
          <w:tcPr>
            <w:tcW w:w="1015" w:type="dxa"/>
            <w:tcBorders>
              <w:top w:val="nil"/>
              <w:left w:val="nil"/>
              <w:bottom w:val="single" w:sz="8" w:space="0" w:color="auto"/>
              <w:right w:val="single" w:sz="8" w:space="0" w:color="auto"/>
            </w:tcBorders>
            <w:shd w:val="clear" w:color="auto" w:fill="auto"/>
            <w:noWrap/>
            <w:vAlign w:val="center"/>
            <w:hideMark/>
          </w:tcPr>
          <w:p w14:paraId="4C4A8700" w14:textId="0ADB51ED"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1.036</w:t>
            </w:r>
          </w:p>
        </w:tc>
        <w:tc>
          <w:tcPr>
            <w:tcW w:w="975" w:type="dxa"/>
            <w:tcBorders>
              <w:top w:val="nil"/>
              <w:left w:val="nil"/>
              <w:bottom w:val="single" w:sz="8" w:space="0" w:color="auto"/>
              <w:right w:val="single" w:sz="8" w:space="0" w:color="auto"/>
            </w:tcBorders>
            <w:shd w:val="clear" w:color="auto" w:fill="auto"/>
            <w:noWrap/>
            <w:vAlign w:val="center"/>
            <w:hideMark/>
          </w:tcPr>
          <w:p w14:paraId="57A9056C" w14:textId="2FBD5351"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0.521</w:t>
            </w:r>
          </w:p>
        </w:tc>
        <w:tc>
          <w:tcPr>
            <w:tcW w:w="1157" w:type="dxa"/>
            <w:tcBorders>
              <w:top w:val="nil"/>
              <w:left w:val="nil"/>
              <w:bottom w:val="single" w:sz="8" w:space="0" w:color="auto"/>
              <w:right w:val="single" w:sz="8" w:space="0" w:color="auto"/>
            </w:tcBorders>
            <w:shd w:val="clear" w:color="auto" w:fill="auto"/>
            <w:noWrap/>
            <w:vAlign w:val="center"/>
            <w:hideMark/>
          </w:tcPr>
          <w:p w14:paraId="47ABC49F" w14:textId="27D8F029"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0.26</w:t>
            </w:r>
          </w:p>
        </w:tc>
      </w:tr>
      <w:tr w:rsidR="003248E9" w:rsidRPr="00F733D5" w14:paraId="3D83BDB9"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2E57EB16" w14:textId="31D5BC67"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&gt;2,690 to 5,000 MHz</w:t>
            </w:r>
          </w:p>
        </w:tc>
        <w:tc>
          <w:tcPr>
            <w:tcW w:w="1388" w:type="dxa"/>
            <w:tcBorders>
              <w:top w:val="nil"/>
              <w:left w:val="nil"/>
              <w:bottom w:val="single" w:sz="8" w:space="0" w:color="auto"/>
              <w:right w:val="single" w:sz="8" w:space="0" w:color="auto"/>
            </w:tcBorders>
            <w:shd w:val="clear" w:color="auto" w:fill="auto"/>
            <w:noWrap/>
            <w:vAlign w:val="center"/>
            <w:hideMark/>
          </w:tcPr>
          <w:p w14:paraId="66BC557F" w14:textId="02951E5B"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9.974</w:t>
            </w:r>
          </w:p>
        </w:tc>
        <w:tc>
          <w:tcPr>
            <w:tcW w:w="970" w:type="dxa"/>
            <w:tcBorders>
              <w:top w:val="nil"/>
              <w:left w:val="nil"/>
              <w:bottom w:val="single" w:sz="8" w:space="0" w:color="auto"/>
              <w:right w:val="single" w:sz="8" w:space="0" w:color="auto"/>
            </w:tcBorders>
            <w:shd w:val="clear" w:color="auto" w:fill="auto"/>
            <w:noWrap/>
            <w:vAlign w:val="center"/>
            <w:hideMark/>
          </w:tcPr>
          <w:p w14:paraId="6E3254EA" w14:textId="5AC892EE"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1.853</w:t>
            </w:r>
          </w:p>
        </w:tc>
        <w:tc>
          <w:tcPr>
            <w:tcW w:w="1015" w:type="dxa"/>
            <w:tcBorders>
              <w:top w:val="nil"/>
              <w:left w:val="nil"/>
              <w:bottom w:val="single" w:sz="8" w:space="0" w:color="auto"/>
              <w:right w:val="single" w:sz="8" w:space="0" w:color="auto"/>
            </w:tcBorders>
            <w:shd w:val="clear" w:color="auto" w:fill="auto"/>
            <w:noWrap/>
            <w:vAlign w:val="center"/>
            <w:hideMark/>
          </w:tcPr>
          <w:p w14:paraId="7EAF2F4F" w14:textId="2A9B6B8C"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0.751</w:t>
            </w:r>
          </w:p>
        </w:tc>
        <w:tc>
          <w:tcPr>
            <w:tcW w:w="975" w:type="dxa"/>
            <w:tcBorders>
              <w:top w:val="nil"/>
              <w:left w:val="nil"/>
              <w:bottom w:val="single" w:sz="8" w:space="0" w:color="auto"/>
              <w:right w:val="single" w:sz="8" w:space="0" w:color="auto"/>
            </w:tcBorders>
            <w:shd w:val="clear" w:color="auto" w:fill="auto"/>
            <w:noWrap/>
            <w:vAlign w:val="center"/>
            <w:hideMark/>
          </w:tcPr>
          <w:p w14:paraId="310B421D" w14:textId="7345A149"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0.622</w:t>
            </w:r>
          </w:p>
        </w:tc>
        <w:tc>
          <w:tcPr>
            <w:tcW w:w="1157" w:type="dxa"/>
            <w:tcBorders>
              <w:top w:val="nil"/>
              <w:left w:val="nil"/>
              <w:bottom w:val="single" w:sz="8" w:space="0" w:color="auto"/>
              <w:right w:val="single" w:sz="8" w:space="0" w:color="auto"/>
            </w:tcBorders>
            <w:shd w:val="clear" w:color="auto" w:fill="auto"/>
            <w:noWrap/>
            <w:vAlign w:val="center"/>
            <w:hideMark/>
          </w:tcPr>
          <w:p w14:paraId="5A9C4E17" w14:textId="7879971C"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0.311</w:t>
            </w:r>
          </w:p>
        </w:tc>
      </w:tr>
      <w:tr w:rsidR="003248E9" w:rsidRPr="00F733D5" w14:paraId="1C6B32A3"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32F617A0" w14:textId="303398DB"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&gt;5.0 to 8.5 GHz</w:t>
            </w:r>
          </w:p>
        </w:tc>
        <w:tc>
          <w:tcPr>
            <w:tcW w:w="1388" w:type="dxa"/>
            <w:tcBorders>
              <w:top w:val="nil"/>
              <w:left w:val="nil"/>
              <w:bottom w:val="single" w:sz="8" w:space="0" w:color="auto"/>
              <w:right w:val="single" w:sz="8" w:space="0" w:color="auto"/>
            </w:tcBorders>
            <w:shd w:val="clear" w:color="auto" w:fill="auto"/>
            <w:noWrap/>
            <w:vAlign w:val="center"/>
            <w:hideMark/>
          </w:tcPr>
          <w:p w14:paraId="60B2F515" w14:textId="05DB8913"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8.421</w:t>
            </w:r>
          </w:p>
        </w:tc>
        <w:tc>
          <w:tcPr>
            <w:tcW w:w="970" w:type="dxa"/>
            <w:tcBorders>
              <w:top w:val="nil"/>
              <w:left w:val="nil"/>
              <w:bottom w:val="single" w:sz="8" w:space="0" w:color="auto"/>
              <w:right w:val="single" w:sz="8" w:space="0" w:color="auto"/>
            </w:tcBorders>
            <w:shd w:val="clear" w:color="auto" w:fill="auto"/>
            <w:noWrap/>
            <w:vAlign w:val="center"/>
            <w:hideMark/>
          </w:tcPr>
          <w:p w14:paraId="6C9E81A1" w14:textId="649ADD2E"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1.557</w:t>
            </w:r>
          </w:p>
        </w:tc>
        <w:tc>
          <w:tcPr>
            <w:tcW w:w="1015" w:type="dxa"/>
            <w:tcBorders>
              <w:top w:val="nil"/>
              <w:left w:val="nil"/>
              <w:bottom w:val="single" w:sz="8" w:space="0" w:color="auto"/>
              <w:right w:val="single" w:sz="8" w:space="0" w:color="auto"/>
            </w:tcBorders>
            <w:shd w:val="clear" w:color="auto" w:fill="auto"/>
            <w:noWrap/>
            <w:vAlign w:val="center"/>
            <w:hideMark/>
          </w:tcPr>
          <w:p w14:paraId="2EA0588E" w14:textId="7A4476AF"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0.725</w:t>
            </w:r>
          </w:p>
        </w:tc>
        <w:tc>
          <w:tcPr>
            <w:tcW w:w="975" w:type="dxa"/>
            <w:tcBorders>
              <w:top w:val="nil"/>
              <w:left w:val="nil"/>
              <w:bottom w:val="single" w:sz="8" w:space="0" w:color="auto"/>
              <w:right w:val="single" w:sz="8" w:space="0" w:color="auto"/>
            </w:tcBorders>
            <w:shd w:val="clear" w:color="auto" w:fill="auto"/>
            <w:noWrap/>
            <w:vAlign w:val="center"/>
            <w:hideMark/>
          </w:tcPr>
          <w:p w14:paraId="6E6AAB2B" w14:textId="1F6D23CF"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0.33</w:t>
            </w:r>
          </w:p>
        </w:tc>
        <w:tc>
          <w:tcPr>
            <w:tcW w:w="1157" w:type="dxa"/>
            <w:tcBorders>
              <w:top w:val="nil"/>
              <w:left w:val="nil"/>
              <w:bottom w:val="single" w:sz="8" w:space="0" w:color="auto"/>
              <w:right w:val="single" w:sz="8" w:space="0" w:color="auto"/>
            </w:tcBorders>
            <w:shd w:val="clear" w:color="auto" w:fill="auto"/>
            <w:noWrap/>
            <w:vAlign w:val="center"/>
            <w:hideMark/>
          </w:tcPr>
          <w:p w14:paraId="3ED7F51F" w14:textId="0B8799DA"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0.16</w:t>
            </w:r>
          </w:p>
        </w:tc>
      </w:tr>
      <w:tr w:rsidR="003248E9" w:rsidRPr="00F733D5" w14:paraId="4110C4C2"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026CF914" w14:textId="0A7BF222"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&gt;8.5 to 14.5 GHz</w:t>
            </w:r>
          </w:p>
        </w:tc>
        <w:tc>
          <w:tcPr>
            <w:tcW w:w="1388" w:type="dxa"/>
            <w:tcBorders>
              <w:top w:val="nil"/>
              <w:left w:val="nil"/>
              <w:bottom w:val="single" w:sz="8" w:space="0" w:color="auto"/>
              <w:right w:val="single" w:sz="8" w:space="0" w:color="auto"/>
            </w:tcBorders>
            <w:shd w:val="clear" w:color="auto" w:fill="auto"/>
            <w:noWrap/>
            <w:vAlign w:val="center"/>
            <w:hideMark/>
          </w:tcPr>
          <w:p w14:paraId="458CC87F" w14:textId="4F9BB345"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3.711</w:t>
            </w:r>
          </w:p>
        </w:tc>
        <w:tc>
          <w:tcPr>
            <w:tcW w:w="970" w:type="dxa"/>
            <w:tcBorders>
              <w:top w:val="nil"/>
              <w:left w:val="nil"/>
              <w:bottom w:val="single" w:sz="8" w:space="0" w:color="auto"/>
              <w:right w:val="single" w:sz="8" w:space="0" w:color="auto"/>
            </w:tcBorders>
            <w:shd w:val="clear" w:color="auto" w:fill="auto"/>
            <w:noWrap/>
            <w:vAlign w:val="center"/>
            <w:hideMark/>
          </w:tcPr>
          <w:p w14:paraId="66CA7BA3" w14:textId="14E2B3AB"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1.336</w:t>
            </w:r>
          </w:p>
        </w:tc>
        <w:tc>
          <w:tcPr>
            <w:tcW w:w="1015" w:type="dxa"/>
            <w:tcBorders>
              <w:top w:val="nil"/>
              <w:left w:val="nil"/>
              <w:bottom w:val="single" w:sz="8" w:space="0" w:color="auto"/>
              <w:right w:val="single" w:sz="8" w:space="0" w:color="auto"/>
            </w:tcBorders>
            <w:shd w:val="clear" w:color="auto" w:fill="auto"/>
            <w:noWrap/>
            <w:vAlign w:val="center"/>
            <w:hideMark/>
          </w:tcPr>
          <w:p w14:paraId="34CFC181" w14:textId="1659CC43"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0.316</w:t>
            </w:r>
          </w:p>
        </w:tc>
        <w:tc>
          <w:tcPr>
            <w:tcW w:w="975" w:type="dxa"/>
            <w:tcBorders>
              <w:top w:val="nil"/>
              <w:left w:val="nil"/>
              <w:bottom w:val="single" w:sz="8" w:space="0" w:color="auto"/>
              <w:right w:val="single" w:sz="8" w:space="0" w:color="auto"/>
            </w:tcBorders>
            <w:shd w:val="clear" w:color="auto" w:fill="auto"/>
            <w:noWrap/>
            <w:vAlign w:val="center"/>
            <w:hideMark/>
          </w:tcPr>
          <w:p w14:paraId="38F50FD8" w14:textId="79D29B26"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0.023</w:t>
            </w:r>
          </w:p>
        </w:tc>
        <w:tc>
          <w:tcPr>
            <w:tcW w:w="1157" w:type="dxa"/>
            <w:tcBorders>
              <w:top w:val="nil"/>
              <w:left w:val="nil"/>
              <w:bottom w:val="single" w:sz="8" w:space="0" w:color="auto"/>
              <w:right w:val="single" w:sz="8" w:space="0" w:color="auto"/>
            </w:tcBorders>
            <w:shd w:val="clear" w:color="auto" w:fill="auto"/>
            <w:noWrap/>
            <w:vAlign w:val="center"/>
            <w:hideMark/>
          </w:tcPr>
          <w:p w14:paraId="14C2A9BD" w14:textId="762786BC"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0.011</w:t>
            </w:r>
          </w:p>
        </w:tc>
      </w:tr>
      <w:tr w:rsidR="003248E9" w:rsidRPr="00F733D5" w14:paraId="38EACCCB"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72B0E66A" w14:textId="4A99BB37"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&gt;14.5 to 31.3 GHz</w:t>
            </w:r>
          </w:p>
        </w:tc>
        <w:tc>
          <w:tcPr>
            <w:tcW w:w="1388" w:type="dxa"/>
            <w:tcBorders>
              <w:top w:val="nil"/>
              <w:left w:val="nil"/>
              <w:bottom w:val="single" w:sz="8" w:space="0" w:color="auto"/>
              <w:right w:val="single" w:sz="8" w:space="0" w:color="auto"/>
            </w:tcBorders>
            <w:shd w:val="clear" w:color="auto" w:fill="auto"/>
            <w:noWrap/>
            <w:vAlign w:val="center"/>
            <w:hideMark/>
          </w:tcPr>
          <w:p w14:paraId="3F0CA9FC" w14:textId="06993466"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3.711</w:t>
            </w:r>
          </w:p>
        </w:tc>
        <w:tc>
          <w:tcPr>
            <w:tcW w:w="970" w:type="dxa"/>
            <w:tcBorders>
              <w:top w:val="nil"/>
              <w:left w:val="nil"/>
              <w:bottom w:val="single" w:sz="8" w:space="0" w:color="auto"/>
              <w:right w:val="single" w:sz="8" w:space="0" w:color="auto"/>
            </w:tcBorders>
            <w:shd w:val="clear" w:color="auto" w:fill="auto"/>
            <w:noWrap/>
            <w:vAlign w:val="center"/>
            <w:hideMark/>
          </w:tcPr>
          <w:p w14:paraId="02C45219" w14:textId="4C1C9CE1"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0.988</w:t>
            </w:r>
          </w:p>
        </w:tc>
        <w:tc>
          <w:tcPr>
            <w:tcW w:w="1015" w:type="dxa"/>
            <w:tcBorders>
              <w:top w:val="nil"/>
              <w:left w:val="nil"/>
              <w:bottom w:val="single" w:sz="8" w:space="0" w:color="auto"/>
              <w:right w:val="single" w:sz="8" w:space="0" w:color="auto"/>
            </w:tcBorders>
            <w:shd w:val="clear" w:color="auto" w:fill="auto"/>
            <w:noWrap/>
            <w:vAlign w:val="center"/>
            <w:hideMark/>
          </w:tcPr>
          <w:p w14:paraId="2CDF280E" w14:textId="231DEE51"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0.217</w:t>
            </w:r>
          </w:p>
        </w:tc>
        <w:tc>
          <w:tcPr>
            <w:tcW w:w="975" w:type="dxa"/>
            <w:tcBorders>
              <w:top w:val="nil"/>
              <w:left w:val="nil"/>
              <w:bottom w:val="single" w:sz="8" w:space="0" w:color="auto"/>
              <w:right w:val="single" w:sz="8" w:space="0" w:color="auto"/>
            </w:tcBorders>
            <w:shd w:val="clear" w:color="auto" w:fill="auto"/>
            <w:noWrap/>
            <w:vAlign w:val="center"/>
            <w:hideMark/>
          </w:tcPr>
          <w:p w14:paraId="69C579B4" w14:textId="2EA0061B"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0.023</w:t>
            </w:r>
          </w:p>
        </w:tc>
        <w:tc>
          <w:tcPr>
            <w:tcW w:w="1157" w:type="dxa"/>
            <w:tcBorders>
              <w:top w:val="nil"/>
              <w:left w:val="nil"/>
              <w:bottom w:val="single" w:sz="8" w:space="0" w:color="auto"/>
              <w:right w:val="single" w:sz="8" w:space="0" w:color="auto"/>
            </w:tcBorders>
            <w:shd w:val="clear" w:color="auto" w:fill="auto"/>
            <w:noWrap/>
            <w:vAlign w:val="center"/>
            <w:hideMark/>
          </w:tcPr>
          <w:p w14:paraId="228F495A" w14:textId="06659FD4"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0.011</w:t>
            </w:r>
          </w:p>
        </w:tc>
      </w:tr>
      <w:tr w:rsidR="003248E9" w:rsidRPr="00F733D5" w14:paraId="61795C31"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7B2B85B0" w14:textId="5E09B27D"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&gt;31.3 to 51.4 GHz</w:t>
            </w:r>
          </w:p>
        </w:tc>
        <w:tc>
          <w:tcPr>
            <w:tcW w:w="1388" w:type="dxa"/>
            <w:tcBorders>
              <w:top w:val="nil"/>
              <w:left w:val="nil"/>
              <w:bottom w:val="single" w:sz="8" w:space="0" w:color="auto"/>
              <w:right w:val="single" w:sz="8" w:space="0" w:color="auto"/>
            </w:tcBorders>
            <w:shd w:val="clear" w:color="auto" w:fill="auto"/>
            <w:noWrap/>
            <w:vAlign w:val="center"/>
            <w:hideMark/>
          </w:tcPr>
          <w:p w14:paraId="43E3882F" w14:textId="1205691F"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1.012</w:t>
            </w:r>
          </w:p>
        </w:tc>
        <w:tc>
          <w:tcPr>
            <w:tcW w:w="970" w:type="dxa"/>
            <w:tcBorders>
              <w:top w:val="nil"/>
              <w:left w:val="nil"/>
              <w:bottom w:val="single" w:sz="8" w:space="0" w:color="auto"/>
              <w:right w:val="single" w:sz="8" w:space="0" w:color="auto"/>
            </w:tcBorders>
            <w:shd w:val="clear" w:color="auto" w:fill="auto"/>
            <w:noWrap/>
            <w:vAlign w:val="center"/>
            <w:hideMark/>
          </w:tcPr>
          <w:p w14:paraId="7C8A5757" w14:textId="514158E8"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0.539</w:t>
            </w:r>
          </w:p>
        </w:tc>
        <w:tc>
          <w:tcPr>
            <w:tcW w:w="1015" w:type="dxa"/>
            <w:tcBorders>
              <w:top w:val="nil"/>
              <w:left w:val="nil"/>
              <w:bottom w:val="single" w:sz="8" w:space="0" w:color="auto"/>
              <w:right w:val="single" w:sz="8" w:space="0" w:color="auto"/>
            </w:tcBorders>
            <w:shd w:val="clear" w:color="auto" w:fill="auto"/>
            <w:noWrap/>
            <w:vAlign w:val="center"/>
            <w:hideMark/>
          </w:tcPr>
          <w:p w14:paraId="2C2FD4EF" w14:textId="5E82768B"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0.117</w:t>
            </w:r>
          </w:p>
        </w:tc>
        <w:tc>
          <w:tcPr>
            <w:tcW w:w="975" w:type="dxa"/>
            <w:tcBorders>
              <w:top w:val="nil"/>
              <w:left w:val="nil"/>
              <w:bottom w:val="single" w:sz="8" w:space="0" w:color="auto"/>
              <w:right w:val="single" w:sz="8" w:space="0" w:color="auto"/>
            </w:tcBorders>
            <w:shd w:val="clear" w:color="auto" w:fill="auto"/>
            <w:noWrap/>
            <w:vAlign w:val="center"/>
            <w:hideMark/>
          </w:tcPr>
          <w:p w14:paraId="0892D650" w14:textId="75A2F76C"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0.004</w:t>
            </w:r>
          </w:p>
        </w:tc>
        <w:tc>
          <w:tcPr>
            <w:tcW w:w="1157" w:type="dxa"/>
            <w:tcBorders>
              <w:top w:val="nil"/>
              <w:left w:val="nil"/>
              <w:bottom w:val="single" w:sz="8" w:space="0" w:color="auto"/>
              <w:right w:val="single" w:sz="8" w:space="0" w:color="auto"/>
            </w:tcBorders>
            <w:shd w:val="clear" w:color="auto" w:fill="auto"/>
            <w:noWrap/>
            <w:vAlign w:val="center"/>
            <w:hideMark/>
          </w:tcPr>
          <w:p w14:paraId="1F62E74B" w14:textId="7160BA5F"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0.002</w:t>
            </w:r>
          </w:p>
        </w:tc>
      </w:tr>
      <w:tr w:rsidR="003248E9" w:rsidRPr="00F733D5" w14:paraId="1D8BA188" w14:textId="77777777" w:rsidTr="006040D1">
        <w:trPr>
          <w:trHeight w:val="242"/>
        </w:trPr>
        <w:tc>
          <w:tcPr>
            <w:tcW w:w="2146" w:type="dxa"/>
            <w:tcBorders>
              <w:top w:val="nil"/>
              <w:left w:val="single" w:sz="8" w:space="0" w:color="auto"/>
              <w:bottom w:val="single" w:sz="8" w:space="0" w:color="auto"/>
              <w:right w:val="single" w:sz="8" w:space="0" w:color="auto"/>
            </w:tcBorders>
            <w:shd w:val="clear" w:color="auto" w:fill="auto"/>
            <w:noWrap/>
            <w:vAlign w:val="center"/>
            <w:hideMark/>
          </w:tcPr>
          <w:p w14:paraId="57EF7D5C" w14:textId="78161D5E" w:rsidR="003248E9" w:rsidRPr="00F71814" w:rsidRDefault="003248E9" w:rsidP="008A5614">
            <w:pPr>
              <w:spacing w:after="0" w:line="240" w:lineRule="auto"/>
              <w:rPr>
                <w:rFonts w:cs="Arial"/>
                <w:color w:val="000000"/>
                <w:sz w:val="18"/>
                <w:szCs w:val="22"/>
              </w:rPr>
            </w:pPr>
            <w:r w:rsidRPr="00F71814">
              <w:rPr>
                <w:rFonts w:cs="Arial"/>
                <w:color w:val="000000"/>
                <w:sz w:val="18"/>
                <w:szCs w:val="22"/>
              </w:rPr>
              <w:t>Above 51.4 GHz</w:t>
            </w:r>
          </w:p>
        </w:tc>
        <w:tc>
          <w:tcPr>
            <w:tcW w:w="1388" w:type="dxa"/>
            <w:tcBorders>
              <w:top w:val="nil"/>
              <w:left w:val="nil"/>
              <w:bottom w:val="single" w:sz="8" w:space="0" w:color="auto"/>
              <w:right w:val="single" w:sz="8" w:space="0" w:color="auto"/>
            </w:tcBorders>
            <w:shd w:val="clear" w:color="auto" w:fill="auto"/>
            <w:noWrap/>
            <w:vAlign w:val="center"/>
            <w:hideMark/>
          </w:tcPr>
          <w:p w14:paraId="304B4420" w14:textId="15A9721E"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0.1</w:t>
            </w:r>
          </w:p>
        </w:tc>
        <w:tc>
          <w:tcPr>
            <w:tcW w:w="970" w:type="dxa"/>
            <w:tcBorders>
              <w:top w:val="nil"/>
              <w:left w:val="nil"/>
              <w:bottom w:val="single" w:sz="8" w:space="0" w:color="auto"/>
              <w:right w:val="single" w:sz="8" w:space="0" w:color="auto"/>
            </w:tcBorders>
            <w:shd w:val="clear" w:color="auto" w:fill="auto"/>
            <w:noWrap/>
            <w:vAlign w:val="center"/>
            <w:hideMark/>
          </w:tcPr>
          <w:p w14:paraId="4AF0F0DE" w14:textId="7102F63C"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0.01</w:t>
            </w:r>
          </w:p>
        </w:tc>
        <w:tc>
          <w:tcPr>
            <w:tcW w:w="1015" w:type="dxa"/>
            <w:tcBorders>
              <w:top w:val="nil"/>
              <w:left w:val="nil"/>
              <w:bottom w:val="single" w:sz="8" w:space="0" w:color="auto"/>
              <w:right w:val="single" w:sz="8" w:space="0" w:color="auto"/>
            </w:tcBorders>
            <w:shd w:val="clear" w:color="auto" w:fill="auto"/>
            <w:noWrap/>
            <w:vAlign w:val="center"/>
            <w:hideMark/>
          </w:tcPr>
          <w:p w14:paraId="11AB27FC" w14:textId="5D5FD5E2"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0.01</w:t>
            </w:r>
          </w:p>
        </w:tc>
        <w:tc>
          <w:tcPr>
            <w:tcW w:w="975" w:type="dxa"/>
            <w:tcBorders>
              <w:top w:val="nil"/>
              <w:left w:val="nil"/>
              <w:bottom w:val="single" w:sz="8" w:space="0" w:color="auto"/>
              <w:right w:val="single" w:sz="8" w:space="0" w:color="auto"/>
            </w:tcBorders>
            <w:shd w:val="clear" w:color="auto" w:fill="auto"/>
            <w:noWrap/>
            <w:vAlign w:val="center"/>
            <w:hideMark/>
          </w:tcPr>
          <w:p w14:paraId="03B20404" w14:textId="0B4DF3C0"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0.001</w:t>
            </w:r>
          </w:p>
        </w:tc>
        <w:tc>
          <w:tcPr>
            <w:tcW w:w="1157" w:type="dxa"/>
            <w:tcBorders>
              <w:top w:val="nil"/>
              <w:left w:val="nil"/>
              <w:bottom w:val="single" w:sz="8" w:space="0" w:color="auto"/>
              <w:right w:val="single" w:sz="8" w:space="0" w:color="auto"/>
            </w:tcBorders>
            <w:shd w:val="clear" w:color="auto" w:fill="auto"/>
            <w:noWrap/>
            <w:vAlign w:val="center"/>
            <w:hideMark/>
          </w:tcPr>
          <w:p w14:paraId="0AB99938" w14:textId="2C8BCB80" w:rsidR="003248E9" w:rsidRPr="00F71814" w:rsidRDefault="003248E9" w:rsidP="008A5614">
            <w:pPr>
              <w:spacing w:after="0" w:line="240" w:lineRule="auto"/>
              <w:jc w:val="right"/>
              <w:rPr>
                <w:rFonts w:cs="Arial"/>
                <w:color w:val="000000"/>
                <w:sz w:val="18"/>
                <w:szCs w:val="22"/>
              </w:rPr>
            </w:pPr>
            <w:r w:rsidRPr="00F71814">
              <w:rPr>
                <w:rFonts w:cs="Arial"/>
                <w:color w:val="000000"/>
                <w:sz w:val="18"/>
                <w:szCs w:val="22"/>
              </w:rPr>
              <w:t>0.001</w:t>
            </w:r>
          </w:p>
        </w:tc>
      </w:tr>
    </w:tbl>
    <w:p w14:paraId="23334EC1" w14:textId="775547C1" w:rsidR="6461FCBE" w:rsidRDefault="003248E9" w:rsidP="77B20063">
      <w:pPr>
        <w:pStyle w:val="Paragraph"/>
        <w:rPr>
          <w:rFonts w:eastAsia="Arial"/>
          <w:color w:val="000000" w:themeColor="text1"/>
          <w:sz w:val="22"/>
          <w:szCs w:val="22"/>
        </w:rPr>
      </w:pPr>
      <w:r>
        <w:br/>
      </w:r>
      <w:r w:rsidR="6461FCBE">
        <w:t xml:space="preserve">The following sections </w:t>
      </w:r>
      <w:r w:rsidR="003A38C2">
        <w:t xml:space="preserve">provide more detail about </w:t>
      </w:r>
      <w:r w:rsidR="6461FCBE">
        <w:t>these proposals.</w:t>
      </w:r>
    </w:p>
    <w:p w14:paraId="2F96AAFA" w14:textId="159789A7" w:rsidR="6461FCBE" w:rsidRDefault="6461FCBE" w:rsidP="77B20063">
      <w:pPr>
        <w:pStyle w:val="Heading2"/>
      </w:pPr>
      <w:bookmarkStart w:id="9" w:name="_Toc86153494"/>
      <w:r>
        <w:lastRenderedPageBreak/>
        <w:t>Amalgamat</w:t>
      </w:r>
      <w:r w:rsidR="706A99AF">
        <w:t>e</w:t>
      </w:r>
      <w:r>
        <w:t xml:space="preserve"> </w:t>
      </w:r>
      <w:r w:rsidR="12E1653F" w:rsidRPr="77B20063">
        <w:t>the &gt;30 to 403 MHz range</w:t>
      </w:r>
      <w:r w:rsidR="00DC7B85">
        <w:t xml:space="preserve"> into</w:t>
      </w:r>
      <w:r w:rsidR="00FD4525">
        <w:t xml:space="preserve"> a</w:t>
      </w:r>
      <w:r w:rsidR="00DC7B85">
        <w:t xml:space="preserve"> single band</w:t>
      </w:r>
      <w:bookmarkEnd w:id="9"/>
    </w:p>
    <w:p w14:paraId="2E7F0CFB" w14:textId="332B7514" w:rsidR="0626F481" w:rsidRDefault="0626F481" w:rsidP="77B20063">
      <w:pPr>
        <w:pStyle w:val="Paragraph"/>
        <w:rPr>
          <w:rFonts w:eastAsia="Arial"/>
          <w:color w:val="000000" w:themeColor="text1"/>
          <w:sz w:val="22"/>
          <w:szCs w:val="22"/>
        </w:rPr>
      </w:pPr>
      <w:r w:rsidRPr="77B20063">
        <w:t>An assessment of current total assignments within each location classification</w:t>
      </w:r>
      <w:r w:rsidR="37F7DFCB" w:rsidRPr="77B20063">
        <w:t xml:space="preserve"> (see </w:t>
      </w:r>
      <w:r w:rsidR="00CC4EB4">
        <w:t xml:space="preserve">blue shaded cells in </w:t>
      </w:r>
      <w:r w:rsidR="00121615">
        <w:t>T</w:t>
      </w:r>
      <w:r w:rsidR="37F7DFCB" w:rsidRPr="77B20063">
        <w:t>able</w:t>
      </w:r>
      <w:r w:rsidR="00041DD4">
        <w:t xml:space="preserve"> </w:t>
      </w:r>
      <w:r w:rsidR="004B2565">
        <w:t>3</w:t>
      </w:r>
      <w:r w:rsidR="37F7DFCB" w:rsidRPr="77B20063">
        <w:t xml:space="preserve"> below)</w:t>
      </w:r>
      <w:r w:rsidRPr="77B20063">
        <w:t xml:space="preserve"> shows that the total number of assignments in the &gt;30 to 70 MHz </w:t>
      </w:r>
      <w:r w:rsidRPr="007D6758">
        <w:t xml:space="preserve">range </w:t>
      </w:r>
      <w:r w:rsidR="000E0259" w:rsidRPr="007D6758">
        <w:t xml:space="preserve">(predominantly land mobile licences) </w:t>
      </w:r>
      <w:r w:rsidRPr="007D6758">
        <w:t>and the &gt;399.9 to 403 MHz range</w:t>
      </w:r>
      <w:r w:rsidR="007D6758" w:rsidRPr="007D6758">
        <w:t xml:space="preserve"> (mostly radiodetermination and fixed services)</w:t>
      </w:r>
      <w:r w:rsidRPr="77B20063">
        <w:t xml:space="preserve"> </w:t>
      </w:r>
      <w:r w:rsidR="001B33F9">
        <w:t>are much lower than neighbouring bands</w:t>
      </w:r>
      <w:r w:rsidR="00CA5A80">
        <w:t>,</w:t>
      </w:r>
      <w:r w:rsidR="001B33F9">
        <w:t xml:space="preserve"> and </w:t>
      </w:r>
      <w:r w:rsidR="00874642">
        <w:t>may</w:t>
      </w:r>
      <w:r w:rsidRPr="77B20063">
        <w:t xml:space="preserve"> not justify separate </w:t>
      </w:r>
      <w:r w:rsidR="00CA5A80">
        <w:t xml:space="preserve">spectrum </w:t>
      </w:r>
      <w:r w:rsidRPr="77B20063">
        <w:t xml:space="preserve">location weightings. This view is further </w:t>
      </w:r>
      <w:r w:rsidR="00874642">
        <w:t>supported</w:t>
      </w:r>
      <w:r w:rsidRPr="77B20063">
        <w:t xml:space="preserve"> by the fact that the weightings</w:t>
      </w:r>
      <w:r w:rsidR="01A8D5B1" w:rsidRPr="77B20063">
        <w:t xml:space="preserve"> for these bands</w:t>
      </w:r>
      <w:r w:rsidRPr="77B20063">
        <w:t xml:space="preserve"> differ only marginally with the location weightings for the &gt;70 to 399.9 MHz range</w:t>
      </w:r>
      <w:r w:rsidR="00874642">
        <w:t xml:space="preserve"> (see </w:t>
      </w:r>
      <w:r w:rsidR="00121615">
        <w:t>T</w:t>
      </w:r>
      <w:r w:rsidR="00874642">
        <w:t xml:space="preserve">able </w:t>
      </w:r>
      <w:r w:rsidR="00F20864">
        <w:t>2</w:t>
      </w:r>
      <w:r w:rsidR="00874642">
        <w:t>)</w:t>
      </w:r>
      <w:r w:rsidRPr="77B20063">
        <w:t>.</w:t>
      </w:r>
    </w:p>
    <w:p w14:paraId="7BCDC385" w14:textId="0283F8FC" w:rsidR="3F8816FB" w:rsidRDefault="3F8816FB" w:rsidP="77B20063">
      <w:pPr>
        <w:pStyle w:val="Paragraph"/>
        <w:rPr>
          <w:rFonts w:eastAsia="Arial"/>
          <w:color w:val="000000" w:themeColor="text1"/>
          <w:sz w:val="22"/>
          <w:szCs w:val="22"/>
        </w:rPr>
      </w:pPr>
      <w:r w:rsidRPr="77B20063">
        <w:t xml:space="preserve">Consequently, the ACMA proposes </w:t>
      </w:r>
      <w:r w:rsidR="5DFADAFB" w:rsidRPr="77B20063">
        <w:t>to simplify the table by</w:t>
      </w:r>
      <w:r w:rsidRPr="77B20063">
        <w:t xml:space="preserve"> combin</w:t>
      </w:r>
      <w:r w:rsidR="4CB753D5" w:rsidRPr="77B20063">
        <w:t>ing</w:t>
      </w:r>
      <w:r w:rsidRPr="77B20063">
        <w:t xml:space="preserve"> the &gt;30 to 403</w:t>
      </w:r>
      <w:r w:rsidR="00010B24">
        <w:t> </w:t>
      </w:r>
      <w:r w:rsidRPr="77B20063">
        <w:t>MHz range</w:t>
      </w:r>
      <w:r w:rsidR="00715E3D">
        <w:t xml:space="preserve"> </w:t>
      </w:r>
      <w:r w:rsidR="00DD417B">
        <w:t xml:space="preserve">(marked in blue below) </w:t>
      </w:r>
      <w:r w:rsidR="00715E3D">
        <w:t>into one spectrum location,</w:t>
      </w:r>
      <w:r w:rsidRPr="77B20063">
        <w:t xml:space="preserve"> and use the lowest common location weight</w:t>
      </w:r>
      <w:r w:rsidR="006415E7">
        <w:t>ing</w:t>
      </w:r>
      <w:r w:rsidR="00C613C5">
        <w:t xml:space="preserve"> </w:t>
      </w:r>
      <w:r w:rsidR="00715E3D">
        <w:t xml:space="preserve">for each geographic location </w:t>
      </w:r>
      <w:r w:rsidR="00C613C5">
        <w:t xml:space="preserve">(see </w:t>
      </w:r>
      <w:r w:rsidR="00121615">
        <w:t>T</w:t>
      </w:r>
      <w:r w:rsidR="00C613C5">
        <w:t>able 1)</w:t>
      </w:r>
      <w:r w:rsidR="07400C53" w:rsidRPr="77B20063">
        <w:t xml:space="preserve">. </w:t>
      </w:r>
    </w:p>
    <w:p w14:paraId="40D000F4" w14:textId="3AD70B0D" w:rsidR="003248E9" w:rsidRDefault="7526A77B" w:rsidP="003248E9">
      <w:pPr>
        <w:pStyle w:val="Tableheading"/>
        <w:rPr>
          <w:rFonts w:eastAsia="Arial"/>
        </w:rPr>
      </w:pPr>
      <w:r w:rsidRPr="77B20063">
        <w:rPr>
          <w:rFonts w:eastAsia="Arial"/>
        </w:rPr>
        <w:t>Current total assignments (2020)</w:t>
      </w:r>
    </w:p>
    <w:tbl>
      <w:tblPr>
        <w:tblW w:w="7687" w:type="dxa"/>
        <w:tblCellMar>
          <w:top w:w="57" w:type="dxa"/>
          <w:bottom w:w="57" w:type="dxa"/>
        </w:tblCellMar>
        <w:tblLook w:val="04A0" w:firstRow="1" w:lastRow="0" w:firstColumn="1" w:lastColumn="0" w:noHBand="0" w:noVBand="1"/>
      </w:tblPr>
      <w:tblGrid>
        <w:gridCol w:w="2007"/>
        <w:gridCol w:w="1077"/>
        <w:gridCol w:w="837"/>
        <w:gridCol w:w="956"/>
        <w:gridCol w:w="907"/>
        <w:gridCol w:w="919"/>
        <w:gridCol w:w="984"/>
      </w:tblGrid>
      <w:tr w:rsidR="00F71814" w:rsidRPr="00F71814" w14:paraId="09849559" w14:textId="77777777" w:rsidTr="006040D1">
        <w:trPr>
          <w:cantSplit/>
          <w:trHeight w:val="136"/>
        </w:trPr>
        <w:tc>
          <w:tcPr>
            <w:tcW w:w="2007" w:type="dxa"/>
            <w:tcBorders>
              <w:top w:val="single" w:sz="8" w:space="0" w:color="auto"/>
              <w:left w:val="single" w:sz="8" w:space="0" w:color="auto"/>
              <w:bottom w:val="single" w:sz="8" w:space="0" w:color="auto"/>
              <w:right w:val="single" w:sz="8" w:space="0" w:color="auto"/>
            </w:tcBorders>
            <w:shd w:val="clear" w:color="000000" w:fill="404040"/>
            <w:noWrap/>
            <w:vAlign w:val="center"/>
            <w:hideMark/>
          </w:tcPr>
          <w:p w14:paraId="426ABDF9" w14:textId="77777777" w:rsidR="00F71814" w:rsidRPr="00F71814" w:rsidRDefault="00F71814" w:rsidP="008A5614">
            <w:pPr>
              <w:spacing w:after="0" w:line="240" w:lineRule="auto"/>
              <w:rPr>
                <w:rFonts w:cs="Arial"/>
                <w:b/>
                <w:bCs/>
                <w:color w:val="FFFFFF"/>
                <w:sz w:val="18"/>
                <w:szCs w:val="22"/>
              </w:rPr>
            </w:pPr>
            <w:r w:rsidRPr="00F71814">
              <w:rPr>
                <w:rFonts w:cs="Arial"/>
                <w:b/>
                <w:bCs/>
                <w:color w:val="FFFFFF"/>
                <w:sz w:val="18"/>
                <w:szCs w:val="22"/>
              </w:rPr>
              <w:t> </w:t>
            </w:r>
          </w:p>
        </w:tc>
        <w:tc>
          <w:tcPr>
            <w:tcW w:w="4696" w:type="dxa"/>
            <w:gridSpan w:val="5"/>
            <w:tcBorders>
              <w:top w:val="single" w:sz="8" w:space="0" w:color="auto"/>
              <w:left w:val="nil"/>
              <w:bottom w:val="single" w:sz="8" w:space="0" w:color="auto"/>
              <w:right w:val="single" w:sz="8" w:space="0" w:color="000000"/>
            </w:tcBorders>
            <w:shd w:val="clear" w:color="000000" w:fill="404040"/>
            <w:noWrap/>
            <w:vAlign w:val="center"/>
            <w:hideMark/>
          </w:tcPr>
          <w:p w14:paraId="1406D8EB" w14:textId="77777777" w:rsidR="00F71814" w:rsidRPr="00F71814" w:rsidRDefault="00F71814" w:rsidP="008A5614">
            <w:pPr>
              <w:spacing w:after="0" w:line="240" w:lineRule="auto"/>
              <w:jc w:val="center"/>
              <w:rPr>
                <w:rFonts w:cs="Arial"/>
                <w:b/>
                <w:bCs/>
                <w:color w:val="FFFFFF"/>
                <w:sz w:val="18"/>
                <w:szCs w:val="22"/>
              </w:rPr>
            </w:pPr>
            <w:r w:rsidRPr="00F71814">
              <w:rPr>
                <w:rFonts w:cs="Arial"/>
                <w:b/>
                <w:bCs/>
                <w:color w:val="FFFFFF"/>
                <w:sz w:val="18"/>
                <w:szCs w:val="22"/>
              </w:rPr>
              <w:t>Geographic location</w:t>
            </w:r>
          </w:p>
        </w:tc>
        <w:tc>
          <w:tcPr>
            <w:tcW w:w="984" w:type="dxa"/>
            <w:tcBorders>
              <w:top w:val="nil"/>
              <w:left w:val="nil"/>
              <w:bottom w:val="nil"/>
              <w:right w:val="nil"/>
            </w:tcBorders>
            <w:shd w:val="clear" w:color="auto" w:fill="404040" w:themeFill="text1" w:themeFillTint="BF"/>
            <w:noWrap/>
            <w:vAlign w:val="bottom"/>
            <w:hideMark/>
          </w:tcPr>
          <w:p w14:paraId="65BC7294" w14:textId="77777777" w:rsidR="00F71814" w:rsidRPr="00F71814" w:rsidRDefault="00F71814" w:rsidP="008A5614">
            <w:pPr>
              <w:spacing w:after="0" w:line="240" w:lineRule="auto"/>
              <w:jc w:val="center"/>
              <w:rPr>
                <w:rFonts w:cs="Arial"/>
                <w:b/>
                <w:bCs/>
                <w:color w:val="FFFFFF"/>
                <w:sz w:val="18"/>
                <w:szCs w:val="22"/>
              </w:rPr>
            </w:pPr>
          </w:p>
        </w:tc>
      </w:tr>
      <w:tr w:rsidR="00F71814" w:rsidRPr="00F71814" w14:paraId="532C2C78" w14:textId="77777777" w:rsidTr="006040D1">
        <w:trPr>
          <w:cantSplit/>
          <w:trHeight w:val="132"/>
        </w:trPr>
        <w:tc>
          <w:tcPr>
            <w:tcW w:w="2007" w:type="dxa"/>
            <w:tcBorders>
              <w:top w:val="nil"/>
              <w:left w:val="single" w:sz="8" w:space="0" w:color="auto"/>
              <w:bottom w:val="single" w:sz="8" w:space="0" w:color="auto"/>
              <w:right w:val="single" w:sz="8" w:space="0" w:color="auto"/>
            </w:tcBorders>
            <w:shd w:val="clear" w:color="000000" w:fill="404040"/>
            <w:noWrap/>
            <w:vAlign w:val="center"/>
            <w:hideMark/>
          </w:tcPr>
          <w:p w14:paraId="3E623B4B" w14:textId="77777777" w:rsidR="00F71814" w:rsidRPr="00F71814" w:rsidRDefault="00F71814" w:rsidP="008A5614">
            <w:pPr>
              <w:spacing w:after="0" w:line="240" w:lineRule="auto"/>
              <w:rPr>
                <w:rFonts w:cs="Arial"/>
                <w:b/>
                <w:bCs/>
                <w:color w:val="FFFFFF"/>
                <w:sz w:val="18"/>
                <w:szCs w:val="22"/>
              </w:rPr>
            </w:pPr>
            <w:r w:rsidRPr="00F71814">
              <w:rPr>
                <w:rFonts w:cs="Arial"/>
                <w:b/>
                <w:bCs/>
                <w:color w:val="FFFFFF"/>
                <w:sz w:val="18"/>
                <w:szCs w:val="22"/>
              </w:rPr>
              <w:t>Spectrum location</w:t>
            </w:r>
          </w:p>
        </w:tc>
        <w:tc>
          <w:tcPr>
            <w:tcW w:w="1077" w:type="dxa"/>
            <w:tcBorders>
              <w:top w:val="nil"/>
              <w:left w:val="nil"/>
              <w:bottom w:val="single" w:sz="8" w:space="0" w:color="auto"/>
              <w:right w:val="single" w:sz="8" w:space="0" w:color="auto"/>
            </w:tcBorders>
            <w:shd w:val="clear" w:color="000000" w:fill="404040"/>
            <w:noWrap/>
            <w:vAlign w:val="center"/>
            <w:hideMark/>
          </w:tcPr>
          <w:p w14:paraId="59897C6B" w14:textId="77777777" w:rsidR="00F71814" w:rsidRPr="00F71814" w:rsidRDefault="00F71814" w:rsidP="006040D1">
            <w:pPr>
              <w:spacing w:after="0" w:line="240" w:lineRule="auto"/>
              <w:jc w:val="center"/>
              <w:rPr>
                <w:rFonts w:cs="Arial"/>
                <w:b/>
                <w:bCs/>
                <w:color w:val="FFFFFF"/>
                <w:sz w:val="18"/>
                <w:szCs w:val="22"/>
              </w:rPr>
            </w:pPr>
            <w:r w:rsidRPr="00F71814">
              <w:rPr>
                <w:rFonts w:cs="Arial"/>
                <w:b/>
                <w:bCs/>
                <w:color w:val="FFFFFF"/>
                <w:sz w:val="18"/>
                <w:szCs w:val="22"/>
              </w:rPr>
              <w:t>Aus-wide</w:t>
            </w:r>
          </w:p>
        </w:tc>
        <w:tc>
          <w:tcPr>
            <w:tcW w:w="837" w:type="dxa"/>
            <w:tcBorders>
              <w:top w:val="nil"/>
              <w:left w:val="nil"/>
              <w:bottom w:val="single" w:sz="8" w:space="0" w:color="auto"/>
              <w:right w:val="single" w:sz="8" w:space="0" w:color="auto"/>
            </w:tcBorders>
            <w:shd w:val="clear" w:color="000000" w:fill="404040"/>
            <w:noWrap/>
            <w:vAlign w:val="center"/>
            <w:hideMark/>
          </w:tcPr>
          <w:p w14:paraId="0A76FC5A" w14:textId="77777777" w:rsidR="00F71814" w:rsidRPr="00F71814" w:rsidRDefault="00F71814" w:rsidP="006040D1">
            <w:pPr>
              <w:spacing w:after="0" w:line="240" w:lineRule="auto"/>
              <w:jc w:val="center"/>
              <w:rPr>
                <w:rFonts w:cs="Arial"/>
                <w:b/>
                <w:bCs/>
                <w:color w:val="FFFFFF"/>
                <w:sz w:val="18"/>
                <w:szCs w:val="22"/>
              </w:rPr>
            </w:pPr>
            <w:r w:rsidRPr="00F71814">
              <w:rPr>
                <w:rFonts w:cs="Arial"/>
                <w:b/>
                <w:bCs/>
                <w:color w:val="FFFFFF"/>
                <w:sz w:val="18"/>
                <w:szCs w:val="22"/>
              </w:rPr>
              <w:t>High</w:t>
            </w:r>
          </w:p>
        </w:tc>
        <w:tc>
          <w:tcPr>
            <w:tcW w:w="956" w:type="dxa"/>
            <w:tcBorders>
              <w:top w:val="nil"/>
              <w:left w:val="nil"/>
              <w:bottom w:val="single" w:sz="8" w:space="0" w:color="auto"/>
              <w:right w:val="single" w:sz="8" w:space="0" w:color="auto"/>
            </w:tcBorders>
            <w:shd w:val="clear" w:color="000000" w:fill="404040"/>
            <w:noWrap/>
            <w:vAlign w:val="center"/>
            <w:hideMark/>
          </w:tcPr>
          <w:p w14:paraId="11BBB641" w14:textId="77777777" w:rsidR="00F71814" w:rsidRPr="00F71814" w:rsidRDefault="00F71814" w:rsidP="006040D1">
            <w:pPr>
              <w:spacing w:after="0" w:line="240" w:lineRule="auto"/>
              <w:jc w:val="center"/>
              <w:rPr>
                <w:rFonts w:cs="Arial"/>
                <w:b/>
                <w:bCs/>
                <w:color w:val="FFFFFF"/>
                <w:sz w:val="18"/>
                <w:szCs w:val="22"/>
              </w:rPr>
            </w:pPr>
            <w:r w:rsidRPr="00F71814">
              <w:rPr>
                <w:rFonts w:cs="Arial"/>
                <w:b/>
                <w:bCs/>
                <w:color w:val="FFFFFF"/>
                <w:sz w:val="18"/>
                <w:szCs w:val="22"/>
              </w:rPr>
              <w:t>Medium</w:t>
            </w:r>
          </w:p>
        </w:tc>
        <w:tc>
          <w:tcPr>
            <w:tcW w:w="907" w:type="dxa"/>
            <w:tcBorders>
              <w:top w:val="nil"/>
              <w:left w:val="nil"/>
              <w:bottom w:val="single" w:sz="8" w:space="0" w:color="auto"/>
              <w:right w:val="single" w:sz="8" w:space="0" w:color="auto"/>
            </w:tcBorders>
            <w:shd w:val="clear" w:color="000000" w:fill="404040"/>
            <w:noWrap/>
            <w:vAlign w:val="center"/>
            <w:hideMark/>
          </w:tcPr>
          <w:p w14:paraId="694B9FDF" w14:textId="77777777" w:rsidR="00F71814" w:rsidRPr="00F71814" w:rsidRDefault="00F71814" w:rsidP="006040D1">
            <w:pPr>
              <w:spacing w:after="0" w:line="240" w:lineRule="auto"/>
              <w:jc w:val="center"/>
              <w:rPr>
                <w:rFonts w:cs="Arial"/>
                <w:b/>
                <w:bCs/>
                <w:color w:val="FFFFFF"/>
                <w:sz w:val="18"/>
                <w:szCs w:val="22"/>
              </w:rPr>
            </w:pPr>
            <w:r w:rsidRPr="00F71814">
              <w:rPr>
                <w:rFonts w:cs="Arial"/>
                <w:b/>
                <w:bCs/>
                <w:color w:val="FFFFFF"/>
                <w:sz w:val="18"/>
                <w:szCs w:val="22"/>
              </w:rPr>
              <w:t>Low</w:t>
            </w:r>
          </w:p>
        </w:tc>
        <w:tc>
          <w:tcPr>
            <w:tcW w:w="918" w:type="dxa"/>
            <w:tcBorders>
              <w:top w:val="nil"/>
              <w:left w:val="nil"/>
              <w:bottom w:val="single" w:sz="8" w:space="0" w:color="auto"/>
              <w:right w:val="single" w:sz="8" w:space="0" w:color="auto"/>
            </w:tcBorders>
            <w:shd w:val="clear" w:color="000000" w:fill="404040"/>
            <w:noWrap/>
            <w:vAlign w:val="center"/>
            <w:hideMark/>
          </w:tcPr>
          <w:p w14:paraId="15411A10" w14:textId="77777777" w:rsidR="00F71814" w:rsidRPr="00F71814" w:rsidRDefault="00F71814" w:rsidP="006040D1">
            <w:pPr>
              <w:spacing w:after="0" w:line="240" w:lineRule="auto"/>
              <w:jc w:val="center"/>
              <w:rPr>
                <w:rFonts w:cs="Arial"/>
                <w:b/>
                <w:bCs/>
                <w:color w:val="FFFFFF"/>
                <w:sz w:val="18"/>
                <w:szCs w:val="22"/>
              </w:rPr>
            </w:pPr>
            <w:r w:rsidRPr="00F71814">
              <w:rPr>
                <w:rFonts w:cs="Arial"/>
                <w:b/>
                <w:bCs/>
                <w:color w:val="FFFFFF"/>
                <w:sz w:val="18"/>
                <w:szCs w:val="22"/>
              </w:rPr>
              <w:t>Remote</w:t>
            </w:r>
          </w:p>
        </w:tc>
        <w:tc>
          <w:tcPr>
            <w:tcW w:w="984" w:type="dxa"/>
            <w:tcBorders>
              <w:top w:val="nil"/>
              <w:left w:val="nil"/>
              <w:bottom w:val="single" w:sz="8" w:space="0" w:color="auto"/>
              <w:right w:val="nil"/>
            </w:tcBorders>
            <w:shd w:val="clear" w:color="auto" w:fill="404040" w:themeFill="text1" w:themeFillTint="BF"/>
            <w:noWrap/>
            <w:vAlign w:val="center"/>
            <w:hideMark/>
          </w:tcPr>
          <w:p w14:paraId="7D918870"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w:t>
            </w:r>
          </w:p>
        </w:tc>
      </w:tr>
      <w:tr w:rsidR="00F71814" w:rsidRPr="00F71814" w14:paraId="03F0EDD2" w14:textId="77777777" w:rsidTr="006040D1">
        <w:trPr>
          <w:cantSplit/>
          <w:trHeight w:val="277"/>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60B2D421"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30 MHz and below</w:t>
            </w:r>
          </w:p>
        </w:tc>
        <w:tc>
          <w:tcPr>
            <w:tcW w:w="1077" w:type="dxa"/>
            <w:tcBorders>
              <w:top w:val="nil"/>
              <w:left w:val="nil"/>
              <w:bottom w:val="single" w:sz="8" w:space="0" w:color="auto"/>
              <w:right w:val="single" w:sz="8" w:space="0" w:color="auto"/>
            </w:tcBorders>
            <w:shd w:val="clear" w:color="auto" w:fill="auto"/>
            <w:noWrap/>
            <w:vAlign w:val="center"/>
            <w:hideMark/>
          </w:tcPr>
          <w:p w14:paraId="4780DC57"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1,259 </w:t>
            </w:r>
          </w:p>
        </w:tc>
        <w:tc>
          <w:tcPr>
            <w:tcW w:w="837" w:type="dxa"/>
            <w:tcBorders>
              <w:top w:val="nil"/>
              <w:left w:val="nil"/>
              <w:bottom w:val="single" w:sz="8" w:space="0" w:color="auto"/>
              <w:right w:val="single" w:sz="8" w:space="0" w:color="auto"/>
            </w:tcBorders>
            <w:shd w:val="clear" w:color="auto" w:fill="auto"/>
            <w:noWrap/>
            <w:vAlign w:val="center"/>
            <w:hideMark/>
          </w:tcPr>
          <w:p w14:paraId="3591D417"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2,039 </w:t>
            </w:r>
          </w:p>
        </w:tc>
        <w:tc>
          <w:tcPr>
            <w:tcW w:w="956" w:type="dxa"/>
            <w:tcBorders>
              <w:top w:val="nil"/>
              <w:left w:val="nil"/>
              <w:bottom w:val="single" w:sz="8" w:space="0" w:color="auto"/>
              <w:right w:val="single" w:sz="8" w:space="0" w:color="auto"/>
            </w:tcBorders>
            <w:shd w:val="clear" w:color="auto" w:fill="auto"/>
            <w:noWrap/>
            <w:vAlign w:val="center"/>
            <w:hideMark/>
          </w:tcPr>
          <w:p w14:paraId="36825212"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815 </w:t>
            </w:r>
          </w:p>
        </w:tc>
        <w:tc>
          <w:tcPr>
            <w:tcW w:w="907" w:type="dxa"/>
            <w:tcBorders>
              <w:top w:val="nil"/>
              <w:left w:val="nil"/>
              <w:bottom w:val="single" w:sz="8" w:space="0" w:color="auto"/>
              <w:right w:val="single" w:sz="8" w:space="0" w:color="auto"/>
            </w:tcBorders>
            <w:shd w:val="clear" w:color="auto" w:fill="auto"/>
            <w:noWrap/>
            <w:vAlign w:val="center"/>
            <w:hideMark/>
          </w:tcPr>
          <w:p w14:paraId="40933C9A"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10,412</w:t>
            </w:r>
          </w:p>
        </w:tc>
        <w:tc>
          <w:tcPr>
            <w:tcW w:w="918" w:type="dxa"/>
            <w:tcBorders>
              <w:top w:val="nil"/>
              <w:left w:val="nil"/>
              <w:bottom w:val="single" w:sz="8" w:space="0" w:color="auto"/>
              <w:right w:val="single" w:sz="8" w:space="0" w:color="auto"/>
            </w:tcBorders>
            <w:shd w:val="clear" w:color="auto" w:fill="auto"/>
            <w:noWrap/>
            <w:vAlign w:val="center"/>
            <w:hideMark/>
          </w:tcPr>
          <w:p w14:paraId="6B88C565"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10,934 </w:t>
            </w:r>
          </w:p>
        </w:tc>
        <w:tc>
          <w:tcPr>
            <w:tcW w:w="984" w:type="dxa"/>
            <w:tcBorders>
              <w:top w:val="nil"/>
              <w:left w:val="nil"/>
              <w:bottom w:val="single" w:sz="8" w:space="0" w:color="auto"/>
              <w:right w:val="single" w:sz="8" w:space="0" w:color="auto"/>
            </w:tcBorders>
            <w:shd w:val="clear" w:color="auto" w:fill="auto"/>
            <w:noWrap/>
            <w:vAlign w:val="center"/>
            <w:hideMark/>
          </w:tcPr>
          <w:p w14:paraId="7909B1A5"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25,459 </w:t>
            </w:r>
          </w:p>
        </w:tc>
      </w:tr>
      <w:tr w:rsidR="00F71814" w:rsidRPr="00F71814" w14:paraId="5DECBFF3" w14:textId="77777777" w:rsidTr="006040D1">
        <w:trPr>
          <w:cantSplit/>
          <w:trHeight w:val="274"/>
        </w:trPr>
        <w:tc>
          <w:tcPr>
            <w:tcW w:w="2007" w:type="dxa"/>
            <w:tcBorders>
              <w:top w:val="nil"/>
              <w:left w:val="single" w:sz="8" w:space="0" w:color="auto"/>
              <w:bottom w:val="single" w:sz="8" w:space="0" w:color="auto"/>
              <w:right w:val="single" w:sz="8" w:space="0" w:color="auto"/>
            </w:tcBorders>
            <w:shd w:val="clear" w:color="000000" w:fill="BDD7EE"/>
            <w:noWrap/>
            <w:vAlign w:val="center"/>
            <w:hideMark/>
          </w:tcPr>
          <w:p w14:paraId="4CE053E6"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&gt;30 to 70 MHz</w:t>
            </w:r>
          </w:p>
        </w:tc>
        <w:tc>
          <w:tcPr>
            <w:tcW w:w="1077" w:type="dxa"/>
            <w:tcBorders>
              <w:top w:val="nil"/>
              <w:left w:val="nil"/>
              <w:bottom w:val="single" w:sz="8" w:space="0" w:color="auto"/>
              <w:right w:val="single" w:sz="8" w:space="0" w:color="auto"/>
            </w:tcBorders>
            <w:shd w:val="clear" w:color="000000" w:fill="BDD7EE"/>
            <w:noWrap/>
            <w:vAlign w:val="center"/>
            <w:hideMark/>
          </w:tcPr>
          <w:p w14:paraId="54FF8AC0"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602 </w:t>
            </w:r>
          </w:p>
        </w:tc>
        <w:tc>
          <w:tcPr>
            <w:tcW w:w="837" w:type="dxa"/>
            <w:tcBorders>
              <w:top w:val="nil"/>
              <w:left w:val="nil"/>
              <w:bottom w:val="single" w:sz="8" w:space="0" w:color="auto"/>
              <w:right w:val="single" w:sz="8" w:space="0" w:color="auto"/>
            </w:tcBorders>
            <w:shd w:val="clear" w:color="000000" w:fill="BDD7EE"/>
            <w:noWrap/>
            <w:vAlign w:val="center"/>
            <w:hideMark/>
          </w:tcPr>
          <w:p w14:paraId="6A7ACCAD"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147 </w:t>
            </w:r>
          </w:p>
        </w:tc>
        <w:tc>
          <w:tcPr>
            <w:tcW w:w="956" w:type="dxa"/>
            <w:tcBorders>
              <w:top w:val="nil"/>
              <w:left w:val="nil"/>
              <w:bottom w:val="single" w:sz="8" w:space="0" w:color="auto"/>
              <w:right w:val="single" w:sz="8" w:space="0" w:color="auto"/>
            </w:tcBorders>
            <w:shd w:val="clear" w:color="000000" w:fill="BDD7EE"/>
            <w:noWrap/>
            <w:vAlign w:val="center"/>
            <w:hideMark/>
          </w:tcPr>
          <w:p w14:paraId="040AFC64"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28 </w:t>
            </w:r>
          </w:p>
        </w:tc>
        <w:tc>
          <w:tcPr>
            <w:tcW w:w="907" w:type="dxa"/>
            <w:tcBorders>
              <w:top w:val="nil"/>
              <w:left w:val="nil"/>
              <w:bottom w:val="single" w:sz="8" w:space="0" w:color="auto"/>
              <w:right w:val="single" w:sz="8" w:space="0" w:color="auto"/>
            </w:tcBorders>
            <w:shd w:val="clear" w:color="000000" w:fill="BDD7EE"/>
            <w:noWrap/>
            <w:vAlign w:val="center"/>
            <w:hideMark/>
          </w:tcPr>
          <w:p w14:paraId="34813F40"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429 </w:t>
            </w:r>
          </w:p>
        </w:tc>
        <w:tc>
          <w:tcPr>
            <w:tcW w:w="918" w:type="dxa"/>
            <w:tcBorders>
              <w:top w:val="nil"/>
              <w:left w:val="nil"/>
              <w:bottom w:val="single" w:sz="8" w:space="0" w:color="auto"/>
              <w:right w:val="single" w:sz="8" w:space="0" w:color="auto"/>
            </w:tcBorders>
            <w:shd w:val="clear" w:color="000000" w:fill="BDD7EE"/>
            <w:noWrap/>
            <w:vAlign w:val="center"/>
            <w:hideMark/>
          </w:tcPr>
          <w:p w14:paraId="5D64598F"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60 </w:t>
            </w:r>
          </w:p>
        </w:tc>
        <w:tc>
          <w:tcPr>
            <w:tcW w:w="984" w:type="dxa"/>
            <w:tcBorders>
              <w:top w:val="nil"/>
              <w:left w:val="nil"/>
              <w:bottom w:val="single" w:sz="8" w:space="0" w:color="auto"/>
              <w:right w:val="single" w:sz="8" w:space="0" w:color="auto"/>
            </w:tcBorders>
            <w:shd w:val="clear" w:color="000000" w:fill="BDD7EE"/>
            <w:noWrap/>
            <w:vAlign w:val="center"/>
            <w:hideMark/>
          </w:tcPr>
          <w:p w14:paraId="6DCC9E96"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1,266 </w:t>
            </w:r>
          </w:p>
        </w:tc>
      </w:tr>
      <w:tr w:rsidR="00F71814" w:rsidRPr="00F71814" w14:paraId="4DA9759E" w14:textId="77777777" w:rsidTr="006040D1">
        <w:trPr>
          <w:cantSplit/>
          <w:trHeight w:val="274"/>
        </w:trPr>
        <w:tc>
          <w:tcPr>
            <w:tcW w:w="2007" w:type="dxa"/>
            <w:tcBorders>
              <w:top w:val="nil"/>
              <w:left w:val="single" w:sz="8" w:space="0" w:color="auto"/>
              <w:bottom w:val="single" w:sz="8" w:space="0" w:color="auto"/>
              <w:right w:val="single" w:sz="8" w:space="0" w:color="auto"/>
            </w:tcBorders>
            <w:shd w:val="clear" w:color="000000" w:fill="BDD7EE"/>
            <w:noWrap/>
            <w:vAlign w:val="center"/>
            <w:hideMark/>
          </w:tcPr>
          <w:p w14:paraId="5E8CB700"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&gt;70 to 399.9 MHz</w:t>
            </w:r>
          </w:p>
        </w:tc>
        <w:tc>
          <w:tcPr>
            <w:tcW w:w="1077" w:type="dxa"/>
            <w:tcBorders>
              <w:top w:val="nil"/>
              <w:left w:val="nil"/>
              <w:bottom w:val="single" w:sz="8" w:space="0" w:color="auto"/>
              <w:right w:val="single" w:sz="8" w:space="0" w:color="auto"/>
            </w:tcBorders>
            <w:shd w:val="clear" w:color="000000" w:fill="BDD7EE"/>
            <w:noWrap/>
            <w:vAlign w:val="center"/>
            <w:hideMark/>
          </w:tcPr>
          <w:p w14:paraId="57556027"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560 </w:t>
            </w:r>
          </w:p>
        </w:tc>
        <w:tc>
          <w:tcPr>
            <w:tcW w:w="837" w:type="dxa"/>
            <w:tcBorders>
              <w:top w:val="nil"/>
              <w:left w:val="nil"/>
              <w:bottom w:val="single" w:sz="8" w:space="0" w:color="auto"/>
              <w:right w:val="single" w:sz="8" w:space="0" w:color="auto"/>
            </w:tcBorders>
            <w:shd w:val="clear" w:color="000000" w:fill="BDD7EE"/>
            <w:noWrap/>
            <w:vAlign w:val="center"/>
            <w:hideMark/>
          </w:tcPr>
          <w:p w14:paraId="01569A41"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9,836 </w:t>
            </w:r>
          </w:p>
        </w:tc>
        <w:tc>
          <w:tcPr>
            <w:tcW w:w="956" w:type="dxa"/>
            <w:tcBorders>
              <w:top w:val="nil"/>
              <w:left w:val="nil"/>
              <w:bottom w:val="single" w:sz="8" w:space="0" w:color="auto"/>
              <w:right w:val="single" w:sz="8" w:space="0" w:color="auto"/>
            </w:tcBorders>
            <w:shd w:val="clear" w:color="000000" w:fill="BDD7EE"/>
            <w:noWrap/>
            <w:vAlign w:val="center"/>
            <w:hideMark/>
          </w:tcPr>
          <w:p w14:paraId="72685A2B"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2,337 </w:t>
            </w:r>
          </w:p>
        </w:tc>
        <w:tc>
          <w:tcPr>
            <w:tcW w:w="907" w:type="dxa"/>
            <w:tcBorders>
              <w:top w:val="nil"/>
              <w:left w:val="nil"/>
              <w:bottom w:val="single" w:sz="8" w:space="0" w:color="auto"/>
              <w:right w:val="single" w:sz="8" w:space="0" w:color="auto"/>
            </w:tcBorders>
            <w:shd w:val="clear" w:color="000000" w:fill="BDD7EE"/>
            <w:noWrap/>
            <w:vAlign w:val="center"/>
            <w:hideMark/>
          </w:tcPr>
          <w:p w14:paraId="28582A6C"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35,307 </w:t>
            </w:r>
          </w:p>
        </w:tc>
        <w:tc>
          <w:tcPr>
            <w:tcW w:w="918" w:type="dxa"/>
            <w:tcBorders>
              <w:top w:val="nil"/>
              <w:left w:val="nil"/>
              <w:bottom w:val="single" w:sz="8" w:space="0" w:color="auto"/>
              <w:right w:val="single" w:sz="8" w:space="0" w:color="auto"/>
            </w:tcBorders>
            <w:shd w:val="clear" w:color="000000" w:fill="BDD7EE"/>
            <w:noWrap/>
            <w:vAlign w:val="center"/>
            <w:hideMark/>
          </w:tcPr>
          <w:p w14:paraId="5960278E"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16,392 </w:t>
            </w:r>
          </w:p>
        </w:tc>
        <w:tc>
          <w:tcPr>
            <w:tcW w:w="984" w:type="dxa"/>
            <w:tcBorders>
              <w:top w:val="nil"/>
              <w:left w:val="nil"/>
              <w:bottom w:val="single" w:sz="8" w:space="0" w:color="auto"/>
              <w:right w:val="single" w:sz="8" w:space="0" w:color="auto"/>
            </w:tcBorders>
            <w:shd w:val="clear" w:color="000000" w:fill="BDD7EE"/>
            <w:noWrap/>
            <w:vAlign w:val="center"/>
            <w:hideMark/>
          </w:tcPr>
          <w:p w14:paraId="58DA66E0"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64,432 </w:t>
            </w:r>
          </w:p>
        </w:tc>
      </w:tr>
      <w:tr w:rsidR="00F71814" w:rsidRPr="00F71814" w14:paraId="4806545E" w14:textId="77777777" w:rsidTr="006040D1">
        <w:trPr>
          <w:cantSplit/>
          <w:trHeight w:val="277"/>
        </w:trPr>
        <w:tc>
          <w:tcPr>
            <w:tcW w:w="2007" w:type="dxa"/>
            <w:tcBorders>
              <w:top w:val="nil"/>
              <w:left w:val="single" w:sz="8" w:space="0" w:color="auto"/>
              <w:bottom w:val="single" w:sz="8" w:space="0" w:color="auto"/>
              <w:right w:val="single" w:sz="8" w:space="0" w:color="auto"/>
            </w:tcBorders>
            <w:shd w:val="clear" w:color="000000" w:fill="BDD7EE"/>
            <w:noWrap/>
            <w:vAlign w:val="center"/>
            <w:hideMark/>
          </w:tcPr>
          <w:p w14:paraId="79120ADB"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&gt;399.9 to 403 MHz</w:t>
            </w:r>
          </w:p>
        </w:tc>
        <w:tc>
          <w:tcPr>
            <w:tcW w:w="1077" w:type="dxa"/>
            <w:tcBorders>
              <w:top w:val="nil"/>
              <w:left w:val="nil"/>
              <w:bottom w:val="single" w:sz="8" w:space="0" w:color="auto"/>
              <w:right w:val="single" w:sz="8" w:space="0" w:color="auto"/>
            </w:tcBorders>
            <w:shd w:val="clear" w:color="000000" w:fill="BDD7EE"/>
            <w:noWrap/>
            <w:vAlign w:val="center"/>
            <w:hideMark/>
          </w:tcPr>
          <w:p w14:paraId="4437794E"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62 </w:t>
            </w:r>
          </w:p>
        </w:tc>
        <w:tc>
          <w:tcPr>
            <w:tcW w:w="837" w:type="dxa"/>
            <w:tcBorders>
              <w:top w:val="nil"/>
              <w:left w:val="nil"/>
              <w:bottom w:val="single" w:sz="8" w:space="0" w:color="auto"/>
              <w:right w:val="single" w:sz="8" w:space="0" w:color="auto"/>
            </w:tcBorders>
            <w:shd w:val="clear" w:color="000000" w:fill="BDD7EE"/>
            <w:noWrap/>
            <w:vAlign w:val="center"/>
            <w:hideMark/>
          </w:tcPr>
          <w:p w14:paraId="1F358805"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9 </w:t>
            </w:r>
          </w:p>
        </w:tc>
        <w:tc>
          <w:tcPr>
            <w:tcW w:w="956" w:type="dxa"/>
            <w:tcBorders>
              <w:top w:val="nil"/>
              <w:left w:val="nil"/>
              <w:bottom w:val="single" w:sz="8" w:space="0" w:color="auto"/>
              <w:right w:val="single" w:sz="8" w:space="0" w:color="auto"/>
            </w:tcBorders>
            <w:shd w:val="clear" w:color="000000" w:fill="BDD7EE"/>
            <w:noWrap/>
            <w:vAlign w:val="center"/>
            <w:hideMark/>
          </w:tcPr>
          <w:p w14:paraId="63AFE3C2"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8 </w:t>
            </w:r>
          </w:p>
        </w:tc>
        <w:tc>
          <w:tcPr>
            <w:tcW w:w="907" w:type="dxa"/>
            <w:tcBorders>
              <w:top w:val="nil"/>
              <w:left w:val="nil"/>
              <w:bottom w:val="single" w:sz="8" w:space="0" w:color="auto"/>
              <w:right w:val="single" w:sz="8" w:space="0" w:color="auto"/>
            </w:tcBorders>
            <w:shd w:val="clear" w:color="000000" w:fill="BDD7EE"/>
            <w:noWrap/>
            <w:vAlign w:val="center"/>
            <w:hideMark/>
          </w:tcPr>
          <w:p w14:paraId="6DC16F4D"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33 </w:t>
            </w:r>
          </w:p>
        </w:tc>
        <w:tc>
          <w:tcPr>
            <w:tcW w:w="918" w:type="dxa"/>
            <w:tcBorders>
              <w:top w:val="nil"/>
              <w:left w:val="nil"/>
              <w:bottom w:val="single" w:sz="8" w:space="0" w:color="auto"/>
              <w:right w:val="single" w:sz="8" w:space="0" w:color="auto"/>
            </w:tcBorders>
            <w:shd w:val="clear" w:color="000000" w:fill="BDD7EE"/>
            <w:noWrap/>
            <w:vAlign w:val="center"/>
            <w:hideMark/>
          </w:tcPr>
          <w:p w14:paraId="30D7D768"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72 </w:t>
            </w:r>
          </w:p>
        </w:tc>
        <w:tc>
          <w:tcPr>
            <w:tcW w:w="984" w:type="dxa"/>
            <w:tcBorders>
              <w:top w:val="nil"/>
              <w:left w:val="nil"/>
              <w:bottom w:val="single" w:sz="8" w:space="0" w:color="auto"/>
              <w:right w:val="single" w:sz="8" w:space="0" w:color="auto"/>
            </w:tcBorders>
            <w:shd w:val="clear" w:color="000000" w:fill="BDD7EE"/>
            <w:noWrap/>
            <w:vAlign w:val="center"/>
            <w:hideMark/>
          </w:tcPr>
          <w:p w14:paraId="636F8320"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184 </w:t>
            </w:r>
          </w:p>
        </w:tc>
      </w:tr>
      <w:tr w:rsidR="00F71814" w:rsidRPr="00F71814" w14:paraId="471C8CC5" w14:textId="77777777" w:rsidTr="006040D1">
        <w:trPr>
          <w:cantSplit/>
          <w:trHeight w:val="274"/>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35DF69A6"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&gt;403 to 520 MHz</w:t>
            </w:r>
          </w:p>
        </w:tc>
        <w:tc>
          <w:tcPr>
            <w:tcW w:w="1077" w:type="dxa"/>
            <w:tcBorders>
              <w:top w:val="nil"/>
              <w:left w:val="nil"/>
              <w:bottom w:val="single" w:sz="8" w:space="0" w:color="auto"/>
              <w:right w:val="single" w:sz="8" w:space="0" w:color="auto"/>
            </w:tcBorders>
            <w:shd w:val="clear" w:color="auto" w:fill="auto"/>
            <w:noWrap/>
            <w:vAlign w:val="center"/>
            <w:hideMark/>
          </w:tcPr>
          <w:p w14:paraId="56E4D46E"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3,339 </w:t>
            </w:r>
          </w:p>
        </w:tc>
        <w:tc>
          <w:tcPr>
            <w:tcW w:w="837" w:type="dxa"/>
            <w:tcBorders>
              <w:top w:val="nil"/>
              <w:left w:val="nil"/>
              <w:bottom w:val="single" w:sz="8" w:space="0" w:color="auto"/>
              <w:right w:val="single" w:sz="8" w:space="0" w:color="auto"/>
            </w:tcBorders>
            <w:shd w:val="clear" w:color="auto" w:fill="auto"/>
            <w:noWrap/>
            <w:vAlign w:val="center"/>
            <w:hideMark/>
          </w:tcPr>
          <w:p w14:paraId="23B6529C"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40,959 </w:t>
            </w:r>
          </w:p>
        </w:tc>
        <w:tc>
          <w:tcPr>
            <w:tcW w:w="956" w:type="dxa"/>
            <w:tcBorders>
              <w:top w:val="nil"/>
              <w:left w:val="nil"/>
              <w:bottom w:val="single" w:sz="8" w:space="0" w:color="auto"/>
              <w:right w:val="single" w:sz="8" w:space="0" w:color="auto"/>
            </w:tcBorders>
            <w:shd w:val="clear" w:color="auto" w:fill="auto"/>
            <w:noWrap/>
            <w:vAlign w:val="center"/>
            <w:hideMark/>
          </w:tcPr>
          <w:p w14:paraId="248BEB90"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12,368 </w:t>
            </w:r>
          </w:p>
        </w:tc>
        <w:tc>
          <w:tcPr>
            <w:tcW w:w="907" w:type="dxa"/>
            <w:tcBorders>
              <w:top w:val="nil"/>
              <w:left w:val="nil"/>
              <w:bottom w:val="single" w:sz="8" w:space="0" w:color="auto"/>
              <w:right w:val="single" w:sz="8" w:space="0" w:color="auto"/>
            </w:tcBorders>
            <w:shd w:val="clear" w:color="auto" w:fill="auto"/>
            <w:noWrap/>
            <w:vAlign w:val="center"/>
            <w:hideMark/>
          </w:tcPr>
          <w:p w14:paraId="26D8B254"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64,107 </w:t>
            </w:r>
          </w:p>
        </w:tc>
        <w:tc>
          <w:tcPr>
            <w:tcW w:w="918" w:type="dxa"/>
            <w:tcBorders>
              <w:top w:val="nil"/>
              <w:left w:val="nil"/>
              <w:bottom w:val="single" w:sz="8" w:space="0" w:color="auto"/>
              <w:right w:val="single" w:sz="8" w:space="0" w:color="auto"/>
            </w:tcBorders>
            <w:shd w:val="clear" w:color="auto" w:fill="auto"/>
            <w:noWrap/>
            <w:vAlign w:val="center"/>
            <w:hideMark/>
          </w:tcPr>
          <w:p w14:paraId="623E1123"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29,197 </w:t>
            </w:r>
          </w:p>
        </w:tc>
        <w:tc>
          <w:tcPr>
            <w:tcW w:w="984" w:type="dxa"/>
            <w:tcBorders>
              <w:top w:val="nil"/>
              <w:left w:val="nil"/>
              <w:bottom w:val="single" w:sz="8" w:space="0" w:color="auto"/>
              <w:right w:val="single" w:sz="8" w:space="0" w:color="auto"/>
            </w:tcBorders>
            <w:shd w:val="clear" w:color="auto" w:fill="auto"/>
            <w:noWrap/>
            <w:vAlign w:val="center"/>
            <w:hideMark/>
          </w:tcPr>
          <w:p w14:paraId="022456A4"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149,970 </w:t>
            </w:r>
          </w:p>
        </w:tc>
      </w:tr>
      <w:tr w:rsidR="00F71814" w:rsidRPr="00F71814" w14:paraId="125F26D4" w14:textId="77777777" w:rsidTr="006040D1">
        <w:trPr>
          <w:cantSplit/>
          <w:trHeight w:val="274"/>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2D514E71"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&gt;520 to 960 MHz</w:t>
            </w:r>
          </w:p>
        </w:tc>
        <w:tc>
          <w:tcPr>
            <w:tcW w:w="1077" w:type="dxa"/>
            <w:tcBorders>
              <w:top w:val="nil"/>
              <w:left w:val="nil"/>
              <w:bottom w:val="single" w:sz="8" w:space="0" w:color="auto"/>
              <w:right w:val="single" w:sz="8" w:space="0" w:color="auto"/>
            </w:tcBorders>
            <w:shd w:val="clear" w:color="auto" w:fill="auto"/>
            <w:noWrap/>
            <w:vAlign w:val="center"/>
            <w:hideMark/>
          </w:tcPr>
          <w:p w14:paraId="233B0C9C"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10 </w:t>
            </w:r>
          </w:p>
        </w:tc>
        <w:tc>
          <w:tcPr>
            <w:tcW w:w="837" w:type="dxa"/>
            <w:tcBorders>
              <w:top w:val="nil"/>
              <w:left w:val="nil"/>
              <w:bottom w:val="single" w:sz="8" w:space="0" w:color="auto"/>
              <w:right w:val="single" w:sz="8" w:space="0" w:color="auto"/>
            </w:tcBorders>
            <w:shd w:val="clear" w:color="auto" w:fill="auto"/>
            <w:noWrap/>
            <w:vAlign w:val="center"/>
            <w:hideMark/>
          </w:tcPr>
          <w:p w14:paraId="2B5F820F"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1,738 </w:t>
            </w:r>
          </w:p>
        </w:tc>
        <w:tc>
          <w:tcPr>
            <w:tcW w:w="956" w:type="dxa"/>
            <w:tcBorders>
              <w:top w:val="nil"/>
              <w:left w:val="nil"/>
              <w:bottom w:val="single" w:sz="8" w:space="0" w:color="auto"/>
              <w:right w:val="single" w:sz="8" w:space="0" w:color="auto"/>
            </w:tcBorders>
            <w:shd w:val="clear" w:color="auto" w:fill="auto"/>
            <w:noWrap/>
            <w:vAlign w:val="center"/>
            <w:hideMark/>
          </w:tcPr>
          <w:p w14:paraId="0A0D3492"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569 </w:t>
            </w:r>
          </w:p>
        </w:tc>
        <w:tc>
          <w:tcPr>
            <w:tcW w:w="907" w:type="dxa"/>
            <w:tcBorders>
              <w:top w:val="nil"/>
              <w:left w:val="nil"/>
              <w:bottom w:val="single" w:sz="8" w:space="0" w:color="auto"/>
              <w:right w:val="single" w:sz="8" w:space="0" w:color="auto"/>
            </w:tcBorders>
            <w:shd w:val="clear" w:color="auto" w:fill="auto"/>
            <w:noWrap/>
            <w:vAlign w:val="center"/>
            <w:hideMark/>
          </w:tcPr>
          <w:p w14:paraId="37A68494"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6,749 </w:t>
            </w:r>
          </w:p>
        </w:tc>
        <w:tc>
          <w:tcPr>
            <w:tcW w:w="918" w:type="dxa"/>
            <w:tcBorders>
              <w:top w:val="nil"/>
              <w:left w:val="nil"/>
              <w:bottom w:val="single" w:sz="8" w:space="0" w:color="auto"/>
              <w:right w:val="single" w:sz="8" w:space="0" w:color="auto"/>
            </w:tcBorders>
            <w:shd w:val="clear" w:color="auto" w:fill="auto"/>
            <w:noWrap/>
            <w:vAlign w:val="center"/>
            <w:hideMark/>
          </w:tcPr>
          <w:p w14:paraId="0A38FCCF"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1,933 </w:t>
            </w:r>
          </w:p>
        </w:tc>
        <w:tc>
          <w:tcPr>
            <w:tcW w:w="984" w:type="dxa"/>
            <w:tcBorders>
              <w:top w:val="nil"/>
              <w:left w:val="nil"/>
              <w:bottom w:val="single" w:sz="8" w:space="0" w:color="auto"/>
              <w:right w:val="single" w:sz="8" w:space="0" w:color="auto"/>
            </w:tcBorders>
            <w:shd w:val="clear" w:color="auto" w:fill="auto"/>
            <w:noWrap/>
            <w:vAlign w:val="center"/>
            <w:hideMark/>
          </w:tcPr>
          <w:p w14:paraId="474738E9"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10,999 </w:t>
            </w:r>
          </w:p>
        </w:tc>
      </w:tr>
      <w:tr w:rsidR="00F71814" w:rsidRPr="00F71814" w14:paraId="49142E82" w14:textId="77777777" w:rsidTr="006040D1">
        <w:trPr>
          <w:cantSplit/>
          <w:trHeight w:val="277"/>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676140DF"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&gt;960 to 2,690 MHz</w:t>
            </w:r>
          </w:p>
        </w:tc>
        <w:tc>
          <w:tcPr>
            <w:tcW w:w="1077" w:type="dxa"/>
            <w:tcBorders>
              <w:top w:val="nil"/>
              <w:left w:val="nil"/>
              <w:bottom w:val="single" w:sz="8" w:space="0" w:color="auto"/>
              <w:right w:val="single" w:sz="8" w:space="0" w:color="auto"/>
            </w:tcBorders>
            <w:shd w:val="clear" w:color="auto" w:fill="auto"/>
            <w:noWrap/>
            <w:vAlign w:val="center"/>
            <w:hideMark/>
          </w:tcPr>
          <w:p w14:paraId="19028B26"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137 </w:t>
            </w:r>
          </w:p>
        </w:tc>
        <w:tc>
          <w:tcPr>
            <w:tcW w:w="837" w:type="dxa"/>
            <w:tcBorders>
              <w:top w:val="nil"/>
              <w:left w:val="nil"/>
              <w:bottom w:val="single" w:sz="8" w:space="0" w:color="auto"/>
              <w:right w:val="single" w:sz="8" w:space="0" w:color="auto"/>
            </w:tcBorders>
            <w:shd w:val="clear" w:color="auto" w:fill="auto"/>
            <w:noWrap/>
            <w:vAlign w:val="center"/>
            <w:hideMark/>
          </w:tcPr>
          <w:p w14:paraId="11A0E602"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572 </w:t>
            </w:r>
          </w:p>
        </w:tc>
        <w:tc>
          <w:tcPr>
            <w:tcW w:w="956" w:type="dxa"/>
            <w:tcBorders>
              <w:top w:val="nil"/>
              <w:left w:val="nil"/>
              <w:bottom w:val="single" w:sz="8" w:space="0" w:color="auto"/>
              <w:right w:val="single" w:sz="8" w:space="0" w:color="auto"/>
            </w:tcBorders>
            <w:shd w:val="clear" w:color="auto" w:fill="auto"/>
            <w:noWrap/>
            <w:vAlign w:val="center"/>
            <w:hideMark/>
          </w:tcPr>
          <w:p w14:paraId="64A48CDA"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230 </w:t>
            </w:r>
          </w:p>
        </w:tc>
        <w:tc>
          <w:tcPr>
            <w:tcW w:w="907" w:type="dxa"/>
            <w:tcBorders>
              <w:top w:val="nil"/>
              <w:left w:val="nil"/>
              <w:bottom w:val="single" w:sz="8" w:space="0" w:color="auto"/>
              <w:right w:val="single" w:sz="8" w:space="0" w:color="auto"/>
            </w:tcBorders>
            <w:shd w:val="clear" w:color="auto" w:fill="auto"/>
            <w:noWrap/>
            <w:vAlign w:val="center"/>
            <w:hideMark/>
          </w:tcPr>
          <w:p w14:paraId="17BC74E5"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13,012 </w:t>
            </w:r>
          </w:p>
        </w:tc>
        <w:tc>
          <w:tcPr>
            <w:tcW w:w="918" w:type="dxa"/>
            <w:tcBorders>
              <w:top w:val="nil"/>
              <w:left w:val="nil"/>
              <w:bottom w:val="single" w:sz="8" w:space="0" w:color="auto"/>
              <w:right w:val="single" w:sz="8" w:space="0" w:color="auto"/>
            </w:tcBorders>
            <w:shd w:val="clear" w:color="auto" w:fill="auto"/>
            <w:noWrap/>
            <w:vAlign w:val="center"/>
            <w:hideMark/>
          </w:tcPr>
          <w:p w14:paraId="33DD25AC"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11,643 </w:t>
            </w:r>
          </w:p>
        </w:tc>
        <w:tc>
          <w:tcPr>
            <w:tcW w:w="984" w:type="dxa"/>
            <w:tcBorders>
              <w:top w:val="nil"/>
              <w:left w:val="nil"/>
              <w:bottom w:val="single" w:sz="8" w:space="0" w:color="auto"/>
              <w:right w:val="single" w:sz="8" w:space="0" w:color="auto"/>
            </w:tcBorders>
            <w:shd w:val="clear" w:color="auto" w:fill="auto"/>
            <w:noWrap/>
            <w:vAlign w:val="center"/>
            <w:hideMark/>
          </w:tcPr>
          <w:p w14:paraId="45FAFEF7"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25,594 </w:t>
            </w:r>
          </w:p>
        </w:tc>
      </w:tr>
      <w:tr w:rsidR="00F71814" w:rsidRPr="00F71814" w14:paraId="527561BA" w14:textId="77777777" w:rsidTr="006040D1">
        <w:trPr>
          <w:cantSplit/>
          <w:trHeight w:val="274"/>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264916D5"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&gt;2,690 to 5,000 MHz</w:t>
            </w:r>
          </w:p>
        </w:tc>
        <w:tc>
          <w:tcPr>
            <w:tcW w:w="1077" w:type="dxa"/>
            <w:tcBorders>
              <w:top w:val="nil"/>
              <w:left w:val="nil"/>
              <w:bottom w:val="single" w:sz="8" w:space="0" w:color="auto"/>
              <w:right w:val="single" w:sz="8" w:space="0" w:color="auto"/>
            </w:tcBorders>
            <w:shd w:val="clear" w:color="auto" w:fill="auto"/>
            <w:noWrap/>
            <w:vAlign w:val="center"/>
            <w:hideMark/>
          </w:tcPr>
          <w:p w14:paraId="5CFDA88B"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14 </w:t>
            </w:r>
          </w:p>
        </w:tc>
        <w:tc>
          <w:tcPr>
            <w:tcW w:w="837" w:type="dxa"/>
            <w:tcBorders>
              <w:top w:val="nil"/>
              <w:left w:val="nil"/>
              <w:bottom w:val="single" w:sz="8" w:space="0" w:color="auto"/>
              <w:right w:val="single" w:sz="8" w:space="0" w:color="auto"/>
            </w:tcBorders>
            <w:shd w:val="clear" w:color="auto" w:fill="auto"/>
            <w:noWrap/>
            <w:vAlign w:val="center"/>
            <w:hideMark/>
          </w:tcPr>
          <w:p w14:paraId="0A37BB0F"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4,494 </w:t>
            </w:r>
          </w:p>
        </w:tc>
        <w:tc>
          <w:tcPr>
            <w:tcW w:w="956" w:type="dxa"/>
            <w:tcBorders>
              <w:top w:val="nil"/>
              <w:left w:val="nil"/>
              <w:bottom w:val="single" w:sz="8" w:space="0" w:color="auto"/>
              <w:right w:val="single" w:sz="8" w:space="0" w:color="auto"/>
            </w:tcBorders>
            <w:shd w:val="clear" w:color="auto" w:fill="auto"/>
            <w:noWrap/>
            <w:vAlign w:val="center"/>
            <w:hideMark/>
          </w:tcPr>
          <w:p w14:paraId="170FEAC5"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1,487 </w:t>
            </w:r>
          </w:p>
        </w:tc>
        <w:tc>
          <w:tcPr>
            <w:tcW w:w="907" w:type="dxa"/>
            <w:tcBorders>
              <w:top w:val="nil"/>
              <w:left w:val="nil"/>
              <w:bottom w:val="single" w:sz="8" w:space="0" w:color="auto"/>
              <w:right w:val="single" w:sz="8" w:space="0" w:color="auto"/>
            </w:tcBorders>
            <w:shd w:val="clear" w:color="auto" w:fill="auto"/>
            <w:noWrap/>
            <w:vAlign w:val="center"/>
            <w:hideMark/>
          </w:tcPr>
          <w:p w14:paraId="58AE4382"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15,680 </w:t>
            </w:r>
          </w:p>
        </w:tc>
        <w:tc>
          <w:tcPr>
            <w:tcW w:w="918" w:type="dxa"/>
            <w:tcBorders>
              <w:top w:val="nil"/>
              <w:left w:val="nil"/>
              <w:bottom w:val="single" w:sz="8" w:space="0" w:color="auto"/>
              <w:right w:val="single" w:sz="8" w:space="0" w:color="auto"/>
            </w:tcBorders>
            <w:shd w:val="clear" w:color="auto" w:fill="auto"/>
            <w:noWrap/>
            <w:vAlign w:val="center"/>
            <w:hideMark/>
          </w:tcPr>
          <w:p w14:paraId="3060B80E"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2,386 </w:t>
            </w:r>
          </w:p>
        </w:tc>
        <w:tc>
          <w:tcPr>
            <w:tcW w:w="984" w:type="dxa"/>
            <w:tcBorders>
              <w:top w:val="nil"/>
              <w:left w:val="nil"/>
              <w:bottom w:val="single" w:sz="8" w:space="0" w:color="auto"/>
              <w:right w:val="single" w:sz="8" w:space="0" w:color="auto"/>
            </w:tcBorders>
            <w:shd w:val="clear" w:color="auto" w:fill="auto"/>
            <w:noWrap/>
            <w:vAlign w:val="center"/>
            <w:hideMark/>
          </w:tcPr>
          <w:p w14:paraId="0981C529"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24,061 </w:t>
            </w:r>
          </w:p>
        </w:tc>
      </w:tr>
      <w:tr w:rsidR="00F71814" w:rsidRPr="00F71814" w14:paraId="1133E4B4" w14:textId="77777777" w:rsidTr="006040D1">
        <w:trPr>
          <w:cantSplit/>
          <w:trHeight w:val="274"/>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7C33005F"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&gt;5.0 to 8.5 GHz</w:t>
            </w:r>
          </w:p>
        </w:tc>
        <w:tc>
          <w:tcPr>
            <w:tcW w:w="1077" w:type="dxa"/>
            <w:tcBorders>
              <w:top w:val="nil"/>
              <w:left w:val="nil"/>
              <w:bottom w:val="single" w:sz="8" w:space="0" w:color="auto"/>
              <w:right w:val="single" w:sz="8" w:space="0" w:color="auto"/>
            </w:tcBorders>
            <w:shd w:val="clear" w:color="auto" w:fill="auto"/>
            <w:noWrap/>
            <w:vAlign w:val="center"/>
            <w:hideMark/>
          </w:tcPr>
          <w:p w14:paraId="4BA23A9E"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33 </w:t>
            </w:r>
          </w:p>
        </w:tc>
        <w:tc>
          <w:tcPr>
            <w:tcW w:w="837" w:type="dxa"/>
            <w:tcBorders>
              <w:top w:val="nil"/>
              <w:left w:val="nil"/>
              <w:bottom w:val="single" w:sz="8" w:space="0" w:color="auto"/>
              <w:right w:val="single" w:sz="8" w:space="0" w:color="auto"/>
            </w:tcBorders>
            <w:shd w:val="clear" w:color="auto" w:fill="auto"/>
            <w:noWrap/>
            <w:vAlign w:val="center"/>
            <w:hideMark/>
          </w:tcPr>
          <w:p w14:paraId="29AF8DDA"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2,771 </w:t>
            </w:r>
          </w:p>
        </w:tc>
        <w:tc>
          <w:tcPr>
            <w:tcW w:w="956" w:type="dxa"/>
            <w:tcBorders>
              <w:top w:val="nil"/>
              <w:left w:val="nil"/>
              <w:bottom w:val="single" w:sz="8" w:space="0" w:color="auto"/>
              <w:right w:val="single" w:sz="8" w:space="0" w:color="auto"/>
            </w:tcBorders>
            <w:shd w:val="clear" w:color="auto" w:fill="auto"/>
            <w:noWrap/>
            <w:vAlign w:val="center"/>
            <w:hideMark/>
          </w:tcPr>
          <w:p w14:paraId="4EE19E7D"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898 </w:t>
            </w:r>
          </w:p>
        </w:tc>
        <w:tc>
          <w:tcPr>
            <w:tcW w:w="907" w:type="dxa"/>
            <w:tcBorders>
              <w:top w:val="nil"/>
              <w:left w:val="nil"/>
              <w:bottom w:val="single" w:sz="8" w:space="0" w:color="auto"/>
              <w:right w:val="single" w:sz="8" w:space="0" w:color="auto"/>
            </w:tcBorders>
            <w:shd w:val="clear" w:color="auto" w:fill="auto"/>
            <w:noWrap/>
            <w:vAlign w:val="center"/>
            <w:hideMark/>
          </w:tcPr>
          <w:p w14:paraId="408A0763"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26,571 </w:t>
            </w:r>
          </w:p>
        </w:tc>
        <w:tc>
          <w:tcPr>
            <w:tcW w:w="918" w:type="dxa"/>
            <w:tcBorders>
              <w:top w:val="nil"/>
              <w:left w:val="nil"/>
              <w:bottom w:val="single" w:sz="8" w:space="0" w:color="auto"/>
              <w:right w:val="single" w:sz="8" w:space="0" w:color="auto"/>
            </w:tcBorders>
            <w:shd w:val="clear" w:color="auto" w:fill="auto"/>
            <w:noWrap/>
            <w:vAlign w:val="center"/>
            <w:hideMark/>
          </w:tcPr>
          <w:p w14:paraId="0A4A42FA"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7,216 </w:t>
            </w:r>
          </w:p>
        </w:tc>
        <w:tc>
          <w:tcPr>
            <w:tcW w:w="984" w:type="dxa"/>
            <w:tcBorders>
              <w:top w:val="nil"/>
              <w:left w:val="nil"/>
              <w:bottom w:val="single" w:sz="8" w:space="0" w:color="auto"/>
              <w:right w:val="single" w:sz="8" w:space="0" w:color="auto"/>
            </w:tcBorders>
            <w:shd w:val="clear" w:color="auto" w:fill="auto"/>
            <w:noWrap/>
            <w:vAlign w:val="center"/>
            <w:hideMark/>
          </w:tcPr>
          <w:p w14:paraId="5DF81469"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37,489 </w:t>
            </w:r>
          </w:p>
        </w:tc>
      </w:tr>
      <w:tr w:rsidR="00F71814" w:rsidRPr="00F71814" w14:paraId="074DC727" w14:textId="77777777" w:rsidTr="006040D1">
        <w:trPr>
          <w:cantSplit/>
          <w:trHeight w:val="277"/>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0ED977BA"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&gt;8.5 to 14.5 GHz</w:t>
            </w:r>
          </w:p>
        </w:tc>
        <w:tc>
          <w:tcPr>
            <w:tcW w:w="1077" w:type="dxa"/>
            <w:tcBorders>
              <w:top w:val="nil"/>
              <w:left w:val="nil"/>
              <w:bottom w:val="single" w:sz="8" w:space="0" w:color="auto"/>
              <w:right w:val="single" w:sz="8" w:space="0" w:color="auto"/>
            </w:tcBorders>
            <w:shd w:val="clear" w:color="auto" w:fill="auto"/>
            <w:noWrap/>
            <w:vAlign w:val="center"/>
            <w:hideMark/>
          </w:tcPr>
          <w:p w14:paraId="47D2E619"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50 </w:t>
            </w:r>
          </w:p>
        </w:tc>
        <w:tc>
          <w:tcPr>
            <w:tcW w:w="837" w:type="dxa"/>
            <w:tcBorders>
              <w:top w:val="nil"/>
              <w:left w:val="nil"/>
              <w:bottom w:val="single" w:sz="8" w:space="0" w:color="auto"/>
              <w:right w:val="single" w:sz="8" w:space="0" w:color="auto"/>
            </w:tcBorders>
            <w:shd w:val="clear" w:color="auto" w:fill="auto"/>
            <w:noWrap/>
            <w:vAlign w:val="center"/>
            <w:hideMark/>
          </w:tcPr>
          <w:p w14:paraId="00D22A86"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3,714 </w:t>
            </w:r>
          </w:p>
        </w:tc>
        <w:tc>
          <w:tcPr>
            <w:tcW w:w="956" w:type="dxa"/>
            <w:tcBorders>
              <w:top w:val="nil"/>
              <w:left w:val="nil"/>
              <w:bottom w:val="single" w:sz="8" w:space="0" w:color="auto"/>
              <w:right w:val="single" w:sz="8" w:space="0" w:color="auto"/>
            </w:tcBorders>
            <w:shd w:val="clear" w:color="auto" w:fill="auto"/>
            <w:noWrap/>
            <w:vAlign w:val="center"/>
            <w:hideMark/>
          </w:tcPr>
          <w:p w14:paraId="19B5F734"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1,973 </w:t>
            </w:r>
          </w:p>
        </w:tc>
        <w:tc>
          <w:tcPr>
            <w:tcW w:w="907" w:type="dxa"/>
            <w:tcBorders>
              <w:top w:val="nil"/>
              <w:left w:val="nil"/>
              <w:bottom w:val="single" w:sz="8" w:space="0" w:color="auto"/>
              <w:right w:val="single" w:sz="8" w:space="0" w:color="auto"/>
            </w:tcBorders>
            <w:shd w:val="clear" w:color="auto" w:fill="auto"/>
            <w:noWrap/>
            <w:vAlign w:val="center"/>
            <w:hideMark/>
          </w:tcPr>
          <w:p w14:paraId="74D932EC"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28,978 </w:t>
            </w:r>
          </w:p>
        </w:tc>
        <w:tc>
          <w:tcPr>
            <w:tcW w:w="918" w:type="dxa"/>
            <w:tcBorders>
              <w:top w:val="nil"/>
              <w:left w:val="nil"/>
              <w:bottom w:val="single" w:sz="8" w:space="0" w:color="auto"/>
              <w:right w:val="single" w:sz="8" w:space="0" w:color="auto"/>
            </w:tcBorders>
            <w:shd w:val="clear" w:color="auto" w:fill="auto"/>
            <w:noWrap/>
            <w:vAlign w:val="center"/>
            <w:hideMark/>
          </w:tcPr>
          <w:p w14:paraId="4B837372"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4,400 </w:t>
            </w:r>
          </w:p>
        </w:tc>
        <w:tc>
          <w:tcPr>
            <w:tcW w:w="984" w:type="dxa"/>
            <w:tcBorders>
              <w:top w:val="nil"/>
              <w:left w:val="nil"/>
              <w:bottom w:val="single" w:sz="8" w:space="0" w:color="auto"/>
              <w:right w:val="single" w:sz="8" w:space="0" w:color="auto"/>
            </w:tcBorders>
            <w:shd w:val="clear" w:color="auto" w:fill="auto"/>
            <w:noWrap/>
            <w:vAlign w:val="center"/>
            <w:hideMark/>
          </w:tcPr>
          <w:p w14:paraId="0CF0A745"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39,115 </w:t>
            </w:r>
          </w:p>
        </w:tc>
      </w:tr>
      <w:tr w:rsidR="00F71814" w:rsidRPr="00F71814" w14:paraId="54F79539" w14:textId="77777777" w:rsidTr="006040D1">
        <w:trPr>
          <w:cantSplit/>
          <w:trHeight w:val="274"/>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4DDDE8C7"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&gt;14.5 to 31.3 GHz</w:t>
            </w:r>
          </w:p>
        </w:tc>
        <w:tc>
          <w:tcPr>
            <w:tcW w:w="1077" w:type="dxa"/>
            <w:tcBorders>
              <w:top w:val="nil"/>
              <w:left w:val="nil"/>
              <w:bottom w:val="single" w:sz="8" w:space="0" w:color="auto"/>
              <w:right w:val="single" w:sz="8" w:space="0" w:color="auto"/>
            </w:tcBorders>
            <w:shd w:val="clear" w:color="auto" w:fill="auto"/>
            <w:noWrap/>
            <w:vAlign w:val="center"/>
            <w:hideMark/>
          </w:tcPr>
          <w:p w14:paraId="5537EA51"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22 </w:t>
            </w:r>
          </w:p>
        </w:tc>
        <w:tc>
          <w:tcPr>
            <w:tcW w:w="837" w:type="dxa"/>
            <w:tcBorders>
              <w:top w:val="nil"/>
              <w:left w:val="nil"/>
              <w:bottom w:val="single" w:sz="8" w:space="0" w:color="auto"/>
              <w:right w:val="single" w:sz="8" w:space="0" w:color="auto"/>
            </w:tcBorders>
            <w:shd w:val="clear" w:color="auto" w:fill="auto"/>
            <w:noWrap/>
            <w:vAlign w:val="center"/>
            <w:hideMark/>
          </w:tcPr>
          <w:p w14:paraId="5D24FEF7"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6,617 </w:t>
            </w:r>
          </w:p>
        </w:tc>
        <w:tc>
          <w:tcPr>
            <w:tcW w:w="956" w:type="dxa"/>
            <w:tcBorders>
              <w:top w:val="nil"/>
              <w:left w:val="nil"/>
              <w:bottom w:val="single" w:sz="8" w:space="0" w:color="auto"/>
              <w:right w:val="single" w:sz="8" w:space="0" w:color="auto"/>
            </w:tcBorders>
            <w:shd w:val="clear" w:color="auto" w:fill="auto"/>
            <w:noWrap/>
            <w:vAlign w:val="center"/>
            <w:hideMark/>
          </w:tcPr>
          <w:p w14:paraId="6F5625E4"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2,425 </w:t>
            </w:r>
          </w:p>
        </w:tc>
        <w:tc>
          <w:tcPr>
            <w:tcW w:w="907" w:type="dxa"/>
            <w:tcBorders>
              <w:top w:val="nil"/>
              <w:left w:val="nil"/>
              <w:bottom w:val="single" w:sz="8" w:space="0" w:color="auto"/>
              <w:right w:val="single" w:sz="8" w:space="0" w:color="auto"/>
            </w:tcBorders>
            <w:shd w:val="clear" w:color="auto" w:fill="auto"/>
            <w:noWrap/>
            <w:vAlign w:val="center"/>
            <w:hideMark/>
          </w:tcPr>
          <w:p w14:paraId="56F885B3"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15,268 </w:t>
            </w:r>
          </w:p>
        </w:tc>
        <w:tc>
          <w:tcPr>
            <w:tcW w:w="918" w:type="dxa"/>
            <w:tcBorders>
              <w:top w:val="nil"/>
              <w:left w:val="nil"/>
              <w:bottom w:val="single" w:sz="8" w:space="0" w:color="auto"/>
              <w:right w:val="single" w:sz="8" w:space="0" w:color="auto"/>
            </w:tcBorders>
            <w:shd w:val="clear" w:color="auto" w:fill="auto"/>
            <w:noWrap/>
            <w:vAlign w:val="center"/>
            <w:hideMark/>
          </w:tcPr>
          <w:p w14:paraId="172E1732"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3,831 </w:t>
            </w:r>
          </w:p>
        </w:tc>
        <w:tc>
          <w:tcPr>
            <w:tcW w:w="984" w:type="dxa"/>
            <w:tcBorders>
              <w:top w:val="nil"/>
              <w:left w:val="nil"/>
              <w:bottom w:val="single" w:sz="8" w:space="0" w:color="auto"/>
              <w:right w:val="single" w:sz="8" w:space="0" w:color="auto"/>
            </w:tcBorders>
            <w:shd w:val="clear" w:color="auto" w:fill="auto"/>
            <w:noWrap/>
            <w:vAlign w:val="center"/>
            <w:hideMark/>
          </w:tcPr>
          <w:p w14:paraId="5E3C939B"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28,163 </w:t>
            </w:r>
          </w:p>
        </w:tc>
      </w:tr>
      <w:tr w:rsidR="00F71814" w:rsidRPr="00F71814" w14:paraId="3615A8F8" w14:textId="77777777" w:rsidTr="006040D1">
        <w:trPr>
          <w:cantSplit/>
          <w:trHeight w:val="274"/>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39248579"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&gt;31.3 to 51.4 GHz</w:t>
            </w:r>
          </w:p>
        </w:tc>
        <w:tc>
          <w:tcPr>
            <w:tcW w:w="1077" w:type="dxa"/>
            <w:tcBorders>
              <w:top w:val="nil"/>
              <w:left w:val="nil"/>
              <w:bottom w:val="single" w:sz="8" w:space="0" w:color="auto"/>
              <w:right w:val="single" w:sz="8" w:space="0" w:color="auto"/>
            </w:tcBorders>
            <w:shd w:val="clear" w:color="auto" w:fill="auto"/>
            <w:noWrap/>
            <w:vAlign w:val="center"/>
            <w:hideMark/>
          </w:tcPr>
          <w:p w14:paraId="49213DA9"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8 </w:t>
            </w:r>
          </w:p>
        </w:tc>
        <w:tc>
          <w:tcPr>
            <w:tcW w:w="837" w:type="dxa"/>
            <w:tcBorders>
              <w:top w:val="nil"/>
              <w:left w:val="nil"/>
              <w:bottom w:val="single" w:sz="8" w:space="0" w:color="auto"/>
              <w:right w:val="single" w:sz="8" w:space="0" w:color="auto"/>
            </w:tcBorders>
            <w:shd w:val="clear" w:color="auto" w:fill="auto"/>
            <w:noWrap/>
            <w:vAlign w:val="center"/>
            <w:hideMark/>
          </w:tcPr>
          <w:p w14:paraId="1B4759E8"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4,238 </w:t>
            </w:r>
          </w:p>
        </w:tc>
        <w:tc>
          <w:tcPr>
            <w:tcW w:w="956" w:type="dxa"/>
            <w:tcBorders>
              <w:top w:val="nil"/>
              <w:left w:val="nil"/>
              <w:bottom w:val="single" w:sz="8" w:space="0" w:color="auto"/>
              <w:right w:val="single" w:sz="8" w:space="0" w:color="auto"/>
            </w:tcBorders>
            <w:shd w:val="clear" w:color="auto" w:fill="auto"/>
            <w:noWrap/>
            <w:vAlign w:val="center"/>
            <w:hideMark/>
          </w:tcPr>
          <w:p w14:paraId="1B50E722"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81 </w:t>
            </w:r>
          </w:p>
        </w:tc>
        <w:tc>
          <w:tcPr>
            <w:tcW w:w="907" w:type="dxa"/>
            <w:tcBorders>
              <w:top w:val="nil"/>
              <w:left w:val="nil"/>
              <w:bottom w:val="single" w:sz="8" w:space="0" w:color="auto"/>
              <w:right w:val="single" w:sz="8" w:space="0" w:color="auto"/>
            </w:tcBorders>
            <w:shd w:val="clear" w:color="auto" w:fill="auto"/>
            <w:noWrap/>
            <w:vAlign w:val="center"/>
            <w:hideMark/>
          </w:tcPr>
          <w:p w14:paraId="09BFD2A1"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370 </w:t>
            </w:r>
          </w:p>
        </w:tc>
        <w:tc>
          <w:tcPr>
            <w:tcW w:w="918" w:type="dxa"/>
            <w:tcBorders>
              <w:top w:val="nil"/>
              <w:left w:val="nil"/>
              <w:bottom w:val="single" w:sz="8" w:space="0" w:color="auto"/>
              <w:right w:val="single" w:sz="8" w:space="0" w:color="auto"/>
            </w:tcBorders>
            <w:shd w:val="clear" w:color="auto" w:fill="auto"/>
            <w:noWrap/>
            <w:vAlign w:val="center"/>
            <w:hideMark/>
          </w:tcPr>
          <w:p w14:paraId="1F0024B6"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130 </w:t>
            </w:r>
          </w:p>
        </w:tc>
        <w:tc>
          <w:tcPr>
            <w:tcW w:w="984" w:type="dxa"/>
            <w:tcBorders>
              <w:top w:val="nil"/>
              <w:left w:val="nil"/>
              <w:bottom w:val="single" w:sz="8" w:space="0" w:color="auto"/>
              <w:right w:val="single" w:sz="8" w:space="0" w:color="auto"/>
            </w:tcBorders>
            <w:shd w:val="clear" w:color="auto" w:fill="auto"/>
            <w:noWrap/>
            <w:vAlign w:val="center"/>
            <w:hideMark/>
          </w:tcPr>
          <w:p w14:paraId="638D12C3"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4,827 </w:t>
            </w:r>
          </w:p>
        </w:tc>
      </w:tr>
      <w:tr w:rsidR="00F71814" w:rsidRPr="00F71814" w14:paraId="0A8301A6" w14:textId="77777777" w:rsidTr="006040D1">
        <w:trPr>
          <w:cantSplit/>
          <w:trHeight w:val="277"/>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14:paraId="77FFFBAC"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Above 51.4 GHz</w:t>
            </w:r>
          </w:p>
        </w:tc>
        <w:tc>
          <w:tcPr>
            <w:tcW w:w="1077" w:type="dxa"/>
            <w:tcBorders>
              <w:top w:val="nil"/>
              <w:left w:val="nil"/>
              <w:bottom w:val="single" w:sz="8" w:space="0" w:color="auto"/>
              <w:right w:val="single" w:sz="8" w:space="0" w:color="auto"/>
            </w:tcBorders>
            <w:shd w:val="clear" w:color="auto" w:fill="auto"/>
            <w:noWrap/>
            <w:vAlign w:val="center"/>
            <w:hideMark/>
          </w:tcPr>
          <w:p w14:paraId="3266DD90"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 </w:t>
            </w:r>
          </w:p>
        </w:tc>
        <w:tc>
          <w:tcPr>
            <w:tcW w:w="837" w:type="dxa"/>
            <w:tcBorders>
              <w:top w:val="nil"/>
              <w:left w:val="nil"/>
              <w:bottom w:val="single" w:sz="8" w:space="0" w:color="auto"/>
              <w:right w:val="single" w:sz="8" w:space="0" w:color="auto"/>
            </w:tcBorders>
            <w:shd w:val="clear" w:color="auto" w:fill="auto"/>
            <w:noWrap/>
            <w:vAlign w:val="center"/>
            <w:hideMark/>
          </w:tcPr>
          <w:p w14:paraId="2F4E9C54"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1,704 </w:t>
            </w:r>
          </w:p>
        </w:tc>
        <w:tc>
          <w:tcPr>
            <w:tcW w:w="956" w:type="dxa"/>
            <w:tcBorders>
              <w:top w:val="nil"/>
              <w:left w:val="nil"/>
              <w:bottom w:val="single" w:sz="8" w:space="0" w:color="auto"/>
              <w:right w:val="single" w:sz="8" w:space="0" w:color="auto"/>
            </w:tcBorders>
            <w:shd w:val="clear" w:color="auto" w:fill="auto"/>
            <w:noWrap/>
            <w:vAlign w:val="center"/>
            <w:hideMark/>
          </w:tcPr>
          <w:p w14:paraId="75D01323"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232 </w:t>
            </w:r>
          </w:p>
        </w:tc>
        <w:tc>
          <w:tcPr>
            <w:tcW w:w="907" w:type="dxa"/>
            <w:tcBorders>
              <w:top w:val="nil"/>
              <w:left w:val="nil"/>
              <w:bottom w:val="single" w:sz="8" w:space="0" w:color="auto"/>
              <w:right w:val="single" w:sz="8" w:space="0" w:color="auto"/>
            </w:tcBorders>
            <w:shd w:val="clear" w:color="auto" w:fill="auto"/>
            <w:noWrap/>
            <w:vAlign w:val="center"/>
            <w:hideMark/>
          </w:tcPr>
          <w:p w14:paraId="4A7B10A3"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784 </w:t>
            </w:r>
          </w:p>
        </w:tc>
        <w:tc>
          <w:tcPr>
            <w:tcW w:w="918" w:type="dxa"/>
            <w:tcBorders>
              <w:top w:val="nil"/>
              <w:left w:val="nil"/>
              <w:bottom w:val="single" w:sz="8" w:space="0" w:color="auto"/>
              <w:right w:val="single" w:sz="8" w:space="0" w:color="auto"/>
            </w:tcBorders>
            <w:shd w:val="clear" w:color="auto" w:fill="auto"/>
            <w:noWrap/>
            <w:vAlign w:val="center"/>
            <w:hideMark/>
          </w:tcPr>
          <w:p w14:paraId="6E3A1ED8"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xml:space="preserve">80 </w:t>
            </w:r>
          </w:p>
        </w:tc>
        <w:tc>
          <w:tcPr>
            <w:tcW w:w="984" w:type="dxa"/>
            <w:tcBorders>
              <w:top w:val="nil"/>
              <w:left w:val="nil"/>
              <w:bottom w:val="single" w:sz="8" w:space="0" w:color="auto"/>
              <w:right w:val="single" w:sz="8" w:space="0" w:color="auto"/>
            </w:tcBorders>
            <w:shd w:val="clear" w:color="auto" w:fill="auto"/>
            <w:noWrap/>
            <w:vAlign w:val="center"/>
            <w:hideMark/>
          </w:tcPr>
          <w:p w14:paraId="46BE384F"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2,802 </w:t>
            </w:r>
          </w:p>
        </w:tc>
      </w:tr>
      <w:tr w:rsidR="00F71814" w:rsidRPr="00F71814" w14:paraId="063EFDD1" w14:textId="77777777" w:rsidTr="006040D1">
        <w:trPr>
          <w:cantSplit/>
          <w:trHeight w:val="274"/>
        </w:trPr>
        <w:tc>
          <w:tcPr>
            <w:tcW w:w="2007" w:type="dxa"/>
            <w:tcBorders>
              <w:top w:val="nil"/>
              <w:left w:val="nil"/>
              <w:bottom w:val="nil"/>
              <w:right w:val="single" w:sz="8" w:space="0" w:color="auto"/>
            </w:tcBorders>
            <w:shd w:val="clear" w:color="auto" w:fill="auto"/>
            <w:noWrap/>
            <w:vAlign w:val="center"/>
            <w:hideMark/>
          </w:tcPr>
          <w:p w14:paraId="5EE2F3B3" w14:textId="77777777" w:rsidR="00F71814" w:rsidRPr="00F71814" w:rsidRDefault="00F71814" w:rsidP="008A5614">
            <w:pPr>
              <w:spacing w:after="0" w:line="240" w:lineRule="auto"/>
              <w:rPr>
                <w:rFonts w:cs="Arial"/>
                <w:color w:val="000000"/>
                <w:sz w:val="18"/>
                <w:szCs w:val="22"/>
              </w:rPr>
            </w:pPr>
            <w:r w:rsidRPr="00F71814">
              <w:rPr>
                <w:rFonts w:cs="Arial"/>
                <w:color w:val="000000"/>
                <w:sz w:val="18"/>
                <w:szCs w:val="22"/>
              </w:rPr>
              <w:t> </w:t>
            </w:r>
          </w:p>
        </w:tc>
        <w:tc>
          <w:tcPr>
            <w:tcW w:w="1077" w:type="dxa"/>
            <w:tcBorders>
              <w:top w:val="nil"/>
              <w:left w:val="nil"/>
              <w:bottom w:val="single" w:sz="8" w:space="0" w:color="auto"/>
              <w:right w:val="single" w:sz="8" w:space="0" w:color="auto"/>
            </w:tcBorders>
            <w:shd w:val="clear" w:color="auto" w:fill="auto"/>
            <w:noWrap/>
            <w:vAlign w:val="center"/>
            <w:hideMark/>
          </w:tcPr>
          <w:p w14:paraId="43AC1549"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6,098 </w:t>
            </w:r>
          </w:p>
        </w:tc>
        <w:tc>
          <w:tcPr>
            <w:tcW w:w="837" w:type="dxa"/>
            <w:tcBorders>
              <w:top w:val="nil"/>
              <w:left w:val="nil"/>
              <w:bottom w:val="single" w:sz="8" w:space="0" w:color="auto"/>
              <w:right w:val="single" w:sz="8" w:space="0" w:color="auto"/>
            </w:tcBorders>
            <w:shd w:val="clear" w:color="auto" w:fill="auto"/>
            <w:noWrap/>
            <w:vAlign w:val="center"/>
            <w:hideMark/>
          </w:tcPr>
          <w:p w14:paraId="3BB963A4"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78,838 </w:t>
            </w:r>
          </w:p>
        </w:tc>
        <w:tc>
          <w:tcPr>
            <w:tcW w:w="956" w:type="dxa"/>
            <w:tcBorders>
              <w:top w:val="nil"/>
              <w:left w:val="nil"/>
              <w:bottom w:val="single" w:sz="8" w:space="0" w:color="auto"/>
              <w:right w:val="single" w:sz="8" w:space="0" w:color="auto"/>
            </w:tcBorders>
            <w:shd w:val="clear" w:color="auto" w:fill="auto"/>
            <w:noWrap/>
            <w:vAlign w:val="center"/>
            <w:hideMark/>
          </w:tcPr>
          <w:p w14:paraId="5230676A"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23,451 </w:t>
            </w:r>
          </w:p>
        </w:tc>
        <w:tc>
          <w:tcPr>
            <w:tcW w:w="907" w:type="dxa"/>
            <w:tcBorders>
              <w:top w:val="nil"/>
              <w:left w:val="nil"/>
              <w:bottom w:val="single" w:sz="8" w:space="0" w:color="auto"/>
              <w:right w:val="single" w:sz="8" w:space="0" w:color="auto"/>
            </w:tcBorders>
            <w:shd w:val="clear" w:color="auto" w:fill="auto"/>
            <w:noWrap/>
            <w:vAlign w:val="center"/>
            <w:hideMark/>
          </w:tcPr>
          <w:p w14:paraId="25FC295F"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217,700 </w:t>
            </w:r>
          </w:p>
        </w:tc>
        <w:tc>
          <w:tcPr>
            <w:tcW w:w="918" w:type="dxa"/>
            <w:tcBorders>
              <w:top w:val="nil"/>
              <w:left w:val="nil"/>
              <w:bottom w:val="single" w:sz="8" w:space="0" w:color="auto"/>
              <w:right w:val="single" w:sz="8" w:space="0" w:color="auto"/>
            </w:tcBorders>
            <w:shd w:val="clear" w:color="auto" w:fill="auto"/>
            <w:noWrap/>
            <w:vAlign w:val="center"/>
            <w:hideMark/>
          </w:tcPr>
          <w:p w14:paraId="55CBEF83" w14:textId="77777777" w:rsidR="00F71814" w:rsidRPr="00F71814" w:rsidRDefault="00F71814" w:rsidP="008A5614">
            <w:pPr>
              <w:spacing w:after="0" w:line="240" w:lineRule="auto"/>
              <w:rPr>
                <w:rFonts w:cs="Arial"/>
                <w:b/>
                <w:bCs/>
                <w:color w:val="000000"/>
                <w:sz w:val="18"/>
                <w:szCs w:val="22"/>
              </w:rPr>
            </w:pPr>
            <w:r w:rsidRPr="00F71814">
              <w:rPr>
                <w:rFonts w:cs="Arial"/>
                <w:b/>
                <w:bCs/>
                <w:color w:val="000000"/>
                <w:sz w:val="18"/>
                <w:szCs w:val="22"/>
              </w:rPr>
              <w:t xml:space="preserve">88,274 </w:t>
            </w:r>
          </w:p>
        </w:tc>
        <w:tc>
          <w:tcPr>
            <w:tcW w:w="984" w:type="dxa"/>
            <w:tcBorders>
              <w:top w:val="nil"/>
              <w:left w:val="nil"/>
              <w:bottom w:val="single" w:sz="8" w:space="0" w:color="auto"/>
              <w:right w:val="single" w:sz="8" w:space="0" w:color="auto"/>
            </w:tcBorders>
            <w:shd w:val="clear" w:color="000000" w:fill="404040"/>
            <w:noWrap/>
            <w:vAlign w:val="center"/>
            <w:hideMark/>
          </w:tcPr>
          <w:p w14:paraId="0BB051CE" w14:textId="77777777" w:rsidR="00F71814" w:rsidRPr="00F71814" w:rsidRDefault="00F71814" w:rsidP="008A5614">
            <w:pPr>
              <w:spacing w:after="0" w:line="240" w:lineRule="auto"/>
              <w:rPr>
                <w:rFonts w:cs="Arial"/>
                <w:b/>
                <w:bCs/>
                <w:color w:val="FFFFFF"/>
                <w:sz w:val="18"/>
                <w:szCs w:val="22"/>
              </w:rPr>
            </w:pPr>
            <w:r w:rsidRPr="00F71814">
              <w:rPr>
                <w:rFonts w:cs="Arial"/>
                <w:b/>
                <w:bCs/>
                <w:color w:val="FFFFFF"/>
                <w:sz w:val="18"/>
                <w:szCs w:val="22"/>
              </w:rPr>
              <w:t xml:space="preserve">414,361 </w:t>
            </w:r>
          </w:p>
        </w:tc>
      </w:tr>
    </w:tbl>
    <w:p w14:paraId="70940CFB" w14:textId="062758A7" w:rsidR="77B20063" w:rsidRDefault="003248E9" w:rsidP="003248E9">
      <w:pPr>
        <w:pStyle w:val="Tableheading"/>
        <w:numPr>
          <w:ilvl w:val="0"/>
          <w:numId w:val="0"/>
        </w:numPr>
      </w:pPr>
      <w:r>
        <w:t xml:space="preserve"> </w:t>
      </w:r>
    </w:p>
    <w:p w14:paraId="264A0DD0" w14:textId="7D71B9F2" w:rsidR="003432F0" w:rsidRPr="00395023" w:rsidRDefault="003432F0" w:rsidP="003432F0">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351DC7">
        <w:t>Question 1</w:t>
      </w:r>
    </w:p>
    <w:p w14:paraId="0200BB7C" w14:textId="5416172F" w:rsidR="003432F0" w:rsidRDefault="003432F0" w:rsidP="003432F0">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Do you have any comments on the proposal</w:t>
      </w:r>
      <w:r w:rsidR="00502EA6">
        <w:t xml:space="preserve"> to amalgamate </w:t>
      </w:r>
      <w:r w:rsidR="00502EA6" w:rsidRPr="00502EA6">
        <w:t xml:space="preserve">the &gt;30 to 403 MHz range </w:t>
      </w:r>
      <w:r w:rsidR="004566EF">
        <w:t xml:space="preserve">for the </w:t>
      </w:r>
      <w:r w:rsidR="00D606CE">
        <w:t>tax formula</w:t>
      </w:r>
      <w:r>
        <w:t xml:space="preserve">? </w:t>
      </w:r>
    </w:p>
    <w:p w14:paraId="1B2F1162" w14:textId="77777777" w:rsidR="004D3333" w:rsidRDefault="004D3333">
      <w:pPr>
        <w:spacing w:after="0" w:line="240" w:lineRule="auto"/>
        <w:rPr>
          <w:rFonts w:cs="Arial"/>
          <w:b/>
          <w:bCs/>
          <w:iCs/>
          <w:sz w:val="28"/>
          <w:szCs w:val="28"/>
        </w:rPr>
      </w:pPr>
      <w:r>
        <w:br w:type="page"/>
      </w:r>
    </w:p>
    <w:p w14:paraId="5F0204E5" w14:textId="5233757D" w:rsidR="11182717" w:rsidRDefault="00A17A89" w:rsidP="77B20063">
      <w:pPr>
        <w:pStyle w:val="Heading2"/>
      </w:pPr>
      <w:bookmarkStart w:id="10" w:name="_Toc86153495"/>
      <w:r>
        <w:lastRenderedPageBreak/>
        <w:t>Increase</w:t>
      </w:r>
      <w:r w:rsidR="11182717" w:rsidRPr="77B20063">
        <w:t xml:space="preserve"> weightings for the &gt;2,690 to 5,000 MHz spectrum location</w:t>
      </w:r>
      <w:bookmarkEnd w:id="10"/>
    </w:p>
    <w:p w14:paraId="2BFD8D9A" w14:textId="680AAFCC" w:rsidR="009032EC" w:rsidRDefault="14842812" w:rsidP="00EF1AA8">
      <w:pPr>
        <w:pStyle w:val="Paragraph"/>
      </w:pPr>
      <w:r w:rsidRPr="77B20063">
        <w:t xml:space="preserve">In addition to </w:t>
      </w:r>
      <w:r w:rsidR="00C90BA0">
        <w:t xml:space="preserve">examining </w:t>
      </w:r>
      <w:r w:rsidRPr="77B20063">
        <w:t>current assignments</w:t>
      </w:r>
      <w:r w:rsidR="00D2430C">
        <w:t>,</w:t>
      </w:r>
      <w:r w:rsidRPr="77B20063">
        <w:t xml:space="preserve"> the ACMA looked at assignment trends over time. In </w:t>
      </w:r>
      <w:r w:rsidR="00BB0E4B">
        <w:t xml:space="preserve">the period </w:t>
      </w:r>
      <w:r w:rsidR="00DD417B">
        <w:t xml:space="preserve">from </w:t>
      </w:r>
      <w:r w:rsidR="00BB0E4B">
        <w:t>2005</w:t>
      </w:r>
      <w:r w:rsidR="00DD417B">
        <w:t>–</w:t>
      </w:r>
      <w:r w:rsidR="00BB0E4B">
        <w:t xml:space="preserve">20 </w:t>
      </w:r>
      <w:r w:rsidRPr="77B20063">
        <w:t xml:space="preserve">the ACMA found an acceleration of new assignments in the &gt;2,690 to 5,000 MHz spectrum location for high and </w:t>
      </w:r>
      <w:r w:rsidRPr="77B20063" w:rsidDel="0039180A">
        <w:t>medium</w:t>
      </w:r>
      <w:r w:rsidR="0039180A">
        <w:t>-</w:t>
      </w:r>
      <w:r w:rsidRPr="77B20063">
        <w:t>density geographic areas</w:t>
      </w:r>
      <w:r w:rsidR="001000C4">
        <w:t>, which is</w:t>
      </w:r>
      <w:r w:rsidR="00274C1E">
        <w:t xml:space="preserve"> significantly higher than </w:t>
      </w:r>
      <w:r w:rsidR="00FD552F">
        <w:t>in other spectrum locations</w:t>
      </w:r>
      <w:r w:rsidR="004F616A">
        <w:t xml:space="preserve"> (see </w:t>
      </w:r>
      <w:r w:rsidR="00121615">
        <w:t>T</w:t>
      </w:r>
      <w:r w:rsidR="004F616A">
        <w:t>able 4 below)</w:t>
      </w:r>
      <w:r w:rsidRPr="77B20063">
        <w:t>.</w:t>
      </w:r>
      <w:r w:rsidR="005C310E">
        <w:rPr>
          <w:rStyle w:val="FootnoteReference"/>
        </w:rPr>
        <w:footnoteReference w:id="4"/>
      </w:r>
      <w:r w:rsidR="00FD552F">
        <w:t xml:space="preserve"> </w:t>
      </w:r>
      <w:r w:rsidR="00351063">
        <w:t>The location weight</w:t>
      </w:r>
      <w:r w:rsidR="0075046B">
        <w:t>ing</w:t>
      </w:r>
      <w:r w:rsidR="00351063">
        <w:t>s in the tax formula are intended to provide relative price signals</w:t>
      </w:r>
      <w:r w:rsidR="00B97934">
        <w:t xml:space="preserve"> to balance and manage demand before congestion issues become acute</w:t>
      </w:r>
      <w:r w:rsidR="00EF1AA8">
        <w:t xml:space="preserve">, so </w:t>
      </w:r>
      <w:r w:rsidR="00213284">
        <w:t xml:space="preserve">we </w:t>
      </w:r>
      <w:r w:rsidR="002B133B">
        <w:t xml:space="preserve">are </w:t>
      </w:r>
      <w:r w:rsidR="00213284">
        <w:t xml:space="preserve">considering </w:t>
      </w:r>
      <w:r w:rsidRPr="77B20063">
        <w:t>increas</w:t>
      </w:r>
      <w:r w:rsidR="00213284">
        <w:t>ing</w:t>
      </w:r>
      <w:r w:rsidRPr="77B20063">
        <w:t xml:space="preserve"> these location weightings</w:t>
      </w:r>
      <w:r w:rsidR="006521C3">
        <w:t>. We intend for the higher price</w:t>
      </w:r>
      <w:r w:rsidR="00F33F9E">
        <w:t xml:space="preserve">s in these spectrum locations </w:t>
      </w:r>
      <w:r w:rsidR="00892471">
        <w:t xml:space="preserve">to </w:t>
      </w:r>
      <w:r w:rsidR="00F33F9E">
        <w:t xml:space="preserve">make it more attractive </w:t>
      </w:r>
      <w:r w:rsidR="001D19E7">
        <w:t xml:space="preserve">for licensees </w:t>
      </w:r>
      <w:r w:rsidR="00F33F9E">
        <w:t xml:space="preserve">to obtain </w:t>
      </w:r>
      <w:r w:rsidR="001D19E7">
        <w:t>substitute</w:t>
      </w:r>
      <w:r w:rsidR="00F33F9E">
        <w:t xml:space="preserve"> spectrum</w:t>
      </w:r>
      <w:r w:rsidR="007E2011">
        <w:t>,</w:t>
      </w:r>
      <w:r w:rsidR="00F33F9E" w:rsidDel="007E2011">
        <w:t xml:space="preserve"> </w:t>
      </w:r>
      <w:r w:rsidR="007E2011">
        <w:t xml:space="preserve">where possible, </w:t>
      </w:r>
      <w:r w:rsidR="00F33F9E">
        <w:t xml:space="preserve">in either </w:t>
      </w:r>
      <w:r w:rsidR="00F33F9E" w:rsidDel="00240B13">
        <w:t>lower</w:t>
      </w:r>
      <w:r w:rsidR="00240B13">
        <w:t>-</w:t>
      </w:r>
      <w:r w:rsidR="00F33F9E">
        <w:t xml:space="preserve">density areas or in </w:t>
      </w:r>
      <w:r w:rsidR="001D19E7">
        <w:t>neighbouring spectrum bands</w:t>
      </w:r>
      <w:r w:rsidRPr="77B20063">
        <w:t xml:space="preserve">. </w:t>
      </w:r>
    </w:p>
    <w:p w14:paraId="7C7AF423" w14:textId="4ABB7BF4" w:rsidR="001D19E7" w:rsidRDefault="00D05FB6" w:rsidP="00DB1861">
      <w:pPr>
        <w:pStyle w:val="CommentText"/>
        <w:tabs>
          <w:tab w:val="left" w:pos="426"/>
        </w:tabs>
        <w:spacing w:before="20" w:after="120"/>
      </w:pPr>
      <w:r>
        <w:t xml:space="preserve">In addition to these assignment trends and relativities, there are several factors that the ACMA could take into account in determining an appropriate location weight. We note that recent high-value auctions in the band for services such as mobile broadband, might suggest a higher opportunity cost. </w:t>
      </w:r>
      <w:r w:rsidR="009032EC" w:rsidRPr="0022410E">
        <w:t>For example, the 3.6 GHz band auction saw starting prices in metro areas set at $0.08/MHz/Pop and average prices in the auction of $0.29/MHz/pop. These are relative price increases when compared to the $0.03/MHz/</w:t>
      </w:r>
      <w:r w:rsidR="00F4528A">
        <w:t>p</w:t>
      </w:r>
      <w:r w:rsidR="009032EC" w:rsidRPr="0022410E">
        <w:t xml:space="preserve">op set by the Minister </w:t>
      </w:r>
      <w:r w:rsidR="000B16FA" w:rsidRPr="000B16FA">
        <w:t>for Communications, Information Technology and the Arts</w:t>
      </w:r>
      <w:r w:rsidR="000B16FA">
        <w:t xml:space="preserve"> </w:t>
      </w:r>
      <w:r w:rsidR="009032EC" w:rsidRPr="0022410E">
        <w:t>for the reissue of spectrum licences in the 3.</w:t>
      </w:r>
      <w:r w:rsidR="009032EC" w:rsidRPr="0022410E" w:rsidDel="00522EBB">
        <w:t>4</w:t>
      </w:r>
      <w:r w:rsidR="00522EBB">
        <w:t> </w:t>
      </w:r>
      <w:r w:rsidR="009032EC" w:rsidRPr="0022410E">
        <w:t xml:space="preserve">GHz band. </w:t>
      </w:r>
    </w:p>
    <w:p w14:paraId="28840DCD" w14:textId="7D0705B0" w:rsidR="003739B8" w:rsidRDefault="0043602B" w:rsidP="003739B8">
      <w:pPr>
        <w:pStyle w:val="Paragraph"/>
      </w:pPr>
      <w:r>
        <w:t>Consequently</w:t>
      </w:r>
      <w:r w:rsidR="00C96BCD">
        <w:t>, given</w:t>
      </w:r>
      <w:r>
        <w:t xml:space="preserve"> </w:t>
      </w:r>
      <w:r w:rsidR="003739B8" w:rsidRPr="00665317">
        <w:t xml:space="preserve">the </w:t>
      </w:r>
      <w:r w:rsidR="003739B8">
        <w:t xml:space="preserve">information to date about assignments and demand for spectrum in </w:t>
      </w:r>
      <w:r w:rsidR="003739B8" w:rsidRPr="00665317">
        <w:t>the &gt;2,690 to 5,000 MHz band, the ACMA</w:t>
      </w:r>
      <w:r w:rsidR="00C96BCD">
        <w:t xml:space="preserve"> is</w:t>
      </w:r>
      <w:r w:rsidR="0089729B">
        <w:t xml:space="preserve"> </w:t>
      </w:r>
      <w:r w:rsidR="007B35F1">
        <w:t xml:space="preserve">considering raising </w:t>
      </w:r>
      <w:r w:rsidR="00950BDF">
        <w:t>the weightings for high and medium-density areas</w:t>
      </w:r>
      <w:r w:rsidR="00302DA7">
        <w:t xml:space="preserve"> relative to other bands</w:t>
      </w:r>
      <w:r w:rsidR="007B35F1">
        <w:t xml:space="preserve"> to </w:t>
      </w:r>
      <w:r w:rsidR="00130A6B">
        <w:t xml:space="preserve">reflect contemporary spectrum uses and </w:t>
      </w:r>
      <w:r w:rsidR="003865B1">
        <w:t>values</w:t>
      </w:r>
      <w:r w:rsidR="007519F0">
        <w:t xml:space="preserve">. The ACMA </w:t>
      </w:r>
      <w:r w:rsidR="003739B8" w:rsidRPr="00665317">
        <w:t>proposes</w:t>
      </w:r>
      <w:r w:rsidR="0092510C">
        <w:t xml:space="preserve"> to</w:t>
      </w:r>
      <w:r w:rsidR="003739B8" w:rsidRPr="00665317">
        <w:t xml:space="preserve"> increase the medium</w:t>
      </w:r>
      <w:r w:rsidR="003739B8">
        <w:t>-</w:t>
      </w:r>
      <w:r w:rsidR="003739B8" w:rsidRPr="00665317">
        <w:t xml:space="preserve">density area location weighting from </w:t>
      </w:r>
      <w:r w:rsidR="003739B8" w:rsidRPr="00665317">
        <w:rPr>
          <w:rFonts w:eastAsia="Arial"/>
          <w:color w:val="000000" w:themeColor="text1"/>
          <w:szCs w:val="20"/>
        </w:rPr>
        <w:t xml:space="preserve">0.751 to 1.243 </w:t>
      </w:r>
      <w:r w:rsidR="003739B8" w:rsidRPr="00665317">
        <w:t xml:space="preserve">(65.5% increase) and the high-density area location weight from </w:t>
      </w:r>
      <w:r w:rsidR="003739B8" w:rsidRPr="00665317">
        <w:rPr>
          <w:rFonts w:eastAsia="Arial"/>
          <w:color w:val="000000" w:themeColor="text1"/>
          <w:szCs w:val="20"/>
        </w:rPr>
        <w:t xml:space="preserve">1.853 to 2.689 (45.1% increase). </w:t>
      </w:r>
      <w:r w:rsidR="00197859">
        <w:t>A</w:t>
      </w:r>
      <w:r w:rsidR="00197859" w:rsidRPr="00665317">
        <w:t>s a result of this proposal</w:t>
      </w:r>
      <w:r w:rsidR="000B16FA">
        <w:t>,</w:t>
      </w:r>
      <w:r w:rsidR="00197859" w:rsidRPr="00665317">
        <w:t xml:space="preserve"> </w:t>
      </w:r>
      <w:r w:rsidR="00197859">
        <w:t>t</w:t>
      </w:r>
      <w:r w:rsidR="003739B8" w:rsidRPr="00665317">
        <w:t xml:space="preserve">he ACMA expects that around 26 </w:t>
      </w:r>
      <w:r w:rsidR="003739B8">
        <w:t xml:space="preserve">apparatus </w:t>
      </w:r>
      <w:r w:rsidR="003739B8" w:rsidRPr="00665317">
        <w:t>licensees in these band locations will face tax increases</w:t>
      </w:r>
      <w:r w:rsidR="00130A6B">
        <w:t xml:space="preserve"> </w:t>
      </w:r>
      <w:r w:rsidR="009A3B97">
        <w:t>of $</w:t>
      </w:r>
      <w:r w:rsidR="00092790">
        <w:t>1</w:t>
      </w:r>
      <w:r w:rsidR="008E04DF">
        <w:t>,</w:t>
      </w:r>
      <w:r w:rsidR="00092790">
        <w:t>5</w:t>
      </w:r>
      <w:r w:rsidR="00086414">
        <w:t xml:space="preserve">41 on average, affecting mostly </w:t>
      </w:r>
      <w:r w:rsidR="00847560">
        <w:t>earth receive</w:t>
      </w:r>
      <w:r w:rsidR="000B16FA">
        <w:t> </w:t>
      </w:r>
      <w:r w:rsidR="00847560">
        <w:t>services</w:t>
      </w:r>
      <w:r w:rsidR="00CB5B92">
        <w:t xml:space="preserve">. </w:t>
      </w:r>
    </w:p>
    <w:p w14:paraId="7A8907B1" w14:textId="053E69C7" w:rsidR="004D3333" w:rsidRDefault="004D3333">
      <w:pPr>
        <w:spacing w:after="0" w:line="240" w:lineRule="auto"/>
        <w:rPr>
          <w:rFonts w:eastAsia="Arial"/>
          <w:b/>
          <w:bCs/>
          <w:color w:val="323232"/>
          <w:szCs w:val="20"/>
        </w:rPr>
      </w:pPr>
      <w:r>
        <w:rPr>
          <w:rFonts w:eastAsia="Arial"/>
          <w:b/>
          <w:bCs/>
          <w:color w:val="323232"/>
          <w:szCs w:val="20"/>
        </w:rPr>
        <w:br w:type="page"/>
      </w:r>
    </w:p>
    <w:p w14:paraId="466CACF1" w14:textId="77777777" w:rsidR="00170ABE" w:rsidRDefault="00170ABE">
      <w:pPr>
        <w:spacing w:after="0" w:line="240" w:lineRule="auto"/>
        <w:rPr>
          <w:rFonts w:eastAsia="Arial"/>
          <w:b/>
          <w:bCs/>
          <w:color w:val="323232"/>
          <w:szCs w:val="20"/>
        </w:rPr>
      </w:pPr>
    </w:p>
    <w:p w14:paraId="0F2A1192" w14:textId="659A5AD3" w:rsidR="008E000E" w:rsidRPr="008E000E" w:rsidRDefault="14842812" w:rsidP="00694FAC">
      <w:pPr>
        <w:pStyle w:val="Tableheading"/>
        <w:rPr>
          <w:rFonts w:eastAsia="Arial" w:cs="Arial"/>
          <w:color w:val="000000" w:themeColor="text1"/>
          <w:sz w:val="22"/>
          <w:szCs w:val="22"/>
        </w:rPr>
      </w:pPr>
      <w:r w:rsidRPr="77B20063">
        <w:rPr>
          <w:rFonts w:eastAsia="Arial"/>
        </w:rPr>
        <w:t>Changes in assignments by location weighting over time (2005–20)</w:t>
      </w:r>
    </w:p>
    <w:tbl>
      <w:tblPr>
        <w:tblW w:w="7617" w:type="dxa"/>
        <w:tblCellMar>
          <w:top w:w="57" w:type="dxa"/>
          <w:bottom w:w="57" w:type="dxa"/>
        </w:tblCellMar>
        <w:tblLook w:val="04A0" w:firstRow="1" w:lastRow="0" w:firstColumn="1" w:lastColumn="0" w:noHBand="0" w:noVBand="1"/>
      </w:tblPr>
      <w:tblGrid>
        <w:gridCol w:w="2015"/>
        <w:gridCol w:w="1082"/>
        <w:gridCol w:w="961"/>
        <w:gridCol w:w="897"/>
        <w:gridCol w:w="842"/>
        <w:gridCol w:w="918"/>
        <w:gridCol w:w="908"/>
      </w:tblGrid>
      <w:tr w:rsidR="00E7775E" w:rsidRPr="00E7775E" w14:paraId="67BA8414" w14:textId="77777777" w:rsidTr="006040D1">
        <w:trPr>
          <w:trHeight w:val="236"/>
        </w:trPr>
        <w:tc>
          <w:tcPr>
            <w:tcW w:w="2015" w:type="dxa"/>
            <w:tcBorders>
              <w:top w:val="single" w:sz="8" w:space="0" w:color="auto"/>
              <w:left w:val="single" w:sz="8" w:space="0" w:color="auto"/>
              <w:bottom w:val="single" w:sz="8" w:space="0" w:color="auto"/>
              <w:right w:val="single" w:sz="8" w:space="0" w:color="auto"/>
            </w:tcBorders>
            <w:shd w:val="clear" w:color="000000" w:fill="404040"/>
            <w:noWrap/>
            <w:vAlign w:val="center"/>
            <w:hideMark/>
          </w:tcPr>
          <w:p w14:paraId="15063B15" w14:textId="77777777" w:rsidR="00E7775E" w:rsidRPr="00E7775E" w:rsidRDefault="00E7775E" w:rsidP="008A5614">
            <w:pPr>
              <w:spacing w:after="0" w:line="240" w:lineRule="auto"/>
              <w:rPr>
                <w:rFonts w:cs="Arial"/>
                <w:b/>
                <w:bCs/>
                <w:color w:val="FFFFFF"/>
                <w:sz w:val="18"/>
                <w:szCs w:val="22"/>
              </w:rPr>
            </w:pPr>
            <w:r w:rsidRPr="00E7775E">
              <w:rPr>
                <w:rFonts w:cs="Arial"/>
                <w:b/>
                <w:bCs/>
                <w:color w:val="FFFFFF"/>
                <w:sz w:val="18"/>
                <w:szCs w:val="22"/>
              </w:rPr>
              <w:t> </w:t>
            </w:r>
          </w:p>
        </w:tc>
        <w:tc>
          <w:tcPr>
            <w:tcW w:w="4694" w:type="dxa"/>
            <w:gridSpan w:val="5"/>
            <w:tcBorders>
              <w:top w:val="single" w:sz="8" w:space="0" w:color="auto"/>
              <w:left w:val="nil"/>
              <w:bottom w:val="single" w:sz="8" w:space="0" w:color="auto"/>
              <w:right w:val="single" w:sz="8" w:space="0" w:color="000000"/>
            </w:tcBorders>
            <w:shd w:val="clear" w:color="000000" w:fill="404040"/>
            <w:noWrap/>
            <w:vAlign w:val="center"/>
            <w:hideMark/>
          </w:tcPr>
          <w:p w14:paraId="2B15567E" w14:textId="77777777" w:rsidR="00E7775E" w:rsidRPr="00E7775E" w:rsidRDefault="00E7775E" w:rsidP="008A5614">
            <w:pPr>
              <w:spacing w:after="0" w:line="240" w:lineRule="auto"/>
              <w:jc w:val="center"/>
              <w:rPr>
                <w:rFonts w:cs="Arial"/>
                <w:b/>
                <w:bCs/>
                <w:color w:val="FFFFFF"/>
                <w:sz w:val="18"/>
                <w:szCs w:val="22"/>
              </w:rPr>
            </w:pPr>
            <w:r w:rsidRPr="00E7775E">
              <w:rPr>
                <w:rFonts w:cs="Arial"/>
                <w:b/>
                <w:bCs/>
                <w:color w:val="FFFFFF"/>
                <w:sz w:val="18"/>
                <w:szCs w:val="22"/>
              </w:rPr>
              <w:t>Geographic location</w:t>
            </w:r>
          </w:p>
        </w:tc>
        <w:tc>
          <w:tcPr>
            <w:tcW w:w="908" w:type="dxa"/>
            <w:tcBorders>
              <w:top w:val="nil"/>
              <w:left w:val="nil"/>
              <w:bottom w:val="nil"/>
              <w:right w:val="nil"/>
            </w:tcBorders>
            <w:shd w:val="clear" w:color="auto" w:fill="404040" w:themeFill="text1" w:themeFillTint="BF"/>
            <w:noWrap/>
            <w:vAlign w:val="bottom"/>
            <w:hideMark/>
          </w:tcPr>
          <w:p w14:paraId="6CA3ECA6" w14:textId="77777777" w:rsidR="00E7775E" w:rsidRPr="00E7775E" w:rsidRDefault="00E7775E" w:rsidP="008A5614">
            <w:pPr>
              <w:spacing w:after="0" w:line="240" w:lineRule="auto"/>
              <w:jc w:val="center"/>
              <w:rPr>
                <w:rFonts w:cs="Arial"/>
                <w:b/>
                <w:bCs/>
                <w:color w:val="FFFFFF"/>
                <w:sz w:val="18"/>
                <w:szCs w:val="22"/>
              </w:rPr>
            </w:pPr>
          </w:p>
        </w:tc>
      </w:tr>
      <w:tr w:rsidR="00E7775E" w:rsidRPr="00E7775E" w14:paraId="029D7E7B" w14:textId="77777777" w:rsidTr="006040D1">
        <w:trPr>
          <w:trHeight w:val="236"/>
        </w:trPr>
        <w:tc>
          <w:tcPr>
            <w:tcW w:w="2015" w:type="dxa"/>
            <w:tcBorders>
              <w:top w:val="nil"/>
              <w:left w:val="single" w:sz="8" w:space="0" w:color="auto"/>
              <w:bottom w:val="single" w:sz="8" w:space="0" w:color="auto"/>
              <w:right w:val="single" w:sz="8" w:space="0" w:color="auto"/>
            </w:tcBorders>
            <w:shd w:val="clear" w:color="000000" w:fill="404040"/>
            <w:noWrap/>
            <w:vAlign w:val="center"/>
            <w:hideMark/>
          </w:tcPr>
          <w:p w14:paraId="7969E321" w14:textId="77777777" w:rsidR="00E7775E" w:rsidRPr="00E7775E" w:rsidRDefault="00E7775E" w:rsidP="008A5614">
            <w:pPr>
              <w:spacing w:after="0" w:line="240" w:lineRule="auto"/>
              <w:rPr>
                <w:rFonts w:cs="Arial"/>
                <w:b/>
                <w:bCs/>
                <w:color w:val="FFFFFF"/>
                <w:sz w:val="18"/>
                <w:szCs w:val="22"/>
              </w:rPr>
            </w:pPr>
            <w:r w:rsidRPr="00E7775E">
              <w:rPr>
                <w:rFonts w:cs="Arial"/>
                <w:b/>
                <w:bCs/>
                <w:color w:val="FFFFFF"/>
                <w:sz w:val="18"/>
                <w:szCs w:val="22"/>
              </w:rPr>
              <w:t>Spectrum location</w:t>
            </w:r>
          </w:p>
        </w:tc>
        <w:tc>
          <w:tcPr>
            <w:tcW w:w="1082" w:type="dxa"/>
            <w:tcBorders>
              <w:top w:val="nil"/>
              <w:left w:val="nil"/>
              <w:bottom w:val="single" w:sz="8" w:space="0" w:color="auto"/>
              <w:right w:val="single" w:sz="8" w:space="0" w:color="auto"/>
            </w:tcBorders>
            <w:shd w:val="clear" w:color="000000" w:fill="404040"/>
            <w:noWrap/>
            <w:vAlign w:val="center"/>
            <w:hideMark/>
          </w:tcPr>
          <w:p w14:paraId="6E3B7075" w14:textId="77777777" w:rsidR="00E7775E" w:rsidRPr="00E7775E" w:rsidRDefault="00E7775E" w:rsidP="006040D1">
            <w:pPr>
              <w:spacing w:after="0" w:line="240" w:lineRule="auto"/>
              <w:jc w:val="center"/>
              <w:rPr>
                <w:rFonts w:cs="Arial"/>
                <w:b/>
                <w:bCs/>
                <w:color w:val="FFFFFF"/>
                <w:sz w:val="18"/>
                <w:szCs w:val="22"/>
              </w:rPr>
            </w:pPr>
            <w:r w:rsidRPr="00E7775E">
              <w:rPr>
                <w:rFonts w:cs="Arial"/>
                <w:b/>
                <w:bCs/>
                <w:color w:val="FFFFFF"/>
                <w:sz w:val="18"/>
                <w:szCs w:val="22"/>
              </w:rPr>
              <w:t>Aus-wide</w:t>
            </w:r>
          </w:p>
        </w:tc>
        <w:tc>
          <w:tcPr>
            <w:tcW w:w="961" w:type="dxa"/>
            <w:tcBorders>
              <w:top w:val="nil"/>
              <w:left w:val="nil"/>
              <w:bottom w:val="single" w:sz="8" w:space="0" w:color="auto"/>
              <w:right w:val="single" w:sz="8" w:space="0" w:color="auto"/>
            </w:tcBorders>
            <w:shd w:val="clear" w:color="000000" w:fill="404040"/>
            <w:noWrap/>
            <w:vAlign w:val="center"/>
            <w:hideMark/>
          </w:tcPr>
          <w:p w14:paraId="795621ED" w14:textId="77777777" w:rsidR="00E7775E" w:rsidRPr="00E7775E" w:rsidRDefault="00E7775E" w:rsidP="006040D1">
            <w:pPr>
              <w:spacing w:after="0" w:line="240" w:lineRule="auto"/>
              <w:jc w:val="center"/>
              <w:rPr>
                <w:rFonts w:cs="Arial"/>
                <w:b/>
                <w:bCs/>
                <w:color w:val="FFFFFF"/>
                <w:sz w:val="18"/>
                <w:szCs w:val="22"/>
              </w:rPr>
            </w:pPr>
            <w:r w:rsidRPr="00E7775E">
              <w:rPr>
                <w:rFonts w:cs="Arial"/>
                <w:b/>
                <w:bCs/>
                <w:color w:val="FFFFFF"/>
                <w:sz w:val="18"/>
                <w:szCs w:val="22"/>
              </w:rPr>
              <w:t>High</w:t>
            </w:r>
          </w:p>
        </w:tc>
        <w:tc>
          <w:tcPr>
            <w:tcW w:w="888" w:type="dxa"/>
            <w:tcBorders>
              <w:top w:val="nil"/>
              <w:left w:val="nil"/>
              <w:bottom w:val="single" w:sz="8" w:space="0" w:color="auto"/>
              <w:right w:val="single" w:sz="8" w:space="0" w:color="auto"/>
            </w:tcBorders>
            <w:shd w:val="clear" w:color="000000" w:fill="404040"/>
            <w:noWrap/>
            <w:vAlign w:val="center"/>
            <w:hideMark/>
          </w:tcPr>
          <w:p w14:paraId="786070D0" w14:textId="77777777" w:rsidR="00E7775E" w:rsidRPr="00E7775E" w:rsidRDefault="00E7775E" w:rsidP="006040D1">
            <w:pPr>
              <w:spacing w:after="0" w:line="240" w:lineRule="auto"/>
              <w:jc w:val="center"/>
              <w:rPr>
                <w:rFonts w:cs="Arial"/>
                <w:b/>
                <w:bCs/>
                <w:color w:val="FFFFFF"/>
                <w:sz w:val="18"/>
                <w:szCs w:val="22"/>
              </w:rPr>
            </w:pPr>
            <w:r w:rsidRPr="00E7775E">
              <w:rPr>
                <w:rFonts w:cs="Arial"/>
                <w:b/>
                <w:bCs/>
                <w:color w:val="FFFFFF"/>
                <w:sz w:val="18"/>
                <w:szCs w:val="22"/>
              </w:rPr>
              <w:t>Medium</w:t>
            </w:r>
          </w:p>
        </w:tc>
        <w:tc>
          <w:tcPr>
            <w:tcW w:w="842" w:type="dxa"/>
            <w:tcBorders>
              <w:top w:val="nil"/>
              <w:left w:val="nil"/>
              <w:bottom w:val="single" w:sz="8" w:space="0" w:color="auto"/>
              <w:right w:val="single" w:sz="8" w:space="0" w:color="auto"/>
            </w:tcBorders>
            <w:shd w:val="clear" w:color="000000" w:fill="404040"/>
            <w:noWrap/>
            <w:vAlign w:val="center"/>
            <w:hideMark/>
          </w:tcPr>
          <w:p w14:paraId="26D4D52C" w14:textId="77777777" w:rsidR="00E7775E" w:rsidRPr="00E7775E" w:rsidRDefault="00E7775E" w:rsidP="006040D1">
            <w:pPr>
              <w:spacing w:after="0" w:line="240" w:lineRule="auto"/>
              <w:jc w:val="center"/>
              <w:rPr>
                <w:rFonts w:cs="Arial"/>
                <w:b/>
                <w:bCs/>
                <w:color w:val="FFFFFF"/>
                <w:sz w:val="18"/>
                <w:szCs w:val="22"/>
              </w:rPr>
            </w:pPr>
            <w:r w:rsidRPr="00E7775E">
              <w:rPr>
                <w:rFonts w:cs="Arial"/>
                <w:b/>
                <w:bCs/>
                <w:color w:val="FFFFFF"/>
                <w:sz w:val="18"/>
                <w:szCs w:val="22"/>
              </w:rPr>
              <w:t>Low</w:t>
            </w:r>
          </w:p>
        </w:tc>
        <w:tc>
          <w:tcPr>
            <w:tcW w:w="918" w:type="dxa"/>
            <w:tcBorders>
              <w:top w:val="nil"/>
              <w:left w:val="nil"/>
              <w:bottom w:val="single" w:sz="8" w:space="0" w:color="auto"/>
              <w:right w:val="single" w:sz="8" w:space="0" w:color="auto"/>
            </w:tcBorders>
            <w:shd w:val="clear" w:color="000000" w:fill="404040"/>
            <w:noWrap/>
            <w:vAlign w:val="center"/>
            <w:hideMark/>
          </w:tcPr>
          <w:p w14:paraId="4E02CB54" w14:textId="77777777" w:rsidR="00E7775E" w:rsidRPr="00E7775E" w:rsidRDefault="00E7775E" w:rsidP="006040D1">
            <w:pPr>
              <w:spacing w:after="0" w:line="240" w:lineRule="auto"/>
              <w:jc w:val="center"/>
              <w:rPr>
                <w:rFonts w:cs="Arial"/>
                <w:b/>
                <w:bCs/>
                <w:color w:val="FFFFFF"/>
                <w:sz w:val="18"/>
                <w:szCs w:val="22"/>
              </w:rPr>
            </w:pPr>
            <w:r w:rsidRPr="00E7775E">
              <w:rPr>
                <w:rFonts w:cs="Arial"/>
                <w:b/>
                <w:bCs/>
                <w:color w:val="FFFFFF"/>
                <w:sz w:val="18"/>
                <w:szCs w:val="22"/>
              </w:rPr>
              <w:t>Remote</w:t>
            </w:r>
          </w:p>
        </w:tc>
        <w:tc>
          <w:tcPr>
            <w:tcW w:w="908" w:type="dxa"/>
            <w:tcBorders>
              <w:top w:val="nil"/>
              <w:left w:val="nil"/>
              <w:bottom w:val="single" w:sz="8" w:space="0" w:color="auto"/>
              <w:right w:val="nil"/>
            </w:tcBorders>
            <w:shd w:val="clear" w:color="auto" w:fill="404040" w:themeFill="text1" w:themeFillTint="BF"/>
            <w:noWrap/>
            <w:vAlign w:val="center"/>
            <w:hideMark/>
          </w:tcPr>
          <w:p w14:paraId="5C3F4741"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 </w:t>
            </w:r>
          </w:p>
        </w:tc>
      </w:tr>
      <w:tr w:rsidR="002B4F32" w:rsidRPr="00E7775E" w14:paraId="0EC5840C"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6F09DD71"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30 MHz and below</w:t>
            </w:r>
          </w:p>
        </w:tc>
        <w:tc>
          <w:tcPr>
            <w:tcW w:w="1082" w:type="dxa"/>
            <w:tcBorders>
              <w:top w:val="nil"/>
              <w:left w:val="nil"/>
              <w:bottom w:val="single" w:sz="8" w:space="0" w:color="auto"/>
              <w:right w:val="single" w:sz="8" w:space="0" w:color="auto"/>
            </w:tcBorders>
            <w:shd w:val="clear" w:color="000000" w:fill="FFE784"/>
            <w:noWrap/>
            <w:vAlign w:val="center"/>
            <w:hideMark/>
          </w:tcPr>
          <w:p w14:paraId="6881310F"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98%</w:t>
            </w:r>
          </w:p>
        </w:tc>
        <w:tc>
          <w:tcPr>
            <w:tcW w:w="961" w:type="dxa"/>
            <w:tcBorders>
              <w:top w:val="nil"/>
              <w:left w:val="nil"/>
              <w:bottom w:val="single" w:sz="8" w:space="0" w:color="auto"/>
              <w:right w:val="single" w:sz="8" w:space="0" w:color="auto"/>
            </w:tcBorders>
            <w:shd w:val="clear" w:color="000000" w:fill="FFE683"/>
            <w:noWrap/>
            <w:vAlign w:val="center"/>
            <w:hideMark/>
          </w:tcPr>
          <w:p w14:paraId="3F440AB4"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108%</w:t>
            </w:r>
          </w:p>
        </w:tc>
        <w:tc>
          <w:tcPr>
            <w:tcW w:w="888" w:type="dxa"/>
            <w:tcBorders>
              <w:top w:val="nil"/>
              <w:left w:val="nil"/>
              <w:bottom w:val="single" w:sz="8" w:space="0" w:color="auto"/>
              <w:right w:val="single" w:sz="8" w:space="0" w:color="auto"/>
            </w:tcBorders>
            <w:shd w:val="clear" w:color="000000" w:fill="EAE482"/>
            <w:noWrap/>
            <w:vAlign w:val="center"/>
            <w:hideMark/>
          </w:tcPr>
          <w:p w14:paraId="305B77B4"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19%</w:t>
            </w:r>
          </w:p>
        </w:tc>
        <w:tc>
          <w:tcPr>
            <w:tcW w:w="842" w:type="dxa"/>
            <w:tcBorders>
              <w:top w:val="nil"/>
              <w:left w:val="nil"/>
              <w:bottom w:val="single" w:sz="8" w:space="0" w:color="auto"/>
              <w:right w:val="single" w:sz="8" w:space="0" w:color="auto"/>
            </w:tcBorders>
            <w:shd w:val="clear" w:color="000000" w:fill="FFE784"/>
            <w:noWrap/>
            <w:vAlign w:val="center"/>
            <w:hideMark/>
          </w:tcPr>
          <w:p w14:paraId="400C05D7"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93%</w:t>
            </w:r>
          </w:p>
        </w:tc>
        <w:tc>
          <w:tcPr>
            <w:tcW w:w="918" w:type="dxa"/>
            <w:tcBorders>
              <w:top w:val="nil"/>
              <w:left w:val="nil"/>
              <w:bottom w:val="single" w:sz="8" w:space="0" w:color="auto"/>
              <w:right w:val="single" w:sz="8" w:space="0" w:color="auto"/>
            </w:tcBorders>
            <w:shd w:val="clear" w:color="000000" w:fill="FFE784"/>
            <w:noWrap/>
            <w:vAlign w:val="center"/>
            <w:hideMark/>
          </w:tcPr>
          <w:p w14:paraId="2848CD97"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102%</w:t>
            </w:r>
          </w:p>
        </w:tc>
        <w:tc>
          <w:tcPr>
            <w:tcW w:w="908" w:type="dxa"/>
            <w:tcBorders>
              <w:top w:val="nil"/>
              <w:left w:val="nil"/>
              <w:bottom w:val="single" w:sz="8" w:space="0" w:color="auto"/>
              <w:right w:val="single" w:sz="8" w:space="0" w:color="auto"/>
            </w:tcBorders>
            <w:shd w:val="clear" w:color="auto" w:fill="auto"/>
            <w:noWrap/>
            <w:vAlign w:val="center"/>
            <w:hideMark/>
          </w:tcPr>
          <w:p w14:paraId="0C03F473"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94%</w:t>
            </w:r>
          </w:p>
        </w:tc>
      </w:tr>
      <w:tr w:rsidR="002B4F32" w:rsidRPr="00E7775E" w14:paraId="321AD6B7"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4A67708A"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&gt;30 to 70 MHz</w:t>
            </w:r>
          </w:p>
        </w:tc>
        <w:tc>
          <w:tcPr>
            <w:tcW w:w="1082" w:type="dxa"/>
            <w:tcBorders>
              <w:top w:val="nil"/>
              <w:left w:val="nil"/>
              <w:bottom w:val="single" w:sz="8" w:space="0" w:color="auto"/>
              <w:right w:val="single" w:sz="8" w:space="0" w:color="auto"/>
            </w:tcBorders>
            <w:shd w:val="clear" w:color="000000" w:fill="FFE784"/>
            <w:noWrap/>
            <w:vAlign w:val="center"/>
            <w:hideMark/>
          </w:tcPr>
          <w:p w14:paraId="7D55301A"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98%</w:t>
            </w:r>
          </w:p>
        </w:tc>
        <w:tc>
          <w:tcPr>
            <w:tcW w:w="961" w:type="dxa"/>
            <w:tcBorders>
              <w:top w:val="nil"/>
              <w:left w:val="nil"/>
              <w:bottom w:val="single" w:sz="8" w:space="0" w:color="auto"/>
              <w:right w:val="single" w:sz="8" w:space="0" w:color="auto"/>
            </w:tcBorders>
            <w:shd w:val="clear" w:color="000000" w:fill="89C97D"/>
            <w:noWrap/>
            <w:vAlign w:val="center"/>
            <w:hideMark/>
          </w:tcPr>
          <w:p w14:paraId="48234AB5"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-60%</w:t>
            </w:r>
          </w:p>
        </w:tc>
        <w:tc>
          <w:tcPr>
            <w:tcW w:w="888" w:type="dxa"/>
            <w:tcBorders>
              <w:top w:val="nil"/>
              <w:left w:val="nil"/>
              <w:bottom w:val="single" w:sz="8" w:space="0" w:color="auto"/>
              <w:right w:val="single" w:sz="8" w:space="0" w:color="auto"/>
            </w:tcBorders>
            <w:shd w:val="clear" w:color="000000" w:fill="84C77C"/>
            <w:noWrap/>
            <w:vAlign w:val="center"/>
            <w:hideMark/>
          </w:tcPr>
          <w:p w14:paraId="0CF5E5F0"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-64%</w:t>
            </w:r>
          </w:p>
        </w:tc>
        <w:tc>
          <w:tcPr>
            <w:tcW w:w="842" w:type="dxa"/>
            <w:tcBorders>
              <w:top w:val="nil"/>
              <w:left w:val="nil"/>
              <w:bottom w:val="single" w:sz="8" w:space="0" w:color="auto"/>
              <w:right w:val="single" w:sz="8" w:space="0" w:color="auto"/>
            </w:tcBorders>
            <w:shd w:val="clear" w:color="000000" w:fill="B2D47F"/>
            <w:noWrap/>
            <w:vAlign w:val="center"/>
            <w:hideMark/>
          </w:tcPr>
          <w:p w14:paraId="5082D60B"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-27%</w:t>
            </w:r>
          </w:p>
        </w:tc>
        <w:tc>
          <w:tcPr>
            <w:tcW w:w="918" w:type="dxa"/>
            <w:tcBorders>
              <w:top w:val="nil"/>
              <w:left w:val="nil"/>
              <w:bottom w:val="single" w:sz="8" w:space="0" w:color="auto"/>
              <w:right w:val="single" w:sz="8" w:space="0" w:color="auto"/>
            </w:tcBorders>
            <w:shd w:val="clear" w:color="000000" w:fill="FFEB84"/>
            <w:noWrap/>
            <w:vAlign w:val="center"/>
            <w:hideMark/>
          </w:tcPr>
          <w:p w14:paraId="465A4421"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36%</w:t>
            </w:r>
          </w:p>
        </w:tc>
        <w:tc>
          <w:tcPr>
            <w:tcW w:w="908" w:type="dxa"/>
            <w:tcBorders>
              <w:top w:val="nil"/>
              <w:left w:val="nil"/>
              <w:bottom w:val="single" w:sz="8" w:space="0" w:color="auto"/>
              <w:right w:val="single" w:sz="8" w:space="0" w:color="auto"/>
            </w:tcBorders>
            <w:shd w:val="clear" w:color="auto" w:fill="auto"/>
            <w:noWrap/>
            <w:vAlign w:val="center"/>
            <w:hideMark/>
          </w:tcPr>
          <w:p w14:paraId="0FF4818E"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-8%</w:t>
            </w:r>
          </w:p>
        </w:tc>
      </w:tr>
      <w:tr w:rsidR="002B4F32" w:rsidRPr="00E7775E" w14:paraId="6E41FE20"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4AABF1D0"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&gt;70 to 399.9 MHz</w:t>
            </w:r>
          </w:p>
        </w:tc>
        <w:tc>
          <w:tcPr>
            <w:tcW w:w="1082" w:type="dxa"/>
            <w:tcBorders>
              <w:top w:val="nil"/>
              <w:left w:val="nil"/>
              <w:bottom w:val="single" w:sz="8" w:space="0" w:color="auto"/>
              <w:right w:val="single" w:sz="8" w:space="0" w:color="auto"/>
            </w:tcBorders>
            <w:shd w:val="clear" w:color="000000" w:fill="FFEB84"/>
            <w:noWrap/>
            <w:vAlign w:val="center"/>
            <w:hideMark/>
          </w:tcPr>
          <w:p w14:paraId="41688F68"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42%</w:t>
            </w:r>
          </w:p>
        </w:tc>
        <w:tc>
          <w:tcPr>
            <w:tcW w:w="961" w:type="dxa"/>
            <w:tcBorders>
              <w:top w:val="nil"/>
              <w:left w:val="nil"/>
              <w:bottom w:val="single" w:sz="8" w:space="0" w:color="auto"/>
              <w:right w:val="single" w:sz="8" w:space="0" w:color="auto"/>
            </w:tcBorders>
            <w:shd w:val="clear" w:color="000000" w:fill="FAE983"/>
            <w:noWrap/>
            <w:vAlign w:val="center"/>
            <w:hideMark/>
          </w:tcPr>
          <w:p w14:paraId="63525043"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32%</w:t>
            </w:r>
          </w:p>
        </w:tc>
        <w:tc>
          <w:tcPr>
            <w:tcW w:w="888" w:type="dxa"/>
            <w:tcBorders>
              <w:top w:val="nil"/>
              <w:left w:val="nil"/>
              <w:bottom w:val="single" w:sz="8" w:space="0" w:color="auto"/>
              <w:right w:val="single" w:sz="8" w:space="0" w:color="auto"/>
            </w:tcBorders>
            <w:shd w:val="clear" w:color="000000" w:fill="E6E382"/>
            <w:noWrap/>
            <w:vAlign w:val="center"/>
            <w:hideMark/>
          </w:tcPr>
          <w:p w14:paraId="67DDFF1E"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16%</w:t>
            </w:r>
          </w:p>
        </w:tc>
        <w:tc>
          <w:tcPr>
            <w:tcW w:w="842" w:type="dxa"/>
            <w:tcBorders>
              <w:top w:val="nil"/>
              <w:left w:val="nil"/>
              <w:bottom w:val="single" w:sz="8" w:space="0" w:color="auto"/>
              <w:right w:val="single" w:sz="8" w:space="0" w:color="auto"/>
            </w:tcBorders>
            <w:shd w:val="clear" w:color="000000" w:fill="F4E883"/>
            <w:noWrap/>
            <w:vAlign w:val="center"/>
            <w:hideMark/>
          </w:tcPr>
          <w:p w14:paraId="4A910780"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28%</w:t>
            </w:r>
          </w:p>
        </w:tc>
        <w:tc>
          <w:tcPr>
            <w:tcW w:w="918" w:type="dxa"/>
            <w:tcBorders>
              <w:top w:val="nil"/>
              <w:left w:val="nil"/>
              <w:bottom w:val="single" w:sz="8" w:space="0" w:color="auto"/>
              <w:right w:val="single" w:sz="8" w:space="0" w:color="auto"/>
            </w:tcBorders>
            <w:shd w:val="clear" w:color="000000" w:fill="D9E081"/>
            <w:noWrap/>
            <w:vAlign w:val="center"/>
            <w:hideMark/>
          </w:tcPr>
          <w:p w14:paraId="38D99F07"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5%</w:t>
            </w:r>
          </w:p>
        </w:tc>
        <w:tc>
          <w:tcPr>
            <w:tcW w:w="908" w:type="dxa"/>
            <w:tcBorders>
              <w:top w:val="nil"/>
              <w:left w:val="nil"/>
              <w:bottom w:val="single" w:sz="8" w:space="0" w:color="auto"/>
              <w:right w:val="single" w:sz="8" w:space="0" w:color="auto"/>
            </w:tcBorders>
            <w:shd w:val="clear" w:color="auto" w:fill="auto"/>
            <w:noWrap/>
            <w:vAlign w:val="center"/>
            <w:hideMark/>
          </w:tcPr>
          <w:p w14:paraId="0FB6AE1B"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21%</w:t>
            </w:r>
          </w:p>
        </w:tc>
      </w:tr>
      <w:tr w:rsidR="002B4F32" w:rsidRPr="00E7775E" w14:paraId="0D14CE63"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74BEF3EE"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&gt;399.9 to 403 MHz</w:t>
            </w:r>
          </w:p>
        </w:tc>
        <w:tc>
          <w:tcPr>
            <w:tcW w:w="1082" w:type="dxa"/>
            <w:tcBorders>
              <w:top w:val="nil"/>
              <w:left w:val="nil"/>
              <w:bottom w:val="single" w:sz="8" w:space="0" w:color="auto"/>
              <w:right w:val="single" w:sz="8" w:space="0" w:color="auto"/>
            </w:tcBorders>
            <w:shd w:val="clear" w:color="000000" w:fill="FA8471"/>
            <w:noWrap/>
            <w:vAlign w:val="center"/>
            <w:hideMark/>
          </w:tcPr>
          <w:p w14:paraId="5CA0D749"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1450%</w:t>
            </w:r>
          </w:p>
        </w:tc>
        <w:tc>
          <w:tcPr>
            <w:tcW w:w="961" w:type="dxa"/>
            <w:tcBorders>
              <w:top w:val="nil"/>
              <w:left w:val="nil"/>
              <w:bottom w:val="single" w:sz="8" w:space="0" w:color="auto"/>
              <w:right w:val="single" w:sz="8" w:space="0" w:color="auto"/>
            </w:tcBorders>
            <w:shd w:val="clear" w:color="000000" w:fill="FFEA84"/>
            <w:noWrap/>
            <w:vAlign w:val="center"/>
            <w:hideMark/>
          </w:tcPr>
          <w:p w14:paraId="21700608"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50%</w:t>
            </w:r>
          </w:p>
        </w:tc>
        <w:tc>
          <w:tcPr>
            <w:tcW w:w="888" w:type="dxa"/>
            <w:tcBorders>
              <w:top w:val="nil"/>
              <w:left w:val="nil"/>
              <w:bottom w:val="single" w:sz="8" w:space="0" w:color="auto"/>
              <w:right w:val="single" w:sz="8" w:space="0" w:color="auto"/>
            </w:tcBorders>
            <w:shd w:val="clear" w:color="000000" w:fill="D3DE81"/>
            <w:noWrap/>
            <w:vAlign w:val="center"/>
            <w:hideMark/>
          </w:tcPr>
          <w:p w14:paraId="61A413B5"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0%</w:t>
            </w:r>
          </w:p>
        </w:tc>
        <w:tc>
          <w:tcPr>
            <w:tcW w:w="842" w:type="dxa"/>
            <w:tcBorders>
              <w:top w:val="nil"/>
              <w:left w:val="nil"/>
              <w:bottom w:val="single" w:sz="8" w:space="0" w:color="auto"/>
              <w:right w:val="single" w:sz="8" w:space="0" w:color="auto"/>
            </w:tcBorders>
            <w:shd w:val="clear" w:color="000000" w:fill="E9E482"/>
            <w:noWrap/>
            <w:vAlign w:val="center"/>
            <w:hideMark/>
          </w:tcPr>
          <w:p w14:paraId="6E94E66F"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18%</w:t>
            </w:r>
          </w:p>
        </w:tc>
        <w:tc>
          <w:tcPr>
            <w:tcW w:w="918" w:type="dxa"/>
            <w:tcBorders>
              <w:top w:val="nil"/>
              <w:left w:val="nil"/>
              <w:bottom w:val="single" w:sz="8" w:space="0" w:color="auto"/>
              <w:right w:val="single" w:sz="8" w:space="0" w:color="auto"/>
            </w:tcBorders>
            <w:shd w:val="clear" w:color="000000" w:fill="B0D47F"/>
            <w:noWrap/>
            <w:vAlign w:val="center"/>
            <w:hideMark/>
          </w:tcPr>
          <w:p w14:paraId="61592ECD"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-28%</w:t>
            </w:r>
          </w:p>
        </w:tc>
        <w:tc>
          <w:tcPr>
            <w:tcW w:w="908" w:type="dxa"/>
            <w:tcBorders>
              <w:top w:val="nil"/>
              <w:left w:val="nil"/>
              <w:bottom w:val="single" w:sz="8" w:space="0" w:color="auto"/>
              <w:right w:val="single" w:sz="8" w:space="0" w:color="auto"/>
            </w:tcBorders>
            <w:shd w:val="clear" w:color="auto" w:fill="auto"/>
            <w:noWrap/>
            <w:vAlign w:val="center"/>
            <w:hideMark/>
          </w:tcPr>
          <w:p w14:paraId="35655FB1"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26%</w:t>
            </w:r>
          </w:p>
        </w:tc>
      </w:tr>
      <w:tr w:rsidR="002B4F32" w:rsidRPr="00E7775E" w14:paraId="3ED36687"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723E7192"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&gt;403 to 520 MHz</w:t>
            </w:r>
          </w:p>
        </w:tc>
        <w:tc>
          <w:tcPr>
            <w:tcW w:w="1082" w:type="dxa"/>
            <w:tcBorders>
              <w:top w:val="nil"/>
              <w:left w:val="nil"/>
              <w:bottom w:val="single" w:sz="8" w:space="0" w:color="auto"/>
              <w:right w:val="single" w:sz="8" w:space="0" w:color="auto"/>
            </w:tcBorders>
            <w:shd w:val="clear" w:color="000000" w:fill="FFE784"/>
            <w:noWrap/>
            <w:vAlign w:val="center"/>
            <w:hideMark/>
          </w:tcPr>
          <w:p w14:paraId="6097E46D"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101%</w:t>
            </w:r>
          </w:p>
        </w:tc>
        <w:tc>
          <w:tcPr>
            <w:tcW w:w="961" w:type="dxa"/>
            <w:tcBorders>
              <w:top w:val="nil"/>
              <w:left w:val="nil"/>
              <w:bottom w:val="single" w:sz="8" w:space="0" w:color="auto"/>
              <w:right w:val="single" w:sz="8" w:space="0" w:color="auto"/>
            </w:tcBorders>
            <w:shd w:val="clear" w:color="000000" w:fill="FFEB84"/>
            <w:noWrap/>
            <w:vAlign w:val="center"/>
            <w:hideMark/>
          </w:tcPr>
          <w:p w14:paraId="3E230323"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42%</w:t>
            </w:r>
          </w:p>
        </w:tc>
        <w:tc>
          <w:tcPr>
            <w:tcW w:w="888" w:type="dxa"/>
            <w:tcBorders>
              <w:top w:val="nil"/>
              <w:left w:val="nil"/>
              <w:bottom w:val="single" w:sz="8" w:space="0" w:color="auto"/>
              <w:right w:val="single" w:sz="8" w:space="0" w:color="auto"/>
            </w:tcBorders>
            <w:shd w:val="clear" w:color="000000" w:fill="FBEA83"/>
            <w:noWrap/>
            <w:vAlign w:val="center"/>
            <w:hideMark/>
          </w:tcPr>
          <w:p w14:paraId="603C31E0"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33%</w:t>
            </w:r>
          </w:p>
        </w:tc>
        <w:tc>
          <w:tcPr>
            <w:tcW w:w="842" w:type="dxa"/>
            <w:tcBorders>
              <w:top w:val="nil"/>
              <w:left w:val="nil"/>
              <w:bottom w:val="single" w:sz="8" w:space="0" w:color="auto"/>
              <w:right w:val="single" w:sz="8" w:space="0" w:color="auto"/>
            </w:tcBorders>
            <w:shd w:val="clear" w:color="000000" w:fill="F0E683"/>
            <w:noWrap/>
            <w:vAlign w:val="center"/>
            <w:hideMark/>
          </w:tcPr>
          <w:p w14:paraId="00524841"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24%</w:t>
            </w:r>
          </w:p>
        </w:tc>
        <w:tc>
          <w:tcPr>
            <w:tcW w:w="918" w:type="dxa"/>
            <w:tcBorders>
              <w:top w:val="nil"/>
              <w:left w:val="nil"/>
              <w:bottom w:val="single" w:sz="8" w:space="0" w:color="auto"/>
              <w:right w:val="single" w:sz="8" w:space="0" w:color="auto"/>
            </w:tcBorders>
            <w:shd w:val="clear" w:color="000000" w:fill="F7E883"/>
            <w:noWrap/>
            <w:vAlign w:val="center"/>
            <w:hideMark/>
          </w:tcPr>
          <w:p w14:paraId="6FAA8BF9"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30%</w:t>
            </w:r>
          </w:p>
        </w:tc>
        <w:tc>
          <w:tcPr>
            <w:tcW w:w="908" w:type="dxa"/>
            <w:tcBorders>
              <w:top w:val="nil"/>
              <w:left w:val="nil"/>
              <w:bottom w:val="single" w:sz="8" w:space="0" w:color="auto"/>
              <w:right w:val="single" w:sz="8" w:space="0" w:color="auto"/>
            </w:tcBorders>
            <w:shd w:val="clear" w:color="auto" w:fill="auto"/>
            <w:noWrap/>
            <w:vAlign w:val="center"/>
            <w:hideMark/>
          </w:tcPr>
          <w:p w14:paraId="7CC8CFA8"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32%</w:t>
            </w:r>
          </w:p>
        </w:tc>
      </w:tr>
      <w:tr w:rsidR="002B4F32" w:rsidRPr="00E7775E" w14:paraId="3ADA67FE"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4F1124AE"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&gt;520 to 960 MHz</w:t>
            </w:r>
          </w:p>
        </w:tc>
        <w:tc>
          <w:tcPr>
            <w:tcW w:w="1082" w:type="dxa"/>
            <w:tcBorders>
              <w:top w:val="nil"/>
              <w:left w:val="nil"/>
              <w:bottom w:val="single" w:sz="8" w:space="0" w:color="auto"/>
              <w:right w:val="single" w:sz="8" w:space="0" w:color="auto"/>
            </w:tcBorders>
            <w:shd w:val="clear" w:color="000000" w:fill="FFEB84"/>
            <w:noWrap/>
            <w:vAlign w:val="center"/>
            <w:hideMark/>
          </w:tcPr>
          <w:p w14:paraId="5FB906AB"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43%</w:t>
            </w:r>
          </w:p>
        </w:tc>
        <w:tc>
          <w:tcPr>
            <w:tcW w:w="961" w:type="dxa"/>
            <w:tcBorders>
              <w:top w:val="nil"/>
              <w:left w:val="nil"/>
              <w:bottom w:val="single" w:sz="8" w:space="0" w:color="auto"/>
              <w:right w:val="single" w:sz="8" w:space="0" w:color="auto"/>
            </w:tcBorders>
            <w:shd w:val="clear" w:color="000000" w:fill="64BE7B"/>
            <w:noWrap/>
            <w:vAlign w:val="center"/>
            <w:hideMark/>
          </w:tcPr>
          <w:p w14:paraId="5841B7B2"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-90%</w:t>
            </w:r>
          </w:p>
        </w:tc>
        <w:tc>
          <w:tcPr>
            <w:tcW w:w="888" w:type="dxa"/>
            <w:tcBorders>
              <w:top w:val="nil"/>
              <w:left w:val="nil"/>
              <w:bottom w:val="single" w:sz="8" w:space="0" w:color="auto"/>
              <w:right w:val="single" w:sz="8" w:space="0" w:color="auto"/>
            </w:tcBorders>
            <w:shd w:val="clear" w:color="000000" w:fill="6AC07B"/>
            <w:noWrap/>
            <w:vAlign w:val="center"/>
            <w:hideMark/>
          </w:tcPr>
          <w:p w14:paraId="6C30FEE1"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-85%</w:t>
            </w:r>
          </w:p>
        </w:tc>
        <w:tc>
          <w:tcPr>
            <w:tcW w:w="842" w:type="dxa"/>
            <w:tcBorders>
              <w:top w:val="nil"/>
              <w:left w:val="nil"/>
              <w:bottom w:val="single" w:sz="8" w:space="0" w:color="auto"/>
              <w:right w:val="single" w:sz="8" w:space="0" w:color="auto"/>
            </w:tcBorders>
            <w:shd w:val="clear" w:color="000000" w:fill="7AC47C"/>
            <w:noWrap/>
            <w:vAlign w:val="center"/>
            <w:hideMark/>
          </w:tcPr>
          <w:p w14:paraId="2EAEE810"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-72%</w:t>
            </w:r>
          </w:p>
        </w:tc>
        <w:tc>
          <w:tcPr>
            <w:tcW w:w="918" w:type="dxa"/>
            <w:tcBorders>
              <w:top w:val="nil"/>
              <w:left w:val="nil"/>
              <w:bottom w:val="single" w:sz="8" w:space="0" w:color="auto"/>
              <w:right w:val="single" w:sz="8" w:space="0" w:color="auto"/>
            </w:tcBorders>
            <w:shd w:val="clear" w:color="000000" w:fill="78C47C"/>
            <w:noWrap/>
            <w:vAlign w:val="center"/>
            <w:hideMark/>
          </w:tcPr>
          <w:p w14:paraId="07097E11"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-74%</w:t>
            </w:r>
          </w:p>
        </w:tc>
        <w:tc>
          <w:tcPr>
            <w:tcW w:w="908" w:type="dxa"/>
            <w:tcBorders>
              <w:top w:val="nil"/>
              <w:left w:val="nil"/>
              <w:bottom w:val="single" w:sz="8" w:space="0" w:color="auto"/>
              <w:right w:val="single" w:sz="8" w:space="0" w:color="auto"/>
            </w:tcBorders>
            <w:shd w:val="clear" w:color="auto" w:fill="auto"/>
            <w:noWrap/>
            <w:vAlign w:val="center"/>
            <w:hideMark/>
          </w:tcPr>
          <w:p w14:paraId="1235F3E6"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-80%</w:t>
            </w:r>
          </w:p>
        </w:tc>
      </w:tr>
      <w:tr w:rsidR="002B4F32" w:rsidRPr="00E7775E" w14:paraId="1DCAF28D"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67D43FE8"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&gt;960 to 2,690 MHz</w:t>
            </w:r>
          </w:p>
        </w:tc>
        <w:tc>
          <w:tcPr>
            <w:tcW w:w="1082" w:type="dxa"/>
            <w:tcBorders>
              <w:top w:val="nil"/>
              <w:left w:val="nil"/>
              <w:bottom w:val="single" w:sz="8" w:space="0" w:color="auto"/>
              <w:right w:val="single" w:sz="8" w:space="0" w:color="auto"/>
            </w:tcBorders>
            <w:shd w:val="clear" w:color="000000" w:fill="FFE984"/>
            <w:noWrap/>
            <w:vAlign w:val="center"/>
            <w:hideMark/>
          </w:tcPr>
          <w:p w14:paraId="54A48FCE"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76%</w:t>
            </w:r>
          </w:p>
        </w:tc>
        <w:tc>
          <w:tcPr>
            <w:tcW w:w="961" w:type="dxa"/>
            <w:tcBorders>
              <w:top w:val="nil"/>
              <w:left w:val="nil"/>
              <w:bottom w:val="single" w:sz="8" w:space="0" w:color="auto"/>
              <w:right w:val="single" w:sz="8" w:space="0" w:color="auto"/>
            </w:tcBorders>
            <w:shd w:val="clear" w:color="000000" w:fill="DEE182"/>
            <w:noWrap/>
            <w:vAlign w:val="center"/>
            <w:hideMark/>
          </w:tcPr>
          <w:p w14:paraId="482DBA96"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10%</w:t>
            </w:r>
          </w:p>
        </w:tc>
        <w:tc>
          <w:tcPr>
            <w:tcW w:w="888" w:type="dxa"/>
            <w:tcBorders>
              <w:top w:val="nil"/>
              <w:left w:val="nil"/>
              <w:bottom w:val="single" w:sz="8" w:space="0" w:color="auto"/>
              <w:right w:val="single" w:sz="8" w:space="0" w:color="auto"/>
            </w:tcBorders>
            <w:shd w:val="clear" w:color="000000" w:fill="CEDD81"/>
            <w:noWrap/>
            <w:vAlign w:val="center"/>
            <w:hideMark/>
          </w:tcPr>
          <w:p w14:paraId="1D5BE3C9"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-4%</w:t>
            </w:r>
          </w:p>
        </w:tc>
        <w:tc>
          <w:tcPr>
            <w:tcW w:w="842" w:type="dxa"/>
            <w:tcBorders>
              <w:top w:val="nil"/>
              <w:left w:val="nil"/>
              <w:bottom w:val="single" w:sz="8" w:space="0" w:color="auto"/>
              <w:right w:val="single" w:sz="8" w:space="0" w:color="auto"/>
            </w:tcBorders>
            <w:shd w:val="clear" w:color="000000" w:fill="FFDF82"/>
            <w:noWrap/>
            <w:vAlign w:val="center"/>
            <w:hideMark/>
          </w:tcPr>
          <w:p w14:paraId="693E60F2"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209%</w:t>
            </w:r>
          </w:p>
        </w:tc>
        <w:tc>
          <w:tcPr>
            <w:tcW w:w="918" w:type="dxa"/>
            <w:tcBorders>
              <w:top w:val="nil"/>
              <w:left w:val="nil"/>
              <w:bottom w:val="single" w:sz="8" w:space="0" w:color="auto"/>
              <w:right w:val="single" w:sz="8" w:space="0" w:color="auto"/>
            </w:tcBorders>
            <w:shd w:val="clear" w:color="000000" w:fill="FFEB84"/>
            <w:noWrap/>
            <w:vAlign w:val="center"/>
            <w:hideMark/>
          </w:tcPr>
          <w:p w14:paraId="191A1655"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42%</w:t>
            </w:r>
          </w:p>
        </w:tc>
        <w:tc>
          <w:tcPr>
            <w:tcW w:w="908" w:type="dxa"/>
            <w:tcBorders>
              <w:top w:val="nil"/>
              <w:left w:val="nil"/>
              <w:bottom w:val="single" w:sz="8" w:space="0" w:color="auto"/>
              <w:right w:val="single" w:sz="8" w:space="0" w:color="auto"/>
            </w:tcBorders>
            <w:shd w:val="clear" w:color="auto" w:fill="auto"/>
            <w:noWrap/>
            <w:vAlign w:val="center"/>
            <w:hideMark/>
          </w:tcPr>
          <w:p w14:paraId="18D77C5E"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93%</w:t>
            </w:r>
          </w:p>
        </w:tc>
      </w:tr>
      <w:tr w:rsidR="002B4F32" w:rsidRPr="00E7775E" w14:paraId="32D8EC4A"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0DC7BAE1"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&gt;2,690 to 5,000 MHz</w:t>
            </w:r>
          </w:p>
        </w:tc>
        <w:tc>
          <w:tcPr>
            <w:tcW w:w="1082" w:type="dxa"/>
            <w:tcBorders>
              <w:top w:val="nil"/>
              <w:left w:val="nil"/>
              <w:bottom w:val="single" w:sz="8" w:space="0" w:color="auto"/>
              <w:right w:val="single" w:sz="8" w:space="0" w:color="auto"/>
            </w:tcBorders>
            <w:shd w:val="clear" w:color="000000" w:fill="FFE483"/>
            <w:noWrap/>
            <w:vAlign w:val="center"/>
            <w:hideMark/>
          </w:tcPr>
          <w:p w14:paraId="4259114C"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133%</w:t>
            </w:r>
          </w:p>
        </w:tc>
        <w:tc>
          <w:tcPr>
            <w:tcW w:w="961" w:type="dxa"/>
            <w:tcBorders>
              <w:top w:val="nil"/>
              <w:left w:val="nil"/>
              <w:bottom w:val="single" w:sz="8" w:space="0" w:color="auto"/>
              <w:right w:val="single" w:sz="8" w:space="0" w:color="auto"/>
            </w:tcBorders>
            <w:shd w:val="clear" w:color="000000" w:fill="FB9073"/>
            <w:noWrap/>
            <w:vAlign w:val="center"/>
            <w:hideMark/>
          </w:tcPr>
          <w:p w14:paraId="6DF955FE"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1287%</w:t>
            </w:r>
          </w:p>
        </w:tc>
        <w:tc>
          <w:tcPr>
            <w:tcW w:w="888" w:type="dxa"/>
            <w:tcBorders>
              <w:top w:val="nil"/>
              <w:left w:val="nil"/>
              <w:bottom w:val="single" w:sz="8" w:space="0" w:color="auto"/>
              <w:right w:val="single" w:sz="8" w:space="0" w:color="auto"/>
            </w:tcBorders>
            <w:shd w:val="clear" w:color="000000" w:fill="F8696B"/>
            <w:noWrap/>
            <w:vAlign w:val="center"/>
            <w:hideMark/>
          </w:tcPr>
          <w:p w14:paraId="1164D2C2"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1806%</w:t>
            </w:r>
          </w:p>
        </w:tc>
        <w:tc>
          <w:tcPr>
            <w:tcW w:w="842" w:type="dxa"/>
            <w:tcBorders>
              <w:top w:val="nil"/>
              <w:left w:val="nil"/>
              <w:bottom w:val="single" w:sz="8" w:space="0" w:color="auto"/>
              <w:right w:val="single" w:sz="8" w:space="0" w:color="auto"/>
            </w:tcBorders>
            <w:shd w:val="clear" w:color="000000" w:fill="FDBA7B"/>
            <w:noWrap/>
            <w:vAlign w:val="center"/>
            <w:hideMark/>
          </w:tcPr>
          <w:p w14:paraId="63F61C17"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704%</w:t>
            </w:r>
          </w:p>
        </w:tc>
        <w:tc>
          <w:tcPr>
            <w:tcW w:w="918" w:type="dxa"/>
            <w:tcBorders>
              <w:top w:val="nil"/>
              <w:left w:val="nil"/>
              <w:bottom w:val="single" w:sz="8" w:space="0" w:color="auto"/>
              <w:right w:val="single" w:sz="8" w:space="0" w:color="auto"/>
            </w:tcBorders>
            <w:shd w:val="clear" w:color="000000" w:fill="FEC77D"/>
            <w:noWrap/>
            <w:vAlign w:val="center"/>
            <w:hideMark/>
          </w:tcPr>
          <w:p w14:paraId="73A0805C"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540%</w:t>
            </w:r>
          </w:p>
        </w:tc>
        <w:tc>
          <w:tcPr>
            <w:tcW w:w="908" w:type="dxa"/>
            <w:tcBorders>
              <w:top w:val="nil"/>
              <w:left w:val="nil"/>
              <w:bottom w:val="single" w:sz="8" w:space="0" w:color="auto"/>
              <w:right w:val="single" w:sz="8" w:space="0" w:color="auto"/>
            </w:tcBorders>
            <w:shd w:val="clear" w:color="auto" w:fill="auto"/>
            <w:noWrap/>
            <w:vAlign w:val="center"/>
            <w:hideMark/>
          </w:tcPr>
          <w:p w14:paraId="6F6939BD"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781%</w:t>
            </w:r>
          </w:p>
        </w:tc>
      </w:tr>
      <w:tr w:rsidR="002B4F32" w:rsidRPr="00E7775E" w14:paraId="4B8585BC"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46EDAAA0"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&gt;5.0 to 8.5 GHz</w:t>
            </w:r>
          </w:p>
        </w:tc>
        <w:tc>
          <w:tcPr>
            <w:tcW w:w="1082" w:type="dxa"/>
            <w:tcBorders>
              <w:top w:val="nil"/>
              <w:left w:val="nil"/>
              <w:bottom w:val="single" w:sz="8" w:space="0" w:color="auto"/>
              <w:right w:val="single" w:sz="8" w:space="0" w:color="auto"/>
            </w:tcBorders>
            <w:shd w:val="clear" w:color="000000" w:fill="D6DF81"/>
            <w:noWrap/>
            <w:vAlign w:val="center"/>
            <w:hideMark/>
          </w:tcPr>
          <w:p w14:paraId="26B78A80"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3%</w:t>
            </w:r>
          </w:p>
        </w:tc>
        <w:tc>
          <w:tcPr>
            <w:tcW w:w="961" w:type="dxa"/>
            <w:tcBorders>
              <w:top w:val="nil"/>
              <w:left w:val="nil"/>
              <w:bottom w:val="single" w:sz="8" w:space="0" w:color="auto"/>
              <w:right w:val="single" w:sz="8" w:space="0" w:color="auto"/>
            </w:tcBorders>
            <w:shd w:val="clear" w:color="000000" w:fill="B9D67F"/>
            <w:noWrap/>
            <w:vAlign w:val="center"/>
            <w:hideMark/>
          </w:tcPr>
          <w:p w14:paraId="6A492A30"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-21%</w:t>
            </w:r>
          </w:p>
        </w:tc>
        <w:tc>
          <w:tcPr>
            <w:tcW w:w="888" w:type="dxa"/>
            <w:tcBorders>
              <w:top w:val="nil"/>
              <w:left w:val="nil"/>
              <w:bottom w:val="single" w:sz="8" w:space="0" w:color="auto"/>
              <w:right w:val="single" w:sz="8" w:space="0" w:color="auto"/>
            </w:tcBorders>
            <w:shd w:val="clear" w:color="000000" w:fill="CDDC81"/>
            <w:noWrap/>
            <w:vAlign w:val="center"/>
            <w:hideMark/>
          </w:tcPr>
          <w:p w14:paraId="13E45D8A"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-5%</w:t>
            </w:r>
          </w:p>
        </w:tc>
        <w:tc>
          <w:tcPr>
            <w:tcW w:w="842" w:type="dxa"/>
            <w:tcBorders>
              <w:top w:val="nil"/>
              <w:left w:val="nil"/>
              <w:bottom w:val="single" w:sz="8" w:space="0" w:color="auto"/>
              <w:right w:val="single" w:sz="8" w:space="0" w:color="auto"/>
            </w:tcBorders>
            <w:shd w:val="clear" w:color="000000" w:fill="FFE984"/>
            <w:noWrap/>
            <w:vAlign w:val="center"/>
            <w:hideMark/>
          </w:tcPr>
          <w:p w14:paraId="3AE53267"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63%</w:t>
            </w:r>
          </w:p>
        </w:tc>
        <w:tc>
          <w:tcPr>
            <w:tcW w:w="918" w:type="dxa"/>
            <w:tcBorders>
              <w:top w:val="nil"/>
              <w:left w:val="nil"/>
              <w:bottom w:val="single" w:sz="8" w:space="0" w:color="auto"/>
              <w:right w:val="single" w:sz="8" w:space="0" w:color="auto"/>
            </w:tcBorders>
            <w:shd w:val="clear" w:color="000000" w:fill="FFE683"/>
            <w:noWrap/>
            <w:vAlign w:val="center"/>
            <w:hideMark/>
          </w:tcPr>
          <w:p w14:paraId="05CB66E6"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113%</w:t>
            </w:r>
          </w:p>
        </w:tc>
        <w:tc>
          <w:tcPr>
            <w:tcW w:w="908" w:type="dxa"/>
            <w:tcBorders>
              <w:top w:val="nil"/>
              <w:left w:val="nil"/>
              <w:bottom w:val="single" w:sz="8" w:space="0" w:color="auto"/>
              <w:right w:val="single" w:sz="8" w:space="0" w:color="auto"/>
            </w:tcBorders>
            <w:shd w:val="clear" w:color="auto" w:fill="auto"/>
            <w:noWrap/>
            <w:vAlign w:val="center"/>
            <w:hideMark/>
          </w:tcPr>
          <w:p w14:paraId="673731FC"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55%</w:t>
            </w:r>
          </w:p>
        </w:tc>
      </w:tr>
      <w:tr w:rsidR="002B4F32" w:rsidRPr="00E7775E" w14:paraId="349A98A3"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5C685A6E"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&gt;8.5 to 14.5 GHz</w:t>
            </w:r>
          </w:p>
        </w:tc>
        <w:tc>
          <w:tcPr>
            <w:tcW w:w="1082" w:type="dxa"/>
            <w:tcBorders>
              <w:top w:val="nil"/>
              <w:left w:val="nil"/>
              <w:bottom w:val="single" w:sz="8" w:space="0" w:color="auto"/>
              <w:right w:val="single" w:sz="8" w:space="0" w:color="auto"/>
            </w:tcBorders>
            <w:shd w:val="clear" w:color="000000" w:fill="A5D17E"/>
            <w:noWrap/>
            <w:vAlign w:val="center"/>
            <w:hideMark/>
          </w:tcPr>
          <w:p w14:paraId="2A6225B3"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-38%</w:t>
            </w:r>
          </w:p>
        </w:tc>
        <w:tc>
          <w:tcPr>
            <w:tcW w:w="961" w:type="dxa"/>
            <w:tcBorders>
              <w:top w:val="nil"/>
              <w:left w:val="nil"/>
              <w:bottom w:val="single" w:sz="8" w:space="0" w:color="auto"/>
              <w:right w:val="single" w:sz="8" w:space="0" w:color="auto"/>
            </w:tcBorders>
            <w:shd w:val="clear" w:color="000000" w:fill="FEEA83"/>
            <w:noWrap/>
            <w:vAlign w:val="center"/>
            <w:hideMark/>
          </w:tcPr>
          <w:p w14:paraId="124D018C"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35%</w:t>
            </w:r>
          </w:p>
        </w:tc>
        <w:tc>
          <w:tcPr>
            <w:tcW w:w="888" w:type="dxa"/>
            <w:tcBorders>
              <w:top w:val="nil"/>
              <w:left w:val="nil"/>
              <w:bottom w:val="single" w:sz="8" w:space="0" w:color="auto"/>
              <w:right w:val="single" w:sz="8" w:space="0" w:color="auto"/>
            </w:tcBorders>
            <w:shd w:val="clear" w:color="000000" w:fill="FFE784"/>
            <w:noWrap/>
            <w:vAlign w:val="center"/>
            <w:hideMark/>
          </w:tcPr>
          <w:p w14:paraId="2F411035"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100%</w:t>
            </w:r>
          </w:p>
        </w:tc>
        <w:tc>
          <w:tcPr>
            <w:tcW w:w="842" w:type="dxa"/>
            <w:tcBorders>
              <w:top w:val="nil"/>
              <w:left w:val="nil"/>
              <w:bottom w:val="single" w:sz="8" w:space="0" w:color="auto"/>
              <w:right w:val="single" w:sz="8" w:space="0" w:color="auto"/>
            </w:tcBorders>
            <w:shd w:val="clear" w:color="000000" w:fill="FECA7E"/>
            <w:noWrap/>
            <w:vAlign w:val="center"/>
            <w:hideMark/>
          </w:tcPr>
          <w:p w14:paraId="6E178B81"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496%</w:t>
            </w:r>
          </w:p>
        </w:tc>
        <w:tc>
          <w:tcPr>
            <w:tcW w:w="918" w:type="dxa"/>
            <w:tcBorders>
              <w:top w:val="nil"/>
              <w:left w:val="nil"/>
              <w:bottom w:val="single" w:sz="8" w:space="0" w:color="auto"/>
              <w:right w:val="single" w:sz="8" w:space="0" w:color="auto"/>
            </w:tcBorders>
            <w:shd w:val="clear" w:color="000000" w:fill="FEC87E"/>
            <w:noWrap/>
            <w:vAlign w:val="center"/>
            <w:hideMark/>
          </w:tcPr>
          <w:p w14:paraId="184FD44B"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522%</w:t>
            </w:r>
          </w:p>
        </w:tc>
        <w:tc>
          <w:tcPr>
            <w:tcW w:w="908" w:type="dxa"/>
            <w:tcBorders>
              <w:top w:val="nil"/>
              <w:left w:val="nil"/>
              <w:bottom w:val="single" w:sz="8" w:space="0" w:color="auto"/>
              <w:right w:val="single" w:sz="8" w:space="0" w:color="auto"/>
            </w:tcBorders>
            <w:shd w:val="clear" w:color="auto" w:fill="auto"/>
            <w:noWrap/>
            <w:vAlign w:val="center"/>
            <w:hideMark/>
          </w:tcPr>
          <w:p w14:paraId="4990019C"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317%</w:t>
            </w:r>
          </w:p>
        </w:tc>
      </w:tr>
      <w:tr w:rsidR="002B4F32" w:rsidRPr="00E7775E" w14:paraId="6A170CC7"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29DE6C53"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&gt;14.5 to 31.3 GHz</w:t>
            </w:r>
          </w:p>
        </w:tc>
        <w:tc>
          <w:tcPr>
            <w:tcW w:w="1082" w:type="dxa"/>
            <w:tcBorders>
              <w:top w:val="nil"/>
              <w:left w:val="nil"/>
              <w:bottom w:val="single" w:sz="8" w:space="0" w:color="auto"/>
              <w:right w:val="single" w:sz="8" w:space="0" w:color="auto"/>
            </w:tcBorders>
            <w:shd w:val="clear" w:color="000000" w:fill="FFDB81"/>
            <w:noWrap/>
            <w:vAlign w:val="center"/>
            <w:hideMark/>
          </w:tcPr>
          <w:p w14:paraId="54EE6E17"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267%</w:t>
            </w:r>
          </w:p>
        </w:tc>
        <w:tc>
          <w:tcPr>
            <w:tcW w:w="961" w:type="dxa"/>
            <w:tcBorders>
              <w:top w:val="nil"/>
              <w:left w:val="nil"/>
              <w:bottom w:val="single" w:sz="8" w:space="0" w:color="auto"/>
              <w:right w:val="single" w:sz="8" w:space="0" w:color="auto"/>
            </w:tcBorders>
            <w:shd w:val="clear" w:color="000000" w:fill="84C77C"/>
            <w:noWrap/>
            <w:vAlign w:val="center"/>
            <w:hideMark/>
          </w:tcPr>
          <w:p w14:paraId="5A023C33"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-64%</w:t>
            </w:r>
          </w:p>
        </w:tc>
        <w:tc>
          <w:tcPr>
            <w:tcW w:w="888" w:type="dxa"/>
            <w:tcBorders>
              <w:top w:val="nil"/>
              <w:left w:val="nil"/>
              <w:bottom w:val="single" w:sz="8" w:space="0" w:color="auto"/>
              <w:right w:val="single" w:sz="8" w:space="0" w:color="auto"/>
            </w:tcBorders>
            <w:shd w:val="clear" w:color="000000" w:fill="8DCA7D"/>
            <w:noWrap/>
            <w:vAlign w:val="center"/>
            <w:hideMark/>
          </w:tcPr>
          <w:p w14:paraId="22CC542F"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-57%</w:t>
            </w:r>
          </w:p>
        </w:tc>
        <w:tc>
          <w:tcPr>
            <w:tcW w:w="842" w:type="dxa"/>
            <w:tcBorders>
              <w:top w:val="nil"/>
              <w:left w:val="nil"/>
              <w:bottom w:val="single" w:sz="8" w:space="0" w:color="auto"/>
              <w:right w:val="single" w:sz="8" w:space="0" w:color="auto"/>
            </w:tcBorders>
            <w:shd w:val="clear" w:color="000000" w:fill="FFE884"/>
            <w:noWrap/>
            <w:vAlign w:val="center"/>
            <w:hideMark/>
          </w:tcPr>
          <w:p w14:paraId="13C658E2"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78%</w:t>
            </w:r>
          </w:p>
        </w:tc>
        <w:tc>
          <w:tcPr>
            <w:tcW w:w="918" w:type="dxa"/>
            <w:tcBorders>
              <w:top w:val="nil"/>
              <w:left w:val="nil"/>
              <w:bottom w:val="single" w:sz="8" w:space="0" w:color="auto"/>
              <w:right w:val="single" w:sz="8" w:space="0" w:color="auto"/>
            </w:tcBorders>
            <w:shd w:val="clear" w:color="000000" w:fill="FFE182"/>
            <w:noWrap/>
            <w:vAlign w:val="center"/>
            <w:hideMark/>
          </w:tcPr>
          <w:p w14:paraId="3B4C865B"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184%</w:t>
            </w:r>
          </w:p>
        </w:tc>
        <w:tc>
          <w:tcPr>
            <w:tcW w:w="908" w:type="dxa"/>
            <w:tcBorders>
              <w:top w:val="nil"/>
              <w:left w:val="nil"/>
              <w:bottom w:val="single" w:sz="8" w:space="0" w:color="auto"/>
              <w:right w:val="single" w:sz="8" w:space="0" w:color="auto"/>
            </w:tcBorders>
            <w:shd w:val="clear" w:color="auto" w:fill="auto"/>
            <w:noWrap/>
            <w:vAlign w:val="center"/>
            <w:hideMark/>
          </w:tcPr>
          <w:p w14:paraId="01CB2A01"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-17%</w:t>
            </w:r>
          </w:p>
        </w:tc>
      </w:tr>
      <w:tr w:rsidR="002B4F32" w:rsidRPr="00E7775E" w14:paraId="55C1B0B1"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115212C7"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&gt;31.3 to 51.4 GHz</w:t>
            </w:r>
          </w:p>
        </w:tc>
        <w:tc>
          <w:tcPr>
            <w:tcW w:w="1082" w:type="dxa"/>
            <w:tcBorders>
              <w:top w:val="nil"/>
              <w:left w:val="nil"/>
              <w:bottom w:val="single" w:sz="8" w:space="0" w:color="auto"/>
              <w:right w:val="single" w:sz="8" w:space="0" w:color="auto"/>
            </w:tcBorders>
            <w:shd w:val="clear" w:color="000000" w:fill="FFEA84"/>
            <w:noWrap/>
            <w:vAlign w:val="center"/>
            <w:hideMark/>
          </w:tcPr>
          <w:p w14:paraId="14A716AA"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60%</w:t>
            </w:r>
          </w:p>
        </w:tc>
        <w:tc>
          <w:tcPr>
            <w:tcW w:w="961" w:type="dxa"/>
            <w:tcBorders>
              <w:top w:val="nil"/>
              <w:left w:val="nil"/>
              <w:bottom w:val="single" w:sz="8" w:space="0" w:color="auto"/>
              <w:right w:val="single" w:sz="8" w:space="0" w:color="auto"/>
            </w:tcBorders>
            <w:shd w:val="clear" w:color="000000" w:fill="C7DB80"/>
            <w:noWrap/>
            <w:vAlign w:val="center"/>
            <w:hideMark/>
          </w:tcPr>
          <w:p w14:paraId="691D3E57"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-9%</w:t>
            </w:r>
          </w:p>
        </w:tc>
        <w:tc>
          <w:tcPr>
            <w:tcW w:w="888" w:type="dxa"/>
            <w:tcBorders>
              <w:top w:val="nil"/>
              <w:left w:val="nil"/>
              <w:bottom w:val="single" w:sz="8" w:space="0" w:color="auto"/>
              <w:right w:val="single" w:sz="8" w:space="0" w:color="auto"/>
            </w:tcBorders>
            <w:shd w:val="clear" w:color="000000" w:fill="63BE7B"/>
            <w:noWrap/>
            <w:vAlign w:val="center"/>
            <w:hideMark/>
          </w:tcPr>
          <w:p w14:paraId="21ED6D7E"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-91%</w:t>
            </w:r>
          </w:p>
        </w:tc>
        <w:tc>
          <w:tcPr>
            <w:tcW w:w="842" w:type="dxa"/>
            <w:tcBorders>
              <w:top w:val="nil"/>
              <w:left w:val="nil"/>
              <w:bottom w:val="single" w:sz="8" w:space="0" w:color="auto"/>
              <w:right w:val="single" w:sz="8" w:space="0" w:color="auto"/>
            </w:tcBorders>
            <w:shd w:val="clear" w:color="000000" w:fill="ACD37F"/>
            <w:noWrap/>
            <w:vAlign w:val="center"/>
            <w:hideMark/>
          </w:tcPr>
          <w:p w14:paraId="2C8E451B"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-32%</w:t>
            </w:r>
          </w:p>
        </w:tc>
        <w:tc>
          <w:tcPr>
            <w:tcW w:w="918" w:type="dxa"/>
            <w:tcBorders>
              <w:top w:val="nil"/>
              <w:left w:val="nil"/>
              <w:bottom w:val="single" w:sz="8" w:space="0" w:color="auto"/>
              <w:right w:val="single" w:sz="8" w:space="0" w:color="auto"/>
            </w:tcBorders>
            <w:shd w:val="clear" w:color="000000" w:fill="FFE383"/>
            <w:noWrap/>
            <w:vAlign w:val="center"/>
            <w:hideMark/>
          </w:tcPr>
          <w:p w14:paraId="68FDD77A"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150%</w:t>
            </w:r>
          </w:p>
        </w:tc>
        <w:tc>
          <w:tcPr>
            <w:tcW w:w="908" w:type="dxa"/>
            <w:tcBorders>
              <w:top w:val="nil"/>
              <w:left w:val="nil"/>
              <w:bottom w:val="single" w:sz="8" w:space="0" w:color="auto"/>
              <w:right w:val="single" w:sz="8" w:space="0" w:color="auto"/>
            </w:tcBorders>
            <w:shd w:val="clear" w:color="auto" w:fill="auto"/>
            <w:noWrap/>
            <w:vAlign w:val="center"/>
            <w:hideMark/>
          </w:tcPr>
          <w:p w14:paraId="6D4045C6"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-22%</w:t>
            </w:r>
          </w:p>
        </w:tc>
      </w:tr>
      <w:tr w:rsidR="002B4F32" w:rsidRPr="00E7775E" w14:paraId="24FE5793" w14:textId="77777777" w:rsidTr="006040D1">
        <w:trPr>
          <w:trHeight w:val="236"/>
        </w:trPr>
        <w:tc>
          <w:tcPr>
            <w:tcW w:w="2015" w:type="dxa"/>
            <w:tcBorders>
              <w:top w:val="nil"/>
              <w:left w:val="single" w:sz="8" w:space="0" w:color="auto"/>
              <w:bottom w:val="single" w:sz="8" w:space="0" w:color="auto"/>
              <w:right w:val="single" w:sz="8" w:space="0" w:color="auto"/>
            </w:tcBorders>
            <w:shd w:val="clear" w:color="auto" w:fill="auto"/>
            <w:noWrap/>
            <w:vAlign w:val="center"/>
            <w:hideMark/>
          </w:tcPr>
          <w:p w14:paraId="02A46892"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Above 51.4 GHz</w:t>
            </w:r>
          </w:p>
        </w:tc>
        <w:tc>
          <w:tcPr>
            <w:tcW w:w="1082" w:type="dxa"/>
            <w:tcBorders>
              <w:top w:val="nil"/>
              <w:left w:val="nil"/>
              <w:bottom w:val="single" w:sz="8" w:space="0" w:color="auto"/>
              <w:right w:val="single" w:sz="8" w:space="0" w:color="auto"/>
            </w:tcBorders>
            <w:shd w:val="clear" w:color="auto" w:fill="auto"/>
            <w:noWrap/>
            <w:vAlign w:val="center"/>
            <w:hideMark/>
          </w:tcPr>
          <w:p w14:paraId="784C5C96" w14:textId="77777777" w:rsidR="00E7775E" w:rsidRPr="00E7775E" w:rsidRDefault="00E7775E" w:rsidP="005A1967">
            <w:pPr>
              <w:spacing w:after="0" w:line="240" w:lineRule="auto"/>
              <w:jc w:val="center"/>
              <w:rPr>
                <w:rFonts w:cs="Arial"/>
                <w:color w:val="000000"/>
                <w:sz w:val="18"/>
                <w:szCs w:val="22"/>
              </w:rPr>
            </w:pPr>
            <w:r w:rsidRPr="00E7775E">
              <w:rPr>
                <w:rFonts w:cs="Arial"/>
                <w:color w:val="000000"/>
                <w:sz w:val="18"/>
                <w:szCs w:val="22"/>
              </w:rPr>
              <w:t>-</w:t>
            </w:r>
          </w:p>
        </w:tc>
        <w:tc>
          <w:tcPr>
            <w:tcW w:w="961" w:type="dxa"/>
            <w:tcBorders>
              <w:top w:val="nil"/>
              <w:left w:val="nil"/>
              <w:bottom w:val="single" w:sz="8" w:space="0" w:color="auto"/>
              <w:right w:val="single" w:sz="8" w:space="0" w:color="auto"/>
            </w:tcBorders>
            <w:shd w:val="clear" w:color="auto" w:fill="auto"/>
            <w:noWrap/>
            <w:vAlign w:val="center"/>
            <w:hideMark/>
          </w:tcPr>
          <w:p w14:paraId="2488E580" w14:textId="77777777" w:rsidR="00E7775E" w:rsidRPr="00E7775E" w:rsidRDefault="00E7775E" w:rsidP="005A1967">
            <w:pPr>
              <w:spacing w:after="0" w:line="240" w:lineRule="auto"/>
              <w:jc w:val="right"/>
              <w:rPr>
                <w:rFonts w:cs="Arial"/>
                <w:color w:val="000000"/>
                <w:sz w:val="18"/>
                <w:szCs w:val="22"/>
              </w:rPr>
            </w:pPr>
            <w:r w:rsidRPr="00E7775E">
              <w:rPr>
                <w:rFonts w:cs="Arial"/>
                <w:color w:val="000000"/>
                <w:sz w:val="18"/>
                <w:szCs w:val="22"/>
              </w:rPr>
              <w:t>879%</w:t>
            </w:r>
          </w:p>
        </w:tc>
        <w:tc>
          <w:tcPr>
            <w:tcW w:w="888" w:type="dxa"/>
            <w:tcBorders>
              <w:top w:val="nil"/>
              <w:left w:val="nil"/>
              <w:bottom w:val="single" w:sz="8" w:space="0" w:color="auto"/>
              <w:right w:val="single" w:sz="8" w:space="0" w:color="auto"/>
            </w:tcBorders>
            <w:shd w:val="clear" w:color="auto" w:fill="auto"/>
            <w:noWrap/>
            <w:vAlign w:val="center"/>
            <w:hideMark/>
          </w:tcPr>
          <w:p w14:paraId="32D92569" w14:textId="77777777" w:rsidR="00E7775E" w:rsidRPr="00E7775E" w:rsidRDefault="00E7775E" w:rsidP="005A1967">
            <w:pPr>
              <w:spacing w:after="0" w:line="240" w:lineRule="auto"/>
              <w:jc w:val="center"/>
              <w:rPr>
                <w:rFonts w:cs="Arial"/>
                <w:color w:val="000000"/>
                <w:sz w:val="18"/>
                <w:szCs w:val="22"/>
              </w:rPr>
            </w:pPr>
            <w:r w:rsidRPr="00E7775E">
              <w:rPr>
                <w:rFonts w:cs="Arial"/>
                <w:color w:val="000000"/>
                <w:sz w:val="18"/>
                <w:szCs w:val="22"/>
              </w:rPr>
              <w:t>-</w:t>
            </w:r>
          </w:p>
        </w:tc>
        <w:tc>
          <w:tcPr>
            <w:tcW w:w="842" w:type="dxa"/>
            <w:tcBorders>
              <w:top w:val="nil"/>
              <w:left w:val="nil"/>
              <w:bottom w:val="single" w:sz="8" w:space="0" w:color="auto"/>
              <w:right w:val="single" w:sz="8" w:space="0" w:color="auto"/>
            </w:tcBorders>
            <w:shd w:val="clear" w:color="auto" w:fill="auto"/>
            <w:noWrap/>
            <w:vAlign w:val="center"/>
            <w:hideMark/>
          </w:tcPr>
          <w:p w14:paraId="4F7CF2AD" w14:textId="77777777" w:rsidR="00E7775E" w:rsidRPr="00E7775E" w:rsidRDefault="00E7775E" w:rsidP="005A1967">
            <w:pPr>
              <w:spacing w:after="0" w:line="240" w:lineRule="auto"/>
              <w:jc w:val="right"/>
              <w:rPr>
                <w:rFonts w:cs="Arial"/>
                <w:color w:val="000000"/>
                <w:sz w:val="18"/>
                <w:szCs w:val="22"/>
              </w:rPr>
            </w:pPr>
            <w:r w:rsidRPr="00E7775E">
              <w:rPr>
                <w:rFonts w:cs="Arial"/>
                <w:color w:val="000000"/>
                <w:sz w:val="18"/>
                <w:szCs w:val="22"/>
              </w:rPr>
              <w:t>4256%</w:t>
            </w:r>
          </w:p>
        </w:tc>
        <w:tc>
          <w:tcPr>
            <w:tcW w:w="918" w:type="dxa"/>
            <w:tcBorders>
              <w:top w:val="nil"/>
              <w:left w:val="nil"/>
              <w:bottom w:val="single" w:sz="8" w:space="0" w:color="auto"/>
              <w:right w:val="single" w:sz="8" w:space="0" w:color="auto"/>
            </w:tcBorders>
            <w:shd w:val="clear" w:color="auto" w:fill="auto"/>
            <w:noWrap/>
            <w:vAlign w:val="center"/>
            <w:hideMark/>
          </w:tcPr>
          <w:p w14:paraId="0776C645" w14:textId="77777777" w:rsidR="00E7775E" w:rsidRPr="00E7775E" w:rsidRDefault="00E7775E" w:rsidP="005A1967">
            <w:pPr>
              <w:spacing w:after="0" w:line="240" w:lineRule="auto"/>
              <w:jc w:val="center"/>
              <w:rPr>
                <w:rFonts w:cs="Arial"/>
                <w:color w:val="000000"/>
                <w:sz w:val="18"/>
                <w:szCs w:val="22"/>
              </w:rPr>
            </w:pPr>
            <w:r w:rsidRPr="00E7775E">
              <w:rPr>
                <w:rFonts w:cs="Arial"/>
                <w:color w:val="000000"/>
                <w:sz w:val="18"/>
                <w:szCs w:val="22"/>
              </w:rPr>
              <w:t>-</w:t>
            </w:r>
          </w:p>
        </w:tc>
        <w:tc>
          <w:tcPr>
            <w:tcW w:w="908" w:type="dxa"/>
            <w:tcBorders>
              <w:top w:val="nil"/>
              <w:left w:val="nil"/>
              <w:bottom w:val="single" w:sz="8" w:space="0" w:color="auto"/>
              <w:right w:val="single" w:sz="8" w:space="0" w:color="auto"/>
            </w:tcBorders>
            <w:shd w:val="clear" w:color="auto" w:fill="auto"/>
            <w:noWrap/>
            <w:vAlign w:val="center"/>
            <w:hideMark/>
          </w:tcPr>
          <w:p w14:paraId="72A0FC5C"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1359%</w:t>
            </w:r>
          </w:p>
        </w:tc>
      </w:tr>
      <w:tr w:rsidR="002B4F32" w:rsidRPr="00E7775E" w14:paraId="335CA1B8" w14:textId="77777777" w:rsidTr="006040D1">
        <w:trPr>
          <w:trHeight w:val="236"/>
        </w:trPr>
        <w:tc>
          <w:tcPr>
            <w:tcW w:w="2015" w:type="dxa"/>
            <w:tcBorders>
              <w:top w:val="nil"/>
              <w:left w:val="nil"/>
              <w:bottom w:val="nil"/>
              <w:right w:val="single" w:sz="8" w:space="0" w:color="auto"/>
            </w:tcBorders>
            <w:shd w:val="clear" w:color="auto" w:fill="auto"/>
            <w:noWrap/>
            <w:vAlign w:val="center"/>
            <w:hideMark/>
          </w:tcPr>
          <w:p w14:paraId="4C726982" w14:textId="77777777" w:rsidR="00E7775E" w:rsidRPr="00E7775E" w:rsidRDefault="00E7775E" w:rsidP="008A5614">
            <w:pPr>
              <w:spacing w:after="0" w:line="240" w:lineRule="auto"/>
              <w:rPr>
                <w:rFonts w:cs="Arial"/>
                <w:color w:val="000000"/>
                <w:sz w:val="18"/>
                <w:szCs w:val="22"/>
              </w:rPr>
            </w:pPr>
            <w:r w:rsidRPr="00E7775E">
              <w:rPr>
                <w:rFonts w:cs="Arial"/>
                <w:color w:val="000000"/>
                <w:sz w:val="18"/>
                <w:szCs w:val="22"/>
              </w:rPr>
              <w:t> </w:t>
            </w:r>
          </w:p>
        </w:tc>
        <w:tc>
          <w:tcPr>
            <w:tcW w:w="1082" w:type="dxa"/>
            <w:tcBorders>
              <w:top w:val="nil"/>
              <w:left w:val="nil"/>
              <w:bottom w:val="single" w:sz="8" w:space="0" w:color="auto"/>
              <w:right w:val="single" w:sz="8" w:space="0" w:color="auto"/>
            </w:tcBorders>
            <w:shd w:val="clear" w:color="auto" w:fill="auto"/>
            <w:noWrap/>
            <w:vAlign w:val="center"/>
            <w:hideMark/>
          </w:tcPr>
          <w:p w14:paraId="5C468886"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90%</w:t>
            </w:r>
          </w:p>
        </w:tc>
        <w:tc>
          <w:tcPr>
            <w:tcW w:w="961" w:type="dxa"/>
            <w:tcBorders>
              <w:top w:val="nil"/>
              <w:left w:val="nil"/>
              <w:bottom w:val="single" w:sz="8" w:space="0" w:color="auto"/>
              <w:right w:val="single" w:sz="8" w:space="0" w:color="auto"/>
            </w:tcBorders>
            <w:shd w:val="clear" w:color="auto" w:fill="auto"/>
            <w:noWrap/>
            <w:vAlign w:val="center"/>
            <w:hideMark/>
          </w:tcPr>
          <w:p w14:paraId="18F076E4"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-8%</w:t>
            </w:r>
          </w:p>
        </w:tc>
        <w:tc>
          <w:tcPr>
            <w:tcW w:w="888" w:type="dxa"/>
            <w:tcBorders>
              <w:top w:val="nil"/>
              <w:left w:val="nil"/>
              <w:bottom w:val="single" w:sz="8" w:space="0" w:color="auto"/>
              <w:right w:val="single" w:sz="8" w:space="0" w:color="auto"/>
            </w:tcBorders>
            <w:shd w:val="clear" w:color="auto" w:fill="auto"/>
            <w:noWrap/>
            <w:vAlign w:val="center"/>
            <w:hideMark/>
          </w:tcPr>
          <w:p w14:paraId="5C0DC61E"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-5%</w:t>
            </w:r>
          </w:p>
        </w:tc>
        <w:tc>
          <w:tcPr>
            <w:tcW w:w="842" w:type="dxa"/>
            <w:tcBorders>
              <w:top w:val="nil"/>
              <w:left w:val="nil"/>
              <w:bottom w:val="single" w:sz="8" w:space="0" w:color="auto"/>
              <w:right w:val="single" w:sz="8" w:space="0" w:color="auto"/>
            </w:tcBorders>
            <w:shd w:val="clear" w:color="auto" w:fill="auto"/>
            <w:noWrap/>
            <w:vAlign w:val="center"/>
            <w:hideMark/>
          </w:tcPr>
          <w:p w14:paraId="17765D12"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49%</w:t>
            </w:r>
          </w:p>
        </w:tc>
        <w:tc>
          <w:tcPr>
            <w:tcW w:w="918" w:type="dxa"/>
            <w:tcBorders>
              <w:top w:val="nil"/>
              <w:left w:val="nil"/>
              <w:bottom w:val="single" w:sz="8" w:space="0" w:color="auto"/>
              <w:right w:val="single" w:sz="8" w:space="0" w:color="auto"/>
            </w:tcBorders>
            <w:shd w:val="clear" w:color="auto" w:fill="auto"/>
            <w:noWrap/>
            <w:vAlign w:val="center"/>
            <w:hideMark/>
          </w:tcPr>
          <w:p w14:paraId="32DD2BCB" w14:textId="77777777" w:rsidR="00E7775E" w:rsidRPr="00E7775E" w:rsidRDefault="00E7775E" w:rsidP="008A5614">
            <w:pPr>
              <w:spacing w:after="0" w:line="240" w:lineRule="auto"/>
              <w:jc w:val="right"/>
              <w:rPr>
                <w:rFonts w:cs="Arial"/>
                <w:color w:val="000000"/>
                <w:sz w:val="18"/>
                <w:szCs w:val="22"/>
              </w:rPr>
            </w:pPr>
            <w:r w:rsidRPr="00E7775E">
              <w:rPr>
                <w:rFonts w:cs="Arial"/>
                <w:color w:val="000000"/>
                <w:sz w:val="18"/>
                <w:szCs w:val="22"/>
              </w:rPr>
              <w:t>35%</w:t>
            </w:r>
          </w:p>
        </w:tc>
        <w:tc>
          <w:tcPr>
            <w:tcW w:w="908" w:type="dxa"/>
            <w:tcBorders>
              <w:top w:val="nil"/>
              <w:left w:val="nil"/>
              <w:bottom w:val="single" w:sz="8" w:space="0" w:color="auto"/>
              <w:right w:val="single" w:sz="8" w:space="0" w:color="auto"/>
            </w:tcBorders>
            <w:shd w:val="clear" w:color="000000" w:fill="404040"/>
            <w:noWrap/>
            <w:vAlign w:val="center"/>
            <w:hideMark/>
          </w:tcPr>
          <w:p w14:paraId="69E5E3AF" w14:textId="77777777" w:rsidR="00E7775E" w:rsidRPr="00E7775E" w:rsidRDefault="00E7775E" w:rsidP="008A5614">
            <w:pPr>
              <w:spacing w:after="0" w:line="240" w:lineRule="auto"/>
              <w:jc w:val="right"/>
              <w:rPr>
                <w:rFonts w:cs="Arial"/>
                <w:b/>
                <w:bCs/>
                <w:color w:val="FFFFFF"/>
                <w:sz w:val="18"/>
                <w:szCs w:val="22"/>
              </w:rPr>
            </w:pPr>
            <w:r w:rsidRPr="00E7775E">
              <w:rPr>
                <w:rFonts w:cs="Arial"/>
                <w:b/>
                <w:bCs/>
                <w:color w:val="FFFFFF"/>
                <w:sz w:val="18"/>
                <w:szCs w:val="22"/>
              </w:rPr>
              <w:t>42%</w:t>
            </w:r>
          </w:p>
        </w:tc>
      </w:tr>
    </w:tbl>
    <w:p w14:paraId="0CCEAB92" w14:textId="29BBA8B4" w:rsidR="002A0C4B" w:rsidRDefault="00422321" w:rsidP="006040D1">
      <w:pPr>
        <w:pStyle w:val="Tableorfigurenote"/>
      </w:pPr>
      <w:r>
        <w:t xml:space="preserve">Note: </w:t>
      </w:r>
      <w:r w:rsidR="005A1967">
        <w:t>T</w:t>
      </w:r>
      <w:r w:rsidR="00C42AB0">
        <w:t xml:space="preserve">he </w:t>
      </w:r>
      <w:r>
        <w:t xml:space="preserve">dark red in the </w:t>
      </w:r>
      <w:r w:rsidR="005A1967">
        <w:t>T</w:t>
      </w:r>
      <w:r>
        <w:t xml:space="preserve">able </w:t>
      </w:r>
      <w:r w:rsidR="00A02371">
        <w:t xml:space="preserve">4 </w:t>
      </w:r>
      <w:r w:rsidR="00C42AB0">
        <w:t>colou</w:t>
      </w:r>
      <w:r>
        <w:t xml:space="preserve">r scheme denotes the </w:t>
      </w:r>
      <w:r w:rsidR="00827F3D">
        <w:t xml:space="preserve">highest </w:t>
      </w:r>
      <w:r w:rsidR="00D048DE">
        <w:t>increase</w:t>
      </w:r>
      <w:r w:rsidR="00A02371">
        <w:t>s</w:t>
      </w:r>
      <w:r w:rsidR="005A1967">
        <w:t>;</w:t>
      </w:r>
      <w:r w:rsidR="00827F3D">
        <w:t xml:space="preserve"> the darkest green denotes the </w:t>
      </w:r>
      <w:r w:rsidR="00D048DE">
        <w:t>largest reduction</w:t>
      </w:r>
      <w:r w:rsidR="00A02371">
        <w:t>s</w:t>
      </w:r>
      <w:r w:rsidR="005A1967">
        <w:t>;</w:t>
      </w:r>
      <w:r w:rsidR="00D048DE">
        <w:t xml:space="preserve"> the yellow denotes </w:t>
      </w:r>
      <w:r w:rsidR="0090350A">
        <w:t xml:space="preserve">the midpoint, and shades between these colours denote </w:t>
      </w:r>
      <w:r w:rsidR="004D3333">
        <w:t xml:space="preserve">grades between these points. </w:t>
      </w:r>
    </w:p>
    <w:p w14:paraId="551C4EF6" w14:textId="454D7879" w:rsidR="002A0C4B" w:rsidRPr="00395023" w:rsidRDefault="002A0C4B" w:rsidP="002A0C4B">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351DC7">
        <w:t xml:space="preserve">Question </w:t>
      </w:r>
      <w:r w:rsidR="006175E0">
        <w:t>2</w:t>
      </w:r>
    </w:p>
    <w:p w14:paraId="3A0E1048" w14:textId="6263E7E0" w:rsidR="002A0C4B" w:rsidRDefault="002A0C4B" w:rsidP="002A0C4B">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Do you have any comments on the proposal to </w:t>
      </w:r>
      <w:r w:rsidR="00CE5007">
        <w:t xml:space="preserve">increase location weightings for </w:t>
      </w:r>
      <w:r w:rsidRPr="00502EA6">
        <w:t xml:space="preserve">the </w:t>
      </w:r>
      <w:r w:rsidR="007B1A15">
        <w:t>high a</w:t>
      </w:r>
      <w:r w:rsidR="00761A6B">
        <w:t xml:space="preserve">nd medium-density areas in the </w:t>
      </w:r>
      <w:r w:rsidR="00DE0B07" w:rsidRPr="00DE0B07">
        <w:t xml:space="preserve">&gt;2,690 to 5,000 MHz </w:t>
      </w:r>
      <w:r w:rsidRPr="00502EA6">
        <w:t>range</w:t>
      </w:r>
      <w:r>
        <w:t xml:space="preserve">? </w:t>
      </w:r>
    </w:p>
    <w:p w14:paraId="00B905B3" w14:textId="77777777" w:rsidR="002A0C4B" w:rsidRDefault="002A0C4B" w:rsidP="00BF31B9">
      <w:pPr>
        <w:pStyle w:val="Paragraph"/>
      </w:pPr>
    </w:p>
    <w:p w14:paraId="39DB025D" w14:textId="10C265F9" w:rsidR="532998A2" w:rsidRDefault="00E56A44" w:rsidP="00112E33">
      <w:pPr>
        <w:pStyle w:val="Heading2"/>
      </w:pPr>
      <w:bookmarkStart w:id="11" w:name="_Toc86153496"/>
      <w:r>
        <w:t>Introduce n</w:t>
      </w:r>
      <w:r w:rsidR="532998A2" w:rsidRPr="77B20063">
        <w:t xml:space="preserve">ew spectrum location </w:t>
      </w:r>
      <w:r w:rsidR="00DD3881">
        <w:t xml:space="preserve">band </w:t>
      </w:r>
      <w:r w:rsidR="532998A2" w:rsidRPr="77B20063">
        <w:t>for services above 100 GHz</w:t>
      </w:r>
      <w:bookmarkEnd w:id="11"/>
    </w:p>
    <w:p w14:paraId="5F2C25AD" w14:textId="7A7C292D" w:rsidR="008C76B1" w:rsidRDefault="008C76B1" w:rsidP="77B20063">
      <w:pPr>
        <w:pStyle w:val="Paragraph"/>
      </w:pPr>
      <w:r>
        <w:t xml:space="preserve">The ACMA </w:t>
      </w:r>
      <w:r w:rsidR="00265C90">
        <w:t xml:space="preserve">is proposing </w:t>
      </w:r>
      <w:r w:rsidR="00EE35C2">
        <w:t xml:space="preserve">to </w:t>
      </w:r>
      <w:r w:rsidR="00176B74">
        <w:t xml:space="preserve">create a new band above 100 GHz </w:t>
      </w:r>
      <w:r w:rsidR="00C006C8">
        <w:t>and set tax</w:t>
      </w:r>
      <w:r w:rsidR="006E3B61">
        <w:t xml:space="preserve"> rat</w:t>
      </w:r>
      <w:r w:rsidR="00C006C8">
        <w:t xml:space="preserve">es for these services at the </w:t>
      </w:r>
      <w:r w:rsidR="00C006C8" w:rsidRPr="77B20063">
        <w:t>minimum tax (currently $41.37)</w:t>
      </w:r>
      <w:r w:rsidR="00C006C8">
        <w:t xml:space="preserve">. </w:t>
      </w:r>
      <w:r w:rsidR="00904F5F">
        <w:t xml:space="preserve">Submissions </w:t>
      </w:r>
      <w:r w:rsidR="001211C3">
        <w:t xml:space="preserve">demonstrate that there are </w:t>
      </w:r>
      <w:r w:rsidR="00817A4F">
        <w:t>innovative services emerging in these high frequencies</w:t>
      </w:r>
      <w:r w:rsidR="007D4948">
        <w:t xml:space="preserve"> (such as optical communications for satellite services)</w:t>
      </w:r>
      <w:r w:rsidR="008165BB">
        <w:t xml:space="preserve"> that operate with very large bandwidths</w:t>
      </w:r>
      <w:r w:rsidR="00B450B2">
        <w:t>, although with a limited spectrum denial footprint</w:t>
      </w:r>
      <w:r w:rsidR="008165BB">
        <w:t xml:space="preserve">. Even with the </w:t>
      </w:r>
      <w:r w:rsidR="00A5276A">
        <w:t>tax reductions of 90</w:t>
      </w:r>
      <w:r w:rsidR="000B16FA">
        <w:t>%</w:t>
      </w:r>
      <w:r w:rsidR="00A5276A">
        <w:t xml:space="preserve"> implemented above 8.5 GHz</w:t>
      </w:r>
      <w:r w:rsidR="00753176">
        <w:t xml:space="preserve"> as part of the</w:t>
      </w:r>
      <w:r w:rsidR="000B16FA">
        <w:t xml:space="preserve"> first </w:t>
      </w:r>
      <w:r w:rsidR="00753176">
        <w:t>tranche of tax reforms</w:t>
      </w:r>
      <w:r w:rsidR="003170F9">
        <w:t>,</w:t>
      </w:r>
      <w:r w:rsidR="00403C0E">
        <w:t xml:space="preserve"> services with bandwidths </w:t>
      </w:r>
      <w:r w:rsidR="003170F9">
        <w:t>in the</w:t>
      </w:r>
      <w:r w:rsidR="00403C0E">
        <w:t xml:space="preserve"> tens or hundreds of GHz </w:t>
      </w:r>
      <w:r w:rsidR="003170F9">
        <w:t xml:space="preserve">have the </w:t>
      </w:r>
      <w:r w:rsidR="00753176">
        <w:t xml:space="preserve">potential for </w:t>
      </w:r>
      <w:r w:rsidR="009E6A11">
        <w:t xml:space="preserve">licence taxes to be prohibitive and stifle innovation. </w:t>
      </w:r>
    </w:p>
    <w:p w14:paraId="263B8A8C" w14:textId="74E1CA33" w:rsidR="00D24B6E" w:rsidRDefault="0064444F" w:rsidP="00D24B6E">
      <w:pPr>
        <w:pStyle w:val="Paragraph"/>
      </w:pPr>
      <w:r w:rsidRPr="77B20063">
        <w:t xml:space="preserve">A breakpoint </w:t>
      </w:r>
      <w:r w:rsidR="00FB04AA">
        <w:t xml:space="preserve">at </w:t>
      </w:r>
      <w:r w:rsidRPr="77B20063">
        <w:t xml:space="preserve">100 GHz </w:t>
      </w:r>
      <w:r w:rsidR="00FB04AA">
        <w:t>is identified as a relevant consideration, noting recent activity in other jurisdictions including the United Kingdom and Unite</w:t>
      </w:r>
      <w:r w:rsidR="00500657">
        <w:t>d</w:t>
      </w:r>
      <w:r w:rsidR="00FB04AA">
        <w:t xml:space="preserve"> States to facilitate </w:t>
      </w:r>
      <w:r w:rsidRPr="77B20063">
        <w:t>greater access to frequencies above this range.</w:t>
      </w:r>
      <w:r>
        <w:t xml:space="preserve"> </w:t>
      </w:r>
      <w:r w:rsidR="006F2EE3">
        <w:t>Charging t</w:t>
      </w:r>
      <w:r w:rsidR="007F3779">
        <w:t xml:space="preserve">he minimum tax </w:t>
      </w:r>
      <w:r w:rsidR="00784A70">
        <w:t>in this band also acknowledges</w:t>
      </w:r>
      <w:r w:rsidR="008F4E1B">
        <w:t xml:space="preserve"> lower potential for interference </w:t>
      </w:r>
      <w:r w:rsidR="00D946A3">
        <w:t>in</w:t>
      </w:r>
      <w:r w:rsidR="00302DED">
        <w:t xml:space="preserve"> this range. </w:t>
      </w:r>
    </w:p>
    <w:p w14:paraId="34C1C05B" w14:textId="23A7AB8E" w:rsidR="00361A8A" w:rsidRDefault="00361A8A" w:rsidP="00361A8A">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Question </w:t>
      </w:r>
      <w:r w:rsidR="006175E0">
        <w:t>3</w:t>
      </w:r>
    </w:p>
    <w:p w14:paraId="07FD39AE" w14:textId="0F1E6E45" w:rsidR="00361A8A" w:rsidRPr="002A0C4B" w:rsidRDefault="00361A8A" w:rsidP="00361A8A">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Do you have </w:t>
      </w:r>
      <w:r w:rsidRPr="00551969">
        <w:t xml:space="preserve">any comments on the </w:t>
      </w:r>
      <w:r w:rsidRPr="00C90655">
        <w:t xml:space="preserve">appropriateness of the proposed </w:t>
      </w:r>
      <w:r w:rsidR="006E3B61">
        <w:t>spectrum location weighting for frequencies above</w:t>
      </w:r>
      <w:r w:rsidR="006E3B61" w:rsidRPr="00395023">
        <w:t xml:space="preserve"> </w:t>
      </w:r>
      <w:r w:rsidRPr="00C90655">
        <w:t xml:space="preserve">100 </w:t>
      </w:r>
      <w:r w:rsidR="006F4EC0">
        <w:t>G</w:t>
      </w:r>
      <w:r w:rsidRPr="00C90655">
        <w:t>Hz</w:t>
      </w:r>
      <w:r w:rsidRPr="00551969">
        <w:t>?</w:t>
      </w:r>
    </w:p>
    <w:p w14:paraId="2CD43132" w14:textId="5E26419B" w:rsidR="00AC657C" w:rsidRDefault="00AC657C" w:rsidP="00AC657C">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lastRenderedPageBreak/>
        <w:t>Question 4</w:t>
      </w:r>
    </w:p>
    <w:p w14:paraId="281967C8" w14:textId="1D78FF32" w:rsidR="00361A8A" w:rsidRPr="00C02F26" w:rsidRDefault="008A54DC" w:rsidP="00361A8A">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rsidRPr="00C90655">
        <w:t xml:space="preserve">The minimum tax </w:t>
      </w:r>
      <w:r w:rsidR="00D12DE4" w:rsidRPr="00C90655">
        <w:t xml:space="preserve">in this band </w:t>
      </w:r>
      <w:r w:rsidRPr="00C90655">
        <w:t xml:space="preserve">is intended </w:t>
      </w:r>
      <w:r w:rsidR="00210D0D" w:rsidRPr="00C90655">
        <w:t xml:space="preserve">for services </w:t>
      </w:r>
      <w:r w:rsidR="00D12DE4" w:rsidRPr="00C90655">
        <w:t xml:space="preserve">exhibiting limited </w:t>
      </w:r>
      <w:r w:rsidR="008B7C27" w:rsidRPr="00C90655">
        <w:t xml:space="preserve">interference potential to other services. </w:t>
      </w:r>
      <w:r w:rsidR="00361A8A" w:rsidRPr="00C90655">
        <w:t>Should the ACMA restrict the min</w:t>
      </w:r>
      <w:r w:rsidR="004B0751" w:rsidRPr="00C90655">
        <w:t>imum</w:t>
      </w:r>
      <w:r w:rsidR="00361A8A" w:rsidRPr="00C90655">
        <w:t xml:space="preserve"> tax above 100 </w:t>
      </w:r>
      <w:r w:rsidR="006F4EC0">
        <w:t>G</w:t>
      </w:r>
      <w:r w:rsidR="00361A8A" w:rsidRPr="00C90655">
        <w:t xml:space="preserve">Hz </w:t>
      </w:r>
      <w:r w:rsidR="008B7C27" w:rsidRPr="00C90655">
        <w:t xml:space="preserve">to </w:t>
      </w:r>
      <w:r w:rsidR="00361A8A" w:rsidRPr="00C90655">
        <w:t>services</w:t>
      </w:r>
      <w:r w:rsidR="006E3B61">
        <w:t>,</w:t>
      </w:r>
      <w:r w:rsidR="00361A8A" w:rsidRPr="00C90655">
        <w:t xml:space="preserve"> such as optical communications</w:t>
      </w:r>
      <w:r w:rsidR="006E3B61">
        <w:t>,</w:t>
      </w:r>
      <w:r w:rsidR="00361A8A" w:rsidRPr="00C90655">
        <w:t xml:space="preserve"> with</w:t>
      </w:r>
      <w:r w:rsidR="006E3B61">
        <w:t xml:space="preserve"> known</w:t>
      </w:r>
      <w:r w:rsidR="00361A8A" w:rsidRPr="00C90655">
        <w:t xml:space="preserve"> limited </w:t>
      </w:r>
      <w:r w:rsidR="00BF1504">
        <w:t>interference potential</w:t>
      </w:r>
      <w:r w:rsidR="00361A8A" w:rsidRPr="00C90655">
        <w:t>?</w:t>
      </w:r>
    </w:p>
    <w:p w14:paraId="2836A082" w14:textId="60EEA25A" w:rsidR="10FBBB38" w:rsidRDefault="10FBBB38" w:rsidP="77B20063">
      <w:pPr>
        <w:pStyle w:val="Heading2"/>
      </w:pPr>
      <w:bookmarkStart w:id="12" w:name="_Toc86153497"/>
      <w:r w:rsidRPr="77B20063">
        <w:t xml:space="preserve">Cease annual CPI updates to taxes, and instead </w:t>
      </w:r>
      <w:r w:rsidR="00F60ADB">
        <w:t xml:space="preserve">regularly </w:t>
      </w:r>
      <w:r w:rsidRPr="77B20063">
        <w:t xml:space="preserve">update taxes based on </w:t>
      </w:r>
      <w:r w:rsidR="006040FD">
        <w:t xml:space="preserve">annual </w:t>
      </w:r>
      <w:r w:rsidRPr="77B20063">
        <w:t xml:space="preserve">population </w:t>
      </w:r>
      <w:r w:rsidR="001221BC">
        <w:t>data updates</w:t>
      </w:r>
      <w:bookmarkEnd w:id="12"/>
    </w:p>
    <w:p w14:paraId="1A1622F5" w14:textId="701604FB" w:rsidR="5198FFA7" w:rsidRDefault="5198FFA7" w:rsidP="77B20063">
      <w:pPr>
        <w:pStyle w:val="Paragraph"/>
      </w:pPr>
      <w:r w:rsidRPr="77B20063">
        <w:t xml:space="preserve">In the assigned licence tax formula, the normalisation factor is a constant that converts the relative spectrum values provided by the rest of the formula to a dollar figure. </w:t>
      </w:r>
      <w:r w:rsidR="00C76448">
        <w:t xml:space="preserve">The ACMA </w:t>
      </w:r>
      <w:r w:rsidR="004F01DD">
        <w:t xml:space="preserve">has </w:t>
      </w:r>
      <w:r w:rsidRPr="77B20063">
        <w:t>update</w:t>
      </w:r>
      <w:r w:rsidR="004F01DD">
        <w:t>d</w:t>
      </w:r>
      <w:r w:rsidR="00C76448">
        <w:t xml:space="preserve"> it</w:t>
      </w:r>
      <w:r w:rsidRPr="77B20063">
        <w:t xml:space="preserve"> in line with adjustments to </w:t>
      </w:r>
      <w:r w:rsidR="003F642A">
        <w:t>the consumer price index (</w:t>
      </w:r>
      <w:r w:rsidRPr="77B20063">
        <w:t>CPI</w:t>
      </w:r>
      <w:r w:rsidR="003F642A">
        <w:t>)</w:t>
      </w:r>
      <w:r w:rsidRPr="77B20063">
        <w:t xml:space="preserve"> each year</w:t>
      </w:r>
      <w:r w:rsidR="004F01DD">
        <w:t>,</w:t>
      </w:r>
      <w:r w:rsidRPr="77B20063">
        <w:t xml:space="preserve"> with the aim of keeping licence taxes constant in real terms. </w:t>
      </w:r>
    </w:p>
    <w:p w14:paraId="558E10C0" w14:textId="5729F883" w:rsidR="4E3D776F" w:rsidRDefault="4E3D776F" w:rsidP="77B20063">
      <w:pPr>
        <w:pStyle w:val="Paragraph"/>
        <w:rPr>
          <w:rFonts w:eastAsia="Arial"/>
          <w:color w:val="000000" w:themeColor="text1"/>
          <w:sz w:val="22"/>
          <w:szCs w:val="22"/>
        </w:rPr>
      </w:pPr>
      <w:r w:rsidRPr="77B20063">
        <w:t xml:space="preserve">One of the issues with this approach to updating taxes is that it treats all licences equally regardless of the </w:t>
      </w:r>
      <w:r w:rsidR="39D8E4AE" w:rsidRPr="77B20063">
        <w:t>different d</w:t>
      </w:r>
      <w:r w:rsidR="00EB1341">
        <w:t xml:space="preserve">emand for spectrum </w:t>
      </w:r>
      <w:r w:rsidR="39D8E4AE" w:rsidRPr="77B20063">
        <w:t xml:space="preserve">in different areas. </w:t>
      </w:r>
      <w:r w:rsidR="2A558249" w:rsidRPr="77B20063">
        <w:t xml:space="preserve">This was highlighted </w:t>
      </w:r>
      <w:r w:rsidR="4D59ECCC" w:rsidRPr="77B20063">
        <w:t>by</w:t>
      </w:r>
      <w:r w:rsidR="2A558249" w:rsidRPr="77B20063">
        <w:t xml:space="preserve"> stakeholders </w:t>
      </w:r>
      <w:r w:rsidR="126DA1FB" w:rsidRPr="77B20063">
        <w:t xml:space="preserve">in </w:t>
      </w:r>
      <w:r w:rsidR="126DA1FB" w:rsidRPr="77B20063" w:rsidDel="00240B13">
        <w:t>lower</w:t>
      </w:r>
      <w:r w:rsidR="00240B13">
        <w:t>-</w:t>
      </w:r>
      <w:r w:rsidR="126DA1FB" w:rsidRPr="77B20063">
        <w:t xml:space="preserve">density areas continuing to face increases on their licence taxes despite </w:t>
      </w:r>
      <w:r w:rsidR="7133A8D8" w:rsidRPr="77B20063">
        <w:t>spectrum availability remaining high</w:t>
      </w:r>
      <w:r w:rsidR="00D6517F">
        <w:t xml:space="preserve"> and limited or no change to the spectrum denial characteristics of their spectrum use</w:t>
      </w:r>
      <w:r w:rsidR="126DA1FB" w:rsidRPr="77B20063">
        <w:t xml:space="preserve">. </w:t>
      </w:r>
    </w:p>
    <w:p w14:paraId="031CA9E3" w14:textId="68DE09E4" w:rsidR="3E5ABC89" w:rsidRDefault="3E5ABC89" w:rsidP="77B20063">
      <w:pPr>
        <w:pStyle w:val="Paragraphbeforelist"/>
        <w:rPr>
          <w:rFonts w:eastAsia="Arial"/>
          <w:color w:val="000000" w:themeColor="text1"/>
          <w:sz w:val="22"/>
          <w:szCs w:val="22"/>
        </w:rPr>
      </w:pPr>
      <w:r w:rsidRPr="77B20063">
        <w:t>Based on this feedback</w:t>
      </w:r>
      <w:r w:rsidR="00F31DA0">
        <w:t>,</w:t>
      </w:r>
      <w:r w:rsidRPr="77B20063">
        <w:t xml:space="preserve"> the ACMA </w:t>
      </w:r>
      <w:r w:rsidR="00D6517F">
        <w:t>considers</w:t>
      </w:r>
      <w:r w:rsidRPr="77B20063">
        <w:t xml:space="preserve"> that a better approach to regularly updating taxes include</w:t>
      </w:r>
      <w:r w:rsidR="00D25F15">
        <w:t>s</w:t>
      </w:r>
      <w:r w:rsidRPr="77B20063">
        <w:t xml:space="preserve"> the following</w:t>
      </w:r>
      <w:r w:rsidR="5198FFA7" w:rsidRPr="77B20063">
        <w:t>:</w:t>
      </w:r>
    </w:p>
    <w:p w14:paraId="2CD82C63" w14:textId="5C48D76E" w:rsidR="5198FFA7" w:rsidRDefault="5198FFA7" w:rsidP="77B20063">
      <w:pPr>
        <w:pStyle w:val="Bulletlevel1"/>
        <w:rPr>
          <w:rFonts w:eastAsia="Arial"/>
          <w:color w:val="000000" w:themeColor="text1"/>
          <w:sz w:val="22"/>
          <w:szCs w:val="22"/>
        </w:rPr>
      </w:pPr>
      <w:r w:rsidRPr="77B20063">
        <w:t>Remov</w:t>
      </w:r>
      <w:r w:rsidR="00D25F15">
        <w:t>ing</w:t>
      </w:r>
      <w:r w:rsidRPr="77B20063">
        <w:t xml:space="preserve"> the link between the normalisation factor and adjustments to CPI.</w:t>
      </w:r>
    </w:p>
    <w:p w14:paraId="0291CC56" w14:textId="717D7AFD" w:rsidR="5198FFA7" w:rsidRDefault="5198FFA7" w:rsidP="77B20063">
      <w:pPr>
        <w:pStyle w:val="Bulletlevel1"/>
        <w:rPr>
          <w:rFonts w:eastAsia="Arial"/>
          <w:color w:val="000000" w:themeColor="text1"/>
          <w:sz w:val="22"/>
          <w:szCs w:val="22"/>
        </w:rPr>
      </w:pPr>
      <w:r w:rsidRPr="77B20063">
        <w:t>Introduc</w:t>
      </w:r>
      <w:r w:rsidR="00D25F15">
        <w:t>ing</w:t>
      </w:r>
      <w:r w:rsidRPr="77B20063">
        <w:t xml:space="preserve"> unique normalisation factor</w:t>
      </w:r>
      <w:r w:rsidR="00E64C1C">
        <w:t>s</w:t>
      </w:r>
      <w:r w:rsidRPr="77B20063">
        <w:t xml:space="preserve"> for high, medium, low and </w:t>
      </w:r>
      <w:r w:rsidRPr="77B20063" w:rsidDel="00240B13">
        <w:t>remote</w:t>
      </w:r>
      <w:r w:rsidR="00240B13">
        <w:t>-</w:t>
      </w:r>
      <w:r w:rsidRPr="77B20063">
        <w:t>density areas and Australia-wide linked to adjustments in population.</w:t>
      </w:r>
    </w:p>
    <w:p w14:paraId="14B56CA1" w14:textId="57460A15" w:rsidR="5198FFA7" w:rsidRDefault="5198FFA7" w:rsidP="77B20063">
      <w:pPr>
        <w:pStyle w:val="Bulletlevel1"/>
        <w:rPr>
          <w:rFonts w:eastAsia="Arial"/>
          <w:color w:val="000000" w:themeColor="text1"/>
          <w:sz w:val="22"/>
          <w:szCs w:val="22"/>
        </w:rPr>
      </w:pPr>
      <w:r w:rsidRPr="77B20063">
        <w:t>Adjust</w:t>
      </w:r>
      <w:r w:rsidR="00D25F15">
        <w:t>ing</w:t>
      </w:r>
      <w:r w:rsidRPr="77B20063">
        <w:t xml:space="preserve"> each normalisation factor annually on a more granular level by changes in area-specific population for each density classification.</w:t>
      </w:r>
    </w:p>
    <w:p w14:paraId="00B21D0E" w14:textId="75E4288E" w:rsidR="5198FFA7" w:rsidRDefault="5198FFA7" w:rsidP="006040D1">
      <w:pPr>
        <w:pStyle w:val="Bulletlevel1last"/>
        <w:rPr>
          <w:rFonts w:eastAsia="Arial"/>
          <w:color w:val="000000" w:themeColor="text1"/>
          <w:sz w:val="22"/>
          <w:szCs w:val="22"/>
        </w:rPr>
      </w:pPr>
      <w:r w:rsidRPr="77B20063">
        <w:t>Us</w:t>
      </w:r>
      <w:r w:rsidR="00D25F15">
        <w:t>ing</w:t>
      </w:r>
      <w:r w:rsidRPr="77B20063">
        <w:t xml:space="preserve"> </w:t>
      </w:r>
      <w:r w:rsidR="00267374">
        <w:t>Australian Bureau of Statistics (</w:t>
      </w:r>
      <w:r w:rsidRPr="77B20063">
        <w:t>ABS</w:t>
      </w:r>
      <w:r w:rsidR="00267374">
        <w:t>)</w:t>
      </w:r>
      <w:r w:rsidRPr="77B20063">
        <w:t xml:space="preserve"> dataset ‘Population estimates by significant urban areas’ to track </w:t>
      </w:r>
      <w:r w:rsidR="00885420">
        <w:t xml:space="preserve">annual changes in </w:t>
      </w:r>
      <w:r w:rsidRPr="77B20063">
        <w:t>area-specific population.</w:t>
      </w:r>
    </w:p>
    <w:p w14:paraId="465F7975" w14:textId="4CF4B81C" w:rsidR="00095764" w:rsidRDefault="27EF13B7" w:rsidP="77B20063">
      <w:pPr>
        <w:pStyle w:val="Paragraph"/>
      </w:pPr>
      <w:r>
        <w:t xml:space="preserve">These proposals will smooth annual changes </w:t>
      </w:r>
      <w:r w:rsidR="3F7FD51D">
        <w:t>to taxes</w:t>
      </w:r>
      <w:r w:rsidR="009A1C80">
        <w:t>,</w:t>
      </w:r>
      <w:r w:rsidR="00925D03">
        <w:t xml:space="preserve"> since </w:t>
      </w:r>
      <w:r w:rsidR="001F2A15">
        <w:t xml:space="preserve">annual changes </w:t>
      </w:r>
      <w:r w:rsidR="009A1C80">
        <w:t xml:space="preserve">in </w:t>
      </w:r>
      <w:r w:rsidR="001F2A15">
        <w:t xml:space="preserve">population </w:t>
      </w:r>
      <w:r w:rsidR="00D25F15">
        <w:t>are</w:t>
      </w:r>
      <w:r w:rsidR="001F2A15">
        <w:t xml:space="preserve"> more stable than CPI. </w:t>
      </w:r>
      <w:r w:rsidR="00C93BAB">
        <w:t>L</w:t>
      </w:r>
      <w:r w:rsidR="12894D10">
        <w:t>inking</w:t>
      </w:r>
      <w:r>
        <w:t xml:space="preserve"> </w:t>
      </w:r>
      <w:r w:rsidR="00C93BAB">
        <w:t xml:space="preserve">tax </w:t>
      </w:r>
      <w:r w:rsidR="7E6D67FC">
        <w:t xml:space="preserve">changes </w:t>
      </w:r>
      <w:r w:rsidR="0A6DB4F5">
        <w:t xml:space="preserve">to </w:t>
      </w:r>
      <w:r w:rsidR="7E6D67FC">
        <w:t xml:space="preserve">underlying changes in </w:t>
      </w:r>
      <w:r w:rsidR="6B5AB13D">
        <w:t xml:space="preserve">population </w:t>
      </w:r>
      <w:r w:rsidR="5908C1A2">
        <w:t xml:space="preserve">of density areas will </w:t>
      </w:r>
      <w:r w:rsidR="00C93BAB">
        <w:t xml:space="preserve">also </w:t>
      </w:r>
      <w:r w:rsidR="6B5AB13D">
        <w:t xml:space="preserve">better reflect changes in </w:t>
      </w:r>
      <w:r w:rsidR="7E6D67FC">
        <w:t xml:space="preserve">demand for spectrum. </w:t>
      </w:r>
      <w:r w:rsidR="00C93BAB">
        <w:t>T</w:t>
      </w:r>
      <w:r w:rsidR="43BBEE7B">
        <w:t xml:space="preserve">able </w:t>
      </w:r>
      <w:r w:rsidR="00DB01D7">
        <w:t>5</w:t>
      </w:r>
      <w:r w:rsidR="00C93BAB">
        <w:t xml:space="preserve"> </w:t>
      </w:r>
      <w:r w:rsidR="43BBEE7B">
        <w:t>below shows the change in tax</w:t>
      </w:r>
      <w:r w:rsidR="22A4A9EE">
        <w:t xml:space="preserve"> between </w:t>
      </w:r>
      <w:r w:rsidR="714ECE13">
        <w:t xml:space="preserve">the years </w:t>
      </w:r>
      <w:r w:rsidR="22A4A9EE">
        <w:t>2010 and 2020</w:t>
      </w:r>
      <w:r w:rsidR="43BBEE7B">
        <w:t xml:space="preserve"> implied for each density area classification if </w:t>
      </w:r>
      <w:r w:rsidR="0B38D2D6">
        <w:t>annual updates</w:t>
      </w:r>
      <w:r w:rsidR="43BBEE7B">
        <w:t xml:space="preserve"> had been based on population changes</w:t>
      </w:r>
      <w:r w:rsidR="3E4852E3">
        <w:t xml:space="preserve">. This is compared to the uniform change across all density areas of </w:t>
      </w:r>
      <w:r w:rsidR="3E4852E3" w:rsidRPr="77B20063">
        <w:t xml:space="preserve">19.35% over the same period using CPI. </w:t>
      </w:r>
      <w:r w:rsidR="002051C9">
        <w:t xml:space="preserve">Assuming that these population </w:t>
      </w:r>
      <w:r w:rsidR="006C6D03">
        <w:t xml:space="preserve">changes move </w:t>
      </w:r>
      <w:r w:rsidR="00CD52F0">
        <w:t xml:space="preserve">along </w:t>
      </w:r>
      <w:r w:rsidR="006C6D03">
        <w:t xml:space="preserve">a similar trajectory in future, adjusting prices based on </w:t>
      </w:r>
      <w:r w:rsidR="00443F91">
        <w:t>population</w:t>
      </w:r>
      <w:r w:rsidR="006A2455">
        <w:t xml:space="preserve"> changes</w:t>
      </w:r>
      <w:r w:rsidR="00443F91">
        <w:t xml:space="preserve"> will </w:t>
      </w:r>
      <w:r w:rsidR="006A2455">
        <w:t xml:space="preserve">mean that </w:t>
      </w:r>
      <w:r w:rsidR="00291EA4">
        <w:t xml:space="preserve">tax </w:t>
      </w:r>
      <w:r w:rsidR="007827C8">
        <w:t xml:space="preserve">increases will be </w:t>
      </w:r>
      <w:r w:rsidR="00095764">
        <w:t>applied where the</w:t>
      </w:r>
      <w:r w:rsidR="00E6458F">
        <w:t>re is higher</w:t>
      </w:r>
      <w:r w:rsidR="00095764">
        <w:t xml:space="preserve"> likelihood of </w:t>
      </w:r>
      <w:r w:rsidR="00E6458F">
        <w:t xml:space="preserve">underlying demand for spectrum. </w:t>
      </w:r>
    </w:p>
    <w:p w14:paraId="11E74F31" w14:textId="74142584" w:rsidR="77B20063" w:rsidRDefault="0517094A" w:rsidP="00E14798">
      <w:pPr>
        <w:pStyle w:val="Tableheading"/>
      </w:pPr>
      <w:r w:rsidRPr="77B20063">
        <w:rPr>
          <w:rFonts w:eastAsia="Arial"/>
        </w:rPr>
        <w:t>Hypothetical changes in tax rates by location weightings using population (2010–20)</w:t>
      </w:r>
      <w:r w:rsidR="00E14798">
        <w:t xml:space="preserve"> </w:t>
      </w:r>
    </w:p>
    <w:tbl>
      <w:tblPr>
        <w:tblW w:w="7696" w:type="dxa"/>
        <w:tblInd w:w="-10" w:type="dxa"/>
        <w:tblCellMar>
          <w:top w:w="57" w:type="dxa"/>
          <w:bottom w:w="57" w:type="dxa"/>
        </w:tblCellMar>
        <w:tblLook w:val="04A0" w:firstRow="1" w:lastRow="0" w:firstColumn="1" w:lastColumn="0" w:noHBand="0" w:noVBand="1"/>
      </w:tblPr>
      <w:tblGrid>
        <w:gridCol w:w="1617"/>
        <w:gridCol w:w="1452"/>
        <w:gridCol w:w="1609"/>
        <w:gridCol w:w="1452"/>
        <w:gridCol w:w="1566"/>
      </w:tblGrid>
      <w:tr w:rsidR="00263214" w:rsidRPr="00F733D5" w14:paraId="49F50BEB" w14:textId="77777777" w:rsidTr="006040D1">
        <w:trPr>
          <w:trHeight w:val="230"/>
        </w:trPr>
        <w:tc>
          <w:tcPr>
            <w:tcW w:w="7696" w:type="dxa"/>
            <w:gridSpan w:val="5"/>
            <w:tcBorders>
              <w:top w:val="single" w:sz="8" w:space="0" w:color="auto"/>
              <w:left w:val="single" w:sz="8" w:space="0" w:color="auto"/>
              <w:bottom w:val="single" w:sz="8" w:space="0" w:color="auto"/>
              <w:right w:val="single" w:sz="8" w:space="0" w:color="000000"/>
            </w:tcBorders>
            <w:shd w:val="clear" w:color="000000" w:fill="404040"/>
            <w:noWrap/>
            <w:vAlign w:val="center"/>
            <w:hideMark/>
          </w:tcPr>
          <w:p w14:paraId="098EE508" w14:textId="77777777" w:rsidR="00263214" w:rsidRPr="00E14798" w:rsidRDefault="00263214" w:rsidP="008A5614">
            <w:pPr>
              <w:spacing w:after="0" w:line="240" w:lineRule="auto"/>
              <w:jc w:val="center"/>
              <w:rPr>
                <w:rFonts w:cs="Arial"/>
                <w:b/>
                <w:bCs/>
                <w:color w:val="FFFFFF"/>
                <w:sz w:val="18"/>
                <w:szCs w:val="22"/>
              </w:rPr>
            </w:pPr>
            <w:r w:rsidRPr="00E14798">
              <w:rPr>
                <w:rFonts w:cs="Arial"/>
                <w:b/>
                <w:bCs/>
                <w:color w:val="FFFFFF"/>
                <w:sz w:val="18"/>
                <w:szCs w:val="22"/>
              </w:rPr>
              <w:t>Geographic location</w:t>
            </w:r>
          </w:p>
        </w:tc>
      </w:tr>
      <w:tr w:rsidR="005758BB" w:rsidRPr="00F733D5" w14:paraId="36451943" w14:textId="77777777" w:rsidTr="006040D1">
        <w:trPr>
          <w:trHeight w:val="230"/>
        </w:trPr>
        <w:tc>
          <w:tcPr>
            <w:tcW w:w="1617" w:type="dxa"/>
            <w:tcBorders>
              <w:top w:val="nil"/>
              <w:left w:val="single" w:sz="8" w:space="0" w:color="auto"/>
              <w:bottom w:val="single" w:sz="8" w:space="0" w:color="auto"/>
              <w:right w:val="single" w:sz="8" w:space="0" w:color="auto"/>
            </w:tcBorders>
            <w:shd w:val="clear" w:color="000000" w:fill="404040"/>
            <w:noWrap/>
            <w:vAlign w:val="center"/>
            <w:hideMark/>
          </w:tcPr>
          <w:p w14:paraId="58D7100F" w14:textId="7EF137CA" w:rsidR="00263214" w:rsidRPr="00E14798" w:rsidRDefault="00263214" w:rsidP="006040D1">
            <w:pPr>
              <w:spacing w:after="0" w:line="240" w:lineRule="auto"/>
              <w:jc w:val="center"/>
              <w:rPr>
                <w:rFonts w:cs="Arial"/>
                <w:b/>
                <w:bCs/>
                <w:color w:val="FFFFFF"/>
                <w:sz w:val="18"/>
                <w:szCs w:val="22"/>
              </w:rPr>
            </w:pPr>
            <w:r w:rsidRPr="00E14798">
              <w:rPr>
                <w:rFonts w:cs="Arial"/>
                <w:b/>
                <w:bCs/>
                <w:color w:val="FFFFFF"/>
                <w:sz w:val="18"/>
                <w:szCs w:val="22"/>
              </w:rPr>
              <w:t>Aus</w:t>
            </w:r>
            <w:r w:rsidR="00E14798">
              <w:rPr>
                <w:rFonts w:cs="Arial"/>
                <w:b/>
                <w:bCs/>
                <w:color w:val="FFFFFF"/>
                <w:sz w:val="18"/>
                <w:szCs w:val="22"/>
              </w:rPr>
              <w:t>tralia-wide</w:t>
            </w:r>
          </w:p>
        </w:tc>
        <w:tc>
          <w:tcPr>
            <w:tcW w:w="1452" w:type="dxa"/>
            <w:tcBorders>
              <w:top w:val="nil"/>
              <w:left w:val="nil"/>
              <w:bottom w:val="single" w:sz="8" w:space="0" w:color="auto"/>
              <w:right w:val="single" w:sz="8" w:space="0" w:color="auto"/>
            </w:tcBorders>
            <w:shd w:val="clear" w:color="000000" w:fill="404040"/>
            <w:noWrap/>
            <w:vAlign w:val="center"/>
            <w:hideMark/>
          </w:tcPr>
          <w:p w14:paraId="4D8FF98C" w14:textId="77777777" w:rsidR="00263214" w:rsidRPr="00E14798" w:rsidRDefault="00263214" w:rsidP="006040D1">
            <w:pPr>
              <w:spacing w:after="0" w:line="240" w:lineRule="auto"/>
              <w:jc w:val="center"/>
              <w:rPr>
                <w:rFonts w:cs="Arial"/>
                <w:b/>
                <w:bCs/>
                <w:color w:val="FFFFFF"/>
                <w:sz w:val="18"/>
                <w:szCs w:val="22"/>
              </w:rPr>
            </w:pPr>
            <w:r w:rsidRPr="00E14798">
              <w:rPr>
                <w:rFonts w:cs="Arial"/>
                <w:b/>
                <w:bCs/>
                <w:color w:val="FFFFFF"/>
                <w:sz w:val="18"/>
                <w:szCs w:val="22"/>
              </w:rPr>
              <w:t>High</w:t>
            </w:r>
          </w:p>
        </w:tc>
        <w:tc>
          <w:tcPr>
            <w:tcW w:w="1609" w:type="dxa"/>
            <w:tcBorders>
              <w:top w:val="nil"/>
              <w:left w:val="nil"/>
              <w:bottom w:val="single" w:sz="8" w:space="0" w:color="auto"/>
              <w:right w:val="single" w:sz="8" w:space="0" w:color="auto"/>
            </w:tcBorders>
            <w:shd w:val="clear" w:color="000000" w:fill="404040"/>
            <w:noWrap/>
            <w:vAlign w:val="center"/>
            <w:hideMark/>
          </w:tcPr>
          <w:p w14:paraId="2765517E" w14:textId="77777777" w:rsidR="00263214" w:rsidRPr="00E14798" w:rsidRDefault="00263214" w:rsidP="006040D1">
            <w:pPr>
              <w:spacing w:after="0" w:line="240" w:lineRule="auto"/>
              <w:jc w:val="center"/>
              <w:rPr>
                <w:rFonts w:cs="Arial"/>
                <w:b/>
                <w:bCs/>
                <w:color w:val="FFFFFF"/>
                <w:sz w:val="18"/>
                <w:szCs w:val="22"/>
              </w:rPr>
            </w:pPr>
            <w:r w:rsidRPr="00E14798">
              <w:rPr>
                <w:rFonts w:cs="Arial"/>
                <w:b/>
                <w:bCs/>
                <w:color w:val="FFFFFF"/>
                <w:sz w:val="18"/>
                <w:szCs w:val="22"/>
              </w:rPr>
              <w:t>Medium</w:t>
            </w:r>
          </w:p>
        </w:tc>
        <w:tc>
          <w:tcPr>
            <w:tcW w:w="1452" w:type="dxa"/>
            <w:tcBorders>
              <w:top w:val="nil"/>
              <w:left w:val="nil"/>
              <w:bottom w:val="single" w:sz="8" w:space="0" w:color="auto"/>
              <w:right w:val="single" w:sz="8" w:space="0" w:color="auto"/>
            </w:tcBorders>
            <w:shd w:val="clear" w:color="000000" w:fill="404040"/>
            <w:noWrap/>
            <w:vAlign w:val="center"/>
            <w:hideMark/>
          </w:tcPr>
          <w:p w14:paraId="74F41C3F" w14:textId="77777777" w:rsidR="00263214" w:rsidRPr="00E14798" w:rsidRDefault="00263214" w:rsidP="006040D1">
            <w:pPr>
              <w:spacing w:after="0" w:line="240" w:lineRule="auto"/>
              <w:jc w:val="center"/>
              <w:rPr>
                <w:rFonts w:cs="Arial"/>
                <w:b/>
                <w:bCs/>
                <w:color w:val="FFFFFF"/>
                <w:sz w:val="18"/>
                <w:szCs w:val="22"/>
              </w:rPr>
            </w:pPr>
            <w:r w:rsidRPr="00E14798">
              <w:rPr>
                <w:rFonts w:cs="Arial"/>
                <w:b/>
                <w:bCs/>
                <w:color w:val="FFFFFF"/>
                <w:sz w:val="18"/>
                <w:szCs w:val="22"/>
              </w:rPr>
              <w:t>Low</w:t>
            </w:r>
          </w:p>
        </w:tc>
        <w:tc>
          <w:tcPr>
            <w:tcW w:w="1564" w:type="dxa"/>
            <w:tcBorders>
              <w:top w:val="nil"/>
              <w:left w:val="nil"/>
              <w:bottom w:val="single" w:sz="8" w:space="0" w:color="auto"/>
              <w:right w:val="single" w:sz="8" w:space="0" w:color="auto"/>
            </w:tcBorders>
            <w:shd w:val="clear" w:color="000000" w:fill="404040"/>
            <w:noWrap/>
            <w:vAlign w:val="center"/>
            <w:hideMark/>
          </w:tcPr>
          <w:p w14:paraId="53EC960B" w14:textId="77777777" w:rsidR="00263214" w:rsidRPr="00E14798" w:rsidRDefault="00263214" w:rsidP="006040D1">
            <w:pPr>
              <w:spacing w:after="0" w:line="240" w:lineRule="auto"/>
              <w:jc w:val="center"/>
              <w:rPr>
                <w:rFonts w:cs="Arial"/>
                <w:b/>
                <w:bCs/>
                <w:color w:val="FFFFFF"/>
                <w:sz w:val="18"/>
                <w:szCs w:val="22"/>
              </w:rPr>
            </w:pPr>
            <w:r w:rsidRPr="00E14798">
              <w:rPr>
                <w:rFonts w:cs="Arial"/>
                <w:b/>
                <w:bCs/>
                <w:color w:val="FFFFFF"/>
                <w:sz w:val="18"/>
                <w:szCs w:val="22"/>
              </w:rPr>
              <w:t>Remote</w:t>
            </w:r>
          </w:p>
        </w:tc>
      </w:tr>
      <w:tr w:rsidR="00263214" w:rsidRPr="00F733D5" w14:paraId="66A66AAC" w14:textId="77777777" w:rsidTr="006040D1">
        <w:trPr>
          <w:trHeight w:val="230"/>
        </w:trPr>
        <w:tc>
          <w:tcPr>
            <w:tcW w:w="1617" w:type="dxa"/>
            <w:tcBorders>
              <w:top w:val="nil"/>
              <w:left w:val="single" w:sz="8" w:space="0" w:color="auto"/>
              <w:bottom w:val="single" w:sz="8" w:space="0" w:color="auto"/>
              <w:right w:val="single" w:sz="8" w:space="0" w:color="auto"/>
            </w:tcBorders>
            <w:shd w:val="clear" w:color="auto" w:fill="auto"/>
            <w:noWrap/>
            <w:vAlign w:val="center"/>
            <w:hideMark/>
          </w:tcPr>
          <w:p w14:paraId="13E6DD15" w14:textId="77777777" w:rsidR="00263214" w:rsidRPr="00E14798" w:rsidRDefault="00263214" w:rsidP="006040D1">
            <w:pPr>
              <w:spacing w:after="0" w:line="240" w:lineRule="auto"/>
              <w:jc w:val="center"/>
              <w:rPr>
                <w:rFonts w:cs="Arial"/>
                <w:color w:val="000000"/>
                <w:sz w:val="18"/>
                <w:szCs w:val="22"/>
              </w:rPr>
            </w:pPr>
            <w:r w:rsidRPr="00E14798">
              <w:rPr>
                <w:rFonts w:cs="Arial"/>
                <w:color w:val="000000"/>
                <w:sz w:val="18"/>
                <w:szCs w:val="22"/>
              </w:rPr>
              <w:t>16.64%</w:t>
            </w:r>
          </w:p>
        </w:tc>
        <w:tc>
          <w:tcPr>
            <w:tcW w:w="1452" w:type="dxa"/>
            <w:tcBorders>
              <w:top w:val="nil"/>
              <w:left w:val="nil"/>
              <w:bottom w:val="single" w:sz="8" w:space="0" w:color="auto"/>
              <w:right w:val="single" w:sz="8" w:space="0" w:color="auto"/>
            </w:tcBorders>
            <w:shd w:val="clear" w:color="auto" w:fill="auto"/>
            <w:noWrap/>
            <w:vAlign w:val="center"/>
            <w:hideMark/>
          </w:tcPr>
          <w:p w14:paraId="1ABC3BE2" w14:textId="77777777" w:rsidR="00263214" w:rsidRPr="00E14798" w:rsidRDefault="00263214" w:rsidP="006040D1">
            <w:pPr>
              <w:spacing w:after="0" w:line="240" w:lineRule="auto"/>
              <w:jc w:val="center"/>
              <w:rPr>
                <w:rFonts w:cs="Arial"/>
                <w:color w:val="000000"/>
                <w:sz w:val="18"/>
                <w:szCs w:val="22"/>
              </w:rPr>
            </w:pPr>
            <w:r w:rsidRPr="00E14798">
              <w:rPr>
                <w:rFonts w:cs="Arial"/>
                <w:color w:val="000000"/>
                <w:sz w:val="18"/>
                <w:szCs w:val="22"/>
              </w:rPr>
              <w:t>21.69%</w:t>
            </w:r>
          </w:p>
        </w:tc>
        <w:tc>
          <w:tcPr>
            <w:tcW w:w="1609" w:type="dxa"/>
            <w:tcBorders>
              <w:top w:val="nil"/>
              <w:left w:val="nil"/>
              <w:bottom w:val="single" w:sz="8" w:space="0" w:color="auto"/>
              <w:right w:val="single" w:sz="8" w:space="0" w:color="auto"/>
            </w:tcBorders>
            <w:shd w:val="clear" w:color="auto" w:fill="auto"/>
            <w:noWrap/>
            <w:vAlign w:val="center"/>
            <w:hideMark/>
          </w:tcPr>
          <w:p w14:paraId="42520AFE" w14:textId="77777777" w:rsidR="00263214" w:rsidRPr="00E14798" w:rsidRDefault="00263214" w:rsidP="006040D1">
            <w:pPr>
              <w:spacing w:after="0" w:line="240" w:lineRule="auto"/>
              <w:jc w:val="center"/>
              <w:rPr>
                <w:rFonts w:cs="Arial"/>
                <w:color w:val="000000"/>
                <w:sz w:val="18"/>
                <w:szCs w:val="22"/>
              </w:rPr>
            </w:pPr>
            <w:r w:rsidRPr="00E14798">
              <w:rPr>
                <w:rFonts w:cs="Arial"/>
                <w:color w:val="000000"/>
                <w:sz w:val="18"/>
                <w:szCs w:val="22"/>
              </w:rPr>
              <w:t>14.68%</w:t>
            </w:r>
          </w:p>
        </w:tc>
        <w:tc>
          <w:tcPr>
            <w:tcW w:w="1452" w:type="dxa"/>
            <w:tcBorders>
              <w:top w:val="nil"/>
              <w:left w:val="nil"/>
              <w:bottom w:val="single" w:sz="8" w:space="0" w:color="auto"/>
              <w:right w:val="single" w:sz="8" w:space="0" w:color="auto"/>
            </w:tcBorders>
            <w:shd w:val="clear" w:color="auto" w:fill="auto"/>
            <w:noWrap/>
            <w:vAlign w:val="center"/>
            <w:hideMark/>
          </w:tcPr>
          <w:p w14:paraId="607C8D76" w14:textId="77777777" w:rsidR="00263214" w:rsidRPr="00E14798" w:rsidRDefault="00263214" w:rsidP="006040D1">
            <w:pPr>
              <w:spacing w:after="0" w:line="240" w:lineRule="auto"/>
              <w:jc w:val="center"/>
              <w:rPr>
                <w:rFonts w:cs="Arial"/>
                <w:color w:val="000000"/>
                <w:sz w:val="18"/>
                <w:szCs w:val="22"/>
              </w:rPr>
            </w:pPr>
            <w:r w:rsidRPr="00E14798">
              <w:rPr>
                <w:rFonts w:cs="Arial"/>
                <w:color w:val="000000"/>
                <w:sz w:val="18"/>
                <w:szCs w:val="22"/>
              </w:rPr>
              <w:t>12.20%</w:t>
            </w:r>
          </w:p>
        </w:tc>
        <w:tc>
          <w:tcPr>
            <w:tcW w:w="1564" w:type="dxa"/>
            <w:tcBorders>
              <w:top w:val="nil"/>
              <w:left w:val="nil"/>
              <w:bottom w:val="single" w:sz="8" w:space="0" w:color="auto"/>
              <w:right w:val="single" w:sz="8" w:space="0" w:color="auto"/>
            </w:tcBorders>
            <w:shd w:val="clear" w:color="auto" w:fill="auto"/>
            <w:noWrap/>
            <w:vAlign w:val="center"/>
            <w:hideMark/>
          </w:tcPr>
          <w:p w14:paraId="254BC3E2" w14:textId="77777777" w:rsidR="00263214" w:rsidRPr="00E14798" w:rsidRDefault="00263214" w:rsidP="006040D1">
            <w:pPr>
              <w:spacing w:after="0" w:line="240" w:lineRule="auto"/>
              <w:jc w:val="center"/>
              <w:rPr>
                <w:rFonts w:cs="Arial"/>
                <w:color w:val="000000"/>
                <w:sz w:val="18"/>
                <w:szCs w:val="22"/>
              </w:rPr>
            </w:pPr>
            <w:r w:rsidRPr="00E14798">
              <w:rPr>
                <w:rFonts w:cs="Arial"/>
                <w:color w:val="000000"/>
                <w:sz w:val="18"/>
                <w:szCs w:val="22"/>
              </w:rPr>
              <w:t>6.58%</w:t>
            </w:r>
          </w:p>
        </w:tc>
      </w:tr>
    </w:tbl>
    <w:p w14:paraId="7B667265" w14:textId="77777777" w:rsidR="00633403" w:rsidRDefault="00633403" w:rsidP="77B20063">
      <w:pPr>
        <w:pStyle w:val="Paragraph"/>
      </w:pPr>
    </w:p>
    <w:p w14:paraId="7059AEBA" w14:textId="79E8EAE0" w:rsidR="00D74DCA" w:rsidRDefault="00D74DCA" w:rsidP="00D74DCA">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Question </w:t>
      </w:r>
      <w:r w:rsidR="001C0550">
        <w:t>5</w:t>
      </w:r>
    </w:p>
    <w:p w14:paraId="5EFFAEC4" w14:textId="6347F2FF" w:rsidR="00757939" w:rsidRPr="00C02F26" w:rsidRDefault="00757939" w:rsidP="00D74DCA">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rsidRPr="00757939">
        <w:t>Do you have any comments on the propos</w:t>
      </w:r>
      <w:r w:rsidR="000E0721">
        <w:t xml:space="preserve">ed </w:t>
      </w:r>
      <w:r w:rsidR="00C9131E">
        <w:t xml:space="preserve">method to update </w:t>
      </w:r>
      <w:r w:rsidR="00E00642">
        <w:t>taxes</w:t>
      </w:r>
      <w:r w:rsidR="0076603D">
        <w:t xml:space="preserve"> by reference to population change, rather than annual adjustments based on the CPI</w:t>
      </w:r>
      <w:r w:rsidRPr="00757939">
        <w:t>?</w:t>
      </w:r>
    </w:p>
    <w:p w14:paraId="702E67C3" w14:textId="03E05D8E" w:rsidR="21118284" w:rsidRDefault="21118284" w:rsidP="77B20063">
      <w:pPr>
        <w:pStyle w:val="Heading2"/>
      </w:pPr>
      <w:bookmarkStart w:id="13" w:name="_Toc86153498"/>
      <w:r w:rsidRPr="77B20063">
        <w:lastRenderedPageBreak/>
        <w:t>Updat</w:t>
      </w:r>
      <w:r w:rsidR="00DF3846">
        <w:t>e</w:t>
      </w:r>
      <w:r w:rsidRPr="77B20063">
        <w:t xml:space="preserve"> area definitions for Perth and Adelaide</w:t>
      </w:r>
      <w:bookmarkEnd w:id="13"/>
    </w:p>
    <w:p w14:paraId="67BAEEDA" w14:textId="532D6DDB" w:rsidR="1E3936FD" w:rsidRDefault="1E3936FD" w:rsidP="77B20063">
      <w:pPr>
        <w:pStyle w:val="Paragraph"/>
      </w:pPr>
      <w:r w:rsidRPr="77B20063">
        <w:t xml:space="preserve">Geographic density area classifications are used in tandem with location weightings to determine the tax </w:t>
      </w:r>
      <w:r w:rsidR="002802C5">
        <w:t xml:space="preserve">for </w:t>
      </w:r>
      <w:r w:rsidRPr="77B20063">
        <w:t xml:space="preserve">apparatus licences. Each geographic location in Australia is assigned a density of either high, medium, low, or remote, reflecting their spectrum </w:t>
      </w:r>
      <w:r w:rsidR="00AC6141">
        <w:t>and population densities</w:t>
      </w:r>
      <w:r w:rsidRPr="77B20063">
        <w:t xml:space="preserve">, which then informs which location weighting is applicable when calculating taxes due. </w:t>
      </w:r>
      <w:r w:rsidR="3C308EC7" w:rsidRPr="77B20063">
        <w:t xml:space="preserve">See Appendix F of the </w:t>
      </w:r>
      <w:hyperlink r:id="rId31">
        <w:r w:rsidR="3C308EC7" w:rsidRPr="77B20063">
          <w:rPr>
            <w:rStyle w:val="Hyperlink"/>
          </w:rPr>
          <w:t>Apparatus licence fee schedule</w:t>
        </w:r>
      </w:hyperlink>
      <w:r w:rsidR="3C308EC7" w:rsidRPr="77B20063">
        <w:t xml:space="preserve"> for detail</w:t>
      </w:r>
      <w:r w:rsidR="00BB5D44">
        <w:t>s</w:t>
      </w:r>
      <w:r w:rsidR="3C308EC7" w:rsidRPr="77B20063">
        <w:t xml:space="preserve">. </w:t>
      </w:r>
    </w:p>
    <w:p w14:paraId="19A989BC" w14:textId="5A41FEE5" w:rsidR="000217CA" w:rsidRDefault="00B57D56" w:rsidP="77B20063">
      <w:pPr>
        <w:pStyle w:val="Paragraph"/>
      </w:pPr>
      <w:r>
        <w:t xml:space="preserve">The ACMA has reviewed </w:t>
      </w:r>
      <w:r w:rsidR="00BB5D44">
        <w:t xml:space="preserve">the </w:t>
      </w:r>
      <w:r>
        <w:t>density areas</w:t>
      </w:r>
      <w:r w:rsidR="004E23C1">
        <w:t xml:space="preserve"> and considers that the</w:t>
      </w:r>
      <w:r w:rsidR="00392FC7">
        <w:t xml:space="preserve">y continue to </w:t>
      </w:r>
      <w:r w:rsidR="004E23C1">
        <w:t xml:space="preserve">be useful in </w:t>
      </w:r>
      <w:r w:rsidR="009F1D29">
        <w:t>providing incentive</w:t>
      </w:r>
      <w:r w:rsidR="00C0143C">
        <w:t xml:space="preserve">s for efficient spectrum uses </w:t>
      </w:r>
      <w:r w:rsidR="009F1D29">
        <w:t xml:space="preserve">by setting </w:t>
      </w:r>
      <w:r w:rsidR="001B1FC1">
        <w:t xml:space="preserve">relatively higher </w:t>
      </w:r>
      <w:r w:rsidR="0075388D">
        <w:t xml:space="preserve">taxes </w:t>
      </w:r>
      <w:r w:rsidR="009F1D29">
        <w:t>w</w:t>
      </w:r>
      <w:r w:rsidR="00145E6E">
        <w:t>here there is higher</w:t>
      </w:r>
      <w:r w:rsidR="008F2174">
        <w:t xml:space="preserve"> demand and higher</w:t>
      </w:r>
      <w:r w:rsidR="00145E6E">
        <w:t xml:space="preserve"> potential for congestion and interference</w:t>
      </w:r>
      <w:r w:rsidR="006E607C">
        <w:t>,</w:t>
      </w:r>
      <w:r w:rsidR="000B4285">
        <w:t xml:space="preserve"> and vice versa. </w:t>
      </w:r>
      <w:r w:rsidR="001B1FC1">
        <w:t>However,</w:t>
      </w:r>
      <w:r w:rsidR="000B4285">
        <w:t xml:space="preserve"> during </w:t>
      </w:r>
      <w:r w:rsidR="0063229A">
        <w:t>the</w:t>
      </w:r>
      <w:r w:rsidR="000B4285">
        <w:t xml:space="preserve"> review it was apparent that </w:t>
      </w:r>
      <w:r w:rsidR="00FF7346">
        <w:t xml:space="preserve">there are some anomalies </w:t>
      </w:r>
      <w:r w:rsidR="00924092">
        <w:t xml:space="preserve">with how the density areas are defined. </w:t>
      </w:r>
    </w:p>
    <w:p w14:paraId="019CB48E" w14:textId="2528EE57" w:rsidR="00990BFC" w:rsidRDefault="00A17F01" w:rsidP="00A17F01">
      <w:pPr>
        <w:pStyle w:val="Paragraph"/>
      </w:pPr>
      <w:r>
        <w:t>One observation is that t</w:t>
      </w:r>
      <w:r w:rsidR="00990BFC" w:rsidRPr="00990BFC">
        <w:t xml:space="preserve">he current Perth and Adelaide </w:t>
      </w:r>
      <w:r w:rsidR="00990BFC" w:rsidRPr="00990BFC" w:rsidDel="00DD0833">
        <w:t>medium</w:t>
      </w:r>
      <w:r w:rsidR="00DD0833">
        <w:t>-</w:t>
      </w:r>
      <w:r w:rsidR="00990BFC" w:rsidRPr="00990BFC">
        <w:t xml:space="preserve">density areas </w:t>
      </w:r>
      <w:r w:rsidR="00AA7C41">
        <w:t xml:space="preserve">(see Figure 1 below) </w:t>
      </w:r>
      <w:r w:rsidR="00990BFC" w:rsidRPr="00990BFC">
        <w:t xml:space="preserve">are drawn relatively close to </w:t>
      </w:r>
      <w:r w:rsidR="00BB5D44">
        <w:t xml:space="preserve">their </w:t>
      </w:r>
      <w:r w:rsidR="00990BFC" w:rsidRPr="00990BFC">
        <w:t>suburban boundaries</w:t>
      </w:r>
      <w:r w:rsidR="005206E0">
        <w:t>,</w:t>
      </w:r>
      <w:r w:rsidR="00C0131A">
        <w:t xml:space="preserve"> and </w:t>
      </w:r>
      <w:r w:rsidR="00225C59">
        <w:t xml:space="preserve">do </w:t>
      </w:r>
      <w:r w:rsidR="00C0131A">
        <w:t>not captur</w:t>
      </w:r>
      <w:r w:rsidR="00225C59">
        <w:t>e</w:t>
      </w:r>
      <w:r w:rsidR="00C0131A">
        <w:t xml:space="preserve"> </w:t>
      </w:r>
      <w:r w:rsidR="00A56964">
        <w:t xml:space="preserve">the </w:t>
      </w:r>
      <w:r w:rsidR="00225C59">
        <w:t xml:space="preserve">urban </w:t>
      </w:r>
      <w:r w:rsidR="00083697">
        <w:t xml:space="preserve">growth </w:t>
      </w:r>
      <w:r w:rsidR="00225C59">
        <w:t xml:space="preserve">and increased density </w:t>
      </w:r>
      <w:r w:rsidR="000308DE">
        <w:t xml:space="preserve">that has occurred in </w:t>
      </w:r>
      <w:r w:rsidR="00225C59">
        <w:t>recent years</w:t>
      </w:r>
      <w:r w:rsidR="00344A40">
        <w:t xml:space="preserve">. This is in stark contrast to </w:t>
      </w:r>
      <w:r w:rsidR="00990BFC" w:rsidRPr="00990BFC">
        <w:t xml:space="preserve">the Melbourne, Sydney, and Brisbane </w:t>
      </w:r>
      <w:r w:rsidR="00990BFC" w:rsidRPr="00990BFC" w:rsidDel="00DD0833">
        <w:t>high</w:t>
      </w:r>
      <w:r w:rsidR="00DD0833">
        <w:t>-</w:t>
      </w:r>
      <w:r w:rsidR="00990BFC" w:rsidRPr="00990BFC">
        <w:t>density areas</w:t>
      </w:r>
      <w:r w:rsidR="009D2112">
        <w:t xml:space="preserve"> that are significantly larger and </w:t>
      </w:r>
      <w:r w:rsidR="003B0DA8">
        <w:t xml:space="preserve">include </w:t>
      </w:r>
      <w:r w:rsidR="009D2112">
        <w:t xml:space="preserve">the growth in these cities in the last </w:t>
      </w:r>
      <w:r w:rsidR="00675F0F">
        <w:t>two</w:t>
      </w:r>
      <w:r w:rsidR="009D2112">
        <w:t xml:space="preserve"> decades</w:t>
      </w:r>
      <w:r w:rsidR="00990BFC" w:rsidRPr="00990BFC">
        <w:t>. For reference, the Adelaide area covers 3,179</w:t>
      </w:r>
      <w:r w:rsidR="005206E0">
        <w:t> </w:t>
      </w:r>
      <w:r w:rsidR="00990BFC" w:rsidRPr="00990BFC">
        <w:t>sqm and</w:t>
      </w:r>
      <w:r w:rsidR="00333860">
        <w:t xml:space="preserve"> the</w:t>
      </w:r>
      <w:r w:rsidR="00990BFC" w:rsidRPr="00990BFC">
        <w:t xml:space="preserve"> Perth</w:t>
      </w:r>
      <w:r w:rsidR="00333860">
        <w:t xml:space="preserve"> area</w:t>
      </w:r>
      <w:r w:rsidR="00990BFC" w:rsidRPr="00990BFC">
        <w:t xml:space="preserve"> covers 3,852 sqm, while the Melbourne area covers 15,524 sqm and </w:t>
      </w:r>
      <w:r w:rsidR="00333860">
        <w:t xml:space="preserve">the </w:t>
      </w:r>
      <w:r w:rsidR="00990BFC" w:rsidRPr="00990BFC">
        <w:t xml:space="preserve">Sydney area covers 15,538 sqm. </w:t>
      </w:r>
    </w:p>
    <w:p w14:paraId="43644B25" w14:textId="73C4753C" w:rsidR="00D029A1" w:rsidRPr="00990BFC" w:rsidRDefault="00E020B9" w:rsidP="00D029A1">
      <w:pPr>
        <w:pStyle w:val="Figureheading"/>
      </w:pPr>
      <w:r>
        <w:t xml:space="preserve">Current boundaries for Adelaide and Perth </w:t>
      </w:r>
      <w:r w:rsidR="005B7EE9">
        <w:br/>
      </w:r>
      <w:r>
        <w:t xml:space="preserve">(classified as </w:t>
      </w:r>
      <w:r w:rsidR="002847E8" w:rsidDel="00DD0833">
        <w:t>m</w:t>
      </w:r>
      <w:r w:rsidDel="00DD0833">
        <w:t>edium</w:t>
      </w:r>
      <w:r w:rsidR="00DD0833">
        <w:t>-</w:t>
      </w:r>
      <w:r>
        <w:t>density areas)</w:t>
      </w:r>
    </w:p>
    <w:p w14:paraId="074D2275" w14:textId="7327E8B6" w:rsidR="00145E6E" w:rsidRDefault="00F515E7" w:rsidP="77B20063">
      <w:pPr>
        <w:pStyle w:val="Paragraph"/>
      </w:pPr>
      <w:r>
        <w:rPr>
          <w:noProof/>
        </w:rPr>
        <w:drawing>
          <wp:inline distT="0" distB="0" distL="0" distR="0" wp14:anchorId="5D177285" wp14:editId="47ED4031">
            <wp:extent cx="4266000" cy="2782800"/>
            <wp:effectExtent l="0" t="0" r="1270" b="0"/>
            <wp:docPr id="6" name="Picture 6" descr="Figure 1: Current boundaries for Adelaide and Perth (classified as medium-density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1: Current boundaries for Adelaide and Perth (classified as medium-density area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66000" cy="2782800"/>
                    </a:xfrm>
                    <a:prstGeom prst="rect">
                      <a:avLst/>
                    </a:prstGeom>
                    <a:noFill/>
                    <a:ln>
                      <a:noFill/>
                    </a:ln>
                  </pic:spPr>
                </pic:pic>
              </a:graphicData>
            </a:graphic>
          </wp:inline>
        </w:drawing>
      </w:r>
    </w:p>
    <w:p w14:paraId="5DEA91BD" w14:textId="48DFDB6E" w:rsidR="0098694B" w:rsidRDefault="002076BE" w:rsidP="000450AE">
      <w:pPr>
        <w:pStyle w:val="Paragraph"/>
      </w:pPr>
      <w:r>
        <w:t xml:space="preserve">As a result of </w:t>
      </w:r>
      <w:r w:rsidR="00083697">
        <w:t xml:space="preserve">the current application of medium density, </w:t>
      </w:r>
      <w:r w:rsidR="0098694B">
        <w:t xml:space="preserve">Perth and Adelaide stand out as anomalies when mapping each density area against total assignment density and population density. Given current geographic area classifications, Perth and Adelaide both have higher population density and assignment density compared to the </w:t>
      </w:r>
      <w:r w:rsidR="007837B1">
        <w:t>high-density</w:t>
      </w:r>
      <w:r w:rsidR="0098694B">
        <w:t xml:space="preserve"> areas of Melbourne, Sydney, and Brisbane</w:t>
      </w:r>
      <w:r w:rsidR="009665B2">
        <w:t xml:space="preserve"> (see Figure 2 below). </w:t>
      </w:r>
    </w:p>
    <w:p w14:paraId="3603F296" w14:textId="4145BA6B" w:rsidR="004C1DE4" w:rsidRDefault="00706A7C" w:rsidP="00D029A1">
      <w:pPr>
        <w:pStyle w:val="Figureheading"/>
      </w:pPr>
      <w:r>
        <w:lastRenderedPageBreak/>
        <w:t>Current t</w:t>
      </w:r>
      <w:r w:rsidR="00CC4F40">
        <w:t>ransmitter and population density</w:t>
      </w:r>
    </w:p>
    <w:p w14:paraId="7C2C1AEA" w14:textId="77777777" w:rsidR="00A0672B" w:rsidRDefault="00A0672B" w:rsidP="000450AE">
      <w:pPr>
        <w:pStyle w:val="Paragraph"/>
      </w:pPr>
      <w:r>
        <w:rPr>
          <w:noProof/>
        </w:rPr>
        <w:drawing>
          <wp:inline distT="0" distB="0" distL="0" distR="0" wp14:anchorId="7B5DC851" wp14:editId="3874AE63">
            <wp:extent cx="3056400" cy="3056400"/>
            <wp:effectExtent l="19050" t="19050" r="10795" b="10795"/>
            <wp:docPr id="3" name="Picture 3" descr="Figure 2:  Current transmitter and population den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2:  Current transmitter and population density"/>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56400" cy="3056400"/>
                    </a:xfrm>
                    <a:prstGeom prst="rect">
                      <a:avLst/>
                    </a:prstGeom>
                    <a:noFill/>
                    <a:ln>
                      <a:solidFill>
                        <a:schemeClr val="tx1"/>
                      </a:solidFill>
                    </a:ln>
                  </pic:spPr>
                </pic:pic>
              </a:graphicData>
            </a:graphic>
          </wp:inline>
        </w:drawing>
      </w:r>
      <w:r w:rsidR="0098694B">
        <w:br/>
      </w:r>
    </w:p>
    <w:p w14:paraId="6126EBBA" w14:textId="13139CD3" w:rsidR="000F630D" w:rsidRDefault="00B60ACA" w:rsidP="006040D1">
      <w:pPr>
        <w:pStyle w:val="Paragraphbeforelist"/>
      </w:pPr>
      <w:r>
        <w:t xml:space="preserve">To </w:t>
      </w:r>
      <w:r w:rsidR="004C1DE4">
        <w:t xml:space="preserve">better align the </w:t>
      </w:r>
      <w:r w:rsidR="00CC4F40">
        <w:t xml:space="preserve">densities of each of the areas </w:t>
      </w:r>
      <w:r w:rsidR="000450AE">
        <w:t xml:space="preserve">and provide more </w:t>
      </w:r>
      <w:r w:rsidR="000250A9">
        <w:t>coherent tax relativities</w:t>
      </w:r>
      <w:r w:rsidR="000450AE">
        <w:t xml:space="preserve">, the ACMA </w:t>
      </w:r>
      <w:r w:rsidR="000F630D">
        <w:t>propose</w:t>
      </w:r>
      <w:r w:rsidR="00054D77">
        <w:t>s</w:t>
      </w:r>
      <w:r w:rsidR="000F630D">
        <w:t xml:space="preserve"> the following</w:t>
      </w:r>
      <w:r w:rsidR="00F040EE">
        <w:t>:</w:t>
      </w:r>
    </w:p>
    <w:p w14:paraId="27354BD0" w14:textId="41C00AED" w:rsidR="00F92A62" w:rsidRDefault="000F630D" w:rsidP="00831D4F">
      <w:pPr>
        <w:pStyle w:val="Bulletlevel1"/>
      </w:pPr>
      <w:r>
        <w:t xml:space="preserve">Increase of the geographic area for Perth and Adelaide </w:t>
      </w:r>
      <w:r w:rsidR="003D7650">
        <w:t xml:space="preserve">to better reflect the growth of these cities </w:t>
      </w:r>
      <w:r w:rsidR="00D340A1">
        <w:t>(</w:t>
      </w:r>
      <w:r w:rsidR="00122332">
        <w:t>primari</w:t>
      </w:r>
      <w:r w:rsidR="00B06B36">
        <w:t xml:space="preserve">ly to the north and south of </w:t>
      </w:r>
      <w:r w:rsidR="00D340A1">
        <w:t>each)</w:t>
      </w:r>
      <w:r w:rsidR="003D7650">
        <w:t>.</w:t>
      </w:r>
      <w:r w:rsidR="00B06B36">
        <w:t xml:space="preserve"> </w:t>
      </w:r>
    </w:p>
    <w:p w14:paraId="2D2E399B" w14:textId="00DE4688" w:rsidR="000F630D" w:rsidRDefault="00AC0116" w:rsidP="006040D1">
      <w:pPr>
        <w:pStyle w:val="Bulletlevel1"/>
      </w:pPr>
      <w:r>
        <w:t xml:space="preserve">The proposed boundaries cover </w:t>
      </w:r>
      <w:r w:rsidR="007C2D01">
        <w:t xml:space="preserve">an area more comparable to Melbourne, Sydney and Brisbane. </w:t>
      </w:r>
      <w:r w:rsidR="009645A9">
        <w:t xml:space="preserve">In </w:t>
      </w:r>
      <w:r w:rsidR="00F92A62">
        <w:t>redrawing the</w:t>
      </w:r>
      <w:r w:rsidR="00D94E0F">
        <w:t xml:space="preserve">se </w:t>
      </w:r>
      <w:r w:rsidR="00DD2FCC">
        <w:t>boundaries</w:t>
      </w:r>
      <w:r w:rsidR="00D46F67">
        <w:t>,</w:t>
      </w:r>
      <w:r w:rsidR="00D94E0F">
        <w:t xml:space="preserve"> the </w:t>
      </w:r>
      <w:r w:rsidR="00D94E0F" w:rsidDel="00E33CBA">
        <w:t>medium</w:t>
      </w:r>
      <w:r w:rsidR="00E33CBA">
        <w:t>-</w:t>
      </w:r>
      <w:r w:rsidR="00D94E0F">
        <w:t xml:space="preserve">density cities of Perth, Adelaide and Newcastle </w:t>
      </w:r>
      <w:r w:rsidR="00CD614A">
        <w:t xml:space="preserve">now </w:t>
      </w:r>
      <w:r w:rsidR="000478CC">
        <w:t xml:space="preserve">have </w:t>
      </w:r>
      <w:r w:rsidR="00CD614A">
        <w:t xml:space="preserve">similar </w:t>
      </w:r>
      <w:r w:rsidR="000478CC">
        <w:t xml:space="preserve">densities </w:t>
      </w:r>
      <w:r w:rsidR="00CD614A">
        <w:t xml:space="preserve">that cluster </w:t>
      </w:r>
      <w:r w:rsidR="00CD614A" w:rsidRPr="00236B17">
        <w:t>together</w:t>
      </w:r>
      <w:r w:rsidR="00CD614A">
        <w:t xml:space="preserve"> below the </w:t>
      </w:r>
      <w:r w:rsidR="00CD614A" w:rsidDel="006774D7">
        <w:t>high</w:t>
      </w:r>
      <w:r w:rsidR="006774D7">
        <w:t>-density</w:t>
      </w:r>
      <w:r w:rsidR="00CD614A">
        <w:t xml:space="preserve"> cities of Melbourne, Sydney and Brisbane (</w:t>
      </w:r>
      <w:r w:rsidR="003E1A4A">
        <w:t xml:space="preserve">see </w:t>
      </w:r>
      <w:r w:rsidR="00D46F67">
        <w:t>F</w:t>
      </w:r>
      <w:r w:rsidR="003E1A4A">
        <w:t xml:space="preserve">igure </w:t>
      </w:r>
      <w:r w:rsidR="00E2541A">
        <w:t>3</w:t>
      </w:r>
      <w:r w:rsidR="00411A5A">
        <w:t xml:space="preserve"> </w:t>
      </w:r>
      <w:r w:rsidR="003E1A4A">
        <w:t xml:space="preserve">below for proposed </w:t>
      </w:r>
      <w:r w:rsidR="00320D5E">
        <w:t xml:space="preserve">Adelaide and Perth </w:t>
      </w:r>
      <w:r w:rsidR="003E1A4A">
        <w:t>areas</w:t>
      </w:r>
      <w:r w:rsidR="00320D5E">
        <w:t xml:space="preserve">, and </w:t>
      </w:r>
      <w:r w:rsidR="00D46F67">
        <w:t>F</w:t>
      </w:r>
      <w:r w:rsidR="00320D5E">
        <w:t xml:space="preserve">igure </w:t>
      </w:r>
      <w:r w:rsidR="00E2541A">
        <w:t>4</w:t>
      </w:r>
      <w:r w:rsidR="00320D5E">
        <w:t xml:space="preserve"> for the new expected relative densities)</w:t>
      </w:r>
      <w:r w:rsidR="009C627A">
        <w:t>.</w:t>
      </w:r>
    </w:p>
    <w:p w14:paraId="40202D47" w14:textId="0D54A071" w:rsidR="0098694B" w:rsidRDefault="000F630D" w:rsidP="006040D1">
      <w:pPr>
        <w:pStyle w:val="Bulletlevel1last"/>
      </w:pPr>
      <w:r>
        <w:t>Publi</w:t>
      </w:r>
      <w:r w:rsidR="000B0BF0">
        <w:t xml:space="preserve">sh the </w:t>
      </w:r>
      <w:r w:rsidR="00831D4F">
        <w:t xml:space="preserve">population density and assignment density </w:t>
      </w:r>
      <w:r>
        <w:t xml:space="preserve">metrics </w:t>
      </w:r>
      <w:r w:rsidR="000B0BF0">
        <w:t xml:space="preserve">that we </w:t>
      </w:r>
      <w:r>
        <w:t>use to classify geographic areas</w:t>
      </w:r>
      <w:r w:rsidR="00831D4F">
        <w:t>.</w:t>
      </w:r>
      <w:r w:rsidR="00EE4BC1">
        <w:t xml:space="preserve"> These metrics are intended to provide transparency </w:t>
      </w:r>
      <w:r w:rsidR="007E1F0A">
        <w:t>of</w:t>
      </w:r>
      <w:r w:rsidR="00EE4BC1">
        <w:t xml:space="preserve"> </w:t>
      </w:r>
      <w:r w:rsidR="00BD7407">
        <w:t>the density area</w:t>
      </w:r>
      <w:r w:rsidR="007E1F0A">
        <w:t xml:space="preserve"> definitions,</w:t>
      </w:r>
      <w:r w:rsidR="00BD7407">
        <w:t xml:space="preserve"> </w:t>
      </w:r>
      <w:r w:rsidR="00F16BA6">
        <w:t xml:space="preserve">and a basis for potential future changes. </w:t>
      </w:r>
    </w:p>
    <w:p w14:paraId="323F3EF3" w14:textId="68D6EFAC" w:rsidR="007F5106" w:rsidRPr="00D83486" w:rsidRDefault="009D61D9" w:rsidP="00064BF9">
      <w:pPr>
        <w:pStyle w:val="Figureheading"/>
      </w:pPr>
      <w:r>
        <w:lastRenderedPageBreak/>
        <w:t xml:space="preserve">Proposed boundaries for Adelaide and Perth </w:t>
      </w:r>
      <w:r w:rsidR="00236B17">
        <w:br/>
      </w:r>
      <w:r>
        <w:t xml:space="preserve">(classified as </w:t>
      </w:r>
      <w:r w:rsidDel="00E33CBA">
        <w:t>medium</w:t>
      </w:r>
      <w:r w:rsidR="00E33CBA">
        <w:t>-</w:t>
      </w:r>
      <w:r>
        <w:t>density areas)</w:t>
      </w:r>
    </w:p>
    <w:p w14:paraId="5EF716EB" w14:textId="4E82059E" w:rsidR="00FD11DB" w:rsidRDefault="007F5106" w:rsidP="008C2E80">
      <w:r>
        <w:rPr>
          <w:noProof/>
        </w:rPr>
        <w:drawing>
          <wp:inline distT="0" distB="0" distL="0" distR="0" wp14:anchorId="6D1E5337" wp14:editId="1F6DC684">
            <wp:extent cx="4265930" cy="2750185"/>
            <wp:effectExtent l="0" t="0" r="1270" b="0"/>
            <wp:docPr id="7" name="Picture 7" descr="Figure 3: Proposed boundaries for Adelaide and Perth &#10;(classified as medium-density areas)&#10;"/>
            <wp:cNvGraphicFramePr/>
            <a:graphic xmlns:a="http://schemas.openxmlformats.org/drawingml/2006/main">
              <a:graphicData uri="http://schemas.openxmlformats.org/drawingml/2006/picture">
                <pic:pic xmlns:pic="http://schemas.openxmlformats.org/drawingml/2006/picture">
                  <pic:nvPicPr>
                    <pic:cNvPr id="7" name="Picture 7" descr="Figure 3: Proposed boundaries for Adelaide and Perth &#10;(classified as medium-density areas)&#10;"/>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65930" cy="2750185"/>
                    </a:xfrm>
                    <a:prstGeom prst="rect">
                      <a:avLst/>
                    </a:prstGeom>
                    <a:noFill/>
                    <a:ln>
                      <a:noFill/>
                    </a:ln>
                  </pic:spPr>
                </pic:pic>
              </a:graphicData>
            </a:graphic>
          </wp:inline>
        </w:drawing>
      </w:r>
    </w:p>
    <w:p w14:paraId="0079F0CD" w14:textId="6283523F" w:rsidR="00706A7C" w:rsidRDefault="00FD11DB" w:rsidP="00706A7C">
      <w:pPr>
        <w:pStyle w:val="Figureheading"/>
      </w:pPr>
      <w:r>
        <w:t>Proposed t</w:t>
      </w:r>
      <w:r w:rsidR="00706A7C">
        <w:t>ransmitter and population density</w:t>
      </w:r>
    </w:p>
    <w:p w14:paraId="1742A5DA" w14:textId="1211EEB2" w:rsidR="000775EB" w:rsidRDefault="007D3E03" w:rsidP="008C2E80">
      <w:r>
        <w:rPr>
          <w:noProof/>
        </w:rPr>
        <w:drawing>
          <wp:inline distT="0" distB="0" distL="0" distR="0" wp14:anchorId="32C7CA44" wp14:editId="3792CD5E">
            <wp:extent cx="3349792" cy="3142047"/>
            <wp:effectExtent l="19050" t="19050" r="22225" b="20320"/>
            <wp:docPr id="5" name="Picture 5" descr="Figure 4: Proposed transmitter and population density"/>
            <wp:cNvGraphicFramePr/>
            <a:graphic xmlns:a="http://schemas.openxmlformats.org/drawingml/2006/main">
              <a:graphicData uri="http://schemas.openxmlformats.org/drawingml/2006/picture">
                <pic:pic xmlns:pic="http://schemas.openxmlformats.org/drawingml/2006/picture">
                  <pic:nvPicPr>
                    <pic:cNvPr id="5" name="Picture 5" descr="Figure 4: Proposed transmitter and population density"/>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357095" cy="3148897"/>
                    </a:xfrm>
                    <a:prstGeom prst="rect">
                      <a:avLst/>
                    </a:prstGeom>
                    <a:noFill/>
                    <a:ln>
                      <a:solidFill>
                        <a:schemeClr val="tx1"/>
                      </a:solidFill>
                    </a:ln>
                  </pic:spPr>
                </pic:pic>
              </a:graphicData>
            </a:graphic>
          </wp:inline>
        </w:drawing>
      </w:r>
    </w:p>
    <w:p w14:paraId="1E06A78C" w14:textId="5CDB373F" w:rsidR="00D34603" w:rsidRDefault="00BB7B55" w:rsidP="006040D1">
      <w:pPr>
        <w:pStyle w:val="Paragraphbeforelist"/>
      </w:pPr>
      <w:r>
        <w:t>The ACMA proposes to classify geographic areas using the following metrics for population density and assignment density</w:t>
      </w:r>
      <w:r w:rsidR="00236B17">
        <w:t xml:space="preserve">: </w:t>
      </w:r>
    </w:p>
    <w:p w14:paraId="1D5FF1EC" w14:textId="13BCAFDD" w:rsidR="00D34603" w:rsidRDefault="00C65BD7" w:rsidP="00D34603">
      <w:pPr>
        <w:pStyle w:val="Bulletlevel1"/>
      </w:pPr>
      <w:r>
        <w:t>High-</w:t>
      </w:r>
      <w:r w:rsidR="00BB7B55">
        <w:t>density areas are defined as an area with a population density of greater than 220 people per square km and an assignment density of greater than 70 per square km</w:t>
      </w:r>
      <w:r w:rsidR="00FA59BC">
        <w:t xml:space="preserve"> (red quadrant in Figure 4)</w:t>
      </w:r>
      <w:r w:rsidR="00BB7B55">
        <w:t xml:space="preserve">. </w:t>
      </w:r>
    </w:p>
    <w:p w14:paraId="55C1E7B7" w14:textId="4EF1E746" w:rsidR="00D34603" w:rsidRDefault="00C65BD7" w:rsidP="00D34603">
      <w:pPr>
        <w:pStyle w:val="Bulletlevel1"/>
      </w:pPr>
      <w:r>
        <w:t>Medium-</w:t>
      </w:r>
      <w:r w:rsidR="00BB7B55">
        <w:t xml:space="preserve">density areas are defined as an area with a population density greater than 70 people per square km and an assignment density of greater than 30 per square km, that does not meet the definition of a </w:t>
      </w:r>
      <w:r w:rsidR="005D6A48">
        <w:t>high-density</w:t>
      </w:r>
      <w:r w:rsidR="00BB7B55">
        <w:t xml:space="preserve"> area</w:t>
      </w:r>
      <w:r w:rsidR="00FA59BC">
        <w:t xml:space="preserve"> (blue </w:t>
      </w:r>
      <w:r w:rsidR="001F6922">
        <w:t xml:space="preserve">area </w:t>
      </w:r>
      <w:r w:rsidR="00FA59BC">
        <w:t>in Figure 4)</w:t>
      </w:r>
      <w:r w:rsidR="00BB7B55">
        <w:t xml:space="preserve">. </w:t>
      </w:r>
    </w:p>
    <w:p w14:paraId="499460B3" w14:textId="60E36246" w:rsidR="00D34603" w:rsidRDefault="00BB7B55" w:rsidP="00D34603">
      <w:pPr>
        <w:pStyle w:val="Bulletlevel1"/>
      </w:pPr>
      <w:r>
        <w:t>Low</w:t>
      </w:r>
      <w:r w:rsidR="005D6A48">
        <w:t>-</w:t>
      </w:r>
      <w:r>
        <w:t>density areas are defined as an area with a population density greater than 2</w:t>
      </w:r>
      <w:r w:rsidR="00173308">
        <w:t> </w:t>
      </w:r>
      <w:r>
        <w:t xml:space="preserve">people per square km and an assignment density of greater than 2 per square </w:t>
      </w:r>
      <w:r>
        <w:lastRenderedPageBreak/>
        <w:t xml:space="preserve">km, that does not meet the definition of either medium or </w:t>
      </w:r>
      <w:r w:rsidR="005D6A48">
        <w:t>high-density</w:t>
      </w:r>
      <w:r>
        <w:t xml:space="preserve"> area</w:t>
      </w:r>
      <w:r w:rsidR="00A1084F">
        <w:t xml:space="preserve"> (green </w:t>
      </w:r>
      <w:r w:rsidR="001F6922">
        <w:t xml:space="preserve">area </w:t>
      </w:r>
      <w:r w:rsidR="00A1084F">
        <w:t>in Figure 4)</w:t>
      </w:r>
      <w:r>
        <w:t xml:space="preserve">. </w:t>
      </w:r>
    </w:p>
    <w:p w14:paraId="62EB45FB" w14:textId="79BA583C" w:rsidR="00BB7B55" w:rsidRDefault="00C65BD7" w:rsidP="006040D1">
      <w:pPr>
        <w:pStyle w:val="Bulletlevel1last"/>
      </w:pPr>
      <w:r>
        <w:t>Remote-</w:t>
      </w:r>
      <w:r w:rsidR="00BB7B55">
        <w:t xml:space="preserve">density areas are defined as areas that do not meet the definition of low, medium, or </w:t>
      </w:r>
      <w:r w:rsidR="005D6A48">
        <w:t>high-density</w:t>
      </w:r>
      <w:r w:rsidR="00BB7B55">
        <w:t xml:space="preserve"> areas</w:t>
      </w:r>
      <w:r w:rsidR="00A1084F">
        <w:t xml:space="preserve"> (</w:t>
      </w:r>
      <w:r w:rsidR="006F5427">
        <w:t xml:space="preserve">small </w:t>
      </w:r>
      <w:r w:rsidR="00A1084F">
        <w:t xml:space="preserve">orange </w:t>
      </w:r>
      <w:r w:rsidR="001F6922">
        <w:t xml:space="preserve">area </w:t>
      </w:r>
      <w:r w:rsidR="006F5427">
        <w:t>in the lower part of</w:t>
      </w:r>
      <w:r w:rsidR="00A1084F">
        <w:t xml:space="preserve"> Figure 4)</w:t>
      </w:r>
      <w:r w:rsidR="00BB7B55">
        <w:t>.</w:t>
      </w:r>
    </w:p>
    <w:p w14:paraId="2AC5579A" w14:textId="7542D17D" w:rsidR="0089712C" w:rsidRDefault="00EB4C93" w:rsidP="006F3A52">
      <w:r>
        <w:t xml:space="preserve">The proposed Perth and Adelaide boundaries are expected to </w:t>
      </w:r>
      <w:r w:rsidR="00D34603">
        <w:t xml:space="preserve">cover </w:t>
      </w:r>
      <w:r w:rsidR="00443B10">
        <w:t>1,</w:t>
      </w:r>
      <w:r w:rsidR="00A82E3E">
        <w:t>72</w:t>
      </w:r>
      <w:r w:rsidR="00443B10">
        <w:t xml:space="preserve">9 </w:t>
      </w:r>
      <w:r>
        <w:t xml:space="preserve">licences </w:t>
      </w:r>
      <w:r w:rsidR="005055BC">
        <w:t xml:space="preserve">owned by </w:t>
      </w:r>
      <w:r w:rsidR="00024623">
        <w:t xml:space="preserve">160 </w:t>
      </w:r>
      <w:r w:rsidR="005055BC">
        <w:t xml:space="preserve">licensees </w:t>
      </w:r>
      <w:r>
        <w:t xml:space="preserve">that </w:t>
      </w:r>
      <w:r w:rsidR="00055887">
        <w:t xml:space="preserve">are currently in </w:t>
      </w:r>
      <w:r w:rsidR="00055887" w:rsidDel="00C65BD7">
        <w:t>low</w:t>
      </w:r>
      <w:r w:rsidR="00C65BD7">
        <w:t>-</w:t>
      </w:r>
      <w:r w:rsidR="00055887">
        <w:t xml:space="preserve">density areas. </w:t>
      </w:r>
      <w:r w:rsidR="005C065C">
        <w:t>As a result of the propose</w:t>
      </w:r>
      <w:r w:rsidR="00735027">
        <w:t>d</w:t>
      </w:r>
      <w:r w:rsidR="005C065C">
        <w:t xml:space="preserve"> boundaries</w:t>
      </w:r>
      <w:r w:rsidR="00173308">
        <w:t>,</w:t>
      </w:r>
      <w:r w:rsidR="005C065C">
        <w:t xml:space="preserve"> t</w:t>
      </w:r>
      <w:r w:rsidR="00A228EB">
        <w:t xml:space="preserve">hese licences </w:t>
      </w:r>
      <w:r w:rsidR="004648A2">
        <w:t>are expected</w:t>
      </w:r>
      <w:r w:rsidR="002C0B62">
        <w:t xml:space="preserve"> to face</w:t>
      </w:r>
      <w:r w:rsidR="001618A5">
        <w:t xml:space="preserve"> annual</w:t>
      </w:r>
      <w:r w:rsidR="002C0B62">
        <w:t xml:space="preserve"> </w:t>
      </w:r>
      <w:r w:rsidR="004648A2">
        <w:t xml:space="preserve">tax increases </w:t>
      </w:r>
      <w:r w:rsidR="002C0B62">
        <w:t xml:space="preserve">(due to facing </w:t>
      </w:r>
      <w:r w:rsidR="002C0B62" w:rsidDel="00C65BD7">
        <w:t>medium</w:t>
      </w:r>
      <w:r w:rsidR="00C65BD7">
        <w:t>-</w:t>
      </w:r>
      <w:r w:rsidR="002C0B62">
        <w:t xml:space="preserve">density area taxes) </w:t>
      </w:r>
      <w:r w:rsidR="004648A2">
        <w:t xml:space="preserve">of </w:t>
      </w:r>
      <w:r w:rsidR="004441C5">
        <w:t xml:space="preserve">around </w:t>
      </w:r>
      <w:r w:rsidR="0089712C" w:rsidRPr="0089712C">
        <w:t>$</w:t>
      </w:r>
      <w:r w:rsidR="00A05C5E">
        <w:t>459</w:t>
      </w:r>
      <w:r w:rsidR="0089712C" w:rsidRPr="0089712C">
        <w:t>.</w:t>
      </w:r>
    </w:p>
    <w:p w14:paraId="632897B1" w14:textId="2B95AA4C" w:rsidR="001E02CE" w:rsidRDefault="003740F5" w:rsidP="006F3A52">
      <w:r>
        <w:t xml:space="preserve">The ACMA believes that these proposed changes provide a logical framework for the density areas, but we acknowledge that </w:t>
      </w:r>
      <w:r w:rsidR="000B0A34">
        <w:t xml:space="preserve">this is complex and </w:t>
      </w:r>
      <w:r w:rsidR="00671EF7">
        <w:t xml:space="preserve">may </w:t>
      </w:r>
      <w:r w:rsidR="00C910F5">
        <w:t xml:space="preserve">not </w:t>
      </w:r>
      <w:r w:rsidR="007C7F8C">
        <w:t xml:space="preserve">fully </w:t>
      </w:r>
      <w:r w:rsidR="008620EA">
        <w:t xml:space="preserve">account for </w:t>
      </w:r>
      <w:r w:rsidR="00671EF7" w:rsidRPr="00671EF7">
        <w:t>potential spectrum denial of services which can be influenced by different technologies, geography and topography. As such</w:t>
      </w:r>
      <w:r w:rsidR="00151FF0">
        <w:t>,</w:t>
      </w:r>
      <w:r w:rsidR="00671EF7" w:rsidRPr="00671EF7">
        <w:t xml:space="preserve"> it is difficult to have a completely formulaic approach to </w:t>
      </w:r>
      <w:r w:rsidR="00151FF0">
        <w:t xml:space="preserve">the </w:t>
      </w:r>
      <w:r w:rsidR="00671EF7" w:rsidRPr="00671EF7">
        <w:t>setting of geographic areas.</w:t>
      </w:r>
      <w:r w:rsidR="00B37782">
        <w:t xml:space="preserve"> </w:t>
      </w:r>
    </w:p>
    <w:p w14:paraId="521C7D97" w14:textId="5609A478" w:rsidR="001E02CE" w:rsidRDefault="001E02CE" w:rsidP="001E02CE">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Question </w:t>
      </w:r>
      <w:r w:rsidR="002E2DEF">
        <w:t>6</w:t>
      </w:r>
    </w:p>
    <w:p w14:paraId="2A0AECEA" w14:textId="7CD7F2B3" w:rsidR="001E02CE" w:rsidRDefault="001E02CE" w:rsidP="001E02CE">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rsidRPr="00757939">
        <w:t xml:space="preserve">Do you have any comments on the </w:t>
      </w:r>
      <w:r w:rsidR="008E1DC9">
        <w:t xml:space="preserve">density area framework, proposed density area definitions, </w:t>
      </w:r>
      <w:r w:rsidR="00A71AB2">
        <w:t>or</w:t>
      </w:r>
      <w:r w:rsidR="008E1DC9">
        <w:t xml:space="preserve"> </w:t>
      </w:r>
      <w:r w:rsidRPr="00757939">
        <w:t>propos</w:t>
      </w:r>
      <w:r>
        <w:t xml:space="preserve">ed changes to the </w:t>
      </w:r>
      <w:r w:rsidR="002D7DED">
        <w:t xml:space="preserve">Perth and Adelaide </w:t>
      </w:r>
      <w:r w:rsidR="0013021B" w:rsidDel="008835EE">
        <w:t>medium</w:t>
      </w:r>
      <w:r w:rsidR="008835EE">
        <w:t>-</w:t>
      </w:r>
      <w:r w:rsidR="0013021B">
        <w:t>density areas</w:t>
      </w:r>
      <w:r w:rsidRPr="00757939">
        <w:t>?</w:t>
      </w:r>
    </w:p>
    <w:p w14:paraId="4F693E2D" w14:textId="77777777" w:rsidR="001E02CE" w:rsidRDefault="001E02CE" w:rsidP="006F3A52"/>
    <w:p w14:paraId="4CBEABB5" w14:textId="1063BB33" w:rsidR="00550E16" w:rsidRPr="00C35CCE" w:rsidRDefault="008653B6" w:rsidP="00550E16">
      <w:pPr>
        <w:pStyle w:val="Heading1"/>
      </w:pPr>
      <w:bookmarkStart w:id="14" w:name="_Toc86153499"/>
      <w:r>
        <w:lastRenderedPageBreak/>
        <w:t xml:space="preserve">Proposal for </w:t>
      </w:r>
      <w:r w:rsidR="00EE46E6">
        <w:t>re</w:t>
      </w:r>
      <w:r w:rsidR="00DF4453">
        <w:t xml:space="preserve">duced </w:t>
      </w:r>
      <w:r w:rsidR="00411447">
        <w:t>tax rates for HPON</w:t>
      </w:r>
      <w:r w:rsidR="000E207F">
        <w:t xml:space="preserve"> </w:t>
      </w:r>
      <w:r w:rsidR="002E2DEF">
        <w:t>licences</w:t>
      </w:r>
      <w:bookmarkEnd w:id="14"/>
    </w:p>
    <w:p w14:paraId="4AC532AB" w14:textId="55A3D8D1" w:rsidR="00B51853" w:rsidRDefault="002E2DEF" w:rsidP="00B51853">
      <w:pPr>
        <w:rPr>
          <w:rFonts w:cs="Arial"/>
        </w:rPr>
      </w:pPr>
      <w:r>
        <w:rPr>
          <w:rFonts w:cs="Arial"/>
        </w:rPr>
        <w:t xml:space="preserve">Most </w:t>
      </w:r>
      <w:r w:rsidR="00B51853">
        <w:rPr>
          <w:rFonts w:cs="Arial"/>
        </w:rPr>
        <w:t>HPON</w:t>
      </w:r>
      <w:r w:rsidR="00B51853" w:rsidDel="002E2DEF">
        <w:rPr>
          <w:rFonts w:cs="Arial"/>
        </w:rPr>
        <w:t xml:space="preserve"> </w:t>
      </w:r>
      <w:r>
        <w:rPr>
          <w:rFonts w:cs="Arial"/>
        </w:rPr>
        <w:t xml:space="preserve">licences </w:t>
      </w:r>
      <w:r w:rsidR="00B51853">
        <w:rPr>
          <w:rFonts w:cs="Arial"/>
        </w:rPr>
        <w:t>are currently subject to fixed tax rate</w:t>
      </w:r>
      <w:r w:rsidR="004E5F1D">
        <w:rPr>
          <w:rFonts w:cs="Arial"/>
        </w:rPr>
        <w:t>s</w:t>
      </w:r>
      <w:r w:rsidR="00B51853">
        <w:rPr>
          <w:rFonts w:cs="Arial"/>
        </w:rPr>
        <w:t xml:space="preserve"> </w:t>
      </w:r>
      <w:r w:rsidR="00350C6D">
        <w:rPr>
          <w:rFonts w:cs="Arial"/>
        </w:rPr>
        <w:t>depending on where the HPON is located</w:t>
      </w:r>
      <w:r w:rsidR="00B51853">
        <w:rPr>
          <w:rFonts w:cs="Arial"/>
        </w:rPr>
        <w:t xml:space="preserve">. </w:t>
      </w:r>
      <w:r w:rsidR="00234AE1">
        <w:rPr>
          <w:rFonts w:cs="Arial"/>
        </w:rPr>
        <w:t xml:space="preserve">The ACMA </w:t>
      </w:r>
      <w:r w:rsidR="00B27ECA">
        <w:rPr>
          <w:rFonts w:cs="Arial"/>
        </w:rPr>
        <w:t xml:space="preserve">has </w:t>
      </w:r>
      <w:r w:rsidR="00BA39E3">
        <w:rPr>
          <w:rFonts w:cs="Arial"/>
        </w:rPr>
        <w:t>adjust</w:t>
      </w:r>
      <w:r w:rsidR="00B27ECA">
        <w:rPr>
          <w:rFonts w:cs="Arial"/>
        </w:rPr>
        <w:t>ed</w:t>
      </w:r>
      <w:r w:rsidR="00BA39E3">
        <w:rPr>
          <w:rFonts w:cs="Arial"/>
        </w:rPr>
        <w:t xml:space="preserve"> </w:t>
      </w:r>
      <w:r w:rsidR="00B51853">
        <w:rPr>
          <w:rFonts w:cs="Arial"/>
        </w:rPr>
        <w:t xml:space="preserve">tax rates annually in line with </w:t>
      </w:r>
      <w:r w:rsidR="009A3043">
        <w:rPr>
          <w:rFonts w:cs="Arial"/>
        </w:rPr>
        <w:t xml:space="preserve">the </w:t>
      </w:r>
      <w:r w:rsidR="00B51853">
        <w:rPr>
          <w:rFonts w:cs="Arial"/>
        </w:rPr>
        <w:t>CPI and appl</w:t>
      </w:r>
      <w:r w:rsidR="00BA39E3">
        <w:rPr>
          <w:rFonts w:cs="Arial"/>
        </w:rPr>
        <w:t>ies</w:t>
      </w:r>
      <w:r w:rsidR="00B51853">
        <w:rPr>
          <w:rFonts w:cs="Arial"/>
        </w:rPr>
        <w:t xml:space="preserve"> the same tax rate regardless of whether services are FM or AM.</w:t>
      </w:r>
    </w:p>
    <w:p w14:paraId="7E76DAAC" w14:textId="4AB16447" w:rsidR="00810B10" w:rsidRDefault="00810B10" w:rsidP="00810B10">
      <w:pPr>
        <w:rPr>
          <w:rFonts w:cs="Arial"/>
        </w:rPr>
      </w:pPr>
      <w:r>
        <w:rPr>
          <w:rFonts w:cs="Arial"/>
        </w:rPr>
        <w:t xml:space="preserve">Several submissions received </w:t>
      </w:r>
      <w:r w:rsidR="0080460A">
        <w:rPr>
          <w:rFonts w:cs="Arial"/>
        </w:rPr>
        <w:t xml:space="preserve">in previous </w:t>
      </w:r>
      <w:r w:rsidR="00B27ECA">
        <w:rPr>
          <w:rFonts w:cs="Arial"/>
        </w:rPr>
        <w:t>SPR</w:t>
      </w:r>
      <w:r>
        <w:rPr>
          <w:rFonts w:cs="Arial"/>
        </w:rPr>
        <w:t xml:space="preserve"> </w:t>
      </w:r>
      <w:r w:rsidR="0080460A">
        <w:rPr>
          <w:rFonts w:cs="Arial"/>
        </w:rPr>
        <w:t xml:space="preserve">consultation </w:t>
      </w:r>
      <w:r>
        <w:rPr>
          <w:rFonts w:cs="Arial"/>
        </w:rPr>
        <w:t>process</w:t>
      </w:r>
      <w:r w:rsidR="0080460A">
        <w:rPr>
          <w:rFonts w:cs="Arial"/>
        </w:rPr>
        <w:t>es</w:t>
      </w:r>
      <w:r>
        <w:rPr>
          <w:rFonts w:cs="Arial"/>
        </w:rPr>
        <w:t xml:space="preserve"> commented on the discrepancy in tax rates between HPON </w:t>
      </w:r>
      <w:r w:rsidR="00B27ECA">
        <w:rPr>
          <w:rFonts w:cs="Arial"/>
        </w:rPr>
        <w:t xml:space="preserve">licence </w:t>
      </w:r>
      <w:r>
        <w:rPr>
          <w:rFonts w:cs="Arial"/>
        </w:rPr>
        <w:t xml:space="preserve">and comparable commercial </w:t>
      </w:r>
      <w:r w:rsidR="00B27ECA">
        <w:rPr>
          <w:rFonts w:cs="Arial"/>
        </w:rPr>
        <w:t xml:space="preserve">broadcasting </w:t>
      </w:r>
      <w:r>
        <w:rPr>
          <w:rFonts w:cs="Arial"/>
        </w:rPr>
        <w:t>services</w:t>
      </w:r>
      <w:r w:rsidR="009F4EC3">
        <w:rPr>
          <w:rStyle w:val="FootnoteReference"/>
          <w:rFonts w:cs="Arial"/>
        </w:rPr>
        <w:footnoteReference w:id="5"/>
      </w:r>
      <w:r>
        <w:rPr>
          <w:rFonts w:cs="Arial"/>
        </w:rPr>
        <w:t xml:space="preserve"> using similar spectrum. One of the key recommendations of the </w:t>
      </w:r>
      <w:r w:rsidR="00B27ECA">
        <w:rPr>
          <w:rFonts w:cs="Arial"/>
        </w:rPr>
        <w:t>SPR</w:t>
      </w:r>
      <w:r>
        <w:rPr>
          <w:rFonts w:cs="Arial"/>
        </w:rPr>
        <w:t xml:space="preserve"> was </w:t>
      </w:r>
      <w:r w:rsidR="00B27ECA">
        <w:rPr>
          <w:rFonts w:cs="Arial"/>
        </w:rPr>
        <w:t xml:space="preserve">that </w:t>
      </w:r>
      <w:r>
        <w:rPr>
          <w:rFonts w:cs="Arial"/>
        </w:rPr>
        <w:t xml:space="preserve">those services using similar spectrum should be charged a similar tax rate. Current HPON </w:t>
      </w:r>
      <w:r w:rsidR="00B27ECA">
        <w:rPr>
          <w:rFonts w:cs="Arial"/>
        </w:rPr>
        <w:t xml:space="preserve">licence </w:t>
      </w:r>
      <w:r>
        <w:rPr>
          <w:rFonts w:cs="Arial"/>
        </w:rPr>
        <w:t>tax</w:t>
      </w:r>
      <w:r w:rsidR="00B27ECA">
        <w:rPr>
          <w:rFonts w:cs="Arial"/>
        </w:rPr>
        <w:t xml:space="preserve"> rat</w:t>
      </w:r>
      <w:r>
        <w:rPr>
          <w:rFonts w:cs="Arial"/>
        </w:rPr>
        <w:t>es</w:t>
      </w:r>
      <w:r w:rsidR="00B27ECA">
        <w:rPr>
          <w:rFonts w:cs="Arial"/>
        </w:rPr>
        <w:t xml:space="preserve"> are set out</w:t>
      </w:r>
      <w:r>
        <w:rPr>
          <w:rFonts w:cs="Arial"/>
        </w:rPr>
        <w:t xml:space="preserve"> </w:t>
      </w:r>
      <w:r w:rsidR="00725556">
        <w:rPr>
          <w:rFonts w:cs="Arial"/>
        </w:rPr>
        <w:t xml:space="preserve">in </w:t>
      </w:r>
      <w:r w:rsidR="00B27ECA">
        <w:rPr>
          <w:rFonts w:cs="Arial"/>
        </w:rPr>
        <w:t>T</w:t>
      </w:r>
      <w:r w:rsidR="00725556">
        <w:rPr>
          <w:rFonts w:cs="Arial"/>
        </w:rPr>
        <w:t xml:space="preserve">able </w:t>
      </w:r>
      <w:r w:rsidR="009F4EC3">
        <w:rPr>
          <w:rFonts w:cs="Arial"/>
        </w:rPr>
        <w:t>6</w:t>
      </w:r>
      <w:r w:rsidR="00725556">
        <w:rPr>
          <w:rFonts w:cs="Arial"/>
        </w:rPr>
        <w:t xml:space="preserve"> </w:t>
      </w:r>
      <w:r>
        <w:rPr>
          <w:rFonts w:cs="Arial"/>
        </w:rPr>
        <w:t xml:space="preserve">below </w:t>
      </w:r>
      <w:r w:rsidR="009F4EC3">
        <w:rPr>
          <w:rFonts w:cs="Arial"/>
        </w:rPr>
        <w:t xml:space="preserve">and </w:t>
      </w:r>
      <w:r>
        <w:rPr>
          <w:rFonts w:cs="Arial"/>
        </w:rPr>
        <w:t xml:space="preserve">are, at times, orders of magnitude higher than those charged </w:t>
      </w:r>
      <w:r w:rsidR="009F4EC3">
        <w:rPr>
          <w:rFonts w:cs="Arial"/>
        </w:rPr>
        <w:t>in relation to commercial broadcasting services</w:t>
      </w:r>
      <w:r>
        <w:rPr>
          <w:rFonts w:cs="Arial"/>
        </w:rPr>
        <w:t xml:space="preserve">. </w:t>
      </w:r>
    </w:p>
    <w:p w14:paraId="2F521F4E" w14:textId="1CF8E16C" w:rsidR="00725556" w:rsidRDefault="00280F2F" w:rsidP="00725556">
      <w:pPr>
        <w:pStyle w:val="Tableheading"/>
      </w:pPr>
      <w:r>
        <w:t>Current HPON taxes</w:t>
      </w:r>
    </w:p>
    <w:tbl>
      <w:tblPr>
        <w:tblStyle w:val="ACMAtablestyle"/>
        <w:tblW w:w="3251" w:type="dxa"/>
        <w:tblCellMar>
          <w:top w:w="57" w:type="dxa"/>
          <w:bottom w:w="57" w:type="dxa"/>
        </w:tblCellMar>
        <w:tblLook w:val="04A0" w:firstRow="1" w:lastRow="0" w:firstColumn="1" w:lastColumn="0" w:noHBand="0" w:noVBand="1"/>
      </w:tblPr>
      <w:tblGrid>
        <w:gridCol w:w="1896"/>
        <w:gridCol w:w="1355"/>
      </w:tblGrid>
      <w:tr w:rsidR="00725556" w14:paraId="0C1E2951" w14:textId="77777777" w:rsidTr="006040D1">
        <w:trPr>
          <w:cnfStyle w:val="100000000000" w:firstRow="1" w:lastRow="0" w:firstColumn="0" w:lastColumn="0" w:oddVBand="0" w:evenVBand="0" w:oddHBand="0" w:evenHBand="0" w:firstRowFirstColumn="0" w:firstRowLastColumn="0" w:lastRowFirstColumn="0" w:lastRowLastColumn="0"/>
          <w:trHeight w:val="270"/>
        </w:trPr>
        <w:tc>
          <w:tcPr>
            <w:tcW w:w="0" w:type="dxa"/>
            <w:noWrap/>
            <w:hideMark/>
          </w:tcPr>
          <w:p w14:paraId="36456570" w14:textId="77777777" w:rsidR="00725556" w:rsidRDefault="00725556" w:rsidP="006040D1">
            <w:pPr>
              <w:spacing w:after="0" w:line="240" w:lineRule="auto"/>
              <w:jc w:val="center"/>
              <w:rPr>
                <w:rFonts w:cs="Arial"/>
                <w:b/>
                <w:bCs/>
                <w:color w:val="FFFFFF"/>
              </w:rPr>
            </w:pPr>
            <w:r>
              <w:rPr>
                <w:rFonts w:cs="Arial"/>
                <w:b/>
                <w:bCs/>
                <w:color w:val="FFFFFF"/>
              </w:rPr>
              <w:t>Location</w:t>
            </w:r>
          </w:p>
        </w:tc>
        <w:tc>
          <w:tcPr>
            <w:tcW w:w="0" w:type="dxa"/>
            <w:noWrap/>
            <w:hideMark/>
          </w:tcPr>
          <w:p w14:paraId="1F514704" w14:textId="61F8457C" w:rsidR="00725556" w:rsidRDefault="00725556" w:rsidP="006040D1">
            <w:pPr>
              <w:spacing w:after="0" w:line="240" w:lineRule="auto"/>
              <w:jc w:val="center"/>
              <w:rPr>
                <w:rFonts w:cs="Arial"/>
                <w:b/>
                <w:bCs/>
                <w:color w:val="FFFFFF"/>
              </w:rPr>
            </w:pPr>
            <w:r>
              <w:rPr>
                <w:rFonts w:cs="Arial"/>
                <w:b/>
                <w:bCs/>
                <w:color w:val="FFFFFF"/>
              </w:rPr>
              <w:t>HPON</w:t>
            </w:r>
            <w:r w:rsidR="0039351E">
              <w:rPr>
                <w:rFonts w:cs="Arial"/>
                <w:b/>
                <w:bCs/>
                <w:color w:val="FFFFFF"/>
              </w:rPr>
              <w:t xml:space="preserve"> t</w:t>
            </w:r>
            <w:r>
              <w:rPr>
                <w:rFonts w:cs="Arial"/>
                <w:b/>
                <w:bCs/>
                <w:color w:val="FFFFFF"/>
              </w:rPr>
              <w:t>ax</w:t>
            </w:r>
          </w:p>
        </w:tc>
      </w:tr>
      <w:tr w:rsidR="00725556" w14:paraId="73C8525D" w14:textId="77777777" w:rsidTr="006040D1">
        <w:trPr>
          <w:cnfStyle w:val="000000100000" w:firstRow="0" w:lastRow="0" w:firstColumn="0" w:lastColumn="0" w:oddVBand="0" w:evenVBand="0" w:oddHBand="1" w:evenHBand="0" w:firstRowFirstColumn="0" w:firstRowLastColumn="0" w:lastRowFirstColumn="0" w:lastRowLastColumn="0"/>
          <w:trHeight w:val="263"/>
        </w:trPr>
        <w:tc>
          <w:tcPr>
            <w:tcW w:w="0" w:type="dxa"/>
            <w:noWrap/>
            <w:hideMark/>
          </w:tcPr>
          <w:p w14:paraId="7C23B920" w14:textId="77777777" w:rsidR="00725556" w:rsidRDefault="00725556" w:rsidP="008A5614">
            <w:pPr>
              <w:spacing w:after="0" w:line="240" w:lineRule="auto"/>
              <w:rPr>
                <w:rFonts w:cs="Arial"/>
                <w:color w:val="000000"/>
              </w:rPr>
            </w:pPr>
            <w:r>
              <w:rPr>
                <w:rFonts w:cs="Arial"/>
                <w:color w:val="000000"/>
              </w:rPr>
              <w:t>Sydney</w:t>
            </w:r>
          </w:p>
        </w:tc>
        <w:tc>
          <w:tcPr>
            <w:tcW w:w="0" w:type="dxa"/>
            <w:noWrap/>
            <w:hideMark/>
          </w:tcPr>
          <w:p w14:paraId="01820361" w14:textId="0C8E9937" w:rsidR="00725556" w:rsidRDefault="00725556" w:rsidP="006040D1">
            <w:pPr>
              <w:spacing w:after="0" w:line="240" w:lineRule="auto"/>
              <w:jc w:val="center"/>
              <w:rPr>
                <w:rFonts w:cs="Arial"/>
                <w:color w:val="000000"/>
              </w:rPr>
            </w:pPr>
            <w:r>
              <w:rPr>
                <w:rFonts w:cs="Arial"/>
                <w:color w:val="000000"/>
              </w:rPr>
              <w:t>$41,134</w:t>
            </w:r>
          </w:p>
        </w:tc>
      </w:tr>
      <w:tr w:rsidR="00725556" w14:paraId="74AFDE9B" w14:textId="77777777" w:rsidTr="006040D1">
        <w:trPr>
          <w:cnfStyle w:val="000000010000" w:firstRow="0" w:lastRow="0" w:firstColumn="0" w:lastColumn="0" w:oddVBand="0" w:evenVBand="0" w:oddHBand="0" w:evenHBand="1" w:firstRowFirstColumn="0" w:firstRowLastColumn="0" w:lastRowFirstColumn="0" w:lastRowLastColumn="0"/>
          <w:trHeight w:val="263"/>
        </w:trPr>
        <w:tc>
          <w:tcPr>
            <w:tcW w:w="0" w:type="dxa"/>
            <w:noWrap/>
            <w:hideMark/>
          </w:tcPr>
          <w:p w14:paraId="670CA77B" w14:textId="77777777" w:rsidR="00725556" w:rsidRDefault="00725556" w:rsidP="008A5614">
            <w:pPr>
              <w:spacing w:after="0" w:line="240" w:lineRule="auto"/>
              <w:rPr>
                <w:rFonts w:cs="Arial"/>
                <w:color w:val="000000"/>
              </w:rPr>
            </w:pPr>
            <w:r>
              <w:rPr>
                <w:rFonts w:cs="Arial"/>
                <w:color w:val="000000"/>
              </w:rPr>
              <w:t>Melbourne</w:t>
            </w:r>
          </w:p>
        </w:tc>
        <w:tc>
          <w:tcPr>
            <w:tcW w:w="0" w:type="dxa"/>
            <w:noWrap/>
            <w:hideMark/>
          </w:tcPr>
          <w:p w14:paraId="6B81FC10" w14:textId="55988D6C" w:rsidR="00725556" w:rsidRDefault="00725556" w:rsidP="006040D1">
            <w:pPr>
              <w:spacing w:after="0" w:line="240" w:lineRule="auto"/>
              <w:jc w:val="center"/>
              <w:rPr>
                <w:rFonts w:cs="Arial"/>
                <w:color w:val="000000"/>
              </w:rPr>
            </w:pPr>
            <w:r>
              <w:rPr>
                <w:rFonts w:cs="Arial"/>
                <w:color w:val="000000"/>
              </w:rPr>
              <w:t>$41,134</w:t>
            </w:r>
          </w:p>
        </w:tc>
      </w:tr>
      <w:tr w:rsidR="00725556" w14:paraId="65C9D108" w14:textId="77777777" w:rsidTr="006040D1">
        <w:trPr>
          <w:cnfStyle w:val="000000100000" w:firstRow="0" w:lastRow="0" w:firstColumn="0" w:lastColumn="0" w:oddVBand="0" w:evenVBand="0" w:oddHBand="1" w:evenHBand="0" w:firstRowFirstColumn="0" w:firstRowLastColumn="0" w:lastRowFirstColumn="0" w:lastRowLastColumn="0"/>
          <w:trHeight w:val="263"/>
        </w:trPr>
        <w:tc>
          <w:tcPr>
            <w:tcW w:w="0" w:type="dxa"/>
            <w:noWrap/>
            <w:hideMark/>
          </w:tcPr>
          <w:p w14:paraId="19FBD69F" w14:textId="77777777" w:rsidR="00725556" w:rsidRDefault="00725556" w:rsidP="008A5614">
            <w:pPr>
              <w:spacing w:after="0" w:line="240" w:lineRule="auto"/>
              <w:rPr>
                <w:rFonts w:cs="Arial"/>
                <w:color w:val="000000"/>
              </w:rPr>
            </w:pPr>
            <w:r>
              <w:rPr>
                <w:rFonts w:cs="Arial"/>
                <w:color w:val="000000"/>
              </w:rPr>
              <w:t>Brisbane</w:t>
            </w:r>
          </w:p>
        </w:tc>
        <w:tc>
          <w:tcPr>
            <w:tcW w:w="0" w:type="dxa"/>
            <w:noWrap/>
            <w:hideMark/>
          </w:tcPr>
          <w:p w14:paraId="6D656468" w14:textId="58765C26" w:rsidR="00725556" w:rsidRDefault="00725556" w:rsidP="006040D1">
            <w:pPr>
              <w:spacing w:after="0" w:line="240" w:lineRule="auto"/>
              <w:jc w:val="center"/>
              <w:rPr>
                <w:rFonts w:cs="Arial"/>
                <w:color w:val="000000"/>
              </w:rPr>
            </w:pPr>
            <w:r>
              <w:rPr>
                <w:rFonts w:cs="Arial"/>
                <w:color w:val="000000"/>
              </w:rPr>
              <w:t>$14,930</w:t>
            </w:r>
          </w:p>
        </w:tc>
      </w:tr>
      <w:tr w:rsidR="00725556" w14:paraId="4EE82DC8" w14:textId="77777777" w:rsidTr="006040D1">
        <w:trPr>
          <w:cnfStyle w:val="000000010000" w:firstRow="0" w:lastRow="0" w:firstColumn="0" w:lastColumn="0" w:oddVBand="0" w:evenVBand="0" w:oddHBand="0" w:evenHBand="1" w:firstRowFirstColumn="0" w:firstRowLastColumn="0" w:lastRowFirstColumn="0" w:lastRowLastColumn="0"/>
          <w:trHeight w:val="263"/>
        </w:trPr>
        <w:tc>
          <w:tcPr>
            <w:tcW w:w="0" w:type="dxa"/>
            <w:noWrap/>
            <w:hideMark/>
          </w:tcPr>
          <w:p w14:paraId="0A650570" w14:textId="77777777" w:rsidR="00725556" w:rsidRDefault="00725556" w:rsidP="008A5614">
            <w:pPr>
              <w:spacing w:after="0" w:line="240" w:lineRule="auto"/>
              <w:rPr>
                <w:rFonts w:cs="Arial"/>
                <w:color w:val="000000"/>
              </w:rPr>
            </w:pPr>
            <w:r>
              <w:rPr>
                <w:rFonts w:cs="Arial"/>
                <w:color w:val="000000"/>
              </w:rPr>
              <w:t>Adelaide</w:t>
            </w:r>
          </w:p>
        </w:tc>
        <w:tc>
          <w:tcPr>
            <w:tcW w:w="0" w:type="dxa"/>
            <w:noWrap/>
            <w:hideMark/>
          </w:tcPr>
          <w:p w14:paraId="608E51E2" w14:textId="4FB9F791" w:rsidR="00725556" w:rsidRDefault="00725556" w:rsidP="006040D1">
            <w:pPr>
              <w:spacing w:after="0" w:line="240" w:lineRule="auto"/>
              <w:jc w:val="center"/>
              <w:rPr>
                <w:rFonts w:cs="Arial"/>
                <w:color w:val="000000"/>
              </w:rPr>
            </w:pPr>
            <w:r>
              <w:rPr>
                <w:rFonts w:cs="Arial"/>
                <w:color w:val="000000"/>
              </w:rPr>
              <w:t>$14,930</w:t>
            </w:r>
          </w:p>
        </w:tc>
      </w:tr>
      <w:tr w:rsidR="00725556" w14:paraId="0162343D" w14:textId="77777777" w:rsidTr="006040D1">
        <w:trPr>
          <w:cnfStyle w:val="000000100000" w:firstRow="0" w:lastRow="0" w:firstColumn="0" w:lastColumn="0" w:oddVBand="0" w:evenVBand="0" w:oddHBand="1" w:evenHBand="0" w:firstRowFirstColumn="0" w:firstRowLastColumn="0" w:lastRowFirstColumn="0" w:lastRowLastColumn="0"/>
          <w:trHeight w:val="263"/>
        </w:trPr>
        <w:tc>
          <w:tcPr>
            <w:tcW w:w="0" w:type="dxa"/>
            <w:noWrap/>
            <w:hideMark/>
          </w:tcPr>
          <w:p w14:paraId="3C3133F6" w14:textId="77777777" w:rsidR="00725556" w:rsidRDefault="00725556" w:rsidP="008A5614">
            <w:pPr>
              <w:spacing w:after="0" w:line="240" w:lineRule="auto"/>
              <w:rPr>
                <w:rFonts w:cs="Arial"/>
                <w:color w:val="000000"/>
              </w:rPr>
            </w:pPr>
            <w:r>
              <w:rPr>
                <w:rFonts w:cs="Arial"/>
                <w:color w:val="000000"/>
              </w:rPr>
              <w:t>Perth</w:t>
            </w:r>
          </w:p>
        </w:tc>
        <w:tc>
          <w:tcPr>
            <w:tcW w:w="0" w:type="dxa"/>
            <w:noWrap/>
            <w:hideMark/>
          </w:tcPr>
          <w:p w14:paraId="46A34A32" w14:textId="2C5B66BE" w:rsidR="00725556" w:rsidRDefault="00725556" w:rsidP="006040D1">
            <w:pPr>
              <w:spacing w:after="0" w:line="240" w:lineRule="auto"/>
              <w:jc w:val="center"/>
              <w:rPr>
                <w:rFonts w:cs="Arial"/>
                <w:color w:val="000000"/>
              </w:rPr>
            </w:pPr>
            <w:r>
              <w:rPr>
                <w:rFonts w:cs="Arial"/>
                <w:color w:val="000000"/>
              </w:rPr>
              <w:t>$14,930</w:t>
            </w:r>
          </w:p>
        </w:tc>
      </w:tr>
      <w:tr w:rsidR="00725556" w14:paraId="77481181" w14:textId="77777777" w:rsidTr="006040D1">
        <w:trPr>
          <w:cnfStyle w:val="000000010000" w:firstRow="0" w:lastRow="0" w:firstColumn="0" w:lastColumn="0" w:oddVBand="0" w:evenVBand="0" w:oddHBand="0" w:evenHBand="1" w:firstRowFirstColumn="0" w:firstRowLastColumn="0" w:lastRowFirstColumn="0" w:lastRowLastColumn="0"/>
          <w:trHeight w:val="263"/>
        </w:trPr>
        <w:tc>
          <w:tcPr>
            <w:tcW w:w="0" w:type="dxa"/>
            <w:noWrap/>
            <w:hideMark/>
          </w:tcPr>
          <w:p w14:paraId="2F7AB3FF" w14:textId="77777777" w:rsidR="00725556" w:rsidRDefault="00725556" w:rsidP="008A5614">
            <w:pPr>
              <w:spacing w:after="0" w:line="240" w:lineRule="auto"/>
              <w:rPr>
                <w:rFonts w:cs="Arial"/>
                <w:color w:val="000000"/>
              </w:rPr>
            </w:pPr>
            <w:r>
              <w:rPr>
                <w:rFonts w:cs="Arial"/>
                <w:color w:val="000000"/>
              </w:rPr>
              <w:t>Perth city</w:t>
            </w:r>
          </w:p>
        </w:tc>
        <w:tc>
          <w:tcPr>
            <w:tcW w:w="0" w:type="dxa"/>
            <w:noWrap/>
            <w:hideMark/>
          </w:tcPr>
          <w:p w14:paraId="1157FB15" w14:textId="49816489" w:rsidR="00725556" w:rsidRDefault="00725556" w:rsidP="006040D1">
            <w:pPr>
              <w:spacing w:after="0" w:line="240" w:lineRule="auto"/>
              <w:jc w:val="center"/>
              <w:rPr>
                <w:rFonts w:cs="Arial"/>
                <w:color w:val="000000"/>
              </w:rPr>
            </w:pPr>
            <w:r>
              <w:rPr>
                <w:rFonts w:cs="Arial"/>
                <w:color w:val="000000"/>
              </w:rPr>
              <w:t>$14,930</w:t>
            </w:r>
          </w:p>
        </w:tc>
      </w:tr>
      <w:tr w:rsidR="00725556" w14:paraId="41163D83" w14:textId="77777777" w:rsidTr="006040D1">
        <w:trPr>
          <w:cnfStyle w:val="000000100000" w:firstRow="0" w:lastRow="0" w:firstColumn="0" w:lastColumn="0" w:oddVBand="0" w:evenVBand="0" w:oddHBand="1" w:evenHBand="0" w:firstRowFirstColumn="0" w:firstRowLastColumn="0" w:lastRowFirstColumn="0" w:lastRowLastColumn="0"/>
          <w:trHeight w:val="263"/>
        </w:trPr>
        <w:tc>
          <w:tcPr>
            <w:tcW w:w="0" w:type="dxa"/>
            <w:noWrap/>
            <w:hideMark/>
          </w:tcPr>
          <w:p w14:paraId="22D48541" w14:textId="77777777" w:rsidR="00725556" w:rsidRDefault="00725556" w:rsidP="008A5614">
            <w:pPr>
              <w:spacing w:after="0" w:line="240" w:lineRule="auto"/>
              <w:rPr>
                <w:rFonts w:cs="Arial"/>
                <w:color w:val="000000"/>
              </w:rPr>
            </w:pPr>
            <w:r>
              <w:rPr>
                <w:rFonts w:cs="Arial"/>
                <w:color w:val="000000"/>
              </w:rPr>
              <w:t>Newcastle</w:t>
            </w:r>
          </w:p>
        </w:tc>
        <w:tc>
          <w:tcPr>
            <w:tcW w:w="0" w:type="dxa"/>
            <w:noWrap/>
            <w:hideMark/>
          </w:tcPr>
          <w:p w14:paraId="4E08C263" w14:textId="03FAA9A0" w:rsidR="00725556" w:rsidRDefault="00725556" w:rsidP="006040D1">
            <w:pPr>
              <w:spacing w:after="0" w:line="240" w:lineRule="auto"/>
              <w:jc w:val="center"/>
              <w:rPr>
                <w:rFonts w:cs="Arial"/>
                <w:color w:val="000000"/>
              </w:rPr>
            </w:pPr>
            <w:r>
              <w:rPr>
                <w:rFonts w:cs="Arial"/>
                <w:color w:val="000000"/>
              </w:rPr>
              <w:t>$3,809</w:t>
            </w:r>
          </w:p>
        </w:tc>
      </w:tr>
      <w:tr w:rsidR="00725556" w14:paraId="6C7561F3" w14:textId="77777777" w:rsidTr="006040D1">
        <w:trPr>
          <w:cnfStyle w:val="000000010000" w:firstRow="0" w:lastRow="0" w:firstColumn="0" w:lastColumn="0" w:oddVBand="0" w:evenVBand="0" w:oddHBand="0" w:evenHBand="1" w:firstRowFirstColumn="0" w:firstRowLastColumn="0" w:lastRowFirstColumn="0" w:lastRowLastColumn="0"/>
          <w:trHeight w:val="263"/>
        </w:trPr>
        <w:tc>
          <w:tcPr>
            <w:tcW w:w="0" w:type="dxa"/>
            <w:noWrap/>
            <w:hideMark/>
          </w:tcPr>
          <w:p w14:paraId="0D429380" w14:textId="77777777" w:rsidR="00725556" w:rsidRDefault="00725556" w:rsidP="008A5614">
            <w:pPr>
              <w:spacing w:after="0" w:line="240" w:lineRule="auto"/>
              <w:rPr>
                <w:rFonts w:cs="Arial"/>
                <w:color w:val="000000"/>
              </w:rPr>
            </w:pPr>
            <w:r>
              <w:rPr>
                <w:rFonts w:cs="Arial"/>
                <w:color w:val="000000"/>
              </w:rPr>
              <w:t>Canberra</w:t>
            </w:r>
          </w:p>
        </w:tc>
        <w:tc>
          <w:tcPr>
            <w:tcW w:w="0" w:type="dxa"/>
            <w:noWrap/>
            <w:hideMark/>
          </w:tcPr>
          <w:p w14:paraId="4E213EDC" w14:textId="424A0809" w:rsidR="00725556" w:rsidRDefault="00725556" w:rsidP="006040D1">
            <w:pPr>
              <w:spacing w:after="0" w:line="240" w:lineRule="auto"/>
              <w:jc w:val="center"/>
              <w:rPr>
                <w:rFonts w:cs="Arial"/>
                <w:color w:val="000000"/>
              </w:rPr>
            </w:pPr>
            <w:r>
              <w:rPr>
                <w:rFonts w:cs="Arial"/>
                <w:color w:val="000000"/>
              </w:rPr>
              <w:t>$3,809</w:t>
            </w:r>
          </w:p>
        </w:tc>
      </w:tr>
      <w:tr w:rsidR="00725556" w14:paraId="5B51A5CD" w14:textId="77777777" w:rsidTr="006040D1">
        <w:trPr>
          <w:cnfStyle w:val="000000100000" w:firstRow="0" w:lastRow="0" w:firstColumn="0" w:lastColumn="0" w:oddVBand="0" w:evenVBand="0" w:oddHBand="1" w:evenHBand="0" w:firstRowFirstColumn="0" w:firstRowLastColumn="0" w:lastRowFirstColumn="0" w:lastRowLastColumn="0"/>
          <w:trHeight w:val="263"/>
        </w:trPr>
        <w:tc>
          <w:tcPr>
            <w:tcW w:w="0" w:type="dxa"/>
            <w:noWrap/>
            <w:hideMark/>
          </w:tcPr>
          <w:p w14:paraId="6E3B93EC" w14:textId="77777777" w:rsidR="00725556" w:rsidRDefault="00725556" w:rsidP="008A5614">
            <w:pPr>
              <w:spacing w:after="0" w:line="240" w:lineRule="auto"/>
              <w:rPr>
                <w:rFonts w:cs="Arial"/>
                <w:color w:val="000000"/>
              </w:rPr>
            </w:pPr>
            <w:r>
              <w:rPr>
                <w:rFonts w:cs="Arial"/>
                <w:color w:val="000000"/>
              </w:rPr>
              <w:t>Wollongong</w:t>
            </w:r>
          </w:p>
        </w:tc>
        <w:tc>
          <w:tcPr>
            <w:tcW w:w="0" w:type="dxa"/>
            <w:noWrap/>
            <w:hideMark/>
          </w:tcPr>
          <w:p w14:paraId="7EA6AD41" w14:textId="2D2321DB" w:rsidR="00725556" w:rsidRDefault="00725556" w:rsidP="006040D1">
            <w:pPr>
              <w:spacing w:after="0" w:line="240" w:lineRule="auto"/>
              <w:jc w:val="center"/>
              <w:rPr>
                <w:rFonts w:cs="Arial"/>
                <w:color w:val="000000"/>
              </w:rPr>
            </w:pPr>
            <w:r>
              <w:rPr>
                <w:rFonts w:cs="Arial"/>
                <w:color w:val="000000"/>
              </w:rPr>
              <w:t>$3,809</w:t>
            </w:r>
          </w:p>
        </w:tc>
      </w:tr>
      <w:tr w:rsidR="00725556" w14:paraId="78C0881F" w14:textId="77777777" w:rsidTr="006040D1">
        <w:trPr>
          <w:cnfStyle w:val="000000010000" w:firstRow="0" w:lastRow="0" w:firstColumn="0" w:lastColumn="0" w:oddVBand="0" w:evenVBand="0" w:oddHBand="0" w:evenHBand="1" w:firstRowFirstColumn="0" w:firstRowLastColumn="0" w:lastRowFirstColumn="0" w:lastRowLastColumn="0"/>
          <w:trHeight w:val="263"/>
        </w:trPr>
        <w:tc>
          <w:tcPr>
            <w:tcW w:w="0" w:type="dxa"/>
            <w:noWrap/>
            <w:hideMark/>
          </w:tcPr>
          <w:p w14:paraId="665287CE" w14:textId="77777777" w:rsidR="00725556" w:rsidRDefault="00725556" w:rsidP="008A5614">
            <w:pPr>
              <w:spacing w:after="0" w:line="240" w:lineRule="auto"/>
              <w:rPr>
                <w:rFonts w:cs="Arial"/>
                <w:color w:val="000000"/>
              </w:rPr>
            </w:pPr>
            <w:r>
              <w:rPr>
                <w:rFonts w:cs="Arial"/>
                <w:color w:val="000000"/>
              </w:rPr>
              <w:t>Gold Coast</w:t>
            </w:r>
          </w:p>
        </w:tc>
        <w:tc>
          <w:tcPr>
            <w:tcW w:w="0" w:type="dxa"/>
            <w:noWrap/>
            <w:hideMark/>
          </w:tcPr>
          <w:p w14:paraId="0730DDFB" w14:textId="37D68735" w:rsidR="00725556" w:rsidRDefault="00725556" w:rsidP="006040D1">
            <w:pPr>
              <w:spacing w:after="0" w:line="240" w:lineRule="auto"/>
              <w:jc w:val="center"/>
              <w:rPr>
                <w:rFonts w:cs="Arial"/>
                <w:color w:val="000000"/>
              </w:rPr>
            </w:pPr>
            <w:r>
              <w:rPr>
                <w:rFonts w:cs="Arial"/>
                <w:color w:val="000000"/>
              </w:rPr>
              <w:t>$3,809</w:t>
            </w:r>
          </w:p>
        </w:tc>
      </w:tr>
      <w:tr w:rsidR="00725556" w14:paraId="3885F474" w14:textId="77777777" w:rsidTr="006040D1">
        <w:trPr>
          <w:cnfStyle w:val="000000100000" w:firstRow="0" w:lastRow="0" w:firstColumn="0" w:lastColumn="0" w:oddVBand="0" w:evenVBand="0" w:oddHBand="1" w:evenHBand="0" w:firstRowFirstColumn="0" w:firstRowLastColumn="0" w:lastRowFirstColumn="0" w:lastRowLastColumn="0"/>
          <w:trHeight w:val="263"/>
        </w:trPr>
        <w:tc>
          <w:tcPr>
            <w:tcW w:w="0" w:type="dxa"/>
            <w:noWrap/>
            <w:hideMark/>
          </w:tcPr>
          <w:p w14:paraId="0D331855" w14:textId="77777777" w:rsidR="00725556" w:rsidRDefault="00725556" w:rsidP="008A5614">
            <w:pPr>
              <w:spacing w:after="0" w:line="240" w:lineRule="auto"/>
              <w:rPr>
                <w:rFonts w:cs="Arial"/>
                <w:color w:val="000000"/>
              </w:rPr>
            </w:pPr>
            <w:r>
              <w:rPr>
                <w:rFonts w:cs="Arial"/>
                <w:color w:val="000000"/>
              </w:rPr>
              <w:t>Gosford</w:t>
            </w:r>
          </w:p>
        </w:tc>
        <w:tc>
          <w:tcPr>
            <w:tcW w:w="0" w:type="dxa"/>
            <w:noWrap/>
            <w:hideMark/>
          </w:tcPr>
          <w:p w14:paraId="7C392D26" w14:textId="3C0DBC05" w:rsidR="00725556" w:rsidRDefault="00725556" w:rsidP="006040D1">
            <w:pPr>
              <w:spacing w:after="0" w:line="240" w:lineRule="auto"/>
              <w:jc w:val="center"/>
              <w:rPr>
                <w:rFonts w:cs="Arial"/>
                <w:color w:val="000000"/>
              </w:rPr>
            </w:pPr>
            <w:r>
              <w:rPr>
                <w:rFonts w:cs="Arial"/>
                <w:color w:val="000000"/>
              </w:rPr>
              <w:t>$3,809</w:t>
            </w:r>
          </w:p>
        </w:tc>
      </w:tr>
      <w:tr w:rsidR="00725556" w14:paraId="4FDD8963" w14:textId="77777777" w:rsidTr="006040D1">
        <w:trPr>
          <w:cnfStyle w:val="000000010000" w:firstRow="0" w:lastRow="0" w:firstColumn="0" w:lastColumn="0" w:oddVBand="0" w:evenVBand="0" w:oddHBand="0" w:evenHBand="1" w:firstRowFirstColumn="0" w:firstRowLastColumn="0" w:lastRowFirstColumn="0" w:lastRowLastColumn="0"/>
          <w:trHeight w:val="263"/>
        </w:trPr>
        <w:tc>
          <w:tcPr>
            <w:tcW w:w="0" w:type="dxa"/>
            <w:noWrap/>
            <w:hideMark/>
          </w:tcPr>
          <w:p w14:paraId="05FFE47B" w14:textId="77777777" w:rsidR="00725556" w:rsidRDefault="00725556" w:rsidP="008A5614">
            <w:pPr>
              <w:spacing w:after="0" w:line="240" w:lineRule="auto"/>
              <w:rPr>
                <w:rFonts w:cs="Arial"/>
                <w:color w:val="000000"/>
              </w:rPr>
            </w:pPr>
            <w:r>
              <w:rPr>
                <w:rFonts w:cs="Arial"/>
                <w:color w:val="000000"/>
              </w:rPr>
              <w:t>Penrith</w:t>
            </w:r>
          </w:p>
        </w:tc>
        <w:tc>
          <w:tcPr>
            <w:tcW w:w="0" w:type="dxa"/>
            <w:noWrap/>
            <w:hideMark/>
          </w:tcPr>
          <w:p w14:paraId="44ECEA19" w14:textId="75F2D565" w:rsidR="00725556" w:rsidRDefault="00725556" w:rsidP="006040D1">
            <w:pPr>
              <w:spacing w:after="0" w:line="240" w:lineRule="auto"/>
              <w:jc w:val="center"/>
              <w:rPr>
                <w:rFonts w:cs="Arial"/>
                <w:color w:val="000000"/>
              </w:rPr>
            </w:pPr>
            <w:r>
              <w:rPr>
                <w:rFonts w:cs="Arial"/>
                <w:color w:val="000000"/>
              </w:rPr>
              <w:t>$3,809</w:t>
            </w:r>
          </w:p>
        </w:tc>
      </w:tr>
      <w:tr w:rsidR="00725556" w14:paraId="434C52C3" w14:textId="77777777" w:rsidTr="006040D1">
        <w:trPr>
          <w:cnfStyle w:val="000000100000" w:firstRow="0" w:lastRow="0" w:firstColumn="0" w:lastColumn="0" w:oddVBand="0" w:evenVBand="0" w:oddHBand="1" w:evenHBand="0" w:firstRowFirstColumn="0" w:firstRowLastColumn="0" w:lastRowFirstColumn="0" w:lastRowLastColumn="0"/>
          <w:trHeight w:val="263"/>
        </w:trPr>
        <w:tc>
          <w:tcPr>
            <w:tcW w:w="0" w:type="dxa"/>
            <w:noWrap/>
            <w:hideMark/>
          </w:tcPr>
          <w:p w14:paraId="00EC7FAC" w14:textId="77777777" w:rsidR="00725556" w:rsidRDefault="00725556" w:rsidP="008A5614">
            <w:pPr>
              <w:spacing w:after="0" w:line="240" w:lineRule="auto"/>
              <w:rPr>
                <w:rFonts w:cs="Arial"/>
                <w:color w:val="000000"/>
              </w:rPr>
            </w:pPr>
            <w:r>
              <w:rPr>
                <w:rFonts w:cs="Arial"/>
                <w:color w:val="000000"/>
              </w:rPr>
              <w:t>Hobart</w:t>
            </w:r>
          </w:p>
        </w:tc>
        <w:tc>
          <w:tcPr>
            <w:tcW w:w="0" w:type="dxa"/>
            <w:noWrap/>
            <w:hideMark/>
          </w:tcPr>
          <w:p w14:paraId="0BEAA1C2" w14:textId="7FF16BC3" w:rsidR="00725556" w:rsidRDefault="00725556" w:rsidP="006040D1">
            <w:pPr>
              <w:spacing w:after="0" w:line="240" w:lineRule="auto"/>
              <w:jc w:val="center"/>
              <w:rPr>
                <w:rFonts w:cs="Arial"/>
                <w:color w:val="000000"/>
              </w:rPr>
            </w:pPr>
            <w:r>
              <w:rPr>
                <w:rFonts w:cs="Arial"/>
                <w:color w:val="000000"/>
              </w:rPr>
              <w:t>$1,677</w:t>
            </w:r>
          </w:p>
        </w:tc>
      </w:tr>
      <w:tr w:rsidR="00725556" w14:paraId="3135334E" w14:textId="77777777" w:rsidTr="006040D1">
        <w:trPr>
          <w:cnfStyle w:val="000000010000" w:firstRow="0" w:lastRow="0" w:firstColumn="0" w:lastColumn="0" w:oddVBand="0" w:evenVBand="0" w:oddHBand="0" w:evenHBand="1" w:firstRowFirstColumn="0" w:firstRowLastColumn="0" w:lastRowFirstColumn="0" w:lastRowLastColumn="0"/>
          <w:trHeight w:val="263"/>
        </w:trPr>
        <w:tc>
          <w:tcPr>
            <w:tcW w:w="0" w:type="dxa"/>
            <w:noWrap/>
            <w:hideMark/>
          </w:tcPr>
          <w:p w14:paraId="620FEC86" w14:textId="77777777" w:rsidR="00725556" w:rsidRDefault="00725556" w:rsidP="008A5614">
            <w:pPr>
              <w:spacing w:after="0" w:line="240" w:lineRule="auto"/>
              <w:rPr>
                <w:rFonts w:cs="Arial"/>
                <w:color w:val="000000"/>
              </w:rPr>
            </w:pPr>
            <w:r>
              <w:rPr>
                <w:rFonts w:cs="Arial"/>
                <w:color w:val="000000"/>
              </w:rPr>
              <w:t>Geelong</w:t>
            </w:r>
          </w:p>
        </w:tc>
        <w:tc>
          <w:tcPr>
            <w:tcW w:w="0" w:type="dxa"/>
            <w:noWrap/>
            <w:hideMark/>
          </w:tcPr>
          <w:p w14:paraId="17F1C592" w14:textId="6BC02394" w:rsidR="00725556" w:rsidRDefault="00725556" w:rsidP="006040D1">
            <w:pPr>
              <w:spacing w:after="0" w:line="240" w:lineRule="auto"/>
              <w:jc w:val="center"/>
              <w:rPr>
                <w:rFonts w:cs="Arial"/>
                <w:color w:val="000000"/>
              </w:rPr>
            </w:pPr>
            <w:r>
              <w:rPr>
                <w:rFonts w:cs="Arial"/>
                <w:color w:val="000000"/>
              </w:rPr>
              <w:t>$1,677</w:t>
            </w:r>
          </w:p>
        </w:tc>
      </w:tr>
      <w:tr w:rsidR="00725556" w14:paraId="4C2BBC7D" w14:textId="77777777" w:rsidTr="006040D1">
        <w:trPr>
          <w:cnfStyle w:val="000000100000" w:firstRow="0" w:lastRow="0" w:firstColumn="0" w:lastColumn="0" w:oddVBand="0" w:evenVBand="0" w:oddHBand="1" w:evenHBand="0" w:firstRowFirstColumn="0" w:firstRowLastColumn="0" w:lastRowFirstColumn="0" w:lastRowLastColumn="0"/>
          <w:trHeight w:val="263"/>
        </w:trPr>
        <w:tc>
          <w:tcPr>
            <w:tcW w:w="0" w:type="dxa"/>
            <w:noWrap/>
            <w:hideMark/>
          </w:tcPr>
          <w:p w14:paraId="60FDF2D4" w14:textId="77777777" w:rsidR="00725556" w:rsidRDefault="00725556" w:rsidP="008A5614">
            <w:pPr>
              <w:spacing w:after="0" w:line="240" w:lineRule="auto"/>
              <w:rPr>
                <w:rFonts w:cs="Arial"/>
                <w:color w:val="000000"/>
              </w:rPr>
            </w:pPr>
            <w:r>
              <w:rPr>
                <w:rFonts w:cs="Arial"/>
                <w:color w:val="000000"/>
              </w:rPr>
              <w:t>Nambour</w:t>
            </w:r>
          </w:p>
        </w:tc>
        <w:tc>
          <w:tcPr>
            <w:tcW w:w="0" w:type="dxa"/>
            <w:noWrap/>
            <w:hideMark/>
          </w:tcPr>
          <w:p w14:paraId="09599166" w14:textId="4521DBD4" w:rsidR="00725556" w:rsidRDefault="00725556" w:rsidP="006040D1">
            <w:pPr>
              <w:spacing w:after="0" w:line="240" w:lineRule="auto"/>
              <w:jc w:val="center"/>
              <w:rPr>
                <w:rFonts w:cs="Arial"/>
                <w:color w:val="000000"/>
              </w:rPr>
            </w:pPr>
            <w:r>
              <w:rPr>
                <w:rFonts w:cs="Arial"/>
                <w:color w:val="000000"/>
              </w:rPr>
              <w:t>$1,677</w:t>
            </w:r>
          </w:p>
        </w:tc>
      </w:tr>
      <w:tr w:rsidR="00725556" w14:paraId="4CFD0E8E" w14:textId="77777777" w:rsidTr="006040D1">
        <w:trPr>
          <w:cnfStyle w:val="000000010000" w:firstRow="0" w:lastRow="0" w:firstColumn="0" w:lastColumn="0" w:oddVBand="0" w:evenVBand="0" w:oddHBand="0" w:evenHBand="1" w:firstRowFirstColumn="0" w:firstRowLastColumn="0" w:lastRowFirstColumn="0" w:lastRowLastColumn="0"/>
          <w:trHeight w:val="263"/>
        </w:trPr>
        <w:tc>
          <w:tcPr>
            <w:tcW w:w="0" w:type="dxa"/>
            <w:noWrap/>
            <w:hideMark/>
          </w:tcPr>
          <w:p w14:paraId="44EAD75C" w14:textId="77777777" w:rsidR="00725556" w:rsidRDefault="00725556" w:rsidP="008A5614">
            <w:pPr>
              <w:spacing w:after="0" w:line="240" w:lineRule="auto"/>
              <w:rPr>
                <w:rFonts w:cs="Arial"/>
                <w:color w:val="000000"/>
              </w:rPr>
            </w:pPr>
            <w:r>
              <w:rPr>
                <w:rFonts w:cs="Arial"/>
                <w:color w:val="000000"/>
              </w:rPr>
              <w:t>Townsville</w:t>
            </w:r>
          </w:p>
        </w:tc>
        <w:tc>
          <w:tcPr>
            <w:tcW w:w="0" w:type="dxa"/>
            <w:noWrap/>
            <w:hideMark/>
          </w:tcPr>
          <w:p w14:paraId="0054B6FF" w14:textId="3EFB1F9E" w:rsidR="00725556" w:rsidRDefault="00725556" w:rsidP="006040D1">
            <w:pPr>
              <w:spacing w:after="0" w:line="240" w:lineRule="auto"/>
              <w:jc w:val="center"/>
              <w:rPr>
                <w:rFonts w:cs="Arial"/>
                <w:color w:val="000000"/>
              </w:rPr>
            </w:pPr>
            <w:r>
              <w:rPr>
                <w:rFonts w:cs="Arial"/>
                <w:color w:val="000000"/>
              </w:rPr>
              <w:t>$1,677</w:t>
            </w:r>
          </w:p>
        </w:tc>
      </w:tr>
      <w:tr w:rsidR="00725556" w14:paraId="2F26E4C6" w14:textId="77777777" w:rsidTr="006040D1">
        <w:trPr>
          <w:cnfStyle w:val="000000100000" w:firstRow="0" w:lastRow="0" w:firstColumn="0" w:lastColumn="0" w:oddVBand="0" w:evenVBand="0" w:oddHBand="1" w:evenHBand="0" w:firstRowFirstColumn="0" w:firstRowLastColumn="0" w:lastRowFirstColumn="0" w:lastRowLastColumn="0"/>
          <w:trHeight w:val="263"/>
        </w:trPr>
        <w:tc>
          <w:tcPr>
            <w:tcW w:w="0" w:type="dxa"/>
            <w:noWrap/>
            <w:hideMark/>
          </w:tcPr>
          <w:p w14:paraId="23244717" w14:textId="77777777" w:rsidR="00725556" w:rsidRDefault="00725556" w:rsidP="008A5614">
            <w:pPr>
              <w:spacing w:after="0" w:line="240" w:lineRule="auto"/>
              <w:rPr>
                <w:rFonts w:cs="Arial"/>
                <w:color w:val="000000"/>
              </w:rPr>
            </w:pPr>
            <w:r>
              <w:rPr>
                <w:rFonts w:cs="Arial"/>
                <w:color w:val="000000"/>
              </w:rPr>
              <w:t>Cairns</w:t>
            </w:r>
          </w:p>
        </w:tc>
        <w:tc>
          <w:tcPr>
            <w:tcW w:w="0" w:type="dxa"/>
            <w:noWrap/>
            <w:hideMark/>
          </w:tcPr>
          <w:p w14:paraId="41C7F5A0" w14:textId="42F8D4CD" w:rsidR="00725556" w:rsidRDefault="00725556" w:rsidP="006040D1">
            <w:pPr>
              <w:spacing w:after="0" w:line="240" w:lineRule="auto"/>
              <w:jc w:val="center"/>
              <w:rPr>
                <w:rFonts w:cs="Arial"/>
                <w:color w:val="000000"/>
              </w:rPr>
            </w:pPr>
            <w:r>
              <w:rPr>
                <w:rFonts w:cs="Arial"/>
                <w:color w:val="000000"/>
              </w:rPr>
              <w:t>$1,677</w:t>
            </w:r>
          </w:p>
        </w:tc>
      </w:tr>
      <w:tr w:rsidR="00725556" w14:paraId="6BCB7735" w14:textId="77777777" w:rsidTr="006040D1">
        <w:trPr>
          <w:cnfStyle w:val="000000010000" w:firstRow="0" w:lastRow="0" w:firstColumn="0" w:lastColumn="0" w:oddVBand="0" w:evenVBand="0" w:oddHBand="0" w:evenHBand="1" w:firstRowFirstColumn="0" w:firstRowLastColumn="0" w:lastRowFirstColumn="0" w:lastRowLastColumn="0"/>
          <w:trHeight w:val="263"/>
        </w:trPr>
        <w:tc>
          <w:tcPr>
            <w:tcW w:w="0" w:type="dxa"/>
            <w:noWrap/>
            <w:hideMark/>
          </w:tcPr>
          <w:p w14:paraId="02235E1E" w14:textId="77777777" w:rsidR="00725556" w:rsidRDefault="00725556" w:rsidP="008A5614">
            <w:pPr>
              <w:spacing w:after="0" w:line="240" w:lineRule="auto"/>
              <w:rPr>
                <w:rFonts w:cs="Arial"/>
                <w:color w:val="000000"/>
              </w:rPr>
            </w:pPr>
            <w:r>
              <w:rPr>
                <w:rFonts w:cs="Arial"/>
                <w:color w:val="000000"/>
              </w:rPr>
              <w:t>Elsewhere</w:t>
            </w:r>
          </w:p>
        </w:tc>
        <w:tc>
          <w:tcPr>
            <w:tcW w:w="0" w:type="dxa"/>
            <w:noWrap/>
            <w:hideMark/>
          </w:tcPr>
          <w:p w14:paraId="21DE64BD" w14:textId="5F08A598" w:rsidR="00725556" w:rsidRDefault="00725556" w:rsidP="006040D1">
            <w:pPr>
              <w:spacing w:after="0" w:line="240" w:lineRule="auto"/>
              <w:jc w:val="center"/>
              <w:rPr>
                <w:rFonts w:cs="Arial"/>
                <w:color w:val="000000"/>
              </w:rPr>
            </w:pPr>
            <w:r>
              <w:rPr>
                <w:rFonts w:cs="Arial"/>
                <w:color w:val="000000"/>
              </w:rPr>
              <w:t>$989</w:t>
            </w:r>
          </w:p>
        </w:tc>
      </w:tr>
    </w:tbl>
    <w:p w14:paraId="22FCB7D8" w14:textId="54259B08" w:rsidR="00810B10" w:rsidRDefault="00810B10" w:rsidP="00B51853">
      <w:pPr>
        <w:rPr>
          <w:rFonts w:cs="Arial"/>
        </w:rPr>
      </w:pPr>
    </w:p>
    <w:p w14:paraId="0A35B293" w14:textId="64FCD549" w:rsidR="00B51853" w:rsidRDefault="00084903" w:rsidP="006040D1">
      <w:pPr>
        <w:pStyle w:val="Paragraphbeforelist"/>
      </w:pPr>
      <w:r>
        <w:lastRenderedPageBreak/>
        <w:t xml:space="preserve">To address this </w:t>
      </w:r>
      <w:r w:rsidR="00DD246D">
        <w:t>discrepancy</w:t>
      </w:r>
      <w:r w:rsidR="0039351E">
        <w:t>,</w:t>
      </w:r>
      <w:r w:rsidR="00DD246D">
        <w:t xml:space="preserve"> </w:t>
      </w:r>
      <w:r w:rsidR="0039351E">
        <w:t>we are p</w:t>
      </w:r>
      <w:r w:rsidR="00B51853">
        <w:t>ropos</w:t>
      </w:r>
      <w:r w:rsidR="0039351E">
        <w:t>ing</w:t>
      </w:r>
      <w:r w:rsidR="00B51853">
        <w:t xml:space="preserve"> the following set of changes to the tax</w:t>
      </w:r>
      <w:r w:rsidR="003A1E1F">
        <w:t xml:space="preserve"> rat</w:t>
      </w:r>
      <w:r w:rsidR="00B51853">
        <w:t xml:space="preserve">es for HPON </w:t>
      </w:r>
      <w:r w:rsidR="003A1E1F">
        <w:t>licences</w:t>
      </w:r>
      <w:r w:rsidR="00B51853">
        <w:t>:</w:t>
      </w:r>
    </w:p>
    <w:p w14:paraId="106186DD" w14:textId="61EB5FA1" w:rsidR="00F05982" w:rsidRDefault="00AC6074" w:rsidP="005D62E5">
      <w:pPr>
        <w:pStyle w:val="Bulletlevel1"/>
      </w:pPr>
      <w:r>
        <w:t>Identify the location served by a HPON licence</w:t>
      </w:r>
      <w:r w:rsidR="00267374">
        <w:t xml:space="preserve"> using significant urban areas as defined by the ABS.</w:t>
      </w:r>
    </w:p>
    <w:p w14:paraId="31DF51D2" w14:textId="528F2DFB" w:rsidR="00E467A2" w:rsidRDefault="00B51853" w:rsidP="005D62E5">
      <w:pPr>
        <w:pStyle w:val="Bulletlevel1"/>
      </w:pPr>
      <w:r>
        <w:t xml:space="preserve">Update </w:t>
      </w:r>
      <w:r w:rsidR="00512E53">
        <w:t xml:space="preserve">HPON </w:t>
      </w:r>
      <w:r w:rsidR="00AC6074">
        <w:t xml:space="preserve">licence </w:t>
      </w:r>
      <w:r w:rsidR="00512E53">
        <w:t>tax</w:t>
      </w:r>
      <w:r w:rsidR="00AC6074">
        <w:t xml:space="preserve"> rat</w:t>
      </w:r>
      <w:r w:rsidR="00512E53">
        <w:t xml:space="preserve">es </w:t>
      </w:r>
      <w:r w:rsidR="00DC1C09">
        <w:t xml:space="preserve">by aligning them with </w:t>
      </w:r>
      <w:r w:rsidR="00AC6074">
        <w:t xml:space="preserve">the </w:t>
      </w:r>
      <w:r w:rsidR="009E3D4A">
        <w:t>commercial broadcasting taxes</w:t>
      </w:r>
      <w:r w:rsidR="007C716F">
        <w:t xml:space="preserve"> (CBT)</w:t>
      </w:r>
      <w:r w:rsidR="009E3D4A">
        <w:t xml:space="preserve">. We use </w:t>
      </w:r>
      <w:r>
        <w:t xml:space="preserve">a $0.077/MHz/pop </w:t>
      </w:r>
      <w:r w:rsidR="00E467A2">
        <w:t xml:space="preserve">price </w:t>
      </w:r>
      <w:r w:rsidR="001A447B">
        <w:t xml:space="preserve">(which </w:t>
      </w:r>
      <w:r w:rsidR="00833C1B">
        <w:t>approximates</w:t>
      </w:r>
      <w:r w:rsidR="007C716F">
        <w:t xml:space="preserve"> </w:t>
      </w:r>
      <w:r w:rsidR="00F54071">
        <w:t xml:space="preserve">current </w:t>
      </w:r>
      <w:r w:rsidR="007C716F">
        <w:t>CBT</w:t>
      </w:r>
      <w:r w:rsidR="00F54071">
        <w:t xml:space="preserve"> price levels</w:t>
      </w:r>
      <w:r w:rsidR="001A447B">
        <w:t xml:space="preserve">) </w:t>
      </w:r>
      <w:r w:rsidR="00E467A2">
        <w:t>that can be easily translated to HPON</w:t>
      </w:r>
      <w:r w:rsidR="00AC6074">
        <w:t xml:space="preserve"> licence</w:t>
      </w:r>
      <w:r w:rsidR="00E467A2">
        <w:t xml:space="preserve">s </w:t>
      </w:r>
      <w:r>
        <w:t>using the formula</w:t>
      </w:r>
      <w:r w:rsidR="00E467A2">
        <w:t>:</w:t>
      </w:r>
      <w:r>
        <w:t xml:space="preserve"> </w:t>
      </w:r>
    </w:p>
    <w:p w14:paraId="49106CD2" w14:textId="21EB13C7" w:rsidR="00B51853" w:rsidRDefault="00B51853" w:rsidP="00E467A2">
      <w:pPr>
        <w:pStyle w:val="Bulletlevel1"/>
        <w:tabs>
          <w:tab w:val="clear" w:pos="295"/>
          <w:tab w:val="num" w:pos="579"/>
        </w:tabs>
        <w:ind w:left="579"/>
      </w:pPr>
      <w:r>
        <w:t xml:space="preserve">Population </w:t>
      </w:r>
      <w:r w:rsidR="00196D62">
        <w:t xml:space="preserve">(of the specific </w:t>
      </w:r>
      <w:r w:rsidR="00366E4C">
        <w:t>locations</w:t>
      </w:r>
      <w:r w:rsidR="004F7B6A">
        <w:t xml:space="preserve">) </w:t>
      </w:r>
      <w:r>
        <w:t>x Bandwidth (MHz) x $0.077/MHz/pop x 0.1 Scaling factor.</w:t>
      </w:r>
    </w:p>
    <w:p w14:paraId="63F79927" w14:textId="79181776" w:rsidR="004470DE" w:rsidRDefault="004470DE" w:rsidP="00E467A2">
      <w:pPr>
        <w:pStyle w:val="Bulletlevel1"/>
        <w:tabs>
          <w:tab w:val="clear" w:pos="295"/>
          <w:tab w:val="num" w:pos="579"/>
        </w:tabs>
        <w:ind w:left="579"/>
      </w:pPr>
      <w:r>
        <w:t xml:space="preserve">The scaling factor is used to </w:t>
      </w:r>
      <w:r w:rsidR="00824DA6">
        <w:t xml:space="preserve">scale down the tax to individual HPON </w:t>
      </w:r>
      <w:r w:rsidR="00063E71">
        <w:t>licences</w:t>
      </w:r>
      <w:r w:rsidR="00781823">
        <w:t>.</w:t>
      </w:r>
      <w:r>
        <w:t xml:space="preserve"> </w:t>
      </w:r>
    </w:p>
    <w:p w14:paraId="2034B6F2" w14:textId="7424FE32" w:rsidR="00B51853" w:rsidRDefault="00B51853" w:rsidP="005D62E5">
      <w:pPr>
        <w:pStyle w:val="Bulletlevel1"/>
      </w:pPr>
      <w:r>
        <w:t xml:space="preserve">Distinguish between </w:t>
      </w:r>
      <w:r w:rsidR="00063E71">
        <w:t xml:space="preserve">television (7 MHz), </w:t>
      </w:r>
      <w:r>
        <w:t>FM (200 kHz) and AM (18 kHz) tax rates to adjust for the different bandwidth.</w:t>
      </w:r>
    </w:p>
    <w:p w14:paraId="42865E81" w14:textId="373B72A5" w:rsidR="00B51853" w:rsidRDefault="00B51853" w:rsidP="005D62E5">
      <w:pPr>
        <w:pStyle w:val="Bulletlevel1"/>
      </w:pPr>
      <w:r>
        <w:t>Change the minimum tax to $41</w:t>
      </w:r>
      <w:r w:rsidR="00BE5B89">
        <w:t>.37</w:t>
      </w:r>
      <w:r>
        <w:t xml:space="preserve"> in line with other apparatus licence taxes.</w:t>
      </w:r>
    </w:p>
    <w:p w14:paraId="7FE11B08" w14:textId="34C3B0CD" w:rsidR="00496F42" w:rsidRDefault="00496F42" w:rsidP="006040D1">
      <w:pPr>
        <w:pStyle w:val="Bulletlevel1last"/>
      </w:pPr>
      <w:r w:rsidRPr="77B20063">
        <w:t xml:space="preserve">Use ABS dataset ‘Population estimates by significant urban areas’ to </w:t>
      </w:r>
      <w:r w:rsidR="00AE6B31">
        <w:t xml:space="preserve">update </w:t>
      </w:r>
      <w:r w:rsidR="00BE5B89">
        <w:t xml:space="preserve">the </w:t>
      </w:r>
      <w:r w:rsidR="00AE6B31">
        <w:t>tax rates each year</w:t>
      </w:r>
      <w:r w:rsidRPr="77B20063">
        <w:t>.</w:t>
      </w:r>
    </w:p>
    <w:p w14:paraId="715FC04D" w14:textId="4D1BEB7E" w:rsidR="00D47CA7" w:rsidRDefault="00D47CA7" w:rsidP="006040D1">
      <w:pPr>
        <w:pStyle w:val="Bulletlevel1"/>
        <w:numPr>
          <w:ilvl w:val="0"/>
          <w:numId w:val="0"/>
        </w:numPr>
        <w:spacing w:after="240"/>
      </w:pPr>
      <w:r>
        <w:t>These proposals are summarised in Table 7 below.</w:t>
      </w:r>
    </w:p>
    <w:p w14:paraId="37E44964" w14:textId="1CD158F4" w:rsidR="00B51853" w:rsidRPr="00141F62" w:rsidRDefault="00280F2F" w:rsidP="00280F2F">
      <w:pPr>
        <w:pStyle w:val="Tableheading"/>
      </w:pPr>
      <w:r w:rsidRPr="00141F62">
        <w:t xml:space="preserve">Proposed </w:t>
      </w:r>
      <w:r w:rsidR="00B51853" w:rsidRPr="00141F62">
        <w:t>HPON taxes</w:t>
      </w:r>
    </w:p>
    <w:tbl>
      <w:tblPr>
        <w:tblStyle w:val="ACMAtablestyle"/>
        <w:tblW w:w="5000" w:type="pct"/>
        <w:tblCellMar>
          <w:top w:w="57" w:type="dxa"/>
          <w:bottom w:w="57" w:type="dxa"/>
        </w:tblCellMar>
        <w:tblLook w:val="04A0" w:firstRow="1" w:lastRow="0" w:firstColumn="1" w:lastColumn="0" w:noHBand="0" w:noVBand="1"/>
      </w:tblPr>
      <w:tblGrid>
        <w:gridCol w:w="1120"/>
        <w:gridCol w:w="2784"/>
        <w:gridCol w:w="1967"/>
        <w:gridCol w:w="1790"/>
      </w:tblGrid>
      <w:tr w:rsidR="00D852E3" w:rsidRPr="002D1AAE" w14:paraId="52933AFE" w14:textId="77777777" w:rsidTr="006040D1">
        <w:trPr>
          <w:cnfStyle w:val="100000000000" w:firstRow="1" w:lastRow="0" w:firstColumn="0" w:lastColumn="0" w:oddVBand="0" w:evenVBand="0" w:oddHBand="0" w:evenHBand="0" w:firstRowFirstColumn="0" w:firstRowLastColumn="0" w:lastRowFirstColumn="0" w:lastRowLastColumn="0"/>
          <w:trHeight w:val="20"/>
        </w:trPr>
        <w:tc>
          <w:tcPr>
            <w:tcW w:w="731" w:type="pct"/>
            <w:hideMark/>
          </w:tcPr>
          <w:p w14:paraId="3AC1515E" w14:textId="77777777" w:rsidR="00D852E3" w:rsidRPr="002D1AAE" w:rsidRDefault="00D852E3" w:rsidP="006040D1">
            <w:pPr>
              <w:pStyle w:val="TableColHead"/>
              <w:keepLines/>
              <w:jc w:val="center"/>
              <w:rPr>
                <w:rFonts w:cs="Arial"/>
                <w:sz w:val="20"/>
                <w:szCs w:val="20"/>
              </w:rPr>
            </w:pPr>
            <w:r w:rsidRPr="002D1AAE">
              <w:rPr>
                <w:rFonts w:cs="Arial"/>
                <w:sz w:val="20"/>
                <w:szCs w:val="20"/>
              </w:rPr>
              <w:t>Item</w:t>
            </w:r>
          </w:p>
        </w:tc>
        <w:tc>
          <w:tcPr>
            <w:tcW w:w="1817" w:type="pct"/>
            <w:hideMark/>
          </w:tcPr>
          <w:p w14:paraId="255B538C" w14:textId="39AB49A3" w:rsidR="00D852E3" w:rsidRPr="002D1AAE" w:rsidRDefault="00D852E3" w:rsidP="006040D1">
            <w:pPr>
              <w:pStyle w:val="TableColHead"/>
              <w:jc w:val="center"/>
              <w:rPr>
                <w:rFonts w:cs="Arial"/>
                <w:sz w:val="20"/>
                <w:szCs w:val="20"/>
              </w:rPr>
            </w:pPr>
            <w:r w:rsidRPr="002D1AAE">
              <w:rPr>
                <w:rFonts w:cs="Arial"/>
                <w:sz w:val="20"/>
                <w:szCs w:val="20"/>
              </w:rPr>
              <w:t>Location of open narrowcasting service</w:t>
            </w:r>
            <w:r w:rsidR="001136F4">
              <w:rPr>
                <w:rFonts w:cs="Arial"/>
                <w:sz w:val="20"/>
                <w:szCs w:val="20"/>
              </w:rPr>
              <w:t xml:space="preserve"> (</w:t>
            </w:r>
            <w:r w:rsidR="0039351E">
              <w:rPr>
                <w:rFonts w:cs="Arial"/>
                <w:sz w:val="20"/>
                <w:szCs w:val="20"/>
              </w:rPr>
              <w:t>s</w:t>
            </w:r>
            <w:r w:rsidR="001136F4">
              <w:rPr>
                <w:rFonts w:cs="Arial"/>
                <w:sz w:val="20"/>
                <w:szCs w:val="20"/>
              </w:rPr>
              <w:t xml:space="preserve">ignificant </w:t>
            </w:r>
            <w:r w:rsidR="0039351E">
              <w:rPr>
                <w:rFonts w:cs="Arial"/>
                <w:sz w:val="20"/>
                <w:szCs w:val="20"/>
              </w:rPr>
              <w:t>u</w:t>
            </w:r>
            <w:r w:rsidR="001136F4">
              <w:rPr>
                <w:rFonts w:cs="Arial"/>
                <w:sz w:val="20"/>
                <w:szCs w:val="20"/>
              </w:rPr>
              <w:t xml:space="preserve">rban </w:t>
            </w:r>
            <w:r w:rsidR="0039351E">
              <w:rPr>
                <w:rFonts w:cs="Arial"/>
                <w:sz w:val="20"/>
                <w:szCs w:val="20"/>
              </w:rPr>
              <w:t>a</w:t>
            </w:r>
            <w:r w:rsidR="001136F4">
              <w:rPr>
                <w:rFonts w:cs="Arial"/>
                <w:sz w:val="20"/>
                <w:szCs w:val="20"/>
              </w:rPr>
              <w:t>rea)</w:t>
            </w:r>
            <w:r w:rsidR="00495F53">
              <w:rPr>
                <w:rStyle w:val="FootnoteReference"/>
                <w:rFonts w:cs="Arial"/>
                <w:sz w:val="20"/>
                <w:szCs w:val="20"/>
              </w:rPr>
              <w:footnoteReference w:id="6"/>
            </w:r>
          </w:p>
        </w:tc>
        <w:tc>
          <w:tcPr>
            <w:tcW w:w="1284" w:type="pct"/>
            <w:hideMark/>
          </w:tcPr>
          <w:p w14:paraId="3BA0F7E1" w14:textId="454DC7C0" w:rsidR="00D852E3" w:rsidRPr="002D1AAE" w:rsidRDefault="00D852E3" w:rsidP="006040D1">
            <w:pPr>
              <w:pStyle w:val="TableColHead"/>
              <w:ind w:right="12"/>
              <w:jc w:val="center"/>
              <w:rPr>
                <w:rFonts w:cs="Arial"/>
                <w:sz w:val="20"/>
                <w:szCs w:val="20"/>
              </w:rPr>
            </w:pPr>
            <w:r w:rsidRPr="002D1AAE">
              <w:rPr>
                <w:rFonts w:cs="Arial"/>
                <w:sz w:val="20"/>
                <w:szCs w:val="20"/>
              </w:rPr>
              <w:t>FM/TV</w:t>
            </w:r>
            <w:r w:rsidR="00042AA0">
              <w:rPr>
                <w:rStyle w:val="FootnoteReference"/>
                <w:rFonts w:cs="Arial"/>
                <w:sz w:val="20"/>
                <w:szCs w:val="20"/>
              </w:rPr>
              <w:footnoteReference w:id="7"/>
            </w:r>
          </w:p>
        </w:tc>
        <w:tc>
          <w:tcPr>
            <w:tcW w:w="1168" w:type="pct"/>
            <w:hideMark/>
          </w:tcPr>
          <w:p w14:paraId="29523A4C" w14:textId="77777777" w:rsidR="00D852E3" w:rsidRPr="002D1AAE" w:rsidRDefault="00D852E3" w:rsidP="006040D1">
            <w:pPr>
              <w:pStyle w:val="TableColHead"/>
              <w:ind w:right="12"/>
              <w:jc w:val="center"/>
              <w:rPr>
                <w:rFonts w:cs="Arial"/>
                <w:sz w:val="20"/>
                <w:szCs w:val="20"/>
              </w:rPr>
            </w:pPr>
            <w:r w:rsidRPr="002D1AAE">
              <w:rPr>
                <w:rFonts w:cs="Arial"/>
                <w:sz w:val="20"/>
                <w:szCs w:val="20"/>
              </w:rPr>
              <w:t>AM</w:t>
            </w:r>
          </w:p>
        </w:tc>
      </w:tr>
      <w:tr w:rsidR="0011270F" w:rsidRPr="002D1AAE" w14:paraId="7C319D02" w14:textId="77777777" w:rsidTr="006040D1">
        <w:trPr>
          <w:cnfStyle w:val="000000100000" w:firstRow="0" w:lastRow="0" w:firstColumn="0" w:lastColumn="0" w:oddVBand="0" w:evenVBand="0" w:oddHBand="1" w:evenHBand="0" w:firstRowFirstColumn="0" w:firstRowLastColumn="0" w:lastRowFirstColumn="0" w:lastRowLastColumn="0"/>
          <w:trHeight w:val="20"/>
        </w:trPr>
        <w:tc>
          <w:tcPr>
            <w:tcW w:w="731" w:type="pct"/>
            <w:hideMark/>
          </w:tcPr>
          <w:p w14:paraId="754B03C1"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1</w:t>
            </w:r>
          </w:p>
        </w:tc>
        <w:tc>
          <w:tcPr>
            <w:tcW w:w="1817" w:type="pct"/>
            <w:hideMark/>
          </w:tcPr>
          <w:p w14:paraId="59DBE904" w14:textId="14054C31"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Melbourne </w:t>
            </w:r>
          </w:p>
        </w:tc>
        <w:tc>
          <w:tcPr>
            <w:tcW w:w="1284" w:type="pct"/>
            <w:hideMark/>
          </w:tcPr>
          <w:p w14:paraId="6487197D" w14:textId="7B34C442"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$7,653</w:t>
            </w:r>
          </w:p>
        </w:tc>
        <w:tc>
          <w:tcPr>
            <w:tcW w:w="1168" w:type="pct"/>
            <w:hideMark/>
          </w:tcPr>
          <w:p w14:paraId="2DE9C4DA" w14:textId="325A1435"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$689</w:t>
            </w:r>
          </w:p>
        </w:tc>
      </w:tr>
      <w:tr w:rsidR="0011270F" w:rsidRPr="002D1AAE" w14:paraId="22FF1F54" w14:textId="77777777" w:rsidTr="006040D1">
        <w:trPr>
          <w:cnfStyle w:val="000000010000" w:firstRow="0" w:lastRow="0" w:firstColumn="0" w:lastColumn="0" w:oddVBand="0" w:evenVBand="0" w:oddHBand="0" w:evenHBand="1" w:firstRowFirstColumn="0" w:firstRowLastColumn="0" w:lastRowFirstColumn="0" w:lastRowLastColumn="0"/>
          <w:trHeight w:val="20"/>
        </w:trPr>
        <w:tc>
          <w:tcPr>
            <w:tcW w:w="731" w:type="pct"/>
            <w:hideMark/>
          </w:tcPr>
          <w:p w14:paraId="16615050"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2</w:t>
            </w:r>
          </w:p>
        </w:tc>
        <w:tc>
          <w:tcPr>
            <w:tcW w:w="1817" w:type="pct"/>
            <w:hideMark/>
          </w:tcPr>
          <w:p w14:paraId="2E52C6D5" w14:textId="4692238A"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Sydney</w:t>
            </w:r>
          </w:p>
        </w:tc>
        <w:tc>
          <w:tcPr>
            <w:tcW w:w="1284" w:type="pct"/>
            <w:hideMark/>
          </w:tcPr>
          <w:p w14:paraId="38A2B4F1" w14:textId="44C61563"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$7,649</w:t>
            </w:r>
          </w:p>
        </w:tc>
        <w:tc>
          <w:tcPr>
            <w:tcW w:w="1168" w:type="pct"/>
            <w:hideMark/>
          </w:tcPr>
          <w:p w14:paraId="55045A0A" w14:textId="7E2F5286"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$688</w:t>
            </w:r>
          </w:p>
        </w:tc>
      </w:tr>
      <w:tr w:rsidR="0011270F" w:rsidRPr="002D1AAE" w14:paraId="06FFB23C" w14:textId="77777777" w:rsidTr="006040D1">
        <w:trPr>
          <w:cnfStyle w:val="000000100000" w:firstRow="0" w:lastRow="0" w:firstColumn="0" w:lastColumn="0" w:oddVBand="0" w:evenVBand="0" w:oddHBand="1" w:evenHBand="0" w:firstRowFirstColumn="0" w:firstRowLastColumn="0" w:lastRowFirstColumn="0" w:lastRowLastColumn="0"/>
          <w:trHeight w:val="20"/>
        </w:trPr>
        <w:tc>
          <w:tcPr>
            <w:tcW w:w="731" w:type="pct"/>
            <w:hideMark/>
          </w:tcPr>
          <w:p w14:paraId="3061B05C"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3</w:t>
            </w:r>
          </w:p>
        </w:tc>
        <w:tc>
          <w:tcPr>
            <w:tcW w:w="1817" w:type="pct"/>
            <w:hideMark/>
          </w:tcPr>
          <w:p w14:paraId="2EB780E8" w14:textId="21A5C673"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Brisbane</w:t>
            </w:r>
          </w:p>
        </w:tc>
        <w:tc>
          <w:tcPr>
            <w:tcW w:w="1284" w:type="pct"/>
            <w:hideMark/>
          </w:tcPr>
          <w:p w14:paraId="50D902B2" w14:textId="787DDD88"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$3,813</w:t>
            </w:r>
          </w:p>
        </w:tc>
        <w:tc>
          <w:tcPr>
            <w:tcW w:w="1168" w:type="pct"/>
            <w:hideMark/>
          </w:tcPr>
          <w:p w14:paraId="30494C45" w14:textId="0FA8982E"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$343</w:t>
            </w:r>
          </w:p>
        </w:tc>
      </w:tr>
      <w:tr w:rsidR="0011270F" w:rsidRPr="002D1AAE" w14:paraId="3221FD2B" w14:textId="77777777" w:rsidTr="006040D1">
        <w:trPr>
          <w:cnfStyle w:val="000000010000" w:firstRow="0" w:lastRow="0" w:firstColumn="0" w:lastColumn="0" w:oddVBand="0" w:evenVBand="0" w:oddHBand="0" w:evenHBand="1" w:firstRowFirstColumn="0" w:firstRowLastColumn="0" w:lastRowFirstColumn="0" w:lastRowLastColumn="0"/>
          <w:trHeight w:val="20"/>
        </w:trPr>
        <w:tc>
          <w:tcPr>
            <w:tcW w:w="731" w:type="pct"/>
            <w:hideMark/>
          </w:tcPr>
          <w:p w14:paraId="1A655FFF"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4</w:t>
            </w:r>
          </w:p>
        </w:tc>
        <w:tc>
          <w:tcPr>
            <w:tcW w:w="1817" w:type="pct"/>
            <w:hideMark/>
          </w:tcPr>
          <w:p w14:paraId="3E2075F4" w14:textId="7487E128"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Perth</w:t>
            </w:r>
          </w:p>
        </w:tc>
        <w:tc>
          <w:tcPr>
            <w:tcW w:w="1284" w:type="pct"/>
            <w:hideMark/>
          </w:tcPr>
          <w:p w14:paraId="7E59F3F1" w14:textId="51E2D43B"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$3,209</w:t>
            </w:r>
          </w:p>
        </w:tc>
        <w:tc>
          <w:tcPr>
            <w:tcW w:w="1168" w:type="pct"/>
            <w:hideMark/>
          </w:tcPr>
          <w:p w14:paraId="5BF070BE" w14:textId="05F4CC21"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$289</w:t>
            </w:r>
          </w:p>
        </w:tc>
      </w:tr>
      <w:tr w:rsidR="0011270F" w:rsidRPr="002D1AAE" w14:paraId="51CD0AB6" w14:textId="77777777" w:rsidTr="006040D1">
        <w:trPr>
          <w:cnfStyle w:val="000000100000" w:firstRow="0" w:lastRow="0" w:firstColumn="0" w:lastColumn="0" w:oddVBand="0" w:evenVBand="0" w:oddHBand="1" w:evenHBand="0" w:firstRowFirstColumn="0" w:firstRowLastColumn="0" w:lastRowFirstColumn="0" w:lastRowLastColumn="0"/>
          <w:trHeight w:val="20"/>
        </w:trPr>
        <w:tc>
          <w:tcPr>
            <w:tcW w:w="731" w:type="pct"/>
            <w:hideMark/>
          </w:tcPr>
          <w:p w14:paraId="5CFA33C9"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5</w:t>
            </w:r>
          </w:p>
        </w:tc>
        <w:tc>
          <w:tcPr>
            <w:tcW w:w="1817" w:type="pct"/>
            <w:hideMark/>
          </w:tcPr>
          <w:p w14:paraId="05A185B5" w14:textId="3CA1A3EB"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Adelaide</w:t>
            </w:r>
          </w:p>
        </w:tc>
        <w:tc>
          <w:tcPr>
            <w:tcW w:w="1284" w:type="pct"/>
            <w:hideMark/>
          </w:tcPr>
          <w:p w14:paraId="20932282" w14:textId="1B47C8A9"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$2,091</w:t>
            </w:r>
          </w:p>
        </w:tc>
        <w:tc>
          <w:tcPr>
            <w:tcW w:w="1168" w:type="pct"/>
            <w:hideMark/>
          </w:tcPr>
          <w:p w14:paraId="479FA014" w14:textId="2BE9B77D"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$188</w:t>
            </w:r>
          </w:p>
        </w:tc>
      </w:tr>
      <w:tr w:rsidR="0011270F" w:rsidRPr="002D1AAE" w14:paraId="4047DD84" w14:textId="77777777" w:rsidTr="006040D1">
        <w:trPr>
          <w:cnfStyle w:val="000000010000" w:firstRow="0" w:lastRow="0" w:firstColumn="0" w:lastColumn="0" w:oddVBand="0" w:evenVBand="0" w:oddHBand="0" w:evenHBand="1" w:firstRowFirstColumn="0" w:firstRowLastColumn="0" w:lastRowFirstColumn="0" w:lastRowLastColumn="0"/>
          <w:trHeight w:val="20"/>
        </w:trPr>
        <w:tc>
          <w:tcPr>
            <w:tcW w:w="731" w:type="pct"/>
            <w:hideMark/>
          </w:tcPr>
          <w:p w14:paraId="4220D417"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6</w:t>
            </w:r>
          </w:p>
        </w:tc>
        <w:tc>
          <w:tcPr>
            <w:tcW w:w="1817" w:type="pct"/>
            <w:hideMark/>
          </w:tcPr>
          <w:p w14:paraId="00754662" w14:textId="1F741725"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Gold Coast – Tweed Heads</w:t>
            </w:r>
          </w:p>
        </w:tc>
        <w:tc>
          <w:tcPr>
            <w:tcW w:w="1284" w:type="pct"/>
            <w:hideMark/>
          </w:tcPr>
          <w:p w14:paraId="2E19D0C7" w14:textId="403103D0"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$1,093 </w:t>
            </w:r>
          </w:p>
        </w:tc>
        <w:tc>
          <w:tcPr>
            <w:tcW w:w="1168" w:type="pct"/>
            <w:hideMark/>
          </w:tcPr>
          <w:p w14:paraId="2F6B3E75" w14:textId="336C0E64"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$98 </w:t>
            </w:r>
          </w:p>
        </w:tc>
      </w:tr>
      <w:tr w:rsidR="0011270F" w:rsidRPr="002D1AAE" w14:paraId="52FFC264" w14:textId="77777777" w:rsidTr="006040D1">
        <w:trPr>
          <w:cnfStyle w:val="000000100000" w:firstRow="0" w:lastRow="0" w:firstColumn="0" w:lastColumn="0" w:oddVBand="0" w:evenVBand="0" w:oddHBand="1" w:evenHBand="0" w:firstRowFirstColumn="0" w:firstRowLastColumn="0" w:lastRowFirstColumn="0" w:lastRowLastColumn="0"/>
          <w:trHeight w:val="20"/>
        </w:trPr>
        <w:tc>
          <w:tcPr>
            <w:tcW w:w="731" w:type="pct"/>
            <w:hideMark/>
          </w:tcPr>
          <w:p w14:paraId="2009EC55"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7</w:t>
            </w:r>
          </w:p>
        </w:tc>
        <w:tc>
          <w:tcPr>
            <w:tcW w:w="1817" w:type="pct"/>
            <w:hideMark/>
          </w:tcPr>
          <w:p w14:paraId="37BC2CBB" w14:textId="3811ACB5"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Newcastle – Maitland</w:t>
            </w:r>
          </w:p>
        </w:tc>
        <w:tc>
          <w:tcPr>
            <w:tcW w:w="1284" w:type="pct"/>
            <w:hideMark/>
          </w:tcPr>
          <w:p w14:paraId="490CD015" w14:textId="5370E546"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$767 </w:t>
            </w:r>
          </w:p>
        </w:tc>
        <w:tc>
          <w:tcPr>
            <w:tcW w:w="1168" w:type="pct"/>
            <w:hideMark/>
          </w:tcPr>
          <w:p w14:paraId="0B97A0C8" w14:textId="2D188B31"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$69 </w:t>
            </w:r>
          </w:p>
        </w:tc>
      </w:tr>
      <w:tr w:rsidR="0011270F" w:rsidRPr="002D1AAE" w14:paraId="2B42EEB8" w14:textId="77777777" w:rsidTr="006040D1">
        <w:trPr>
          <w:cnfStyle w:val="000000010000" w:firstRow="0" w:lastRow="0" w:firstColumn="0" w:lastColumn="0" w:oddVBand="0" w:evenVBand="0" w:oddHBand="0" w:evenHBand="1" w:firstRowFirstColumn="0" w:firstRowLastColumn="0" w:lastRowFirstColumn="0" w:lastRowLastColumn="0"/>
          <w:trHeight w:val="20"/>
        </w:trPr>
        <w:tc>
          <w:tcPr>
            <w:tcW w:w="731" w:type="pct"/>
            <w:hideMark/>
          </w:tcPr>
          <w:p w14:paraId="38D156D6"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8</w:t>
            </w:r>
          </w:p>
        </w:tc>
        <w:tc>
          <w:tcPr>
            <w:tcW w:w="1817" w:type="pct"/>
            <w:hideMark/>
          </w:tcPr>
          <w:p w14:paraId="51FD27C8" w14:textId="68C3732A"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Canberra – Queanbeyan</w:t>
            </w:r>
          </w:p>
        </w:tc>
        <w:tc>
          <w:tcPr>
            <w:tcW w:w="1284" w:type="pct"/>
            <w:hideMark/>
          </w:tcPr>
          <w:p w14:paraId="77EC0DE7" w14:textId="21A0ABB2"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$716 </w:t>
            </w:r>
          </w:p>
        </w:tc>
        <w:tc>
          <w:tcPr>
            <w:tcW w:w="1168" w:type="pct"/>
            <w:hideMark/>
          </w:tcPr>
          <w:p w14:paraId="35DE467D" w14:textId="2BE79DC9"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$64 </w:t>
            </w:r>
          </w:p>
        </w:tc>
      </w:tr>
      <w:tr w:rsidR="0011270F" w:rsidRPr="002D1AAE" w14:paraId="18DB1AA2" w14:textId="77777777" w:rsidTr="006040D1">
        <w:trPr>
          <w:cnfStyle w:val="000000100000" w:firstRow="0" w:lastRow="0" w:firstColumn="0" w:lastColumn="0" w:oddVBand="0" w:evenVBand="0" w:oddHBand="1" w:evenHBand="0" w:firstRowFirstColumn="0" w:firstRowLastColumn="0" w:lastRowFirstColumn="0" w:lastRowLastColumn="0"/>
          <w:trHeight w:val="20"/>
        </w:trPr>
        <w:tc>
          <w:tcPr>
            <w:tcW w:w="731" w:type="pct"/>
            <w:hideMark/>
          </w:tcPr>
          <w:p w14:paraId="41CCE35B"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9</w:t>
            </w:r>
          </w:p>
        </w:tc>
        <w:tc>
          <w:tcPr>
            <w:tcW w:w="1817" w:type="pct"/>
            <w:hideMark/>
          </w:tcPr>
          <w:p w14:paraId="6C3B0414" w14:textId="36D1C104"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Sunshine Coast  </w:t>
            </w:r>
          </w:p>
        </w:tc>
        <w:tc>
          <w:tcPr>
            <w:tcW w:w="1284" w:type="pct"/>
            <w:hideMark/>
          </w:tcPr>
          <w:p w14:paraId="2F18744B" w14:textId="6F9D04DA"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$536 </w:t>
            </w:r>
          </w:p>
        </w:tc>
        <w:tc>
          <w:tcPr>
            <w:tcW w:w="1168" w:type="pct"/>
            <w:hideMark/>
          </w:tcPr>
          <w:p w14:paraId="583232FE" w14:textId="75D0216B"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$48 </w:t>
            </w:r>
          </w:p>
        </w:tc>
      </w:tr>
      <w:tr w:rsidR="0011270F" w:rsidRPr="002D1AAE" w14:paraId="66699CB6" w14:textId="77777777" w:rsidTr="006040D1">
        <w:trPr>
          <w:cnfStyle w:val="000000010000" w:firstRow="0" w:lastRow="0" w:firstColumn="0" w:lastColumn="0" w:oddVBand="0" w:evenVBand="0" w:oddHBand="0" w:evenHBand="1" w:firstRowFirstColumn="0" w:firstRowLastColumn="0" w:lastRowFirstColumn="0" w:lastRowLastColumn="0"/>
          <w:trHeight w:val="20"/>
        </w:trPr>
        <w:tc>
          <w:tcPr>
            <w:tcW w:w="731" w:type="pct"/>
            <w:hideMark/>
          </w:tcPr>
          <w:p w14:paraId="289982F5"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10</w:t>
            </w:r>
          </w:p>
        </w:tc>
        <w:tc>
          <w:tcPr>
            <w:tcW w:w="1817" w:type="pct"/>
            <w:hideMark/>
          </w:tcPr>
          <w:p w14:paraId="2441BD22" w14:textId="718290A9"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Central Coast  </w:t>
            </w:r>
          </w:p>
        </w:tc>
        <w:tc>
          <w:tcPr>
            <w:tcW w:w="1284" w:type="pct"/>
            <w:hideMark/>
          </w:tcPr>
          <w:p w14:paraId="090189D0" w14:textId="4C9EFA62"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$519 </w:t>
            </w:r>
          </w:p>
        </w:tc>
        <w:tc>
          <w:tcPr>
            <w:tcW w:w="1168" w:type="pct"/>
            <w:hideMark/>
          </w:tcPr>
          <w:p w14:paraId="1B10967B" w14:textId="09F86CD4"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$47 </w:t>
            </w:r>
          </w:p>
        </w:tc>
      </w:tr>
      <w:tr w:rsidR="0011270F" w:rsidRPr="002D1AAE" w14:paraId="6F87BB27" w14:textId="77777777" w:rsidTr="006040D1">
        <w:trPr>
          <w:cnfStyle w:val="000000100000" w:firstRow="0" w:lastRow="0" w:firstColumn="0" w:lastColumn="0" w:oddVBand="0" w:evenVBand="0" w:oddHBand="1" w:evenHBand="0" w:firstRowFirstColumn="0" w:firstRowLastColumn="0" w:lastRowFirstColumn="0" w:lastRowLastColumn="0"/>
          <w:trHeight w:val="20"/>
        </w:trPr>
        <w:tc>
          <w:tcPr>
            <w:tcW w:w="731" w:type="pct"/>
            <w:hideMark/>
          </w:tcPr>
          <w:p w14:paraId="7CADDC83"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11</w:t>
            </w:r>
          </w:p>
        </w:tc>
        <w:tc>
          <w:tcPr>
            <w:tcW w:w="1817" w:type="pct"/>
            <w:hideMark/>
          </w:tcPr>
          <w:p w14:paraId="34F18B19" w14:textId="2B0A0E9B"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Wollongong </w:t>
            </w:r>
          </w:p>
        </w:tc>
        <w:tc>
          <w:tcPr>
            <w:tcW w:w="1284" w:type="pct"/>
            <w:hideMark/>
          </w:tcPr>
          <w:p w14:paraId="3171FB26" w14:textId="1A73B1B9"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$476</w:t>
            </w:r>
          </w:p>
        </w:tc>
        <w:tc>
          <w:tcPr>
            <w:tcW w:w="1168" w:type="pct"/>
            <w:hideMark/>
          </w:tcPr>
          <w:p w14:paraId="7CBCBC10" w14:textId="6375BC3A"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$43</w:t>
            </w:r>
          </w:p>
        </w:tc>
      </w:tr>
      <w:tr w:rsidR="0011270F" w:rsidRPr="002D1AAE" w14:paraId="5217BCF0" w14:textId="77777777" w:rsidTr="006040D1">
        <w:trPr>
          <w:cnfStyle w:val="000000010000" w:firstRow="0" w:lastRow="0" w:firstColumn="0" w:lastColumn="0" w:oddVBand="0" w:evenVBand="0" w:oddHBand="0" w:evenHBand="1" w:firstRowFirstColumn="0" w:firstRowLastColumn="0" w:lastRowFirstColumn="0" w:lastRowLastColumn="0"/>
          <w:trHeight w:val="20"/>
        </w:trPr>
        <w:tc>
          <w:tcPr>
            <w:tcW w:w="731" w:type="pct"/>
            <w:hideMark/>
          </w:tcPr>
          <w:p w14:paraId="4523C56C"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lastRenderedPageBreak/>
              <w:t>12</w:t>
            </w:r>
          </w:p>
        </w:tc>
        <w:tc>
          <w:tcPr>
            <w:tcW w:w="1817" w:type="pct"/>
            <w:hideMark/>
          </w:tcPr>
          <w:p w14:paraId="08599CA0" w14:textId="6649945A"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Geelong</w:t>
            </w:r>
          </w:p>
        </w:tc>
        <w:tc>
          <w:tcPr>
            <w:tcW w:w="1284" w:type="pct"/>
            <w:hideMark/>
          </w:tcPr>
          <w:p w14:paraId="70DA582D" w14:textId="36C2FBDA"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$435 </w:t>
            </w:r>
          </w:p>
        </w:tc>
        <w:tc>
          <w:tcPr>
            <w:tcW w:w="1168" w:type="pct"/>
            <w:hideMark/>
          </w:tcPr>
          <w:p w14:paraId="03759D14" w14:textId="71449A8E"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$41</w:t>
            </w:r>
          </w:p>
        </w:tc>
      </w:tr>
      <w:tr w:rsidR="0011270F" w:rsidRPr="002D1AAE" w14:paraId="1905C42C" w14:textId="77777777" w:rsidTr="006040D1">
        <w:trPr>
          <w:cnfStyle w:val="000000100000" w:firstRow="0" w:lastRow="0" w:firstColumn="0" w:lastColumn="0" w:oddVBand="0" w:evenVBand="0" w:oddHBand="1" w:evenHBand="0" w:firstRowFirstColumn="0" w:firstRowLastColumn="0" w:lastRowFirstColumn="0" w:lastRowLastColumn="0"/>
          <w:trHeight w:val="20"/>
        </w:trPr>
        <w:tc>
          <w:tcPr>
            <w:tcW w:w="731" w:type="pct"/>
            <w:hideMark/>
          </w:tcPr>
          <w:p w14:paraId="73B837A0"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13</w:t>
            </w:r>
          </w:p>
        </w:tc>
        <w:tc>
          <w:tcPr>
            <w:tcW w:w="1817" w:type="pct"/>
            <w:hideMark/>
          </w:tcPr>
          <w:p w14:paraId="7D3AD94D" w14:textId="7E617E47"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Hobart </w:t>
            </w:r>
          </w:p>
        </w:tc>
        <w:tc>
          <w:tcPr>
            <w:tcW w:w="1284" w:type="pct"/>
            <w:hideMark/>
          </w:tcPr>
          <w:p w14:paraId="55AF59A1" w14:textId="6FEA3AE9"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$337 </w:t>
            </w:r>
          </w:p>
        </w:tc>
        <w:tc>
          <w:tcPr>
            <w:tcW w:w="1168" w:type="pct"/>
            <w:hideMark/>
          </w:tcPr>
          <w:p w14:paraId="430E5CAA" w14:textId="07E2EA45"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$41 </w:t>
            </w:r>
          </w:p>
        </w:tc>
      </w:tr>
      <w:tr w:rsidR="0011270F" w:rsidRPr="002D1AAE" w14:paraId="13C182D1" w14:textId="77777777" w:rsidTr="006040D1">
        <w:trPr>
          <w:cnfStyle w:val="000000010000" w:firstRow="0" w:lastRow="0" w:firstColumn="0" w:lastColumn="0" w:oddVBand="0" w:evenVBand="0" w:oddHBand="0" w:evenHBand="1" w:firstRowFirstColumn="0" w:firstRowLastColumn="0" w:lastRowFirstColumn="0" w:lastRowLastColumn="0"/>
          <w:trHeight w:val="20"/>
        </w:trPr>
        <w:tc>
          <w:tcPr>
            <w:tcW w:w="731" w:type="pct"/>
            <w:hideMark/>
          </w:tcPr>
          <w:p w14:paraId="0D437A5E"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14</w:t>
            </w:r>
          </w:p>
        </w:tc>
        <w:tc>
          <w:tcPr>
            <w:tcW w:w="1817" w:type="pct"/>
            <w:hideMark/>
          </w:tcPr>
          <w:p w14:paraId="70BA2C55" w14:textId="1E5A90E2"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Townsville </w:t>
            </w:r>
          </w:p>
        </w:tc>
        <w:tc>
          <w:tcPr>
            <w:tcW w:w="1284" w:type="pct"/>
            <w:hideMark/>
          </w:tcPr>
          <w:p w14:paraId="31439DF5" w14:textId="274202A7"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$282 </w:t>
            </w:r>
          </w:p>
        </w:tc>
        <w:tc>
          <w:tcPr>
            <w:tcW w:w="1168" w:type="pct"/>
            <w:hideMark/>
          </w:tcPr>
          <w:p w14:paraId="0A0F9B32" w14:textId="2A6C933E"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$41 </w:t>
            </w:r>
          </w:p>
        </w:tc>
      </w:tr>
      <w:tr w:rsidR="0011270F" w:rsidRPr="002D1AAE" w14:paraId="0C78897F" w14:textId="77777777" w:rsidTr="006040D1">
        <w:trPr>
          <w:cnfStyle w:val="000000100000" w:firstRow="0" w:lastRow="0" w:firstColumn="0" w:lastColumn="0" w:oddVBand="0" w:evenVBand="0" w:oddHBand="1" w:evenHBand="0" w:firstRowFirstColumn="0" w:firstRowLastColumn="0" w:lastRowFirstColumn="0" w:lastRowLastColumn="0"/>
          <w:trHeight w:val="20"/>
        </w:trPr>
        <w:tc>
          <w:tcPr>
            <w:tcW w:w="731" w:type="pct"/>
            <w:hideMark/>
          </w:tcPr>
          <w:p w14:paraId="01C44181" w14:textId="77777777" w:rsidR="0011270F" w:rsidRPr="002D1AAE" w:rsidRDefault="0011270F" w:rsidP="0011270F">
            <w:pPr>
              <w:pStyle w:val="TableText"/>
              <w:ind w:left="284"/>
              <w:rPr>
                <w:rFonts w:ascii="Arial" w:hAnsi="Arial" w:cs="Arial"/>
                <w:sz w:val="20"/>
                <w:szCs w:val="20"/>
              </w:rPr>
            </w:pPr>
            <w:r w:rsidRPr="002D1AAE">
              <w:rPr>
                <w:rFonts w:ascii="Arial" w:hAnsi="Arial" w:cs="Arial"/>
                <w:sz w:val="20"/>
                <w:szCs w:val="20"/>
              </w:rPr>
              <w:t>15</w:t>
            </w:r>
          </w:p>
        </w:tc>
        <w:tc>
          <w:tcPr>
            <w:tcW w:w="1817" w:type="pct"/>
            <w:hideMark/>
          </w:tcPr>
          <w:p w14:paraId="6111A078" w14:textId="296D7A2A"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Cairns </w:t>
            </w:r>
          </w:p>
        </w:tc>
        <w:tc>
          <w:tcPr>
            <w:tcW w:w="1284" w:type="pct"/>
            <w:hideMark/>
          </w:tcPr>
          <w:p w14:paraId="7C45F4AF" w14:textId="22596B72"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$239</w:t>
            </w:r>
          </w:p>
        </w:tc>
        <w:tc>
          <w:tcPr>
            <w:tcW w:w="1168" w:type="pct"/>
            <w:hideMark/>
          </w:tcPr>
          <w:p w14:paraId="22C8CD4B" w14:textId="5B7BB78C" w:rsidR="0011270F" w:rsidRPr="002D1AAE" w:rsidRDefault="0011270F" w:rsidP="0011270F">
            <w:pPr>
              <w:pStyle w:val="TableText"/>
              <w:ind w:left="284"/>
              <w:rPr>
                <w:rFonts w:ascii="Arial" w:hAnsi="Arial" w:cs="Arial"/>
                <w:sz w:val="20"/>
                <w:szCs w:val="20"/>
              </w:rPr>
            </w:pPr>
            <w:r w:rsidRPr="0011270F">
              <w:rPr>
                <w:rFonts w:ascii="Arial" w:hAnsi="Arial" w:cs="Arial"/>
                <w:sz w:val="20"/>
                <w:szCs w:val="20"/>
              </w:rPr>
              <w:t xml:space="preserve">$41 </w:t>
            </w:r>
          </w:p>
        </w:tc>
      </w:tr>
      <w:tr w:rsidR="00D852E3" w:rsidRPr="002D1AAE" w14:paraId="149681AF" w14:textId="77777777" w:rsidTr="006040D1">
        <w:trPr>
          <w:cnfStyle w:val="000000010000" w:firstRow="0" w:lastRow="0" w:firstColumn="0" w:lastColumn="0" w:oddVBand="0" w:evenVBand="0" w:oddHBand="0" w:evenHBand="1" w:firstRowFirstColumn="0" w:firstRowLastColumn="0" w:lastRowFirstColumn="0" w:lastRowLastColumn="0"/>
          <w:trHeight w:val="20"/>
        </w:trPr>
        <w:tc>
          <w:tcPr>
            <w:tcW w:w="731" w:type="pct"/>
            <w:hideMark/>
          </w:tcPr>
          <w:p w14:paraId="073F790C" w14:textId="77777777" w:rsidR="00D852E3" w:rsidRPr="002D1AAE" w:rsidRDefault="00D852E3">
            <w:pPr>
              <w:pStyle w:val="TableText"/>
              <w:ind w:left="284"/>
              <w:rPr>
                <w:rFonts w:ascii="Arial" w:hAnsi="Arial" w:cs="Arial"/>
                <w:sz w:val="20"/>
                <w:szCs w:val="20"/>
              </w:rPr>
            </w:pPr>
            <w:r w:rsidRPr="002D1AAE">
              <w:rPr>
                <w:rFonts w:ascii="Arial" w:hAnsi="Arial" w:cs="Arial"/>
                <w:sz w:val="20"/>
                <w:szCs w:val="20"/>
              </w:rPr>
              <w:t>16</w:t>
            </w:r>
          </w:p>
        </w:tc>
        <w:tc>
          <w:tcPr>
            <w:tcW w:w="1817" w:type="pct"/>
            <w:hideMark/>
          </w:tcPr>
          <w:p w14:paraId="291385C5" w14:textId="77777777" w:rsidR="00D852E3" w:rsidRPr="002D1AAE" w:rsidRDefault="00D852E3" w:rsidP="0011270F">
            <w:pPr>
              <w:pStyle w:val="TableText"/>
              <w:ind w:left="284"/>
              <w:rPr>
                <w:rFonts w:ascii="Arial" w:hAnsi="Arial" w:cs="Arial"/>
                <w:sz w:val="20"/>
                <w:szCs w:val="20"/>
              </w:rPr>
            </w:pPr>
            <w:r w:rsidRPr="0011270F">
              <w:rPr>
                <w:rFonts w:ascii="Arial" w:hAnsi="Arial" w:cs="Arial"/>
                <w:sz w:val="20"/>
                <w:szCs w:val="20"/>
              </w:rPr>
              <w:t>A place in Australia not otherwise specified in this table</w:t>
            </w:r>
          </w:p>
        </w:tc>
        <w:tc>
          <w:tcPr>
            <w:tcW w:w="1284" w:type="pct"/>
            <w:hideMark/>
          </w:tcPr>
          <w:p w14:paraId="6CFFAA2F" w14:textId="343D6C79" w:rsidR="00D852E3" w:rsidRPr="002D1AAE" w:rsidRDefault="00D852E3" w:rsidP="0011270F">
            <w:pPr>
              <w:pStyle w:val="TableText"/>
              <w:ind w:left="284"/>
              <w:rPr>
                <w:rFonts w:ascii="Arial" w:hAnsi="Arial" w:cs="Arial"/>
                <w:sz w:val="20"/>
                <w:szCs w:val="20"/>
              </w:rPr>
            </w:pPr>
            <w:r w:rsidRPr="002D1AAE">
              <w:rPr>
                <w:rFonts w:ascii="Arial" w:hAnsi="Arial" w:cs="Arial"/>
                <w:sz w:val="20"/>
                <w:szCs w:val="20"/>
              </w:rPr>
              <w:t xml:space="preserve">$41 </w:t>
            </w:r>
          </w:p>
        </w:tc>
        <w:tc>
          <w:tcPr>
            <w:tcW w:w="1168" w:type="pct"/>
            <w:hideMark/>
          </w:tcPr>
          <w:p w14:paraId="2730C230" w14:textId="3377260A" w:rsidR="00D852E3" w:rsidRPr="002D1AAE" w:rsidRDefault="00D852E3" w:rsidP="0011270F">
            <w:pPr>
              <w:pStyle w:val="TableText"/>
              <w:ind w:left="284"/>
              <w:rPr>
                <w:rFonts w:ascii="Arial" w:hAnsi="Arial" w:cs="Arial"/>
                <w:sz w:val="20"/>
                <w:szCs w:val="20"/>
              </w:rPr>
            </w:pPr>
            <w:r w:rsidRPr="002D1AAE">
              <w:rPr>
                <w:rFonts w:ascii="Arial" w:hAnsi="Arial" w:cs="Arial"/>
                <w:sz w:val="20"/>
                <w:szCs w:val="20"/>
              </w:rPr>
              <w:t xml:space="preserve">$41 </w:t>
            </w:r>
          </w:p>
        </w:tc>
      </w:tr>
    </w:tbl>
    <w:p w14:paraId="1E283480" w14:textId="77777777" w:rsidR="00B51853" w:rsidRDefault="00B51853" w:rsidP="00B51853">
      <w:pPr>
        <w:rPr>
          <w:rFonts w:cs="Arial"/>
        </w:rPr>
      </w:pPr>
    </w:p>
    <w:p w14:paraId="0D3A0C7A" w14:textId="2C4914B6" w:rsidR="00CD2741" w:rsidRPr="00395023" w:rsidRDefault="00CD2741" w:rsidP="00CD2741">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351DC7">
        <w:t xml:space="preserve">Question </w:t>
      </w:r>
      <w:r w:rsidR="00BE5B89">
        <w:t>7</w:t>
      </w:r>
    </w:p>
    <w:p w14:paraId="6F73FC3C" w14:textId="1DC08A71" w:rsidR="00FD4A66" w:rsidRDefault="00CE71B4" w:rsidP="00CD2741">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Do you have any comments on these </w:t>
      </w:r>
      <w:r w:rsidR="00734A66">
        <w:t>tax reform proposals for HPON</w:t>
      </w:r>
      <w:r w:rsidR="00BE5B89">
        <w:t xml:space="preserve"> licence</w:t>
      </w:r>
      <w:r w:rsidR="00734A66">
        <w:t xml:space="preserve">s? </w:t>
      </w:r>
    </w:p>
    <w:p w14:paraId="043C028A" w14:textId="77777777" w:rsidR="00CD2741" w:rsidRDefault="00CD2741" w:rsidP="00B51853">
      <w:pPr>
        <w:rPr>
          <w:rFonts w:cs="Arial"/>
        </w:rPr>
      </w:pPr>
    </w:p>
    <w:p w14:paraId="70EA0B7D" w14:textId="78B48DCA" w:rsidR="000E5FE2" w:rsidRPr="009D55E7" w:rsidRDefault="000E5FE2" w:rsidP="009D55E7">
      <w:pPr>
        <w:pStyle w:val="Heading1"/>
      </w:pPr>
      <w:bookmarkStart w:id="15" w:name="_Toc86153500"/>
      <w:r w:rsidRPr="000E5FE2">
        <w:lastRenderedPageBreak/>
        <w:t xml:space="preserve">Proposal to adjust </w:t>
      </w:r>
      <w:r w:rsidR="00141412">
        <w:t>t</w:t>
      </w:r>
      <w:r w:rsidRPr="000E5FE2">
        <w:t xml:space="preserve">ranche </w:t>
      </w:r>
      <w:r w:rsidR="00141412">
        <w:t>one</w:t>
      </w:r>
      <w:r w:rsidRPr="000E5FE2">
        <w:t xml:space="preserve"> reforms</w:t>
      </w:r>
      <w:bookmarkEnd w:id="15"/>
    </w:p>
    <w:p w14:paraId="0772D903" w14:textId="4B9B977B" w:rsidR="00B51853" w:rsidRDefault="00E243AA" w:rsidP="00E243AA">
      <w:pPr>
        <w:pStyle w:val="Heading2"/>
      </w:pPr>
      <w:bookmarkStart w:id="16" w:name="_Toc86153501"/>
      <w:r>
        <w:t>Definitions of low</w:t>
      </w:r>
      <w:r w:rsidR="004855F5">
        <w:t>-</w:t>
      </w:r>
      <w:r>
        <w:t>power and micro</w:t>
      </w:r>
      <w:r w:rsidR="004855F5">
        <w:t>-</w:t>
      </w:r>
      <w:r>
        <w:t>power spectrum accesses</w:t>
      </w:r>
      <w:bookmarkEnd w:id="16"/>
    </w:p>
    <w:p w14:paraId="71BF1CF9" w14:textId="64FF00EB" w:rsidR="00ED5E21" w:rsidRDefault="0043658A" w:rsidP="00ED5E21">
      <w:pPr>
        <w:pStyle w:val="Paragraph"/>
      </w:pPr>
      <w:r>
        <w:t xml:space="preserve">The ACMA introduced a </w:t>
      </w:r>
      <w:r w:rsidR="00703E9C">
        <w:t>tax</w:t>
      </w:r>
      <w:r w:rsidR="00AB4477">
        <w:t xml:space="preserve"> discount for </w:t>
      </w:r>
      <w:r>
        <w:t>‘micro</w:t>
      </w:r>
      <w:r w:rsidR="00EE1EA4">
        <w:t>-</w:t>
      </w:r>
      <w:r>
        <w:t>power spectrum access</w:t>
      </w:r>
      <w:r w:rsidR="0070343B">
        <w:t>’</w:t>
      </w:r>
      <w:r>
        <w:t xml:space="preserve"> in the</w:t>
      </w:r>
      <w:r w:rsidR="00141412">
        <w:t xml:space="preserve"> first </w:t>
      </w:r>
      <w:r>
        <w:t xml:space="preserve">tranche of </w:t>
      </w:r>
      <w:r w:rsidR="008025B2">
        <w:t xml:space="preserve">reforms. </w:t>
      </w:r>
      <w:r w:rsidR="00ED5E21">
        <w:t>In doing so</w:t>
      </w:r>
      <w:r w:rsidR="005266ED">
        <w:t>,</w:t>
      </w:r>
      <w:r w:rsidR="00ED5E21">
        <w:t xml:space="preserve"> we updated the definition of the ‘</w:t>
      </w:r>
      <w:r w:rsidR="0070343B">
        <w:t>low</w:t>
      </w:r>
      <w:r w:rsidR="00EE1EA4">
        <w:t>-</w:t>
      </w:r>
      <w:r w:rsidR="00ED5E21">
        <w:t>power spectrum access</w:t>
      </w:r>
      <w:r w:rsidR="00246EE4">
        <w:t>’</w:t>
      </w:r>
      <w:r w:rsidR="00ED5E21">
        <w:t xml:space="preserve"> for consistency</w:t>
      </w:r>
      <w:r w:rsidR="00246EE4">
        <w:t xml:space="preserve"> of wording across the two service </w:t>
      </w:r>
      <w:r w:rsidR="00F214F3">
        <w:t>models</w:t>
      </w:r>
      <w:r w:rsidR="00141412">
        <w:t>. H</w:t>
      </w:r>
      <w:r w:rsidR="00ED5E21">
        <w:t xml:space="preserve">owever, we </w:t>
      </w:r>
      <w:r w:rsidR="005529A0">
        <w:t xml:space="preserve">have </w:t>
      </w:r>
      <w:r w:rsidR="00ED5E21">
        <w:t xml:space="preserve">received feedback </w:t>
      </w:r>
      <w:r w:rsidR="005529A0">
        <w:t>on</w:t>
      </w:r>
      <w:r w:rsidR="00ED5E21">
        <w:t xml:space="preserve"> the</w:t>
      </w:r>
      <w:r w:rsidR="00246EE4">
        <w:t xml:space="preserve"> new</w:t>
      </w:r>
      <w:r w:rsidR="00ED5E21">
        <w:t xml:space="preserve"> definitions. </w:t>
      </w:r>
    </w:p>
    <w:p w14:paraId="35643C7B" w14:textId="155A0113" w:rsidR="00246EE4" w:rsidRDefault="00B22E8C" w:rsidP="00E243AA">
      <w:pPr>
        <w:pStyle w:val="Paragraph"/>
      </w:pPr>
      <w:r>
        <w:t xml:space="preserve">Our </w:t>
      </w:r>
      <w:r w:rsidR="00927D46">
        <w:t xml:space="preserve">intent </w:t>
      </w:r>
      <w:r w:rsidR="005266ED">
        <w:t>was</w:t>
      </w:r>
      <w:r w:rsidR="00927D46">
        <w:t xml:space="preserve"> </w:t>
      </w:r>
      <w:r w:rsidR="00246EE4">
        <w:t>and continues to be that the low</w:t>
      </w:r>
      <w:r w:rsidR="00EE1EA4">
        <w:t>-</w:t>
      </w:r>
      <w:r w:rsidR="00246EE4">
        <w:t xml:space="preserve">power discount (90% discount) applies to the </w:t>
      </w:r>
      <w:r w:rsidR="00A36A8D">
        <w:t>l</w:t>
      </w:r>
      <w:r w:rsidR="00246EE4" w:rsidRPr="00F80D6C">
        <w:rPr>
          <w:rFonts w:eastAsia="Calibri"/>
          <w:szCs w:val="20"/>
          <w:lang w:val="en-GB"/>
        </w:rPr>
        <w:t>ow-power land mobile radio system (LPMRS)</w:t>
      </w:r>
      <w:r w:rsidR="00246EE4">
        <w:rPr>
          <w:rFonts w:eastAsia="Calibri"/>
          <w:szCs w:val="20"/>
          <w:lang w:val="en-GB"/>
        </w:rPr>
        <w:t xml:space="preserve"> service model</w:t>
      </w:r>
      <w:r w:rsidR="00513132">
        <w:rPr>
          <w:rFonts w:eastAsia="Calibri"/>
          <w:szCs w:val="20"/>
          <w:lang w:val="en-GB"/>
        </w:rPr>
        <w:t>, and the ‘micro</w:t>
      </w:r>
      <w:r w:rsidR="00EE1EA4">
        <w:rPr>
          <w:rFonts w:eastAsia="Calibri"/>
          <w:szCs w:val="20"/>
          <w:lang w:val="en-GB"/>
        </w:rPr>
        <w:t>-</w:t>
      </w:r>
      <w:r w:rsidR="00513132">
        <w:rPr>
          <w:rFonts w:eastAsia="Calibri"/>
          <w:szCs w:val="20"/>
          <w:lang w:val="en-GB"/>
        </w:rPr>
        <w:t>power</w:t>
      </w:r>
      <w:r w:rsidR="00EE1EA4">
        <w:rPr>
          <w:rFonts w:eastAsia="Calibri"/>
          <w:szCs w:val="20"/>
          <w:lang w:val="en-GB"/>
        </w:rPr>
        <w:t>’</w:t>
      </w:r>
      <w:r w:rsidR="00513132">
        <w:rPr>
          <w:rFonts w:eastAsia="Calibri"/>
          <w:szCs w:val="20"/>
          <w:lang w:val="en-GB"/>
        </w:rPr>
        <w:t xml:space="preserve"> discount (95% discount) applies to the </w:t>
      </w:r>
      <w:r w:rsidR="00141412">
        <w:rPr>
          <w:rFonts w:eastAsia="Calibri"/>
          <w:szCs w:val="20"/>
          <w:lang w:val="en-GB"/>
        </w:rPr>
        <w:t>‘</w:t>
      </w:r>
      <w:r w:rsidR="00513132" w:rsidRPr="00F80D6C">
        <w:rPr>
          <w:rFonts w:eastAsia="Calibri"/>
          <w:szCs w:val="20"/>
          <w:lang w:val="en-GB"/>
        </w:rPr>
        <w:t xml:space="preserve">Enclosed and </w:t>
      </w:r>
      <w:r w:rsidR="00513132">
        <w:rPr>
          <w:rFonts w:eastAsia="Calibri"/>
          <w:szCs w:val="20"/>
          <w:lang w:val="en-GB"/>
        </w:rPr>
        <w:t>s</w:t>
      </w:r>
      <w:r w:rsidR="00513132" w:rsidRPr="00F80D6C">
        <w:rPr>
          <w:rFonts w:eastAsia="Calibri"/>
          <w:szCs w:val="20"/>
          <w:lang w:val="en-GB"/>
        </w:rPr>
        <w:t xml:space="preserve">hort-range </w:t>
      </w:r>
      <w:r w:rsidR="00513132">
        <w:rPr>
          <w:rFonts w:eastAsia="Calibri"/>
          <w:szCs w:val="20"/>
          <w:lang w:val="en-GB"/>
        </w:rPr>
        <w:t>d</w:t>
      </w:r>
      <w:r w:rsidR="00513132" w:rsidRPr="00F80D6C">
        <w:rPr>
          <w:rFonts w:eastAsia="Calibri"/>
          <w:szCs w:val="20"/>
          <w:lang w:val="en-GB"/>
        </w:rPr>
        <w:t xml:space="preserve">igital </w:t>
      </w:r>
      <w:r w:rsidR="00513132">
        <w:rPr>
          <w:rFonts w:eastAsia="Calibri"/>
          <w:szCs w:val="20"/>
          <w:lang w:val="en-GB"/>
        </w:rPr>
        <w:t>s</w:t>
      </w:r>
      <w:r w:rsidR="00513132" w:rsidRPr="00F80D6C">
        <w:rPr>
          <w:rFonts w:eastAsia="Calibri"/>
          <w:szCs w:val="20"/>
          <w:lang w:val="en-GB"/>
        </w:rPr>
        <w:t>ervice</w:t>
      </w:r>
      <w:r w:rsidR="00513132">
        <w:rPr>
          <w:rFonts w:eastAsia="Calibri"/>
          <w:szCs w:val="20"/>
          <w:lang w:val="en-GB"/>
        </w:rPr>
        <w:t xml:space="preserve"> model</w:t>
      </w:r>
      <w:r w:rsidR="00141412">
        <w:rPr>
          <w:rFonts w:eastAsia="Calibri"/>
          <w:szCs w:val="20"/>
          <w:lang w:val="en-GB"/>
        </w:rPr>
        <w:t>’</w:t>
      </w:r>
      <w:r w:rsidR="00513132">
        <w:rPr>
          <w:rFonts w:eastAsia="Calibri"/>
          <w:szCs w:val="20"/>
          <w:lang w:val="en-GB"/>
        </w:rPr>
        <w:t xml:space="preserve"> </w:t>
      </w:r>
      <w:r w:rsidR="00246EE4">
        <w:rPr>
          <w:rFonts w:eastAsia="Calibri"/>
          <w:szCs w:val="20"/>
          <w:lang w:val="en-GB"/>
        </w:rPr>
        <w:t>(see</w:t>
      </w:r>
      <w:r w:rsidR="00430053">
        <w:rPr>
          <w:rFonts w:eastAsia="Calibri"/>
          <w:szCs w:val="20"/>
          <w:lang w:val="en-GB"/>
        </w:rPr>
        <w:t xml:space="preserve"> Table 9 below, and see</w:t>
      </w:r>
      <w:r w:rsidR="00246EE4">
        <w:rPr>
          <w:rFonts w:eastAsia="Calibri"/>
          <w:szCs w:val="20"/>
          <w:lang w:val="en-GB"/>
        </w:rPr>
        <w:t xml:space="preserve"> </w:t>
      </w:r>
      <w:hyperlink r:id="rId36" w:history="1">
        <w:r w:rsidR="009135A1" w:rsidRPr="00513132">
          <w:rPr>
            <w:rStyle w:val="Hyperlink"/>
            <w:rFonts w:eastAsia="Calibri"/>
            <w:szCs w:val="20"/>
            <w:lang w:val="en-GB"/>
          </w:rPr>
          <w:t xml:space="preserve">Radiocommunications Assignment and Licensing Instruction </w:t>
        </w:r>
        <w:r w:rsidR="003E3058" w:rsidRPr="00513132">
          <w:rPr>
            <w:rStyle w:val="Hyperlink"/>
            <w:rFonts w:eastAsia="Calibri"/>
            <w:szCs w:val="20"/>
            <w:lang w:val="en-GB"/>
          </w:rPr>
          <w:t>(</w:t>
        </w:r>
        <w:r w:rsidR="00E43540" w:rsidRPr="00513132">
          <w:rPr>
            <w:rStyle w:val="Hyperlink"/>
            <w:rFonts w:eastAsia="Calibri"/>
            <w:szCs w:val="20"/>
            <w:lang w:val="en-GB"/>
          </w:rPr>
          <w:t xml:space="preserve">RALI) </w:t>
        </w:r>
        <w:r w:rsidR="00677F61" w:rsidRPr="00513132">
          <w:rPr>
            <w:rStyle w:val="Hyperlink"/>
            <w:rFonts w:eastAsia="Calibri"/>
            <w:szCs w:val="20"/>
            <w:lang w:val="en-GB"/>
          </w:rPr>
          <w:t>LM8</w:t>
        </w:r>
      </w:hyperlink>
      <w:r w:rsidR="00513132">
        <w:rPr>
          <w:rFonts w:eastAsia="Calibri"/>
          <w:szCs w:val="20"/>
          <w:lang w:val="en-GB"/>
        </w:rPr>
        <w:t xml:space="preserve"> for detail of the service models</w:t>
      </w:r>
      <w:r w:rsidR="00E43540">
        <w:rPr>
          <w:rFonts w:eastAsia="Calibri"/>
          <w:szCs w:val="20"/>
          <w:lang w:val="en-GB"/>
        </w:rPr>
        <w:t>)</w:t>
      </w:r>
      <w:r w:rsidR="00A204C0">
        <w:rPr>
          <w:rFonts w:eastAsia="Calibri"/>
          <w:szCs w:val="20"/>
          <w:lang w:val="en-GB"/>
        </w:rPr>
        <w:t>.</w:t>
      </w:r>
      <w:r w:rsidR="00513132">
        <w:rPr>
          <w:rFonts w:eastAsia="Calibri"/>
          <w:szCs w:val="20"/>
          <w:lang w:val="en-GB"/>
        </w:rPr>
        <w:t xml:space="preserve"> </w:t>
      </w:r>
      <w:r w:rsidR="00A204C0">
        <w:t>The intent is that, for those services that use a low power and for which the licensee acknowledges that interference protection will be limited to a small radius, a discount will be applied to the tax rates.</w:t>
      </w:r>
    </w:p>
    <w:p w14:paraId="24FEDBFA" w14:textId="77777777" w:rsidR="00D84080" w:rsidRDefault="00D84080" w:rsidP="000A0B45">
      <w:pPr>
        <w:pStyle w:val="ACMATableHeader"/>
        <w:rPr>
          <w:lang w:val="en-GB"/>
        </w:rPr>
      </w:pPr>
      <w:r w:rsidRPr="000C1687">
        <w:rPr>
          <w:lang w:val="en-GB"/>
        </w:rPr>
        <w:t>Land mobile services models and price factors</w:t>
      </w:r>
    </w:p>
    <w:tbl>
      <w:tblPr>
        <w:tblStyle w:val="ACMAtablestyle"/>
        <w:tblW w:w="5000" w:type="pct"/>
        <w:tblCellMar>
          <w:top w:w="57" w:type="dxa"/>
          <w:bottom w:w="57" w:type="dxa"/>
        </w:tblCellMar>
        <w:tblLook w:val="06A0" w:firstRow="1" w:lastRow="0" w:firstColumn="1" w:lastColumn="0" w:noHBand="1" w:noVBand="1"/>
      </w:tblPr>
      <w:tblGrid>
        <w:gridCol w:w="1912"/>
        <w:gridCol w:w="1926"/>
        <w:gridCol w:w="1912"/>
        <w:gridCol w:w="1911"/>
      </w:tblGrid>
      <w:tr w:rsidR="00D84080" w14:paraId="100B4EE2" w14:textId="77777777" w:rsidTr="006040D1">
        <w:trPr>
          <w:cnfStyle w:val="100000000000" w:firstRow="1" w:lastRow="0" w:firstColumn="0" w:lastColumn="0" w:oddVBand="0" w:evenVBand="0" w:oddHBand="0" w:evenHBand="0" w:firstRowFirstColumn="0" w:firstRowLastColumn="0" w:lastRowFirstColumn="0" w:lastRowLastColumn="0"/>
        </w:trPr>
        <w:tc>
          <w:tcPr>
            <w:tcW w:w="1248" w:type="pct"/>
          </w:tcPr>
          <w:p w14:paraId="6049C416" w14:textId="77777777" w:rsidR="00D84080" w:rsidRPr="00F80D6C" w:rsidRDefault="00D84080" w:rsidP="006040D1">
            <w:pPr>
              <w:spacing w:line="240" w:lineRule="auto"/>
              <w:jc w:val="center"/>
              <w:rPr>
                <w:rFonts w:cs="Arial"/>
                <w:szCs w:val="20"/>
              </w:rPr>
            </w:pPr>
            <w:r w:rsidRPr="00F80D6C">
              <w:rPr>
                <w:rFonts w:eastAsia="Calibri" w:cs="Arial"/>
                <w:b/>
                <w:bCs/>
                <w:szCs w:val="20"/>
                <w:lang w:val="en-GB"/>
              </w:rPr>
              <w:t>Land mobile service model</w:t>
            </w:r>
          </w:p>
        </w:tc>
        <w:tc>
          <w:tcPr>
            <w:tcW w:w="1257" w:type="pct"/>
          </w:tcPr>
          <w:p w14:paraId="08F457A9" w14:textId="0879044A" w:rsidR="00D84080" w:rsidRPr="00F80D6C" w:rsidRDefault="00D84080" w:rsidP="006040D1">
            <w:pPr>
              <w:spacing w:line="240" w:lineRule="auto"/>
              <w:jc w:val="center"/>
              <w:rPr>
                <w:rFonts w:cs="Arial"/>
                <w:szCs w:val="20"/>
              </w:rPr>
            </w:pPr>
            <w:r w:rsidRPr="00F80D6C">
              <w:rPr>
                <w:rFonts w:eastAsia="Calibri" w:cs="Arial"/>
                <w:b/>
                <w:bCs/>
                <w:szCs w:val="20"/>
                <w:lang w:val="en-GB"/>
              </w:rPr>
              <w:t>Notional service area radius (km)</w:t>
            </w:r>
          </w:p>
        </w:tc>
        <w:tc>
          <w:tcPr>
            <w:tcW w:w="1248" w:type="pct"/>
          </w:tcPr>
          <w:p w14:paraId="20D3B5CE" w14:textId="77777777" w:rsidR="00D84080" w:rsidRPr="00F80D6C" w:rsidRDefault="00D84080" w:rsidP="006040D1">
            <w:pPr>
              <w:spacing w:line="240" w:lineRule="auto"/>
              <w:jc w:val="center"/>
              <w:rPr>
                <w:rFonts w:cs="Arial"/>
                <w:szCs w:val="20"/>
              </w:rPr>
            </w:pPr>
            <w:r w:rsidRPr="00F80D6C">
              <w:rPr>
                <w:rFonts w:eastAsia="Calibri" w:cs="Arial"/>
                <w:b/>
                <w:bCs/>
                <w:szCs w:val="20"/>
                <w:lang w:val="en-GB"/>
              </w:rPr>
              <w:t>Reuse distance (km)</w:t>
            </w:r>
          </w:p>
        </w:tc>
        <w:tc>
          <w:tcPr>
            <w:tcW w:w="1248" w:type="pct"/>
          </w:tcPr>
          <w:p w14:paraId="74F25748" w14:textId="77777777" w:rsidR="00D84080" w:rsidRPr="00F80D6C" w:rsidRDefault="00D84080" w:rsidP="006040D1">
            <w:pPr>
              <w:spacing w:line="240" w:lineRule="auto"/>
              <w:jc w:val="center"/>
              <w:rPr>
                <w:rFonts w:cs="Arial"/>
                <w:szCs w:val="20"/>
              </w:rPr>
            </w:pPr>
            <w:r w:rsidRPr="00F80D6C">
              <w:rPr>
                <w:rFonts w:eastAsia="Calibri" w:cs="Arial"/>
                <w:b/>
                <w:bCs/>
                <w:szCs w:val="20"/>
                <w:lang w:val="en-GB"/>
              </w:rPr>
              <w:t>Price factor</w:t>
            </w:r>
          </w:p>
        </w:tc>
      </w:tr>
      <w:tr w:rsidR="00D84080" w14:paraId="05AACA9E" w14:textId="77777777" w:rsidTr="006040D1">
        <w:tc>
          <w:tcPr>
            <w:tcW w:w="1248" w:type="pct"/>
          </w:tcPr>
          <w:p w14:paraId="1CDDF2F8" w14:textId="77777777" w:rsidR="00D84080" w:rsidRPr="00F80D6C" w:rsidRDefault="00D84080" w:rsidP="006040D1">
            <w:pPr>
              <w:spacing w:line="240" w:lineRule="auto"/>
              <w:jc w:val="center"/>
              <w:rPr>
                <w:rFonts w:cs="Arial"/>
                <w:szCs w:val="20"/>
              </w:rPr>
            </w:pPr>
            <w:r>
              <w:rPr>
                <w:rFonts w:eastAsia="Calibri" w:cs="Arial"/>
                <w:szCs w:val="20"/>
                <w:lang w:val="en-GB"/>
              </w:rPr>
              <w:t>L</w:t>
            </w:r>
            <w:r w:rsidRPr="00F80D6C">
              <w:rPr>
                <w:rFonts w:eastAsia="Calibri" w:cs="Arial"/>
                <w:szCs w:val="20"/>
                <w:lang w:val="en-GB"/>
              </w:rPr>
              <w:t>and mobile radio systems (LMRS)</w:t>
            </w:r>
          </w:p>
        </w:tc>
        <w:tc>
          <w:tcPr>
            <w:tcW w:w="1257" w:type="pct"/>
          </w:tcPr>
          <w:p w14:paraId="09BED6C9" w14:textId="77777777" w:rsidR="00D84080" w:rsidRPr="00F80D6C" w:rsidRDefault="00D84080" w:rsidP="006040D1">
            <w:pPr>
              <w:spacing w:line="240" w:lineRule="auto"/>
              <w:jc w:val="center"/>
              <w:rPr>
                <w:rFonts w:cs="Arial"/>
                <w:szCs w:val="20"/>
              </w:rPr>
            </w:pPr>
            <w:r w:rsidRPr="00F80D6C">
              <w:rPr>
                <w:rFonts w:eastAsia="Calibri" w:cs="Arial"/>
                <w:szCs w:val="20"/>
                <w:lang w:val="en-GB"/>
              </w:rPr>
              <w:t>40</w:t>
            </w:r>
          </w:p>
        </w:tc>
        <w:tc>
          <w:tcPr>
            <w:tcW w:w="1248" w:type="pct"/>
          </w:tcPr>
          <w:p w14:paraId="79428374" w14:textId="77777777" w:rsidR="00D84080" w:rsidRPr="00F80D6C" w:rsidRDefault="00D84080" w:rsidP="006040D1">
            <w:pPr>
              <w:spacing w:line="240" w:lineRule="auto"/>
              <w:jc w:val="center"/>
              <w:rPr>
                <w:rFonts w:cs="Arial"/>
                <w:szCs w:val="20"/>
              </w:rPr>
            </w:pPr>
            <w:r w:rsidRPr="00F80D6C">
              <w:rPr>
                <w:rFonts w:eastAsia="Calibri" w:cs="Arial"/>
                <w:szCs w:val="20"/>
                <w:lang w:val="en-GB"/>
              </w:rPr>
              <w:t>~100</w:t>
            </w:r>
          </w:p>
        </w:tc>
        <w:tc>
          <w:tcPr>
            <w:tcW w:w="1248" w:type="pct"/>
          </w:tcPr>
          <w:p w14:paraId="07BA0051" w14:textId="77777777" w:rsidR="00D84080" w:rsidRPr="00F80D6C" w:rsidRDefault="00D84080" w:rsidP="006040D1">
            <w:pPr>
              <w:spacing w:line="240" w:lineRule="auto"/>
              <w:jc w:val="center"/>
              <w:rPr>
                <w:rFonts w:cs="Arial"/>
                <w:szCs w:val="20"/>
              </w:rPr>
            </w:pPr>
            <w:r w:rsidRPr="00F80D6C">
              <w:rPr>
                <w:rFonts w:eastAsia="Calibri" w:cs="Arial"/>
                <w:szCs w:val="20"/>
                <w:lang w:val="en-GB"/>
              </w:rPr>
              <w:t>1</w:t>
            </w:r>
          </w:p>
        </w:tc>
      </w:tr>
      <w:tr w:rsidR="00D84080" w14:paraId="68D5B034" w14:textId="77777777" w:rsidTr="006040D1">
        <w:tc>
          <w:tcPr>
            <w:tcW w:w="1248" w:type="pct"/>
            <w:shd w:val="clear" w:color="auto" w:fill="D9D9D9" w:themeFill="background1" w:themeFillShade="D9"/>
          </w:tcPr>
          <w:p w14:paraId="042BC2CE" w14:textId="77777777" w:rsidR="00D84080" w:rsidRPr="00F80D6C" w:rsidRDefault="00D84080" w:rsidP="006040D1">
            <w:pPr>
              <w:spacing w:line="240" w:lineRule="auto"/>
              <w:jc w:val="center"/>
              <w:rPr>
                <w:rFonts w:cs="Arial"/>
                <w:szCs w:val="20"/>
              </w:rPr>
            </w:pPr>
            <w:r w:rsidRPr="00F80D6C">
              <w:rPr>
                <w:rFonts w:eastAsia="Calibri" w:cs="Arial"/>
                <w:szCs w:val="20"/>
                <w:lang w:val="en-GB"/>
              </w:rPr>
              <w:t>Low-power land mobile radio systems (LPMRS)</w:t>
            </w:r>
          </w:p>
        </w:tc>
        <w:tc>
          <w:tcPr>
            <w:tcW w:w="1257" w:type="pct"/>
            <w:shd w:val="clear" w:color="auto" w:fill="D9D9D9" w:themeFill="background1" w:themeFillShade="D9"/>
          </w:tcPr>
          <w:p w14:paraId="1DDCFD2E" w14:textId="77777777" w:rsidR="00D84080" w:rsidRPr="00F80D6C" w:rsidRDefault="00D84080" w:rsidP="006040D1">
            <w:pPr>
              <w:spacing w:line="240" w:lineRule="auto"/>
              <w:jc w:val="center"/>
              <w:rPr>
                <w:rFonts w:cs="Arial"/>
                <w:szCs w:val="20"/>
              </w:rPr>
            </w:pPr>
            <w:r w:rsidRPr="00F80D6C">
              <w:rPr>
                <w:rFonts w:eastAsia="Calibri" w:cs="Arial"/>
                <w:szCs w:val="20"/>
                <w:lang w:val="en-GB"/>
              </w:rPr>
              <w:t>2</w:t>
            </w:r>
          </w:p>
        </w:tc>
        <w:tc>
          <w:tcPr>
            <w:tcW w:w="1248" w:type="pct"/>
            <w:shd w:val="clear" w:color="auto" w:fill="D9D9D9" w:themeFill="background1" w:themeFillShade="D9"/>
          </w:tcPr>
          <w:p w14:paraId="41E984DC" w14:textId="77777777" w:rsidR="00D84080" w:rsidRPr="00F80D6C" w:rsidRDefault="00D84080" w:rsidP="006040D1">
            <w:pPr>
              <w:spacing w:line="240" w:lineRule="auto"/>
              <w:jc w:val="center"/>
              <w:rPr>
                <w:rFonts w:cs="Arial"/>
                <w:szCs w:val="20"/>
              </w:rPr>
            </w:pPr>
            <w:r w:rsidRPr="00F80D6C">
              <w:rPr>
                <w:rFonts w:eastAsia="Calibri" w:cs="Arial"/>
                <w:szCs w:val="20"/>
                <w:lang w:val="en-GB"/>
              </w:rPr>
              <w:t>10</w:t>
            </w:r>
          </w:p>
        </w:tc>
        <w:tc>
          <w:tcPr>
            <w:tcW w:w="1248" w:type="pct"/>
            <w:shd w:val="clear" w:color="auto" w:fill="D9D9D9" w:themeFill="background1" w:themeFillShade="D9"/>
          </w:tcPr>
          <w:p w14:paraId="369AB9C6" w14:textId="77777777" w:rsidR="00D84080" w:rsidRPr="00F80D6C" w:rsidRDefault="00D84080" w:rsidP="006040D1">
            <w:pPr>
              <w:spacing w:line="240" w:lineRule="auto"/>
              <w:jc w:val="center"/>
              <w:rPr>
                <w:rFonts w:cs="Arial"/>
                <w:szCs w:val="20"/>
              </w:rPr>
            </w:pPr>
            <w:r w:rsidRPr="00F80D6C">
              <w:rPr>
                <w:rFonts w:eastAsia="Calibri" w:cs="Arial"/>
                <w:szCs w:val="20"/>
                <w:lang w:val="en-GB"/>
              </w:rPr>
              <w:t>0.1</w:t>
            </w:r>
          </w:p>
        </w:tc>
      </w:tr>
      <w:tr w:rsidR="00D84080" w14:paraId="7FF90C68" w14:textId="77777777" w:rsidTr="006040D1">
        <w:tc>
          <w:tcPr>
            <w:tcW w:w="1248" w:type="pct"/>
          </w:tcPr>
          <w:p w14:paraId="68D59B79" w14:textId="77777777" w:rsidR="00D84080" w:rsidRPr="00F80D6C" w:rsidRDefault="00D84080" w:rsidP="006040D1">
            <w:pPr>
              <w:spacing w:line="240" w:lineRule="auto"/>
              <w:jc w:val="center"/>
              <w:rPr>
                <w:rFonts w:eastAsia="Calibri" w:cs="Arial"/>
                <w:szCs w:val="20"/>
                <w:lang w:val="en-GB"/>
              </w:rPr>
            </w:pPr>
            <w:r w:rsidRPr="00F80D6C">
              <w:rPr>
                <w:rFonts w:eastAsia="Calibri" w:cs="Arial"/>
                <w:szCs w:val="20"/>
                <w:lang w:val="en-GB"/>
              </w:rPr>
              <w:t>‘</w:t>
            </w:r>
            <w:r>
              <w:rPr>
                <w:rFonts w:eastAsia="Calibri" w:cs="Arial"/>
                <w:szCs w:val="20"/>
                <w:lang w:val="en-GB"/>
              </w:rPr>
              <w:t>M</w:t>
            </w:r>
            <w:r w:rsidRPr="00F80D6C">
              <w:rPr>
                <w:rFonts w:eastAsia="Calibri" w:cs="Arial"/>
                <w:szCs w:val="20"/>
                <w:lang w:val="en-GB"/>
              </w:rPr>
              <w:t>icro’ model</w:t>
            </w:r>
          </w:p>
          <w:p w14:paraId="65BA4FF7" w14:textId="77777777" w:rsidR="00D84080" w:rsidRPr="00F80D6C" w:rsidRDefault="00D84080" w:rsidP="006040D1">
            <w:pPr>
              <w:spacing w:line="240" w:lineRule="auto"/>
              <w:jc w:val="center"/>
              <w:rPr>
                <w:rFonts w:cs="Arial"/>
                <w:szCs w:val="20"/>
              </w:rPr>
            </w:pPr>
            <w:r w:rsidRPr="00F80D6C">
              <w:rPr>
                <w:rFonts w:eastAsia="Calibri" w:cs="Arial"/>
                <w:szCs w:val="20"/>
                <w:lang w:val="en-GB"/>
              </w:rPr>
              <w:t xml:space="preserve">(Enclosed and </w:t>
            </w:r>
            <w:r>
              <w:rPr>
                <w:rFonts w:eastAsia="Calibri" w:cs="Arial"/>
                <w:szCs w:val="20"/>
                <w:lang w:val="en-GB"/>
              </w:rPr>
              <w:t>s</w:t>
            </w:r>
            <w:r w:rsidRPr="00F80D6C">
              <w:rPr>
                <w:rFonts w:eastAsia="Calibri" w:cs="Arial"/>
                <w:szCs w:val="20"/>
                <w:lang w:val="en-GB"/>
              </w:rPr>
              <w:t xml:space="preserve">hort-range </w:t>
            </w:r>
            <w:r>
              <w:rPr>
                <w:rFonts w:eastAsia="Calibri" w:cs="Arial"/>
                <w:szCs w:val="20"/>
                <w:lang w:val="en-GB"/>
              </w:rPr>
              <w:t>d</w:t>
            </w:r>
            <w:r w:rsidRPr="00F80D6C">
              <w:rPr>
                <w:rFonts w:eastAsia="Calibri" w:cs="Arial"/>
                <w:szCs w:val="20"/>
                <w:lang w:val="en-GB"/>
              </w:rPr>
              <w:t xml:space="preserve">igital </w:t>
            </w:r>
            <w:r>
              <w:rPr>
                <w:rFonts w:eastAsia="Calibri" w:cs="Arial"/>
                <w:szCs w:val="20"/>
                <w:lang w:val="en-GB"/>
              </w:rPr>
              <w:t>s</w:t>
            </w:r>
            <w:r w:rsidRPr="00F80D6C">
              <w:rPr>
                <w:rFonts w:eastAsia="Calibri" w:cs="Arial"/>
                <w:szCs w:val="20"/>
                <w:lang w:val="en-GB"/>
              </w:rPr>
              <w:t>ervice)</w:t>
            </w:r>
          </w:p>
        </w:tc>
        <w:tc>
          <w:tcPr>
            <w:tcW w:w="1257" w:type="pct"/>
          </w:tcPr>
          <w:p w14:paraId="379A9CDC" w14:textId="77777777" w:rsidR="00D84080" w:rsidRPr="00F80D6C" w:rsidRDefault="00D84080" w:rsidP="006040D1">
            <w:pPr>
              <w:spacing w:line="240" w:lineRule="auto"/>
              <w:jc w:val="center"/>
              <w:rPr>
                <w:rFonts w:cs="Arial"/>
                <w:szCs w:val="20"/>
              </w:rPr>
            </w:pPr>
            <w:r w:rsidRPr="00F80D6C">
              <w:rPr>
                <w:rFonts w:eastAsia="Calibri" w:cs="Arial"/>
                <w:szCs w:val="20"/>
                <w:lang w:val="en-GB"/>
              </w:rPr>
              <w:t>0.2</w:t>
            </w:r>
          </w:p>
        </w:tc>
        <w:tc>
          <w:tcPr>
            <w:tcW w:w="1248" w:type="pct"/>
          </w:tcPr>
          <w:p w14:paraId="41806D80" w14:textId="77777777" w:rsidR="00D84080" w:rsidRPr="00F80D6C" w:rsidRDefault="00D84080" w:rsidP="006040D1">
            <w:pPr>
              <w:spacing w:line="240" w:lineRule="auto"/>
              <w:jc w:val="center"/>
              <w:rPr>
                <w:rFonts w:cs="Arial"/>
                <w:szCs w:val="20"/>
              </w:rPr>
            </w:pPr>
            <w:r w:rsidRPr="00F80D6C">
              <w:rPr>
                <w:rFonts w:eastAsia="Calibri" w:cs="Arial"/>
                <w:szCs w:val="20"/>
                <w:lang w:val="en-GB"/>
              </w:rPr>
              <w:t>0.5</w:t>
            </w:r>
          </w:p>
        </w:tc>
        <w:tc>
          <w:tcPr>
            <w:tcW w:w="1248" w:type="pct"/>
          </w:tcPr>
          <w:p w14:paraId="4A5D7FB5" w14:textId="3A395C6B" w:rsidR="00D84080" w:rsidRPr="00F80D6C" w:rsidRDefault="00D84080" w:rsidP="006040D1">
            <w:pPr>
              <w:spacing w:line="240" w:lineRule="auto"/>
              <w:jc w:val="center"/>
              <w:rPr>
                <w:rFonts w:cs="Arial"/>
                <w:szCs w:val="20"/>
                <w:highlight w:val="yellow"/>
              </w:rPr>
            </w:pPr>
            <w:r w:rsidRPr="00F80D6C">
              <w:rPr>
                <w:rFonts w:eastAsia="Calibri" w:cs="Arial"/>
                <w:szCs w:val="20"/>
                <w:lang w:val="en-GB"/>
              </w:rPr>
              <w:t>0.05</w:t>
            </w:r>
          </w:p>
        </w:tc>
      </w:tr>
    </w:tbl>
    <w:p w14:paraId="4997CDB0" w14:textId="5FBAA7E9" w:rsidR="00D84080" w:rsidRDefault="00D84080" w:rsidP="00E243AA">
      <w:pPr>
        <w:pStyle w:val="Paragraph"/>
      </w:pPr>
    </w:p>
    <w:p w14:paraId="1634A7E5" w14:textId="195AA5DA" w:rsidR="002B6ECF" w:rsidRDefault="0065394B" w:rsidP="00496BA3">
      <w:pPr>
        <w:pStyle w:val="Paragraph"/>
      </w:pPr>
      <w:r>
        <w:t xml:space="preserve">The ACMA proposes </w:t>
      </w:r>
      <w:r w:rsidR="005266ED">
        <w:t>some revised</w:t>
      </w:r>
      <w:r w:rsidR="00E9264E">
        <w:t xml:space="preserve"> </w:t>
      </w:r>
      <w:r>
        <w:t xml:space="preserve">definitions which we believe </w:t>
      </w:r>
      <w:r w:rsidR="00D04E93">
        <w:t>provide more clarity around eligible spectrum accesses</w:t>
      </w:r>
      <w:r w:rsidR="00DD1D64">
        <w:t xml:space="preserve"> (see</w:t>
      </w:r>
      <w:r w:rsidR="007B3421">
        <w:t xml:space="preserve"> </w:t>
      </w:r>
      <w:r w:rsidR="00496BA3">
        <w:t xml:space="preserve">Attachment A </w:t>
      </w:r>
      <w:r w:rsidR="002E170D">
        <w:t xml:space="preserve">for </w:t>
      </w:r>
      <w:r w:rsidR="00A37F7A">
        <w:t xml:space="preserve">the proposed </w:t>
      </w:r>
      <w:r w:rsidR="00496BA3">
        <w:t>updated definitions</w:t>
      </w:r>
      <w:r w:rsidR="00DD1D64">
        <w:t xml:space="preserve">). </w:t>
      </w:r>
    </w:p>
    <w:p w14:paraId="5406810F" w14:textId="5947769C" w:rsidR="00E243AA" w:rsidRPr="00E243AA" w:rsidRDefault="00561AA1" w:rsidP="00561AA1">
      <w:pPr>
        <w:pStyle w:val="Heading2"/>
      </w:pPr>
      <w:bookmarkStart w:id="17" w:name="_Toc86153502"/>
      <w:r>
        <w:t xml:space="preserve">Adjustment to the </w:t>
      </w:r>
      <w:r w:rsidR="008B52B0">
        <w:t>e</w:t>
      </w:r>
      <w:r w:rsidR="003F1BD7">
        <w:t>arth station</w:t>
      </w:r>
      <w:r>
        <w:t xml:space="preserve"> system</w:t>
      </w:r>
      <w:r w:rsidR="00A50087">
        <w:t>s</w:t>
      </w:r>
      <w:r>
        <w:t xml:space="preserve"> </w:t>
      </w:r>
      <w:r w:rsidR="00A50087">
        <w:t>price</w:t>
      </w:r>
      <w:bookmarkEnd w:id="17"/>
    </w:p>
    <w:p w14:paraId="1D9DDC6F" w14:textId="25D31F39" w:rsidR="00F26B3F" w:rsidRDefault="00813404" w:rsidP="004252D3">
      <w:r>
        <w:t xml:space="preserve">The ACMA also </w:t>
      </w:r>
      <w:r w:rsidR="00F26B3F">
        <w:t xml:space="preserve">introduced a </w:t>
      </w:r>
      <w:r w:rsidR="00A50087" w:rsidRPr="00A50087">
        <w:t>‘systems' price for apparatus licences with multiple co-located co-frequency earth stations (GSO or NGSO</w:t>
      </w:r>
      <w:r w:rsidR="0099471B">
        <w:t>)</w:t>
      </w:r>
      <w:r w:rsidR="00A445AB">
        <w:rPr>
          <w:rStyle w:val="FootnoteReference"/>
        </w:rPr>
        <w:footnoteReference w:id="8"/>
      </w:r>
      <w:r w:rsidR="00A50087" w:rsidRPr="00A50087">
        <w:t xml:space="preserve"> communicating with related I</w:t>
      </w:r>
      <w:r w:rsidR="00A46181">
        <w:t xml:space="preserve">nternational </w:t>
      </w:r>
      <w:r w:rsidR="00A50087" w:rsidRPr="00A50087">
        <w:t>T</w:t>
      </w:r>
      <w:r w:rsidR="00A46181">
        <w:t xml:space="preserve">elecommunication </w:t>
      </w:r>
      <w:r w:rsidR="00A50087" w:rsidRPr="00A50087">
        <w:t>U</w:t>
      </w:r>
      <w:r w:rsidR="00A46181">
        <w:t>nion</w:t>
      </w:r>
      <w:r w:rsidR="00A50087" w:rsidRPr="00A50087">
        <w:t xml:space="preserve"> satellite filings, without </w:t>
      </w:r>
      <w:r w:rsidR="00A46181">
        <w:t>incurring a higher rate of tax</w:t>
      </w:r>
      <w:r w:rsidR="00A50087" w:rsidRPr="00A50087">
        <w:t>.</w:t>
      </w:r>
      <w:r w:rsidR="00A50087">
        <w:t xml:space="preserve"> </w:t>
      </w:r>
    </w:p>
    <w:p w14:paraId="6F372351" w14:textId="45996866" w:rsidR="00C07ADB" w:rsidRDefault="00C96C19" w:rsidP="00C07ADB">
      <w:r>
        <w:lastRenderedPageBreak/>
        <w:t xml:space="preserve">The ACMA </w:t>
      </w:r>
      <w:r w:rsidR="00813404">
        <w:t xml:space="preserve">received </w:t>
      </w:r>
      <w:r>
        <w:t>feedback</w:t>
      </w:r>
      <w:r w:rsidR="00813404">
        <w:t xml:space="preserve"> from stakeholders </w:t>
      </w:r>
      <w:r w:rsidR="006213EF">
        <w:t xml:space="preserve">asking why collocated </w:t>
      </w:r>
      <w:r w:rsidR="008B52B0" w:rsidRPr="008B52B0">
        <w:t>earth station</w:t>
      </w:r>
      <w:r w:rsidR="006213EF">
        <w:t>s</w:t>
      </w:r>
      <w:r w:rsidR="008B52B0" w:rsidRPr="008B52B0">
        <w:t xml:space="preserve"> </w:t>
      </w:r>
      <w:r w:rsidR="006213EF">
        <w:t xml:space="preserve">operating within </w:t>
      </w:r>
      <w:r w:rsidR="003C2726">
        <w:t xml:space="preserve">the licenced bandwidth but </w:t>
      </w:r>
      <w:r w:rsidR="006213EF">
        <w:t xml:space="preserve">on different centre frequencies </w:t>
      </w:r>
      <w:r w:rsidR="003C2726">
        <w:t>could not be included in the system price</w:t>
      </w:r>
      <w:r w:rsidR="008B52B0">
        <w:t>.</w:t>
      </w:r>
      <w:r w:rsidR="003C2726">
        <w:t xml:space="preserve"> </w:t>
      </w:r>
      <w:r>
        <w:t xml:space="preserve">We </w:t>
      </w:r>
      <w:r w:rsidR="00F1531F">
        <w:t xml:space="preserve">agree that </w:t>
      </w:r>
      <w:r w:rsidR="003C2C2A">
        <w:t xml:space="preserve">these earth stations </w:t>
      </w:r>
      <w:r w:rsidR="003C2726">
        <w:t>should</w:t>
      </w:r>
      <w:r w:rsidR="00C07ADB">
        <w:t xml:space="preserve"> </w:t>
      </w:r>
      <w:r w:rsidR="003C2C2A">
        <w:t>be included</w:t>
      </w:r>
      <w:r w:rsidR="00466DD7">
        <w:t xml:space="preserve">, so we propose removing the </w:t>
      </w:r>
      <w:r w:rsidR="00E9767D">
        <w:t xml:space="preserve">clause </w:t>
      </w:r>
      <w:r w:rsidR="00466DD7">
        <w:t xml:space="preserve">requiring earth stations </w:t>
      </w:r>
      <w:r w:rsidR="00E9767D">
        <w:t xml:space="preserve">to </w:t>
      </w:r>
      <w:r w:rsidR="00AB7B15">
        <w:t xml:space="preserve">have </w:t>
      </w:r>
      <w:r w:rsidR="00E9767D">
        <w:t>the same centre frequency</w:t>
      </w:r>
      <w:r w:rsidR="00AB7B15">
        <w:t xml:space="preserve"> in order to be eligible for the discount </w:t>
      </w:r>
      <w:r w:rsidR="00496BA3">
        <w:t xml:space="preserve">(see Attachment A for updated </w:t>
      </w:r>
      <w:r w:rsidR="00ED0FC3">
        <w:t xml:space="preserve">clauses </w:t>
      </w:r>
      <w:r w:rsidR="005266ED">
        <w:t xml:space="preserve">proposed to be inserted </w:t>
      </w:r>
      <w:r w:rsidR="00ED0FC3">
        <w:t>in</w:t>
      </w:r>
      <w:r w:rsidR="005266ED">
        <w:t xml:space="preserve"> the</w:t>
      </w:r>
      <w:r w:rsidR="00ED0FC3">
        <w:t xml:space="preserve"> determination</w:t>
      </w:r>
      <w:r w:rsidR="00496BA3">
        <w:t>)</w:t>
      </w:r>
      <w:r w:rsidR="00A027C9">
        <w:t>.</w:t>
      </w:r>
    </w:p>
    <w:p w14:paraId="74E57D68" w14:textId="4EFB47D3" w:rsidR="00C07ADB" w:rsidRPr="00023A36" w:rsidRDefault="0099471B" w:rsidP="00C07ADB">
      <w:r>
        <w:t>We</w:t>
      </w:r>
      <w:r w:rsidR="00C07ADB">
        <w:t xml:space="preserve"> expect that the proposed </w:t>
      </w:r>
      <w:r w:rsidR="005266ED">
        <w:t xml:space="preserve">change </w:t>
      </w:r>
      <w:r w:rsidR="00C07ADB">
        <w:t xml:space="preserve">will allow for more flexibility with earth station system configurations. </w:t>
      </w:r>
    </w:p>
    <w:p w14:paraId="0EFD245F" w14:textId="65526E08" w:rsidR="008D6B0F" w:rsidRPr="00395023" w:rsidRDefault="008D6B0F" w:rsidP="008D6B0F">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351DC7">
        <w:t xml:space="preserve">Question </w:t>
      </w:r>
      <w:r w:rsidR="00AD5CFA">
        <w:t>8</w:t>
      </w:r>
    </w:p>
    <w:p w14:paraId="052C030B" w14:textId="2DCD6B81" w:rsidR="00B53FF2" w:rsidRDefault="008D6B0F" w:rsidP="008D6B0F">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Do you have any comments on these propos</w:t>
      </w:r>
      <w:r w:rsidR="00B872E8">
        <w:t xml:space="preserve">ed adjustments to the </w:t>
      </w:r>
      <w:r w:rsidR="00B53FF2">
        <w:t xml:space="preserve">tranche </w:t>
      </w:r>
      <w:r w:rsidR="00555C86">
        <w:t>one</w:t>
      </w:r>
      <w:r w:rsidR="00B53FF2">
        <w:t xml:space="preserve"> reforms</w:t>
      </w:r>
      <w:r>
        <w:t xml:space="preserve">? </w:t>
      </w:r>
    </w:p>
    <w:p w14:paraId="50DBFCFC" w14:textId="77777777" w:rsidR="00B51853" w:rsidRDefault="00B51853" w:rsidP="00B51853">
      <w:pPr>
        <w:rPr>
          <w:rFonts w:cs="Arial"/>
        </w:rPr>
      </w:pPr>
    </w:p>
    <w:p w14:paraId="0F14239B" w14:textId="77777777" w:rsidR="00B907FF" w:rsidRPr="00B907FF" w:rsidRDefault="00B907FF" w:rsidP="00B907FF">
      <w:pPr>
        <w:pStyle w:val="Heading1"/>
      </w:pPr>
      <w:bookmarkStart w:id="18" w:name="_Toc86153503"/>
      <w:r w:rsidRPr="00B907FF">
        <w:lastRenderedPageBreak/>
        <w:t>Other pricing issues</w:t>
      </w:r>
      <w:bookmarkEnd w:id="18"/>
    </w:p>
    <w:p w14:paraId="12A6BD84" w14:textId="2E1DA023" w:rsidR="00B907FF" w:rsidRDefault="00B907FF" w:rsidP="006040D1">
      <w:pPr>
        <w:pStyle w:val="Paragraphbeforelist"/>
      </w:pPr>
      <w:r>
        <w:t>In</w:t>
      </w:r>
      <w:r w:rsidRPr="00AA7060">
        <w:t xml:space="preserve"> </w:t>
      </w:r>
      <w:r w:rsidR="00EA6681">
        <w:t>our first r</w:t>
      </w:r>
      <w:r>
        <w:t>esponse paper</w:t>
      </w:r>
      <w:r w:rsidR="00EA6681">
        <w:t>,</w:t>
      </w:r>
      <w:r>
        <w:t xml:space="preserve"> we noted some issues in the SPR work program</w:t>
      </w:r>
      <w:r w:rsidR="00DA1483">
        <w:t xml:space="preserve"> which we</w:t>
      </w:r>
      <w:r>
        <w:t xml:space="preserve"> now consider </w:t>
      </w:r>
      <w:r w:rsidR="00DA1483">
        <w:t xml:space="preserve">will be </w:t>
      </w:r>
      <w:r w:rsidR="004E7B85">
        <w:t xml:space="preserve">more appropriately </w:t>
      </w:r>
      <w:r>
        <w:t>addressed in other ACMA processes outlined in the FYSO</w:t>
      </w:r>
      <w:r w:rsidR="004E7B85">
        <w:t>. These include</w:t>
      </w:r>
      <w:r>
        <w:t>:</w:t>
      </w:r>
    </w:p>
    <w:p w14:paraId="21C11A04" w14:textId="1B33A491" w:rsidR="00B907FF" w:rsidRPr="00A4589E" w:rsidRDefault="004E7B85" w:rsidP="001F0747">
      <w:pPr>
        <w:pStyle w:val="Bulletlevel1"/>
      </w:pPr>
      <w:r>
        <w:t>A review of p</w:t>
      </w:r>
      <w:r w:rsidR="00B907FF">
        <w:t xml:space="preserve">ricing </w:t>
      </w:r>
      <w:r>
        <w:t xml:space="preserve">arrangements </w:t>
      </w:r>
      <w:r w:rsidR="00B907FF">
        <w:t>for scientific licen</w:t>
      </w:r>
      <w:r w:rsidR="00DE532B">
        <w:t>ces</w:t>
      </w:r>
      <w:r w:rsidR="00B907FF">
        <w:t xml:space="preserve"> can be aligned with the ACMA’s consideration of scientific licensing arrangements.</w:t>
      </w:r>
    </w:p>
    <w:p w14:paraId="29B03293" w14:textId="73BA2F96" w:rsidR="77B20063" w:rsidRDefault="00B907FF" w:rsidP="006040D1">
      <w:pPr>
        <w:pStyle w:val="Bulletlevel1"/>
      </w:pPr>
      <w:r>
        <w:t>Difference</w:t>
      </w:r>
      <w:r w:rsidR="005266ED">
        <w:t>s</w:t>
      </w:r>
      <w:r>
        <w:t xml:space="preserve"> in pricing arrangements for </w:t>
      </w:r>
      <w:r w:rsidR="008D7F9F">
        <w:t>mobile satellite services, television outside broadcasting services, and point-to-multipoint</w:t>
      </w:r>
      <w:r>
        <w:t xml:space="preserve"> </w:t>
      </w:r>
      <w:r w:rsidR="00235A3A">
        <w:t xml:space="preserve">services </w:t>
      </w:r>
      <w:r>
        <w:t>in the 2</w:t>
      </w:r>
      <w:r w:rsidR="002D19B9">
        <w:t> </w:t>
      </w:r>
      <w:r>
        <w:t xml:space="preserve">GHz band </w:t>
      </w:r>
      <w:r w:rsidR="00235A3A">
        <w:t xml:space="preserve">can be considered </w:t>
      </w:r>
      <w:r w:rsidR="001F0747">
        <w:t xml:space="preserve">as a part of that </w:t>
      </w:r>
      <w:r>
        <w:t>replanning process.</w:t>
      </w:r>
    </w:p>
    <w:p w14:paraId="72480853" w14:textId="03026944" w:rsidR="00F305D4" w:rsidRDefault="00F305D4" w:rsidP="00FB76E2">
      <w:pPr>
        <w:pStyle w:val="Heading2"/>
      </w:pPr>
      <w:bookmarkStart w:id="19" w:name="_Toc86153504"/>
      <w:r>
        <w:t xml:space="preserve">Pricing </w:t>
      </w:r>
      <w:r w:rsidR="00FB76E2">
        <w:t>for varying levels of interference protection</w:t>
      </w:r>
      <w:bookmarkEnd w:id="19"/>
    </w:p>
    <w:p w14:paraId="4BC5393F" w14:textId="5BE7847D" w:rsidR="0044044F" w:rsidRDefault="00947F95" w:rsidP="0044044F">
      <w:r>
        <w:t xml:space="preserve">As part of </w:t>
      </w:r>
      <w:r w:rsidR="002F06EC">
        <w:t xml:space="preserve">our </w:t>
      </w:r>
      <w:r w:rsidR="0098340E">
        <w:t>general spectrum management practices</w:t>
      </w:r>
      <w:r w:rsidR="0025308E">
        <w:t xml:space="preserve">, we have been thinking about </w:t>
      </w:r>
      <w:r w:rsidR="0023147F">
        <w:t xml:space="preserve">ways to promote varying levels of </w:t>
      </w:r>
      <w:r w:rsidR="00AC0B6D">
        <w:t xml:space="preserve">interference protection through pricing. </w:t>
      </w:r>
      <w:r w:rsidR="00375572">
        <w:t xml:space="preserve">The </w:t>
      </w:r>
      <w:r w:rsidR="00F342C3" w:rsidRPr="00F342C3">
        <w:t>assigned licence tax formula</w:t>
      </w:r>
      <w:r w:rsidR="00F342C3" w:rsidRPr="00F342C3" w:rsidDel="00F342C3">
        <w:t xml:space="preserve"> </w:t>
      </w:r>
      <w:r w:rsidR="00C125E9">
        <w:t>accommodates this idea to some degree.</w:t>
      </w:r>
      <w:r w:rsidR="002D06B1">
        <w:t xml:space="preserve"> For example</w:t>
      </w:r>
      <w:r w:rsidR="00934643">
        <w:t>,</w:t>
      </w:r>
      <w:r w:rsidR="002D06B1">
        <w:t xml:space="preserve"> the ‘low</w:t>
      </w:r>
      <w:r w:rsidR="00D53793">
        <w:t>-</w:t>
      </w:r>
      <w:r w:rsidR="002D06B1">
        <w:t>power’ and ‘micro</w:t>
      </w:r>
      <w:r w:rsidR="00D53793">
        <w:t>-</w:t>
      </w:r>
      <w:r w:rsidR="002D06B1">
        <w:t xml:space="preserve">power’ discounts relate to specific service models that </w:t>
      </w:r>
      <w:r w:rsidR="00BC2B35">
        <w:t xml:space="preserve">involve </w:t>
      </w:r>
      <w:r w:rsidR="00036059">
        <w:t xml:space="preserve">specific </w:t>
      </w:r>
      <w:r w:rsidR="00131347">
        <w:t xml:space="preserve">notional service areas beyond which </w:t>
      </w:r>
      <w:r w:rsidR="00BC2B35">
        <w:t xml:space="preserve">licensees acknowledge that </w:t>
      </w:r>
      <w:r w:rsidR="00DF4BF0">
        <w:t xml:space="preserve">the ACMA </w:t>
      </w:r>
      <w:r w:rsidR="00F447AE">
        <w:t xml:space="preserve">will generally not </w:t>
      </w:r>
      <w:r w:rsidR="00BC2B35">
        <w:t>protect the service against interference</w:t>
      </w:r>
      <w:r w:rsidR="00F447AE">
        <w:t xml:space="preserve">. </w:t>
      </w:r>
      <w:r w:rsidR="008C5F90">
        <w:t>But t</w:t>
      </w:r>
      <w:r w:rsidR="00F447AE">
        <w:t>he ACMA is interest</w:t>
      </w:r>
      <w:r w:rsidR="005266ED">
        <w:t>ed</w:t>
      </w:r>
      <w:r w:rsidR="00F447AE">
        <w:t xml:space="preserve"> in </w:t>
      </w:r>
      <w:r w:rsidR="00341823">
        <w:t xml:space="preserve">exploring this idea </w:t>
      </w:r>
      <w:r w:rsidR="00934643">
        <w:t>at</w:t>
      </w:r>
      <w:r w:rsidR="00341823">
        <w:t xml:space="preserve"> a more granular level and for more services. </w:t>
      </w:r>
      <w:r w:rsidR="00622A08">
        <w:t xml:space="preserve">We do </w:t>
      </w:r>
      <w:r w:rsidR="0044044F">
        <w:t xml:space="preserve">not have any specific plans </w:t>
      </w:r>
      <w:r w:rsidR="00934643">
        <w:t xml:space="preserve">in this </w:t>
      </w:r>
      <w:proofErr w:type="gramStart"/>
      <w:r w:rsidR="00934643">
        <w:t>regard</w:t>
      </w:r>
      <w:r w:rsidR="0044044F">
        <w:t>, but</w:t>
      </w:r>
      <w:proofErr w:type="gramEnd"/>
      <w:r w:rsidR="0044044F">
        <w:t xml:space="preserve"> </w:t>
      </w:r>
      <w:r w:rsidR="00622A08">
        <w:t xml:space="preserve">are </w:t>
      </w:r>
      <w:r w:rsidR="0044044F">
        <w:t xml:space="preserve">interested in </w:t>
      </w:r>
      <w:r w:rsidR="00934643">
        <w:t>receiving any suggestions stakeholders may have</w:t>
      </w:r>
      <w:r w:rsidR="0044044F">
        <w:t>.</w:t>
      </w:r>
    </w:p>
    <w:p w14:paraId="0BC4741A" w14:textId="6D016EE4" w:rsidR="002A05E8" w:rsidRPr="00CD2741" w:rsidRDefault="002A05E8" w:rsidP="002A05E8">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351DC7">
        <w:t xml:space="preserve">Question </w:t>
      </w:r>
      <w:r w:rsidR="00BC2B35">
        <w:t>9</w:t>
      </w:r>
    </w:p>
    <w:p w14:paraId="4A863C3B" w14:textId="71951D07" w:rsidR="002F35B0" w:rsidRDefault="002F35B0" w:rsidP="002F35B0">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rsidRPr="00235D23">
        <w:t xml:space="preserve">Do you have suggestions </w:t>
      </w:r>
      <w:r w:rsidR="00934643">
        <w:t>for</w:t>
      </w:r>
      <w:r w:rsidRPr="00235D23">
        <w:t xml:space="preserve"> any additional pricing measures the ACMA could consider to encourage spectrally efficient technology deployments?</w:t>
      </w:r>
    </w:p>
    <w:p w14:paraId="415697BA" w14:textId="77777777" w:rsidR="00632482" w:rsidRPr="00395023" w:rsidRDefault="00632482" w:rsidP="00632482">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rsidRPr="00351DC7">
        <w:t xml:space="preserve">Question </w:t>
      </w:r>
      <w:r>
        <w:t>10</w:t>
      </w:r>
    </w:p>
    <w:p w14:paraId="32078739" w14:textId="77777777" w:rsidR="00632482" w:rsidRPr="00D24B6E" w:rsidRDefault="00632482" w:rsidP="00632482">
      <w:pPr>
        <w:pStyle w:val="Paragraph"/>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Are there any other comments that you would like to give relating to the proposals in this paper or other aspects of the apparatus licence tax regime? </w:t>
      </w:r>
    </w:p>
    <w:p w14:paraId="16B754B6" w14:textId="77777777" w:rsidR="000B0D22" w:rsidRDefault="000B0D22"/>
    <w:sectPr w:rsidR="000B0D22" w:rsidSect="00C77380">
      <w:headerReference w:type="even" r:id="rId37"/>
      <w:headerReference w:type="default" r:id="rId38"/>
      <w:footerReference w:type="even" r:id="rId39"/>
      <w:footerReference w:type="default" r:id="rId40"/>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F2A7E" w14:textId="77777777" w:rsidR="00CB286C" w:rsidRDefault="00CB286C">
      <w:r>
        <w:separator/>
      </w:r>
    </w:p>
  </w:endnote>
  <w:endnote w:type="continuationSeparator" w:id="0">
    <w:p w14:paraId="040747DD" w14:textId="77777777" w:rsidR="00CB286C" w:rsidRDefault="00CB286C">
      <w:r>
        <w:continuationSeparator/>
      </w:r>
    </w:p>
  </w:endnote>
  <w:endnote w:type="continuationNotice" w:id="1">
    <w:p w14:paraId="481C6BDA" w14:textId="77777777" w:rsidR="00CB286C" w:rsidRDefault="00CB28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D3A85" w14:textId="77777777" w:rsidR="005E250B" w:rsidRDefault="005E250B" w:rsidP="005E250B">
    <w:pPr>
      <w:pStyle w:val="Footer"/>
      <w:jc w:val="right"/>
    </w:pPr>
    <w:r w:rsidRPr="005E250B">
      <w:rPr>
        <w:noProof/>
        <w:vertAlign w:val="subscript"/>
      </w:rPr>
      <w:drawing>
        <wp:inline distT="0" distB="0" distL="0" distR="0" wp14:anchorId="5C11A95A" wp14:editId="2C9ACC52">
          <wp:extent cx="1066800" cy="277368"/>
          <wp:effectExtent l="0" t="0" r="0" b="0"/>
          <wp:docPr id="9" name="Picture 9"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ADA2" w14:textId="77777777" w:rsidR="00C053A1" w:rsidRDefault="00C053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7D669" w14:textId="77777777" w:rsidR="00C053A1" w:rsidRDefault="00C053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C53A2" w14:textId="77777777" w:rsidR="00971914" w:rsidRPr="00622A3B" w:rsidRDefault="00971914"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0C6AB4">
      <w:rPr>
        <w:noProof/>
        <w:color w:val="505050"/>
      </w:rPr>
      <w:t>iv</w:t>
    </w:r>
    <w:r w:rsidRPr="002E4DDC">
      <w:rPr>
        <w:color w:val="505050"/>
      </w:rPr>
      <w:fldChar w:fldCharType="end"/>
    </w:r>
  </w:p>
  <w:p w14:paraId="5F716968" w14:textId="77777777" w:rsidR="00C053A1" w:rsidRPr="00A5474E" w:rsidRDefault="00C053A1"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8A6A5" w14:textId="77777777" w:rsidR="00971914" w:rsidRPr="00622A3B" w:rsidRDefault="00971914"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0C6AB4">
      <w:rPr>
        <w:noProof/>
        <w:color w:val="505050"/>
      </w:rPr>
      <w:t>v</w:t>
    </w:r>
    <w:r w:rsidRPr="002E4DDC">
      <w:rPr>
        <w:color w:val="505050"/>
      </w:rPr>
      <w:fldChar w:fldCharType="end"/>
    </w:r>
  </w:p>
  <w:p w14:paraId="626DE54D" w14:textId="77777777" w:rsidR="00C053A1" w:rsidRPr="00A5474E" w:rsidRDefault="00C053A1"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0EBC4" w14:textId="77777777" w:rsidR="00C053A1" w:rsidRPr="00622A3B" w:rsidRDefault="00C053A1"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DD1A43">
      <w:rPr>
        <w:noProof/>
        <w:color w:val="505050"/>
      </w:rPr>
      <w:t>iii</w:t>
    </w:r>
    <w:r w:rsidRPr="002E4DDC">
      <w:rPr>
        <w:color w:val="505050"/>
      </w:rPr>
      <w:fldChar w:fldCharType="end"/>
    </w:r>
  </w:p>
  <w:p w14:paraId="2D919E0A" w14:textId="77777777" w:rsidR="00C053A1" w:rsidRPr="00A5474E" w:rsidRDefault="00C053A1"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6DDAE" w14:textId="77777777" w:rsidR="00C053A1" w:rsidRPr="00622A3B" w:rsidRDefault="00C053A1"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DD1A43">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42331528" w14:textId="77777777" w:rsidR="00C053A1" w:rsidRPr="00A5474E" w:rsidRDefault="00C053A1"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50015" w14:textId="77777777" w:rsidR="00C053A1" w:rsidRPr="00622A3B" w:rsidRDefault="00C053A1"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DD1A43">
      <w:rPr>
        <w:noProof/>
        <w:color w:val="505050"/>
      </w:rPr>
      <w:t>1</w:t>
    </w:r>
    <w:r w:rsidRPr="00575AC5">
      <w:rPr>
        <w:color w:val="505050"/>
      </w:rPr>
      <w:fldChar w:fldCharType="end"/>
    </w:r>
  </w:p>
  <w:p w14:paraId="2440E8D7" w14:textId="77777777" w:rsidR="00C053A1" w:rsidRPr="00A5474E" w:rsidRDefault="00C053A1"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BCF21" w14:textId="77777777" w:rsidR="00CB286C" w:rsidRDefault="00CB286C" w:rsidP="00EA0969">
      <w:pPr>
        <w:spacing w:after="0"/>
      </w:pPr>
      <w:r>
        <w:separator/>
      </w:r>
    </w:p>
  </w:footnote>
  <w:footnote w:type="continuationSeparator" w:id="0">
    <w:p w14:paraId="7324B48B" w14:textId="77777777" w:rsidR="00CB286C" w:rsidRDefault="00CB286C">
      <w:r>
        <w:continuationSeparator/>
      </w:r>
    </w:p>
  </w:footnote>
  <w:footnote w:type="continuationNotice" w:id="1">
    <w:p w14:paraId="449CCB05" w14:textId="77777777" w:rsidR="00CB286C" w:rsidRDefault="00CB286C">
      <w:pPr>
        <w:spacing w:after="0" w:line="240" w:lineRule="auto"/>
      </w:pPr>
    </w:p>
  </w:footnote>
  <w:footnote w:id="2">
    <w:p w14:paraId="388311AE" w14:textId="73337683" w:rsidR="009F43F2" w:rsidRDefault="009F43F2">
      <w:pPr>
        <w:pStyle w:val="FootnoteText"/>
      </w:pPr>
      <w:r>
        <w:rPr>
          <w:rStyle w:val="FootnoteReference"/>
        </w:rPr>
        <w:footnoteRef/>
      </w:r>
      <w:r>
        <w:t xml:space="preserve"> </w:t>
      </w:r>
      <w:r w:rsidRPr="009F43F2">
        <w:t>The ACMA should undertake a detailed review of the administrative pricing formula’s parameters, including density areas, the number of pricing bands, and the number of power categories. The ACMA should implement regular updates to the location and band weightings to reflect changes in density, demography and demand.</w:t>
      </w:r>
    </w:p>
  </w:footnote>
  <w:footnote w:id="3">
    <w:p w14:paraId="11709CB2" w14:textId="5208F3A0" w:rsidR="77B20063" w:rsidRDefault="77B20063" w:rsidP="009E50B0">
      <w:pPr>
        <w:pStyle w:val="FootnoteText"/>
      </w:pPr>
      <w:r w:rsidRPr="77B20063">
        <w:rPr>
          <w:rStyle w:val="FootnoteReference"/>
        </w:rPr>
        <w:footnoteRef/>
      </w:r>
      <w:r>
        <w:t xml:space="preserve"> See Appendix C of the </w:t>
      </w:r>
      <w:hyperlink r:id="rId1">
        <w:r w:rsidRPr="77B20063">
          <w:rPr>
            <w:rStyle w:val="Hyperlink"/>
          </w:rPr>
          <w:t>Apparatus licence fee schedule</w:t>
        </w:r>
      </w:hyperlink>
      <w:r>
        <w:t xml:space="preserve"> for more detail</w:t>
      </w:r>
      <w:r w:rsidR="00973199">
        <w:t>s</w:t>
      </w:r>
      <w:r>
        <w:t xml:space="preserve"> on the formula. </w:t>
      </w:r>
    </w:p>
  </w:footnote>
  <w:footnote w:id="4">
    <w:p w14:paraId="4B8149D3" w14:textId="1A9F1B77" w:rsidR="005C310E" w:rsidRDefault="005C310E">
      <w:pPr>
        <w:pStyle w:val="FootnoteText"/>
      </w:pPr>
      <w:r>
        <w:rPr>
          <w:rStyle w:val="FootnoteReference"/>
        </w:rPr>
        <w:footnoteRef/>
      </w:r>
      <w:r>
        <w:t xml:space="preserve"> </w:t>
      </w:r>
      <w:r w:rsidRPr="005C310E">
        <w:t xml:space="preserve">The ACMA notes that there </w:t>
      </w:r>
      <w:r w:rsidR="00500657">
        <w:t>were</w:t>
      </w:r>
      <w:r w:rsidRPr="005C310E">
        <w:t xml:space="preserve"> similarly large relative changes in assignments for &gt;399.9 to 403 MHz in Australia-wide and in the band above 51.4 GHz</w:t>
      </w:r>
      <w:r w:rsidR="000B16FA">
        <w:t>. H</w:t>
      </w:r>
      <w:r w:rsidRPr="005C310E">
        <w:t>owever, we consider these changes are not statistically significant given a low base number of initial assignments in 2005.</w:t>
      </w:r>
    </w:p>
  </w:footnote>
  <w:footnote w:id="5">
    <w:p w14:paraId="1EF7ACF5" w14:textId="6645815A" w:rsidR="009F4EC3" w:rsidRPr="003B04C7" w:rsidRDefault="009F4EC3">
      <w:pPr>
        <w:pStyle w:val="FootnoteText"/>
      </w:pPr>
      <w:r>
        <w:rPr>
          <w:rStyle w:val="FootnoteReference"/>
        </w:rPr>
        <w:footnoteRef/>
      </w:r>
      <w:r>
        <w:t xml:space="preserve"> Commercial broadcasting licen</w:t>
      </w:r>
      <w:r w:rsidR="003B04C7">
        <w:t xml:space="preserve">sees may be subject to tax imposed by the </w:t>
      </w:r>
      <w:r w:rsidR="003B04C7">
        <w:rPr>
          <w:i/>
          <w:iCs/>
        </w:rPr>
        <w:t>Commercial Broadcasting (Tax) Act 2017</w:t>
      </w:r>
      <w:r w:rsidR="003B04C7">
        <w:t xml:space="preserve">. </w:t>
      </w:r>
    </w:p>
  </w:footnote>
  <w:footnote w:id="6">
    <w:p w14:paraId="3D197ACC" w14:textId="005EC287" w:rsidR="00495F53" w:rsidRDefault="00495F53">
      <w:pPr>
        <w:pStyle w:val="FootnoteText"/>
      </w:pPr>
      <w:r>
        <w:rPr>
          <w:rStyle w:val="FootnoteReference"/>
        </w:rPr>
        <w:footnoteRef/>
      </w:r>
      <w:r>
        <w:t xml:space="preserve"> </w:t>
      </w:r>
      <w:r w:rsidR="00FB6EF2">
        <w:t xml:space="preserve">A </w:t>
      </w:r>
      <w:r w:rsidR="0039351E">
        <w:t>‘</w:t>
      </w:r>
      <w:r w:rsidRPr="00495F53">
        <w:t>significant urban area</w:t>
      </w:r>
      <w:r w:rsidR="0039351E">
        <w:t>’</w:t>
      </w:r>
      <w:r w:rsidRPr="00495F53">
        <w:t xml:space="preserve"> is the area of that name described by the Australian Bureau of Statistics as a significant urban area in 1270.0.55.004 – Australian Statistical Geographic Standard (ASGS): Volume 4 – Significant Urban Areas, Urban Centres and Localities, Section of State, July 2016</w:t>
      </w:r>
      <w:r>
        <w:t>.</w:t>
      </w:r>
    </w:p>
  </w:footnote>
  <w:footnote w:id="7">
    <w:p w14:paraId="53F4F24E" w14:textId="2A79F113" w:rsidR="00042AA0" w:rsidRDefault="00042AA0">
      <w:pPr>
        <w:pStyle w:val="FootnoteText"/>
      </w:pPr>
      <w:r>
        <w:rPr>
          <w:rStyle w:val="FootnoteReference"/>
        </w:rPr>
        <w:footnoteRef/>
      </w:r>
      <w:r>
        <w:t xml:space="preserve"> </w:t>
      </w:r>
      <w:r w:rsidR="005B3C5E" w:rsidRPr="005B3C5E">
        <w:t xml:space="preserve">Note that there </w:t>
      </w:r>
      <w:r w:rsidR="00E07FD6">
        <w:t xml:space="preserve">are </w:t>
      </w:r>
      <w:r w:rsidR="005B3C5E" w:rsidRPr="005B3C5E">
        <w:t xml:space="preserve">only </w:t>
      </w:r>
      <w:r w:rsidR="00E07FD6">
        <w:t xml:space="preserve">a handful of </w:t>
      </w:r>
      <w:r w:rsidR="005B3C5E" w:rsidRPr="005B3C5E">
        <w:t>HPON</w:t>
      </w:r>
      <w:r w:rsidR="00BE5B89">
        <w:t xml:space="preserve"> licence</w:t>
      </w:r>
      <w:r w:rsidR="00E07FD6">
        <w:t>s</w:t>
      </w:r>
      <w:r w:rsidR="00BE5B89">
        <w:t xml:space="preserve"> that authorise the provision of open narrowcasting television services</w:t>
      </w:r>
      <w:r w:rsidR="005B3C5E" w:rsidRPr="005B3C5E">
        <w:t xml:space="preserve">. Despite </w:t>
      </w:r>
      <w:r w:rsidR="00BE5B89">
        <w:t>television</w:t>
      </w:r>
      <w:r w:rsidR="005B3C5E" w:rsidRPr="005B3C5E">
        <w:t xml:space="preserve"> using larger channels than radio, for simplicity the ACMA proposes to </w:t>
      </w:r>
      <w:r w:rsidR="00957B74">
        <w:t>tax</w:t>
      </w:r>
      <w:r w:rsidR="005B3C5E" w:rsidRPr="005B3C5E">
        <w:t xml:space="preserve"> </w:t>
      </w:r>
      <w:r w:rsidR="00BE5B89">
        <w:t>these</w:t>
      </w:r>
      <w:r w:rsidR="005B3C5E" w:rsidRPr="005B3C5E">
        <w:t xml:space="preserve"> HPON</w:t>
      </w:r>
      <w:r w:rsidR="00BE5B89">
        <w:t xml:space="preserve"> licence</w:t>
      </w:r>
      <w:r w:rsidR="009F7529">
        <w:t>s</w:t>
      </w:r>
      <w:r w:rsidR="005B3C5E" w:rsidRPr="005B3C5E">
        <w:t xml:space="preserve"> </w:t>
      </w:r>
      <w:r w:rsidR="000A0F47">
        <w:t xml:space="preserve">on an </w:t>
      </w:r>
      <w:r w:rsidR="005B3C5E" w:rsidRPr="005B3C5E">
        <w:t xml:space="preserve">equivalent </w:t>
      </w:r>
      <w:r w:rsidR="000A0F47">
        <w:t xml:space="preserve">basis </w:t>
      </w:r>
      <w:r w:rsidR="00EB428D">
        <w:t>as</w:t>
      </w:r>
      <w:r w:rsidR="005B3C5E" w:rsidRPr="005B3C5E">
        <w:t xml:space="preserve"> HPON</w:t>
      </w:r>
      <w:r w:rsidR="00BE5B89">
        <w:t xml:space="preserve"> licence</w:t>
      </w:r>
      <w:r w:rsidR="005B3C5E" w:rsidRPr="005B3C5E">
        <w:t>s</w:t>
      </w:r>
      <w:r w:rsidR="00BE5B89">
        <w:t xml:space="preserve"> used to provide FM radio services</w:t>
      </w:r>
      <w:r w:rsidR="009F7529">
        <w:t>.</w:t>
      </w:r>
    </w:p>
  </w:footnote>
  <w:footnote w:id="8">
    <w:p w14:paraId="53BDEBE7" w14:textId="4E596885" w:rsidR="00A445AB" w:rsidRDefault="00A445AB">
      <w:pPr>
        <w:pStyle w:val="FootnoteText"/>
      </w:pPr>
      <w:r>
        <w:rPr>
          <w:rStyle w:val="FootnoteReference"/>
        </w:rPr>
        <w:footnoteRef/>
      </w:r>
      <w:r>
        <w:t xml:space="preserve"> Geostationary or </w:t>
      </w:r>
      <w:r w:rsidR="0099471B">
        <w:t>n</w:t>
      </w:r>
      <w:r>
        <w:t>on-geostationary.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B60E" w14:textId="77777777" w:rsidR="00C053A1" w:rsidRPr="00A5474E" w:rsidRDefault="0021426C" w:rsidP="00A5474E">
    <w:pPr>
      <w:pStyle w:val="Header"/>
    </w:pPr>
    <w:r>
      <w:rPr>
        <w:noProof/>
      </w:rPr>
      <w:drawing>
        <wp:inline distT="0" distB="0" distL="0" distR="0" wp14:anchorId="1EE95BB6" wp14:editId="7970163A">
          <wp:extent cx="6210300" cy="571134"/>
          <wp:effectExtent l="0" t="0" r="0" b="0"/>
          <wp:docPr id="8" name="Picture 8"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1F9DF" w14:textId="77777777" w:rsidR="00C053A1" w:rsidRPr="00A5474E" w:rsidRDefault="00C053A1"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6947" w14:textId="77777777" w:rsidR="00C053A1" w:rsidRDefault="00C053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37829" w14:textId="77777777" w:rsidR="00C053A1" w:rsidRDefault="00C053A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71914" w14:paraId="57A7739E" w14:textId="77777777" w:rsidTr="008A5614">
      <w:trPr>
        <w:trHeight w:hRule="exact" w:val="988"/>
      </w:trPr>
      <w:tc>
        <w:tcPr>
          <w:tcW w:w="7678" w:type="dxa"/>
          <w:shd w:val="clear" w:color="auto" w:fill="auto"/>
        </w:tcPr>
        <w:p w14:paraId="70CF3169" w14:textId="77777777" w:rsidR="00971914" w:rsidRDefault="00971914" w:rsidP="00971914">
          <w:pPr>
            <w:pStyle w:val="Header"/>
          </w:pPr>
        </w:p>
      </w:tc>
    </w:tr>
    <w:tr w:rsidR="00971914" w14:paraId="236C0455" w14:textId="77777777" w:rsidTr="008A5614">
      <w:tc>
        <w:tcPr>
          <w:tcW w:w="7678" w:type="dxa"/>
          <w:shd w:val="clear" w:color="auto" w:fill="auto"/>
        </w:tcPr>
        <w:p w14:paraId="4E0B5295" w14:textId="77777777" w:rsidR="00971914" w:rsidRDefault="00971914" w:rsidP="00971914">
          <w:pPr>
            <w:pStyle w:val="GridTable31"/>
          </w:pPr>
          <w:r>
            <w:t xml:space="preserve">Contents </w:t>
          </w:r>
          <w:r w:rsidRPr="00915B1C">
            <w:rPr>
              <w:b w:val="0"/>
              <w:spacing w:val="0"/>
              <w:sz w:val="28"/>
              <w:szCs w:val="28"/>
            </w:rPr>
            <w:t>(Continued)</w:t>
          </w:r>
        </w:p>
      </w:tc>
    </w:tr>
    <w:tr w:rsidR="00971914" w14:paraId="4916968D" w14:textId="77777777" w:rsidTr="008A5614">
      <w:trPr>
        <w:trHeight w:val="1220"/>
      </w:trPr>
      <w:tc>
        <w:tcPr>
          <w:tcW w:w="7678" w:type="dxa"/>
          <w:shd w:val="clear" w:color="auto" w:fill="auto"/>
        </w:tcPr>
        <w:p w14:paraId="01EF016E" w14:textId="77777777" w:rsidR="00971914" w:rsidRDefault="00971914" w:rsidP="00971914"/>
      </w:tc>
    </w:tr>
  </w:tbl>
  <w:p w14:paraId="029A84E8" w14:textId="77777777" w:rsidR="00971914" w:rsidRDefault="00971914"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71914" w14:paraId="6180AC76" w14:textId="77777777" w:rsidTr="008A5614">
      <w:trPr>
        <w:trHeight w:hRule="exact" w:val="988"/>
      </w:trPr>
      <w:tc>
        <w:tcPr>
          <w:tcW w:w="7678" w:type="dxa"/>
          <w:shd w:val="clear" w:color="auto" w:fill="auto"/>
        </w:tcPr>
        <w:p w14:paraId="22563D76" w14:textId="77777777" w:rsidR="00971914" w:rsidRDefault="00971914" w:rsidP="00971914">
          <w:pPr>
            <w:pStyle w:val="Header"/>
          </w:pPr>
        </w:p>
      </w:tc>
    </w:tr>
    <w:tr w:rsidR="00971914" w14:paraId="5EDCC0A4" w14:textId="77777777" w:rsidTr="008A5614">
      <w:tc>
        <w:tcPr>
          <w:tcW w:w="7678" w:type="dxa"/>
          <w:shd w:val="clear" w:color="auto" w:fill="auto"/>
        </w:tcPr>
        <w:p w14:paraId="2065077B" w14:textId="77777777" w:rsidR="00971914" w:rsidRDefault="00971914" w:rsidP="00971914">
          <w:pPr>
            <w:pStyle w:val="GridTable31"/>
          </w:pPr>
          <w:r>
            <w:t xml:space="preserve">Contents </w:t>
          </w:r>
          <w:r w:rsidRPr="00915B1C">
            <w:rPr>
              <w:b w:val="0"/>
              <w:spacing w:val="0"/>
              <w:sz w:val="28"/>
              <w:szCs w:val="28"/>
            </w:rPr>
            <w:t>(Continued)</w:t>
          </w:r>
        </w:p>
      </w:tc>
    </w:tr>
    <w:tr w:rsidR="00971914" w14:paraId="3B0A52A3" w14:textId="77777777" w:rsidTr="008A5614">
      <w:trPr>
        <w:trHeight w:val="1220"/>
      </w:trPr>
      <w:tc>
        <w:tcPr>
          <w:tcW w:w="7678" w:type="dxa"/>
          <w:shd w:val="clear" w:color="auto" w:fill="auto"/>
        </w:tcPr>
        <w:p w14:paraId="55D72DF1" w14:textId="77777777" w:rsidR="00971914" w:rsidRDefault="00971914" w:rsidP="00971914"/>
      </w:tc>
    </w:tr>
  </w:tbl>
  <w:p w14:paraId="16111A20" w14:textId="77777777" w:rsidR="00C053A1" w:rsidRPr="00A5474E" w:rsidRDefault="00C053A1"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B23C4" w14:textId="77777777" w:rsidR="00C053A1" w:rsidRDefault="00C053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12A34" w14:textId="77777777" w:rsidR="00C053A1" w:rsidRDefault="00C053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F46450"/>
    <w:multiLevelType w:val="hybridMultilevel"/>
    <w:tmpl w:val="4804131C"/>
    <w:lvl w:ilvl="0" w:tplc="7C22A95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0C2D4882"/>
    <w:multiLevelType w:val="hybridMultilevel"/>
    <w:tmpl w:val="BC242968"/>
    <w:lvl w:ilvl="0" w:tplc="06F8ADF4">
      <w:start w:val="1"/>
      <w:numFmt w:val="bullet"/>
      <w:lvlText w:val="&gt;"/>
      <w:lvlJc w:val="left"/>
      <w:pPr>
        <w:ind w:left="720" w:hanging="360"/>
      </w:pPr>
      <w:rPr>
        <w:rFonts w:ascii="HelveticaNeueLT Std Lt" w:hAnsi="HelveticaNeueLT Std Lt" w:hint="default"/>
      </w:rPr>
    </w:lvl>
    <w:lvl w:ilvl="1" w:tplc="DBA632E2">
      <w:start w:val="1"/>
      <w:numFmt w:val="bullet"/>
      <w:lvlText w:val="o"/>
      <w:lvlJc w:val="left"/>
      <w:pPr>
        <w:ind w:left="1440" w:hanging="360"/>
      </w:pPr>
      <w:rPr>
        <w:rFonts w:ascii="Courier New" w:hAnsi="Courier New" w:hint="default"/>
      </w:rPr>
    </w:lvl>
    <w:lvl w:ilvl="2" w:tplc="81306F46">
      <w:start w:val="1"/>
      <w:numFmt w:val="bullet"/>
      <w:lvlText w:val=""/>
      <w:lvlJc w:val="left"/>
      <w:pPr>
        <w:ind w:left="2160" w:hanging="360"/>
      </w:pPr>
      <w:rPr>
        <w:rFonts w:ascii="Wingdings" w:hAnsi="Wingdings" w:hint="default"/>
      </w:rPr>
    </w:lvl>
    <w:lvl w:ilvl="3" w:tplc="50C4C1F4">
      <w:start w:val="1"/>
      <w:numFmt w:val="bullet"/>
      <w:lvlText w:val=""/>
      <w:lvlJc w:val="left"/>
      <w:pPr>
        <w:ind w:left="2880" w:hanging="360"/>
      </w:pPr>
      <w:rPr>
        <w:rFonts w:ascii="Symbol" w:hAnsi="Symbol" w:hint="default"/>
      </w:rPr>
    </w:lvl>
    <w:lvl w:ilvl="4" w:tplc="484E34DC">
      <w:start w:val="1"/>
      <w:numFmt w:val="bullet"/>
      <w:lvlText w:val="o"/>
      <w:lvlJc w:val="left"/>
      <w:pPr>
        <w:ind w:left="3600" w:hanging="360"/>
      </w:pPr>
      <w:rPr>
        <w:rFonts w:ascii="Courier New" w:hAnsi="Courier New" w:hint="default"/>
      </w:rPr>
    </w:lvl>
    <w:lvl w:ilvl="5" w:tplc="2430BF5E">
      <w:start w:val="1"/>
      <w:numFmt w:val="bullet"/>
      <w:lvlText w:val=""/>
      <w:lvlJc w:val="left"/>
      <w:pPr>
        <w:ind w:left="4320" w:hanging="360"/>
      </w:pPr>
      <w:rPr>
        <w:rFonts w:ascii="Wingdings" w:hAnsi="Wingdings" w:hint="default"/>
      </w:rPr>
    </w:lvl>
    <w:lvl w:ilvl="6" w:tplc="1A7C88A6">
      <w:start w:val="1"/>
      <w:numFmt w:val="bullet"/>
      <w:lvlText w:val=""/>
      <w:lvlJc w:val="left"/>
      <w:pPr>
        <w:ind w:left="5040" w:hanging="360"/>
      </w:pPr>
      <w:rPr>
        <w:rFonts w:ascii="Symbol" w:hAnsi="Symbol" w:hint="default"/>
      </w:rPr>
    </w:lvl>
    <w:lvl w:ilvl="7" w:tplc="C3A66CDC">
      <w:start w:val="1"/>
      <w:numFmt w:val="bullet"/>
      <w:lvlText w:val="o"/>
      <w:lvlJc w:val="left"/>
      <w:pPr>
        <w:ind w:left="5760" w:hanging="360"/>
      </w:pPr>
      <w:rPr>
        <w:rFonts w:ascii="Courier New" w:hAnsi="Courier New" w:hint="default"/>
      </w:rPr>
    </w:lvl>
    <w:lvl w:ilvl="8" w:tplc="B6AC8424">
      <w:start w:val="1"/>
      <w:numFmt w:val="bullet"/>
      <w:lvlText w:val=""/>
      <w:lvlJc w:val="left"/>
      <w:pPr>
        <w:ind w:left="6480" w:hanging="360"/>
      </w:pPr>
      <w:rPr>
        <w:rFonts w:ascii="Wingdings" w:hAnsi="Wingdings" w:hint="default"/>
      </w:rPr>
    </w:lvl>
  </w:abstractNum>
  <w:abstractNum w:abstractNumId="8" w15:restartNumberingAfterBreak="0">
    <w:nsid w:val="1FF359A2"/>
    <w:multiLevelType w:val="hybridMultilevel"/>
    <w:tmpl w:val="C026FC60"/>
    <w:lvl w:ilvl="0" w:tplc="7C22A95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24D94EF9"/>
    <w:multiLevelType w:val="hybridMultilevel"/>
    <w:tmpl w:val="FA52E3C2"/>
    <w:lvl w:ilvl="0" w:tplc="0EC026D6">
      <w:start w:val="1"/>
      <w:numFmt w:val="bullet"/>
      <w:lvlText w:val=""/>
      <w:lvlJc w:val="left"/>
      <w:pPr>
        <w:ind w:left="720" w:hanging="360"/>
      </w:pPr>
      <w:rPr>
        <w:rFonts w:ascii="Symbol" w:hAnsi="Symbol" w:hint="default"/>
      </w:rPr>
    </w:lvl>
    <w:lvl w:ilvl="1" w:tplc="5B3C6B70">
      <w:start w:val="1"/>
      <w:numFmt w:val="bullet"/>
      <w:lvlText w:val="o"/>
      <w:lvlJc w:val="left"/>
      <w:pPr>
        <w:ind w:left="1440" w:hanging="360"/>
      </w:pPr>
      <w:rPr>
        <w:rFonts w:ascii="Courier New" w:hAnsi="Courier New" w:hint="default"/>
      </w:rPr>
    </w:lvl>
    <w:lvl w:ilvl="2" w:tplc="06DEE236">
      <w:start w:val="1"/>
      <w:numFmt w:val="bullet"/>
      <w:lvlText w:val=""/>
      <w:lvlJc w:val="left"/>
      <w:pPr>
        <w:ind w:left="2160" w:hanging="360"/>
      </w:pPr>
      <w:rPr>
        <w:rFonts w:ascii="Wingdings" w:hAnsi="Wingdings" w:hint="default"/>
      </w:rPr>
    </w:lvl>
    <w:lvl w:ilvl="3" w:tplc="ADAAEFF2">
      <w:start w:val="1"/>
      <w:numFmt w:val="bullet"/>
      <w:lvlText w:val=""/>
      <w:lvlJc w:val="left"/>
      <w:pPr>
        <w:ind w:left="2880" w:hanging="360"/>
      </w:pPr>
      <w:rPr>
        <w:rFonts w:ascii="Symbol" w:hAnsi="Symbol" w:hint="default"/>
      </w:rPr>
    </w:lvl>
    <w:lvl w:ilvl="4" w:tplc="A0205A1C">
      <w:start w:val="1"/>
      <w:numFmt w:val="bullet"/>
      <w:lvlText w:val="o"/>
      <w:lvlJc w:val="left"/>
      <w:pPr>
        <w:ind w:left="3600" w:hanging="360"/>
      </w:pPr>
      <w:rPr>
        <w:rFonts w:ascii="Courier New" w:hAnsi="Courier New" w:hint="default"/>
      </w:rPr>
    </w:lvl>
    <w:lvl w:ilvl="5" w:tplc="8072095E">
      <w:start w:val="1"/>
      <w:numFmt w:val="bullet"/>
      <w:lvlText w:val=""/>
      <w:lvlJc w:val="left"/>
      <w:pPr>
        <w:ind w:left="4320" w:hanging="360"/>
      </w:pPr>
      <w:rPr>
        <w:rFonts w:ascii="Wingdings" w:hAnsi="Wingdings" w:hint="default"/>
      </w:rPr>
    </w:lvl>
    <w:lvl w:ilvl="6" w:tplc="A6B4D7A6">
      <w:start w:val="1"/>
      <w:numFmt w:val="bullet"/>
      <w:lvlText w:val=""/>
      <w:lvlJc w:val="left"/>
      <w:pPr>
        <w:ind w:left="5040" w:hanging="360"/>
      </w:pPr>
      <w:rPr>
        <w:rFonts w:ascii="Symbol" w:hAnsi="Symbol" w:hint="default"/>
      </w:rPr>
    </w:lvl>
    <w:lvl w:ilvl="7" w:tplc="9B020B78">
      <w:start w:val="1"/>
      <w:numFmt w:val="bullet"/>
      <w:lvlText w:val="o"/>
      <w:lvlJc w:val="left"/>
      <w:pPr>
        <w:ind w:left="5760" w:hanging="360"/>
      </w:pPr>
      <w:rPr>
        <w:rFonts w:ascii="Courier New" w:hAnsi="Courier New" w:hint="default"/>
      </w:rPr>
    </w:lvl>
    <w:lvl w:ilvl="8" w:tplc="3D3471F2">
      <w:start w:val="1"/>
      <w:numFmt w:val="bullet"/>
      <w:lvlText w:val=""/>
      <w:lvlJc w:val="left"/>
      <w:pPr>
        <w:ind w:left="6480" w:hanging="360"/>
      </w:pPr>
      <w:rPr>
        <w:rFonts w:ascii="Wingdings" w:hAnsi="Wingdings" w:hint="default"/>
      </w:rPr>
    </w:lvl>
  </w:abstractNum>
  <w:abstractNum w:abstractNumId="10"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 w15:restartNumberingAfterBreak="0">
    <w:nsid w:val="2F5A5080"/>
    <w:multiLevelType w:val="hybridMultilevel"/>
    <w:tmpl w:val="BE2AF6CE"/>
    <w:lvl w:ilvl="0" w:tplc="D05E2434">
      <w:start w:val="1"/>
      <w:numFmt w:val="bullet"/>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12" w15:restartNumberingAfterBreak="0">
    <w:nsid w:val="311479BA"/>
    <w:multiLevelType w:val="hybridMultilevel"/>
    <w:tmpl w:val="43DE30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37020905"/>
    <w:multiLevelType w:val="hybridMultilevel"/>
    <w:tmpl w:val="A8AC668A"/>
    <w:lvl w:ilvl="0" w:tplc="FFFFFFF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55AA21F0"/>
    <w:multiLevelType w:val="hybridMultilevel"/>
    <w:tmpl w:val="8E46B1B8"/>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B0471D"/>
    <w:multiLevelType w:val="hybridMultilevel"/>
    <w:tmpl w:val="B4EAE36C"/>
    <w:lvl w:ilvl="0" w:tplc="0C090001">
      <w:start w:val="1"/>
      <w:numFmt w:val="bullet"/>
      <w:lvlText w:val=""/>
      <w:lvlJc w:val="left"/>
      <w:pPr>
        <w:ind w:left="1898" w:hanging="360"/>
      </w:pPr>
      <w:rPr>
        <w:rFonts w:ascii="Symbol" w:hAnsi="Symbol" w:hint="default"/>
      </w:rPr>
    </w:lvl>
    <w:lvl w:ilvl="1" w:tplc="0C090003" w:tentative="1">
      <w:start w:val="1"/>
      <w:numFmt w:val="bullet"/>
      <w:lvlText w:val="o"/>
      <w:lvlJc w:val="left"/>
      <w:pPr>
        <w:ind w:left="2618" w:hanging="360"/>
      </w:pPr>
      <w:rPr>
        <w:rFonts w:ascii="Courier New" w:hAnsi="Courier New" w:cs="Courier New" w:hint="default"/>
      </w:rPr>
    </w:lvl>
    <w:lvl w:ilvl="2" w:tplc="0C090005" w:tentative="1">
      <w:start w:val="1"/>
      <w:numFmt w:val="bullet"/>
      <w:lvlText w:val=""/>
      <w:lvlJc w:val="left"/>
      <w:pPr>
        <w:ind w:left="3338" w:hanging="360"/>
      </w:pPr>
      <w:rPr>
        <w:rFonts w:ascii="Wingdings" w:hAnsi="Wingdings" w:hint="default"/>
      </w:rPr>
    </w:lvl>
    <w:lvl w:ilvl="3" w:tplc="0C090001" w:tentative="1">
      <w:start w:val="1"/>
      <w:numFmt w:val="bullet"/>
      <w:lvlText w:val=""/>
      <w:lvlJc w:val="left"/>
      <w:pPr>
        <w:ind w:left="4058" w:hanging="360"/>
      </w:pPr>
      <w:rPr>
        <w:rFonts w:ascii="Symbol" w:hAnsi="Symbol" w:hint="default"/>
      </w:rPr>
    </w:lvl>
    <w:lvl w:ilvl="4" w:tplc="0C090003" w:tentative="1">
      <w:start w:val="1"/>
      <w:numFmt w:val="bullet"/>
      <w:lvlText w:val="o"/>
      <w:lvlJc w:val="left"/>
      <w:pPr>
        <w:ind w:left="4778" w:hanging="360"/>
      </w:pPr>
      <w:rPr>
        <w:rFonts w:ascii="Courier New" w:hAnsi="Courier New" w:cs="Courier New" w:hint="default"/>
      </w:rPr>
    </w:lvl>
    <w:lvl w:ilvl="5" w:tplc="0C090005" w:tentative="1">
      <w:start w:val="1"/>
      <w:numFmt w:val="bullet"/>
      <w:lvlText w:val=""/>
      <w:lvlJc w:val="left"/>
      <w:pPr>
        <w:ind w:left="5498" w:hanging="360"/>
      </w:pPr>
      <w:rPr>
        <w:rFonts w:ascii="Wingdings" w:hAnsi="Wingdings" w:hint="default"/>
      </w:rPr>
    </w:lvl>
    <w:lvl w:ilvl="6" w:tplc="0C090001" w:tentative="1">
      <w:start w:val="1"/>
      <w:numFmt w:val="bullet"/>
      <w:lvlText w:val=""/>
      <w:lvlJc w:val="left"/>
      <w:pPr>
        <w:ind w:left="6218" w:hanging="360"/>
      </w:pPr>
      <w:rPr>
        <w:rFonts w:ascii="Symbol" w:hAnsi="Symbol" w:hint="default"/>
      </w:rPr>
    </w:lvl>
    <w:lvl w:ilvl="7" w:tplc="0C090003" w:tentative="1">
      <w:start w:val="1"/>
      <w:numFmt w:val="bullet"/>
      <w:lvlText w:val="o"/>
      <w:lvlJc w:val="left"/>
      <w:pPr>
        <w:ind w:left="6938" w:hanging="360"/>
      </w:pPr>
      <w:rPr>
        <w:rFonts w:ascii="Courier New" w:hAnsi="Courier New" w:cs="Courier New" w:hint="default"/>
      </w:rPr>
    </w:lvl>
    <w:lvl w:ilvl="8" w:tplc="0C090005" w:tentative="1">
      <w:start w:val="1"/>
      <w:numFmt w:val="bullet"/>
      <w:lvlText w:val=""/>
      <w:lvlJc w:val="left"/>
      <w:pPr>
        <w:ind w:left="7658" w:hanging="360"/>
      </w:pPr>
      <w:rPr>
        <w:rFonts w:ascii="Wingdings" w:hAnsi="Wingdings" w:hint="default"/>
      </w:rPr>
    </w:lvl>
  </w:abstractNum>
  <w:abstractNum w:abstractNumId="16"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D05FC8"/>
    <w:multiLevelType w:val="hybridMultilevel"/>
    <w:tmpl w:val="8FA88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E115B1"/>
    <w:multiLevelType w:val="hybridMultilevel"/>
    <w:tmpl w:val="BFE2E2F6"/>
    <w:lvl w:ilvl="0" w:tplc="B5924CF4">
      <w:start w:val="1"/>
      <w:numFmt w:val="bullet"/>
      <w:lvlText w:val="&gt;"/>
      <w:lvlJc w:val="left"/>
      <w:pPr>
        <w:ind w:left="720" w:hanging="360"/>
      </w:pPr>
      <w:rPr>
        <w:rFonts w:ascii="HelveticaNeueLT Std Lt" w:hAnsi="HelveticaNeueLT Std Lt" w:hint="default"/>
      </w:rPr>
    </w:lvl>
    <w:lvl w:ilvl="1" w:tplc="BC929D74">
      <w:start w:val="1"/>
      <w:numFmt w:val="bullet"/>
      <w:lvlText w:val="o"/>
      <w:lvlJc w:val="left"/>
      <w:pPr>
        <w:ind w:left="1440" w:hanging="360"/>
      </w:pPr>
      <w:rPr>
        <w:rFonts w:ascii="Courier New" w:hAnsi="Courier New" w:hint="default"/>
      </w:rPr>
    </w:lvl>
    <w:lvl w:ilvl="2" w:tplc="D58C0D40">
      <w:start w:val="1"/>
      <w:numFmt w:val="bullet"/>
      <w:lvlText w:val=""/>
      <w:lvlJc w:val="left"/>
      <w:pPr>
        <w:ind w:left="2160" w:hanging="360"/>
      </w:pPr>
      <w:rPr>
        <w:rFonts w:ascii="Wingdings" w:hAnsi="Wingdings" w:hint="default"/>
      </w:rPr>
    </w:lvl>
    <w:lvl w:ilvl="3" w:tplc="CD5E0532">
      <w:start w:val="1"/>
      <w:numFmt w:val="bullet"/>
      <w:lvlText w:val=""/>
      <w:lvlJc w:val="left"/>
      <w:pPr>
        <w:ind w:left="2880" w:hanging="360"/>
      </w:pPr>
      <w:rPr>
        <w:rFonts w:ascii="Symbol" w:hAnsi="Symbol" w:hint="default"/>
      </w:rPr>
    </w:lvl>
    <w:lvl w:ilvl="4" w:tplc="8F007598">
      <w:start w:val="1"/>
      <w:numFmt w:val="bullet"/>
      <w:lvlText w:val="o"/>
      <w:lvlJc w:val="left"/>
      <w:pPr>
        <w:ind w:left="3600" w:hanging="360"/>
      </w:pPr>
      <w:rPr>
        <w:rFonts w:ascii="Courier New" w:hAnsi="Courier New" w:hint="default"/>
      </w:rPr>
    </w:lvl>
    <w:lvl w:ilvl="5" w:tplc="E230104E">
      <w:start w:val="1"/>
      <w:numFmt w:val="bullet"/>
      <w:lvlText w:val=""/>
      <w:lvlJc w:val="left"/>
      <w:pPr>
        <w:ind w:left="4320" w:hanging="360"/>
      </w:pPr>
      <w:rPr>
        <w:rFonts w:ascii="Wingdings" w:hAnsi="Wingdings" w:hint="default"/>
      </w:rPr>
    </w:lvl>
    <w:lvl w:ilvl="6" w:tplc="D370223E">
      <w:start w:val="1"/>
      <w:numFmt w:val="bullet"/>
      <w:lvlText w:val=""/>
      <w:lvlJc w:val="left"/>
      <w:pPr>
        <w:ind w:left="5040" w:hanging="360"/>
      </w:pPr>
      <w:rPr>
        <w:rFonts w:ascii="Symbol" w:hAnsi="Symbol" w:hint="default"/>
      </w:rPr>
    </w:lvl>
    <w:lvl w:ilvl="7" w:tplc="2118F5CA">
      <w:start w:val="1"/>
      <w:numFmt w:val="bullet"/>
      <w:lvlText w:val="o"/>
      <w:lvlJc w:val="left"/>
      <w:pPr>
        <w:ind w:left="5760" w:hanging="360"/>
      </w:pPr>
      <w:rPr>
        <w:rFonts w:ascii="Courier New" w:hAnsi="Courier New" w:hint="default"/>
      </w:rPr>
    </w:lvl>
    <w:lvl w:ilvl="8" w:tplc="11624014">
      <w:start w:val="1"/>
      <w:numFmt w:val="bullet"/>
      <w:lvlText w:val=""/>
      <w:lvlJc w:val="left"/>
      <w:pPr>
        <w:ind w:left="6480" w:hanging="360"/>
      </w:pPr>
      <w:rPr>
        <w:rFonts w:ascii="Wingdings" w:hAnsi="Wingdings" w:hint="default"/>
      </w:rPr>
    </w:lvl>
  </w:abstractNum>
  <w:abstractNum w:abstractNumId="21" w15:restartNumberingAfterBreak="0">
    <w:nsid w:val="75650002"/>
    <w:multiLevelType w:val="hybridMultilevel"/>
    <w:tmpl w:val="EB92ED48"/>
    <w:lvl w:ilvl="0" w:tplc="8D5C9890">
      <w:start w:val="1"/>
      <w:numFmt w:val="bullet"/>
      <w:lvlText w:val=""/>
      <w:lvlJc w:val="left"/>
      <w:pPr>
        <w:ind w:left="720" w:hanging="360"/>
      </w:pPr>
      <w:rPr>
        <w:rFonts w:ascii="Symbol" w:hAnsi="Symbol" w:hint="default"/>
      </w:rPr>
    </w:lvl>
    <w:lvl w:ilvl="1" w:tplc="4A3E7C72">
      <w:start w:val="1"/>
      <w:numFmt w:val="bullet"/>
      <w:lvlText w:val="o"/>
      <w:lvlJc w:val="left"/>
      <w:pPr>
        <w:ind w:left="1440" w:hanging="360"/>
      </w:pPr>
      <w:rPr>
        <w:rFonts w:ascii="Courier New" w:hAnsi="Courier New" w:hint="default"/>
      </w:rPr>
    </w:lvl>
    <w:lvl w:ilvl="2" w:tplc="992E20AC">
      <w:start w:val="1"/>
      <w:numFmt w:val="bullet"/>
      <w:lvlText w:val=""/>
      <w:lvlJc w:val="left"/>
      <w:pPr>
        <w:ind w:left="2160" w:hanging="360"/>
      </w:pPr>
      <w:rPr>
        <w:rFonts w:ascii="Wingdings" w:hAnsi="Wingdings" w:hint="default"/>
      </w:rPr>
    </w:lvl>
    <w:lvl w:ilvl="3" w:tplc="BFBE8C60">
      <w:start w:val="1"/>
      <w:numFmt w:val="bullet"/>
      <w:lvlText w:val=""/>
      <w:lvlJc w:val="left"/>
      <w:pPr>
        <w:ind w:left="2880" w:hanging="360"/>
      </w:pPr>
      <w:rPr>
        <w:rFonts w:ascii="Symbol" w:hAnsi="Symbol" w:hint="default"/>
      </w:rPr>
    </w:lvl>
    <w:lvl w:ilvl="4" w:tplc="C25CFF90">
      <w:start w:val="1"/>
      <w:numFmt w:val="bullet"/>
      <w:lvlText w:val="o"/>
      <w:lvlJc w:val="left"/>
      <w:pPr>
        <w:ind w:left="3600" w:hanging="360"/>
      </w:pPr>
      <w:rPr>
        <w:rFonts w:ascii="Courier New" w:hAnsi="Courier New" w:hint="default"/>
      </w:rPr>
    </w:lvl>
    <w:lvl w:ilvl="5" w:tplc="DFA2D78A">
      <w:start w:val="1"/>
      <w:numFmt w:val="bullet"/>
      <w:lvlText w:val=""/>
      <w:lvlJc w:val="left"/>
      <w:pPr>
        <w:ind w:left="4320" w:hanging="360"/>
      </w:pPr>
      <w:rPr>
        <w:rFonts w:ascii="Wingdings" w:hAnsi="Wingdings" w:hint="default"/>
      </w:rPr>
    </w:lvl>
    <w:lvl w:ilvl="6" w:tplc="5C9079EE">
      <w:start w:val="1"/>
      <w:numFmt w:val="bullet"/>
      <w:lvlText w:val=""/>
      <w:lvlJc w:val="left"/>
      <w:pPr>
        <w:ind w:left="5040" w:hanging="360"/>
      </w:pPr>
      <w:rPr>
        <w:rFonts w:ascii="Symbol" w:hAnsi="Symbol" w:hint="default"/>
      </w:rPr>
    </w:lvl>
    <w:lvl w:ilvl="7" w:tplc="3D74F8CC">
      <w:start w:val="1"/>
      <w:numFmt w:val="bullet"/>
      <w:lvlText w:val="o"/>
      <w:lvlJc w:val="left"/>
      <w:pPr>
        <w:ind w:left="5760" w:hanging="360"/>
      </w:pPr>
      <w:rPr>
        <w:rFonts w:ascii="Courier New" w:hAnsi="Courier New" w:hint="default"/>
      </w:rPr>
    </w:lvl>
    <w:lvl w:ilvl="8" w:tplc="3C727646">
      <w:start w:val="1"/>
      <w:numFmt w:val="bullet"/>
      <w:lvlText w:val=""/>
      <w:lvlJc w:val="left"/>
      <w:pPr>
        <w:ind w:left="6480" w:hanging="360"/>
      </w:pPr>
      <w:rPr>
        <w:rFonts w:ascii="Wingdings" w:hAnsi="Wingdings" w:hint="default"/>
      </w:rPr>
    </w:lvl>
  </w:abstractNum>
  <w:abstractNum w:abstractNumId="22" w15:restartNumberingAfterBreak="0">
    <w:nsid w:val="78EB315A"/>
    <w:multiLevelType w:val="hybridMultilevel"/>
    <w:tmpl w:val="FF5E647C"/>
    <w:lvl w:ilvl="0" w:tplc="59989664">
      <w:start w:val="1"/>
      <w:numFmt w:val="decimal"/>
      <w:lvlText w:val="%1."/>
      <w:lvlJc w:val="left"/>
      <w:pPr>
        <w:ind w:left="720" w:hanging="360"/>
      </w:pPr>
    </w:lvl>
    <w:lvl w:ilvl="1" w:tplc="F648B048">
      <w:start w:val="1"/>
      <w:numFmt w:val="lowerLetter"/>
      <w:lvlText w:val="%2."/>
      <w:lvlJc w:val="left"/>
      <w:pPr>
        <w:ind w:left="1440" w:hanging="360"/>
      </w:pPr>
    </w:lvl>
    <w:lvl w:ilvl="2" w:tplc="5B2AABD4">
      <w:start w:val="1"/>
      <w:numFmt w:val="lowerRoman"/>
      <w:lvlText w:val="%3."/>
      <w:lvlJc w:val="right"/>
      <w:pPr>
        <w:ind w:left="2160" w:hanging="180"/>
      </w:pPr>
    </w:lvl>
    <w:lvl w:ilvl="3" w:tplc="64EABE10">
      <w:start w:val="1"/>
      <w:numFmt w:val="decimal"/>
      <w:lvlText w:val="%4."/>
      <w:lvlJc w:val="left"/>
      <w:pPr>
        <w:ind w:left="2880" w:hanging="360"/>
      </w:pPr>
    </w:lvl>
    <w:lvl w:ilvl="4" w:tplc="0D1C6BF2">
      <w:start w:val="1"/>
      <w:numFmt w:val="lowerLetter"/>
      <w:lvlText w:val="%5."/>
      <w:lvlJc w:val="left"/>
      <w:pPr>
        <w:ind w:left="3600" w:hanging="360"/>
      </w:pPr>
    </w:lvl>
    <w:lvl w:ilvl="5" w:tplc="834EDB46">
      <w:start w:val="1"/>
      <w:numFmt w:val="lowerRoman"/>
      <w:lvlText w:val="%6."/>
      <w:lvlJc w:val="right"/>
      <w:pPr>
        <w:ind w:left="4320" w:hanging="180"/>
      </w:pPr>
    </w:lvl>
    <w:lvl w:ilvl="6" w:tplc="B0F09612">
      <w:start w:val="1"/>
      <w:numFmt w:val="decimal"/>
      <w:lvlText w:val="%7."/>
      <w:lvlJc w:val="left"/>
      <w:pPr>
        <w:ind w:left="5040" w:hanging="360"/>
      </w:pPr>
    </w:lvl>
    <w:lvl w:ilvl="7" w:tplc="96FEF546">
      <w:start w:val="1"/>
      <w:numFmt w:val="lowerLetter"/>
      <w:lvlText w:val="%8."/>
      <w:lvlJc w:val="left"/>
      <w:pPr>
        <w:ind w:left="5760" w:hanging="360"/>
      </w:pPr>
    </w:lvl>
    <w:lvl w:ilvl="8" w:tplc="4A564728">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10"/>
  </w:num>
  <w:num w:numId="6">
    <w:abstractNumId w:val="18"/>
  </w:num>
  <w:num w:numId="7">
    <w:abstractNumId w:val="14"/>
  </w:num>
  <w:num w:numId="8">
    <w:abstractNumId w:val="16"/>
  </w:num>
  <w:num w:numId="9">
    <w:abstractNumId w:val="19"/>
  </w:num>
  <w:num w:numId="10">
    <w:abstractNumId w:val="5"/>
  </w:num>
  <w:num w:numId="11">
    <w:abstractNumId w:val="4"/>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1"/>
  </w:num>
  <w:num w:numId="17">
    <w:abstractNumId w:val="2"/>
    <w:lvlOverride w:ilvl="0">
      <w:startOverride w:val="1"/>
    </w:lvlOverride>
  </w:num>
  <w:num w:numId="18">
    <w:abstractNumId w:val="9"/>
  </w:num>
  <w:num w:numId="19">
    <w:abstractNumId w:val="21"/>
  </w:num>
  <w:num w:numId="20">
    <w:abstractNumId w:val="22"/>
  </w:num>
  <w:num w:numId="21">
    <w:abstractNumId w:val="7"/>
  </w:num>
  <w:num w:numId="22">
    <w:abstractNumId w:val="20"/>
  </w:num>
  <w:num w:numId="23">
    <w:abstractNumId w:val="12"/>
  </w:num>
  <w:num w:numId="24">
    <w:abstractNumId w:val="17"/>
  </w:num>
  <w:num w:numId="25">
    <w:abstractNumId w:val="15"/>
  </w:num>
  <w:num w:numId="26">
    <w:abstractNumId w:val="3"/>
  </w:num>
  <w:num w:numId="27">
    <w:abstractNumId w:val="3"/>
  </w:num>
  <w:num w:numId="28">
    <w:abstractNumId w:val="13"/>
  </w:num>
  <w:num w:numId="29">
    <w:abstractNumId w:val="8"/>
  </w:num>
  <w:num w:numId="30">
    <w:abstractNumId w:val="3"/>
  </w:num>
  <w:num w:numId="31">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2050">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99E"/>
    <w:rsid w:val="00000621"/>
    <w:rsid w:val="0000100E"/>
    <w:rsid w:val="00001053"/>
    <w:rsid w:val="00001437"/>
    <w:rsid w:val="00003E04"/>
    <w:rsid w:val="00005DE1"/>
    <w:rsid w:val="00010667"/>
    <w:rsid w:val="00010B24"/>
    <w:rsid w:val="00010D2F"/>
    <w:rsid w:val="00011175"/>
    <w:rsid w:val="000129D5"/>
    <w:rsid w:val="00012B33"/>
    <w:rsid w:val="00015398"/>
    <w:rsid w:val="00015AE7"/>
    <w:rsid w:val="00016E21"/>
    <w:rsid w:val="0001719C"/>
    <w:rsid w:val="00020AC8"/>
    <w:rsid w:val="000217CA"/>
    <w:rsid w:val="0002224E"/>
    <w:rsid w:val="00023A36"/>
    <w:rsid w:val="000245E5"/>
    <w:rsid w:val="00024623"/>
    <w:rsid w:val="000250A9"/>
    <w:rsid w:val="00025288"/>
    <w:rsid w:val="00026F91"/>
    <w:rsid w:val="000270A9"/>
    <w:rsid w:val="000305C9"/>
    <w:rsid w:val="000308DE"/>
    <w:rsid w:val="000323FB"/>
    <w:rsid w:val="00032621"/>
    <w:rsid w:val="00036059"/>
    <w:rsid w:val="00040E33"/>
    <w:rsid w:val="00041230"/>
    <w:rsid w:val="00041DD4"/>
    <w:rsid w:val="00042AA0"/>
    <w:rsid w:val="000437A4"/>
    <w:rsid w:val="00043C39"/>
    <w:rsid w:val="0004489E"/>
    <w:rsid w:val="000450AE"/>
    <w:rsid w:val="00045A7F"/>
    <w:rsid w:val="000469B8"/>
    <w:rsid w:val="0004764C"/>
    <w:rsid w:val="000478CC"/>
    <w:rsid w:val="0005011A"/>
    <w:rsid w:val="0005045A"/>
    <w:rsid w:val="000516AF"/>
    <w:rsid w:val="00051C1E"/>
    <w:rsid w:val="000539F9"/>
    <w:rsid w:val="00054C27"/>
    <w:rsid w:val="00054D77"/>
    <w:rsid w:val="00055887"/>
    <w:rsid w:val="00055EC3"/>
    <w:rsid w:val="000563CE"/>
    <w:rsid w:val="00062D8C"/>
    <w:rsid w:val="00063E71"/>
    <w:rsid w:val="00064BF9"/>
    <w:rsid w:val="00064CA3"/>
    <w:rsid w:val="000659B6"/>
    <w:rsid w:val="0006686F"/>
    <w:rsid w:val="0006722A"/>
    <w:rsid w:val="0006794C"/>
    <w:rsid w:val="000706E2"/>
    <w:rsid w:val="000732CF"/>
    <w:rsid w:val="00073C0E"/>
    <w:rsid w:val="000740D8"/>
    <w:rsid w:val="00074C52"/>
    <w:rsid w:val="00075B96"/>
    <w:rsid w:val="00075E95"/>
    <w:rsid w:val="000775EB"/>
    <w:rsid w:val="0008081F"/>
    <w:rsid w:val="0008196A"/>
    <w:rsid w:val="00081A3C"/>
    <w:rsid w:val="0008255F"/>
    <w:rsid w:val="000830C4"/>
    <w:rsid w:val="0008327B"/>
    <w:rsid w:val="00083697"/>
    <w:rsid w:val="00084903"/>
    <w:rsid w:val="00084C85"/>
    <w:rsid w:val="00086414"/>
    <w:rsid w:val="0008666D"/>
    <w:rsid w:val="00086704"/>
    <w:rsid w:val="00090440"/>
    <w:rsid w:val="00090B55"/>
    <w:rsid w:val="0009105B"/>
    <w:rsid w:val="000915ED"/>
    <w:rsid w:val="0009209D"/>
    <w:rsid w:val="00092790"/>
    <w:rsid w:val="00092A7B"/>
    <w:rsid w:val="0009463C"/>
    <w:rsid w:val="000954E6"/>
    <w:rsid w:val="00095764"/>
    <w:rsid w:val="00095A75"/>
    <w:rsid w:val="000969BD"/>
    <w:rsid w:val="000969BF"/>
    <w:rsid w:val="00097446"/>
    <w:rsid w:val="000A09E1"/>
    <w:rsid w:val="000A0B45"/>
    <w:rsid w:val="000A0C22"/>
    <w:rsid w:val="000A0F47"/>
    <w:rsid w:val="000A1400"/>
    <w:rsid w:val="000A37AE"/>
    <w:rsid w:val="000A3C43"/>
    <w:rsid w:val="000A4A51"/>
    <w:rsid w:val="000A5D2B"/>
    <w:rsid w:val="000A60ED"/>
    <w:rsid w:val="000A739A"/>
    <w:rsid w:val="000B0A34"/>
    <w:rsid w:val="000B0BF0"/>
    <w:rsid w:val="000B0D22"/>
    <w:rsid w:val="000B12B2"/>
    <w:rsid w:val="000B16FA"/>
    <w:rsid w:val="000B4285"/>
    <w:rsid w:val="000B4587"/>
    <w:rsid w:val="000B4664"/>
    <w:rsid w:val="000B4BA5"/>
    <w:rsid w:val="000B5DE3"/>
    <w:rsid w:val="000B7A82"/>
    <w:rsid w:val="000C01B9"/>
    <w:rsid w:val="000C0A57"/>
    <w:rsid w:val="000C0B7A"/>
    <w:rsid w:val="000C1313"/>
    <w:rsid w:val="000C230C"/>
    <w:rsid w:val="000C239E"/>
    <w:rsid w:val="000C4323"/>
    <w:rsid w:val="000C51D6"/>
    <w:rsid w:val="000C6AB4"/>
    <w:rsid w:val="000D3CBD"/>
    <w:rsid w:val="000D40C6"/>
    <w:rsid w:val="000D71D9"/>
    <w:rsid w:val="000D76E0"/>
    <w:rsid w:val="000D7E8B"/>
    <w:rsid w:val="000E0259"/>
    <w:rsid w:val="000E0721"/>
    <w:rsid w:val="000E207F"/>
    <w:rsid w:val="000E2885"/>
    <w:rsid w:val="000E39A3"/>
    <w:rsid w:val="000E4449"/>
    <w:rsid w:val="000E5FE2"/>
    <w:rsid w:val="000E6097"/>
    <w:rsid w:val="000E7698"/>
    <w:rsid w:val="000F1D57"/>
    <w:rsid w:val="000F3033"/>
    <w:rsid w:val="000F518C"/>
    <w:rsid w:val="000F630D"/>
    <w:rsid w:val="000F7A48"/>
    <w:rsid w:val="001000C4"/>
    <w:rsid w:val="001029D2"/>
    <w:rsid w:val="00103581"/>
    <w:rsid w:val="00103829"/>
    <w:rsid w:val="0010579B"/>
    <w:rsid w:val="001073C0"/>
    <w:rsid w:val="001074E8"/>
    <w:rsid w:val="0011004E"/>
    <w:rsid w:val="001117FE"/>
    <w:rsid w:val="00111B92"/>
    <w:rsid w:val="00111FCE"/>
    <w:rsid w:val="0011270F"/>
    <w:rsid w:val="00112B45"/>
    <w:rsid w:val="00112E33"/>
    <w:rsid w:val="001136F4"/>
    <w:rsid w:val="00114761"/>
    <w:rsid w:val="001177C4"/>
    <w:rsid w:val="001211C3"/>
    <w:rsid w:val="0012145C"/>
    <w:rsid w:val="00121615"/>
    <w:rsid w:val="001221BC"/>
    <w:rsid w:val="00122332"/>
    <w:rsid w:val="001229A5"/>
    <w:rsid w:val="0012489B"/>
    <w:rsid w:val="001272C7"/>
    <w:rsid w:val="00127915"/>
    <w:rsid w:val="00130017"/>
    <w:rsid w:val="0013021B"/>
    <w:rsid w:val="00130A6B"/>
    <w:rsid w:val="00130F91"/>
    <w:rsid w:val="00131347"/>
    <w:rsid w:val="001315BC"/>
    <w:rsid w:val="001349ED"/>
    <w:rsid w:val="00137424"/>
    <w:rsid w:val="00140093"/>
    <w:rsid w:val="00140318"/>
    <w:rsid w:val="00141412"/>
    <w:rsid w:val="00141AD9"/>
    <w:rsid w:val="00141C21"/>
    <w:rsid w:val="00141F62"/>
    <w:rsid w:val="00145E6E"/>
    <w:rsid w:val="00146CE6"/>
    <w:rsid w:val="00147F70"/>
    <w:rsid w:val="00151FF0"/>
    <w:rsid w:val="00152903"/>
    <w:rsid w:val="00153FD5"/>
    <w:rsid w:val="0015614F"/>
    <w:rsid w:val="0015750F"/>
    <w:rsid w:val="001577C2"/>
    <w:rsid w:val="001607FB"/>
    <w:rsid w:val="001618A5"/>
    <w:rsid w:val="00161A44"/>
    <w:rsid w:val="001633C4"/>
    <w:rsid w:val="001704D5"/>
    <w:rsid w:val="00170ABE"/>
    <w:rsid w:val="00171591"/>
    <w:rsid w:val="00171E9D"/>
    <w:rsid w:val="00173308"/>
    <w:rsid w:val="001734A5"/>
    <w:rsid w:val="00173981"/>
    <w:rsid w:val="0017697B"/>
    <w:rsid w:val="00176B74"/>
    <w:rsid w:val="0017719D"/>
    <w:rsid w:val="00181FFF"/>
    <w:rsid w:val="001824C0"/>
    <w:rsid w:val="00183FD7"/>
    <w:rsid w:val="00184954"/>
    <w:rsid w:val="00185CAB"/>
    <w:rsid w:val="00185D29"/>
    <w:rsid w:val="00186FBB"/>
    <w:rsid w:val="001875B7"/>
    <w:rsid w:val="00187CB3"/>
    <w:rsid w:val="00190086"/>
    <w:rsid w:val="001903BE"/>
    <w:rsid w:val="0019050A"/>
    <w:rsid w:val="001906E3"/>
    <w:rsid w:val="001910D4"/>
    <w:rsid w:val="00195166"/>
    <w:rsid w:val="00195B2B"/>
    <w:rsid w:val="00196D62"/>
    <w:rsid w:val="001976E3"/>
    <w:rsid w:val="00197859"/>
    <w:rsid w:val="001A0829"/>
    <w:rsid w:val="001A1304"/>
    <w:rsid w:val="001A447B"/>
    <w:rsid w:val="001A44EC"/>
    <w:rsid w:val="001B1BEB"/>
    <w:rsid w:val="001B1FC1"/>
    <w:rsid w:val="001B28AB"/>
    <w:rsid w:val="001B33F9"/>
    <w:rsid w:val="001B37FC"/>
    <w:rsid w:val="001B58AA"/>
    <w:rsid w:val="001B7BB1"/>
    <w:rsid w:val="001B7E48"/>
    <w:rsid w:val="001C0550"/>
    <w:rsid w:val="001C17CE"/>
    <w:rsid w:val="001C36CA"/>
    <w:rsid w:val="001C4483"/>
    <w:rsid w:val="001C44D1"/>
    <w:rsid w:val="001C69C2"/>
    <w:rsid w:val="001C6AEE"/>
    <w:rsid w:val="001C7373"/>
    <w:rsid w:val="001C7630"/>
    <w:rsid w:val="001D19E7"/>
    <w:rsid w:val="001D383A"/>
    <w:rsid w:val="001D6D15"/>
    <w:rsid w:val="001D7C28"/>
    <w:rsid w:val="001E02CE"/>
    <w:rsid w:val="001E2A24"/>
    <w:rsid w:val="001E41C7"/>
    <w:rsid w:val="001E41FE"/>
    <w:rsid w:val="001E4EA7"/>
    <w:rsid w:val="001F0747"/>
    <w:rsid w:val="001F2A15"/>
    <w:rsid w:val="001F2F6F"/>
    <w:rsid w:val="001F3607"/>
    <w:rsid w:val="001F50F7"/>
    <w:rsid w:val="001F6061"/>
    <w:rsid w:val="001F6922"/>
    <w:rsid w:val="001F7558"/>
    <w:rsid w:val="001F7D86"/>
    <w:rsid w:val="00201EE2"/>
    <w:rsid w:val="002051C9"/>
    <w:rsid w:val="00205B57"/>
    <w:rsid w:val="00206F21"/>
    <w:rsid w:val="0020766C"/>
    <w:rsid w:val="002076BE"/>
    <w:rsid w:val="00210D0D"/>
    <w:rsid w:val="00213284"/>
    <w:rsid w:val="0021426C"/>
    <w:rsid w:val="002157E0"/>
    <w:rsid w:val="00216541"/>
    <w:rsid w:val="00216A57"/>
    <w:rsid w:val="00217448"/>
    <w:rsid w:val="002204B3"/>
    <w:rsid w:val="0022334F"/>
    <w:rsid w:val="0022410E"/>
    <w:rsid w:val="00225C59"/>
    <w:rsid w:val="00226819"/>
    <w:rsid w:val="002271B4"/>
    <w:rsid w:val="00230200"/>
    <w:rsid w:val="00230880"/>
    <w:rsid w:val="0023147F"/>
    <w:rsid w:val="00232AD7"/>
    <w:rsid w:val="00232DA3"/>
    <w:rsid w:val="00233101"/>
    <w:rsid w:val="00233817"/>
    <w:rsid w:val="00234AC4"/>
    <w:rsid w:val="00234AE1"/>
    <w:rsid w:val="00234F83"/>
    <w:rsid w:val="00235A3A"/>
    <w:rsid w:val="00235D23"/>
    <w:rsid w:val="002367FF"/>
    <w:rsid w:val="00236B17"/>
    <w:rsid w:val="00240B13"/>
    <w:rsid w:val="00240CE9"/>
    <w:rsid w:val="002434BA"/>
    <w:rsid w:val="002455A1"/>
    <w:rsid w:val="00246089"/>
    <w:rsid w:val="00246093"/>
    <w:rsid w:val="00246702"/>
    <w:rsid w:val="00246EE4"/>
    <w:rsid w:val="00247C59"/>
    <w:rsid w:val="00247F2E"/>
    <w:rsid w:val="002503B3"/>
    <w:rsid w:val="00250ADC"/>
    <w:rsid w:val="00250B07"/>
    <w:rsid w:val="00252FF9"/>
    <w:rsid w:val="0025308E"/>
    <w:rsid w:val="00257553"/>
    <w:rsid w:val="00257AE3"/>
    <w:rsid w:val="00260FB2"/>
    <w:rsid w:val="00262128"/>
    <w:rsid w:val="00263214"/>
    <w:rsid w:val="00263AF9"/>
    <w:rsid w:val="00265C29"/>
    <w:rsid w:val="00265C90"/>
    <w:rsid w:val="00267374"/>
    <w:rsid w:val="0027165D"/>
    <w:rsid w:val="00273CEB"/>
    <w:rsid w:val="0027495C"/>
    <w:rsid w:val="00274C1E"/>
    <w:rsid w:val="00274F16"/>
    <w:rsid w:val="002771AC"/>
    <w:rsid w:val="002802C5"/>
    <w:rsid w:val="00280F2F"/>
    <w:rsid w:val="00281C89"/>
    <w:rsid w:val="0028282F"/>
    <w:rsid w:val="00282CFF"/>
    <w:rsid w:val="002847E8"/>
    <w:rsid w:val="00291EA4"/>
    <w:rsid w:val="00294A1C"/>
    <w:rsid w:val="0029593B"/>
    <w:rsid w:val="00297FC5"/>
    <w:rsid w:val="002A0417"/>
    <w:rsid w:val="002A0529"/>
    <w:rsid w:val="002A05E8"/>
    <w:rsid w:val="002A0C4B"/>
    <w:rsid w:val="002A16D8"/>
    <w:rsid w:val="002A1A1D"/>
    <w:rsid w:val="002A1BC8"/>
    <w:rsid w:val="002A37A5"/>
    <w:rsid w:val="002A3EF2"/>
    <w:rsid w:val="002A7103"/>
    <w:rsid w:val="002A7381"/>
    <w:rsid w:val="002A7BE9"/>
    <w:rsid w:val="002B0DED"/>
    <w:rsid w:val="002B133B"/>
    <w:rsid w:val="002B19A2"/>
    <w:rsid w:val="002B2D4A"/>
    <w:rsid w:val="002B381A"/>
    <w:rsid w:val="002B4F32"/>
    <w:rsid w:val="002B4FCC"/>
    <w:rsid w:val="002B6ECF"/>
    <w:rsid w:val="002B7408"/>
    <w:rsid w:val="002B7CFD"/>
    <w:rsid w:val="002C030D"/>
    <w:rsid w:val="002C0530"/>
    <w:rsid w:val="002C0B62"/>
    <w:rsid w:val="002C210F"/>
    <w:rsid w:val="002C2B9A"/>
    <w:rsid w:val="002C303B"/>
    <w:rsid w:val="002C3725"/>
    <w:rsid w:val="002C6CD5"/>
    <w:rsid w:val="002D06B1"/>
    <w:rsid w:val="002D1021"/>
    <w:rsid w:val="002D19B9"/>
    <w:rsid w:val="002D1AAE"/>
    <w:rsid w:val="002D3600"/>
    <w:rsid w:val="002D7DED"/>
    <w:rsid w:val="002E170D"/>
    <w:rsid w:val="002E2DEF"/>
    <w:rsid w:val="002E3EFF"/>
    <w:rsid w:val="002E4DDC"/>
    <w:rsid w:val="002E737D"/>
    <w:rsid w:val="002F007C"/>
    <w:rsid w:val="002F06EC"/>
    <w:rsid w:val="002F35B0"/>
    <w:rsid w:val="002F610F"/>
    <w:rsid w:val="002F73D8"/>
    <w:rsid w:val="002F7918"/>
    <w:rsid w:val="00302480"/>
    <w:rsid w:val="00302758"/>
    <w:rsid w:val="003029FC"/>
    <w:rsid w:val="00302DA7"/>
    <w:rsid w:val="00302DED"/>
    <w:rsid w:val="003048B7"/>
    <w:rsid w:val="00306B19"/>
    <w:rsid w:val="0031006F"/>
    <w:rsid w:val="00312D3F"/>
    <w:rsid w:val="00313B7A"/>
    <w:rsid w:val="003165E6"/>
    <w:rsid w:val="003170F9"/>
    <w:rsid w:val="003172D1"/>
    <w:rsid w:val="00317374"/>
    <w:rsid w:val="0031758A"/>
    <w:rsid w:val="00320327"/>
    <w:rsid w:val="00320D5E"/>
    <w:rsid w:val="003215B5"/>
    <w:rsid w:val="003221CF"/>
    <w:rsid w:val="003233ED"/>
    <w:rsid w:val="00324300"/>
    <w:rsid w:val="003248E9"/>
    <w:rsid w:val="00324D9F"/>
    <w:rsid w:val="003253EE"/>
    <w:rsid w:val="00325B6E"/>
    <w:rsid w:val="00326A2F"/>
    <w:rsid w:val="00327948"/>
    <w:rsid w:val="0033000F"/>
    <w:rsid w:val="00332011"/>
    <w:rsid w:val="00332518"/>
    <w:rsid w:val="00332925"/>
    <w:rsid w:val="00332E3F"/>
    <w:rsid w:val="003332ED"/>
    <w:rsid w:val="00333860"/>
    <w:rsid w:val="003338A8"/>
    <w:rsid w:val="003362F4"/>
    <w:rsid w:val="003363D0"/>
    <w:rsid w:val="003368DC"/>
    <w:rsid w:val="00341823"/>
    <w:rsid w:val="003421E5"/>
    <w:rsid w:val="003432F0"/>
    <w:rsid w:val="00343819"/>
    <w:rsid w:val="0034490B"/>
    <w:rsid w:val="00344A40"/>
    <w:rsid w:val="00345927"/>
    <w:rsid w:val="00350584"/>
    <w:rsid w:val="00350C6D"/>
    <w:rsid w:val="00351063"/>
    <w:rsid w:val="00351857"/>
    <w:rsid w:val="00351DC7"/>
    <w:rsid w:val="003545E8"/>
    <w:rsid w:val="00354690"/>
    <w:rsid w:val="00355F4D"/>
    <w:rsid w:val="00356DCE"/>
    <w:rsid w:val="003610E1"/>
    <w:rsid w:val="003616CF"/>
    <w:rsid w:val="00361A8A"/>
    <w:rsid w:val="00366E4C"/>
    <w:rsid w:val="003671BE"/>
    <w:rsid w:val="00370647"/>
    <w:rsid w:val="00372485"/>
    <w:rsid w:val="00373200"/>
    <w:rsid w:val="003739B8"/>
    <w:rsid w:val="003740F5"/>
    <w:rsid w:val="00375572"/>
    <w:rsid w:val="0037558E"/>
    <w:rsid w:val="00375EF5"/>
    <w:rsid w:val="003765B0"/>
    <w:rsid w:val="003767A5"/>
    <w:rsid w:val="00377D67"/>
    <w:rsid w:val="00377DC2"/>
    <w:rsid w:val="0038006F"/>
    <w:rsid w:val="00381D15"/>
    <w:rsid w:val="00385254"/>
    <w:rsid w:val="003863EF"/>
    <w:rsid w:val="003865B1"/>
    <w:rsid w:val="00390D91"/>
    <w:rsid w:val="00390E89"/>
    <w:rsid w:val="0039180A"/>
    <w:rsid w:val="00391BAC"/>
    <w:rsid w:val="00392583"/>
    <w:rsid w:val="003927B1"/>
    <w:rsid w:val="00392FC7"/>
    <w:rsid w:val="003933E8"/>
    <w:rsid w:val="0039351E"/>
    <w:rsid w:val="00394031"/>
    <w:rsid w:val="003948D3"/>
    <w:rsid w:val="00394A05"/>
    <w:rsid w:val="00395B18"/>
    <w:rsid w:val="00396CC5"/>
    <w:rsid w:val="00396DC2"/>
    <w:rsid w:val="003A04DB"/>
    <w:rsid w:val="003A1E1F"/>
    <w:rsid w:val="003A38C2"/>
    <w:rsid w:val="003A3F10"/>
    <w:rsid w:val="003A53A8"/>
    <w:rsid w:val="003A5F5B"/>
    <w:rsid w:val="003A789A"/>
    <w:rsid w:val="003B04C7"/>
    <w:rsid w:val="003B0DA8"/>
    <w:rsid w:val="003B12EC"/>
    <w:rsid w:val="003B1A2B"/>
    <w:rsid w:val="003B760F"/>
    <w:rsid w:val="003C03B8"/>
    <w:rsid w:val="003C105D"/>
    <w:rsid w:val="003C2726"/>
    <w:rsid w:val="003C2C2A"/>
    <w:rsid w:val="003C3CF0"/>
    <w:rsid w:val="003C77E0"/>
    <w:rsid w:val="003D0ECB"/>
    <w:rsid w:val="003D17D7"/>
    <w:rsid w:val="003D1D54"/>
    <w:rsid w:val="003D2678"/>
    <w:rsid w:val="003D499E"/>
    <w:rsid w:val="003D5564"/>
    <w:rsid w:val="003D71A3"/>
    <w:rsid w:val="003D7650"/>
    <w:rsid w:val="003D7BAE"/>
    <w:rsid w:val="003E1410"/>
    <w:rsid w:val="003E1A4A"/>
    <w:rsid w:val="003E2B8A"/>
    <w:rsid w:val="003E3058"/>
    <w:rsid w:val="003E4109"/>
    <w:rsid w:val="003E50E5"/>
    <w:rsid w:val="003E6769"/>
    <w:rsid w:val="003E6867"/>
    <w:rsid w:val="003F10EE"/>
    <w:rsid w:val="003F16F6"/>
    <w:rsid w:val="003F1BD7"/>
    <w:rsid w:val="003F4DC7"/>
    <w:rsid w:val="003F5235"/>
    <w:rsid w:val="003F642A"/>
    <w:rsid w:val="004027E4"/>
    <w:rsid w:val="00403C0E"/>
    <w:rsid w:val="0041071D"/>
    <w:rsid w:val="00411447"/>
    <w:rsid w:val="00411A5A"/>
    <w:rsid w:val="00411E02"/>
    <w:rsid w:val="00412389"/>
    <w:rsid w:val="0041327B"/>
    <w:rsid w:val="004139AA"/>
    <w:rsid w:val="0041469F"/>
    <w:rsid w:val="004148F0"/>
    <w:rsid w:val="00414AFC"/>
    <w:rsid w:val="004151A7"/>
    <w:rsid w:val="00415310"/>
    <w:rsid w:val="0042042D"/>
    <w:rsid w:val="00421709"/>
    <w:rsid w:val="00421D4C"/>
    <w:rsid w:val="00422321"/>
    <w:rsid w:val="00422410"/>
    <w:rsid w:val="00423763"/>
    <w:rsid w:val="00424A49"/>
    <w:rsid w:val="004252D3"/>
    <w:rsid w:val="0042762F"/>
    <w:rsid w:val="00427DC7"/>
    <w:rsid w:val="00430053"/>
    <w:rsid w:val="00431613"/>
    <w:rsid w:val="00431792"/>
    <w:rsid w:val="0043297A"/>
    <w:rsid w:val="00432EB2"/>
    <w:rsid w:val="0043602B"/>
    <w:rsid w:val="0043658A"/>
    <w:rsid w:val="0043714F"/>
    <w:rsid w:val="0044044F"/>
    <w:rsid w:val="00440F8F"/>
    <w:rsid w:val="004438B5"/>
    <w:rsid w:val="00443B10"/>
    <w:rsid w:val="00443CDE"/>
    <w:rsid w:val="00443F91"/>
    <w:rsid w:val="004441C5"/>
    <w:rsid w:val="00447037"/>
    <w:rsid w:val="004470DE"/>
    <w:rsid w:val="004474B4"/>
    <w:rsid w:val="00450947"/>
    <w:rsid w:val="0045124D"/>
    <w:rsid w:val="00454596"/>
    <w:rsid w:val="0045605D"/>
    <w:rsid w:val="004566EF"/>
    <w:rsid w:val="004570DF"/>
    <w:rsid w:val="0046135B"/>
    <w:rsid w:val="00461D47"/>
    <w:rsid w:val="004648A2"/>
    <w:rsid w:val="004660EB"/>
    <w:rsid w:val="00466CE1"/>
    <w:rsid w:val="00466DD7"/>
    <w:rsid w:val="00471289"/>
    <w:rsid w:val="004718CC"/>
    <w:rsid w:val="0047276D"/>
    <w:rsid w:val="00473852"/>
    <w:rsid w:val="004748B5"/>
    <w:rsid w:val="00477F29"/>
    <w:rsid w:val="00480E23"/>
    <w:rsid w:val="00481695"/>
    <w:rsid w:val="00482791"/>
    <w:rsid w:val="00482BB7"/>
    <w:rsid w:val="00483D3D"/>
    <w:rsid w:val="004855F5"/>
    <w:rsid w:val="00495A96"/>
    <w:rsid w:val="00495BB3"/>
    <w:rsid w:val="00495F53"/>
    <w:rsid w:val="00496BA3"/>
    <w:rsid w:val="00496F42"/>
    <w:rsid w:val="004A3DB2"/>
    <w:rsid w:val="004A474A"/>
    <w:rsid w:val="004A56BB"/>
    <w:rsid w:val="004A70D6"/>
    <w:rsid w:val="004B0751"/>
    <w:rsid w:val="004B1751"/>
    <w:rsid w:val="004B2565"/>
    <w:rsid w:val="004B3CB6"/>
    <w:rsid w:val="004C0253"/>
    <w:rsid w:val="004C0814"/>
    <w:rsid w:val="004C148A"/>
    <w:rsid w:val="004C1DE4"/>
    <w:rsid w:val="004C2BBD"/>
    <w:rsid w:val="004C7BF8"/>
    <w:rsid w:val="004D1819"/>
    <w:rsid w:val="004D3333"/>
    <w:rsid w:val="004D4087"/>
    <w:rsid w:val="004D56FF"/>
    <w:rsid w:val="004D7CAB"/>
    <w:rsid w:val="004E2345"/>
    <w:rsid w:val="004E23C1"/>
    <w:rsid w:val="004E39D3"/>
    <w:rsid w:val="004E508A"/>
    <w:rsid w:val="004E5F1D"/>
    <w:rsid w:val="004E616D"/>
    <w:rsid w:val="004E7B85"/>
    <w:rsid w:val="004F01DD"/>
    <w:rsid w:val="004F1BDE"/>
    <w:rsid w:val="004F2CEE"/>
    <w:rsid w:val="004F556E"/>
    <w:rsid w:val="004F591C"/>
    <w:rsid w:val="004F6136"/>
    <w:rsid w:val="004F616A"/>
    <w:rsid w:val="004F76DE"/>
    <w:rsid w:val="004F7B6A"/>
    <w:rsid w:val="004F7F44"/>
    <w:rsid w:val="00500657"/>
    <w:rsid w:val="005007C3"/>
    <w:rsid w:val="00501F6A"/>
    <w:rsid w:val="00502EA6"/>
    <w:rsid w:val="005037B4"/>
    <w:rsid w:val="00504483"/>
    <w:rsid w:val="005055BC"/>
    <w:rsid w:val="00505D0A"/>
    <w:rsid w:val="005079BF"/>
    <w:rsid w:val="0051269A"/>
    <w:rsid w:val="00512E53"/>
    <w:rsid w:val="00513132"/>
    <w:rsid w:val="00516700"/>
    <w:rsid w:val="005176B4"/>
    <w:rsid w:val="005202F2"/>
    <w:rsid w:val="005206E0"/>
    <w:rsid w:val="005219E7"/>
    <w:rsid w:val="00522EBB"/>
    <w:rsid w:val="005266ED"/>
    <w:rsid w:val="00531B9A"/>
    <w:rsid w:val="00531D15"/>
    <w:rsid w:val="00534B0B"/>
    <w:rsid w:val="00534BE6"/>
    <w:rsid w:val="00535A86"/>
    <w:rsid w:val="00537604"/>
    <w:rsid w:val="00542377"/>
    <w:rsid w:val="00542CCB"/>
    <w:rsid w:val="00543BE8"/>
    <w:rsid w:val="00546429"/>
    <w:rsid w:val="005475FE"/>
    <w:rsid w:val="005476EB"/>
    <w:rsid w:val="00550E16"/>
    <w:rsid w:val="00551782"/>
    <w:rsid w:val="00551969"/>
    <w:rsid w:val="005529A0"/>
    <w:rsid w:val="005535D4"/>
    <w:rsid w:val="005537BA"/>
    <w:rsid w:val="005556B0"/>
    <w:rsid w:val="00555C86"/>
    <w:rsid w:val="00557434"/>
    <w:rsid w:val="00561AA1"/>
    <w:rsid w:val="00563855"/>
    <w:rsid w:val="00563B01"/>
    <w:rsid w:val="00563EF1"/>
    <w:rsid w:val="005645C9"/>
    <w:rsid w:val="005657F3"/>
    <w:rsid w:val="00566860"/>
    <w:rsid w:val="00566AB4"/>
    <w:rsid w:val="00572E98"/>
    <w:rsid w:val="00573812"/>
    <w:rsid w:val="0057450A"/>
    <w:rsid w:val="005758BB"/>
    <w:rsid w:val="00575AC5"/>
    <w:rsid w:val="0057605D"/>
    <w:rsid w:val="00576DCA"/>
    <w:rsid w:val="00576E68"/>
    <w:rsid w:val="00577929"/>
    <w:rsid w:val="00577F1A"/>
    <w:rsid w:val="00581347"/>
    <w:rsid w:val="00581AC9"/>
    <w:rsid w:val="00583634"/>
    <w:rsid w:val="005837CF"/>
    <w:rsid w:val="005849D8"/>
    <w:rsid w:val="005849F8"/>
    <w:rsid w:val="00586893"/>
    <w:rsid w:val="005938DF"/>
    <w:rsid w:val="00594C22"/>
    <w:rsid w:val="00594E9C"/>
    <w:rsid w:val="005A099B"/>
    <w:rsid w:val="005A1967"/>
    <w:rsid w:val="005A2CAC"/>
    <w:rsid w:val="005A2D9C"/>
    <w:rsid w:val="005A4EDF"/>
    <w:rsid w:val="005A55FE"/>
    <w:rsid w:val="005A5629"/>
    <w:rsid w:val="005A6A11"/>
    <w:rsid w:val="005B2F0D"/>
    <w:rsid w:val="005B3C5E"/>
    <w:rsid w:val="005B4AED"/>
    <w:rsid w:val="005B5A10"/>
    <w:rsid w:val="005B7EE9"/>
    <w:rsid w:val="005C065C"/>
    <w:rsid w:val="005C08FE"/>
    <w:rsid w:val="005C24CD"/>
    <w:rsid w:val="005C2688"/>
    <w:rsid w:val="005C310E"/>
    <w:rsid w:val="005C34EF"/>
    <w:rsid w:val="005C4089"/>
    <w:rsid w:val="005D044B"/>
    <w:rsid w:val="005D2502"/>
    <w:rsid w:val="005D2E0E"/>
    <w:rsid w:val="005D40BB"/>
    <w:rsid w:val="005D47F3"/>
    <w:rsid w:val="005D49BF"/>
    <w:rsid w:val="005D4AA5"/>
    <w:rsid w:val="005D5960"/>
    <w:rsid w:val="005D62E5"/>
    <w:rsid w:val="005D6A48"/>
    <w:rsid w:val="005D6F4E"/>
    <w:rsid w:val="005D7C73"/>
    <w:rsid w:val="005D7E1F"/>
    <w:rsid w:val="005E00BB"/>
    <w:rsid w:val="005E0249"/>
    <w:rsid w:val="005E250B"/>
    <w:rsid w:val="005E3ACD"/>
    <w:rsid w:val="005E5C2C"/>
    <w:rsid w:val="005E631F"/>
    <w:rsid w:val="005E7226"/>
    <w:rsid w:val="005E7A57"/>
    <w:rsid w:val="005F24B0"/>
    <w:rsid w:val="005F2A41"/>
    <w:rsid w:val="005F581D"/>
    <w:rsid w:val="005F7D73"/>
    <w:rsid w:val="00601DFD"/>
    <w:rsid w:val="00602A8D"/>
    <w:rsid w:val="00602CCB"/>
    <w:rsid w:val="006040D1"/>
    <w:rsid w:val="006040FD"/>
    <w:rsid w:val="00604315"/>
    <w:rsid w:val="0060475A"/>
    <w:rsid w:val="00604E26"/>
    <w:rsid w:val="0060523F"/>
    <w:rsid w:val="006052CF"/>
    <w:rsid w:val="00605A23"/>
    <w:rsid w:val="00607B8D"/>
    <w:rsid w:val="00607F6A"/>
    <w:rsid w:val="00611036"/>
    <w:rsid w:val="00611F5C"/>
    <w:rsid w:val="006124EB"/>
    <w:rsid w:val="00616E09"/>
    <w:rsid w:val="006175E0"/>
    <w:rsid w:val="006178FA"/>
    <w:rsid w:val="00620E04"/>
    <w:rsid w:val="006213EF"/>
    <w:rsid w:val="00621EBB"/>
    <w:rsid w:val="00622A08"/>
    <w:rsid w:val="00622A3B"/>
    <w:rsid w:val="00622EEA"/>
    <w:rsid w:val="006230FF"/>
    <w:rsid w:val="0062396C"/>
    <w:rsid w:val="00623FF9"/>
    <w:rsid w:val="0062437D"/>
    <w:rsid w:val="00626464"/>
    <w:rsid w:val="00627D4E"/>
    <w:rsid w:val="006307CC"/>
    <w:rsid w:val="0063229A"/>
    <w:rsid w:val="00632482"/>
    <w:rsid w:val="00632B89"/>
    <w:rsid w:val="00633403"/>
    <w:rsid w:val="0063346D"/>
    <w:rsid w:val="00634478"/>
    <w:rsid w:val="00636B63"/>
    <w:rsid w:val="006415E7"/>
    <w:rsid w:val="00644373"/>
    <w:rsid w:val="0064444F"/>
    <w:rsid w:val="00644F44"/>
    <w:rsid w:val="00645915"/>
    <w:rsid w:val="00646CC4"/>
    <w:rsid w:val="006519C3"/>
    <w:rsid w:val="006521C3"/>
    <w:rsid w:val="00652B30"/>
    <w:rsid w:val="0065394B"/>
    <w:rsid w:val="006549BC"/>
    <w:rsid w:val="00656345"/>
    <w:rsid w:val="00656DC6"/>
    <w:rsid w:val="00660EC6"/>
    <w:rsid w:val="00664110"/>
    <w:rsid w:val="00664D17"/>
    <w:rsid w:val="00665317"/>
    <w:rsid w:val="00665985"/>
    <w:rsid w:val="006660B0"/>
    <w:rsid w:val="006661ED"/>
    <w:rsid w:val="00666520"/>
    <w:rsid w:val="00667C5B"/>
    <w:rsid w:val="006704B6"/>
    <w:rsid w:val="00671EF7"/>
    <w:rsid w:val="00671FD7"/>
    <w:rsid w:val="0067336F"/>
    <w:rsid w:val="0067416A"/>
    <w:rsid w:val="0067439C"/>
    <w:rsid w:val="00675016"/>
    <w:rsid w:val="00675F0F"/>
    <w:rsid w:val="00677151"/>
    <w:rsid w:val="006774D7"/>
    <w:rsid w:val="00677F61"/>
    <w:rsid w:val="00681998"/>
    <w:rsid w:val="0068305E"/>
    <w:rsid w:val="00691EB8"/>
    <w:rsid w:val="006922DA"/>
    <w:rsid w:val="00692CDE"/>
    <w:rsid w:val="00693073"/>
    <w:rsid w:val="00694FAC"/>
    <w:rsid w:val="006959B2"/>
    <w:rsid w:val="00697137"/>
    <w:rsid w:val="006977FF"/>
    <w:rsid w:val="006A01FA"/>
    <w:rsid w:val="006A0E9E"/>
    <w:rsid w:val="006A106C"/>
    <w:rsid w:val="006A2455"/>
    <w:rsid w:val="006A25C7"/>
    <w:rsid w:val="006A3ECF"/>
    <w:rsid w:val="006A4AAD"/>
    <w:rsid w:val="006A4CCA"/>
    <w:rsid w:val="006A551C"/>
    <w:rsid w:val="006A5FAD"/>
    <w:rsid w:val="006A6DA2"/>
    <w:rsid w:val="006A7AB2"/>
    <w:rsid w:val="006B0765"/>
    <w:rsid w:val="006B084A"/>
    <w:rsid w:val="006B253D"/>
    <w:rsid w:val="006B48B2"/>
    <w:rsid w:val="006B4ED2"/>
    <w:rsid w:val="006B52DE"/>
    <w:rsid w:val="006B5717"/>
    <w:rsid w:val="006B582F"/>
    <w:rsid w:val="006B5EB2"/>
    <w:rsid w:val="006C0CEB"/>
    <w:rsid w:val="006C1631"/>
    <w:rsid w:val="006C3B1E"/>
    <w:rsid w:val="006C47FD"/>
    <w:rsid w:val="006C5C19"/>
    <w:rsid w:val="006C5FD4"/>
    <w:rsid w:val="006C6D03"/>
    <w:rsid w:val="006C70A0"/>
    <w:rsid w:val="006D18A8"/>
    <w:rsid w:val="006D27CB"/>
    <w:rsid w:val="006D2F08"/>
    <w:rsid w:val="006D3B32"/>
    <w:rsid w:val="006D576C"/>
    <w:rsid w:val="006D5865"/>
    <w:rsid w:val="006D5CCE"/>
    <w:rsid w:val="006E0188"/>
    <w:rsid w:val="006E3B61"/>
    <w:rsid w:val="006E4B1B"/>
    <w:rsid w:val="006E4C8C"/>
    <w:rsid w:val="006E5445"/>
    <w:rsid w:val="006E607C"/>
    <w:rsid w:val="006E6779"/>
    <w:rsid w:val="006E7D93"/>
    <w:rsid w:val="006F2EE3"/>
    <w:rsid w:val="006F3A52"/>
    <w:rsid w:val="006F40DF"/>
    <w:rsid w:val="006F4D06"/>
    <w:rsid w:val="006F4EC0"/>
    <w:rsid w:val="006F5427"/>
    <w:rsid w:val="006F7DDD"/>
    <w:rsid w:val="0070133D"/>
    <w:rsid w:val="007029A3"/>
    <w:rsid w:val="0070343B"/>
    <w:rsid w:val="00703E9C"/>
    <w:rsid w:val="00706A7C"/>
    <w:rsid w:val="00706E4E"/>
    <w:rsid w:val="0070791C"/>
    <w:rsid w:val="0071079F"/>
    <w:rsid w:val="007127FA"/>
    <w:rsid w:val="0071383C"/>
    <w:rsid w:val="007141A7"/>
    <w:rsid w:val="00714324"/>
    <w:rsid w:val="00715722"/>
    <w:rsid w:val="00715BAF"/>
    <w:rsid w:val="00715D10"/>
    <w:rsid w:val="00715E3D"/>
    <w:rsid w:val="00716DAE"/>
    <w:rsid w:val="00721032"/>
    <w:rsid w:val="00721B55"/>
    <w:rsid w:val="00723906"/>
    <w:rsid w:val="007242E3"/>
    <w:rsid w:val="00725556"/>
    <w:rsid w:val="0072583D"/>
    <w:rsid w:val="00726CE4"/>
    <w:rsid w:val="0073053C"/>
    <w:rsid w:val="00732C6A"/>
    <w:rsid w:val="00734143"/>
    <w:rsid w:val="00734A66"/>
    <w:rsid w:val="00735027"/>
    <w:rsid w:val="00736CA4"/>
    <w:rsid w:val="00737E47"/>
    <w:rsid w:val="00740389"/>
    <w:rsid w:val="00740566"/>
    <w:rsid w:val="00740EAC"/>
    <w:rsid w:val="007439C0"/>
    <w:rsid w:val="00744956"/>
    <w:rsid w:val="00744C2F"/>
    <w:rsid w:val="00745272"/>
    <w:rsid w:val="00745A5C"/>
    <w:rsid w:val="0074605F"/>
    <w:rsid w:val="0074641D"/>
    <w:rsid w:val="00747E94"/>
    <w:rsid w:val="0075046B"/>
    <w:rsid w:val="007519F0"/>
    <w:rsid w:val="00752A99"/>
    <w:rsid w:val="00752EC0"/>
    <w:rsid w:val="00752F09"/>
    <w:rsid w:val="00753176"/>
    <w:rsid w:val="0075388D"/>
    <w:rsid w:val="00753C5B"/>
    <w:rsid w:val="00753EAF"/>
    <w:rsid w:val="00754302"/>
    <w:rsid w:val="00754C83"/>
    <w:rsid w:val="00756524"/>
    <w:rsid w:val="0075704F"/>
    <w:rsid w:val="00757939"/>
    <w:rsid w:val="00761A6B"/>
    <w:rsid w:val="00761E5C"/>
    <w:rsid w:val="0076209C"/>
    <w:rsid w:val="00765DF8"/>
    <w:rsid w:val="0076603D"/>
    <w:rsid w:val="00766749"/>
    <w:rsid w:val="00766FC4"/>
    <w:rsid w:val="00767C1B"/>
    <w:rsid w:val="00770B3F"/>
    <w:rsid w:val="00771413"/>
    <w:rsid w:val="007714A9"/>
    <w:rsid w:val="00771B3C"/>
    <w:rsid w:val="0077244F"/>
    <w:rsid w:val="00773880"/>
    <w:rsid w:val="00774F88"/>
    <w:rsid w:val="00774FDB"/>
    <w:rsid w:val="00777BA2"/>
    <w:rsid w:val="00781408"/>
    <w:rsid w:val="00781823"/>
    <w:rsid w:val="00782065"/>
    <w:rsid w:val="007827C8"/>
    <w:rsid w:val="0078332D"/>
    <w:rsid w:val="007837B1"/>
    <w:rsid w:val="007848F1"/>
    <w:rsid w:val="00784A70"/>
    <w:rsid w:val="00784F7F"/>
    <w:rsid w:val="007878BD"/>
    <w:rsid w:val="007938CF"/>
    <w:rsid w:val="00794363"/>
    <w:rsid w:val="00795169"/>
    <w:rsid w:val="00796F25"/>
    <w:rsid w:val="007A174F"/>
    <w:rsid w:val="007A2E98"/>
    <w:rsid w:val="007A3BA3"/>
    <w:rsid w:val="007A6CC0"/>
    <w:rsid w:val="007A7FEC"/>
    <w:rsid w:val="007B1499"/>
    <w:rsid w:val="007B1A15"/>
    <w:rsid w:val="007B1BBF"/>
    <w:rsid w:val="007B1BE8"/>
    <w:rsid w:val="007B2960"/>
    <w:rsid w:val="007B3421"/>
    <w:rsid w:val="007B355D"/>
    <w:rsid w:val="007B35F1"/>
    <w:rsid w:val="007B7980"/>
    <w:rsid w:val="007C07C7"/>
    <w:rsid w:val="007C0DEF"/>
    <w:rsid w:val="007C2337"/>
    <w:rsid w:val="007C26BE"/>
    <w:rsid w:val="007C2D01"/>
    <w:rsid w:val="007C300D"/>
    <w:rsid w:val="007C4A48"/>
    <w:rsid w:val="007C5B27"/>
    <w:rsid w:val="007C5D5A"/>
    <w:rsid w:val="007C607F"/>
    <w:rsid w:val="007C716F"/>
    <w:rsid w:val="007C79DD"/>
    <w:rsid w:val="007C7F8C"/>
    <w:rsid w:val="007D1A97"/>
    <w:rsid w:val="007D2BF7"/>
    <w:rsid w:val="007D2CD6"/>
    <w:rsid w:val="007D3063"/>
    <w:rsid w:val="007D3CEB"/>
    <w:rsid w:val="007D3E03"/>
    <w:rsid w:val="007D4485"/>
    <w:rsid w:val="007D4948"/>
    <w:rsid w:val="007D5956"/>
    <w:rsid w:val="007D6758"/>
    <w:rsid w:val="007E00DC"/>
    <w:rsid w:val="007E1F0A"/>
    <w:rsid w:val="007E2011"/>
    <w:rsid w:val="007E52B8"/>
    <w:rsid w:val="007E7683"/>
    <w:rsid w:val="007E7D8B"/>
    <w:rsid w:val="007F1B4B"/>
    <w:rsid w:val="007F3779"/>
    <w:rsid w:val="007F49FA"/>
    <w:rsid w:val="007F5106"/>
    <w:rsid w:val="007F5462"/>
    <w:rsid w:val="007F54C4"/>
    <w:rsid w:val="007F6238"/>
    <w:rsid w:val="007F6E9A"/>
    <w:rsid w:val="00800CCD"/>
    <w:rsid w:val="00801FEB"/>
    <w:rsid w:val="008025B2"/>
    <w:rsid w:val="00803539"/>
    <w:rsid w:val="008044D4"/>
    <w:rsid w:val="0080460A"/>
    <w:rsid w:val="00806382"/>
    <w:rsid w:val="008065D7"/>
    <w:rsid w:val="0080675B"/>
    <w:rsid w:val="00810AB4"/>
    <w:rsid w:val="00810B10"/>
    <w:rsid w:val="00811CD5"/>
    <w:rsid w:val="00813404"/>
    <w:rsid w:val="00813FF8"/>
    <w:rsid w:val="008165BB"/>
    <w:rsid w:val="00816A25"/>
    <w:rsid w:val="008174B9"/>
    <w:rsid w:val="008177B8"/>
    <w:rsid w:val="00817A4F"/>
    <w:rsid w:val="00817B56"/>
    <w:rsid w:val="00821A88"/>
    <w:rsid w:val="0082322E"/>
    <w:rsid w:val="0082495D"/>
    <w:rsid w:val="00824DA6"/>
    <w:rsid w:val="008264D1"/>
    <w:rsid w:val="00827F3D"/>
    <w:rsid w:val="0083163C"/>
    <w:rsid w:val="00831AC3"/>
    <w:rsid w:val="00831D4F"/>
    <w:rsid w:val="00833C1B"/>
    <w:rsid w:val="00833E9E"/>
    <w:rsid w:val="00835C46"/>
    <w:rsid w:val="00835C4B"/>
    <w:rsid w:val="00836691"/>
    <w:rsid w:val="00836FCE"/>
    <w:rsid w:val="008408FF"/>
    <w:rsid w:val="00842906"/>
    <w:rsid w:val="008452DB"/>
    <w:rsid w:val="008457CD"/>
    <w:rsid w:val="00845953"/>
    <w:rsid w:val="00847139"/>
    <w:rsid w:val="00847560"/>
    <w:rsid w:val="00847DF7"/>
    <w:rsid w:val="00850877"/>
    <w:rsid w:val="00851F3F"/>
    <w:rsid w:val="00852E0C"/>
    <w:rsid w:val="0085397C"/>
    <w:rsid w:val="00855442"/>
    <w:rsid w:val="00855E8F"/>
    <w:rsid w:val="00856EDC"/>
    <w:rsid w:val="00860A2E"/>
    <w:rsid w:val="008620EA"/>
    <w:rsid w:val="008623B5"/>
    <w:rsid w:val="0086514C"/>
    <w:rsid w:val="00865163"/>
    <w:rsid w:val="008653B6"/>
    <w:rsid w:val="00865888"/>
    <w:rsid w:val="0086690C"/>
    <w:rsid w:val="00866B36"/>
    <w:rsid w:val="0086783C"/>
    <w:rsid w:val="00870ABA"/>
    <w:rsid w:val="008710E1"/>
    <w:rsid w:val="008716E5"/>
    <w:rsid w:val="008731CD"/>
    <w:rsid w:val="00874642"/>
    <w:rsid w:val="00874A06"/>
    <w:rsid w:val="00874EF0"/>
    <w:rsid w:val="008774A2"/>
    <w:rsid w:val="00877BFF"/>
    <w:rsid w:val="00880F7B"/>
    <w:rsid w:val="00881CA9"/>
    <w:rsid w:val="008835EE"/>
    <w:rsid w:val="00883628"/>
    <w:rsid w:val="00885420"/>
    <w:rsid w:val="00885544"/>
    <w:rsid w:val="0088634E"/>
    <w:rsid w:val="00892471"/>
    <w:rsid w:val="00892A7A"/>
    <w:rsid w:val="00893AB8"/>
    <w:rsid w:val="008952A1"/>
    <w:rsid w:val="00896E53"/>
    <w:rsid w:val="0089712C"/>
    <w:rsid w:val="0089729B"/>
    <w:rsid w:val="008A04C8"/>
    <w:rsid w:val="008A1429"/>
    <w:rsid w:val="008A4066"/>
    <w:rsid w:val="008A54DC"/>
    <w:rsid w:val="008A5614"/>
    <w:rsid w:val="008A6913"/>
    <w:rsid w:val="008A72C0"/>
    <w:rsid w:val="008B0A3E"/>
    <w:rsid w:val="008B2F00"/>
    <w:rsid w:val="008B3B68"/>
    <w:rsid w:val="008B52B0"/>
    <w:rsid w:val="008B70F3"/>
    <w:rsid w:val="008B71C4"/>
    <w:rsid w:val="008B76DF"/>
    <w:rsid w:val="008B7C27"/>
    <w:rsid w:val="008C10F4"/>
    <w:rsid w:val="008C1FDA"/>
    <w:rsid w:val="008C2E80"/>
    <w:rsid w:val="008C5D0E"/>
    <w:rsid w:val="008C5F90"/>
    <w:rsid w:val="008C65F7"/>
    <w:rsid w:val="008C76B1"/>
    <w:rsid w:val="008D0A90"/>
    <w:rsid w:val="008D67FC"/>
    <w:rsid w:val="008D6B0F"/>
    <w:rsid w:val="008D76DA"/>
    <w:rsid w:val="008D7F9F"/>
    <w:rsid w:val="008E000E"/>
    <w:rsid w:val="008E0428"/>
    <w:rsid w:val="008E04DF"/>
    <w:rsid w:val="008E11BD"/>
    <w:rsid w:val="008E1DC9"/>
    <w:rsid w:val="008E2B89"/>
    <w:rsid w:val="008E4767"/>
    <w:rsid w:val="008E7A8C"/>
    <w:rsid w:val="008F1F82"/>
    <w:rsid w:val="008F2174"/>
    <w:rsid w:val="008F2D15"/>
    <w:rsid w:val="008F4193"/>
    <w:rsid w:val="008F4E1B"/>
    <w:rsid w:val="008F71D4"/>
    <w:rsid w:val="008F78C9"/>
    <w:rsid w:val="0090203B"/>
    <w:rsid w:val="00903285"/>
    <w:rsid w:val="009032EC"/>
    <w:rsid w:val="0090350A"/>
    <w:rsid w:val="00903BC8"/>
    <w:rsid w:val="00904F5F"/>
    <w:rsid w:val="00906F40"/>
    <w:rsid w:val="0090731E"/>
    <w:rsid w:val="00911E51"/>
    <w:rsid w:val="00912A2C"/>
    <w:rsid w:val="009135A1"/>
    <w:rsid w:val="00915B1C"/>
    <w:rsid w:val="00916012"/>
    <w:rsid w:val="00917322"/>
    <w:rsid w:val="009174F3"/>
    <w:rsid w:val="0091797D"/>
    <w:rsid w:val="0092008C"/>
    <w:rsid w:val="00922D3D"/>
    <w:rsid w:val="00923C4F"/>
    <w:rsid w:val="00923C84"/>
    <w:rsid w:val="00923CBA"/>
    <w:rsid w:val="00924092"/>
    <w:rsid w:val="0092510C"/>
    <w:rsid w:val="00925D03"/>
    <w:rsid w:val="00926703"/>
    <w:rsid w:val="00927691"/>
    <w:rsid w:val="00927A5F"/>
    <w:rsid w:val="00927D46"/>
    <w:rsid w:val="00930510"/>
    <w:rsid w:val="00930BB1"/>
    <w:rsid w:val="00934643"/>
    <w:rsid w:val="0093589E"/>
    <w:rsid w:val="00935B63"/>
    <w:rsid w:val="00936E95"/>
    <w:rsid w:val="0094078F"/>
    <w:rsid w:val="00940FA3"/>
    <w:rsid w:val="00941B11"/>
    <w:rsid w:val="00941DB2"/>
    <w:rsid w:val="00941FB0"/>
    <w:rsid w:val="009426D4"/>
    <w:rsid w:val="00947127"/>
    <w:rsid w:val="00947F25"/>
    <w:rsid w:val="00947F95"/>
    <w:rsid w:val="00950159"/>
    <w:rsid w:val="009501D9"/>
    <w:rsid w:val="00950BDF"/>
    <w:rsid w:val="00951BFF"/>
    <w:rsid w:val="0095490B"/>
    <w:rsid w:val="00957031"/>
    <w:rsid w:val="00957B74"/>
    <w:rsid w:val="00960A33"/>
    <w:rsid w:val="00961A48"/>
    <w:rsid w:val="00962B67"/>
    <w:rsid w:val="0096327A"/>
    <w:rsid w:val="00964264"/>
    <w:rsid w:val="009645A9"/>
    <w:rsid w:val="0096635B"/>
    <w:rsid w:val="009665B2"/>
    <w:rsid w:val="009714CA"/>
    <w:rsid w:val="00971914"/>
    <w:rsid w:val="00972A53"/>
    <w:rsid w:val="00973199"/>
    <w:rsid w:val="00974363"/>
    <w:rsid w:val="00975B7D"/>
    <w:rsid w:val="00976CD3"/>
    <w:rsid w:val="00981609"/>
    <w:rsid w:val="00981898"/>
    <w:rsid w:val="0098340E"/>
    <w:rsid w:val="0098694B"/>
    <w:rsid w:val="00990BFC"/>
    <w:rsid w:val="00992169"/>
    <w:rsid w:val="0099471B"/>
    <w:rsid w:val="0099577C"/>
    <w:rsid w:val="00996E31"/>
    <w:rsid w:val="009A021C"/>
    <w:rsid w:val="009A0C53"/>
    <w:rsid w:val="009A1C80"/>
    <w:rsid w:val="009A25CC"/>
    <w:rsid w:val="009A3043"/>
    <w:rsid w:val="009A3B97"/>
    <w:rsid w:val="009A69B2"/>
    <w:rsid w:val="009A7EF8"/>
    <w:rsid w:val="009B01D6"/>
    <w:rsid w:val="009B24A5"/>
    <w:rsid w:val="009B2601"/>
    <w:rsid w:val="009B448F"/>
    <w:rsid w:val="009B4E9E"/>
    <w:rsid w:val="009B613E"/>
    <w:rsid w:val="009C1690"/>
    <w:rsid w:val="009C1AB6"/>
    <w:rsid w:val="009C627A"/>
    <w:rsid w:val="009C6881"/>
    <w:rsid w:val="009C6D11"/>
    <w:rsid w:val="009C7759"/>
    <w:rsid w:val="009D0356"/>
    <w:rsid w:val="009D043D"/>
    <w:rsid w:val="009D07C8"/>
    <w:rsid w:val="009D2112"/>
    <w:rsid w:val="009D225F"/>
    <w:rsid w:val="009D47AF"/>
    <w:rsid w:val="009D4C85"/>
    <w:rsid w:val="009D55E7"/>
    <w:rsid w:val="009D61D9"/>
    <w:rsid w:val="009D6C71"/>
    <w:rsid w:val="009D6FE3"/>
    <w:rsid w:val="009E0631"/>
    <w:rsid w:val="009E0E93"/>
    <w:rsid w:val="009E16D0"/>
    <w:rsid w:val="009E2051"/>
    <w:rsid w:val="009E330A"/>
    <w:rsid w:val="009E38FD"/>
    <w:rsid w:val="009E3D4A"/>
    <w:rsid w:val="009E50B0"/>
    <w:rsid w:val="009E6A11"/>
    <w:rsid w:val="009E7A35"/>
    <w:rsid w:val="009F13D6"/>
    <w:rsid w:val="009F1D29"/>
    <w:rsid w:val="009F20ED"/>
    <w:rsid w:val="009F43F2"/>
    <w:rsid w:val="009F4C6B"/>
    <w:rsid w:val="009F4EC3"/>
    <w:rsid w:val="009F6B9A"/>
    <w:rsid w:val="009F7529"/>
    <w:rsid w:val="009F78A8"/>
    <w:rsid w:val="00A017E0"/>
    <w:rsid w:val="00A02308"/>
    <w:rsid w:val="00A02371"/>
    <w:rsid w:val="00A027C9"/>
    <w:rsid w:val="00A02AD6"/>
    <w:rsid w:val="00A05394"/>
    <w:rsid w:val="00A05C5E"/>
    <w:rsid w:val="00A0672B"/>
    <w:rsid w:val="00A07096"/>
    <w:rsid w:val="00A07318"/>
    <w:rsid w:val="00A1084F"/>
    <w:rsid w:val="00A11370"/>
    <w:rsid w:val="00A1525D"/>
    <w:rsid w:val="00A17A89"/>
    <w:rsid w:val="00A17F01"/>
    <w:rsid w:val="00A204C0"/>
    <w:rsid w:val="00A20636"/>
    <w:rsid w:val="00A224CE"/>
    <w:rsid w:val="00A22522"/>
    <w:rsid w:val="00A228EB"/>
    <w:rsid w:val="00A23F30"/>
    <w:rsid w:val="00A24AFD"/>
    <w:rsid w:val="00A24F5C"/>
    <w:rsid w:val="00A25302"/>
    <w:rsid w:val="00A32BB7"/>
    <w:rsid w:val="00A32F96"/>
    <w:rsid w:val="00A3362E"/>
    <w:rsid w:val="00A33E93"/>
    <w:rsid w:val="00A35158"/>
    <w:rsid w:val="00A36A8D"/>
    <w:rsid w:val="00A37C04"/>
    <w:rsid w:val="00A37F7A"/>
    <w:rsid w:val="00A40871"/>
    <w:rsid w:val="00A412AB"/>
    <w:rsid w:val="00A4193E"/>
    <w:rsid w:val="00A41C0F"/>
    <w:rsid w:val="00A41F41"/>
    <w:rsid w:val="00A4264B"/>
    <w:rsid w:val="00A440E0"/>
    <w:rsid w:val="00A442EF"/>
    <w:rsid w:val="00A445AB"/>
    <w:rsid w:val="00A46181"/>
    <w:rsid w:val="00A472F0"/>
    <w:rsid w:val="00A50087"/>
    <w:rsid w:val="00A50717"/>
    <w:rsid w:val="00A5112D"/>
    <w:rsid w:val="00A51D1A"/>
    <w:rsid w:val="00A5276A"/>
    <w:rsid w:val="00A5418D"/>
    <w:rsid w:val="00A5474E"/>
    <w:rsid w:val="00A5630E"/>
    <w:rsid w:val="00A56964"/>
    <w:rsid w:val="00A57D34"/>
    <w:rsid w:val="00A61E10"/>
    <w:rsid w:val="00A64234"/>
    <w:rsid w:val="00A64FAC"/>
    <w:rsid w:val="00A65BF7"/>
    <w:rsid w:val="00A671D9"/>
    <w:rsid w:val="00A709A9"/>
    <w:rsid w:val="00A70ADF"/>
    <w:rsid w:val="00A71466"/>
    <w:rsid w:val="00A71AB2"/>
    <w:rsid w:val="00A74B5E"/>
    <w:rsid w:val="00A7544D"/>
    <w:rsid w:val="00A766EE"/>
    <w:rsid w:val="00A81BED"/>
    <w:rsid w:val="00A81DA5"/>
    <w:rsid w:val="00A81EC4"/>
    <w:rsid w:val="00A824E8"/>
    <w:rsid w:val="00A82661"/>
    <w:rsid w:val="00A8279E"/>
    <w:rsid w:val="00A82E3E"/>
    <w:rsid w:val="00A83A7A"/>
    <w:rsid w:val="00A84A4A"/>
    <w:rsid w:val="00A8574C"/>
    <w:rsid w:val="00A929F6"/>
    <w:rsid w:val="00A92F71"/>
    <w:rsid w:val="00A95063"/>
    <w:rsid w:val="00A95F91"/>
    <w:rsid w:val="00A961DD"/>
    <w:rsid w:val="00A967FD"/>
    <w:rsid w:val="00A97491"/>
    <w:rsid w:val="00AA21BC"/>
    <w:rsid w:val="00AA2C87"/>
    <w:rsid w:val="00AA2DE5"/>
    <w:rsid w:val="00AA7C41"/>
    <w:rsid w:val="00AB156C"/>
    <w:rsid w:val="00AB24A8"/>
    <w:rsid w:val="00AB4477"/>
    <w:rsid w:val="00AB5187"/>
    <w:rsid w:val="00AB6814"/>
    <w:rsid w:val="00AB7B15"/>
    <w:rsid w:val="00AC0116"/>
    <w:rsid w:val="00AC04BA"/>
    <w:rsid w:val="00AC0B6D"/>
    <w:rsid w:val="00AC0E39"/>
    <w:rsid w:val="00AC1A2F"/>
    <w:rsid w:val="00AC2274"/>
    <w:rsid w:val="00AC2F21"/>
    <w:rsid w:val="00AC46FB"/>
    <w:rsid w:val="00AC6074"/>
    <w:rsid w:val="00AC6141"/>
    <w:rsid w:val="00AC622C"/>
    <w:rsid w:val="00AC657C"/>
    <w:rsid w:val="00AD25CA"/>
    <w:rsid w:val="00AD3082"/>
    <w:rsid w:val="00AD32B4"/>
    <w:rsid w:val="00AD4AD0"/>
    <w:rsid w:val="00AD5436"/>
    <w:rsid w:val="00AD5CFA"/>
    <w:rsid w:val="00AD60CD"/>
    <w:rsid w:val="00AD6C8C"/>
    <w:rsid w:val="00AD7860"/>
    <w:rsid w:val="00AE091D"/>
    <w:rsid w:val="00AE3B60"/>
    <w:rsid w:val="00AE47E1"/>
    <w:rsid w:val="00AE53A1"/>
    <w:rsid w:val="00AE6B31"/>
    <w:rsid w:val="00AF1B8C"/>
    <w:rsid w:val="00AF2484"/>
    <w:rsid w:val="00AF57B1"/>
    <w:rsid w:val="00AF63E7"/>
    <w:rsid w:val="00AF6E17"/>
    <w:rsid w:val="00B0165D"/>
    <w:rsid w:val="00B01B60"/>
    <w:rsid w:val="00B02FAD"/>
    <w:rsid w:val="00B031F3"/>
    <w:rsid w:val="00B052A4"/>
    <w:rsid w:val="00B05587"/>
    <w:rsid w:val="00B06B36"/>
    <w:rsid w:val="00B11093"/>
    <w:rsid w:val="00B125DE"/>
    <w:rsid w:val="00B1265D"/>
    <w:rsid w:val="00B13FDD"/>
    <w:rsid w:val="00B14F32"/>
    <w:rsid w:val="00B167D0"/>
    <w:rsid w:val="00B21A82"/>
    <w:rsid w:val="00B22A7A"/>
    <w:rsid w:val="00B22E8C"/>
    <w:rsid w:val="00B22EB2"/>
    <w:rsid w:val="00B25ED1"/>
    <w:rsid w:val="00B27442"/>
    <w:rsid w:val="00B27ECA"/>
    <w:rsid w:val="00B31167"/>
    <w:rsid w:val="00B329D8"/>
    <w:rsid w:val="00B32BB9"/>
    <w:rsid w:val="00B33AE1"/>
    <w:rsid w:val="00B37782"/>
    <w:rsid w:val="00B37C38"/>
    <w:rsid w:val="00B4288C"/>
    <w:rsid w:val="00B42E6B"/>
    <w:rsid w:val="00B43262"/>
    <w:rsid w:val="00B44100"/>
    <w:rsid w:val="00B44174"/>
    <w:rsid w:val="00B450B2"/>
    <w:rsid w:val="00B46CBA"/>
    <w:rsid w:val="00B46F94"/>
    <w:rsid w:val="00B51853"/>
    <w:rsid w:val="00B53FF2"/>
    <w:rsid w:val="00B544E8"/>
    <w:rsid w:val="00B566B2"/>
    <w:rsid w:val="00B57D56"/>
    <w:rsid w:val="00B6003C"/>
    <w:rsid w:val="00B60ACA"/>
    <w:rsid w:val="00B611C6"/>
    <w:rsid w:val="00B61F03"/>
    <w:rsid w:val="00B626E4"/>
    <w:rsid w:val="00B628BA"/>
    <w:rsid w:val="00B709EF"/>
    <w:rsid w:val="00B72496"/>
    <w:rsid w:val="00B72F4A"/>
    <w:rsid w:val="00B7787F"/>
    <w:rsid w:val="00B80EE0"/>
    <w:rsid w:val="00B83C27"/>
    <w:rsid w:val="00B84BC3"/>
    <w:rsid w:val="00B84BDD"/>
    <w:rsid w:val="00B872E8"/>
    <w:rsid w:val="00B907FF"/>
    <w:rsid w:val="00B9278A"/>
    <w:rsid w:val="00B92812"/>
    <w:rsid w:val="00B967C9"/>
    <w:rsid w:val="00B96C73"/>
    <w:rsid w:val="00B97566"/>
    <w:rsid w:val="00B97934"/>
    <w:rsid w:val="00BA07F9"/>
    <w:rsid w:val="00BA39E3"/>
    <w:rsid w:val="00BB0E4B"/>
    <w:rsid w:val="00BB1D67"/>
    <w:rsid w:val="00BB4453"/>
    <w:rsid w:val="00BB45A1"/>
    <w:rsid w:val="00BB5D44"/>
    <w:rsid w:val="00BB6335"/>
    <w:rsid w:val="00BB7686"/>
    <w:rsid w:val="00BB7802"/>
    <w:rsid w:val="00BB7B55"/>
    <w:rsid w:val="00BC140D"/>
    <w:rsid w:val="00BC23F9"/>
    <w:rsid w:val="00BC2B35"/>
    <w:rsid w:val="00BC3421"/>
    <w:rsid w:val="00BC6F5C"/>
    <w:rsid w:val="00BC732C"/>
    <w:rsid w:val="00BD0A21"/>
    <w:rsid w:val="00BD2E24"/>
    <w:rsid w:val="00BD36F4"/>
    <w:rsid w:val="00BD4421"/>
    <w:rsid w:val="00BD7407"/>
    <w:rsid w:val="00BE2580"/>
    <w:rsid w:val="00BE266D"/>
    <w:rsid w:val="00BE3938"/>
    <w:rsid w:val="00BE3EF0"/>
    <w:rsid w:val="00BE4C11"/>
    <w:rsid w:val="00BE5B89"/>
    <w:rsid w:val="00BE5C28"/>
    <w:rsid w:val="00BE71C0"/>
    <w:rsid w:val="00BF1504"/>
    <w:rsid w:val="00BF31B9"/>
    <w:rsid w:val="00BF3995"/>
    <w:rsid w:val="00BF5EBD"/>
    <w:rsid w:val="00BF610C"/>
    <w:rsid w:val="00C0060B"/>
    <w:rsid w:val="00C006C8"/>
    <w:rsid w:val="00C0131A"/>
    <w:rsid w:val="00C0143C"/>
    <w:rsid w:val="00C01A6C"/>
    <w:rsid w:val="00C01B69"/>
    <w:rsid w:val="00C0277D"/>
    <w:rsid w:val="00C02F26"/>
    <w:rsid w:val="00C03858"/>
    <w:rsid w:val="00C053A1"/>
    <w:rsid w:val="00C0784F"/>
    <w:rsid w:val="00C07ADB"/>
    <w:rsid w:val="00C100D0"/>
    <w:rsid w:val="00C1192F"/>
    <w:rsid w:val="00C125E9"/>
    <w:rsid w:val="00C12B5C"/>
    <w:rsid w:val="00C16198"/>
    <w:rsid w:val="00C17415"/>
    <w:rsid w:val="00C2083D"/>
    <w:rsid w:val="00C22F1C"/>
    <w:rsid w:val="00C24A53"/>
    <w:rsid w:val="00C256BB"/>
    <w:rsid w:val="00C3384C"/>
    <w:rsid w:val="00C34A05"/>
    <w:rsid w:val="00C35CCE"/>
    <w:rsid w:val="00C4032F"/>
    <w:rsid w:val="00C4099A"/>
    <w:rsid w:val="00C41F21"/>
    <w:rsid w:val="00C42AB0"/>
    <w:rsid w:val="00C44047"/>
    <w:rsid w:val="00C45155"/>
    <w:rsid w:val="00C45B72"/>
    <w:rsid w:val="00C52180"/>
    <w:rsid w:val="00C5498F"/>
    <w:rsid w:val="00C55235"/>
    <w:rsid w:val="00C609C4"/>
    <w:rsid w:val="00C613C5"/>
    <w:rsid w:val="00C6216C"/>
    <w:rsid w:val="00C627E6"/>
    <w:rsid w:val="00C64C86"/>
    <w:rsid w:val="00C64CD0"/>
    <w:rsid w:val="00C65BD7"/>
    <w:rsid w:val="00C65C5F"/>
    <w:rsid w:val="00C65F61"/>
    <w:rsid w:val="00C6684F"/>
    <w:rsid w:val="00C6745F"/>
    <w:rsid w:val="00C70E70"/>
    <w:rsid w:val="00C713DE"/>
    <w:rsid w:val="00C71DC3"/>
    <w:rsid w:val="00C72200"/>
    <w:rsid w:val="00C75F8D"/>
    <w:rsid w:val="00C76130"/>
    <w:rsid w:val="00C76448"/>
    <w:rsid w:val="00C76585"/>
    <w:rsid w:val="00C77380"/>
    <w:rsid w:val="00C87E8A"/>
    <w:rsid w:val="00C90655"/>
    <w:rsid w:val="00C90BA0"/>
    <w:rsid w:val="00C910F5"/>
    <w:rsid w:val="00C9131E"/>
    <w:rsid w:val="00C913D6"/>
    <w:rsid w:val="00C93BAB"/>
    <w:rsid w:val="00C95EB0"/>
    <w:rsid w:val="00C96BCD"/>
    <w:rsid w:val="00C96C19"/>
    <w:rsid w:val="00C975A1"/>
    <w:rsid w:val="00C97736"/>
    <w:rsid w:val="00C97A37"/>
    <w:rsid w:val="00CA1426"/>
    <w:rsid w:val="00CA345A"/>
    <w:rsid w:val="00CA5A80"/>
    <w:rsid w:val="00CB1A6E"/>
    <w:rsid w:val="00CB1E82"/>
    <w:rsid w:val="00CB286C"/>
    <w:rsid w:val="00CB4AB9"/>
    <w:rsid w:val="00CB4BA8"/>
    <w:rsid w:val="00CB52D7"/>
    <w:rsid w:val="00CB5B92"/>
    <w:rsid w:val="00CB5EB1"/>
    <w:rsid w:val="00CC108C"/>
    <w:rsid w:val="00CC2223"/>
    <w:rsid w:val="00CC403B"/>
    <w:rsid w:val="00CC4EB4"/>
    <w:rsid w:val="00CC4F40"/>
    <w:rsid w:val="00CC526D"/>
    <w:rsid w:val="00CC6732"/>
    <w:rsid w:val="00CD0035"/>
    <w:rsid w:val="00CD2741"/>
    <w:rsid w:val="00CD302C"/>
    <w:rsid w:val="00CD52F0"/>
    <w:rsid w:val="00CD614A"/>
    <w:rsid w:val="00CD6270"/>
    <w:rsid w:val="00CD6ACF"/>
    <w:rsid w:val="00CD7A98"/>
    <w:rsid w:val="00CE0A9B"/>
    <w:rsid w:val="00CE0B02"/>
    <w:rsid w:val="00CE3C96"/>
    <w:rsid w:val="00CE5007"/>
    <w:rsid w:val="00CE51A8"/>
    <w:rsid w:val="00CE71B4"/>
    <w:rsid w:val="00CF05A6"/>
    <w:rsid w:val="00CF0BFE"/>
    <w:rsid w:val="00CF0DFF"/>
    <w:rsid w:val="00CF369B"/>
    <w:rsid w:val="00CF37AF"/>
    <w:rsid w:val="00D00E28"/>
    <w:rsid w:val="00D0266D"/>
    <w:rsid w:val="00D0269E"/>
    <w:rsid w:val="00D029A1"/>
    <w:rsid w:val="00D048DE"/>
    <w:rsid w:val="00D04986"/>
    <w:rsid w:val="00D04E93"/>
    <w:rsid w:val="00D05D6C"/>
    <w:rsid w:val="00D05FB6"/>
    <w:rsid w:val="00D0723E"/>
    <w:rsid w:val="00D10A7F"/>
    <w:rsid w:val="00D11003"/>
    <w:rsid w:val="00D12DE4"/>
    <w:rsid w:val="00D144F0"/>
    <w:rsid w:val="00D15810"/>
    <w:rsid w:val="00D169A9"/>
    <w:rsid w:val="00D16D4E"/>
    <w:rsid w:val="00D16FE3"/>
    <w:rsid w:val="00D20C88"/>
    <w:rsid w:val="00D21E25"/>
    <w:rsid w:val="00D221DB"/>
    <w:rsid w:val="00D23BC3"/>
    <w:rsid w:val="00D2430C"/>
    <w:rsid w:val="00D24B6E"/>
    <w:rsid w:val="00D25F15"/>
    <w:rsid w:val="00D27F41"/>
    <w:rsid w:val="00D30D90"/>
    <w:rsid w:val="00D336BE"/>
    <w:rsid w:val="00D340A1"/>
    <w:rsid w:val="00D34603"/>
    <w:rsid w:val="00D36441"/>
    <w:rsid w:val="00D4064E"/>
    <w:rsid w:val="00D408D1"/>
    <w:rsid w:val="00D42F32"/>
    <w:rsid w:val="00D43B47"/>
    <w:rsid w:val="00D44E9B"/>
    <w:rsid w:val="00D46F15"/>
    <w:rsid w:val="00D46F67"/>
    <w:rsid w:val="00D47AEB"/>
    <w:rsid w:val="00D47CA7"/>
    <w:rsid w:val="00D500E9"/>
    <w:rsid w:val="00D50DB9"/>
    <w:rsid w:val="00D51302"/>
    <w:rsid w:val="00D517C4"/>
    <w:rsid w:val="00D52C43"/>
    <w:rsid w:val="00D53040"/>
    <w:rsid w:val="00D53793"/>
    <w:rsid w:val="00D606CE"/>
    <w:rsid w:val="00D61243"/>
    <w:rsid w:val="00D62052"/>
    <w:rsid w:val="00D629F2"/>
    <w:rsid w:val="00D63970"/>
    <w:rsid w:val="00D64A94"/>
    <w:rsid w:val="00D6507F"/>
    <w:rsid w:val="00D6517F"/>
    <w:rsid w:val="00D65EE4"/>
    <w:rsid w:val="00D66BAB"/>
    <w:rsid w:val="00D72A53"/>
    <w:rsid w:val="00D730BC"/>
    <w:rsid w:val="00D7324E"/>
    <w:rsid w:val="00D73912"/>
    <w:rsid w:val="00D7403F"/>
    <w:rsid w:val="00D74DCA"/>
    <w:rsid w:val="00D76039"/>
    <w:rsid w:val="00D81831"/>
    <w:rsid w:val="00D819ED"/>
    <w:rsid w:val="00D81C4B"/>
    <w:rsid w:val="00D83486"/>
    <w:rsid w:val="00D83E82"/>
    <w:rsid w:val="00D84080"/>
    <w:rsid w:val="00D85226"/>
    <w:rsid w:val="00D852E3"/>
    <w:rsid w:val="00D863B3"/>
    <w:rsid w:val="00D87B94"/>
    <w:rsid w:val="00D905B2"/>
    <w:rsid w:val="00D91699"/>
    <w:rsid w:val="00D92C57"/>
    <w:rsid w:val="00D92D49"/>
    <w:rsid w:val="00D92EC1"/>
    <w:rsid w:val="00D93A77"/>
    <w:rsid w:val="00D946A3"/>
    <w:rsid w:val="00D94C7C"/>
    <w:rsid w:val="00D94E0F"/>
    <w:rsid w:val="00D96DEA"/>
    <w:rsid w:val="00DA1483"/>
    <w:rsid w:val="00DA2677"/>
    <w:rsid w:val="00DA4E41"/>
    <w:rsid w:val="00DB01D7"/>
    <w:rsid w:val="00DB117A"/>
    <w:rsid w:val="00DB1861"/>
    <w:rsid w:val="00DB5173"/>
    <w:rsid w:val="00DB7873"/>
    <w:rsid w:val="00DC187B"/>
    <w:rsid w:val="00DC1C09"/>
    <w:rsid w:val="00DC2C0F"/>
    <w:rsid w:val="00DC3CCD"/>
    <w:rsid w:val="00DC3CF9"/>
    <w:rsid w:val="00DC54A5"/>
    <w:rsid w:val="00DC5601"/>
    <w:rsid w:val="00DC689E"/>
    <w:rsid w:val="00DC77CC"/>
    <w:rsid w:val="00DC7B85"/>
    <w:rsid w:val="00DD0833"/>
    <w:rsid w:val="00DD0965"/>
    <w:rsid w:val="00DD1A43"/>
    <w:rsid w:val="00DD1BE0"/>
    <w:rsid w:val="00DD1D64"/>
    <w:rsid w:val="00DD246D"/>
    <w:rsid w:val="00DD2FCC"/>
    <w:rsid w:val="00DD3881"/>
    <w:rsid w:val="00DD417B"/>
    <w:rsid w:val="00DD4CFD"/>
    <w:rsid w:val="00DD4DA9"/>
    <w:rsid w:val="00DD73C2"/>
    <w:rsid w:val="00DE0B07"/>
    <w:rsid w:val="00DE2B59"/>
    <w:rsid w:val="00DE319B"/>
    <w:rsid w:val="00DE4069"/>
    <w:rsid w:val="00DE532B"/>
    <w:rsid w:val="00DE5964"/>
    <w:rsid w:val="00DF1452"/>
    <w:rsid w:val="00DF34FE"/>
    <w:rsid w:val="00DF3846"/>
    <w:rsid w:val="00DF4453"/>
    <w:rsid w:val="00DF4BF0"/>
    <w:rsid w:val="00DF56AA"/>
    <w:rsid w:val="00DF56AF"/>
    <w:rsid w:val="00DF6B09"/>
    <w:rsid w:val="00DF78E7"/>
    <w:rsid w:val="00E00642"/>
    <w:rsid w:val="00E020B9"/>
    <w:rsid w:val="00E02829"/>
    <w:rsid w:val="00E07FD6"/>
    <w:rsid w:val="00E110E0"/>
    <w:rsid w:val="00E14798"/>
    <w:rsid w:val="00E15371"/>
    <w:rsid w:val="00E17BA0"/>
    <w:rsid w:val="00E21056"/>
    <w:rsid w:val="00E21D7E"/>
    <w:rsid w:val="00E24104"/>
    <w:rsid w:val="00E243AA"/>
    <w:rsid w:val="00E2541A"/>
    <w:rsid w:val="00E302D0"/>
    <w:rsid w:val="00E32D27"/>
    <w:rsid w:val="00E3337A"/>
    <w:rsid w:val="00E33CBA"/>
    <w:rsid w:val="00E35707"/>
    <w:rsid w:val="00E35A30"/>
    <w:rsid w:val="00E36AA1"/>
    <w:rsid w:val="00E4009B"/>
    <w:rsid w:val="00E410F9"/>
    <w:rsid w:val="00E41ECB"/>
    <w:rsid w:val="00E41F93"/>
    <w:rsid w:val="00E42676"/>
    <w:rsid w:val="00E43540"/>
    <w:rsid w:val="00E43700"/>
    <w:rsid w:val="00E467A2"/>
    <w:rsid w:val="00E53F67"/>
    <w:rsid w:val="00E548E3"/>
    <w:rsid w:val="00E54FDB"/>
    <w:rsid w:val="00E5617D"/>
    <w:rsid w:val="00E563D7"/>
    <w:rsid w:val="00E56A44"/>
    <w:rsid w:val="00E5794B"/>
    <w:rsid w:val="00E6458F"/>
    <w:rsid w:val="00E64C1C"/>
    <w:rsid w:val="00E64C97"/>
    <w:rsid w:val="00E65147"/>
    <w:rsid w:val="00E659B2"/>
    <w:rsid w:val="00E663F4"/>
    <w:rsid w:val="00E666F2"/>
    <w:rsid w:val="00E6680B"/>
    <w:rsid w:val="00E66DD4"/>
    <w:rsid w:val="00E71872"/>
    <w:rsid w:val="00E748CC"/>
    <w:rsid w:val="00E74F15"/>
    <w:rsid w:val="00E75415"/>
    <w:rsid w:val="00E75A1A"/>
    <w:rsid w:val="00E7711D"/>
    <w:rsid w:val="00E775B1"/>
    <w:rsid w:val="00E7775E"/>
    <w:rsid w:val="00E77A51"/>
    <w:rsid w:val="00E810A7"/>
    <w:rsid w:val="00E8152A"/>
    <w:rsid w:val="00E8244C"/>
    <w:rsid w:val="00E82F62"/>
    <w:rsid w:val="00E84E2F"/>
    <w:rsid w:val="00E87943"/>
    <w:rsid w:val="00E9264E"/>
    <w:rsid w:val="00E93629"/>
    <w:rsid w:val="00E93B5C"/>
    <w:rsid w:val="00E94CEC"/>
    <w:rsid w:val="00E95166"/>
    <w:rsid w:val="00E96BC3"/>
    <w:rsid w:val="00E9767D"/>
    <w:rsid w:val="00EA04EF"/>
    <w:rsid w:val="00EA0969"/>
    <w:rsid w:val="00EA5BD0"/>
    <w:rsid w:val="00EA6681"/>
    <w:rsid w:val="00EA6C79"/>
    <w:rsid w:val="00EA6F19"/>
    <w:rsid w:val="00EA7680"/>
    <w:rsid w:val="00EB1341"/>
    <w:rsid w:val="00EB37AC"/>
    <w:rsid w:val="00EB428D"/>
    <w:rsid w:val="00EB4AA8"/>
    <w:rsid w:val="00EB4C93"/>
    <w:rsid w:val="00EB65ED"/>
    <w:rsid w:val="00EB7090"/>
    <w:rsid w:val="00EC1BBE"/>
    <w:rsid w:val="00EC2B68"/>
    <w:rsid w:val="00EC3AEF"/>
    <w:rsid w:val="00EC5CD7"/>
    <w:rsid w:val="00EC62AC"/>
    <w:rsid w:val="00EC644E"/>
    <w:rsid w:val="00EC67B7"/>
    <w:rsid w:val="00ED027F"/>
    <w:rsid w:val="00ED0FC3"/>
    <w:rsid w:val="00ED19E7"/>
    <w:rsid w:val="00ED5E21"/>
    <w:rsid w:val="00ED7ADF"/>
    <w:rsid w:val="00EE16D7"/>
    <w:rsid w:val="00EE1EA4"/>
    <w:rsid w:val="00EE35C2"/>
    <w:rsid w:val="00EE46E6"/>
    <w:rsid w:val="00EE4BC1"/>
    <w:rsid w:val="00EE5105"/>
    <w:rsid w:val="00EE57D0"/>
    <w:rsid w:val="00EE5FB3"/>
    <w:rsid w:val="00EE7F79"/>
    <w:rsid w:val="00EF1AA8"/>
    <w:rsid w:val="00EF1B7B"/>
    <w:rsid w:val="00EF715A"/>
    <w:rsid w:val="00F00C74"/>
    <w:rsid w:val="00F040EE"/>
    <w:rsid w:val="00F05982"/>
    <w:rsid w:val="00F06E14"/>
    <w:rsid w:val="00F0742F"/>
    <w:rsid w:val="00F1000E"/>
    <w:rsid w:val="00F109C4"/>
    <w:rsid w:val="00F1295C"/>
    <w:rsid w:val="00F1531F"/>
    <w:rsid w:val="00F16BA6"/>
    <w:rsid w:val="00F179D4"/>
    <w:rsid w:val="00F20864"/>
    <w:rsid w:val="00F214F3"/>
    <w:rsid w:val="00F22A23"/>
    <w:rsid w:val="00F22AA2"/>
    <w:rsid w:val="00F266B4"/>
    <w:rsid w:val="00F26B3F"/>
    <w:rsid w:val="00F27127"/>
    <w:rsid w:val="00F2789C"/>
    <w:rsid w:val="00F30392"/>
    <w:rsid w:val="00F305D4"/>
    <w:rsid w:val="00F31DA0"/>
    <w:rsid w:val="00F33C56"/>
    <w:rsid w:val="00F33F9E"/>
    <w:rsid w:val="00F342C3"/>
    <w:rsid w:val="00F347C7"/>
    <w:rsid w:val="00F34848"/>
    <w:rsid w:val="00F34D19"/>
    <w:rsid w:val="00F35A9E"/>
    <w:rsid w:val="00F361D7"/>
    <w:rsid w:val="00F42D46"/>
    <w:rsid w:val="00F447AE"/>
    <w:rsid w:val="00F4496C"/>
    <w:rsid w:val="00F44F3A"/>
    <w:rsid w:val="00F4528A"/>
    <w:rsid w:val="00F4661D"/>
    <w:rsid w:val="00F47782"/>
    <w:rsid w:val="00F47B51"/>
    <w:rsid w:val="00F50B88"/>
    <w:rsid w:val="00F50D3F"/>
    <w:rsid w:val="00F515E7"/>
    <w:rsid w:val="00F516D6"/>
    <w:rsid w:val="00F51E6F"/>
    <w:rsid w:val="00F51F10"/>
    <w:rsid w:val="00F529A5"/>
    <w:rsid w:val="00F5310D"/>
    <w:rsid w:val="00F53E05"/>
    <w:rsid w:val="00F54071"/>
    <w:rsid w:val="00F56D78"/>
    <w:rsid w:val="00F60ADB"/>
    <w:rsid w:val="00F60F00"/>
    <w:rsid w:val="00F614C0"/>
    <w:rsid w:val="00F621F3"/>
    <w:rsid w:val="00F65392"/>
    <w:rsid w:val="00F71814"/>
    <w:rsid w:val="00F72EB0"/>
    <w:rsid w:val="00F74123"/>
    <w:rsid w:val="00F83848"/>
    <w:rsid w:val="00F8468A"/>
    <w:rsid w:val="00F84D18"/>
    <w:rsid w:val="00F8572C"/>
    <w:rsid w:val="00F8626F"/>
    <w:rsid w:val="00F92A62"/>
    <w:rsid w:val="00F92F19"/>
    <w:rsid w:val="00F971B4"/>
    <w:rsid w:val="00F971BE"/>
    <w:rsid w:val="00F975E9"/>
    <w:rsid w:val="00FA1B7D"/>
    <w:rsid w:val="00FA2593"/>
    <w:rsid w:val="00FA2A84"/>
    <w:rsid w:val="00FA4C65"/>
    <w:rsid w:val="00FA59BC"/>
    <w:rsid w:val="00FB04AA"/>
    <w:rsid w:val="00FB2AB4"/>
    <w:rsid w:val="00FB490E"/>
    <w:rsid w:val="00FB6EF2"/>
    <w:rsid w:val="00FB7506"/>
    <w:rsid w:val="00FB76E2"/>
    <w:rsid w:val="00FC07A2"/>
    <w:rsid w:val="00FC07B9"/>
    <w:rsid w:val="00FC2060"/>
    <w:rsid w:val="00FC2A89"/>
    <w:rsid w:val="00FC387F"/>
    <w:rsid w:val="00FC3F05"/>
    <w:rsid w:val="00FC4E21"/>
    <w:rsid w:val="00FC5F6D"/>
    <w:rsid w:val="00FD0107"/>
    <w:rsid w:val="00FD11DB"/>
    <w:rsid w:val="00FD1508"/>
    <w:rsid w:val="00FD2677"/>
    <w:rsid w:val="00FD2C2F"/>
    <w:rsid w:val="00FD37B4"/>
    <w:rsid w:val="00FD3B31"/>
    <w:rsid w:val="00FD4525"/>
    <w:rsid w:val="00FD4A66"/>
    <w:rsid w:val="00FD552F"/>
    <w:rsid w:val="00FE1823"/>
    <w:rsid w:val="00FE2278"/>
    <w:rsid w:val="00FE487A"/>
    <w:rsid w:val="00FE7F07"/>
    <w:rsid w:val="00FF02CA"/>
    <w:rsid w:val="00FF0569"/>
    <w:rsid w:val="00FF08AF"/>
    <w:rsid w:val="00FF206E"/>
    <w:rsid w:val="00FF3C69"/>
    <w:rsid w:val="00FF40F7"/>
    <w:rsid w:val="00FF6E0A"/>
    <w:rsid w:val="00FF7346"/>
    <w:rsid w:val="00FF7525"/>
    <w:rsid w:val="011413B7"/>
    <w:rsid w:val="01442ED0"/>
    <w:rsid w:val="01A8D5B1"/>
    <w:rsid w:val="02D11AB4"/>
    <w:rsid w:val="02DFFF31"/>
    <w:rsid w:val="037FB238"/>
    <w:rsid w:val="03D01F6C"/>
    <w:rsid w:val="042862B1"/>
    <w:rsid w:val="0517094A"/>
    <w:rsid w:val="05917319"/>
    <w:rsid w:val="0599609F"/>
    <w:rsid w:val="05B581CA"/>
    <w:rsid w:val="0626F481"/>
    <w:rsid w:val="069C82A3"/>
    <w:rsid w:val="06D3F8CF"/>
    <w:rsid w:val="071C08A3"/>
    <w:rsid w:val="07400C53"/>
    <w:rsid w:val="0768F62F"/>
    <w:rsid w:val="0A6DB4F5"/>
    <w:rsid w:val="0B38D2D6"/>
    <w:rsid w:val="0B6FFFC3"/>
    <w:rsid w:val="0BEF79C6"/>
    <w:rsid w:val="0CA456BD"/>
    <w:rsid w:val="0CA823F7"/>
    <w:rsid w:val="0DD5744F"/>
    <w:rsid w:val="0DF3012E"/>
    <w:rsid w:val="0E2C5627"/>
    <w:rsid w:val="0EFFACAF"/>
    <w:rsid w:val="0F5B7652"/>
    <w:rsid w:val="0FD01597"/>
    <w:rsid w:val="105B0E12"/>
    <w:rsid w:val="10893D02"/>
    <w:rsid w:val="10974395"/>
    <w:rsid w:val="10FBBB38"/>
    <w:rsid w:val="110D1511"/>
    <w:rsid w:val="11182717"/>
    <w:rsid w:val="1177C7E0"/>
    <w:rsid w:val="11A5C687"/>
    <w:rsid w:val="126DA1FB"/>
    <w:rsid w:val="12894D10"/>
    <w:rsid w:val="1291B897"/>
    <w:rsid w:val="12A8E572"/>
    <w:rsid w:val="12E1653F"/>
    <w:rsid w:val="1394BADF"/>
    <w:rsid w:val="14026306"/>
    <w:rsid w:val="143E53AA"/>
    <w:rsid w:val="14842812"/>
    <w:rsid w:val="14D1F52C"/>
    <w:rsid w:val="15965C0C"/>
    <w:rsid w:val="159FC392"/>
    <w:rsid w:val="164B3903"/>
    <w:rsid w:val="16849251"/>
    <w:rsid w:val="16AE8CEB"/>
    <w:rsid w:val="16C62042"/>
    <w:rsid w:val="17322C6D"/>
    <w:rsid w:val="17FF3DDC"/>
    <w:rsid w:val="1850C1D3"/>
    <w:rsid w:val="18E7252B"/>
    <w:rsid w:val="1934A01D"/>
    <w:rsid w:val="1A69CD2F"/>
    <w:rsid w:val="1C4FC7B8"/>
    <w:rsid w:val="1C9183AC"/>
    <w:rsid w:val="1CDCFBC8"/>
    <w:rsid w:val="1CE03826"/>
    <w:rsid w:val="1CF96083"/>
    <w:rsid w:val="1DC8D135"/>
    <w:rsid w:val="1E3936FD"/>
    <w:rsid w:val="1E64BA35"/>
    <w:rsid w:val="1EF3B43C"/>
    <w:rsid w:val="1F12743D"/>
    <w:rsid w:val="1F3D3E52"/>
    <w:rsid w:val="1FA15E52"/>
    <w:rsid w:val="20791F62"/>
    <w:rsid w:val="2096BDB0"/>
    <w:rsid w:val="20D90EB3"/>
    <w:rsid w:val="21118284"/>
    <w:rsid w:val="21887D53"/>
    <w:rsid w:val="21B3A949"/>
    <w:rsid w:val="223EA2E2"/>
    <w:rsid w:val="229675B2"/>
    <w:rsid w:val="22A4A9EE"/>
    <w:rsid w:val="22A75611"/>
    <w:rsid w:val="2307E3B7"/>
    <w:rsid w:val="23C0F349"/>
    <w:rsid w:val="242C9A66"/>
    <w:rsid w:val="24FDE1D4"/>
    <w:rsid w:val="250A62C6"/>
    <w:rsid w:val="254985FD"/>
    <w:rsid w:val="255A4AA0"/>
    <w:rsid w:val="27813F88"/>
    <w:rsid w:val="27B8036E"/>
    <w:rsid w:val="27EF13B7"/>
    <w:rsid w:val="28D7C7C4"/>
    <w:rsid w:val="29445F60"/>
    <w:rsid w:val="2A1CF720"/>
    <w:rsid w:val="2A558249"/>
    <w:rsid w:val="2B5A8B8F"/>
    <w:rsid w:val="2BE3289A"/>
    <w:rsid w:val="2C1383F4"/>
    <w:rsid w:val="2C23ADF1"/>
    <w:rsid w:val="2C76149F"/>
    <w:rsid w:val="2C8B7491"/>
    <w:rsid w:val="2D3B6F85"/>
    <w:rsid w:val="2D3E7A0D"/>
    <w:rsid w:val="2DAB38E7"/>
    <w:rsid w:val="2EF06843"/>
    <w:rsid w:val="2F0F7EE1"/>
    <w:rsid w:val="2F7EF1E2"/>
    <w:rsid w:val="2F9A7887"/>
    <w:rsid w:val="308CE385"/>
    <w:rsid w:val="31BAFC8B"/>
    <w:rsid w:val="31C5B47E"/>
    <w:rsid w:val="31ED6F53"/>
    <w:rsid w:val="31F13057"/>
    <w:rsid w:val="320EE0A8"/>
    <w:rsid w:val="32AE23D1"/>
    <w:rsid w:val="32D21949"/>
    <w:rsid w:val="33442310"/>
    <w:rsid w:val="336D8AFA"/>
    <w:rsid w:val="340CF9CF"/>
    <w:rsid w:val="343BFF8D"/>
    <w:rsid w:val="35C141B2"/>
    <w:rsid w:val="36C27FA0"/>
    <w:rsid w:val="37A2728B"/>
    <w:rsid w:val="37F7DFCB"/>
    <w:rsid w:val="3840FC1D"/>
    <w:rsid w:val="39368DB2"/>
    <w:rsid w:val="395EEE78"/>
    <w:rsid w:val="39D8E4AE"/>
    <w:rsid w:val="39E85555"/>
    <w:rsid w:val="3A6D4DB1"/>
    <w:rsid w:val="3AAC3D30"/>
    <w:rsid w:val="3ACD115E"/>
    <w:rsid w:val="3AFABED9"/>
    <w:rsid w:val="3B70AF59"/>
    <w:rsid w:val="3C308EC7"/>
    <w:rsid w:val="3CFF5300"/>
    <w:rsid w:val="3E3D04B0"/>
    <w:rsid w:val="3E4852E3"/>
    <w:rsid w:val="3E5ABC89"/>
    <w:rsid w:val="3EE19AED"/>
    <w:rsid w:val="3EE4996B"/>
    <w:rsid w:val="3F7FD51D"/>
    <w:rsid w:val="3F8816FB"/>
    <w:rsid w:val="3F8CA6D9"/>
    <w:rsid w:val="3FCE2FFC"/>
    <w:rsid w:val="404EEBB9"/>
    <w:rsid w:val="41643EE1"/>
    <w:rsid w:val="416E40B2"/>
    <w:rsid w:val="41E7DE63"/>
    <w:rsid w:val="43BBEE7B"/>
    <w:rsid w:val="446F8431"/>
    <w:rsid w:val="45B7F02D"/>
    <w:rsid w:val="469DEDB1"/>
    <w:rsid w:val="47280E60"/>
    <w:rsid w:val="472B7B25"/>
    <w:rsid w:val="484F3261"/>
    <w:rsid w:val="49EB02C2"/>
    <w:rsid w:val="49F2F048"/>
    <w:rsid w:val="4A1B05BB"/>
    <w:rsid w:val="4A3AE3CE"/>
    <w:rsid w:val="4A5BC821"/>
    <w:rsid w:val="4BD8EAD1"/>
    <w:rsid w:val="4CB4A08A"/>
    <w:rsid w:val="4CB753D5"/>
    <w:rsid w:val="4D59ECCC"/>
    <w:rsid w:val="4D7E2787"/>
    <w:rsid w:val="4E3D776F"/>
    <w:rsid w:val="4EFABD35"/>
    <w:rsid w:val="4F0BEF36"/>
    <w:rsid w:val="4F62ECC2"/>
    <w:rsid w:val="4FCBCE74"/>
    <w:rsid w:val="5003B8CB"/>
    <w:rsid w:val="5198FFA7"/>
    <w:rsid w:val="52045199"/>
    <w:rsid w:val="52B39F9A"/>
    <w:rsid w:val="532998A2"/>
    <w:rsid w:val="53B505FB"/>
    <w:rsid w:val="53FA1156"/>
    <w:rsid w:val="5409F5FF"/>
    <w:rsid w:val="549F3F97"/>
    <w:rsid w:val="551EBF8F"/>
    <w:rsid w:val="5535A2EF"/>
    <w:rsid w:val="56D17350"/>
    <w:rsid w:val="57E34F15"/>
    <w:rsid w:val="586D43B1"/>
    <w:rsid w:val="5908C1A2"/>
    <w:rsid w:val="591A35FE"/>
    <w:rsid w:val="594FB5A2"/>
    <w:rsid w:val="5972B0BA"/>
    <w:rsid w:val="59D6EB91"/>
    <w:rsid w:val="5A5369C9"/>
    <w:rsid w:val="5B180A72"/>
    <w:rsid w:val="5BA4E473"/>
    <w:rsid w:val="5BC017E0"/>
    <w:rsid w:val="5BFBDF87"/>
    <w:rsid w:val="5C875664"/>
    <w:rsid w:val="5CB080D4"/>
    <w:rsid w:val="5D0718E5"/>
    <w:rsid w:val="5DFADAFB"/>
    <w:rsid w:val="5E2326C5"/>
    <w:rsid w:val="5E464383"/>
    <w:rsid w:val="5F5F37CD"/>
    <w:rsid w:val="5F8D51B1"/>
    <w:rsid w:val="5FB71FCB"/>
    <w:rsid w:val="5FEB7B95"/>
    <w:rsid w:val="600149F3"/>
    <w:rsid w:val="60024DF6"/>
    <w:rsid w:val="6052D465"/>
    <w:rsid w:val="607846FE"/>
    <w:rsid w:val="6183F1F7"/>
    <w:rsid w:val="61F7E788"/>
    <w:rsid w:val="6209E876"/>
    <w:rsid w:val="631CBBEC"/>
    <w:rsid w:val="63D3174B"/>
    <w:rsid w:val="6461FCBE"/>
    <w:rsid w:val="6497CFB6"/>
    <w:rsid w:val="651D2A0D"/>
    <w:rsid w:val="656EE7AC"/>
    <w:rsid w:val="659E96D8"/>
    <w:rsid w:val="65A74ABC"/>
    <w:rsid w:val="65E14B72"/>
    <w:rsid w:val="6657631A"/>
    <w:rsid w:val="6668E45A"/>
    <w:rsid w:val="666B74E4"/>
    <w:rsid w:val="66708B77"/>
    <w:rsid w:val="66CD1CB3"/>
    <w:rsid w:val="6815C82D"/>
    <w:rsid w:val="681A967D"/>
    <w:rsid w:val="6854CACF"/>
    <w:rsid w:val="68761AC2"/>
    <w:rsid w:val="68DEEB7E"/>
    <w:rsid w:val="69DD77E3"/>
    <w:rsid w:val="69F09B30"/>
    <w:rsid w:val="6A4258CF"/>
    <w:rsid w:val="6A7C9777"/>
    <w:rsid w:val="6A9BEF2C"/>
    <w:rsid w:val="6B140DAF"/>
    <w:rsid w:val="6B5AB13D"/>
    <w:rsid w:val="6B6DF1F2"/>
    <w:rsid w:val="6B8C6B91"/>
    <w:rsid w:val="6BADBB84"/>
    <w:rsid w:val="6BDE2930"/>
    <w:rsid w:val="6BFF3F7B"/>
    <w:rsid w:val="6C2B945F"/>
    <w:rsid w:val="6D498BE5"/>
    <w:rsid w:val="6F575315"/>
    <w:rsid w:val="6FF92ECD"/>
    <w:rsid w:val="706A99AF"/>
    <w:rsid w:val="706AC92F"/>
    <w:rsid w:val="7133A8D8"/>
    <w:rsid w:val="71473362"/>
    <w:rsid w:val="714ECE13"/>
    <w:rsid w:val="7335B80E"/>
    <w:rsid w:val="733DD3A8"/>
    <w:rsid w:val="737B6C4F"/>
    <w:rsid w:val="739DD110"/>
    <w:rsid w:val="740A5160"/>
    <w:rsid w:val="7526A77B"/>
    <w:rsid w:val="75F9D3DE"/>
    <w:rsid w:val="77B20063"/>
    <w:rsid w:val="77ED81C8"/>
    <w:rsid w:val="79C33140"/>
    <w:rsid w:val="7A17C7FB"/>
    <w:rsid w:val="7A2C755D"/>
    <w:rsid w:val="7C3D9B4D"/>
    <w:rsid w:val="7C7D29F1"/>
    <w:rsid w:val="7DD878E1"/>
    <w:rsid w:val="7DF9A5C0"/>
    <w:rsid w:val="7E0C8E0D"/>
    <w:rsid w:val="7E5DBF6B"/>
    <w:rsid w:val="7E6D67FC"/>
    <w:rsid w:val="7E80864F"/>
    <w:rsid w:val="7E8CDD7B"/>
    <w:rsid w:val="7E8EAD69"/>
    <w:rsid w:val="7F4D5E13"/>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red,#4d4d4f"/>
    </o:shapedefaults>
    <o:shapelayout v:ext="edit">
      <o:idmap v:ext="edit" data="2"/>
    </o:shapelayout>
  </w:shapeDefaults>
  <w:decimalSymbol w:val="."/>
  <w:listSeparator w:val=","/>
  <w14:docId w14:val="2677F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390D91"/>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uiPriority w:val="2"/>
    <w:qFormat/>
    <w:rsid w:val="00C55235"/>
    <w:pPr>
      <w:keepNext/>
      <w:spacing w:before="60" w:after="60"/>
      <w:outlineLvl w:val="2"/>
    </w:pPr>
    <w:rPr>
      <w:rFonts w:cs="Arial"/>
      <w:b/>
      <w:bCs/>
      <w:szCs w:val="26"/>
    </w:rPr>
  </w:style>
  <w:style w:type="paragraph" w:styleId="Heading4">
    <w:name w:val="heading 4"/>
    <w:basedOn w:val="BodySubHeader"/>
    <w:next w:val="Normal"/>
    <w:uiPriority w:val="3"/>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basedOn w:val="Normal"/>
    <w:semiHidden/>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C35CCE"/>
    <w:rPr>
      <w:color w:val="0000FF"/>
      <w:u w:val="single" w:color="0000FF"/>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aliases w:val="Footnote text"/>
    <w:basedOn w:val="Normal"/>
    <w:uiPriority w:val="23"/>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800CCD"/>
    <w:rPr>
      <w:rFonts w:ascii="Arial" w:hAnsi="Arial" w:cs="Arial"/>
      <w:b/>
      <w:bCs/>
      <w:iCs/>
      <w:sz w:val="28"/>
      <w:szCs w:val="28"/>
    </w:rPr>
  </w:style>
  <w:style w:type="character" w:styleId="UnresolvedMention">
    <w:name w:val="Unresolved Mention"/>
    <w:basedOn w:val="DefaultParagraphFont"/>
    <w:uiPriority w:val="99"/>
    <w:unhideWhenUsed/>
    <w:rsid w:val="006B52DE"/>
    <w:rPr>
      <w:color w:val="605E5C"/>
      <w:shd w:val="clear" w:color="auto" w:fill="E1DFDD"/>
    </w:rPr>
  </w:style>
  <w:style w:type="character" w:customStyle="1" w:styleId="Heading3Char">
    <w:name w:val="Heading 3 Char"/>
    <w:basedOn w:val="DefaultParagraphFont"/>
    <w:link w:val="Heading3"/>
    <w:uiPriority w:val="2"/>
    <w:rsid w:val="00390D91"/>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D43B47"/>
    <w:pPr>
      <w:ind w:left="590" w:hanging="295"/>
    </w:pPr>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801FEB"/>
    <w:pPr>
      <w:ind w:left="766" w:hanging="295"/>
    </w:pPr>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F361D7"/>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Protectivemarking">
    <w:name w:val="Protective marking"/>
    <w:basedOn w:val="Normal"/>
    <w:uiPriority w:val="99"/>
    <w:qFormat/>
    <w:rsid w:val="00390D91"/>
    <w:pPr>
      <w:tabs>
        <w:tab w:val="left" w:pos="720"/>
      </w:tabs>
      <w:spacing w:after="0" w:line="240" w:lineRule="auto"/>
      <w:jc w:val="center"/>
    </w:pPr>
    <w:rPr>
      <w:rFonts w:cs="Arial"/>
      <w:b/>
      <w:bCs/>
      <w:color w:val="FF0000"/>
      <w:sz w:val="32"/>
      <w:lang w:eastAsia="en-US"/>
    </w:rPr>
  </w:style>
  <w:style w:type="paragraph" w:styleId="Revision">
    <w:name w:val="Revision"/>
    <w:hidden/>
    <w:semiHidden/>
    <w:rsid w:val="00023A36"/>
    <w:rPr>
      <w:rFonts w:ascii="Arial" w:hAnsi="Arial"/>
      <w:sz w:val="20"/>
    </w:rPr>
  </w:style>
  <w:style w:type="paragraph" w:styleId="ListParagraph">
    <w:name w:val="List Paragraph"/>
    <w:basedOn w:val="Normal"/>
    <w:uiPriority w:val="34"/>
    <w:qFormat/>
    <w:rsid w:val="00B51853"/>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ItemHead">
    <w:name w:val="ItemHead"/>
    <w:aliases w:val="ih"/>
    <w:basedOn w:val="Normal"/>
    <w:next w:val="Normal"/>
    <w:rsid w:val="00D852E3"/>
    <w:pPr>
      <w:keepNext/>
      <w:keepLines/>
      <w:spacing w:before="220" w:after="0" w:line="240" w:lineRule="auto"/>
      <w:ind w:left="709" w:hanging="709"/>
    </w:pPr>
    <w:rPr>
      <w:b/>
      <w:kern w:val="28"/>
      <w:sz w:val="24"/>
      <w:szCs w:val="20"/>
    </w:rPr>
  </w:style>
  <w:style w:type="paragraph" w:customStyle="1" w:styleId="TableColHead">
    <w:name w:val="TableColHead"/>
    <w:basedOn w:val="Normal"/>
    <w:rsid w:val="00D852E3"/>
    <w:pPr>
      <w:keepNext/>
      <w:spacing w:before="120" w:after="60" w:line="200" w:lineRule="exact"/>
    </w:pPr>
    <w:rPr>
      <w:b/>
      <w:sz w:val="18"/>
      <w:lang w:eastAsia="en-US"/>
    </w:rPr>
  </w:style>
  <w:style w:type="paragraph" w:customStyle="1" w:styleId="TableText">
    <w:name w:val="TableText"/>
    <w:basedOn w:val="Normal"/>
    <w:rsid w:val="00D852E3"/>
    <w:pPr>
      <w:spacing w:before="60" w:after="60" w:line="240" w:lineRule="exact"/>
    </w:pPr>
    <w:rPr>
      <w:rFonts w:ascii="Times New Roman" w:hAnsi="Times New Roman"/>
      <w:sz w:val="22"/>
      <w:lang w:eastAsia="en-US"/>
    </w:rPr>
  </w:style>
  <w:style w:type="paragraph" w:customStyle="1" w:styleId="paragraph0">
    <w:name w:val="paragraph"/>
    <w:aliases w:val="a"/>
    <w:basedOn w:val="Normal"/>
    <w:link w:val="paragraphChar"/>
    <w:rsid w:val="00B44174"/>
    <w:pPr>
      <w:spacing w:before="100" w:beforeAutospacing="1" w:after="100" w:afterAutospacing="1" w:line="240" w:lineRule="auto"/>
    </w:pPr>
    <w:rPr>
      <w:rFonts w:ascii="Times New Roman" w:hAnsi="Times New Roman"/>
      <w:sz w:val="24"/>
    </w:rPr>
  </w:style>
  <w:style w:type="paragraph" w:customStyle="1" w:styleId="paragraphsub">
    <w:name w:val="paragraphsub"/>
    <w:basedOn w:val="Normal"/>
    <w:rsid w:val="00B44174"/>
    <w:pPr>
      <w:spacing w:before="100" w:beforeAutospacing="1" w:after="100" w:afterAutospacing="1" w:line="240" w:lineRule="auto"/>
    </w:pPr>
    <w:rPr>
      <w:rFonts w:ascii="Times New Roman" w:hAnsi="Times New Roman"/>
      <w:sz w:val="24"/>
    </w:rPr>
  </w:style>
  <w:style w:type="paragraph" w:customStyle="1" w:styleId="LI-BodyTextNote">
    <w:name w:val="LI - Body Text Note"/>
    <w:basedOn w:val="Normal"/>
    <w:link w:val="LI-BodyTextNoteChar"/>
    <w:rsid w:val="00B44174"/>
    <w:pPr>
      <w:spacing w:before="200" w:after="0" w:line="240" w:lineRule="auto"/>
      <w:ind w:left="1701" w:hanging="567"/>
    </w:pPr>
    <w:rPr>
      <w:rFonts w:ascii="Times New Roman" w:hAnsi="Times New Roman"/>
      <w:sz w:val="18"/>
      <w:szCs w:val="20"/>
    </w:rPr>
  </w:style>
  <w:style w:type="character" w:customStyle="1" w:styleId="LI-BodyTextNoteChar">
    <w:name w:val="LI - Body Text Note Char"/>
    <w:link w:val="LI-BodyTextNote"/>
    <w:rsid w:val="00B44174"/>
    <w:rPr>
      <w:sz w:val="18"/>
      <w:szCs w:val="20"/>
    </w:rPr>
  </w:style>
  <w:style w:type="paragraph" w:customStyle="1" w:styleId="subsection">
    <w:name w:val="subsection"/>
    <w:aliases w:val="ss"/>
    <w:basedOn w:val="Normal"/>
    <w:link w:val="subsectionChar"/>
    <w:rsid w:val="00FC3F05"/>
    <w:pPr>
      <w:tabs>
        <w:tab w:val="right" w:pos="1021"/>
      </w:tabs>
      <w:spacing w:before="180" w:after="0" w:line="240" w:lineRule="auto"/>
      <w:ind w:left="1134" w:hanging="1134"/>
    </w:pPr>
    <w:rPr>
      <w:rFonts w:ascii="Times New Roman" w:hAnsi="Times New Roman"/>
      <w:sz w:val="22"/>
      <w:szCs w:val="20"/>
    </w:rPr>
  </w:style>
  <w:style w:type="character" w:customStyle="1" w:styleId="subsectionChar">
    <w:name w:val="subsection Char"/>
    <w:aliases w:val="ss Char"/>
    <w:basedOn w:val="DefaultParagraphFont"/>
    <w:link w:val="subsection"/>
    <w:locked/>
    <w:rsid w:val="00FC3F05"/>
    <w:rPr>
      <w:sz w:val="22"/>
      <w:szCs w:val="20"/>
    </w:rPr>
  </w:style>
  <w:style w:type="character" w:customStyle="1" w:styleId="paragraphChar">
    <w:name w:val="paragraph Char"/>
    <w:aliases w:val="a Char"/>
    <w:link w:val="paragraph0"/>
    <w:rsid w:val="00FC3F05"/>
  </w:style>
  <w:style w:type="paragraph" w:customStyle="1" w:styleId="ACMABulletLevel1">
    <w:name w:val="ACMA Bullet Level 1"/>
    <w:rsid w:val="00B907FF"/>
    <w:pPr>
      <w:tabs>
        <w:tab w:val="num" w:pos="-31680"/>
      </w:tabs>
      <w:spacing w:after="120"/>
      <w:ind w:left="357" w:hanging="357"/>
    </w:pPr>
    <w:rPr>
      <w:szCs w:val="20"/>
      <w:lang w:eastAsia="en-US"/>
    </w:rPr>
  </w:style>
  <w:style w:type="character" w:styleId="Mention">
    <w:name w:val="Mention"/>
    <w:basedOn w:val="DefaultParagraphFont"/>
    <w:uiPriority w:val="99"/>
    <w:unhideWhenUsed/>
    <w:rsid w:val="00AE47E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751846322">
      <w:bodyDiv w:val="1"/>
      <w:marLeft w:val="0"/>
      <w:marRight w:val="0"/>
      <w:marTop w:val="0"/>
      <w:marBottom w:val="0"/>
      <w:divBdr>
        <w:top w:val="none" w:sz="0" w:space="0" w:color="auto"/>
        <w:left w:val="none" w:sz="0" w:space="0" w:color="auto"/>
        <w:bottom w:val="none" w:sz="0" w:space="0" w:color="auto"/>
        <w:right w:val="none" w:sz="0" w:space="0" w:color="auto"/>
      </w:divBdr>
    </w:div>
    <w:div w:id="1752434519">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 w:id="1952010197">
      <w:bodyDiv w:val="1"/>
      <w:marLeft w:val="0"/>
      <w:marRight w:val="0"/>
      <w:marTop w:val="0"/>
      <w:marBottom w:val="0"/>
      <w:divBdr>
        <w:top w:val="none" w:sz="0" w:space="0" w:color="auto"/>
        <w:left w:val="none" w:sz="0" w:space="0" w:color="auto"/>
        <w:bottom w:val="none" w:sz="0" w:space="0" w:color="auto"/>
        <w:right w:val="none" w:sz="0" w:space="0" w:color="auto"/>
      </w:divBdr>
    </w:div>
    <w:div w:id="213929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consultations/2020-12/response-implementation-spectrum-pricing-review-consultation-392020"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image" Target="media/image6.jpe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consultations/2020-12/response-implementation-spectrum-pricing-review-consultation-392020" TargetMode="External"/><Relationship Id="rId33" Type="http://schemas.openxmlformats.org/officeDocument/2006/relationships/image" Target="media/image5.png"/><Relationship Id="rId38"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publication-submission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infrastructure.gov.au/media-centre/publications/spectrum-pricing-review" TargetMode="External"/><Relationship Id="rId32" Type="http://schemas.openxmlformats.org/officeDocument/2006/relationships/image" Target="media/image4.jpeg"/><Relationship Id="rId37" Type="http://schemas.openxmlformats.org/officeDocument/2006/relationships/header" Target="header7.xml"/><Relationship Id="rId40"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mailto:spectrumpricing@acma.gov.au" TargetMode="External"/><Relationship Id="rId36" Type="http://schemas.openxmlformats.org/officeDocument/2006/relationships/hyperlink" Target="https://www.acma.gov.au/publications/2019-09/publication/rali-lm8-land-mobile-service"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cma.gov.au/publications/2020-06/guide/apparatus-licence-fee-schedul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have-your-say" TargetMode="External"/><Relationship Id="rId30" Type="http://schemas.openxmlformats.org/officeDocument/2006/relationships/hyperlink" Target="https://www.acma.gov.au/privacy-policy" TargetMode="External"/><Relationship Id="rId35" Type="http://schemas.openxmlformats.org/officeDocument/2006/relationships/image" Target="media/image7.png"/></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cma.gov.au/publications/2020-06/guide/apparatus-licence-fee-schedu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F8262-1C21-46BC-9DE5-9254E2ABE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5247</Words>
  <Characters>29912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35089</CharactersWithSpaces>
  <SharedDoc>false</SharedDoc>
  <HyperlinkBase/>
  <HLinks>
    <vt:vector size="186" baseType="variant">
      <vt:variant>
        <vt:i4>4522052</vt:i4>
      </vt:variant>
      <vt:variant>
        <vt:i4>147</vt:i4>
      </vt:variant>
      <vt:variant>
        <vt:i4>0</vt:i4>
      </vt:variant>
      <vt:variant>
        <vt:i4>5</vt:i4>
      </vt:variant>
      <vt:variant>
        <vt:lpwstr>https://www.acma.gov.au/publications/2019-09/publication/rali-lm8-land-mobile-service</vt:lpwstr>
      </vt:variant>
      <vt:variant>
        <vt:lpwstr/>
      </vt:variant>
      <vt:variant>
        <vt:i4>458772</vt:i4>
      </vt:variant>
      <vt:variant>
        <vt:i4>144</vt:i4>
      </vt:variant>
      <vt:variant>
        <vt:i4>0</vt:i4>
      </vt:variant>
      <vt:variant>
        <vt:i4>5</vt:i4>
      </vt:variant>
      <vt:variant>
        <vt:lpwstr>https://www.acma.gov.au/publications/2020-06/guide/apparatus-licence-fee-schedule</vt:lpwstr>
      </vt:variant>
      <vt:variant>
        <vt:lpwstr/>
      </vt:variant>
      <vt:variant>
        <vt:i4>2097192</vt:i4>
      </vt:variant>
      <vt:variant>
        <vt:i4>141</vt:i4>
      </vt:variant>
      <vt:variant>
        <vt:i4>0</vt:i4>
      </vt:variant>
      <vt:variant>
        <vt:i4>5</vt:i4>
      </vt:variant>
      <vt:variant>
        <vt:lpwstr>https://www.acma.gov.au/privacy-policy</vt:lpwstr>
      </vt:variant>
      <vt:variant>
        <vt:lpwstr/>
      </vt:variant>
      <vt:variant>
        <vt:i4>3473455</vt:i4>
      </vt:variant>
      <vt:variant>
        <vt:i4>138</vt:i4>
      </vt:variant>
      <vt:variant>
        <vt:i4>0</vt:i4>
      </vt:variant>
      <vt:variant>
        <vt:i4>5</vt:i4>
      </vt:variant>
      <vt:variant>
        <vt:lpwstr>https://www.acma.gov.au/publication-submissions</vt:lpwstr>
      </vt:variant>
      <vt:variant>
        <vt:lpwstr/>
      </vt:variant>
      <vt:variant>
        <vt:i4>7602187</vt:i4>
      </vt:variant>
      <vt:variant>
        <vt:i4>135</vt:i4>
      </vt:variant>
      <vt:variant>
        <vt:i4>0</vt:i4>
      </vt:variant>
      <vt:variant>
        <vt:i4>5</vt:i4>
      </vt:variant>
      <vt:variant>
        <vt:lpwstr>mailto:spectrumpricing@acma.gov.au</vt:lpwstr>
      </vt:variant>
      <vt:variant>
        <vt:lpwstr/>
      </vt:variant>
      <vt:variant>
        <vt:i4>5308427</vt:i4>
      </vt:variant>
      <vt:variant>
        <vt:i4>132</vt:i4>
      </vt:variant>
      <vt:variant>
        <vt:i4>0</vt:i4>
      </vt:variant>
      <vt:variant>
        <vt:i4>5</vt:i4>
      </vt:variant>
      <vt:variant>
        <vt:lpwstr>https://www.acma.gov.au/have-your-say</vt:lpwstr>
      </vt:variant>
      <vt:variant>
        <vt:lpwstr/>
      </vt:variant>
      <vt:variant>
        <vt:i4>5111822</vt:i4>
      </vt:variant>
      <vt:variant>
        <vt:i4>129</vt:i4>
      </vt:variant>
      <vt:variant>
        <vt:i4>0</vt:i4>
      </vt:variant>
      <vt:variant>
        <vt:i4>5</vt:i4>
      </vt:variant>
      <vt:variant>
        <vt:lpwstr>https://www.acma.gov.au/consultations/2020-12/response-implementation-spectrum-pricing-review-consultation-392020</vt:lpwstr>
      </vt:variant>
      <vt:variant>
        <vt:lpwstr>outcome-part-2-and-next-steps</vt:lpwstr>
      </vt:variant>
      <vt:variant>
        <vt:i4>327769</vt:i4>
      </vt:variant>
      <vt:variant>
        <vt:i4>126</vt:i4>
      </vt:variant>
      <vt:variant>
        <vt:i4>0</vt:i4>
      </vt:variant>
      <vt:variant>
        <vt:i4>5</vt:i4>
      </vt:variant>
      <vt:variant>
        <vt:lpwstr>https://www.acma.gov.au/consultations/2020-12/response-implementation-spectrum-pricing-review-consultation-392020</vt:lpwstr>
      </vt:variant>
      <vt:variant>
        <vt:lpwstr/>
      </vt:variant>
      <vt:variant>
        <vt:i4>6553725</vt:i4>
      </vt:variant>
      <vt:variant>
        <vt:i4>123</vt:i4>
      </vt:variant>
      <vt:variant>
        <vt:i4>0</vt:i4>
      </vt:variant>
      <vt:variant>
        <vt:i4>5</vt:i4>
      </vt:variant>
      <vt:variant>
        <vt:lpwstr>https://www.infrastructure.gov.au/media-centre/publications/spectrum-pricing-review</vt:lpwstr>
      </vt:variant>
      <vt:variant>
        <vt:lpwstr/>
      </vt:variant>
      <vt:variant>
        <vt:i4>1376314</vt:i4>
      </vt:variant>
      <vt:variant>
        <vt:i4>116</vt:i4>
      </vt:variant>
      <vt:variant>
        <vt:i4>0</vt:i4>
      </vt:variant>
      <vt:variant>
        <vt:i4>5</vt:i4>
      </vt:variant>
      <vt:variant>
        <vt:lpwstr/>
      </vt:variant>
      <vt:variant>
        <vt:lpwstr>_Toc86153504</vt:lpwstr>
      </vt:variant>
      <vt:variant>
        <vt:i4>1179706</vt:i4>
      </vt:variant>
      <vt:variant>
        <vt:i4>110</vt:i4>
      </vt:variant>
      <vt:variant>
        <vt:i4>0</vt:i4>
      </vt:variant>
      <vt:variant>
        <vt:i4>5</vt:i4>
      </vt:variant>
      <vt:variant>
        <vt:lpwstr/>
      </vt:variant>
      <vt:variant>
        <vt:lpwstr>_Toc86153503</vt:lpwstr>
      </vt:variant>
      <vt:variant>
        <vt:i4>1245242</vt:i4>
      </vt:variant>
      <vt:variant>
        <vt:i4>104</vt:i4>
      </vt:variant>
      <vt:variant>
        <vt:i4>0</vt:i4>
      </vt:variant>
      <vt:variant>
        <vt:i4>5</vt:i4>
      </vt:variant>
      <vt:variant>
        <vt:lpwstr/>
      </vt:variant>
      <vt:variant>
        <vt:lpwstr>_Toc86153502</vt:lpwstr>
      </vt:variant>
      <vt:variant>
        <vt:i4>1048634</vt:i4>
      </vt:variant>
      <vt:variant>
        <vt:i4>98</vt:i4>
      </vt:variant>
      <vt:variant>
        <vt:i4>0</vt:i4>
      </vt:variant>
      <vt:variant>
        <vt:i4>5</vt:i4>
      </vt:variant>
      <vt:variant>
        <vt:lpwstr/>
      </vt:variant>
      <vt:variant>
        <vt:lpwstr>_Toc86153501</vt:lpwstr>
      </vt:variant>
      <vt:variant>
        <vt:i4>1114170</vt:i4>
      </vt:variant>
      <vt:variant>
        <vt:i4>92</vt:i4>
      </vt:variant>
      <vt:variant>
        <vt:i4>0</vt:i4>
      </vt:variant>
      <vt:variant>
        <vt:i4>5</vt:i4>
      </vt:variant>
      <vt:variant>
        <vt:lpwstr/>
      </vt:variant>
      <vt:variant>
        <vt:lpwstr>_Toc86153500</vt:lpwstr>
      </vt:variant>
      <vt:variant>
        <vt:i4>1638451</vt:i4>
      </vt:variant>
      <vt:variant>
        <vt:i4>86</vt:i4>
      </vt:variant>
      <vt:variant>
        <vt:i4>0</vt:i4>
      </vt:variant>
      <vt:variant>
        <vt:i4>5</vt:i4>
      </vt:variant>
      <vt:variant>
        <vt:lpwstr/>
      </vt:variant>
      <vt:variant>
        <vt:lpwstr>_Toc86153499</vt:lpwstr>
      </vt:variant>
      <vt:variant>
        <vt:i4>1572915</vt:i4>
      </vt:variant>
      <vt:variant>
        <vt:i4>80</vt:i4>
      </vt:variant>
      <vt:variant>
        <vt:i4>0</vt:i4>
      </vt:variant>
      <vt:variant>
        <vt:i4>5</vt:i4>
      </vt:variant>
      <vt:variant>
        <vt:lpwstr/>
      </vt:variant>
      <vt:variant>
        <vt:lpwstr>_Toc86153498</vt:lpwstr>
      </vt:variant>
      <vt:variant>
        <vt:i4>1507379</vt:i4>
      </vt:variant>
      <vt:variant>
        <vt:i4>74</vt:i4>
      </vt:variant>
      <vt:variant>
        <vt:i4>0</vt:i4>
      </vt:variant>
      <vt:variant>
        <vt:i4>5</vt:i4>
      </vt:variant>
      <vt:variant>
        <vt:lpwstr/>
      </vt:variant>
      <vt:variant>
        <vt:lpwstr>_Toc86153497</vt:lpwstr>
      </vt:variant>
      <vt:variant>
        <vt:i4>1441843</vt:i4>
      </vt:variant>
      <vt:variant>
        <vt:i4>68</vt:i4>
      </vt:variant>
      <vt:variant>
        <vt:i4>0</vt:i4>
      </vt:variant>
      <vt:variant>
        <vt:i4>5</vt:i4>
      </vt:variant>
      <vt:variant>
        <vt:lpwstr/>
      </vt:variant>
      <vt:variant>
        <vt:lpwstr>_Toc86153496</vt:lpwstr>
      </vt:variant>
      <vt:variant>
        <vt:i4>1376307</vt:i4>
      </vt:variant>
      <vt:variant>
        <vt:i4>62</vt:i4>
      </vt:variant>
      <vt:variant>
        <vt:i4>0</vt:i4>
      </vt:variant>
      <vt:variant>
        <vt:i4>5</vt:i4>
      </vt:variant>
      <vt:variant>
        <vt:lpwstr/>
      </vt:variant>
      <vt:variant>
        <vt:lpwstr>_Toc86153495</vt:lpwstr>
      </vt:variant>
      <vt:variant>
        <vt:i4>1310771</vt:i4>
      </vt:variant>
      <vt:variant>
        <vt:i4>56</vt:i4>
      </vt:variant>
      <vt:variant>
        <vt:i4>0</vt:i4>
      </vt:variant>
      <vt:variant>
        <vt:i4>5</vt:i4>
      </vt:variant>
      <vt:variant>
        <vt:lpwstr/>
      </vt:variant>
      <vt:variant>
        <vt:lpwstr>_Toc86153494</vt:lpwstr>
      </vt:variant>
      <vt:variant>
        <vt:i4>1245235</vt:i4>
      </vt:variant>
      <vt:variant>
        <vt:i4>50</vt:i4>
      </vt:variant>
      <vt:variant>
        <vt:i4>0</vt:i4>
      </vt:variant>
      <vt:variant>
        <vt:i4>5</vt:i4>
      </vt:variant>
      <vt:variant>
        <vt:lpwstr/>
      </vt:variant>
      <vt:variant>
        <vt:lpwstr>_Toc86153493</vt:lpwstr>
      </vt:variant>
      <vt:variant>
        <vt:i4>1179699</vt:i4>
      </vt:variant>
      <vt:variant>
        <vt:i4>44</vt:i4>
      </vt:variant>
      <vt:variant>
        <vt:i4>0</vt:i4>
      </vt:variant>
      <vt:variant>
        <vt:i4>5</vt:i4>
      </vt:variant>
      <vt:variant>
        <vt:lpwstr/>
      </vt:variant>
      <vt:variant>
        <vt:lpwstr>_Toc86153492</vt:lpwstr>
      </vt:variant>
      <vt:variant>
        <vt:i4>1114163</vt:i4>
      </vt:variant>
      <vt:variant>
        <vt:i4>38</vt:i4>
      </vt:variant>
      <vt:variant>
        <vt:i4>0</vt:i4>
      </vt:variant>
      <vt:variant>
        <vt:i4>5</vt:i4>
      </vt:variant>
      <vt:variant>
        <vt:lpwstr/>
      </vt:variant>
      <vt:variant>
        <vt:lpwstr>_Toc86153491</vt:lpwstr>
      </vt:variant>
      <vt:variant>
        <vt:i4>1048627</vt:i4>
      </vt:variant>
      <vt:variant>
        <vt:i4>32</vt:i4>
      </vt:variant>
      <vt:variant>
        <vt:i4>0</vt:i4>
      </vt:variant>
      <vt:variant>
        <vt:i4>5</vt:i4>
      </vt:variant>
      <vt:variant>
        <vt:lpwstr/>
      </vt:variant>
      <vt:variant>
        <vt:lpwstr>_Toc86153490</vt:lpwstr>
      </vt:variant>
      <vt:variant>
        <vt:i4>1638450</vt:i4>
      </vt:variant>
      <vt:variant>
        <vt:i4>26</vt:i4>
      </vt:variant>
      <vt:variant>
        <vt:i4>0</vt:i4>
      </vt:variant>
      <vt:variant>
        <vt:i4>5</vt:i4>
      </vt:variant>
      <vt:variant>
        <vt:lpwstr/>
      </vt:variant>
      <vt:variant>
        <vt:lpwstr>_Toc86153489</vt:lpwstr>
      </vt:variant>
      <vt:variant>
        <vt:i4>1572914</vt:i4>
      </vt:variant>
      <vt:variant>
        <vt:i4>20</vt:i4>
      </vt:variant>
      <vt:variant>
        <vt:i4>0</vt:i4>
      </vt:variant>
      <vt:variant>
        <vt:i4>5</vt:i4>
      </vt:variant>
      <vt:variant>
        <vt:lpwstr/>
      </vt:variant>
      <vt:variant>
        <vt:lpwstr>_Toc86153488</vt:lpwstr>
      </vt:variant>
      <vt:variant>
        <vt:i4>1507378</vt:i4>
      </vt:variant>
      <vt:variant>
        <vt:i4>14</vt:i4>
      </vt:variant>
      <vt:variant>
        <vt:i4>0</vt:i4>
      </vt:variant>
      <vt:variant>
        <vt:i4>5</vt:i4>
      </vt:variant>
      <vt:variant>
        <vt:lpwstr/>
      </vt:variant>
      <vt:variant>
        <vt:lpwstr>_Toc86153487</vt:lpwstr>
      </vt:variant>
      <vt:variant>
        <vt:i4>1441842</vt:i4>
      </vt:variant>
      <vt:variant>
        <vt:i4>8</vt:i4>
      </vt:variant>
      <vt:variant>
        <vt:i4>0</vt:i4>
      </vt:variant>
      <vt:variant>
        <vt:i4>5</vt:i4>
      </vt:variant>
      <vt:variant>
        <vt:lpwstr/>
      </vt:variant>
      <vt:variant>
        <vt:lpwstr>_Toc86153486</vt:lpwstr>
      </vt:variant>
      <vt:variant>
        <vt:i4>6225960</vt:i4>
      </vt:variant>
      <vt:variant>
        <vt:i4>3</vt:i4>
      </vt:variant>
      <vt:variant>
        <vt:i4>0</vt:i4>
      </vt:variant>
      <vt:variant>
        <vt:i4>5</vt:i4>
      </vt:variant>
      <vt:variant>
        <vt:lpwstr>mailto:info@acma.gov.au</vt:lpwstr>
      </vt:variant>
      <vt:variant>
        <vt:lpwstr/>
      </vt:variant>
      <vt:variant>
        <vt:i4>5308424</vt:i4>
      </vt:variant>
      <vt:variant>
        <vt:i4>0</vt:i4>
      </vt:variant>
      <vt:variant>
        <vt:i4>0</vt:i4>
      </vt:variant>
      <vt:variant>
        <vt:i4>5</vt:i4>
      </vt:variant>
      <vt:variant>
        <vt:lpwstr>https://creativecommons.org/licenses/by/4.0/</vt:lpwstr>
      </vt:variant>
      <vt:variant>
        <vt:lpwstr/>
      </vt:variant>
      <vt:variant>
        <vt:i4>458772</vt:i4>
      </vt:variant>
      <vt:variant>
        <vt:i4>0</vt:i4>
      </vt:variant>
      <vt:variant>
        <vt:i4>0</vt:i4>
      </vt:variant>
      <vt:variant>
        <vt:i4>5</vt:i4>
      </vt:variant>
      <vt:variant>
        <vt:lpwstr>https://www.acma.gov.au/publications/2020-06/guide/apparatus-licence-fee-schedule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2021-10-26T21:35:00Z</dcterms:created>
  <dcterms:modified xsi:type="dcterms:W3CDTF">2021-10-26T21:36:00Z</dcterms:modified>
  <cp:category/>
</cp:coreProperties>
</file>