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ABB4C" w14:textId="452BC48C" w:rsidR="00F06E14" w:rsidRPr="00A17B1B" w:rsidRDefault="00DF2EEC" w:rsidP="00DF2EEC">
      <w:pPr>
        <w:pStyle w:val="Reporttitle"/>
      </w:pPr>
      <w:r>
        <w:t>Proposed update to the Australian Radiofrequency Spectrum Plan</w:t>
      </w:r>
    </w:p>
    <w:p w14:paraId="15104614" w14:textId="71C0DEE2" w:rsidR="00F06E14" w:rsidRPr="00A17B1B" w:rsidRDefault="00ED1769" w:rsidP="00F06E14">
      <w:pPr>
        <w:pStyle w:val="Reportsubtitle"/>
      </w:pPr>
      <w:r>
        <w:t>Consultation</w:t>
      </w:r>
      <w:r w:rsidR="00BD4421" w:rsidRPr="00A17B1B">
        <w:t xml:space="preserve"> </w:t>
      </w:r>
      <w:r w:rsidR="00DF2EEC">
        <w:t>paper</w:t>
      </w:r>
    </w:p>
    <w:p w14:paraId="2C5D1D39" w14:textId="3E794433" w:rsidR="00C97736" w:rsidRPr="00A17B1B" w:rsidRDefault="00454844"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rsidRPr="001B4B7D">
        <w:t>November</w:t>
      </w:r>
      <w:r w:rsidRPr="00A17B1B">
        <w:t xml:space="preserve"> </w:t>
      </w:r>
      <w:r w:rsidR="00BD4421" w:rsidRPr="00A17B1B">
        <w:t>20</w:t>
      </w:r>
      <w:r w:rsidR="000971BD" w:rsidRPr="00A17B1B">
        <w:t>2</w:t>
      </w:r>
      <w:r w:rsidR="00306491">
        <w:t>4</w:t>
      </w:r>
    </w:p>
    <w:p w14:paraId="0B36D0C7" w14:textId="77777777" w:rsidR="00284A74" w:rsidRPr="00A17B1B" w:rsidRDefault="00284A74" w:rsidP="00284A74">
      <w:pPr>
        <w:pStyle w:val="ACMACorporateAddressHeader"/>
      </w:pPr>
      <w:r w:rsidRPr="00A17B1B">
        <w:lastRenderedPageBreak/>
        <w:t>Canberra</w:t>
      </w:r>
    </w:p>
    <w:p w14:paraId="50F41731"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3F2A95C8" w14:textId="77777777" w:rsidR="00284A74" w:rsidRPr="00A17B1B" w:rsidRDefault="00284A74" w:rsidP="00284A74">
      <w:pPr>
        <w:pStyle w:val="ACMACorporateAddresses"/>
      </w:pPr>
      <w:r w:rsidRPr="00A17B1B">
        <w:t>PO Box 78</w:t>
      </w:r>
      <w:r w:rsidRPr="00A17B1B">
        <w:br/>
        <w:t>Belconnen ACT 2616</w:t>
      </w:r>
    </w:p>
    <w:p w14:paraId="5FC0F178"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07FC844E" w14:textId="77777777" w:rsidR="00284A74" w:rsidRPr="00A17B1B" w:rsidRDefault="00284A74" w:rsidP="00284A74">
      <w:pPr>
        <w:pStyle w:val="ACMACorporateAddressHeader"/>
      </w:pPr>
      <w:r w:rsidRPr="00A17B1B">
        <w:t>Melbourne</w:t>
      </w:r>
    </w:p>
    <w:p w14:paraId="7D6C538A"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3FCDBF9B"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533C7B7E"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25A76FA" w14:textId="77777777" w:rsidR="00284A74" w:rsidRPr="00A17B1B" w:rsidRDefault="00284A74" w:rsidP="00284A74">
      <w:pPr>
        <w:pStyle w:val="ACMACorporateAddressHeader"/>
      </w:pPr>
      <w:r w:rsidRPr="00A17B1B">
        <w:t>Sydney</w:t>
      </w:r>
    </w:p>
    <w:p w14:paraId="7393255E"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6F0D6B1A"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70D2AA45"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5CDB1393" w14:textId="77777777" w:rsidR="00284A74" w:rsidRPr="00A17B1B" w:rsidRDefault="00284A74" w:rsidP="005A62E5">
      <w:pPr>
        <w:pStyle w:val="ACMACopyrightHeader"/>
        <w:spacing w:before="4200"/>
      </w:pPr>
      <w:r w:rsidRPr="00A17B1B">
        <w:t>Copyright notice</w:t>
      </w:r>
    </w:p>
    <w:p w14:paraId="5B8AC7A4" w14:textId="77777777" w:rsidR="00284A74" w:rsidRPr="00A17B1B" w:rsidRDefault="00284A74" w:rsidP="00284A74">
      <w:pPr>
        <w:pStyle w:val="ACMACClogo"/>
      </w:pPr>
      <w:r w:rsidRPr="00A17B1B">
        <w:rPr>
          <w:noProof/>
        </w:rPr>
        <w:drawing>
          <wp:inline distT="0" distB="0" distL="0" distR="0" wp14:anchorId="7621880A" wp14:editId="7F6CEE5A">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619C53A" w14:textId="77777777" w:rsidR="00284A74" w:rsidRPr="00A17B1B" w:rsidRDefault="00497DF7" w:rsidP="00284A74">
      <w:pPr>
        <w:pStyle w:val="ACMACorporateAddresses"/>
        <w:rPr>
          <w:rStyle w:val="Hyperlink"/>
        </w:rPr>
      </w:pPr>
      <w:hyperlink r:id="rId13" w:history="1">
        <w:r w:rsidR="00284A74" w:rsidRPr="00A17B1B">
          <w:rPr>
            <w:rStyle w:val="Hyperlink"/>
          </w:rPr>
          <w:t>https://creativecommons.org/licenses/by/4.0/</w:t>
        </w:r>
      </w:hyperlink>
    </w:p>
    <w:p w14:paraId="55B03C6D"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650B1343" w14:textId="77777777" w:rsidR="00AA1F0B" w:rsidRPr="00E162C4" w:rsidRDefault="00AA1F0B" w:rsidP="00AA1F0B">
      <w:pPr>
        <w:pStyle w:val="ACMACorporateAddresses"/>
      </w:pPr>
      <w:r w:rsidRPr="00E162C4">
        <w:t>All other rights are reserved.</w:t>
      </w:r>
    </w:p>
    <w:p w14:paraId="74EEE03B"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0B1D310C"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t>4</w:t>
      </w:r>
      <w:r w:rsidRPr="00E162C4">
        <w:t xml:space="preserve">. </w:t>
      </w:r>
    </w:p>
    <w:p w14:paraId="79EF4557"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1ACD7EB3" w14:textId="158491F7" w:rsidR="00AB3831" w:rsidRDefault="00DF0799">
      <w:pPr>
        <w:pStyle w:val="TOC1"/>
        <w:rPr>
          <w:rFonts w:asciiTheme="minorHAnsi" w:eastAsiaTheme="minorEastAsia" w:hAnsiTheme="minorHAnsi" w:cstheme="minorBidi"/>
          <w:b w:val="0"/>
          <w:spacing w:val="0"/>
          <w:kern w:val="2"/>
          <w:sz w:val="22"/>
          <w:szCs w:val="22"/>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81864734" w:history="1">
        <w:r w:rsidR="00AB3831" w:rsidRPr="00873BA4">
          <w:rPr>
            <w:rStyle w:val="Hyperlink"/>
          </w:rPr>
          <w:t>Executive summary</w:t>
        </w:r>
        <w:r w:rsidR="00AB3831">
          <w:rPr>
            <w:webHidden/>
          </w:rPr>
          <w:tab/>
        </w:r>
        <w:r w:rsidR="00AB3831">
          <w:rPr>
            <w:webHidden/>
          </w:rPr>
          <w:fldChar w:fldCharType="begin"/>
        </w:r>
        <w:r w:rsidR="00AB3831">
          <w:rPr>
            <w:webHidden/>
          </w:rPr>
          <w:instrText xml:space="preserve"> PAGEREF _Toc181864734 \h </w:instrText>
        </w:r>
        <w:r w:rsidR="00AB3831">
          <w:rPr>
            <w:webHidden/>
          </w:rPr>
        </w:r>
        <w:r w:rsidR="00AB3831">
          <w:rPr>
            <w:webHidden/>
          </w:rPr>
          <w:fldChar w:fldCharType="separate"/>
        </w:r>
        <w:r w:rsidR="00AB3831">
          <w:rPr>
            <w:webHidden/>
          </w:rPr>
          <w:t>1</w:t>
        </w:r>
        <w:r w:rsidR="00AB3831">
          <w:rPr>
            <w:webHidden/>
          </w:rPr>
          <w:fldChar w:fldCharType="end"/>
        </w:r>
      </w:hyperlink>
    </w:p>
    <w:p w14:paraId="58826800" w14:textId="002832C9" w:rsidR="00AB3831" w:rsidRDefault="00AB3831">
      <w:pPr>
        <w:pStyle w:val="TOC1"/>
        <w:rPr>
          <w:rFonts w:asciiTheme="minorHAnsi" w:eastAsiaTheme="minorEastAsia" w:hAnsiTheme="minorHAnsi" w:cstheme="minorBidi"/>
          <w:b w:val="0"/>
          <w:spacing w:val="0"/>
          <w:kern w:val="2"/>
          <w:sz w:val="22"/>
          <w:szCs w:val="22"/>
          <w14:ligatures w14:val="standardContextual"/>
        </w:rPr>
      </w:pPr>
      <w:hyperlink w:anchor="_Toc181864735" w:history="1">
        <w:r w:rsidRPr="00873BA4">
          <w:rPr>
            <w:rStyle w:val="Hyperlink"/>
          </w:rPr>
          <w:t>Issues for comment</w:t>
        </w:r>
        <w:r>
          <w:rPr>
            <w:webHidden/>
          </w:rPr>
          <w:tab/>
        </w:r>
        <w:r>
          <w:rPr>
            <w:webHidden/>
          </w:rPr>
          <w:fldChar w:fldCharType="begin"/>
        </w:r>
        <w:r>
          <w:rPr>
            <w:webHidden/>
          </w:rPr>
          <w:instrText xml:space="preserve"> PAGEREF _Toc181864735 \h </w:instrText>
        </w:r>
        <w:r>
          <w:rPr>
            <w:webHidden/>
          </w:rPr>
        </w:r>
        <w:r>
          <w:rPr>
            <w:webHidden/>
          </w:rPr>
          <w:fldChar w:fldCharType="separate"/>
        </w:r>
        <w:r>
          <w:rPr>
            <w:webHidden/>
          </w:rPr>
          <w:t>2</w:t>
        </w:r>
        <w:r>
          <w:rPr>
            <w:webHidden/>
          </w:rPr>
          <w:fldChar w:fldCharType="end"/>
        </w:r>
      </w:hyperlink>
    </w:p>
    <w:p w14:paraId="1DDCB313" w14:textId="22C17D69" w:rsidR="00AB3831" w:rsidRDefault="00AB3831">
      <w:pPr>
        <w:pStyle w:val="TOC1"/>
        <w:rPr>
          <w:rFonts w:asciiTheme="minorHAnsi" w:eastAsiaTheme="minorEastAsia" w:hAnsiTheme="minorHAnsi" w:cstheme="minorBidi"/>
          <w:b w:val="0"/>
          <w:spacing w:val="0"/>
          <w:kern w:val="2"/>
          <w:sz w:val="22"/>
          <w:szCs w:val="22"/>
          <w14:ligatures w14:val="standardContextual"/>
        </w:rPr>
      </w:pPr>
      <w:hyperlink w:anchor="_Toc181864736" w:history="1">
        <w:r w:rsidRPr="00873BA4">
          <w:rPr>
            <w:rStyle w:val="Hyperlink"/>
          </w:rPr>
          <w:t>Introduction</w:t>
        </w:r>
        <w:r>
          <w:rPr>
            <w:webHidden/>
          </w:rPr>
          <w:tab/>
        </w:r>
        <w:r>
          <w:rPr>
            <w:webHidden/>
          </w:rPr>
          <w:fldChar w:fldCharType="begin"/>
        </w:r>
        <w:r>
          <w:rPr>
            <w:webHidden/>
          </w:rPr>
          <w:instrText xml:space="preserve"> PAGEREF _Toc181864736 \h </w:instrText>
        </w:r>
        <w:r>
          <w:rPr>
            <w:webHidden/>
          </w:rPr>
        </w:r>
        <w:r>
          <w:rPr>
            <w:webHidden/>
          </w:rPr>
          <w:fldChar w:fldCharType="separate"/>
        </w:r>
        <w:r>
          <w:rPr>
            <w:webHidden/>
          </w:rPr>
          <w:t>3</w:t>
        </w:r>
        <w:r>
          <w:rPr>
            <w:webHidden/>
          </w:rPr>
          <w:fldChar w:fldCharType="end"/>
        </w:r>
      </w:hyperlink>
    </w:p>
    <w:p w14:paraId="36CEA909" w14:textId="1ACDC5C4"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37" w:history="1">
        <w:r w:rsidRPr="00873BA4">
          <w:rPr>
            <w:rStyle w:val="Hyperlink"/>
          </w:rPr>
          <w:t>International obligations – WRC-23 Final Acts</w:t>
        </w:r>
        <w:r>
          <w:rPr>
            <w:webHidden/>
          </w:rPr>
          <w:tab/>
        </w:r>
        <w:r>
          <w:rPr>
            <w:webHidden/>
          </w:rPr>
          <w:fldChar w:fldCharType="begin"/>
        </w:r>
        <w:r>
          <w:rPr>
            <w:webHidden/>
          </w:rPr>
          <w:instrText xml:space="preserve"> PAGEREF _Toc181864737 \h </w:instrText>
        </w:r>
        <w:r>
          <w:rPr>
            <w:webHidden/>
          </w:rPr>
        </w:r>
        <w:r>
          <w:rPr>
            <w:webHidden/>
          </w:rPr>
          <w:fldChar w:fldCharType="separate"/>
        </w:r>
        <w:r>
          <w:rPr>
            <w:webHidden/>
          </w:rPr>
          <w:t>3</w:t>
        </w:r>
        <w:r>
          <w:rPr>
            <w:webHidden/>
          </w:rPr>
          <w:fldChar w:fldCharType="end"/>
        </w:r>
      </w:hyperlink>
    </w:p>
    <w:p w14:paraId="31377C89" w14:textId="6B550E9A" w:rsidR="00AB3831" w:rsidRDefault="00AB3831">
      <w:pPr>
        <w:pStyle w:val="TOC1"/>
        <w:rPr>
          <w:rFonts w:asciiTheme="minorHAnsi" w:eastAsiaTheme="minorEastAsia" w:hAnsiTheme="minorHAnsi" w:cstheme="minorBidi"/>
          <w:b w:val="0"/>
          <w:spacing w:val="0"/>
          <w:kern w:val="2"/>
          <w:sz w:val="22"/>
          <w:szCs w:val="22"/>
          <w14:ligatures w14:val="standardContextual"/>
        </w:rPr>
      </w:pPr>
      <w:hyperlink w:anchor="_Toc181864738" w:history="1">
        <w:r w:rsidRPr="00873BA4">
          <w:rPr>
            <w:rStyle w:val="Hyperlink"/>
          </w:rPr>
          <w:t>Changes to the spectrum plan</w:t>
        </w:r>
        <w:r>
          <w:rPr>
            <w:webHidden/>
          </w:rPr>
          <w:tab/>
        </w:r>
        <w:r>
          <w:rPr>
            <w:webHidden/>
          </w:rPr>
          <w:fldChar w:fldCharType="begin"/>
        </w:r>
        <w:r>
          <w:rPr>
            <w:webHidden/>
          </w:rPr>
          <w:instrText xml:space="preserve"> PAGEREF _Toc181864738 \h </w:instrText>
        </w:r>
        <w:r>
          <w:rPr>
            <w:webHidden/>
          </w:rPr>
        </w:r>
        <w:r>
          <w:rPr>
            <w:webHidden/>
          </w:rPr>
          <w:fldChar w:fldCharType="separate"/>
        </w:r>
        <w:r>
          <w:rPr>
            <w:webHidden/>
          </w:rPr>
          <w:t>5</w:t>
        </w:r>
        <w:r>
          <w:rPr>
            <w:webHidden/>
          </w:rPr>
          <w:fldChar w:fldCharType="end"/>
        </w:r>
      </w:hyperlink>
    </w:p>
    <w:p w14:paraId="38B16B70" w14:textId="5B315614"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39" w:history="1">
        <w:r w:rsidRPr="00873BA4">
          <w:rPr>
            <w:rStyle w:val="Hyperlink"/>
          </w:rPr>
          <w:t>Chapter 1 – General information</w:t>
        </w:r>
        <w:r>
          <w:rPr>
            <w:webHidden/>
          </w:rPr>
          <w:tab/>
        </w:r>
        <w:r>
          <w:rPr>
            <w:webHidden/>
          </w:rPr>
          <w:fldChar w:fldCharType="begin"/>
        </w:r>
        <w:r>
          <w:rPr>
            <w:webHidden/>
          </w:rPr>
          <w:instrText xml:space="preserve"> PAGEREF _Toc181864739 \h </w:instrText>
        </w:r>
        <w:r>
          <w:rPr>
            <w:webHidden/>
          </w:rPr>
        </w:r>
        <w:r>
          <w:rPr>
            <w:webHidden/>
          </w:rPr>
          <w:fldChar w:fldCharType="separate"/>
        </w:r>
        <w:r>
          <w:rPr>
            <w:webHidden/>
          </w:rPr>
          <w:t>5</w:t>
        </w:r>
        <w:r>
          <w:rPr>
            <w:webHidden/>
          </w:rPr>
          <w:fldChar w:fldCharType="end"/>
        </w:r>
      </w:hyperlink>
    </w:p>
    <w:p w14:paraId="09736F19" w14:textId="2AE95C8D"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0" w:history="1">
        <w:r w:rsidRPr="00873BA4">
          <w:rPr>
            <w:rStyle w:val="Hyperlink"/>
          </w:rPr>
          <w:t>Chapter 2 – Part 1: Introductory</w:t>
        </w:r>
        <w:r>
          <w:rPr>
            <w:webHidden/>
          </w:rPr>
          <w:tab/>
        </w:r>
        <w:r>
          <w:rPr>
            <w:webHidden/>
          </w:rPr>
          <w:fldChar w:fldCharType="begin"/>
        </w:r>
        <w:r>
          <w:rPr>
            <w:webHidden/>
          </w:rPr>
          <w:instrText xml:space="preserve"> PAGEREF _Toc181864740 \h </w:instrText>
        </w:r>
        <w:r>
          <w:rPr>
            <w:webHidden/>
          </w:rPr>
        </w:r>
        <w:r>
          <w:rPr>
            <w:webHidden/>
          </w:rPr>
          <w:fldChar w:fldCharType="separate"/>
        </w:r>
        <w:r>
          <w:rPr>
            <w:webHidden/>
          </w:rPr>
          <w:t>5</w:t>
        </w:r>
        <w:r>
          <w:rPr>
            <w:webHidden/>
          </w:rPr>
          <w:fldChar w:fldCharType="end"/>
        </w:r>
      </w:hyperlink>
    </w:p>
    <w:p w14:paraId="2C79C988" w14:textId="3C82B39B"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1" w:history="1">
        <w:r w:rsidRPr="00873BA4">
          <w:rPr>
            <w:rStyle w:val="Hyperlink"/>
          </w:rPr>
          <w:t>Chapter 2 – Part 2: Table of frequency band allocations</w:t>
        </w:r>
        <w:r>
          <w:rPr>
            <w:webHidden/>
          </w:rPr>
          <w:tab/>
        </w:r>
        <w:r>
          <w:rPr>
            <w:webHidden/>
          </w:rPr>
          <w:fldChar w:fldCharType="begin"/>
        </w:r>
        <w:r>
          <w:rPr>
            <w:webHidden/>
          </w:rPr>
          <w:instrText xml:space="preserve"> PAGEREF _Toc181864741 \h </w:instrText>
        </w:r>
        <w:r>
          <w:rPr>
            <w:webHidden/>
          </w:rPr>
        </w:r>
        <w:r>
          <w:rPr>
            <w:webHidden/>
          </w:rPr>
          <w:fldChar w:fldCharType="separate"/>
        </w:r>
        <w:r>
          <w:rPr>
            <w:webHidden/>
          </w:rPr>
          <w:t>6</w:t>
        </w:r>
        <w:r>
          <w:rPr>
            <w:webHidden/>
          </w:rPr>
          <w:fldChar w:fldCharType="end"/>
        </w:r>
      </w:hyperlink>
    </w:p>
    <w:p w14:paraId="573529C4" w14:textId="61A8CEAD" w:rsidR="00AB3831" w:rsidRDefault="00AB3831">
      <w:pPr>
        <w:pStyle w:val="TOC3"/>
        <w:rPr>
          <w:rFonts w:asciiTheme="minorHAnsi" w:eastAsiaTheme="minorEastAsia" w:hAnsiTheme="minorHAnsi" w:cstheme="minorBidi"/>
          <w:kern w:val="2"/>
          <w14:ligatures w14:val="standardContextual"/>
        </w:rPr>
      </w:pPr>
      <w:hyperlink w:anchor="_Toc181864742" w:history="1">
        <w:r w:rsidRPr="00873BA4">
          <w:rPr>
            <w:rStyle w:val="Hyperlink"/>
          </w:rPr>
          <w:t>Column 1: ITU Radio Regulations table of allocations</w:t>
        </w:r>
        <w:r>
          <w:rPr>
            <w:webHidden/>
          </w:rPr>
          <w:tab/>
        </w:r>
        <w:r>
          <w:rPr>
            <w:webHidden/>
          </w:rPr>
          <w:fldChar w:fldCharType="begin"/>
        </w:r>
        <w:r>
          <w:rPr>
            <w:webHidden/>
          </w:rPr>
          <w:instrText xml:space="preserve"> PAGEREF _Toc181864742 \h </w:instrText>
        </w:r>
        <w:r>
          <w:rPr>
            <w:webHidden/>
          </w:rPr>
        </w:r>
        <w:r>
          <w:rPr>
            <w:webHidden/>
          </w:rPr>
          <w:fldChar w:fldCharType="separate"/>
        </w:r>
        <w:r>
          <w:rPr>
            <w:webHidden/>
          </w:rPr>
          <w:t>6</w:t>
        </w:r>
        <w:r>
          <w:rPr>
            <w:webHidden/>
          </w:rPr>
          <w:fldChar w:fldCharType="end"/>
        </w:r>
      </w:hyperlink>
    </w:p>
    <w:p w14:paraId="2D90295C" w14:textId="52D94C4E" w:rsidR="00AB3831" w:rsidRDefault="00AB3831">
      <w:pPr>
        <w:pStyle w:val="TOC3"/>
        <w:rPr>
          <w:rFonts w:asciiTheme="minorHAnsi" w:eastAsiaTheme="minorEastAsia" w:hAnsiTheme="minorHAnsi" w:cstheme="minorBidi"/>
          <w:kern w:val="2"/>
          <w14:ligatures w14:val="standardContextual"/>
        </w:rPr>
      </w:pPr>
      <w:hyperlink w:anchor="_Toc181864743" w:history="1">
        <w:r w:rsidRPr="00873BA4">
          <w:rPr>
            <w:rStyle w:val="Hyperlink"/>
          </w:rPr>
          <w:t>Column 2: Australian table of allocations</w:t>
        </w:r>
        <w:r>
          <w:rPr>
            <w:webHidden/>
          </w:rPr>
          <w:tab/>
        </w:r>
        <w:r>
          <w:rPr>
            <w:webHidden/>
          </w:rPr>
          <w:fldChar w:fldCharType="begin"/>
        </w:r>
        <w:r>
          <w:rPr>
            <w:webHidden/>
          </w:rPr>
          <w:instrText xml:space="preserve"> PAGEREF _Toc181864743 \h </w:instrText>
        </w:r>
        <w:r>
          <w:rPr>
            <w:webHidden/>
          </w:rPr>
        </w:r>
        <w:r>
          <w:rPr>
            <w:webHidden/>
          </w:rPr>
          <w:fldChar w:fldCharType="separate"/>
        </w:r>
        <w:r>
          <w:rPr>
            <w:webHidden/>
          </w:rPr>
          <w:t>6</w:t>
        </w:r>
        <w:r>
          <w:rPr>
            <w:webHidden/>
          </w:rPr>
          <w:fldChar w:fldCharType="end"/>
        </w:r>
      </w:hyperlink>
    </w:p>
    <w:p w14:paraId="0E8F6A25" w14:textId="4DB6007C"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4" w:history="1">
        <w:r w:rsidRPr="00873BA4">
          <w:rPr>
            <w:rStyle w:val="Hyperlink"/>
          </w:rPr>
          <w:t>Chapter 2 – Part 3: Australian footnotes</w:t>
        </w:r>
        <w:r>
          <w:rPr>
            <w:webHidden/>
          </w:rPr>
          <w:tab/>
        </w:r>
        <w:r>
          <w:rPr>
            <w:webHidden/>
          </w:rPr>
          <w:fldChar w:fldCharType="begin"/>
        </w:r>
        <w:r>
          <w:rPr>
            <w:webHidden/>
          </w:rPr>
          <w:instrText xml:space="preserve"> PAGEREF _Toc181864744 \h </w:instrText>
        </w:r>
        <w:r>
          <w:rPr>
            <w:webHidden/>
          </w:rPr>
        </w:r>
        <w:r>
          <w:rPr>
            <w:webHidden/>
          </w:rPr>
          <w:fldChar w:fldCharType="separate"/>
        </w:r>
        <w:r>
          <w:rPr>
            <w:webHidden/>
          </w:rPr>
          <w:t>7</w:t>
        </w:r>
        <w:r>
          <w:rPr>
            <w:webHidden/>
          </w:rPr>
          <w:fldChar w:fldCharType="end"/>
        </w:r>
      </w:hyperlink>
    </w:p>
    <w:p w14:paraId="2EE7B801" w14:textId="6E078458"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5" w:history="1">
        <w:r w:rsidRPr="00873BA4">
          <w:rPr>
            <w:rStyle w:val="Hyperlink"/>
          </w:rPr>
          <w:t>Chapter 2 – Part 4: International footnotes</w:t>
        </w:r>
        <w:r>
          <w:rPr>
            <w:webHidden/>
          </w:rPr>
          <w:tab/>
        </w:r>
        <w:r>
          <w:rPr>
            <w:webHidden/>
          </w:rPr>
          <w:fldChar w:fldCharType="begin"/>
        </w:r>
        <w:r>
          <w:rPr>
            <w:webHidden/>
          </w:rPr>
          <w:instrText xml:space="preserve"> PAGEREF _Toc181864745 \h </w:instrText>
        </w:r>
        <w:r>
          <w:rPr>
            <w:webHidden/>
          </w:rPr>
        </w:r>
        <w:r>
          <w:rPr>
            <w:webHidden/>
          </w:rPr>
          <w:fldChar w:fldCharType="separate"/>
        </w:r>
        <w:r>
          <w:rPr>
            <w:webHidden/>
          </w:rPr>
          <w:t>8</w:t>
        </w:r>
        <w:r>
          <w:rPr>
            <w:webHidden/>
          </w:rPr>
          <w:fldChar w:fldCharType="end"/>
        </w:r>
      </w:hyperlink>
    </w:p>
    <w:p w14:paraId="0A8AB870" w14:textId="4E753369"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6" w:history="1">
        <w:r w:rsidRPr="00873BA4">
          <w:rPr>
            <w:rStyle w:val="Hyperlink"/>
          </w:rPr>
          <w:t>Decisions made under subsection 10(10)</w:t>
        </w:r>
        <w:r>
          <w:rPr>
            <w:webHidden/>
          </w:rPr>
          <w:tab/>
        </w:r>
        <w:r>
          <w:rPr>
            <w:webHidden/>
          </w:rPr>
          <w:fldChar w:fldCharType="begin"/>
        </w:r>
        <w:r>
          <w:rPr>
            <w:webHidden/>
          </w:rPr>
          <w:instrText xml:space="preserve"> PAGEREF _Toc181864746 \h </w:instrText>
        </w:r>
        <w:r>
          <w:rPr>
            <w:webHidden/>
          </w:rPr>
        </w:r>
        <w:r>
          <w:rPr>
            <w:webHidden/>
          </w:rPr>
          <w:fldChar w:fldCharType="separate"/>
        </w:r>
        <w:r>
          <w:rPr>
            <w:webHidden/>
          </w:rPr>
          <w:t>8</w:t>
        </w:r>
        <w:r>
          <w:rPr>
            <w:webHidden/>
          </w:rPr>
          <w:fldChar w:fldCharType="end"/>
        </w:r>
      </w:hyperlink>
    </w:p>
    <w:p w14:paraId="06D24B67" w14:textId="04FF8254" w:rsidR="00AB3831" w:rsidRDefault="00AB3831">
      <w:pPr>
        <w:pStyle w:val="TOC1"/>
        <w:rPr>
          <w:rFonts w:asciiTheme="minorHAnsi" w:eastAsiaTheme="minorEastAsia" w:hAnsiTheme="minorHAnsi" w:cstheme="minorBidi"/>
          <w:b w:val="0"/>
          <w:spacing w:val="0"/>
          <w:kern w:val="2"/>
          <w:sz w:val="22"/>
          <w:szCs w:val="22"/>
          <w14:ligatures w14:val="standardContextual"/>
        </w:rPr>
      </w:pPr>
      <w:hyperlink w:anchor="_Toc181864747" w:history="1">
        <w:r w:rsidRPr="00873BA4">
          <w:rPr>
            <w:rStyle w:val="Hyperlink"/>
          </w:rPr>
          <w:t>Invitation to comment</w:t>
        </w:r>
        <w:r>
          <w:rPr>
            <w:webHidden/>
          </w:rPr>
          <w:tab/>
        </w:r>
        <w:r>
          <w:rPr>
            <w:webHidden/>
          </w:rPr>
          <w:fldChar w:fldCharType="begin"/>
        </w:r>
        <w:r>
          <w:rPr>
            <w:webHidden/>
          </w:rPr>
          <w:instrText xml:space="preserve"> PAGEREF _Toc181864747 \h </w:instrText>
        </w:r>
        <w:r>
          <w:rPr>
            <w:webHidden/>
          </w:rPr>
        </w:r>
        <w:r>
          <w:rPr>
            <w:webHidden/>
          </w:rPr>
          <w:fldChar w:fldCharType="separate"/>
        </w:r>
        <w:r>
          <w:rPr>
            <w:webHidden/>
          </w:rPr>
          <w:t>10</w:t>
        </w:r>
        <w:r>
          <w:rPr>
            <w:webHidden/>
          </w:rPr>
          <w:fldChar w:fldCharType="end"/>
        </w:r>
      </w:hyperlink>
    </w:p>
    <w:p w14:paraId="4CA3500F" w14:textId="31DF6F7E" w:rsidR="00AB3831" w:rsidRDefault="00AB3831">
      <w:pPr>
        <w:pStyle w:val="TOC2"/>
        <w:rPr>
          <w:rFonts w:asciiTheme="minorHAnsi" w:eastAsiaTheme="minorEastAsia" w:hAnsiTheme="minorHAnsi" w:cstheme="minorBidi"/>
          <w:spacing w:val="0"/>
          <w:kern w:val="2"/>
          <w:sz w:val="22"/>
          <w:szCs w:val="22"/>
          <w14:ligatures w14:val="standardContextual"/>
        </w:rPr>
      </w:pPr>
      <w:hyperlink w:anchor="_Toc181864748" w:history="1">
        <w:r w:rsidRPr="00873BA4">
          <w:rPr>
            <w:rStyle w:val="Hyperlink"/>
          </w:rPr>
          <w:t>Making a submission</w:t>
        </w:r>
        <w:r>
          <w:rPr>
            <w:webHidden/>
          </w:rPr>
          <w:tab/>
        </w:r>
        <w:r>
          <w:rPr>
            <w:webHidden/>
          </w:rPr>
          <w:fldChar w:fldCharType="begin"/>
        </w:r>
        <w:r>
          <w:rPr>
            <w:webHidden/>
          </w:rPr>
          <w:instrText xml:space="preserve"> PAGEREF _Toc181864748 \h </w:instrText>
        </w:r>
        <w:r>
          <w:rPr>
            <w:webHidden/>
          </w:rPr>
        </w:r>
        <w:r>
          <w:rPr>
            <w:webHidden/>
          </w:rPr>
          <w:fldChar w:fldCharType="separate"/>
        </w:r>
        <w:r>
          <w:rPr>
            <w:webHidden/>
          </w:rPr>
          <w:t>10</w:t>
        </w:r>
        <w:r>
          <w:rPr>
            <w:webHidden/>
          </w:rPr>
          <w:fldChar w:fldCharType="end"/>
        </w:r>
      </w:hyperlink>
    </w:p>
    <w:p w14:paraId="30433EA5" w14:textId="47567506" w:rsidR="00AB3831" w:rsidRDefault="00AB3831">
      <w:pPr>
        <w:pStyle w:val="TOC3"/>
        <w:rPr>
          <w:rFonts w:asciiTheme="minorHAnsi" w:eastAsiaTheme="minorEastAsia" w:hAnsiTheme="minorHAnsi" w:cstheme="minorBidi"/>
          <w:kern w:val="2"/>
          <w14:ligatures w14:val="standardContextual"/>
        </w:rPr>
      </w:pPr>
      <w:hyperlink w:anchor="_Toc181864749" w:history="1">
        <w:r w:rsidRPr="00873BA4">
          <w:rPr>
            <w:rStyle w:val="Hyperlink"/>
          </w:rPr>
          <w:t>Publication of submissions</w:t>
        </w:r>
        <w:r>
          <w:rPr>
            <w:webHidden/>
          </w:rPr>
          <w:tab/>
        </w:r>
        <w:r>
          <w:rPr>
            <w:webHidden/>
          </w:rPr>
          <w:fldChar w:fldCharType="begin"/>
        </w:r>
        <w:r>
          <w:rPr>
            <w:webHidden/>
          </w:rPr>
          <w:instrText xml:space="preserve"> PAGEREF _Toc181864749 \h </w:instrText>
        </w:r>
        <w:r>
          <w:rPr>
            <w:webHidden/>
          </w:rPr>
        </w:r>
        <w:r>
          <w:rPr>
            <w:webHidden/>
          </w:rPr>
          <w:fldChar w:fldCharType="separate"/>
        </w:r>
        <w:r>
          <w:rPr>
            <w:webHidden/>
          </w:rPr>
          <w:t>10</w:t>
        </w:r>
        <w:r>
          <w:rPr>
            <w:webHidden/>
          </w:rPr>
          <w:fldChar w:fldCharType="end"/>
        </w:r>
      </w:hyperlink>
    </w:p>
    <w:p w14:paraId="1EC708B3" w14:textId="1F5F2336" w:rsidR="00AB3831" w:rsidRDefault="00AB3831">
      <w:pPr>
        <w:pStyle w:val="TOC3"/>
        <w:rPr>
          <w:rFonts w:asciiTheme="minorHAnsi" w:eastAsiaTheme="minorEastAsia" w:hAnsiTheme="minorHAnsi" w:cstheme="minorBidi"/>
          <w:kern w:val="2"/>
          <w14:ligatures w14:val="standardContextual"/>
        </w:rPr>
      </w:pPr>
      <w:hyperlink w:anchor="_Toc181864750" w:history="1">
        <w:r w:rsidRPr="00873BA4">
          <w:rPr>
            <w:rStyle w:val="Hyperlink"/>
          </w:rPr>
          <w:t>Privacy</w:t>
        </w:r>
        <w:r>
          <w:rPr>
            <w:webHidden/>
          </w:rPr>
          <w:tab/>
        </w:r>
        <w:r>
          <w:rPr>
            <w:webHidden/>
          </w:rPr>
          <w:fldChar w:fldCharType="begin"/>
        </w:r>
        <w:r>
          <w:rPr>
            <w:webHidden/>
          </w:rPr>
          <w:instrText xml:space="preserve"> PAGEREF _Toc181864750 \h </w:instrText>
        </w:r>
        <w:r>
          <w:rPr>
            <w:webHidden/>
          </w:rPr>
        </w:r>
        <w:r>
          <w:rPr>
            <w:webHidden/>
          </w:rPr>
          <w:fldChar w:fldCharType="separate"/>
        </w:r>
        <w:r>
          <w:rPr>
            <w:webHidden/>
          </w:rPr>
          <w:t>10</w:t>
        </w:r>
        <w:r>
          <w:rPr>
            <w:webHidden/>
          </w:rPr>
          <w:fldChar w:fldCharType="end"/>
        </w:r>
      </w:hyperlink>
    </w:p>
    <w:p w14:paraId="4972799D" w14:textId="54A57CD0" w:rsidR="004D56FF" w:rsidRPr="00A17B1B" w:rsidRDefault="00DF0799">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47B0559D" w14:textId="77777777" w:rsidR="009D6C71" w:rsidRPr="00A17B1B" w:rsidRDefault="009D6C71" w:rsidP="009174F3">
      <w:pPr>
        <w:pStyle w:val="Execsummaryheading"/>
      </w:pPr>
      <w:bookmarkStart w:id="0" w:name="_Toc181864734"/>
      <w:r w:rsidRPr="00A17B1B">
        <w:lastRenderedPageBreak/>
        <w:t>Executive summary</w:t>
      </w:r>
      <w:bookmarkEnd w:id="0"/>
    </w:p>
    <w:p w14:paraId="722C6174" w14:textId="63ABB1B9" w:rsidR="00DF2EEC" w:rsidRDefault="00DF2EEC" w:rsidP="00DF2EEC">
      <w:pPr>
        <w:pStyle w:val="Paragraph"/>
      </w:pPr>
      <w:r>
        <w:t xml:space="preserve">Following each International Telecommunication Union (ITU) World Radiocommunication Conference (WRC), </w:t>
      </w:r>
      <w:r w:rsidR="001B4B7D">
        <w:t>we</w:t>
      </w:r>
      <w:r>
        <w:t xml:space="preserve"> typically update the Australian Radiofrequency Spectrum Plan (the </w:t>
      </w:r>
      <w:r w:rsidR="00B73FFB">
        <w:t>s</w:t>
      </w:r>
      <w:r>
        <w:t xml:space="preserve">pectrum </w:t>
      </w:r>
      <w:r w:rsidR="00B73FFB">
        <w:t>p</w:t>
      </w:r>
      <w:r>
        <w:t>lan).</w:t>
      </w:r>
    </w:p>
    <w:p w14:paraId="2BA3827F" w14:textId="3420BA83" w:rsidR="00DF2EEC" w:rsidRDefault="00DF2EEC" w:rsidP="00DF2EEC">
      <w:pPr>
        <w:pStyle w:val="Paragraph"/>
      </w:pPr>
      <w:r>
        <w:t xml:space="preserve">The </w:t>
      </w:r>
      <w:r w:rsidR="00B73FFB">
        <w:t>s</w:t>
      </w:r>
      <w:r>
        <w:t xml:space="preserve">pectrum </w:t>
      </w:r>
      <w:r w:rsidR="001B4B7D">
        <w:t>p</w:t>
      </w:r>
      <w:r>
        <w:t xml:space="preserve">lan, made under section 30 of the </w:t>
      </w:r>
      <w:r w:rsidRPr="00B73FFB">
        <w:rPr>
          <w:i/>
          <w:iCs/>
        </w:rPr>
        <w:t>Radiocommunications Act 1992</w:t>
      </w:r>
      <w:r>
        <w:t xml:space="preserve"> (the Act), divides the spectrum into frequency bands and specifies the general purpose or purposes for which the bands may be used. The </w:t>
      </w:r>
      <w:r w:rsidR="00B73FFB">
        <w:t xml:space="preserve">spectrum </w:t>
      </w:r>
      <w:r w:rsidR="001B4B7D">
        <w:t xml:space="preserve">plan </w:t>
      </w:r>
      <w:r>
        <w:t xml:space="preserve">reflects both international and domestic arrangements for radiofrequency management. </w:t>
      </w:r>
    </w:p>
    <w:p w14:paraId="3AD21695" w14:textId="29BAE9E0" w:rsidR="00DF2EEC" w:rsidRDefault="00DF2EEC" w:rsidP="00DF2EEC">
      <w:pPr>
        <w:pStyle w:val="Paragraphbeforelist"/>
      </w:pPr>
      <w:r>
        <w:t xml:space="preserve">The </w:t>
      </w:r>
      <w:r w:rsidR="001B4B7D">
        <w:t>s</w:t>
      </w:r>
      <w:r>
        <w:t xml:space="preserve">pectrum </w:t>
      </w:r>
      <w:r w:rsidR="001B4B7D">
        <w:t>p</w:t>
      </w:r>
      <w:r>
        <w:t>lan:</w:t>
      </w:r>
    </w:p>
    <w:p w14:paraId="28B920CE" w14:textId="56B717D4" w:rsidR="00DF2EEC" w:rsidRDefault="00DF2EEC" w:rsidP="00DF2EEC">
      <w:pPr>
        <w:pStyle w:val="Bulletlevel1"/>
        <w:ind w:left="284" w:hanging="284"/>
      </w:pPr>
      <w:r>
        <w:t>provides a basis for management of the radiofrequency spectrum in Australia</w:t>
      </w:r>
    </w:p>
    <w:p w14:paraId="612C4E09" w14:textId="39CE63CD" w:rsidR="00DF2EEC" w:rsidRDefault="00DF2EEC" w:rsidP="00DF2EEC">
      <w:pPr>
        <w:pStyle w:val="Bulletlevel1"/>
        <w:ind w:left="284" w:hanging="284"/>
      </w:pPr>
      <w:r>
        <w:t>informs radiocommunication users about the services allocated to each frequency band and the conditions attached to those allocations</w:t>
      </w:r>
    </w:p>
    <w:p w14:paraId="7BBA88E1" w14:textId="7959287A" w:rsidR="00DF2EEC" w:rsidRDefault="00DF2EEC" w:rsidP="00DF2EEC">
      <w:pPr>
        <w:pStyle w:val="Bulletlevel1"/>
        <w:ind w:left="284" w:hanging="284"/>
      </w:pPr>
      <w:r>
        <w:t>reflects Australia’s treaty obligations as a member of the ITU, as set out in the ITU’s Radio Regulations</w:t>
      </w:r>
    </w:p>
    <w:p w14:paraId="3E22293B" w14:textId="3FD1D401" w:rsidR="00DF2EEC" w:rsidRDefault="00DF2EEC" w:rsidP="00B73FFB">
      <w:pPr>
        <w:pStyle w:val="Bulletlevel1"/>
        <w:spacing w:after="240"/>
        <w:ind w:left="284" w:hanging="284"/>
      </w:pPr>
      <w:r>
        <w:t xml:space="preserve">provides details of international frequency allocations agreed by the ITU for the </w:t>
      </w:r>
      <w:r w:rsidR="001B4B7D">
        <w:t xml:space="preserve">3 </w:t>
      </w:r>
      <w:r>
        <w:t xml:space="preserve">world </w:t>
      </w:r>
      <w:r w:rsidR="001B4B7D">
        <w:t>r</w:t>
      </w:r>
      <w:r>
        <w:t>egions.</w:t>
      </w:r>
    </w:p>
    <w:p w14:paraId="762A7A9A" w14:textId="04B2A50A" w:rsidR="001B4B7D" w:rsidRDefault="00DF2EEC" w:rsidP="00DF2EEC">
      <w:pPr>
        <w:pStyle w:val="Paragraph"/>
      </w:pPr>
      <w:r>
        <w:t xml:space="preserve">The last major changes to the </w:t>
      </w:r>
      <w:r w:rsidR="001B4B7D">
        <w:t>s</w:t>
      </w:r>
      <w:r>
        <w:t xml:space="preserve">pectrum </w:t>
      </w:r>
      <w:r w:rsidR="001B4B7D">
        <w:t>p</w:t>
      </w:r>
      <w:r>
        <w:t>lan were made in May 20</w:t>
      </w:r>
      <w:r w:rsidR="00471C6D">
        <w:t>21</w:t>
      </w:r>
      <w:r>
        <w:t>, following the 20</w:t>
      </w:r>
      <w:r w:rsidR="00471C6D">
        <w:t>19</w:t>
      </w:r>
      <w:r>
        <w:t xml:space="preserve"> WRC (WRC-1</w:t>
      </w:r>
      <w:r w:rsidR="00471C6D">
        <w:t>9</w:t>
      </w:r>
      <w:r>
        <w:t xml:space="preserve">). Proposed changes to the </w:t>
      </w:r>
      <w:r w:rsidR="00B73FFB">
        <w:t xml:space="preserve">spectrum </w:t>
      </w:r>
      <w:r w:rsidR="001B4B7D">
        <w:t>p</w:t>
      </w:r>
      <w:r>
        <w:t xml:space="preserve">lan are outlined in this paper and </w:t>
      </w:r>
      <w:r w:rsidR="005A70DA">
        <w:t xml:space="preserve">in the attached amendment instrument. </w:t>
      </w:r>
    </w:p>
    <w:p w14:paraId="3F94A243" w14:textId="695E9499" w:rsidR="00DF2EEC" w:rsidRDefault="005A70DA" w:rsidP="00DF2EEC">
      <w:pPr>
        <w:pStyle w:val="Paragraph"/>
      </w:pPr>
      <w:r>
        <w:t xml:space="preserve">A </w:t>
      </w:r>
      <w:r w:rsidR="00DF2EEC">
        <w:t xml:space="preserve">marked-up version of the </w:t>
      </w:r>
      <w:r w:rsidR="001B4B7D">
        <w:t>s</w:t>
      </w:r>
      <w:r w:rsidR="00DF2EEC">
        <w:t xml:space="preserve">pectrum </w:t>
      </w:r>
      <w:r w:rsidR="001B4B7D">
        <w:t>p</w:t>
      </w:r>
      <w:r w:rsidR="00DF2EEC">
        <w:t>lan</w:t>
      </w:r>
      <w:r>
        <w:t xml:space="preserve"> is also provided </w:t>
      </w:r>
      <w:r w:rsidR="009263D4">
        <w:t xml:space="preserve">to highlight the proposed changes, which </w:t>
      </w:r>
      <w:r w:rsidR="00DF2EEC" w:rsidRPr="00FA1DEC">
        <w:t xml:space="preserve">reflect changes to the ITU Radio Regulations at the WRC held in </w:t>
      </w:r>
      <w:r w:rsidR="00471C6D" w:rsidRPr="00FA1DEC">
        <w:t>Dubai, United Arab Emirates</w:t>
      </w:r>
      <w:r w:rsidR="00DF2EEC" w:rsidRPr="00FA1DEC">
        <w:t>, in late 20</w:t>
      </w:r>
      <w:r w:rsidR="00471C6D" w:rsidRPr="00FA1DEC">
        <w:t>23</w:t>
      </w:r>
      <w:r w:rsidR="00DF2EEC" w:rsidRPr="00FA1DEC">
        <w:t xml:space="preserve">. They include new identifications for </w:t>
      </w:r>
      <w:r w:rsidR="00FA1DEC" w:rsidRPr="00FA1DEC">
        <w:t>i</w:t>
      </w:r>
      <w:r w:rsidR="00DF2EEC" w:rsidRPr="00FA1DEC">
        <w:t xml:space="preserve">nternational </w:t>
      </w:r>
      <w:r w:rsidR="00FA1DEC" w:rsidRPr="00FA1DEC">
        <w:t>m</w:t>
      </w:r>
      <w:r w:rsidR="00DF2EEC" w:rsidRPr="00FA1DEC">
        <w:t xml:space="preserve">obile </w:t>
      </w:r>
      <w:r w:rsidR="00FA1DEC" w:rsidRPr="00FA1DEC">
        <w:t>t</w:t>
      </w:r>
      <w:r w:rsidR="00DF2EEC" w:rsidRPr="00FA1DEC">
        <w:t>elecommunications (IMT) (mobile broadband)</w:t>
      </w:r>
      <w:r w:rsidR="002B1EB3">
        <w:t xml:space="preserve"> and allocations to</w:t>
      </w:r>
      <w:r w:rsidR="00DF2EEC" w:rsidRPr="00FA1DEC">
        <w:t xml:space="preserve"> maritime</w:t>
      </w:r>
      <w:r w:rsidR="00FA1DEC" w:rsidRPr="00FA1DEC">
        <w:t xml:space="preserve">, aviation </w:t>
      </w:r>
      <w:r w:rsidR="00DF2EEC" w:rsidRPr="00FA1DEC">
        <w:t>and satellite services to reflect the decisions of WRC-</w:t>
      </w:r>
      <w:r w:rsidR="00471C6D" w:rsidRPr="00FA1DEC">
        <w:t>23. Changes have also been proposed to address domestic planning matters</w:t>
      </w:r>
      <w:r w:rsidR="00DF2EEC">
        <w:t xml:space="preserve">, </w:t>
      </w:r>
      <w:r w:rsidR="00471C6D">
        <w:t xml:space="preserve">including suggesting permanent changes to </w:t>
      </w:r>
      <w:r w:rsidR="009263D4">
        <w:t xml:space="preserve">regularise </w:t>
      </w:r>
      <w:r w:rsidR="00471C6D">
        <w:t xml:space="preserve">decisions made under </w:t>
      </w:r>
      <w:r w:rsidR="006141C6">
        <w:t>s</w:t>
      </w:r>
      <w:r w:rsidR="0012005A">
        <w:t>ubs</w:t>
      </w:r>
      <w:r w:rsidR="00471C6D">
        <w:t xml:space="preserve">ection 10(10) of the </w:t>
      </w:r>
      <w:r w:rsidR="001B4B7D">
        <w:t>s</w:t>
      </w:r>
      <w:r w:rsidR="00471C6D">
        <w:t xml:space="preserve">pectrum </w:t>
      </w:r>
      <w:r w:rsidR="001B4B7D">
        <w:t>p</w:t>
      </w:r>
      <w:r w:rsidR="00471C6D">
        <w:t>lan</w:t>
      </w:r>
      <w:r w:rsidR="00DF2EEC">
        <w:t>.</w:t>
      </w:r>
      <w:r w:rsidR="0068369A">
        <w:rPr>
          <w:rStyle w:val="FootnoteReference"/>
        </w:rPr>
        <w:footnoteReference w:id="2"/>
      </w:r>
    </w:p>
    <w:p w14:paraId="0C7BAB6B" w14:textId="0E70E89B" w:rsidR="005E250B" w:rsidRPr="00A17B1B" w:rsidRDefault="001B4B7D" w:rsidP="00471C6D">
      <w:pPr>
        <w:pStyle w:val="Paragraph"/>
      </w:pPr>
      <w:r>
        <w:t xml:space="preserve">We </w:t>
      </w:r>
      <w:r w:rsidR="00DF2EEC">
        <w:t xml:space="preserve">propose that the </w:t>
      </w:r>
      <w:r w:rsidR="00471C6D">
        <w:t xml:space="preserve">amendments to the </w:t>
      </w:r>
      <w:r>
        <w:t>s</w:t>
      </w:r>
      <w:r w:rsidR="00DF2EEC">
        <w:t xml:space="preserve">pectrum </w:t>
      </w:r>
      <w:r>
        <w:t>p</w:t>
      </w:r>
      <w:r w:rsidR="00DF2EEC">
        <w:t>lan discussed in this paper and its attachment</w:t>
      </w:r>
      <w:r w:rsidR="00471C6D">
        <w:t>s</w:t>
      </w:r>
      <w:r w:rsidR="00DF2EEC">
        <w:t xml:space="preserve"> </w:t>
      </w:r>
      <w:r w:rsidR="005A70DA">
        <w:t xml:space="preserve">will only be </w:t>
      </w:r>
      <w:r w:rsidR="00DF2EEC">
        <w:t xml:space="preserve">made </w:t>
      </w:r>
      <w:r w:rsidR="005A70DA">
        <w:t xml:space="preserve">if </w:t>
      </w:r>
      <w:r w:rsidR="00471C6D">
        <w:t xml:space="preserve">the Final Acts of WRC-23 </w:t>
      </w:r>
      <w:r w:rsidR="005A70DA">
        <w:t>are</w:t>
      </w:r>
      <w:r w:rsidR="00471C6D">
        <w:t xml:space="preserve"> formally adopted by Australia. </w:t>
      </w:r>
    </w:p>
    <w:p w14:paraId="7F6BEE86" w14:textId="03D729D0" w:rsidR="004B2960" w:rsidRPr="00E162C4" w:rsidRDefault="004B2960" w:rsidP="004B2960">
      <w:pPr>
        <w:pStyle w:val="Heading1"/>
      </w:pPr>
      <w:bookmarkStart w:id="1" w:name="_Toc92265082"/>
      <w:bookmarkStart w:id="2" w:name="_Toc181864735"/>
      <w:r w:rsidRPr="00E162C4">
        <w:lastRenderedPageBreak/>
        <w:t>Issues for comment</w:t>
      </w:r>
      <w:bookmarkEnd w:id="1"/>
      <w:bookmarkEnd w:id="2"/>
    </w:p>
    <w:p w14:paraId="6DF31BF3" w14:textId="6C93408C" w:rsidR="004B2960" w:rsidRPr="00E162C4" w:rsidRDefault="00471C6D" w:rsidP="004B2960">
      <w:pPr>
        <w:pStyle w:val="Paragraph"/>
      </w:pPr>
      <w:r w:rsidRPr="00471C6D">
        <w:t xml:space="preserve">We invite comments on the issues set out in this paper, or any other issues relevant to the update of the </w:t>
      </w:r>
      <w:r w:rsidR="001B4B7D">
        <w:t>s</w:t>
      </w:r>
      <w:r w:rsidRPr="00471C6D">
        <w:t xml:space="preserve">pectrum </w:t>
      </w:r>
      <w:r w:rsidR="001B4B7D">
        <w:t>p</w:t>
      </w:r>
      <w:r w:rsidRPr="00471C6D">
        <w:t>lan.</w:t>
      </w:r>
    </w:p>
    <w:p w14:paraId="22841AB0" w14:textId="2C18866D" w:rsidR="005E250B" w:rsidRPr="00A17B1B" w:rsidRDefault="00471C6D" w:rsidP="005E250B">
      <w:pPr>
        <w:pStyle w:val="Heading1"/>
      </w:pPr>
      <w:bookmarkStart w:id="3" w:name="_Toc181864736"/>
      <w:r>
        <w:lastRenderedPageBreak/>
        <w:t>Introduction</w:t>
      </w:r>
      <w:bookmarkEnd w:id="3"/>
    </w:p>
    <w:p w14:paraId="1AF6D00B" w14:textId="7150879D" w:rsidR="00471C6D" w:rsidRDefault="00471C6D" w:rsidP="00471C6D">
      <w:pPr>
        <w:pStyle w:val="Paragraph"/>
      </w:pPr>
      <w:bookmarkStart w:id="4" w:name="_Hlk26868779"/>
      <w:bookmarkStart w:id="5" w:name="_Hlk26868934"/>
      <w:r>
        <w:t xml:space="preserve">The </w:t>
      </w:r>
      <w:r w:rsidR="001B4B7D">
        <w:t>s</w:t>
      </w:r>
      <w:r>
        <w:t xml:space="preserve">pectrum </w:t>
      </w:r>
      <w:r w:rsidR="001B4B7D">
        <w:t>p</w:t>
      </w:r>
      <w:r>
        <w:t>lan specifies the general purpose or purposes for which frequency bands may be used.</w:t>
      </w:r>
      <w:r>
        <w:rPr>
          <w:rStyle w:val="FootnoteReference"/>
        </w:rPr>
        <w:footnoteReference w:id="3"/>
      </w:r>
      <w:r>
        <w:t xml:space="preserve"> The </w:t>
      </w:r>
      <w:r w:rsidR="00B73FFB">
        <w:t xml:space="preserve">spectrum </w:t>
      </w:r>
      <w:r w:rsidR="001B4B7D">
        <w:t>p</w:t>
      </w:r>
      <w:r>
        <w:t xml:space="preserve">lan provides a framework within which a diversity of radiocommunications services </w:t>
      </w:r>
      <w:proofErr w:type="gramStart"/>
      <w:r>
        <w:t>are</w:t>
      </w:r>
      <w:proofErr w:type="gramEnd"/>
      <w:r>
        <w:t xml:space="preserve"> able to operate. </w:t>
      </w:r>
    </w:p>
    <w:p w14:paraId="0B468B70" w14:textId="44071362" w:rsidR="0012005A" w:rsidRDefault="0012005A" w:rsidP="0012005A">
      <w:pPr>
        <w:pStyle w:val="Paragraph"/>
      </w:pPr>
      <w:r>
        <w:t xml:space="preserve">The </w:t>
      </w:r>
      <w:r w:rsidR="001B4B7D">
        <w:t>s</w:t>
      </w:r>
      <w:r>
        <w:t xml:space="preserve">pectrum </w:t>
      </w:r>
      <w:r w:rsidR="001B4B7D">
        <w:t>p</w:t>
      </w:r>
      <w:r>
        <w:t>lan is a legislative instrument made under section 30 of the Act.</w:t>
      </w:r>
    </w:p>
    <w:p w14:paraId="0997FDB5" w14:textId="194B935F" w:rsidR="00471C6D" w:rsidRDefault="001B4B7D" w:rsidP="00471C6D">
      <w:pPr>
        <w:pStyle w:val="Paragraph"/>
      </w:pPr>
      <w:r>
        <w:t>We</w:t>
      </w:r>
      <w:r w:rsidR="0012005A" w:rsidRPr="0012005A">
        <w:t xml:space="preserve"> publish a version of the </w:t>
      </w:r>
      <w:r>
        <w:t>s</w:t>
      </w:r>
      <w:r w:rsidR="00471C6D">
        <w:t xml:space="preserve">pectrum </w:t>
      </w:r>
      <w:r>
        <w:t>p</w:t>
      </w:r>
      <w:r w:rsidR="00471C6D">
        <w:t>lan</w:t>
      </w:r>
      <w:r w:rsidR="0012005A">
        <w:t xml:space="preserve"> that</w:t>
      </w:r>
      <w:r w:rsidR="00471C6D">
        <w:t xml:space="preserve"> is divided into </w:t>
      </w:r>
      <w:r>
        <w:t>2</w:t>
      </w:r>
      <w:r w:rsidR="00471C6D">
        <w:t xml:space="preserve"> chapters. The first chapter </w:t>
      </w:r>
      <w:proofErr w:type="gramStart"/>
      <w:r w:rsidR="00471C6D">
        <w:t>provides an introduction to</w:t>
      </w:r>
      <w:proofErr w:type="gramEnd"/>
      <w:r w:rsidR="00471C6D">
        <w:t xml:space="preserve"> the </w:t>
      </w:r>
      <w:r w:rsidR="00B73FFB">
        <w:t xml:space="preserve">spectrum </w:t>
      </w:r>
      <w:r>
        <w:t>p</w:t>
      </w:r>
      <w:r w:rsidR="00471C6D">
        <w:t xml:space="preserve">lan, guidance on its use and information relevant to the international framework from which </w:t>
      </w:r>
      <w:r>
        <w:t>it</w:t>
      </w:r>
      <w:r w:rsidR="00471C6D">
        <w:t xml:space="preserve"> has been developed. This first chapter has been prepared to assist understanding of the </w:t>
      </w:r>
      <w:r>
        <w:t>s</w:t>
      </w:r>
      <w:r w:rsidR="00471C6D">
        <w:t xml:space="preserve">pectrum </w:t>
      </w:r>
      <w:r>
        <w:t>p</w:t>
      </w:r>
      <w:r w:rsidR="00471C6D">
        <w:t xml:space="preserve">lan and does not form part of the </w:t>
      </w:r>
      <w:r w:rsidR="00B73FFB">
        <w:t xml:space="preserve">spectrum </w:t>
      </w:r>
      <w:r>
        <w:t>p</w:t>
      </w:r>
      <w:r w:rsidR="00471C6D">
        <w:t xml:space="preserve">lan </w:t>
      </w:r>
      <w:r w:rsidR="0012005A">
        <w:t>registered</w:t>
      </w:r>
      <w:r w:rsidR="00471C6D">
        <w:t xml:space="preserve"> on the Federal Register of Legislation. The second chapter contains the </w:t>
      </w:r>
      <w:r w:rsidR="0012005A">
        <w:t>legislative</w:t>
      </w:r>
      <w:r w:rsidR="00471C6D">
        <w:t xml:space="preserve"> instrument, including the table of frequency allocations and associated footnotes. </w:t>
      </w:r>
    </w:p>
    <w:p w14:paraId="4B2A54CF" w14:textId="77777777" w:rsidR="00E3757E" w:rsidRDefault="00E3757E" w:rsidP="00E3757E">
      <w:pPr>
        <w:pStyle w:val="Paragraphbeforelist"/>
      </w:pPr>
      <w:r>
        <w:t>A spectrum plan must:</w:t>
      </w:r>
    </w:p>
    <w:p w14:paraId="3204770C" w14:textId="2BDFDD70" w:rsidR="00E3757E" w:rsidRDefault="00E3757E" w:rsidP="00E3757E">
      <w:pPr>
        <w:pStyle w:val="Bulletlevel1"/>
        <w:ind w:left="284" w:hanging="284"/>
      </w:pPr>
      <w:r>
        <w:t xml:space="preserve">divide the portion of the spectrum to be regulated into the number of frequency bands that </w:t>
      </w:r>
      <w:r w:rsidR="009850AD">
        <w:t>we</w:t>
      </w:r>
      <w:r>
        <w:t xml:space="preserve"> think necessary to effectively regulate that spectrum </w:t>
      </w:r>
    </w:p>
    <w:p w14:paraId="7057C5C6" w14:textId="063F51C5" w:rsidR="00E3757E" w:rsidRDefault="00E3757E" w:rsidP="00E3757E">
      <w:pPr>
        <w:pStyle w:val="Bulletlevel1"/>
        <w:ind w:left="284" w:hanging="284"/>
      </w:pPr>
      <w:r>
        <w:t>designate one or more bands to be used primarily for the general purposes of defence</w:t>
      </w:r>
    </w:p>
    <w:p w14:paraId="724B2288" w14:textId="047E454B" w:rsidR="00E3757E" w:rsidRDefault="00E3757E" w:rsidP="00A04AA9">
      <w:pPr>
        <w:pStyle w:val="Bulletlevel1"/>
        <w:ind w:left="284" w:hanging="284"/>
      </w:pPr>
      <w:r>
        <w:t>specify the general purpose or purposes for which each other band may be used.</w:t>
      </w:r>
      <w:r>
        <w:rPr>
          <w:rStyle w:val="FootnoteReference"/>
        </w:rPr>
        <w:footnoteReference w:id="4"/>
      </w:r>
      <w:r>
        <w:t xml:space="preserve"> </w:t>
      </w:r>
    </w:p>
    <w:p w14:paraId="4778A0EF" w14:textId="7D9D2244" w:rsidR="00E3757E" w:rsidRDefault="00E3757E" w:rsidP="00E3757E">
      <w:pPr>
        <w:pStyle w:val="Heading2"/>
      </w:pPr>
      <w:bookmarkStart w:id="6" w:name="_Toc181864737"/>
      <w:r>
        <w:t>International obligations</w:t>
      </w:r>
      <w:r w:rsidR="009850AD">
        <w:t xml:space="preserve"> – </w:t>
      </w:r>
      <w:r>
        <w:t>WRC-</w:t>
      </w:r>
      <w:r w:rsidR="009D56BA">
        <w:t>23</w:t>
      </w:r>
      <w:r>
        <w:t xml:space="preserve"> Final Acts</w:t>
      </w:r>
      <w:bookmarkEnd w:id="6"/>
      <w:r>
        <w:t xml:space="preserve"> </w:t>
      </w:r>
    </w:p>
    <w:p w14:paraId="79C2CF75" w14:textId="0820744B" w:rsidR="00E3757E" w:rsidRDefault="00E3757E" w:rsidP="00E3757E">
      <w:pPr>
        <w:pStyle w:val="Paragraph"/>
      </w:pPr>
      <w:r>
        <w:t xml:space="preserve">The </w:t>
      </w:r>
      <w:r w:rsidR="009850AD">
        <w:t>s</w:t>
      </w:r>
      <w:r>
        <w:t xml:space="preserve">pectrum </w:t>
      </w:r>
      <w:r w:rsidR="009850AD">
        <w:t>p</w:t>
      </w:r>
      <w:r>
        <w:t xml:space="preserve">lan is usually updated every </w:t>
      </w:r>
      <w:r w:rsidR="009850AD">
        <w:t>3</w:t>
      </w:r>
      <w:r>
        <w:t xml:space="preserve"> to </w:t>
      </w:r>
      <w:r w:rsidR="009850AD">
        <w:t>4</w:t>
      </w:r>
      <w:r>
        <w:t xml:space="preserve"> years, following each WRC. Australia is a member of</w:t>
      </w:r>
      <w:r w:rsidR="006C29B9">
        <w:t xml:space="preserve"> the</w:t>
      </w:r>
      <w:r>
        <w:t xml:space="preserve"> ITU and has ratified the Constitution and Convention of the ITU. Under the constitution, member states are bound to comply with the ITU’s Radio Regulations.</w:t>
      </w:r>
      <w:r>
        <w:rPr>
          <w:rStyle w:val="FootnoteReference"/>
        </w:rPr>
        <w:footnoteReference w:id="5"/>
      </w:r>
      <w:r>
        <w:t xml:space="preserve"> The WRC </w:t>
      </w:r>
      <w:r w:rsidR="009263D4">
        <w:t xml:space="preserve">makes </w:t>
      </w:r>
      <w:r>
        <w:t xml:space="preserve">decisions that change the ITU’s Radio Regulations. These changes are recorded in ‘Final Acts’ from the conference. Australia agreed in principle to these changes by signing the Final Acts of the </w:t>
      </w:r>
      <w:r w:rsidR="009850AD">
        <w:t>c</w:t>
      </w:r>
      <w:r>
        <w:t xml:space="preserve">onference. </w:t>
      </w:r>
    </w:p>
    <w:p w14:paraId="0579D5A4" w14:textId="4C37887C" w:rsidR="00E3757E" w:rsidRDefault="009850AD" w:rsidP="00E3757E">
      <w:pPr>
        <w:pStyle w:val="Paragraph"/>
      </w:pPr>
      <w:r>
        <w:t>We</w:t>
      </w:r>
      <w:r w:rsidR="00E3757E">
        <w:t xml:space="preserve"> propose to amend the </w:t>
      </w:r>
      <w:r>
        <w:t>s</w:t>
      </w:r>
      <w:r w:rsidR="00E3757E">
        <w:t xml:space="preserve">pectrum </w:t>
      </w:r>
      <w:r>
        <w:t>p</w:t>
      </w:r>
      <w:r w:rsidR="00E3757E">
        <w:t xml:space="preserve">lan to reflect changes to the ITU’s Radio Regulations made at the WRC held in Dubai, United Arab Emirates in late 2023. Australia participated in this international treaty-level negotiation, agreeing in principle to changes that are </w:t>
      </w:r>
      <w:r w:rsidR="0012005A">
        <w:t>proposed</w:t>
      </w:r>
      <w:r w:rsidR="005A70DA">
        <w:t xml:space="preserve"> to be reflected in the</w:t>
      </w:r>
      <w:r w:rsidR="00454844">
        <w:t xml:space="preserve"> </w:t>
      </w:r>
      <w:r>
        <w:t>s</w:t>
      </w:r>
      <w:r w:rsidR="00E3757E">
        <w:t xml:space="preserve">pectrum </w:t>
      </w:r>
      <w:r>
        <w:t>p</w:t>
      </w:r>
      <w:r w:rsidR="00E3757E">
        <w:t xml:space="preserve">lan in column 1 of the Table of Frequency Band Allocations (Part 2 of Chapter 2) and the international footnotes (Part 4 of Chapter 2). </w:t>
      </w:r>
    </w:p>
    <w:p w14:paraId="7EC94ED0" w14:textId="4E0D86A4" w:rsidR="00E3757E" w:rsidRDefault="00E3757E" w:rsidP="00E3757E">
      <w:pPr>
        <w:pStyle w:val="Paragraph"/>
      </w:pPr>
      <w:r>
        <w:t>Domestic approval of the treaty amendments is currently being sought</w:t>
      </w:r>
      <w:r w:rsidR="009850AD">
        <w:t xml:space="preserve"> – </w:t>
      </w:r>
      <w:r>
        <w:t>that process is</w:t>
      </w:r>
      <w:r w:rsidR="009850AD">
        <w:t xml:space="preserve"> </w:t>
      </w:r>
      <w:r>
        <w:t>being managed by the Department of Infrastructure, Transport, Regional Development</w:t>
      </w:r>
      <w:r w:rsidR="009D56BA">
        <w:t>,</w:t>
      </w:r>
      <w:r>
        <w:t xml:space="preserve"> </w:t>
      </w:r>
      <w:proofErr w:type="gramStart"/>
      <w:r>
        <w:t>Communications</w:t>
      </w:r>
      <w:proofErr w:type="gramEnd"/>
      <w:r w:rsidR="009D56BA">
        <w:t xml:space="preserve"> and the Arts</w:t>
      </w:r>
      <w:r>
        <w:t xml:space="preserve"> (DITRDC</w:t>
      </w:r>
      <w:r w:rsidR="009D56BA">
        <w:t>A</w:t>
      </w:r>
      <w:r>
        <w:t>). Subject to DITRDC</w:t>
      </w:r>
      <w:r w:rsidR="009D56BA">
        <w:t>A</w:t>
      </w:r>
      <w:r>
        <w:t xml:space="preserve">’s progress on this matter, the domestic process for consideration of the Final Acts may not occur by the end of 2024. </w:t>
      </w:r>
      <w:r w:rsidR="009850AD">
        <w:t>We are</w:t>
      </w:r>
      <w:r>
        <w:t xml:space="preserve"> working towards </w:t>
      </w:r>
      <w:r w:rsidR="0012005A">
        <w:t>amending</w:t>
      </w:r>
      <w:r>
        <w:t xml:space="preserve"> the </w:t>
      </w:r>
      <w:r w:rsidR="009850AD">
        <w:t>s</w:t>
      </w:r>
      <w:r>
        <w:t xml:space="preserve">pectrum </w:t>
      </w:r>
      <w:r w:rsidR="009850AD">
        <w:t>p</w:t>
      </w:r>
      <w:r>
        <w:t>lan to coincide with the Final Acts coming into force.</w:t>
      </w:r>
    </w:p>
    <w:p w14:paraId="41008A82" w14:textId="14D050BB" w:rsidR="004511C5" w:rsidRPr="00A17B1B" w:rsidRDefault="00471C6D" w:rsidP="00003D06">
      <w:pPr>
        <w:pStyle w:val="Paragraphbeforelist"/>
      </w:pPr>
      <w:r>
        <w:lastRenderedPageBreak/>
        <w:t xml:space="preserve">In addition to </w:t>
      </w:r>
      <w:r w:rsidR="009263D4">
        <w:t xml:space="preserve">incorporating </w:t>
      </w:r>
      <w:r w:rsidR="00454844">
        <w:t>the</w:t>
      </w:r>
      <w:r>
        <w:t xml:space="preserve"> updated international arrangements, the changes proposed to the </w:t>
      </w:r>
      <w:r w:rsidR="009850AD">
        <w:t>s</w:t>
      </w:r>
      <w:r>
        <w:t xml:space="preserve">pectrum </w:t>
      </w:r>
      <w:r w:rsidR="009850AD">
        <w:t>p</w:t>
      </w:r>
      <w:r>
        <w:t>lan</w:t>
      </w:r>
      <w:r w:rsidR="005A70DA">
        <w:t xml:space="preserve"> </w:t>
      </w:r>
      <w:r w:rsidR="00E3757E">
        <w:t xml:space="preserve">modify arrangements to permanently reflect decisions made under </w:t>
      </w:r>
      <w:r w:rsidR="006141C6">
        <w:t>s</w:t>
      </w:r>
      <w:r w:rsidR="0012005A">
        <w:t>ubs</w:t>
      </w:r>
      <w:r w:rsidR="00E3757E">
        <w:t xml:space="preserve">ection 10(10) of the </w:t>
      </w:r>
      <w:r w:rsidR="00B73FFB">
        <w:t xml:space="preserve">spectrum </w:t>
      </w:r>
      <w:r w:rsidR="009850AD">
        <w:t>p</w:t>
      </w:r>
      <w:r w:rsidR="00E3757E">
        <w:t xml:space="preserve">lan. </w:t>
      </w:r>
    </w:p>
    <w:p w14:paraId="7E063EB4" w14:textId="46EC7908" w:rsidR="000B4664" w:rsidRPr="00A17B1B" w:rsidRDefault="00E3757E" w:rsidP="000B4664">
      <w:pPr>
        <w:pStyle w:val="Heading1"/>
      </w:pPr>
      <w:bookmarkStart w:id="7" w:name="_Toc181864738"/>
      <w:bookmarkEnd w:id="4"/>
      <w:bookmarkEnd w:id="5"/>
      <w:r>
        <w:lastRenderedPageBreak/>
        <w:t xml:space="preserve">Changes to the </w:t>
      </w:r>
      <w:r w:rsidR="009850AD">
        <w:t>s</w:t>
      </w:r>
      <w:r>
        <w:t xml:space="preserve">pectrum </w:t>
      </w:r>
      <w:r w:rsidR="009850AD">
        <w:t>p</w:t>
      </w:r>
      <w:r>
        <w:t>lan</w:t>
      </w:r>
      <w:bookmarkEnd w:id="7"/>
      <w:r>
        <w:t xml:space="preserve"> </w:t>
      </w:r>
    </w:p>
    <w:p w14:paraId="28411E8D" w14:textId="35410B5E" w:rsidR="00454844" w:rsidRDefault="00454844" w:rsidP="00003D06">
      <w:pPr>
        <w:pStyle w:val="Paragraph"/>
      </w:pPr>
      <w:r>
        <w:t xml:space="preserve">This section details the changes we are proposing to make to the </w:t>
      </w:r>
      <w:r w:rsidR="009E7A02">
        <w:t>s</w:t>
      </w:r>
      <w:r>
        <w:t xml:space="preserve">pectrum </w:t>
      </w:r>
      <w:r w:rsidR="009E7A02">
        <w:t>p</w:t>
      </w:r>
      <w:r>
        <w:t xml:space="preserve">lan. These changes are planned to be enacted through a variation </w:t>
      </w:r>
      <w:r w:rsidR="0012005A">
        <w:t>instrument</w:t>
      </w:r>
      <w:r w:rsidR="009E7A02">
        <w:t xml:space="preserve">. This </w:t>
      </w:r>
      <w:r>
        <w:t xml:space="preserve">will vary the current version of the </w:t>
      </w:r>
      <w:r w:rsidR="009E7A02">
        <w:t>s</w:t>
      </w:r>
      <w:r>
        <w:t xml:space="preserve">pectrum </w:t>
      </w:r>
      <w:r w:rsidR="009E7A02">
        <w:t>p</w:t>
      </w:r>
      <w:r>
        <w:t>lan</w:t>
      </w:r>
      <w:r w:rsidR="009E7A02">
        <w:t>. T</w:t>
      </w:r>
      <w:r>
        <w:t xml:space="preserve">he </w:t>
      </w:r>
      <w:r w:rsidR="009E7A02">
        <w:t>D</w:t>
      </w:r>
      <w:r>
        <w:t xml:space="preserve">raft </w:t>
      </w:r>
      <w:r w:rsidR="0012005A" w:rsidRPr="00B73FFB">
        <w:t>Australian Radiofrequency Spectrum Plan Variation 2025 (No. 1)</w:t>
      </w:r>
      <w:r>
        <w:t xml:space="preserve"> </w:t>
      </w:r>
      <w:r w:rsidR="006F4F81">
        <w:t>is</w:t>
      </w:r>
      <w:r>
        <w:t xml:space="preserve"> available on the consultation page. For ease of reference, we have also prepared a marked-up version of the current </w:t>
      </w:r>
      <w:r w:rsidR="009E7A02">
        <w:t>s</w:t>
      </w:r>
      <w:r>
        <w:t xml:space="preserve">pectrum </w:t>
      </w:r>
      <w:r w:rsidR="009E7A02">
        <w:t>p</w:t>
      </w:r>
      <w:r>
        <w:t>lan</w:t>
      </w:r>
      <w:r w:rsidR="009E7A02">
        <w:t>,</w:t>
      </w:r>
      <w:r>
        <w:t xml:space="preserve"> which includes the proposed changes</w:t>
      </w:r>
      <w:r w:rsidR="006F4F81">
        <w:t>. T</w:t>
      </w:r>
      <w:r>
        <w:t xml:space="preserve">his is also available </w:t>
      </w:r>
      <w:r w:rsidR="009E7A02">
        <w:t>in the key documents box of the consultation landing page</w:t>
      </w:r>
      <w:r>
        <w:t>.</w:t>
      </w:r>
    </w:p>
    <w:p w14:paraId="50A088E2" w14:textId="45126824" w:rsidR="005E250B" w:rsidRPr="00A17B1B" w:rsidRDefault="00E3757E" w:rsidP="005E250B">
      <w:pPr>
        <w:pStyle w:val="Heading2"/>
      </w:pPr>
      <w:bookmarkStart w:id="8" w:name="_Toc181864739"/>
      <w:r>
        <w:t>Chapter 1</w:t>
      </w:r>
      <w:r w:rsidR="009E7A02">
        <w:t xml:space="preserve"> – </w:t>
      </w:r>
      <w:r w:rsidRPr="00E3757E">
        <w:t>General information</w:t>
      </w:r>
      <w:bookmarkEnd w:id="8"/>
    </w:p>
    <w:p w14:paraId="1F004361" w14:textId="1925FF94" w:rsidR="007A4CA5" w:rsidRDefault="009D56BA" w:rsidP="00003D06">
      <w:pPr>
        <w:pStyle w:val="Paragraphbeforelist"/>
      </w:pPr>
      <w:r>
        <w:t>The only proposed c</w:t>
      </w:r>
      <w:r w:rsidR="007A4CA5">
        <w:t>hange</w:t>
      </w:r>
      <w:r>
        <w:t>s</w:t>
      </w:r>
      <w:r w:rsidR="007A4CA5">
        <w:t xml:space="preserve"> to Chapter 1 </w:t>
      </w:r>
      <w:r w:rsidR="006F4F81">
        <w:t>are</w:t>
      </w:r>
      <w:r w:rsidR="007A4CA5">
        <w:t>:</w:t>
      </w:r>
    </w:p>
    <w:p w14:paraId="1F9B5B8D" w14:textId="4617EDC4" w:rsidR="00BD64AF" w:rsidRDefault="00BD64AF" w:rsidP="00003D06">
      <w:pPr>
        <w:pStyle w:val="Bulletlevel1"/>
        <w:ind w:left="284" w:hanging="284"/>
      </w:pPr>
      <w:r>
        <w:t>in</w:t>
      </w:r>
      <w:r w:rsidRPr="00BD64AF">
        <w:t xml:space="preserve"> </w:t>
      </w:r>
      <w:r>
        <w:t>section 14</w:t>
      </w:r>
      <w:r w:rsidR="00F23B39">
        <w:t>,</w:t>
      </w:r>
      <w:r>
        <w:t xml:space="preserve"> which details the use of the spectrum for radio astronomy</w:t>
      </w:r>
      <w:r w:rsidR="006C29B9">
        <w:t>, t</w:t>
      </w:r>
      <w:r w:rsidR="006F4F81">
        <w:t xml:space="preserve">he changes </w:t>
      </w:r>
      <w:r w:rsidR="009E7A02">
        <w:br/>
      </w:r>
      <w:r w:rsidR="006F4F81">
        <w:t>are to:</w:t>
      </w:r>
    </w:p>
    <w:p w14:paraId="6825AA31" w14:textId="5EA18D0A" w:rsidR="007A4CA5" w:rsidRDefault="006F4F81" w:rsidP="00003D06">
      <w:pPr>
        <w:pStyle w:val="Bulletlevel2"/>
        <w:ind w:left="568" w:hanging="284"/>
      </w:pPr>
      <w:r>
        <w:t>i</w:t>
      </w:r>
      <w:r w:rsidR="009D56BA">
        <w:t xml:space="preserve">nclude </w:t>
      </w:r>
      <w:r w:rsidR="00BD64AF">
        <w:t>reference to the Learmonth Solar Observatory operated by the Bureau of Meteorology</w:t>
      </w:r>
    </w:p>
    <w:p w14:paraId="6296F01A" w14:textId="4B41D98C" w:rsidR="00BD64AF" w:rsidRDefault="00BD64AF" w:rsidP="00003D06">
      <w:pPr>
        <w:pStyle w:val="Bulletlevel2"/>
        <w:ind w:left="568" w:hanging="284"/>
      </w:pPr>
      <w:r>
        <w:t xml:space="preserve">include the coordinates for the core of the Square Kilometre Array and for the Murchison Radioastronomy Observatory </w:t>
      </w:r>
      <w:r w:rsidR="007B1D30">
        <w:t>(</w:t>
      </w:r>
      <w:r>
        <w:t xml:space="preserve">as well as </w:t>
      </w:r>
      <w:r w:rsidR="00562ED0">
        <w:t>including</w:t>
      </w:r>
      <w:r w:rsidR="007B1D30">
        <w:t xml:space="preserve"> the site</w:t>
      </w:r>
      <w:r w:rsidR="006C29B9">
        <w:t>’</w:t>
      </w:r>
      <w:r w:rsidR="006F4F81">
        <w:t>s</w:t>
      </w:r>
      <w:r w:rsidR="007B1D30">
        <w:t xml:space="preserve"> </w:t>
      </w:r>
      <w:r w:rsidR="00562ED0">
        <w:t xml:space="preserve">new dual </w:t>
      </w:r>
      <w:r w:rsidR="007B1D30">
        <w:t xml:space="preserve">name </w:t>
      </w:r>
      <w:r w:rsidR="00562ED0">
        <w:t>of</w:t>
      </w:r>
      <w:r w:rsidR="007B1D30">
        <w:t xml:space="preserve"> </w:t>
      </w:r>
      <w:proofErr w:type="spellStart"/>
      <w:r w:rsidR="007B1D30" w:rsidRPr="00003D06">
        <w:t>Inyarrimanha</w:t>
      </w:r>
      <w:proofErr w:type="spellEnd"/>
      <w:r w:rsidR="007B1D30" w:rsidRPr="00003D06">
        <w:t xml:space="preserve"> </w:t>
      </w:r>
      <w:proofErr w:type="spellStart"/>
      <w:r w:rsidR="007B1D30" w:rsidRPr="00003D06">
        <w:t>Ilgari</w:t>
      </w:r>
      <w:proofErr w:type="spellEnd"/>
      <w:r w:rsidR="007B1D30" w:rsidRPr="00003D06">
        <w:t xml:space="preserve"> Bundara</w:t>
      </w:r>
      <w:r w:rsidR="007B1D30">
        <w:t>)</w:t>
      </w:r>
    </w:p>
    <w:p w14:paraId="07FEFE5C" w14:textId="55307772" w:rsidR="007A4CA5" w:rsidRDefault="00763F12" w:rsidP="006F4F81">
      <w:pPr>
        <w:pStyle w:val="Bulletlevel2"/>
        <w:ind w:left="568" w:hanging="284"/>
      </w:pPr>
      <w:r>
        <w:t>c</w:t>
      </w:r>
      <w:r w:rsidR="00BD64AF">
        <w:t xml:space="preserve">orrect the coordinates for the Murchison </w:t>
      </w:r>
      <w:r w:rsidR="007B1D30">
        <w:t>Widefield Array</w:t>
      </w:r>
    </w:p>
    <w:p w14:paraId="302200A7" w14:textId="3301AE3B" w:rsidR="006F4F81" w:rsidRDefault="006C29B9" w:rsidP="00B73FFB">
      <w:pPr>
        <w:pStyle w:val="Bulletlevel1"/>
        <w:spacing w:after="240"/>
        <w:ind w:left="284" w:hanging="284"/>
      </w:pPr>
      <w:r>
        <w:t xml:space="preserve">several </w:t>
      </w:r>
      <w:r w:rsidR="007B1D30">
        <w:t>minor editorial changes.</w:t>
      </w:r>
    </w:p>
    <w:p w14:paraId="42ADADC9" w14:textId="77777777" w:rsidR="00A655CD" w:rsidRPr="0089775B" w:rsidRDefault="00A655CD" w:rsidP="0089775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b/>
          <w:bCs/>
        </w:rPr>
      </w:pPr>
      <w:r w:rsidRPr="0089775B">
        <w:rPr>
          <w:b/>
          <w:bCs/>
        </w:rPr>
        <w:t>Question 1</w:t>
      </w:r>
    </w:p>
    <w:p w14:paraId="1BF0D41C" w14:textId="011F5ED2" w:rsidR="00A655CD" w:rsidRPr="00E162C4" w:rsidRDefault="00A655CD" w:rsidP="00A655CD">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655CD">
        <w:t>The ACMA seeks comment from interested parties on Chapter 1</w:t>
      </w:r>
      <w:r w:rsidR="009E7A02">
        <w:t xml:space="preserve"> – </w:t>
      </w:r>
      <w:r w:rsidRPr="00A655CD">
        <w:t>General information</w:t>
      </w:r>
      <w:r w:rsidRPr="00E162C4">
        <w:t>.</w:t>
      </w:r>
    </w:p>
    <w:p w14:paraId="757BC05F" w14:textId="0E966D56" w:rsidR="00E3757E" w:rsidRPr="00A17B1B" w:rsidRDefault="00E3757E" w:rsidP="00E3757E">
      <w:pPr>
        <w:pStyle w:val="Heading2"/>
      </w:pPr>
      <w:bookmarkStart w:id="9" w:name="_Toc181864740"/>
      <w:r>
        <w:t>Chapter 2</w:t>
      </w:r>
      <w:r w:rsidR="009E7A02">
        <w:t xml:space="preserve"> – </w:t>
      </w:r>
      <w:r>
        <w:t>Part 1: Introductory</w:t>
      </w:r>
      <w:bookmarkEnd w:id="9"/>
    </w:p>
    <w:p w14:paraId="1CFB88D5" w14:textId="5C365CA0" w:rsidR="0068369A" w:rsidRPr="00867203" w:rsidRDefault="00AE78D3" w:rsidP="00B73FFB">
      <w:pPr>
        <w:pStyle w:val="Paragraph"/>
      </w:pPr>
      <w:r>
        <w:t>The changes proposed for Chapter 2</w:t>
      </w:r>
      <w:r w:rsidR="009E7A02">
        <w:t xml:space="preserve"> – </w:t>
      </w:r>
      <w:r>
        <w:t xml:space="preserve">Part 1: Introductory </w:t>
      </w:r>
      <w:r w:rsidR="00867203">
        <w:t>include</w:t>
      </w:r>
      <w:r w:rsidR="0068369A">
        <w:t xml:space="preserve"> a new provision </w:t>
      </w:r>
      <w:r w:rsidR="0009389C">
        <w:t xml:space="preserve">in </w:t>
      </w:r>
      <w:r w:rsidR="009E7A02">
        <w:br/>
      </w:r>
      <w:r w:rsidR="000F1B3A">
        <w:t>s</w:t>
      </w:r>
      <w:r w:rsidR="0009389C">
        <w:t xml:space="preserve">ection 10 which applies to the use of frequency bands that are </w:t>
      </w:r>
      <w:r w:rsidR="009E7A02">
        <w:t>‘</w:t>
      </w:r>
      <w:r w:rsidR="0009389C">
        <w:t>not allocated</w:t>
      </w:r>
      <w:r w:rsidR="009E7A02">
        <w:t>’</w:t>
      </w:r>
      <w:r w:rsidR="00F23B39">
        <w:t xml:space="preserve"> (i.e.</w:t>
      </w:r>
      <w:r w:rsidR="009E7A02">
        <w:t>,</w:t>
      </w:r>
      <w:r w:rsidR="00F23B39">
        <w:t xml:space="preserve"> </w:t>
      </w:r>
      <w:r w:rsidR="00F23B39" w:rsidRPr="0009389C">
        <w:t>frequenc</w:t>
      </w:r>
      <w:r w:rsidR="00F23B39">
        <w:t>ies below 8.3 kHz and in the</w:t>
      </w:r>
      <w:r w:rsidR="00F23B39" w:rsidRPr="0009389C">
        <w:t xml:space="preserve"> range 275</w:t>
      </w:r>
      <w:r w:rsidR="009E7A02">
        <w:t>–</w:t>
      </w:r>
      <w:r w:rsidR="00F23B39" w:rsidRPr="0009389C">
        <w:t>420,000 GHz</w:t>
      </w:r>
      <w:r w:rsidR="00F23B39">
        <w:t>)</w:t>
      </w:r>
      <w:r w:rsidR="0009389C">
        <w:t xml:space="preserve">. </w:t>
      </w:r>
      <w:r w:rsidR="0068369A">
        <w:t xml:space="preserve">This will enable a </w:t>
      </w:r>
      <w:r w:rsidR="0068369A" w:rsidRPr="00CD10A5">
        <w:t xml:space="preserve">permanent </w:t>
      </w:r>
      <w:r w:rsidR="0068369A">
        <w:t xml:space="preserve">solution for access to </w:t>
      </w:r>
      <w:r w:rsidR="00F23B39">
        <w:t xml:space="preserve">these </w:t>
      </w:r>
      <w:r w:rsidR="0009389C" w:rsidRPr="0009389C">
        <w:t>frequenc</w:t>
      </w:r>
      <w:r w:rsidR="00F23B39">
        <w:t xml:space="preserve">y </w:t>
      </w:r>
      <w:r w:rsidR="0009389C" w:rsidRPr="0009389C">
        <w:t>range</w:t>
      </w:r>
      <w:r w:rsidR="00F23B39">
        <w:t>s</w:t>
      </w:r>
      <w:r w:rsidR="0009389C" w:rsidRPr="0009389C">
        <w:t xml:space="preserve"> </w:t>
      </w:r>
      <w:r w:rsidR="0068369A">
        <w:t>in lieu of case-by-</w:t>
      </w:r>
      <w:r w:rsidR="0068369A" w:rsidRPr="00867203">
        <w:t xml:space="preserve">case access using a decision under section 10(10) of the </w:t>
      </w:r>
      <w:r w:rsidR="009E7A02">
        <w:t>s</w:t>
      </w:r>
      <w:r w:rsidR="0068369A" w:rsidRPr="00867203">
        <w:t xml:space="preserve">pectrum </w:t>
      </w:r>
      <w:r w:rsidR="009E7A02">
        <w:t>p</w:t>
      </w:r>
      <w:r w:rsidR="0068369A" w:rsidRPr="00867203">
        <w:t>lan.</w:t>
      </w:r>
    </w:p>
    <w:p w14:paraId="1C98A48E" w14:textId="7C782E7E" w:rsidR="006C29B9" w:rsidRPr="00867203" w:rsidRDefault="00174FEF" w:rsidP="00B73FFB">
      <w:pPr>
        <w:pStyle w:val="Paragraph"/>
      </w:pPr>
      <w:r w:rsidRPr="00174FEF">
        <w:t>We have also identified that subsections 13(3) to 13(6) of the</w:t>
      </w:r>
      <w:r w:rsidR="00F437D6">
        <w:t xml:space="preserve"> s</w:t>
      </w:r>
      <w:r w:rsidRPr="00174FEF">
        <w:t xml:space="preserve">pectrum </w:t>
      </w:r>
      <w:r w:rsidR="00F437D6">
        <w:t>p</w:t>
      </w:r>
      <w:r w:rsidRPr="00174FEF">
        <w:t xml:space="preserve">lan, as currently framed, may inadvertently limit the additional arrangements that can be implemented by an Australian or International footnote. </w:t>
      </w:r>
      <w:r w:rsidR="00CB513C" w:rsidRPr="00867203">
        <w:t xml:space="preserve">That is, </w:t>
      </w:r>
      <w:r w:rsidR="00301BAB" w:rsidRPr="00867203">
        <w:t xml:space="preserve">that </w:t>
      </w:r>
      <w:r w:rsidR="00CB513C" w:rsidRPr="00867203">
        <w:t xml:space="preserve">a footnote can only </w:t>
      </w:r>
      <w:r w:rsidR="00301BAB" w:rsidRPr="00867203">
        <w:t xml:space="preserve">be used to </w:t>
      </w:r>
      <w:r w:rsidR="00CB513C" w:rsidRPr="00867203">
        <w:t>place a ‘condition or restriction’ on a service or frequency band</w:t>
      </w:r>
      <w:r w:rsidR="00F23B39" w:rsidRPr="00867203">
        <w:t>.</w:t>
      </w:r>
      <w:r w:rsidR="00CB513C" w:rsidRPr="00867203">
        <w:t xml:space="preserve"> </w:t>
      </w:r>
      <w:r w:rsidR="00F23B39" w:rsidRPr="00867203">
        <w:t xml:space="preserve">This may mean that a footnote </w:t>
      </w:r>
      <w:r w:rsidR="00867203">
        <w:t>does not</w:t>
      </w:r>
      <w:r w:rsidR="00F23B39" w:rsidRPr="00867203">
        <w:t xml:space="preserve"> provide </w:t>
      </w:r>
      <w:r w:rsidR="00CB513C" w:rsidRPr="00867203">
        <w:t xml:space="preserve">an additional or alternate </w:t>
      </w:r>
      <w:r w:rsidR="00846984" w:rsidRPr="00867203">
        <w:t xml:space="preserve">service </w:t>
      </w:r>
      <w:r w:rsidR="00CB513C" w:rsidRPr="00867203">
        <w:t>allocation</w:t>
      </w:r>
      <w:r w:rsidR="00F23B39" w:rsidRPr="00867203">
        <w:t xml:space="preserve"> to a particular frequency</w:t>
      </w:r>
      <w:r w:rsidR="00301BAB" w:rsidRPr="00867203">
        <w:t xml:space="preserve"> </w:t>
      </w:r>
      <w:r w:rsidR="00867203">
        <w:t>band, or part of a frequency band.</w:t>
      </w:r>
    </w:p>
    <w:p w14:paraId="39918730" w14:textId="62AC70D1" w:rsidR="00CB513C" w:rsidRPr="00867203" w:rsidRDefault="00CB513C" w:rsidP="00B73FFB">
      <w:pPr>
        <w:pStyle w:val="Paragraph"/>
      </w:pPr>
      <w:r w:rsidRPr="00867203">
        <w:t xml:space="preserve">We are of the view that this limitation is not consistent with how footnotes are intended to be used in the </w:t>
      </w:r>
      <w:r w:rsidR="00F437D6">
        <w:t>s</w:t>
      </w:r>
      <w:r w:rsidRPr="00867203">
        <w:t xml:space="preserve">pectrum </w:t>
      </w:r>
      <w:r w:rsidR="00F437D6">
        <w:t>p</w:t>
      </w:r>
      <w:r w:rsidRPr="00867203">
        <w:t>lan</w:t>
      </w:r>
      <w:r w:rsidR="00E92BBF" w:rsidRPr="00867203">
        <w:t>, or indeed in the Radio Regulations</w:t>
      </w:r>
      <w:r w:rsidR="00F437D6">
        <w:t>,</w:t>
      </w:r>
      <w:r w:rsidR="00E92BBF" w:rsidRPr="00867203">
        <w:t xml:space="preserve"> where allocation by footnote is well</w:t>
      </w:r>
      <w:r w:rsidR="00F437D6">
        <w:t xml:space="preserve"> </w:t>
      </w:r>
      <w:r w:rsidR="00E92BBF" w:rsidRPr="00867203">
        <w:t>established</w:t>
      </w:r>
      <w:r w:rsidRPr="00867203">
        <w:t xml:space="preserve">. As such, we propose to vary section 13 </w:t>
      </w:r>
      <w:r w:rsidR="00F23B39" w:rsidRPr="00867203">
        <w:t>t</w:t>
      </w:r>
      <w:r w:rsidR="00D07B1C" w:rsidRPr="00867203">
        <w:t>o expand the scope of how footnote</w:t>
      </w:r>
      <w:r w:rsidR="00301BAB" w:rsidRPr="00867203">
        <w:t>s</w:t>
      </w:r>
      <w:r w:rsidR="00D07B1C" w:rsidRPr="00867203">
        <w:t xml:space="preserve"> can be used to descri</w:t>
      </w:r>
      <w:r w:rsidR="00F23B39" w:rsidRPr="00867203">
        <w:t>be</w:t>
      </w:r>
      <w:r w:rsidR="00D07B1C" w:rsidRPr="00867203">
        <w:t xml:space="preserve"> the use of the spectrum</w:t>
      </w:r>
      <w:proofErr w:type="gramStart"/>
      <w:r w:rsidR="00301BAB" w:rsidRPr="00867203">
        <w:t>, i</w:t>
      </w:r>
      <w:r w:rsidR="00D07B1C" w:rsidRPr="00867203">
        <w:t>n particular, to</w:t>
      </w:r>
      <w:proofErr w:type="gramEnd"/>
      <w:r w:rsidR="00D07B1C" w:rsidRPr="00867203">
        <w:t xml:space="preserve"> enable footnotes to specify an additional or alternate service allocation.</w:t>
      </w:r>
    </w:p>
    <w:p w14:paraId="3A2A203F" w14:textId="4C640390" w:rsidR="005D7747" w:rsidRPr="00A17B1B" w:rsidRDefault="005D7747" w:rsidP="005D7747">
      <w:pPr>
        <w:pStyle w:val="Heading2"/>
      </w:pPr>
      <w:bookmarkStart w:id="10" w:name="_Toc181864741"/>
      <w:r>
        <w:lastRenderedPageBreak/>
        <w:t>Chapter 2</w:t>
      </w:r>
      <w:r w:rsidR="00F437D6">
        <w:t xml:space="preserve"> – </w:t>
      </w:r>
      <w:r>
        <w:t xml:space="preserve">Part 2: </w:t>
      </w:r>
      <w:r w:rsidRPr="005D7747">
        <w:t>Table of frequency band allocations</w:t>
      </w:r>
      <w:bookmarkEnd w:id="10"/>
    </w:p>
    <w:p w14:paraId="6216D69A" w14:textId="41618747" w:rsidR="005D7747" w:rsidRPr="00A17B1B" w:rsidRDefault="005D7747" w:rsidP="005D7747">
      <w:pPr>
        <w:pStyle w:val="Heading3"/>
      </w:pPr>
      <w:bookmarkStart w:id="11" w:name="_Toc181864742"/>
      <w:r>
        <w:t>Column 1: ITU Radio Regulations table of allocations</w:t>
      </w:r>
      <w:bookmarkEnd w:id="11"/>
    </w:p>
    <w:p w14:paraId="2133C2DD" w14:textId="4F80E12F" w:rsidR="005D7747" w:rsidRPr="00A17B1B" w:rsidRDefault="00D6468E" w:rsidP="005D7747">
      <w:pPr>
        <w:pStyle w:val="Paragraph"/>
      </w:pPr>
      <w:r w:rsidRPr="00D6468E">
        <w:t>These changes, agreed to in principle by Australia at WRC-</w:t>
      </w:r>
      <w:r>
        <w:t>23</w:t>
      </w:r>
      <w:r w:rsidRPr="00D6468E">
        <w:t xml:space="preserve"> in </w:t>
      </w:r>
      <w:r>
        <w:t xml:space="preserve">December </w:t>
      </w:r>
      <w:r w:rsidRPr="00D6468E">
        <w:t>20</w:t>
      </w:r>
      <w:r>
        <w:t>23</w:t>
      </w:r>
      <w:r w:rsidRPr="00D6468E">
        <w:t>, are now subject to consideration by Parliament as well as the Joint Standing Committee on Treaties (JSCOT) and the Federal Executive Council. Stakeholder consideration of the various issues reflected in the changes occurred prior to WRC-</w:t>
      </w:r>
      <w:r>
        <w:t>23</w:t>
      </w:r>
      <w:r w:rsidRPr="00D6468E">
        <w:t>, as part of developing Australian positions on WRC-</w:t>
      </w:r>
      <w:r w:rsidR="00AE78D3">
        <w:t>23</w:t>
      </w:r>
      <w:r w:rsidR="00AE78D3" w:rsidRPr="00D6468E">
        <w:t xml:space="preserve"> </w:t>
      </w:r>
      <w:r w:rsidR="00B039C6">
        <w:t>a</w:t>
      </w:r>
      <w:r w:rsidRPr="00D6468E">
        <w:t xml:space="preserve">genda items. </w:t>
      </w:r>
      <w:r w:rsidR="00867203" w:rsidRPr="00867203">
        <w:t xml:space="preserve">As explained by the note to section 4 of the </w:t>
      </w:r>
      <w:r w:rsidR="00B039C6">
        <w:t>s</w:t>
      </w:r>
      <w:r w:rsidR="00867203" w:rsidRPr="00867203">
        <w:t xml:space="preserve">pectrum </w:t>
      </w:r>
      <w:r w:rsidR="00B039C6">
        <w:t>p</w:t>
      </w:r>
      <w:r w:rsidR="00867203" w:rsidRPr="00867203">
        <w:t xml:space="preserve">lan, Column 1 is only included in the </w:t>
      </w:r>
      <w:r w:rsidR="00B73FFB">
        <w:t xml:space="preserve">spectrum </w:t>
      </w:r>
      <w:r w:rsidR="00B039C6">
        <w:t>p</w:t>
      </w:r>
      <w:r w:rsidR="00867203" w:rsidRPr="00867203">
        <w:t>lan to allow for comparison with the Australian table of allocations.</w:t>
      </w:r>
    </w:p>
    <w:p w14:paraId="59C767DC" w14:textId="6971A531" w:rsidR="005D7747" w:rsidRPr="00A17B1B" w:rsidRDefault="005D7747" w:rsidP="005D7747">
      <w:pPr>
        <w:pStyle w:val="Heading3"/>
      </w:pPr>
      <w:bookmarkStart w:id="12" w:name="_Toc181864743"/>
      <w:r>
        <w:t>Column 2: Australian table of allocations</w:t>
      </w:r>
      <w:bookmarkEnd w:id="12"/>
    </w:p>
    <w:p w14:paraId="675E9C18" w14:textId="2B342922" w:rsidR="00D6468E" w:rsidRDefault="005504DB" w:rsidP="00D6468E">
      <w:pPr>
        <w:pStyle w:val="Paragraphbeforelist"/>
      </w:pPr>
      <w:r w:rsidRPr="005504DB">
        <w:t xml:space="preserve">The Australian allocations are listed in Column 2 of the Table of Frequency Band Allocations in the </w:t>
      </w:r>
      <w:r w:rsidR="00B039C6">
        <w:t>s</w:t>
      </w:r>
      <w:r w:rsidRPr="005504DB">
        <w:t xml:space="preserve">pectrum </w:t>
      </w:r>
      <w:r w:rsidR="00B039C6">
        <w:t>p</w:t>
      </w:r>
      <w:r w:rsidRPr="005504DB">
        <w:t>lan</w:t>
      </w:r>
      <w:r w:rsidR="00B039C6">
        <w:t xml:space="preserve">. They </w:t>
      </w:r>
      <w:r w:rsidRPr="005504DB">
        <w:t>include Australian footnotes (denoted as AUS)</w:t>
      </w:r>
      <w:r w:rsidR="00CA0FCF">
        <w:t>,</w:t>
      </w:r>
      <w:r w:rsidRPr="005504DB">
        <w:t xml:space="preserve"> along with </w:t>
      </w:r>
      <w:r w:rsidR="0009389C">
        <w:t xml:space="preserve">international </w:t>
      </w:r>
      <w:r w:rsidRPr="005504DB">
        <w:t>footnotes relevant to Australia.</w:t>
      </w:r>
      <w:r>
        <w:t xml:space="preserve"> </w:t>
      </w:r>
      <w:r w:rsidRPr="005504DB">
        <w:t>The</w:t>
      </w:r>
      <w:r w:rsidR="00A67C65">
        <w:t xml:space="preserve"> proposed</w:t>
      </w:r>
      <w:r w:rsidRPr="005504DB">
        <w:t xml:space="preserve"> changes reflect the changes to the Radio Regulations outlined in the Final Acts of WRC-23</w:t>
      </w:r>
      <w:r w:rsidR="00B039C6">
        <w:t>,</w:t>
      </w:r>
      <w:r w:rsidRPr="005504DB">
        <w:t xml:space="preserve"> as well as new Australian footnotes discussed </w:t>
      </w:r>
      <w:r w:rsidR="0009389C">
        <w:t>below</w:t>
      </w:r>
      <w:r w:rsidRPr="005504DB">
        <w:t>.</w:t>
      </w:r>
      <w:r w:rsidR="00D6468E" w:rsidRPr="00D6468E">
        <w:t xml:space="preserve"> The</w:t>
      </w:r>
      <w:r w:rsidR="0009389C">
        <w:t xml:space="preserve"> changes</w:t>
      </w:r>
      <w:r w:rsidR="00D6468E" w:rsidRPr="00D6468E">
        <w:t xml:space="preserve"> include:</w:t>
      </w:r>
    </w:p>
    <w:p w14:paraId="35730079" w14:textId="22F1CA3F" w:rsidR="004E6436" w:rsidRDefault="00B039C6" w:rsidP="00003D06">
      <w:pPr>
        <w:pStyle w:val="Bulletlevel1"/>
        <w:ind w:left="284" w:hanging="284"/>
      </w:pPr>
      <w:r>
        <w:t>A</w:t>
      </w:r>
      <w:r w:rsidR="0009389C">
        <w:t xml:space="preserve"> n</w:t>
      </w:r>
      <w:r w:rsidR="004E6436">
        <w:t>ew secondary allocation to</w:t>
      </w:r>
      <w:r w:rsidR="006956F3">
        <w:t xml:space="preserve"> the</w:t>
      </w:r>
      <w:r w:rsidR="004E6436">
        <w:t xml:space="preserve"> earth exploration-satellite (active) service in the </w:t>
      </w:r>
      <w:r w:rsidR="0009389C">
        <w:t xml:space="preserve">frequency band </w:t>
      </w:r>
      <w:r w:rsidR="004E6436">
        <w:t>40</w:t>
      </w:r>
      <w:r>
        <w:t>–</w:t>
      </w:r>
      <w:r w:rsidR="004E6436">
        <w:t>50</w:t>
      </w:r>
      <w:r w:rsidR="0009389C">
        <w:t> </w:t>
      </w:r>
      <w:r w:rsidR="004E6436">
        <w:t>MHz limited to use by spaceborne radar sounders under footnote 159A (</w:t>
      </w:r>
      <w:r w:rsidR="00A67C65">
        <w:t xml:space="preserve">as an outcome of WRC-23 </w:t>
      </w:r>
      <w:r w:rsidR="004E6436">
        <w:t xml:space="preserve">agenda item </w:t>
      </w:r>
      <w:r w:rsidR="00D27CD3">
        <w:t>1.12</w:t>
      </w:r>
      <w:r w:rsidR="004E6436">
        <w:t>)</w:t>
      </w:r>
      <w:r>
        <w:t>.</w:t>
      </w:r>
    </w:p>
    <w:p w14:paraId="6D05636D" w14:textId="2F5C4405" w:rsidR="00AB7657" w:rsidRDefault="00B039C6" w:rsidP="00003D06">
      <w:pPr>
        <w:pStyle w:val="Bulletlevel1"/>
        <w:ind w:left="284" w:hanging="284"/>
      </w:pPr>
      <w:r>
        <w:t>A</w:t>
      </w:r>
      <w:r w:rsidR="00625DBC">
        <w:t xml:space="preserve"> new allocation for the aeronautical mobile-satellite (route) services in</w:t>
      </w:r>
      <w:r w:rsidR="0009389C">
        <w:t xml:space="preserve"> the frequency band</w:t>
      </w:r>
      <w:r w:rsidR="00625DBC">
        <w:t xml:space="preserve"> 117.975</w:t>
      </w:r>
      <w:r>
        <w:t>–</w:t>
      </w:r>
      <w:r w:rsidR="00625DBC">
        <w:t>137 MHz (</w:t>
      </w:r>
      <w:r w:rsidR="00A67C65">
        <w:t xml:space="preserve">as an outcome of WRC-23 </w:t>
      </w:r>
      <w:r w:rsidR="00625DBC">
        <w:t>agenda item 1.7)</w:t>
      </w:r>
      <w:r>
        <w:t>.</w:t>
      </w:r>
    </w:p>
    <w:p w14:paraId="7D072FE9" w14:textId="0D6D1AE7" w:rsidR="00625DBC" w:rsidRDefault="00B039C6" w:rsidP="00003D06">
      <w:pPr>
        <w:pStyle w:val="Bulletlevel1"/>
        <w:ind w:left="284" w:hanging="284"/>
      </w:pPr>
      <w:r>
        <w:t>I</w:t>
      </w:r>
      <w:r w:rsidR="0006164A">
        <w:t xml:space="preserve">dentification </w:t>
      </w:r>
      <w:r w:rsidR="0009389C">
        <w:t xml:space="preserve">of </w:t>
      </w:r>
      <w:r w:rsidR="0057447A">
        <w:t xml:space="preserve">the </w:t>
      </w:r>
      <w:r w:rsidR="0009389C">
        <w:t xml:space="preserve">frequency </w:t>
      </w:r>
      <w:r w:rsidR="00834303">
        <w:t>band</w:t>
      </w:r>
      <w:r w:rsidR="0057447A">
        <w:t>s</w:t>
      </w:r>
      <w:r w:rsidR="00834303">
        <w:t xml:space="preserve"> 698</w:t>
      </w:r>
      <w:r>
        <w:t>–</w:t>
      </w:r>
      <w:r w:rsidR="00834303">
        <w:t>960 MHz</w:t>
      </w:r>
      <w:r w:rsidR="00867203">
        <w:t xml:space="preserve"> and</w:t>
      </w:r>
      <w:r w:rsidR="0057447A">
        <w:t xml:space="preserve"> 2500</w:t>
      </w:r>
      <w:r>
        <w:t>–</w:t>
      </w:r>
      <w:r w:rsidR="0057447A">
        <w:t xml:space="preserve">2655 MHz </w:t>
      </w:r>
      <w:r w:rsidR="00834303">
        <w:t>for use by high-altitude platform station as International Mobile Telecommunications (IMT) base stations via international footnote</w:t>
      </w:r>
      <w:r w:rsidR="0057447A">
        <w:t>s</w:t>
      </w:r>
      <w:r w:rsidR="00834303">
        <w:t xml:space="preserve"> 314A</w:t>
      </w:r>
      <w:r w:rsidR="0057447A">
        <w:t xml:space="preserve"> and 409A</w:t>
      </w:r>
      <w:r w:rsidR="00834303">
        <w:t xml:space="preserve"> (</w:t>
      </w:r>
      <w:r w:rsidR="00A67C65">
        <w:t xml:space="preserve">as an outcome of WRC-23 </w:t>
      </w:r>
      <w:r w:rsidR="00834303">
        <w:t>agenda item 1.4)</w:t>
      </w:r>
      <w:r>
        <w:t>.</w:t>
      </w:r>
    </w:p>
    <w:p w14:paraId="53940BC7" w14:textId="635328E0" w:rsidR="00FC5381" w:rsidRDefault="00B039C6" w:rsidP="00003D06">
      <w:pPr>
        <w:pStyle w:val="Bulletlevel1"/>
        <w:ind w:left="284" w:hanging="284"/>
      </w:pPr>
      <w:r>
        <w:t>I</w:t>
      </w:r>
      <w:r w:rsidR="00FC5381">
        <w:t>ntroduction of coexistence arrangements for the secondary amateur service and the radionavigation-satellite service via international footnote 332A (</w:t>
      </w:r>
      <w:r w:rsidR="00A67C65">
        <w:t xml:space="preserve">as an outcome of WRC-23 </w:t>
      </w:r>
      <w:r w:rsidR="0014291E">
        <w:t>issue 9.1b</w:t>
      </w:r>
      <w:r w:rsidR="00FC5381">
        <w:t>)</w:t>
      </w:r>
      <w:r>
        <w:t>.</w:t>
      </w:r>
    </w:p>
    <w:p w14:paraId="224B3FFE" w14:textId="56784012" w:rsidR="00867203" w:rsidRDefault="00B039C6" w:rsidP="00867203">
      <w:pPr>
        <w:pStyle w:val="Bulletlevel1"/>
        <w:ind w:left="284" w:hanging="284"/>
      </w:pPr>
      <w:r>
        <w:t>N</w:t>
      </w:r>
      <w:r w:rsidR="00F51AA4">
        <w:t xml:space="preserve">ew </w:t>
      </w:r>
      <w:r w:rsidR="00E9410F">
        <w:t>arrangements</w:t>
      </w:r>
      <w:r w:rsidR="00F51AA4">
        <w:t xml:space="preserve"> relating to the use of the maritime mobile-satellite service component of the </w:t>
      </w:r>
      <w:r w:rsidR="00867203">
        <w:t>G</w:t>
      </w:r>
      <w:r w:rsidR="00F51AA4">
        <w:t xml:space="preserve">lobal </w:t>
      </w:r>
      <w:r w:rsidR="00867203">
        <w:t>M</w:t>
      </w:r>
      <w:r w:rsidR="00F51AA4">
        <w:t xml:space="preserve">aritime </w:t>
      </w:r>
      <w:r w:rsidR="00867203">
        <w:t>D</w:t>
      </w:r>
      <w:r w:rsidR="00F51AA4">
        <w:t xml:space="preserve">istress and </w:t>
      </w:r>
      <w:r w:rsidR="00867203">
        <w:t>S</w:t>
      </w:r>
      <w:r w:rsidR="00F51AA4">
        <w:t xml:space="preserve">afety </w:t>
      </w:r>
      <w:r w:rsidR="00867203">
        <w:t>S</w:t>
      </w:r>
      <w:r w:rsidR="00F51AA4">
        <w:t>ystem</w:t>
      </w:r>
      <w:r w:rsidR="00867203">
        <w:t xml:space="preserve"> (GMDSS)</w:t>
      </w:r>
      <w:r w:rsidR="002A66D6">
        <w:t>,</w:t>
      </w:r>
      <w:r w:rsidR="00F51AA4">
        <w:t xml:space="preserve"> via international footnote</w:t>
      </w:r>
      <w:r w:rsidR="00E9410F">
        <w:t>s</w:t>
      </w:r>
      <w:r w:rsidR="00F51AA4">
        <w:t xml:space="preserve"> </w:t>
      </w:r>
      <w:r w:rsidR="00E9410F">
        <w:t xml:space="preserve">368 and </w:t>
      </w:r>
      <w:r w:rsidR="00F51AA4">
        <w:t>372A</w:t>
      </w:r>
      <w:r w:rsidR="00E9410F">
        <w:t xml:space="preserve">, in the following </w:t>
      </w:r>
      <w:r w:rsidR="0009389C">
        <w:t xml:space="preserve">frequency </w:t>
      </w:r>
      <w:r w:rsidR="00E9410F">
        <w:t>bands</w:t>
      </w:r>
      <w:r w:rsidR="00F51AA4">
        <w:t xml:space="preserve"> (</w:t>
      </w:r>
      <w:r w:rsidR="00A67C65">
        <w:t xml:space="preserve">as an outcome of WRC-23 </w:t>
      </w:r>
      <w:r w:rsidR="00F51AA4">
        <w:t xml:space="preserve">agenda item </w:t>
      </w:r>
      <w:r w:rsidR="00045026">
        <w:t>1.11</w:t>
      </w:r>
      <w:r w:rsidR="00F51AA4">
        <w:t>)</w:t>
      </w:r>
      <w:r w:rsidR="00E9410F">
        <w:t>:</w:t>
      </w:r>
    </w:p>
    <w:p w14:paraId="3BE2BE94" w14:textId="3EF4296A" w:rsidR="00867203" w:rsidRDefault="00867203" w:rsidP="00B73FFB">
      <w:pPr>
        <w:pStyle w:val="Bulletlevel2"/>
        <w:numPr>
          <w:ilvl w:val="0"/>
          <w:numId w:val="74"/>
        </w:numPr>
      </w:pPr>
      <w:r>
        <w:rPr>
          <w:lang w:bidi="he-IL"/>
        </w:rPr>
        <w:t>1614.4225</w:t>
      </w:r>
      <w:r w:rsidR="00B039C6">
        <w:rPr>
          <w:lang w:bidi="he-IL"/>
        </w:rPr>
        <w:t>–</w:t>
      </w:r>
      <w:r>
        <w:t>1618.725 MHz</w:t>
      </w:r>
    </w:p>
    <w:p w14:paraId="04B5FC4D" w14:textId="3F869654" w:rsidR="00867203" w:rsidRDefault="00867203" w:rsidP="00B73FFB">
      <w:pPr>
        <w:pStyle w:val="Bulletlevel2"/>
        <w:numPr>
          <w:ilvl w:val="0"/>
          <w:numId w:val="74"/>
        </w:numPr>
      </w:pPr>
      <w:r>
        <w:t>1616.3</w:t>
      </w:r>
      <w:r w:rsidR="00B039C6">
        <w:t>–</w:t>
      </w:r>
      <w:r>
        <w:t>1620.38 MHz</w:t>
      </w:r>
    </w:p>
    <w:p w14:paraId="549CC2DB" w14:textId="11CF4C82" w:rsidR="00867203" w:rsidRDefault="00867203" w:rsidP="00B73FFB">
      <w:pPr>
        <w:pStyle w:val="Bulletlevel2"/>
        <w:numPr>
          <w:ilvl w:val="0"/>
          <w:numId w:val="74"/>
        </w:numPr>
      </w:pPr>
      <w:r>
        <w:t>1621.35</w:t>
      </w:r>
      <w:r w:rsidR="00B039C6">
        <w:t>–</w:t>
      </w:r>
      <w:r>
        <w:t>1626.5 MHz</w:t>
      </w:r>
    </w:p>
    <w:p w14:paraId="1CEC1DD5" w14:textId="50B08A0F" w:rsidR="00867203" w:rsidRPr="00003D06" w:rsidRDefault="00867203" w:rsidP="00B73FFB">
      <w:pPr>
        <w:pStyle w:val="Bulletlevel2"/>
        <w:numPr>
          <w:ilvl w:val="0"/>
          <w:numId w:val="74"/>
        </w:numPr>
        <w:rPr>
          <w:lang w:bidi="he-IL"/>
        </w:rPr>
      </w:pPr>
      <w:r>
        <w:t>2483.59</w:t>
      </w:r>
      <w:r w:rsidR="00B039C6">
        <w:t>–</w:t>
      </w:r>
      <w:r>
        <w:t>2499.91</w:t>
      </w:r>
      <w:r>
        <w:rPr>
          <w:lang w:bidi="he-IL"/>
        </w:rPr>
        <w:t xml:space="preserve"> MHz</w:t>
      </w:r>
    </w:p>
    <w:p w14:paraId="6EE72C56" w14:textId="52067EC9" w:rsidR="004E6436" w:rsidRDefault="00B039C6" w:rsidP="00003D06">
      <w:pPr>
        <w:pStyle w:val="Bulletlevel1"/>
        <w:ind w:left="284" w:hanging="284"/>
      </w:pPr>
      <w:r>
        <w:t>A</w:t>
      </w:r>
      <w:r w:rsidR="004E6436">
        <w:t xml:space="preserve"> new IMT identification of the frequency band 7025</w:t>
      </w:r>
      <w:r>
        <w:t>–</w:t>
      </w:r>
      <w:r w:rsidR="004E6436">
        <w:t>7125 MHz via international footnote 457E (</w:t>
      </w:r>
      <w:r w:rsidR="00A67C65">
        <w:t xml:space="preserve">as an outcome of WRC-23 </w:t>
      </w:r>
      <w:r w:rsidR="004E6436">
        <w:t>agenda item 1.2)</w:t>
      </w:r>
      <w:r>
        <w:t>.</w:t>
      </w:r>
    </w:p>
    <w:p w14:paraId="093E7D96" w14:textId="5A4B63B4" w:rsidR="004E6436" w:rsidRPr="004B7088" w:rsidRDefault="00B039C6" w:rsidP="00003D06">
      <w:pPr>
        <w:pStyle w:val="Bulletlevel1"/>
        <w:ind w:left="284" w:hanging="284"/>
      </w:pPr>
      <w:r>
        <w:t>R</w:t>
      </w:r>
      <w:r w:rsidR="0009389C">
        <w:t>evised arrangements for n</w:t>
      </w:r>
      <w:r w:rsidR="004B7088" w:rsidRPr="004B7088">
        <w:t xml:space="preserve">on-geostationary-satellite systems operating in </w:t>
      </w:r>
      <w:r w:rsidR="0009389C">
        <w:t xml:space="preserve">the frequency bands </w:t>
      </w:r>
      <w:r w:rsidR="00E23C7C" w:rsidRPr="004B7088">
        <w:t>7375</w:t>
      </w:r>
      <w:r w:rsidR="00F7742F">
        <w:t>–</w:t>
      </w:r>
      <w:r w:rsidR="00E23C7C" w:rsidRPr="004B7088">
        <w:t>7750 MHz</w:t>
      </w:r>
      <w:r w:rsidR="004B7088">
        <w:t xml:space="preserve"> (footnote 461AC) and</w:t>
      </w:r>
      <w:r w:rsidR="00E23C7C" w:rsidRPr="004B7088">
        <w:t xml:space="preserve"> </w:t>
      </w:r>
      <w:r w:rsidR="004B7088" w:rsidRPr="004B7088">
        <w:t>20.2</w:t>
      </w:r>
      <w:r w:rsidR="00F7742F">
        <w:t>–</w:t>
      </w:r>
      <w:r w:rsidR="004B7088" w:rsidRPr="004B7088">
        <w:t>21.2 GHz and 30</w:t>
      </w:r>
      <w:r w:rsidR="00F7742F">
        <w:t>–</w:t>
      </w:r>
      <w:r w:rsidR="004B7088" w:rsidRPr="004B7088">
        <w:t>31 GHz</w:t>
      </w:r>
      <w:r w:rsidR="004B7088">
        <w:t xml:space="preserve"> (footnote 529A)</w:t>
      </w:r>
      <w:r w:rsidR="00F7742F">
        <w:t xml:space="preserve">. This </w:t>
      </w:r>
      <w:r w:rsidR="0009389C">
        <w:t>requir</w:t>
      </w:r>
      <w:r w:rsidR="00F7742F">
        <w:t>es</w:t>
      </w:r>
      <w:r w:rsidR="0009389C">
        <w:t xml:space="preserve"> that these systems </w:t>
      </w:r>
      <w:r w:rsidR="00E23C7C" w:rsidRPr="004B7088">
        <w:t>shall not cause unacceptable interference to</w:t>
      </w:r>
      <w:r w:rsidR="00F7742F">
        <w:t>,</w:t>
      </w:r>
      <w:r w:rsidR="00E23C7C" w:rsidRPr="004B7088">
        <w:t xml:space="preserve"> and shall not claim protection from</w:t>
      </w:r>
      <w:r w:rsidR="00F7742F">
        <w:t>,</w:t>
      </w:r>
      <w:r w:rsidR="00E23C7C" w:rsidRPr="004B7088">
        <w:t xml:space="preserve"> geostationary-satellite networks in the maritime mobile-satellite service operating in accordance with </w:t>
      </w:r>
      <w:r w:rsidR="0009389C">
        <w:t>the ITU</w:t>
      </w:r>
      <w:r w:rsidR="00E23C7C" w:rsidRPr="004B7088">
        <w:t xml:space="preserve"> Regulations</w:t>
      </w:r>
      <w:r w:rsidR="004B7088">
        <w:t xml:space="preserve"> </w:t>
      </w:r>
      <w:r w:rsidR="00A76855" w:rsidRPr="004B7088">
        <w:t>(as an outcome of WRC-23 agenda item 7)</w:t>
      </w:r>
      <w:r w:rsidR="00F7742F">
        <w:t>.</w:t>
      </w:r>
    </w:p>
    <w:p w14:paraId="7915CC57" w14:textId="5BCF9A80" w:rsidR="004E6436" w:rsidRDefault="00F7742F" w:rsidP="00003D06">
      <w:pPr>
        <w:pStyle w:val="Bulletlevel1"/>
        <w:ind w:left="284" w:hanging="284"/>
      </w:pPr>
      <w:r>
        <w:t>H</w:t>
      </w:r>
      <w:r w:rsidR="0014291E">
        <w:t>armonis</w:t>
      </w:r>
      <w:r w:rsidR="0009389C">
        <w:t xml:space="preserve">ation of </w:t>
      </w:r>
      <w:r w:rsidR="0014291E">
        <w:t>the</w:t>
      </w:r>
      <w:r w:rsidR="004E6436">
        <w:t xml:space="preserve"> use </w:t>
      </w:r>
      <w:r w:rsidR="0014291E">
        <w:t>of</w:t>
      </w:r>
      <w:r w:rsidR="004E6436">
        <w:t xml:space="preserve"> </w:t>
      </w:r>
      <w:r w:rsidR="0009389C">
        <w:t>e</w:t>
      </w:r>
      <w:r w:rsidR="004E6436">
        <w:t xml:space="preserve">arth stations in motion, limited to earth stations on aircraft and vessels, communicating with geostationary space stations in the fixed-satellite service </w:t>
      </w:r>
      <w:r w:rsidR="004E6436">
        <w:lastRenderedPageBreak/>
        <w:t>in the frequency band 12.75</w:t>
      </w:r>
      <w:r>
        <w:t>–</w:t>
      </w:r>
      <w:r w:rsidR="004E6436">
        <w:t>13.25 GHz</w:t>
      </w:r>
      <w:r w:rsidR="0014291E">
        <w:t xml:space="preserve"> via international footnote 496A (</w:t>
      </w:r>
      <w:r w:rsidR="00A67C65">
        <w:t xml:space="preserve">as an outcome of WRC-23 </w:t>
      </w:r>
      <w:r w:rsidR="0014291E">
        <w:t>agenda item 1.15)</w:t>
      </w:r>
      <w:r w:rsidR="005E7499">
        <w:t>.</w:t>
      </w:r>
    </w:p>
    <w:p w14:paraId="63D51BE4" w14:textId="36AE6932" w:rsidR="00FD16BE" w:rsidRDefault="005E7499" w:rsidP="00003D06">
      <w:pPr>
        <w:pStyle w:val="Bulletlevel1"/>
        <w:ind w:left="284" w:hanging="284"/>
      </w:pPr>
      <w:r>
        <w:t>U</w:t>
      </w:r>
      <w:r w:rsidR="000E2A25">
        <w:t xml:space="preserve">pgrading of the current space research service allocation in the frequency band </w:t>
      </w:r>
      <w:r w:rsidR="00190DD0">
        <w:br/>
      </w:r>
      <w:r w:rsidR="00FD16BE">
        <w:t>14.8</w:t>
      </w:r>
      <w:r w:rsidR="00190DD0">
        <w:t>–</w:t>
      </w:r>
      <w:r w:rsidR="00FD16BE">
        <w:t xml:space="preserve">15.35 GHz band </w:t>
      </w:r>
      <w:r w:rsidR="000E2A25">
        <w:t xml:space="preserve">from </w:t>
      </w:r>
      <w:r w:rsidR="0003189D">
        <w:t xml:space="preserve">a </w:t>
      </w:r>
      <w:r w:rsidR="000E2A25">
        <w:t xml:space="preserve">secondary to primary </w:t>
      </w:r>
      <w:r w:rsidR="0003189D">
        <w:t xml:space="preserve">allocation </w:t>
      </w:r>
      <w:r w:rsidR="00FD16BE">
        <w:t>in all directions (space-space, space-</w:t>
      </w:r>
      <w:r w:rsidR="00190DD0">
        <w:t>e</w:t>
      </w:r>
      <w:r w:rsidR="00FD16BE">
        <w:t xml:space="preserve">arth, and </w:t>
      </w:r>
      <w:r w:rsidR="00190DD0">
        <w:t>e</w:t>
      </w:r>
      <w:r w:rsidR="00FD16BE">
        <w:t>arth-space)</w:t>
      </w:r>
      <w:r w:rsidR="0003189D">
        <w:t xml:space="preserve"> subject to the conditions in </w:t>
      </w:r>
      <w:r w:rsidR="00FD16BE">
        <w:t>footnote 510A (</w:t>
      </w:r>
      <w:r w:rsidR="00A67C65">
        <w:t xml:space="preserve">as an outcome of WRC-23 </w:t>
      </w:r>
      <w:r w:rsidR="00FD16BE">
        <w:t xml:space="preserve">agenda item </w:t>
      </w:r>
      <w:r w:rsidR="00D27CD3">
        <w:t>1.13</w:t>
      </w:r>
      <w:r w:rsidR="00FD16BE">
        <w:t>)</w:t>
      </w:r>
      <w:r w:rsidR="00190DD0">
        <w:t>.</w:t>
      </w:r>
    </w:p>
    <w:p w14:paraId="311679EB" w14:textId="1B8251A4" w:rsidR="00FD16BE" w:rsidRDefault="00190DD0" w:rsidP="00003D06">
      <w:pPr>
        <w:pStyle w:val="Bulletlevel1"/>
        <w:ind w:left="284" w:hanging="284"/>
      </w:pPr>
      <w:r>
        <w:t>N</w:t>
      </w:r>
      <w:r w:rsidR="0003189D">
        <w:t xml:space="preserve">ew </w:t>
      </w:r>
      <w:r w:rsidR="00D27CD3">
        <w:t>arrangements for</w:t>
      </w:r>
      <w:r w:rsidR="00FD16BE">
        <w:t xml:space="preserve"> aeronautical and maritime earth stations in motion communicating with non-geostationary space stations in the fixed-satellite service in the frequency bands 17.7</w:t>
      </w:r>
      <w:r>
        <w:t>–</w:t>
      </w:r>
      <w:r w:rsidR="00FD16BE">
        <w:t>18.6 GHz, 18.8</w:t>
      </w:r>
      <w:r>
        <w:t>–</w:t>
      </w:r>
      <w:r w:rsidR="00FD16BE">
        <w:t>19.3 GHz and 19.7</w:t>
      </w:r>
      <w:r>
        <w:t>–</w:t>
      </w:r>
      <w:r w:rsidR="00FD16BE">
        <w:t>20.2 GHz (space-to-</w:t>
      </w:r>
      <w:r>
        <w:t>e</w:t>
      </w:r>
      <w:r w:rsidR="00FD16BE">
        <w:t>arth) and 27.5</w:t>
      </w:r>
      <w:r>
        <w:t>–</w:t>
      </w:r>
      <w:r w:rsidR="00FD16BE">
        <w:t>29.1 GHz and 29.5</w:t>
      </w:r>
      <w:r>
        <w:t>–</w:t>
      </w:r>
      <w:r w:rsidR="00FD16BE">
        <w:t>30 GHz (</w:t>
      </w:r>
      <w:r>
        <w:t>e</w:t>
      </w:r>
      <w:r w:rsidR="00FD16BE">
        <w:t>arth-to-space)</w:t>
      </w:r>
      <w:r w:rsidR="00D27CD3">
        <w:t xml:space="preserve"> via international footnote 517B (</w:t>
      </w:r>
      <w:r w:rsidR="00A67C65">
        <w:t xml:space="preserve">as an outcome of WRC-23 </w:t>
      </w:r>
      <w:r w:rsidR="00D27CD3">
        <w:t>agenda item 1.16)</w:t>
      </w:r>
      <w:r>
        <w:t>.</w:t>
      </w:r>
    </w:p>
    <w:p w14:paraId="48E60D12" w14:textId="709E6210" w:rsidR="005628BF" w:rsidRDefault="00190DD0" w:rsidP="00003D06">
      <w:pPr>
        <w:pStyle w:val="Bulletlevel1"/>
        <w:ind w:left="284" w:hanging="284"/>
      </w:pPr>
      <w:r>
        <w:t>N</w:t>
      </w:r>
      <w:r w:rsidR="00FD16BE">
        <w:t xml:space="preserve">ew </w:t>
      </w:r>
      <w:r w:rsidR="0003189D">
        <w:t>i</w:t>
      </w:r>
      <w:r w:rsidR="00FD16BE">
        <w:t>nter-</w:t>
      </w:r>
      <w:r w:rsidR="0003189D">
        <w:t>s</w:t>
      </w:r>
      <w:r w:rsidR="00FD16BE">
        <w:t xml:space="preserve">atellite </w:t>
      </w:r>
      <w:r w:rsidR="0003189D">
        <w:t xml:space="preserve">service </w:t>
      </w:r>
      <w:r w:rsidR="00FD16BE">
        <w:t>allocation</w:t>
      </w:r>
      <w:r w:rsidR="00A117E1">
        <w:t>s</w:t>
      </w:r>
      <w:r w:rsidR="00FD16BE">
        <w:t xml:space="preserve"> in the frequency bands 18.1</w:t>
      </w:r>
      <w:r>
        <w:t>–</w:t>
      </w:r>
      <w:r w:rsidR="00FD16BE">
        <w:t xml:space="preserve">18.6 GHz, </w:t>
      </w:r>
      <w:r>
        <w:br/>
      </w:r>
      <w:r w:rsidR="00FD16BE">
        <w:t>18.8</w:t>
      </w:r>
      <w:r>
        <w:t>–</w:t>
      </w:r>
      <w:r w:rsidR="00FD16BE">
        <w:t>20.2</w:t>
      </w:r>
      <w:r w:rsidR="00A117E1">
        <w:t> </w:t>
      </w:r>
      <w:r w:rsidR="00FD16BE">
        <w:t>GHz and 27.5</w:t>
      </w:r>
      <w:r>
        <w:t>–</w:t>
      </w:r>
      <w:r w:rsidR="00FD16BE">
        <w:t>30 GHz (</w:t>
      </w:r>
      <w:r w:rsidR="00A67C65">
        <w:t xml:space="preserve">as an outcome of WRC-23 </w:t>
      </w:r>
      <w:r w:rsidR="00FD16BE">
        <w:t xml:space="preserve">agenda item </w:t>
      </w:r>
      <w:r w:rsidR="0014291E">
        <w:t>1.17</w:t>
      </w:r>
      <w:r w:rsidR="00FD16BE">
        <w:t xml:space="preserve">). This includes coordination provisions and limitations as detailed in international footnotes </w:t>
      </w:r>
      <w:r>
        <w:br/>
      </w:r>
      <w:r w:rsidR="00FD16BE">
        <w:t>521A and 523DA</w:t>
      </w:r>
      <w:r>
        <w:t>.</w:t>
      </w:r>
    </w:p>
    <w:p w14:paraId="0B3B666A" w14:textId="11D7F37C" w:rsidR="006E69B4" w:rsidRDefault="00A117E1" w:rsidP="00003D06">
      <w:pPr>
        <w:pStyle w:val="Bulletlevel1"/>
        <w:ind w:left="284" w:hanging="284"/>
      </w:pPr>
      <w:r>
        <w:t xml:space="preserve">A </w:t>
      </w:r>
      <w:r w:rsidR="00AA7880">
        <w:t>new footnote 550CA</w:t>
      </w:r>
      <w:r w:rsidR="00190DD0">
        <w:t>,</w:t>
      </w:r>
      <w:r w:rsidR="00AA7880">
        <w:t xml:space="preserve"> which provides conditions on certain n</w:t>
      </w:r>
      <w:r w:rsidR="006E69B4" w:rsidRPr="006E69B4">
        <w:t>on-geostationary-satellite systems in the fixed-satellite service in the frequency band 37.5</w:t>
      </w:r>
      <w:r w:rsidR="00190DD0">
        <w:t>–</w:t>
      </w:r>
      <w:r w:rsidR="006E69B4" w:rsidRPr="006E69B4">
        <w:t xml:space="preserve">38 GHz to protect the </w:t>
      </w:r>
      <w:r>
        <w:t>e</w:t>
      </w:r>
      <w:r w:rsidR="006E69B4" w:rsidRPr="006E69B4">
        <w:t>arth exploration-satellite service (passive) operating in the frequency band</w:t>
      </w:r>
      <w:r w:rsidR="00AA7880">
        <w:t xml:space="preserve"> </w:t>
      </w:r>
      <w:r w:rsidR="00AA7880" w:rsidRPr="006E69B4">
        <w:t>36</w:t>
      </w:r>
      <w:r w:rsidR="00190DD0">
        <w:t>–</w:t>
      </w:r>
      <w:r w:rsidR="00AA7880" w:rsidRPr="006E69B4">
        <w:t>-37</w:t>
      </w:r>
      <w:r>
        <w:t> </w:t>
      </w:r>
      <w:r w:rsidR="00AA7880" w:rsidRPr="006E69B4">
        <w:t>GHz</w:t>
      </w:r>
      <w:r w:rsidR="006E69B4">
        <w:t xml:space="preserve"> (</w:t>
      </w:r>
      <w:r w:rsidR="00A67C65">
        <w:t xml:space="preserve">as an outcome of WRC-23 </w:t>
      </w:r>
      <w:r w:rsidR="006E69B4">
        <w:t xml:space="preserve">agenda item </w:t>
      </w:r>
      <w:r w:rsidR="00A76855">
        <w:t>9.1</w:t>
      </w:r>
      <w:r>
        <w:t xml:space="preserve"> topic </w:t>
      </w:r>
      <w:r w:rsidR="00A76855">
        <w:t>d</w:t>
      </w:r>
      <w:r w:rsidR="006E69B4">
        <w:t>)</w:t>
      </w:r>
      <w:r w:rsidR="00190DD0">
        <w:t>.</w:t>
      </w:r>
    </w:p>
    <w:p w14:paraId="79EE2B0D" w14:textId="17CEBCAB" w:rsidR="00FD16BE" w:rsidRDefault="00190DD0" w:rsidP="00003D06">
      <w:pPr>
        <w:pStyle w:val="Bulletlevel1last"/>
        <w:ind w:left="284" w:hanging="284"/>
      </w:pPr>
      <w:r>
        <w:t>N</w:t>
      </w:r>
      <w:r w:rsidR="00294F91">
        <w:t xml:space="preserve">ew </w:t>
      </w:r>
      <w:r w:rsidR="00B468BA">
        <w:t>e</w:t>
      </w:r>
      <w:r w:rsidR="00294F91">
        <w:t xml:space="preserve">arth </w:t>
      </w:r>
      <w:r w:rsidR="00B468BA">
        <w:t>e</w:t>
      </w:r>
      <w:r w:rsidR="00294F91">
        <w:t>xploration-</w:t>
      </w:r>
      <w:r w:rsidR="00B468BA">
        <w:t>s</w:t>
      </w:r>
      <w:r w:rsidR="00294F91">
        <w:t>atellite (passive) allocation</w:t>
      </w:r>
      <w:r w:rsidR="00A117E1">
        <w:t>s</w:t>
      </w:r>
      <w:r w:rsidR="00294F91">
        <w:t xml:space="preserve"> in </w:t>
      </w:r>
      <w:r w:rsidR="00A117E1">
        <w:t xml:space="preserve">the frequency band </w:t>
      </w:r>
      <w:r>
        <w:br/>
      </w:r>
      <w:r w:rsidR="00294F91">
        <w:t>239.2</w:t>
      </w:r>
      <w:r>
        <w:t>–</w:t>
      </w:r>
      <w:r w:rsidR="00294F91">
        <w:t>242.2</w:t>
      </w:r>
      <w:r w:rsidR="00A117E1">
        <w:t> </w:t>
      </w:r>
      <w:r w:rsidR="00294F91">
        <w:t>GHz and 244</w:t>
      </w:r>
      <w:r>
        <w:t>–</w:t>
      </w:r>
      <w:r w:rsidR="00294F91">
        <w:t>248 GHz</w:t>
      </w:r>
      <w:r>
        <w:t>,</w:t>
      </w:r>
      <w:r w:rsidR="0041139B">
        <w:t xml:space="preserve"> and new </w:t>
      </w:r>
      <w:r w:rsidR="00A117E1">
        <w:t>f</w:t>
      </w:r>
      <w:r w:rsidR="0041139B">
        <w:t xml:space="preserve">ixed and </w:t>
      </w:r>
      <w:r w:rsidR="00A117E1">
        <w:t>m</w:t>
      </w:r>
      <w:r w:rsidR="0041139B">
        <w:t xml:space="preserve">obile allocations within </w:t>
      </w:r>
      <w:r w:rsidR="00A117E1">
        <w:t xml:space="preserve">frequency band </w:t>
      </w:r>
      <w:r w:rsidR="0041139B">
        <w:t>235–238 GHz</w:t>
      </w:r>
      <w:r w:rsidR="00294F91">
        <w:t>. In addition, footnote 563AA is included on the existing e</w:t>
      </w:r>
      <w:r w:rsidR="00FD16BE">
        <w:t xml:space="preserve">arth exploration-satellite service (passive) </w:t>
      </w:r>
      <w:r w:rsidR="00294F91">
        <w:t xml:space="preserve">allocation </w:t>
      </w:r>
      <w:r w:rsidR="00FD16BE">
        <w:t>in the frequency band 235</w:t>
      </w:r>
      <w:r>
        <w:t>–</w:t>
      </w:r>
      <w:r w:rsidR="00FD16BE">
        <w:t>238 GHz</w:t>
      </w:r>
      <w:r w:rsidR="00294F91" w:rsidRPr="00294F91">
        <w:t xml:space="preserve"> </w:t>
      </w:r>
      <w:r w:rsidR="00294F91">
        <w:t>(</w:t>
      </w:r>
      <w:r w:rsidR="00A67C65">
        <w:t xml:space="preserve">as an outcome of WRC-23 </w:t>
      </w:r>
      <w:r w:rsidR="00294F91">
        <w:t>agenda item 1.14)</w:t>
      </w:r>
    </w:p>
    <w:p w14:paraId="7785C6E8" w14:textId="3CA70579" w:rsidR="00882426" w:rsidRDefault="00101C34" w:rsidP="00A117E1">
      <w:pPr>
        <w:pStyle w:val="Paragraphbeforelist"/>
      </w:pPr>
      <w:r>
        <w:t xml:space="preserve">We are also proposing </w:t>
      </w:r>
      <w:r w:rsidR="00A117E1">
        <w:t>additional change</w:t>
      </w:r>
      <w:r w:rsidR="00882426">
        <w:t>s</w:t>
      </w:r>
      <w:r w:rsidR="00A117E1">
        <w:t xml:space="preserve"> to </w:t>
      </w:r>
      <w:r w:rsidR="006141C6">
        <w:t>C</w:t>
      </w:r>
      <w:r>
        <w:t xml:space="preserve">olumn 2 that </w:t>
      </w:r>
      <w:r w:rsidR="002A66D6">
        <w:t xml:space="preserve">are </w:t>
      </w:r>
      <w:r w:rsidR="007A220D">
        <w:t>not related to WRC-23 outcome</w:t>
      </w:r>
      <w:r w:rsidR="00882426">
        <w:t>s as follows:</w:t>
      </w:r>
    </w:p>
    <w:p w14:paraId="26A6EAFB" w14:textId="27E18F29" w:rsidR="001D5022" w:rsidRDefault="007B3657" w:rsidP="00882426">
      <w:pPr>
        <w:pStyle w:val="Bulletlevel1"/>
        <w:ind w:left="284" w:hanging="284"/>
        <w:rPr>
          <w:lang w:bidi="he-IL"/>
        </w:rPr>
      </w:pPr>
      <w:r>
        <w:t>R</w:t>
      </w:r>
      <w:r w:rsidR="00A117E1">
        <w:t>emov</w:t>
      </w:r>
      <w:r w:rsidR="00882426">
        <w:t>al of</w:t>
      </w:r>
      <w:r w:rsidR="00A117E1">
        <w:t xml:space="preserve"> </w:t>
      </w:r>
      <w:r w:rsidR="001D5022">
        <w:rPr>
          <w:lang w:bidi="he-IL"/>
        </w:rPr>
        <w:t xml:space="preserve">international footnote 270 </w:t>
      </w:r>
      <w:r w:rsidR="007D56EB">
        <w:rPr>
          <w:lang w:bidi="he-IL"/>
        </w:rPr>
        <w:t>from</w:t>
      </w:r>
      <w:r w:rsidR="001D5022">
        <w:rPr>
          <w:lang w:bidi="he-IL"/>
        </w:rPr>
        <w:t xml:space="preserve"> </w:t>
      </w:r>
      <w:r w:rsidR="00C82149">
        <w:rPr>
          <w:lang w:bidi="he-IL"/>
        </w:rPr>
        <w:t xml:space="preserve">the frequency range </w:t>
      </w:r>
      <w:r w:rsidR="001D5022">
        <w:rPr>
          <w:lang w:bidi="he-IL"/>
        </w:rPr>
        <w:t>420</w:t>
      </w:r>
      <w:r>
        <w:rPr>
          <w:lang w:bidi="he-IL"/>
        </w:rPr>
        <w:t>–</w:t>
      </w:r>
      <w:r w:rsidR="001D5022">
        <w:rPr>
          <w:lang w:bidi="he-IL"/>
        </w:rPr>
        <w:t xml:space="preserve">430 </w:t>
      </w:r>
      <w:proofErr w:type="spellStart"/>
      <w:r w:rsidR="00C82149">
        <w:rPr>
          <w:lang w:bidi="he-IL"/>
        </w:rPr>
        <w:t>MHz</w:t>
      </w:r>
      <w:r w:rsidR="00E50EC6">
        <w:rPr>
          <w:lang w:bidi="he-IL"/>
        </w:rPr>
        <w:t>.</w:t>
      </w:r>
      <w:proofErr w:type="spellEnd"/>
      <w:r w:rsidR="00E50EC6">
        <w:rPr>
          <w:lang w:bidi="he-IL"/>
        </w:rPr>
        <w:t xml:space="preserve"> </w:t>
      </w:r>
      <w:r w:rsidR="0031192B">
        <w:rPr>
          <w:lang w:bidi="he-IL"/>
        </w:rPr>
        <w:t xml:space="preserve">There is currently </w:t>
      </w:r>
      <w:r w:rsidR="001D5022">
        <w:t>inconsistency</w:t>
      </w:r>
      <w:r w:rsidR="001D5022">
        <w:rPr>
          <w:lang w:bidi="he-IL"/>
        </w:rPr>
        <w:t xml:space="preserve"> </w:t>
      </w:r>
      <w:r w:rsidR="0031192B">
        <w:rPr>
          <w:lang w:bidi="he-IL"/>
        </w:rPr>
        <w:t>between international footnote 270 (which provides a secondary amateur allocation in the entire 420</w:t>
      </w:r>
      <w:r>
        <w:rPr>
          <w:lang w:bidi="he-IL"/>
        </w:rPr>
        <w:t>–</w:t>
      </w:r>
      <w:r w:rsidR="0031192B">
        <w:rPr>
          <w:lang w:bidi="he-IL"/>
        </w:rPr>
        <w:t xml:space="preserve">430 MHz range) </w:t>
      </w:r>
      <w:r w:rsidR="00360BCC">
        <w:rPr>
          <w:lang w:bidi="he-IL"/>
        </w:rPr>
        <w:t xml:space="preserve">and </w:t>
      </w:r>
      <w:r w:rsidR="00C82149">
        <w:rPr>
          <w:lang w:bidi="he-IL"/>
        </w:rPr>
        <w:t xml:space="preserve">the Australian footnote </w:t>
      </w:r>
      <w:r w:rsidR="001D5022">
        <w:rPr>
          <w:lang w:bidi="he-IL"/>
        </w:rPr>
        <w:t>AUS99</w:t>
      </w:r>
      <w:r w:rsidR="0031192B">
        <w:rPr>
          <w:lang w:bidi="he-IL"/>
        </w:rPr>
        <w:t>, which is limited to 420.8</w:t>
      </w:r>
      <w:r>
        <w:rPr>
          <w:lang w:bidi="he-IL"/>
        </w:rPr>
        <w:t>–</w:t>
      </w:r>
      <w:r w:rsidR="0031192B">
        <w:rPr>
          <w:lang w:bidi="he-IL"/>
        </w:rPr>
        <w:t xml:space="preserve">421.2 </w:t>
      </w:r>
      <w:proofErr w:type="spellStart"/>
      <w:r w:rsidR="0031192B">
        <w:rPr>
          <w:lang w:bidi="he-IL"/>
        </w:rPr>
        <w:t>MHz</w:t>
      </w:r>
      <w:r w:rsidR="00C82149">
        <w:rPr>
          <w:lang w:bidi="he-IL"/>
        </w:rPr>
        <w:t>.</w:t>
      </w:r>
      <w:proofErr w:type="spellEnd"/>
      <w:r w:rsidR="0031192B">
        <w:rPr>
          <w:lang w:bidi="he-IL"/>
        </w:rPr>
        <w:t xml:space="preserve"> Our proposed change aims to remove this </w:t>
      </w:r>
      <w:r w:rsidR="007D56EB">
        <w:rPr>
          <w:lang w:bidi="he-IL"/>
        </w:rPr>
        <w:t>inconsistency and</w:t>
      </w:r>
      <w:r w:rsidR="0031192B">
        <w:rPr>
          <w:lang w:bidi="he-IL"/>
        </w:rPr>
        <w:t xml:space="preserve"> reflects our previous planning decision that amateur use of the band </w:t>
      </w:r>
      <w:r w:rsidR="00360BCC">
        <w:rPr>
          <w:lang w:bidi="he-IL"/>
        </w:rPr>
        <w:t xml:space="preserve">is to </w:t>
      </w:r>
      <w:r w:rsidR="0031192B">
        <w:rPr>
          <w:lang w:bidi="he-IL"/>
        </w:rPr>
        <w:t>be limited to 420.8</w:t>
      </w:r>
      <w:r>
        <w:rPr>
          <w:lang w:bidi="he-IL"/>
        </w:rPr>
        <w:t>–</w:t>
      </w:r>
      <w:r w:rsidR="0031192B">
        <w:rPr>
          <w:lang w:bidi="he-IL"/>
        </w:rPr>
        <w:t xml:space="preserve">421.2 MHz to support the increased use of the broader </w:t>
      </w:r>
      <w:r>
        <w:rPr>
          <w:lang w:bidi="he-IL"/>
        </w:rPr>
        <w:br/>
      </w:r>
      <w:r w:rsidR="0031192B">
        <w:rPr>
          <w:lang w:bidi="he-IL"/>
        </w:rPr>
        <w:t>420</w:t>
      </w:r>
      <w:r>
        <w:rPr>
          <w:lang w:bidi="he-IL"/>
        </w:rPr>
        <w:t>–</w:t>
      </w:r>
      <w:r w:rsidR="0031192B">
        <w:rPr>
          <w:lang w:bidi="he-IL"/>
        </w:rPr>
        <w:t>430</w:t>
      </w:r>
      <w:r w:rsidR="00CA0FCF">
        <w:rPr>
          <w:lang w:bidi="he-IL"/>
        </w:rPr>
        <w:t> </w:t>
      </w:r>
      <w:r w:rsidR="0031192B">
        <w:rPr>
          <w:lang w:bidi="he-IL"/>
        </w:rPr>
        <w:t>MHz frequency range by government services (see AUS98).</w:t>
      </w:r>
    </w:p>
    <w:p w14:paraId="00454B5D" w14:textId="2CB7EDEE" w:rsidR="00882426" w:rsidRDefault="007B3657" w:rsidP="00882426">
      <w:pPr>
        <w:pStyle w:val="Bulletlevel1"/>
        <w:ind w:left="284" w:hanging="284"/>
        <w:rPr>
          <w:lang w:bidi="he-IL"/>
        </w:rPr>
      </w:pPr>
      <w:r>
        <w:rPr>
          <w:lang w:bidi="he-IL"/>
        </w:rPr>
        <w:t>A</w:t>
      </w:r>
      <w:r w:rsidR="00882426">
        <w:rPr>
          <w:lang w:bidi="he-IL"/>
        </w:rPr>
        <w:t xml:space="preserve">ddition of </w:t>
      </w:r>
      <w:r w:rsidR="00B4295D">
        <w:rPr>
          <w:lang w:bidi="he-IL"/>
        </w:rPr>
        <w:t xml:space="preserve">a primary allocation to the fixed service in the frequency ranges </w:t>
      </w:r>
      <w:r>
        <w:rPr>
          <w:lang w:bidi="he-IL"/>
        </w:rPr>
        <w:br/>
      </w:r>
      <w:r w:rsidR="00B4295D">
        <w:t>5600</w:t>
      </w:r>
      <w:r>
        <w:t>–</w:t>
      </w:r>
      <w:r w:rsidR="00B4295D">
        <w:t>5620 MHz and 5630</w:t>
      </w:r>
      <w:r>
        <w:t>–</w:t>
      </w:r>
      <w:r w:rsidR="00B4295D">
        <w:t xml:space="preserve">5650 MHz (facilitated by </w:t>
      </w:r>
      <w:r w:rsidR="006141C6">
        <w:t>a</w:t>
      </w:r>
      <w:r w:rsidR="00B4295D">
        <w:t xml:space="preserve"> new Australian footnote AUS107). This is intended to make permanent arrangements to replace a current s</w:t>
      </w:r>
      <w:r w:rsidR="006141C6">
        <w:t>ubs</w:t>
      </w:r>
      <w:r w:rsidR="00B4295D">
        <w:t>ection 10(10) decision.</w:t>
      </w:r>
    </w:p>
    <w:p w14:paraId="579F4717" w14:textId="39E3AA7F" w:rsidR="00B4295D" w:rsidRDefault="00B4295D" w:rsidP="00003D06">
      <w:pPr>
        <w:pStyle w:val="Bulletlevel1"/>
        <w:ind w:left="284" w:hanging="284"/>
        <w:rPr>
          <w:lang w:bidi="he-IL"/>
        </w:rPr>
      </w:pPr>
      <w:r>
        <w:rPr>
          <w:lang w:bidi="he-IL"/>
        </w:rPr>
        <w:t xml:space="preserve">Addition of new Australian footnote AUS108 to facilitate land-based </w:t>
      </w:r>
      <w:r w:rsidRPr="00B4295D">
        <w:rPr>
          <w:lang w:bidi="he-IL"/>
        </w:rPr>
        <w:t>earth stations in motion in the frequency bands 27.5</w:t>
      </w:r>
      <w:r w:rsidR="007B3657">
        <w:rPr>
          <w:lang w:bidi="he-IL"/>
        </w:rPr>
        <w:t>–</w:t>
      </w:r>
      <w:r w:rsidRPr="00B4295D">
        <w:rPr>
          <w:lang w:bidi="he-IL"/>
        </w:rPr>
        <w:t>29.1 GHz and 29.5</w:t>
      </w:r>
      <w:r w:rsidR="007B3657">
        <w:rPr>
          <w:lang w:bidi="he-IL"/>
        </w:rPr>
        <w:t>–</w:t>
      </w:r>
      <w:r w:rsidRPr="00B4295D">
        <w:rPr>
          <w:lang w:bidi="he-IL"/>
        </w:rPr>
        <w:t>30 GHz</w:t>
      </w:r>
      <w:r>
        <w:rPr>
          <w:lang w:bidi="he-IL"/>
        </w:rPr>
        <w:t xml:space="preserve">. This addition, along with the addition of international footnote </w:t>
      </w:r>
      <w:r w:rsidRPr="00B4295D">
        <w:rPr>
          <w:lang w:bidi="he-IL"/>
        </w:rPr>
        <w:t>517B</w:t>
      </w:r>
      <w:r>
        <w:rPr>
          <w:lang w:bidi="he-IL"/>
        </w:rPr>
        <w:t xml:space="preserve"> will make </w:t>
      </w:r>
      <w:r>
        <w:t>permanent arrangements to replace a current s</w:t>
      </w:r>
      <w:r w:rsidR="006141C6">
        <w:t>ubs</w:t>
      </w:r>
      <w:r>
        <w:t>ection 10(10) decision.</w:t>
      </w:r>
    </w:p>
    <w:p w14:paraId="6DC13718" w14:textId="6E2CA981" w:rsidR="005D7747" w:rsidRPr="00A17B1B" w:rsidRDefault="005D7747" w:rsidP="005D7747">
      <w:pPr>
        <w:pStyle w:val="Heading2"/>
      </w:pPr>
      <w:bookmarkStart w:id="13" w:name="_Toc181864744"/>
      <w:r>
        <w:t>Chapter 2</w:t>
      </w:r>
      <w:r w:rsidR="007B3657">
        <w:t xml:space="preserve"> – </w:t>
      </w:r>
      <w:r>
        <w:t>Part 3: Australian footnotes</w:t>
      </w:r>
      <w:bookmarkEnd w:id="13"/>
    </w:p>
    <w:p w14:paraId="73F48D3C" w14:textId="7EF25203" w:rsidR="00562ED0" w:rsidRPr="00562ED0" w:rsidRDefault="00562ED0" w:rsidP="00003D06">
      <w:pPr>
        <w:pStyle w:val="Paragraphbeforelist"/>
      </w:pPr>
      <w:r>
        <w:t>The following changes, related to Australian footnotes, are proposed:</w:t>
      </w:r>
    </w:p>
    <w:p w14:paraId="453ED25E" w14:textId="6D0FFACF" w:rsidR="00CD10A5" w:rsidRPr="00CD10A5" w:rsidDel="004B0BB4" w:rsidRDefault="00CD10A5" w:rsidP="00003D06">
      <w:pPr>
        <w:pStyle w:val="Bulletlevel1"/>
        <w:ind w:left="284" w:hanging="284"/>
      </w:pPr>
      <w:r w:rsidRPr="00CD10A5" w:rsidDel="004B0BB4">
        <w:t xml:space="preserve">We have </w:t>
      </w:r>
      <w:r w:rsidR="004702D6">
        <w:t xml:space="preserve">universally </w:t>
      </w:r>
      <w:r w:rsidRPr="00CD10A5" w:rsidDel="004B0BB4">
        <w:t xml:space="preserve">updated the phraseology used when referring to a frequency band to be </w:t>
      </w:r>
      <w:r w:rsidR="007B3657">
        <w:t>‘</w:t>
      </w:r>
      <w:r w:rsidRPr="00CD10A5" w:rsidDel="004B0BB4">
        <w:t>frequency band/bands</w:t>
      </w:r>
      <w:r w:rsidR="007B3657">
        <w:t>’</w:t>
      </w:r>
      <w:r w:rsidRPr="00CD10A5" w:rsidDel="004B0BB4">
        <w:t xml:space="preserve"> rather than just </w:t>
      </w:r>
      <w:r w:rsidR="007B3657">
        <w:t>‘</w:t>
      </w:r>
      <w:r w:rsidRPr="00CD10A5" w:rsidDel="004B0BB4">
        <w:t>band/bands</w:t>
      </w:r>
      <w:r w:rsidR="007B3657">
        <w:t>’</w:t>
      </w:r>
      <w:r w:rsidR="007B3657" w:rsidRPr="00CD10A5" w:rsidDel="004B0BB4">
        <w:t xml:space="preserve"> </w:t>
      </w:r>
      <w:r w:rsidRPr="00CD10A5" w:rsidDel="004B0BB4">
        <w:t xml:space="preserve">(without the precursor </w:t>
      </w:r>
      <w:r w:rsidR="007B3657">
        <w:t>‘</w:t>
      </w:r>
      <w:r w:rsidRPr="00CD10A5" w:rsidDel="004B0BB4">
        <w:t>frequency</w:t>
      </w:r>
      <w:r w:rsidR="007B3657">
        <w:t>’</w:t>
      </w:r>
      <w:r w:rsidR="007B3657" w:rsidRPr="00CD10A5" w:rsidDel="004B0BB4">
        <w:t xml:space="preserve">) </w:t>
      </w:r>
      <w:r w:rsidRPr="00CD10A5" w:rsidDel="004B0BB4">
        <w:t>to be consistent with ITU Radio Regulations</w:t>
      </w:r>
      <w:r w:rsidR="00003D06">
        <w:t>.</w:t>
      </w:r>
    </w:p>
    <w:p w14:paraId="15AE03FD" w14:textId="024D7662" w:rsidR="0009036B" w:rsidRDefault="00CD10A5" w:rsidP="00003D06">
      <w:pPr>
        <w:pStyle w:val="Bulletlevel1"/>
        <w:ind w:left="284" w:hanging="284"/>
      </w:pPr>
      <w:r w:rsidRPr="00CD10A5">
        <w:lastRenderedPageBreak/>
        <w:t>New Australian footnotes AUS10</w:t>
      </w:r>
      <w:r w:rsidR="00A67C65">
        <w:t>7</w:t>
      </w:r>
      <w:r w:rsidRPr="00CD10A5">
        <w:t xml:space="preserve"> and AUS10</w:t>
      </w:r>
      <w:r w:rsidR="00A67C65">
        <w:t>8</w:t>
      </w:r>
      <w:r w:rsidRPr="00CD10A5">
        <w:t xml:space="preserve"> are proposed to make permanent arrangements to replace </w:t>
      </w:r>
      <w:r w:rsidR="00A67C65">
        <w:t xml:space="preserve">current </w:t>
      </w:r>
      <w:r w:rsidRPr="00CD10A5">
        <w:t>s</w:t>
      </w:r>
      <w:r w:rsidR="006141C6">
        <w:t>ubs</w:t>
      </w:r>
      <w:r w:rsidRPr="00CD10A5">
        <w:t>ection 10(10) decisions</w:t>
      </w:r>
      <w:r w:rsidR="0009036B">
        <w:t xml:space="preserve"> regarding:</w:t>
      </w:r>
    </w:p>
    <w:p w14:paraId="20EB8DDD" w14:textId="526409F8" w:rsidR="0009036B" w:rsidRDefault="0009036B" w:rsidP="00003D06">
      <w:pPr>
        <w:pStyle w:val="Bulletlevel2"/>
        <w:ind w:left="568" w:hanging="284"/>
      </w:pPr>
      <w:r>
        <w:t xml:space="preserve">fixed services in the frequency bands </w:t>
      </w:r>
      <w:r w:rsidR="00003D06" w:rsidRPr="00003D06">
        <w:t>in the frequency ranges 5600</w:t>
      </w:r>
      <w:r w:rsidR="007B3657">
        <w:t>–</w:t>
      </w:r>
      <w:r w:rsidR="00003D06" w:rsidRPr="00003D06">
        <w:t>5620 MHz and 5630</w:t>
      </w:r>
      <w:r w:rsidR="007B3657">
        <w:t>–</w:t>
      </w:r>
      <w:r w:rsidR="00003D06" w:rsidRPr="00003D06">
        <w:t>5650 MHz</w:t>
      </w:r>
    </w:p>
    <w:p w14:paraId="16192AEE" w14:textId="119576AA" w:rsidR="00CD10A5" w:rsidRDefault="0009036B" w:rsidP="00003D06">
      <w:pPr>
        <w:pStyle w:val="Bulletlevel2"/>
        <w:ind w:left="568" w:hanging="284"/>
      </w:pPr>
      <w:r>
        <w:t>land</w:t>
      </w:r>
      <w:r w:rsidR="007B3657">
        <w:t>-</w:t>
      </w:r>
      <w:r>
        <w:t>based earth stations in motion in the frequency bands 27.5</w:t>
      </w:r>
      <w:r w:rsidR="007B3657">
        <w:t>–</w:t>
      </w:r>
      <w:r>
        <w:t xml:space="preserve">29.1 GHz and </w:t>
      </w:r>
      <w:r w:rsidR="007B3657">
        <w:br/>
      </w:r>
      <w:r>
        <w:t>29.5</w:t>
      </w:r>
      <w:r w:rsidR="007B3657">
        <w:t>–</w:t>
      </w:r>
      <w:r>
        <w:t>30 GHz (AUS108)</w:t>
      </w:r>
      <w:r w:rsidR="00CD10A5" w:rsidRPr="00CD10A5">
        <w:t>.</w:t>
      </w:r>
    </w:p>
    <w:p w14:paraId="2D8A3AF7" w14:textId="3200C571" w:rsidR="005D7747" w:rsidRPr="00A17B1B" w:rsidRDefault="005D7747" w:rsidP="00CD10A5">
      <w:pPr>
        <w:pStyle w:val="Heading2"/>
      </w:pPr>
      <w:bookmarkStart w:id="14" w:name="_Toc181864745"/>
      <w:r>
        <w:t>Chapter 2</w:t>
      </w:r>
      <w:r w:rsidR="007B3657">
        <w:t xml:space="preserve"> – </w:t>
      </w:r>
      <w:r>
        <w:t>Part 4: International footnotes</w:t>
      </w:r>
      <w:bookmarkEnd w:id="14"/>
    </w:p>
    <w:p w14:paraId="2D64089B" w14:textId="33054F7B" w:rsidR="00A655CD" w:rsidRPr="00E162C4" w:rsidRDefault="00CD10A5" w:rsidP="00A655CD">
      <w:pPr>
        <w:pStyle w:val="Paragraph"/>
      </w:pPr>
      <w:r w:rsidRPr="00CD10A5">
        <w:t>Changes to international footnotes reflect the changes to the Radio Regulations outlined in the Final Acts of WRC-23 only.</w:t>
      </w:r>
    </w:p>
    <w:p w14:paraId="71AAE97D" w14:textId="1004A244" w:rsidR="00A655CD" w:rsidRPr="0089775B" w:rsidRDefault="00A655CD" w:rsidP="0089775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b/>
          <w:bCs/>
        </w:rPr>
      </w:pPr>
      <w:r w:rsidRPr="0089775B">
        <w:rPr>
          <w:b/>
          <w:bCs/>
        </w:rPr>
        <w:t>Question 2</w:t>
      </w:r>
    </w:p>
    <w:p w14:paraId="44CC4FAE" w14:textId="4BAB19F3" w:rsidR="00A655CD" w:rsidRDefault="00A655CD" w:rsidP="00A655CD">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655CD">
        <w:t>The ACMA seeks comment from interested parties on Chapter 2</w:t>
      </w:r>
      <w:r w:rsidRPr="00E162C4">
        <w:t>.</w:t>
      </w:r>
    </w:p>
    <w:p w14:paraId="0116F2DD" w14:textId="6E403835" w:rsidR="00B4295D" w:rsidRPr="00A17B1B" w:rsidRDefault="00B4295D" w:rsidP="00B4295D">
      <w:pPr>
        <w:pStyle w:val="Heading2"/>
      </w:pPr>
      <w:bookmarkStart w:id="15" w:name="_Toc181864746"/>
      <w:r>
        <w:t>Decisions made under subsection 10(10)</w:t>
      </w:r>
      <w:bookmarkEnd w:id="15"/>
    </w:p>
    <w:p w14:paraId="1E9E8D71" w14:textId="795C9D6E" w:rsidR="00003D06" w:rsidRDefault="0063483D" w:rsidP="0063483D">
      <w:pPr>
        <w:pStyle w:val="Paragraph"/>
        <w:keepNext/>
        <w:keepLines/>
      </w:pPr>
      <w:r w:rsidRPr="0063483D">
        <w:t xml:space="preserve">Subsection 10 (10) of </w:t>
      </w:r>
      <w:r w:rsidR="006141C6">
        <w:t xml:space="preserve">the </w:t>
      </w:r>
      <w:r w:rsidR="007B3657">
        <w:t>s</w:t>
      </w:r>
      <w:r w:rsidRPr="0063483D">
        <w:t xml:space="preserve">pectrum </w:t>
      </w:r>
      <w:r w:rsidR="007B3657">
        <w:t>p</w:t>
      </w:r>
      <w:r w:rsidRPr="0063483D">
        <w:t xml:space="preserve">lan allows </w:t>
      </w:r>
      <w:r w:rsidR="007B3657">
        <w:t>us</w:t>
      </w:r>
      <w:r w:rsidRPr="0063483D">
        <w:t xml:space="preserve"> to approve the operation of an unspecified service in a frequency band in certain circumstances. </w:t>
      </w:r>
      <w:r>
        <w:t xml:space="preserve">Our </w:t>
      </w:r>
      <w:hyperlink r:id="rId23" w:history="1">
        <w:r w:rsidR="007B3657">
          <w:rPr>
            <w:rStyle w:val="Hyperlink"/>
          </w:rPr>
          <w:t>u</w:t>
        </w:r>
        <w:r w:rsidRPr="0063483D">
          <w:rPr>
            <w:rStyle w:val="Hyperlink"/>
          </w:rPr>
          <w:t xml:space="preserve">nspecified </w:t>
        </w:r>
        <w:r w:rsidR="007B3657">
          <w:rPr>
            <w:rStyle w:val="Hyperlink"/>
          </w:rPr>
          <w:t>s</w:t>
        </w:r>
        <w:r w:rsidRPr="0063483D">
          <w:rPr>
            <w:rStyle w:val="Hyperlink"/>
          </w:rPr>
          <w:t xml:space="preserve">ervices </w:t>
        </w:r>
        <w:r w:rsidR="007B3657">
          <w:rPr>
            <w:rStyle w:val="Hyperlink"/>
          </w:rPr>
          <w:t>p</w:t>
        </w:r>
        <w:r w:rsidRPr="0063483D">
          <w:rPr>
            <w:rStyle w:val="Hyperlink"/>
          </w:rPr>
          <w:t>olicy</w:t>
        </w:r>
      </w:hyperlink>
      <w:r>
        <w:t xml:space="preserve"> explains the circumstances for using subsection 10(10) of the </w:t>
      </w:r>
      <w:r w:rsidR="007B3657">
        <w:t>s</w:t>
      </w:r>
      <w:r w:rsidRPr="0063483D">
        <w:t xml:space="preserve">pectrum </w:t>
      </w:r>
      <w:r w:rsidR="007B3657">
        <w:t>p</w:t>
      </w:r>
      <w:r w:rsidRPr="0063483D">
        <w:t>lan</w:t>
      </w:r>
      <w:r>
        <w:t xml:space="preserve"> and what we consider before we authorise an unspecified service. </w:t>
      </w:r>
    </w:p>
    <w:p w14:paraId="68EDE4FB" w14:textId="7ACE378C" w:rsidR="0089775B" w:rsidRDefault="0063483D" w:rsidP="0089775B">
      <w:pPr>
        <w:pStyle w:val="Paragraph"/>
        <w:keepLines/>
      </w:pPr>
      <w:r w:rsidRPr="0063483D">
        <w:t xml:space="preserve">It is a condition of subsection 10(10) of the ARSP that </w:t>
      </w:r>
      <w:r w:rsidR="007B3657">
        <w:t>we</w:t>
      </w:r>
      <w:r w:rsidRPr="0063483D">
        <w:t xml:space="preserve"> give </w:t>
      </w:r>
      <w:r w:rsidR="007B3657">
        <w:t>our</w:t>
      </w:r>
      <w:r w:rsidR="007B3657" w:rsidRPr="0063483D">
        <w:t xml:space="preserve"> </w:t>
      </w:r>
      <w:r w:rsidRPr="0063483D">
        <w:t xml:space="preserve">approval of the unspecified service in writing and that notice of that approval be published on the </w:t>
      </w:r>
      <w:r w:rsidR="007B3657">
        <w:br/>
      </w:r>
      <w:hyperlink r:id="rId24" w:history="1">
        <w:r w:rsidRPr="0089775B">
          <w:rPr>
            <w:rStyle w:val="Hyperlink"/>
          </w:rPr>
          <w:t>ACMA website</w:t>
        </w:r>
      </w:hyperlink>
      <w:r w:rsidR="0089775B">
        <w:t>.</w:t>
      </w:r>
      <w:r w:rsidR="0089775B" w:rsidRPr="0089775B">
        <w:t xml:space="preserve"> </w:t>
      </w:r>
    </w:p>
    <w:p w14:paraId="4372008A" w14:textId="0036D331" w:rsidR="0063483D" w:rsidRPr="00A17B1B" w:rsidRDefault="0089775B" w:rsidP="0063483D">
      <w:pPr>
        <w:pStyle w:val="Paragraph"/>
        <w:keepNext/>
        <w:keepLines/>
      </w:pPr>
      <w:r>
        <w:lastRenderedPageBreak/>
        <w:t xml:space="preserve">We have </w:t>
      </w:r>
      <w:r w:rsidR="002B1EB3">
        <w:t xml:space="preserve">reviewed </w:t>
      </w:r>
      <w:r>
        <w:t xml:space="preserve">the current decisions made under subsection 10(10). Table 1 summarises the proposed action for decisions made by the ACMA under </w:t>
      </w:r>
      <w:r w:rsidRPr="00003D06">
        <w:t>subsection 10(10)</w:t>
      </w:r>
      <w:r>
        <w:t xml:space="preserve"> of the </w:t>
      </w:r>
      <w:r w:rsidR="002F1877">
        <w:t>s</w:t>
      </w:r>
      <w:r>
        <w:t xml:space="preserve">pectrum </w:t>
      </w:r>
      <w:r w:rsidR="002F1877">
        <w:t>p</w:t>
      </w:r>
      <w:r>
        <w:t>lan.</w:t>
      </w:r>
    </w:p>
    <w:p w14:paraId="43A4F693" w14:textId="7FEF19FC" w:rsidR="00003D06" w:rsidRPr="00A17B1B" w:rsidRDefault="00003D06" w:rsidP="00003D06">
      <w:pPr>
        <w:pStyle w:val="Tableheading"/>
      </w:pPr>
      <w:r>
        <w:t xml:space="preserve">Proposed action for decisions </w:t>
      </w:r>
      <w:r w:rsidRPr="00003D06">
        <w:t>under subsection 10(10)</w:t>
      </w:r>
    </w:p>
    <w:tbl>
      <w:tblPr>
        <w:tblStyle w:val="ACMAtablestyle"/>
        <w:tblW w:w="8500" w:type="dxa"/>
        <w:tblLayout w:type="fixed"/>
        <w:tblLook w:val="01E0" w:firstRow="1" w:lastRow="1" w:firstColumn="1" w:lastColumn="1" w:noHBand="0" w:noVBand="0"/>
        <w:tblCaption w:val="Table title to go here"/>
        <w:tblDescription w:val="Table description to go here"/>
      </w:tblPr>
      <w:tblGrid>
        <w:gridCol w:w="1413"/>
        <w:gridCol w:w="3544"/>
        <w:gridCol w:w="3543"/>
      </w:tblGrid>
      <w:tr w:rsidR="00003D06" w:rsidRPr="00A17B1B" w14:paraId="636E8D1E" w14:textId="77777777" w:rsidTr="004B4763">
        <w:trPr>
          <w:cnfStyle w:val="100000000000" w:firstRow="1" w:lastRow="0" w:firstColumn="0" w:lastColumn="0" w:oddVBand="0" w:evenVBand="0" w:oddHBand="0" w:evenHBand="0" w:firstRowFirstColumn="0" w:firstRowLastColumn="0" w:lastRowFirstColumn="0" w:lastRowLastColumn="0"/>
        </w:trPr>
        <w:tc>
          <w:tcPr>
            <w:tcW w:w="1413" w:type="dxa"/>
          </w:tcPr>
          <w:p w14:paraId="2A944D08" w14:textId="20B063BE" w:rsidR="00003D06" w:rsidRPr="00A17B1B" w:rsidRDefault="004B4763" w:rsidP="002545A1">
            <w:pPr>
              <w:pStyle w:val="Tableheaderrow"/>
              <w:keepNext/>
              <w:keepLines/>
            </w:pPr>
            <w:r>
              <w:t>Decision date</w:t>
            </w:r>
          </w:p>
        </w:tc>
        <w:tc>
          <w:tcPr>
            <w:tcW w:w="3544" w:type="dxa"/>
          </w:tcPr>
          <w:p w14:paraId="165BE767" w14:textId="72EB395E" w:rsidR="00003D06" w:rsidRPr="00A17B1B" w:rsidRDefault="004B4763" w:rsidP="002545A1">
            <w:pPr>
              <w:pStyle w:val="Tableheaderrow"/>
              <w:keepNext/>
              <w:keepLines/>
            </w:pPr>
            <w:r>
              <w:t>Subject</w:t>
            </w:r>
          </w:p>
        </w:tc>
        <w:tc>
          <w:tcPr>
            <w:tcW w:w="3543" w:type="dxa"/>
          </w:tcPr>
          <w:p w14:paraId="5EC9166F" w14:textId="2BE59AEC" w:rsidR="00003D06" w:rsidRPr="00A17B1B" w:rsidRDefault="004B4763" w:rsidP="002545A1">
            <w:pPr>
              <w:pStyle w:val="Tableheaderrow"/>
              <w:keepNext/>
              <w:keepLines/>
            </w:pPr>
            <w:r>
              <w:t>Proposed action</w:t>
            </w:r>
          </w:p>
        </w:tc>
      </w:tr>
      <w:tr w:rsidR="00003D06" w:rsidRPr="00A17B1B" w14:paraId="17E1C958" w14:textId="77777777" w:rsidTr="004B4763">
        <w:trPr>
          <w:cnfStyle w:val="000000100000" w:firstRow="0" w:lastRow="0" w:firstColumn="0" w:lastColumn="0" w:oddVBand="0" w:evenVBand="0" w:oddHBand="1" w:evenHBand="0" w:firstRowFirstColumn="0" w:firstRowLastColumn="0" w:lastRowFirstColumn="0" w:lastRowLastColumn="0"/>
        </w:trPr>
        <w:tc>
          <w:tcPr>
            <w:tcW w:w="1413" w:type="dxa"/>
          </w:tcPr>
          <w:p w14:paraId="2328AE36" w14:textId="339AAC6C" w:rsidR="00003D06" w:rsidRPr="00A17B1B" w:rsidRDefault="004B4763" w:rsidP="002545A1">
            <w:pPr>
              <w:pStyle w:val="TableBody"/>
              <w:keepNext/>
              <w:keepLines/>
            </w:pPr>
            <w:r w:rsidRPr="004B4763">
              <w:t>20 Oct 2017</w:t>
            </w:r>
          </w:p>
        </w:tc>
        <w:tc>
          <w:tcPr>
            <w:tcW w:w="3544" w:type="dxa"/>
          </w:tcPr>
          <w:p w14:paraId="6AB02030" w14:textId="5A7A31E6" w:rsidR="00003D06" w:rsidRPr="00A17B1B" w:rsidRDefault="00003D06" w:rsidP="002545A1">
            <w:pPr>
              <w:pStyle w:val="TableBody"/>
              <w:keepNext/>
              <w:keepLines/>
            </w:pPr>
            <w:r w:rsidRPr="00003D06">
              <w:t>Earth station transmitters in motion communicating with non-geostationary space stations in the fixed-satellite service (</w:t>
            </w:r>
            <w:r w:rsidR="002F1877">
              <w:t>e</w:t>
            </w:r>
            <w:r w:rsidRPr="00003D06">
              <w:t>arth-to-space) in the frequency range 28.5–29.1</w:t>
            </w:r>
            <w:r>
              <w:t> </w:t>
            </w:r>
            <w:r w:rsidRPr="00003D06">
              <w:t>GHz</w:t>
            </w:r>
          </w:p>
        </w:tc>
        <w:tc>
          <w:tcPr>
            <w:tcW w:w="3543" w:type="dxa"/>
          </w:tcPr>
          <w:p w14:paraId="01CFB1B9" w14:textId="6CF8F199" w:rsidR="00003D06" w:rsidRPr="00A17B1B" w:rsidRDefault="004B4763" w:rsidP="002545A1">
            <w:pPr>
              <w:pStyle w:val="TableBody"/>
              <w:keepNext/>
              <w:keepLines/>
            </w:pPr>
            <w:r>
              <w:t xml:space="preserve">Addition of international footnote 517B and </w:t>
            </w:r>
            <w:r w:rsidRPr="004B4763">
              <w:t>Australian footnote AUS108</w:t>
            </w:r>
            <w:r>
              <w:t xml:space="preserve"> </w:t>
            </w:r>
            <w:r w:rsidR="00415DCA">
              <w:t xml:space="preserve">is </w:t>
            </w:r>
            <w:r w:rsidR="0063483D">
              <w:t>proposed to provide permanent arrangements. Propose</w:t>
            </w:r>
            <w:r>
              <w:t xml:space="preserve"> </w:t>
            </w:r>
            <w:r w:rsidR="006141C6">
              <w:t>revocation</w:t>
            </w:r>
            <w:r>
              <w:t xml:space="preserve"> of the</w:t>
            </w:r>
            <w:r w:rsidR="00415DCA">
              <w:t xml:space="preserve"> applicable</w:t>
            </w:r>
            <w:r>
              <w:t xml:space="preserve"> </w:t>
            </w:r>
            <w:r w:rsidRPr="004B4763">
              <w:t>subsection 10(10)</w:t>
            </w:r>
            <w:r>
              <w:t xml:space="preserve"> decision.</w:t>
            </w:r>
          </w:p>
        </w:tc>
      </w:tr>
      <w:tr w:rsidR="00003D06" w:rsidRPr="00A17B1B" w14:paraId="0B77645B" w14:textId="77777777" w:rsidTr="004B4763">
        <w:trPr>
          <w:cnfStyle w:val="000000010000" w:firstRow="0" w:lastRow="0" w:firstColumn="0" w:lastColumn="0" w:oddVBand="0" w:evenVBand="0" w:oddHBand="0" w:evenHBand="1" w:firstRowFirstColumn="0" w:firstRowLastColumn="0" w:lastRowFirstColumn="0" w:lastRowLastColumn="0"/>
        </w:trPr>
        <w:tc>
          <w:tcPr>
            <w:tcW w:w="1413" w:type="dxa"/>
          </w:tcPr>
          <w:p w14:paraId="732686C6" w14:textId="0899F647" w:rsidR="00003D06" w:rsidRPr="00A17B1B" w:rsidRDefault="004B4763" w:rsidP="002545A1">
            <w:pPr>
              <w:pStyle w:val="TableBody"/>
              <w:keepNext/>
              <w:keepLines/>
            </w:pPr>
            <w:r w:rsidRPr="004B4763">
              <w:t>20 Oct 2017</w:t>
            </w:r>
          </w:p>
        </w:tc>
        <w:tc>
          <w:tcPr>
            <w:tcW w:w="3544" w:type="dxa"/>
          </w:tcPr>
          <w:p w14:paraId="280D5291" w14:textId="04E694F6" w:rsidR="00003D06" w:rsidRPr="00A17B1B" w:rsidRDefault="00003D06" w:rsidP="002545A1">
            <w:pPr>
              <w:pStyle w:val="TableBody"/>
              <w:keepNext/>
              <w:keepLines/>
            </w:pPr>
            <w:r w:rsidRPr="00003D06">
              <w:t>Earth station transmitters in motion communicating with geostationary space stations in the fixed-satellite service (</w:t>
            </w:r>
            <w:r w:rsidR="00FB15B9">
              <w:t>e</w:t>
            </w:r>
            <w:r w:rsidRPr="00003D06">
              <w:t>arth-to-space) in the frequency range 28.5–29.1 GHz</w:t>
            </w:r>
          </w:p>
        </w:tc>
        <w:tc>
          <w:tcPr>
            <w:tcW w:w="3543" w:type="dxa"/>
          </w:tcPr>
          <w:p w14:paraId="2225493D" w14:textId="46BC2A3C" w:rsidR="0063483D" w:rsidRPr="00A17B1B" w:rsidRDefault="004B4763" w:rsidP="002545A1">
            <w:pPr>
              <w:pStyle w:val="TableBody"/>
              <w:keepNext/>
              <w:keepLines/>
            </w:pPr>
            <w:r>
              <w:t>I</w:t>
            </w:r>
            <w:r w:rsidRPr="004B4763">
              <w:t>nternational footnote 517</w:t>
            </w:r>
            <w:r>
              <w:t xml:space="preserve">A, which was added to the </w:t>
            </w:r>
            <w:r w:rsidR="00FB15B9">
              <w:t>s</w:t>
            </w:r>
            <w:r>
              <w:t xml:space="preserve">pectrum </w:t>
            </w:r>
            <w:r w:rsidR="00FB15B9">
              <w:t>p</w:t>
            </w:r>
            <w:r>
              <w:t xml:space="preserve">lan after WRC-19, provides the necessary arrangements. </w:t>
            </w:r>
            <w:r w:rsidR="0063483D">
              <w:t xml:space="preserve">Propose </w:t>
            </w:r>
            <w:r w:rsidR="006141C6">
              <w:t xml:space="preserve">revocation </w:t>
            </w:r>
            <w:r w:rsidR="0063483D">
              <w:t>of the</w:t>
            </w:r>
            <w:r w:rsidR="00415DCA">
              <w:t xml:space="preserve"> applicable </w:t>
            </w:r>
            <w:r w:rsidR="0063483D" w:rsidRPr="004B4763">
              <w:t>subsection 10(10)</w:t>
            </w:r>
            <w:r w:rsidR="0063483D">
              <w:t xml:space="preserve"> decision.</w:t>
            </w:r>
          </w:p>
        </w:tc>
      </w:tr>
      <w:tr w:rsidR="00003D06" w:rsidRPr="00A17B1B" w14:paraId="401FA6DB" w14:textId="77777777" w:rsidTr="004B4763">
        <w:trPr>
          <w:cnfStyle w:val="000000100000" w:firstRow="0" w:lastRow="0" w:firstColumn="0" w:lastColumn="0" w:oddVBand="0" w:evenVBand="0" w:oddHBand="1" w:evenHBand="0" w:firstRowFirstColumn="0" w:firstRowLastColumn="0" w:lastRowFirstColumn="0" w:lastRowLastColumn="0"/>
        </w:trPr>
        <w:tc>
          <w:tcPr>
            <w:tcW w:w="1413" w:type="dxa"/>
          </w:tcPr>
          <w:p w14:paraId="5BA32BC7" w14:textId="5DBC3AE9" w:rsidR="00003D06" w:rsidRPr="00A17B1B" w:rsidRDefault="004B4763" w:rsidP="002545A1">
            <w:pPr>
              <w:pStyle w:val="TableBody"/>
              <w:keepNext/>
              <w:keepLines/>
            </w:pPr>
            <w:r w:rsidRPr="004B4763">
              <w:t>20 Nov 2018</w:t>
            </w:r>
          </w:p>
        </w:tc>
        <w:tc>
          <w:tcPr>
            <w:tcW w:w="3544" w:type="dxa"/>
          </w:tcPr>
          <w:p w14:paraId="1DD35746" w14:textId="08993002" w:rsidR="00003D06" w:rsidRPr="00A17B1B" w:rsidRDefault="00003D06" w:rsidP="002545A1">
            <w:pPr>
              <w:pStyle w:val="TableBody"/>
              <w:keepNext/>
              <w:keepLines/>
            </w:pPr>
            <w:r w:rsidRPr="00003D06">
              <w:t xml:space="preserve">Fixed service allocation in the frequency ranges 5600–5620 MHz and 5630–5650 </w:t>
            </w:r>
            <w:proofErr w:type="spellStart"/>
            <w:r w:rsidRPr="00003D06">
              <w:t>MHz</w:t>
            </w:r>
            <w:r w:rsidR="00FB15B9">
              <w:t>.</w:t>
            </w:r>
            <w:proofErr w:type="spellEnd"/>
          </w:p>
        </w:tc>
        <w:tc>
          <w:tcPr>
            <w:tcW w:w="3543" w:type="dxa"/>
          </w:tcPr>
          <w:p w14:paraId="4FC7D412" w14:textId="74A6913C" w:rsidR="00003D06" w:rsidRPr="00A17B1B" w:rsidRDefault="0063483D" w:rsidP="002545A1">
            <w:pPr>
              <w:pStyle w:val="TableBody"/>
              <w:keepNext/>
              <w:keepLines/>
            </w:pPr>
            <w:r>
              <w:t xml:space="preserve">Addition of a fixed allocation and new Australian footnote AUS107 </w:t>
            </w:r>
            <w:r w:rsidR="00415DCA">
              <w:t xml:space="preserve">is </w:t>
            </w:r>
            <w:r>
              <w:t xml:space="preserve">proposed to provide permanent arrangements. Propose </w:t>
            </w:r>
            <w:r w:rsidR="006141C6">
              <w:t xml:space="preserve">revocation </w:t>
            </w:r>
            <w:r>
              <w:t xml:space="preserve">of the </w:t>
            </w:r>
            <w:r w:rsidR="00415DCA">
              <w:t xml:space="preserve">applicable </w:t>
            </w:r>
            <w:r w:rsidRPr="004B4763">
              <w:t>subsection 10(10)</w:t>
            </w:r>
            <w:r>
              <w:t xml:space="preserve"> decision.</w:t>
            </w:r>
          </w:p>
        </w:tc>
      </w:tr>
      <w:tr w:rsidR="00003D06" w:rsidRPr="00A17B1B" w14:paraId="09F3994C" w14:textId="77777777" w:rsidTr="004B4763">
        <w:trPr>
          <w:cnfStyle w:val="000000010000" w:firstRow="0" w:lastRow="0" w:firstColumn="0" w:lastColumn="0" w:oddVBand="0" w:evenVBand="0" w:oddHBand="0" w:evenHBand="1" w:firstRowFirstColumn="0" w:firstRowLastColumn="0" w:lastRowFirstColumn="0" w:lastRowLastColumn="0"/>
        </w:trPr>
        <w:tc>
          <w:tcPr>
            <w:tcW w:w="1413" w:type="dxa"/>
          </w:tcPr>
          <w:p w14:paraId="464C9796" w14:textId="1DE4B189" w:rsidR="00003D06" w:rsidRPr="00A17B1B" w:rsidRDefault="004B4763" w:rsidP="002545A1">
            <w:pPr>
              <w:pStyle w:val="TableBody"/>
              <w:keepNext/>
              <w:keepLines/>
            </w:pPr>
            <w:r w:rsidRPr="004B4763">
              <w:t>21 Dec 2022</w:t>
            </w:r>
          </w:p>
        </w:tc>
        <w:tc>
          <w:tcPr>
            <w:tcW w:w="3544" w:type="dxa"/>
          </w:tcPr>
          <w:p w14:paraId="036042BE" w14:textId="65DB4B00" w:rsidR="00003D06" w:rsidRPr="00A17B1B" w:rsidRDefault="00003D06" w:rsidP="002545A1">
            <w:pPr>
              <w:pStyle w:val="TableBody"/>
              <w:keepNext/>
              <w:keepLines/>
            </w:pPr>
            <w:r w:rsidRPr="00003D06">
              <w:t>Radiodetermination transmitters in the frequency range 24.25</w:t>
            </w:r>
            <w:r w:rsidR="00FB15B9">
              <w:t>–</w:t>
            </w:r>
            <w:r w:rsidRPr="00003D06">
              <w:t>24.316</w:t>
            </w:r>
            <w:r w:rsidR="0063483D">
              <w:t xml:space="preserve"> GHz</w:t>
            </w:r>
            <w:r w:rsidR="00FB15B9">
              <w:t>.</w:t>
            </w:r>
          </w:p>
        </w:tc>
        <w:tc>
          <w:tcPr>
            <w:tcW w:w="3543" w:type="dxa"/>
          </w:tcPr>
          <w:p w14:paraId="1EED200F" w14:textId="7C701678" w:rsidR="00003D06" w:rsidRPr="00A17B1B" w:rsidRDefault="0063483D" w:rsidP="002545A1">
            <w:pPr>
              <w:pStyle w:val="TableBody"/>
              <w:keepNext/>
              <w:keepLines/>
            </w:pPr>
            <w:r>
              <w:t>Maintain</w:t>
            </w:r>
            <w:r w:rsidR="00415DCA">
              <w:t xml:space="preserve"> applicable</w:t>
            </w:r>
            <w:r>
              <w:t xml:space="preserve"> </w:t>
            </w:r>
            <w:r w:rsidRPr="004B4763">
              <w:t>subsection 10(10)</w:t>
            </w:r>
            <w:r>
              <w:t xml:space="preserve"> decision.</w:t>
            </w:r>
          </w:p>
        </w:tc>
      </w:tr>
      <w:tr w:rsidR="0063483D" w:rsidRPr="00A17B1B" w14:paraId="2CF9A82F" w14:textId="77777777" w:rsidTr="004B4763">
        <w:trPr>
          <w:cnfStyle w:val="000000100000" w:firstRow="0" w:lastRow="0" w:firstColumn="0" w:lastColumn="0" w:oddVBand="0" w:evenVBand="0" w:oddHBand="1" w:evenHBand="0" w:firstRowFirstColumn="0" w:firstRowLastColumn="0" w:lastRowFirstColumn="0" w:lastRowLastColumn="0"/>
        </w:trPr>
        <w:tc>
          <w:tcPr>
            <w:tcW w:w="1413" w:type="dxa"/>
          </w:tcPr>
          <w:p w14:paraId="7FD41F8C" w14:textId="6C075FB5" w:rsidR="0063483D" w:rsidRPr="00A17B1B" w:rsidRDefault="0063483D" w:rsidP="002545A1">
            <w:pPr>
              <w:pStyle w:val="TableBody"/>
              <w:keepNext/>
              <w:keepLines/>
            </w:pPr>
            <w:r w:rsidRPr="004B4763">
              <w:t>16 Nov 2023</w:t>
            </w:r>
          </w:p>
        </w:tc>
        <w:tc>
          <w:tcPr>
            <w:tcW w:w="3544" w:type="dxa"/>
          </w:tcPr>
          <w:p w14:paraId="07CB3D77" w14:textId="492CFB5B" w:rsidR="0063483D" w:rsidRPr="00A17B1B" w:rsidRDefault="0063483D" w:rsidP="002545A1">
            <w:pPr>
              <w:pStyle w:val="TableBody"/>
              <w:keepNext/>
              <w:keepLines/>
            </w:pPr>
            <w:r w:rsidRPr="00003D06">
              <w:t xml:space="preserve">Radiodetermination service in </w:t>
            </w:r>
            <w:r w:rsidR="00FB15B9">
              <w:br/>
            </w:r>
            <w:r w:rsidRPr="00003D06">
              <w:t>184–187 THz frequency band</w:t>
            </w:r>
            <w:r w:rsidR="00FB15B9">
              <w:t>.</w:t>
            </w:r>
          </w:p>
        </w:tc>
        <w:tc>
          <w:tcPr>
            <w:tcW w:w="3543" w:type="dxa"/>
            <w:vMerge w:val="restart"/>
          </w:tcPr>
          <w:p w14:paraId="1B01BE99" w14:textId="4F7E0587" w:rsidR="0063483D" w:rsidRPr="00A17B1B" w:rsidRDefault="0063483D" w:rsidP="002545A1">
            <w:pPr>
              <w:pStyle w:val="TableBody"/>
              <w:keepNext/>
              <w:keepLines/>
            </w:pPr>
            <w:r>
              <w:t>N</w:t>
            </w:r>
            <w:r w:rsidRPr="0063483D">
              <w:t>ew provision</w:t>
            </w:r>
            <w:r w:rsidR="00415DCA">
              <w:t xml:space="preserve"> is</w:t>
            </w:r>
            <w:r>
              <w:t xml:space="preserve"> proposed</w:t>
            </w:r>
            <w:r w:rsidRPr="0063483D">
              <w:t xml:space="preserve"> in </w:t>
            </w:r>
            <w:r w:rsidR="00FB15B9">
              <w:br/>
            </w:r>
            <w:r w:rsidRPr="0063483D">
              <w:t xml:space="preserve">Section 10 </w:t>
            </w:r>
            <w:r>
              <w:t xml:space="preserve">regarding the </w:t>
            </w:r>
            <w:r w:rsidRPr="0063483D">
              <w:t xml:space="preserve">use of frequency bands that are </w:t>
            </w:r>
            <w:r w:rsidR="00FB15B9">
              <w:t>‘</w:t>
            </w:r>
            <w:r w:rsidRPr="0063483D">
              <w:t>not allocated</w:t>
            </w:r>
            <w:r w:rsidR="00FB15B9">
              <w:t>’</w:t>
            </w:r>
            <w:r>
              <w:t xml:space="preserve"> that will </w:t>
            </w:r>
            <w:r w:rsidRPr="0063483D">
              <w:t>enable a permanent solution for access to the frequency range 275</w:t>
            </w:r>
            <w:r>
              <w:t xml:space="preserve"> GHz to 420 THz range. Propose </w:t>
            </w:r>
            <w:r w:rsidR="006141C6">
              <w:t xml:space="preserve">revocation </w:t>
            </w:r>
            <w:r>
              <w:t>of the</w:t>
            </w:r>
            <w:r w:rsidR="00415DCA">
              <w:t xml:space="preserve"> applicable</w:t>
            </w:r>
            <w:r>
              <w:t xml:space="preserve"> </w:t>
            </w:r>
            <w:r w:rsidRPr="004B4763">
              <w:t>subsection 10(10)</w:t>
            </w:r>
            <w:r>
              <w:t xml:space="preserve"> decision</w:t>
            </w:r>
            <w:r w:rsidR="00415DCA">
              <w:t>s</w:t>
            </w:r>
            <w:r>
              <w:t>.</w:t>
            </w:r>
          </w:p>
        </w:tc>
      </w:tr>
      <w:tr w:rsidR="0063483D" w:rsidRPr="00A17B1B" w14:paraId="62055352" w14:textId="77777777" w:rsidTr="004B4763">
        <w:trPr>
          <w:cnfStyle w:val="000000010000" w:firstRow="0" w:lastRow="0" w:firstColumn="0" w:lastColumn="0" w:oddVBand="0" w:evenVBand="0" w:oddHBand="0" w:evenHBand="1" w:firstRowFirstColumn="0" w:firstRowLastColumn="0" w:lastRowFirstColumn="0" w:lastRowLastColumn="0"/>
        </w:trPr>
        <w:tc>
          <w:tcPr>
            <w:tcW w:w="1413" w:type="dxa"/>
          </w:tcPr>
          <w:p w14:paraId="7F2964F0" w14:textId="3A809D16" w:rsidR="0063483D" w:rsidRPr="00A17B1B" w:rsidRDefault="0063483D" w:rsidP="004B4763">
            <w:pPr>
              <w:pStyle w:val="TableBody"/>
              <w:keepNext/>
              <w:keepLines/>
              <w:tabs>
                <w:tab w:val="left" w:pos="645"/>
              </w:tabs>
            </w:pPr>
            <w:r w:rsidRPr="004B4763">
              <w:t>8 Mar 2024</w:t>
            </w:r>
          </w:p>
        </w:tc>
        <w:tc>
          <w:tcPr>
            <w:tcW w:w="3544" w:type="dxa"/>
          </w:tcPr>
          <w:p w14:paraId="721259B3" w14:textId="24823327" w:rsidR="0063483D" w:rsidRPr="00A17B1B" w:rsidRDefault="0063483D" w:rsidP="002545A1">
            <w:pPr>
              <w:pStyle w:val="TableBody"/>
              <w:keepNext/>
              <w:keepLines/>
            </w:pPr>
            <w:r w:rsidRPr="00003D06">
              <w:t xml:space="preserve">Radiodetermination service in </w:t>
            </w:r>
            <w:r w:rsidR="00FB15B9">
              <w:br/>
            </w:r>
            <w:r w:rsidRPr="00003D06">
              <w:t>187–195 THz frequency band</w:t>
            </w:r>
          </w:p>
        </w:tc>
        <w:tc>
          <w:tcPr>
            <w:tcW w:w="3543" w:type="dxa"/>
            <w:vMerge/>
          </w:tcPr>
          <w:p w14:paraId="45081473" w14:textId="77777777" w:rsidR="0063483D" w:rsidRPr="00A17B1B" w:rsidRDefault="0063483D" w:rsidP="002545A1">
            <w:pPr>
              <w:pStyle w:val="TableBody"/>
              <w:keepNext/>
              <w:keepLines/>
            </w:pPr>
          </w:p>
        </w:tc>
      </w:tr>
      <w:tr w:rsidR="0063483D" w:rsidRPr="00A17B1B" w14:paraId="0E732020" w14:textId="77777777" w:rsidTr="004B4763">
        <w:trPr>
          <w:cnfStyle w:val="000000100000" w:firstRow="0" w:lastRow="0" w:firstColumn="0" w:lastColumn="0" w:oddVBand="0" w:evenVBand="0" w:oddHBand="1" w:evenHBand="0" w:firstRowFirstColumn="0" w:firstRowLastColumn="0" w:lastRowFirstColumn="0" w:lastRowLastColumn="0"/>
        </w:trPr>
        <w:tc>
          <w:tcPr>
            <w:tcW w:w="1413" w:type="dxa"/>
          </w:tcPr>
          <w:p w14:paraId="4BF60538" w14:textId="0F03552A" w:rsidR="0063483D" w:rsidRPr="00A17B1B" w:rsidRDefault="0063483D" w:rsidP="002545A1">
            <w:pPr>
              <w:pStyle w:val="TableBody"/>
              <w:keepNext/>
              <w:keepLines/>
            </w:pPr>
            <w:r w:rsidRPr="004B4763">
              <w:t>8 Mar 2024</w:t>
            </w:r>
          </w:p>
        </w:tc>
        <w:tc>
          <w:tcPr>
            <w:tcW w:w="3544" w:type="dxa"/>
          </w:tcPr>
          <w:p w14:paraId="3833146E" w14:textId="2E4E4DA6" w:rsidR="0063483D" w:rsidRPr="00A17B1B" w:rsidRDefault="0063483D" w:rsidP="002545A1">
            <w:pPr>
              <w:pStyle w:val="TableBody"/>
              <w:keepNext/>
              <w:keepLines/>
            </w:pPr>
            <w:r w:rsidRPr="00003D06">
              <w:t xml:space="preserve">Fixed </w:t>
            </w:r>
            <w:r w:rsidR="00FB15B9">
              <w:t>s</w:t>
            </w:r>
            <w:r w:rsidRPr="00003D06">
              <w:t>atellite service in 185–200 THz frequency band</w:t>
            </w:r>
            <w:r w:rsidR="00FB15B9">
              <w:t>.</w:t>
            </w:r>
            <w:r w:rsidRPr="00003D06">
              <w:tab/>
            </w:r>
          </w:p>
        </w:tc>
        <w:tc>
          <w:tcPr>
            <w:tcW w:w="3543" w:type="dxa"/>
            <w:vMerge/>
          </w:tcPr>
          <w:p w14:paraId="1AA386B2" w14:textId="164DD168" w:rsidR="0063483D" w:rsidRPr="00A17B1B" w:rsidRDefault="0063483D" w:rsidP="002545A1">
            <w:pPr>
              <w:pStyle w:val="TableBody"/>
              <w:keepNext/>
              <w:keepLines/>
            </w:pPr>
          </w:p>
        </w:tc>
      </w:tr>
    </w:tbl>
    <w:p w14:paraId="3428EB4B" w14:textId="4D29C943" w:rsidR="00003D06" w:rsidRPr="0089775B" w:rsidRDefault="00003D06" w:rsidP="00B73FF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240" w:after="60"/>
        <w:rPr>
          <w:b/>
          <w:bCs/>
        </w:rPr>
      </w:pPr>
      <w:r w:rsidRPr="0089775B">
        <w:rPr>
          <w:b/>
          <w:bCs/>
        </w:rPr>
        <w:t>Question 3</w:t>
      </w:r>
    </w:p>
    <w:p w14:paraId="20D765E7" w14:textId="7F61E6BE" w:rsidR="00003D06" w:rsidRDefault="00003D06" w:rsidP="00003D06">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655CD">
        <w:t xml:space="preserve">The ACMA seeks comment from interested parties on </w:t>
      </w:r>
      <w:r>
        <w:t xml:space="preserve">the proposed action for </w:t>
      </w:r>
      <w:r w:rsidRPr="00003D06">
        <w:t>decisions</w:t>
      </w:r>
      <w:r w:rsidR="0063483D">
        <w:t xml:space="preserve"> previously made by the ACMA</w:t>
      </w:r>
      <w:r w:rsidRPr="00003D06">
        <w:t xml:space="preserve"> under subsection 10(10)</w:t>
      </w:r>
      <w:r w:rsidR="0063483D">
        <w:t xml:space="preserve"> of the </w:t>
      </w:r>
      <w:r w:rsidR="00FB15B9">
        <w:t>s</w:t>
      </w:r>
      <w:r w:rsidR="0063483D">
        <w:t xml:space="preserve">pectrum </w:t>
      </w:r>
      <w:r w:rsidR="00FB15B9">
        <w:t>p</w:t>
      </w:r>
      <w:r w:rsidR="0063483D">
        <w:t>lan</w:t>
      </w:r>
      <w:r w:rsidRPr="00E162C4">
        <w:t>.</w:t>
      </w:r>
    </w:p>
    <w:p w14:paraId="4668AE5A" w14:textId="77777777" w:rsidR="004B2960" w:rsidRPr="00E162C4" w:rsidRDefault="004B2960" w:rsidP="004B2960">
      <w:pPr>
        <w:pStyle w:val="Heading1"/>
      </w:pPr>
      <w:bookmarkStart w:id="16" w:name="_Toc92265098"/>
      <w:bookmarkStart w:id="17" w:name="_Toc348105641"/>
      <w:bookmarkStart w:id="18" w:name="_Toc181864747"/>
      <w:r w:rsidRPr="00E162C4">
        <w:lastRenderedPageBreak/>
        <w:t>Invitation to comment</w:t>
      </w:r>
      <w:bookmarkEnd w:id="16"/>
      <w:bookmarkEnd w:id="18"/>
    </w:p>
    <w:p w14:paraId="38F59753" w14:textId="77777777" w:rsidR="004B2960" w:rsidRPr="00E162C4" w:rsidRDefault="004B2960" w:rsidP="004B2960">
      <w:pPr>
        <w:pStyle w:val="Heading2"/>
      </w:pPr>
      <w:bookmarkStart w:id="19" w:name="_Toc433122131"/>
      <w:bookmarkStart w:id="20" w:name="_Toc348105637"/>
      <w:bookmarkStart w:id="21" w:name="_Toc300909556"/>
      <w:bookmarkStart w:id="22" w:name="_Toc298924673"/>
      <w:bookmarkStart w:id="23" w:name="_Toc92265099"/>
      <w:bookmarkStart w:id="24" w:name="_Toc348105638"/>
      <w:bookmarkStart w:id="25" w:name="_Toc300909557"/>
      <w:bookmarkStart w:id="26" w:name="_Toc298924674"/>
      <w:bookmarkStart w:id="27" w:name="_Toc274296357"/>
      <w:bookmarkStart w:id="28" w:name="_Toc181864748"/>
      <w:r w:rsidRPr="00E162C4">
        <w:t>Making a submission</w:t>
      </w:r>
      <w:bookmarkEnd w:id="19"/>
      <w:bookmarkEnd w:id="20"/>
      <w:bookmarkEnd w:id="21"/>
      <w:bookmarkEnd w:id="22"/>
      <w:bookmarkEnd w:id="23"/>
      <w:bookmarkEnd w:id="28"/>
    </w:p>
    <w:p w14:paraId="40BB22D2" w14:textId="2E7B584E" w:rsidR="004B2960" w:rsidRPr="00E162C4" w:rsidRDefault="004B2960" w:rsidP="004B2960">
      <w:pPr>
        <w:pStyle w:val="Paragraph"/>
      </w:pPr>
      <w:r w:rsidRPr="00E162C4">
        <w:t xml:space="preserve">We invite comments on the issues set out in this </w:t>
      </w:r>
      <w:r w:rsidR="006141C6">
        <w:t>consultation</w:t>
      </w:r>
      <w:r w:rsidRPr="00E162C4">
        <w:t xml:space="preserve"> paper. </w:t>
      </w:r>
    </w:p>
    <w:p w14:paraId="663399B2" w14:textId="77777777" w:rsidR="004B2960" w:rsidRPr="00E162C4" w:rsidRDefault="00497DF7" w:rsidP="005D7747">
      <w:pPr>
        <w:pStyle w:val="Bulletlevel1"/>
        <w:ind w:left="284" w:hanging="284"/>
      </w:pPr>
      <w:hyperlink r:id="rId25" w:history="1">
        <w:r w:rsidR="004B2960" w:rsidRPr="00E162C4">
          <w:rPr>
            <w:rStyle w:val="Hyperlink"/>
          </w:rPr>
          <w:t>Online submissions</w:t>
        </w:r>
      </w:hyperlink>
      <w:r w:rsidR="004B2960" w:rsidRPr="00E162C4">
        <w:t xml:space="preserve"> can be made by uploading a document. Submissions in PDF, Microsoft Word or Rich Text Format are preferred.</w:t>
      </w:r>
    </w:p>
    <w:p w14:paraId="649C1F79" w14:textId="77777777" w:rsidR="004B2960" w:rsidRPr="00E162C4" w:rsidRDefault="004B2960" w:rsidP="005D7747">
      <w:pPr>
        <w:pStyle w:val="Bulletlevel1"/>
        <w:ind w:left="284" w:hanging="284"/>
      </w:pPr>
      <w:r w:rsidRPr="00E162C4">
        <w:t xml:space="preserve">Submissions by post can be </w:t>
      </w:r>
      <w:r w:rsidRPr="004B2960">
        <w:t>sent</w:t>
      </w:r>
      <w:r w:rsidRPr="00E162C4">
        <w:t xml:space="preserve"> to: </w:t>
      </w:r>
    </w:p>
    <w:p w14:paraId="54704EAE" w14:textId="0BB71E0C" w:rsidR="004B2960" w:rsidRPr="005D7747" w:rsidRDefault="004B2960" w:rsidP="004B2960">
      <w:pPr>
        <w:pStyle w:val="Bulletlevel1last"/>
        <w:numPr>
          <w:ilvl w:val="0"/>
          <w:numId w:val="0"/>
        </w:numPr>
        <w:ind w:left="284"/>
      </w:pPr>
      <w:r w:rsidRPr="005D7747">
        <w:t>The Manager</w:t>
      </w:r>
      <w:r w:rsidRPr="005D7747">
        <w:br/>
      </w:r>
      <w:r w:rsidR="005D7747" w:rsidRPr="005D7747">
        <w:t>Spectrum Planning Section</w:t>
      </w:r>
      <w:r w:rsidRPr="005D7747">
        <w:br/>
        <w:t>Australian Communications and Media Authority</w:t>
      </w:r>
      <w:r w:rsidRPr="005D7747">
        <w:br/>
        <w:t>PO Box 78</w:t>
      </w:r>
      <w:r w:rsidRPr="005D7747">
        <w:br/>
        <w:t>Belconnen ACT 2616</w:t>
      </w:r>
    </w:p>
    <w:p w14:paraId="73874E5C" w14:textId="16F5E562" w:rsidR="004B2960" w:rsidRPr="00E162C4" w:rsidRDefault="004B2960" w:rsidP="004B2960">
      <w:pPr>
        <w:pStyle w:val="Paragraph"/>
      </w:pPr>
      <w:r w:rsidRPr="00E162C4">
        <w:t xml:space="preserve">The closing date for submissions is </w:t>
      </w:r>
      <w:r w:rsidRPr="00B73FFB">
        <w:rPr>
          <w:b/>
          <w:bCs/>
        </w:rPr>
        <w:t>COB,</w:t>
      </w:r>
      <w:r w:rsidRPr="00E162C4">
        <w:t xml:space="preserve"> </w:t>
      </w:r>
      <w:r w:rsidR="006141C6" w:rsidRPr="006141C6">
        <w:rPr>
          <w:b/>
          <w:bCs/>
        </w:rPr>
        <w:t>Monday 1</w:t>
      </w:r>
      <w:r w:rsidR="00B73FFB">
        <w:rPr>
          <w:b/>
          <w:bCs/>
        </w:rPr>
        <w:t>6</w:t>
      </w:r>
      <w:r w:rsidR="006141C6" w:rsidRPr="006141C6">
        <w:rPr>
          <w:b/>
          <w:bCs/>
        </w:rPr>
        <w:t xml:space="preserve"> December 2024</w:t>
      </w:r>
      <w:r w:rsidRPr="00E162C4">
        <w:t>.</w:t>
      </w:r>
    </w:p>
    <w:p w14:paraId="28D627DE" w14:textId="30D282CA" w:rsidR="004B2960" w:rsidRPr="00E162C4" w:rsidRDefault="004B2960" w:rsidP="004B2960">
      <w:pPr>
        <w:pStyle w:val="Paragraph"/>
        <w:rPr>
          <w:szCs w:val="20"/>
        </w:rPr>
      </w:pPr>
      <w:r w:rsidRPr="00E162C4">
        <w:t xml:space="preserve">Consultation enquiries can be emailed </w:t>
      </w:r>
      <w:r w:rsidRPr="00E162C4">
        <w:rPr>
          <w:szCs w:val="20"/>
        </w:rPr>
        <w:t xml:space="preserve">to </w:t>
      </w:r>
      <w:hyperlink r:id="rId26" w:history="1">
        <w:r w:rsidR="005D7747" w:rsidRPr="00D31CB4">
          <w:rPr>
            <w:rStyle w:val="Hyperlink"/>
            <w:szCs w:val="20"/>
          </w:rPr>
          <w:t>freqplan@acma.gov.au</w:t>
        </w:r>
      </w:hyperlink>
      <w:r w:rsidR="005D7747">
        <w:rPr>
          <w:szCs w:val="20"/>
        </w:rPr>
        <w:t xml:space="preserve">. </w:t>
      </w:r>
    </w:p>
    <w:p w14:paraId="3AC440A6" w14:textId="77777777" w:rsidR="004B2960" w:rsidRPr="00E162C4" w:rsidRDefault="004B2960" w:rsidP="004B2960">
      <w:pPr>
        <w:pStyle w:val="Heading3"/>
      </w:pPr>
      <w:bookmarkStart w:id="29" w:name="_Toc348105639"/>
      <w:bookmarkStart w:id="30" w:name="_Toc300909558"/>
      <w:bookmarkStart w:id="31" w:name="_Hlk59627494"/>
      <w:bookmarkStart w:id="32" w:name="_Toc181864749"/>
      <w:bookmarkEnd w:id="24"/>
      <w:bookmarkEnd w:id="25"/>
      <w:r w:rsidRPr="00E162C4">
        <w:t>Publication of submissions</w:t>
      </w:r>
      <w:bookmarkEnd w:id="26"/>
      <w:bookmarkEnd w:id="27"/>
      <w:bookmarkEnd w:id="29"/>
      <w:bookmarkEnd w:id="30"/>
      <w:bookmarkEnd w:id="32"/>
    </w:p>
    <w:p w14:paraId="15F0E158" w14:textId="77777777" w:rsidR="004B2960" w:rsidRPr="00E162C4" w:rsidRDefault="004B2960" w:rsidP="004B2960">
      <w:pPr>
        <w:pStyle w:val="Paragraph"/>
      </w:pPr>
      <w:bookmarkStart w:id="33" w:name="_Toc348105640"/>
      <w:bookmarkStart w:id="34" w:name="_Toc300909559"/>
      <w:bookmarkStart w:id="35" w:name="_Toc265246234"/>
      <w:r w:rsidRPr="00E162C4">
        <w:t xml:space="preserve">We publish submissions on our website, including personal information (such as names and contact details), except for information that you have claimed (and we have accepted) is confidential. </w:t>
      </w:r>
    </w:p>
    <w:p w14:paraId="5501B9EB" w14:textId="77777777" w:rsidR="004B2960" w:rsidRPr="00E162C4" w:rsidRDefault="004B2960" w:rsidP="004B2960">
      <w:pPr>
        <w:pStyle w:val="Paragraph"/>
      </w:pPr>
      <w:r w:rsidRPr="00E162C4">
        <w:t>Confidential information will not be published or otherwise released unless required or authorised by law.</w:t>
      </w:r>
    </w:p>
    <w:p w14:paraId="3E465B1E" w14:textId="77777777" w:rsidR="004B2960" w:rsidRPr="00E162C4" w:rsidRDefault="004B2960" w:rsidP="004B2960">
      <w:pPr>
        <w:pStyle w:val="Heading3"/>
      </w:pPr>
      <w:bookmarkStart w:id="36" w:name="_Toc181864750"/>
      <w:r w:rsidRPr="00E162C4">
        <w:t>Privacy</w:t>
      </w:r>
      <w:bookmarkEnd w:id="36"/>
    </w:p>
    <w:p w14:paraId="2C225335" w14:textId="77777777" w:rsidR="004B2960" w:rsidRPr="004B2960" w:rsidRDefault="004B2960" w:rsidP="004B2960">
      <w:pPr>
        <w:pStyle w:val="Paragraph"/>
      </w:pPr>
      <w:r w:rsidRPr="00E162C4">
        <w:t xml:space="preserve">View information about our </w:t>
      </w:r>
      <w:r w:rsidRPr="004B2960">
        <w:t xml:space="preserve">policy on the </w:t>
      </w:r>
      <w:hyperlink r:id="rId27" w:history="1">
        <w:r w:rsidRPr="004B2960">
          <w:rPr>
            <w:rStyle w:val="Hyperlink"/>
            <w:color w:val="auto"/>
            <w:u w:val="none"/>
          </w:rPr>
          <w:t>publication of submissions</w:t>
        </w:r>
      </w:hyperlink>
      <w:r w:rsidRPr="004B2960">
        <w:t>, including collection of personal information during consultation and how we handle that information.</w:t>
      </w:r>
    </w:p>
    <w:bookmarkEnd w:id="33"/>
    <w:bookmarkEnd w:id="34"/>
    <w:bookmarkEnd w:id="35"/>
    <w:p w14:paraId="68FE12BB" w14:textId="45DA1A73" w:rsidR="00FF3C69" w:rsidRPr="00A17B1B" w:rsidRDefault="004B2960" w:rsidP="005D7747">
      <w:pPr>
        <w:pStyle w:val="Paragraph"/>
      </w:pPr>
      <w:r w:rsidRPr="004B2960">
        <w:t>Information on the Privacy Act 1988, how to access or correct personal information, how to make a privacy complaint an</w:t>
      </w:r>
      <w:r w:rsidRPr="00E162C4">
        <w:t xml:space="preserve">d how we will deal with any complaints, is available in our </w:t>
      </w:r>
      <w:hyperlink r:id="rId28" w:history="1">
        <w:r w:rsidRPr="00E162C4">
          <w:rPr>
            <w:rStyle w:val="Hyperlink"/>
          </w:rPr>
          <w:t>privacy policy</w:t>
        </w:r>
      </w:hyperlink>
      <w:r w:rsidRPr="00E162C4">
        <w:t xml:space="preserve">. </w:t>
      </w:r>
      <w:bookmarkEnd w:id="31"/>
      <w:bookmarkEnd w:id="17"/>
    </w:p>
    <w:sectPr w:rsidR="00FF3C69" w:rsidRPr="00A17B1B" w:rsidSect="005A62E5">
      <w:headerReference w:type="even" r:id="rId29"/>
      <w:headerReference w:type="default" r:id="rId30"/>
      <w:footerReference w:type="even" r:id="rId31"/>
      <w:footerReference w:type="default" r:id="rId32"/>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DE2A1" w14:textId="77777777" w:rsidR="00DA06D3" w:rsidRDefault="00DA06D3">
      <w:r>
        <w:separator/>
      </w:r>
    </w:p>
  </w:endnote>
  <w:endnote w:type="continuationSeparator" w:id="0">
    <w:p w14:paraId="79DAFF02" w14:textId="77777777" w:rsidR="00DA06D3" w:rsidRDefault="00DA06D3">
      <w:r>
        <w:continuationSeparator/>
      </w:r>
    </w:p>
  </w:endnote>
  <w:endnote w:type="continuationNotice" w:id="1">
    <w:p w14:paraId="05B0218F" w14:textId="77777777" w:rsidR="00BF74BB" w:rsidRDefault="00BF74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Times New Roman"/>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085BD" w14:textId="77777777" w:rsidR="005E250B" w:rsidRDefault="005E250B" w:rsidP="005E250B">
    <w:pPr>
      <w:pStyle w:val="Footer"/>
      <w:jc w:val="right"/>
    </w:pPr>
    <w:r w:rsidRPr="005E250B">
      <w:rPr>
        <w:noProof/>
        <w:vertAlign w:val="subscript"/>
      </w:rPr>
      <w:drawing>
        <wp:inline distT="0" distB="0" distL="0" distR="0" wp14:anchorId="43A1AF86" wp14:editId="2CD77A4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16E6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68702"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99410"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09B1E6E2"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5DFFA"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DAE77FF"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59E9C"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915F6"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65FB7"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4558C" w14:textId="77777777" w:rsidR="00DA06D3" w:rsidRDefault="00DA06D3" w:rsidP="00DB3A64">
      <w:pPr>
        <w:spacing w:after="0"/>
      </w:pPr>
      <w:r>
        <w:separator/>
      </w:r>
    </w:p>
  </w:footnote>
  <w:footnote w:type="continuationSeparator" w:id="0">
    <w:p w14:paraId="4F944592" w14:textId="77777777" w:rsidR="00DA06D3" w:rsidRDefault="00DA06D3">
      <w:r>
        <w:continuationSeparator/>
      </w:r>
    </w:p>
  </w:footnote>
  <w:footnote w:type="continuationNotice" w:id="1">
    <w:p w14:paraId="0B13F04D" w14:textId="77777777" w:rsidR="00BF74BB" w:rsidRDefault="00BF74BB">
      <w:pPr>
        <w:spacing w:after="0" w:line="240" w:lineRule="auto"/>
      </w:pPr>
    </w:p>
  </w:footnote>
  <w:footnote w:id="2">
    <w:p w14:paraId="6BD93889" w14:textId="2E71D756" w:rsidR="0068369A" w:rsidRDefault="0068369A">
      <w:pPr>
        <w:pStyle w:val="FootnoteText"/>
      </w:pPr>
      <w:r>
        <w:rPr>
          <w:rStyle w:val="FootnoteReference"/>
        </w:rPr>
        <w:footnoteRef/>
      </w:r>
      <w:r>
        <w:t xml:space="preserve"> </w:t>
      </w:r>
      <w:r w:rsidR="008301FF">
        <w:t xml:space="preserve">Under </w:t>
      </w:r>
      <w:r>
        <w:t>S</w:t>
      </w:r>
      <w:r w:rsidR="0012005A">
        <w:t>ubs</w:t>
      </w:r>
      <w:r>
        <w:t>ection 10(10</w:t>
      </w:r>
      <w:r w:rsidR="008301FF">
        <w:t>)</w:t>
      </w:r>
      <w:r>
        <w:t xml:space="preserve"> of the </w:t>
      </w:r>
      <w:r w:rsidR="001B4B7D">
        <w:t>s</w:t>
      </w:r>
      <w:r>
        <w:t xml:space="preserve">pectrum </w:t>
      </w:r>
      <w:r w:rsidR="001B4B7D">
        <w:t>p</w:t>
      </w:r>
      <w:r>
        <w:t>lan</w:t>
      </w:r>
      <w:r w:rsidR="008301FF">
        <w:t>,</w:t>
      </w:r>
      <w:r>
        <w:t xml:space="preserve"> </w:t>
      </w:r>
      <w:r w:rsidR="001B4B7D">
        <w:t>we</w:t>
      </w:r>
      <w:r w:rsidR="008301FF">
        <w:t xml:space="preserve"> may approve an unspecified service to be operated in a frequency band. Current S</w:t>
      </w:r>
      <w:r w:rsidR="0012005A">
        <w:t>ubs</w:t>
      </w:r>
      <w:r w:rsidR="008301FF">
        <w:t xml:space="preserve">ection 10(10) decisions are available on the </w:t>
      </w:r>
      <w:hyperlink r:id="rId1" w:history="1">
        <w:r w:rsidR="008301FF" w:rsidRPr="008301FF">
          <w:rPr>
            <w:rStyle w:val="Hyperlink"/>
          </w:rPr>
          <w:t>ACMA website</w:t>
        </w:r>
      </w:hyperlink>
      <w:r w:rsidR="008301FF">
        <w:t>.</w:t>
      </w:r>
    </w:p>
  </w:footnote>
  <w:footnote w:id="3">
    <w:p w14:paraId="4C7B0C92" w14:textId="1050248D" w:rsidR="00471C6D" w:rsidRDefault="00471C6D">
      <w:pPr>
        <w:pStyle w:val="FootnoteText"/>
      </w:pPr>
      <w:r>
        <w:rPr>
          <w:rStyle w:val="FootnoteReference"/>
        </w:rPr>
        <w:footnoteRef/>
      </w:r>
      <w:r>
        <w:t xml:space="preserve"> </w:t>
      </w:r>
      <w:r w:rsidRPr="00471C6D">
        <w:t xml:space="preserve">The latest version of the </w:t>
      </w:r>
      <w:r w:rsidR="009850AD">
        <w:t>s</w:t>
      </w:r>
      <w:r w:rsidRPr="00471C6D">
        <w:t xml:space="preserve">pectrum </w:t>
      </w:r>
      <w:r w:rsidR="009850AD">
        <w:t>p</w:t>
      </w:r>
      <w:r w:rsidRPr="00471C6D">
        <w:t>lan is the Australian Radiofrequency Spectrum Plan 20</w:t>
      </w:r>
      <w:r>
        <w:t>21</w:t>
      </w:r>
      <w:r w:rsidRPr="00471C6D">
        <w:t>.</w:t>
      </w:r>
    </w:p>
  </w:footnote>
  <w:footnote w:id="4">
    <w:p w14:paraId="7B34F907" w14:textId="091CFE3E" w:rsidR="00E3757E" w:rsidRDefault="00E3757E">
      <w:pPr>
        <w:pStyle w:val="FootnoteText"/>
      </w:pPr>
      <w:r>
        <w:rPr>
          <w:rStyle w:val="FootnoteReference"/>
        </w:rPr>
        <w:footnoteRef/>
      </w:r>
      <w:r>
        <w:t xml:space="preserve"> </w:t>
      </w:r>
      <w:r w:rsidRPr="00E3757E">
        <w:t>The term ‘used’ includes reserved for future use and reserved for the prevention or control of interference to radiocommunications.</w:t>
      </w:r>
    </w:p>
  </w:footnote>
  <w:footnote w:id="5">
    <w:p w14:paraId="44A06159" w14:textId="2B8944B4" w:rsidR="00E3757E" w:rsidRDefault="00E3757E">
      <w:pPr>
        <w:pStyle w:val="FootnoteText"/>
      </w:pPr>
      <w:r>
        <w:rPr>
          <w:rStyle w:val="FootnoteReference"/>
        </w:rPr>
        <w:footnoteRef/>
      </w:r>
      <w:r>
        <w:t xml:space="preserve"> </w:t>
      </w:r>
      <w:r w:rsidRPr="00E3757E">
        <w:t xml:space="preserve">Copies of the ITU Radio Regulations are available on the </w:t>
      </w:r>
      <w:hyperlink r:id="rId2" w:history="1">
        <w:r w:rsidRPr="00E3757E">
          <w:rPr>
            <w:rStyle w:val="Hyperlink"/>
          </w:rPr>
          <w:t>ITU website</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AA258" w14:textId="77777777" w:rsidR="00C053A1" w:rsidRPr="005A62E5" w:rsidRDefault="005A62E5" w:rsidP="005A62E5">
    <w:pPr>
      <w:pStyle w:val="Header"/>
    </w:pPr>
    <w:r>
      <w:rPr>
        <w:noProof/>
      </w:rPr>
      <w:drawing>
        <wp:inline distT="0" distB="0" distL="0" distR="0" wp14:anchorId="74268450" wp14:editId="6EACE96D">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B0F2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F41D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3172D"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0BBF556" w14:textId="77777777" w:rsidTr="003B0421">
      <w:trPr>
        <w:trHeight w:hRule="exact" w:val="988"/>
      </w:trPr>
      <w:tc>
        <w:tcPr>
          <w:tcW w:w="7678" w:type="dxa"/>
          <w:shd w:val="clear" w:color="auto" w:fill="auto"/>
        </w:tcPr>
        <w:p w14:paraId="6312BBD0" w14:textId="77777777" w:rsidR="00971914" w:rsidRDefault="00971914" w:rsidP="00971914">
          <w:pPr>
            <w:pStyle w:val="Header"/>
          </w:pPr>
        </w:p>
      </w:tc>
    </w:tr>
    <w:tr w:rsidR="00971914" w14:paraId="4B1F3871" w14:textId="77777777" w:rsidTr="003B0421">
      <w:tc>
        <w:tcPr>
          <w:tcW w:w="7678" w:type="dxa"/>
          <w:shd w:val="clear" w:color="auto" w:fill="auto"/>
        </w:tcPr>
        <w:p w14:paraId="25BFD370" w14:textId="77777777" w:rsidR="00971914" w:rsidRDefault="00971914" w:rsidP="00971914">
          <w:pPr>
            <w:pStyle w:val="GridTable31"/>
          </w:pPr>
          <w:r>
            <w:t xml:space="preserve">Contents </w:t>
          </w:r>
          <w:r w:rsidRPr="00915B1C">
            <w:rPr>
              <w:b w:val="0"/>
              <w:spacing w:val="0"/>
              <w:sz w:val="28"/>
              <w:szCs w:val="28"/>
            </w:rPr>
            <w:t>(Continued)</w:t>
          </w:r>
        </w:p>
      </w:tc>
    </w:tr>
    <w:tr w:rsidR="00971914" w14:paraId="32B0A3CD" w14:textId="77777777" w:rsidTr="003B0421">
      <w:trPr>
        <w:trHeight w:val="1220"/>
      </w:trPr>
      <w:tc>
        <w:tcPr>
          <w:tcW w:w="7678" w:type="dxa"/>
          <w:shd w:val="clear" w:color="auto" w:fill="auto"/>
        </w:tcPr>
        <w:p w14:paraId="07C52F34" w14:textId="77777777" w:rsidR="00971914" w:rsidRDefault="00971914" w:rsidP="00971914"/>
      </w:tc>
    </w:tr>
  </w:tbl>
  <w:p w14:paraId="3D88B502"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646C337" w14:textId="77777777" w:rsidTr="003B0421">
      <w:trPr>
        <w:trHeight w:hRule="exact" w:val="988"/>
      </w:trPr>
      <w:tc>
        <w:tcPr>
          <w:tcW w:w="7678" w:type="dxa"/>
          <w:shd w:val="clear" w:color="auto" w:fill="auto"/>
        </w:tcPr>
        <w:p w14:paraId="29009451" w14:textId="77777777" w:rsidR="00971914" w:rsidRDefault="00971914" w:rsidP="00971914">
          <w:pPr>
            <w:pStyle w:val="Header"/>
          </w:pPr>
        </w:p>
      </w:tc>
    </w:tr>
    <w:tr w:rsidR="00971914" w14:paraId="48F4406C" w14:textId="77777777" w:rsidTr="003B0421">
      <w:tc>
        <w:tcPr>
          <w:tcW w:w="7678" w:type="dxa"/>
          <w:shd w:val="clear" w:color="auto" w:fill="auto"/>
        </w:tcPr>
        <w:p w14:paraId="33BBDC03" w14:textId="77777777" w:rsidR="00971914" w:rsidRDefault="00971914" w:rsidP="00971914">
          <w:pPr>
            <w:pStyle w:val="GridTable31"/>
          </w:pPr>
          <w:r>
            <w:t xml:space="preserve">Contents </w:t>
          </w:r>
          <w:r w:rsidRPr="00915B1C">
            <w:rPr>
              <w:b w:val="0"/>
              <w:spacing w:val="0"/>
              <w:sz w:val="28"/>
              <w:szCs w:val="28"/>
            </w:rPr>
            <w:t>(Continued)</w:t>
          </w:r>
        </w:p>
      </w:tc>
    </w:tr>
    <w:tr w:rsidR="00971914" w14:paraId="1EB052CF" w14:textId="77777777" w:rsidTr="003B0421">
      <w:trPr>
        <w:trHeight w:val="1220"/>
      </w:trPr>
      <w:tc>
        <w:tcPr>
          <w:tcW w:w="7678" w:type="dxa"/>
          <w:shd w:val="clear" w:color="auto" w:fill="auto"/>
        </w:tcPr>
        <w:p w14:paraId="5D584733" w14:textId="77777777" w:rsidR="00971914" w:rsidRDefault="00971914" w:rsidP="00971914"/>
      </w:tc>
    </w:tr>
  </w:tbl>
  <w:p w14:paraId="6D659C8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E0A85"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06607"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3B39EE"/>
    <w:multiLevelType w:val="hybridMultilevel"/>
    <w:tmpl w:val="483A5284"/>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AD521D"/>
    <w:multiLevelType w:val="hybridMultilevel"/>
    <w:tmpl w:val="B108FD84"/>
    <w:lvl w:ilvl="0" w:tplc="DD00C67E">
      <w:start w:val="1"/>
      <w:numFmt w:val="bullet"/>
      <w:pStyle w:val="Bulletlevel2"/>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7" w15:restartNumberingAfterBreak="0">
    <w:nsid w:val="18F40B16"/>
    <w:multiLevelType w:val="hybridMultilevel"/>
    <w:tmpl w:val="FC62E3E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0" w15:restartNumberingAfterBreak="0">
    <w:nsid w:val="37E4638E"/>
    <w:multiLevelType w:val="hybridMultilevel"/>
    <w:tmpl w:val="0898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251578A"/>
    <w:multiLevelType w:val="hybridMultilevel"/>
    <w:tmpl w:val="2BEEB0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51172FB8"/>
    <w:multiLevelType w:val="hybridMultilevel"/>
    <w:tmpl w:val="57C0C49E"/>
    <w:lvl w:ilvl="0" w:tplc="44EEC084">
      <w:start w:val="1"/>
      <w:numFmt w:val="bullet"/>
      <w:lvlText w:val="&gt;"/>
      <w:lvlJc w:val="left"/>
      <w:pPr>
        <w:ind w:left="720" w:hanging="360"/>
      </w:pPr>
      <w:rPr>
        <w:rFonts w:ascii="HelveticaNeueLT Std" w:hAnsi="HelveticaNeueLT Std"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F1D16CA"/>
    <w:multiLevelType w:val="hybridMultilevel"/>
    <w:tmpl w:val="DFCEA5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1B1B57"/>
    <w:multiLevelType w:val="hybridMultilevel"/>
    <w:tmpl w:val="1C0EC8BC"/>
    <w:lvl w:ilvl="0" w:tplc="0C090003">
      <w:start w:val="1"/>
      <w:numFmt w:val="bullet"/>
      <w:lvlText w:val="o"/>
      <w:lvlJc w:val="left"/>
      <w:pPr>
        <w:ind w:left="644" w:hanging="360"/>
      </w:pPr>
      <w:rPr>
        <w:rFonts w:ascii="Courier New" w:hAnsi="Courier New" w:cs="Courier New" w:hint="default"/>
      </w:rPr>
    </w:lvl>
    <w:lvl w:ilvl="1" w:tplc="FFFFFFFF" w:tentative="1">
      <w:start w:val="1"/>
      <w:numFmt w:val="bullet"/>
      <w:lvlText w:val="o"/>
      <w:lvlJc w:val="left"/>
      <w:pPr>
        <w:ind w:left="1364" w:hanging="360"/>
      </w:pPr>
      <w:rPr>
        <w:rFonts w:ascii="Courier New" w:hAnsi="Courier New" w:cs="Courier New" w:hint="default"/>
      </w:rPr>
    </w:lvl>
    <w:lvl w:ilvl="2" w:tplc="FFFFFFFF" w:tentative="1">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1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7EF6FCE"/>
    <w:multiLevelType w:val="hybridMultilevel"/>
    <w:tmpl w:val="64522BEE"/>
    <w:lvl w:ilvl="0" w:tplc="0C090001">
      <w:start w:val="1"/>
      <w:numFmt w:val="bullet"/>
      <w:lvlText w:val=""/>
      <w:lvlJc w:val="left"/>
      <w:pPr>
        <w:ind w:left="644" w:hanging="360"/>
      </w:pPr>
      <w:rPr>
        <w:rFonts w:ascii="Symbol" w:hAnsi="Symbol" w:hint="default"/>
      </w:rPr>
    </w:lvl>
    <w:lvl w:ilvl="1" w:tplc="FFFFFFFF" w:tentative="1">
      <w:start w:val="1"/>
      <w:numFmt w:val="bullet"/>
      <w:lvlText w:val="o"/>
      <w:lvlJc w:val="left"/>
      <w:pPr>
        <w:ind w:left="1364" w:hanging="360"/>
      </w:pPr>
      <w:rPr>
        <w:rFonts w:ascii="Courier New" w:hAnsi="Courier New" w:cs="Courier New" w:hint="default"/>
      </w:rPr>
    </w:lvl>
    <w:lvl w:ilvl="2" w:tplc="FFFFFFFF" w:tentative="1">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21"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8"/>
  </w:num>
  <w:num w:numId="6" w16cid:durableId="818768531">
    <w:abstractNumId w:val="16"/>
  </w:num>
  <w:num w:numId="7" w16cid:durableId="636617026">
    <w:abstractNumId w:val="13"/>
  </w:num>
  <w:num w:numId="8" w16cid:durableId="227307242">
    <w:abstractNumId w:val="15"/>
  </w:num>
  <w:num w:numId="9" w16cid:durableId="1325478460">
    <w:abstractNumId w:val="18"/>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21"/>
  </w:num>
  <w:num w:numId="14" w16cid:durableId="319240718">
    <w:abstractNumId w:val="19"/>
  </w:num>
  <w:num w:numId="15" w16cid:durableId="1091731347">
    <w:abstractNumId w:val="6"/>
  </w:num>
  <w:num w:numId="16" w16cid:durableId="1733236431">
    <w:abstractNumId w:val="9"/>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931816763">
    <w:abstractNumId w:val="21"/>
  </w:num>
  <w:num w:numId="24" w16cid:durableId="472797140">
    <w:abstractNumId w:val="21"/>
  </w:num>
  <w:num w:numId="25" w16cid:durableId="1163475343">
    <w:abstractNumId w:val="21"/>
  </w:num>
  <w:num w:numId="26" w16cid:durableId="1459453685">
    <w:abstractNumId w:val="21"/>
  </w:num>
  <w:num w:numId="27" w16cid:durableId="411856913">
    <w:abstractNumId w:val="21"/>
  </w:num>
  <w:num w:numId="28" w16cid:durableId="429811202">
    <w:abstractNumId w:val="21"/>
  </w:num>
  <w:num w:numId="29" w16cid:durableId="52387681">
    <w:abstractNumId w:val="21"/>
  </w:num>
  <w:num w:numId="30" w16cid:durableId="1285884391">
    <w:abstractNumId w:val="21"/>
  </w:num>
  <w:num w:numId="31" w16cid:durableId="1028750545">
    <w:abstractNumId w:val="21"/>
  </w:num>
  <w:num w:numId="32" w16cid:durableId="88814685">
    <w:abstractNumId w:val="21"/>
  </w:num>
  <w:num w:numId="33" w16cid:durableId="1231043320">
    <w:abstractNumId w:val="21"/>
  </w:num>
  <w:num w:numId="34" w16cid:durableId="1885016940">
    <w:abstractNumId w:val="3"/>
  </w:num>
  <w:num w:numId="35" w16cid:durableId="1563905113">
    <w:abstractNumId w:val="11"/>
  </w:num>
  <w:num w:numId="36" w16cid:durableId="1173716810">
    <w:abstractNumId w:val="21"/>
  </w:num>
  <w:num w:numId="37" w16cid:durableId="1776560347">
    <w:abstractNumId w:val="21"/>
  </w:num>
  <w:num w:numId="38" w16cid:durableId="1961304344">
    <w:abstractNumId w:val="14"/>
  </w:num>
  <w:num w:numId="39" w16cid:durableId="1734308458">
    <w:abstractNumId w:val="12"/>
  </w:num>
  <w:num w:numId="40" w16cid:durableId="1964724486">
    <w:abstractNumId w:val="7"/>
  </w:num>
  <w:num w:numId="41" w16cid:durableId="724184470">
    <w:abstractNumId w:val="5"/>
  </w:num>
  <w:num w:numId="42" w16cid:durableId="45185700">
    <w:abstractNumId w:val="10"/>
  </w:num>
  <w:num w:numId="43" w16cid:durableId="1830170263">
    <w:abstractNumId w:val="21"/>
  </w:num>
  <w:num w:numId="44" w16cid:durableId="144321170">
    <w:abstractNumId w:val="21"/>
  </w:num>
  <w:num w:numId="45" w16cid:durableId="1609198097">
    <w:abstractNumId w:val="6"/>
  </w:num>
  <w:num w:numId="46" w16cid:durableId="1927687227">
    <w:abstractNumId w:val="6"/>
  </w:num>
  <w:num w:numId="47" w16cid:durableId="890968725">
    <w:abstractNumId w:val="6"/>
  </w:num>
  <w:num w:numId="48" w16cid:durableId="1144391821">
    <w:abstractNumId w:val="6"/>
  </w:num>
  <w:num w:numId="49" w16cid:durableId="1088775653">
    <w:abstractNumId w:val="6"/>
  </w:num>
  <w:num w:numId="50" w16cid:durableId="943222787">
    <w:abstractNumId w:val="6"/>
  </w:num>
  <w:num w:numId="51" w16cid:durableId="861162008">
    <w:abstractNumId w:val="6"/>
  </w:num>
  <w:num w:numId="52" w16cid:durableId="1295986320">
    <w:abstractNumId w:val="21"/>
  </w:num>
  <w:num w:numId="53" w16cid:durableId="287317059">
    <w:abstractNumId w:val="21"/>
  </w:num>
  <w:num w:numId="54" w16cid:durableId="1714040898">
    <w:abstractNumId w:val="21"/>
  </w:num>
  <w:num w:numId="55" w16cid:durableId="1785076514">
    <w:abstractNumId w:val="21"/>
  </w:num>
  <w:num w:numId="56" w16cid:durableId="768744697">
    <w:abstractNumId w:val="21"/>
  </w:num>
  <w:num w:numId="57" w16cid:durableId="1955748552">
    <w:abstractNumId w:val="21"/>
  </w:num>
  <w:num w:numId="58" w16cid:durableId="1305350303">
    <w:abstractNumId w:val="21"/>
  </w:num>
  <w:num w:numId="59" w16cid:durableId="577400515">
    <w:abstractNumId w:val="21"/>
  </w:num>
  <w:num w:numId="60" w16cid:durableId="1174802073">
    <w:abstractNumId w:val="6"/>
  </w:num>
  <w:num w:numId="61" w16cid:durableId="1880780888">
    <w:abstractNumId w:val="21"/>
  </w:num>
  <w:num w:numId="62" w16cid:durableId="1127046233">
    <w:abstractNumId w:val="19"/>
  </w:num>
  <w:num w:numId="63" w16cid:durableId="1526941136">
    <w:abstractNumId w:val="21"/>
  </w:num>
  <w:num w:numId="64" w16cid:durableId="1288002330">
    <w:abstractNumId w:val="21"/>
  </w:num>
  <w:num w:numId="65" w16cid:durableId="1432818645">
    <w:abstractNumId w:val="21"/>
  </w:num>
  <w:num w:numId="66" w16cid:durableId="276834355">
    <w:abstractNumId w:val="6"/>
  </w:num>
  <w:num w:numId="67" w16cid:durableId="159395758">
    <w:abstractNumId w:val="6"/>
  </w:num>
  <w:num w:numId="68" w16cid:durableId="362706643">
    <w:abstractNumId w:val="21"/>
  </w:num>
  <w:num w:numId="69" w16cid:durableId="1940018077">
    <w:abstractNumId w:val="21"/>
  </w:num>
  <w:num w:numId="70" w16cid:durableId="744692591">
    <w:abstractNumId w:val="6"/>
  </w:num>
  <w:num w:numId="71" w16cid:durableId="1407144764">
    <w:abstractNumId w:val="21"/>
  </w:num>
  <w:num w:numId="72" w16cid:durableId="2043482145">
    <w:abstractNumId w:val="21"/>
  </w:num>
  <w:num w:numId="73" w16cid:durableId="258875106">
    <w:abstractNumId w:val="17"/>
  </w:num>
  <w:num w:numId="74" w16cid:durableId="26950971">
    <w:abstractNumId w:val="2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6D3"/>
    <w:rsid w:val="00003D06"/>
    <w:rsid w:val="00010667"/>
    <w:rsid w:val="000129D5"/>
    <w:rsid w:val="00015AE7"/>
    <w:rsid w:val="00016E21"/>
    <w:rsid w:val="0001719C"/>
    <w:rsid w:val="0002224E"/>
    <w:rsid w:val="000245E5"/>
    <w:rsid w:val="00026F91"/>
    <w:rsid w:val="0003189D"/>
    <w:rsid w:val="00045026"/>
    <w:rsid w:val="0004764C"/>
    <w:rsid w:val="0005011A"/>
    <w:rsid w:val="0005045A"/>
    <w:rsid w:val="00051C1E"/>
    <w:rsid w:val="000539F9"/>
    <w:rsid w:val="00054C27"/>
    <w:rsid w:val="00055503"/>
    <w:rsid w:val="00055EC3"/>
    <w:rsid w:val="000563CE"/>
    <w:rsid w:val="00056E40"/>
    <w:rsid w:val="0006164A"/>
    <w:rsid w:val="000659B6"/>
    <w:rsid w:val="0006686F"/>
    <w:rsid w:val="0006722A"/>
    <w:rsid w:val="000732CF"/>
    <w:rsid w:val="00075B96"/>
    <w:rsid w:val="0008196A"/>
    <w:rsid w:val="000836A1"/>
    <w:rsid w:val="0009036B"/>
    <w:rsid w:val="000915ED"/>
    <w:rsid w:val="0009209D"/>
    <w:rsid w:val="0009389C"/>
    <w:rsid w:val="0009463C"/>
    <w:rsid w:val="000969BD"/>
    <w:rsid w:val="000969BF"/>
    <w:rsid w:val="000971BD"/>
    <w:rsid w:val="000A0C22"/>
    <w:rsid w:val="000A1400"/>
    <w:rsid w:val="000A3C43"/>
    <w:rsid w:val="000A4A51"/>
    <w:rsid w:val="000A5D2B"/>
    <w:rsid w:val="000B3C3E"/>
    <w:rsid w:val="000B4664"/>
    <w:rsid w:val="000B5DE3"/>
    <w:rsid w:val="000C0A57"/>
    <w:rsid w:val="000C230C"/>
    <w:rsid w:val="000C6AB4"/>
    <w:rsid w:val="000D71D9"/>
    <w:rsid w:val="000D76E0"/>
    <w:rsid w:val="000D7E8B"/>
    <w:rsid w:val="000E2A25"/>
    <w:rsid w:val="000E4449"/>
    <w:rsid w:val="000E6097"/>
    <w:rsid w:val="000F1B3A"/>
    <w:rsid w:val="00101C34"/>
    <w:rsid w:val="0010267F"/>
    <w:rsid w:val="00103829"/>
    <w:rsid w:val="00106AA8"/>
    <w:rsid w:val="00111FCE"/>
    <w:rsid w:val="00113F84"/>
    <w:rsid w:val="0012005A"/>
    <w:rsid w:val="001229A5"/>
    <w:rsid w:val="00122C4C"/>
    <w:rsid w:val="0012489B"/>
    <w:rsid w:val="00130017"/>
    <w:rsid w:val="00130F91"/>
    <w:rsid w:val="001349ED"/>
    <w:rsid w:val="00137424"/>
    <w:rsid w:val="00140318"/>
    <w:rsid w:val="00141AD9"/>
    <w:rsid w:val="0014291E"/>
    <w:rsid w:val="00144308"/>
    <w:rsid w:val="00146CE6"/>
    <w:rsid w:val="00152903"/>
    <w:rsid w:val="00153783"/>
    <w:rsid w:val="00153FD5"/>
    <w:rsid w:val="0015614F"/>
    <w:rsid w:val="001577C2"/>
    <w:rsid w:val="001633C4"/>
    <w:rsid w:val="001704D5"/>
    <w:rsid w:val="00171591"/>
    <w:rsid w:val="00173981"/>
    <w:rsid w:val="0017418A"/>
    <w:rsid w:val="00174FEF"/>
    <w:rsid w:val="0017719D"/>
    <w:rsid w:val="00181180"/>
    <w:rsid w:val="00183A0C"/>
    <w:rsid w:val="00183A0D"/>
    <w:rsid w:val="00183FD7"/>
    <w:rsid w:val="00185CAB"/>
    <w:rsid w:val="001875B7"/>
    <w:rsid w:val="00187CB3"/>
    <w:rsid w:val="0019050A"/>
    <w:rsid w:val="00190DD0"/>
    <w:rsid w:val="001910D4"/>
    <w:rsid w:val="001976E3"/>
    <w:rsid w:val="001A44EC"/>
    <w:rsid w:val="001B28D9"/>
    <w:rsid w:val="001B4B7D"/>
    <w:rsid w:val="001B58AA"/>
    <w:rsid w:val="001B7E48"/>
    <w:rsid w:val="001C17CE"/>
    <w:rsid w:val="001C36CA"/>
    <w:rsid w:val="001C44D1"/>
    <w:rsid w:val="001C6AEE"/>
    <w:rsid w:val="001C7630"/>
    <w:rsid w:val="001D4DD0"/>
    <w:rsid w:val="001D5022"/>
    <w:rsid w:val="001D6D15"/>
    <w:rsid w:val="001D7CCD"/>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92FFE"/>
    <w:rsid w:val="00294F91"/>
    <w:rsid w:val="0029593B"/>
    <w:rsid w:val="00297FC5"/>
    <w:rsid w:val="002A0417"/>
    <w:rsid w:val="002A16D8"/>
    <w:rsid w:val="002A1BC8"/>
    <w:rsid w:val="002A3EF2"/>
    <w:rsid w:val="002A66D6"/>
    <w:rsid w:val="002B0DED"/>
    <w:rsid w:val="002B19A2"/>
    <w:rsid w:val="002B1EB3"/>
    <w:rsid w:val="002B381A"/>
    <w:rsid w:val="002B4FCC"/>
    <w:rsid w:val="002B5AD7"/>
    <w:rsid w:val="002B7408"/>
    <w:rsid w:val="002B7CFD"/>
    <w:rsid w:val="002C210F"/>
    <w:rsid w:val="002D3600"/>
    <w:rsid w:val="002E4DDC"/>
    <w:rsid w:val="002F1877"/>
    <w:rsid w:val="002F321B"/>
    <w:rsid w:val="00301BAB"/>
    <w:rsid w:val="00302480"/>
    <w:rsid w:val="00302758"/>
    <w:rsid w:val="00306491"/>
    <w:rsid w:val="0031135A"/>
    <w:rsid w:val="0031192B"/>
    <w:rsid w:val="003125DD"/>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2C43"/>
    <w:rsid w:val="00353252"/>
    <w:rsid w:val="003545E8"/>
    <w:rsid w:val="0035466C"/>
    <w:rsid w:val="00355BC5"/>
    <w:rsid w:val="00360BCC"/>
    <w:rsid w:val="003610E1"/>
    <w:rsid w:val="003671BE"/>
    <w:rsid w:val="00372485"/>
    <w:rsid w:val="00373200"/>
    <w:rsid w:val="00375EF5"/>
    <w:rsid w:val="003767A5"/>
    <w:rsid w:val="00381D15"/>
    <w:rsid w:val="00383AA2"/>
    <w:rsid w:val="00385254"/>
    <w:rsid w:val="003A04DB"/>
    <w:rsid w:val="003A5F5B"/>
    <w:rsid w:val="003A789A"/>
    <w:rsid w:val="003B12EC"/>
    <w:rsid w:val="003B1C0B"/>
    <w:rsid w:val="003C4631"/>
    <w:rsid w:val="003C77E0"/>
    <w:rsid w:val="003D1302"/>
    <w:rsid w:val="003D17D7"/>
    <w:rsid w:val="003D2678"/>
    <w:rsid w:val="003D5E94"/>
    <w:rsid w:val="003D71A3"/>
    <w:rsid w:val="003E2B8A"/>
    <w:rsid w:val="003E6B21"/>
    <w:rsid w:val="003F10EE"/>
    <w:rsid w:val="003F16F6"/>
    <w:rsid w:val="003F1B47"/>
    <w:rsid w:val="003F4DC7"/>
    <w:rsid w:val="003F5235"/>
    <w:rsid w:val="004027E4"/>
    <w:rsid w:val="0041071D"/>
    <w:rsid w:val="0041139B"/>
    <w:rsid w:val="00414AFC"/>
    <w:rsid w:val="004151A7"/>
    <w:rsid w:val="00415310"/>
    <w:rsid w:val="00415DCA"/>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4844"/>
    <w:rsid w:val="0045605D"/>
    <w:rsid w:val="0046135B"/>
    <w:rsid w:val="00461D47"/>
    <w:rsid w:val="004702D6"/>
    <w:rsid w:val="004718CC"/>
    <w:rsid w:val="00471C6D"/>
    <w:rsid w:val="00476D95"/>
    <w:rsid w:val="00481695"/>
    <w:rsid w:val="00481F20"/>
    <w:rsid w:val="00495A96"/>
    <w:rsid w:val="00495BB3"/>
    <w:rsid w:val="004962DC"/>
    <w:rsid w:val="00497DF7"/>
    <w:rsid w:val="004A56BB"/>
    <w:rsid w:val="004A70D6"/>
    <w:rsid w:val="004B0BB4"/>
    <w:rsid w:val="004B1751"/>
    <w:rsid w:val="004B2929"/>
    <w:rsid w:val="004B2960"/>
    <w:rsid w:val="004B4763"/>
    <w:rsid w:val="004B7088"/>
    <w:rsid w:val="004C0253"/>
    <w:rsid w:val="004D56FF"/>
    <w:rsid w:val="004E39D3"/>
    <w:rsid w:val="004E508A"/>
    <w:rsid w:val="004E616D"/>
    <w:rsid w:val="004E6436"/>
    <w:rsid w:val="004F1BDE"/>
    <w:rsid w:val="004F2CEE"/>
    <w:rsid w:val="004F556E"/>
    <w:rsid w:val="004F591C"/>
    <w:rsid w:val="004F7F44"/>
    <w:rsid w:val="005037B4"/>
    <w:rsid w:val="005079BF"/>
    <w:rsid w:val="00510091"/>
    <w:rsid w:val="0051269A"/>
    <w:rsid w:val="005144FA"/>
    <w:rsid w:val="005219E7"/>
    <w:rsid w:val="00521ED4"/>
    <w:rsid w:val="00525B37"/>
    <w:rsid w:val="00531B9A"/>
    <w:rsid w:val="00531D15"/>
    <w:rsid w:val="00537604"/>
    <w:rsid w:val="00542377"/>
    <w:rsid w:val="005476EB"/>
    <w:rsid w:val="005504DB"/>
    <w:rsid w:val="00551782"/>
    <w:rsid w:val="005628BF"/>
    <w:rsid w:val="00562ED0"/>
    <w:rsid w:val="00563EF1"/>
    <w:rsid w:val="00566AB4"/>
    <w:rsid w:val="0057447A"/>
    <w:rsid w:val="00575AC5"/>
    <w:rsid w:val="0057605D"/>
    <w:rsid w:val="00581347"/>
    <w:rsid w:val="00581AC9"/>
    <w:rsid w:val="00582B01"/>
    <w:rsid w:val="005849F8"/>
    <w:rsid w:val="005938DF"/>
    <w:rsid w:val="00594E9C"/>
    <w:rsid w:val="005A099B"/>
    <w:rsid w:val="005A2D9C"/>
    <w:rsid w:val="005A55FE"/>
    <w:rsid w:val="005A62E5"/>
    <w:rsid w:val="005A6A11"/>
    <w:rsid w:val="005A70DA"/>
    <w:rsid w:val="005B5A71"/>
    <w:rsid w:val="005D2502"/>
    <w:rsid w:val="005D40BB"/>
    <w:rsid w:val="005D47F3"/>
    <w:rsid w:val="005D49BF"/>
    <w:rsid w:val="005D4AA5"/>
    <w:rsid w:val="005D6F4E"/>
    <w:rsid w:val="005D7747"/>
    <w:rsid w:val="005D7C73"/>
    <w:rsid w:val="005E19B3"/>
    <w:rsid w:val="005E250B"/>
    <w:rsid w:val="005E3ACD"/>
    <w:rsid w:val="005E7226"/>
    <w:rsid w:val="005E7499"/>
    <w:rsid w:val="005E7A57"/>
    <w:rsid w:val="005F24B0"/>
    <w:rsid w:val="00601B57"/>
    <w:rsid w:val="00604315"/>
    <w:rsid w:val="00604E26"/>
    <w:rsid w:val="0060523F"/>
    <w:rsid w:val="006052CF"/>
    <w:rsid w:val="006054BC"/>
    <w:rsid w:val="00607B8D"/>
    <w:rsid w:val="00611F5C"/>
    <w:rsid w:val="006141C6"/>
    <w:rsid w:val="00615562"/>
    <w:rsid w:val="00616E09"/>
    <w:rsid w:val="00622A3B"/>
    <w:rsid w:val="00622EEA"/>
    <w:rsid w:val="0062396C"/>
    <w:rsid w:val="00623FF9"/>
    <w:rsid w:val="0062521F"/>
    <w:rsid w:val="00625DBC"/>
    <w:rsid w:val="00627D4E"/>
    <w:rsid w:val="00632B89"/>
    <w:rsid w:val="0063346D"/>
    <w:rsid w:val="00634478"/>
    <w:rsid w:val="0063483D"/>
    <w:rsid w:val="00636722"/>
    <w:rsid w:val="00644373"/>
    <w:rsid w:val="00645915"/>
    <w:rsid w:val="006519C3"/>
    <w:rsid w:val="00652B30"/>
    <w:rsid w:val="00655CE3"/>
    <w:rsid w:val="00656345"/>
    <w:rsid w:val="00656DC6"/>
    <w:rsid w:val="00660EC6"/>
    <w:rsid w:val="00664110"/>
    <w:rsid w:val="00664D17"/>
    <w:rsid w:val="00666520"/>
    <w:rsid w:val="00667C5B"/>
    <w:rsid w:val="0068369A"/>
    <w:rsid w:val="00691EB8"/>
    <w:rsid w:val="00692CDE"/>
    <w:rsid w:val="00693073"/>
    <w:rsid w:val="006956F3"/>
    <w:rsid w:val="006977FF"/>
    <w:rsid w:val="006A01FA"/>
    <w:rsid w:val="006A0E9E"/>
    <w:rsid w:val="006A25C7"/>
    <w:rsid w:val="006A4AAD"/>
    <w:rsid w:val="006A6DA2"/>
    <w:rsid w:val="006A7AB2"/>
    <w:rsid w:val="006B52DE"/>
    <w:rsid w:val="006B5717"/>
    <w:rsid w:val="006B582F"/>
    <w:rsid w:val="006B5EB2"/>
    <w:rsid w:val="006C0CEB"/>
    <w:rsid w:val="006C1631"/>
    <w:rsid w:val="006C29B9"/>
    <w:rsid w:val="006C3B1E"/>
    <w:rsid w:val="006C47FD"/>
    <w:rsid w:val="006C5C19"/>
    <w:rsid w:val="006C6AFA"/>
    <w:rsid w:val="006C70A0"/>
    <w:rsid w:val="006D27CB"/>
    <w:rsid w:val="006D2F08"/>
    <w:rsid w:val="006D576C"/>
    <w:rsid w:val="006D5865"/>
    <w:rsid w:val="006E4B1B"/>
    <w:rsid w:val="006E5445"/>
    <w:rsid w:val="006E69B4"/>
    <w:rsid w:val="006E7D93"/>
    <w:rsid w:val="006F4F81"/>
    <w:rsid w:val="007029A3"/>
    <w:rsid w:val="00702EA1"/>
    <w:rsid w:val="00706E4E"/>
    <w:rsid w:val="0070791C"/>
    <w:rsid w:val="00710185"/>
    <w:rsid w:val="00711ACA"/>
    <w:rsid w:val="0071383C"/>
    <w:rsid w:val="007141A7"/>
    <w:rsid w:val="007152CD"/>
    <w:rsid w:val="00715722"/>
    <w:rsid w:val="00721032"/>
    <w:rsid w:val="00721B55"/>
    <w:rsid w:val="00726CE4"/>
    <w:rsid w:val="00727883"/>
    <w:rsid w:val="00734143"/>
    <w:rsid w:val="00737E47"/>
    <w:rsid w:val="00740EAC"/>
    <w:rsid w:val="00744956"/>
    <w:rsid w:val="00745A5C"/>
    <w:rsid w:val="0074605F"/>
    <w:rsid w:val="00747E94"/>
    <w:rsid w:val="00754C83"/>
    <w:rsid w:val="00761E5C"/>
    <w:rsid w:val="00763F12"/>
    <w:rsid w:val="00765DF8"/>
    <w:rsid w:val="00766749"/>
    <w:rsid w:val="00767C1B"/>
    <w:rsid w:val="007714A9"/>
    <w:rsid w:val="00774F88"/>
    <w:rsid w:val="00774FDB"/>
    <w:rsid w:val="007775FC"/>
    <w:rsid w:val="00777BA2"/>
    <w:rsid w:val="00781408"/>
    <w:rsid w:val="00784F7F"/>
    <w:rsid w:val="007878BD"/>
    <w:rsid w:val="00796F25"/>
    <w:rsid w:val="007A220D"/>
    <w:rsid w:val="007A2E98"/>
    <w:rsid w:val="007A3BA3"/>
    <w:rsid w:val="007A4CA5"/>
    <w:rsid w:val="007A6CC0"/>
    <w:rsid w:val="007A7FEC"/>
    <w:rsid w:val="007B1499"/>
    <w:rsid w:val="007B1BBF"/>
    <w:rsid w:val="007B1D30"/>
    <w:rsid w:val="007B2960"/>
    <w:rsid w:val="007B355D"/>
    <w:rsid w:val="007B3657"/>
    <w:rsid w:val="007B5371"/>
    <w:rsid w:val="007B7980"/>
    <w:rsid w:val="007C0DEF"/>
    <w:rsid w:val="007C5D5A"/>
    <w:rsid w:val="007C607F"/>
    <w:rsid w:val="007C6820"/>
    <w:rsid w:val="007C6E44"/>
    <w:rsid w:val="007C79DD"/>
    <w:rsid w:val="007D1A97"/>
    <w:rsid w:val="007D2CD6"/>
    <w:rsid w:val="007D3063"/>
    <w:rsid w:val="007D3CEB"/>
    <w:rsid w:val="007D56EB"/>
    <w:rsid w:val="007E3375"/>
    <w:rsid w:val="007E7683"/>
    <w:rsid w:val="007F49FA"/>
    <w:rsid w:val="007F54C4"/>
    <w:rsid w:val="007F6E9A"/>
    <w:rsid w:val="00800CCD"/>
    <w:rsid w:val="008044D4"/>
    <w:rsid w:val="00810AB4"/>
    <w:rsid w:val="00816946"/>
    <w:rsid w:val="00817B56"/>
    <w:rsid w:val="00821A88"/>
    <w:rsid w:val="0082495D"/>
    <w:rsid w:val="008301FF"/>
    <w:rsid w:val="00831AC3"/>
    <w:rsid w:val="00834303"/>
    <w:rsid w:val="00836FCE"/>
    <w:rsid w:val="008408FF"/>
    <w:rsid w:val="00846984"/>
    <w:rsid w:val="00851F3F"/>
    <w:rsid w:val="0085618F"/>
    <w:rsid w:val="00856EDC"/>
    <w:rsid w:val="008606FA"/>
    <w:rsid w:val="008623B5"/>
    <w:rsid w:val="00867203"/>
    <w:rsid w:val="00870ABA"/>
    <w:rsid w:val="008710E1"/>
    <w:rsid w:val="008716E5"/>
    <w:rsid w:val="00881CA9"/>
    <w:rsid w:val="00882426"/>
    <w:rsid w:val="0088339A"/>
    <w:rsid w:val="00883628"/>
    <w:rsid w:val="00885544"/>
    <w:rsid w:val="0088634E"/>
    <w:rsid w:val="00893AB8"/>
    <w:rsid w:val="0089775B"/>
    <w:rsid w:val="008A04C8"/>
    <w:rsid w:val="008A6913"/>
    <w:rsid w:val="008B70F3"/>
    <w:rsid w:val="008B71C4"/>
    <w:rsid w:val="008B76DF"/>
    <w:rsid w:val="008C10F4"/>
    <w:rsid w:val="008C65F7"/>
    <w:rsid w:val="008E4767"/>
    <w:rsid w:val="008E7A8C"/>
    <w:rsid w:val="0090203B"/>
    <w:rsid w:val="00902432"/>
    <w:rsid w:val="00903285"/>
    <w:rsid w:val="00906F40"/>
    <w:rsid w:val="0090731E"/>
    <w:rsid w:val="00915B1C"/>
    <w:rsid w:val="009174F3"/>
    <w:rsid w:val="0091797D"/>
    <w:rsid w:val="00923CBA"/>
    <w:rsid w:val="009242EB"/>
    <w:rsid w:val="009263D4"/>
    <w:rsid w:val="00926703"/>
    <w:rsid w:val="00927691"/>
    <w:rsid w:val="00927A5F"/>
    <w:rsid w:val="00930510"/>
    <w:rsid w:val="00935B63"/>
    <w:rsid w:val="0094078F"/>
    <w:rsid w:val="00940FA3"/>
    <w:rsid w:val="00941FB0"/>
    <w:rsid w:val="009426D4"/>
    <w:rsid w:val="00947F25"/>
    <w:rsid w:val="00950159"/>
    <w:rsid w:val="00953E16"/>
    <w:rsid w:val="0095490B"/>
    <w:rsid w:val="00960A33"/>
    <w:rsid w:val="00971914"/>
    <w:rsid w:val="00974363"/>
    <w:rsid w:val="0098071A"/>
    <w:rsid w:val="00981898"/>
    <w:rsid w:val="009850AD"/>
    <w:rsid w:val="009902D8"/>
    <w:rsid w:val="0099577C"/>
    <w:rsid w:val="009B24A5"/>
    <w:rsid w:val="009B2601"/>
    <w:rsid w:val="009B4E9E"/>
    <w:rsid w:val="009C1690"/>
    <w:rsid w:val="009C6881"/>
    <w:rsid w:val="009C7759"/>
    <w:rsid w:val="009D043D"/>
    <w:rsid w:val="009D07C8"/>
    <w:rsid w:val="009D1D05"/>
    <w:rsid w:val="009D2529"/>
    <w:rsid w:val="009D56BA"/>
    <w:rsid w:val="009D6C71"/>
    <w:rsid w:val="009E0631"/>
    <w:rsid w:val="009E16D0"/>
    <w:rsid w:val="009E2051"/>
    <w:rsid w:val="009E38FD"/>
    <w:rsid w:val="009E4BB8"/>
    <w:rsid w:val="009E7A02"/>
    <w:rsid w:val="009F13D6"/>
    <w:rsid w:val="009F4C6B"/>
    <w:rsid w:val="009F78A8"/>
    <w:rsid w:val="00A02AD6"/>
    <w:rsid w:val="00A0318E"/>
    <w:rsid w:val="00A04AA9"/>
    <w:rsid w:val="00A07096"/>
    <w:rsid w:val="00A07318"/>
    <w:rsid w:val="00A11370"/>
    <w:rsid w:val="00A117E1"/>
    <w:rsid w:val="00A12589"/>
    <w:rsid w:val="00A17B1B"/>
    <w:rsid w:val="00A224CE"/>
    <w:rsid w:val="00A22522"/>
    <w:rsid w:val="00A2440D"/>
    <w:rsid w:val="00A24882"/>
    <w:rsid w:val="00A24AFD"/>
    <w:rsid w:val="00A24F5C"/>
    <w:rsid w:val="00A32F96"/>
    <w:rsid w:val="00A34198"/>
    <w:rsid w:val="00A40871"/>
    <w:rsid w:val="00A408A9"/>
    <w:rsid w:val="00A412AB"/>
    <w:rsid w:val="00A4193E"/>
    <w:rsid w:val="00A440E0"/>
    <w:rsid w:val="00A442EF"/>
    <w:rsid w:val="00A44422"/>
    <w:rsid w:val="00A51D1A"/>
    <w:rsid w:val="00A5351D"/>
    <w:rsid w:val="00A5418D"/>
    <w:rsid w:val="00A5474E"/>
    <w:rsid w:val="00A64234"/>
    <w:rsid w:val="00A655CD"/>
    <w:rsid w:val="00A67C65"/>
    <w:rsid w:val="00A70ADF"/>
    <w:rsid w:val="00A71466"/>
    <w:rsid w:val="00A74B5E"/>
    <w:rsid w:val="00A76855"/>
    <w:rsid w:val="00A81BED"/>
    <w:rsid w:val="00A81EC4"/>
    <w:rsid w:val="00A824E8"/>
    <w:rsid w:val="00A92981"/>
    <w:rsid w:val="00A967FD"/>
    <w:rsid w:val="00AA1F0B"/>
    <w:rsid w:val="00AA2DE5"/>
    <w:rsid w:val="00AA37AF"/>
    <w:rsid w:val="00AA7880"/>
    <w:rsid w:val="00AB156C"/>
    <w:rsid w:val="00AB3831"/>
    <w:rsid w:val="00AB5A0D"/>
    <w:rsid w:val="00AB6814"/>
    <w:rsid w:val="00AB7657"/>
    <w:rsid w:val="00AC04BA"/>
    <w:rsid w:val="00AC0E39"/>
    <w:rsid w:val="00AC114C"/>
    <w:rsid w:val="00AC5FFB"/>
    <w:rsid w:val="00AD3082"/>
    <w:rsid w:val="00AD32B4"/>
    <w:rsid w:val="00AD4AD0"/>
    <w:rsid w:val="00AD5436"/>
    <w:rsid w:val="00AD60CD"/>
    <w:rsid w:val="00AD6C8C"/>
    <w:rsid w:val="00AE091D"/>
    <w:rsid w:val="00AE3B60"/>
    <w:rsid w:val="00AE53A1"/>
    <w:rsid w:val="00AE78D3"/>
    <w:rsid w:val="00AF2484"/>
    <w:rsid w:val="00AF63E7"/>
    <w:rsid w:val="00AF6E17"/>
    <w:rsid w:val="00B0165D"/>
    <w:rsid w:val="00B01B60"/>
    <w:rsid w:val="00B031F3"/>
    <w:rsid w:val="00B039C6"/>
    <w:rsid w:val="00B052A4"/>
    <w:rsid w:val="00B125DE"/>
    <w:rsid w:val="00B13FDD"/>
    <w:rsid w:val="00B22EB2"/>
    <w:rsid w:val="00B27442"/>
    <w:rsid w:val="00B31167"/>
    <w:rsid w:val="00B329D8"/>
    <w:rsid w:val="00B32BB9"/>
    <w:rsid w:val="00B33AE1"/>
    <w:rsid w:val="00B37C38"/>
    <w:rsid w:val="00B4288C"/>
    <w:rsid w:val="00B4295D"/>
    <w:rsid w:val="00B43262"/>
    <w:rsid w:val="00B44100"/>
    <w:rsid w:val="00B468BA"/>
    <w:rsid w:val="00B46CBA"/>
    <w:rsid w:val="00B46F94"/>
    <w:rsid w:val="00B6003C"/>
    <w:rsid w:val="00B61F03"/>
    <w:rsid w:val="00B626E4"/>
    <w:rsid w:val="00B72F4A"/>
    <w:rsid w:val="00B73FFB"/>
    <w:rsid w:val="00B77C6E"/>
    <w:rsid w:val="00B83C27"/>
    <w:rsid w:val="00B84BC3"/>
    <w:rsid w:val="00B84BDD"/>
    <w:rsid w:val="00B92812"/>
    <w:rsid w:val="00BA63FD"/>
    <w:rsid w:val="00BA6CF6"/>
    <w:rsid w:val="00BB19F9"/>
    <w:rsid w:val="00BB45A1"/>
    <w:rsid w:val="00BB7686"/>
    <w:rsid w:val="00BC1279"/>
    <w:rsid w:val="00BC23F9"/>
    <w:rsid w:val="00BC3421"/>
    <w:rsid w:val="00BC376B"/>
    <w:rsid w:val="00BC4EF0"/>
    <w:rsid w:val="00BC6610"/>
    <w:rsid w:val="00BC732C"/>
    <w:rsid w:val="00BD4421"/>
    <w:rsid w:val="00BD64AF"/>
    <w:rsid w:val="00BD7249"/>
    <w:rsid w:val="00BE2580"/>
    <w:rsid w:val="00BE266D"/>
    <w:rsid w:val="00BE35CB"/>
    <w:rsid w:val="00BE3938"/>
    <w:rsid w:val="00BE43B1"/>
    <w:rsid w:val="00BE4C11"/>
    <w:rsid w:val="00BE6805"/>
    <w:rsid w:val="00BE71C0"/>
    <w:rsid w:val="00BF610C"/>
    <w:rsid w:val="00BF74BB"/>
    <w:rsid w:val="00C00417"/>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55D36"/>
    <w:rsid w:val="00C64CD0"/>
    <w:rsid w:val="00C6684F"/>
    <w:rsid w:val="00C66F91"/>
    <w:rsid w:val="00C70E70"/>
    <w:rsid w:val="00C75F8D"/>
    <w:rsid w:val="00C77380"/>
    <w:rsid w:val="00C82149"/>
    <w:rsid w:val="00C82940"/>
    <w:rsid w:val="00C87E8A"/>
    <w:rsid w:val="00C92973"/>
    <w:rsid w:val="00C97736"/>
    <w:rsid w:val="00CA0FCF"/>
    <w:rsid w:val="00CA345A"/>
    <w:rsid w:val="00CB1E82"/>
    <w:rsid w:val="00CB4BA8"/>
    <w:rsid w:val="00CB513C"/>
    <w:rsid w:val="00CB52D7"/>
    <w:rsid w:val="00CB7B48"/>
    <w:rsid w:val="00CC64BB"/>
    <w:rsid w:val="00CC6732"/>
    <w:rsid w:val="00CD10A5"/>
    <w:rsid w:val="00CE0BB5"/>
    <w:rsid w:val="00CE1D80"/>
    <w:rsid w:val="00CE3C96"/>
    <w:rsid w:val="00CE51A8"/>
    <w:rsid w:val="00CE723E"/>
    <w:rsid w:val="00CF369B"/>
    <w:rsid w:val="00D00E28"/>
    <w:rsid w:val="00D0269E"/>
    <w:rsid w:val="00D05D6C"/>
    <w:rsid w:val="00D07B1C"/>
    <w:rsid w:val="00D15810"/>
    <w:rsid w:val="00D16D4E"/>
    <w:rsid w:val="00D16FE3"/>
    <w:rsid w:val="00D27CD3"/>
    <w:rsid w:val="00D27F41"/>
    <w:rsid w:val="00D31EB3"/>
    <w:rsid w:val="00D36441"/>
    <w:rsid w:val="00D4064E"/>
    <w:rsid w:val="00D414E9"/>
    <w:rsid w:val="00D42EF0"/>
    <w:rsid w:val="00D43026"/>
    <w:rsid w:val="00D4323D"/>
    <w:rsid w:val="00D44E9B"/>
    <w:rsid w:val="00D45FD2"/>
    <w:rsid w:val="00D461DD"/>
    <w:rsid w:val="00D47AEB"/>
    <w:rsid w:val="00D50DB9"/>
    <w:rsid w:val="00D51302"/>
    <w:rsid w:val="00D52C43"/>
    <w:rsid w:val="00D60571"/>
    <w:rsid w:val="00D6468E"/>
    <w:rsid w:val="00D6507F"/>
    <w:rsid w:val="00D730BC"/>
    <w:rsid w:val="00D73912"/>
    <w:rsid w:val="00D85226"/>
    <w:rsid w:val="00D87AE8"/>
    <w:rsid w:val="00D87B94"/>
    <w:rsid w:val="00D92D49"/>
    <w:rsid w:val="00D92EC1"/>
    <w:rsid w:val="00D96DEA"/>
    <w:rsid w:val="00DA06D3"/>
    <w:rsid w:val="00DA1196"/>
    <w:rsid w:val="00DA4E41"/>
    <w:rsid w:val="00DB117A"/>
    <w:rsid w:val="00DB3A64"/>
    <w:rsid w:val="00DB4113"/>
    <w:rsid w:val="00DB5173"/>
    <w:rsid w:val="00DB6981"/>
    <w:rsid w:val="00DB7873"/>
    <w:rsid w:val="00DC187B"/>
    <w:rsid w:val="00DC7DEF"/>
    <w:rsid w:val="00DD1A43"/>
    <w:rsid w:val="00DD5BDB"/>
    <w:rsid w:val="00DD73C2"/>
    <w:rsid w:val="00DE319B"/>
    <w:rsid w:val="00DF0799"/>
    <w:rsid w:val="00DF2237"/>
    <w:rsid w:val="00DF2EEC"/>
    <w:rsid w:val="00DF34FE"/>
    <w:rsid w:val="00DF56AA"/>
    <w:rsid w:val="00DF56AF"/>
    <w:rsid w:val="00DF78E7"/>
    <w:rsid w:val="00E110E0"/>
    <w:rsid w:val="00E11E68"/>
    <w:rsid w:val="00E15371"/>
    <w:rsid w:val="00E23372"/>
    <w:rsid w:val="00E23C7C"/>
    <w:rsid w:val="00E24104"/>
    <w:rsid w:val="00E302D0"/>
    <w:rsid w:val="00E35707"/>
    <w:rsid w:val="00E36AA1"/>
    <w:rsid w:val="00E3757E"/>
    <w:rsid w:val="00E41ECB"/>
    <w:rsid w:val="00E42676"/>
    <w:rsid w:val="00E50EC6"/>
    <w:rsid w:val="00E54FDB"/>
    <w:rsid w:val="00E5617D"/>
    <w:rsid w:val="00E563D7"/>
    <w:rsid w:val="00E663F4"/>
    <w:rsid w:val="00E66601"/>
    <w:rsid w:val="00E666F2"/>
    <w:rsid w:val="00E66DD4"/>
    <w:rsid w:val="00E748CC"/>
    <w:rsid w:val="00E75415"/>
    <w:rsid w:val="00E775B1"/>
    <w:rsid w:val="00E8152A"/>
    <w:rsid w:val="00E92BBF"/>
    <w:rsid w:val="00E93629"/>
    <w:rsid w:val="00E93B5C"/>
    <w:rsid w:val="00E9410F"/>
    <w:rsid w:val="00E94CEC"/>
    <w:rsid w:val="00EA04EF"/>
    <w:rsid w:val="00EA54EC"/>
    <w:rsid w:val="00EA6F19"/>
    <w:rsid w:val="00EB7090"/>
    <w:rsid w:val="00EC1BBE"/>
    <w:rsid w:val="00EC2B68"/>
    <w:rsid w:val="00EC3AEF"/>
    <w:rsid w:val="00EC5CD7"/>
    <w:rsid w:val="00ED1769"/>
    <w:rsid w:val="00ED224A"/>
    <w:rsid w:val="00EE5FB3"/>
    <w:rsid w:val="00EE7F79"/>
    <w:rsid w:val="00EF030F"/>
    <w:rsid w:val="00EF715A"/>
    <w:rsid w:val="00F01BC3"/>
    <w:rsid w:val="00F04366"/>
    <w:rsid w:val="00F06E14"/>
    <w:rsid w:val="00F179D4"/>
    <w:rsid w:val="00F23B39"/>
    <w:rsid w:val="00F26009"/>
    <w:rsid w:val="00F33C56"/>
    <w:rsid w:val="00F347C7"/>
    <w:rsid w:val="00F34848"/>
    <w:rsid w:val="00F42D46"/>
    <w:rsid w:val="00F437D6"/>
    <w:rsid w:val="00F4496C"/>
    <w:rsid w:val="00F44F3A"/>
    <w:rsid w:val="00F45DD5"/>
    <w:rsid w:val="00F51AA4"/>
    <w:rsid w:val="00F51F10"/>
    <w:rsid w:val="00F529A5"/>
    <w:rsid w:val="00F60F00"/>
    <w:rsid w:val="00F614C0"/>
    <w:rsid w:val="00F61C77"/>
    <w:rsid w:val="00F7389C"/>
    <w:rsid w:val="00F7742F"/>
    <w:rsid w:val="00F83848"/>
    <w:rsid w:val="00F975E9"/>
    <w:rsid w:val="00FA12F3"/>
    <w:rsid w:val="00FA1B7D"/>
    <w:rsid w:val="00FA1DEC"/>
    <w:rsid w:val="00FB15B9"/>
    <w:rsid w:val="00FC07B9"/>
    <w:rsid w:val="00FC4E21"/>
    <w:rsid w:val="00FC5381"/>
    <w:rsid w:val="00FC565E"/>
    <w:rsid w:val="00FC5F6D"/>
    <w:rsid w:val="00FD0107"/>
    <w:rsid w:val="00FD16BE"/>
    <w:rsid w:val="00FD2C2F"/>
    <w:rsid w:val="00FD3B31"/>
    <w:rsid w:val="00FE1823"/>
    <w:rsid w:val="00FE487A"/>
    <w:rsid w:val="00FE55CF"/>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98FF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711ACA"/>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pPr>
    <w:rPr>
      <w:rFonts w:cs="Arial"/>
      <w:sz w:val="22"/>
    </w:rPr>
  </w:style>
  <w:style w:type="paragraph" w:customStyle="1" w:styleId="Bulletlevel1last">
    <w:name w:val="Bullet level 1 last"/>
    <w:basedOn w:val="ListBulletLast"/>
    <w:uiPriority w:val="6"/>
    <w:qFormat/>
    <w:rsid w:val="00711ACA"/>
    <w:pPr>
      <w:numPr>
        <w:numId w:val="14"/>
      </w:numPr>
      <w:spacing w:line="280" w:lineRule="atLeast"/>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 w:type="paragraph" w:styleId="ListParagraph">
    <w:name w:val="List Paragraph"/>
    <w:basedOn w:val="Normal"/>
    <w:uiPriority w:val="34"/>
    <w:qFormat/>
    <w:rsid w:val="001D5022"/>
    <w:pPr>
      <w:spacing w:after="0" w:line="240" w:lineRule="auto"/>
      <w:ind w:left="720"/>
    </w:pPr>
    <w:rPr>
      <w:rFonts w:ascii="Calibri" w:eastAsiaTheme="minorHAnsi" w:hAnsi="Calibri" w:cs="Calibri"/>
      <w:sz w:val="22"/>
      <w:szCs w:val="22"/>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12145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66162253">
      <w:bodyDiv w:val="1"/>
      <w:marLeft w:val="0"/>
      <w:marRight w:val="0"/>
      <w:marTop w:val="0"/>
      <w:marBottom w:val="0"/>
      <w:divBdr>
        <w:top w:val="none" w:sz="0" w:space="0" w:color="auto"/>
        <w:left w:val="none" w:sz="0" w:space="0" w:color="auto"/>
        <w:bottom w:val="none" w:sz="0" w:space="0" w:color="auto"/>
        <w:right w:val="none" w:sz="0" w:space="0" w:color="auto"/>
      </w:divBdr>
    </w:div>
    <w:div w:id="97776088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mailto:freqplan@acma.gov.au" TargetMode="Externa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acma.gov.au/have-your-say"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decisions-under-subsection-1010" TargetMode="External"/><Relationship Id="rId32"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acma.gov.au/publications/2019-10/rules/unspecified-services-subsection-1010-australian-radiofrequency-spectrum-plan-2017" TargetMode="External"/><Relationship Id="rId28" Type="http://schemas.openxmlformats.org/officeDocument/2006/relationships/hyperlink" Target="https://www.acma.gov.au/privacy-policy" TargetMode="Externa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acma.gov.au/publication-submissions" TargetMode="External"/><Relationship Id="rId30" Type="http://schemas.openxmlformats.org/officeDocument/2006/relationships/header" Target="header8.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tu.int/pub/R-REG-RR-2024" TargetMode="External"/><Relationship Id="rId1" Type="http://schemas.openxmlformats.org/officeDocument/2006/relationships/hyperlink" Target="https://www.acma.gov.au/decisions-under-subsection-101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3081</Words>
  <Characters>16966</Characters>
  <Application>Microsoft Office Word</Application>
  <DocSecurity>0</DocSecurity>
  <Lines>370</Lines>
  <Paragraphs>158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19931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2024-11-06T22:39:00Z</dcterms:created>
  <dcterms:modified xsi:type="dcterms:W3CDTF">2024-11-06T22:40:00Z</dcterms:modified>
  <cp:category/>
</cp:coreProperties>
</file>