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26F1CF" w14:textId="77777777" w:rsidR="007F6B3C" w:rsidRDefault="007F6B3C" w:rsidP="007F6B3C">
      <w:pPr>
        <w:pStyle w:val="ACMALinecover"/>
        <w:pBdr>
          <w:bottom w:val="none" w:sz="0" w:space="0" w:color="auto"/>
        </w:pBdr>
      </w:pPr>
      <w:bookmarkStart w:id="0" w:name="_Hlk130306543"/>
      <w:bookmarkEnd w:id="0"/>
      <w:r>
        <w:rPr>
          <w:noProof/>
        </w:rPr>
        <w:drawing>
          <wp:inline distT="0" distB="0" distL="0" distR="0" wp14:anchorId="64EE5A55" wp14:editId="270C529C">
            <wp:extent cx="1718945" cy="343789"/>
            <wp:effectExtent l="0" t="0" r="0" b="0"/>
            <wp:docPr id="3"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extLst>
                        <a:ext uri="{C183D7F6-B498-43B3-948B-1728B52AA6E4}">
                          <adec:decorative xmlns:adec="http://schemas.microsoft.com/office/drawing/2017/decorative" val="1"/>
                        </a:ext>
                      </a:extLst>
                    </pic:cNvPr>
                    <pic:cNvPicPr>
                      <a:picLocks noChangeAspect="1" noChangeArrowheads="1"/>
                    </pic:cNvPicPr>
                  </pic:nvPicPr>
                  <pic:blipFill>
                    <a:blip r:embed="rId8"/>
                    <a:stretch>
                      <a:fillRect/>
                    </a:stretch>
                  </pic:blipFill>
                  <pic:spPr bwMode="auto">
                    <a:xfrm>
                      <a:off x="0" y="0"/>
                      <a:ext cx="1718945" cy="343789"/>
                    </a:xfrm>
                    <a:prstGeom prst="rect">
                      <a:avLst/>
                    </a:prstGeom>
                    <a:noFill/>
                    <a:extLst>
                      <a:ext uri="{909E8E84-426E-40dd-AFC4-6F175D3DCCD1}">
                        <a14:hiddenFill xmlns:a16="http://schemas.microsoft.com/office/drawing/2014/main" xmlns:c="http://schemas.openxmlformats.org/drawingml/2006/chart" xmlns:arto="http://schemas.microsoft.com/office/word/2006/arto"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svg="http://schemas.microsoft.com/office/drawing/2016/SVG/main" xmlns:dgm="http://schemas.openxmlformats.org/drawingml/2006/diagram" xmlns:adec="http://schemas.microsoft.com/office/drawing/2017/decorative">
                          <a:solidFill>
                            <a:srgbClr val="FFFFFF"/>
                          </a:solidFill>
                        </a14:hiddenFill>
                      </a:ext>
                    </a:extLst>
                  </pic:spPr>
                </pic:pic>
              </a:graphicData>
            </a:graphic>
          </wp:inline>
        </w:drawing>
      </w:r>
    </w:p>
    <w:p w14:paraId="15178FDB" w14:textId="4E695208" w:rsidR="007F6B3C" w:rsidRPr="00A17B1B" w:rsidRDefault="00262D67" w:rsidP="007F6B3C">
      <w:pPr>
        <w:pStyle w:val="Reporttitle"/>
      </w:pPr>
      <w:r>
        <w:t>P</w:t>
      </w:r>
      <w:r w:rsidR="007F6B3C">
        <w:t>rivate wireless networks</w:t>
      </w:r>
      <w:r>
        <w:t xml:space="preserve"> using 4G or 5G</w:t>
      </w:r>
      <w:r w:rsidR="007F6B3C">
        <w:t xml:space="preserve"> </w:t>
      </w:r>
      <w:r w:rsidR="007F6B3C">
        <w:br/>
        <w:t xml:space="preserve">in </w:t>
      </w:r>
      <w:proofErr w:type="gramStart"/>
      <w:r w:rsidR="007F6B3C">
        <w:t>Australia</w:t>
      </w:r>
      <w:proofErr w:type="gramEnd"/>
    </w:p>
    <w:p w14:paraId="43F68F90" w14:textId="7D5A46B2" w:rsidR="007F6B3C" w:rsidRDefault="007F6B3C" w:rsidP="007F6B3C">
      <w:pPr>
        <w:pStyle w:val="Reportsubtitle"/>
      </w:pPr>
      <w:r>
        <w:t>Market study</w:t>
      </w:r>
    </w:p>
    <w:p w14:paraId="1664247C" w14:textId="1A5C8BC6" w:rsidR="00C97736" w:rsidRPr="00A17B1B" w:rsidRDefault="00C54352" w:rsidP="00EC2B68">
      <w:pPr>
        <w:pStyle w:val="Reportdate"/>
        <w:spacing w:after="720"/>
        <w:rPr>
          <w:rFonts w:cs="Arial"/>
        </w:rPr>
        <w:sectPr w:rsidR="00C97736" w:rsidRPr="00A17B1B" w:rsidSect="005E250B">
          <w:headerReference w:type="default" r:id="rId9"/>
          <w:footerReference w:type="default" r:id="rId10"/>
          <w:headerReference w:type="first" r:id="rId11"/>
          <w:pgSz w:w="11906" w:h="16838" w:code="9"/>
          <w:pgMar w:top="3924" w:right="992" w:bottom="1440" w:left="1134" w:header="709" w:footer="454" w:gutter="0"/>
          <w:cols w:space="708"/>
          <w:docGrid w:linePitch="360"/>
        </w:sectPr>
      </w:pPr>
      <w:r w:rsidRPr="00952B9B">
        <w:t>September</w:t>
      </w:r>
      <w:r w:rsidR="00BD4421" w:rsidRPr="00A17B1B">
        <w:t xml:space="preserve"> 20</w:t>
      </w:r>
      <w:r w:rsidR="000971BD" w:rsidRPr="00A17B1B">
        <w:t>2</w:t>
      </w:r>
      <w:r w:rsidR="00C55D36">
        <w:t>3</w:t>
      </w:r>
    </w:p>
    <w:p w14:paraId="1AD8696A" w14:textId="77777777" w:rsidR="00284A74" w:rsidRPr="00A17B1B" w:rsidRDefault="00284A74" w:rsidP="00284A74">
      <w:pPr>
        <w:pStyle w:val="ACMACorporateAddressHeader"/>
      </w:pPr>
      <w:r w:rsidRPr="00A17B1B">
        <w:lastRenderedPageBreak/>
        <w:t>Canberra</w:t>
      </w:r>
    </w:p>
    <w:p w14:paraId="7B50BC1B" w14:textId="77777777" w:rsidR="00284A74" w:rsidRPr="00A17B1B" w:rsidRDefault="00284A74" w:rsidP="00284A74">
      <w:pPr>
        <w:pStyle w:val="ACMACorporateAddresses"/>
      </w:pPr>
      <w:r w:rsidRPr="00A17B1B">
        <w:t xml:space="preserve">Red Building </w:t>
      </w:r>
      <w:r w:rsidRPr="00A17B1B">
        <w:br/>
        <w:t>Benjamin Offices</w:t>
      </w:r>
      <w:r w:rsidRPr="00A17B1B">
        <w:br/>
        <w:t xml:space="preserve">Chan Street </w:t>
      </w:r>
      <w:r w:rsidRPr="00A17B1B">
        <w:br/>
        <w:t>Belconnen ACT</w:t>
      </w:r>
    </w:p>
    <w:p w14:paraId="634D4547" w14:textId="77777777" w:rsidR="00284A74" w:rsidRPr="00A17B1B" w:rsidRDefault="00284A74" w:rsidP="00284A74">
      <w:pPr>
        <w:pStyle w:val="ACMACorporateAddresses"/>
      </w:pPr>
      <w:r w:rsidRPr="00A17B1B">
        <w:t>PO Box 78</w:t>
      </w:r>
      <w:r w:rsidRPr="00A17B1B">
        <w:br/>
        <w:t>Belconnen ACT 2616</w:t>
      </w:r>
    </w:p>
    <w:p w14:paraId="26679D2C" w14:textId="77777777" w:rsidR="00284A74" w:rsidRPr="00A17B1B" w:rsidRDefault="00284A74" w:rsidP="00284A74">
      <w:pPr>
        <w:pStyle w:val="ACMACorporateAddresses"/>
      </w:pPr>
      <w:r w:rsidRPr="00A17B1B">
        <w:t>T</w:t>
      </w:r>
      <w:r w:rsidRPr="00A17B1B">
        <w:tab/>
        <w:t>+61 2 6219 5555</w:t>
      </w:r>
      <w:r w:rsidRPr="00A17B1B">
        <w:br/>
        <w:t>F</w:t>
      </w:r>
      <w:r w:rsidRPr="00A17B1B">
        <w:tab/>
        <w:t>+61 2 6219 5353</w:t>
      </w:r>
    </w:p>
    <w:p w14:paraId="7005556E" w14:textId="77777777" w:rsidR="00284A74" w:rsidRPr="00A17B1B" w:rsidRDefault="00284A74" w:rsidP="00284A74">
      <w:pPr>
        <w:pStyle w:val="ACMACorporateAddressHeader"/>
      </w:pPr>
      <w:r w:rsidRPr="00A17B1B">
        <w:t>Melbourne</w:t>
      </w:r>
    </w:p>
    <w:p w14:paraId="17AB62DC" w14:textId="77777777" w:rsidR="00284A74" w:rsidRPr="00A17B1B" w:rsidRDefault="00284A74" w:rsidP="00284A74">
      <w:pPr>
        <w:pStyle w:val="ACMACorporateAddresses"/>
      </w:pPr>
      <w:r w:rsidRPr="00A17B1B">
        <w:t xml:space="preserve">Level 32 </w:t>
      </w:r>
      <w:r w:rsidRPr="00A17B1B">
        <w:br/>
        <w:t>Melbourne Central Tower</w:t>
      </w:r>
      <w:r w:rsidRPr="00A17B1B">
        <w:br/>
        <w:t xml:space="preserve">360 Elizabeth Street </w:t>
      </w:r>
      <w:r w:rsidRPr="00A17B1B">
        <w:br/>
        <w:t>Melbourne VIC</w:t>
      </w:r>
    </w:p>
    <w:p w14:paraId="24FC5C2E" w14:textId="77777777" w:rsidR="00284A74" w:rsidRPr="00A17B1B" w:rsidRDefault="00284A74" w:rsidP="00284A74">
      <w:pPr>
        <w:pStyle w:val="ACMACorporateAddresses"/>
      </w:pPr>
      <w:r w:rsidRPr="00A17B1B">
        <w:t>PO Box 13112</w:t>
      </w:r>
      <w:r w:rsidRPr="00A17B1B">
        <w:br/>
        <w:t xml:space="preserve">Law Courts </w:t>
      </w:r>
      <w:r w:rsidRPr="00A17B1B">
        <w:br/>
        <w:t>Melbourne VIC 8010</w:t>
      </w:r>
    </w:p>
    <w:p w14:paraId="0069046A" w14:textId="77777777" w:rsidR="00284A74" w:rsidRPr="00A17B1B" w:rsidRDefault="00284A74" w:rsidP="00284A74">
      <w:pPr>
        <w:pStyle w:val="ACMACorporateAddresses"/>
      </w:pPr>
      <w:r w:rsidRPr="00A17B1B">
        <w:t>T</w:t>
      </w:r>
      <w:r w:rsidRPr="00A17B1B">
        <w:tab/>
        <w:t>+61 3 9963 6800</w:t>
      </w:r>
      <w:r w:rsidRPr="00A17B1B">
        <w:br/>
        <w:t>F</w:t>
      </w:r>
      <w:r w:rsidRPr="00A17B1B">
        <w:tab/>
        <w:t>+61 3 9963 6899</w:t>
      </w:r>
    </w:p>
    <w:p w14:paraId="57DB16B8" w14:textId="77777777" w:rsidR="00284A74" w:rsidRPr="00A17B1B" w:rsidRDefault="00284A74" w:rsidP="00284A74">
      <w:pPr>
        <w:pStyle w:val="ACMACorporateAddressHeader"/>
      </w:pPr>
      <w:r w:rsidRPr="00A17B1B">
        <w:t>Sydney</w:t>
      </w:r>
    </w:p>
    <w:p w14:paraId="0B03843D" w14:textId="77777777" w:rsidR="00284A74" w:rsidRPr="00A17B1B" w:rsidRDefault="00284A74" w:rsidP="00284A74">
      <w:pPr>
        <w:pStyle w:val="ACMACorporateAddresses"/>
      </w:pPr>
      <w:r w:rsidRPr="00A17B1B">
        <w:t xml:space="preserve">Level 5 </w:t>
      </w:r>
      <w:r w:rsidRPr="00A17B1B">
        <w:br/>
        <w:t>The Bay Centre</w:t>
      </w:r>
      <w:r w:rsidRPr="00A17B1B">
        <w:br/>
        <w:t xml:space="preserve">65 Pirrama Road </w:t>
      </w:r>
      <w:r w:rsidRPr="00A17B1B">
        <w:br/>
        <w:t>Pyrmont NSW</w:t>
      </w:r>
    </w:p>
    <w:p w14:paraId="20F4CF89" w14:textId="77777777" w:rsidR="00284A74" w:rsidRPr="00A17B1B" w:rsidRDefault="00284A74" w:rsidP="00284A74">
      <w:pPr>
        <w:pStyle w:val="ACMACorporateAddresses"/>
      </w:pPr>
      <w:r w:rsidRPr="00A17B1B">
        <w:t>PO Box Q500</w:t>
      </w:r>
      <w:r w:rsidRPr="00A17B1B">
        <w:br/>
        <w:t xml:space="preserve">Queen Victoria Building </w:t>
      </w:r>
      <w:r w:rsidRPr="00A17B1B">
        <w:br/>
        <w:t>NSW 1230</w:t>
      </w:r>
    </w:p>
    <w:p w14:paraId="6ACA7729" w14:textId="77777777" w:rsidR="00284A74" w:rsidRPr="00A17B1B" w:rsidRDefault="00284A74" w:rsidP="00284A74">
      <w:pPr>
        <w:pStyle w:val="ACMACorporateAddresses"/>
      </w:pPr>
      <w:r w:rsidRPr="00A17B1B">
        <w:t>T</w:t>
      </w:r>
      <w:r w:rsidRPr="00A17B1B">
        <w:tab/>
        <w:t>+61 2 9334 7700</w:t>
      </w:r>
      <w:r w:rsidRPr="00A17B1B">
        <w:br/>
        <w:t>F</w:t>
      </w:r>
      <w:r w:rsidRPr="00A17B1B">
        <w:tab/>
        <w:t>+61 2 9334 7799</w:t>
      </w:r>
    </w:p>
    <w:p w14:paraId="744A492A" w14:textId="77777777" w:rsidR="00284A74" w:rsidRPr="00A17B1B" w:rsidRDefault="00284A74" w:rsidP="00284A74">
      <w:pPr>
        <w:pStyle w:val="ACMACopyrightHeader"/>
      </w:pPr>
      <w:r w:rsidRPr="00A17B1B">
        <w:t>Copyright notice</w:t>
      </w:r>
    </w:p>
    <w:p w14:paraId="60E5D867" w14:textId="77777777" w:rsidR="00284A74" w:rsidRPr="00A17B1B" w:rsidRDefault="00284A74" w:rsidP="00284A74">
      <w:pPr>
        <w:pStyle w:val="ACMACClogo"/>
      </w:pPr>
      <w:r w:rsidRPr="00A17B1B">
        <w:rPr>
          <w:noProof/>
        </w:rPr>
        <w:drawing>
          <wp:inline distT="0" distB="0" distL="0" distR="0" wp14:anchorId="3AFD3D06" wp14:editId="201ADC95">
            <wp:extent cx="838200" cy="295275"/>
            <wp:effectExtent l="0" t="0" r="0" b="0"/>
            <wp:docPr id="1" name="Picture 1" title="Creative Commons logo">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2"/>
                    </pic:cNvPr>
                    <pic:cNvPicPr>
                      <a:picLocks noChangeAspect="1" noChangeArrowheads="1"/>
                    </pic:cNvPicPr>
                  </pic:nvPicPr>
                  <pic:blipFill>
                    <a:blip r:embed="rId13" cstate="print"/>
                    <a:srcRect/>
                    <a:stretch>
                      <a:fillRect/>
                    </a:stretch>
                  </pic:blipFill>
                  <pic:spPr bwMode="auto">
                    <a:xfrm>
                      <a:off x="0" y="0"/>
                      <a:ext cx="838200" cy="295275"/>
                    </a:xfrm>
                    <a:prstGeom prst="rect">
                      <a:avLst/>
                    </a:prstGeom>
                    <a:noFill/>
                  </pic:spPr>
                </pic:pic>
              </a:graphicData>
            </a:graphic>
          </wp:inline>
        </w:drawing>
      </w:r>
    </w:p>
    <w:p w14:paraId="6CABC2E7" w14:textId="77777777" w:rsidR="00284A74" w:rsidRPr="00A17B1B" w:rsidRDefault="00C2270A" w:rsidP="00284A74">
      <w:pPr>
        <w:pStyle w:val="ACMACorporateAddresses"/>
        <w:rPr>
          <w:rStyle w:val="Hyperlink"/>
        </w:rPr>
      </w:pPr>
      <w:hyperlink r:id="rId14" w:history="1">
        <w:r w:rsidR="00284A74" w:rsidRPr="00A17B1B">
          <w:rPr>
            <w:rStyle w:val="Hyperlink"/>
          </w:rPr>
          <w:t>https://creativecommons.org/licenses/by/4.0/</w:t>
        </w:r>
      </w:hyperlink>
    </w:p>
    <w:p w14:paraId="14610FCE" w14:textId="77777777" w:rsidR="00284A74" w:rsidRPr="00A17B1B" w:rsidRDefault="00284A74" w:rsidP="00284A74">
      <w:pPr>
        <w:pStyle w:val="ACMACorporateAddresses"/>
      </w:pPr>
      <w:r w:rsidRPr="00A17B1B">
        <w:t xml:space="preserve">With the exception of coats of arms, logos, emblems, images, other third-party material or devices protected by a trademark, this content is made available under the terms of the Creative Commons Attribution 4.0 International (CC BY 4.0) licence. </w:t>
      </w:r>
    </w:p>
    <w:p w14:paraId="6AA81D49" w14:textId="77777777" w:rsidR="00284A74" w:rsidRPr="00A17B1B" w:rsidRDefault="00284A74" w:rsidP="00284A74">
      <w:pPr>
        <w:pStyle w:val="ACMACorporateAddresses"/>
      </w:pPr>
      <w:r w:rsidRPr="00A17B1B">
        <w:t>We request attribution as © Commonwealth of Australia (Australian Communications and Media Authority) 202</w:t>
      </w:r>
      <w:r w:rsidR="00C55D36">
        <w:t>3</w:t>
      </w:r>
      <w:r w:rsidRPr="00A17B1B">
        <w:t>.</w:t>
      </w:r>
    </w:p>
    <w:p w14:paraId="4E787659" w14:textId="77777777" w:rsidR="00284A74" w:rsidRPr="00A17B1B" w:rsidRDefault="00284A74" w:rsidP="00284A74">
      <w:pPr>
        <w:pStyle w:val="ACMACorporateAddresses"/>
      </w:pPr>
      <w:r w:rsidRPr="00A17B1B">
        <w:t>All other rights are reserved.</w:t>
      </w:r>
    </w:p>
    <w:p w14:paraId="7E6125B2" w14:textId="77777777" w:rsidR="00284A74" w:rsidRPr="00A17B1B" w:rsidRDefault="00284A74" w:rsidP="00284A74">
      <w:pPr>
        <w:pStyle w:val="ACMACorporateAddresses"/>
      </w:pPr>
      <w:r w:rsidRPr="00A17B1B">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6FF0170C" w14:textId="77777777" w:rsidR="00284A74" w:rsidRPr="00A17B1B" w:rsidRDefault="00284A74" w:rsidP="00284A74">
      <w:pPr>
        <w:pStyle w:val="ACMACorporateAddresses"/>
      </w:pPr>
      <w:r w:rsidRPr="00A17B1B">
        <w:t>Written enquiries may be sent to:</w:t>
      </w:r>
    </w:p>
    <w:p w14:paraId="68B10B16" w14:textId="77777777" w:rsidR="00284A74" w:rsidRPr="00A17B1B" w:rsidRDefault="00284A74" w:rsidP="00284A74">
      <w:pPr>
        <w:pStyle w:val="ACMACorporateAddresses"/>
        <w:rPr>
          <w:rStyle w:val="Hyperlink"/>
        </w:rPr>
      </w:pPr>
      <w:r w:rsidRPr="00A17B1B">
        <w:t>Manager, Editorial Services</w:t>
      </w:r>
      <w:r w:rsidRPr="00A17B1B">
        <w:br/>
        <w:t>PO Box 13112</w:t>
      </w:r>
      <w:r w:rsidRPr="00A17B1B">
        <w:br/>
        <w:t>Law Courts</w:t>
      </w:r>
      <w:r w:rsidRPr="00A17B1B">
        <w:br/>
        <w:t>Melbourne VIC 8010</w:t>
      </w:r>
      <w:r w:rsidRPr="00A17B1B">
        <w:br/>
        <w:t xml:space="preserve">Email: </w:t>
      </w:r>
      <w:hyperlink r:id="rId15" w:history="1">
        <w:r w:rsidRPr="00A17B1B">
          <w:rPr>
            <w:rStyle w:val="Hyperlink"/>
          </w:rPr>
          <w:t>info@acma.gov.au</w:t>
        </w:r>
      </w:hyperlink>
    </w:p>
    <w:p w14:paraId="6B034233" w14:textId="77777777" w:rsidR="00D16FE3" w:rsidRPr="00A17B1B" w:rsidRDefault="00D16FE3" w:rsidP="00D16FE3">
      <w:pPr>
        <w:pStyle w:val="ACMACorporateAddresses"/>
        <w:sectPr w:rsidR="00D16FE3" w:rsidRPr="00A17B1B">
          <w:headerReference w:type="even" r:id="rId16"/>
          <w:headerReference w:type="default" r:id="rId17"/>
          <w:footerReference w:type="even" r:id="rId18"/>
          <w:footerReference w:type="default" r:id="rId19"/>
          <w:pgSz w:w="11906" w:h="16838" w:code="9"/>
          <w:pgMar w:top="3924" w:right="1797" w:bottom="697" w:left="1134" w:header="709" w:footer="119" w:gutter="0"/>
          <w:cols w:space="708"/>
          <w:docGrid w:linePitch="360"/>
        </w:sectPr>
      </w:pPr>
    </w:p>
    <w:p w14:paraId="02BD358C" w14:textId="07D300D7" w:rsidR="00763ECA" w:rsidRDefault="00F47D44">
      <w:pPr>
        <w:pStyle w:val="TOC1"/>
        <w:rPr>
          <w:rFonts w:asciiTheme="minorHAnsi" w:eastAsiaTheme="minorEastAsia" w:hAnsiTheme="minorHAnsi" w:cstheme="minorBidi"/>
          <w:b w:val="0"/>
          <w:spacing w:val="0"/>
          <w:sz w:val="22"/>
          <w:szCs w:val="22"/>
        </w:rPr>
      </w:pPr>
      <w:r>
        <w:rPr>
          <w:rFonts w:cs="Arial"/>
          <w:b w:val="0"/>
        </w:rPr>
        <w:fldChar w:fldCharType="begin"/>
      </w:r>
      <w:r>
        <w:rPr>
          <w:rFonts w:cs="Arial"/>
          <w:b w:val="0"/>
        </w:rPr>
        <w:instrText xml:space="preserve"> TOC \o "1-2" \h \z \u </w:instrText>
      </w:r>
      <w:r>
        <w:rPr>
          <w:rFonts w:cs="Arial"/>
          <w:b w:val="0"/>
        </w:rPr>
        <w:fldChar w:fldCharType="separate"/>
      </w:r>
      <w:hyperlink w:anchor="_Toc146022979" w:history="1">
        <w:r w:rsidR="00763ECA" w:rsidRPr="00DC5C55">
          <w:rPr>
            <w:rStyle w:val="Hyperlink"/>
          </w:rPr>
          <w:t>About this market study</w:t>
        </w:r>
        <w:r w:rsidR="00763ECA">
          <w:rPr>
            <w:webHidden/>
          </w:rPr>
          <w:tab/>
        </w:r>
        <w:r w:rsidR="00763ECA">
          <w:rPr>
            <w:webHidden/>
          </w:rPr>
          <w:fldChar w:fldCharType="begin"/>
        </w:r>
        <w:r w:rsidR="00763ECA">
          <w:rPr>
            <w:webHidden/>
          </w:rPr>
          <w:instrText xml:space="preserve"> PAGEREF _Toc146022979 \h </w:instrText>
        </w:r>
        <w:r w:rsidR="00763ECA">
          <w:rPr>
            <w:webHidden/>
          </w:rPr>
        </w:r>
        <w:r w:rsidR="00763ECA">
          <w:rPr>
            <w:webHidden/>
          </w:rPr>
          <w:fldChar w:fldCharType="separate"/>
        </w:r>
        <w:r w:rsidR="00763ECA">
          <w:rPr>
            <w:webHidden/>
          </w:rPr>
          <w:t>3</w:t>
        </w:r>
        <w:r w:rsidR="00763ECA">
          <w:rPr>
            <w:webHidden/>
          </w:rPr>
          <w:fldChar w:fldCharType="end"/>
        </w:r>
      </w:hyperlink>
    </w:p>
    <w:p w14:paraId="2FBBE4D9" w14:textId="54DE70E5" w:rsidR="00763ECA" w:rsidRDefault="00C2270A">
      <w:pPr>
        <w:pStyle w:val="TOC2"/>
        <w:rPr>
          <w:rFonts w:asciiTheme="minorHAnsi" w:eastAsiaTheme="minorEastAsia" w:hAnsiTheme="minorHAnsi" w:cstheme="minorBidi"/>
          <w:spacing w:val="0"/>
          <w:sz w:val="22"/>
          <w:szCs w:val="22"/>
        </w:rPr>
      </w:pPr>
      <w:hyperlink w:anchor="_Toc146022980" w:history="1">
        <w:r w:rsidR="00763ECA" w:rsidRPr="00DC5C55">
          <w:rPr>
            <w:rStyle w:val="Hyperlink"/>
          </w:rPr>
          <w:t>Case studies</w:t>
        </w:r>
        <w:r w:rsidR="00763ECA">
          <w:rPr>
            <w:webHidden/>
          </w:rPr>
          <w:tab/>
        </w:r>
        <w:r w:rsidR="00763ECA">
          <w:rPr>
            <w:webHidden/>
          </w:rPr>
          <w:fldChar w:fldCharType="begin"/>
        </w:r>
        <w:r w:rsidR="00763ECA">
          <w:rPr>
            <w:webHidden/>
          </w:rPr>
          <w:instrText xml:space="preserve"> PAGEREF _Toc146022980 \h </w:instrText>
        </w:r>
        <w:r w:rsidR="00763ECA">
          <w:rPr>
            <w:webHidden/>
          </w:rPr>
        </w:r>
        <w:r w:rsidR="00763ECA">
          <w:rPr>
            <w:webHidden/>
          </w:rPr>
          <w:fldChar w:fldCharType="separate"/>
        </w:r>
        <w:r w:rsidR="00763ECA">
          <w:rPr>
            <w:webHidden/>
          </w:rPr>
          <w:t>3</w:t>
        </w:r>
        <w:r w:rsidR="00763ECA">
          <w:rPr>
            <w:webHidden/>
          </w:rPr>
          <w:fldChar w:fldCharType="end"/>
        </w:r>
      </w:hyperlink>
    </w:p>
    <w:p w14:paraId="56471A05" w14:textId="5B95E859" w:rsidR="00763ECA" w:rsidRDefault="00C2270A">
      <w:pPr>
        <w:pStyle w:val="TOC2"/>
        <w:rPr>
          <w:rFonts w:asciiTheme="minorHAnsi" w:eastAsiaTheme="minorEastAsia" w:hAnsiTheme="minorHAnsi" w:cstheme="minorBidi"/>
          <w:spacing w:val="0"/>
          <w:sz w:val="22"/>
          <w:szCs w:val="22"/>
        </w:rPr>
      </w:pPr>
      <w:hyperlink w:anchor="_Toc146022981" w:history="1">
        <w:r w:rsidR="00763ECA" w:rsidRPr="00DC5C55">
          <w:rPr>
            <w:rStyle w:val="Hyperlink"/>
          </w:rPr>
          <w:t>Methodology</w:t>
        </w:r>
        <w:r w:rsidR="00763ECA">
          <w:rPr>
            <w:webHidden/>
          </w:rPr>
          <w:tab/>
        </w:r>
        <w:r w:rsidR="00763ECA">
          <w:rPr>
            <w:webHidden/>
          </w:rPr>
          <w:fldChar w:fldCharType="begin"/>
        </w:r>
        <w:r w:rsidR="00763ECA">
          <w:rPr>
            <w:webHidden/>
          </w:rPr>
          <w:instrText xml:space="preserve"> PAGEREF _Toc146022981 \h </w:instrText>
        </w:r>
        <w:r w:rsidR="00763ECA">
          <w:rPr>
            <w:webHidden/>
          </w:rPr>
        </w:r>
        <w:r w:rsidR="00763ECA">
          <w:rPr>
            <w:webHidden/>
          </w:rPr>
          <w:fldChar w:fldCharType="separate"/>
        </w:r>
        <w:r w:rsidR="00763ECA">
          <w:rPr>
            <w:webHidden/>
          </w:rPr>
          <w:t>3</w:t>
        </w:r>
        <w:r w:rsidR="00763ECA">
          <w:rPr>
            <w:webHidden/>
          </w:rPr>
          <w:fldChar w:fldCharType="end"/>
        </w:r>
      </w:hyperlink>
    </w:p>
    <w:p w14:paraId="00BE23B6" w14:textId="48F290C1" w:rsidR="00763ECA" w:rsidRDefault="00C2270A">
      <w:pPr>
        <w:pStyle w:val="TOC1"/>
        <w:rPr>
          <w:rFonts w:asciiTheme="minorHAnsi" w:eastAsiaTheme="minorEastAsia" w:hAnsiTheme="minorHAnsi" w:cstheme="minorBidi"/>
          <w:b w:val="0"/>
          <w:spacing w:val="0"/>
          <w:sz w:val="22"/>
          <w:szCs w:val="22"/>
        </w:rPr>
      </w:pPr>
      <w:hyperlink w:anchor="_Toc146022982" w:history="1">
        <w:r w:rsidR="00763ECA" w:rsidRPr="00DC5C55">
          <w:rPr>
            <w:rStyle w:val="Hyperlink"/>
          </w:rPr>
          <w:t>Private wireless networks</w:t>
        </w:r>
        <w:r w:rsidR="00763ECA">
          <w:rPr>
            <w:webHidden/>
          </w:rPr>
          <w:tab/>
        </w:r>
        <w:r w:rsidR="00763ECA">
          <w:rPr>
            <w:webHidden/>
          </w:rPr>
          <w:fldChar w:fldCharType="begin"/>
        </w:r>
        <w:r w:rsidR="00763ECA">
          <w:rPr>
            <w:webHidden/>
          </w:rPr>
          <w:instrText xml:space="preserve"> PAGEREF _Toc146022982 \h </w:instrText>
        </w:r>
        <w:r w:rsidR="00763ECA">
          <w:rPr>
            <w:webHidden/>
          </w:rPr>
        </w:r>
        <w:r w:rsidR="00763ECA">
          <w:rPr>
            <w:webHidden/>
          </w:rPr>
          <w:fldChar w:fldCharType="separate"/>
        </w:r>
        <w:r w:rsidR="00763ECA">
          <w:rPr>
            <w:webHidden/>
          </w:rPr>
          <w:t>5</w:t>
        </w:r>
        <w:r w:rsidR="00763ECA">
          <w:rPr>
            <w:webHidden/>
          </w:rPr>
          <w:fldChar w:fldCharType="end"/>
        </w:r>
      </w:hyperlink>
    </w:p>
    <w:p w14:paraId="196CB431" w14:textId="5385EB0E" w:rsidR="00763ECA" w:rsidRDefault="00C2270A">
      <w:pPr>
        <w:pStyle w:val="TOC2"/>
        <w:rPr>
          <w:rFonts w:asciiTheme="minorHAnsi" w:eastAsiaTheme="minorEastAsia" w:hAnsiTheme="minorHAnsi" w:cstheme="minorBidi"/>
          <w:spacing w:val="0"/>
          <w:sz w:val="22"/>
          <w:szCs w:val="22"/>
        </w:rPr>
      </w:pPr>
      <w:hyperlink w:anchor="_Toc146022983" w:history="1">
        <w:r w:rsidR="00763ECA" w:rsidRPr="00DC5C55">
          <w:rPr>
            <w:rStyle w:val="Hyperlink"/>
          </w:rPr>
          <w:t>What are private wireless networks?</w:t>
        </w:r>
        <w:r w:rsidR="00763ECA">
          <w:rPr>
            <w:webHidden/>
          </w:rPr>
          <w:tab/>
        </w:r>
        <w:r w:rsidR="00763ECA">
          <w:rPr>
            <w:webHidden/>
          </w:rPr>
          <w:fldChar w:fldCharType="begin"/>
        </w:r>
        <w:r w:rsidR="00763ECA">
          <w:rPr>
            <w:webHidden/>
          </w:rPr>
          <w:instrText xml:space="preserve"> PAGEREF _Toc146022983 \h </w:instrText>
        </w:r>
        <w:r w:rsidR="00763ECA">
          <w:rPr>
            <w:webHidden/>
          </w:rPr>
        </w:r>
        <w:r w:rsidR="00763ECA">
          <w:rPr>
            <w:webHidden/>
          </w:rPr>
          <w:fldChar w:fldCharType="separate"/>
        </w:r>
        <w:r w:rsidR="00763ECA">
          <w:rPr>
            <w:webHidden/>
          </w:rPr>
          <w:t>5</w:t>
        </w:r>
        <w:r w:rsidR="00763ECA">
          <w:rPr>
            <w:webHidden/>
          </w:rPr>
          <w:fldChar w:fldCharType="end"/>
        </w:r>
      </w:hyperlink>
    </w:p>
    <w:p w14:paraId="7A4982AE" w14:textId="424289C7" w:rsidR="00763ECA" w:rsidRDefault="00C2270A">
      <w:pPr>
        <w:pStyle w:val="TOC2"/>
        <w:rPr>
          <w:rFonts w:asciiTheme="minorHAnsi" w:eastAsiaTheme="minorEastAsia" w:hAnsiTheme="minorHAnsi" w:cstheme="minorBidi"/>
          <w:spacing w:val="0"/>
          <w:sz w:val="22"/>
          <w:szCs w:val="22"/>
        </w:rPr>
      </w:pPr>
      <w:hyperlink w:anchor="_Toc146022984" w:history="1">
        <w:r w:rsidR="00763ECA" w:rsidRPr="00DC5C55">
          <w:rPr>
            <w:rStyle w:val="Hyperlink"/>
          </w:rPr>
          <w:t>Why use private wireless networks?</w:t>
        </w:r>
        <w:r w:rsidR="00763ECA">
          <w:rPr>
            <w:webHidden/>
          </w:rPr>
          <w:tab/>
        </w:r>
        <w:r w:rsidR="00763ECA">
          <w:rPr>
            <w:webHidden/>
          </w:rPr>
          <w:fldChar w:fldCharType="begin"/>
        </w:r>
        <w:r w:rsidR="00763ECA">
          <w:rPr>
            <w:webHidden/>
          </w:rPr>
          <w:instrText xml:space="preserve"> PAGEREF _Toc146022984 \h </w:instrText>
        </w:r>
        <w:r w:rsidR="00763ECA">
          <w:rPr>
            <w:webHidden/>
          </w:rPr>
        </w:r>
        <w:r w:rsidR="00763ECA">
          <w:rPr>
            <w:webHidden/>
          </w:rPr>
          <w:fldChar w:fldCharType="separate"/>
        </w:r>
        <w:r w:rsidR="00763ECA">
          <w:rPr>
            <w:webHidden/>
          </w:rPr>
          <w:t>7</w:t>
        </w:r>
        <w:r w:rsidR="00763ECA">
          <w:rPr>
            <w:webHidden/>
          </w:rPr>
          <w:fldChar w:fldCharType="end"/>
        </w:r>
      </w:hyperlink>
    </w:p>
    <w:p w14:paraId="71275278" w14:textId="1FA8AB79" w:rsidR="00763ECA" w:rsidRDefault="00C2270A">
      <w:pPr>
        <w:pStyle w:val="TOC2"/>
        <w:rPr>
          <w:rFonts w:asciiTheme="minorHAnsi" w:eastAsiaTheme="minorEastAsia" w:hAnsiTheme="minorHAnsi" w:cstheme="minorBidi"/>
          <w:spacing w:val="0"/>
          <w:sz w:val="22"/>
          <w:szCs w:val="22"/>
        </w:rPr>
      </w:pPr>
      <w:hyperlink w:anchor="_Toc146022985" w:history="1">
        <w:r w:rsidR="00763ECA" w:rsidRPr="00DC5C55">
          <w:rPr>
            <w:rStyle w:val="Hyperlink"/>
          </w:rPr>
          <w:t>4G versus 5G</w:t>
        </w:r>
        <w:r w:rsidR="00763ECA">
          <w:rPr>
            <w:webHidden/>
          </w:rPr>
          <w:tab/>
        </w:r>
        <w:r w:rsidR="00763ECA">
          <w:rPr>
            <w:webHidden/>
          </w:rPr>
          <w:fldChar w:fldCharType="begin"/>
        </w:r>
        <w:r w:rsidR="00763ECA">
          <w:rPr>
            <w:webHidden/>
          </w:rPr>
          <w:instrText xml:space="preserve"> PAGEREF _Toc146022985 \h </w:instrText>
        </w:r>
        <w:r w:rsidR="00763ECA">
          <w:rPr>
            <w:webHidden/>
          </w:rPr>
        </w:r>
        <w:r w:rsidR="00763ECA">
          <w:rPr>
            <w:webHidden/>
          </w:rPr>
          <w:fldChar w:fldCharType="separate"/>
        </w:r>
        <w:r w:rsidR="00763ECA">
          <w:rPr>
            <w:webHidden/>
          </w:rPr>
          <w:t>9</w:t>
        </w:r>
        <w:r w:rsidR="00763ECA">
          <w:rPr>
            <w:webHidden/>
          </w:rPr>
          <w:fldChar w:fldCharType="end"/>
        </w:r>
      </w:hyperlink>
    </w:p>
    <w:p w14:paraId="0C93B491" w14:textId="510ED285" w:rsidR="00763ECA" w:rsidRDefault="00C2270A">
      <w:pPr>
        <w:pStyle w:val="TOC1"/>
        <w:rPr>
          <w:rFonts w:asciiTheme="minorHAnsi" w:eastAsiaTheme="minorEastAsia" w:hAnsiTheme="minorHAnsi" w:cstheme="minorBidi"/>
          <w:b w:val="0"/>
          <w:spacing w:val="0"/>
          <w:sz w:val="22"/>
          <w:szCs w:val="22"/>
        </w:rPr>
      </w:pPr>
      <w:hyperlink w:anchor="_Toc146022986" w:history="1">
        <w:r w:rsidR="00763ECA" w:rsidRPr="00DC5C55">
          <w:rPr>
            <w:rStyle w:val="Hyperlink"/>
          </w:rPr>
          <w:t>Spectrum</w:t>
        </w:r>
        <w:r w:rsidR="00763ECA">
          <w:rPr>
            <w:webHidden/>
          </w:rPr>
          <w:tab/>
        </w:r>
        <w:r w:rsidR="00763ECA">
          <w:rPr>
            <w:webHidden/>
          </w:rPr>
          <w:fldChar w:fldCharType="begin"/>
        </w:r>
        <w:r w:rsidR="00763ECA">
          <w:rPr>
            <w:webHidden/>
          </w:rPr>
          <w:instrText xml:space="preserve"> PAGEREF _Toc146022986 \h </w:instrText>
        </w:r>
        <w:r w:rsidR="00763ECA">
          <w:rPr>
            <w:webHidden/>
          </w:rPr>
        </w:r>
        <w:r w:rsidR="00763ECA">
          <w:rPr>
            <w:webHidden/>
          </w:rPr>
          <w:fldChar w:fldCharType="separate"/>
        </w:r>
        <w:r w:rsidR="00763ECA">
          <w:rPr>
            <w:webHidden/>
          </w:rPr>
          <w:t>12</w:t>
        </w:r>
        <w:r w:rsidR="00763ECA">
          <w:rPr>
            <w:webHidden/>
          </w:rPr>
          <w:fldChar w:fldCharType="end"/>
        </w:r>
      </w:hyperlink>
    </w:p>
    <w:p w14:paraId="1982D29B" w14:textId="426526F6" w:rsidR="00763ECA" w:rsidRDefault="00C2270A">
      <w:pPr>
        <w:pStyle w:val="TOC2"/>
        <w:rPr>
          <w:rFonts w:asciiTheme="minorHAnsi" w:eastAsiaTheme="minorEastAsia" w:hAnsiTheme="minorHAnsi" w:cstheme="minorBidi"/>
          <w:spacing w:val="0"/>
          <w:sz w:val="22"/>
          <w:szCs w:val="22"/>
        </w:rPr>
      </w:pPr>
      <w:hyperlink w:anchor="_Toc146022987" w:history="1">
        <w:r w:rsidR="00763ECA" w:rsidRPr="00DC5C55">
          <w:rPr>
            <w:rStyle w:val="Hyperlink"/>
          </w:rPr>
          <w:t>Spectrum characteristics</w:t>
        </w:r>
        <w:r w:rsidR="00763ECA">
          <w:rPr>
            <w:webHidden/>
          </w:rPr>
          <w:tab/>
        </w:r>
        <w:r w:rsidR="00763ECA">
          <w:rPr>
            <w:webHidden/>
          </w:rPr>
          <w:fldChar w:fldCharType="begin"/>
        </w:r>
        <w:r w:rsidR="00763ECA">
          <w:rPr>
            <w:webHidden/>
          </w:rPr>
          <w:instrText xml:space="preserve"> PAGEREF _Toc146022987 \h </w:instrText>
        </w:r>
        <w:r w:rsidR="00763ECA">
          <w:rPr>
            <w:webHidden/>
          </w:rPr>
        </w:r>
        <w:r w:rsidR="00763ECA">
          <w:rPr>
            <w:webHidden/>
          </w:rPr>
          <w:fldChar w:fldCharType="separate"/>
        </w:r>
        <w:r w:rsidR="00763ECA">
          <w:rPr>
            <w:webHidden/>
          </w:rPr>
          <w:t>12</w:t>
        </w:r>
        <w:r w:rsidR="00763ECA">
          <w:rPr>
            <w:webHidden/>
          </w:rPr>
          <w:fldChar w:fldCharType="end"/>
        </w:r>
      </w:hyperlink>
    </w:p>
    <w:p w14:paraId="4AD63310" w14:textId="591FDE1C" w:rsidR="00763ECA" w:rsidRDefault="00C2270A">
      <w:pPr>
        <w:pStyle w:val="TOC2"/>
        <w:rPr>
          <w:rFonts w:asciiTheme="minorHAnsi" w:eastAsiaTheme="minorEastAsia" w:hAnsiTheme="minorHAnsi" w:cstheme="minorBidi"/>
          <w:spacing w:val="0"/>
          <w:sz w:val="22"/>
          <w:szCs w:val="22"/>
        </w:rPr>
      </w:pPr>
      <w:hyperlink w:anchor="_Toc146022988" w:history="1">
        <w:r w:rsidR="00763ECA" w:rsidRPr="00DC5C55">
          <w:rPr>
            <w:rStyle w:val="Hyperlink"/>
          </w:rPr>
          <w:t>Case study 1: Public Transport Authority of Western Australia</w:t>
        </w:r>
        <w:r w:rsidR="00763ECA">
          <w:rPr>
            <w:webHidden/>
          </w:rPr>
          <w:tab/>
        </w:r>
        <w:r w:rsidR="00763ECA">
          <w:rPr>
            <w:webHidden/>
          </w:rPr>
          <w:fldChar w:fldCharType="begin"/>
        </w:r>
        <w:r w:rsidR="00763ECA">
          <w:rPr>
            <w:webHidden/>
          </w:rPr>
          <w:instrText xml:space="preserve"> PAGEREF _Toc146022988 \h </w:instrText>
        </w:r>
        <w:r w:rsidR="00763ECA">
          <w:rPr>
            <w:webHidden/>
          </w:rPr>
        </w:r>
        <w:r w:rsidR="00763ECA">
          <w:rPr>
            <w:webHidden/>
          </w:rPr>
          <w:fldChar w:fldCharType="separate"/>
        </w:r>
        <w:r w:rsidR="00763ECA">
          <w:rPr>
            <w:webHidden/>
          </w:rPr>
          <w:t>13</w:t>
        </w:r>
        <w:r w:rsidR="00763ECA">
          <w:rPr>
            <w:webHidden/>
          </w:rPr>
          <w:fldChar w:fldCharType="end"/>
        </w:r>
      </w:hyperlink>
    </w:p>
    <w:p w14:paraId="1671D3D7" w14:textId="0D8D334F" w:rsidR="00763ECA" w:rsidRDefault="00C2270A">
      <w:pPr>
        <w:pStyle w:val="TOC2"/>
        <w:rPr>
          <w:rFonts w:asciiTheme="minorHAnsi" w:eastAsiaTheme="minorEastAsia" w:hAnsiTheme="minorHAnsi" w:cstheme="minorBidi"/>
          <w:spacing w:val="0"/>
          <w:sz w:val="22"/>
          <w:szCs w:val="22"/>
        </w:rPr>
      </w:pPr>
      <w:hyperlink w:anchor="_Toc146022989" w:history="1">
        <w:r w:rsidR="00763ECA" w:rsidRPr="00DC5C55">
          <w:rPr>
            <w:rStyle w:val="Hyperlink"/>
          </w:rPr>
          <w:t>How much spectrum do private wireless networks need?</w:t>
        </w:r>
        <w:r w:rsidR="00763ECA">
          <w:rPr>
            <w:webHidden/>
          </w:rPr>
          <w:tab/>
        </w:r>
        <w:r w:rsidR="00763ECA">
          <w:rPr>
            <w:webHidden/>
          </w:rPr>
          <w:fldChar w:fldCharType="begin"/>
        </w:r>
        <w:r w:rsidR="00763ECA">
          <w:rPr>
            <w:webHidden/>
          </w:rPr>
          <w:instrText xml:space="preserve"> PAGEREF _Toc146022989 \h </w:instrText>
        </w:r>
        <w:r w:rsidR="00763ECA">
          <w:rPr>
            <w:webHidden/>
          </w:rPr>
        </w:r>
        <w:r w:rsidR="00763ECA">
          <w:rPr>
            <w:webHidden/>
          </w:rPr>
          <w:fldChar w:fldCharType="separate"/>
        </w:r>
        <w:r w:rsidR="00763ECA">
          <w:rPr>
            <w:webHidden/>
          </w:rPr>
          <w:t>15</w:t>
        </w:r>
        <w:r w:rsidR="00763ECA">
          <w:rPr>
            <w:webHidden/>
          </w:rPr>
          <w:fldChar w:fldCharType="end"/>
        </w:r>
      </w:hyperlink>
    </w:p>
    <w:p w14:paraId="27D8AF95" w14:textId="5355448C" w:rsidR="00763ECA" w:rsidRDefault="00C2270A">
      <w:pPr>
        <w:pStyle w:val="TOC2"/>
        <w:rPr>
          <w:rFonts w:asciiTheme="minorHAnsi" w:eastAsiaTheme="minorEastAsia" w:hAnsiTheme="minorHAnsi" w:cstheme="minorBidi"/>
          <w:spacing w:val="0"/>
          <w:sz w:val="22"/>
          <w:szCs w:val="22"/>
        </w:rPr>
      </w:pPr>
      <w:hyperlink w:anchor="_Toc146022990" w:history="1">
        <w:r w:rsidR="00763ECA" w:rsidRPr="00DC5C55">
          <w:rPr>
            <w:rStyle w:val="Hyperlink"/>
          </w:rPr>
          <w:t>Spectrum access</w:t>
        </w:r>
        <w:r w:rsidR="00763ECA">
          <w:rPr>
            <w:webHidden/>
          </w:rPr>
          <w:tab/>
        </w:r>
        <w:r w:rsidR="00763ECA">
          <w:rPr>
            <w:webHidden/>
          </w:rPr>
          <w:fldChar w:fldCharType="begin"/>
        </w:r>
        <w:r w:rsidR="00763ECA">
          <w:rPr>
            <w:webHidden/>
          </w:rPr>
          <w:instrText xml:space="preserve"> PAGEREF _Toc146022990 \h </w:instrText>
        </w:r>
        <w:r w:rsidR="00763ECA">
          <w:rPr>
            <w:webHidden/>
          </w:rPr>
        </w:r>
        <w:r w:rsidR="00763ECA">
          <w:rPr>
            <w:webHidden/>
          </w:rPr>
          <w:fldChar w:fldCharType="separate"/>
        </w:r>
        <w:r w:rsidR="00763ECA">
          <w:rPr>
            <w:webHidden/>
          </w:rPr>
          <w:t>16</w:t>
        </w:r>
        <w:r w:rsidR="00763ECA">
          <w:rPr>
            <w:webHidden/>
          </w:rPr>
          <w:fldChar w:fldCharType="end"/>
        </w:r>
      </w:hyperlink>
    </w:p>
    <w:p w14:paraId="3ED49DC1" w14:textId="7431BF17" w:rsidR="00763ECA" w:rsidRDefault="00C2270A">
      <w:pPr>
        <w:pStyle w:val="TOC1"/>
        <w:rPr>
          <w:rFonts w:asciiTheme="minorHAnsi" w:eastAsiaTheme="minorEastAsia" w:hAnsiTheme="minorHAnsi" w:cstheme="minorBidi"/>
          <w:b w:val="0"/>
          <w:spacing w:val="0"/>
          <w:sz w:val="22"/>
          <w:szCs w:val="22"/>
        </w:rPr>
      </w:pPr>
      <w:hyperlink w:anchor="_Toc146022991" w:history="1">
        <w:r w:rsidR="00763ECA" w:rsidRPr="00DC5C55">
          <w:rPr>
            <w:rStyle w:val="Hyperlink"/>
          </w:rPr>
          <w:t>Equipment</w:t>
        </w:r>
        <w:r w:rsidR="00763ECA">
          <w:rPr>
            <w:webHidden/>
          </w:rPr>
          <w:tab/>
        </w:r>
        <w:r w:rsidR="00763ECA">
          <w:rPr>
            <w:webHidden/>
          </w:rPr>
          <w:fldChar w:fldCharType="begin"/>
        </w:r>
        <w:r w:rsidR="00763ECA">
          <w:rPr>
            <w:webHidden/>
          </w:rPr>
          <w:instrText xml:space="preserve"> PAGEREF _Toc146022991 \h </w:instrText>
        </w:r>
        <w:r w:rsidR="00763ECA">
          <w:rPr>
            <w:webHidden/>
          </w:rPr>
        </w:r>
        <w:r w:rsidR="00763ECA">
          <w:rPr>
            <w:webHidden/>
          </w:rPr>
          <w:fldChar w:fldCharType="separate"/>
        </w:r>
        <w:r w:rsidR="00763ECA">
          <w:rPr>
            <w:webHidden/>
          </w:rPr>
          <w:t>19</w:t>
        </w:r>
        <w:r w:rsidR="00763ECA">
          <w:rPr>
            <w:webHidden/>
          </w:rPr>
          <w:fldChar w:fldCharType="end"/>
        </w:r>
      </w:hyperlink>
    </w:p>
    <w:p w14:paraId="7DB4B88C" w14:textId="09E55953" w:rsidR="00763ECA" w:rsidRDefault="00C2270A">
      <w:pPr>
        <w:pStyle w:val="TOC2"/>
        <w:rPr>
          <w:rFonts w:asciiTheme="minorHAnsi" w:eastAsiaTheme="minorEastAsia" w:hAnsiTheme="minorHAnsi" w:cstheme="minorBidi"/>
          <w:spacing w:val="0"/>
          <w:sz w:val="22"/>
          <w:szCs w:val="22"/>
        </w:rPr>
      </w:pPr>
      <w:hyperlink w:anchor="_Toc146022992" w:history="1">
        <w:r w:rsidR="00763ECA" w:rsidRPr="00DC5C55">
          <w:rPr>
            <w:rStyle w:val="Hyperlink"/>
          </w:rPr>
          <w:t>Equipment availability</w:t>
        </w:r>
        <w:r w:rsidR="00763ECA">
          <w:rPr>
            <w:webHidden/>
          </w:rPr>
          <w:tab/>
        </w:r>
        <w:r w:rsidR="00763ECA">
          <w:rPr>
            <w:webHidden/>
          </w:rPr>
          <w:fldChar w:fldCharType="begin"/>
        </w:r>
        <w:r w:rsidR="00763ECA">
          <w:rPr>
            <w:webHidden/>
          </w:rPr>
          <w:instrText xml:space="preserve"> PAGEREF _Toc146022992 \h </w:instrText>
        </w:r>
        <w:r w:rsidR="00763ECA">
          <w:rPr>
            <w:webHidden/>
          </w:rPr>
        </w:r>
        <w:r w:rsidR="00763ECA">
          <w:rPr>
            <w:webHidden/>
          </w:rPr>
          <w:fldChar w:fldCharType="separate"/>
        </w:r>
        <w:r w:rsidR="00763ECA">
          <w:rPr>
            <w:webHidden/>
          </w:rPr>
          <w:t>19</w:t>
        </w:r>
        <w:r w:rsidR="00763ECA">
          <w:rPr>
            <w:webHidden/>
          </w:rPr>
          <w:fldChar w:fldCharType="end"/>
        </w:r>
      </w:hyperlink>
    </w:p>
    <w:p w14:paraId="1918BEFC" w14:textId="4CF6C0D2" w:rsidR="00763ECA" w:rsidRDefault="00C2270A">
      <w:pPr>
        <w:pStyle w:val="TOC2"/>
        <w:rPr>
          <w:rFonts w:asciiTheme="minorHAnsi" w:eastAsiaTheme="minorEastAsia" w:hAnsiTheme="minorHAnsi" w:cstheme="minorBidi"/>
          <w:spacing w:val="0"/>
          <w:sz w:val="22"/>
          <w:szCs w:val="22"/>
        </w:rPr>
      </w:pPr>
      <w:hyperlink w:anchor="_Toc146022993" w:history="1">
        <w:r w:rsidR="00763ECA" w:rsidRPr="00DC5C55">
          <w:rPr>
            <w:rStyle w:val="Hyperlink"/>
          </w:rPr>
          <w:t>Equipment suitability</w:t>
        </w:r>
        <w:r w:rsidR="00763ECA">
          <w:rPr>
            <w:webHidden/>
          </w:rPr>
          <w:tab/>
        </w:r>
        <w:r w:rsidR="00763ECA">
          <w:rPr>
            <w:webHidden/>
          </w:rPr>
          <w:fldChar w:fldCharType="begin"/>
        </w:r>
        <w:r w:rsidR="00763ECA">
          <w:rPr>
            <w:webHidden/>
          </w:rPr>
          <w:instrText xml:space="preserve"> PAGEREF _Toc146022993 \h </w:instrText>
        </w:r>
        <w:r w:rsidR="00763ECA">
          <w:rPr>
            <w:webHidden/>
          </w:rPr>
        </w:r>
        <w:r w:rsidR="00763ECA">
          <w:rPr>
            <w:webHidden/>
          </w:rPr>
          <w:fldChar w:fldCharType="separate"/>
        </w:r>
        <w:r w:rsidR="00763ECA">
          <w:rPr>
            <w:webHidden/>
          </w:rPr>
          <w:t>22</w:t>
        </w:r>
        <w:r w:rsidR="00763ECA">
          <w:rPr>
            <w:webHidden/>
          </w:rPr>
          <w:fldChar w:fldCharType="end"/>
        </w:r>
      </w:hyperlink>
    </w:p>
    <w:p w14:paraId="65638137" w14:textId="16F1422F" w:rsidR="00763ECA" w:rsidRDefault="00C2270A">
      <w:pPr>
        <w:pStyle w:val="TOC2"/>
        <w:rPr>
          <w:rFonts w:asciiTheme="minorHAnsi" w:eastAsiaTheme="minorEastAsia" w:hAnsiTheme="minorHAnsi" w:cstheme="minorBidi"/>
          <w:spacing w:val="0"/>
          <w:sz w:val="22"/>
          <w:szCs w:val="22"/>
        </w:rPr>
      </w:pPr>
      <w:hyperlink w:anchor="_Toc146022994" w:history="1">
        <w:r w:rsidR="00763ECA" w:rsidRPr="00DC5C55">
          <w:rPr>
            <w:rStyle w:val="Hyperlink"/>
          </w:rPr>
          <w:t xml:space="preserve">Case study 2: BAI Communications/Australian Meat </w:t>
        </w:r>
        <w:r w:rsidR="00763ECA">
          <w:rPr>
            <w:rStyle w:val="Hyperlink"/>
          </w:rPr>
          <w:br/>
        </w:r>
        <w:r w:rsidR="00763ECA" w:rsidRPr="00DC5C55">
          <w:rPr>
            <w:rStyle w:val="Hyperlink"/>
          </w:rPr>
          <w:t>Processor Corporation</w:t>
        </w:r>
        <w:r w:rsidR="00763ECA">
          <w:rPr>
            <w:webHidden/>
          </w:rPr>
          <w:tab/>
        </w:r>
        <w:r w:rsidR="00763ECA">
          <w:rPr>
            <w:webHidden/>
          </w:rPr>
          <w:fldChar w:fldCharType="begin"/>
        </w:r>
        <w:r w:rsidR="00763ECA">
          <w:rPr>
            <w:webHidden/>
          </w:rPr>
          <w:instrText xml:space="preserve"> PAGEREF _Toc146022994 \h </w:instrText>
        </w:r>
        <w:r w:rsidR="00763ECA">
          <w:rPr>
            <w:webHidden/>
          </w:rPr>
        </w:r>
        <w:r w:rsidR="00763ECA">
          <w:rPr>
            <w:webHidden/>
          </w:rPr>
          <w:fldChar w:fldCharType="separate"/>
        </w:r>
        <w:r w:rsidR="00763ECA">
          <w:rPr>
            <w:webHidden/>
          </w:rPr>
          <w:t>23</w:t>
        </w:r>
        <w:r w:rsidR="00763ECA">
          <w:rPr>
            <w:webHidden/>
          </w:rPr>
          <w:fldChar w:fldCharType="end"/>
        </w:r>
      </w:hyperlink>
    </w:p>
    <w:p w14:paraId="3561199C" w14:textId="164F41B2" w:rsidR="00763ECA" w:rsidRDefault="00C2270A">
      <w:pPr>
        <w:pStyle w:val="TOC2"/>
        <w:rPr>
          <w:rFonts w:asciiTheme="minorHAnsi" w:eastAsiaTheme="minorEastAsia" w:hAnsiTheme="minorHAnsi" w:cstheme="minorBidi"/>
          <w:spacing w:val="0"/>
          <w:sz w:val="22"/>
          <w:szCs w:val="22"/>
        </w:rPr>
      </w:pPr>
      <w:hyperlink w:anchor="_Toc146022995" w:history="1">
        <w:r w:rsidR="00763ECA" w:rsidRPr="00DC5C55">
          <w:rPr>
            <w:rStyle w:val="Hyperlink"/>
          </w:rPr>
          <w:t>Case study 3: Nokia and University of Technology Sydney</w:t>
        </w:r>
        <w:r w:rsidR="00763ECA">
          <w:rPr>
            <w:webHidden/>
          </w:rPr>
          <w:tab/>
        </w:r>
        <w:r w:rsidR="00763ECA">
          <w:rPr>
            <w:webHidden/>
          </w:rPr>
          <w:fldChar w:fldCharType="begin"/>
        </w:r>
        <w:r w:rsidR="00763ECA">
          <w:rPr>
            <w:webHidden/>
          </w:rPr>
          <w:instrText xml:space="preserve"> PAGEREF _Toc146022995 \h </w:instrText>
        </w:r>
        <w:r w:rsidR="00763ECA">
          <w:rPr>
            <w:webHidden/>
          </w:rPr>
        </w:r>
        <w:r w:rsidR="00763ECA">
          <w:rPr>
            <w:webHidden/>
          </w:rPr>
          <w:fldChar w:fldCharType="separate"/>
        </w:r>
        <w:r w:rsidR="00763ECA">
          <w:rPr>
            <w:webHidden/>
          </w:rPr>
          <w:t>24</w:t>
        </w:r>
        <w:r w:rsidR="00763ECA">
          <w:rPr>
            <w:webHidden/>
          </w:rPr>
          <w:fldChar w:fldCharType="end"/>
        </w:r>
      </w:hyperlink>
    </w:p>
    <w:p w14:paraId="69204E76" w14:textId="0617302C" w:rsidR="00763ECA" w:rsidRDefault="00C2270A">
      <w:pPr>
        <w:pStyle w:val="TOC1"/>
        <w:rPr>
          <w:rFonts w:asciiTheme="minorHAnsi" w:eastAsiaTheme="minorEastAsia" w:hAnsiTheme="minorHAnsi" w:cstheme="minorBidi"/>
          <w:b w:val="0"/>
          <w:spacing w:val="0"/>
          <w:sz w:val="22"/>
          <w:szCs w:val="22"/>
        </w:rPr>
      </w:pPr>
      <w:hyperlink w:anchor="_Toc146022996" w:history="1">
        <w:r w:rsidR="00763ECA" w:rsidRPr="00DC5C55">
          <w:rPr>
            <w:rStyle w:val="Hyperlink"/>
          </w:rPr>
          <w:t>Identified challenges</w:t>
        </w:r>
        <w:r w:rsidR="00763ECA">
          <w:rPr>
            <w:webHidden/>
          </w:rPr>
          <w:tab/>
        </w:r>
        <w:r w:rsidR="00763ECA">
          <w:rPr>
            <w:webHidden/>
          </w:rPr>
          <w:fldChar w:fldCharType="begin"/>
        </w:r>
        <w:r w:rsidR="00763ECA">
          <w:rPr>
            <w:webHidden/>
          </w:rPr>
          <w:instrText xml:space="preserve"> PAGEREF _Toc146022996 \h </w:instrText>
        </w:r>
        <w:r w:rsidR="00763ECA">
          <w:rPr>
            <w:webHidden/>
          </w:rPr>
        </w:r>
        <w:r w:rsidR="00763ECA">
          <w:rPr>
            <w:webHidden/>
          </w:rPr>
          <w:fldChar w:fldCharType="separate"/>
        </w:r>
        <w:r w:rsidR="00763ECA">
          <w:rPr>
            <w:webHidden/>
          </w:rPr>
          <w:t>25</w:t>
        </w:r>
        <w:r w:rsidR="00763ECA">
          <w:rPr>
            <w:webHidden/>
          </w:rPr>
          <w:fldChar w:fldCharType="end"/>
        </w:r>
      </w:hyperlink>
    </w:p>
    <w:p w14:paraId="176EE813" w14:textId="4084C73C" w:rsidR="00763ECA" w:rsidRDefault="00C2270A">
      <w:pPr>
        <w:pStyle w:val="TOC2"/>
        <w:rPr>
          <w:rFonts w:asciiTheme="minorHAnsi" w:eastAsiaTheme="minorEastAsia" w:hAnsiTheme="minorHAnsi" w:cstheme="minorBidi"/>
          <w:spacing w:val="0"/>
          <w:sz w:val="22"/>
          <w:szCs w:val="22"/>
        </w:rPr>
      </w:pPr>
      <w:hyperlink w:anchor="_Toc146022997" w:history="1">
        <w:r w:rsidR="00763ECA" w:rsidRPr="00DC5C55">
          <w:rPr>
            <w:rStyle w:val="Hyperlink"/>
          </w:rPr>
          <w:t>Cost</w:t>
        </w:r>
        <w:r w:rsidR="00763ECA">
          <w:rPr>
            <w:webHidden/>
          </w:rPr>
          <w:tab/>
        </w:r>
        <w:r w:rsidR="00763ECA">
          <w:rPr>
            <w:webHidden/>
          </w:rPr>
          <w:tab/>
        </w:r>
        <w:r w:rsidR="00763ECA">
          <w:rPr>
            <w:webHidden/>
          </w:rPr>
          <w:fldChar w:fldCharType="begin"/>
        </w:r>
        <w:r w:rsidR="00763ECA">
          <w:rPr>
            <w:webHidden/>
          </w:rPr>
          <w:instrText xml:space="preserve"> PAGEREF _Toc146022997 \h </w:instrText>
        </w:r>
        <w:r w:rsidR="00763ECA">
          <w:rPr>
            <w:webHidden/>
          </w:rPr>
        </w:r>
        <w:r w:rsidR="00763ECA">
          <w:rPr>
            <w:webHidden/>
          </w:rPr>
          <w:fldChar w:fldCharType="separate"/>
        </w:r>
        <w:r w:rsidR="00763ECA">
          <w:rPr>
            <w:webHidden/>
          </w:rPr>
          <w:t>25</w:t>
        </w:r>
        <w:r w:rsidR="00763ECA">
          <w:rPr>
            <w:webHidden/>
          </w:rPr>
          <w:fldChar w:fldCharType="end"/>
        </w:r>
      </w:hyperlink>
    </w:p>
    <w:p w14:paraId="14C9E743" w14:textId="023D4EBE" w:rsidR="00763ECA" w:rsidRDefault="00C2270A">
      <w:pPr>
        <w:pStyle w:val="TOC2"/>
        <w:rPr>
          <w:rFonts w:asciiTheme="minorHAnsi" w:eastAsiaTheme="minorEastAsia" w:hAnsiTheme="minorHAnsi" w:cstheme="minorBidi"/>
          <w:spacing w:val="0"/>
          <w:sz w:val="22"/>
          <w:szCs w:val="22"/>
        </w:rPr>
      </w:pPr>
      <w:hyperlink w:anchor="_Toc146022998" w:history="1">
        <w:r w:rsidR="00763ECA" w:rsidRPr="00DC5C55">
          <w:rPr>
            <w:rStyle w:val="Hyperlink"/>
          </w:rPr>
          <w:t>Case study 4: Tech Event Pty Ltd</w:t>
        </w:r>
        <w:r w:rsidR="00763ECA">
          <w:rPr>
            <w:webHidden/>
          </w:rPr>
          <w:tab/>
        </w:r>
        <w:r w:rsidR="00763ECA">
          <w:rPr>
            <w:webHidden/>
          </w:rPr>
          <w:fldChar w:fldCharType="begin"/>
        </w:r>
        <w:r w:rsidR="00763ECA">
          <w:rPr>
            <w:webHidden/>
          </w:rPr>
          <w:instrText xml:space="preserve"> PAGEREF _Toc146022998 \h </w:instrText>
        </w:r>
        <w:r w:rsidR="00763ECA">
          <w:rPr>
            <w:webHidden/>
          </w:rPr>
        </w:r>
        <w:r w:rsidR="00763ECA">
          <w:rPr>
            <w:webHidden/>
          </w:rPr>
          <w:fldChar w:fldCharType="separate"/>
        </w:r>
        <w:r w:rsidR="00763ECA">
          <w:rPr>
            <w:webHidden/>
          </w:rPr>
          <w:t>26</w:t>
        </w:r>
        <w:r w:rsidR="00763ECA">
          <w:rPr>
            <w:webHidden/>
          </w:rPr>
          <w:fldChar w:fldCharType="end"/>
        </w:r>
      </w:hyperlink>
    </w:p>
    <w:p w14:paraId="20B9BE52" w14:textId="40DC318C" w:rsidR="00763ECA" w:rsidRDefault="00C2270A">
      <w:pPr>
        <w:pStyle w:val="TOC2"/>
        <w:rPr>
          <w:rFonts w:asciiTheme="minorHAnsi" w:eastAsiaTheme="minorEastAsia" w:hAnsiTheme="minorHAnsi" w:cstheme="minorBidi"/>
          <w:spacing w:val="0"/>
          <w:sz w:val="22"/>
          <w:szCs w:val="22"/>
        </w:rPr>
      </w:pPr>
      <w:hyperlink w:anchor="_Toc146022999" w:history="1">
        <w:r w:rsidR="00763ECA" w:rsidRPr="00DC5C55">
          <w:rPr>
            <w:rStyle w:val="Hyperlink"/>
          </w:rPr>
          <w:t>Time</w:t>
        </w:r>
        <w:r w:rsidR="00763ECA">
          <w:rPr>
            <w:webHidden/>
          </w:rPr>
          <w:tab/>
        </w:r>
        <w:r w:rsidR="00763ECA">
          <w:rPr>
            <w:webHidden/>
          </w:rPr>
          <w:tab/>
        </w:r>
        <w:r w:rsidR="00763ECA">
          <w:rPr>
            <w:webHidden/>
          </w:rPr>
          <w:fldChar w:fldCharType="begin"/>
        </w:r>
        <w:r w:rsidR="00763ECA">
          <w:rPr>
            <w:webHidden/>
          </w:rPr>
          <w:instrText xml:space="preserve"> PAGEREF _Toc146022999 \h </w:instrText>
        </w:r>
        <w:r w:rsidR="00763ECA">
          <w:rPr>
            <w:webHidden/>
          </w:rPr>
        </w:r>
        <w:r w:rsidR="00763ECA">
          <w:rPr>
            <w:webHidden/>
          </w:rPr>
          <w:fldChar w:fldCharType="separate"/>
        </w:r>
        <w:r w:rsidR="00763ECA">
          <w:rPr>
            <w:webHidden/>
          </w:rPr>
          <w:t>27</w:t>
        </w:r>
        <w:r w:rsidR="00763ECA">
          <w:rPr>
            <w:webHidden/>
          </w:rPr>
          <w:fldChar w:fldCharType="end"/>
        </w:r>
      </w:hyperlink>
    </w:p>
    <w:p w14:paraId="10C7267C" w14:textId="75045BF1" w:rsidR="00763ECA" w:rsidRDefault="00C2270A">
      <w:pPr>
        <w:pStyle w:val="TOC2"/>
        <w:rPr>
          <w:rFonts w:asciiTheme="minorHAnsi" w:eastAsiaTheme="minorEastAsia" w:hAnsiTheme="minorHAnsi" w:cstheme="minorBidi"/>
          <w:spacing w:val="0"/>
          <w:sz w:val="22"/>
          <w:szCs w:val="22"/>
        </w:rPr>
      </w:pPr>
      <w:hyperlink w:anchor="_Toc146023000" w:history="1">
        <w:r w:rsidR="00763ECA" w:rsidRPr="00DC5C55">
          <w:rPr>
            <w:rStyle w:val="Hyperlink"/>
          </w:rPr>
          <w:t>Connectivity</w:t>
        </w:r>
        <w:r w:rsidR="00763ECA">
          <w:rPr>
            <w:webHidden/>
          </w:rPr>
          <w:tab/>
        </w:r>
        <w:r w:rsidR="00763ECA">
          <w:rPr>
            <w:webHidden/>
          </w:rPr>
          <w:fldChar w:fldCharType="begin"/>
        </w:r>
        <w:r w:rsidR="00763ECA">
          <w:rPr>
            <w:webHidden/>
          </w:rPr>
          <w:instrText xml:space="preserve"> PAGEREF _Toc146023000 \h </w:instrText>
        </w:r>
        <w:r w:rsidR="00763ECA">
          <w:rPr>
            <w:webHidden/>
          </w:rPr>
        </w:r>
        <w:r w:rsidR="00763ECA">
          <w:rPr>
            <w:webHidden/>
          </w:rPr>
          <w:fldChar w:fldCharType="separate"/>
        </w:r>
        <w:r w:rsidR="00763ECA">
          <w:rPr>
            <w:webHidden/>
          </w:rPr>
          <w:t>27</w:t>
        </w:r>
        <w:r w:rsidR="00763ECA">
          <w:rPr>
            <w:webHidden/>
          </w:rPr>
          <w:fldChar w:fldCharType="end"/>
        </w:r>
      </w:hyperlink>
    </w:p>
    <w:p w14:paraId="431C1C98" w14:textId="78571B46" w:rsidR="00763ECA" w:rsidRDefault="00C2270A">
      <w:pPr>
        <w:pStyle w:val="TOC2"/>
        <w:rPr>
          <w:rFonts w:asciiTheme="minorHAnsi" w:eastAsiaTheme="minorEastAsia" w:hAnsiTheme="minorHAnsi" w:cstheme="minorBidi"/>
          <w:spacing w:val="0"/>
          <w:sz w:val="22"/>
          <w:szCs w:val="22"/>
        </w:rPr>
      </w:pPr>
      <w:hyperlink w:anchor="_Toc146023001" w:history="1">
        <w:r w:rsidR="00763ECA" w:rsidRPr="00DC5C55">
          <w:rPr>
            <w:rStyle w:val="Hyperlink"/>
            <w:lang w:val="en-SG"/>
          </w:rPr>
          <w:t>Options other than private wireless networks</w:t>
        </w:r>
        <w:r w:rsidR="00763ECA">
          <w:rPr>
            <w:webHidden/>
          </w:rPr>
          <w:tab/>
        </w:r>
        <w:r w:rsidR="00763ECA">
          <w:rPr>
            <w:webHidden/>
          </w:rPr>
          <w:fldChar w:fldCharType="begin"/>
        </w:r>
        <w:r w:rsidR="00763ECA">
          <w:rPr>
            <w:webHidden/>
          </w:rPr>
          <w:instrText xml:space="preserve"> PAGEREF _Toc146023001 \h </w:instrText>
        </w:r>
        <w:r w:rsidR="00763ECA">
          <w:rPr>
            <w:webHidden/>
          </w:rPr>
        </w:r>
        <w:r w:rsidR="00763ECA">
          <w:rPr>
            <w:webHidden/>
          </w:rPr>
          <w:fldChar w:fldCharType="separate"/>
        </w:r>
        <w:r w:rsidR="00763ECA">
          <w:rPr>
            <w:webHidden/>
          </w:rPr>
          <w:t>28</w:t>
        </w:r>
        <w:r w:rsidR="00763ECA">
          <w:rPr>
            <w:webHidden/>
          </w:rPr>
          <w:fldChar w:fldCharType="end"/>
        </w:r>
      </w:hyperlink>
    </w:p>
    <w:p w14:paraId="2881B9E1" w14:textId="67BB62E5" w:rsidR="00763ECA" w:rsidRDefault="00C2270A">
      <w:pPr>
        <w:pStyle w:val="TOC2"/>
        <w:rPr>
          <w:rFonts w:asciiTheme="minorHAnsi" w:eastAsiaTheme="minorEastAsia" w:hAnsiTheme="minorHAnsi" w:cstheme="minorBidi"/>
          <w:spacing w:val="0"/>
          <w:sz w:val="22"/>
          <w:szCs w:val="22"/>
        </w:rPr>
      </w:pPr>
      <w:hyperlink w:anchor="_Toc146023002" w:history="1">
        <w:r w:rsidR="00763ECA" w:rsidRPr="00DC5C55">
          <w:rPr>
            <w:rStyle w:val="Hyperlink"/>
          </w:rPr>
          <w:t>Case study 5: Brisbane City Council</w:t>
        </w:r>
        <w:r w:rsidR="00763ECA">
          <w:rPr>
            <w:webHidden/>
          </w:rPr>
          <w:tab/>
        </w:r>
        <w:r w:rsidR="00763ECA">
          <w:rPr>
            <w:webHidden/>
          </w:rPr>
          <w:fldChar w:fldCharType="begin"/>
        </w:r>
        <w:r w:rsidR="00763ECA">
          <w:rPr>
            <w:webHidden/>
          </w:rPr>
          <w:instrText xml:space="preserve"> PAGEREF _Toc146023002 \h </w:instrText>
        </w:r>
        <w:r w:rsidR="00763ECA">
          <w:rPr>
            <w:webHidden/>
          </w:rPr>
        </w:r>
        <w:r w:rsidR="00763ECA">
          <w:rPr>
            <w:webHidden/>
          </w:rPr>
          <w:fldChar w:fldCharType="separate"/>
        </w:r>
        <w:r w:rsidR="00763ECA">
          <w:rPr>
            <w:webHidden/>
          </w:rPr>
          <w:t>29</w:t>
        </w:r>
        <w:r w:rsidR="00763ECA">
          <w:rPr>
            <w:webHidden/>
          </w:rPr>
          <w:fldChar w:fldCharType="end"/>
        </w:r>
      </w:hyperlink>
    </w:p>
    <w:p w14:paraId="13C4AB3B" w14:textId="35885FF9" w:rsidR="00763ECA" w:rsidRDefault="00C2270A">
      <w:pPr>
        <w:pStyle w:val="TOC1"/>
        <w:rPr>
          <w:rFonts w:asciiTheme="minorHAnsi" w:eastAsiaTheme="minorEastAsia" w:hAnsiTheme="minorHAnsi" w:cstheme="minorBidi"/>
          <w:b w:val="0"/>
          <w:spacing w:val="0"/>
          <w:sz w:val="22"/>
          <w:szCs w:val="22"/>
        </w:rPr>
      </w:pPr>
      <w:hyperlink w:anchor="_Toc146023003" w:history="1">
        <w:r w:rsidR="00763ECA" w:rsidRPr="00DC5C55">
          <w:rPr>
            <w:rStyle w:val="Hyperlink"/>
          </w:rPr>
          <w:t>Conclusion</w:t>
        </w:r>
        <w:r w:rsidR="00763ECA">
          <w:rPr>
            <w:webHidden/>
          </w:rPr>
          <w:tab/>
        </w:r>
        <w:r w:rsidR="00763ECA">
          <w:rPr>
            <w:webHidden/>
          </w:rPr>
          <w:fldChar w:fldCharType="begin"/>
        </w:r>
        <w:r w:rsidR="00763ECA">
          <w:rPr>
            <w:webHidden/>
          </w:rPr>
          <w:instrText xml:space="preserve"> PAGEREF _Toc146023003 \h </w:instrText>
        </w:r>
        <w:r w:rsidR="00763ECA">
          <w:rPr>
            <w:webHidden/>
          </w:rPr>
        </w:r>
        <w:r w:rsidR="00763ECA">
          <w:rPr>
            <w:webHidden/>
          </w:rPr>
          <w:fldChar w:fldCharType="separate"/>
        </w:r>
        <w:r w:rsidR="00763ECA">
          <w:rPr>
            <w:webHidden/>
          </w:rPr>
          <w:t>30</w:t>
        </w:r>
        <w:r w:rsidR="00763ECA">
          <w:rPr>
            <w:webHidden/>
          </w:rPr>
          <w:fldChar w:fldCharType="end"/>
        </w:r>
      </w:hyperlink>
    </w:p>
    <w:p w14:paraId="7AE9BCA3" w14:textId="191BEB91" w:rsidR="00763ECA" w:rsidRDefault="00C2270A">
      <w:pPr>
        <w:pStyle w:val="TOC1"/>
        <w:rPr>
          <w:rFonts w:asciiTheme="minorHAnsi" w:eastAsiaTheme="minorEastAsia" w:hAnsiTheme="minorHAnsi" w:cstheme="minorBidi"/>
          <w:b w:val="0"/>
          <w:spacing w:val="0"/>
          <w:sz w:val="22"/>
          <w:szCs w:val="22"/>
        </w:rPr>
      </w:pPr>
      <w:hyperlink w:anchor="_Toc146023004" w:history="1">
        <w:r w:rsidR="00763ECA" w:rsidRPr="00DC5C55">
          <w:rPr>
            <w:rStyle w:val="Hyperlink"/>
          </w:rPr>
          <w:t>Appendix A – Glossary</w:t>
        </w:r>
        <w:r w:rsidR="00763ECA">
          <w:rPr>
            <w:webHidden/>
          </w:rPr>
          <w:tab/>
        </w:r>
        <w:r w:rsidR="00763ECA">
          <w:rPr>
            <w:webHidden/>
          </w:rPr>
          <w:fldChar w:fldCharType="begin"/>
        </w:r>
        <w:r w:rsidR="00763ECA">
          <w:rPr>
            <w:webHidden/>
          </w:rPr>
          <w:instrText xml:space="preserve"> PAGEREF _Toc146023004 \h </w:instrText>
        </w:r>
        <w:r w:rsidR="00763ECA">
          <w:rPr>
            <w:webHidden/>
          </w:rPr>
        </w:r>
        <w:r w:rsidR="00763ECA">
          <w:rPr>
            <w:webHidden/>
          </w:rPr>
          <w:fldChar w:fldCharType="separate"/>
        </w:r>
        <w:r w:rsidR="00763ECA">
          <w:rPr>
            <w:webHidden/>
          </w:rPr>
          <w:t>31</w:t>
        </w:r>
        <w:r w:rsidR="00763ECA">
          <w:rPr>
            <w:webHidden/>
          </w:rPr>
          <w:fldChar w:fldCharType="end"/>
        </w:r>
      </w:hyperlink>
    </w:p>
    <w:p w14:paraId="73F6C0FB" w14:textId="752F4888" w:rsidR="00763ECA" w:rsidRDefault="00C2270A">
      <w:pPr>
        <w:pStyle w:val="TOC1"/>
        <w:rPr>
          <w:rFonts w:asciiTheme="minorHAnsi" w:eastAsiaTheme="minorEastAsia" w:hAnsiTheme="minorHAnsi" w:cstheme="minorBidi"/>
          <w:b w:val="0"/>
          <w:spacing w:val="0"/>
          <w:sz w:val="22"/>
          <w:szCs w:val="22"/>
        </w:rPr>
      </w:pPr>
      <w:hyperlink w:anchor="_Toc146023005" w:history="1">
        <w:r w:rsidR="00763ECA" w:rsidRPr="00DC5C55">
          <w:rPr>
            <w:rStyle w:val="Hyperlink"/>
          </w:rPr>
          <w:t>Appendix B – Interviews</w:t>
        </w:r>
        <w:r w:rsidR="00763ECA">
          <w:rPr>
            <w:webHidden/>
          </w:rPr>
          <w:tab/>
        </w:r>
        <w:r w:rsidR="00763ECA">
          <w:rPr>
            <w:webHidden/>
          </w:rPr>
          <w:fldChar w:fldCharType="begin"/>
        </w:r>
        <w:r w:rsidR="00763ECA">
          <w:rPr>
            <w:webHidden/>
          </w:rPr>
          <w:instrText xml:space="preserve"> PAGEREF _Toc146023005 \h </w:instrText>
        </w:r>
        <w:r w:rsidR="00763ECA">
          <w:rPr>
            <w:webHidden/>
          </w:rPr>
        </w:r>
        <w:r w:rsidR="00763ECA">
          <w:rPr>
            <w:webHidden/>
          </w:rPr>
          <w:fldChar w:fldCharType="separate"/>
        </w:r>
        <w:r w:rsidR="00763ECA">
          <w:rPr>
            <w:webHidden/>
          </w:rPr>
          <w:t>32</w:t>
        </w:r>
        <w:r w:rsidR="00763ECA">
          <w:rPr>
            <w:webHidden/>
          </w:rPr>
          <w:fldChar w:fldCharType="end"/>
        </w:r>
      </w:hyperlink>
    </w:p>
    <w:p w14:paraId="5C56627B" w14:textId="28352835" w:rsidR="00763ECA" w:rsidRDefault="00C2270A">
      <w:pPr>
        <w:pStyle w:val="TOC1"/>
        <w:rPr>
          <w:rFonts w:asciiTheme="minorHAnsi" w:eastAsiaTheme="minorEastAsia" w:hAnsiTheme="minorHAnsi" w:cstheme="minorBidi"/>
          <w:b w:val="0"/>
          <w:spacing w:val="0"/>
          <w:sz w:val="22"/>
          <w:szCs w:val="22"/>
        </w:rPr>
      </w:pPr>
      <w:hyperlink w:anchor="_Toc146023006" w:history="1">
        <w:r w:rsidR="00763ECA" w:rsidRPr="00DC5C55">
          <w:rPr>
            <w:rStyle w:val="Hyperlink"/>
          </w:rPr>
          <w:t>Appendix C – Technology performance comparison</w:t>
        </w:r>
        <w:r w:rsidR="00763ECA">
          <w:rPr>
            <w:webHidden/>
          </w:rPr>
          <w:tab/>
        </w:r>
        <w:r w:rsidR="00763ECA">
          <w:rPr>
            <w:webHidden/>
          </w:rPr>
          <w:fldChar w:fldCharType="begin"/>
        </w:r>
        <w:r w:rsidR="00763ECA">
          <w:rPr>
            <w:webHidden/>
          </w:rPr>
          <w:instrText xml:space="preserve"> PAGEREF _Toc146023006 \h </w:instrText>
        </w:r>
        <w:r w:rsidR="00763ECA">
          <w:rPr>
            <w:webHidden/>
          </w:rPr>
        </w:r>
        <w:r w:rsidR="00763ECA">
          <w:rPr>
            <w:webHidden/>
          </w:rPr>
          <w:fldChar w:fldCharType="separate"/>
        </w:r>
        <w:r w:rsidR="00763ECA">
          <w:rPr>
            <w:webHidden/>
          </w:rPr>
          <w:t>33</w:t>
        </w:r>
        <w:r w:rsidR="00763ECA">
          <w:rPr>
            <w:webHidden/>
          </w:rPr>
          <w:fldChar w:fldCharType="end"/>
        </w:r>
      </w:hyperlink>
    </w:p>
    <w:p w14:paraId="790CE7EA" w14:textId="48D1E23C" w:rsidR="00763ECA" w:rsidRDefault="00C2270A">
      <w:pPr>
        <w:pStyle w:val="TOC1"/>
        <w:rPr>
          <w:rFonts w:asciiTheme="minorHAnsi" w:eastAsiaTheme="minorEastAsia" w:hAnsiTheme="minorHAnsi" w:cstheme="minorBidi"/>
          <w:b w:val="0"/>
          <w:spacing w:val="0"/>
          <w:sz w:val="22"/>
          <w:szCs w:val="22"/>
        </w:rPr>
      </w:pPr>
      <w:hyperlink w:anchor="_Toc146023007" w:history="1">
        <w:r w:rsidR="00763ECA" w:rsidRPr="00DC5C55">
          <w:rPr>
            <w:rStyle w:val="Hyperlink"/>
          </w:rPr>
          <w:t>Appendix D – Spectrum available for private wireless networks</w:t>
        </w:r>
        <w:r w:rsidR="00763ECA">
          <w:rPr>
            <w:webHidden/>
          </w:rPr>
          <w:tab/>
        </w:r>
        <w:r w:rsidR="00763ECA">
          <w:rPr>
            <w:webHidden/>
          </w:rPr>
          <w:fldChar w:fldCharType="begin"/>
        </w:r>
        <w:r w:rsidR="00763ECA">
          <w:rPr>
            <w:webHidden/>
          </w:rPr>
          <w:instrText xml:space="preserve"> PAGEREF _Toc146023007 \h </w:instrText>
        </w:r>
        <w:r w:rsidR="00763ECA">
          <w:rPr>
            <w:webHidden/>
          </w:rPr>
        </w:r>
        <w:r w:rsidR="00763ECA">
          <w:rPr>
            <w:webHidden/>
          </w:rPr>
          <w:fldChar w:fldCharType="separate"/>
        </w:r>
        <w:r w:rsidR="00763ECA">
          <w:rPr>
            <w:webHidden/>
          </w:rPr>
          <w:t>34</w:t>
        </w:r>
        <w:r w:rsidR="00763ECA">
          <w:rPr>
            <w:webHidden/>
          </w:rPr>
          <w:fldChar w:fldCharType="end"/>
        </w:r>
      </w:hyperlink>
    </w:p>
    <w:p w14:paraId="7F29F709" w14:textId="2DC67D76" w:rsidR="00763ECA" w:rsidRDefault="00C2270A">
      <w:pPr>
        <w:pStyle w:val="TOC1"/>
        <w:rPr>
          <w:rFonts w:asciiTheme="minorHAnsi" w:eastAsiaTheme="minorEastAsia" w:hAnsiTheme="minorHAnsi" w:cstheme="minorBidi"/>
          <w:b w:val="0"/>
          <w:spacing w:val="0"/>
          <w:sz w:val="22"/>
          <w:szCs w:val="22"/>
        </w:rPr>
      </w:pPr>
      <w:hyperlink w:anchor="_Toc146023008" w:history="1">
        <w:r w:rsidR="00763ECA" w:rsidRPr="00DC5C55">
          <w:rPr>
            <w:rStyle w:val="Hyperlink"/>
          </w:rPr>
          <w:t>Appendix E – Radiofrequency allocation regime</w:t>
        </w:r>
        <w:r w:rsidR="00763ECA">
          <w:rPr>
            <w:webHidden/>
          </w:rPr>
          <w:tab/>
        </w:r>
        <w:r w:rsidR="00763ECA">
          <w:rPr>
            <w:webHidden/>
          </w:rPr>
          <w:fldChar w:fldCharType="begin"/>
        </w:r>
        <w:r w:rsidR="00763ECA">
          <w:rPr>
            <w:webHidden/>
          </w:rPr>
          <w:instrText xml:space="preserve"> PAGEREF _Toc146023008 \h </w:instrText>
        </w:r>
        <w:r w:rsidR="00763ECA">
          <w:rPr>
            <w:webHidden/>
          </w:rPr>
        </w:r>
        <w:r w:rsidR="00763ECA">
          <w:rPr>
            <w:webHidden/>
          </w:rPr>
          <w:fldChar w:fldCharType="separate"/>
        </w:r>
        <w:r w:rsidR="00763ECA">
          <w:rPr>
            <w:webHidden/>
          </w:rPr>
          <w:t>37</w:t>
        </w:r>
        <w:r w:rsidR="00763ECA">
          <w:rPr>
            <w:webHidden/>
          </w:rPr>
          <w:fldChar w:fldCharType="end"/>
        </w:r>
      </w:hyperlink>
    </w:p>
    <w:p w14:paraId="07F71E5E" w14:textId="0E1A02FC" w:rsidR="00763ECA" w:rsidRDefault="00C2270A">
      <w:pPr>
        <w:pStyle w:val="TOC2"/>
        <w:rPr>
          <w:rFonts w:asciiTheme="minorHAnsi" w:eastAsiaTheme="minorEastAsia" w:hAnsiTheme="minorHAnsi" w:cstheme="minorBidi"/>
          <w:spacing w:val="0"/>
          <w:sz w:val="22"/>
          <w:szCs w:val="22"/>
        </w:rPr>
      </w:pPr>
      <w:hyperlink w:anchor="_Toc146023009" w:history="1">
        <w:r w:rsidR="00763ECA" w:rsidRPr="00DC5C55">
          <w:rPr>
            <w:rStyle w:val="Hyperlink"/>
          </w:rPr>
          <w:t>What types of licences does the ACMA issue?</w:t>
        </w:r>
        <w:r w:rsidR="00763ECA">
          <w:rPr>
            <w:webHidden/>
          </w:rPr>
          <w:tab/>
        </w:r>
        <w:r w:rsidR="00763ECA">
          <w:rPr>
            <w:webHidden/>
          </w:rPr>
          <w:fldChar w:fldCharType="begin"/>
        </w:r>
        <w:r w:rsidR="00763ECA">
          <w:rPr>
            <w:webHidden/>
          </w:rPr>
          <w:instrText xml:space="preserve"> PAGEREF _Toc146023009 \h </w:instrText>
        </w:r>
        <w:r w:rsidR="00763ECA">
          <w:rPr>
            <w:webHidden/>
          </w:rPr>
        </w:r>
        <w:r w:rsidR="00763ECA">
          <w:rPr>
            <w:webHidden/>
          </w:rPr>
          <w:fldChar w:fldCharType="separate"/>
        </w:r>
        <w:r w:rsidR="00763ECA">
          <w:rPr>
            <w:webHidden/>
          </w:rPr>
          <w:t>37</w:t>
        </w:r>
        <w:r w:rsidR="00763ECA">
          <w:rPr>
            <w:webHidden/>
          </w:rPr>
          <w:fldChar w:fldCharType="end"/>
        </w:r>
      </w:hyperlink>
    </w:p>
    <w:p w14:paraId="1D4C7524" w14:textId="2E54A6A2" w:rsidR="004D56FF" w:rsidRPr="00A17B1B" w:rsidRDefault="00F47D44">
      <w:pPr>
        <w:rPr>
          <w:rFonts w:cs="Arial"/>
        </w:rPr>
        <w:sectPr w:rsidR="004D56FF" w:rsidRPr="00A17B1B" w:rsidSect="00C77380">
          <w:headerReference w:type="even" r:id="rId20"/>
          <w:headerReference w:type="default" r:id="rId21"/>
          <w:footerReference w:type="even" r:id="rId22"/>
          <w:footerReference w:type="default" r:id="rId23"/>
          <w:footerReference w:type="first" r:id="rId24"/>
          <w:pgSz w:w="11906" w:h="16838" w:code="9"/>
          <w:pgMar w:top="3646" w:right="3101" w:bottom="1134" w:left="1134" w:header="709" w:footer="119" w:gutter="0"/>
          <w:cols w:space="708"/>
          <w:titlePg/>
          <w:docGrid w:linePitch="360"/>
        </w:sectPr>
      </w:pPr>
      <w:r>
        <w:rPr>
          <w:rFonts w:cs="Arial"/>
          <w:b/>
          <w:noProof/>
          <w:spacing w:val="-14"/>
          <w:sz w:val="28"/>
        </w:rPr>
        <w:fldChar w:fldCharType="end"/>
      </w:r>
    </w:p>
    <w:p w14:paraId="1936A7F1" w14:textId="77777777" w:rsidR="009D6C71" w:rsidRPr="00A17B1B" w:rsidRDefault="009D6C71" w:rsidP="009174F3">
      <w:pPr>
        <w:pStyle w:val="Execsummaryheading"/>
      </w:pPr>
      <w:r w:rsidRPr="00A17B1B">
        <w:t>Executive summary</w:t>
      </w:r>
    </w:p>
    <w:p w14:paraId="101D0A80" w14:textId="62E75550" w:rsidR="00E72E84" w:rsidRDefault="00E319B7" w:rsidP="009031C6">
      <w:pPr>
        <w:pStyle w:val="Paragraph"/>
      </w:pPr>
      <w:r>
        <w:t xml:space="preserve">The advent of 5G technology has seen a step-change in consumer and business expectations around </w:t>
      </w:r>
      <w:r w:rsidR="00064FC8">
        <w:t xml:space="preserve">how mobile </w:t>
      </w:r>
      <w:r w:rsidR="006F14D2">
        <w:t xml:space="preserve">networks can drive innovation and productivity. </w:t>
      </w:r>
      <w:r w:rsidR="003E0157">
        <w:t xml:space="preserve">With this has </w:t>
      </w:r>
      <w:r w:rsidR="00064FC8">
        <w:t xml:space="preserve">been greater consideration of the role of </w:t>
      </w:r>
      <w:r w:rsidR="00E47505">
        <w:t xml:space="preserve">5G </w:t>
      </w:r>
      <w:r w:rsidR="007B1B40">
        <w:t>private network</w:t>
      </w:r>
      <w:r w:rsidR="00E47505">
        <w:t>s</w:t>
      </w:r>
      <w:r w:rsidR="00136722">
        <w:t xml:space="preserve">, </w:t>
      </w:r>
      <w:r w:rsidR="00413446">
        <w:t xml:space="preserve">which offer </w:t>
      </w:r>
      <w:r w:rsidR="00B50DE0">
        <w:t xml:space="preserve">high-speed, low </w:t>
      </w:r>
      <w:r w:rsidR="00136722">
        <w:t xml:space="preserve">latency, </w:t>
      </w:r>
      <w:r w:rsidR="00931862">
        <w:t xml:space="preserve">massive device connectivity, </w:t>
      </w:r>
      <w:r w:rsidR="00B50DE0">
        <w:t xml:space="preserve">customisation and </w:t>
      </w:r>
      <w:r w:rsidR="00136722">
        <w:t>security</w:t>
      </w:r>
      <w:r w:rsidR="00AF5DB6">
        <w:t xml:space="preserve">. </w:t>
      </w:r>
    </w:p>
    <w:p w14:paraId="079B059A" w14:textId="2A3841FE" w:rsidR="00F33B3A" w:rsidRDefault="00931862" w:rsidP="006617B3">
      <w:pPr>
        <w:pStyle w:val="Paragraph"/>
      </w:pPr>
      <w:r>
        <w:t>I</w:t>
      </w:r>
      <w:r w:rsidR="00384C2F">
        <w:t xml:space="preserve">ndustry analysts have </w:t>
      </w:r>
      <w:r>
        <w:t xml:space="preserve">suggested </w:t>
      </w:r>
      <w:r w:rsidR="00384C2F">
        <w:t xml:space="preserve">that </w:t>
      </w:r>
      <w:r w:rsidR="00E47505">
        <w:t xml:space="preserve">5G </w:t>
      </w:r>
      <w:r w:rsidR="00384C2F">
        <w:t xml:space="preserve">private networks will be a </w:t>
      </w:r>
      <w:r w:rsidR="0007684D">
        <w:t xml:space="preserve">‘game-changer’ </w:t>
      </w:r>
      <w:r w:rsidR="00F33B3A">
        <w:t>for industry 4.0</w:t>
      </w:r>
      <w:r w:rsidR="36E4C34C">
        <w:t>, enabling connectivity, advanced analytics, automation, and advanced-manufacturing technology</w:t>
      </w:r>
      <w:r w:rsidR="00F47139">
        <w:t>.</w:t>
      </w:r>
      <w:r w:rsidR="007F056B">
        <w:t xml:space="preserve"> </w:t>
      </w:r>
    </w:p>
    <w:p w14:paraId="70371206" w14:textId="77777777" w:rsidR="00A31A03" w:rsidRPr="00120B2C" w:rsidRDefault="00A31A03" w:rsidP="00A31A03">
      <w:pPr>
        <w:pStyle w:val="Paragraphbeforelist"/>
        <w:rPr>
          <w:b/>
        </w:rPr>
      </w:pPr>
      <w:r>
        <w:t>K</w:t>
      </w:r>
      <w:r w:rsidRPr="00120B2C">
        <w:t xml:space="preserve">ey factors </w:t>
      </w:r>
      <w:r>
        <w:t>in</w:t>
      </w:r>
      <w:r w:rsidRPr="00120B2C">
        <w:t xml:space="preserve"> deploying private wireless networks are:</w:t>
      </w:r>
    </w:p>
    <w:p w14:paraId="0BBB6DC3" w14:textId="77777777" w:rsidR="00A31A03" w:rsidRPr="00120B2C" w:rsidRDefault="00A31A03" w:rsidP="00A31A03">
      <w:pPr>
        <w:pStyle w:val="Bulletlevel1"/>
        <w:rPr>
          <w:b/>
        </w:rPr>
      </w:pPr>
      <w:r>
        <w:t xml:space="preserve">having </w:t>
      </w:r>
      <w:r w:rsidRPr="00120B2C">
        <w:t>a sound business case for digitising operations</w:t>
      </w:r>
    </w:p>
    <w:p w14:paraId="306E95CD" w14:textId="77777777" w:rsidR="00A31A03" w:rsidRPr="00120B2C" w:rsidRDefault="00A31A03" w:rsidP="00A31A03">
      <w:pPr>
        <w:pStyle w:val="Bulletlevel1"/>
        <w:rPr>
          <w:b/>
        </w:rPr>
      </w:pPr>
      <w:r>
        <w:t xml:space="preserve">assessing </w:t>
      </w:r>
      <w:r w:rsidRPr="00120B2C">
        <w:t>the cost and complexity of deploying a network at particular locations</w:t>
      </w:r>
    </w:p>
    <w:p w14:paraId="1D75A9A6" w14:textId="77777777" w:rsidR="00A31A03" w:rsidRPr="00120B2C" w:rsidRDefault="00A31A03" w:rsidP="00A31A03">
      <w:pPr>
        <w:pStyle w:val="Bulletlevel1"/>
        <w:rPr>
          <w:b/>
        </w:rPr>
      </w:pPr>
      <w:r w:rsidRPr="00120B2C">
        <w:t>securing spectrum at desired frequencies in particular locations</w:t>
      </w:r>
    </w:p>
    <w:p w14:paraId="45FA066B" w14:textId="77777777" w:rsidR="00A31A03" w:rsidRPr="00120B2C" w:rsidRDefault="00A31A03" w:rsidP="00A31A03">
      <w:pPr>
        <w:pStyle w:val="Bulletlevel1last"/>
        <w:rPr>
          <w:b/>
        </w:rPr>
      </w:pPr>
      <w:r>
        <w:t>having access to</w:t>
      </w:r>
      <w:r w:rsidRPr="00120B2C">
        <w:t xml:space="preserve"> a range of industrial-grade wireless equipment at suitable frequencies.</w:t>
      </w:r>
    </w:p>
    <w:p w14:paraId="6CA64C62" w14:textId="7A0CA284" w:rsidR="00A31A03" w:rsidRDefault="001865D3" w:rsidP="009031C6">
      <w:pPr>
        <w:pStyle w:val="Paragraph"/>
      </w:pPr>
      <w:r>
        <w:t xml:space="preserve">In Australia, </w:t>
      </w:r>
      <w:r w:rsidR="00F11D01">
        <w:t xml:space="preserve">the </w:t>
      </w:r>
      <w:r>
        <w:rPr>
          <w:caps/>
        </w:rPr>
        <w:t xml:space="preserve">ACMa </w:t>
      </w:r>
      <w:r>
        <w:t xml:space="preserve">has supported the adoption and deployment of private wireless networks through its program of spectrum releases. </w:t>
      </w:r>
      <w:r w:rsidR="0A70B2AC">
        <w:t xml:space="preserve">The ACMA’s </w:t>
      </w:r>
      <w:r w:rsidR="0037405F">
        <w:t>five</w:t>
      </w:r>
      <w:r w:rsidR="0059731E">
        <w:t>-</w:t>
      </w:r>
      <w:r w:rsidR="0A70B2AC">
        <w:t>year spectrum outlook 2022</w:t>
      </w:r>
      <w:r w:rsidR="00F11D01">
        <w:t>–</w:t>
      </w:r>
      <w:r w:rsidR="0A70B2AC">
        <w:t>27 to 2022</w:t>
      </w:r>
      <w:r w:rsidR="00F11D01">
        <w:t>–</w:t>
      </w:r>
      <w:r w:rsidR="0A70B2AC">
        <w:t xml:space="preserve">23 </w:t>
      </w:r>
      <w:r w:rsidR="000C5032">
        <w:t xml:space="preserve">(FYSO) </w:t>
      </w:r>
      <w:r w:rsidR="0A70B2AC">
        <w:t xml:space="preserve">identifies </w:t>
      </w:r>
      <w:r w:rsidR="007F6B3C">
        <w:t xml:space="preserve">private wireless networks </w:t>
      </w:r>
      <w:r w:rsidR="0A70B2AC">
        <w:t xml:space="preserve">as a driver for </w:t>
      </w:r>
      <w:r w:rsidR="00CC0608">
        <w:t>spectrum</w:t>
      </w:r>
      <w:r w:rsidR="00B11B7A">
        <w:t xml:space="preserve"> </w:t>
      </w:r>
      <w:r w:rsidR="00905ABE">
        <w:t>support</w:t>
      </w:r>
      <w:r w:rsidR="004A7ADA">
        <w:t>ing</w:t>
      </w:r>
      <w:r w:rsidR="00905ABE">
        <w:t xml:space="preserve"> 5G connectivity. </w:t>
      </w:r>
      <w:r w:rsidR="00996283">
        <w:t xml:space="preserve">The </w:t>
      </w:r>
      <w:r w:rsidR="000C5032">
        <w:t>FYSO</w:t>
      </w:r>
      <w:r w:rsidR="00AE0A5F">
        <w:t xml:space="preserve"> anticipates that private </w:t>
      </w:r>
      <w:r w:rsidR="00992EA0">
        <w:t xml:space="preserve">wireless </w:t>
      </w:r>
      <w:r w:rsidR="00AE0A5F">
        <w:t>networks will continue to increase in number, and most new networks will use 5G technology.</w:t>
      </w:r>
      <w:r>
        <w:t xml:space="preserve"> To date, 5400 MHz of spectrum has been made available for 5G wireless broadband, including its use by private wireless networks. With planned releases of mid-band spectrum in the 3.4</w:t>
      </w:r>
      <w:r w:rsidR="00F11D01">
        <w:t>–</w:t>
      </w:r>
      <w:r>
        <w:t>4.0 GHz range</w:t>
      </w:r>
      <w:r w:rsidR="00A31A03">
        <w:t xml:space="preserve"> underway</w:t>
      </w:r>
      <w:r>
        <w:t xml:space="preserve">, additional spectrum is </w:t>
      </w:r>
      <w:r w:rsidR="00F11D01">
        <w:br/>
      </w:r>
      <w:r>
        <w:t xml:space="preserve">being made available </w:t>
      </w:r>
      <w:r w:rsidR="00A31A03">
        <w:t>to support a wide range of 5G use cases, including private wireless networks.</w:t>
      </w:r>
      <w:r>
        <w:t xml:space="preserve"> </w:t>
      </w:r>
    </w:p>
    <w:p w14:paraId="43A45A63" w14:textId="51C38CA6" w:rsidR="00E47505" w:rsidRDefault="001865D3" w:rsidP="009031C6">
      <w:pPr>
        <w:pStyle w:val="Paragraph"/>
      </w:pPr>
      <w:r>
        <w:t xml:space="preserve">This is </w:t>
      </w:r>
      <w:r w:rsidR="00A31A03">
        <w:t xml:space="preserve">in addition to 4G spectrum, which has enabled </w:t>
      </w:r>
      <w:r w:rsidR="00881106">
        <w:t xml:space="preserve">4G </w:t>
      </w:r>
      <w:r w:rsidR="00DE59CA">
        <w:t xml:space="preserve">private networks </w:t>
      </w:r>
      <w:r w:rsidR="00A31A03">
        <w:t xml:space="preserve">to become </w:t>
      </w:r>
      <w:r w:rsidR="00DE59CA">
        <w:t xml:space="preserve"> established in the Australian market. While </w:t>
      </w:r>
      <w:r w:rsidR="00A31A03">
        <w:t xml:space="preserve">4G private networks will continue to play an important role supporting a range of industry use cases, we expect that </w:t>
      </w:r>
      <w:r w:rsidR="00DE59CA">
        <w:t xml:space="preserve">5G private networks </w:t>
      </w:r>
      <w:r w:rsidR="000009CC">
        <w:t xml:space="preserve">will </w:t>
      </w:r>
      <w:r w:rsidR="00D8006D">
        <w:t>become increasingly prevalent</w:t>
      </w:r>
      <w:r w:rsidR="00A31A03">
        <w:t xml:space="preserve"> over time</w:t>
      </w:r>
      <w:r w:rsidR="00F11D01">
        <w:t>.</w:t>
      </w:r>
      <w:r w:rsidR="00D8006D">
        <w:t xml:space="preserve"> </w:t>
      </w:r>
    </w:p>
    <w:p w14:paraId="722F652A" w14:textId="089DC0B5" w:rsidR="00C37BFE" w:rsidRDefault="007F6B3C" w:rsidP="006F77AD">
      <w:pPr>
        <w:pStyle w:val="Paragraph"/>
      </w:pPr>
      <w:r>
        <w:t xml:space="preserve">This report examines </w:t>
      </w:r>
      <w:r w:rsidR="002E4026">
        <w:t xml:space="preserve">Australian market developments </w:t>
      </w:r>
      <w:r w:rsidR="0079546E">
        <w:t xml:space="preserve">for both </w:t>
      </w:r>
      <w:r w:rsidR="002B2CB1">
        <w:t>4G</w:t>
      </w:r>
      <w:r w:rsidR="00F80946">
        <w:t xml:space="preserve"> l</w:t>
      </w:r>
      <w:r>
        <w:t xml:space="preserve">ong-term evolution </w:t>
      </w:r>
      <w:proofErr w:type="gramStart"/>
      <w:r>
        <w:t>or</w:t>
      </w:r>
      <w:proofErr w:type="gramEnd"/>
      <w:r>
        <w:t xml:space="preserve"> 5G network</w:t>
      </w:r>
      <w:r w:rsidR="000C7984">
        <w:t xml:space="preserve">s. </w:t>
      </w:r>
      <w:bookmarkStart w:id="1" w:name="_Hlk139957740"/>
      <w:r w:rsidR="00230B9A" w:rsidRPr="00120B2C">
        <w:t>Estimates vary for the number of private wireless networks used worldwide. There may be between 300 and 1</w:t>
      </w:r>
      <w:r w:rsidR="00F8204C">
        <w:t>,</w:t>
      </w:r>
      <w:r w:rsidR="00230B9A" w:rsidRPr="00120B2C">
        <w:t>000. Many are trials or tests.</w:t>
      </w:r>
      <w:r w:rsidR="00F8204C">
        <w:t xml:space="preserve"> </w:t>
      </w:r>
      <w:r w:rsidR="00230B9A" w:rsidRPr="00120B2C">
        <w:t>In Australia, there are over 50 private wireless networks already in operation</w:t>
      </w:r>
      <w:r w:rsidR="00C37BFE">
        <w:t>,</w:t>
      </w:r>
      <w:r w:rsidR="00230B9A" w:rsidRPr="00120B2C">
        <w:t xml:space="preserve"> with more in planning stages. These networks are mainly in the mining and resources sectors. This is due to the need to support machine automation for productivity improvements and available spectrum in </w:t>
      </w:r>
      <w:r w:rsidR="00B434C9">
        <w:t xml:space="preserve">regional or </w:t>
      </w:r>
      <w:r w:rsidR="00230B9A" w:rsidRPr="00120B2C">
        <w:t xml:space="preserve">remote mining locations. </w:t>
      </w:r>
    </w:p>
    <w:p w14:paraId="796BE6E4" w14:textId="6DA69CA0" w:rsidR="00230B9A" w:rsidRPr="00120B2C" w:rsidRDefault="00C37BFE" w:rsidP="00230B9A">
      <w:pPr>
        <w:pStyle w:val="Paragraphbeforelist"/>
        <w:rPr>
          <w:b/>
        </w:rPr>
      </w:pPr>
      <w:r>
        <w:t xml:space="preserve">Also </w:t>
      </w:r>
      <w:r w:rsidR="00230B9A" w:rsidRPr="00120B2C">
        <w:t>in Australia:</w:t>
      </w:r>
    </w:p>
    <w:p w14:paraId="3B85ADF1" w14:textId="1B665F95" w:rsidR="00230B9A" w:rsidRPr="00120B2C" w:rsidRDefault="00230B9A" w:rsidP="00230B9A">
      <w:pPr>
        <w:pStyle w:val="Bulletlevel1"/>
        <w:rPr>
          <w:b/>
        </w:rPr>
      </w:pPr>
      <w:r w:rsidRPr="00120B2C">
        <w:t xml:space="preserve">the rail sector is deploying private wireless networks. State rail companies already own spectrum licences and are deployed or in advanced planning </w:t>
      </w:r>
      <w:proofErr w:type="gramStart"/>
      <w:r w:rsidRPr="00120B2C">
        <w:t>phases</w:t>
      </w:r>
      <w:proofErr w:type="gramEnd"/>
    </w:p>
    <w:p w14:paraId="126ECCCC" w14:textId="0C3A2E27" w:rsidR="00230B9A" w:rsidRPr="00120B2C" w:rsidRDefault="00230B9A" w:rsidP="00230B9A">
      <w:pPr>
        <w:pStyle w:val="Bulletlevel1"/>
        <w:rPr>
          <w:b/>
        </w:rPr>
      </w:pPr>
      <w:r w:rsidRPr="00120B2C">
        <w:t xml:space="preserve">the agriculture sector is investigating using private wireless </w:t>
      </w:r>
      <w:proofErr w:type="gramStart"/>
      <w:r w:rsidRPr="00120B2C">
        <w:t>networks</w:t>
      </w:r>
      <w:proofErr w:type="gramEnd"/>
    </w:p>
    <w:p w14:paraId="3FB36435" w14:textId="77777777" w:rsidR="00230B9A" w:rsidRPr="00120B2C" w:rsidRDefault="00230B9A" w:rsidP="00230B9A">
      <w:pPr>
        <w:pStyle w:val="Bulletlevel1last"/>
        <w:rPr>
          <w:b/>
        </w:rPr>
      </w:pPr>
      <w:r w:rsidRPr="00120B2C">
        <w:t xml:space="preserve">the entertainment, advanced manufacturing and infrastructure sectors have an interest in using these networks. </w:t>
      </w:r>
    </w:p>
    <w:p w14:paraId="3265B54D" w14:textId="5957F2FD" w:rsidR="00230B9A" w:rsidRDefault="00230B9A" w:rsidP="00230B9A">
      <w:pPr>
        <w:pStyle w:val="Paragraph"/>
      </w:pPr>
      <w:r w:rsidRPr="00120B2C">
        <w:t>This report discusses the</w:t>
      </w:r>
      <w:r w:rsidR="00A31A03">
        <w:t xml:space="preserve"> </w:t>
      </w:r>
      <w:r w:rsidRPr="00120B2C">
        <w:t xml:space="preserve">factors </w:t>
      </w:r>
      <w:r w:rsidR="00A31A03">
        <w:t xml:space="preserve">relevant to the deployment of 5G private wireless networks </w:t>
      </w:r>
      <w:r w:rsidRPr="00120B2C">
        <w:t>in more detail. It includes 5 case studies of private networks in Australia outside of the mining and resources sector.</w:t>
      </w:r>
    </w:p>
    <w:p w14:paraId="704D576F" w14:textId="214CF4C7" w:rsidR="00CD21FB" w:rsidRPr="00120B2C" w:rsidRDefault="00CD21FB" w:rsidP="00CD21FB">
      <w:pPr>
        <w:pStyle w:val="Paragraph"/>
        <w:rPr>
          <w:b/>
        </w:rPr>
      </w:pPr>
      <w:r>
        <w:t xml:space="preserve">It also focuses on dedicated private wireless networks rather than </w:t>
      </w:r>
      <w:r w:rsidRPr="00120B2C">
        <w:t>network slicing,</w:t>
      </w:r>
      <w:r>
        <w:t xml:space="preserve"> which is</w:t>
      </w:r>
      <w:r w:rsidRPr="00120B2C">
        <w:t xml:space="preserve"> </w:t>
      </w:r>
      <w:r>
        <w:t>an enterprise</w:t>
      </w:r>
      <w:r w:rsidRPr="00120B2C">
        <w:t xml:space="preserve"> product offered by mobile network operators</w:t>
      </w:r>
      <w:r>
        <w:t xml:space="preserve"> using</w:t>
      </w:r>
      <w:r w:rsidRPr="00120B2C">
        <w:t xml:space="preserve"> their licensed spectrum.</w:t>
      </w:r>
    </w:p>
    <w:p w14:paraId="440B1EAF" w14:textId="516A8750" w:rsidR="00230B9A" w:rsidRPr="00120B2C" w:rsidRDefault="00230B9A" w:rsidP="00230B9A">
      <w:pPr>
        <w:pStyle w:val="Paragraph"/>
        <w:rPr>
          <w:b/>
        </w:rPr>
      </w:pPr>
      <w:r w:rsidRPr="00120B2C">
        <w:t>The opportunity to build private networks directly for businesses is attracting equipment manufacturers and system integrators</w:t>
      </w:r>
      <w:r w:rsidR="00A703C3">
        <w:t xml:space="preserve"> (companies </w:t>
      </w:r>
      <w:r w:rsidR="00F80946">
        <w:t xml:space="preserve">that </w:t>
      </w:r>
      <w:r w:rsidR="005954C3">
        <w:t xml:space="preserve">combine hardware and software </w:t>
      </w:r>
      <w:r w:rsidR="00313023">
        <w:t>t</w:t>
      </w:r>
      <w:r w:rsidR="005954C3">
        <w:t xml:space="preserve">o a </w:t>
      </w:r>
      <w:r w:rsidR="00CD21FB">
        <w:t xml:space="preserve">build </w:t>
      </w:r>
      <w:r w:rsidR="00313023">
        <w:t>bespoke technology system</w:t>
      </w:r>
      <w:r w:rsidR="00CD21FB">
        <w:t>s</w:t>
      </w:r>
      <w:r w:rsidR="00313023">
        <w:t>)</w:t>
      </w:r>
      <w:r w:rsidRPr="00120B2C">
        <w:t xml:space="preserve"> to this new market. </w:t>
      </w:r>
    </w:p>
    <w:p w14:paraId="79A4FF8E" w14:textId="056BF654" w:rsidR="00230B9A" w:rsidRPr="00120B2C" w:rsidRDefault="00230B9A" w:rsidP="00230B9A">
      <w:pPr>
        <w:pStyle w:val="Paragraph"/>
        <w:rPr>
          <w:b/>
        </w:rPr>
      </w:pPr>
      <w:r w:rsidRPr="00120B2C">
        <w:t xml:space="preserve">Private wireless networks present new challenges and opportunities for enterprises. </w:t>
      </w:r>
      <w:r w:rsidR="00EB73DD">
        <w:t xml:space="preserve">We </w:t>
      </w:r>
      <w:r w:rsidRPr="00120B2C">
        <w:t>will continue to monitor developments</w:t>
      </w:r>
      <w:r w:rsidR="00EB73DD">
        <w:t>,</w:t>
      </w:r>
      <w:r w:rsidRPr="00120B2C">
        <w:t xml:space="preserve"> including </w:t>
      </w:r>
      <w:r w:rsidR="00EB73DD">
        <w:t>any effects on the</w:t>
      </w:r>
      <w:r w:rsidRPr="00120B2C">
        <w:t xml:space="preserve"> demand for spectrum. </w:t>
      </w:r>
    </w:p>
    <w:p w14:paraId="7AF39CA4" w14:textId="34D8ADB0" w:rsidR="00000110" w:rsidRDefault="00327229" w:rsidP="002410BA">
      <w:pPr>
        <w:pStyle w:val="Heading1"/>
        <w:pageBreakBefore w:val="0"/>
      </w:pPr>
      <w:r>
        <w:br w:type="page"/>
      </w:r>
      <w:bookmarkStart w:id="2" w:name="_Toc134437194"/>
      <w:bookmarkStart w:id="3" w:name="_Toc139373146"/>
      <w:bookmarkStart w:id="4" w:name="_Toc146022979"/>
      <w:r>
        <w:t>About this market study</w:t>
      </w:r>
      <w:bookmarkEnd w:id="2"/>
      <w:bookmarkEnd w:id="3"/>
      <w:bookmarkEnd w:id="4"/>
    </w:p>
    <w:p w14:paraId="699303C7" w14:textId="4C7B7A50" w:rsidR="00230B9A" w:rsidRPr="004C3D31" w:rsidRDefault="00B515E3" w:rsidP="00230B9A">
      <w:pPr>
        <w:pStyle w:val="Paragraph"/>
      </w:pPr>
      <w:r>
        <w:t>We conducted t</w:t>
      </w:r>
      <w:r w:rsidR="00230B9A" w:rsidRPr="004C3D31">
        <w:t xml:space="preserve">his </w:t>
      </w:r>
      <w:r>
        <w:t xml:space="preserve">market study </w:t>
      </w:r>
      <w:r w:rsidR="00230B9A" w:rsidRPr="004C3D31">
        <w:t xml:space="preserve">to increase </w:t>
      </w:r>
      <w:r>
        <w:t xml:space="preserve">our </w:t>
      </w:r>
      <w:r w:rsidR="00230B9A" w:rsidRPr="004C3D31">
        <w:t xml:space="preserve">knowledge of the private wireless network market in Australia. </w:t>
      </w:r>
      <w:r>
        <w:t>The study</w:t>
      </w:r>
      <w:r w:rsidRPr="004C3D31">
        <w:t xml:space="preserve"> </w:t>
      </w:r>
      <w:r w:rsidR="00230B9A" w:rsidRPr="004C3D31">
        <w:t xml:space="preserve">focuses on the market for private wireless networks built on dedicated spectrum and using 4G long-term evolution </w:t>
      </w:r>
      <w:r>
        <w:t xml:space="preserve">(LTE) </w:t>
      </w:r>
      <w:r w:rsidR="00230B9A" w:rsidRPr="004C3D31">
        <w:t xml:space="preserve">or 5G technology in Australia. The research also identified </w:t>
      </w:r>
      <w:r>
        <w:t xml:space="preserve">5 </w:t>
      </w:r>
      <w:r w:rsidR="00230B9A" w:rsidRPr="004C3D31">
        <w:t xml:space="preserve">case studies examining network deployments or planned deployments. </w:t>
      </w:r>
    </w:p>
    <w:p w14:paraId="7D061B42" w14:textId="38D44E1B" w:rsidR="00230B9A" w:rsidRDefault="00230B9A" w:rsidP="00230B9A">
      <w:pPr>
        <w:pStyle w:val="Paragraph"/>
      </w:pPr>
      <w:r w:rsidRPr="009A0F45">
        <w:t xml:space="preserve">The information in this report </w:t>
      </w:r>
      <w:r>
        <w:t xml:space="preserve">helps </w:t>
      </w:r>
      <w:r w:rsidRPr="009A0F45">
        <w:t xml:space="preserve">inform the ACMA’s decisions about </w:t>
      </w:r>
      <w:r>
        <w:t xml:space="preserve">sources of future </w:t>
      </w:r>
      <w:r w:rsidRPr="009A0F45">
        <w:t xml:space="preserve">spectrum </w:t>
      </w:r>
      <w:r>
        <w:t xml:space="preserve">demand. </w:t>
      </w:r>
    </w:p>
    <w:p w14:paraId="79631BAE" w14:textId="77777777" w:rsidR="00C00CA1" w:rsidRDefault="00C00CA1" w:rsidP="0042780B">
      <w:pPr>
        <w:pStyle w:val="Heading2"/>
      </w:pPr>
      <w:bookmarkStart w:id="5" w:name="_Toc146022980"/>
      <w:r>
        <w:t>Case studies</w:t>
      </w:r>
      <w:bookmarkEnd w:id="5"/>
    </w:p>
    <w:p w14:paraId="6A29CE2E" w14:textId="77777777" w:rsidR="00C00CA1" w:rsidRPr="00F80946" w:rsidRDefault="00C00CA1" w:rsidP="00C00CA1">
      <w:pPr>
        <w:pStyle w:val="Paragraphbeforelist"/>
      </w:pPr>
      <w:r w:rsidRPr="0097255E">
        <w:t xml:space="preserve">The following 5 case studies </w:t>
      </w:r>
      <w:r>
        <w:t xml:space="preserve">examining different types of private network deployments </w:t>
      </w:r>
      <w:r w:rsidRPr="0097255E">
        <w:t xml:space="preserve">were identified </w:t>
      </w:r>
      <w:r w:rsidRPr="00F80946">
        <w:t xml:space="preserve">through the research process: </w:t>
      </w:r>
    </w:p>
    <w:p w14:paraId="60D7B12C" w14:textId="77777777" w:rsidR="00C00CA1" w:rsidRPr="00F80946" w:rsidRDefault="00C00CA1" w:rsidP="00C00CA1">
      <w:pPr>
        <w:pStyle w:val="Bulletlevel1"/>
      </w:pPr>
      <w:r w:rsidRPr="00F80946">
        <w:t>Public Transport Authority of Western Australia</w:t>
      </w:r>
      <w:r w:rsidRPr="00F80946">
        <w:rPr>
          <w:rStyle w:val="Hyperlink"/>
          <w:color w:val="auto"/>
        </w:rPr>
        <w:t xml:space="preserve"> </w:t>
      </w:r>
    </w:p>
    <w:p w14:paraId="2B094AD1" w14:textId="148B17A1" w:rsidR="00C00CA1" w:rsidRPr="0097255E" w:rsidRDefault="00C00CA1" w:rsidP="00C00CA1">
      <w:pPr>
        <w:pStyle w:val="Bulletlevel1"/>
      </w:pPr>
      <w:r w:rsidRPr="00F80946">
        <w:t xml:space="preserve">BAI Communications </w:t>
      </w:r>
      <w:r w:rsidRPr="003A0FA9">
        <w:t>and Australian Meat Process</w:t>
      </w:r>
      <w:r w:rsidR="0065314A">
        <w:t>or Corporation</w:t>
      </w:r>
      <w:r w:rsidRPr="0097255E">
        <w:rPr>
          <w:rStyle w:val="Hyperlink"/>
        </w:rPr>
        <w:t xml:space="preserve"> </w:t>
      </w:r>
    </w:p>
    <w:p w14:paraId="1E87F7D0" w14:textId="77777777" w:rsidR="00C00CA1" w:rsidRPr="003A0FA9" w:rsidRDefault="00C00CA1" w:rsidP="00C00CA1">
      <w:pPr>
        <w:pStyle w:val="Bulletlevel1"/>
      </w:pPr>
      <w:r w:rsidRPr="003A0FA9">
        <w:t xml:space="preserve">Nokia and UTS Tech Lab </w:t>
      </w:r>
    </w:p>
    <w:p w14:paraId="1757395F" w14:textId="77777777" w:rsidR="00A31A03" w:rsidRDefault="00C00CA1" w:rsidP="00F11D01">
      <w:pPr>
        <w:pStyle w:val="Bulletlevel1"/>
      </w:pPr>
      <w:r w:rsidRPr="003A0FA9">
        <w:t>Tech Event Pty Ltd</w:t>
      </w:r>
    </w:p>
    <w:p w14:paraId="613AAFC4" w14:textId="401CB03B" w:rsidR="00C00CA1" w:rsidRPr="003A0FA9" w:rsidRDefault="00A31A03" w:rsidP="00F11D01">
      <w:pPr>
        <w:pStyle w:val="Bulletlevel1"/>
      </w:pPr>
      <w:r w:rsidRPr="00F80946">
        <w:t>Brisbane City Council</w:t>
      </w:r>
      <w:r w:rsidR="00C00CA1">
        <w:t>.</w:t>
      </w:r>
      <w:r w:rsidR="00C00CA1" w:rsidRPr="00F11D01">
        <w:t xml:space="preserve"> </w:t>
      </w:r>
    </w:p>
    <w:p w14:paraId="2375DDCD" w14:textId="1349635C" w:rsidR="00C00CA1" w:rsidRDefault="00C00CA1" w:rsidP="00F11D01">
      <w:pPr>
        <w:pStyle w:val="Paragraph"/>
        <w:spacing w:before="120"/>
      </w:pPr>
      <w:r>
        <w:t>Two</w:t>
      </w:r>
      <w:r w:rsidRPr="0097255E">
        <w:t xml:space="preserve"> case studies were 5G standalone tests</w:t>
      </w:r>
      <w:r>
        <w:t>,</w:t>
      </w:r>
      <w:r w:rsidRPr="0097255E">
        <w:t xml:space="preserve"> created as part of the </w:t>
      </w:r>
      <w:r>
        <w:t xml:space="preserve">Australian </w:t>
      </w:r>
      <w:r w:rsidRPr="0097255E">
        <w:t xml:space="preserve">Government’s </w:t>
      </w:r>
      <w:r w:rsidR="00AB000E" w:rsidRPr="00F11D01">
        <w:t xml:space="preserve">Australian 5G Innovation </w:t>
      </w:r>
      <w:hyperlink r:id="rId25" w:anchor="/5g-innovation-initiative-1" w:history="1">
        <w:r w:rsidR="00AB000E" w:rsidRPr="00AB000E">
          <w:rPr>
            <w:rStyle w:val="Hyperlink"/>
          </w:rPr>
          <w:t>Initiative</w:t>
        </w:r>
      </w:hyperlink>
      <w:r w:rsidRPr="0097255E">
        <w:t xml:space="preserve">. </w:t>
      </w:r>
      <w:r>
        <w:t xml:space="preserve">One was </w:t>
      </w:r>
      <w:r w:rsidRPr="0097255E">
        <w:t xml:space="preserve">dismantled after the trial period </w:t>
      </w:r>
      <w:r>
        <w:t xml:space="preserve">and the other is still active. </w:t>
      </w:r>
      <w:r w:rsidRPr="0097255E">
        <w:t xml:space="preserve">  </w:t>
      </w:r>
    </w:p>
    <w:p w14:paraId="7BCAD504" w14:textId="77777777" w:rsidR="00C00CA1" w:rsidRPr="0097255E" w:rsidRDefault="00C00CA1" w:rsidP="00C00CA1">
      <w:pPr>
        <w:rPr>
          <w:rFonts w:cs="Arial"/>
        </w:rPr>
      </w:pPr>
      <w:r w:rsidRPr="0097255E">
        <w:rPr>
          <w:rFonts w:cs="Arial"/>
        </w:rPr>
        <w:t xml:space="preserve">These case studies are added throughout the </w:t>
      </w:r>
      <w:r>
        <w:rPr>
          <w:rFonts w:cs="Arial"/>
        </w:rPr>
        <w:t>report</w:t>
      </w:r>
      <w:r w:rsidRPr="0097255E">
        <w:rPr>
          <w:rFonts w:cs="Arial"/>
        </w:rPr>
        <w:t xml:space="preserve"> to </w:t>
      </w:r>
      <w:r>
        <w:rPr>
          <w:rFonts w:cs="Arial"/>
        </w:rPr>
        <w:t xml:space="preserve">highlight </w:t>
      </w:r>
      <w:r w:rsidRPr="0097255E">
        <w:rPr>
          <w:rFonts w:cs="Arial"/>
        </w:rPr>
        <w:t>key concepts and findings.</w:t>
      </w:r>
    </w:p>
    <w:p w14:paraId="64106BBB" w14:textId="45BE4531" w:rsidR="00C00CA1" w:rsidRDefault="00C00CA1" w:rsidP="00AC3D75">
      <w:pPr>
        <w:pStyle w:val="Heading2"/>
      </w:pPr>
      <w:bookmarkStart w:id="6" w:name="_Toc146022981"/>
      <w:r>
        <w:t>Methodology</w:t>
      </w:r>
      <w:bookmarkEnd w:id="6"/>
    </w:p>
    <w:p w14:paraId="26C9168C" w14:textId="0338FAB5" w:rsidR="00230B9A" w:rsidRPr="0097255E" w:rsidRDefault="00B515E3" w:rsidP="00230B9A">
      <w:pPr>
        <w:pStyle w:val="Paragraph"/>
      </w:pPr>
      <w:r>
        <w:t xml:space="preserve">We </w:t>
      </w:r>
      <w:r w:rsidR="00230B9A" w:rsidRPr="009A0F45">
        <w:t>sent out questionnaires to several</w:t>
      </w:r>
      <w:r w:rsidR="00230B9A" w:rsidRPr="0097255E">
        <w:t xml:space="preserve"> industry bodies and selected organisations. The </w:t>
      </w:r>
      <w:r w:rsidRPr="0097255E">
        <w:t xml:space="preserve">Australian Radio Communications Industry Association </w:t>
      </w:r>
      <w:r w:rsidR="00230B9A" w:rsidRPr="0097255E">
        <w:t>also publicised</w:t>
      </w:r>
      <w:r>
        <w:t xml:space="preserve"> the</w:t>
      </w:r>
      <w:r w:rsidR="00230B9A" w:rsidRPr="0097255E">
        <w:t xml:space="preserve"> </w:t>
      </w:r>
      <w:r w:rsidRPr="0097255E">
        <w:t xml:space="preserve">request for input </w:t>
      </w:r>
      <w:r w:rsidR="00230B9A" w:rsidRPr="0097255E">
        <w:t>to its members.</w:t>
      </w:r>
      <w:r w:rsidR="00230B9A" w:rsidRPr="0097255E">
        <w:rPr>
          <w:rStyle w:val="FootnoteReference"/>
        </w:rPr>
        <w:footnoteReference w:id="2"/>
      </w:r>
      <w:r w:rsidR="00230B9A" w:rsidRPr="0097255E">
        <w:t xml:space="preserve"> </w:t>
      </w:r>
      <w:r w:rsidR="00230B9A">
        <w:t xml:space="preserve">A full list of interviews is included at </w:t>
      </w:r>
      <w:hyperlink w:anchor="_Appendix_B_–" w:history="1">
        <w:r w:rsidR="00230B9A" w:rsidRPr="00DD75E1">
          <w:rPr>
            <w:rStyle w:val="Hyperlink"/>
          </w:rPr>
          <w:t>Appendix B</w:t>
        </w:r>
      </w:hyperlink>
      <w:r w:rsidR="00230B9A">
        <w:t xml:space="preserve">. </w:t>
      </w:r>
    </w:p>
    <w:p w14:paraId="0B72D327" w14:textId="6B277707" w:rsidR="00230B9A" w:rsidRPr="0097255E" w:rsidRDefault="00B515E3" w:rsidP="00230B9A">
      <w:pPr>
        <w:pStyle w:val="Paragraph"/>
      </w:pPr>
      <w:r>
        <w:t>We</w:t>
      </w:r>
      <w:r w:rsidR="00230B9A" w:rsidRPr="0097255E">
        <w:t xml:space="preserve"> received 4 written responses and conducted 9 interviews. Some interviews gathered information about the existing private wireless networks in Australia</w:t>
      </w:r>
      <w:r>
        <w:t>.</w:t>
      </w:r>
      <w:r w:rsidR="00230B9A" w:rsidRPr="0097255E">
        <w:t xml:space="preserve"> </w:t>
      </w:r>
      <w:r>
        <w:t>O</w:t>
      </w:r>
      <w:r w:rsidR="00230B9A" w:rsidRPr="0097255E">
        <w:t>thers were focused on particular enterprises and their network</w:t>
      </w:r>
      <w:r w:rsidR="00230B9A">
        <w:t>ing</w:t>
      </w:r>
      <w:r w:rsidR="00230B9A" w:rsidRPr="0097255E">
        <w:t xml:space="preserve"> needs. </w:t>
      </w:r>
    </w:p>
    <w:p w14:paraId="6ED6C304" w14:textId="77777777" w:rsidR="00C00CA1" w:rsidRPr="00250F11" w:rsidRDefault="00C00CA1" w:rsidP="00C00CA1">
      <w:pPr>
        <w:pStyle w:val="Paragraph"/>
        <w:rPr>
          <w:lang w:val="en-GB"/>
        </w:rPr>
      </w:pPr>
      <w:r w:rsidRPr="0097255E">
        <w:t>This market study</w:t>
      </w:r>
      <w:r>
        <w:t xml:space="preserve"> also</w:t>
      </w:r>
      <w:r w:rsidRPr="0097255E">
        <w:t xml:space="preserve"> uses information gained through desktop research, research commissioned from </w:t>
      </w:r>
      <w:proofErr w:type="spellStart"/>
      <w:r w:rsidRPr="0097255E">
        <w:t>GlobalData</w:t>
      </w:r>
      <w:proofErr w:type="spellEnd"/>
      <w:r w:rsidRPr="0097255E">
        <w:t xml:space="preserve"> and Mordor Intelligence as well as interviews with </w:t>
      </w:r>
      <w:r>
        <w:t>p</w:t>
      </w:r>
      <w:r w:rsidRPr="0097255E">
        <w:t>rivate sector operators, local governments, equipment manufacturers, network managers and enterprises interested in building private wireless networks.</w:t>
      </w:r>
      <w:r w:rsidRPr="0097255E">
        <w:rPr>
          <w:rStyle w:val="FootnoteReference"/>
        </w:rPr>
        <w:footnoteReference w:id="3"/>
      </w:r>
      <w:r w:rsidRPr="0097255E">
        <w:t xml:space="preserve"> </w:t>
      </w:r>
    </w:p>
    <w:p w14:paraId="40045B60" w14:textId="06CA2583" w:rsidR="00C00CA1" w:rsidRPr="0097255E" w:rsidRDefault="00C00CA1" w:rsidP="00C00CA1">
      <w:r w:rsidRPr="0097255E">
        <w:rPr>
          <w:rFonts w:cs="Arial"/>
        </w:rPr>
        <w:t>Note that the findings in this paper are based on discussions with a small sample of</w:t>
      </w:r>
      <w:r w:rsidR="00F80946">
        <w:rPr>
          <w:rFonts w:cs="Arial"/>
        </w:rPr>
        <w:t xml:space="preserve"> people in </w:t>
      </w:r>
      <w:r w:rsidRPr="0097255E">
        <w:rPr>
          <w:rFonts w:cs="Arial"/>
        </w:rPr>
        <w:t>the Australian market who voluntar</w:t>
      </w:r>
      <w:r>
        <w:rPr>
          <w:rFonts w:cs="Arial"/>
        </w:rPr>
        <w:t>ily</w:t>
      </w:r>
      <w:r w:rsidRPr="0097255E">
        <w:rPr>
          <w:rFonts w:cs="Arial"/>
        </w:rPr>
        <w:t xml:space="preserve"> responded. These findings may not </w:t>
      </w:r>
      <w:r>
        <w:rPr>
          <w:rFonts w:cs="Arial"/>
        </w:rPr>
        <w:t>capture all</w:t>
      </w:r>
      <w:r w:rsidRPr="0097255E">
        <w:rPr>
          <w:rFonts w:cs="Arial"/>
        </w:rPr>
        <w:t xml:space="preserve"> market developments. </w:t>
      </w:r>
    </w:p>
    <w:p w14:paraId="4F1B2DEC" w14:textId="49A95638" w:rsidR="00230B9A" w:rsidRPr="0097255E" w:rsidRDefault="00B515E3" w:rsidP="00230B9A">
      <w:pPr>
        <w:pStyle w:val="Paragraph"/>
      </w:pPr>
      <w:r>
        <w:t>We</w:t>
      </w:r>
      <w:r w:rsidR="00230B9A">
        <w:t xml:space="preserve"> </w:t>
      </w:r>
      <w:r w:rsidR="00230B9A" w:rsidRPr="0097255E">
        <w:t xml:space="preserve">would like to thank everyone who participated in interviews and assisted our research. </w:t>
      </w:r>
    </w:p>
    <w:p w14:paraId="6E07C3B4" w14:textId="26F68A9D" w:rsidR="00327229" w:rsidRPr="0097255E" w:rsidRDefault="5BF05800" w:rsidP="00327229">
      <w:pPr>
        <w:rPr>
          <w:rFonts w:cs="Arial"/>
        </w:rPr>
      </w:pPr>
      <w:bookmarkStart w:id="7" w:name="_Industry_feedback_on"/>
      <w:bookmarkEnd w:id="7"/>
      <w:r w:rsidRPr="3698050B">
        <w:rPr>
          <w:rFonts w:cs="Arial"/>
        </w:rPr>
        <w:t>A</w:t>
      </w:r>
      <w:r w:rsidR="00327229" w:rsidRPr="3698050B">
        <w:rPr>
          <w:rFonts w:cs="Arial"/>
        </w:rPr>
        <w:t xml:space="preserve"> glossary </w:t>
      </w:r>
      <w:r w:rsidR="1B66160E" w:rsidRPr="3698050B">
        <w:rPr>
          <w:rFonts w:cs="Arial"/>
        </w:rPr>
        <w:t xml:space="preserve">is provided </w:t>
      </w:r>
      <w:r w:rsidR="00327229" w:rsidRPr="3698050B">
        <w:rPr>
          <w:rFonts w:cs="Arial"/>
        </w:rPr>
        <w:t xml:space="preserve">at </w:t>
      </w:r>
      <w:hyperlink w:anchor="_Appendix_A_–Glossary">
        <w:r w:rsidR="00327229" w:rsidRPr="3698050B">
          <w:rPr>
            <w:rStyle w:val="Hyperlink"/>
            <w:rFonts w:cs="Arial"/>
          </w:rPr>
          <w:t>Appendix A</w:t>
        </w:r>
      </w:hyperlink>
      <w:r w:rsidR="00327229" w:rsidRPr="3698050B">
        <w:rPr>
          <w:rFonts w:cs="Arial"/>
        </w:rPr>
        <w:t xml:space="preserve">. </w:t>
      </w:r>
    </w:p>
    <w:p w14:paraId="472725AF" w14:textId="77777777" w:rsidR="00B515E3" w:rsidRDefault="00B515E3">
      <w:pPr>
        <w:spacing w:after="0" w:line="240" w:lineRule="auto"/>
        <w:rPr>
          <w:rFonts w:cs="Arial"/>
          <w:bCs/>
          <w:color w:val="323232"/>
          <w:kern w:val="32"/>
          <w:sz w:val="53"/>
          <w:szCs w:val="32"/>
        </w:rPr>
      </w:pPr>
      <w:r>
        <w:br w:type="page"/>
      </w:r>
    </w:p>
    <w:p w14:paraId="0A6416EB" w14:textId="21EA3C28" w:rsidR="00327229" w:rsidRPr="00327229" w:rsidRDefault="00B515E3" w:rsidP="00CF150D">
      <w:pPr>
        <w:pStyle w:val="Heading1"/>
        <w:pageBreakBefore w:val="0"/>
      </w:pPr>
      <w:bookmarkStart w:id="8" w:name="_Toc146022982"/>
      <w:r w:rsidRPr="00B515E3">
        <w:t>Private wireless networks</w:t>
      </w:r>
      <w:bookmarkEnd w:id="8"/>
    </w:p>
    <w:p w14:paraId="7D70016E" w14:textId="77777777" w:rsidR="00230B9A" w:rsidRPr="008C5BE9" w:rsidRDefault="00230B9A" w:rsidP="00B515E3">
      <w:pPr>
        <w:pStyle w:val="Heading2"/>
      </w:pPr>
      <w:bookmarkStart w:id="9" w:name="_Toc139373147"/>
      <w:bookmarkStart w:id="10" w:name="_Toc146022983"/>
      <w:r w:rsidRPr="008C5BE9">
        <w:t xml:space="preserve">What are </w:t>
      </w:r>
      <w:r w:rsidRPr="00B515E3">
        <w:t>private</w:t>
      </w:r>
      <w:r w:rsidRPr="008C5BE9">
        <w:t xml:space="preserve"> </w:t>
      </w:r>
      <w:r>
        <w:t xml:space="preserve">wireless </w:t>
      </w:r>
      <w:r w:rsidRPr="008C5BE9">
        <w:t>networks?</w:t>
      </w:r>
      <w:bookmarkEnd w:id="9"/>
      <w:bookmarkEnd w:id="10"/>
    </w:p>
    <w:p w14:paraId="4CF3D185" w14:textId="4A63AC12" w:rsidR="00230B9A" w:rsidRDefault="00230B9A" w:rsidP="00230B9A">
      <w:pPr>
        <w:pStyle w:val="Paragraph"/>
      </w:pPr>
      <w:r w:rsidRPr="009741A7">
        <w:t xml:space="preserve">Communication networks can be public or </w:t>
      </w:r>
      <w:r>
        <w:t>private</w:t>
      </w:r>
      <w:r w:rsidRPr="009741A7">
        <w:t xml:space="preserve"> depending on access </w:t>
      </w:r>
      <w:r w:rsidRPr="00047F0E">
        <w:t xml:space="preserve">arrangements. This </w:t>
      </w:r>
      <w:r w:rsidR="00C00CA1">
        <w:t>m</w:t>
      </w:r>
      <w:r w:rsidRPr="00230B9A">
        <w:t xml:space="preserve">arket </w:t>
      </w:r>
      <w:r w:rsidR="00C00CA1">
        <w:t>s</w:t>
      </w:r>
      <w:r w:rsidRPr="00230B9A">
        <w:t xml:space="preserve">tudy </w:t>
      </w:r>
      <w:r w:rsidR="00C00CA1">
        <w:t xml:space="preserve">focuses </w:t>
      </w:r>
      <w:r w:rsidRPr="00230B9A">
        <w:t>on independent private wireless networks built at a single location and used with devices exclusively owned or authorised by one network owner. It does not focus on network slicing or public mobile networks – such as those operated in Australia by Telstra, Optus and Vodafone/TPG – that can be accessed by any paying customers, virtual network operators or roaming partners.</w:t>
      </w:r>
    </w:p>
    <w:p w14:paraId="21CD718A" w14:textId="77777777" w:rsidR="008C1D56" w:rsidRDefault="008C1D56" w:rsidP="008C1D56">
      <w:pPr>
        <w:pStyle w:val="Paragraph"/>
      </w:pPr>
      <w:r>
        <w:t>According to some industry analysts and experts, private wireless networks will induce a fourth industrial revolution of highly automated and efficient production.</w:t>
      </w:r>
      <w:r>
        <w:rPr>
          <w:rStyle w:val="FootnoteReference"/>
        </w:rPr>
        <w:footnoteReference w:id="4"/>
      </w:r>
      <w:r>
        <w:t xml:space="preserve"> Governments are monitoring progress of the deployment of private networks and funding trials that include deploying private networks to encourage innovation. </w:t>
      </w:r>
    </w:p>
    <w:p w14:paraId="2857A1A2" w14:textId="59DC939E" w:rsidR="00230B9A" w:rsidRDefault="00230B9A" w:rsidP="00230B9A">
      <w:pPr>
        <w:pStyle w:val="Paragraph"/>
      </w:pPr>
      <w:r w:rsidRPr="00230B9A">
        <w:t>From an equipment and technology</w:t>
      </w:r>
      <w:r w:rsidRPr="008C5BE9">
        <w:t xml:space="preserve"> perspective, there is no difference between a public and </w:t>
      </w:r>
      <w:r>
        <w:t>private wireless network</w:t>
      </w:r>
      <w:r w:rsidRPr="00523236">
        <w:t xml:space="preserve">. </w:t>
      </w:r>
      <w:r>
        <w:t xml:space="preserve">The crucial difference is exclusive access to spectrum and complete control over network performance.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7661"/>
      </w:tblGrid>
      <w:tr w:rsidR="00861081" w14:paraId="7ECE8F92" w14:textId="77777777" w:rsidTr="00861081">
        <w:tc>
          <w:tcPr>
            <w:tcW w:w="7661" w:type="dxa"/>
            <w:shd w:val="clear" w:color="auto" w:fill="F2F2F2" w:themeFill="background1" w:themeFillShade="F2"/>
          </w:tcPr>
          <w:p w14:paraId="40E86899" w14:textId="64FD8FBF" w:rsidR="00861081" w:rsidRPr="00861081" w:rsidRDefault="00861081" w:rsidP="00105671">
            <w:pPr>
              <w:tabs>
                <w:tab w:val="center" w:pos="3835"/>
              </w:tabs>
              <w:spacing w:before="120" w:after="120"/>
              <w:ind w:left="284" w:right="284"/>
              <w:rPr>
                <w:rFonts w:cs="Arial"/>
                <w:sz w:val="18"/>
                <w:szCs w:val="22"/>
              </w:rPr>
            </w:pPr>
            <w:r w:rsidRPr="00861081">
              <w:rPr>
                <w:rFonts w:cs="Arial"/>
                <w:sz w:val="18"/>
                <w:szCs w:val="22"/>
              </w:rPr>
              <w:t xml:space="preserve">The primary difference is that the public 5G network is intended for use by the public, with tens of millions of subscribers on a given nationwide network. </w:t>
            </w:r>
          </w:p>
          <w:p w14:paraId="2F019844" w14:textId="4ECEAD98" w:rsidR="00861081" w:rsidRPr="00861081" w:rsidRDefault="00861081" w:rsidP="00105671">
            <w:pPr>
              <w:tabs>
                <w:tab w:val="center" w:pos="3835"/>
              </w:tabs>
              <w:spacing w:after="120"/>
              <w:ind w:left="284" w:right="284"/>
              <w:rPr>
                <w:rFonts w:cs="Arial"/>
                <w:sz w:val="18"/>
                <w:szCs w:val="22"/>
              </w:rPr>
            </w:pPr>
            <w:r w:rsidRPr="00861081">
              <w:rPr>
                <w:rFonts w:cs="Arial"/>
                <w:sz w:val="18"/>
                <w:szCs w:val="22"/>
              </w:rPr>
              <w:t xml:space="preserve">A private 5G network is dedicated to the use of a single enterprise or organization, and many times, a single location, although </w:t>
            </w:r>
            <w:r w:rsidR="00F8204C">
              <w:rPr>
                <w:rFonts w:cs="Arial"/>
                <w:sz w:val="18"/>
                <w:szCs w:val="22"/>
              </w:rPr>
              <w:t>‘</w:t>
            </w:r>
            <w:r w:rsidRPr="00861081">
              <w:rPr>
                <w:rFonts w:cs="Arial"/>
                <w:sz w:val="18"/>
                <w:szCs w:val="22"/>
              </w:rPr>
              <w:t>location</w:t>
            </w:r>
            <w:r w:rsidR="00F8204C">
              <w:rPr>
                <w:rFonts w:cs="Arial"/>
                <w:sz w:val="18"/>
                <w:szCs w:val="22"/>
              </w:rPr>
              <w:t>’</w:t>
            </w:r>
            <w:r w:rsidRPr="00861081">
              <w:rPr>
                <w:rFonts w:cs="Arial"/>
                <w:sz w:val="18"/>
                <w:szCs w:val="22"/>
              </w:rPr>
              <w:t xml:space="preserve"> here can be as small as a building or as large as a port.  </w:t>
            </w:r>
          </w:p>
          <w:p w14:paraId="6B3B24A5" w14:textId="4F1AD2A2" w:rsidR="00861081" w:rsidRPr="00861081" w:rsidRDefault="00861081" w:rsidP="00105671">
            <w:pPr>
              <w:tabs>
                <w:tab w:val="center" w:pos="3835"/>
              </w:tabs>
              <w:spacing w:after="120"/>
              <w:ind w:left="284" w:right="284"/>
              <w:rPr>
                <w:rFonts w:cs="Arial"/>
                <w:sz w:val="18"/>
                <w:szCs w:val="22"/>
              </w:rPr>
            </w:pPr>
            <w:r w:rsidRPr="00861081">
              <w:rPr>
                <w:rFonts w:cs="Arial"/>
                <w:sz w:val="18"/>
                <w:szCs w:val="22"/>
              </w:rPr>
              <w:t xml:space="preserve">Examples include college campuses, manufacturing facilities, hospitals, transportation hubs, and military bases </w:t>
            </w:r>
            <w:r w:rsidR="00F8204C">
              <w:rPr>
                <w:rFonts w:cs="Arial"/>
                <w:sz w:val="18"/>
                <w:szCs w:val="22"/>
              </w:rPr>
              <w:t>–</w:t>
            </w:r>
            <w:r w:rsidRPr="00861081">
              <w:rPr>
                <w:rFonts w:cs="Arial"/>
                <w:sz w:val="18"/>
                <w:szCs w:val="22"/>
              </w:rPr>
              <w:t xml:space="preserve"> places with critical infrastructure or mission-critical applications.</w:t>
            </w:r>
          </w:p>
          <w:p w14:paraId="5831852A" w14:textId="67CC33EA" w:rsidR="00861081" w:rsidRDefault="00861081" w:rsidP="005E38DD">
            <w:pPr>
              <w:pStyle w:val="Paragraph"/>
              <w:spacing w:after="120"/>
              <w:jc w:val="right"/>
            </w:pPr>
            <w:r w:rsidRPr="00230B9A">
              <w:t>Ashish Bhatia, Senior Technical Account Manager, Samsung</w:t>
            </w:r>
            <w:r w:rsidRPr="00230B9A">
              <w:rPr>
                <w:rStyle w:val="FootnoteReference"/>
              </w:rPr>
              <w:footnoteReference w:id="5"/>
            </w:r>
          </w:p>
        </w:tc>
      </w:tr>
    </w:tbl>
    <w:p w14:paraId="7A761AE4" w14:textId="77777777" w:rsidR="00861081" w:rsidRDefault="00861081" w:rsidP="005E38DD">
      <w:pPr>
        <w:pStyle w:val="Paragraph"/>
        <w:spacing w:after="120"/>
      </w:pPr>
    </w:p>
    <w:p w14:paraId="44E085CA" w14:textId="6FFFD7D4" w:rsidR="00230B9A" w:rsidRDefault="00230B9A" w:rsidP="00230B9A">
      <w:pPr>
        <w:pStyle w:val="Paragraph"/>
      </w:pPr>
      <w:r w:rsidRPr="00507F33">
        <w:t xml:space="preserve">Table 1 </w:t>
      </w:r>
      <w:r>
        <w:t xml:space="preserve">below </w:t>
      </w:r>
      <w:r w:rsidRPr="00507F33">
        <w:t>summarises the difference.</w:t>
      </w:r>
      <w:r w:rsidRPr="009724F7">
        <w:rPr>
          <w:vertAlign w:val="superscript"/>
        </w:rPr>
        <w:footnoteReference w:id="6"/>
      </w:r>
    </w:p>
    <w:p w14:paraId="74796A3A" w14:textId="77777777" w:rsidR="00230B9A" w:rsidRPr="008C5BE9" w:rsidRDefault="00230B9A" w:rsidP="00230B9A">
      <w:pPr>
        <w:pStyle w:val="Tableheading"/>
      </w:pPr>
      <w:r w:rsidRPr="008C5BE9">
        <w:t xml:space="preserve">Basic differences between </w:t>
      </w:r>
      <w:r>
        <w:t>using</w:t>
      </w:r>
      <w:r w:rsidRPr="008C5BE9">
        <w:t xml:space="preserve"> </w:t>
      </w:r>
      <w:r>
        <w:t xml:space="preserve">a </w:t>
      </w:r>
      <w:r w:rsidRPr="008C5BE9">
        <w:t xml:space="preserve">public </w:t>
      </w:r>
      <w:r>
        <w:t>network or an</w:t>
      </w:r>
      <w:r w:rsidRPr="008C5BE9">
        <w:t xml:space="preserve"> </w:t>
      </w:r>
      <w:r>
        <w:t>independent</w:t>
      </w:r>
      <w:r w:rsidRPr="008C5BE9">
        <w:t xml:space="preserve"> </w:t>
      </w:r>
      <w:r>
        <w:t>private wireless network</w:t>
      </w:r>
      <w:r>
        <w:rPr>
          <w:rStyle w:val="FootnoteReference"/>
          <w:rFonts w:cs="Arial"/>
        </w:rPr>
        <w:footnoteReference w:id="7"/>
      </w:r>
    </w:p>
    <w:tbl>
      <w:tblPr>
        <w:tblStyle w:val="ACMAtablestyle"/>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03"/>
        <w:gridCol w:w="3868"/>
      </w:tblGrid>
      <w:tr w:rsidR="00230B9A" w:rsidRPr="008C5BE9" w14:paraId="1F60A450" w14:textId="77777777" w:rsidTr="005D4475">
        <w:trPr>
          <w:cnfStyle w:val="100000000000" w:firstRow="1" w:lastRow="0" w:firstColumn="0" w:lastColumn="0" w:oddVBand="0" w:evenVBand="0" w:oddHBand="0" w:evenHBand="0" w:firstRowFirstColumn="0" w:firstRowLastColumn="0" w:lastRowFirstColumn="0" w:lastRowLastColumn="0"/>
          <w:trHeight w:val="277"/>
        </w:trPr>
        <w:tc>
          <w:tcPr>
            <w:tcW w:w="0" w:type="pct"/>
            <w:tcBorders>
              <w:top w:val="none" w:sz="0" w:space="0" w:color="auto"/>
              <w:left w:val="none" w:sz="0" w:space="0" w:color="auto"/>
              <w:bottom w:val="none" w:sz="0" w:space="0" w:color="auto"/>
              <w:right w:val="none" w:sz="0" w:space="0" w:color="auto"/>
            </w:tcBorders>
            <w:shd w:val="clear" w:color="auto" w:fill="39457C"/>
          </w:tcPr>
          <w:p w14:paraId="70ED16B9" w14:textId="77777777" w:rsidR="00230B9A" w:rsidRPr="008C5BE9" w:rsidRDefault="00230B9A" w:rsidP="005E38DD">
            <w:pPr>
              <w:pStyle w:val="TableHeading0"/>
              <w:keepNext/>
              <w:rPr>
                <w:rFonts w:cs="Arial"/>
              </w:rPr>
            </w:pPr>
            <w:r w:rsidRPr="008C5BE9">
              <w:rPr>
                <w:rFonts w:cs="Arial"/>
              </w:rPr>
              <w:t>Public mobile network</w:t>
            </w:r>
          </w:p>
        </w:tc>
        <w:tc>
          <w:tcPr>
            <w:tcW w:w="0" w:type="pct"/>
            <w:tcBorders>
              <w:top w:val="none" w:sz="0" w:space="0" w:color="auto"/>
              <w:left w:val="none" w:sz="0" w:space="0" w:color="auto"/>
              <w:bottom w:val="none" w:sz="0" w:space="0" w:color="auto"/>
              <w:right w:val="none" w:sz="0" w:space="0" w:color="auto"/>
            </w:tcBorders>
            <w:shd w:val="clear" w:color="auto" w:fill="39457C"/>
          </w:tcPr>
          <w:p w14:paraId="528DA786" w14:textId="77777777" w:rsidR="00230B9A" w:rsidRPr="008C5BE9" w:rsidRDefault="00230B9A" w:rsidP="005E38DD">
            <w:pPr>
              <w:pStyle w:val="TableHeading0"/>
              <w:keepNext/>
              <w:rPr>
                <w:rFonts w:cs="Arial"/>
              </w:rPr>
            </w:pPr>
            <w:r>
              <w:rPr>
                <w:rFonts w:cs="Arial"/>
              </w:rPr>
              <w:t xml:space="preserve">Independent </w:t>
            </w:r>
            <w:r w:rsidRPr="008C5BE9">
              <w:rPr>
                <w:rFonts w:cs="Arial"/>
              </w:rPr>
              <w:t>private mobile network</w:t>
            </w:r>
          </w:p>
        </w:tc>
      </w:tr>
      <w:tr w:rsidR="00230B9A" w:rsidRPr="008C5BE9" w14:paraId="0A8C4066" w14:textId="77777777" w:rsidTr="0031294A">
        <w:trPr>
          <w:cnfStyle w:val="000000100000" w:firstRow="0" w:lastRow="0" w:firstColumn="0" w:lastColumn="0" w:oddVBand="0" w:evenVBand="0" w:oddHBand="1" w:evenHBand="0" w:firstRowFirstColumn="0" w:firstRowLastColumn="0" w:lastRowFirstColumn="0" w:lastRowLastColumn="0"/>
          <w:trHeight w:val="510"/>
        </w:trPr>
        <w:tc>
          <w:tcPr>
            <w:tcW w:w="0" w:type="pct"/>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98C425D" w14:textId="77777777" w:rsidR="00230B9A" w:rsidRPr="008C5BE9" w:rsidRDefault="00230B9A" w:rsidP="00B821D5">
            <w:pPr>
              <w:pStyle w:val="TableBody"/>
              <w:keepNext/>
              <w:rPr>
                <w:rFonts w:cs="Arial"/>
              </w:rPr>
            </w:pPr>
            <w:r>
              <w:rPr>
                <w:rFonts w:cs="Arial"/>
              </w:rPr>
              <w:t xml:space="preserve">Used by any paying customer to connect their own devices. </w:t>
            </w:r>
            <w:r w:rsidRPr="008C5BE9">
              <w:rPr>
                <w:rFonts w:cs="Arial"/>
              </w:rPr>
              <w:t>All customers have the same access rights and share the spectrum resource.</w:t>
            </w:r>
          </w:p>
        </w:tc>
        <w:tc>
          <w:tcPr>
            <w:tcW w:w="0" w:type="pct"/>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4DAD78D" w14:textId="77777777" w:rsidR="00230B9A" w:rsidRPr="008C5BE9" w:rsidRDefault="00230B9A" w:rsidP="00B821D5">
            <w:pPr>
              <w:pStyle w:val="TableBody"/>
              <w:keepNext/>
              <w:rPr>
                <w:rFonts w:cs="Arial"/>
              </w:rPr>
            </w:pPr>
            <w:r>
              <w:rPr>
                <w:rFonts w:cs="Arial"/>
              </w:rPr>
              <w:t xml:space="preserve">Only devices selected by the controlling company or organisation can access the network. </w:t>
            </w:r>
          </w:p>
        </w:tc>
      </w:tr>
      <w:tr w:rsidR="00230B9A" w:rsidRPr="008C5BE9" w14:paraId="32C32C7A" w14:textId="77777777" w:rsidTr="0031294A">
        <w:trPr>
          <w:cnfStyle w:val="000000010000" w:firstRow="0" w:lastRow="0" w:firstColumn="0" w:lastColumn="0" w:oddVBand="0" w:evenVBand="0" w:oddHBand="0" w:evenHBand="1" w:firstRowFirstColumn="0" w:firstRowLastColumn="0" w:lastRowFirstColumn="0" w:lastRowLastColumn="0"/>
          <w:trHeight w:val="510"/>
        </w:trPr>
        <w:tc>
          <w:tcPr>
            <w:tcW w:w="0" w:type="pct"/>
          </w:tcPr>
          <w:p w14:paraId="418F4C6A" w14:textId="77777777" w:rsidR="00230B9A" w:rsidRPr="008C5BE9" w:rsidRDefault="00230B9A" w:rsidP="00B821D5">
            <w:pPr>
              <w:pStyle w:val="TableBody"/>
              <w:keepNext/>
              <w:rPr>
                <w:rFonts w:cs="Arial"/>
              </w:rPr>
            </w:pPr>
            <w:r w:rsidRPr="008C5BE9">
              <w:rPr>
                <w:rFonts w:cs="Arial"/>
              </w:rPr>
              <w:t xml:space="preserve">Mobile </w:t>
            </w:r>
            <w:r>
              <w:rPr>
                <w:rFonts w:cs="Arial"/>
              </w:rPr>
              <w:t>n</w:t>
            </w:r>
            <w:r w:rsidRPr="008C5BE9">
              <w:rPr>
                <w:rFonts w:cs="Arial"/>
              </w:rPr>
              <w:t xml:space="preserve">etwork </w:t>
            </w:r>
            <w:r>
              <w:rPr>
                <w:rFonts w:cs="Arial"/>
              </w:rPr>
              <w:t>o</w:t>
            </w:r>
            <w:r w:rsidRPr="008C5BE9">
              <w:rPr>
                <w:rFonts w:cs="Arial"/>
              </w:rPr>
              <w:t xml:space="preserve">perators </w:t>
            </w:r>
            <w:r>
              <w:rPr>
                <w:rFonts w:cs="Arial"/>
              </w:rPr>
              <w:t xml:space="preserve">hold spectrum licence </w:t>
            </w:r>
            <w:r w:rsidRPr="008C5BE9">
              <w:rPr>
                <w:rFonts w:cs="Arial"/>
              </w:rPr>
              <w:t>(for example, Telstra, Optus, TPG).</w:t>
            </w:r>
          </w:p>
        </w:tc>
        <w:tc>
          <w:tcPr>
            <w:tcW w:w="0" w:type="pct"/>
          </w:tcPr>
          <w:p w14:paraId="317363AA" w14:textId="77777777" w:rsidR="00230B9A" w:rsidRPr="008C5BE9" w:rsidRDefault="00230B9A" w:rsidP="00B821D5">
            <w:pPr>
              <w:pStyle w:val="TableBody"/>
              <w:keepNext/>
              <w:rPr>
                <w:rFonts w:cs="Arial"/>
              </w:rPr>
            </w:pPr>
            <w:r>
              <w:rPr>
                <w:rFonts w:cs="Arial"/>
              </w:rPr>
              <w:t>The company or o</w:t>
            </w:r>
            <w:r w:rsidRPr="008C5BE9">
              <w:rPr>
                <w:rFonts w:cs="Arial"/>
              </w:rPr>
              <w:t xml:space="preserve">rganisation </w:t>
            </w:r>
            <w:r>
              <w:rPr>
                <w:rFonts w:cs="Arial"/>
              </w:rPr>
              <w:t>holds</w:t>
            </w:r>
            <w:r w:rsidRPr="008C5BE9">
              <w:rPr>
                <w:rFonts w:cs="Arial"/>
              </w:rPr>
              <w:t xml:space="preserve"> the spectrum </w:t>
            </w:r>
            <w:r>
              <w:rPr>
                <w:rFonts w:cs="Arial"/>
              </w:rPr>
              <w:t xml:space="preserve">access arrangements </w:t>
            </w:r>
            <w:r w:rsidRPr="008C5BE9">
              <w:rPr>
                <w:rFonts w:cs="Arial"/>
              </w:rPr>
              <w:t xml:space="preserve">or </w:t>
            </w:r>
            <w:r>
              <w:rPr>
                <w:rFonts w:cs="Arial"/>
              </w:rPr>
              <w:t>pays for</w:t>
            </w:r>
            <w:r w:rsidRPr="008C5BE9">
              <w:rPr>
                <w:rFonts w:cs="Arial"/>
              </w:rPr>
              <w:t xml:space="preserve"> exclusive use of spectrum</w:t>
            </w:r>
            <w:r>
              <w:rPr>
                <w:rFonts w:cs="Arial"/>
              </w:rPr>
              <w:t xml:space="preserve"> allocation</w:t>
            </w:r>
            <w:r w:rsidRPr="008C5BE9">
              <w:rPr>
                <w:rFonts w:cs="Arial"/>
              </w:rPr>
              <w:t>.</w:t>
            </w:r>
            <w:r>
              <w:rPr>
                <w:rFonts w:cs="Arial"/>
              </w:rPr>
              <w:t xml:space="preserve"> </w:t>
            </w:r>
          </w:p>
        </w:tc>
      </w:tr>
      <w:tr w:rsidR="00230B9A" w:rsidRPr="008C5BE9" w14:paraId="608A4713" w14:textId="77777777" w:rsidTr="0031294A">
        <w:trPr>
          <w:cnfStyle w:val="000000100000" w:firstRow="0" w:lastRow="0" w:firstColumn="0" w:lastColumn="0" w:oddVBand="0" w:evenVBand="0" w:oddHBand="1" w:evenHBand="0" w:firstRowFirstColumn="0" w:firstRowLastColumn="0" w:lastRowFirstColumn="0" w:lastRowLastColumn="0"/>
          <w:trHeight w:val="510"/>
        </w:trPr>
        <w:tc>
          <w:tcPr>
            <w:tcW w:w="0" w:type="pct"/>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48E153F" w14:textId="77777777" w:rsidR="00230B9A" w:rsidRPr="008C5BE9" w:rsidRDefault="00230B9A" w:rsidP="00B821D5">
            <w:pPr>
              <w:pStyle w:val="TableBody"/>
              <w:keepNext/>
              <w:rPr>
                <w:rFonts w:cs="Arial"/>
              </w:rPr>
            </w:pPr>
            <w:r>
              <w:rPr>
                <w:rFonts w:cs="Arial"/>
              </w:rPr>
              <w:t xml:space="preserve">Network is designed to maximise coverage and capacity for entire user base. </w:t>
            </w:r>
          </w:p>
        </w:tc>
        <w:tc>
          <w:tcPr>
            <w:tcW w:w="0" w:type="pct"/>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9D1CBF4" w14:textId="77777777" w:rsidR="00230B9A" w:rsidRPr="008C5BE9" w:rsidRDefault="00230B9A" w:rsidP="00B821D5">
            <w:pPr>
              <w:pStyle w:val="TableBody"/>
              <w:keepNext/>
              <w:rPr>
                <w:rFonts w:cs="Arial"/>
              </w:rPr>
            </w:pPr>
            <w:r>
              <w:rPr>
                <w:rFonts w:cs="Arial"/>
              </w:rPr>
              <w:t>Network is designed for bespoke downlink and uplink speeds, ideal latency, equipment prioritisation and total property coverage.</w:t>
            </w:r>
          </w:p>
        </w:tc>
      </w:tr>
      <w:tr w:rsidR="00230B9A" w:rsidRPr="008C5BE9" w14:paraId="3468E319" w14:textId="77777777" w:rsidTr="005E38DD">
        <w:trPr>
          <w:cnfStyle w:val="000000010000" w:firstRow="0" w:lastRow="0" w:firstColumn="0" w:lastColumn="0" w:oddVBand="0" w:evenVBand="0" w:oddHBand="0" w:evenHBand="1" w:firstRowFirstColumn="0" w:firstRowLastColumn="0" w:lastRowFirstColumn="0" w:lastRowLastColumn="0"/>
          <w:trHeight w:val="510"/>
        </w:trPr>
        <w:tc>
          <w:tcPr>
            <w:tcW w:w="0" w:type="pct"/>
          </w:tcPr>
          <w:p w14:paraId="33D59246" w14:textId="77777777" w:rsidR="00230B9A" w:rsidRPr="008C5BE9" w:rsidRDefault="00230B9A" w:rsidP="00B821D5">
            <w:pPr>
              <w:pStyle w:val="TableBody"/>
              <w:keepNext/>
              <w:rPr>
                <w:rFonts w:cs="Arial"/>
              </w:rPr>
            </w:pPr>
            <w:r>
              <w:rPr>
                <w:rFonts w:cs="Arial"/>
              </w:rPr>
              <w:t>Network purpose is to maximise revenue from selling mobile services to as many customers as possible.</w:t>
            </w:r>
          </w:p>
        </w:tc>
        <w:tc>
          <w:tcPr>
            <w:tcW w:w="0" w:type="pct"/>
          </w:tcPr>
          <w:p w14:paraId="23595043" w14:textId="7B68B2D8" w:rsidR="00230B9A" w:rsidRPr="008C5BE9" w:rsidRDefault="00230B9A" w:rsidP="00B821D5">
            <w:pPr>
              <w:pStyle w:val="TableBody"/>
              <w:keepNext/>
              <w:rPr>
                <w:rFonts w:cs="Arial"/>
              </w:rPr>
            </w:pPr>
            <w:r>
              <w:rPr>
                <w:rFonts w:cs="Arial"/>
              </w:rPr>
              <w:t>Network purpose is to support the controlling business’</w:t>
            </w:r>
            <w:r w:rsidR="00861081">
              <w:rPr>
                <w:rFonts w:cs="Arial"/>
              </w:rPr>
              <w:t>s</w:t>
            </w:r>
            <w:r>
              <w:rPr>
                <w:rFonts w:cs="Arial"/>
              </w:rPr>
              <w:t xml:space="preserve"> operations</w:t>
            </w:r>
            <w:r w:rsidR="00861081">
              <w:rPr>
                <w:rFonts w:cs="Arial"/>
              </w:rPr>
              <w:t xml:space="preserve"> a</w:t>
            </w:r>
            <w:r>
              <w:rPr>
                <w:rFonts w:cs="Arial"/>
              </w:rPr>
              <w:t xml:space="preserve">nd create a secure network with tightly controlled access. </w:t>
            </w:r>
          </w:p>
        </w:tc>
      </w:tr>
      <w:tr w:rsidR="00230B9A" w:rsidRPr="008C5BE9" w14:paraId="54F08244" w14:textId="77777777" w:rsidTr="005E38DD">
        <w:trPr>
          <w:cnfStyle w:val="000000100000" w:firstRow="0" w:lastRow="0" w:firstColumn="0" w:lastColumn="0" w:oddVBand="0" w:evenVBand="0" w:oddHBand="1" w:evenHBand="0" w:firstRowFirstColumn="0" w:firstRowLastColumn="0" w:lastRowFirstColumn="0" w:lastRowLastColumn="0"/>
          <w:trHeight w:val="510"/>
        </w:trPr>
        <w:tc>
          <w:tcPr>
            <w:tcW w:w="0" w:type="pct"/>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6DCF7DF" w14:textId="77777777" w:rsidR="00230B9A" w:rsidRPr="008C5BE9" w:rsidRDefault="00230B9A" w:rsidP="00B821D5">
            <w:pPr>
              <w:pStyle w:val="TableBody"/>
              <w:keepNext/>
              <w:rPr>
                <w:rFonts w:cs="Arial"/>
              </w:rPr>
            </w:pPr>
            <w:r>
              <w:rPr>
                <w:rFonts w:cs="Arial"/>
              </w:rPr>
              <w:t xml:space="preserve">Mobile network operator manages network infrastructure and equipment. </w:t>
            </w:r>
          </w:p>
        </w:tc>
        <w:tc>
          <w:tcPr>
            <w:tcW w:w="0" w:type="pct"/>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61DEBEB" w14:textId="77777777" w:rsidR="00230B9A" w:rsidRPr="008C5BE9" w:rsidRDefault="00230B9A" w:rsidP="00B821D5">
            <w:pPr>
              <w:pStyle w:val="TableBody"/>
              <w:keepNext/>
              <w:rPr>
                <w:rFonts w:cs="Arial"/>
              </w:rPr>
            </w:pPr>
            <w:r>
              <w:rPr>
                <w:rFonts w:cs="Arial"/>
              </w:rPr>
              <w:t xml:space="preserve">Company or organisation responsible for all network equipment and hardware. </w:t>
            </w:r>
          </w:p>
        </w:tc>
      </w:tr>
    </w:tbl>
    <w:p w14:paraId="29C25A20" w14:textId="77777777" w:rsidR="00230B9A" w:rsidRPr="00A325EC" w:rsidRDefault="00230B9A" w:rsidP="00230B9A">
      <w:pPr>
        <w:pStyle w:val="Tableorfigurenote"/>
      </w:pPr>
      <w:bookmarkStart w:id="11" w:name="_Toc130304847"/>
      <w:r w:rsidRPr="00A325EC">
        <w:t>Source: ACMA</w:t>
      </w:r>
    </w:p>
    <w:p w14:paraId="200834ED" w14:textId="1A2BD01B" w:rsidR="00230B9A" w:rsidRDefault="00861081" w:rsidP="00230B9A">
      <w:pPr>
        <w:pStyle w:val="Paragraph"/>
      </w:pPr>
      <w:r>
        <w:t>T</w:t>
      </w:r>
      <w:r w:rsidR="00230B9A" w:rsidRPr="008C5BE9">
        <w:t xml:space="preserve">he Australian </w:t>
      </w:r>
      <w:r w:rsidR="00230B9A">
        <w:t>private wireless network</w:t>
      </w:r>
      <w:r w:rsidR="00230B9A" w:rsidRPr="008C5BE9">
        <w:t xml:space="preserve"> market </w:t>
      </w:r>
      <w:r>
        <w:t xml:space="preserve">was valued </w:t>
      </w:r>
      <w:r w:rsidR="00230B9A" w:rsidRPr="008C5BE9">
        <w:t>at $130</w:t>
      </w:r>
      <w:r w:rsidR="00230B9A">
        <w:t> </w:t>
      </w:r>
      <w:r w:rsidR="00230B9A" w:rsidRPr="008C5BE9">
        <w:t>million in 2021.</w:t>
      </w:r>
      <w:r w:rsidR="00230B9A">
        <w:t xml:space="preserve"> </w:t>
      </w:r>
      <w:r w:rsidR="00230B9A" w:rsidRPr="008C5BE9">
        <w:t>It</w:t>
      </w:r>
      <w:r>
        <w:t>’s</w:t>
      </w:r>
      <w:r w:rsidR="00230B9A" w:rsidRPr="008C5BE9">
        <w:t xml:space="preserve"> </w:t>
      </w:r>
      <w:r w:rsidR="00230B9A">
        <w:t>predict</w:t>
      </w:r>
      <w:r>
        <w:t>ed that</w:t>
      </w:r>
      <w:r w:rsidR="00230B9A">
        <w:t xml:space="preserve"> t</w:t>
      </w:r>
      <w:r w:rsidR="00230B9A" w:rsidRPr="008C5BE9">
        <w:t xml:space="preserve">he market </w:t>
      </w:r>
      <w:r w:rsidR="00230B9A">
        <w:t>will</w:t>
      </w:r>
      <w:r w:rsidR="00230B9A" w:rsidRPr="008C5BE9">
        <w:t xml:space="preserve"> grow nearly 30% annually over the next 5 years to be worth $695 million by 2027.</w:t>
      </w:r>
      <w:r w:rsidR="00230B9A" w:rsidRPr="008C5BE9">
        <w:rPr>
          <w:rStyle w:val="FootnoteReference"/>
        </w:rPr>
        <w:footnoteReference w:id="8"/>
      </w:r>
      <w:r w:rsidR="00230B9A" w:rsidRPr="008C5BE9">
        <w:t xml:space="preserve"> </w:t>
      </w:r>
      <w:r w:rsidR="00230B9A">
        <w:t>However</w:t>
      </w:r>
      <w:r w:rsidR="00F8204C">
        <w:t>,</w:t>
      </w:r>
      <w:r w:rsidR="00230B9A">
        <w:t xml:space="preserve"> the rate of deployment will depend on both business demand for automation and access to spectrum. </w:t>
      </w:r>
    </w:p>
    <w:p w14:paraId="75E31D85" w14:textId="15CD4BFF" w:rsidR="00230B9A" w:rsidRPr="008C5BE9" w:rsidRDefault="00230B9A" w:rsidP="005D4475">
      <w:pPr>
        <w:pStyle w:val="Figureheading"/>
        <w:spacing w:after="0"/>
      </w:pPr>
      <w:r w:rsidRPr="008C5BE9">
        <w:t xml:space="preserve">Forecast for Australian </w:t>
      </w:r>
      <w:r>
        <w:t>private wireless network</w:t>
      </w:r>
      <w:r w:rsidRPr="008C5BE9">
        <w:t xml:space="preserve"> market 2022</w:t>
      </w:r>
      <w:r w:rsidR="00861081">
        <w:t>–</w:t>
      </w:r>
      <w:r w:rsidRPr="008C5BE9">
        <w:t>27 in A</w:t>
      </w:r>
      <w:r>
        <w:t>ustralian dollars</w:t>
      </w:r>
      <w:r w:rsidRPr="008C5BE9">
        <w:t xml:space="preserve"> </w:t>
      </w:r>
      <w:r>
        <w:t>(</w:t>
      </w:r>
      <w:r w:rsidRPr="008C5BE9">
        <w:t>million</w:t>
      </w:r>
      <w:r>
        <w:t>s)</w:t>
      </w:r>
    </w:p>
    <w:p w14:paraId="24F064B7" w14:textId="77777777" w:rsidR="00230B9A" w:rsidRPr="008C5BE9" w:rsidRDefault="00230B9A" w:rsidP="00230B9A">
      <w:pPr>
        <w:pStyle w:val="ACMANormalTabbed"/>
        <w:keepLines/>
        <w:spacing w:after="0"/>
        <w:rPr>
          <w:rFonts w:cs="Arial"/>
        </w:rPr>
      </w:pPr>
      <w:r>
        <w:rPr>
          <w:noProof/>
        </w:rPr>
        <w:drawing>
          <wp:inline distT="0" distB="0" distL="0" distR="0" wp14:anchorId="078DF7AD" wp14:editId="5EB36B78">
            <wp:extent cx="4781550" cy="2124075"/>
            <wp:effectExtent l="0" t="0" r="0" b="0"/>
            <wp:docPr id="53" name="Chart 53" descr="Bar chart showing $88.0 million in 2020, $130.0 million in 2021, $187.3 million in 2022, $242.2 million in 2023, $314.4 million in 2024, $409.0 million in 2025, $533.0 million in 2026, $694.7 million in 2027.">
              <a:extLst xmlns:a="http://schemas.openxmlformats.org/drawingml/2006/main">
                <a:ext uri="{FF2B5EF4-FFF2-40B4-BE49-F238E27FC236}">
                  <a16:creationId xmlns:a16="http://schemas.microsoft.com/office/drawing/2014/main" id="{FD5D514C-F922-18E8-1042-43428681A22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14:paraId="35547B73" w14:textId="726C435F" w:rsidR="00230B9A" w:rsidRPr="00BB41E6" w:rsidRDefault="00230B9A" w:rsidP="00230B9A">
      <w:pPr>
        <w:pStyle w:val="Tableorfigurenote"/>
        <w:rPr>
          <w:szCs w:val="16"/>
        </w:rPr>
      </w:pPr>
      <w:r w:rsidRPr="008C5BE9">
        <w:rPr>
          <w:szCs w:val="16"/>
        </w:rPr>
        <w:t xml:space="preserve">Source: Mordor Intelligence, </w:t>
      </w:r>
      <w:r w:rsidRPr="00981B64">
        <w:rPr>
          <w:szCs w:val="16"/>
          <w:u w:color="0000FF"/>
        </w:rPr>
        <w:t>Australian Private wireless network Landscape (2022-2027) Report</w:t>
      </w:r>
      <w:r>
        <w:rPr>
          <w:szCs w:val="16"/>
        </w:rPr>
        <w:t>.</w:t>
      </w:r>
    </w:p>
    <w:p w14:paraId="0510C2BF" w14:textId="4329F3B1" w:rsidR="00230B9A" w:rsidRDefault="00230B9A" w:rsidP="005D4475">
      <w:pPr>
        <w:keepNext/>
        <w:keepLines/>
        <w:rPr>
          <w:rFonts w:cs="Arial"/>
        </w:rPr>
      </w:pPr>
      <w:r>
        <w:rPr>
          <w:rFonts w:cs="Arial"/>
        </w:rPr>
        <w:t xml:space="preserve">In comparison, the public mobile network service market is significantly </w:t>
      </w:r>
      <w:r w:rsidR="00A31A03">
        <w:rPr>
          <w:rFonts w:cs="Arial"/>
        </w:rPr>
        <w:t>greater</w:t>
      </w:r>
      <w:r w:rsidR="000E657D">
        <w:rPr>
          <w:rFonts w:cs="Arial"/>
        </w:rPr>
        <w:t xml:space="preserve"> </w:t>
      </w:r>
      <w:r>
        <w:rPr>
          <w:rFonts w:cs="Arial"/>
        </w:rPr>
        <w:t>– worth $12.4 billion in 2021 and expected to grow to $14.7 billion in the same period.</w:t>
      </w:r>
      <w:r>
        <w:rPr>
          <w:rStyle w:val="FootnoteReference"/>
          <w:rFonts w:cs="Arial"/>
        </w:rPr>
        <w:footnoteReference w:id="9"/>
      </w:r>
      <w:r>
        <w:rPr>
          <w:rFonts w:cs="Arial"/>
        </w:rPr>
        <w:t xml:space="preserve"> </w:t>
      </w:r>
    </w:p>
    <w:p w14:paraId="7141BC10" w14:textId="3FBE173B" w:rsidR="00540EB5" w:rsidRDefault="00230B9A" w:rsidP="005D4475">
      <w:pPr>
        <w:pStyle w:val="Paragraph"/>
        <w:keepNext/>
        <w:keepLines/>
      </w:pPr>
      <w:r>
        <w:t>The enterprise ICT market is even larger – worth $58.3 billion in 2021 and expected to reach $82.9 billion by 2026</w:t>
      </w:r>
      <w:r w:rsidR="00983187">
        <w:t>,</w:t>
      </w:r>
      <w:r>
        <w:t xml:space="preserve"> with networking worth $5.6 billion.</w:t>
      </w:r>
      <w:r>
        <w:rPr>
          <w:rStyle w:val="FootnoteReference"/>
        </w:rPr>
        <w:footnoteReference w:id="10"/>
      </w:r>
      <w:r>
        <w:t xml:space="preserve">  </w:t>
      </w:r>
    </w:p>
    <w:p w14:paraId="1AD5D167" w14:textId="36059996" w:rsidR="00230B9A" w:rsidRDefault="00B244F9" w:rsidP="00540EB5">
      <w:pPr>
        <w:pStyle w:val="Paragraph"/>
      </w:pPr>
      <w:r>
        <w:t>Market analysts</w:t>
      </w:r>
      <w:r w:rsidR="00540EB5">
        <w:t xml:space="preserve"> expect to see automation and assistive technologies become more prevalent in manufacturing, healthcare and logistics</w:t>
      </w:r>
      <w:r>
        <w:t xml:space="preserve">, </w:t>
      </w:r>
      <w:r w:rsidR="00540EB5">
        <w:t>not</w:t>
      </w:r>
      <w:r>
        <w:t>ing</w:t>
      </w:r>
      <w:r w:rsidR="00540EB5">
        <w:t xml:space="preserve"> the competitive landscape keeps changing as telecom operators, system integrators and vendors jostle for the role of private wireless network supplier.</w:t>
      </w:r>
      <w:r w:rsidRPr="00283E82">
        <w:rPr>
          <w:rStyle w:val="FootnoteReference"/>
          <w:szCs w:val="20"/>
        </w:rPr>
        <w:footnoteReference w:id="11"/>
      </w:r>
    </w:p>
    <w:p w14:paraId="17CF29E6" w14:textId="77777777" w:rsidR="00230B9A" w:rsidRPr="008C5BE9" w:rsidDel="00521391" w:rsidRDefault="00230B9A" w:rsidP="00230B9A">
      <w:pPr>
        <w:pStyle w:val="Heading2"/>
      </w:pPr>
      <w:bookmarkStart w:id="12" w:name="_Toc139373148"/>
      <w:bookmarkStart w:id="13" w:name="_Toc146022984"/>
      <w:r w:rsidRPr="008C5BE9">
        <w:t xml:space="preserve">Why use private </w:t>
      </w:r>
      <w:r>
        <w:t xml:space="preserve">wireless </w:t>
      </w:r>
      <w:r w:rsidRPr="008C5BE9">
        <w:t>networks?</w:t>
      </w:r>
      <w:bookmarkEnd w:id="11"/>
      <w:bookmarkEnd w:id="12"/>
      <w:bookmarkEnd w:id="13"/>
    </w:p>
    <w:p w14:paraId="15EE53FB" w14:textId="77777777" w:rsidR="00A27131" w:rsidRDefault="002A3A95" w:rsidP="00E70D9D">
      <w:pPr>
        <w:pStyle w:val="Paragraph"/>
      </w:pPr>
      <w:r>
        <w:t>Most b</w:t>
      </w:r>
      <w:r w:rsidR="00642A6F">
        <w:t xml:space="preserve">usinesses and organisations need </w:t>
      </w:r>
      <w:r w:rsidR="00A27131">
        <w:t xml:space="preserve">a </w:t>
      </w:r>
      <w:r w:rsidR="00E131D8">
        <w:t xml:space="preserve">fixed or wireless </w:t>
      </w:r>
      <w:r w:rsidR="00A27131">
        <w:t xml:space="preserve">internet </w:t>
      </w:r>
      <w:r w:rsidR="00642A6F">
        <w:t>connecti</w:t>
      </w:r>
      <w:r w:rsidR="00A27131">
        <w:t>on</w:t>
      </w:r>
      <w:r w:rsidR="00642A6F">
        <w:t xml:space="preserve"> </w:t>
      </w:r>
      <w:r>
        <w:t>for telecommunications and data</w:t>
      </w:r>
      <w:r w:rsidR="00E131D8">
        <w:t xml:space="preserve">. But not all of them will need a private wireless network. </w:t>
      </w:r>
    </w:p>
    <w:p w14:paraId="5470C4AF" w14:textId="772CD9A6" w:rsidR="00642A6F" w:rsidRDefault="0046587C" w:rsidP="00E70D9D">
      <w:pPr>
        <w:pStyle w:val="Paragraph"/>
      </w:pPr>
      <w:r>
        <w:t>T</w:t>
      </w:r>
      <w:r w:rsidR="00F75BE6">
        <w:t>he</w:t>
      </w:r>
      <w:r w:rsidR="00A27131">
        <w:t xml:space="preserve"> primary purpose of a private network is to manage stationary and mobile assets interacting in a dynamic and real-time environment.</w:t>
      </w:r>
      <w:r w:rsidR="00A27131">
        <w:rPr>
          <w:rStyle w:val="FootnoteReference"/>
        </w:rPr>
        <w:footnoteReference w:id="12"/>
      </w:r>
    </w:p>
    <w:p w14:paraId="018708FE" w14:textId="4D19AD20" w:rsidR="00230B9A" w:rsidRDefault="005643AC" w:rsidP="00E70D9D">
      <w:pPr>
        <w:pStyle w:val="Paragraph"/>
      </w:pPr>
      <w:r>
        <w:t xml:space="preserve">For example, a company </w:t>
      </w:r>
      <w:r w:rsidR="00F80946">
        <w:t xml:space="preserve">may </w:t>
      </w:r>
      <w:r>
        <w:t xml:space="preserve">want to </w:t>
      </w:r>
      <w:r w:rsidR="00562234">
        <w:t>connect</w:t>
      </w:r>
      <w:r w:rsidR="0021158A">
        <w:t xml:space="preserve"> </w:t>
      </w:r>
      <w:r>
        <w:t>hundreds of wireless devices</w:t>
      </w:r>
      <w:r w:rsidR="0021158A">
        <w:t xml:space="preserve"> </w:t>
      </w:r>
      <w:r w:rsidR="00562234">
        <w:t xml:space="preserve">to a single network, </w:t>
      </w:r>
      <w:r w:rsidR="0021158A">
        <w:t xml:space="preserve">or to </w:t>
      </w:r>
      <w:r w:rsidR="00562234">
        <w:t xml:space="preserve">constantly monitor </w:t>
      </w:r>
      <w:r w:rsidR="00A27131">
        <w:t>equipment and conditions</w:t>
      </w:r>
      <w:r w:rsidR="00A0702B">
        <w:t xml:space="preserve"> using remote sensors</w:t>
      </w:r>
      <w:r w:rsidR="00A27131">
        <w:t xml:space="preserve">. </w:t>
      </w:r>
      <w:r w:rsidR="00A0702B">
        <w:t>D</w:t>
      </w:r>
      <w:r w:rsidR="00A0702B" w:rsidRPr="008C5BE9">
        <w:t xml:space="preserve">emand for dedicated private </w:t>
      </w:r>
      <w:r w:rsidR="00A0702B">
        <w:t xml:space="preserve">wireless </w:t>
      </w:r>
      <w:r w:rsidR="00A0702B" w:rsidRPr="008C5BE9">
        <w:t xml:space="preserve">networks will be driven by the </w:t>
      </w:r>
      <w:r w:rsidR="00A0702B">
        <w:t>importance</w:t>
      </w:r>
      <w:r w:rsidR="00A0702B" w:rsidRPr="008C5BE9">
        <w:t xml:space="preserve"> of </w:t>
      </w:r>
      <w:r w:rsidR="00A0702B">
        <w:t xml:space="preserve">automation and </w:t>
      </w:r>
      <w:r w:rsidR="00A0702B" w:rsidRPr="008C5BE9">
        <w:t>wireless networking to enterprises.</w:t>
      </w:r>
    </w:p>
    <w:p w14:paraId="3470A0BC" w14:textId="31CEE47C" w:rsidR="00230B9A" w:rsidRDefault="0035258B" w:rsidP="00E70D9D">
      <w:pPr>
        <w:pStyle w:val="Paragraph"/>
      </w:pPr>
      <w:r>
        <w:t xml:space="preserve">Another </w:t>
      </w:r>
      <w:r w:rsidR="00230B9A">
        <w:t xml:space="preserve">benefit is </w:t>
      </w:r>
      <w:r w:rsidR="00B244F9">
        <w:t xml:space="preserve">that </w:t>
      </w:r>
      <w:r w:rsidR="00230B9A">
        <w:t>companies can</w:t>
      </w:r>
      <w:r w:rsidR="00230B9A" w:rsidRPr="005D2607">
        <w:t xml:space="preserve"> set the network’s deployment timetable</w:t>
      </w:r>
      <w:r w:rsidR="00230B9A">
        <w:t xml:space="preserve"> and specific </w:t>
      </w:r>
      <w:r w:rsidR="00230B9A" w:rsidRPr="005D2607">
        <w:t>coverage</w:t>
      </w:r>
      <w:r w:rsidR="00230B9A">
        <w:t xml:space="preserve"> area. A</w:t>
      </w:r>
      <w:r w:rsidR="00230B9A" w:rsidRPr="005D2607">
        <w:t xml:space="preserve"> private </w:t>
      </w:r>
      <w:r w:rsidR="00230B9A">
        <w:t>wireless network can</w:t>
      </w:r>
      <w:r w:rsidR="00230B9A" w:rsidRPr="005D2607">
        <w:t>, in some cases, be assembled in a matter of hours</w:t>
      </w:r>
      <w:r w:rsidR="00230B9A">
        <w:t xml:space="preserve"> using small cells or drones.</w:t>
      </w:r>
      <w:r w:rsidR="00230B9A">
        <w:rPr>
          <w:rStyle w:val="FootnoteReference"/>
        </w:rPr>
        <w:footnoteReference w:id="13"/>
      </w:r>
      <w:r w:rsidR="00230B9A">
        <w:t xml:space="preserve"> </w:t>
      </w:r>
    </w:p>
    <w:p w14:paraId="42E96433" w14:textId="451D5C90" w:rsidR="00230B9A" w:rsidRDefault="00F75BE6" w:rsidP="00450072">
      <w:r>
        <w:t>It is worth noting t</w:t>
      </w:r>
      <w:r w:rsidR="00230B9A" w:rsidRPr="00D84177">
        <w:t>he geographic location and</w:t>
      </w:r>
      <w:r w:rsidR="00230B9A">
        <w:t xml:space="preserve"> type of property occupied by </w:t>
      </w:r>
      <w:r w:rsidR="00230B9A" w:rsidRPr="009122D3">
        <w:t xml:space="preserve">an organisation or business will </w:t>
      </w:r>
      <w:r w:rsidR="00230B9A">
        <w:t xml:space="preserve">also </w:t>
      </w:r>
      <w:r w:rsidR="00230B9A" w:rsidRPr="009122D3">
        <w:t xml:space="preserve">influence deployment and whether a private mobile network is possible or needed at all. </w:t>
      </w:r>
    </w:p>
    <w:p w14:paraId="0EB5C4A8" w14:textId="481F890D" w:rsidR="00230B9A" w:rsidRPr="00230B9A" w:rsidRDefault="00230B9A" w:rsidP="0046587C">
      <w:pPr>
        <w:pStyle w:val="Paragraphbeforelist"/>
        <w:keepNext/>
        <w:keepLines/>
      </w:pPr>
      <w:r>
        <w:t>Key</w:t>
      </w:r>
      <w:r w:rsidRPr="008C5BE9">
        <w:t xml:space="preserve"> advantages of a dedicated </w:t>
      </w:r>
      <w:r>
        <w:t>4G/</w:t>
      </w:r>
      <w:r w:rsidR="00C54241">
        <w:t xml:space="preserve">LTE </w:t>
      </w:r>
      <w:r>
        <w:t xml:space="preserve">or </w:t>
      </w:r>
      <w:r w:rsidRPr="008C5BE9">
        <w:t>5G private wireless network include:</w:t>
      </w:r>
    </w:p>
    <w:p w14:paraId="6E46297C" w14:textId="77777777" w:rsidR="00230B9A" w:rsidRPr="0046587C" w:rsidRDefault="00230B9A" w:rsidP="0046587C">
      <w:pPr>
        <w:pStyle w:val="Bulletlevel1"/>
        <w:keepNext/>
        <w:keepLines/>
        <w:rPr>
          <w:vertAlign w:val="superscript"/>
        </w:rPr>
      </w:pPr>
      <w:r w:rsidRPr="00D24411">
        <w:t xml:space="preserve">automating operations </w:t>
      </w:r>
      <w:r w:rsidRPr="00230B9A">
        <w:t>through wireless connectivity and removing cabling inside a factory or industrial setting</w:t>
      </w:r>
      <w:r w:rsidRPr="0046587C">
        <w:rPr>
          <w:rStyle w:val="FootnoteReference"/>
        </w:rPr>
        <w:footnoteReference w:id="14"/>
      </w:r>
    </w:p>
    <w:p w14:paraId="14B26CB1" w14:textId="77777777" w:rsidR="00230B9A" w:rsidRPr="00230B9A" w:rsidRDefault="00230B9A" w:rsidP="0046587C">
      <w:pPr>
        <w:pStyle w:val="Bulletlevel1"/>
        <w:keepNext/>
        <w:keepLines/>
      </w:pPr>
      <w:r w:rsidRPr="00230B9A">
        <w:t>network reliability up to 99.999% for organisations that need complete control over provisioning to meet service level needs</w:t>
      </w:r>
      <w:r w:rsidRPr="0046587C">
        <w:rPr>
          <w:vertAlign w:val="superscript"/>
        </w:rPr>
        <w:footnoteReference w:id="15"/>
      </w:r>
    </w:p>
    <w:p w14:paraId="1C00727B" w14:textId="6E1EFDB2" w:rsidR="00230B9A" w:rsidRPr="00230B9A" w:rsidRDefault="00230B9A" w:rsidP="0046587C">
      <w:pPr>
        <w:pStyle w:val="Bulletlevel1"/>
        <w:keepNext/>
        <w:keepLines/>
      </w:pPr>
      <w:r w:rsidRPr="00230B9A">
        <w:t xml:space="preserve">high-capacity low latency network connecting thousands of devices – known as the Internet of Things </w:t>
      </w:r>
      <w:r w:rsidR="00000110">
        <w:t>(IoT)</w:t>
      </w:r>
      <w:r w:rsidRPr="00230B9A">
        <w:t xml:space="preserve">– supporting higher levels of automation and seamless </w:t>
      </w:r>
      <w:proofErr w:type="gramStart"/>
      <w:r w:rsidRPr="00230B9A">
        <w:t>coordination</w:t>
      </w:r>
      <w:proofErr w:type="gramEnd"/>
    </w:p>
    <w:p w14:paraId="5834AAA7" w14:textId="77777777" w:rsidR="00230B9A" w:rsidRPr="00230B9A" w:rsidRDefault="00230B9A" w:rsidP="0046587C">
      <w:pPr>
        <w:pStyle w:val="Bulletlevel1"/>
        <w:keepNext/>
        <w:keepLines/>
      </w:pPr>
      <w:r w:rsidRPr="00230B9A">
        <w:t>bringing real-time analytics and computing as close as possible to autonomous equipment to reduce latency, particularly for remote enterprises</w:t>
      </w:r>
      <w:r w:rsidRPr="0046587C">
        <w:rPr>
          <w:rStyle w:val="FootnoteReference"/>
        </w:rPr>
        <w:footnoteReference w:id="16"/>
      </w:r>
      <w:r w:rsidRPr="00230B9A">
        <w:t xml:space="preserve"> (known as edge computing) </w:t>
      </w:r>
    </w:p>
    <w:p w14:paraId="7783BDED" w14:textId="77777777" w:rsidR="00230B9A" w:rsidRDefault="00230B9A" w:rsidP="0046587C">
      <w:pPr>
        <w:pStyle w:val="Bulletlevel1"/>
        <w:keepNext/>
        <w:keepLines/>
      </w:pPr>
      <w:r w:rsidRPr="00230B9A">
        <w:t>deplo</w:t>
      </w:r>
      <w:r w:rsidRPr="008C5BE9">
        <w:t>y</w:t>
      </w:r>
      <w:r>
        <w:t xml:space="preserve">ing </w:t>
      </w:r>
      <w:r w:rsidRPr="008C5BE9">
        <w:t>over a specific geographic location or locations</w:t>
      </w:r>
    </w:p>
    <w:p w14:paraId="141A3791" w14:textId="55F7AF52" w:rsidR="00230B9A" w:rsidRPr="00EF6F95" w:rsidRDefault="00230B9A" w:rsidP="0046587C">
      <w:pPr>
        <w:pStyle w:val="Bulletlevel1last"/>
        <w:keepNext/>
        <w:keepLines/>
      </w:pPr>
      <w:r>
        <w:t xml:space="preserve">gaining full control over network performance, which </w:t>
      </w:r>
      <w:r w:rsidRPr="00EF6F95">
        <w:t xml:space="preserve">reduces the risks involved with commercial contracts such as lock-in or holdout issues. </w:t>
      </w:r>
    </w:p>
    <w:p w14:paraId="4CD282ED" w14:textId="1243CAAE" w:rsidR="00230B9A" w:rsidRDefault="00230B9A" w:rsidP="00230B9A">
      <w:pPr>
        <w:pStyle w:val="Paragraph"/>
        <w:rPr>
          <w:lang w:val="en-SG"/>
        </w:rPr>
      </w:pPr>
      <w:r w:rsidRPr="008C5BE9">
        <w:rPr>
          <w:lang w:val="en-SG"/>
        </w:rPr>
        <w:t>Analysts</w:t>
      </w:r>
      <w:r>
        <w:rPr>
          <w:lang w:val="en-SG"/>
        </w:rPr>
        <w:t>, network managers</w:t>
      </w:r>
      <w:r w:rsidRPr="008C5BE9">
        <w:rPr>
          <w:lang w:val="en-SG"/>
        </w:rPr>
        <w:t xml:space="preserve"> and systems integrators</w:t>
      </w:r>
      <w:r>
        <w:rPr>
          <w:lang w:val="en-SG"/>
        </w:rPr>
        <w:t xml:space="preserve"> – companies that design and install networks on behalf of clients </w:t>
      </w:r>
      <w:r w:rsidR="008B53A5">
        <w:rPr>
          <w:lang w:val="en-SG"/>
        </w:rPr>
        <w:t xml:space="preserve">– </w:t>
      </w:r>
      <w:r w:rsidRPr="008C5BE9">
        <w:rPr>
          <w:lang w:val="en-SG"/>
        </w:rPr>
        <w:t>believe th</w:t>
      </w:r>
      <w:r>
        <w:rPr>
          <w:lang w:val="en-SG"/>
        </w:rPr>
        <w:t>e</w:t>
      </w:r>
      <w:r w:rsidRPr="008C5BE9">
        <w:rPr>
          <w:lang w:val="en-SG"/>
        </w:rPr>
        <w:t xml:space="preserve"> automation enabled by </w:t>
      </w:r>
      <w:r>
        <w:rPr>
          <w:lang w:val="en-SG"/>
        </w:rPr>
        <w:t>private wireless network</w:t>
      </w:r>
      <w:r w:rsidRPr="008C5BE9">
        <w:rPr>
          <w:lang w:val="en-SG"/>
        </w:rPr>
        <w:t xml:space="preserve">s will be </w:t>
      </w:r>
      <w:r>
        <w:rPr>
          <w:lang w:val="en-SG"/>
        </w:rPr>
        <w:t>the</w:t>
      </w:r>
      <w:r w:rsidRPr="008C5BE9">
        <w:rPr>
          <w:lang w:val="en-SG"/>
        </w:rPr>
        <w:t xml:space="preserve"> investment priority</w:t>
      </w:r>
      <w:r>
        <w:rPr>
          <w:lang w:val="en-SG"/>
        </w:rPr>
        <w:t>. This is particularly the case in Australia’s</w:t>
      </w:r>
      <w:r w:rsidRPr="008C5BE9">
        <w:rPr>
          <w:lang w:val="en-SG"/>
        </w:rPr>
        <w:t xml:space="preserve"> mining </w:t>
      </w:r>
      <w:r>
        <w:rPr>
          <w:lang w:val="en-SG"/>
        </w:rPr>
        <w:t xml:space="preserve">and resources </w:t>
      </w:r>
      <w:r w:rsidRPr="008C5BE9">
        <w:rPr>
          <w:lang w:val="en-SG"/>
        </w:rPr>
        <w:t>sector</w:t>
      </w:r>
      <w:r>
        <w:rPr>
          <w:lang w:val="en-SG"/>
        </w:rPr>
        <w:t>,</w:t>
      </w:r>
      <w:r w:rsidRPr="008C5BE9">
        <w:rPr>
          <w:lang w:val="en-SG"/>
        </w:rPr>
        <w:t xml:space="preserve"> which struggles with skills shortages.</w:t>
      </w:r>
      <w:r w:rsidRPr="008C5BE9">
        <w:rPr>
          <w:rStyle w:val="FootnoteReference"/>
          <w:lang w:val="en-SG"/>
        </w:rPr>
        <w:footnoteReference w:id="17"/>
      </w:r>
    </w:p>
    <w:p w14:paraId="0E0836B6" w14:textId="77777777" w:rsidR="008B53A5" w:rsidRDefault="00230B9A" w:rsidP="008B53A5">
      <w:pPr>
        <w:pStyle w:val="Paragraph"/>
      </w:pPr>
      <w:r>
        <w:rPr>
          <w:lang w:val="en-SG"/>
        </w:rPr>
        <w:t>An estimated 50 private wireless networks have been deployed in Australia to date, mostly in the mining and resources sector to digitalise operations, track assets such as heavy machinery, provide predictive maintenance and support autonomous driving.</w:t>
      </w:r>
      <w:r>
        <w:rPr>
          <w:rStyle w:val="FootnoteReference"/>
          <w:lang w:val="en-SG"/>
        </w:rPr>
        <w:footnoteReference w:id="18"/>
      </w:r>
      <w:r>
        <w:rPr>
          <w:lang w:val="en-SG"/>
        </w:rPr>
        <w:t xml:space="preserve"> There are also some deployments in ports and defence operations.</w:t>
      </w:r>
      <w:r>
        <w:rPr>
          <w:rStyle w:val="FootnoteReference"/>
          <w:lang w:val="en-SG"/>
        </w:rPr>
        <w:footnoteReference w:id="19"/>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7661"/>
      </w:tblGrid>
      <w:tr w:rsidR="008B53A5" w14:paraId="7F3F43A6" w14:textId="77777777" w:rsidTr="00316C74">
        <w:tc>
          <w:tcPr>
            <w:tcW w:w="7661" w:type="dxa"/>
            <w:shd w:val="clear" w:color="auto" w:fill="F2F2F2" w:themeFill="background1" w:themeFillShade="F2"/>
          </w:tcPr>
          <w:p w14:paraId="19B89FDF" w14:textId="77777777" w:rsidR="008B53A5" w:rsidRPr="00297E78" w:rsidRDefault="008B53A5" w:rsidP="0046587C">
            <w:pPr>
              <w:keepNext/>
              <w:keepLines/>
              <w:spacing w:before="120" w:after="120"/>
              <w:ind w:left="340" w:right="227"/>
              <w:rPr>
                <w:rFonts w:cs="Arial"/>
                <w:sz w:val="18"/>
                <w:szCs w:val="18"/>
                <w:lang w:eastAsia="en-GB"/>
              </w:rPr>
            </w:pPr>
            <w:r w:rsidRPr="00297E78">
              <w:rPr>
                <w:rFonts w:cs="Arial"/>
                <w:sz w:val="18"/>
                <w:szCs w:val="18"/>
                <w:lang w:eastAsia="en-GB"/>
              </w:rPr>
              <w:t xml:space="preserve">As the density and throughput of next-generation sensors and connected devices increases, there is growing demand on wireless connectivity to support the demands associated with Industry 4.0. </w:t>
            </w:r>
          </w:p>
          <w:p w14:paraId="5AD9F4F8" w14:textId="77777777" w:rsidR="008B53A5" w:rsidRPr="00297E78" w:rsidRDefault="008B53A5" w:rsidP="0046587C">
            <w:pPr>
              <w:keepNext/>
              <w:keepLines/>
              <w:spacing w:before="120" w:after="120"/>
              <w:ind w:left="340" w:right="227"/>
              <w:rPr>
                <w:rFonts w:cs="Arial"/>
                <w:sz w:val="18"/>
                <w:szCs w:val="18"/>
                <w:lang w:eastAsia="en-GB"/>
              </w:rPr>
            </w:pPr>
            <w:r w:rsidRPr="00297E78">
              <w:rPr>
                <w:rFonts w:cs="Arial"/>
                <w:sz w:val="18"/>
                <w:szCs w:val="18"/>
                <w:lang w:eastAsia="en-GB"/>
              </w:rPr>
              <w:t xml:space="preserve">The key driver of which wireless connectivity is selected is driven by the criticality of the data. </w:t>
            </w:r>
          </w:p>
          <w:p w14:paraId="7697A874" w14:textId="77777777" w:rsidR="008B53A5" w:rsidRPr="00297E78" w:rsidRDefault="008B53A5" w:rsidP="0046587C">
            <w:pPr>
              <w:keepNext/>
              <w:keepLines/>
              <w:spacing w:before="120" w:after="120"/>
              <w:ind w:left="340" w:right="227"/>
              <w:rPr>
                <w:rFonts w:cs="Arial"/>
                <w:sz w:val="18"/>
                <w:szCs w:val="18"/>
                <w:lang w:eastAsia="en-GB"/>
              </w:rPr>
            </w:pPr>
            <w:r w:rsidRPr="00297E78">
              <w:rPr>
                <w:rFonts w:cs="Arial"/>
                <w:sz w:val="18"/>
                <w:szCs w:val="18"/>
                <w:lang w:eastAsia="en-GB"/>
              </w:rPr>
              <w:t>The needs of low priority sensor data can be met by best efforts public networks</w:t>
            </w:r>
            <w:r>
              <w:rPr>
                <w:rFonts w:cs="Arial"/>
                <w:sz w:val="18"/>
                <w:szCs w:val="18"/>
                <w:lang w:eastAsia="en-GB"/>
              </w:rPr>
              <w:t>.</w:t>
            </w:r>
            <w:r w:rsidRPr="00297E78">
              <w:rPr>
                <w:rFonts w:cs="Arial"/>
                <w:sz w:val="18"/>
                <w:szCs w:val="18"/>
                <w:lang w:eastAsia="en-GB"/>
              </w:rPr>
              <w:t xml:space="preserve"> Here the data is not critical to operations and does not rely on there being a service level agreement (SLA) in place. </w:t>
            </w:r>
          </w:p>
          <w:p w14:paraId="33266C98" w14:textId="77777777" w:rsidR="008B53A5" w:rsidRPr="00297E78" w:rsidRDefault="008B53A5" w:rsidP="0046587C">
            <w:pPr>
              <w:keepNext/>
              <w:keepLines/>
              <w:spacing w:before="120" w:after="120"/>
              <w:ind w:left="340" w:right="227"/>
              <w:rPr>
                <w:rFonts w:cs="Arial"/>
                <w:sz w:val="18"/>
                <w:szCs w:val="18"/>
                <w:lang w:eastAsia="en-GB"/>
              </w:rPr>
            </w:pPr>
            <w:r w:rsidRPr="00297E78">
              <w:rPr>
                <w:rFonts w:cs="Arial"/>
                <w:sz w:val="18"/>
                <w:szCs w:val="18"/>
                <w:lang w:eastAsia="en-GB"/>
              </w:rPr>
              <w:t xml:space="preserve">High throughput, latency sensitive applications such as remote control and robotics leans heavily on the upper limit of 4G/5G performance. Where the end-user is in control of the network coverage and performance, service levels can be assured which significantly reduces operational risk. </w:t>
            </w:r>
          </w:p>
          <w:p w14:paraId="6420BFD5" w14:textId="77777777" w:rsidR="008B53A5" w:rsidRPr="00297E78" w:rsidRDefault="008B53A5" w:rsidP="0046587C">
            <w:pPr>
              <w:keepNext/>
              <w:keepLines/>
              <w:spacing w:before="120" w:after="120"/>
              <w:ind w:left="340" w:right="227"/>
              <w:rPr>
                <w:rFonts w:cs="Arial"/>
                <w:sz w:val="18"/>
                <w:szCs w:val="18"/>
                <w:lang w:eastAsia="en-GB"/>
              </w:rPr>
            </w:pPr>
            <w:r w:rsidRPr="00297E78">
              <w:rPr>
                <w:rFonts w:cs="Arial"/>
                <w:sz w:val="18"/>
                <w:szCs w:val="18"/>
                <w:lang w:eastAsia="en-GB"/>
              </w:rPr>
              <w:t xml:space="preserve">The more critical the data is for the organisation, the greater the appetite to absorb the associated premium of cost and resources to deliver that connectivity. </w:t>
            </w:r>
          </w:p>
          <w:p w14:paraId="576C4C8F" w14:textId="77777777" w:rsidR="008B53A5" w:rsidRDefault="008B53A5" w:rsidP="005E38DD">
            <w:pPr>
              <w:pStyle w:val="Paragraph"/>
              <w:keepNext/>
              <w:keepLines/>
              <w:spacing w:after="120"/>
              <w:ind w:left="340"/>
              <w:rPr>
                <w:sz w:val="18"/>
                <w:szCs w:val="18"/>
                <w:lang w:eastAsia="en-GB"/>
              </w:rPr>
            </w:pPr>
            <w:r w:rsidRPr="00297E78">
              <w:rPr>
                <w:sz w:val="18"/>
                <w:szCs w:val="18"/>
                <w:lang w:eastAsia="en-GB"/>
              </w:rPr>
              <w:t>Many variations of connectivity sit in-between these two ranges and it will be up to the end user or consumer of the data to decide on the most appropriate solution based on their interpretation of the criticality of the data.</w:t>
            </w:r>
          </w:p>
          <w:p w14:paraId="1313F233" w14:textId="5E474075" w:rsidR="008B53A5" w:rsidRPr="0046587C" w:rsidRDefault="008B53A5" w:rsidP="005E38DD">
            <w:pPr>
              <w:pStyle w:val="Paragraph"/>
              <w:keepNext/>
              <w:keepLines/>
              <w:spacing w:after="120"/>
              <w:ind w:left="340"/>
              <w:jc w:val="right"/>
              <w:rPr>
                <w:sz w:val="18"/>
                <w:szCs w:val="18"/>
                <w:lang w:eastAsia="en-GB"/>
              </w:rPr>
            </w:pPr>
            <w:r w:rsidRPr="00297E78">
              <w:t xml:space="preserve">Alan </w:t>
            </w:r>
            <w:proofErr w:type="spellStart"/>
            <w:r w:rsidRPr="00297E78">
              <w:t>Seery</w:t>
            </w:r>
            <w:proofErr w:type="spellEnd"/>
            <w:r w:rsidRPr="00297E78">
              <w:t xml:space="preserve">, </w:t>
            </w:r>
            <w:r>
              <w:t>Acting M</w:t>
            </w:r>
            <w:r w:rsidRPr="00297E78">
              <w:t xml:space="preserve">anaging </w:t>
            </w:r>
            <w:r>
              <w:t>D</w:t>
            </w:r>
            <w:r w:rsidRPr="00297E78">
              <w:t>irector</w:t>
            </w:r>
            <w:r w:rsidR="0042780B">
              <w:t>,</w:t>
            </w:r>
            <w:r w:rsidRPr="00297E78">
              <w:t xml:space="preserve"> </w:t>
            </w:r>
            <w:proofErr w:type="spellStart"/>
            <w:r w:rsidRPr="00297E78">
              <w:t>Aqura</w:t>
            </w:r>
            <w:proofErr w:type="spellEnd"/>
            <w:r w:rsidRPr="00297E78">
              <w:t xml:space="preserve"> Technologies</w:t>
            </w:r>
          </w:p>
        </w:tc>
      </w:tr>
    </w:tbl>
    <w:p w14:paraId="7E1AB6E5" w14:textId="77777777" w:rsidR="00230B9A" w:rsidRDefault="00230B9A" w:rsidP="00230B9A">
      <w:pPr>
        <w:pStyle w:val="Heading2"/>
      </w:pPr>
      <w:bookmarkStart w:id="14" w:name="_Case_study:_Local"/>
      <w:bookmarkStart w:id="15" w:name="_What_technologies_are"/>
      <w:bookmarkStart w:id="16" w:name="_Toc139373151"/>
      <w:bookmarkStart w:id="17" w:name="_Toc146022985"/>
      <w:bookmarkStart w:id="18" w:name="_Toc130309080"/>
      <w:bookmarkEnd w:id="14"/>
      <w:bookmarkEnd w:id="15"/>
      <w:r w:rsidRPr="00196008">
        <w:t>4G versus 5G</w:t>
      </w:r>
      <w:bookmarkEnd w:id="16"/>
      <w:bookmarkEnd w:id="17"/>
      <w:r w:rsidRPr="00196008">
        <w:t xml:space="preserve"> </w:t>
      </w:r>
    </w:p>
    <w:p w14:paraId="262092E4" w14:textId="62C38A2E" w:rsidR="00AA22F1" w:rsidRDefault="00230B9A" w:rsidP="00AE33FB">
      <w:pPr>
        <w:pStyle w:val="Paragraphbeforelist"/>
      </w:pPr>
      <w:r w:rsidRPr="00A64A07">
        <w:t xml:space="preserve">There are 3 </w:t>
      </w:r>
      <w:r w:rsidR="00AA22F1">
        <w:t>components to</w:t>
      </w:r>
      <w:r w:rsidRPr="00A64A07">
        <w:t xml:space="preserve"> a </w:t>
      </w:r>
      <w:r>
        <w:t>private wireless network</w:t>
      </w:r>
      <w:r w:rsidRPr="00A64A07">
        <w:t xml:space="preserve">: </w:t>
      </w:r>
    </w:p>
    <w:p w14:paraId="49C523AE" w14:textId="714F8345" w:rsidR="00AA22F1" w:rsidRDefault="00230B9A" w:rsidP="00AE33FB">
      <w:pPr>
        <w:pStyle w:val="Bulletlevel1"/>
      </w:pPr>
      <w:r>
        <w:t>network architecture</w:t>
      </w:r>
    </w:p>
    <w:p w14:paraId="2A0AB4C1" w14:textId="76C1232C" w:rsidR="00AA22F1" w:rsidRDefault="00230B9A" w:rsidP="00AE33FB">
      <w:pPr>
        <w:pStyle w:val="Bulletlevel1"/>
      </w:pPr>
      <w:r w:rsidRPr="00A64A07">
        <w:t xml:space="preserve">spectrum </w:t>
      </w:r>
    </w:p>
    <w:p w14:paraId="71D928C0" w14:textId="77777777" w:rsidR="00AA22F1" w:rsidRDefault="00230B9A" w:rsidP="00AE33FB">
      <w:pPr>
        <w:pStyle w:val="Bulletlevel1last"/>
      </w:pPr>
      <w:r w:rsidRPr="00A64A07">
        <w:t xml:space="preserve">equipment. </w:t>
      </w:r>
    </w:p>
    <w:p w14:paraId="61E76760" w14:textId="65800371" w:rsidR="00230B9A" w:rsidRDefault="00230B9A" w:rsidP="00230B9A">
      <w:pPr>
        <w:pStyle w:val="Paragraph"/>
      </w:pPr>
      <w:r w:rsidRPr="00A64A07">
        <w:t xml:space="preserve">Different combinations of these </w:t>
      </w:r>
      <w:r w:rsidR="00AA22F1">
        <w:t>components</w:t>
      </w:r>
      <w:r w:rsidR="00AA22F1" w:rsidRPr="00A64A07">
        <w:t xml:space="preserve"> </w:t>
      </w:r>
      <w:r w:rsidRPr="00A64A07">
        <w:t xml:space="preserve">will </w:t>
      </w:r>
      <w:r>
        <w:t>create</w:t>
      </w:r>
      <w:r w:rsidRPr="00A64A07">
        <w:t xml:space="preserve"> different performance characteristics. </w:t>
      </w:r>
    </w:p>
    <w:p w14:paraId="0575B534" w14:textId="50010738" w:rsidR="00230B9A" w:rsidRDefault="00230B9A" w:rsidP="00230B9A">
      <w:pPr>
        <w:pStyle w:val="Paragraph"/>
      </w:pPr>
      <w:r w:rsidRPr="00A64A07">
        <w:t xml:space="preserve">Private </w:t>
      </w:r>
      <w:r>
        <w:t xml:space="preserve">wireless </w:t>
      </w:r>
      <w:r w:rsidRPr="00A64A07">
        <w:t xml:space="preserve">networks built using 4G or </w:t>
      </w:r>
      <w:r w:rsidR="00AA22F1">
        <w:t>LTE</w:t>
      </w:r>
      <w:r w:rsidRPr="00A64A07">
        <w:t xml:space="preserve"> eq</w:t>
      </w:r>
      <w:r w:rsidRPr="00DE4140">
        <w:t>uipment already operate in Australia in regional or remote areas and primarily</w:t>
      </w:r>
      <w:r w:rsidRPr="00A64A07">
        <w:t xml:space="preserve"> within the mining </w:t>
      </w:r>
      <w:r>
        <w:t xml:space="preserve">and resources </w:t>
      </w:r>
      <w:r w:rsidRPr="00A64A07">
        <w:t>sector.</w:t>
      </w:r>
      <w:r w:rsidRPr="00A64A07">
        <w:rPr>
          <w:vertAlign w:val="superscript"/>
        </w:rPr>
        <w:footnoteReference w:id="20"/>
      </w:r>
      <w:r w:rsidRPr="00A64A07">
        <w:rPr>
          <w:vertAlign w:val="superscript"/>
        </w:rPr>
        <w:t xml:space="preserve"> </w:t>
      </w:r>
      <w:r w:rsidRPr="007C03ED">
        <w:t xml:space="preserve"> </w:t>
      </w:r>
    </w:p>
    <w:p w14:paraId="0FB551E0" w14:textId="10E0E0F8" w:rsidR="00230B9A" w:rsidRDefault="00230B9A" w:rsidP="00230B9A">
      <w:pPr>
        <w:pStyle w:val="CommentText"/>
      </w:pPr>
      <w:r>
        <w:t xml:space="preserve">At present, 4G and </w:t>
      </w:r>
      <w:r w:rsidR="00AA22F1">
        <w:t>LTE</w:t>
      </w:r>
      <w:r>
        <w:t xml:space="preserve"> functions well enough to address users’ demand for reliability, service quality and security compliance</w:t>
      </w:r>
      <w:r w:rsidR="00AA22F1">
        <w:t>,</w:t>
      </w:r>
      <w:r>
        <w:t xml:space="preserve"> and there are commercial deployments around the world. </w:t>
      </w:r>
    </w:p>
    <w:p w14:paraId="3A12CAE1" w14:textId="77777777" w:rsidR="00230B9A" w:rsidRDefault="00230B9A" w:rsidP="00230B9A">
      <w:pPr>
        <w:pStyle w:val="CommentText"/>
      </w:pPr>
      <w:r>
        <w:t xml:space="preserve">Currently available private 4G LTE will be able to seamlessly migrate to support private 5G networks when mobile standards and ecosystems support full commercial deployment.   </w:t>
      </w:r>
    </w:p>
    <w:p w14:paraId="7DFDDEAB" w14:textId="4A4122A9" w:rsidR="00230B9A" w:rsidRDefault="00230B9A" w:rsidP="00230B9A">
      <w:pPr>
        <w:pStyle w:val="Paragraph"/>
      </w:pPr>
      <w:r w:rsidRPr="008C5BE9">
        <w:t xml:space="preserve">5G </w:t>
      </w:r>
      <w:r>
        <w:t>stand</w:t>
      </w:r>
      <w:r w:rsidR="00AA22F1">
        <w:t>a</w:t>
      </w:r>
      <w:r>
        <w:t>lone</w:t>
      </w:r>
      <w:r w:rsidR="00764C7E">
        <w:t xml:space="preserve"> (see diagram below)</w:t>
      </w:r>
      <w:r>
        <w:t xml:space="preserve"> has</w:t>
      </w:r>
      <w:r w:rsidRPr="008C5BE9">
        <w:t xml:space="preserve"> </w:t>
      </w:r>
      <w:r>
        <w:t xml:space="preserve">speed, reliability and capacity features </w:t>
      </w:r>
      <w:r w:rsidRPr="008C5BE9">
        <w:t xml:space="preserve">not technically possible </w:t>
      </w:r>
      <w:r w:rsidR="00AA22F1">
        <w:t>using</w:t>
      </w:r>
      <w:r w:rsidR="00AA22F1" w:rsidRPr="008C5BE9">
        <w:t xml:space="preserve"> </w:t>
      </w:r>
      <w:r w:rsidRPr="008C5BE9">
        <w:t>3G or</w:t>
      </w:r>
      <w:r>
        <w:t xml:space="preserve"> 4G, leading some experts to say widespread adoption will start a fourth industrial revolution </w:t>
      </w:r>
      <w:r w:rsidR="00CB31DA">
        <w:t>–</w:t>
      </w:r>
      <w:r>
        <w:t xml:space="preserve"> dubbed </w:t>
      </w:r>
      <w:r w:rsidR="00AA22F1">
        <w:t>‘</w:t>
      </w:r>
      <w:r>
        <w:t>Industry 4.0</w:t>
      </w:r>
      <w:r w:rsidR="00AA22F1">
        <w:t>’</w:t>
      </w:r>
      <w:r>
        <w:t>.</w:t>
      </w:r>
      <w:r>
        <w:rPr>
          <w:rStyle w:val="FootnoteReference"/>
        </w:rPr>
        <w:footnoteReference w:id="21"/>
      </w:r>
      <w:r>
        <w:t xml:space="preserve"> </w:t>
      </w:r>
    </w:p>
    <w:p w14:paraId="0F544A86" w14:textId="3F58F11C" w:rsidR="00230B9A" w:rsidRDefault="00AA22F1" w:rsidP="00230B9A">
      <w:pPr>
        <w:pStyle w:val="Paragraph"/>
      </w:pPr>
      <w:r>
        <w:t>We</w:t>
      </w:r>
      <w:r w:rsidR="00230B9A">
        <w:t xml:space="preserve"> did not find operational 5G private networks in Australia</w:t>
      </w:r>
      <w:r>
        <w:t>,</w:t>
      </w:r>
      <w:r w:rsidR="00230B9A">
        <w:t xml:space="preserve"> outside trial settings</w:t>
      </w:r>
      <w:bookmarkEnd w:id="18"/>
      <w:r w:rsidR="00230B9A">
        <w:t xml:space="preserve">. </w:t>
      </w:r>
      <w:r>
        <w:t xml:space="preserve">Industry information suggests </w:t>
      </w:r>
      <w:r w:rsidR="00983187">
        <w:t xml:space="preserve">that </w:t>
      </w:r>
      <w:r>
        <w:t>w</w:t>
      </w:r>
      <w:r w:rsidR="00230B9A">
        <w:t>hile 5G is used in 44% of existing private wireless networks worldwide (see Figure 2)</w:t>
      </w:r>
      <w:r>
        <w:t>,</w:t>
      </w:r>
      <w:r w:rsidR="00230B9A">
        <w:t xml:space="preserve"> most of these deployments are also </w:t>
      </w:r>
      <w:r w:rsidR="00F412D2">
        <w:t>long-term</w:t>
      </w:r>
      <w:r w:rsidR="00230B9A">
        <w:t xml:space="preserve"> trials or</w:t>
      </w:r>
      <w:r w:rsidR="00F412D2">
        <w:t xml:space="preserve"> laboratory</w:t>
      </w:r>
      <w:r w:rsidR="00230B9A">
        <w:t xml:space="preserve"> test</w:t>
      </w:r>
      <w:r w:rsidR="00BA788B">
        <w:t>s</w:t>
      </w:r>
      <w:r w:rsidR="00123B50">
        <w:t>.</w:t>
      </w:r>
      <w:r w:rsidR="00230B9A">
        <w:rPr>
          <w:rStyle w:val="FootnoteReference"/>
        </w:rPr>
        <w:footnoteReference w:id="22"/>
      </w:r>
    </w:p>
    <w:p w14:paraId="2FBBA8A8" w14:textId="3C8EBC39" w:rsidR="00230B9A" w:rsidRDefault="00230B9A" w:rsidP="00230B9A">
      <w:pPr>
        <w:pStyle w:val="Paragraph"/>
        <w:rPr>
          <w:vertAlign w:val="superscript"/>
        </w:rPr>
      </w:pPr>
      <w:r>
        <w:t>A</w:t>
      </w:r>
      <w:r w:rsidRPr="00A64A07">
        <w:t>ccording to Nokia</w:t>
      </w:r>
      <w:r w:rsidR="00D27BAD">
        <w:t>,</w:t>
      </w:r>
      <w:r w:rsidRPr="00A64A07">
        <w:t xml:space="preserve"> </w:t>
      </w:r>
      <w:r>
        <w:t>i</w:t>
      </w:r>
      <w:r w:rsidRPr="00A64A07">
        <w:t>n late 2022</w:t>
      </w:r>
      <w:r>
        <w:t>,</w:t>
      </w:r>
      <w:r w:rsidRPr="00A64A07">
        <w:t xml:space="preserve"> about half </w:t>
      </w:r>
      <w:r w:rsidR="00D27BAD">
        <w:t xml:space="preserve">of </w:t>
      </w:r>
      <w:r w:rsidRPr="00A64A07">
        <w:t xml:space="preserve">the </w:t>
      </w:r>
      <w:r>
        <w:t>private wireless network</w:t>
      </w:r>
      <w:r w:rsidRPr="00A64A07">
        <w:t>s built around the world were built with 4G LTE equipment, but with a migration path to 5G.</w:t>
      </w:r>
      <w:r w:rsidRPr="009B0F0A">
        <w:rPr>
          <w:vertAlign w:val="superscript"/>
        </w:rPr>
        <w:footnoteReference w:id="23"/>
      </w:r>
      <w:r w:rsidRPr="009B0F0A">
        <w:rPr>
          <w:vertAlign w:val="superscript"/>
        </w:rPr>
        <w:t xml:space="preserve"> </w:t>
      </w:r>
    </w:p>
    <w:p w14:paraId="4D4214CA" w14:textId="77777777" w:rsidR="00230B9A" w:rsidRDefault="00230B9A" w:rsidP="00230B9A">
      <w:pPr>
        <w:pStyle w:val="Figureheading"/>
      </w:pPr>
      <w:r>
        <w:t>Private wireless network customers by technology used in early 2023 (1,077 networks)</w:t>
      </w:r>
      <w:r>
        <w:rPr>
          <w:rStyle w:val="FootnoteReference"/>
        </w:rPr>
        <w:footnoteReference w:id="24"/>
      </w:r>
    </w:p>
    <w:p w14:paraId="7B246877" w14:textId="77777777" w:rsidR="00230B9A" w:rsidRPr="008C5BE9" w:rsidRDefault="00230B9A" w:rsidP="00230B9A">
      <w:pPr>
        <w:pStyle w:val="Paragraph"/>
      </w:pPr>
      <w:r>
        <w:rPr>
          <w:noProof/>
        </w:rPr>
        <w:drawing>
          <wp:inline distT="0" distB="0" distL="0" distR="0" wp14:anchorId="44751F6F" wp14:editId="5C896E7F">
            <wp:extent cx="3028509" cy="2143125"/>
            <wp:effectExtent l="0" t="0" r="635" b="0"/>
            <wp:docPr id="51" name="Chart 51" descr="Pie chart showing 4G/LTE at 54%, 5G at 24%, LTE and 5G at 20%, GSM-R at 2%.">
              <a:extLst xmlns:a="http://schemas.openxmlformats.org/drawingml/2006/main">
                <a:ext uri="{FF2B5EF4-FFF2-40B4-BE49-F238E27FC236}">
                  <a16:creationId xmlns:a16="http://schemas.microsoft.com/office/drawing/2014/main" id="{DE51EC92-9A84-67C6-268C-3B890CCD763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14:paraId="3EC88A54" w14:textId="52D30EDB" w:rsidR="00230B9A" w:rsidRDefault="00230B9A" w:rsidP="00230B9A">
      <w:pPr>
        <w:pStyle w:val="Paragraph"/>
      </w:pPr>
      <w:r>
        <w:t>Industry interviews i</w:t>
      </w:r>
      <w:r w:rsidRPr="008C5BE9">
        <w:t xml:space="preserve">ndicated the </w:t>
      </w:r>
      <w:r>
        <w:t xml:space="preserve">Australian </w:t>
      </w:r>
      <w:r w:rsidRPr="008C5BE9">
        <w:t>network equipment market was still predominantly supplying 4G LTE equipment, but this is expected to change in favour of 5G within 12</w:t>
      </w:r>
      <w:r w:rsidR="00764C7E">
        <w:t xml:space="preserve"> to </w:t>
      </w:r>
      <w:r w:rsidRPr="008C5BE9">
        <w:t>18 months.</w:t>
      </w:r>
      <w:r>
        <w:rPr>
          <w:rStyle w:val="FootnoteReference"/>
        </w:rPr>
        <w:footnoteReference w:id="25"/>
      </w:r>
      <w:r>
        <w:t xml:space="preserve"> </w:t>
      </w:r>
    </w:p>
    <w:p w14:paraId="2E6F7DFA" w14:textId="42EACCF9" w:rsidR="00230B9A" w:rsidRDefault="00230B9A" w:rsidP="00230B9A">
      <w:pPr>
        <w:pStyle w:val="Paragraph"/>
      </w:pPr>
      <w:r>
        <w:t xml:space="preserve">5G networks can be either ‘non-standalone’ or ‘standalone’ as explained </w:t>
      </w:r>
      <w:r w:rsidRPr="00D604B9">
        <w:t>below</w:t>
      </w:r>
      <w:r w:rsidR="000B3891">
        <w:t xml:space="preserve">: </w:t>
      </w:r>
    </w:p>
    <w:p w14:paraId="44C65402" w14:textId="15DEF17E" w:rsidR="005F6EC5" w:rsidRDefault="005F6EC5" w:rsidP="00230B9A">
      <w:pPr>
        <w:pStyle w:val="Paragraph"/>
      </w:pPr>
      <w:r>
        <w:rPr>
          <w:noProof/>
        </w:rPr>
        <w:drawing>
          <wp:inline distT="0" distB="0" distL="0" distR="0" wp14:anchorId="24E32D7E" wp14:editId="67655A4C">
            <wp:extent cx="4819730" cy="3325620"/>
            <wp:effectExtent l="0" t="0" r="0" b="8255"/>
            <wp:docPr id="11" name="Picture 1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a:extLst>
                        <a:ext uri="{C183D7F6-B498-43B3-948B-1728B52AA6E4}">
                          <adec:decorative xmlns:adec="http://schemas.microsoft.com/office/drawing/2017/decorative" val="1"/>
                        </a:ext>
                      </a:extLst>
                    </pic:cNvPr>
                    <pic:cNvPicPr/>
                  </pic:nvPicPr>
                  <pic:blipFill>
                    <a:blip r:embed="rId28"/>
                    <a:stretch>
                      <a:fillRect/>
                    </a:stretch>
                  </pic:blipFill>
                  <pic:spPr>
                    <a:xfrm>
                      <a:off x="0" y="0"/>
                      <a:ext cx="4822147" cy="3327288"/>
                    </a:xfrm>
                    <a:prstGeom prst="rect">
                      <a:avLst/>
                    </a:prstGeom>
                  </pic:spPr>
                </pic:pic>
              </a:graphicData>
            </a:graphic>
          </wp:inline>
        </w:drawing>
      </w:r>
    </w:p>
    <w:p w14:paraId="64CE7C93" w14:textId="10847A54" w:rsidR="00230B9A" w:rsidRPr="00C24B82" w:rsidRDefault="00230B9A" w:rsidP="00AA4B5C">
      <w:pPr>
        <w:pStyle w:val="Paragraph"/>
        <w:spacing w:before="240"/>
      </w:pPr>
      <w:r>
        <w:t xml:space="preserve">In a public consultation in 2022 regarding re-allocation of </w:t>
      </w:r>
      <w:r w:rsidR="000B3891">
        <w:t xml:space="preserve">the </w:t>
      </w:r>
      <w:r>
        <w:t>3.4 GHz and 3.7 GHz</w:t>
      </w:r>
      <w:r w:rsidR="000B3891">
        <w:t xml:space="preserve"> bands</w:t>
      </w:r>
      <w:r>
        <w:t>, the ACMA acknowledged industry</w:t>
      </w:r>
      <w:r w:rsidR="000B3891">
        <w:t>’s</w:t>
      </w:r>
      <w:r>
        <w:t xml:space="preserve"> desire for frequencies matching the large 4G equipment ecosystems. However, the ACMA noted 5G equipment is expected to expand over</w:t>
      </w:r>
      <w:r w:rsidR="000B3891">
        <w:t xml:space="preserve"> </w:t>
      </w:r>
      <w:r>
        <w:t>time.</w:t>
      </w:r>
      <w:r w:rsidRPr="00B61A0D">
        <w:rPr>
          <w:rStyle w:val="FootnoteReference"/>
        </w:rPr>
        <w:t xml:space="preserve"> </w:t>
      </w:r>
      <w:r>
        <w:rPr>
          <w:rStyle w:val="FootnoteReference"/>
        </w:rPr>
        <w:footnoteReference w:id="26"/>
      </w:r>
      <w:r>
        <w:t xml:space="preserve"> This issue is discussed further </w:t>
      </w:r>
      <w:r w:rsidR="000B3891">
        <w:t xml:space="preserve">in </w:t>
      </w:r>
      <w:r>
        <w:t xml:space="preserve">the </w:t>
      </w:r>
      <w:r w:rsidR="000B3891">
        <w:t>‘</w:t>
      </w:r>
      <w:r>
        <w:t>Equipment</w:t>
      </w:r>
      <w:r w:rsidR="000B3891">
        <w:t>’</w:t>
      </w:r>
      <w:r>
        <w:t xml:space="preserve"> section</w:t>
      </w:r>
      <w:r w:rsidR="000B3891">
        <w:t xml:space="preserve"> of this report</w:t>
      </w:r>
      <w:r>
        <w:t xml:space="preserve">. </w:t>
      </w:r>
    </w:p>
    <w:p w14:paraId="6E81A6CE" w14:textId="4B0E2C05" w:rsidR="000B3891" w:rsidRDefault="000B3891" w:rsidP="007D639E">
      <w:pPr>
        <w:pStyle w:val="Heading3"/>
        <w:shd w:val="clear" w:color="auto" w:fill="F2F2F2" w:themeFill="background1" w:themeFillShade="F2"/>
      </w:pPr>
      <w:bookmarkStart w:id="19" w:name="_5G_Standalone_(SA)"/>
      <w:bookmarkEnd w:id="19"/>
      <w:r w:rsidRPr="00EB3DBB">
        <w:t xml:space="preserve">Deployment </w:t>
      </w:r>
      <w:r w:rsidR="001236E2">
        <w:t>c</w:t>
      </w:r>
      <w:r w:rsidRPr="00EB3DBB">
        <w:t>onsiderations</w:t>
      </w:r>
    </w:p>
    <w:p w14:paraId="297DB981" w14:textId="4C5486D6" w:rsidR="001236E2" w:rsidRDefault="001236E2" w:rsidP="007D639E">
      <w:pPr>
        <w:shd w:val="clear" w:color="auto" w:fill="F2F2F2" w:themeFill="background1" w:themeFillShade="F2"/>
      </w:pPr>
      <w:r>
        <w:t>There is a large pool of 4G LTE equipment available for industrial uses from many different suppliers</w:t>
      </w:r>
      <w:r w:rsidR="00846927">
        <w:t>,</w:t>
      </w:r>
      <w:r>
        <w:t xml:space="preserve"> due to the age of the technology and widespread adoption. </w:t>
      </w:r>
    </w:p>
    <w:p w14:paraId="467B82F9" w14:textId="23E316DB" w:rsidR="000B3891" w:rsidRPr="000B3891" w:rsidRDefault="000B3891" w:rsidP="007D639E">
      <w:pPr>
        <w:pStyle w:val="Paragraph"/>
        <w:shd w:val="clear" w:color="auto" w:fill="F2F2F2" w:themeFill="background1" w:themeFillShade="F2"/>
      </w:pPr>
      <w:r>
        <w:t>The pool of e</w:t>
      </w:r>
      <w:r w:rsidRPr="004F5C46">
        <w:t xml:space="preserve">quipment for 5G-based </w:t>
      </w:r>
      <w:r>
        <w:t>industrial uses is not as mature because it is still a relatively new technology. Most commercially available 5G standalone devices are smartphones for the consumer market.</w:t>
      </w:r>
      <w:r>
        <w:rPr>
          <w:rStyle w:val="FootnoteReference"/>
        </w:rPr>
        <w:footnoteReference w:id="27"/>
      </w:r>
      <w:r>
        <w:t xml:space="preserve"> </w:t>
      </w:r>
      <w:r w:rsidRPr="004F5C46">
        <w:t xml:space="preserve">Businesses </w:t>
      </w:r>
      <w:r>
        <w:t xml:space="preserve">may need custom-designed indoor industrial equipment suitable for </w:t>
      </w:r>
      <w:r w:rsidR="00846927">
        <w:t xml:space="preserve">the </w:t>
      </w:r>
      <w:r>
        <w:t xml:space="preserve">physical conditions of their business. For example, equipment that withstands extreme temperatures, wet conditions, dry and dusty conditions or regular cleaning. Enterprises </w:t>
      </w:r>
      <w:r w:rsidRPr="004F5C46">
        <w:t>may delay deploy</w:t>
      </w:r>
      <w:r>
        <w:t xml:space="preserve">ment </w:t>
      </w:r>
      <w:r w:rsidRPr="004F5C46">
        <w:t xml:space="preserve">until more equipment is available that </w:t>
      </w:r>
      <w:r>
        <w:t>suits</w:t>
      </w:r>
      <w:r w:rsidRPr="004F5C46">
        <w:t xml:space="preserve"> the</w:t>
      </w:r>
      <w:r>
        <w:t xml:space="preserve"> physical environment in which it will be used.</w:t>
      </w:r>
    </w:p>
    <w:p w14:paraId="0F2A6386" w14:textId="77777777" w:rsidR="00230B9A" w:rsidRDefault="00230B9A" w:rsidP="00230B9A">
      <w:pPr>
        <w:pStyle w:val="Heading1"/>
      </w:pPr>
      <w:bookmarkStart w:id="20" w:name="_Spectrum"/>
      <w:bookmarkStart w:id="21" w:name="_Toc139373152"/>
      <w:bookmarkStart w:id="22" w:name="_Toc146022986"/>
      <w:bookmarkEnd w:id="20"/>
      <w:r>
        <w:t>Spectrum</w:t>
      </w:r>
      <w:bookmarkEnd w:id="21"/>
      <w:bookmarkEnd w:id="22"/>
    </w:p>
    <w:p w14:paraId="6838B26A" w14:textId="67DF0632" w:rsidR="00230B9A" w:rsidRDefault="00230B9A" w:rsidP="00230B9A">
      <w:pPr>
        <w:pStyle w:val="Paragraph"/>
      </w:pPr>
      <w:r>
        <w:t xml:space="preserve">Spectrum is a continuous range of electromagnetic radiation waves. The ACMA’s role is to maximise the public benefit from the use of spectrum, which includes planning for different uses of the spectrum and managing co-existence between different users and spectrum use cases. </w:t>
      </w:r>
    </w:p>
    <w:p w14:paraId="62218930" w14:textId="0523B8C2" w:rsidR="00230B9A" w:rsidRDefault="00230B9A" w:rsidP="00230B9A">
      <w:pPr>
        <w:pStyle w:val="Paragraph"/>
      </w:pPr>
      <w:r>
        <w:t xml:space="preserve">Much of the low-band spectrum of interest to private wireless networks is already allocated. However, as detailed in the </w:t>
      </w:r>
      <w:hyperlink r:id="rId29" w:history="1">
        <w:r w:rsidR="000D758E" w:rsidRPr="00B268C1">
          <w:rPr>
            <w:rStyle w:val="Hyperlink"/>
          </w:rPr>
          <w:t>f</w:t>
        </w:r>
        <w:r w:rsidRPr="00B268C1">
          <w:rPr>
            <w:rStyle w:val="Hyperlink"/>
          </w:rPr>
          <w:t>ive</w:t>
        </w:r>
        <w:r w:rsidR="000D758E" w:rsidRPr="00B268C1">
          <w:rPr>
            <w:rStyle w:val="Hyperlink"/>
          </w:rPr>
          <w:t>-y</w:t>
        </w:r>
        <w:r w:rsidRPr="00B268C1">
          <w:rPr>
            <w:rStyle w:val="Hyperlink"/>
          </w:rPr>
          <w:t xml:space="preserve">ear </w:t>
        </w:r>
        <w:r w:rsidR="000D758E" w:rsidRPr="00B268C1">
          <w:rPr>
            <w:rStyle w:val="Hyperlink"/>
          </w:rPr>
          <w:t>s</w:t>
        </w:r>
        <w:r w:rsidRPr="00B268C1">
          <w:rPr>
            <w:rStyle w:val="Hyperlink"/>
          </w:rPr>
          <w:t xml:space="preserve">pectrum </w:t>
        </w:r>
        <w:r w:rsidR="000D758E" w:rsidRPr="00B268C1">
          <w:rPr>
            <w:rStyle w:val="Hyperlink"/>
          </w:rPr>
          <w:t>o</w:t>
        </w:r>
        <w:r w:rsidRPr="00B268C1">
          <w:rPr>
            <w:rStyle w:val="Hyperlink"/>
          </w:rPr>
          <w:t>utlook</w:t>
        </w:r>
      </w:hyperlink>
      <w:r>
        <w:t xml:space="preserve"> </w:t>
      </w:r>
      <w:r w:rsidR="000D758E">
        <w:t xml:space="preserve">(FYSO) </w:t>
      </w:r>
      <w:r>
        <w:t xml:space="preserve">and </w:t>
      </w:r>
      <w:hyperlink r:id="rId30" w:history="1">
        <w:r w:rsidR="005F4EC7" w:rsidRPr="005F4EC7">
          <w:rPr>
            <w:rStyle w:val="Hyperlink"/>
          </w:rPr>
          <w:t>papers</w:t>
        </w:r>
      </w:hyperlink>
      <w:r w:rsidR="005F4EC7" w:rsidRPr="005F4EC7">
        <w:rPr>
          <w:u w:color="0000FF"/>
        </w:rPr>
        <w:t xml:space="preserve"> on local area wireless broadband services</w:t>
      </w:r>
      <w:r>
        <w:t>, the ACMA has an ongoing work program to review access methods and bands for new uses.</w:t>
      </w:r>
      <w:r>
        <w:rPr>
          <w:rStyle w:val="FootnoteReference"/>
        </w:rPr>
        <w:footnoteReference w:id="28"/>
      </w:r>
    </w:p>
    <w:p w14:paraId="3B98D9DE" w14:textId="77777777" w:rsidR="00230B9A" w:rsidRDefault="00230B9A" w:rsidP="00230B9A">
      <w:pPr>
        <w:pStyle w:val="Paragraph"/>
      </w:pPr>
      <w:r>
        <w:t xml:space="preserve">Spectrum uses are carefully harmonised – often internationally – with equipment markets. Some frequencies are more desirable due to the available equipment rather than any other technical characteristics.  </w:t>
      </w:r>
    </w:p>
    <w:p w14:paraId="71EAF4E9" w14:textId="77759FD0" w:rsidR="00230B9A" w:rsidRDefault="00230B9A" w:rsidP="00230B9A">
      <w:pPr>
        <w:pStyle w:val="Paragraph"/>
      </w:pPr>
      <w:r w:rsidRPr="00BD5E5E">
        <w:t xml:space="preserve">As private wireless networks are designed for a specific purpose in a single place, the suitability of spectrum will depend on the location, accessible bands and the availability of necessary equipment. </w:t>
      </w:r>
      <w:r w:rsidRPr="000C307B">
        <w:t xml:space="preserve"> </w:t>
      </w:r>
    </w:p>
    <w:p w14:paraId="5DC271A0" w14:textId="77777777" w:rsidR="00230B9A" w:rsidRPr="00BD5E5E" w:rsidRDefault="00230B9A" w:rsidP="00230B9A">
      <w:pPr>
        <w:pStyle w:val="Paragraph"/>
      </w:pPr>
      <w:r>
        <w:t xml:space="preserve">Mid-band spectrum is often highly desirable for private wireless networks because it is suitable for </w:t>
      </w:r>
      <w:r w:rsidRPr="00832F3E">
        <w:t xml:space="preserve">localised </w:t>
      </w:r>
      <w:r w:rsidRPr="006F5C77">
        <w:t>indoor</w:t>
      </w:r>
      <w:r w:rsidRPr="00832F3E">
        <w:t xml:space="preserve"> use cases and has a growing equipment market. High-band spectrum (above 6 GHz</w:t>
      </w:r>
      <w:r>
        <w:t xml:space="preserve">) is also suitable for localised uses, but there is less equipment currently available. </w:t>
      </w:r>
      <w:r w:rsidRPr="00BD5E5E">
        <w:t xml:space="preserve">This is discussed further in the </w:t>
      </w:r>
      <w:hyperlink w:anchor="_Equipment_1" w:history="1">
        <w:r w:rsidRPr="00BD5E5E">
          <w:rPr>
            <w:rStyle w:val="Hyperlink"/>
          </w:rPr>
          <w:t>Equipment section.</w:t>
        </w:r>
      </w:hyperlink>
      <w:r w:rsidRPr="00BD5E5E">
        <w:t xml:space="preserve"> </w:t>
      </w:r>
    </w:p>
    <w:p w14:paraId="68B178C3" w14:textId="77777777" w:rsidR="00230B9A" w:rsidRPr="006327D2" w:rsidRDefault="00230B9A" w:rsidP="00230B9A">
      <w:pPr>
        <w:pStyle w:val="Paragraphbeforelist"/>
      </w:pPr>
      <w:r w:rsidRPr="006327D2">
        <w:t>This section describe</w:t>
      </w:r>
      <w:r>
        <w:t>s</w:t>
      </w:r>
      <w:r w:rsidRPr="006327D2">
        <w:t xml:space="preserve">: </w:t>
      </w:r>
    </w:p>
    <w:p w14:paraId="7B72C8A6" w14:textId="77777777" w:rsidR="00230B9A" w:rsidRPr="006327D2" w:rsidRDefault="00230B9A" w:rsidP="00230B9A">
      <w:pPr>
        <w:pStyle w:val="Bulletlevel1"/>
      </w:pPr>
      <w:r>
        <w:t>the</w:t>
      </w:r>
      <w:r w:rsidRPr="006327D2">
        <w:t xml:space="preserve"> </w:t>
      </w:r>
      <w:r w:rsidRPr="00710C2E">
        <w:rPr>
          <w:b/>
          <w:bCs/>
        </w:rPr>
        <w:t xml:space="preserve">spectrum </w:t>
      </w:r>
      <w:r>
        <w:rPr>
          <w:b/>
          <w:bCs/>
        </w:rPr>
        <w:t>characteristics</w:t>
      </w:r>
      <w:r>
        <w:t xml:space="preserve">, that is, the </w:t>
      </w:r>
      <w:r w:rsidRPr="001E1693">
        <w:t xml:space="preserve">radio frequency bands </w:t>
      </w:r>
      <w:r>
        <w:t xml:space="preserve">most suitable </w:t>
      </w:r>
      <w:r w:rsidRPr="006327D2">
        <w:t xml:space="preserve">for </w:t>
      </w:r>
      <w:r>
        <w:t>private wireless network</w:t>
      </w:r>
      <w:r w:rsidRPr="006327D2">
        <w:t xml:space="preserve">s in </w:t>
      </w:r>
      <w:proofErr w:type="gramStart"/>
      <w:r w:rsidRPr="006327D2">
        <w:t>Australia</w:t>
      </w:r>
      <w:proofErr w:type="gramEnd"/>
    </w:p>
    <w:p w14:paraId="7D887326" w14:textId="5C27CEA8" w:rsidR="00230B9A" w:rsidRDefault="00230B9A" w:rsidP="00230B9A">
      <w:pPr>
        <w:pStyle w:val="Bulletlevel1"/>
      </w:pPr>
      <w:r w:rsidRPr="00884612">
        <w:t xml:space="preserve">how </w:t>
      </w:r>
      <w:r w:rsidRPr="00FE246F">
        <w:rPr>
          <w:b/>
          <w:bCs/>
        </w:rPr>
        <w:t>much spectrum</w:t>
      </w:r>
      <w:r w:rsidRPr="00884612">
        <w:t xml:space="preserve"> </w:t>
      </w:r>
      <w:r>
        <w:t xml:space="preserve">private wireless networks </w:t>
      </w:r>
      <w:proofErr w:type="gramStart"/>
      <w:r>
        <w:t>need</w:t>
      </w:r>
      <w:proofErr w:type="gramEnd"/>
      <w:r w:rsidRPr="00884612">
        <w:t xml:space="preserve"> </w:t>
      </w:r>
    </w:p>
    <w:p w14:paraId="76B679E7" w14:textId="77777777" w:rsidR="00230B9A" w:rsidRDefault="00230B9A" w:rsidP="00230B9A">
      <w:pPr>
        <w:pStyle w:val="Bulletlevel1last"/>
      </w:pPr>
      <w:r>
        <w:t xml:space="preserve">and </w:t>
      </w:r>
      <w:r w:rsidRPr="00710C2E">
        <w:rPr>
          <w:b/>
          <w:bCs/>
        </w:rPr>
        <w:t>spect</w:t>
      </w:r>
      <w:r>
        <w:rPr>
          <w:b/>
          <w:bCs/>
        </w:rPr>
        <w:t>r</w:t>
      </w:r>
      <w:r w:rsidRPr="00710C2E">
        <w:rPr>
          <w:b/>
          <w:bCs/>
        </w:rPr>
        <w:t>um access</w:t>
      </w:r>
      <w:r>
        <w:t xml:space="preserve">, that is, </w:t>
      </w:r>
      <w:r w:rsidRPr="00884612">
        <w:t xml:space="preserve">how spectrum is accessed for a </w:t>
      </w:r>
      <w:r>
        <w:t>private wireless network in Australia and overseas</w:t>
      </w:r>
      <w:r w:rsidRPr="00884612">
        <w:t>.</w:t>
      </w:r>
    </w:p>
    <w:p w14:paraId="516F91EC" w14:textId="77777777" w:rsidR="00230B9A" w:rsidRDefault="00230B9A" w:rsidP="00230B9A">
      <w:pPr>
        <w:pStyle w:val="Heading2"/>
      </w:pPr>
      <w:bookmarkStart w:id="23" w:name="_Toc139373153"/>
      <w:bookmarkStart w:id="24" w:name="_Toc146022987"/>
      <w:r>
        <w:t>Spectrum characteristics</w:t>
      </w:r>
      <w:bookmarkEnd w:id="23"/>
      <w:bookmarkEnd w:id="24"/>
    </w:p>
    <w:p w14:paraId="403DE014" w14:textId="77777777" w:rsidR="00230B9A" w:rsidRDefault="00230B9A" w:rsidP="00230B9A">
      <w:pPr>
        <w:pStyle w:val="Paragraph"/>
      </w:pPr>
      <w:r>
        <w:t>Spectrum suitability will depend on the exact location of a private wireless network and the specific purpose. Every frequency has different</w:t>
      </w:r>
      <w:r w:rsidRPr="006327D2">
        <w:t xml:space="preserve"> propagation characteristics </w:t>
      </w:r>
      <w:r>
        <w:t xml:space="preserve">and different </w:t>
      </w:r>
      <w:r w:rsidRPr="006327D2">
        <w:t>equipment</w:t>
      </w:r>
      <w:r>
        <w:t xml:space="preserve"> markets</w:t>
      </w:r>
      <w:r w:rsidRPr="006327D2">
        <w:t>.</w:t>
      </w:r>
    </w:p>
    <w:p w14:paraId="20CA34D6" w14:textId="07C524B7" w:rsidR="00230B9A" w:rsidRPr="00E059E6" w:rsidRDefault="00230B9A" w:rsidP="00230B9A">
      <w:pPr>
        <w:pStyle w:val="Paragraphbeforelist"/>
      </w:pPr>
      <w:r w:rsidRPr="00E059E6">
        <w:t xml:space="preserve">During interviews, the most common feedback from </w:t>
      </w:r>
      <w:r>
        <w:t xml:space="preserve">Australian </w:t>
      </w:r>
      <w:r w:rsidRPr="00E059E6">
        <w:t xml:space="preserve">network builders and existing </w:t>
      </w:r>
      <w:r>
        <w:t xml:space="preserve">private wireless network operators </w:t>
      </w:r>
      <w:r w:rsidRPr="00E059E6">
        <w:t xml:space="preserve">was that sub-1 GHz spectrum </w:t>
      </w:r>
      <w:r>
        <w:t xml:space="preserve">or </w:t>
      </w:r>
      <w:r w:rsidR="00EA4F1B">
        <w:t>1800–</w:t>
      </w:r>
      <w:r>
        <w:t xml:space="preserve">2100 MHz spectrum </w:t>
      </w:r>
      <w:r w:rsidRPr="00E059E6">
        <w:t>is preferrable</w:t>
      </w:r>
      <w:r>
        <w:t xml:space="preserve">, </w:t>
      </w:r>
      <w:r w:rsidRPr="00E059E6">
        <w:t>particularly in the agricultural and mining</w:t>
      </w:r>
      <w:r>
        <w:t xml:space="preserve"> and resource</w:t>
      </w:r>
      <w:r w:rsidRPr="00E059E6">
        <w:t xml:space="preserve"> sectors</w:t>
      </w:r>
      <w:r>
        <w:t xml:space="preserve">, because: </w:t>
      </w:r>
    </w:p>
    <w:p w14:paraId="0859B9DB" w14:textId="77777777" w:rsidR="00230B9A" w:rsidRDefault="00230B9A" w:rsidP="00230B9A">
      <w:pPr>
        <w:pStyle w:val="Bulletlevel1"/>
      </w:pPr>
      <w:r>
        <w:t xml:space="preserve">a large pool of equipment is already </w:t>
      </w:r>
      <w:proofErr w:type="gramStart"/>
      <w:r>
        <w:t>available</w:t>
      </w:r>
      <w:proofErr w:type="gramEnd"/>
      <w:r>
        <w:t xml:space="preserve">  </w:t>
      </w:r>
    </w:p>
    <w:p w14:paraId="753BBE4D" w14:textId="77777777" w:rsidR="00230B9A" w:rsidRDefault="00230B9A" w:rsidP="00230B9A">
      <w:pPr>
        <w:pStyle w:val="Bulletlevel1"/>
      </w:pPr>
      <w:r>
        <w:t xml:space="preserve">lower frequency signals travel further so fewer </w:t>
      </w:r>
      <w:r w:rsidRPr="00E059E6">
        <w:t>base stations</w:t>
      </w:r>
      <w:r>
        <w:t xml:space="preserve"> are needed to cover long distances, which reduces installation </w:t>
      </w:r>
      <w:proofErr w:type="gramStart"/>
      <w:r>
        <w:t>costs</w:t>
      </w:r>
      <w:proofErr w:type="gramEnd"/>
      <w:r>
        <w:t xml:space="preserve"> </w:t>
      </w:r>
    </w:p>
    <w:p w14:paraId="10009593" w14:textId="77777777" w:rsidR="00230B9A" w:rsidRPr="00E059E6" w:rsidRDefault="00230B9A" w:rsidP="00230B9A">
      <w:pPr>
        <w:pStyle w:val="Bulletlevel1last"/>
      </w:pPr>
      <w:r w:rsidRPr="00E059E6">
        <w:t xml:space="preserve">lower frequencies </w:t>
      </w:r>
      <w:r>
        <w:t>can</w:t>
      </w:r>
      <w:r w:rsidRPr="00E059E6">
        <w:t xml:space="preserve"> </w:t>
      </w:r>
      <w:r>
        <w:t>propagate better around obstructions,</w:t>
      </w:r>
      <w:r w:rsidRPr="00E059E6">
        <w:t xml:space="preserve"> foliage and buildings.</w:t>
      </w:r>
      <w:r>
        <w:rPr>
          <w:rStyle w:val="FootnoteReference"/>
        </w:rPr>
        <w:footnoteReference w:id="29"/>
      </w:r>
    </w:p>
    <w:p w14:paraId="0176D6C9" w14:textId="2FC8D992" w:rsidR="00230B9A" w:rsidRDefault="00230B9A" w:rsidP="00230B9A">
      <w:pPr>
        <w:pStyle w:val="Paragraph"/>
      </w:pPr>
      <w:r>
        <w:t>However, most</w:t>
      </w:r>
      <w:r w:rsidRPr="00EC2A33">
        <w:t xml:space="preserve"> of </w:t>
      </w:r>
      <w:r>
        <w:t>this lower frequency s</w:t>
      </w:r>
      <w:r w:rsidRPr="00EC2A33">
        <w:t>pectrum has already been allocated</w:t>
      </w:r>
      <w:r>
        <w:t xml:space="preserve"> for spectrum licensing. Globally, attention for private wireless networks is focused on spectrum between 3 GHz and 4 GHz. This is discussed further below. </w:t>
      </w:r>
    </w:p>
    <w:p w14:paraId="471AA134" w14:textId="6ED2CB9F" w:rsidR="00230B9A" w:rsidRDefault="00230B9A" w:rsidP="00230B9A">
      <w:pPr>
        <w:pStyle w:val="Paragraph"/>
      </w:pPr>
      <w:r>
        <w:t>In Australia</w:t>
      </w:r>
      <w:r w:rsidR="00EA4F1B">
        <w:t>,</w:t>
      </w:r>
      <w:r>
        <w:t xml:space="preserve"> the mid-band </w:t>
      </w:r>
      <w:r w:rsidRPr="0019666D">
        <w:t xml:space="preserve">spectrum </w:t>
      </w:r>
      <w:r>
        <w:t>at</w:t>
      </w:r>
      <w:r w:rsidRPr="0019666D">
        <w:t xml:space="preserve"> 18</w:t>
      </w:r>
      <w:r>
        <w:t>00</w:t>
      </w:r>
      <w:r w:rsidRPr="0019666D">
        <w:t xml:space="preserve"> MHz and 2100</w:t>
      </w:r>
      <w:r>
        <w:t xml:space="preserve"> </w:t>
      </w:r>
      <w:r w:rsidRPr="0019666D">
        <w:t xml:space="preserve">MHz bands </w:t>
      </w:r>
      <w:r>
        <w:t xml:space="preserve">is often </w:t>
      </w:r>
      <w:r w:rsidRPr="0019666D">
        <w:t xml:space="preserve">used by mining </w:t>
      </w:r>
      <w:r>
        <w:t xml:space="preserve">and resources </w:t>
      </w:r>
      <w:r w:rsidRPr="0019666D">
        <w:t xml:space="preserve">companies for </w:t>
      </w:r>
      <w:r>
        <w:t>private wireless network</w:t>
      </w:r>
      <w:r w:rsidRPr="0019666D">
        <w:t>s</w:t>
      </w:r>
      <w:r>
        <w:t>.</w:t>
      </w:r>
      <w:r>
        <w:rPr>
          <w:rStyle w:val="FootnoteReference"/>
        </w:rPr>
        <w:footnoteReference w:id="30"/>
      </w:r>
      <w:r>
        <w:t xml:space="preserve"> These mines are typically in remote areas where there is less competition for spectrum due to low populations. </w:t>
      </w:r>
    </w:p>
    <w:p w14:paraId="63A72CF8" w14:textId="22DB9172" w:rsidR="00230B9A" w:rsidRDefault="00230B9A" w:rsidP="0065314A">
      <w:pPr>
        <w:pStyle w:val="Paragraph"/>
        <w:spacing w:after="0"/>
      </w:pPr>
      <w:r w:rsidRPr="0019666D">
        <w:t xml:space="preserve">There </w:t>
      </w:r>
      <w:r>
        <w:t xml:space="preserve">is also an </w:t>
      </w:r>
      <w:r w:rsidRPr="0019666D">
        <w:t xml:space="preserve">example of </w:t>
      </w:r>
      <w:r>
        <w:t>a mid-band 4G/LTE private wireless network</w:t>
      </w:r>
      <w:r w:rsidRPr="0019666D">
        <w:t xml:space="preserve">s being </w:t>
      </w:r>
      <w:r>
        <w:t>deployed</w:t>
      </w:r>
      <w:r w:rsidRPr="0019666D">
        <w:t xml:space="preserve"> in </w:t>
      </w:r>
      <w:r>
        <w:t>a metropolitan and urb</w:t>
      </w:r>
      <w:r w:rsidRPr="0019666D">
        <w:t>an area</w:t>
      </w:r>
      <w:r>
        <w:t xml:space="preserve"> using a unique spectrum access opportunity </w:t>
      </w:r>
      <w:r w:rsidRPr="00F77BEE">
        <w:t xml:space="preserve">(see </w:t>
      </w:r>
      <w:r w:rsidR="00EA4F1B" w:rsidRPr="00D52D30">
        <w:t xml:space="preserve">Case study </w:t>
      </w:r>
      <w:r w:rsidR="007E27FB">
        <w:t>1</w:t>
      </w:r>
      <w:r w:rsidR="00EA4F1B">
        <w:rPr>
          <w:u w:color="0000FF"/>
        </w:rPr>
        <w:t xml:space="preserve"> below</w:t>
      </w:r>
      <w:r w:rsidRPr="00F77BEE">
        <w:t>).</w:t>
      </w:r>
      <w:r w:rsidRPr="00F77BEE">
        <w:rPr>
          <w:rStyle w:val="FootnoteReference"/>
        </w:rPr>
        <w:footnoteReference w:id="31"/>
      </w:r>
      <w:r w:rsidRPr="0019666D">
        <w:t xml:space="preserve"> </w:t>
      </w:r>
    </w:p>
    <w:tbl>
      <w:tblPr>
        <w:tblStyle w:val="TableGrid"/>
        <w:tblpPr w:leftFromText="180" w:rightFromText="180" w:vertAnchor="text" w:horzAnchor="margin" w:tblpY="32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85" w:type="dxa"/>
          <w:left w:w="57" w:type="dxa"/>
          <w:bottom w:w="85" w:type="dxa"/>
          <w:right w:w="57" w:type="dxa"/>
        </w:tblCellMar>
        <w:tblLook w:val="04A0" w:firstRow="1" w:lastRow="0" w:firstColumn="1" w:lastColumn="0" w:noHBand="0" w:noVBand="1"/>
      </w:tblPr>
      <w:tblGrid>
        <w:gridCol w:w="7661"/>
      </w:tblGrid>
      <w:tr w:rsidR="00EA4F1B" w14:paraId="35352B3C" w14:textId="77777777" w:rsidTr="0065314A">
        <w:tc>
          <w:tcPr>
            <w:tcW w:w="7661" w:type="dxa"/>
            <w:shd w:val="clear" w:color="auto" w:fill="39457C"/>
          </w:tcPr>
          <w:p w14:paraId="364FF9F6" w14:textId="54C9A479" w:rsidR="00EA4F1B" w:rsidRPr="00D52D30" w:rsidRDefault="00EA4F1B" w:rsidP="0065314A">
            <w:pPr>
              <w:pStyle w:val="Heading2"/>
              <w:spacing w:before="0" w:after="0"/>
              <w:rPr>
                <w:color w:val="FFFFFF" w:themeColor="background1"/>
                <w:u w:color="0000FF"/>
              </w:rPr>
            </w:pPr>
            <w:bookmarkStart w:id="25" w:name="_Toc140741280"/>
            <w:bookmarkStart w:id="26" w:name="_Toc146022988"/>
            <w:r w:rsidRPr="00D52D30">
              <w:rPr>
                <w:color w:val="FFFFFF" w:themeColor="background1"/>
              </w:rPr>
              <w:t xml:space="preserve">Case study </w:t>
            </w:r>
            <w:r w:rsidR="007E27FB">
              <w:rPr>
                <w:color w:val="FFFFFF" w:themeColor="background1"/>
              </w:rPr>
              <w:t>1</w:t>
            </w:r>
            <w:r w:rsidRPr="00D52D30">
              <w:rPr>
                <w:color w:val="FFFFFF" w:themeColor="background1"/>
              </w:rPr>
              <w:t>: Public Transport Authority of Western Australia</w:t>
            </w:r>
            <w:bookmarkEnd w:id="25"/>
            <w:bookmarkEnd w:id="26"/>
          </w:p>
        </w:tc>
      </w:tr>
      <w:tr w:rsidR="00EA4F1B" w14:paraId="5127C81D" w14:textId="77777777" w:rsidTr="0065314A">
        <w:tc>
          <w:tcPr>
            <w:tcW w:w="7661" w:type="dxa"/>
            <w:shd w:val="clear" w:color="auto" w:fill="F2F2F2" w:themeFill="background1" w:themeFillShade="F2"/>
          </w:tcPr>
          <w:p w14:paraId="53C8779C" w14:textId="613D7FC5" w:rsidR="00EA4F1B" w:rsidRPr="00132915" w:rsidRDefault="00EA4F1B" w:rsidP="0065314A">
            <w:pPr>
              <w:pStyle w:val="ACMANormalTabbed"/>
              <w:rPr>
                <w:b/>
                <w:bCs/>
              </w:rPr>
            </w:pPr>
            <w:r w:rsidRPr="00132915">
              <w:rPr>
                <w:b/>
                <w:bCs/>
              </w:rPr>
              <w:t>This case study highlights an enterprise that already has access to spectrum and is building a private wireless network in urban areas</w:t>
            </w:r>
            <w:r w:rsidR="00A9341C">
              <w:rPr>
                <w:b/>
                <w:bCs/>
              </w:rPr>
              <w:t>.</w:t>
            </w:r>
          </w:p>
          <w:p w14:paraId="4CA17B34" w14:textId="77777777" w:rsidR="00EA4F1B" w:rsidRPr="0021563C" w:rsidRDefault="00EA4F1B" w:rsidP="00EA4F1B">
            <w:pPr>
              <w:pStyle w:val="Paragraph"/>
            </w:pPr>
            <w:r w:rsidRPr="0021563C">
              <w:t xml:space="preserve">The Public Transport Authority of Western Australia (PTAWA) is building a private LTE network to replace the narrowband analogue radio systems covering the rail infrastructure around Perth.  </w:t>
            </w:r>
          </w:p>
          <w:p w14:paraId="6A006A6E" w14:textId="77777777" w:rsidR="00EA4F1B" w:rsidRPr="0021563C" w:rsidRDefault="00EA4F1B" w:rsidP="00EA4F1B">
            <w:pPr>
              <w:pStyle w:val="Paragraph"/>
            </w:pPr>
            <w:r w:rsidRPr="0021563C">
              <w:rPr>
                <w:b/>
                <w:bCs/>
              </w:rPr>
              <w:t>Purpose:</w:t>
            </w:r>
            <w:r w:rsidRPr="0021563C">
              <w:t xml:space="preserve"> To upgrade a narrowband voice-only network to a fully digital platform with high-speed data and video services. </w:t>
            </w:r>
          </w:p>
          <w:p w14:paraId="2CFFF76C" w14:textId="77777777" w:rsidR="00EA4F1B" w:rsidRPr="0021563C" w:rsidRDefault="00EA4F1B" w:rsidP="00EA4F1B">
            <w:pPr>
              <w:pStyle w:val="Paragraph"/>
            </w:pPr>
            <w:r w:rsidRPr="0021563C">
              <w:rPr>
                <w:b/>
                <w:bCs/>
              </w:rPr>
              <w:t>Timing</w:t>
            </w:r>
            <w:r w:rsidRPr="0021563C">
              <w:t xml:space="preserve">: Initial contract given to Huawei in 2018, then re-tendered and awarded to Nokia in 2022. The network is expected to be running by 2026. </w:t>
            </w:r>
          </w:p>
          <w:p w14:paraId="72C3AE91" w14:textId="77777777" w:rsidR="00EA4F1B" w:rsidRPr="0021563C" w:rsidRDefault="00EA4F1B" w:rsidP="00EA4F1B">
            <w:pPr>
              <w:pStyle w:val="Paragraph"/>
            </w:pPr>
            <w:r w:rsidRPr="0021563C">
              <w:rPr>
                <w:b/>
                <w:bCs/>
              </w:rPr>
              <w:t>Barriers:</w:t>
            </w:r>
            <w:r w:rsidRPr="0021563C">
              <w:t xml:space="preserve"> This </w:t>
            </w:r>
            <w:r>
              <w:t xml:space="preserve">will be </w:t>
            </w:r>
            <w:r w:rsidRPr="0021563C">
              <w:t xml:space="preserve">the first </w:t>
            </w:r>
            <w:r>
              <w:t xml:space="preserve">LTE </w:t>
            </w:r>
            <w:r w:rsidRPr="0021563C">
              <w:t xml:space="preserve">railway private wireless network in </w:t>
            </w:r>
            <w:r>
              <w:t>Australia</w:t>
            </w:r>
            <w:r w:rsidRPr="0021563C">
              <w:t>. It is being built at the same frequency selected by the International Union of Railways for 5G. However, the standards have not been finalised and there is limited equipment available. This will improve in coming years as more railways build 5G networks at this frequency and the range of rail-specific equipment increases.</w:t>
            </w:r>
          </w:p>
          <w:p w14:paraId="580CE3B1" w14:textId="77777777" w:rsidR="00EA4F1B" w:rsidRPr="0021563C" w:rsidRDefault="00EA4F1B" w:rsidP="00C35864">
            <w:pPr>
              <w:pStyle w:val="Paragraph"/>
            </w:pPr>
            <w:r w:rsidRPr="0021563C">
              <w:rPr>
                <w:b/>
                <w:bCs/>
              </w:rPr>
              <w:t>Background</w:t>
            </w:r>
            <w:r w:rsidRPr="0021563C">
              <w:t xml:space="preserve">: The network will use licenced spectrum at 1800 </w:t>
            </w:r>
            <w:proofErr w:type="spellStart"/>
            <w:r w:rsidRPr="0021563C">
              <w:t>MHz.</w:t>
            </w:r>
            <w:proofErr w:type="spellEnd"/>
            <w:r w:rsidRPr="0021563C">
              <w:t xml:space="preserve"> Like many state rail companies, PTAWA bought spectrum from the liquidation of </w:t>
            </w:r>
            <w:proofErr w:type="spellStart"/>
            <w:r w:rsidRPr="0021563C">
              <w:t>OneTel</w:t>
            </w:r>
            <w:proofErr w:type="spellEnd"/>
            <w:r w:rsidRPr="0021563C">
              <w:t>.</w:t>
            </w:r>
            <w:r>
              <w:rPr>
                <w:rStyle w:val="FootnoteReference"/>
              </w:rPr>
              <w:footnoteReference w:id="32"/>
            </w:r>
          </w:p>
          <w:p w14:paraId="0187D040" w14:textId="77777777" w:rsidR="00EA4F1B" w:rsidRPr="0021563C" w:rsidRDefault="00EA4F1B" w:rsidP="00EA4F1B">
            <w:pPr>
              <w:pStyle w:val="Paragraph"/>
            </w:pPr>
            <w:r w:rsidRPr="0021563C">
              <w:t xml:space="preserve">This frequency harmonises with the </w:t>
            </w:r>
            <w:hyperlink r:id="rId31" w:anchor="Future-Railway-Mobile-Communication-System" w:history="1">
              <w:r w:rsidRPr="0021563C">
                <w:rPr>
                  <w:rStyle w:val="Hyperlink"/>
                  <w:color w:val="auto"/>
                </w:rPr>
                <w:t>Future Railway Mobile Communication System</w:t>
              </w:r>
            </w:hyperlink>
            <w:r w:rsidRPr="0021563C">
              <w:t xml:space="preserve"> (FRMCS) that will eventually bring 5G to European railway networks</w:t>
            </w:r>
            <w:r>
              <w:t xml:space="preserve"> and create a global market of </w:t>
            </w:r>
            <w:r w:rsidRPr="0021563C">
              <w:t>rail</w:t>
            </w:r>
            <w:r>
              <w:t xml:space="preserve">-specific 5G </w:t>
            </w:r>
            <w:r w:rsidRPr="0021563C">
              <w:t xml:space="preserve">equipment. </w:t>
            </w:r>
          </w:p>
          <w:p w14:paraId="524CDDA6" w14:textId="77777777" w:rsidR="00EA4F1B" w:rsidRPr="0021563C" w:rsidRDefault="00EA4F1B" w:rsidP="00EA4F1B">
            <w:pPr>
              <w:pStyle w:val="Paragraph"/>
            </w:pPr>
            <w:r w:rsidRPr="0021563C">
              <w:t xml:space="preserve">Following a competitive tender process, PTAWA selected Nokia to design and build the private wireless network and provide at least 5 years of maintenance. Nokia will use off-the-shelf 4.9G/LTE equipment. The network may be upgraded to 5G or 6G in the future, but this technology is adequate for medium-term needs. </w:t>
            </w:r>
          </w:p>
          <w:p w14:paraId="69DFFE33" w14:textId="5BCC8784" w:rsidR="00EA4F1B" w:rsidRDefault="00EA4F1B" w:rsidP="0065314A">
            <w:pPr>
              <w:pStyle w:val="Paragraph"/>
              <w:spacing w:after="120"/>
              <w:rPr>
                <w:u w:color="0000FF"/>
              </w:rPr>
            </w:pPr>
            <w:r w:rsidRPr="0021563C">
              <w:t>PTAWA’s private wireless network will cover 250 km of railway</w:t>
            </w:r>
            <w:r w:rsidR="00A9341C">
              <w:t>,</w:t>
            </w:r>
            <w:r w:rsidRPr="0021563C">
              <w:t xml:space="preserve"> including a new 8.5</w:t>
            </w:r>
            <w:r>
              <w:t> </w:t>
            </w:r>
            <w:r w:rsidRPr="0021563C">
              <w:t>km-long underground tunnel. It will have 129 sites with a macro</w:t>
            </w:r>
            <w:r w:rsidR="00A9341C">
              <w:t xml:space="preserve"> </w:t>
            </w:r>
            <w:r w:rsidRPr="0021563C">
              <w:t>cell every 2.5</w:t>
            </w:r>
            <w:r w:rsidR="00A9341C">
              <w:t> </w:t>
            </w:r>
            <w:r w:rsidRPr="0021563C">
              <w:t>km on average</w:t>
            </w:r>
            <w:r w:rsidR="00F75F68">
              <w:t>. All these macro cells</w:t>
            </w:r>
            <w:r w:rsidRPr="0021563C">
              <w:t xml:space="preserve"> </w:t>
            </w:r>
            <w:r w:rsidR="00234B12">
              <w:t xml:space="preserve">will be </w:t>
            </w:r>
            <w:r w:rsidR="004C4B36">
              <w:t>connect</w:t>
            </w:r>
            <w:r w:rsidR="0086186B">
              <w:t>ed</w:t>
            </w:r>
            <w:r w:rsidR="004C4B36">
              <w:t xml:space="preserve"> </w:t>
            </w:r>
            <w:r w:rsidR="00F75F68">
              <w:t>by</w:t>
            </w:r>
            <w:r w:rsidR="005B1539">
              <w:t xml:space="preserve"> </w:t>
            </w:r>
            <w:r w:rsidRPr="0021563C">
              <w:t>microwave backhaul</w:t>
            </w:r>
            <w:r w:rsidR="00191297">
              <w:t xml:space="preserve"> </w:t>
            </w:r>
            <w:r w:rsidR="00B37E08">
              <w:t>(</w:t>
            </w:r>
            <w:r w:rsidR="000522D4">
              <w:t>high</w:t>
            </w:r>
            <w:r w:rsidR="0038355D">
              <w:t>-</w:t>
            </w:r>
            <w:r w:rsidR="000522D4">
              <w:t xml:space="preserve">capacity </w:t>
            </w:r>
            <w:r w:rsidR="00234B12">
              <w:t>wireless</w:t>
            </w:r>
            <w:r w:rsidR="00356C8C">
              <w:t xml:space="preserve"> connection</w:t>
            </w:r>
            <w:r w:rsidR="00F75F68">
              <w:t xml:space="preserve"> to </w:t>
            </w:r>
            <w:r w:rsidR="005B1539">
              <w:t xml:space="preserve">a </w:t>
            </w:r>
            <w:r w:rsidR="00F75F68">
              <w:t>core network</w:t>
            </w:r>
            <w:r w:rsidR="00B37E08">
              <w:t>)</w:t>
            </w:r>
            <w:r w:rsidRPr="0021563C">
              <w:t>. The private wireless network will be used for railway operations. It will support a ‘Communications Base Train Control High-Capacity’ signalling system. It will not provide connectivity for passengers.</w:t>
            </w:r>
            <w:r w:rsidRPr="003B32A3">
              <w:t xml:space="preserve">  </w:t>
            </w:r>
          </w:p>
        </w:tc>
      </w:tr>
    </w:tbl>
    <w:p w14:paraId="2D613C84" w14:textId="2D453E9B" w:rsidR="00EA4F1B" w:rsidRDefault="00EA4F1B" w:rsidP="0065314A">
      <w:pPr>
        <w:pStyle w:val="Paragraph"/>
        <w:spacing w:after="120"/>
      </w:pPr>
    </w:p>
    <w:p w14:paraId="5F6CEA89" w14:textId="01E32AEE" w:rsidR="00230B9A" w:rsidRPr="00230B9A" w:rsidRDefault="00230B9A" w:rsidP="00230B9A">
      <w:pPr>
        <w:pStyle w:val="Heading3"/>
      </w:pPr>
      <w:r w:rsidRPr="00230B9A">
        <w:t>Mid</w:t>
      </w:r>
      <w:r w:rsidR="00A9341C">
        <w:t>-</w:t>
      </w:r>
      <w:r w:rsidRPr="00230B9A">
        <w:t xml:space="preserve"> and </w:t>
      </w:r>
      <w:r w:rsidR="00A9341C" w:rsidRPr="00230B9A">
        <w:t>high</w:t>
      </w:r>
      <w:r w:rsidR="00A9341C">
        <w:t>-</w:t>
      </w:r>
      <w:r w:rsidRPr="00230B9A">
        <w:t xml:space="preserve">band frequencies suit indoor </w:t>
      </w:r>
      <w:proofErr w:type="gramStart"/>
      <w:r w:rsidRPr="00230B9A">
        <w:t>manufacturing</w:t>
      </w:r>
      <w:proofErr w:type="gramEnd"/>
    </w:p>
    <w:p w14:paraId="706E6302" w14:textId="3469F564" w:rsidR="00230B9A" w:rsidRDefault="00230B9A" w:rsidP="00230B9A">
      <w:pPr>
        <w:pStyle w:val="Paragraph"/>
      </w:pPr>
      <w:r>
        <w:t xml:space="preserve">While the mining and resources sector is the main deployer of private wireless networks in Australia, globally it is the manufacturing sector that is deploying the most </w:t>
      </w:r>
      <w:r w:rsidRPr="00B07DE1">
        <w:t>private wireless networks</w:t>
      </w:r>
      <w:r>
        <w:t xml:space="preserve"> (see Figure 3)</w:t>
      </w:r>
      <w:r w:rsidR="00A9341C">
        <w:t>.</w:t>
      </w:r>
      <w:r>
        <w:t xml:space="preserve"> </w:t>
      </w:r>
    </w:p>
    <w:p w14:paraId="55D92A61" w14:textId="77777777" w:rsidR="00230B9A" w:rsidRPr="00CE7470" w:rsidRDefault="00230B9A" w:rsidP="00230B9A">
      <w:pPr>
        <w:pStyle w:val="Paragraphbeforelist"/>
      </w:pPr>
      <w:r>
        <w:t xml:space="preserve">These mid-band frequencies are well suited to manufacturing because:  </w:t>
      </w:r>
    </w:p>
    <w:p w14:paraId="073B9F63" w14:textId="77777777" w:rsidR="00230B9A" w:rsidRPr="00CE7470" w:rsidRDefault="00230B9A" w:rsidP="00230B9A">
      <w:pPr>
        <w:pStyle w:val="Bulletlevel1"/>
      </w:pPr>
      <w:r>
        <w:t xml:space="preserve">they can </w:t>
      </w:r>
      <w:r w:rsidRPr="00CE7470">
        <w:t xml:space="preserve">carry </w:t>
      </w:r>
      <w:r>
        <w:t xml:space="preserve">large </w:t>
      </w:r>
      <w:r w:rsidRPr="00CE7470">
        <w:t xml:space="preserve">amounts of data </w:t>
      </w:r>
      <w:r>
        <w:t>over short distances (less than 1 km)</w:t>
      </w:r>
    </w:p>
    <w:p w14:paraId="155E4BC5" w14:textId="77777777" w:rsidR="00230B9A" w:rsidRDefault="00230B9A" w:rsidP="00230B9A">
      <w:pPr>
        <w:pStyle w:val="Bulletlevel1"/>
      </w:pPr>
      <w:r>
        <w:t xml:space="preserve">they </w:t>
      </w:r>
      <w:r w:rsidRPr="00CE7470">
        <w:t xml:space="preserve">can be contained within </w:t>
      </w:r>
      <w:r>
        <w:t xml:space="preserve">factory </w:t>
      </w:r>
      <w:proofErr w:type="gramStart"/>
      <w:r w:rsidRPr="00CE7470">
        <w:t>walls</w:t>
      </w:r>
      <w:proofErr w:type="gramEnd"/>
      <w:r w:rsidRPr="00CE7470">
        <w:t xml:space="preserve"> </w:t>
      </w:r>
    </w:p>
    <w:p w14:paraId="5D8D7DE3" w14:textId="6D784299" w:rsidR="00230B9A" w:rsidRPr="00CE7470" w:rsidRDefault="00230B9A" w:rsidP="00230B9A">
      <w:pPr>
        <w:pStyle w:val="Bulletlevel1last"/>
      </w:pPr>
      <w:r>
        <w:t>there is a growing pool of 4G/LTE and 5G equipment designed for manufacturing.</w:t>
      </w:r>
    </w:p>
    <w:p w14:paraId="18234595" w14:textId="2B6C90C1" w:rsidR="00230B9A" w:rsidRDefault="00230B9A" w:rsidP="00230B9A">
      <w:pPr>
        <w:pStyle w:val="Paragraph"/>
      </w:pPr>
      <w:r>
        <w:t xml:space="preserve">Several countries have reserved mid-band, or C-band frequencies (3.5–3.7 GHz) specifically for private wireless networks. This is discussed further in the </w:t>
      </w:r>
      <w:r w:rsidR="00F8204C">
        <w:t>‘</w:t>
      </w:r>
      <w:r>
        <w:t>Spectrum Access</w:t>
      </w:r>
      <w:r w:rsidR="00F8204C">
        <w:t>’</w:t>
      </w:r>
      <w:r>
        <w:t xml:space="preserve"> section below. </w:t>
      </w:r>
    </w:p>
    <w:p w14:paraId="1C312FFC" w14:textId="77777777" w:rsidR="00230B9A" w:rsidRDefault="00230B9A" w:rsidP="0065314A">
      <w:pPr>
        <w:pStyle w:val="Figureheading"/>
        <w:spacing w:after="0"/>
      </w:pPr>
      <w:r>
        <w:t>Private LTE/5G wireless network trials and commercial deployments worldwide by sector (base: 1,148 organisations with revenue over €100,000)</w:t>
      </w:r>
      <w:r w:rsidRPr="0065314A">
        <w:rPr>
          <w:rStyle w:val="FootnoteReference"/>
        </w:rPr>
        <w:footnoteReference w:id="33"/>
      </w:r>
    </w:p>
    <w:p w14:paraId="260A9BA2" w14:textId="77777777" w:rsidR="00230B9A" w:rsidRDefault="00230B9A" w:rsidP="00230B9A">
      <w:pPr>
        <w:pStyle w:val="Paragraph"/>
      </w:pPr>
      <w:r w:rsidRPr="00907433">
        <w:rPr>
          <w:noProof/>
        </w:rPr>
        <w:t xml:space="preserve"> </w:t>
      </w:r>
      <w:r>
        <w:rPr>
          <w:noProof/>
        </w:rPr>
        <w:drawing>
          <wp:inline distT="0" distB="0" distL="0" distR="0" wp14:anchorId="25C2D248" wp14:editId="31B12604">
            <wp:extent cx="4152899" cy="3233058"/>
            <wp:effectExtent l="0" t="0" r="635" b="5715"/>
            <wp:docPr id="10" name="Chart 10" descr="Pie chart showing manufacturing at 26%, education at 14%, mining at 10%, defence and peacekeeping at 9%, power and utilities at 9%, lab-as-a-service at 8%, other at 7%, smart city at 7%, rail at 5%, oil and gas at 5%.">
              <a:extLst xmlns:a="http://schemas.openxmlformats.org/drawingml/2006/main">
                <a:ext uri="{FF2B5EF4-FFF2-40B4-BE49-F238E27FC236}">
                  <a16:creationId xmlns:a16="http://schemas.microsoft.com/office/drawing/2014/main" id="{5BE0C874-3DF6-E894-42BE-B47CF49E0FC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14:paraId="00015B77" w14:textId="77777777" w:rsidR="00230B9A" w:rsidRPr="006327D2" w:rsidRDefault="00230B9A" w:rsidP="00EB03E1">
      <w:pPr>
        <w:pStyle w:val="Paragraph"/>
        <w:spacing w:after="0"/>
      </w:pPr>
    </w:p>
    <w:p w14:paraId="4F1E8DE4" w14:textId="77777777" w:rsidR="00230B9A" w:rsidRPr="00132915" w:rsidRDefault="00230B9A" w:rsidP="00EB03E1">
      <w:pPr>
        <w:pStyle w:val="Heading2"/>
        <w:spacing w:before="120"/>
      </w:pPr>
      <w:bookmarkStart w:id="27" w:name="_Toc139373155"/>
      <w:bookmarkStart w:id="28" w:name="_Toc146022989"/>
      <w:r w:rsidRPr="00132915">
        <w:t>How much spectrum do private wireless networks need?</w:t>
      </w:r>
      <w:bookmarkEnd w:id="27"/>
      <w:bookmarkEnd w:id="28"/>
      <w:r w:rsidRPr="00132915">
        <w:t xml:space="preserve"> </w:t>
      </w:r>
    </w:p>
    <w:p w14:paraId="62363D5E" w14:textId="7A8DFECC" w:rsidR="00230B9A" w:rsidRDefault="00230B9A" w:rsidP="00CD264D">
      <w:pPr>
        <w:pStyle w:val="Paragraphbeforelist"/>
      </w:pPr>
      <w:r w:rsidRPr="006C12D8">
        <w:t xml:space="preserve">The </w:t>
      </w:r>
      <w:r w:rsidR="00EB03E1">
        <w:t>amount of spectrum required</w:t>
      </w:r>
      <w:r w:rsidRPr="006C12D8">
        <w:t xml:space="preserve"> depends on what</w:t>
      </w:r>
      <w:r>
        <w:t xml:space="preserve"> purpose</w:t>
      </w:r>
      <w:r w:rsidRPr="006C12D8">
        <w:t xml:space="preserve"> the </w:t>
      </w:r>
      <w:r>
        <w:t>private wireless network</w:t>
      </w:r>
      <w:r w:rsidRPr="006C12D8">
        <w:t xml:space="preserve"> is being set up for</w:t>
      </w:r>
      <w:r>
        <w:t xml:space="preserve">, </w:t>
      </w:r>
      <w:r w:rsidRPr="006C12D8">
        <w:t>what frequency it uses</w:t>
      </w:r>
      <w:r w:rsidR="0074217C">
        <w:t>,</w:t>
      </w:r>
      <w:r>
        <w:t xml:space="preserve"> and </w:t>
      </w:r>
      <w:r w:rsidR="00FC73C3">
        <w:t xml:space="preserve">purchasing </w:t>
      </w:r>
      <w:r>
        <w:t>choices by the operator (for example</w:t>
      </w:r>
      <w:r w:rsidR="0074217C">
        <w:t>,</w:t>
      </w:r>
      <w:r>
        <w:t xml:space="preserve"> buy</w:t>
      </w:r>
      <w:r w:rsidR="00FC73C3">
        <w:t>ing</w:t>
      </w:r>
      <w:r>
        <w:t>, leas</w:t>
      </w:r>
      <w:r w:rsidR="00FC73C3">
        <w:t>ing</w:t>
      </w:r>
      <w:r>
        <w:t xml:space="preserve"> or build</w:t>
      </w:r>
      <w:r w:rsidR="00FC73C3">
        <w:t>ing</w:t>
      </w:r>
      <w:r>
        <w:t xml:space="preserve"> infrastructure </w:t>
      </w:r>
      <w:r w:rsidR="0074217C">
        <w:t xml:space="preserve">versus </w:t>
      </w:r>
      <w:r>
        <w:t>buy</w:t>
      </w:r>
      <w:r w:rsidR="00FC73C3">
        <w:t>ing</w:t>
      </w:r>
      <w:r>
        <w:t xml:space="preserve"> or leas</w:t>
      </w:r>
      <w:r w:rsidR="00494CEC">
        <w:t>ing</w:t>
      </w:r>
      <w:r>
        <w:t xml:space="preserve"> spectrum </w:t>
      </w:r>
      <w:r w:rsidR="00FC73C3">
        <w:t>access</w:t>
      </w:r>
      <w:r w:rsidR="00494CEC">
        <w:t xml:space="preserve"> versus</w:t>
      </w:r>
      <w:r>
        <w:t xml:space="preserve"> </w:t>
      </w:r>
      <w:r w:rsidR="00494CEC">
        <w:t xml:space="preserve">buying or leasing </w:t>
      </w:r>
      <w:r>
        <w:t xml:space="preserve">equipment). Research and interviews indicate: </w:t>
      </w:r>
    </w:p>
    <w:p w14:paraId="55DD292C" w14:textId="17ACF52D" w:rsidR="00230B9A" w:rsidRDefault="00230B9A" w:rsidP="00CD264D">
      <w:pPr>
        <w:pStyle w:val="Bulletlevel1"/>
      </w:pPr>
      <w:r>
        <w:t>a</w:t>
      </w:r>
      <w:r w:rsidRPr="006C12D8">
        <w:t xml:space="preserve">n underground hard rock mine </w:t>
      </w:r>
      <w:r>
        <w:t xml:space="preserve">operating at a low-band frequency </w:t>
      </w:r>
      <w:r w:rsidRPr="006C12D8">
        <w:t>would need 5</w:t>
      </w:r>
      <w:r w:rsidR="0074217C">
        <w:t>–</w:t>
      </w:r>
      <w:r w:rsidRPr="006C12D8">
        <w:t>10</w:t>
      </w:r>
      <w:r>
        <w:t xml:space="preserve"> </w:t>
      </w:r>
      <w:r w:rsidRPr="006C12D8">
        <w:t xml:space="preserve">MHz worth of </w:t>
      </w:r>
      <w:r>
        <w:t xml:space="preserve">paired </w:t>
      </w:r>
      <w:r w:rsidRPr="006C12D8">
        <w:t>spectrum for connectivity, autonomous vehicles and asset monitoring</w:t>
      </w:r>
      <w:r w:rsidRPr="006C12D8">
        <w:rPr>
          <w:rStyle w:val="FootnoteReference"/>
        </w:rPr>
        <w:footnoteReference w:id="34"/>
      </w:r>
      <w:r w:rsidRPr="006C12D8">
        <w:t xml:space="preserve"> </w:t>
      </w:r>
    </w:p>
    <w:p w14:paraId="208157A6" w14:textId="7C00A06C" w:rsidR="00230B9A" w:rsidRPr="006C12D8" w:rsidRDefault="00230B9A" w:rsidP="00CD264D">
      <w:pPr>
        <w:pStyle w:val="Bulletlevel1"/>
      </w:pPr>
      <w:r w:rsidRPr="006C12D8">
        <w:t xml:space="preserve">a recent Australian </w:t>
      </w:r>
      <w:r>
        <w:t xml:space="preserve">private </w:t>
      </w:r>
      <w:r w:rsidRPr="006C12D8">
        <w:t>5G</w:t>
      </w:r>
      <w:r>
        <w:t xml:space="preserve"> non-standalone</w:t>
      </w:r>
      <w:r w:rsidRPr="006C12D8">
        <w:t xml:space="preserve"> trial</w:t>
      </w:r>
      <w:r>
        <w:t xml:space="preserve"> </w:t>
      </w:r>
      <w:r w:rsidRPr="006C12D8">
        <w:t xml:space="preserve">involving robotics </w:t>
      </w:r>
      <w:r>
        <w:t>and operating at 2.1 GHz and 26 GHz</w:t>
      </w:r>
      <w:r w:rsidRPr="006C12D8">
        <w:t xml:space="preserve"> needed</w:t>
      </w:r>
      <w:r>
        <w:t xml:space="preserve"> carrier bandwidth of</w:t>
      </w:r>
      <w:r w:rsidRPr="006C12D8">
        <w:t xml:space="preserve"> 400 MHz </w:t>
      </w:r>
      <w:r>
        <w:t xml:space="preserve">worth of spectrum </w:t>
      </w:r>
      <w:r w:rsidRPr="006C12D8">
        <w:t>at m</w:t>
      </w:r>
      <w:r>
        <w:t>illimetre wave</w:t>
      </w:r>
      <w:r w:rsidRPr="006C12D8">
        <w:t xml:space="preserve"> frequencies to get sufficient uplink speeds</w:t>
      </w:r>
      <w:r>
        <w:t xml:space="preserve"> required </w:t>
      </w:r>
      <w:r w:rsidR="004E1CD3">
        <w:t xml:space="preserve">to </w:t>
      </w:r>
      <w:r>
        <w:t xml:space="preserve">stream sensor data from the robot to the edge cloud </w:t>
      </w:r>
      <w:r w:rsidRPr="006C12D8">
        <w:rPr>
          <w:rStyle w:val="FootnoteReference"/>
        </w:rPr>
        <w:footnoteReference w:id="35"/>
      </w:r>
      <w:r w:rsidRPr="006C12D8">
        <w:t xml:space="preserve"> </w:t>
      </w:r>
    </w:p>
    <w:p w14:paraId="1D0C4CE7" w14:textId="77777777" w:rsidR="00230B9A" w:rsidRPr="006C12D8" w:rsidRDefault="00230B9A" w:rsidP="00CD264D">
      <w:pPr>
        <w:pStyle w:val="Bulletlevel1last"/>
      </w:pPr>
      <w:r>
        <w:t xml:space="preserve">about </w:t>
      </w:r>
      <w:r w:rsidRPr="006C12D8">
        <w:t>100</w:t>
      </w:r>
      <w:r>
        <w:t xml:space="preserve"> </w:t>
      </w:r>
      <w:r w:rsidRPr="006C12D8">
        <w:t xml:space="preserve">MHz worth of spectrum </w:t>
      </w:r>
      <w:r>
        <w:t xml:space="preserve">is needed </w:t>
      </w:r>
      <w:r w:rsidRPr="006C12D8">
        <w:t>to successfully use high-definition video or ultra-high-definition video applications</w:t>
      </w:r>
      <w:r>
        <w:t xml:space="preserve"> in a highly automated factory setting</w:t>
      </w:r>
      <w:r w:rsidRPr="006C12D8">
        <w:t>.</w:t>
      </w:r>
      <w:r w:rsidRPr="006C12D8">
        <w:rPr>
          <w:rStyle w:val="FootnoteReference"/>
        </w:rPr>
        <w:footnoteReference w:id="36"/>
      </w:r>
      <w:r w:rsidRPr="006C12D8">
        <w:t xml:space="preserve"> </w:t>
      </w:r>
    </w:p>
    <w:p w14:paraId="7BEF0C56" w14:textId="77777777" w:rsidR="00230B9A" w:rsidRPr="00356690" w:rsidRDefault="00230B9A" w:rsidP="00CD264D">
      <w:pPr>
        <w:pStyle w:val="Paragraph"/>
        <w:rPr>
          <w:szCs w:val="20"/>
        </w:rPr>
      </w:pPr>
      <w:r>
        <w:t>The experience of one Australian network system integrator shows mining and resource operations need up to</w:t>
      </w:r>
      <w:r w:rsidRPr="007A4E16">
        <w:t xml:space="preserve"> </w:t>
      </w:r>
      <w:r>
        <w:t xml:space="preserve">2 x 20 </w:t>
      </w:r>
      <w:r w:rsidRPr="007A4E16">
        <w:t xml:space="preserve">MHz worth of 1800 MHz spectrum to run a private </w:t>
      </w:r>
      <w:r w:rsidRPr="00356690">
        <w:rPr>
          <w:szCs w:val="20"/>
        </w:rPr>
        <w:t xml:space="preserve">wireless network. </w:t>
      </w:r>
    </w:p>
    <w:p w14:paraId="1CB937F4" w14:textId="1D259B0B" w:rsidR="00230B9A" w:rsidRDefault="00230B9A" w:rsidP="00CD264D">
      <w:pPr>
        <w:pStyle w:val="Paragraph"/>
        <w:rPr>
          <w:szCs w:val="20"/>
          <w:vertAlign w:val="superscript"/>
        </w:rPr>
      </w:pPr>
      <w:r w:rsidRPr="007A4B9C">
        <w:t xml:space="preserve">Challenge Networks </w:t>
      </w:r>
      <w:r>
        <w:t>has a licence of 2 x</w:t>
      </w:r>
      <w:r w:rsidRPr="007A4B9C">
        <w:t>10 MHz worth of 1800 MHz spectrum in remote areas</w:t>
      </w:r>
      <w:r>
        <w:t>.</w:t>
      </w:r>
      <w:r w:rsidRPr="007A4B9C">
        <w:rPr>
          <w:vertAlign w:val="superscript"/>
        </w:rPr>
        <w:footnoteReference w:id="37"/>
      </w:r>
      <w:r w:rsidRPr="007A4B9C">
        <w:t xml:space="preserve"> When it builds private wireless networks, it applies for another</w:t>
      </w:r>
      <w:r>
        <w:t xml:space="preserve"> 2 x</w:t>
      </w:r>
      <w:r w:rsidRPr="007A4B9C">
        <w:t xml:space="preserve"> </w:t>
      </w:r>
      <w:r w:rsidR="00F17A0A" w:rsidRPr="007A4B9C">
        <w:t>10</w:t>
      </w:r>
      <w:r w:rsidR="00F17A0A">
        <w:t> </w:t>
      </w:r>
      <w:r w:rsidRPr="007A4B9C">
        <w:t>MHz on behalf of the enterprise building the network</w:t>
      </w:r>
      <w:r w:rsidR="00F17A0A">
        <w:t>,</w:t>
      </w:r>
      <w:r w:rsidRPr="007A4B9C">
        <w:t xml:space="preserve"> then leases its own </w:t>
      </w:r>
      <w:r>
        <w:t>allocation</w:t>
      </w:r>
      <w:r w:rsidRPr="007A4B9C">
        <w:t xml:space="preserve"> to the enterprise</w:t>
      </w:r>
      <w:r w:rsidRPr="00CA36EC">
        <w:rPr>
          <w:szCs w:val="20"/>
        </w:rPr>
        <w:t xml:space="preserve"> for a nominal fee</w:t>
      </w:r>
      <w:r>
        <w:rPr>
          <w:szCs w:val="20"/>
        </w:rPr>
        <w:t xml:space="preserve">. </w:t>
      </w:r>
      <w:r w:rsidRPr="00CA36EC">
        <w:rPr>
          <w:szCs w:val="20"/>
        </w:rPr>
        <w:t xml:space="preserve">This gives the enterprise access to </w:t>
      </w:r>
      <w:r>
        <w:rPr>
          <w:szCs w:val="20"/>
        </w:rPr>
        <w:t xml:space="preserve">2 x </w:t>
      </w:r>
      <w:r w:rsidRPr="00CA36EC">
        <w:rPr>
          <w:szCs w:val="20"/>
        </w:rPr>
        <w:t>20 MHz worth of spectrum, which is sufficient for automation and asset tracking operations.</w:t>
      </w:r>
      <w:r w:rsidRPr="00356690">
        <w:rPr>
          <w:vertAlign w:val="superscript"/>
        </w:rPr>
        <w:footnoteReference w:id="38"/>
      </w:r>
      <w:r w:rsidRPr="00CA36EC">
        <w:rPr>
          <w:szCs w:val="20"/>
          <w:vertAlign w:val="superscript"/>
        </w:rPr>
        <w:t xml:space="preserve"> </w:t>
      </w:r>
    </w:p>
    <w:p w14:paraId="08A45719" w14:textId="5D583B23" w:rsidR="00230B9A" w:rsidRPr="00E121C3" w:rsidRDefault="00230B9A" w:rsidP="00CD264D">
      <w:pPr>
        <w:pStyle w:val="Paragraph"/>
      </w:pPr>
      <w:r>
        <w:t xml:space="preserve">In the United States, an organisation can access up to 40 MHz of spectrum for private wireless networks. </w:t>
      </w:r>
      <w:proofErr w:type="spellStart"/>
      <w:r>
        <w:t>GlobalData’s</w:t>
      </w:r>
      <w:proofErr w:type="spellEnd"/>
      <w:r>
        <w:t xml:space="preserve"> research found this was not enough for ‘ambitious internet-of-things strategies in factories and indoor or enclosed area environments such as train stations</w:t>
      </w:r>
      <w:r w:rsidR="0001542C">
        <w:t>’</w:t>
      </w:r>
      <w:r>
        <w:t>.</w:t>
      </w:r>
      <w:r>
        <w:rPr>
          <w:rStyle w:val="FootnoteReference"/>
        </w:rPr>
        <w:footnoteReference w:id="39"/>
      </w:r>
      <w:r>
        <w:t xml:space="preserve"> </w:t>
      </w:r>
    </w:p>
    <w:p w14:paraId="23AE0A30" w14:textId="77777777" w:rsidR="00230B9A" w:rsidRDefault="00230B9A" w:rsidP="00230B9A">
      <w:pPr>
        <w:pStyle w:val="Heading2"/>
      </w:pPr>
      <w:bookmarkStart w:id="29" w:name="_Toc139373156"/>
      <w:bookmarkStart w:id="30" w:name="_Toc146022990"/>
      <w:r w:rsidRPr="000F1186">
        <w:t>Spectrum access</w:t>
      </w:r>
      <w:bookmarkEnd w:id="29"/>
      <w:bookmarkEnd w:id="30"/>
    </w:p>
    <w:p w14:paraId="66C99E70" w14:textId="7502F93D" w:rsidR="00230B9A" w:rsidRDefault="00230B9A" w:rsidP="00CD264D">
      <w:pPr>
        <w:pStyle w:val="Paragraph"/>
      </w:pPr>
      <w:r>
        <w:t xml:space="preserve">Interviewees </w:t>
      </w:r>
      <w:r w:rsidRPr="00EA5C8F">
        <w:t xml:space="preserve">identified access to suitable spectrum </w:t>
      </w:r>
      <w:r>
        <w:t>as a</w:t>
      </w:r>
      <w:r w:rsidRPr="00EA5C8F">
        <w:t xml:space="preserve"> significant barrier to deploy</w:t>
      </w:r>
      <w:r>
        <w:t>ing private wireless networks in urban and metropolitan areas of</w:t>
      </w:r>
      <w:r w:rsidRPr="00EA5C8F">
        <w:t xml:space="preserve"> Australia.</w:t>
      </w:r>
      <w:r>
        <w:rPr>
          <w:rStyle w:val="FootnoteReference"/>
        </w:rPr>
        <w:footnoteReference w:id="40"/>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7661"/>
      </w:tblGrid>
      <w:tr w:rsidR="00F17A0A" w14:paraId="7906A33B" w14:textId="77777777" w:rsidTr="007F1148">
        <w:tc>
          <w:tcPr>
            <w:tcW w:w="7661" w:type="dxa"/>
            <w:shd w:val="clear" w:color="auto" w:fill="F2F2F2" w:themeFill="background1" w:themeFillShade="F2"/>
          </w:tcPr>
          <w:p w14:paraId="4FAEE58B" w14:textId="6B2F5BCD" w:rsidR="00F17A0A" w:rsidRPr="00195540" w:rsidRDefault="00F17A0A" w:rsidP="00E96E44">
            <w:pPr>
              <w:pStyle w:val="Paragraph"/>
              <w:spacing w:after="120"/>
              <w:ind w:left="284"/>
              <w:rPr>
                <w:sz w:val="18"/>
                <w:szCs w:val="22"/>
              </w:rPr>
            </w:pPr>
            <w:r w:rsidRPr="00195540">
              <w:rPr>
                <w:sz w:val="18"/>
                <w:szCs w:val="22"/>
              </w:rPr>
              <w:t xml:space="preserve">Access to spectrum is the critical limitation to the development of private networks. </w:t>
            </w:r>
            <w:r w:rsidR="00496A2E">
              <w:rPr>
                <w:sz w:val="18"/>
                <w:szCs w:val="22"/>
              </w:rPr>
              <w:br/>
            </w:r>
            <w:r w:rsidRPr="00195540">
              <w:rPr>
                <w:sz w:val="18"/>
                <w:szCs w:val="22"/>
              </w:rPr>
              <w:t>Within metropolitan environments – where suitable spectrum is exclusively held by the consumer mobile network operators – the situation is especially dire as innovation is essentially stifled.</w:t>
            </w:r>
          </w:p>
          <w:p w14:paraId="6450562B" w14:textId="5D63C457" w:rsidR="00F17A0A" w:rsidRDefault="00F17A0A" w:rsidP="00450072">
            <w:pPr>
              <w:pStyle w:val="Paragraph"/>
              <w:spacing w:after="120"/>
              <w:jc w:val="right"/>
            </w:pPr>
            <w:r>
              <w:t>Simon Lardner</w:t>
            </w:r>
            <w:r>
              <w:rPr>
                <w:rStyle w:val="FootnoteReference"/>
              </w:rPr>
              <w:footnoteReference w:id="41"/>
            </w:r>
          </w:p>
        </w:tc>
      </w:tr>
    </w:tbl>
    <w:p w14:paraId="0E209C23" w14:textId="77777777" w:rsidR="00F17A0A" w:rsidRDefault="00F17A0A" w:rsidP="007F1148">
      <w:pPr>
        <w:pStyle w:val="Paragraph"/>
        <w:spacing w:after="0"/>
      </w:pPr>
    </w:p>
    <w:p w14:paraId="7FFC0DD6" w14:textId="78CAC934" w:rsidR="00230B9A" w:rsidRDefault="00230B9A" w:rsidP="00CD264D">
      <w:pPr>
        <w:pStyle w:val="Paragraph"/>
      </w:pPr>
      <w:r>
        <w:t>Some governments around the world have reserved spectrum for private industrial applications.</w:t>
      </w:r>
      <w:r>
        <w:rPr>
          <w:rStyle w:val="FootnoteReference"/>
        </w:rPr>
        <w:footnoteReference w:id="42"/>
      </w:r>
      <w:r>
        <w:t xml:space="preserve"> And there is a strong positive correlation between private wireless network deployment and governments making spectrum available for industrial purposes or private wireless networks.</w:t>
      </w:r>
      <w:r>
        <w:rPr>
          <w:rStyle w:val="FootnoteReference"/>
        </w:rPr>
        <w:footnoteReference w:id="43"/>
      </w:r>
      <w:r>
        <w:t xml:space="preserve"> </w:t>
      </w:r>
    </w:p>
    <w:p w14:paraId="0F93D1DE" w14:textId="30E67424" w:rsidR="0090630A" w:rsidRDefault="516B3102" w:rsidP="0090630A">
      <w:pPr>
        <w:pStyle w:val="Paragraphbeforelist"/>
      </w:pPr>
      <w:r>
        <w:t xml:space="preserve">Compared to other jurisdictions, </w:t>
      </w:r>
      <w:r w:rsidR="0090630A">
        <w:t xml:space="preserve">Australia </w:t>
      </w:r>
      <w:r w:rsidR="007E27FB">
        <w:t>has release</w:t>
      </w:r>
      <w:r w:rsidR="00AB6405">
        <w:t>d</w:t>
      </w:r>
      <w:r w:rsidR="00F11D01">
        <w:t>,</w:t>
      </w:r>
      <w:r w:rsidR="00AB6405">
        <w:t xml:space="preserve"> and under current mid-band allocations</w:t>
      </w:r>
      <w:r w:rsidR="00F11D01">
        <w:t>,</w:t>
      </w:r>
      <w:r w:rsidR="00AB6405">
        <w:t xml:space="preserve"> is making</w:t>
      </w:r>
      <w:r w:rsidR="007E27FB">
        <w:t xml:space="preserve"> a significant </w:t>
      </w:r>
      <w:r w:rsidR="00AB6405">
        <w:t xml:space="preserve">amount of spectrum </w:t>
      </w:r>
      <w:r w:rsidR="00471660">
        <w:t>that could be used for private wireless networks</w:t>
      </w:r>
      <w:r w:rsidR="007048D9">
        <w:t>.</w:t>
      </w:r>
      <w:r w:rsidR="0090630A">
        <w:rPr>
          <w:rStyle w:val="FootnoteReference"/>
        </w:rPr>
        <w:footnoteReference w:id="44"/>
      </w:r>
      <w:r w:rsidR="0090630A">
        <w:t xml:space="preserve"> About 5,400 MHz worth of spectrum will be made available in total. This includes 4,800 MHz at millimetre wave frequencies </w:t>
      </w:r>
      <w:r w:rsidR="00CF0C75">
        <w:t xml:space="preserve">between 26 GHz and 28 GHz, </w:t>
      </w:r>
      <w:r w:rsidR="0090630A">
        <w:t>and 600 MHz between 3.4 GHz and 4</w:t>
      </w:r>
      <w:r w:rsidR="00AB6405">
        <w:t xml:space="preserve"> </w:t>
      </w:r>
      <w:r w:rsidR="0090630A">
        <w:t xml:space="preserve">GHz. </w:t>
      </w:r>
    </w:p>
    <w:p w14:paraId="34E6E952" w14:textId="52015348" w:rsidR="0090630A" w:rsidRPr="00BD5E5E" w:rsidRDefault="0090630A" w:rsidP="0090630A">
      <w:pPr>
        <w:pStyle w:val="Paragraphbeforelist"/>
      </w:pPr>
    </w:p>
    <w:p w14:paraId="1991C70F" w14:textId="7984FF34" w:rsidR="0090630A" w:rsidRDefault="00AB6405" w:rsidP="0090630A">
      <w:pPr>
        <w:pStyle w:val="Paragraph"/>
        <w:spacing w:after="120"/>
      </w:pPr>
      <w:r>
        <w:t xml:space="preserve">In terms of other countries, </w:t>
      </w:r>
      <w:r w:rsidR="0090630A">
        <w:t>Germany</w:t>
      </w:r>
      <w:r>
        <w:t xml:space="preserve"> has released </w:t>
      </w:r>
      <w:r w:rsidR="0090630A">
        <w:t xml:space="preserve"> 3,350 MHz with most of that also around 26 GHz. And then the UK with 2,656 MHz also at </w:t>
      </w:r>
      <w:r>
        <w:t xml:space="preserve">high band </w:t>
      </w:r>
      <w:r w:rsidR="0090630A">
        <w:t>frequenc</w:t>
      </w:r>
      <w:r>
        <w:t>ies</w:t>
      </w:r>
      <w:r w:rsidR="0090630A">
        <w:t xml:space="preserve">. </w:t>
      </w:r>
    </w:p>
    <w:p w14:paraId="33102CE7" w14:textId="77777777" w:rsidR="0090630A" w:rsidRDefault="0090630A" w:rsidP="00CD264D">
      <w:pPr>
        <w:pStyle w:val="Paragraph"/>
      </w:pPr>
    </w:p>
    <w:p w14:paraId="03ABC39B" w14:textId="3DD8E719" w:rsidR="00230B9A" w:rsidRDefault="00AB6405" w:rsidP="00CD264D">
      <w:pPr>
        <w:pStyle w:val="Paragraph"/>
      </w:pPr>
      <w:r>
        <w:t>To date, t</w:t>
      </w:r>
      <w:r w:rsidR="00230B9A" w:rsidRPr="00EC6E4C">
        <w:t>he most common frequenc</w:t>
      </w:r>
      <w:r w:rsidR="00230B9A">
        <w:t>ies</w:t>
      </w:r>
      <w:r w:rsidR="00230B9A" w:rsidRPr="00EC6E4C">
        <w:t xml:space="preserve"> </w:t>
      </w:r>
      <w:r w:rsidR="00230B9A">
        <w:t xml:space="preserve">for deployment around the world (56.5% of deployments) </w:t>
      </w:r>
      <w:r w:rsidR="00230B9A" w:rsidRPr="00EC6E4C">
        <w:t xml:space="preserve">is </w:t>
      </w:r>
      <w:r w:rsidR="00230B9A">
        <w:t xml:space="preserve">between </w:t>
      </w:r>
      <w:r w:rsidR="00230B9A" w:rsidRPr="00EC6E4C">
        <w:t>3.5</w:t>
      </w:r>
      <w:r w:rsidR="00230B9A">
        <w:t xml:space="preserve"> GHz and </w:t>
      </w:r>
      <w:r w:rsidR="00230B9A" w:rsidRPr="001E485D">
        <w:t>3.7 GHz</w:t>
      </w:r>
      <w:r w:rsidR="00230B9A">
        <w:t>.</w:t>
      </w:r>
      <w:r w:rsidR="00230B9A">
        <w:rPr>
          <w:rStyle w:val="FootnoteReference"/>
        </w:rPr>
        <w:footnoteReference w:id="45"/>
      </w:r>
      <w:r w:rsidR="00230B9A">
        <w:t xml:space="preserve"> </w:t>
      </w:r>
    </w:p>
    <w:p w14:paraId="6F7BC455" w14:textId="348063D0" w:rsidR="00230B9A" w:rsidRDefault="00230B9A" w:rsidP="00CD264D">
      <w:pPr>
        <w:pStyle w:val="Paragraph"/>
      </w:pPr>
      <w:r>
        <w:t xml:space="preserve">This matches the frequencies </w:t>
      </w:r>
      <w:r w:rsidR="00AB6405">
        <w:t>made available</w:t>
      </w:r>
      <w:r>
        <w:t xml:space="preserve"> by the United States, which has the most private wireless networks in the world, although estimates vary between 64 and 160 deployments.</w:t>
      </w:r>
      <w:r>
        <w:rPr>
          <w:rStyle w:val="FootnoteReference"/>
        </w:rPr>
        <w:footnoteReference w:id="46"/>
      </w:r>
      <w:r>
        <w:t xml:space="preserve"> Germany, China, United Kingdom, Japan and Finland are also in the top 5, with dozens of deployments in each country.</w:t>
      </w:r>
      <w:r>
        <w:rPr>
          <w:rStyle w:val="FootnoteReference"/>
        </w:rPr>
        <w:footnoteReference w:id="47"/>
      </w:r>
    </w:p>
    <w:p w14:paraId="7A27E577" w14:textId="77777777" w:rsidR="00230B9A" w:rsidRPr="00BD5E5E" w:rsidRDefault="00230B9A" w:rsidP="00CD264D">
      <w:pPr>
        <w:pStyle w:val="Paragraph"/>
      </w:pPr>
      <w:r>
        <w:t>The access model for spectrum will determine the go-to-market strategy for adopters, according to companies that install and operate private wireless networks.</w:t>
      </w:r>
      <w:r>
        <w:rPr>
          <w:rStyle w:val="FootnoteReference"/>
        </w:rPr>
        <w:footnoteReference w:id="48"/>
      </w:r>
      <w:r>
        <w:t xml:space="preserve"> </w:t>
      </w:r>
    </w:p>
    <w:p w14:paraId="3F363A62" w14:textId="77777777" w:rsidR="00230B9A" w:rsidRPr="0061023A" w:rsidRDefault="00230B9A" w:rsidP="00CD264D">
      <w:pPr>
        <w:pStyle w:val="Heading3"/>
      </w:pPr>
      <w:r w:rsidRPr="0061023A">
        <w:t>Licence type suitability</w:t>
      </w:r>
      <w:r>
        <w:t xml:space="preserve"> </w:t>
      </w:r>
    </w:p>
    <w:p w14:paraId="4E190521" w14:textId="416D3B28" w:rsidR="00AB6405" w:rsidRDefault="0059731E" w:rsidP="00AB6405">
      <w:pPr>
        <w:pStyle w:val="Paragraph"/>
      </w:pPr>
      <w:r>
        <w:t xml:space="preserve">The </w:t>
      </w:r>
      <w:r w:rsidR="00AB6405">
        <w:t>ACMA carefully considers relevant licensing arrangements to match the licensing product to different forms of spectrum demand. For private networks</w:t>
      </w:r>
      <w:r>
        <w:t xml:space="preserve">, </w:t>
      </w:r>
      <w:r w:rsidR="00F11D01">
        <w:t xml:space="preserve">we </w:t>
      </w:r>
      <w:r w:rsidR="00AB6405">
        <w:t>support these use</w:t>
      </w:r>
      <w:r w:rsidR="00F11D01">
        <w:t xml:space="preserve"> </w:t>
      </w:r>
      <w:r w:rsidR="00AB6405">
        <w:t xml:space="preserve">cases through licensing arrangements for local area wireless broadband.   </w:t>
      </w:r>
    </w:p>
    <w:p w14:paraId="1E6AA974" w14:textId="46705C51" w:rsidR="00230B9A" w:rsidRDefault="00AB6405" w:rsidP="00AB6405">
      <w:pPr>
        <w:pStyle w:val="Paragraph"/>
      </w:pPr>
      <w:r>
        <w:t>Recently, t</w:t>
      </w:r>
      <w:r w:rsidR="00230B9A">
        <w:t>he ACMA introduced area-wide licences in response to changes in technology and requests from spectrum users for additional flexibility within the apparatus licensing system.</w:t>
      </w:r>
      <w:r w:rsidR="00230B9A">
        <w:rPr>
          <w:rStyle w:val="FootnoteReference"/>
        </w:rPr>
        <w:footnoteReference w:id="49"/>
      </w:r>
      <w:r w:rsidR="00230B9A">
        <w:t xml:space="preserve"> There are plans for various spectrum releases between 3.4 GHz and 4 GHz for 2023 and 2024 (see </w:t>
      </w:r>
      <w:hyperlink w:anchor="_Appendix_D_–" w:history="1">
        <w:r w:rsidR="00230B9A" w:rsidRPr="00166374">
          <w:rPr>
            <w:rStyle w:val="Hyperlink"/>
          </w:rPr>
          <w:t>Appendix D</w:t>
        </w:r>
      </w:hyperlink>
      <w:r w:rsidR="00230B9A">
        <w:t xml:space="preserve"> for frequencies relevant to private wireless networks). </w:t>
      </w:r>
      <w:r w:rsidR="00230B9A" w:rsidRPr="006327D2">
        <w:t xml:space="preserve">Australia’s </w:t>
      </w:r>
      <w:r w:rsidR="00230B9A">
        <w:t>radiocommunications</w:t>
      </w:r>
      <w:r w:rsidR="00230B9A" w:rsidRPr="006327D2">
        <w:t xml:space="preserve"> licensing </w:t>
      </w:r>
      <w:r w:rsidR="00230B9A" w:rsidRPr="00866EF9">
        <w:t xml:space="preserve">regime is </w:t>
      </w:r>
      <w:r w:rsidR="00230B9A" w:rsidRPr="000A4192">
        <w:t xml:space="preserve">explained in </w:t>
      </w:r>
      <w:hyperlink w:anchor="_Appendix_E_–" w:history="1">
        <w:r w:rsidR="00230B9A" w:rsidRPr="00166374">
          <w:rPr>
            <w:rStyle w:val="Hyperlink"/>
          </w:rPr>
          <w:t>Appendix E</w:t>
        </w:r>
      </w:hyperlink>
      <w:r w:rsidR="00230B9A" w:rsidRPr="000A4192">
        <w:t>.</w:t>
      </w:r>
      <w:r w:rsidR="00230B9A" w:rsidRPr="00866EF9">
        <w:t xml:space="preserve"> </w:t>
      </w:r>
    </w:p>
    <w:p w14:paraId="7CF39789" w14:textId="786A9211" w:rsidR="00230B9A" w:rsidRDefault="00230B9A" w:rsidP="00CD264D">
      <w:pPr>
        <w:pStyle w:val="Paragraph"/>
      </w:pPr>
      <w:r>
        <w:t>Area-wide licences are</w:t>
      </w:r>
      <w:r w:rsidRPr="004F2A70">
        <w:t xml:space="preserve"> intended to provide licensees with building blocks to support a wide range of spectrum uses, network types, and service and technology uses. Notably, the </w:t>
      </w:r>
      <w:r>
        <w:t xml:space="preserve">area-wide licence </w:t>
      </w:r>
      <w:r w:rsidRPr="004F2A70">
        <w:t>type authorises radiocommunications devices within a specified area, rather than at specific locations.</w:t>
      </w:r>
      <w:r>
        <w:rPr>
          <w:rStyle w:val="FootnoteReference"/>
        </w:rPr>
        <w:footnoteReference w:id="50"/>
      </w:r>
      <w:r w:rsidRPr="004F2A70">
        <w:t xml:space="preserve"> </w:t>
      </w:r>
    </w:p>
    <w:p w14:paraId="28095F27" w14:textId="64BFC14C" w:rsidR="00230B9A" w:rsidRDefault="00230B9A" w:rsidP="00CD264D">
      <w:pPr>
        <w:pStyle w:val="Paragraph"/>
        <w:rPr>
          <w:szCs w:val="20"/>
        </w:rPr>
      </w:pPr>
      <w:r>
        <w:rPr>
          <w:szCs w:val="20"/>
        </w:rPr>
        <w:t>Currently t</w:t>
      </w:r>
      <w:r w:rsidRPr="005A4757">
        <w:rPr>
          <w:szCs w:val="20"/>
        </w:rPr>
        <w:t>he smallest size for</w:t>
      </w:r>
      <w:r>
        <w:rPr>
          <w:szCs w:val="20"/>
        </w:rPr>
        <w:t xml:space="preserve"> an</w:t>
      </w:r>
      <w:r w:rsidRPr="005A4757">
        <w:rPr>
          <w:szCs w:val="20"/>
        </w:rPr>
        <w:t xml:space="preserve"> </w:t>
      </w:r>
      <w:r>
        <w:rPr>
          <w:szCs w:val="20"/>
        </w:rPr>
        <w:t xml:space="preserve">area-wide licence at 26 GHz to 28 GHz is </w:t>
      </w:r>
      <w:r w:rsidR="004E1CD3">
        <w:rPr>
          <w:szCs w:val="20"/>
        </w:rPr>
        <w:t>500 </w:t>
      </w:r>
      <w:r>
        <w:rPr>
          <w:szCs w:val="20"/>
        </w:rPr>
        <w:t xml:space="preserve">meters x 500 meters. The </w:t>
      </w:r>
      <w:r w:rsidRPr="005A4757">
        <w:rPr>
          <w:szCs w:val="20"/>
        </w:rPr>
        <w:t>3</w:t>
      </w:r>
      <w:r>
        <w:rPr>
          <w:szCs w:val="20"/>
        </w:rPr>
        <w:t xml:space="preserve"> GHz to </w:t>
      </w:r>
      <w:r w:rsidRPr="005A4757">
        <w:rPr>
          <w:szCs w:val="20"/>
        </w:rPr>
        <w:t>4 GH</w:t>
      </w:r>
      <w:r>
        <w:rPr>
          <w:szCs w:val="20"/>
        </w:rPr>
        <w:t>z</w:t>
      </w:r>
      <w:r w:rsidRPr="005A4757">
        <w:rPr>
          <w:szCs w:val="20"/>
        </w:rPr>
        <w:t xml:space="preserve"> </w:t>
      </w:r>
      <w:r>
        <w:rPr>
          <w:szCs w:val="20"/>
        </w:rPr>
        <w:t>area-wide licence</w:t>
      </w:r>
      <w:r w:rsidRPr="005A4757">
        <w:rPr>
          <w:szCs w:val="20"/>
        </w:rPr>
        <w:t xml:space="preserve"> in remote areas is 1.8 km x 1.8 km or 3.2</w:t>
      </w:r>
      <w:r>
        <w:rPr>
          <w:szCs w:val="20"/>
        </w:rPr>
        <w:t> km</w:t>
      </w:r>
      <w:r w:rsidRPr="00DC771F">
        <w:rPr>
          <w:szCs w:val="20"/>
          <w:vertAlign w:val="superscript"/>
        </w:rPr>
        <w:t>2</w:t>
      </w:r>
      <w:r w:rsidRPr="00AF0052">
        <w:rPr>
          <w:szCs w:val="20"/>
        </w:rPr>
        <w:t xml:space="preserve"> </w:t>
      </w:r>
      <w:r>
        <w:rPr>
          <w:szCs w:val="20"/>
        </w:rPr>
        <w:t>and the geographic size of the planned metro, regional and urban excise area-wide licences</w:t>
      </w:r>
      <w:r w:rsidDel="00CC323E">
        <w:rPr>
          <w:szCs w:val="20"/>
        </w:rPr>
        <w:t xml:space="preserve"> </w:t>
      </w:r>
      <w:r>
        <w:rPr>
          <w:szCs w:val="20"/>
        </w:rPr>
        <w:t xml:space="preserve">is expected to be the same (see table at </w:t>
      </w:r>
      <w:hyperlink w:anchor="_Appendix_D_–" w:history="1">
        <w:r w:rsidRPr="00F47863">
          <w:rPr>
            <w:rStyle w:val="Hyperlink"/>
            <w:szCs w:val="20"/>
          </w:rPr>
          <w:t>Appendix D</w:t>
        </w:r>
      </w:hyperlink>
      <w:r>
        <w:rPr>
          <w:szCs w:val="20"/>
        </w:rPr>
        <w:t xml:space="preserve"> for details).</w:t>
      </w:r>
    </w:p>
    <w:p w14:paraId="0A9422BA" w14:textId="77777777" w:rsidR="00230B9A" w:rsidRPr="00505608" w:rsidRDefault="00230B9A" w:rsidP="00747C2E">
      <w:pPr>
        <w:pStyle w:val="Heading3"/>
        <w:keepLines/>
      </w:pPr>
      <w:r w:rsidRPr="00505608">
        <w:t>Interference</w:t>
      </w:r>
    </w:p>
    <w:p w14:paraId="7004FEF4" w14:textId="77777777" w:rsidR="00230B9A" w:rsidRDefault="00230B9A" w:rsidP="0065314A">
      <w:pPr>
        <w:pStyle w:val="Paragraph"/>
      </w:pPr>
      <w:r>
        <w:t xml:space="preserve">Interviews with industry participants revealed uncertainty about the size of area-wide licences and how interference will be managed if 2 neighbouring outdoor networks cannot cooperate to eliminate </w:t>
      </w:r>
      <w:r w:rsidRPr="00612FFF">
        <w:t>interference</w:t>
      </w:r>
      <w:r>
        <w:t>. However, the ACMA has proposed interference management techniques including synchronisation requirements.</w:t>
      </w:r>
      <w:r>
        <w:rPr>
          <w:rStyle w:val="FootnoteReference"/>
        </w:rPr>
        <w:footnoteReference w:id="51"/>
      </w:r>
      <w:r>
        <w:t xml:space="preserve"> </w:t>
      </w:r>
    </w:p>
    <w:p w14:paraId="0AB5B820" w14:textId="7AA82091" w:rsidR="00230B9A" w:rsidRDefault="00230B9A" w:rsidP="0065314A">
      <w:pPr>
        <w:pStyle w:val="Paragraph"/>
      </w:pPr>
      <w:r>
        <w:t xml:space="preserve">If private wireless networks are </w:t>
      </w:r>
      <w:r w:rsidRPr="00612FFF">
        <w:t>deployed</w:t>
      </w:r>
      <w:r>
        <w:t xml:space="preserve"> indoors using higher frequency spectrum</w:t>
      </w:r>
      <w:r w:rsidR="00BA4B48">
        <w:t>,</w:t>
      </w:r>
      <w:r>
        <w:t xml:space="preserve"> there is unlikely to be interference between networks</w:t>
      </w:r>
      <w:r w:rsidR="004E1CD3">
        <w:t>.</w:t>
      </w:r>
      <w: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7661"/>
      </w:tblGrid>
      <w:tr w:rsidR="00BA4B48" w14:paraId="3F237325" w14:textId="77777777" w:rsidTr="0020191F">
        <w:tc>
          <w:tcPr>
            <w:tcW w:w="7661" w:type="dxa"/>
            <w:shd w:val="clear" w:color="auto" w:fill="F2F2F2" w:themeFill="background1" w:themeFillShade="F2"/>
          </w:tcPr>
          <w:p w14:paraId="75A42C3A" w14:textId="77777777" w:rsidR="00BA4B48" w:rsidRPr="0020191F" w:rsidRDefault="00BA4B48" w:rsidP="0020191F">
            <w:pPr>
              <w:keepNext/>
              <w:keepLines/>
              <w:spacing w:before="120" w:after="120"/>
              <w:ind w:left="454" w:right="567"/>
              <w:rPr>
                <w:sz w:val="18"/>
                <w:szCs w:val="22"/>
              </w:rPr>
            </w:pPr>
            <w:r w:rsidRPr="0020191F">
              <w:rPr>
                <w:sz w:val="18"/>
                <w:szCs w:val="22"/>
              </w:rPr>
              <w:t xml:space="preserve">In our research spanning the past two years relating to private wireless networks we have not come across interference issues with private wireless networks as most physical sites are fairly isolated from each other. That said, this is yet another reason why long term private wireless networks will trend towards millimetre wave spectrum as there will not be any interference issues arising in most industrial settings. </w:t>
            </w:r>
          </w:p>
          <w:p w14:paraId="56F63A32" w14:textId="414B22AA" w:rsidR="00BA4B48" w:rsidRDefault="00BA4B48" w:rsidP="00450072">
            <w:pPr>
              <w:keepNext/>
              <w:keepLines/>
              <w:spacing w:before="120" w:after="120"/>
              <w:ind w:left="454" w:right="567"/>
              <w:jc w:val="right"/>
            </w:pPr>
            <w:proofErr w:type="spellStart"/>
            <w:r>
              <w:t>GlobalData</w:t>
            </w:r>
            <w:proofErr w:type="spellEnd"/>
            <w:r>
              <w:rPr>
                <w:rStyle w:val="FootnoteReference"/>
              </w:rPr>
              <w:footnoteReference w:id="52"/>
            </w:r>
          </w:p>
        </w:tc>
      </w:tr>
    </w:tbl>
    <w:p w14:paraId="42E7CB2C" w14:textId="77777777" w:rsidR="00BA4B48" w:rsidRDefault="00BA4B48" w:rsidP="00CD264D">
      <w:pPr>
        <w:pStyle w:val="Paragraph"/>
      </w:pPr>
    </w:p>
    <w:p w14:paraId="75A92493" w14:textId="77777777" w:rsidR="00230B9A" w:rsidRPr="00862A70" w:rsidRDefault="00230B9A" w:rsidP="00230B9A">
      <w:pPr>
        <w:pStyle w:val="Heading1"/>
        <w:rPr>
          <w:sz w:val="20"/>
          <w:szCs w:val="20"/>
        </w:rPr>
      </w:pPr>
      <w:bookmarkStart w:id="31" w:name="_Equipment"/>
      <w:bookmarkStart w:id="32" w:name="_Equipment_1"/>
      <w:bookmarkStart w:id="33" w:name="_Toc139373157"/>
      <w:bookmarkStart w:id="34" w:name="_Toc146022991"/>
      <w:bookmarkEnd w:id="31"/>
      <w:bookmarkEnd w:id="32"/>
      <w:r>
        <w:t>Equipment</w:t>
      </w:r>
      <w:bookmarkEnd w:id="33"/>
      <w:bookmarkEnd w:id="34"/>
    </w:p>
    <w:p w14:paraId="74ECFFF4" w14:textId="77777777" w:rsidR="00230B9A" w:rsidRDefault="00230B9A" w:rsidP="00CD264D">
      <w:pPr>
        <w:pStyle w:val="Paragraph"/>
      </w:pPr>
      <w:bookmarkStart w:id="35" w:name="_Equipment_availability"/>
      <w:bookmarkEnd w:id="35"/>
      <w:r>
        <w:t xml:space="preserve">Along with spectrum, equipment is a crucial ingredient in all wireless networks. Wireless equipment is manufactured for different radiofrequencies.  </w:t>
      </w:r>
    </w:p>
    <w:p w14:paraId="43242ADA" w14:textId="5883ADD8" w:rsidR="00230B9A" w:rsidRPr="00CD264D" w:rsidRDefault="00230B9A" w:rsidP="00CD264D">
      <w:pPr>
        <w:pStyle w:val="Paragraphbeforelist"/>
      </w:pPr>
      <w:r w:rsidRPr="006327D2">
        <w:t xml:space="preserve">This section </w:t>
      </w:r>
      <w:r w:rsidR="00612FFF">
        <w:t>examines</w:t>
      </w:r>
      <w:r w:rsidRPr="006327D2">
        <w:t xml:space="preserve">: </w:t>
      </w:r>
    </w:p>
    <w:p w14:paraId="5D8CC6BC" w14:textId="77777777" w:rsidR="00230B9A" w:rsidRDefault="00230B9A" w:rsidP="00230B9A">
      <w:pPr>
        <w:pStyle w:val="Bulletlevel1"/>
      </w:pPr>
      <w:r w:rsidRPr="00A7502B">
        <w:rPr>
          <w:b/>
          <w:bCs/>
        </w:rPr>
        <w:t>equipment availability</w:t>
      </w:r>
      <w:r>
        <w:t xml:space="preserve"> for private wireless networks worldwide and in Australia</w:t>
      </w:r>
    </w:p>
    <w:p w14:paraId="7CB0F675" w14:textId="77777777" w:rsidR="00230B9A" w:rsidRPr="006327D2" w:rsidRDefault="00230B9A" w:rsidP="00230B9A">
      <w:pPr>
        <w:pStyle w:val="Bulletlevel1"/>
      </w:pPr>
      <w:r>
        <w:rPr>
          <w:b/>
          <w:bCs/>
        </w:rPr>
        <w:t xml:space="preserve">equipment vendors </w:t>
      </w:r>
      <w:r>
        <w:t xml:space="preserve">and the changing enterprise market </w:t>
      </w:r>
    </w:p>
    <w:p w14:paraId="2BEBD061" w14:textId="77777777" w:rsidR="00230B9A" w:rsidRPr="006327D2" w:rsidRDefault="00230B9A" w:rsidP="00CD264D">
      <w:pPr>
        <w:pStyle w:val="Bulletlevel1last"/>
      </w:pPr>
      <w:r w:rsidRPr="00A7502B">
        <w:rPr>
          <w:b/>
          <w:bCs/>
        </w:rPr>
        <w:t>equipment suitability</w:t>
      </w:r>
      <w:r>
        <w:t xml:space="preserve"> </w:t>
      </w:r>
      <w:r w:rsidRPr="006327D2">
        <w:t xml:space="preserve">for </w:t>
      </w:r>
      <w:r>
        <w:t>private wireless network</w:t>
      </w:r>
      <w:r w:rsidRPr="006327D2">
        <w:t>s in Australia</w:t>
      </w:r>
      <w:r>
        <w:t>.</w:t>
      </w:r>
    </w:p>
    <w:p w14:paraId="10A5E60B" w14:textId="77777777" w:rsidR="00230B9A" w:rsidRDefault="00230B9A" w:rsidP="00230B9A">
      <w:pPr>
        <w:pStyle w:val="Heading2"/>
      </w:pPr>
      <w:bookmarkStart w:id="36" w:name="_Equipment_availability_1"/>
      <w:bookmarkStart w:id="37" w:name="_Toc139373158"/>
      <w:bookmarkStart w:id="38" w:name="_Toc146022992"/>
      <w:bookmarkEnd w:id="36"/>
      <w:r>
        <w:t>Equipment availability</w:t>
      </w:r>
      <w:bookmarkEnd w:id="37"/>
      <w:bookmarkEnd w:id="38"/>
    </w:p>
    <w:p w14:paraId="4776EE71" w14:textId="4B32AEFE" w:rsidR="00230B9A" w:rsidRPr="00CD264D" w:rsidRDefault="00230B9A" w:rsidP="00CD264D">
      <w:pPr>
        <w:pStyle w:val="Paragraph"/>
      </w:pPr>
      <w:r>
        <w:t xml:space="preserve">Research commissioned by </w:t>
      </w:r>
      <w:r w:rsidRPr="00CD264D">
        <w:t>the ACMA in late 2022 found network equipment manufacturers are still dealing with global supply chain challenges. The shortages started when growing demand for connected devices</w:t>
      </w:r>
      <w:r w:rsidR="00426BDD">
        <w:t xml:space="preserve">, </w:t>
      </w:r>
      <w:r w:rsidRPr="00CD264D">
        <w:t>particularly in cars</w:t>
      </w:r>
      <w:r w:rsidR="00426BDD">
        <w:t>,</w:t>
      </w:r>
      <w:r w:rsidRPr="00CD264D">
        <w:t xml:space="preserve"> coincided with manufacturing shortages caused by the COVID19 pandemic. </w:t>
      </w:r>
    </w:p>
    <w:p w14:paraId="38A6329A" w14:textId="5F7AF787" w:rsidR="00230B9A" w:rsidRPr="0020191F" w:rsidRDefault="00230B9A" w:rsidP="00CD264D">
      <w:pPr>
        <w:pStyle w:val="Paragraph"/>
        <w:rPr>
          <w:vertAlign w:val="superscript"/>
        </w:rPr>
      </w:pPr>
      <w:r w:rsidRPr="00CD264D">
        <w:t>This includes delays in manufacturing semiconductors, the tools needed to manufacture telecommunications equipment and delays sourcing raw materials</w:t>
      </w:r>
      <w:r w:rsidR="00612FFF" w:rsidRPr="00C71F7F">
        <w:t>.</w:t>
      </w:r>
      <w:r w:rsidRPr="0020191F">
        <w:rPr>
          <w:rStyle w:val="FootnoteReference"/>
        </w:rPr>
        <w:footnoteReference w:id="53"/>
      </w:r>
    </w:p>
    <w:p w14:paraId="5AF017B5" w14:textId="77777777" w:rsidR="00230B9A" w:rsidRDefault="00230B9A" w:rsidP="00CD264D">
      <w:pPr>
        <w:pStyle w:val="Paragraph"/>
      </w:pPr>
      <w:r w:rsidRPr="00CD264D">
        <w:t>The research found the supply shortage impacts ‘nearly every element of the communications sector’ from infrastructure down to laptops.</w:t>
      </w:r>
      <w:r w:rsidRPr="0020191F">
        <w:rPr>
          <w:rStyle w:val="FootnoteReference"/>
        </w:rPr>
        <w:footnoteReference w:id="54"/>
      </w:r>
      <w:r w:rsidRPr="00CD264D">
        <w:t xml:space="preserve"> Fortunately, Australia is not any worse off than comparable</w:t>
      </w:r>
      <w:r>
        <w:t xml:space="preserve"> </w:t>
      </w:r>
      <w:r w:rsidRPr="009B5507">
        <w:t xml:space="preserve">markets </w:t>
      </w:r>
      <w:r>
        <w:t xml:space="preserve">due to the globalised nature of supply chains.  </w:t>
      </w:r>
    </w:p>
    <w:p w14:paraId="47CA6BD2" w14:textId="5389B6E5" w:rsidR="00230B9A" w:rsidRDefault="00230B9A" w:rsidP="00CD264D">
      <w:pPr>
        <w:pStyle w:val="Paragraphbeforelist"/>
      </w:pPr>
      <w:r>
        <w:t>Wireless networking equipment is manufactured for specific frequencies and purposes. When undertaking spectrum management, the ACMA considers:</w:t>
      </w:r>
    </w:p>
    <w:p w14:paraId="3B9734CD" w14:textId="77777777" w:rsidR="00230B9A" w:rsidRDefault="00230B9A" w:rsidP="00CD264D">
      <w:pPr>
        <w:pStyle w:val="Bulletlevel1"/>
      </w:pPr>
      <w:r>
        <w:t>domestic and international trends in spectrum use</w:t>
      </w:r>
    </w:p>
    <w:p w14:paraId="32D16A53" w14:textId="77777777" w:rsidR="00230B9A" w:rsidRDefault="00230B9A" w:rsidP="00CD264D">
      <w:pPr>
        <w:pStyle w:val="Bulletlevel1"/>
      </w:pPr>
      <w:r>
        <w:t>harmonisation and technology standardisation</w:t>
      </w:r>
    </w:p>
    <w:p w14:paraId="26E8C16E" w14:textId="77777777" w:rsidR="00230B9A" w:rsidRDefault="00230B9A" w:rsidP="00CD264D">
      <w:pPr>
        <w:pStyle w:val="Bulletlevel1"/>
      </w:pPr>
      <w:r>
        <w:t>technology evolution</w:t>
      </w:r>
    </w:p>
    <w:p w14:paraId="4A51532E" w14:textId="77777777" w:rsidR="00230B9A" w:rsidRDefault="00230B9A" w:rsidP="00CD264D">
      <w:pPr>
        <w:pStyle w:val="Bulletlevel1"/>
      </w:pPr>
      <w:r w:rsidRPr="00CE0A56">
        <w:t xml:space="preserve">feedback from stakeholders </w:t>
      </w:r>
    </w:p>
    <w:p w14:paraId="2CF0EAB9" w14:textId="1BE13E07" w:rsidR="00230B9A" w:rsidRPr="00F94945" w:rsidRDefault="00426BDD" w:rsidP="00CD264D">
      <w:pPr>
        <w:pStyle w:val="Bulletlevel1last"/>
      </w:pPr>
      <w:r>
        <w:t xml:space="preserve">the </w:t>
      </w:r>
      <w:r w:rsidR="00230B9A" w:rsidRPr="00F94945">
        <w:t>least restrictive approach to achieve policy objectives.</w:t>
      </w:r>
      <w:r w:rsidR="00230B9A">
        <w:rPr>
          <w:rStyle w:val="FootnoteReference"/>
        </w:rPr>
        <w:footnoteReference w:id="55"/>
      </w:r>
      <w:r w:rsidR="00230B9A" w:rsidRPr="00F94945">
        <w:t xml:space="preserve"> </w:t>
      </w:r>
    </w:p>
    <w:p w14:paraId="31697AF9" w14:textId="77777777" w:rsidR="00230B9A" w:rsidRPr="00CD264D" w:rsidRDefault="00230B9A" w:rsidP="00CD264D">
      <w:pPr>
        <w:pStyle w:val="Paragraph"/>
      </w:pPr>
      <w:r w:rsidRPr="00CE0A56">
        <w:t xml:space="preserve">Harmonising spectrum allocations with other major economies means Australian </w:t>
      </w:r>
      <w:r w:rsidRPr="00CD264D">
        <w:t xml:space="preserve">businesses and consumers can access equipment manufactured for European, North American or Asian wireless networks.  </w:t>
      </w:r>
    </w:p>
    <w:p w14:paraId="369F6C0A" w14:textId="527872E3" w:rsidR="00230B9A" w:rsidRPr="00CD264D" w:rsidRDefault="00230B9A" w:rsidP="0020191F">
      <w:pPr>
        <w:pStyle w:val="Heading3"/>
      </w:pPr>
      <w:r w:rsidRPr="00CD264D">
        <w:t xml:space="preserve">Is 4G and 5G private wireless network equipment available now? </w:t>
      </w:r>
    </w:p>
    <w:p w14:paraId="1D007D59" w14:textId="52AD9F58" w:rsidR="00230B9A" w:rsidRDefault="00230B9A" w:rsidP="00CD264D">
      <w:pPr>
        <w:pStyle w:val="Paragraph"/>
      </w:pPr>
      <w:r w:rsidRPr="00CD264D">
        <w:t>The global market for 4G and 5G user equipment has over 35,000 devices. Enterprises</w:t>
      </w:r>
      <w:r>
        <w:t xml:space="preserve"> may not be able to find the right industrial equipment straight away</w:t>
      </w:r>
      <w:r w:rsidR="00426BDD">
        <w:t xml:space="preserve"> </w:t>
      </w:r>
      <w:r>
        <w:t xml:space="preserve">for 5G standalone networks or millimetre wave </w:t>
      </w:r>
      <w:r w:rsidR="00426BDD">
        <w:t>f</w:t>
      </w:r>
      <w:r w:rsidR="00CB31DA">
        <w:t>requencies</w:t>
      </w:r>
      <w:r>
        <w:t xml:space="preserve"> (</w:t>
      </w:r>
      <w:r w:rsidR="004E1CD3">
        <w:t>s</w:t>
      </w:r>
      <w:r>
        <w:t xml:space="preserve">ee Case </w:t>
      </w:r>
      <w:r w:rsidR="00426BDD">
        <w:t>s</w:t>
      </w:r>
      <w:r>
        <w:t xml:space="preserve">tudy </w:t>
      </w:r>
      <w:r w:rsidR="009B675B">
        <w:t>2</w:t>
      </w:r>
      <w:r>
        <w:t xml:space="preserve">). </w:t>
      </w:r>
    </w:p>
    <w:p w14:paraId="36D57E46" w14:textId="0829D62B" w:rsidR="00230B9A" w:rsidRDefault="00230B9A" w:rsidP="00230B9A">
      <w:pPr>
        <w:pStyle w:val="Paragraph"/>
      </w:pPr>
      <w:r>
        <w:t>While the market for 5G standalone equipment is currently smaller, it is growing quickly. The ACMA expects this equipment to be available in the short term, particularly at the most used frequencies of 3.5 to 3.7 GHz.</w:t>
      </w:r>
      <w:r>
        <w:rPr>
          <w:rStyle w:val="FootnoteReference"/>
        </w:rPr>
        <w:footnoteReference w:id="56"/>
      </w:r>
    </w:p>
    <w:p w14:paraId="375A0D16" w14:textId="77777777" w:rsidR="00230B9A" w:rsidRPr="00E26A66" w:rsidRDefault="00230B9A" w:rsidP="00230B9A">
      <w:pPr>
        <w:pStyle w:val="Paragraph"/>
      </w:pPr>
      <w:r>
        <w:t>W</w:t>
      </w:r>
      <w:r w:rsidRPr="00E26A66">
        <w:t>ireless robotic</w:t>
      </w:r>
      <w:r>
        <w:t xml:space="preserve"> equipment</w:t>
      </w:r>
      <w:r w:rsidRPr="00E26A66">
        <w:t xml:space="preserve"> </w:t>
      </w:r>
      <w:r>
        <w:t xml:space="preserve">needs </w:t>
      </w:r>
      <w:r w:rsidRPr="00E26A66">
        <w:t xml:space="preserve">communications devices </w:t>
      </w:r>
      <w:r>
        <w:t>that are</w:t>
      </w:r>
      <w:r w:rsidRPr="00E26A66">
        <w:t xml:space="preserve"> ultra-reliable</w:t>
      </w:r>
      <w:r>
        <w:t xml:space="preserve"> and</w:t>
      </w:r>
      <w:r w:rsidRPr="00E26A66">
        <w:t xml:space="preserve"> low latency</w:t>
      </w:r>
      <w:r>
        <w:t>.</w:t>
      </w:r>
      <w:r w:rsidRPr="00E26A66">
        <w:t xml:space="preserve"> </w:t>
      </w:r>
      <w:r>
        <w:t xml:space="preserve">These communications devices </w:t>
      </w:r>
      <w:r w:rsidRPr="00E26A66">
        <w:t>were first released in 2016</w:t>
      </w:r>
      <w:r>
        <w:t xml:space="preserve">. Several models of these </w:t>
      </w:r>
      <w:r w:rsidRPr="00E26A66">
        <w:t xml:space="preserve">devices </w:t>
      </w:r>
      <w:r>
        <w:t>were available in late 2022</w:t>
      </w:r>
      <w:r w:rsidRPr="00E26A66">
        <w:t xml:space="preserve">. </w:t>
      </w:r>
      <w:r>
        <w:t xml:space="preserve">Availability </w:t>
      </w:r>
      <w:r w:rsidRPr="00E26A66">
        <w:t>is not expected to develop until later in 2023 or 2024</w:t>
      </w:r>
      <w:r>
        <w:t>, according to the president of mobile networks at Nokia</w:t>
      </w:r>
      <w:r w:rsidRPr="00E26A66">
        <w:t>.</w:t>
      </w:r>
      <w:r>
        <w:rPr>
          <w:rStyle w:val="FootnoteReference"/>
        </w:rPr>
        <w:footnoteReference w:id="57"/>
      </w:r>
      <w:r w:rsidRPr="00E26A66">
        <w:t xml:space="preserve">  </w:t>
      </w:r>
    </w:p>
    <w:p w14:paraId="14B4CDAD" w14:textId="446232D0" w:rsidR="00230B9A" w:rsidRDefault="00230B9A" w:rsidP="00230B9A">
      <w:pPr>
        <w:pStyle w:val="Paragraph"/>
      </w:pPr>
      <w:r w:rsidRPr="00E26A66">
        <w:t>There is also limited equipment available at</w:t>
      </w:r>
      <w:r>
        <w:t xml:space="preserve"> millimetre wave </w:t>
      </w:r>
      <w:r w:rsidRPr="00E26A66">
        <w:t xml:space="preserve">frequencies </w:t>
      </w:r>
      <w:r w:rsidR="00263198">
        <w:t>such as</w:t>
      </w:r>
      <w:r w:rsidR="00263198" w:rsidRPr="00E26A66">
        <w:t xml:space="preserve"> 26</w:t>
      </w:r>
      <w:r w:rsidR="00263198">
        <w:t> </w:t>
      </w:r>
      <w:r w:rsidRPr="00E26A66">
        <w:t xml:space="preserve">GHz. </w:t>
      </w:r>
      <w:proofErr w:type="spellStart"/>
      <w:r>
        <w:t>GlobalData</w:t>
      </w:r>
      <w:proofErr w:type="spellEnd"/>
      <w:r>
        <w:t xml:space="preserve"> notes it</w:t>
      </w:r>
      <w:r w:rsidRPr="00E26A66">
        <w:t xml:space="preserve"> could be another 3</w:t>
      </w:r>
      <w:r w:rsidR="003E691E">
        <w:t xml:space="preserve"> to </w:t>
      </w:r>
      <w:r w:rsidRPr="00E26A66">
        <w:t>5 years before equipment is readily available at this frequency</w:t>
      </w:r>
      <w:r>
        <w:t xml:space="preserve"> and </w:t>
      </w:r>
      <w:r w:rsidRPr="00E26A66">
        <w:t xml:space="preserve">products </w:t>
      </w:r>
      <w:r>
        <w:t>are</w:t>
      </w:r>
      <w:r w:rsidRPr="00E26A66">
        <w:t xml:space="preserve"> likely to be </w:t>
      </w:r>
      <w:r>
        <w:t xml:space="preserve">more </w:t>
      </w:r>
      <w:r w:rsidRPr="00E26A66">
        <w:t>expensive</w:t>
      </w:r>
      <w:r>
        <w:t xml:space="preserve"> than for lower frequencies</w:t>
      </w:r>
      <w:r w:rsidRPr="00E26A66">
        <w:t>.</w:t>
      </w:r>
      <w:r>
        <w:rPr>
          <w:rStyle w:val="FootnoteReference"/>
        </w:rPr>
        <w:footnoteReference w:id="58"/>
      </w:r>
      <w:r w:rsidRPr="00E26A66">
        <w:t xml:space="preserve">  </w:t>
      </w:r>
    </w:p>
    <w:p w14:paraId="0F86BF50" w14:textId="32BC31A4" w:rsidR="003E691E" w:rsidRDefault="003E691E" w:rsidP="00E065AE">
      <w:pPr>
        <w:pStyle w:val="Heading3"/>
        <w:shd w:val="clear" w:color="auto" w:fill="F2F2F2" w:themeFill="background1" w:themeFillShade="F2"/>
      </w:pPr>
      <w:r w:rsidRPr="00825D49">
        <w:t xml:space="preserve">Deployment </w:t>
      </w:r>
      <w:r>
        <w:t>c</w:t>
      </w:r>
      <w:r w:rsidRPr="00825D49">
        <w:t>onsiderations</w:t>
      </w:r>
    </w:p>
    <w:p w14:paraId="72B72E23" w14:textId="77777777" w:rsidR="003E691E" w:rsidRPr="00825D49" w:rsidRDefault="003E691E" w:rsidP="00E065AE">
      <w:pPr>
        <w:shd w:val="clear" w:color="auto" w:fill="F2F2F2" w:themeFill="background1" w:themeFillShade="F2"/>
        <w:rPr>
          <w:rFonts w:cs="Arial"/>
        </w:rPr>
      </w:pPr>
      <w:r w:rsidRPr="00825D49">
        <w:rPr>
          <w:rFonts w:cs="Arial"/>
        </w:rPr>
        <w:t xml:space="preserve">Private mobile networks use the same network building blocks as 4G/LTE or 5G public mobile networks. </w:t>
      </w:r>
    </w:p>
    <w:p w14:paraId="7871E46E" w14:textId="41A2CF5A" w:rsidR="003E691E" w:rsidRDefault="003E691E" w:rsidP="00E065AE">
      <w:pPr>
        <w:shd w:val="clear" w:color="auto" w:fill="F2F2F2" w:themeFill="background1" w:themeFillShade="F2"/>
        <w:rPr>
          <w:rFonts w:cs="Arial"/>
        </w:rPr>
      </w:pPr>
      <w:r w:rsidRPr="00825D49">
        <w:rPr>
          <w:rFonts w:cs="Arial"/>
        </w:rPr>
        <w:t>However, if the entire network is operating at 3.8 GHz or higher</w:t>
      </w:r>
      <w:r>
        <w:rPr>
          <w:rFonts w:cs="Arial"/>
        </w:rPr>
        <w:t>,</w:t>
      </w:r>
      <w:r w:rsidRPr="00825D49">
        <w:rPr>
          <w:rFonts w:cs="Arial"/>
        </w:rPr>
        <w:t xml:space="preserve"> then it must be a 5G standalone network.</w:t>
      </w:r>
      <w:r w:rsidRPr="00825D49">
        <w:rPr>
          <w:rFonts w:cs="Arial"/>
          <w:vertAlign w:val="superscript"/>
        </w:rPr>
        <w:footnoteReference w:id="59"/>
      </w:r>
      <w:r w:rsidRPr="00825D49">
        <w:rPr>
          <w:rFonts w:cs="Arial"/>
        </w:rPr>
        <w:t xml:space="preserve"> The equipment market for 5G standalone is less mature than </w:t>
      </w:r>
      <w:r>
        <w:rPr>
          <w:rFonts w:cs="Arial"/>
        </w:rPr>
        <w:br/>
      </w:r>
      <w:r w:rsidRPr="00825D49">
        <w:rPr>
          <w:rFonts w:cs="Arial"/>
        </w:rPr>
        <w:t>for LTE/4G and 5G non-standalone.</w:t>
      </w:r>
    </w:p>
    <w:p w14:paraId="44554992" w14:textId="77777777" w:rsidR="003E691E" w:rsidRPr="00825D49" w:rsidRDefault="003E691E" w:rsidP="00E065AE">
      <w:pPr>
        <w:shd w:val="clear" w:color="auto" w:fill="F2F2F2" w:themeFill="background1" w:themeFillShade="F2"/>
        <w:rPr>
          <w:rFonts w:cs="Arial"/>
        </w:rPr>
      </w:pPr>
      <w:r>
        <w:rPr>
          <w:rFonts w:cs="Arial"/>
        </w:rPr>
        <w:t xml:space="preserve">Some 5G standards are still under development and early adopters risk purchasing equipment that does not meet future standards. For example, the technical standards for the Future Railway Mobile Communication System using 5G technology are nearing finalisation. </w:t>
      </w:r>
    </w:p>
    <w:p w14:paraId="4D4D3BAD" w14:textId="5294DAEF" w:rsidR="003E691E" w:rsidRDefault="003E691E" w:rsidP="00E065AE">
      <w:pPr>
        <w:pStyle w:val="Paragraph"/>
        <w:shd w:val="clear" w:color="auto" w:fill="F2F2F2" w:themeFill="background1" w:themeFillShade="F2"/>
      </w:pPr>
      <w:r w:rsidRPr="00825D49">
        <w:t>Enterprises may delay deplo</w:t>
      </w:r>
      <w:r>
        <w:t>ying</w:t>
      </w:r>
      <w:r w:rsidRPr="00825D49">
        <w:t xml:space="preserve"> 5G standalone private wireless infrastructure until </w:t>
      </w:r>
      <w:r>
        <w:br/>
      </w:r>
      <w:r w:rsidRPr="00825D49">
        <w:t xml:space="preserve">the equipment market </w:t>
      </w:r>
      <w:r w:rsidR="004E1CD3" w:rsidRPr="00825D49">
        <w:t>matures,</w:t>
      </w:r>
      <w:r>
        <w:t xml:space="preserve"> and worldwide standards are finalised</w:t>
      </w:r>
      <w:r w:rsidRPr="00825D49">
        <w:t>.</w:t>
      </w:r>
    </w:p>
    <w:p w14:paraId="3B06B1D0" w14:textId="334DACE8" w:rsidR="00230B9A" w:rsidRDefault="00230B9A" w:rsidP="00CD264D">
      <w:pPr>
        <w:pStyle w:val="Paragraphbeforelist"/>
      </w:pPr>
      <w:r>
        <w:t>Two 5G standalone trials conducted in Australia in late 2022 sought out bespoke equipment because what they needed was not commercially available at the time. This include</w:t>
      </w:r>
      <w:r w:rsidR="004E1CD3">
        <w:t>d</w:t>
      </w:r>
      <w:r>
        <w:t>:</w:t>
      </w:r>
    </w:p>
    <w:p w14:paraId="0AE040CC" w14:textId="645FC19D" w:rsidR="00230B9A" w:rsidRDefault="00230B9A" w:rsidP="00CD264D">
      <w:pPr>
        <w:pStyle w:val="Bulletlevel1"/>
      </w:pPr>
      <w:r>
        <w:t>one trial where t</w:t>
      </w:r>
      <w:r w:rsidRPr="00C62C31">
        <w:t xml:space="preserve">he current range of indoor </w:t>
      </w:r>
      <w:r>
        <w:t xml:space="preserve">5G standalone </w:t>
      </w:r>
      <w:r w:rsidRPr="00C62C31">
        <w:t xml:space="preserve">equipment was not </w:t>
      </w:r>
      <w:r>
        <w:t xml:space="preserve">suitable for the trial’s </w:t>
      </w:r>
      <w:r w:rsidRPr="00C62C31">
        <w:t>industrial conditions</w:t>
      </w:r>
      <w:r>
        <w:t xml:space="preserve"> </w:t>
      </w:r>
      <w:r w:rsidR="0065314A">
        <w:t xml:space="preserve">(see Case study </w:t>
      </w:r>
      <w:r w:rsidR="00AB6405">
        <w:t>2</w:t>
      </w:r>
      <w:r w:rsidR="0065314A">
        <w:t>)</w:t>
      </w:r>
    </w:p>
    <w:p w14:paraId="5822897B" w14:textId="1ADDC963" w:rsidR="00230B9A" w:rsidRDefault="00214CA4" w:rsidP="00214CA4">
      <w:pPr>
        <w:pStyle w:val="Bulletlevel1last"/>
      </w:pPr>
      <w:r w:rsidRPr="00214CA4">
        <w:t xml:space="preserve">another trial where technicians in Finland sent special software to </w:t>
      </w:r>
      <w:r w:rsidR="00435CE2">
        <w:t xml:space="preserve">Sydney to </w:t>
      </w:r>
      <w:r w:rsidRPr="00214CA4">
        <w:t xml:space="preserve">reconfigure </w:t>
      </w:r>
      <w:r w:rsidR="004E2A8C">
        <w:t xml:space="preserve">5G </w:t>
      </w:r>
      <w:r w:rsidRPr="00214CA4">
        <w:t xml:space="preserve">robots. The robots needed to send far more data to the </w:t>
      </w:r>
      <w:r w:rsidR="00175967">
        <w:t xml:space="preserve">network </w:t>
      </w:r>
      <w:r w:rsidRPr="00214CA4">
        <w:t xml:space="preserve">(uplink) than they needed to download </w:t>
      </w:r>
      <w:r w:rsidR="00175967">
        <w:t xml:space="preserve">from the network </w:t>
      </w:r>
      <w:r w:rsidRPr="00214CA4">
        <w:t xml:space="preserve">(downlink). This is the opposite of most connected equipment </w:t>
      </w:r>
      <w:r w:rsidR="00230B9A">
        <w:t>(see</w:t>
      </w:r>
      <w:r w:rsidR="0065314A">
        <w:t xml:space="preserve"> Case study </w:t>
      </w:r>
      <w:r w:rsidR="00AB6405">
        <w:t>3</w:t>
      </w:r>
      <w:r w:rsidR="0065314A">
        <w:t xml:space="preserve"> and</w:t>
      </w:r>
      <w:r w:rsidR="00230B9A">
        <w:t xml:space="preserve"> </w:t>
      </w:r>
      <w:r w:rsidR="00EE51D3">
        <w:t>‘</w:t>
      </w:r>
      <w:r w:rsidR="00230B9A">
        <w:t xml:space="preserve">Equipment </w:t>
      </w:r>
      <w:r w:rsidR="00EE51D3">
        <w:t>s</w:t>
      </w:r>
      <w:r w:rsidR="00230B9A">
        <w:t>uitability</w:t>
      </w:r>
      <w:r w:rsidR="00EE51D3">
        <w:t>’</w:t>
      </w:r>
      <w:r w:rsidR="00230B9A">
        <w:t xml:space="preserve"> below).</w:t>
      </w:r>
    </w:p>
    <w:p w14:paraId="40011670" w14:textId="77777777" w:rsidR="00230B9A" w:rsidRPr="00AE6BB2" w:rsidRDefault="00230B9A" w:rsidP="001139F8">
      <w:pPr>
        <w:pStyle w:val="Heading3"/>
        <w:keepLines/>
      </w:pPr>
      <w:r w:rsidRPr="00AE6BB2">
        <w:t>Equipment vendors</w:t>
      </w:r>
    </w:p>
    <w:p w14:paraId="04C6AFF7" w14:textId="0AC033EA" w:rsidR="00230B9A" w:rsidRPr="003A2B70" w:rsidRDefault="00230B9A" w:rsidP="001139F8">
      <w:pPr>
        <w:pStyle w:val="Paragraphbeforelist"/>
        <w:keepNext/>
        <w:keepLines/>
      </w:pPr>
      <w:r w:rsidRPr="00DA4ED7">
        <w:t xml:space="preserve">The leading 4G and 5G </w:t>
      </w:r>
      <w:r>
        <w:t>private wireless network</w:t>
      </w:r>
      <w:r w:rsidRPr="00DA4ED7">
        <w:t xml:space="preserve"> equipment vendors around the world include</w:t>
      </w:r>
      <w:r w:rsidRPr="00DA4ED7">
        <w:rPr>
          <w:rStyle w:val="FootnoteReference"/>
        </w:rPr>
        <w:footnoteReference w:id="60"/>
      </w:r>
      <w:r w:rsidR="003A2B70">
        <w:t>:</w:t>
      </w:r>
    </w:p>
    <w:p w14:paraId="56D2D5EE" w14:textId="77777777" w:rsidR="003A2B70" w:rsidRPr="00DA4ED7" w:rsidRDefault="003A2B70" w:rsidP="001139F8">
      <w:pPr>
        <w:pStyle w:val="Bulletlevel1"/>
        <w:keepNext/>
        <w:keepLines/>
      </w:pPr>
      <w:r w:rsidRPr="00DA4ED7">
        <w:t>Celona</w:t>
      </w:r>
    </w:p>
    <w:p w14:paraId="7165F675" w14:textId="77777777" w:rsidR="003A2B70" w:rsidRPr="00DA4ED7" w:rsidRDefault="003A2B70" w:rsidP="001139F8">
      <w:pPr>
        <w:pStyle w:val="Bulletlevel1"/>
        <w:keepNext/>
        <w:keepLines/>
      </w:pPr>
      <w:r w:rsidRPr="00DA4ED7">
        <w:t>Cisco</w:t>
      </w:r>
    </w:p>
    <w:p w14:paraId="6FACCF07" w14:textId="77777777" w:rsidR="003A2B70" w:rsidRPr="00DA4ED7" w:rsidRDefault="003A2B70" w:rsidP="001139F8">
      <w:pPr>
        <w:pStyle w:val="Bulletlevel1"/>
        <w:keepNext/>
        <w:keepLines/>
      </w:pPr>
      <w:r w:rsidRPr="00DA4ED7">
        <w:t>Ericsson</w:t>
      </w:r>
    </w:p>
    <w:p w14:paraId="538F285E" w14:textId="77777777" w:rsidR="003A2B70" w:rsidRPr="00DA4ED7" w:rsidRDefault="003A2B70" w:rsidP="001139F8">
      <w:pPr>
        <w:pStyle w:val="Bulletlevel1"/>
        <w:keepNext/>
        <w:keepLines/>
      </w:pPr>
      <w:r w:rsidRPr="00DA4ED7">
        <w:t>Huawei</w:t>
      </w:r>
    </w:p>
    <w:p w14:paraId="360C7C7C" w14:textId="77777777" w:rsidR="003A2B70" w:rsidRPr="00DA4ED7" w:rsidRDefault="003A2B70" w:rsidP="001139F8">
      <w:pPr>
        <w:pStyle w:val="Bulletlevel1"/>
        <w:keepNext/>
        <w:keepLines/>
      </w:pPr>
      <w:r w:rsidRPr="00DA4ED7">
        <w:t>LG</w:t>
      </w:r>
    </w:p>
    <w:p w14:paraId="3BB58C53" w14:textId="18106ED3" w:rsidR="003A2B70" w:rsidRDefault="003A2B70" w:rsidP="001139F8">
      <w:pPr>
        <w:pStyle w:val="Bulletlevel1"/>
        <w:keepNext/>
        <w:keepLines/>
      </w:pPr>
      <w:r w:rsidRPr="00DA4ED7">
        <w:t>Naver Cloud Korea</w:t>
      </w:r>
    </w:p>
    <w:p w14:paraId="51ABB753" w14:textId="77777777" w:rsidR="003A2B70" w:rsidRPr="00DA4ED7" w:rsidRDefault="003A2B70" w:rsidP="001139F8">
      <w:pPr>
        <w:pStyle w:val="Bulletlevel1"/>
        <w:keepNext/>
        <w:keepLines/>
      </w:pPr>
      <w:r w:rsidRPr="00DA4ED7">
        <w:t>Panasonic</w:t>
      </w:r>
    </w:p>
    <w:p w14:paraId="43A4D5DA" w14:textId="77777777" w:rsidR="003A2B70" w:rsidRPr="00DA4ED7" w:rsidRDefault="003A2B70" w:rsidP="001139F8">
      <w:pPr>
        <w:pStyle w:val="Bulletlevel1"/>
        <w:keepNext/>
        <w:keepLines/>
      </w:pPr>
      <w:r w:rsidRPr="00DA4ED7">
        <w:t>Fujitsu</w:t>
      </w:r>
    </w:p>
    <w:p w14:paraId="25ACD8D9" w14:textId="77777777" w:rsidR="003A2B70" w:rsidRPr="00DA4ED7" w:rsidRDefault="003A2B70" w:rsidP="001139F8">
      <w:pPr>
        <w:pStyle w:val="Bulletlevel1"/>
        <w:keepNext/>
        <w:keepLines/>
      </w:pPr>
      <w:r w:rsidRPr="00DA4ED7">
        <w:t xml:space="preserve">NEC </w:t>
      </w:r>
    </w:p>
    <w:p w14:paraId="7307CFB3" w14:textId="77777777" w:rsidR="003A2B70" w:rsidRPr="00DA4ED7" w:rsidRDefault="003A2B70" w:rsidP="001139F8">
      <w:pPr>
        <w:pStyle w:val="Bulletlevel1"/>
        <w:keepNext/>
        <w:keepLines/>
      </w:pPr>
      <w:r w:rsidRPr="00DA4ED7">
        <w:t>Nokia</w:t>
      </w:r>
    </w:p>
    <w:p w14:paraId="0DB80230" w14:textId="77777777" w:rsidR="003A2B70" w:rsidRPr="00DA4ED7" w:rsidRDefault="003A2B70" w:rsidP="001139F8">
      <w:pPr>
        <w:pStyle w:val="Bulletlevel1"/>
        <w:keepNext/>
        <w:keepLines/>
      </w:pPr>
      <w:r w:rsidRPr="00DA4ED7">
        <w:t>Samsung</w:t>
      </w:r>
    </w:p>
    <w:p w14:paraId="1070DB5F" w14:textId="67389E29" w:rsidR="003A2B70" w:rsidRPr="00DA4ED7" w:rsidRDefault="003A2B70" w:rsidP="001139F8">
      <w:pPr>
        <w:pStyle w:val="Bulletlevel1last"/>
        <w:keepNext/>
        <w:keepLines/>
      </w:pPr>
      <w:r w:rsidRPr="00DA4ED7">
        <w:t>ZTE.</w:t>
      </w:r>
    </w:p>
    <w:p w14:paraId="12FE4E17" w14:textId="5A2CAE65" w:rsidR="00230B9A" w:rsidRPr="00363C45" w:rsidRDefault="00230B9A" w:rsidP="00CD264D">
      <w:pPr>
        <w:pStyle w:val="Paragraph"/>
      </w:pPr>
      <w:r w:rsidRPr="007D56AD">
        <w:t xml:space="preserve">In Australia, the major suppliers to the 5G core market include Cisco and Ericsson, while the RAN market is </w:t>
      </w:r>
      <w:r w:rsidRPr="00363C45">
        <w:t>dominated by Ericsson and Nokia</w:t>
      </w:r>
      <w:r>
        <w:t xml:space="preserve">, </w:t>
      </w:r>
      <w:r w:rsidR="00983187">
        <w:t xml:space="preserve">which </w:t>
      </w:r>
      <w:r>
        <w:t>are currently the primary suppliers to public mobile network operators</w:t>
      </w:r>
      <w:r w:rsidRPr="00363C45">
        <w:t>.</w:t>
      </w:r>
      <w:r w:rsidRPr="00363C45">
        <w:rPr>
          <w:rStyle w:val="FootnoteReference"/>
        </w:rPr>
        <w:footnoteReference w:id="61"/>
      </w:r>
      <w:r w:rsidRPr="00363C45">
        <w:t xml:space="preserve"> </w:t>
      </w:r>
    </w:p>
    <w:p w14:paraId="4106801A" w14:textId="77777777" w:rsidR="00230B9A" w:rsidRDefault="00230B9A" w:rsidP="00CD264D">
      <w:pPr>
        <w:pStyle w:val="Paragraph"/>
      </w:pPr>
      <w:r w:rsidRPr="00363C45">
        <w:t xml:space="preserve">Samsung </w:t>
      </w:r>
      <w:r>
        <w:t xml:space="preserve">has </w:t>
      </w:r>
      <w:r w:rsidRPr="00363C45">
        <w:t xml:space="preserve">indicated </w:t>
      </w:r>
      <w:r>
        <w:t>its</w:t>
      </w:r>
      <w:r w:rsidRPr="00363C45">
        <w:t xml:space="preserve"> interest in entering the </w:t>
      </w:r>
      <w:r>
        <w:t>5G private wireless network</w:t>
      </w:r>
      <w:r w:rsidRPr="00363C45">
        <w:t xml:space="preserve"> market in Australia</w:t>
      </w:r>
      <w:r w:rsidRPr="001640F0">
        <w:t>.</w:t>
      </w:r>
      <w:r w:rsidRPr="001640F0">
        <w:rPr>
          <w:rStyle w:val="FootnoteReference"/>
        </w:rPr>
        <w:footnoteReference w:id="62"/>
      </w:r>
    </w:p>
    <w:p w14:paraId="316D44AE" w14:textId="77777777" w:rsidR="00230B9A" w:rsidRDefault="00230B9A" w:rsidP="00CD264D">
      <w:pPr>
        <w:pStyle w:val="Paragraph"/>
      </w:pPr>
      <w:r>
        <w:t>System integrators Celona, Verizon and NTT have expressed interest in e</w:t>
      </w:r>
      <w:r w:rsidRPr="001640F0">
        <w:t>nter</w:t>
      </w:r>
      <w:r>
        <w:t>ing</w:t>
      </w:r>
      <w:r w:rsidRPr="001640F0">
        <w:t xml:space="preserve"> the Australian market.</w:t>
      </w:r>
      <w:r>
        <w:t xml:space="preserve"> Celona also manufactures private wireless networking equipment but has not started selling it in Australia.</w:t>
      </w:r>
      <w:r w:rsidRPr="001640F0">
        <w:rPr>
          <w:rStyle w:val="FootnoteReference"/>
        </w:rPr>
        <w:footnoteReference w:id="63"/>
      </w:r>
      <w:r w:rsidRPr="001640F0">
        <w:t xml:space="preserve"> </w:t>
      </w:r>
    </w:p>
    <w:p w14:paraId="47F09BE1" w14:textId="62057016" w:rsidR="00230B9A" w:rsidRDefault="00230B9A" w:rsidP="00CD264D">
      <w:pPr>
        <w:pStyle w:val="Paragraph"/>
      </w:pPr>
      <w:r>
        <w:t xml:space="preserve">Private wireless networks open a new source of competition in the enterprise mobile market, which is currently served by mobile network operators and some mobile virtual-network operators. </w:t>
      </w:r>
    </w:p>
    <w:p w14:paraId="7498EA51" w14:textId="77777777" w:rsidR="00230B9A" w:rsidRDefault="00230B9A" w:rsidP="00CD264D">
      <w:pPr>
        <w:pStyle w:val="Paragraphbeforelist"/>
      </w:pPr>
      <w:r>
        <w:t xml:space="preserve">Mobile network operators could face future competition from: </w:t>
      </w:r>
    </w:p>
    <w:p w14:paraId="29620EA0" w14:textId="77777777" w:rsidR="00230B9A" w:rsidRDefault="00230B9A" w:rsidP="00CD264D">
      <w:pPr>
        <w:pStyle w:val="Bulletlevel1"/>
      </w:pPr>
      <w:r w:rsidRPr="003F2510">
        <w:t>mobile infrastructure vendors</w:t>
      </w:r>
      <w:r>
        <w:t xml:space="preserve"> (like Ericsson and Nokia)</w:t>
      </w:r>
    </w:p>
    <w:p w14:paraId="31D7EADD" w14:textId="77777777" w:rsidR="00230B9A" w:rsidRDefault="00230B9A" w:rsidP="00CD264D">
      <w:pPr>
        <w:pStyle w:val="Bulletlevel1"/>
      </w:pPr>
      <w:r w:rsidRPr="003F2510">
        <w:t>enterprise network equipment vendors</w:t>
      </w:r>
    </w:p>
    <w:p w14:paraId="4359F8DA" w14:textId="77777777" w:rsidR="00230B9A" w:rsidRDefault="00230B9A" w:rsidP="00CD264D">
      <w:pPr>
        <w:pStyle w:val="Bulletlevel1last"/>
      </w:pPr>
      <w:r w:rsidRPr="003F2510">
        <w:t xml:space="preserve">dedicated </w:t>
      </w:r>
      <w:r>
        <w:t>private wireless network</w:t>
      </w:r>
      <w:r w:rsidRPr="003F2510">
        <w:t xml:space="preserve"> specialists.</w:t>
      </w:r>
      <w:r w:rsidRPr="003F2510">
        <w:rPr>
          <w:vertAlign w:val="superscript"/>
        </w:rPr>
        <w:footnoteReference w:id="64"/>
      </w:r>
      <w:r w:rsidRPr="003F2510">
        <w:t xml:space="preserve"> </w:t>
      </w:r>
      <w:r>
        <w:t xml:space="preserve"> </w:t>
      </w:r>
    </w:p>
    <w:p w14:paraId="6DAC917E" w14:textId="77777777" w:rsidR="00230B9A" w:rsidRPr="00F02777" w:rsidRDefault="00230B9A" w:rsidP="00CD264D">
      <w:pPr>
        <w:pStyle w:val="Paragraph"/>
      </w:pPr>
      <w:r w:rsidRPr="0069075F">
        <w:t xml:space="preserve">Australian </w:t>
      </w:r>
      <w:r>
        <w:t>network operators</w:t>
      </w:r>
      <w:r w:rsidRPr="0069075F">
        <w:t xml:space="preserve"> </w:t>
      </w:r>
      <w:r>
        <w:t>have been forming</w:t>
      </w:r>
      <w:r w:rsidRPr="0069075F">
        <w:t xml:space="preserve"> partnerships with private wireless network system integrators. Telstra Purple acquired </w:t>
      </w:r>
      <w:proofErr w:type="spellStart"/>
      <w:r w:rsidRPr="0069075F">
        <w:t>Aqura</w:t>
      </w:r>
      <w:proofErr w:type="spellEnd"/>
      <w:r w:rsidRPr="0069075F">
        <w:t xml:space="preserve"> </w:t>
      </w:r>
      <w:proofErr w:type="spellStart"/>
      <w:r>
        <w:t>Technolgies</w:t>
      </w:r>
      <w:proofErr w:type="spellEnd"/>
      <w:r>
        <w:t xml:space="preserve"> i</w:t>
      </w:r>
      <w:r w:rsidRPr="0069075F">
        <w:t xml:space="preserve">n early 2022 and </w:t>
      </w:r>
      <w:proofErr w:type="spellStart"/>
      <w:r w:rsidRPr="0069075F">
        <w:t>Vocus</w:t>
      </w:r>
      <w:proofErr w:type="spellEnd"/>
      <w:r w:rsidRPr="0069075F">
        <w:t xml:space="preserve"> acquired Challenge Networks</w:t>
      </w:r>
      <w:r>
        <w:t xml:space="preserve"> </w:t>
      </w:r>
      <w:r w:rsidRPr="0069075F">
        <w:t>in early 2023</w:t>
      </w:r>
      <w:r>
        <w:t>.</w:t>
      </w:r>
      <w:r>
        <w:rPr>
          <w:rStyle w:val="FootnoteReference"/>
        </w:rPr>
        <w:footnoteReference w:id="65"/>
      </w:r>
      <w:r w:rsidRPr="0069075F">
        <w:t xml:space="preserve"> </w:t>
      </w:r>
    </w:p>
    <w:p w14:paraId="105687DC" w14:textId="77777777" w:rsidR="00230B9A" w:rsidRPr="00276DF6" w:rsidRDefault="00230B9A" w:rsidP="008E0C09">
      <w:pPr>
        <w:pStyle w:val="Paragraphbeforelist"/>
        <w:keepNext/>
        <w:keepLines/>
      </w:pPr>
      <w:r>
        <w:t>Equipment manufacturers and network system integrators also recognise this opportunity and are repositioning their businesses to take advantage of it</w:t>
      </w:r>
      <w:r w:rsidRPr="00A046CD">
        <w:rPr>
          <w:szCs w:val="20"/>
        </w:rPr>
        <w:t xml:space="preserve">. For example: </w:t>
      </w:r>
    </w:p>
    <w:p w14:paraId="62A6CAC7" w14:textId="77777777" w:rsidR="00230B9A" w:rsidRPr="00A046CD" w:rsidRDefault="00230B9A" w:rsidP="008E0C09">
      <w:pPr>
        <w:pStyle w:val="Bulletlevel1"/>
        <w:keepNext/>
        <w:keepLines/>
        <w:rPr>
          <w:color w:val="0F243E" w:themeColor="text2" w:themeShade="80"/>
        </w:rPr>
      </w:pPr>
      <w:r w:rsidRPr="00A046CD">
        <w:t>Nokia recently increased its 5G research and development spending to €2.2</w:t>
      </w:r>
      <w:r>
        <w:t> </w:t>
      </w:r>
      <w:r w:rsidRPr="00A046CD">
        <w:t>billion. It wants to take a larger market share of the predicted 28% annual growth in the private wireless network equipment market, which is expected to reach €5 billion by 2030</w:t>
      </w:r>
      <w:r w:rsidRPr="00870F52">
        <w:t>.</w:t>
      </w:r>
      <w:r w:rsidRPr="00870F52">
        <w:rPr>
          <w:rStyle w:val="FootnoteReference"/>
          <w:szCs w:val="20"/>
        </w:rPr>
        <w:footnoteReference w:id="66"/>
      </w:r>
      <w:r w:rsidRPr="00870F52">
        <w:t xml:space="preserve"> It recently extended its partnership with </w:t>
      </w:r>
      <w:proofErr w:type="spellStart"/>
      <w:r w:rsidRPr="00870F52">
        <w:t>Kyndryl</w:t>
      </w:r>
      <w:proofErr w:type="spellEnd"/>
      <w:r>
        <w:t>, which</w:t>
      </w:r>
      <w:r w:rsidRPr="00870F52">
        <w:t xml:space="preserve"> specialis</w:t>
      </w:r>
      <w:r>
        <w:t>es</w:t>
      </w:r>
      <w:r w:rsidRPr="00870F52">
        <w:t xml:space="preserve"> in LTE and 5G private wireless networking.</w:t>
      </w:r>
      <w:r w:rsidRPr="00870F52">
        <w:rPr>
          <w:rStyle w:val="FootnoteReference"/>
          <w:szCs w:val="20"/>
        </w:rPr>
        <w:footnoteReference w:id="67"/>
      </w:r>
      <w:r w:rsidRPr="00870F52">
        <w:t xml:space="preserve"> </w:t>
      </w:r>
    </w:p>
    <w:p w14:paraId="33BE158D" w14:textId="77777777" w:rsidR="00230B9A" w:rsidRPr="00A046CD" w:rsidRDefault="00230B9A" w:rsidP="00CD264D">
      <w:pPr>
        <w:pStyle w:val="Bulletlevel1"/>
        <w:rPr>
          <w:szCs w:val="20"/>
        </w:rPr>
      </w:pPr>
      <w:r w:rsidRPr="00A046CD">
        <w:rPr>
          <w:szCs w:val="20"/>
        </w:rPr>
        <w:t xml:space="preserve">Ericsson expects the </w:t>
      </w:r>
      <w:r>
        <w:rPr>
          <w:szCs w:val="20"/>
        </w:rPr>
        <w:t>private wireless network</w:t>
      </w:r>
      <w:r w:rsidRPr="00A046CD">
        <w:rPr>
          <w:szCs w:val="20"/>
        </w:rPr>
        <w:t xml:space="preserve"> equipment market to grow 34% over the next 3 years to US$1 billion.</w:t>
      </w:r>
      <w:r w:rsidRPr="00A046CD">
        <w:rPr>
          <w:rStyle w:val="FootnoteReference"/>
          <w:szCs w:val="20"/>
        </w:rPr>
        <w:footnoteReference w:id="68"/>
      </w:r>
      <w:r w:rsidRPr="00A046CD">
        <w:rPr>
          <w:szCs w:val="20"/>
        </w:rPr>
        <w:t xml:space="preserve"> It purchased enterprise wireless edge specialist </w:t>
      </w:r>
      <w:proofErr w:type="spellStart"/>
      <w:r w:rsidRPr="00A046CD">
        <w:rPr>
          <w:szCs w:val="20"/>
        </w:rPr>
        <w:t>Cradlepoint</w:t>
      </w:r>
      <w:proofErr w:type="spellEnd"/>
      <w:r w:rsidRPr="00A046CD">
        <w:rPr>
          <w:szCs w:val="20"/>
        </w:rPr>
        <w:t xml:space="preserve"> for US$1.1 billion</w:t>
      </w:r>
      <w:r>
        <w:rPr>
          <w:szCs w:val="20"/>
        </w:rPr>
        <w:t xml:space="preserve"> in 2020</w:t>
      </w:r>
      <w:r w:rsidRPr="00A046CD">
        <w:rPr>
          <w:szCs w:val="20"/>
        </w:rPr>
        <w:t xml:space="preserve"> to accelerate its 5G for enterprise products.</w:t>
      </w:r>
      <w:r w:rsidRPr="00A046CD">
        <w:rPr>
          <w:rStyle w:val="FootnoteReference"/>
          <w:szCs w:val="20"/>
        </w:rPr>
        <w:footnoteReference w:id="69"/>
      </w:r>
      <w:r w:rsidRPr="00A046CD">
        <w:rPr>
          <w:szCs w:val="20"/>
        </w:rPr>
        <w:t xml:space="preserve"> </w:t>
      </w:r>
    </w:p>
    <w:p w14:paraId="1E4D9339" w14:textId="77777777" w:rsidR="00230B9A" w:rsidRDefault="00230B9A" w:rsidP="00CD264D">
      <w:pPr>
        <w:pStyle w:val="Bulletlevel1last"/>
      </w:pPr>
      <w:r w:rsidRPr="00A046CD">
        <w:t xml:space="preserve">Japanese technology and fixed telecommunications company NTT is pivoting towards systems integration to sell 5G private wireless networks as a service without any involvement from carriers. NTT recently started hiring </w:t>
      </w:r>
      <w:r w:rsidRPr="00A046CD">
        <w:rPr>
          <w:rStyle w:val="ui-provider"/>
          <w:szCs w:val="20"/>
        </w:rPr>
        <w:t>mobile network specialists with experience in spectrum purchasing</w:t>
      </w:r>
      <w:r w:rsidRPr="00A046CD">
        <w:t xml:space="preserve"> in the US and Europe and may expand this role into Asia as well.</w:t>
      </w:r>
      <w:r w:rsidRPr="00A046CD">
        <w:rPr>
          <w:rStyle w:val="FootnoteReference"/>
          <w:szCs w:val="20"/>
        </w:rPr>
        <w:footnoteReference w:id="70"/>
      </w:r>
      <w:r w:rsidRPr="00A046CD">
        <w:t xml:space="preserve"> </w:t>
      </w:r>
    </w:p>
    <w:p w14:paraId="2115B2BF" w14:textId="77777777" w:rsidR="00230B9A" w:rsidRPr="00A630C8" w:rsidRDefault="00230B9A" w:rsidP="008E0C09">
      <w:pPr>
        <w:pStyle w:val="Heading2"/>
        <w:keepNext w:val="0"/>
      </w:pPr>
      <w:bookmarkStart w:id="39" w:name="_Toc139373159"/>
      <w:bookmarkStart w:id="40" w:name="_Toc146022993"/>
      <w:r>
        <w:t>Equipment suitability</w:t>
      </w:r>
      <w:bookmarkEnd w:id="39"/>
      <w:bookmarkEnd w:id="40"/>
    </w:p>
    <w:p w14:paraId="58771656" w14:textId="77777777" w:rsidR="00230B9A" w:rsidRDefault="00230B9A" w:rsidP="008E0C09">
      <w:pPr>
        <w:pStyle w:val="Heading3"/>
        <w:keepNext w:val="0"/>
      </w:pPr>
      <w:bookmarkStart w:id="41" w:name="_Toc139373160"/>
      <w:r>
        <w:t>Industrial conditions</w:t>
      </w:r>
      <w:bookmarkEnd w:id="41"/>
    </w:p>
    <w:p w14:paraId="6BA0CFFC" w14:textId="6C4C008C" w:rsidR="00230B9A" w:rsidRDefault="00230B9A" w:rsidP="0065314A">
      <w:pPr>
        <w:pStyle w:val="Paragraph"/>
        <w:spacing w:after="120"/>
      </w:pPr>
      <w:r>
        <w:t>Re</w:t>
      </w:r>
      <w:r w:rsidRPr="008274F6">
        <w:t>cent</w:t>
      </w:r>
      <w:r>
        <w:t xml:space="preserve"> 5G</w:t>
      </w:r>
      <w:r w:rsidRPr="008274F6">
        <w:t xml:space="preserve"> </w:t>
      </w:r>
      <w:r>
        <w:t xml:space="preserve">private wireless network </w:t>
      </w:r>
      <w:r w:rsidRPr="008274F6">
        <w:t xml:space="preserve">trials </w:t>
      </w:r>
      <w:r>
        <w:t xml:space="preserve">in Australia that used mid-band spectrum </w:t>
      </w:r>
      <w:r w:rsidRPr="008274F6">
        <w:t xml:space="preserve">found the existing range of indoor networking equipment </w:t>
      </w:r>
      <w:r>
        <w:t xml:space="preserve">was not </w:t>
      </w:r>
      <w:r w:rsidRPr="008274F6">
        <w:t>suitable for tough industrial conditions</w:t>
      </w:r>
      <w:r>
        <w:t xml:space="preserve">, such as daily </w:t>
      </w:r>
      <w:r w:rsidRPr="0022132B">
        <w:t>wash</w:t>
      </w:r>
      <w:r>
        <w:t>ing, d</w:t>
      </w:r>
      <w:r w:rsidRPr="0022132B">
        <w:t>isinfect</w:t>
      </w:r>
      <w:r>
        <w:t xml:space="preserve">ing and </w:t>
      </w:r>
      <w:r w:rsidRPr="0022132B">
        <w:t>extreme</w:t>
      </w:r>
      <w:r>
        <w:t xml:space="preserve"> </w:t>
      </w:r>
      <w:r w:rsidRPr="0022132B">
        <w:t>temperature</w:t>
      </w:r>
      <w:r w:rsidRPr="0027060F">
        <w:t>s</w:t>
      </w:r>
      <w:r w:rsidRPr="0027060F">
        <w:rPr>
          <w:rStyle w:val="FootnoteReference"/>
        </w:rPr>
        <w:footnoteReference w:id="71"/>
      </w:r>
      <w:r w:rsidRPr="0022132B">
        <w:t xml:space="preserve"> </w:t>
      </w:r>
      <w:r>
        <w:t xml:space="preserve">(see Case </w:t>
      </w:r>
      <w:r w:rsidR="003A2B70">
        <w:t>s</w:t>
      </w:r>
      <w:r>
        <w:t xml:space="preserve">tudy </w:t>
      </w:r>
      <w:r w:rsidR="007E27FB">
        <w:t>2</w:t>
      </w:r>
      <w:r>
        <w:t>).</w:t>
      </w:r>
    </w:p>
    <w:tbl>
      <w:tblPr>
        <w:tblStyle w:val="TableGrid"/>
        <w:tblpPr w:leftFromText="180" w:rightFromText="180" w:vertAnchor="text" w:horzAnchor="page" w:tblpX="1105" w:tblpY="163"/>
        <w:tblW w:w="7792"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EEF0F8"/>
        <w:tblCellMar>
          <w:top w:w="85" w:type="dxa"/>
          <w:left w:w="57" w:type="dxa"/>
          <w:bottom w:w="85" w:type="dxa"/>
          <w:right w:w="57" w:type="dxa"/>
        </w:tblCellMar>
        <w:tblLook w:val="04A0" w:firstRow="1" w:lastRow="0" w:firstColumn="1" w:lastColumn="0" w:noHBand="0" w:noVBand="1"/>
      </w:tblPr>
      <w:tblGrid>
        <w:gridCol w:w="7792"/>
      </w:tblGrid>
      <w:tr w:rsidR="00230B9A" w:rsidRPr="00236A6D" w14:paraId="2D8E58EF" w14:textId="77777777" w:rsidTr="0065314A">
        <w:tc>
          <w:tcPr>
            <w:tcW w:w="7792" w:type="dxa"/>
            <w:shd w:val="clear" w:color="auto" w:fill="39457C"/>
          </w:tcPr>
          <w:p w14:paraId="1357E239" w14:textId="4EBE0B2C" w:rsidR="00230B9A" w:rsidRPr="00687618" w:rsidRDefault="00230B9A" w:rsidP="001139F8">
            <w:pPr>
              <w:pStyle w:val="Heading2"/>
              <w:keepLines/>
              <w:pageBreakBefore/>
              <w:widowControl w:val="0"/>
              <w:spacing w:before="0" w:after="0"/>
            </w:pPr>
            <w:bookmarkStart w:id="42" w:name="_Toc146022994"/>
            <w:bookmarkStart w:id="43" w:name="_Toc139373161"/>
            <w:bookmarkStart w:id="44" w:name="_Toc140741286"/>
            <w:r w:rsidRPr="008E0C09">
              <w:rPr>
                <w:color w:val="FFFFFF" w:themeColor="background1"/>
              </w:rPr>
              <w:t xml:space="preserve">Case </w:t>
            </w:r>
            <w:r w:rsidR="00F071B2">
              <w:rPr>
                <w:color w:val="FFFFFF" w:themeColor="background1"/>
              </w:rPr>
              <w:t>s</w:t>
            </w:r>
            <w:r w:rsidRPr="008E0C09">
              <w:rPr>
                <w:color w:val="FFFFFF" w:themeColor="background1"/>
              </w:rPr>
              <w:t xml:space="preserve">tudy </w:t>
            </w:r>
            <w:r w:rsidR="00AB6405">
              <w:rPr>
                <w:color w:val="FFFFFF" w:themeColor="background1"/>
              </w:rPr>
              <w:t>2</w:t>
            </w:r>
            <w:r w:rsidRPr="008E0C09">
              <w:rPr>
                <w:color w:val="FFFFFF" w:themeColor="background1"/>
              </w:rPr>
              <w:t xml:space="preserve">: BAI Communications/Australian Meat </w:t>
            </w:r>
            <w:r w:rsidR="00EB03E1" w:rsidRPr="008E0C09">
              <w:rPr>
                <w:color w:val="FFFFFF" w:themeColor="background1"/>
              </w:rPr>
              <w:t>Process</w:t>
            </w:r>
            <w:r w:rsidR="00EB03E1">
              <w:rPr>
                <w:color w:val="FFFFFF" w:themeColor="background1"/>
              </w:rPr>
              <w:t>or</w:t>
            </w:r>
            <w:r w:rsidR="00EB03E1" w:rsidRPr="008E0C09">
              <w:rPr>
                <w:color w:val="FFFFFF" w:themeColor="background1"/>
              </w:rPr>
              <w:t xml:space="preserve"> </w:t>
            </w:r>
            <w:r w:rsidRPr="008E0C09">
              <w:rPr>
                <w:color w:val="FFFFFF" w:themeColor="background1"/>
              </w:rPr>
              <w:t>Co</w:t>
            </w:r>
            <w:r w:rsidR="0065314A">
              <w:rPr>
                <w:color w:val="FFFFFF" w:themeColor="background1"/>
              </w:rPr>
              <w:t>rporation</w:t>
            </w:r>
            <w:bookmarkEnd w:id="42"/>
            <w:r w:rsidR="0065314A">
              <w:rPr>
                <w:color w:val="FFFFFF" w:themeColor="background1"/>
              </w:rPr>
              <w:t xml:space="preserve"> </w:t>
            </w:r>
            <w:bookmarkEnd w:id="43"/>
            <w:bookmarkEnd w:id="44"/>
          </w:p>
        </w:tc>
      </w:tr>
      <w:tr w:rsidR="00230B9A" w:rsidRPr="00236A6D" w14:paraId="16BB71CD" w14:textId="77777777" w:rsidTr="0065314A">
        <w:tc>
          <w:tcPr>
            <w:tcW w:w="7792" w:type="dxa"/>
            <w:shd w:val="clear" w:color="auto" w:fill="EEF0F8"/>
          </w:tcPr>
          <w:p w14:paraId="48F69374" w14:textId="77777777" w:rsidR="00230B9A" w:rsidRPr="008E0C09" w:rsidRDefault="00230B9A" w:rsidP="0065314A">
            <w:pPr>
              <w:pStyle w:val="Paragraph"/>
              <w:keepNext/>
              <w:keepLines/>
              <w:widowControl w:val="0"/>
              <w:rPr>
                <w:b/>
                <w:bCs/>
              </w:rPr>
            </w:pPr>
            <w:r w:rsidRPr="008E0C09">
              <w:rPr>
                <w:b/>
                <w:bCs/>
              </w:rPr>
              <w:t xml:space="preserve">This case study highlights challenges in securing appropriate equipment for a 5G private wireless trial in late 2022. </w:t>
            </w:r>
          </w:p>
          <w:p w14:paraId="36839FAF" w14:textId="251305CC" w:rsidR="00230B9A" w:rsidRPr="00B821D5" w:rsidRDefault="00230B9A" w:rsidP="0065314A">
            <w:pPr>
              <w:pStyle w:val="Paragraph"/>
              <w:keepNext/>
              <w:keepLines/>
            </w:pPr>
            <w:r w:rsidRPr="00236A6D">
              <w:t>This is a case study of a temporary private wireless network built as part of a government-funded trial of standalone 5G technology</w:t>
            </w:r>
            <w:r>
              <w:t xml:space="preserve"> with the Australian Meat Processor Co</w:t>
            </w:r>
            <w:r w:rsidR="0065314A">
              <w:t>rporation</w:t>
            </w:r>
            <w:r>
              <w:t xml:space="preserve"> (AMPC) and leading developer of augmented intelligence technologies, </w:t>
            </w:r>
            <w:r w:rsidRPr="00B821D5">
              <w:t xml:space="preserve">Bondi Labs. </w:t>
            </w:r>
          </w:p>
          <w:p w14:paraId="7291CE8B" w14:textId="77777777" w:rsidR="00230B9A" w:rsidRPr="00236A6D" w:rsidRDefault="00230B9A" w:rsidP="0065314A">
            <w:pPr>
              <w:pStyle w:val="Paragraph"/>
              <w:keepNext/>
              <w:keepLines/>
            </w:pPr>
            <w:r w:rsidRPr="00B821D5">
              <w:t>BAI Communications Australia designed, supplied and installed a private 5G network inside an abattoir in regional</w:t>
            </w:r>
            <w:r w:rsidRPr="00236A6D">
              <w:t xml:space="preserve"> New South Wales</w:t>
            </w:r>
            <w:r>
              <w:t xml:space="preserve">. </w:t>
            </w:r>
            <w:r w:rsidRPr="00236A6D">
              <w:t xml:space="preserve"> </w:t>
            </w:r>
          </w:p>
          <w:p w14:paraId="5EAD9FC2" w14:textId="77777777" w:rsidR="00230B9A" w:rsidRPr="00236A6D" w:rsidRDefault="00230B9A" w:rsidP="0065314A">
            <w:pPr>
              <w:keepNext/>
              <w:keepLines/>
              <w:widowControl w:val="0"/>
            </w:pPr>
            <w:r w:rsidRPr="00236A6D">
              <w:rPr>
                <w:b/>
                <w:bCs/>
              </w:rPr>
              <w:t xml:space="preserve">Purpose: </w:t>
            </w:r>
            <w:r w:rsidRPr="00236A6D">
              <w:t xml:space="preserve">Initially to provide a high-speed video link for remote animal inspections by vets. However, the trial shifted to high-speed label and product packaging verification. This is an important part of traceability in the global meat supply chain.  </w:t>
            </w:r>
          </w:p>
          <w:p w14:paraId="45D6B9A8" w14:textId="77777777" w:rsidR="00230B9A" w:rsidRPr="00236A6D" w:rsidRDefault="00230B9A" w:rsidP="0065314A">
            <w:pPr>
              <w:keepNext/>
              <w:keepLines/>
              <w:widowControl w:val="0"/>
            </w:pPr>
            <w:r w:rsidRPr="00236A6D">
              <w:rPr>
                <w:b/>
                <w:bCs/>
              </w:rPr>
              <w:t>Timing</w:t>
            </w:r>
            <w:r w:rsidRPr="00236A6D">
              <w:t>: Concluded in December 2022</w:t>
            </w:r>
            <w:r>
              <w:t>.</w:t>
            </w:r>
          </w:p>
          <w:p w14:paraId="599D3640" w14:textId="77777777" w:rsidR="00230B9A" w:rsidRPr="00236A6D" w:rsidRDefault="00230B9A" w:rsidP="0065314A">
            <w:pPr>
              <w:keepNext/>
              <w:keepLines/>
              <w:widowControl w:val="0"/>
              <w:spacing w:after="0"/>
            </w:pPr>
            <w:r w:rsidRPr="00236A6D">
              <w:rPr>
                <w:b/>
                <w:bCs/>
              </w:rPr>
              <w:t>Barriers:</w:t>
            </w:r>
            <w:r w:rsidRPr="00236A6D">
              <w:t xml:space="preserve"> </w:t>
            </w:r>
          </w:p>
          <w:p w14:paraId="7F371561" w14:textId="77777777" w:rsidR="00230B9A" w:rsidRPr="00313CEB" w:rsidRDefault="00230B9A" w:rsidP="0065314A">
            <w:pPr>
              <w:pStyle w:val="Bulletlevel1"/>
              <w:keepNext/>
              <w:keepLines/>
            </w:pPr>
            <w:r w:rsidRPr="00313CEB">
              <w:t>Retrofitting an old industrial building that had different small rooms added over many years and heavy machinery was difficult compared to setting up inside an open-plan warehouse with a single large room.</w:t>
            </w:r>
          </w:p>
          <w:p w14:paraId="7F3C2C29" w14:textId="500A99FE" w:rsidR="00230B9A" w:rsidRPr="00313CEB" w:rsidRDefault="00230B9A" w:rsidP="0065314A">
            <w:pPr>
              <w:pStyle w:val="Bulletlevel1"/>
              <w:keepNext/>
              <w:keepLines/>
            </w:pPr>
            <w:r w:rsidRPr="00313CEB">
              <w:t xml:space="preserve">Industrial areas are usually located in outer-urban areas or regional areas that have poor fixed telecommunications connectivity, but this can be solved with </w:t>
            </w:r>
            <w:r w:rsidR="00EB03E1">
              <w:t>high-capacity</w:t>
            </w:r>
            <w:r w:rsidR="00CD7BEF">
              <w:t xml:space="preserve"> </w:t>
            </w:r>
            <w:r w:rsidR="00CC0560">
              <w:t xml:space="preserve">wireless connections known as </w:t>
            </w:r>
            <w:r w:rsidRPr="00313CEB">
              <w:t xml:space="preserve">microwave backhaul. </w:t>
            </w:r>
          </w:p>
          <w:p w14:paraId="42771FE6" w14:textId="77777777" w:rsidR="00230B9A" w:rsidRPr="00313CEB" w:rsidRDefault="00230B9A" w:rsidP="0065314A">
            <w:pPr>
              <w:pStyle w:val="Bulletlevel1last"/>
              <w:keepNext/>
              <w:keepLines/>
            </w:pPr>
            <w:r w:rsidRPr="00313CEB">
              <w:t>Small equipment range at 3.8</w:t>
            </w:r>
            <w:r>
              <w:t xml:space="preserve"> </w:t>
            </w:r>
            <w:r w:rsidRPr="00313CEB">
              <w:t>GHz.</w:t>
            </w:r>
          </w:p>
          <w:p w14:paraId="6F0F8FE5" w14:textId="77777777" w:rsidR="00230B9A" w:rsidRPr="00236A6D" w:rsidRDefault="00230B9A" w:rsidP="0065314A">
            <w:pPr>
              <w:pStyle w:val="Paragraph"/>
              <w:keepNext/>
              <w:keepLines/>
            </w:pPr>
            <w:r w:rsidRPr="00313CEB">
              <w:rPr>
                <w:b/>
                <w:bCs/>
              </w:rPr>
              <w:t>Background</w:t>
            </w:r>
            <w:r w:rsidRPr="00313CEB">
              <w:t>: The 5G private wireless</w:t>
            </w:r>
            <w:r w:rsidRPr="00236A6D">
              <w:t xml:space="preserve"> network operated at the top end of 3.8</w:t>
            </w:r>
            <w:r>
              <w:t xml:space="preserve"> </w:t>
            </w:r>
            <w:r w:rsidRPr="00236A6D">
              <w:t>GHz using spectrum issued through a scientific licence. BAI built a core and base stations and used 8 radio heads inside the building. It used microwave backhaul because there was no fibre connection to the abattoir.</w:t>
            </w:r>
          </w:p>
          <w:p w14:paraId="4310401F" w14:textId="11277A9D" w:rsidR="00230B9A" w:rsidRPr="00236A6D" w:rsidRDefault="00230B9A" w:rsidP="0065314A">
            <w:pPr>
              <w:pStyle w:val="Paragraph"/>
              <w:keepNext/>
              <w:keepLines/>
            </w:pPr>
            <w:r w:rsidRPr="00236A6D">
              <w:t xml:space="preserve">BAI used a Nokia handset from HMD and a </w:t>
            </w:r>
            <w:r w:rsidR="00CB31DA">
              <w:t>wi-fi</w:t>
            </w:r>
            <w:r w:rsidRPr="00236A6D">
              <w:t xml:space="preserve"> hotspot device from </w:t>
            </w:r>
            <w:proofErr w:type="spellStart"/>
            <w:r w:rsidRPr="00236A6D">
              <w:t>Zyxel</w:t>
            </w:r>
            <w:proofErr w:type="spellEnd"/>
            <w:r w:rsidRPr="00236A6D">
              <w:t xml:space="preserve">. </w:t>
            </w:r>
          </w:p>
          <w:p w14:paraId="6178CFE2" w14:textId="2F3B03C9" w:rsidR="00230B9A" w:rsidRPr="00236A6D" w:rsidRDefault="00230B9A" w:rsidP="0065314A">
            <w:pPr>
              <w:pStyle w:val="Paragraph"/>
              <w:keepNext/>
              <w:keepLines/>
            </w:pPr>
            <w:r w:rsidRPr="00236A6D">
              <w:t xml:space="preserve">BAI </w:t>
            </w:r>
            <w:r>
              <w:t>said</w:t>
            </w:r>
            <w:r w:rsidRPr="00236A6D">
              <w:t xml:space="preserve"> the current range of indoor equipment was not suited to tough industrial conditions. Indoor radio antennas were subject to a wide range of temperatures inside the abattoir</w:t>
            </w:r>
            <w:r w:rsidR="00F071B2">
              <w:t>,</w:t>
            </w:r>
            <w:r w:rsidRPr="00236A6D">
              <w:t xml:space="preserve"> including freezers and fridges and were exposed to blood splashes and regular cleaning. </w:t>
            </w:r>
          </w:p>
          <w:p w14:paraId="72CBFD25" w14:textId="6747A612" w:rsidR="00230B9A" w:rsidRPr="00236A6D" w:rsidRDefault="00230B9A" w:rsidP="0065314A">
            <w:pPr>
              <w:keepNext/>
              <w:keepLines/>
              <w:widowControl w:val="0"/>
              <w:spacing w:after="120"/>
            </w:pPr>
            <w:r w:rsidRPr="00236A6D">
              <w:t xml:space="preserve">5G technology can </w:t>
            </w:r>
            <w:r w:rsidR="00BD13CB" w:rsidRPr="00236A6D">
              <w:t>carry</w:t>
            </w:r>
            <w:r w:rsidRPr="00236A6D">
              <w:t xml:space="preserve"> </w:t>
            </w:r>
            <w:r w:rsidR="009D5B82">
              <w:t>hundreds more</w:t>
            </w:r>
            <w:r w:rsidRPr="00236A6D">
              <w:t xml:space="preserve"> robots and connected machinery than 4G/LTE</w:t>
            </w:r>
            <w:r w:rsidR="0065314A">
              <w:t xml:space="preserve"> technology</w:t>
            </w:r>
            <w:r w:rsidR="009D5B82">
              <w:t>. This is because it can upload more data than 4G/LTE</w:t>
            </w:r>
            <w:r w:rsidR="008E3139">
              <w:t xml:space="preserve">. Higher upload capacity reduces lag or latency. </w:t>
            </w:r>
            <w:r w:rsidRPr="00236A6D">
              <w:t xml:space="preserve">This means </w:t>
            </w:r>
            <w:r w:rsidR="002A580A">
              <w:t xml:space="preserve">the network is quick enough for </w:t>
            </w:r>
            <w:r w:rsidR="0065314A">
              <w:t xml:space="preserve">on-site </w:t>
            </w:r>
            <w:r w:rsidR="002A580A">
              <w:t>computers to analyse data rather than the robots or devices</w:t>
            </w:r>
            <w:r w:rsidR="0065314A">
              <w:t>. This uses less battery power on the</w:t>
            </w:r>
            <w:r w:rsidR="006C560E">
              <w:t xml:space="preserve"> connected devices</w:t>
            </w:r>
            <w:r w:rsidR="0065314A">
              <w:t xml:space="preserve"> and extends their running time</w:t>
            </w:r>
            <w:r w:rsidR="006C560E">
              <w:t xml:space="preserve">. </w:t>
            </w:r>
            <w:r w:rsidRPr="00236A6D">
              <w:t xml:space="preserve"> </w:t>
            </w:r>
          </w:p>
        </w:tc>
      </w:tr>
    </w:tbl>
    <w:p w14:paraId="3009749B" w14:textId="77777777" w:rsidR="00230B9A" w:rsidRDefault="00230B9A" w:rsidP="0065314A">
      <w:pPr>
        <w:widowControl w:val="0"/>
        <w:spacing w:after="120"/>
      </w:pPr>
    </w:p>
    <w:p w14:paraId="75CB1B72" w14:textId="6DD890F1" w:rsidR="00230B9A" w:rsidRDefault="00230B9A" w:rsidP="001139F8">
      <w:pPr>
        <w:pStyle w:val="Paragraph"/>
        <w:keepNext/>
        <w:keepLines/>
        <w:widowControl w:val="0"/>
      </w:pPr>
      <w:r w:rsidRPr="0022132B">
        <w:t xml:space="preserve">The need to mix and match equipment to suit </w:t>
      </w:r>
      <w:r w:rsidR="00F071B2">
        <w:t xml:space="preserve">the </w:t>
      </w:r>
      <w:r w:rsidRPr="0022132B">
        <w:t xml:space="preserve">physical conditions of </w:t>
      </w:r>
      <w:r>
        <w:t xml:space="preserve">every </w:t>
      </w:r>
      <w:r w:rsidRPr="0022132B">
        <w:t xml:space="preserve">enterprise will be </w:t>
      </w:r>
      <w:r>
        <w:t>helped</w:t>
      </w:r>
      <w:r w:rsidRPr="0022132B">
        <w:t xml:space="preserve"> by the progress of the </w:t>
      </w:r>
      <w:r>
        <w:t xml:space="preserve">open radio access network </w:t>
      </w:r>
      <w:r w:rsidRPr="0022132B">
        <w:t>principles</w:t>
      </w:r>
      <w:r>
        <w:t xml:space="preserve"> – known as </w:t>
      </w:r>
      <w:proofErr w:type="spellStart"/>
      <w:r>
        <w:t>OpenRAN</w:t>
      </w:r>
      <w:proofErr w:type="spellEnd"/>
      <w:r>
        <w:t xml:space="preserve"> or ORAN – </w:t>
      </w:r>
      <w:r w:rsidRPr="0022132B">
        <w:t xml:space="preserve">endorsed by the Australian </w:t>
      </w:r>
      <w:r w:rsidR="00F071B2">
        <w:t>G</w:t>
      </w:r>
      <w:r w:rsidRPr="0022132B">
        <w:t>overnment in late 2022.</w:t>
      </w:r>
      <w:r w:rsidRPr="0022132B">
        <w:rPr>
          <w:rStyle w:val="FootnoteReference"/>
        </w:rPr>
        <w:footnoteReference w:id="72"/>
      </w:r>
      <w:r w:rsidRPr="0022132B">
        <w:t xml:space="preserve">   </w:t>
      </w:r>
    </w:p>
    <w:p w14:paraId="4BDA58C9" w14:textId="0899A0DB" w:rsidR="004F45C4" w:rsidRPr="0022132B" w:rsidRDefault="004F45C4" w:rsidP="00E22EC6">
      <w:pPr>
        <w:pStyle w:val="Paragraph"/>
        <w:widowControl w:val="0"/>
      </w:pPr>
      <w:r>
        <w:t>The</w:t>
      </w:r>
      <w:r w:rsidR="00C23023">
        <w:t xml:space="preserve"> principles encourage</w:t>
      </w:r>
      <w:r w:rsidR="0094091E">
        <w:t xml:space="preserve"> manufacturers to </w:t>
      </w:r>
      <w:r w:rsidR="0065314A">
        <w:t xml:space="preserve">sell </w:t>
      </w:r>
      <w:r w:rsidR="00C23023">
        <w:t>interoperable equipment</w:t>
      </w:r>
      <w:r w:rsidR="006636DC">
        <w:t xml:space="preserve"> </w:t>
      </w:r>
      <w:r w:rsidR="0065314A">
        <w:t xml:space="preserve">that meets </w:t>
      </w:r>
      <w:r w:rsidR="006636DC">
        <w:t>generic standards</w:t>
      </w:r>
      <w:r w:rsidR="00246C0D">
        <w:t>.</w:t>
      </w:r>
      <w:r w:rsidR="00A00EB5">
        <w:t xml:space="preserve"> </w:t>
      </w:r>
      <w:r w:rsidR="00246C0D">
        <w:t xml:space="preserve">This </w:t>
      </w:r>
      <w:r w:rsidR="00A00EB5">
        <w:t xml:space="preserve">way, </w:t>
      </w:r>
      <w:r w:rsidR="00E66C41">
        <w:t xml:space="preserve">a single </w:t>
      </w:r>
      <w:r w:rsidR="00357092">
        <w:t xml:space="preserve">network can </w:t>
      </w:r>
      <w:r w:rsidR="00FF1344">
        <w:t xml:space="preserve">be built </w:t>
      </w:r>
      <w:r w:rsidR="00E66C41">
        <w:t>using</w:t>
      </w:r>
      <w:r w:rsidR="00FF1344">
        <w:t xml:space="preserve"> </w:t>
      </w:r>
      <w:r w:rsidR="00246C0D">
        <w:t xml:space="preserve">equipment from </w:t>
      </w:r>
      <w:r w:rsidR="000B14AD">
        <w:t xml:space="preserve">many different </w:t>
      </w:r>
      <w:r w:rsidR="00E66C41">
        <w:t>suppliers</w:t>
      </w:r>
      <w:r w:rsidR="00FF1344">
        <w:t xml:space="preserve">. </w:t>
      </w:r>
      <w:r w:rsidR="00C966A8" w:rsidRPr="009B6C15">
        <w:t xml:space="preserve">It moves away from </w:t>
      </w:r>
      <w:r w:rsidR="00C966A8">
        <w:t xml:space="preserve">a </w:t>
      </w:r>
      <w:r w:rsidR="00EB03E1" w:rsidRPr="009B6C15">
        <w:t>long-term</w:t>
      </w:r>
      <w:r w:rsidR="00C966A8" w:rsidRPr="009B6C15">
        <w:t xml:space="preserve"> practice of having end-to-end </w:t>
      </w:r>
      <w:r w:rsidR="00C966A8">
        <w:t xml:space="preserve">radio access networks </w:t>
      </w:r>
      <w:r w:rsidR="00C966A8" w:rsidRPr="009B6C15">
        <w:t>provided by a single vendor.</w:t>
      </w:r>
    </w:p>
    <w:p w14:paraId="0BE8ED03" w14:textId="1DF7D2B8" w:rsidR="00230B9A" w:rsidRDefault="00230B9A" w:rsidP="001139F8">
      <w:pPr>
        <w:pStyle w:val="Paragraph"/>
        <w:keepNext/>
        <w:keepLines/>
        <w:widowControl w:val="0"/>
        <w:spacing w:after="120"/>
      </w:pPr>
      <w:r>
        <w:t xml:space="preserve">In recent 5G standalone trials, </w:t>
      </w:r>
      <w:r w:rsidRPr="006A4BEC">
        <w:t>Nokia</w:t>
      </w:r>
      <w:r>
        <w:t xml:space="preserve"> Australia worked with its parent company in Finland to adapt existing equipment for higher uplink requirements (see Case </w:t>
      </w:r>
      <w:r w:rsidR="00F071B2">
        <w:t>s</w:t>
      </w:r>
      <w:r>
        <w:t xml:space="preserve">tudy </w:t>
      </w:r>
      <w:r w:rsidR="003766DA">
        <w:t>3</w:t>
      </w:r>
      <w:r>
        <w:t xml:space="preserve">). </w:t>
      </w:r>
    </w:p>
    <w:tbl>
      <w:tblPr>
        <w:tblStyle w:val="TableGrid"/>
        <w:tblpPr w:leftFromText="180" w:rightFromText="180" w:vertAnchor="text" w:horzAnchor="margin" w:tblpY="196"/>
        <w:tblW w:w="779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85" w:type="dxa"/>
          <w:left w:w="57" w:type="dxa"/>
          <w:bottom w:w="85" w:type="dxa"/>
          <w:right w:w="57" w:type="dxa"/>
        </w:tblCellMar>
        <w:tblLook w:val="04A0" w:firstRow="1" w:lastRow="0" w:firstColumn="1" w:lastColumn="0" w:noHBand="0" w:noVBand="1"/>
      </w:tblPr>
      <w:tblGrid>
        <w:gridCol w:w="7797"/>
      </w:tblGrid>
      <w:tr w:rsidR="00230B9A" w:rsidRPr="00E70DFE" w14:paraId="072BE68F" w14:textId="77777777" w:rsidTr="00EB03E1">
        <w:trPr>
          <w:cantSplit/>
        </w:trPr>
        <w:tc>
          <w:tcPr>
            <w:tcW w:w="7797" w:type="dxa"/>
            <w:shd w:val="clear" w:color="auto" w:fill="39457C"/>
          </w:tcPr>
          <w:p w14:paraId="01D944AA" w14:textId="31B9C97B" w:rsidR="00230B9A" w:rsidRPr="00E70DFE" w:rsidRDefault="00230B9A" w:rsidP="0065314A">
            <w:pPr>
              <w:pStyle w:val="Heading2"/>
              <w:keepLines/>
              <w:spacing w:before="0" w:after="0"/>
            </w:pPr>
            <w:bookmarkStart w:id="45" w:name="_Toc139373163"/>
            <w:bookmarkStart w:id="46" w:name="_Toc140741287"/>
            <w:bookmarkStart w:id="47" w:name="_Toc146022995"/>
            <w:r w:rsidRPr="00C966A8">
              <w:rPr>
                <w:color w:val="FFFFFF" w:themeColor="background1"/>
              </w:rPr>
              <w:t xml:space="preserve">Case </w:t>
            </w:r>
            <w:r w:rsidR="00F071B2">
              <w:rPr>
                <w:color w:val="FFFFFF" w:themeColor="background1"/>
              </w:rPr>
              <w:t>s</w:t>
            </w:r>
            <w:r w:rsidRPr="00C966A8">
              <w:rPr>
                <w:color w:val="FFFFFF" w:themeColor="background1"/>
              </w:rPr>
              <w:t xml:space="preserve">tudy </w:t>
            </w:r>
            <w:r w:rsidR="00AB6405">
              <w:rPr>
                <w:color w:val="FFFFFF" w:themeColor="background1"/>
              </w:rPr>
              <w:t>3</w:t>
            </w:r>
            <w:r w:rsidRPr="00C966A8">
              <w:rPr>
                <w:color w:val="FFFFFF" w:themeColor="background1"/>
              </w:rPr>
              <w:t>: Nokia and University of Technology Sydney</w:t>
            </w:r>
            <w:bookmarkEnd w:id="45"/>
            <w:bookmarkEnd w:id="46"/>
            <w:bookmarkEnd w:id="47"/>
            <w:r w:rsidRPr="00C966A8" w:rsidDel="00534676">
              <w:rPr>
                <w:color w:val="FFFFFF" w:themeColor="background1"/>
              </w:rPr>
              <w:t xml:space="preserve"> </w:t>
            </w:r>
          </w:p>
        </w:tc>
      </w:tr>
      <w:tr w:rsidR="00230B9A" w:rsidRPr="00E70DFE" w14:paraId="054F6BEB" w14:textId="77777777" w:rsidTr="00EB03E1">
        <w:trPr>
          <w:cantSplit/>
        </w:trPr>
        <w:tc>
          <w:tcPr>
            <w:tcW w:w="7797" w:type="dxa"/>
            <w:shd w:val="clear" w:color="auto" w:fill="EEF0F8"/>
          </w:tcPr>
          <w:p w14:paraId="3A38A34A" w14:textId="54F44911" w:rsidR="00230B9A" w:rsidRPr="00CD4B38" w:rsidRDefault="00230B9A" w:rsidP="0065314A">
            <w:pPr>
              <w:pStyle w:val="ACMANormalTabbed"/>
              <w:keepNext/>
              <w:keepLines/>
              <w:rPr>
                <w:b/>
                <w:bCs/>
              </w:rPr>
            </w:pPr>
            <w:r w:rsidRPr="00CD4B38">
              <w:rPr>
                <w:b/>
                <w:bCs/>
              </w:rPr>
              <w:t xml:space="preserve">This </w:t>
            </w:r>
            <w:r w:rsidR="00F071B2">
              <w:rPr>
                <w:b/>
                <w:bCs/>
              </w:rPr>
              <w:t xml:space="preserve">is a </w:t>
            </w:r>
            <w:r w:rsidRPr="00CD4B38">
              <w:rPr>
                <w:b/>
                <w:bCs/>
              </w:rPr>
              <w:t>case study of a 5G standalone private wireless networking trial that demonstrates equipment and spectrum challenges</w:t>
            </w:r>
            <w:r w:rsidR="00F071B2">
              <w:rPr>
                <w:b/>
                <w:bCs/>
              </w:rPr>
              <w:t>.</w:t>
            </w:r>
            <w:r w:rsidRPr="00CD4B38">
              <w:rPr>
                <w:b/>
                <w:bCs/>
              </w:rPr>
              <w:t xml:space="preserve"> </w:t>
            </w:r>
          </w:p>
          <w:p w14:paraId="240FDC75" w14:textId="7AF0A9EA" w:rsidR="00230B9A" w:rsidRPr="003B1171" w:rsidRDefault="00230B9A" w:rsidP="0065314A">
            <w:pPr>
              <w:keepNext/>
              <w:keepLines/>
              <w:rPr>
                <w:rStyle w:val="Hyperlink"/>
                <w:color w:val="auto"/>
                <w:u w:val="none"/>
              </w:rPr>
            </w:pPr>
            <w:r w:rsidRPr="00E70DFE">
              <w:rPr>
                <w:rFonts w:cs="Arial"/>
                <w:b/>
                <w:bCs/>
              </w:rPr>
              <w:t xml:space="preserve">Purpose: </w:t>
            </w:r>
            <w:r w:rsidRPr="00E70DFE">
              <w:rPr>
                <w:rFonts w:cs="Arial"/>
              </w:rPr>
              <w:t>To test collaborative robots (</w:t>
            </w:r>
            <w:proofErr w:type="spellStart"/>
            <w:r w:rsidRPr="00E70DFE">
              <w:rPr>
                <w:rFonts w:cs="Arial"/>
              </w:rPr>
              <w:t>cobots</w:t>
            </w:r>
            <w:proofErr w:type="spellEnd"/>
            <w:r w:rsidRPr="00E70DFE">
              <w:rPr>
                <w:rFonts w:cs="Arial"/>
              </w:rPr>
              <w:t>)</w:t>
            </w:r>
            <w:r w:rsidR="004E1CD3">
              <w:rPr>
                <w:rFonts w:cs="Arial"/>
              </w:rPr>
              <w:t>,</w:t>
            </w:r>
            <w:r w:rsidRPr="00E70DFE">
              <w:rPr>
                <w:rFonts w:cs="Arial"/>
              </w:rPr>
              <w:t xml:space="preserve"> which </w:t>
            </w:r>
            <w:r w:rsidRPr="00840966">
              <w:rPr>
                <w:rFonts w:cs="Arial"/>
              </w:rPr>
              <w:t xml:space="preserve">perform </w:t>
            </w:r>
            <w:hyperlink r:id="rId33" w:history="1">
              <w:r w:rsidRPr="00840966">
                <w:rPr>
                  <w:rStyle w:val="Hyperlink"/>
                  <w:rFonts w:cs="Arial"/>
                  <w:color w:val="auto"/>
                  <w:u w:val="none"/>
                </w:rPr>
                <w:t>predefined tasks repeatedly and reliably</w:t>
              </w:r>
            </w:hyperlink>
            <w:r>
              <w:rPr>
                <w:rStyle w:val="Hyperlink"/>
                <w:rFonts w:cs="Arial"/>
                <w:color w:val="auto"/>
                <w:u w:val="none"/>
              </w:rPr>
              <w:t xml:space="preserve"> </w:t>
            </w:r>
            <w:r w:rsidRPr="003B1171">
              <w:rPr>
                <w:rStyle w:val="Hyperlink"/>
                <w:rFonts w:cs="Arial"/>
                <w:color w:val="auto"/>
                <w:u w:val="none"/>
              </w:rPr>
              <w:t>alongside humans</w:t>
            </w:r>
            <w:r w:rsidRPr="003B1171">
              <w:rPr>
                <w:rStyle w:val="Hyperlink"/>
                <w:color w:val="auto"/>
                <w:u w:val="none"/>
              </w:rPr>
              <w:t xml:space="preserve">. </w:t>
            </w:r>
          </w:p>
          <w:p w14:paraId="0F892B21" w14:textId="6CC302BE" w:rsidR="00230B9A" w:rsidRPr="00E70DFE" w:rsidRDefault="00230B9A" w:rsidP="0065314A">
            <w:pPr>
              <w:keepNext/>
              <w:keepLines/>
              <w:rPr>
                <w:rFonts w:cs="Arial"/>
              </w:rPr>
            </w:pPr>
            <w:r w:rsidRPr="00E70DFE">
              <w:rPr>
                <w:rFonts w:cs="Arial"/>
                <w:b/>
                <w:bCs/>
              </w:rPr>
              <w:t>Timing</w:t>
            </w:r>
            <w:r w:rsidRPr="00E70DFE">
              <w:rPr>
                <w:rFonts w:cs="Arial"/>
              </w:rPr>
              <w:t xml:space="preserve">: </w:t>
            </w:r>
            <w:r>
              <w:rPr>
                <w:rFonts w:cs="Arial"/>
              </w:rPr>
              <w:t>The trial c</w:t>
            </w:r>
            <w:r w:rsidRPr="00E70DFE">
              <w:rPr>
                <w:rFonts w:cs="Arial"/>
              </w:rPr>
              <w:t xml:space="preserve">oncluded in December </w:t>
            </w:r>
            <w:r w:rsidR="004E1CD3" w:rsidRPr="00E70DFE">
              <w:rPr>
                <w:rFonts w:cs="Arial"/>
              </w:rPr>
              <w:t>2022,</w:t>
            </w:r>
            <w:r>
              <w:rPr>
                <w:rFonts w:cs="Arial"/>
              </w:rPr>
              <w:t xml:space="preserve"> but </w:t>
            </w:r>
            <w:r w:rsidR="004E1CD3">
              <w:rPr>
                <w:rFonts w:cs="Arial"/>
              </w:rPr>
              <w:t xml:space="preserve">the </w:t>
            </w:r>
            <w:r>
              <w:rPr>
                <w:rFonts w:cs="Arial"/>
              </w:rPr>
              <w:t>network remains operational</w:t>
            </w:r>
            <w:r w:rsidRPr="00E70DFE">
              <w:rPr>
                <w:rFonts w:cs="Arial"/>
              </w:rPr>
              <w:t>.</w:t>
            </w:r>
          </w:p>
          <w:p w14:paraId="1C48546D" w14:textId="77777777" w:rsidR="00230B9A" w:rsidRPr="00E70DFE" w:rsidRDefault="00230B9A" w:rsidP="00A62E28">
            <w:pPr>
              <w:keepNext/>
              <w:keepLines/>
              <w:spacing w:after="0"/>
              <w:rPr>
                <w:rFonts w:cs="Arial"/>
              </w:rPr>
            </w:pPr>
            <w:r w:rsidRPr="00E70DFE">
              <w:rPr>
                <w:rFonts w:cs="Arial"/>
                <w:b/>
                <w:bCs/>
              </w:rPr>
              <w:t>Barriers:</w:t>
            </w:r>
            <w:r w:rsidRPr="00E70DFE">
              <w:rPr>
                <w:rFonts w:cs="Arial"/>
              </w:rPr>
              <w:t xml:space="preserve"> </w:t>
            </w:r>
          </w:p>
          <w:p w14:paraId="1DDB9F5C" w14:textId="77777777" w:rsidR="00230B9A" w:rsidRPr="00E70DFE" w:rsidRDefault="00230B9A" w:rsidP="00C34FB2">
            <w:pPr>
              <w:pStyle w:val="ListParagraph"/>
              <w:keepNext/>
              <w:keepLines/>
              <w:numPr>
                <w:ilvl w:val="0"/>
                <w:numId w:val="10"/>
              </w:numPr>
              <w:spacing w:after="240"/>
              <w:contextualSpacing w:val="0"/>
              <w:rPr>
                <w:rFonts w:ascii="Arial" w:hAnsi="Arial" w:cs="Arial"/>
                <w:sz w:val="20"/>
                <w:szCs w:val="20"/>
              </w:rPr>
            </w:pPr>
            <w:r w:rsidRPr="00E70DFE">
              <w:rPr>
                <w:rFonts w:ascii="Arial" w:hAnsi="Arial" w:cs="Arial"/>
                <w:sz w:val="20"/>
                <w:szCs w:val="20"/>
              </w:rPr>
              <w:t xml:space="preserve">Equipment and handset costs </w:t>
            </w:r>
            <w:r>
              <w:rPr>
                <w:rFonts w:ascii="Arial" w:hAnsi="Arial" w:cs="Arial"/>
                <w:sz w:val="20"/>
                <w:szCs w:val="20"/>
              </w:rPr>
              <w:t xml:space="preserve">are </w:t>
            </w:r>
            <w:r w:rsidRPr="00E70DFE">
              <w:rPr>
                <w:rFonts w:ascii="Arial" w:hAnsi="Arial" w:cs="Arial"/>
                <w:sz w:val="20"/>
                <w:szCs w:val="20"/>
              </w:rPr>
              <w:t xml:space="preserve">high at </w:t>
            </w:r>
            <w:r>
              <w:rPr>
                <w:rFonts w:ascii="Arial" w:hAnsi="Arial" w:cs="Arial"/>
                <w:sz w:val="20"/>
                <w:szCs w:val="20"/>
              </w:rPr>
              <w:t xml:space="preserve">millimetre wave </w:t>
            </w:r>
            <w:r w:rsidRPr="00E70DFE">
              <w:rPr>
                <w:rFonts w:ascii="Arial" w:hAnsi="Arial" w:cs="Arial"/>
                <w:sz w:val="20"/>
                <w:szCs w:val="20"/>
              </w:rPr>
              <w:t>frequencies</w:t>
            </w:r>
            <w:r>
              <w:rPr>
                <w:rFonts w:ascii="Arial" w:hAnsi="Arial" w:cs="Arial"/>
                <w:sz w:val="20"/>
                <w:szCs w:val="20"/>
              </w:rPr>
              <w:t xml:space="preserve"> (but </w:t>
            </w:r>
            <w:r w:rsidRPr="00E70DFE">
              <w:rPr>
                <w:rFonts w:ascii="Arial" w:hAnsi="Arial" w:cs="Arial"/>
                <w:sz w:val="20"/>
                <w:szCs w:val="20"/>
              </w:rPr>
              <w:t>this is likely to change over time</w:t>
            </w:r>
            <w:r>
              <w:rPr>
                <w:rFonts w:ascii="Arial" w:hAnsi="Arial" w:cs="Arial"/>
                <w:sz w:val="20"/>
                <w:szCs w:val="20"/>
              </w:rPr>
              <w:t xml:space="preserve"> as the 5G equipment becomes more readily available).</w:t>
            </w:r>
          </w:p>
          <w:p w14:paraId="0D7D4406" w14:textId="77777777" w:rsidR="00230B9A" w:rsidRPr="00E70DFE" w:rsidRDefault="00230B9A" w:rsidP="00C34FB2">
            <w:pPr>
              <w:pStyle w:val="Paragraph"/>
            </w:pPr>
            <w:r w:rsidRPr="00E70DFE">
              <w:rPr>
                <w:b/>
                <w:bCs/>
              </w:rPr>
              <w:t>Background</w:t>
            </w:r>
            <w:r w:rsidRPr="00E70DFE">
              <w:t xml:space="preserve">: In partnership with the University of Technology Sydney, Nokia’s 5G Futures Lab tested </w:t>
            </w:r>
            <w:proofErr w:type="spellStart"/>
            <w:r w:rsidRPr="00E70DFE">
              <w:t>cobots</w:t>
            </w:r>
            <w:proofErr w:type="spellEnd"/>
            <w:r w:rsidRPr="00E70DFE">
              <w:t xml:space="preserve"> on a 5G </w:t>
            </w:r>
            <w:r>
              <w:t>standalone (3.5 GHz) and non-</w:t>
            </w:r>
            <w:r w:rsidRPr="00E70DFE">
              <w:t xml:space="preserve">standalone </w:t>
            </w:r>
            <w:r>
              <w:t xml:space="preserve">(2.1 GHz and 28 GHz) </w:t>
            </w:r>
            <w:r w:rsidRPr="00E70DFE">
              <w:t xml:space="preserve">network. </w:t>
            </w:r>
          </w:p>
          <w:p w14:paraId="08A73905" w14:textId="77777777" w:rsidR="001139F8" w:rsidRDefault="00230B9A" w:rsidP="00C34FB2">
            <w:pPr>
              <w:pStyle w:val="Paragraph"/>
            </w:pPr>
            <w:r w:rsidRPr="00E70DFE">
              <w:t>They used an area</w:t>
            </w:r>
            <w:r w:rsidR="00E31ED8">
              <w:t>-</w:t>
            </w:r>
            <w:r w:rsidRPr="00E70DFE">
              <w:t>wide licence at 28 GHz but also have access to 3.5 GHz spectrum through a</w:t>
            </w:r>
            <w:r>
              <w:t>n</w:t>
            </w:r>
            <w:r w:rsidRPr="00E70DFE">
              <w:t xml:space="preserve"> agreement with TPG. </w:t>
            </w:r>
          </w:p>
          <w:p w14:paraId="41134672" w14:textId="73C9329A" w:rsidR="00230B9A" w:rsidRPr="00E70DFE" w:rsidRDefault="00230B9A" w:rsidP="00C34FB2">
            <w:pPr>
              <w:pStyle w:val="Paragraph"/>
            </w:pPr>
            <w:r w:rsidRPr="00E70DFE">
              <w:t>They started with 100 MH</w:t>
            </w:r>
            <w:r>
              <w:t xml:space="preserve">z </w:t>
            </w:r>
            <w:r w:rsidRPr="00E70DFE">
              <w:t>at 3.5</w:t>
            </w:r>
            <w:r>
              <w:t xml:space="preserve"> </w:t>
            </w:r>
            <w:r w:rsidRPr="00E70DFE">
              <w:t xml:space="preserve">GHz to deliver 1000 Mbps downlink and 150 Mbps uplink, but this was not enough uplink bandwidth for the </w:t>
            </w:r>
            <w:proofErr w:type="spellStart"/>
            <w:r w:rsidRPr="00E70DFE">
              <w:t>cobot</w:t>
            </w:r>
            <w:r>
              <w:t>’s</w:t>
            </w:r>
            <w:proofErr w:type="spellEnd"/>
            <w:r>
              <w:t xml:space="preserve"> data streams</w:t>
            </w:r>
            <w:r w:rsidRPr="00E70DFE">
              <w:t xml:space="preserve">. </w:t>
            </w:r>
          </w:p>
          <w:p w14:paraId="1B82663F" w14:textId="77777777" w:rsidR="00230B9A" w:rsidRPr="00E70DFE" w:rsidRDefault="00230B9A" w:rsidP="00C34FB2">
            <w:pPr>
              <w:pStyle w:val="Paragraph"/>
            </w:pPr>
            <w:r w:rsidRPr="00E70DFE">
              <w:t>They ended up using a mix of carrier spectrum at 2.1 GHz and 2</w:t>
            </w:r>
            <w:r>
              <w:t>8</w:t>
            </w:r>
            <w:r w:rsidRPr="00E70DFE">
              <w:t xml:space="preserve"> GHz and special software from Finland to deliver more uplink than downlink. This generated 2 Gbps uplink but used </w:t>
            </w:r>
            <w:r>
              <w:t xml:space="preserve">a carrier bandwidth of </w:t>
            </w:r>
            <w:r w:rsidRPr="00E70DFE">
              <w:t xml:space="preserve">400 </w:t>
            </w:r>
            <w:proofErr w:type="spellStart"/>
            <w:r w:rsidRPr="00E70DFE">
              <w:t>MHz.</w:t>
            </w:r>
            <w:proofErr w:type="spellEnd"/>
            <w:r w:rsidRPr="00E70DFE">
              <w:t xml:space="preserve">  </w:t>
            </w:r>
          </w:p>
          <w:p w14:paraId="749948C3" w14:textId="1304117B" w:rsidR="00230B9A" w:rsidRPr="00687618" w:rsidRDefault="00230B9A" w:rsidP="00A62E28">
            <w:pPr>
              <w:keepNext/>
              <w:keepLines/>
              <w:spacing w:after="120"/>
              <w:ind w:left="567" w:right="567"/>
              <w:rPr>
                <w:rFonts w:cs="Arial"/>
                <w:sz w:val="18"/>
                <w:szCs w:val="18"/>
              </w:rPr>
            </w:pPr>
            <w:r w:rsidRPr="00687618">
              <w:rPr>
                <w:rFonts w:cs="Arial"/>
                <w:sz w:val="18"/>
                <w:szCs w:val="18"/>
              </w:rPr>
              <w:t xml:space="preserve">The most significant finding during this project was the shift in throughput requirements from the heavily biased downlink commercial networks that we see today to the heavily uplink biased networks required by Industry 4.0. </w:t>
            </w:r>
          </w:p>
          <w:p w14:paraId="378964CA" w14:textId="23F4C5FD" w:rsidR="00230B9A" w:rsidRPr="00687618" w:rsidRDefault="00230B9A" w:rsidP="00A62E28">
            <w:pPr>
              <w:keepNext/>
              <w:keepLines/>
              <w:spacing w:after="120"/>
              <w:ind w:left="567" w:right="567"/>
              <w:rPr>
                <w:rFonts w:cs="Arial"/>
                <w:sz w:val="18"/>
                <w:szCs w:val="18"/>
              </w:rPr>
            </w:pPr>
            <w:r w:rsidRPr="00687618">
              <w:rPr>
                <w:rFonts w:cs="Arial"/>
                <w:sz w:val="18"/>
                <w:szCs w:val="18"/>
              </w:rPr>
              <w:t>This represents a paradigm shift which has been fed back to Nokia R&amp;D teams in order to shape the design of our future 5G enterprise network products.</w:t>
            </w:r>
          </w:p>
          <w:p w14:paraId="2CEC6E47" w14:textId="77777777" w:rsidR="00230B9A" w:rsidRPr="00E70DFE" w:rsidRDefault="00230B9A" w:rsidP="00A62E28">
            <w:pPr>
              <w:keepNext/>
              <w:keepLines/>
              <w:spacing w:after="120"/>
              <w:jc w:val="right"/>
              <w:rPr>
                <w:rFonts w:cs="Arial"/>
              </w:rPr>
            </w:pPr>
            <w:r w:rsidRPr="00E70DFE">
              <w:rPr>
                <w:rFonts w:cs="Arial"/>
              </w:rPr>
              <w:t xml:space="preserve"> Nokia 5G Connected </w:t>
            </w:r>
            <w:proofErr w:type="spellStart"/>
            <w:r w:rsidRPr="00E70DFE">
              <w:rPr>
                <w:rFonts w:cs="Arial"/>
              </w:rPr>
              <w:t>Cobots</w:t>
            </w:r>
            <w:proofErr w:type="spellEnd"/>
            <w:r w:rsidRPr="00E70DFE">
              <w:rPr>
                <w:rFonts w:cs="Arial"/>
              </w:rPr>
              <w:t>: Final Report</w:t>
            </w:r>
            <w:r w:rsidRPr="00E70DFE">
              <w:rPr>
                <w:rFonts w:cs="Arial"/>
                <w:vertAlign w:val="superscript"/>
              </w:rPr>
              <w:footnoteRef/>
            </w:r>
          </w:p>
        </w:tc>
      </w:tr>
    </w:tbl>
    <w:p w14:paraId="15E2C8E2" w14:textId="77777777" w:rsidR="00230B9A" w:rsidRPr="00205707" w:rsidRDefault="00230B9A" w:rsidP="00230B9A">
      <w:pPr>
        <w:pStyle w:val="Heading1"/>
      </w:pPr>
      <w:bookmarkStart w:id="48" w:name="_Equipment_suitability"/>
      <w:bookmarkStart w:id="49" w:name="_Identified_challenges"/>
      <w:bookmarkStart w:id="50" w:name="_Toc139373164"/>
      <w:bookmarkStart w:id="51" w:name="_Toc146022996"/>
      <w:bookmarkEnd w:id="48"/>
      <w:bookmarkEnd w:id="49"/>
      <w:r w:rsidRPr="00205707">
        <w:t xml:space="preserve">Identified </w:t>
      </w:r>
      <w:proofErr w:type="gramStart"/>
      <w:r w:rsidRPr="00205707">
        <w:t>challenges</w:t>
      </w:r>
      <w:bookmarkEnd w:id="50"/>
      <w:bookmarkEnd w:id="51"/>
      <w:proofErr w:type="gramEnd"/>
    </w:p>
    <w:p w14:paraId="38413CF3" w14:textId="4793AEA1" w:rsidR="00230B9A" w:rsidRDefault="00230B9A" w:rsidP="00CD264D">
      <w:pPr>
        <w:pStyle w:val="Paragraph"/>
      </w:pPr>
      <w:r w:rsidRPr="003F2510">
        <w:t xml:space="preserve">As part of this research project, </w:t>
      </w:r>
      <w:r>
        <w:t>the ACMA</w:t>
      </w:r>
      <w:r w:rsidRPr="003F2510">
        <w:t xml:space="preserve"> contacted peak bodies and organisations considered likely to be </w:t>
      </w:r>
      <w:r>
        <w:t>private wireless network</w:t>
      </w:r>
      <w:r w:rsidRPr="003F2510">
        <w:t xml:space="preserve"> early adopters</w:t>
      </w:r>
      <w:r>
        <w:t xml:space="preserve"> (see </w:t>
      </w:r>
      <w:r w:rsidRPr="00E16930">
        <w:t>Appendix B</w:t>
      </w:r>
      <w:r>
        <w:t xml:space="preserve"> for a full list)</w:t>
      </w:r>
      <w:r w:rsidRPr="003F2510">
        <w:t>. This was assisted by</w:t>
      </w:r>
      <w:r w:rsidR="002F04C2">
        <w:t xml:space="preserve"> the</w:t>
      </w:r>
      <w:r w:rsidRPr="003F2510">
        <w:t xml:space="preserve"> </w:t>
      </w:r>
      <w:r>
        <w:t>Australian Radio Communications Industry Association</w:t>
      </w:r>
      <w:r w:rsidRPr="003F2510">
        <w:t>, which notified members about the project.</w:t>
      </w:r>
      <w:r w:rsidRPr="003F2510">
        <w:rPr>
          <w:vertAlign w:val="superscript"/>
        </w:rPr>
        <w:footnoteReference w:id="73"/>
      </w:r>
      <w:r w:rsidRPr="003F2510">
        <w:t xml:space="preserve"> </w:t>
      </w:r>
      <w:r>
        <w:t xml:space="preserve"> </w:t>
      </w:r>
    </w:p>
    <w:p w14:paraId="39CC0E9E" w14:textId="530CC407" w:rsidR="00230B9A" w:rsidRDefault="00230B9A" w:rsidP="00CD264D">
      <w:pPr>
        <w:pStyle w:val="Paragraphbeforelist"/>
      </w:pPr>
      <w:r>
        <w:t>Through these interviews</w:t>
      </w:r>
      <w:r w:rsidR="002F04C2">
        <w:t>,</w:t>
      </w:r>
      <w:r>
        <w:t xml:space="preserve"> </w:t>
      </w:r>
      <w:r w:rsidR="002F04C2">
        <w:t xml:space="preserve">we </w:t>
      </w:r>
      <w:r>
        <w:t xml:space="preserve">determined </w:t>
      </w:r>
      <w:r w:rsidR="002F04C2">
        <w:t xml:space="preserve">that </w:t>
      </w:r>
      <w:r>
        <w:t xml:space="preserve">while there is healthy demand for private wireless networks in the mining sector, there are </w:t>
      </w:r>
      <w:r w:rsidRPr="009733A7">
        <w:t xml:space="preserve">challenges </w:t>
      </w:r>
      <w:r>
        <w:t>for the adoption of private wireless networks across other industries</w:t>
      </w:r>
      <w:r w:rsidR="002F04C2">
        <w:t>,</w:t>
      </w:r>
      <w:r>
        <w:t xml:space="preserve"> including: </w:t>
      </w:r>
    </w:p>
    <w:p w14:paraId="6459A328" w14:textId="77777777" w:rsidR="00230B9A" w:rsidRDefault="00230B9A" w:rsidP="00CD264D">
      <w:pPr>
        <w:pStyle w:val="Bulletlevel1"/>
      </w:pPr>
      <w:r w:rsidRPr="005645A2">
        <w:t>cost</w:t>
      </w:r>
      <w:r>
        <w:t xml:space="preserve"> of installation and cost of upgrading operating equipment</w:t>
      </w:r>
    </w:p>
    <w:p w14:paraId="5DD5149D" w14:textId="64044BD4" w:rsidR="00230B9A" w:rsidRDefault="00230B9A" w:rsidP="00CD264D">
      <w:pPr>
        <w:pStyle w:val="Bulletlevel1"/>
      </w:pPr>
      <w:r>
        <w:t xml:space="preserve">lack of </w:t>
      </w:r>
      <w:r w:rsidRPr="005645A2">
        <w:t>connectivity</w:t>
      </w:r>
      <w:r>
        <w:t xml:space="preserve"> for</w:t>
      </w:r>
      <w:r w:rsidR="00AA4EA9">
        <w:t xml:space="preserve"> </w:t>
      </w:r>
      <w:r>
        <w:t>backhaul</w:t>
      </w:r>
      <w:r w:rsidR="00E35BE7">
        <w:t xml:space="preserve"> – high</w:t>
      </w:r>
      <w:r w:rsidR="00EB03E1">
        <w:t>-</w:t>
      </w:r>
      <w:r w:rsidR="00E35BE7">
        <w:t xml:space="preserve">capacity </w:t>
      </w:r>
      <w:r w:rsidR="00C2202F">
        <w:t xml:space="preserve">connections </w:t>
      </w:r>
      <w:r w:rsidR="000E30E3">
        <w:t>carrying large volumes of traffic</w:t>
      </w:r>
      <w:r w:rsidR="00EB03E1">
        <w:t xml:space="preserve"> – </w:t>
      </w:r>
      <w:r>
        <w:t xml:space="preserve">in outer urban and regional </w:t>
      </w:r>
      <w:proofErr w:type="gramStart"/>
      <w:r>
        <w:t>areas</w:t>
      </w:r>
      <w:proofErr w:type="gramEnd"/>
    </w:p>
    <w:p w14:paraId="5284B821" w14:textId="303FC822" w:rsidR="00230B9A" w:rsidRDefault="00230B9A" w:rsidP="00CD264D">
      <w:pPr>
        <w:pStyle w:val="Bulletlevel1last"/>
      </w:pPr>
      <w:r>
        <w:t xml:space="preserve">length of </w:t>
      </w:r>
      <w:r w:rsidRPr="005645A2">
        <w:t>time</w:t>
      </w:r>
      <w:r>
        <w:t xml:space="preserve"> and coordination involved in replacing existing wireless equipment on functioning infrastructure</w:t>
      </w:r>
      <w:r w:rsidR="002F04C2">
        <w:t>,</w:t>
      </w:r>
      <w:r>
        <w:t xml:space="preserve"> </w:t>
      </w:r>
      <w:r w:rsidR="002F04C2">
        <w:t xml:space="preserve">such as </w:t>
      </w:r>
      <w:r>
        <w:t>urban rail.</w:t>
      </w:r>
    </w:p>
    <w:p w14:paraId="4898B5CF" w14:textId="77777777" w:rsidR="00230B9A" w:rsidRPr="00EC2F8B" w:rsidRDefault="00230B9A" w:rsidP="00CD264D">
      <w:pPr>
        <w:pStyle w:val="Paragraph"/>
      </w:pPr>
      <w:r>
        <w:t>This section discusses each of these challenges.</w:t>
      </w:r>
    </w:p>
    <w:p w14:paraId="2583AEA7" w14:textId="77777777" w:rsidR="00230B9A" w:rsidRDefault="00230B9A" w:rsidP="00CD264D">
      <w:pPr>
        <w:pStyle w:val="Heading2"/>
      </w:pPr>
      <w:bookmarkStart w:id="52" w:name="_Toc146022997"/>
      <w:r>
        <w:t>Cost</w:t>
      </w:r>
      <w:bookmarkEnd w:id="52"/>
      <w:r>
        <w:t xml:space="preserve"> </w:t>
      </w:r>
    </w:p>
    <w:p w14:paraId="47CFF816" w14:textId="77777777" w:rsidR="00230B9A" w:rsidRDefault="00230B9A" w:rsidP="00230B9A">
      <w:pPr>
        <w:pStyle w:val="Paragraph"/>
      </w:pPr>
      <w:r>
        <w:t xml:space="preserve">Costs will vary depending on the spectrum frequency used. Higher frequencies will need more transmission equipment to carry wireless signals over long distances. As such, the total cost may be too high for some businesses to deploy a private network. </w:t>
      </w:r>
    </w:p>
    <w:p w14:paraId="106D3F68" w14:textId="77777777" w:rsidR="00230B9A" w:rsidRDefault="00230B9A" w:rsidP="00CD264D">
      <w:pPr>
        <w:pStyle w:val="Paragraphbeforelist"/>
      </w:pPr>
      <w:r>
        <w:t xml:space="preserve">Other costs for deploying a private network include: </w:t>
      </w:r>
    </w:p>
    <w:p w14:paraId="4A264356" w14:textId="77777777" w:rsidR="00230B9A" w:rsidRDefault="00230B9A" w:rsidP="00CD264D">
      <w:pPr>
        <w:pStyle w:val="Bulletlevel1"/>
      </w:pPr>
      <w:r>
        <w:t>paying for spectrum access</w:t>
      </w:r>
    </w:p>
    <w:p w14:paraId="38F209D1" w14:textId="77777777" w:rsidR="00230B9A" w:rsidRDefault="00230B9A" w:rsidP="00CD264D">
      <w:pPr>
        <w:pStyle w:val="Bulletlevel1"/>
      </w:pPr>
      <w:r>
        <w:t xml:space="preserve">hiring skilled staff to manage a private wireless </w:t>
      </w:r>
      <w:proofErr w:type="gramStart"/>
      <w:r>
        <w:t>network</w:t>
      </w:r>
      <w:proofErr w:type="gramEnd"/>
    </w:p>
    <w:p w14:paraId="386F6D05" w14:textId="77777777" w:rsidR="00230B9A" w:rsidRDefault="00230B9A" w:rsidP="00CD264D">
      <w:pPr>
        <w:pStyle w:val="Bulletlevel1last"/>
      </w:pPr>
      <w:r>
        <w:t>upgrading existing equipment to suit new technology.</w:t>
      </w:r>
      <w:r>
        <w:rPr>
          <w:rStyle w:val="FootnoteReference"/>
          <w:szCs w:val="20"/>
        </w:rPr>
        <w:footnoteReference w:id="74"/>
      </w:r>
    </w:p>
    <w:p w14:paraId="25B62758" w14:textId="4759C744" w:rsidR="00230B9A" w:rsidRDefault="00230B9A" w:rsidP="00CD264D">
      <w:pPr>
        <w:pStyle w:val="Paragraph"/>
      </w:pPr>
      <w:r>
        <w:t xml:space="preserve">Some types of buildings are better suited to private wireless networks, so choosing to install a network may require the enterprise </w:t>
      </w:r>
      <w:r w:rsidR="002F04C2">
        <w:t xml:space="preserve">to </w:t>
      </w:r>
      <w:r>
        <w:t>move premises. Cas</w:t>
      </w:r>
      <w:r w:rsidR="00F11D01">
        <w:t>e</w:t>
      </w:r>
      <w:r>
        <w:t xml:space="preserve"> </w:t>
      </w:r>
      <w:r w:rsidR="002F04C2">
        <w:t>s</w:t>
      </w:r>
      <w:r>
        <w:t xml:space="preserve">tudy </w:t>
      </w:r>
      <w:r w:rsidR="00AB6405">
        <w:t>2</w:t>
      </w:r>
      <w:r>
        <w:t xml:space="preserve"> highlighted a 5G standalone trial that found retrofitting an old building difficult. The enterprise may need to move to open plan premises like a warehouse. Alternatively, the enterprise may need to install more networking equipment to ensure signals cover the entire premises</w:t>
      </w:r>
      <w:r w:rsidRPr="00F45752">
        <w:t>.</w:t>
      </w:r>
      <w:r w:rsidRPr="00F45752">
        <w:rPr>
          <w:rStyle w:val="FootnoteReference"/>
          <w:szCs w:val="20"/>
        </w:rPr>
        <w:footnoteReference w:id="75"/>
      </w:r>
      <w:r w:rsidRPr="00F45752">
        <w:t xml:space="preserve"> </w:t>
      </w:r>
    </w:p>
    <w:p w14:paraId="58101C3B" w14:textId="2AF31463" w:rsidR="00230B9A" w:rsidRDefault="00230B9A" w:rsidP="00CD264D">
      <w:pPr>
        <w:pStyle w:val="Paragraph"/>
      </w:pPr>
      <w:r>
        <w:t xml:space="preserve">On the other hand, some interviewees indicated a private wireless network would be cheaper than their current wireless communications costs (see </w:t>
      </w:r>
      <w:hyperlink w:anchor="_Case_Study_#5:" w:history="1">
        <w:r>
          <w:rPr>
            <w:rStyle w:val="Hyperlink"/>
          </w:rPr>
          <w:t xml:space="preserve">Case </w:t>
        </w:r>
        <w:r w:rsidR="002F04C2">
          <w:rPr>
            <w:rStyle w:val="Hyperlink"/>
          </w:rPr>
          <w:t>s</w:t>
        </w:r>
        <w:r>
          <w:rPr>
            <w:rStyle w:val="Hyperlink"/>
          </w:rPr>
          <w:t xml:space="preserve">tudy </w:t>
        </w:r>
        <w:r w:rsidR="00AB6405">
          <w:rPr>
            <w:rStyle w:val="Hyperlink"/>
          </w:rPr>
          <w:t>4</w:t>
        </w:r>
      </w:hyperlink>
      <w:r>
        <w:t xml:space="preserve"> below).  </w:t>
      </w:r>
    </w:p>
    <w:p w14:paraId="7D17E549" w14:textId="1834C6B2" w:rsidR="00230B9A" w:rsidRDefault="00230B9A" w:rsidP="00CD264D">
      <w:pPr>
        <w:pStyle w:val="Paragraph"/>
      </w:pPr>
      <w:r>
        <w:t>The</w:t>
      </w:r>
      <w:r w:rsidRPr="00F45752">
        <w:t xml:space="preserve"> </w:t>
      </w:r>
      <w:r w:rsidR="002F04C2">
        <w:t xml:space="preserve">Australian </w:t>
      </w:r>
      <w:r w:rsidRPr="00F45752">
        <w:t>Government recently provided $19.5 million for 19 standalone 5G trials to expand potential use cases.</w:t>
      </w:r>
      <w:r w:rsidRPr="00F45752">
        <w:rPr>
          <w:rStyle w:val="FootnoteReference"/>
          <w:szCs w:val="20"/>
        </w:rPr>
        <w:footnoteReference w:id="76"/>
      </w:r>
      <w:r w:rsidRPr="00F45752">
        <w:t xml:space="preserve"> The projects covered sectors </w:t>
      </w:r>
      <w:r w:rsidR="002F04C2">
        <w:t xml:space="preserve">such as </w:t>
      </w:r>
      <w:r w:rsidRPr="00F45752">
        <w:t xml:space="preserve">agriculture, mining, food processing, local government health services, manufacturing, logistics, emergency services and transportation. </w:t>
      </w:r>
    </w:p>
    <w:p w14:paraId="18C42A44" w14:textId="77777777" w:rsidR="00230B9A" w:rsidRDefault="00230B9A" w:rsidP="00C34FB2">
      <w:pPr>
        <w:pStyle w:val="ACMANormalTabbed"/>
        <w:spacing w:after="0"/>
      </w:pPr>
    </w:p>
    <w:tbl>
      <w:tblPr>
        <w:tblStyle w:val="TableGrid"/>
        <w:tblpPr w:leftFromText="180" w:rightFromText="180" w:vertAnchor="text" w:horzAnchor="margin" w:tblpY="-980"/>
        <w:tblW w:w="7792"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EEF0F8"/>
        <w:tblCellMar>
          <w:top w:w="85" w:type="dxa"/>
          <w:left w:w="57" w:type="dxa"/>
          <w:bottom w:w="85" w:type="dxa"/>
          <w:right w:w="57" w:type="dxa"/>
        </w:tblCellMar>
        <w:tblLook w:val="04A0" w:firstRow="1" w:lastRow="0" w:firstColumn="1" w:lastColumn="0" w:noHBand="0" w:noVBand="1"/>
      </w:tblPr>
      <w:tblGrid>
        <w:gridCol w:w="7792"/>
      </w:tblGrid>
      <w:tr w:rsidR="00230B9A" w:rsidRPr="00C8562E" w14:paraId="761DA388" w14:textId="77777777" w:rsidTr="00267668">
        <w:trPr>
          <w:trHeight w:val="199"/>
        </w:trPr>
        <w:tc>
          <w:tcPr>
            <w:tcW w:w="7792" w:type="dxa"/>
            <w:shd w:val="clear" w:color="auto" w:fill="39457C"/>
          </w:tcPr>
          <w:p w14:paraId="38963936" w14:textId="432E9D56" w:rsidR="00230B9A" w:rsidRPr="00F0385B" w:rsidRDefault="00230B9A" w:rsidP="00C34FB2">
            <w:pPr>
              <w:pStyle w:val="Heading2"/>
              <w:spacing w:before="0" w:after="0"/>
              <w:rPr>
                <w:color w:val="FFFFFF" w:themeColor="background1"/>
              </w:rPr>
            </w:pPr>
            <w:bookmarkStart w:id="53" w:name="_Case_Study_5:"/>
            <w:bookmarkStart w:id="54" w:name="_Toc139373165"/>
            <w:bookmarkStart w:id="55" w:name="_Toc140741290"/>
            <w:bookmarkStart w:id="56" w:name="_Toc146022998"/>
            <w:bookmarkEnd w:id="53"/>
            <w:r w:rsidRPr="00F0385B">
              <w:rPr>
                <w:color w:val="FFFFFF" w:themeColor="background1"/>
              </w:rPr>
              <w:t xml:space="preserve">Case </w:t>
            </w:r>
            <w:r w:rsidR="002F04C2" w:rsidRPr="00F0385B">
              <w:rPr>
                <w:color w:val="FFFFFF" w:themeColor="background1"/>
              </w:rPr>
              <w:t>s</w:t>
            </w:r>
            <w:r w:rsidRPr="00F0385B">
              <w:rPr>
                <w:color w:val="FFFFFF" w:themeColor="background1"/>
              </w:rPr>
              <w:t xml:space="preserve">tudy </w:t>
            </w:r>
            <w:r w:rsidR="00AB6405">
              <w:rPr>
                <w:color w:val="FFFFFF" w:themeColor="background1"/>
              </w:rPr>
              <w:t>4</w:t>
            </w:r>
            <w:r w:rsidRPr="00F0385B">
              <w:rPr>
                <w:color w:val="FFFFFF" w:themeColor="background1"/>
              </w:rPr>
              <w:t>: Tech Event Pty Ltd</w:t>
            </w:r>
            <w:bookmarkEnd w:id="54"/>
            <w:bookmarkEnd w:id="55"/>
            <w:bookmarkEnd w:id="56"/>
          </w:p>
        </w:tc>
      </w:tr>
      <w:tr w:rsidR="00230B9A" w:rsidRPr="00C8562E" w14:paraId="50C861A8" w14:textId="77777777" w:rsidTr="00EB03E1">
        <w:trPr>
          <w:trHeight w:val="1972"/>
        </w:trPr>
        <w:tc>
          <w:tcPr>
            <w:tcW w:w="7792" w:type="dxa"/>
            <w:shd w:val="clear" w:color="auto" w:fill="EEF0F8"/>
          </w:tcPr>
          <w:p w14:paraId="6A178D38" w14:textId="7FFFF45B" w:rsidR="00230B9A" w:rsidRPr="00CD4B38" w:rsidRDefault="00230B9A" w:rsidP="00C34FB2">
            <w:pPr>
              <w:pStyle w:val="ACMANormalTabbed"/>
              <w:rPr>
                <w:b/>
                <w:bCs/>
              </w:rPr>
            </w:pPr>
            <w:r w:rsidRPr="00CD4B38">
              <w:rPr>
                <w:b/>
                <w:bCs/>
              </w:rPr>
              <w:t xml:space="preserve">This case study highlights a company that wants to build a private wireless network </w:t>
            </w:r>
            <w:r w:rsidR="00AB6405">
              <w:rPr>
                <w:b/>
                <w:bCs/>
              </w:rPr>
              <w:t>needing flexible access to spectrum at any location in Australia</w:t>
            </w:r>
            <w:r w:rsidR="00D70423">
              <w:rPr>
                <w:b/>
                <w:bCs/>
              </w:rPr>
              <w:t>.</w:t>
            </w:r>
          </w:p>
          <w:p w14:paraId="24917E14" w14:textId="0489A942" w:rsidR="00230B9A" w:rsidRPr="00C8562E" w:rsidRDefault="00230B9A" w:rsidP="00C34FB2">
            <w:pPr>
              <w:keepNext/>
              <w:keepLines/>
              <w:outlineLvl w:val="2"/>
              <w:rPr>
                <w:szCs w:val="26"/>
              </w:rPr>
            </w:pPr>
            <w:r>
              <w:rPr>
                <w:szCs w:val="26"/>
              </w:rPr>
              <w:t>The ACMA</w:t>
            </w:r>
            <w:r w:rsidRPr="00C8562E">
              <w:rPr>
                <w:szCs w:val="26"/>
              </w:rPr>
              <w:t xml:space="preserve"> interviewed Dan Beattie, </w:t>
            </w:r>
            <w:r>
              <w:rPr>
                <w:szCs w:val="26"/>
              </w:rPr>
              <w:t xml:space="preserve">the director of Tech Event Pty Ltd, </w:t>
            </w:r>
            <w:r w:rsidR="00983187">
              <w:rPr>
                <w:szCs w:val="26"/>
              </w:rPr>
              <w:t xml:space="preserve">which </w:t>
            </w:r>
            <w:r>
              <w:rPr>
                <w:szCs w:val="26"/>
              </w:rPr>
              <w:t xml:space="preserve">manages wireless communications for major sporting and cultural events. </w:t>
            </w:r>
            <w:r w:rsidRPr="00C8562E">
              <w:rPr>
                <w:szCs w:val="26"/>
              </w:rPr>
              <w:t xml:space="preserve">Apart from communications used to coordinate the events and race, he also provides data, internet and telemetry used for live broadcasts </w:t>
            </w:r>
            <w:r>
              <w:rPr>
                <w:szCs w:val="26"/>
              </w:rPr>
              <w:t>on free-to-air television and subscription television</w:t>
            </w:r>
            <w:r w:rsidRPr="00C8562E">
              <w:rPr>
                <w:szCs w:val="26"/>
              </w:rPr>
              <w:t xml:space="preserve">. </w:t>
            </w:r>
            <w:r>
              <w:rPr>
                <w:szCs w:val="26"/>
              </w:rPr>
              <w:t>Motor racing</w:t>
            </w:r>
            <w:r w:rsidRPr="00C8562E">
              <w:rPr>
                <w:szCs w:val="26"/>
              </w:rPr>
              <w:t xml:space="preserve"> is an increasingly popular sport on subscription television and subscription video. </w:t>
            </w:r>
          </w:p>
          <w:p w14:paraId="7C9E8BD8" w14:textId="69979828" w:rsidR="00230B9A" w:rsidRPr="00C8562E" w:rsidRDefault="00230B9A" w:rsidP="00C34FB2">
            <w:pPr>
              <w:keepNext/>
              <w:keepLines/>
            </w:pPr>
            <w:r w:rsidRPr="00C8562E">
              <w:rPr>
                <w:b/>
                <w:bCs/>
              </w:rPr>
              <w:t xml:space="preserve">Purpose: </w:t>
            </w:r>
            <w:r w:rsidRPr="00C8562E">
              <w:t xml:space="preserve">Wireless communications to set up for race events </w:t>
            </w:r>
            <w:r>
              <w:t xml:space="preserve">or music festivals </w:t>
            </w:r>
            <w:r w:rsidRPr="00C8562E">
              <w:t>and coordinate operations and safety on the day. High</w:t>
            </w:r>
            <w:r w:rsidR="00E31ED8">
              <w:t>-</w:t>
            </w:r>
            <w:r w:rsidRPr="00C8562E">
              <w:t xml:space="preserve">speed connectivity </w:t>
            </w:r>
            <w:r>
              <w:t xml:space="preserve">is essential </w:t>
            </w:r>
            <w:r w:rsidRPr="00C8562E">
              <w:t xml:space="preserve">for live coverage on race day. </w:t>
            </w:r>
          </w:p>
          <w:p w14:paraId="6967E1B7" w14:textId="77777777" w:rsidR="00230B9A" w:rsidRPr="00C8562E" w:rsidRDefault="00230B9A" w:rsidP="00C34FB2">
            <w:pPr>
              <w:keepNext/>
              <w:keepLines/>
            </w:pPr>
            <w:r w:rsidRPr="00C8562E">
              <w:rPr>
                <w:b/>
                <w:bCs/>
              </w:rPr>
              <w:t>Timing</w:t>
            </w:r>
            <w:r w:rsidRPr="00C8562E">
              <w:t>: Whenever spectrum with suitable equipment becomes available.</w:t>
            </w:r>
          </w:p>
          <w:p w14:paraId="514B1A3F" w14:textId="622FDF8F" w:rsidR="00230B9A" w:rsidRPr="00C8562E" w:rsidRDefault="00230B9A" w:rsidP="00C34FB2">
            <w:pPr>
              <w:keepNext/>
              <w:keepLines/>
              <w:outlineLvl w:val="2"/>
              <w:rPr>
                <w:szCs w:val="26"/>
              </w:rPr>
            </w:pPr>
            <w:r w:rsidRPr="00C8562E">
              <w:rPr>
                <w:b/>
                <w:bCs/>
              </w:rPr>
              <w:t>Barriers:</w:t>
            </w:r>
            <w:r w:rsidRPr="00C8562E">
              <w:t xml:space="preserve"> </w:t>
            </w:r>
            <w:r>
              <w:t>Motor racing</w:t>
            </w:r>
            <w:r w:rsidRPr="00C8562E">
              <w:t xml:space="preserve"> events can be held at </w:t>
            </w:r>
            <w:r>
              <w:t xml:space="preserve">many </w:t>
            </w:r>
            <w:r w:rsidRPr="00C8562E">
              <w:t>different locations around Australia</w:t>
            </w:r>
            <w:r>
              <w:t>, but some r</w:t>
            </w:r>
            <w:r w:rsidRPr="00C8562E">
              <w:t>ace</w:t>
            </w:r>
            <w:r w:rsidR="00D70423">
              <w:t xml:space="preserve"> </w:t>
            </w:r>
            <w:r w:rsidRPr="00C8562E">
              <w:t xml:space="preserve">tracks may only be used once every </w:t>
            </w:r>
            <w:r>
              <w:t>few</w:t>
            </w:r>
            <w:r w:rsidRPr="00C8562E">
              <w:t xml:space="preserve"> years. Race</w:t>
            </w:r>
            <w:r w:rsidR="00D70423">
              <w:t xml:space="preserve"> </w:t>
            </w:r>
            <w:r w:rsidRPr="00C8562E">
              <w:t>tracks are often in outer-urban or regional locations with poor connectivity.</w:t>
            </w:r>
          </w:p>
          <w:p w14:paraId="493ACAE3" w14:textId="64C07FA9" w:rsidR="00230B9A" w:rsidRPr="00C8562E" w:rsidRDefault="00230B9A" w:rsidP="00C34FB2">
            <w:pPr>
              <w:keepNext/>
              <w:keepLines/>
              <w:outlineLvl w:val="2"/>
              <w:rPr>
                <w:szCs w:val="26"/>
              </w:rPr>
            </w:pPr>
            <w:r w:rsidRPr="00C8562E">
              <w:rPr>
                <w:b/>
                <w:bCs/>
                <w:szCs w:val="26"/>
              </w:rPr>
              <w:t>Background</w:t>
            </w:r>
            <w:r w:rsidRPr="00C8562E">
              <w:rPr>
                <w:szCs w:val="26"/>
              </w:rPr>
              <w:t>: Currently</w:t>
            </w:r>
            <w:r w:rsidR="00D70423">
              <w:rPr>
                <w:szCs w:val="26"/>
              </w:rPr>
              <w:t>,</w:t>
            </w:r>
            <w:r w:rsidRPr="00C8562E">
              <w:rPr>
                <w:szCs w:val="26"/>
              </w:rPr>
              <w:t xml:space="preserve"> Mr Beattie’s team uses public 4G mobile networks to send information between cars and servers. This provides TV with information about race technicalities but is also the emergency warning system for drivers about hazards. The public </w:t>
            </w:r>
            <w:r>
              <w:rPr>
                <w:szCs w:val="26"/>
              </w:rPr>
              <w:t xml:space="preserve">mobile </w:t>
            </w:r>
            <w:r w:rsidRPr="00C8562E">
              <w:rPr>
                <w:szCs w:val="26"/>
              </w:rPr>
              <w:t xml:space="preserve">network is also used to send real time information about accidents to rescue teams. </w:t>
            </w:r>
          </w:p>
          <w:p w14:paraId="6F8644CC" w14:textId="77777777" w:rsidR="00230B9A" w:rsidRPr="00C8562E" w:rsidRDefault="00230B9A" w:rsidP="00C34FB2">
            <w:pPr>
              <w:keepNext/>
              <w:keepLines/>
              <w:outlineLvl w:val="2"/>
              <w:rPr>
                <w:szCs w:val="26"/>
              </w:rPr>
            </w:pPr>
            <w:r w:rsidRPr="00C8562E">
              <w:rPr>
                <w:szCs w:val="26"/>
              </w:rPr>
              <w:t>However, the cars are moving very fast between the 4G towers and will pass up to 7</w:t>
            </w:r>
            <w:r>
              <w:rPr>
                <w:szCs w:val="26"/>
              </w:rPr>
              <w:t> </w:t>
            </w:r>
            <w:r w:rsidRPr="00C8562E">
              <w:rPr>
                <w:szCs w:val="26"/>
              </w:rPr>
              <w:t xml:space="preserve">cells in a lap around a single track. They would like to upgrade to 5G because signals can travel up to </w:t>
            </w:r>
            <w:r>
              <w:rPr>
                <w:szCs w:val="26"/>
              </w:rPr>
              <w:t>5</w:t>
            </w:r>
            <w:r w:rsidRPr="00C8562E">
              <w:rPr>
                <w:szCs w:val="26"/>
              </w:rPr>
              <w:t xml:space="preserve">00 km/h. This would improve televised coverage. </w:t>
            </w:r>
          </w:p>
          <w:p w14:paraId="0D0A3A40" w14:textId="77777777" w:rsidR="00230B9A" w:rsidRPr="00C8562E" w:rsidRDefault="00230B9A" w:rsidP="00C34FB2">
            <w:pPr>
              <w:keepNext/>
              <w:keepLines/>
              <w:outlineLvl w:val="2"/>
              <w:rPr>
                <w:szCs w:val="26"/>
              </w:rPr>
            </w:pPr>
            <w:r w:rsidRPr="00C8562E">
              <w:rPr>
                <w:szCs w:val="26"/>
              </w:rPr>
              <w:t xml:space="preserve">Public mobile networks reach capacity as the crowd gathers and 5G mobile coverage may be weak in the outer urban </w:t>
            </w:r>
            <w:r>
              <w:rPr>
                <w:szCs w:val="26"/>
              </w:rPr>
              <w:t xml:space="preserve">and regional </w:t>
            </w:r>
            <w:r w:rsidRPr="00C8562E">
              <w:rPr>
                <w:szCs w:val="26"/>
              </w:rPr>
              <w:t>areas where racetracks are located</w:t>
            </w:r>
            <w:r>
              <w:rPr>
                <w:szCs w:val="26"/>
              </w:rPr>
              <w:t>.</w:t>
            </w:r>
            <w:r w:rsidRPr="00C8562E">
              <w:rPr>
                <w:szCs w:val="26"/>
              </w:rPr>
              <w:t xml:space="preserve"> </w:t>
            </w:r>
          </w:p>
          <w:p w14:paraId="5C6971B4" w14:textId="0C7F727D" w:rsidR="00230B9A" w:rsidRPr="00C8562E" w:rsidRDefault="00230B9A" w:rsidP="00C34FB2">
            <w:pPr>
              <w:keepNext/>
              <w:keepLines/>
              <w:outlineLvl w:val="2"/>
              <w:rPr>
                <w:szCs w:val="26"/>
              </w:rPr>
            </w:pPr>
            <w:r>
              <w:rPr>
                <w:szCs w:val="26"/>
              </w:rPr>
              <w:t xml:space="preserve">Tech Event currently </w:t>
            </w:r>
            <w:r w:rsidRPr="00C8562E">
              <w:rPr>
                <w:szCs w:val="26"/>
              </w:rPr>
              <w:t>use</w:t>
            </w:r>
            <w:r w:rsidR="00D70423">
              <w:rPr>
                <w:szCs w:val="26"/>
              </w:rPr>
              <w:t>s</w:t>
            </w:r>
            <w:r w:rsidRPr="00C8562E">
              <w:rPr>
                <w:szCs w:val="26"/>
              </w:rPr>
              <w:t xml:space="preserve"> Kenwood and </w:t>
            </w:r>
            <w:proofErr w:type="spellStart"/>
            <w:r w:rsidRPr="00C8562E">
              <w:rPr>
                <w:szCs w:val="26"/>
              </w:rPr>
              <w:t>Icom</w:t>
            </w:r>
            <w:proofErr w:type="spellEnd"/>
            <w:r w:rsidRPr="00C8562E">
              <w:rPr>
                <w:szCs w:val="26"/>
              </w:rPr>
              <w:t xml:space="preserve"> radio units and pay</w:t>
            </w:r>
            <w:r w:rsidR="00D70423">
              <w:rPr>
                <w:szCs w:val="26"/>
              </w:rPr>
              <w:t>s</w:t>
            </w:r>
            <w:r w:rsidRPr="00C8562E">
              <w:rPr>
                <w:szCs w:val="26"/>
              </w:rPr>
              <w:t xml:space="preserve"> a licence for each paired Kenwood repeater at every event, which is costly. The radios operate at between 450</w:t>
            </w:r>
            <w:r>
              <w:rPr>
                <w:szCs w:val="26"/>
              </w:rPr>
              <w:t xml:space="preserve"> </w:t>
            </w:r>
            <w:r w:rsidRPr="00C8562E">
              <w:rPr>
                <w:szCs w:val="26"/>
              </w:rPr>
              <w:t>MHz and 512</w:t>
            </w:r>
            <w:r>
              <w:rPr>
                <w:szCs w:val="26"/>
              </w:rPr>
              <w:t xml:space="preserve"> </w:t>
            </w:r>
            <w:proofErr w:type="spellStart"/>
            <w:r w:rsidRPr="00C8562E">
              <w:rPr>
                <w:szCs w:val="26"/>
              </w:rPr>
              <w:t>MHz.</w:t>
            </w:r>
            <w:proofErr w:type="spellEnd"/>
            <w:r w:rsidRPr="00C8562E">
              <w:rPr>
                <w:szCs w:val="26"/>
              </w:rPr>
              <w:t xml:space="preserve"> </w:t>
            </w:r>
          </w:p>
          <w:p w14:paraId="543BF908" w14:textId="68D3A6E3" w:rsidR="00230B9A" w:rsidRPr="00C8562E" w:rsidRDefault="00230B9A" w:rsidP="00C34FB2">
            <w:pPr>
              <w:keepNext/>
              <w:keepLines/>
              <w:outlineLvl w:val="2"/>
              <w:rPr>
                <w:szCs w:val="26"/>
              </w:rPr>
            </w:pPr>
            <w:r w:rsidRPr="00C8562E">
              <w:rPr>
                <w:szCs w:val="26"/>
              </w:rPr>
              <w:t xml:space="preserve">They run about 72 fibre optic cables around the track for vision for live video, but this system has no </w:t>
            </w:r>
            <w:r w:rsidR="00C422A7">
              <w:rPr>
                <w:szCs w:val="26"/>
              </w:rPr>
              <w:t>back-up</w:t>
            </w:r>
            <w:r w:rsidR="00A47D98">
              <w:rPr>
                <w:szCs w:val="26"/>
              </w:rPr>
              <w:t xml:space="preserve"> </w:t>
            </w:r>
            <w:r w:rsidR="00983187">
              <w:t xml:space="preserve">– </w:t>
            </w:r>
            <w:r w:rsidR="00A47D98">
              <w:rPr>
                <w:szCs w:val="26"/>
              </w:rPr>
              <w:t>it can be</w:t>
            </w:r>
            <w:r w:rsidRPr="00C8562E">
              <w:rPr>
                <w:szCs w:val="26"/>
              </w:rPr>
              <w:t xml:space="preserve"> knocked out </w:t>
            </w:r>
            <w:r w:rsidR="00A47D98">
              <w:rPr>
                <w:szCs w:val="26"/>
              </w:rPr>
              <w:t xml:space="preserve">if </w:t>
            </w:r>
            <w:r w:rsidRPr="00C8562E">
              <w:rPr>
                <w:szCs w:val="26"/>
              </w:rPr>
              <w:t xml:space="preserve">a car </w:t>
            </w:r>
            <w:r w:rsidR="009301BD">
              <w:rPr>
                <w:szCs w:val="26"/>
              </w:rPr>
              <w:t xml:space="preserve">crashes and </w:t>
            </w:r>
            <w:r w:rsidR="00A47D98">
              <w:rPr>
                <w:szCs w:val="26"/>
              </w:rPr>
              <w:t>slices through the cables</w:t>
            </w:r>
            <w:r w:rsidRPr="00C8562E">
              <w:rPr>
                <w:szCs w:val="26"/>
              </w:rPr>
              <w:t xml:space="preserve">. </w:t>
            </w:r>
          </w:p>
          <w:p w14:paraId="1BCD7E4D" w14:textId="5EF3E65B" w:rsidR="00230B9A" w:rsidRPr="00C8562E" w:rsidRDefault="00230B9A" w:rsidP="00C34FB2">
            <w:pPr>
              <w:keepNext/>
              <w:keepLines/>
              <w:outlineLvl w:val="2"/>
              <w:rPr>
                <w:szCs w:val="26"/>
              </w:rPr>
            </w:pPr>
            <w:r w:rsidRPr="00C8562E">
              <w:rPr>
                <w:szCs w:val="26"/>
              </w:rPr>
              <w:t xml:space="preserve">Mr Beattie considers that </w:t>
            </w:r>
            <w:r w:rsidR="00D70423">
              <w:rPr>
                <w:szCs w:val="26"/>
              </w:rPr>
              <w:t>‘</w:t>
            </w:r>
            <w:r w:rsidRPr="00C8562E">
              <w:rPr>
                <w:szCs w:val="26"/>
              </w:rPr>
              <w:t xml:space="preserve">everything could work off 4G or 5G if </w:t>
            </w:r>
            <w:r w:rsidR="00A47D98">
              <w:rPr>
                <w:szCs w:val="26"/>
              </w:rPr>
              <w:t>Event Tech</w:t>
            </w:r>
            <w:r w:rsidRPr="00C8562E">
              <w:rPr>
                <w:szCs w:val="26"/>
              </w:rPr>
              <w:t xml:space="preserve"> could build a temporary private wireless network</w:t>
            </w:r>
            <w:r>
              <w:rPr>
                <w:szCs w:val="26"/>
              </w:rPr>
              <w:t>.</w:t>
            </w:r>
            <w:r w:rsidRPr="00C8562E">
              <w:rPr>
                <w:szCs w:val="26"/>
              </w:rPr>
              <w:t>’</w:t>
            </w:r>
          </w:p>
          <w:p w14:paraId="35731402" w14:textId="262653C7" w:rsidR="00230B9A" w:rsidRPr="00C8562E" w:rsidRDefault="00230B9A" w:rsidP="00C34FB2">
            <w:pPr>
              <w:keepNext/>
              <w:keepLines/>
              <w:outlineLvl w:val="2"/>
              <w:rPr>
                <w:szCs w:val="26"/>
              </w:rPr>
            </w:pPr>
            <w:r w:rsidRPr="00C8562E">
              <w:rPr>
                <w:szCs w:val="26"/>
              </w:rPr>
              <w:t>Any frequency of spectrum would suit purposes as all racetracks operate within a space of 2 square kilometr</w:t>
            </w:r>
            <w:r>
              <w:rPr>
                <w:szCs w:val="26"/>
              </w:rPr>
              <w:t>e</w:t>
            </w:r>
            <w:r w:rsidRPr="00C8562E">
              <w:rPr>
                <w:szCs w:val="26"/>
              </w:rPr>
              <w:t>s.</w:t>
            </w:r>
            <w:r w:rsidR="00785581">
              <w:rPr>
                <w:szCs w:val="26"/>
              </w:rPr>
              <w:t xml:space="preserve"> The event </w:t>
            </w:r>
            <w:r w:rsidR="0049715B">
              <w:rPr>
                <w:szCs w:val="26"/>
              </w:rPr>
              <w:t xml:space="preserve">can be managed </w:t>
            </w:r>
            <w:r w:rsidR="003C41F9">
              <w:rPr>
                <w:szCs w:val="26"/>
              </w:rPr>
              <w:t>through on-site connectivity alone – it does not need</w:t>
            </w:r>
            <w:r w:rsidR="0049715B">
              <w:rPr>
                <w:szCs w:val="26"/>
              </w:rPr>
              <w:t xml:space="preserve"> </w:t>
            </w:r>
            <w:r w:rsidR="00EB0D05">
              <w:rPr>
                <w:szCs w:val="26"/>
              </w:rPr>
              <w:t xml:space="preserve">a </w:t>
            </w:r>
            <w:r w:rsidR="000732AC">
              <w:rPr>
                <w:szCs w:val="26"/>
              </w:rPr>
              <w:t xml:space="preserve">high-capacity internet connection. Mr Beattie says he can use a microwave or satellite dish if he does need an internet connection. </w:t>
            </w:r>
          </w:p>
          <w:p w14:paraId="1AD367DF" w14:textId="77777777" w:rsidR="00230B9A" w:rsidRPr="00041450" w:rsidRDefault="00230B9A" w:rsidP="00C34FB2">
            <w:pPr>
              <w:keepNext/>
              <w:keepLines/>
              <w:spacing w:after="120"/>
              <w:ind w:left="567" w:right="567"/>
              <w:outlineLvl w:val="2"/>
              <w:rPr>
                <w:sz w:val="18"/>
                <w:szCs w:val="22"/>
              </w:rPr>
            </w:pPr>
            <w:r w:rsidRPr="00041450">
              <w:rPr>
                <w:sz w:val="18"/>
                <w:szCs w:val="22"/>
              </w:rPr>
              <w:t>The best certainty for us would be that we have a chunk of spectrum that you can use wherever you like in Australia.</w:t>
            </w:r>
          </w:p>
          <w:p w14:paraId="3B449301" w14:textId="77777777" w:rsidR="00230B9A" w:rsidRPr="00C8562E" w:rsidRDefault="00230B9A" w:rsidP="00C34FB2">
            <w:pPr>
              <w:keepNext/>
              <w:keepLines/>
              <w:spacing w:after="120"/>
              <w:ind w:left="567" w:right="567"/>
              <w:jc w:val="right"/>
              <w:outlineLvl w:val="2"/>
              <w:rPr>
                <w:i/>
              </w:rPr>
            </w:pPr>
            <w:r w:rsidRPr="00F130B2">
              <w:t xml:space="preserve">Dan Beattie, </w:t>
            </w:r>
            <w:r>
              <w:t>Director of Tech Event</w:t>
            </w:r>
            <w:r w:rsidRPr="00F130B2">
              <w:t>.</w:t>
            </w:r>
          </w:p>
        </w:tc>
      </w:tr>
    </w:tbl>
    <w:p w14:paraId="5AD05CCB" w14:textId="77777777" w:rsidR="00230B9A" w:rsidRDefault="00230B9A" w:rsidP="00C34FB2">
      <w:pPr>
        <w:pStyle w:val="Heading2"/>
        <w:keepLines/>
      </w:pPr>
      <w:bookmarkStart w:id="57" w:name="_Toc146022999"/>
      <w:r>
        <w:t>Time</w:t>
      </w:r>
      <w:bookmarkEnd w:id="57"/>
      <w:r>
        <w:t xml:space="preserve"> </w:t>
      </w:r>
    </w:p>
    <w:p w14:paraId="0684B09D" w14:textId="292485B5" w:rsidR="00230B9A" w:rsidRDefault="00230B9A" w:rsidP="00C34FB2">
      <w:pPr>
        <w:pStyle w:val="Paragraph"/>
        <w:keepNext/>
        <w:keepLines/>
      </w:pPr>
      <w:r>
        <w:t xml:space="preserve">Once the cost, spectrum, equipment and connectivity </w:t>
      </w:r>
      <w:r w:rsidR="009B67AC">
        <w:t xml:space="preserve">requirements are clarified, </w:t>
      </w:r>
      <w:r w:rsidR="00E46EA6">
        <w:t xml:space="preserve">there are remaining challenges to address in </w:t>
      </w:r>
      <w:r>
        <w:t>replacing existing equipment</w:t>
      </w:r>
      <w:r w:rsidR="00E46EA6">
        <w:t xml:space="preserve"> and integrating new equipment into networks</w:t>
      </w:r>
      <w:r>
        <w:t xml:space="preserve"> in brownfield sites. </w:t>
      </w:r>
    </w:p>
    <w:p w14:paraId="2B783AD9" w14:textId="07191B70" w:rsidR="00230B9A" w:rsidRPr="00A35EC2" w:rsidRDefault="00230B9A" w:rsidP="00E31ED8">
      <w:pPr>
        <w:pStyle w:val="Paragraphbeforelist"/>
        <w:keepNext/>
        <w:keepLines/>
      </w:pPr>
      <w:r>
        <w:t xml:space="preserve">The state rail authorities expect it will </w:t>
      </w:r>
      <w:r w:rsidRPr="00A35EC2">
        <w:t xml:space="preserve">take </w:t>
      </w:r>
      <w:r>
        <w:t>y</w:t>
      </w:r>
      <w:r w:rsidRPr="00A35EC2">
        <w:t>ears to</w:t>
      </w:r>
      <w:r>
        <w:t xml:space="preserve"> install 4G or 5G </w:t>
      </w:r>
      <w:r w:rsidRPr="00A35EC2">
        <w:t xml:space="preserve">private </w:t>
      </w:r>
      <w:r>
        <w:t xml:space="preserve">wireless </w:t>
      </w:r>
      <w:r w:rsidRPr="00A35EC2">
        <w:t>networks</w:t>
      </w:r>
      <w:r w:rsidR="00D70423">
        <w:t>,</w:t>
      </w:r>
      <w:r>
        <w:t xml:space="preserve"> even though they already have spectrum access. For example</w:t>
      </w:r>
      <w:r w:rsidRPr="00A35EC2">
        <w:t xml:space="preserve">: </w:t>
      </w:r>
    </w:p>
    <w:p w14:paraId="3E765912" w14:textId="77777777" w:rsidR="00230B9A" w:rsidRPr="00A35EC2" w:rsidRDefault="00230B9A" w:rsidP="00E31ED8">
      <w:pPr>
        <w:pStyle w:val="Bulletlevel1"/>
        <w:keepNext/>
        <w:keepLines/>
        <w:rPr>
          <w:szCs w:val="20"/>
        </w:rPr>
      </w:pPr>
      <w:r>
        <w:t>t</w:t>
      </w:r>
      <w:r w:rsidRPr="00A35EC2">
        <w:t xml:space="preserve">he PTAWA private network </w:t>
      </w:r>
      <w:r>
        <w:t xml:space="preserve">already under construction </w:t>
      </w:r>
      <w:r w:rsidRPr="00A35EC2">
        <w:t xml:space="preserve">will take 4 years to </w:t>
      </w:r>
      <w:proofErr w:type="gramStart"/>
      <w:r>
        <w:t>complete</w:t>
      </w:r>
      <w:proofErr w:type="gramEnd"/>
      <w:r w:rsidRPr="00A35EC2">
        <w:rPr>
          <w:szCs w:val="20"/>
        </w:rPr>
        <w:t xml:space="preserve"> </w:t>
      </w:r>
    </w:p>
    <w:p w14:paraId="0DB1B45D" w14:textId="77777777" w:rsidR="00230B9A" w:rsidRPr="009F56F2" w:rsidRDefault="00230B9A" w:rsidP="00041450">
      <w:pPr>
        <w:pStyle w:val="Bulletlevel1last"/>
        <w:keepNext/>
        <w:keepLines/>
        <w:rPr>
          <w:b/>
          <w:bCs/>
        </w:rPr>
      </w:pPr>
      <w:r w:rsidRPr="00AD364F">
        <w:t xml:space="preserve">Queensland Rail currently operates a </w:t>
      </w:r>
      <w:r>
        <w:t>2G network that meets Global System for Mobile Communications – Railway standards.</w:t>
      </w:r>
      <w:r w:rsidRPr="00AD364F">
        <w:t xml:space="preserve"> </w:t>
      </w:r>
      <w:r>
        <w:t>T</w:t>
      </w:r>
      <w:r w:rsidRPr="00AD364F">
        <w:t xml:space="preserve">his is expected to be upgraded to 4G or 5G technology </w:t>
      </w:r>
      <w:r>
        <w:t xml:space="preserve">after the new Future Railway Mobile Communication System </w:t>
      </w:r>
      <w:r w:rsidRPr="00AD364F">
        <w:t xml:space="preserve">standards </w:t>
      </w:r>
      <w:r>
        <w:t xml:space="preserve">are set </w:t>
      </w:r>
      <w:r w:rsidRPr="00AD364F">
        <w:t xml:space="preserve">and equipment </w:t>
      </w:r>
      <w:r>
        <w:t>becomes</w:t>
      </w:r>
      <w:r w:rsidRPr="00AD364F">
        <w:t xml:space="preserve"> available.</w:t>
      </w:r>
      <w:r w:rsidRPr="00A35EC2">
        <w:rPr>
          <w:vertAlign w:val="superscript"/>
        </w:rPr>
        <w:footnoteReference w:id="77"/>
      </w:r>
      <w:r w:rsidRPr="00AD364F">
        <w:t xml:space="preserve"> </w:t>
      </w:r>
    </w:p>
    <w:p w14:paraId="75611F16" w14:textId="77777777" w:rsidR="00230B9A" w:rsidRPr="007D2140" w:rsidRDefault="00230B9A" w:rsidP="00CD264D">
      <w:pPr>
        <w:pStyle w:val="Heading2"/>
      </w:pPr>
      <w:bookmarkStart w:id="58" w:name="_Toc146023000"/>
      <w:r>
        <w:t>Connectivity</w:t>
      </w:r>
      <w:bookmarkEnd w:id="58"/>
    </w:p>
    <w:p w14:paraId="29F27DE3" w14:textId="67605F58" w:rsidR="00230B9A" w:rsidRDefault="00230B9A" w:rsidP="00230B9A">
      <w:pPr>
        <w:pStyle w:val="Paragraph"/>
      </w:pPr>
      <w:r>
        <w:t xml:space="preserve">Another challenge for private wireless networks </w:t>
      </w:r>
      <w:r w:rsidR="00267668">
        <w:t>may be the</w:t>
      </w:r>
      <w:r>
        <w:t xml:space="preserve"> </w:t>
      </w:r>
      <w:r w:rsidR="00E46EA6">
        <w:t xml:space="preserve">access to </w:t>
      </w:r>
      <w:r>
        <w:t xml:space="preserve">broadband infrastructure </w:t>
      </w:r>
      <w:r w:rsidR="00DE04A2">
        <w:t>outside city centres</w:t>
      </w:r>
      <w:r>
        <w:t xml:space="preserve">. Industrial businesses are usually based in outer-urban areas that </w:t>
      </w:r>
      <w:r w:rsidR="00E46EA6">
        <w:t xml:space="preserve">may </w:t>
      </w:r>
      <w:r>
        <w:t xml:space="preserve">have </w:t>
      </w:r>
      <w:r w:rsidR="00E46EA6">
        <w:t>fewer</w:t>
      </w:r>
      <w:r>
        <w:t xml:space="preserve"> connectivity options than inner</w:t>
      </w:r>
      <w:r w:rsidR="00E31ED8">
        <w:t>-</w:t>
      </w:r>
      <w:r>
        <w:t xml:space="preserve">city areas well served by fibre. </w:t>
      </w:r>
    </w:p>
    <w:p w14:paraId="56D440B6" w14:textId="77777777" w:rsidR="00230B9A" w:rsidRDefault="00230B9A" w:rsidP="00230B9A">
      <w:pPr>
        <w:pStyle w:val="Paragraph"/>
      </w:pPr>
      <w:r>
        <w:t xml:space="preserve">Mining and resources companies keep a lot of their network traffic on site, they also use a mixture of fibre, satellite and microwave backhaul to connect to the internet and company intranets. </w:t>
      </w:r>
    </w:p>
    <w:p w14:paraId="27C35864" w14:textId="77777777" w:rsidR="00230B9A" w:rsidRDefault="00230B9A" w:rsidP="00230B9A">
      <w:pPr>
        <w:pStyle w:val="Paragraph"/>
      </w:pPr>
      <w:r>
        <w:t>Agricultural sector specialists have indicted low earth orbit (LEO) satellites would provide sufficient backhaul for private wireless networks based in regional areas.</w:t>
      </w:r>
      <w:r>
        <w:rPr>
          <w:rStyle w:val="FootnoteReference"/>
        </w:rPr>
        <w:footnoteReference w:id="78"/>
      </w:r>
      <w:r>
        <w:t xml:space="preserve"> Recent trials based in regional NSW used microwave links to deliver broadband backhaul.</w:t>
      </w:r>
      <w:r>
        <w:rPr>
          <w:rStyle w:val="FootnoteReference"/>
        </w:rPr>
        <w:footnoteReference w:id="79"/>
      </w:r>
      <w:r>
        <w:t xml:space="preserve"> </w:t>
      </w:r>
    </w:p>
    <w:p w14:paraId="0C22B8BE" w14:textId="25ED5E5D" w:rsidR="00230B9A" w:rsidRDefault="00230B9A" w:rsidP="00230B9A">
      <w:pPr>
        <w:pStyle w:val="Paragraph"/>
      </w:pPr>
      <w:r>
        <w:t xml:space="preserve">Public event organisers have indicated temporary communication and broadcast networks will operate </w:t>
      </w:r>
      <w:r w:rsidR="0010664B">
        <w:t xml:space="preserve">using an intranet (closed </w:t>
      </w:r>
      <w:r w:rsidR="006C5EA2">
        <w:t>local network</w:t>
      </w:r>
      <w:r w:rsidR="0038355D">
        <w:t>),</w:t>
      </w:r>
      <w:r w:rsidR="006C5EA2">
        <w:t xml:space="preserve"> </w:t>
      </w:r>
      <w:r>
        <w:t xml:space="preserve">but they could </w:t>
      </w:r>
      <w:r w:rsidR="006C5EA2">
        <w:t>connect to the internet</w:t>
      </w:r>
      <w:r>
        <w:t xml:space="preserve"> </w:t>
      </w:r>
      <w:r w:rsidR="0010664B">
        <w:t xml:space="preserve">if needed </w:t>
      </w:r>
      <w:r>
        <w:t>using microwave or satellite links from communications trucks.</w:t>
      </w:r>
      <w:r>
        <w:rPr>
          <w:rStyle w:val="FootnoteReference"/>
        </w:rPr>
        <w:footnoteReference w:id="80"/>
      </w:r>
      <w:r>
        <w:t xml:space="preserve"> </w:t>
      </w:r>
    </w:p>
    <w:p w14:paraId="275E60B9" w14:textId="77777777" w:rsidR="007E27FB" w:rsidRDefault="007E27FB" w:rsidP="007E27FB">
      <w:pPr>
        <w:pStyle w:val="Heading2"/>
      </w:pPr>
      <w:bookmarkStart w:id="59" w:name="_Toc146023001"/>
      <w:r>
        <w:rPr>
          <w:lang w:val="en-SG"/>
        </w:rPr>
        <w:t>Options other than private wireless networks</w:t>
      </w:r>
      <w:bookmarkEnd w:id="59"/>
      <w:r>
        <w:rPr>
          <w:lang w:val="en-SG"/>
        </w:rPr>
        <w:t xml:space="preserve"> </w:t>
      </w:r>
    </w:p>
    <w:p w14:paraId="6AB17285" w14:textId="0599581D" w:rsidR="007E27FB" w:rsidRPr="00B21674" w:rsidRDefault="007E27FB" w:rsidP="007E27FB">
      <w:pPr>
        <w:pStyle w:val="Paragraph"/>
        <w:keepNext/>
      </w:pPr>
      <w:r>
        <w:t>For some companies and organisations, other wireless networking options may be preferred over a d</w:t>
      </w:r>
      <w:r w:rsidRPr="00725822">
        <w:t xml:space="preserve">edicated </w:t>
      </w:r>
      <w:r>
        <w:t xml:space="preserve">4G or 5G </w:t>
      </w:r>
      <w:r w:rsidRPr="00725822">
        <w:t xml:space="preserve">private </w:t>
      </w:r>
      <w:r w:rsidRPr="00B21674">
        <w:t>wireless network.</w:t>
      </w:r>
    </w:p>
    <w:p w14:paraId="34835170" w14:textId="77777777" w:rsidR="007E27FB" w:rsidRDefault="007E27FB" w:rsidP="007E27FB">
      <w:pPr>
        <w:pStyle w:val="Heading3"/>
        <w:keepLines/>
      </w:pPr>
      <w:r w:rsidRPr="00B21674">
        <w:t>Public mobile networks</w:t>
      </w:r>
    </w:p>
    <w:p w14:paraId="2CD81440" w14:textId="77777777" w:rsidR="007E27FB" w:rsidRPr="00B21674" w:rsidRDefault="007E27FB" w:rsidP="007E27FB">
      <w:pPr>
        <w:pStyle w:val="Paragraph"/>
        <w:keepNext/>
        <w:keepLines/>
      </w:pPr>
      <w:r w:rsidRPr="00B21674">
        <w:t xml:space="preserve">Australia has 3 </w:t>
      </w:r>
      <w:r>
        <w:t xml:space="preserve">national </w:t>
      </w:r>
      <w:r w:rsidRPr="00B21674">
        <w:t xml:space="preserve">public mobile networks operated by Telstra, Optus and TPG Telecom. These networks </w:t>
      </w:r>
      <w:r>
        <w:t xml:space="preserve">and regional telcos, such as </w:t>
      </w:r>
      <w:proofErr w:type="spellStart"/>
      <w:r w:rsidRPr="00452A61">
        <w:t>Pivotel</w:t>
      </w:r>
      <w:proofErr w:type="spellEnd"/>
      <w:r w:rsidRPr="00452A61">
        <w:t xml:space="preserve"> and Field Solutions Group</w:t>
      </w:r>
      <w:r>
        <w:t>,</w:t>
      </w:r>
      <w:r w:rsidRPr="00452A61">
        <w:t xml:space="preserve"> are</w:t>
      </w:r>
      <w:r w:rsidRPr="00B21674">
        <w:t xml:space="preserve"> available to both consumers and enterprise customers. Public networks cover</w:t>
      </w:r>
      <w:r>
        <w:t xml:space="preserve"> up</w:t>
      </w:r>
      <w:r w:rsidRPr="00B21674">
        <w:t xml:space="preserve"> to 99.4% of the population or 34% of Australia’s land</w:t>
      </w:r>
      <w:r>
        <w:t xml:space="preserve"> </w:t>
      </w:r>
      <w:r w:rsidRPr="00B21674">
        <w:t>mass.</w:t>
      </w:r>
      <w:r w:rsidRPr="00B21674">
        <w:rPr>
          <w:rStyle w:val="FootnoteReference"/>
          <w:szCs w:val="20"/>
        </w:rPr>
        <w:footnoteReference w:id="81"/>
      </w:r>
      <w:r w:rsidRPr="00B21674">
        <w:t xml:space="preserve">  </w:t>
      </w:r>
    </w:p>
    <w:p w14:paraId="788D9790" w14:textId="77777777" w:rsidR="007E27FB" w:rsidRDefault="007E27FB" w:rsidP="007E27FB">
      <w:pPr>
        <w:pStyle w:val="Heading3"/>
      </w:pPr>
      <w:r w:rsidRPr="00B21674">
        <w:t>Public-private (hybrid) networks</w:t>
      </w:r>
    </w:p>
    <w:p w14:paraId="6AFC77FB" w14:textId="77777777" w:rsidR="007E27FB" w:rsidRPr="00B21674" w:rsidRDefault="007E27FB" w:rsidP="007E27FB">
      <w:pPr>
        <w:pStyle w:val="Paragraph"/>
      </w:pPr>
      <w:r>
        <w:t>M</w:t>
      </w:r>
      <w:r w:rsidRPr="00B21674">
        <w:t xml:space="preserve">obile network operators have </w:t>
      </w:r>
      <w:r>
        <w:t xml:space="preserve">developed a new </w:t>
      </w:r>
      <w:r w:rsidRPr="00B21674">
        <w:t xml:space="preserve">enterprise </w:t>
      </w:r>
      <w:r>
        <w:t xml:space="preserve">product </w:t>
      </w:r>
      <w:r w:rsidRPr="00B21674">
        <w:t>called ‘network slicing’.</w:t>
      </w:r>
      <w:r w:rsidRPr="00B21674">
        <w:rPr>
          <w:vertAlign w:val="superscript"/>
        </w:rPr>
        <w:t xml:space="preserve"> </w:t>
      </w:r>
      <w:r w:rsidRPr="00B21674">
        <w:rPr>
          <w:vertAlign w:val="superscript"/>
        </w:rPr>
        <w:footnoteReference w:id="82"/>
      </w:r>
      <w:r w:rsidRPr="00B21674">
        <w:t xml:space="preserve"> </w:t>
      </w:r>
      <w:r>
        <w:t>The mobile network operator</w:t>
      </w:r>
      <w:r w:rsidRPr="00B21674">
        <w:t xml:space="preserve"> can tailor </w:t>
      </w:r>
      <w:r>
        <w:t xml:space="preserve">a </w:t>
      </w:r>
      <w:r w:rsidRPr="00B21674">
        <w:t xml:space="preserve">slice to </w:t>
      </w:r>
      <w:r>
        <w:t xml:space="preserve">an </w:t>
      </w:r>
      <w:r w:rsidRPr="00B21674">
        <w:t>enterprise</w:t>
      </w:r>
      <w:r>
        <w:t>’s</w:t>
      </w:r>
      <w:r w:rsidRPr="00B21674">
        <w:t xml:space="preserve"> needs </w:t>
      </w:r>
      <w:r>
        <w:t>and</w:t>
      </w:r>
      <w:r w:rsidRPr="00B21674">
        <w:t xml:space="preserve"> can prioritise certain traffic (such as Telstra’s LANES product). However, the slice </w:t>
      </w:r>
      <w:r>
        <w:t xml:space="preserve">is </w:t>
      </w:r>
      <w:r w:rsidRPr="00B21674">
        <w:t xml:space="preserve">only </w:t>
      </w:r>
      <w:r>
        <w:t>available</w:t>
      </w:r>
      <w:r w:rsidRPr="00B21674">
        <w:t xml:space="preserve"> </w:t>
      </w:r>
      <w:r>
        <w:t>if</w:t>
      </w:r>
      <w:r w:rsidRPr="00B21674">
        <w:t xml:space="preserve"> the public network is operational.</w:t>
      </w:r>
      <w:r w:rsidRPr="00B21674">
        <w:rPr>
          <w:rStyle w:val="FootnoteReference"/>
          <w:szCs w:val="20"/>
        </w:rPr>
        <w:footnoteReference w:id="83"/>
      </w:r>
      <w:r w:rsidRPr="00B21674">
        <w:t xml:space="preserve"> </w:t>
      </w:r>
    </w:p>
    <w:p w14:paraId="7293BE02" w14:textId="77777777" w:rsidR="007E27FB" w:rsidRDefault="007E27FB" w:rsidP="007E27FB">
      <w:pPr>
        <w:pStyle w:val="Heading3"/>
        <w:keepLines/>
      </w:pPr>
      <w:r w:rsidRPr="00B21674">
        <w:t xml:space="preserve">Wireless LAN (WLAN), fixed wireless and </w:t>
      </w:r>
      <w:r>
        <w:t>wi-fi</w:t>
      </w:r>
    </w:p>
    <w:p w14:paraId="28ED4D3C" w14:textId="77777777" w:rsidR="007E27FB" w:rsidRPr="00B21674" w:rsidRDefault="007E27FB" w:rsidP="007E27FB">
      <w:pPr>
        <w:pStyle w:val="Paragraph"/>
        <w:keepNext/>
        <w:keepLines/>
      </w:pPr>
      <w:r w:rsidRPr="00B21674">
        <w:t xml:space="preserve">Wireless networking </w:t>
      </w:r>
      <w:r>
        <w:t>connects</w:t>
      </w:r>
      <w:r w:rsidRPr="00B21674">
        <w:t xml:space="preserve"> multiple devices within a limited physical space, such as laptops or fixed robots. In urban areas where there is access to fibre networks, some organisations have deploy</w:t>
      </w:r>
      <w:r>
        <w:t>ed</w:t>
      </w:r>
      <w:r w:rsidRPr="00B21674">
        <w:t xml:space="preserve"> networks using a </w:t>
      </w:r>
      <w:r>
        <w:t>mix of</w:t>
      </w:r>
      <w:r w:rsidRPr="00B21674">
        <w:t xml:space="preserve"> fixed wireless access and fibre technologies. </w:t>
      </w:r>
    </w:p>
    <w:p w14:paraId="32B8D00A" w14:textId="77777777" w:rsidR="007E27FB" w:rsidRPr="00135623" w:rsidRDefault="007E27FB" w:rsidP="007E27FB">
      <w:pPr>
        <w:pStyle w:val="Paragraph"/>
      </w:pPr>
      <w:r>
        <w:t xml:space="preserve">See </w:t>
      </w:r>
      <w:hyperlink w:anchor="_Appendix_C_–" w:history="1">
        <w:r w:rsidRPr="00FF796D">
          <w:rPr>
            <w:rStyle w:val="Hyperlink"/>
          </w:rPr>
          <w:t>Appendix C</w:t>
        </w:r>
      </w:hyperlink>
      <w:r>
        <w:t xml:space="preserve"> for </w:t>
      </w:r>
      <w:r w:rsidRPr="00135623">
        <w:t xml:space="preserve">how these </w:t>
      </w:r>
      <w:r>
        <w:t>products operate c</w:t>
      </w:r>
      <w:r w:rsidRPr="00135623">
        <w:t xml:space="preserve">ompared to </w:t>
      </w:r>
      <w:r>
        <w:t>private wireless network</w:t>
      </w:r>
      <w:r w:rsidRPr="00135623">
        <w:t>s.</w:t>
      </w:r>
    </w:p>
    <w:p w14:paraId="7711CFEB" w14:textId="77777777" w:rsidR="007E27FB" w:rsidRDefault="007E27FB" w:rsidP="007E27FB">
      <w:pPr>
        <w:pStyle w:val="Paragraph"/>
      </w:pPr>
      <w:r>
        <w:t>Major Australian city councils</w:t>
      </w:r>
      <w:r w:rsidRPr="00A06770">
        <w:t xml:space="preserve"> </w:t>
      </w:r>
      <w:r w:rsidRPr="00725822">
        <w:t xml:space="preserve">use </w:t>
      </w:r>
      <w:r>
        <w:t xml:space="preserve">a mix of technology for connectivity, for example, </w:t>
      </w:r>
      <w:r w:rsidRPr="00725822">
        <w:t>private fibre network</w:t>
      </w:r>
      <w:r>
        <w:t>s</w:t>
      </w:r>
      <w:r w:rsidRPr="00725822">
        <w:t xml:space="preserve"> for closed circuit television</w:t>
      </w:r>
      <w:r>
        <w:t xml:space="preserve">. They also use </w:t>
      </w:r>
      <w:r w:rsidRPr="00725822">
        <w:t xml:space="preserve">a range of public mobile networks for sensors including sim cards, </w:t>
      </w:r>
      <w:r>
        <w:t>wi-fi</w:t>
      </w:r>
      <w:r w:rsidRPr="00725822">
        <w:t xml:space="preserve">, </w:t>
      </w:r>
      <w:proofErr w:type="spellStart"/>
      <w:r w:rsidRPr="00725822">
        <w:t>LoRAWAN</w:t>
      </w:r>
      <w:proofErr w:type="spellEnd"/>
      <w:r w:rsidRPr="00725822">
        <w:t xml:space="preserve"> and narrowband </w:t>
      </w:r>
      <w:r>
        <w:t>IoT</w:t>
      </w:r>
      <w:r w:rsidRPr="00725822">
        <w:t>.</w:t>
      </w:r>
      <w:r>
        <w:rPr>
          <w:rStyle w:val="FootnoteReference"/>
        </w:rPr>
        <w:footnoteReference w:id="84"/>
      </w:r>
      <w:r>
        <w:t xml:space="preserve"> </w:t>
      </w:r>
    </w:p>
    <w:p w14:paraId="016264BC" w14:textId="77777777" w:rsidR="007E27FB" w:rsidRDefault="007E27FB" w:rsidP="007E27FB">
      <w:pPr>
        <w:pStyle w:val="Heading3"/>
        <w:shd w:val="clear" w:color="auto" w:fill="F2F2F2" w:themeFill="background1" w:themeFillShade="F2"/>
        <w:spacing w:before="120"/>
      </w:pPr>
      <w:r w:rsidRPr="00CE205F">
        <w:t>Deployment considerations</w:t>
      </w:r>
    </w:p>
    <w:p w14:paraId="36BF253D" w14:textId="77777777" w:rsidR="007E27FB" w:rsidRDefault="007E27FB" w:rsidP="007E27FB">
      <w:pPr>
        <w:pStyle w:val="Paragraph"/>
        <w:shd w:val="clear" w:color="auto" w:fill="F2F2F2" w:themeFill="background1" w:themeFillShade="F2"/>
      </w:pPr>
      <w:r w:rsidRPr="00EB3DBB">
        <w:t>Organisations may wait before further digit</w:t>
      </w:r>
      <w:r>
        <w:t>al</w:t>
      </w:r>
      <w:r w:rsidRPr="00EB3DBB">
        <w:t>is</w:t>
      </w:r>
      <w:r>
        <w:t>ing their operations</w:t>
      </w:r>
      <w:r w:rsidRPr="00EB3DBB">
        <w:t>.</w:t>
      </w:r>
      <w:r>
        <w:t xml:space="preserve"> </w:t>
      </w:r>
      <w:r w:rsidRPr="00EB3DBB">
        <w:t xml:space="preserve">Legacy network technologies such as </w:t>
      </w:r>
      <w:r>
        <w:t>wi-fi</w:t>
      </w:r>
      <w:r w:rsidRPr="00EB3DBB">
        <w:t xml:space="preserve"> and ethernet are now embedded in businesses and operational systems</w:t>
      </w:r>
      <w:r>
        <w:t xml:space="preserve"> and could last for many more years</w:t>
      </w:r>
      <w:r w:rsidRPr="00EB3DBB">
        <w:t xml:space="preserve">. Upgrading to </w:t>
      </w:r>
      <w:r>
        <w:t>LTE</w:t>
      </w:r>
      <w:r w:rsidRPr="00EB3DBB">
        <w:t xml:space="preserve"> or 5G equipment </w:t>
      </w:r>
      <w:r>
        <w:t>raises both equipment cost and integration considerations.</w:t>
      </w:r>
      <w:r w:rsidRPr="00EB3DBB">
        <w:t xml:space="preserve">. </w:t>
      </w:r>
    </w:p>
    <w:p w14:paraId="5E045DB1" w14:textId="77777777" w:rsidR="007E27FB" w:rsidRPr="009C26FE" w:rsidRDefault="007E27FB" w:rsidP="007E27FB">
      <w:pPr>
        <w:pStyle w:val="Paragraph"/>
        <w:shd w:val="clear" w:color="auto" w:fill="F2F2F2" w:themeFill="background1" w:themeFillShade="F2"/>
      </w:pPr>
      <w:r>
        <w:t>An energy distribution company told the ACMA it will consider private wireless network as well as enterprise solutions when existing equipment reaches the end of its life. However, a 3G network installed many years ago was not renewed or upgraded once the equipment became obsolete.</w:t>
      </w:r>
      <w:r>
        <w:rPr>
          <w:rStyle w:val="FootnoteReference"/>
        </w:rPr>
        <w:footnoteReference w:id="85"/>
      </w:r>
      <w: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85" w:type="dxa"/>
          <w:left w:w="57" w:type="dxa"/>
          <w:bottom w:w="85" w:type="dxa"/>
          <w:right w:w="57" w:type="dxa"/>
        </w:tblCellMar>
        <w:tblLook w:val="04A0" w:firstRow="1" w:lastRow="0" w:firstColumn="1" w:lastColumn="0" w:noHBand="0" w:noVBand="1"/>
      </w:tblPr>
      <w:tblGrid>
        <w:gridCol w:w="7661"/>
      </w:tblGrid>
      <w:tr w:rsidR="007E27FB" w14:paraId="3E70F358" w14:textId="77777777" w:rsidTr="001C0340">
        <w:tc>
          <w:tcPr>
            <w:tcW w:w="7661" w:type="dxa"/>
            <w:shd w:val="clear" w:color="auto" w:fill="39457C"/>
          </w:tcPr>
          <w:p w14:paraId="688B2E02" w14:textId="6015BBAF" w:rsidR="007E27FB" w:rsidRPr="00C51AE7" w:rsidRDefault="007E27FB" w:rsidP="001C0340">
            <w:pPr>
              <w:pStyle w:val="Heading2"/>
              <w:spacing w:before="0" w:after="0"/>
              <w:rPr>
                <w:color w:val="FFFFFF" w:themeColor="background1"/>
              </w:rPr>
            </w:pPr>
            <w:bookmarkStart w:id="60" w:name="_Toc146023002"/>
            <w:r w:rsidRPr="00C51AE7">
              <w:rPr>
                <w:color w:val="FFFFFF" w:themeColor="background1"/>
              </w:rPr>
              <w:t xml:space="preserve">Case </w:t>
            </w:r>
            <w:r>
              <w:rPr>
                <w:color w:val="FFFFFF" w:themeColor="background1"/>
              </w:rPr>
              <w:t>s</w:t>
            </w:r>
            <w:r w:rsidRPr="00C51AE7">
              <w:rPr>
                <w:color w:val="FFFFFF" w:themeColor="background1"/>
              </w:rPr>
              <w:t xml:space="preserve">tudy </w:t>
            </w:r>
            <w:r>
              <w:rPr>
                <w:color w:val="FFFFFF" w:themeColor="background1"/>
              </w:rPr>
              <w:t>5:</w:t>
            </w:r>
            <w:r w:rsidRPr="00C51AE7">
              <w:rPr>
                <w:color w:val="FFFFFF" w:themeColor="background1"/>
              </w:rPr>
              <w:t xml:space="preserve"> Brisbane City Council</w:t>
            </w:r>
            <w:bookmarkEnd w:id="60"/>
          </w:p>
        </w:tc>
      </w:tr>
      <w:tr w:rsidR="007E27FB" w14:paraId="6DD5B229" w14:textId="77777777" w:rsidTr="001C0340">
        <w:tc>
          <w:tcPr>
            <w:tcW w:w="7661" w:type="dxa"/>
            <w:shd w:val="clear" w:color="auto" w:fill="F2F2F2" w:themeFill="background1" w:themeFillShade="F2"/>
          </w:tcPr>
          <w:p w14:paraId="0E345109" w14:textId="19FD2C58" w:rsidR="007E27FB" w:rsidRPr="00132915" w:rsidRDefault="007E27FB" w:rsidP="001C0340">
            <w:pPr>
              <w:pStyle w:val="ACMANormalTabbed"/>
              <w:keepNext/>
              <w:keepLines/>
              <w:rPr>
                <w:b/>
                <w:bCs/>
              </w:rPr>
            </w:pPr>
            <w:r w:rsidRPr="00132915">
              <w:rPr>
                <w:b/>
                <w:bCs/>
              </w:rPr>
              <w:t xml:space="preserve">This case study highlights an enterprise that has </w:t>
            </w:r>
            <w:r>
              <w:rPr>
                <w:b/>
                <w:bCs/>
              </w:rPr>
              <w:t>adopted an enterprise mobile virtual network provider model.</w:t>
            </w:r>
            <w:r w:rsidRPr="00132915">
              <w:rPr>
                <w:b/>
                <w:bCs/>
              </w:rPr>
              <w:t xml:space="preserve"> </w:t>
            </w:r>
          </w:p>
          <w:p w14:paraId="0815867D" w14:textId="77777777" w:rsidR="007E27FB" w:rsidRPr="00A06770" w:rsidRDefault="007E27FB" w:rsidP="001C0340">
            <w:pPr>
              <w:pStyle w:val="Paragraph"/>
            </w:pPr>
            <w:r>
              <w:t xml:space="preserve">Brisbane City Council </w:t>
            </w:r>
            <w:r w:rsidRPr="00A06770">
              <w:t>provides municipal services to people and businesses across a metropolitan and urban landscape covering 1,343 km</w:t>
            </w:r>
            <w:r>
              <w:t>.</w:t>
            </w:r>
            <w:r w:rsidRPr="00A06770">
              <w:rPr>
                <w:vertAlign w:val="superscript"/>
              </w:rPr>
              <w:t>2</w:t>
            </w:r>
            <w:r w:rsidRPr="00A06770">
              <w:t xml:space="preserve"> The central business district covers 2.5 km</w:t>
            </w:r>
            <w:r>
              <w:t>.</w:t>
            </w:r>
            <w:r w:rsidRPr="00A06770">
              <w:rPr>
                <w:vertAlign w:val="superscript"/>
              </w:rPr>
              <w:t>2</w:t>
            </w:r>
            <w:r w:rsidRPr="00A06770">
              <w:t xml:space="preserve"> </w:t>
            </w:r>
            <w:r>
              <w:t>It has the largest budget of any local government in Australia.</w:t>
            </w:r>
            <w:r>
              <w:rPr>
                <w:rStyle w:val="FootnoteReference"/>
              </w:rPr>
              <w:footnoteReference w:id="86"/>
            </w:r>
          </w:p>
          <w:p w14:paraId="3CD51013" w14:textId="77777777" w:rsidR="007E27FB" w:rsidRPr="00A06770" w:rsidRDefault="007E27FB" w:rsidP="001C0340">
            <w:pPr>
              <w:pStyle w:val="Paragraph"/>
            </w:pPr>
            <w:r w:rsidRPr="00A06770">
              <w:t xml:space="preserve">The council’s information services branch </w:t>
            </w:r>
            <w:r>
              <w:t xml:space="preserve">enables connectivity to digital services for customers and employees. The branch </w:t>
            </w:r>
            <w:r w:rsidRPr="00A06770">
              <w:t xml:space="preserve">has considered private wireless networks </w:t>
            </w:r>
            <w:r>
              <w:t>for internal use. However, it</w:t>
            </w:r>
            <w:r w:rsidRPr="00A06770">
              <w:t xml:space="preserve"> doesn’t believe the costs involved to </w:t>
            </w:r>
            <w:r>
              <w:t xml:space="preserve">both </w:t>
            </w:r>
            <w:r w:rsidRPr="00A06770">
              <w:t xml:space="preserve">establish and operate </w:t>
            </w:r>
            <w:r>
              <w:t>the network will</w:t>
            </w:r>
            <w:r w:rsidRPr="00A06770">
              <w:t xml:space="preserve"> deliver sufficient benefits compared to the current arrangement of enterprise mobile </w:t>
            </w:r>
            <w:r>
              <w:t>virtual private network</w:t>
            </w:r>
            <w:r w:rsidRPr="00A06770">
              <w:t xml:space="preserve">, telemetry, dark fibre, </w:t>
            </w:r>
            <w:r>
              <w:t>wi-fi</w:t>
            </w:r>
            <w:r w:rsidRPr="00A06770">
              <w:t xml:space="preserve"> and enterprise mobile services.  </w:t>
            </w:r>
          </w:p>
          <w:p w14:paraId="54D67840" w14:textId="77777777" w:rsidR="007E27FB" w:rsidRPr="00A06770" w:rsidRDefault="007E27FB" w:rsidP="001C0340">
            <w:pPr>
              <w:pStyle w:val="Paragraph"/>
            </w:pPr>
            <w:r w:rsidRPr="00A06770">
              <w:rPr>
                <w:b/>
                <w:bCs/>
              </w:rPr>
              <w:t>Purpose:</w:t>
            </w:r>
            <w:r w:rsidRPr="00A06770">
              <w:t xml:space="preserve"> The council already uses a secure network for mobile workers in vehicles and on foot </w:t>
            </w:r>
            <w:r>
              <w:t>through a telecommunications provider</w:t>
            </w:r>
            <w:r w:rsidRPr="00A06770">
              <w:t xml:space="preserve"> e.g., parking enforcement and field services staff with </w:t>
            </w:r>
            <w:r>
              <w:t>mobile</w:t>
            </w:r>
            <w:r w:rsidRPr="00A06770">
              <w:t xml:space="preserve"> tablets. </w:t>
            </w:r>
          </w:p>
          <w:p w14:paraId="42D016CD" w14:textId="77777777" w:rsidR="007E27FB" w:rsidRPr="00A06770" w:rsidRDefault="007E27FB" w:rsidP="001C0340">
            <w:pPr>
              <w:pStyle w:val="Paragraph"/>
            </w:pPr>
            <w:r w:rsidRPr="00A06770">
              <w:rPr>
                <w:b/>
                <w:bCs/>
              </w:rPr>
              <w:t>Timing</w:t>
            </w:r>
            <w:r w:rsidRPr="00A06770">
              <w:t xml:space="preserve">: As of early 2023, there are no plans to build a private wireless network. </w:t>
            </w:r>
          </w:p>
          <w:p w14:paraId="4407915C" w14:textId="77777777" w:rsidR="007E27FB" w:rsidRDefault="007E27FB" w:rsidP="001C0340">
            <w:pPr>
              <w:pStyle w:val="Paragraph"/>
            </w:pPr>
            <w:r w:rsidRPr="00A06770">
              <w:rPr>
                <w:b/>
                <w:bCs/>
              </w:rPr>
              <w:t>Barriers:</w:t>
            </w:r>
            <w:r w:rsidRPr="00A06770">
              <w:t xml:space="preserve"> </w:t>
            </w:r>
            <w:r>
              <w:t>Brisbane City Council said could not find</w:t>
            </w:r>
            <w:r w:rsidRPr="00A06770">
              <w:t xml:space="preserve"> spectrum available</w:t>
            </w:r>
            <w:r>
              <w:t xml:space="preserve"> for a private wireless network</w:t>
            </w:r>
            <w:r w:rsidRPr="00A06770">
              <w:t xml:space="preserve"> in this capital city appropriate for building a network to cover the entire council area. Existing private APN network has bandwidth constraint of 100</w:t>
            </w:r>
            <w:r>
              <w:t> </w:t>
            </w:r>
            <w:r w:rsidRPr="00A06770">
              <w:t xml:space="preserve">Mbps. </w:t>
            </w:r>
          </w:p>
          <w:p w14:paraId="71605CEC" w14:textId="77777777" w:rsidR="007E27FB" w:rsidRPr="00A06770" w:rsidRDefault="007E27FB" w:rsidP="001C0340">
            <w:pPr>
              <w:pStyle w:val="Paragraph"/>
            </w:pPr>
            <w:r w:rsidRPr="00A06770">
              <w:t xml:space="preserve">The council must also coordinate any </w:t>
            </w:r>
            <w:r>
              <w:t>equipment</w:t>
            </w:r>
            <w:r w:rsidRPr="00A06770">
              <w:t xml:space="preserve"> </w:t>
            </w:r>
            <w:r>
              <w:t xml:space="preserve">or spectrum </w:t>
            </w:r>
            <w:r w:rsidRPr="00A06770">
              <w:t xml:space="preserve">upgrades </w:t>
            </w:r>
            <w:r>
              <w:t xml:space="preserve">in collaboration with </w:t>
            </w:r>
            <w:r w:rsidRPr="00A06770">
              <w:t>at least 13 different external organisations</w:t>
            </w:r>
            <w:r>
              <w:t>. These include</w:t>
            </w:r>
            <w:r w:rsidRPr="00A06770">
              <w:t xml:space="preserve"> the State Emergency Service, the Bureau of Meteorology, state government, transport companies and utilities companies. A substantial amount of equipment is jointly managed with these other agencies, which means the council would have to continue legacy networks until everyone is updated.</w:t>
            </w:r>
          </w:p>
          <w:p w14:paraId="18D9B629" w14:textId="77777777" w:rsidR="007E27FB" w:rsidRPr="00A06770" w:rsidRDefault="007E27FB" w:rsidP="001C0340">
            <w:pPr>
              <w:pStyle w:val="Paragraph"/>
            </w:pPr>
            <w:r w:rsidRPr="00A06770">
              <w:rPr>
                <w:b/>
                <w:bCs/>
              </w:rPr>
              <w:t>Background</w:t>
            </w:r>
            <w:r w:rsidRPr="00A06770">
              <w:t xml:space="preserve">: The </w:t>
            </w:r>
            <w:r>
              <w:t xml:space="preserve">Council has adopted a </w:t>
            </w:r>
            <w:r w:rsidRPr="00A06770">
              <w:t xml:space="preserve">decentralised approach </w:t>
            </w:r>
            <w:r>
              <w:t xml:space="preserve">to its network management </w:t>
            </w:r>
            <w:r w:rsidRPr="00A06770">
              <w:t xml:space="preserve">to provide </w:t>
            </w:r>
            <w:r>
              <w:t>the c</w:t>
            </w:r>
            <w:r w:rsidRPr="00A06770">
              <w:t>ouncil with flexibility and agility</w:t>
            </w:r>
            <w:r>
              <w:t xml:space="preserve">. This has been viewed as </w:t>
            </w:r>
            <w:r w:rsidRPr="00A06770">
              <w:t xml:space="preserve">more valuable than establishing a centrally managed private wireless network. </w:t>
            </w:r>
          </w:p>
          <w:p w14:paraId="732DF013" w14:textId="77777777" w:rsidR="007E27FB" w:rsidRPr="00A06770" w:rsidRDefault="007E27FB" w:rsidP="001C0340">
            <w:pPr>
              <w:pStyle w:val="Paragraph"/>
            </w:pPr>
            <w:r w:rsidRPr="00A06770">
              <w:t>During interviews</w:t>
            </w:r>
            <w:r>
              <w:t xml:space="preserve"> with the ACMA</w:t>
            </w:r>
            <w:r w:rsidRPr="00A06770">
              <w:t xml:space="preserve">, council staff advised that </w:t>
            </w:r>
            <w:r>
              <w:t>the c</w:t>
            </w:r>
            <w:r w:rsidRPr="00A06770">
              <w:t>ouncil owns dark fibre across the city</w:t>
            </w:r>
            <w:r>
              <w:t>,</w:t>
            </w:r>
            <w:r w:rsidRPr="00A06770">
              <w:t xml:space="preserve"> and this can be converted to </w:t>
            </w:r>
            <w:r>
              <w:t>wi-fi</w:t>
            </w:r>
            <w:r w:rsidRPr="00A06770">
              <w:t xml:space="preserve"> at the edges when needed. </w:t>
            </w:r>
          </w:p>
          <w:p w14:paraId="445FF70C" w14:textId="77777777" w:rsidR="007E27FB" w:rsidRPr="00A06770" w:rsidRDefault="007E27FB" w:rsidP="001C0340">
            <w:pPr>
              <w:pStyle w:val="Paragraph"/>
            </w:pPr>
            <w:r>
              <w:t>Council</w:t>
            </w:r>
            <w:r w:rsidRPr="00A06770">
              <w:t xml:space="preserve"> outsources a wide</w:t>
            </w:r>
            <w:r>
              <w:t>-</w:t>
            </w:r>
            <w:r w:rsidRPr="00A06770">
              <w:t xml:space="preserve">area network to Optus, which also provides telephony services. This has provided reliable and secure application connectivity. The council may upgrade to enterprise 5G in future as current network is constrained to 100Mbps. </w:t>
            </w:r>
          </w:p>
          <w:p w14:paraId="309561CD" w14:textId="77777777" w:rsidR="007E27FB" w:rsidRDefault="007E27FB" w:rsidP="001C0340">
            <w:pPr>
              <w:pStyle w:val="Paragraph"/>
              <w:spacing w:after="120"/>
            </w:pPr>
            <w:r w:rsidRPr="00A06770">
              <w:t xml:space="preserve">If </w:t>
            </w:r>
            <w:r>
              <w:t>the c</w:t>
            </w:r>
            <w:r w:rsidRPr="00A06770">
              <w:t>ouncil established a centralised and internally managed private wireless network, extra capabilities would be needed beyond what currently exists to manage the fully outsourced telecommunications services.</w:t>
            </w:r>
            <w:r w:rsidRPr="00A06770">
              <w:rPr>
                <w:vertAlign w:val="superscript"/>
              </w:rPr>
              <w:footnoteReference w:id="87"/>
            </w:r>
            <w:r w:rsidRPr="00A06770">
              <w:t xml:space="preserve">  </w:t>
            </w:r>
          </w:p>
        </w:tc>
      </w:tr>
    </w:tbl>
    <w:p w14:paraId="1E49CA2A" w14:textId="77777777" w:rsidR="007E27FB" w:rsidRDefault="007E27FB" w:rsidP="00230B9A">
      <w:pPr>
        <w:pStyle w:val="Paragraph"/>
      </w:pPr>
    </w:p>
    <w:p w14:paraId="05C8DEE9" w14:textId="3A26D709" w:rsidR="00230B9A" w:rsidRDefault="00230B9A" w:rsidP="00983187">
      <w:pPr>
        <w:pStyle w:val="Heading1"/>
      </w:pPr>
      <w:bookmarkStart w:id="61" w:name="_Toc139373166"/>
      <w:bookmarkStart w:id="62" w:name="_Toc146023003"/>
      <w:r w:rsidRPr="00CD264D">
        <w:t>Conclusion</w:t>
      </w:r>
      <w:bookmarkEnd w:id="61"/>
      <w:bookmarkEnd w:id="62"/>
    </w:p>
    <w:p w14:paraId="061C4074" w14:textId="77777777" w:rsidR="00230B9A" w:rsidRDefault="00230B9A" w:rsidP="00CD264D">
      <w:pPr>
        <w:pStyle w:val="Paragraph"/>
      </w:pPr>
      <w:r>
        <w:t xml:space="preserve">This report discussed the current opportunities and challenges for deploying private wireless networks in Australia. </w:t>
      </w:r>
    </w:p>
    <w:p w14:paraId="52F7A792" w14:textId="7B8986F9" w:rsidR="00230B9A" w:rsidRDefault="00230B9A" w:rsidP="00CD264D">
      <w:pPr>
        <w:pStyle w:val="Paragraph"/>
      </w:pPr>
      <w:r>
        <w:t xml:space="preserve">The domestic mining and resources sector is already well advanced in deploying private wireless networks. There are an estimated 50 private wireless networks operating in Australian mines using 4G and LTE technology. They are often in remote regions and use apparatus licences </w:t>
      </w:r>
      <w:r w:rsidR="00E46EA6">
        <w:t>using mid-band spectrum</w:t>
      </w:r>
      <w:r>
        <w:t>.</w:t>
      </w:r>
      <w:r>
        <w:rPr>
          <w:rStyle w:val="FootnoteReference"/>
        </w:rPr>
        <w:footnoteReference w:id="88"/>
      </w:r>
      <w:r>
        <w:t xml:space="preserve"> </w:t>
      </w:r>
    </w:p>
    <w:p w14:paraId="33672BED" w14:textId="77777777" w:rsidR="00230B9A" w:rsidRDefault="00230B9A" w:rsidP="00CD264D">
      <w:pPr>
        <w:pStyle w:val="Paragraph"/>
      </w:pPr>
      <w:r>
        <w:t xml:space="preserve">The focus of this report was on dedicated networks – rather than network slicing – to highlight potential demand for spectrum outside the telecommunications sector. That is, companies accessing spectrum directly for private use. </w:t>
      </w:r>
    </w:p>
    <w:p w14:paraId="45112EB5" w14:textId="77777777" w:rsidR="00230B9A" w:rsidRPr="00120B2C" w:rsidRDefault="00230B9A" w:rsidP="00CD264D">
      <w:pPr>
        <w:pStyle w:val="Paragraphbeforelist"/>
        <w:rPr>
          <w:b/>
        </w:rPr>
      </w:pPr>
      <w:r w:rsidRPr="00120B2C">
        <w:t>The key factors for deploying private wireless networks are:</w:t>
      </w:r>
    </w:p>
    <w:p w14:paraId="3F39B404" w14:textId="77777777" w:rsidR="00230B9A" w:rsidRPr="00120B2C" w:rsidRDefault="00230B9A" w:rsidP="00CD264D">
      <w:pPr>
        <w:pStyle w:val="Bulletlevel1"/>
        <w:rPr>
          <w:b/>
        </w:rPr>
      </w:pPr>
      <w:r w:rsidRPr="00120B2C">
        <w:t>a sound business case for digitising operations</w:t>
      </w:r>
    </w:p>
    <w:p w14:paraId="23BBC443" w14:textId="77777777" w:rsidR="00230B9A" w:rsidRPr="00120B2C" w:rsidRDefault="00230B9A" w:rsidP="00CD264D">
      <w:pPr>
        <w:pStyle w:val="Bulletlevel1"/>
        <w:rPr>
          <w:b/>
        </w:rPr>
      </w:pPr>
      <w:r w:rsidRPr="00120B2C">
        <w:t xml:space="preserve">the cost and complexity of deploying a network at particular </w:t>
      </w:r>
      <w:proofErr w:type="gramStart"/>
      <w:r w:rsidRPr="00120B2C">
        <w:t>locations</w:t>
      </w:r>
      <w:proofErr w:type="gramEnd"/>
    </w:p>
    <w:p w14:paraId="75650AC4" w14:textId="77777777" w:rsidR="00230B9A" w:rsidRPr="00120B2C" w:rsidRDefault="00230B9A" w:rsidP="00CD264D">
      <w:pPr>
        <w:pStyle w:val="Bulletlevel1"/>
        <w:rPr>
          <w:b/>
        </w:rPr>
      </w:pPr>
      <w:r w:rsidRPr="00120B2C">
        <w:t>securing spectrum at desired frequencies in particular locations</w:t>
      </w:r>
    </w:p>
    <w:p w14:paraId="405AE588" w14:textId="77777777" w:rsidR="00230B9A" w:rsidRPr="00120B2C" w:rsidRDefault="00230B9A" w:rsidP="00CD264D">
      <w:pPr>
        <w:pStyle w:val="Bulletlevel1last"/>
        <w:rPr>
          <w:b/>
        </w:rPr>
      </w:pPr>
      <w:r w:rsidRPr="00120B2C">
        <w:t>access to a range of industrial-grade wireless equipment at suitable frequencies.</w:t>
      </w:r>
    </w:p>
    <w:p w14:paraId="7A2474A2" w14:textId="0D5F9789" w:rsidR="00230B9A" w:rsidRPr="00120B2C" w:rsidRDefault="00230B9A" w:rsidP="00CD264D">
      <w:pPr>
        <w:pStyle w:val="Paragraph"/>
        <w:rPr>
          <w:b/>
        </w:rPr>
      </w:pPr>
      <w:r w:rsidRPr="00120B2C">
        <w:t xml:space="preserve">The ACMA </w:t>
      </w:r>
      <w:r w:rsidR="00E46EA6">
        <w:t>has</w:t>
      </w:r>
      <w:r w:rsidRPr="00120B2C">
        <w:t xml:space="preserve"> spectrum releases </w:t>
      </w:r>
      <w:r>
        <w:t>in mid</w:t>
      </w:r>
      <w:r w:rsidR="00C73483">
        <w:t>-</w:t>
      </w:r>
      <w:r>
        <w:t>band spectrum (</w:t>
      </w:r>
      <w:r w:rsidRPr="00120B2C">
        <w:t>3.4</w:t>
      </w:r>
      <w:r w:rsidR="00C73483">
        <w:t>–</w:t>
      </w:r>
      <w:r>
        <w:t>4.0</w:t>
      </w:r>
      <w:r w:rsidRPr="00120B2C">
        <w:t xml:space="preserve"> GHz</w:t>
      </w:r>
      <w:r>
        <w:t xml:space="preserve">) </w:t>
      </w:r>
      <w:r w:rsidR="00E46EA6">
        <w:t xml:space="preserve">underway to make spectrum available </w:t>
      </w:r>
      <w:r>
        <w:t>across</w:t>
      </w:r>
      <w:r w:rsidRPr="00120B2C">
        <w:t xml:space="preserve"> metropolitan</w:t>
      </w:r>
      <w:r>
        <w:t>, regional and remote</w:t>
      </w:r>
      <w:r w:rsidRPr="00120B2C">
        <w:t xml:space="preserve"> areas</w:t>
      </w:r>
      <w:r>
        <w:t xml:space="preserve"> under both spectrum and apparatus licensing</w:t>
      </w:r>
      <w:r w:rsidRPr="00120B2C">
        <w:t>. This spectrum can be used for a wide range of uses</w:t>
      </w:r>
      <w:r w:rsidR="00C73483">
        <w:t>,</w:t>
      </w:r>
      <w:r w:rsidRPr="00120B2C">
        <w:t xml:space="preserve"> including for private wireless networks. The ACMA has already released millimetre wave spectrum (26</w:t>
      </w:r>
      <w:r>
        <w:t xml:space="preserve"> and 28</w:t>
      </w:r>
      <w:r w:rsidRPr="00120B2C">
        <w:t xml:space="preserve"> GHz) to support highly localised wireless broadband</w:t>
      </w:r>
      <w:r w:rsidR="00E46EA6">
        <w:t xml:space="preserve">, including private wireless network use </w:t>
      </w:r>
      <w:proofErr w:type="gramStart"/>
      <w:r w:rsidR="00E46EA6">
        <w:t>cases</w:t>
      </w:r>
      <w:proofErr w:type="gramEnd"/>
      <w:r w:rsidRPr="00120B2C">
        <w:t xml:space="preserve"> </w:t>
      </w:r>
    </w:p>
    <w:p w14:paraId="639B7012" w14:textId="77777777" w:rsidR="00230B9A" w:rsidRPr="00120B2C" w:rsidRDefault="00230B9A" w:rsidP="00CD264D">
      <w:pPr>
        <w:pStyle w:val="Paragraph"/>
        <w:rPr>
          <w:b/>
        </w:rPr>
      </w:pPr>
      <w:r w:rsidRPr="00120B2C">
        <w:t xml:space="preserve">The opportunity to build private networks directly for businesses is attracting equipment manufacturers and system integrators to this new market. </w:t>
      </w:r>
    </w:p>
    <w:p w14:paraId="5D27613E" w14:textId="77777777" w:rsidR="00230B9A" w:rsidRPr="00857997" w:rsidRDefault="00230B9A" w:rsidP="00CD264D">
      <w:pPr>
        <w:pStyle w:val="Paragraph"/>
      </w:pPr>
      <w:r>
        <w:t>P</w:t>
      </w:r>
      <w:r w:rsidRPr="002B7A8F">
        <w:t xml:space="preserve">rivate wireless networks </w:t>
      </w:r>
      <w:r>
        <w:t xml:space="preserve">present </w:t>
      </w:r>
      <w:r w:rsidRPr="002B7A8F">
        <w:t xml:space="preserve">new challenges and opportunities </w:t>
      </w:r>
      <w:r>
        <w:t xml:space="preserve">for </w:t>
      </w:r>
      <w:r w:rsidRPr="002B7A8F">
        <w:t xml:space="preserve">enterprises. </w:t>
      </w:r>
      <w:r>
        <w:t xml:space="preserve">The ACMA will continue to monitor developments including as they relate to demand for spectrum. </w:t>
      </w:r>
    </w:p>
    <w:p w14:paraId="4ACA6748" w14:textId="4C67905E" w:rsidR="00230B9A" w:rsidRDefault="00230B9A" w:rsidP="00230B9A">
      <w:pPr>
        <w:pStyle w:val="Heading1"/>
      </w:pPr>
      <w:bookmarkStart w:id="63" w:name="_Appendix_A_–Glossary"/>
      <w:bookmarkStart w:id="64" w:name="_Toc139373167"/>
      <w:bookmarkStart w:id="65" w:name="_Toc146023004"/>
      <w:bookmarkEnd w:id="63"/>
      <w:r>
        <w:t>Appendix A –</w:t>
      </w:r>
      <w:r w:rsidR="00F80946">
        <w:t xml:space="preserve"> </w:t>
      </w:r>
      <w:r>
        <w:t>Glossary</w:t>
      </w:r>
      <w:bookmarkEnd w:id="64"/>
      <w:bookmarkEnd w:id="65"/>
    </w:p>
    <w:p w14:paraId="51E9143D" w14:textId="77777777" w:rsidR="00230B9A" w:rsidRDefault="00230B9A" w:rsidP="00CD264D">
      <w:pPr>
        <w:pStyle w:val="Tableheading"/>
      </w:pPr>
      <w:r>
        <w:t>Glossary</w:t>
      </w:r>
    </w:p>
    <w:tbl>
      <w:tblPr>
        <w:tblStyle w:val="ACMAtablestyle"/>
        <w:tblW w:w="5000" w:type="pct"/>
        <w:tblLook w:val="04A0" w:firstRow="1" w:lastRow="0" w:firstColumn="1" w:lastColumn="0" w:noHBand="0" w:noVBand="1"/>
      </w:tblPr>
      <w:tblGrid>
        <w:gridCol w:w="1839"/>
        <w:gridCol w:w="5822"/>
      </w:tblGrid>
      <w:tr w:rsidR="00230B9A" w14:paraId="3A7CACDA" w14:textId="77777777" w:rsidTr="00C34FB2">
        <w:trPr>
          <w:cnfStyle w:val="100000000000" w:firstRow="1" w:lastRow="0" w:firstColumn="0" w:lastColumn="0" w:oddVBand="0" w:evenVBand="0" w:oddHBand="0" w:evenHBand="0" w:firstRowFirstColumn="0" w:firstRowLastColumn="0" w:lastRowFirstColumn="0" w:lastRowLastColumn="0"/>
        </w:trPr>
        <w:tc>
          <w:tcPr>
            <w:tcW w:w="1200" w:type="pct"/>
          </w:tcPr>
          <w:p w14:paraId="75BA5541" w14:textId="77777777" w:rsidR="00230B9A" w:rsidRDefault="00230B9A" w:rsidP="00983187">
            <w:pPr>
              <w:pStyle w:val="TableHeading0"/>
            </w:pPr>
            <w:r>
              <w:t>Acronym</w:t>
            </w:r>
          </w:p>
        </w:tc>
        <w:tc>
          <w:tcPr>
            <w:tcW w:w="3800" w:type="pct"/>
          </w:tcPr>
          <w:p w14:paraId="08658A70" w14:textId="77777777" w:rsidR="00230B9A" w:rsidRDefault="00230B9A" w:rsidP="00983187">
            <w:pPr>
              <w:pStyle w:val="TableHeading0"/>
            </w:pPr>
            <w:r>
              <w:t>Meaning</w:t>
            </w:r>
          </w:p>
        </w:tc>
      </w:tr>
      <w:tr w:rsidR="00230B9A" w14:paraId="31388A2A" w14:textId="77777777" w:rsidTr="00C34FB2">
        <w:trPr>
          <w:cnfStyle w:val="000000100000" w:firstRow="0" w:lastRow="0" w:firstColumn="0" w:lastColumn="0" w:oddVBand="0" w:evenVBand="0" w:oddHBand="1" w:evenHBand="0" w:firstRowFirstColumn="0" w:firstRowLastColumn="0" w:lastRowFirstColumn="0" w:lastRowLastColumn="0"/>
        </w:trPr>
        <w:tc>
          <w:tcPr>
            <w:tcW w:w="1200" w:type="pct"/>
          </w:tcPr>
          <w:p w14:paraId="5BFFE995" w14:textId="77777777" w:rsidR="00230B9A" w:rsidRDefault="00230B9A" w:rsidP="00C34FB2">
            <w:pPr>
              <w:spacing w:after="0"/>
            </w:pPr>
            <w:r>
              <w:t>3G</w:t>
            </w:r>
          </w:p>
        </w:tc>
        <w:tc>
          <w:tcPr>
            <w:tcW w:w="3800" w:type="pct"/>
          </w:tcPr>
          <w:p w14:paraId="03B0D06D" w14:textId="77777777" w:rsidR="00230B9A" w:rsidRDefault="00230B9A" w:rsidP="00C34FB2">
            <w:pPr>
              <w:spacing w:after="0"/>
            </w:pPr>
            <w:r>
              <w:t>Third generation of mobile technology enabling mobile broadband, available in Australia since 2006</w:t>
            </w:r>
          </w:p>
        </w:tc>
      </w:tr>
      <w:tr w:rsidR="00230B9A" w14:paraId="0235B8A0" w14:textId="77777777" w:rsidTr="00C34FB2">
        <w:trPr>
          <w:cnfStyle w:val="000000010000" w:firstRow="0" w:lastRow="0" w:firstColumn="0" w:lastColumn="0" w:oddVBand="0" w:evenVBand="0" w:oddHBand="0" w:evenHBand="1" w:firstRowFirstColumn="0" w:firstRowLastColumn="0" w:lastRowFirstColumn="0" w:lastRowLastColumn="0"/>
        </w:trPr>
        <w:tc>
          <w:tcPr>
            <w:tcW w:w="1200" w:type="pct"/>
          </w:tcPr>
          <w:p w14:paraId="6119394F" w14:textId="77777777" w:rsidR="00230B9A" w:rsidRDefault="00230B9A" w:rsidP="00C34FB2">
            <w:pPr>
              <w:spacing w:after="0"/>
            </w:pPr>
            <w:r>
              <w:t>4G</w:t>
            </w:r>
          </w:p>
        </w:tc>
        <w:tc>
          <w:tcPr>
            <w:tcW w:w="3800" w:type="pct"/>
          </w:tcPr>
          <w:p w14:paraId="1FB8738D" w14:textId="77777777" w:rsidR="00230B9A" w:rsidRDefault="00230B9A" w:rsidP="00C34FB2">
            <w:pPr>
              <w:spacing w:after="0"/>
            </w:pPr>
            <w:r>
              <w:t>Fourth generation of mobile technology, available in Australia since 2011</w:t>
            </w:r>
          </w:p>
        </w:tc>
      </w:tr>
      <w:tr w:rsidR="00230B9A" w14:paraId="7477235D" w14:textId="77777777" w:rsidTr="00C34FB2">
        <w:trPr>
          <w:cnfStyle w:val="000000100000" w:firstRow="0" w:lastRow="0" w:firstColumn="0" w:lastColumn="0" w:oddVBand="0" w:evenVBand="0" w:oddHBand="1" w:evenHBand="0" w:firstRowFirstColumn="0" w:firstRowLastColumn="0" w:lastRowFirstColumn="0" w:lastRowLastColumn="0"/>
        </w:trPr>
        <w:tc>
          <w:tcPr>
            <w:tcW w:w="1200" w:type="pct"/>
          </w:tcPr>
          <w:p w14:paraId="61F881C7" w14:textId="77777777" w:rsidR="00230B9A" w:rsidRDefault="00230B9A" w:rsidP="00C34FB2">
            <w:pPr>
              <w:spacing w:after="0"/>
            </w:pPr>
            <w:r>
              <w:t>5G</w:t>
            </w:r>
          </w:p>
        </w:tc>
        <w:tc>
          <w:tcPr>
            <w:tcW w:w="3800" w:type="pct"/>
          </w:tcPr>
          <w:p w14:paraId="15979D38" w14:textId="77777777" w:rsidR="00230B9A" w:rsidRDefault="00230B9A" w:rsidP="00C34FB2">
            <w:pPr>
              <w:spacing w:after="0"/>
            </w:pPr>
            <w:r>
              <w:t>Fifth generation of mobile technology, available in Australia since 2020</w:t>
            </w:r>
          </w:p>
        </w:tc>
      </w:tr>
      <w:tr w:rsidR="00016F03" w14:paraId="4DDF0016" w14:textId="77777777" w:rsidTr="00C34FB2">
        <w:trPr>
          <w:cnfStyle w:val="000000010000" w:firstRow="0" w:lastRow="0" w:firstColumn="0" w:lastColumn="0" w:oddVBand="0" w:evenVBand="0" w:oddHBand="0" w:evenHBand="1" w:firstRowFirstColumn="0" w:firstRowLastColumn="0" w:lastRowFirstColumn="0" w:lastRowLastColumn="0"/>
        </w:trPr>
        <w:tc>
          <w:tcPr>
            <w:tcW w:w="1200" w:type="pct"/>
          </w:tcPr>
          <w:p w14:paraId="2D687C77" w14:textId="62D3C507" w:rsidR="00016F03" w:rsidRDefault="00016F03" w:rsidP="00C34FB2">
            <w:pPr>
              <w:spacing w:after="0"/>
            </w:pPr>
            <w:r>
              <w:t>Backhaul</w:t>
            </w:r>
          </w:p>
        </w:tc>
        <w:tc>
          <w:tcPr>
            <w:tcW w:w="3800" w:type="pct"/>
          </w:tcPr>
          <w:p w14:paraId="1C7BA112" w14:textId="1B672488" w:rsidR="00016F03" w:rsidRDefault="00542A10" w:rsidP="00C34FB2">
            <w:pPr>
              <w:spacing w:after="0"/>
            </w:pPr>
            <w:r>
              <w:t xml:space="preserve">Transmission services </w:t>
            </w:r>
            <w:r w:rsidR="0082776D">
              <w:t xml:space="preserve">carrying data between 2 locations. Usually </w:t>
            </w:r>
            <w:r w:rsidR="00F8204C">
              <w:t xml:space="preserve">a </w:t>
            </w:r>
            <w:r w:rsidR="0082776D">
              <w:t>high</w:t>
            </w:r>
            <w:r w:rsidR="00F8204C">
              <w:t>-</w:t>
            </w:r>
            <w:r w:rsidR="0082776D">
              <w:t>capacity, high</w:t>
            </w:r>
            <w:r w:rsidR="00F8204C">
              <w:t>-</w:t>
            </w:r>
            <w:r w:rsidR="0082776D">
              <w:t xml:space="preserve">speed link carrying voice, data, video and other content. Often using fibre optic cable, but also microwave </w:t>
            </w:r>
            <w:r w:rsidR="005B6BBC">
              <w:t xml:space="preserve">and satellite links. </w:t>
            </w:r>
          </w:p>
        </w:tc>
      </w:tr>
      <w:tr w:rsidR="00016F03" w14:paraId="178A8F09" w14:textId="77777777" w:rsidTr="00C34FB2">
        <w:trPr>
          <w:cnfStyle w:val="000000100000" w:firstRow="0" w:lastRow="0" w:firstColumn="0" w:lastColumn="0" w:oddVBand="0" w:evenVBand="0" w:oddHBand="1" w:evenHBand="0" w:firstRowFirstColumn="0" w:firstRowLastColumn="0" w:lastRowFirstColumn="0" w:lastRowLastColumn="0"/>
        </w:trPr>
        <w:tc>
          <w:tcPr>
            <w:tcW w:w="1200" w:type="pct"/>
          </w:tcPr>
          <w:p w14:paraId="61934782" w14:textId="66F4FAA6" w:rsidR="00016F03" w:rsidRPr="00E9040C" w:rsidRDefault="00016F03" w:rsidP="00C34FB2">
            <w:pPr>
              <w:spacing w:after="0"/>
            </w:pPr>
            <w:r>
              <w:t>Downlink</w:t>
            </w:r>
          </w:p>
        </w:tc>
        <w:tc>
          <w:tcPr>
            <w:tcW w:w="3800" w:type="pct"/>
          </w:tcPr>
          <w:p w14:paraId="6A2B3B30" w14:textId="6E7E50F5" w:rsidR="00016F03" w:rsidRPr="00E9040C" w:rsidRDefault="00984786" w:rsidP="00C34FB2">
            <w:pPr>
              <w:spacing w:after="0"/>
            </w:pPr>
            <w:r>
              <w:t xml:space="preserve">Data </w:t>
            </w:r>
            <w:r w:rsidR="004A5C76">
              <w:t>travelling to a device</w:t>
            </w:r>
            <w:r w:rsidR="00C53102">
              <w:t xml:space="preserve"> from a network </w:t>
            </w:r>
            <w:r w:rsidR="004A5C76">
              <w:t xml:space="preserve"> </w:t>
            </w:r>
            <w:r>
              <w:t xml:space="preserve"> </w:t>
            </w:r>
          </w:p>
        </w:tc>
      </w:tr>
      <w:tr w:rsidR="00230B9A" w14:paraId="035D969A" w14:textId="77777777" w:rsidTr="00C34FB2">
        <w:trPr>
          <w:cnfStyle w:val="000000010000" w:firstRow="0" w:lastRow="0" w:firstColumn="0" w:lastColumn="0" w:oddVBand="0" w:evenVBand="0" w:oddHBand="0" w:evenHBand="1" w:firstRowFirstColumn="0" w:firstRowLastColumn="0" w:lastRowFirstColumn="0" w:lastRowLastColumn="0"/>
        </w:trPr>
        <w:tc>
          <w:tcPr>
            <w:tcW w:w="1200" w:type="pct"/>
          </w:tcPr>
          <w:p w14:paraId="1994A591" w14:textId="77777777" w:rsidR="00230B9A" w:rsidRDefault="00230B9A" w:rsidP="00C34FB2">
            <w:pPr>
              <w:spacing w:after="0"/>
            </w:pPr>
            <w:proofErr w:type="spellStart"/>
            <w:r w:rsidRPr="00E9040C">
              <w:t>GAMBoD</w:t>
            </w:r>
            <w:proofErr w:type="spellEnd"/>
          </w:p>
        </w:tc>
        <w:tc>
          <w:tcPr>
            <w:tcW w:w="3800" w:type="pct"/>
          </w:tcPr>
          <w:p w14:paraId="76A06C09" w14:textId="77777777" w:rsidR="00230B9A" w:rsidRDefault="00230B9A" w:rsidP="00C34FB2">
            <w:pPr>
              <w:spacing w:after="0"/>
            </w:pPr>
            <w:r w:rsidRPr="00E9040C">
              <w:t>GSA analyser for Mobile Broadband Devices (proprietary analysis tool)</w:t>
            </w:r>
          </w:p>
        </w:tc>
      </w:tr>
      <w:tr w:rsidR="00230B9A" w14:paraId="708835C9" w14:textId="77777777" w:rsidTr="00C34FB2">
        <w:trPr>
          <w:cnfStyle w:val="000000100000" w:firstRow="0" w:lastRow="0" w:firstColumn="0" w:lastColumn="0" w:oddVBand="0" w:evenVBand="0" w:oddHBand="1" w:evenHBand="0" w:firstRowFirstColumn="0" w:firstRowLastColumn="0" w:lastRowFirstColumn="0" w:lastRowLastColumn="0"/>
        </w:trPr>
        <w:tc>
          <w:tcPr>
            <w:tcW w:w="1200" w:type="pct"/>
          </w:tcPr>
          <w:p w14:paraId="386732D7" w14:textId="77777777" w:rsidR="00230B9A" w:rsidRDefault="00230B9A" w:rsidP="00C34FB2">
            <w:pPr>
              <w:spacing w:after="0"/>
            </w:pPr>
            <w:r>
              <w:t>LTE</w:t>
            </w:r>
          </w:p>
        </w:tc>
        <w:tc>
          <w:tcPr>
            <w:tcW w:w="3800" w:type="pct"/>
          </w:tcPr>
          <w:p w14:paraId="6A1631FA" w14:textId="03343748" w:rsidR="00230B9A" w:rsidRDefault="00230B9A" w:rsidP="00C34FB2">
            <w:pPr>
              <w:spacing w:after="0"/>
            </w:pPr>
            <w:r>
              <w:t>Long-</w:t>
            </w:r>
            <w:r w:rsidR="00983187">
              <w:t>t</w:t>
            </w:r>
            <w:r>
              <w:t xml:space="preserve">erm </w:t>
            </w:r>
            <w:r w:rsidR="00983187">
              <w:t>e</w:t>
            </w:r>
            <w:r>
              <w:t xml:space="preserve">volution (mobile networking technology) </w:t>
            </w:r>
          </w:p>
        </w:tc>
      </w:tr>
      <w:tr w:rsidR="00230B9A" w14:paraId="6449B931" w14:textId="77777777" w:rsidTr="00C34FB2">
        <w:trPr>
          <w:cnfStyle w:val="000000010000" w:firstRow="0" w:lastRow="0" w:firstColumn="0" w:lastColumn="0" w:oddVBand="0" w:evenVBand="0" w:oddHBand="0" w:evenHBand="1" w:firstRowFirstColumn="0" w:firstRowLastColumn="0" w:lastRowFirstColumn="0" w:lastRowLastColumn="0"/>
        </w:trPr>
        <w:tc>
          <w:tcPr>
            <w:tcW w:w="1200" w:type="pct"/>
          </w:tcPr>
          <w:p w14:paraId="3484446D" w14:textId="77777777" w:rsidR="00230B9A" w:rsidRDefault="00230B9A" w:rsidP="00C34FB2">
            <w:pPr>
              <w:spacing w:after="0"/>
            </w:pPr>
            <w:r w:rsidRPr="00E9040C">
              <w:t>ORAN</w:t>
            </w:r>
          </w:p>
        </w:tc>
        <w:tc>
          <w:tcPr>
            <w:tcW w:w="3800" w:type="pct"/>
          </w:tcPr>
          <w:p w14:paraId="5141CC5C" w14:textId="7D6B439A" w:rsidR="00230B9A" w:rsidRDefault="00230B9A" w:rsidP="00C34FB2">
            <w:pPr>
              <w:spacing w:after="0"/>
            </w:pPr>
            <w:r w:rsidRPr="00E9040C">
              <w:t>Open Radio Access Network (vendor diversity)</w:t>
            </w:r>
            <w:r w:rsidR="006B3CC1" w:rsidRPr="00E9040C" w:rsidDel="006B3CC1">
              <w:rPr>
                <w:rStyle w:val="FootnoteReference"/>
              </w:rPr>
              <w:t xml:space="preserve"> </w:t>
            </w:r>
          </w:p>
        </w:tc>
      </w:tr>
      <w:tr w:rsidR="003D1028" w14:paraId="56ADE083" w14:textId="77777777" w:rsidTr="00C34FB2">
        <w:trPr>
          <w:cnfStyle w:val="000000100000" w:firstRow="0" w:lastRow="0" w:firstColumn="0" w:lastColumn="0" w:oddVBand="0" w:evenVBand="0" w:oddHBand="1" w:evenHBand="0" w:firstRowFirstColumn="0" w:firstRowLastColumn="0" w:lastRowFirstColumn="0" w:lastRowLastColumn="0"/>
        </w:trPr>
        <w:tc>
          <w:tcPr>
            <w:tcW w:w="1200" w:type="pct"/>
          </w:tcPr>
          <w:p w14:paraId="62B58643" w14:textId="160AA3FC" w:rsidR="003D1028" w:rsidRDefault="003D1028" w:rsidP="00C34FB2">
            <w:pPr>
              <w:spacing w:after="0"/>
            </w:pPr>
            <w:r>
              <w:t>Uplink</w:t>
            </w:r>
          </w:p>
        </w:tc>
        <w:tc>
          <w:tcPr>
            <w:tcW w:w="3800" w:type="pct"/>
          </w:tcPr>
          <w:p w14:paraId="68EC921A" w14:textId="63AC3534" w:rsidR="003D1028" w:rsidRDefault="004A5C76" w:rsidP="00C34FB2">
            <w:pPr>
              <w:spacing w:after="0"/>
            </w:pPr>
            <w:r>
              <w:t>Data travelling from a device</w:t>
            </w:r>
            <w:r w:rsidR="00C53102">
              <w:t xml:space="preserve"> to a network</w:t>
            </w:r>
            <w:r>
              <w:t xml:space="preserve"> </w:t>
            </w:r>
          </w:p>
        </w:tc>
      </w:tr>
      <w:tr w:rsidR="00230B9A" w14:paraId="261DEF7D" w14:textId="77777777" w:rsidTr="00C34FB2">
        <w:trPr>
          <w:cnfStyle w:val="000000010000" w:firstRow="0" w:lastRow="0" w:firstColumn="0" w:lastColumn="0" w:oddVBand="0" w:evenVBand="0" w:oddHBand="0" w:evenHBand="1" w:firstRowFirstColumn="0" w:firstRowLastColumn="0" w:lastRowFirstColumn="0" w:lastRowLastColumn="0"/>
        </w:trPr>
        <w:tc>
          <w:tcPr>
            <w:tcW w:w="1200" w:type="pct"/>
          </w:tcPr>
          <w:p w14:paraId="7B52697C" w14:textId="78AD2099" w:rsidR="00230B9A" w:rsidRDefault="00211E8A" w:rsidP="00E6125E">
            <w:pPr>
              <w:spacing w:after="0"/>
            </w:pPr>
            <w:r>
              <w:t>wi-fi</w:t>
            </w:r>
          </w:p>
        </w:tc>
        <w:tc>
          <w:tcPr>
            <w:tcW w:w="3800" w:type="pct"/>
          </w:tcPr>
          <w:p w14:paraId="23A5AE56" w14:textId="340A0979" w:rsidR="00230B9A" w:rsidRDefault="00983187" w:rsidP="00E6125E">
            <w:pPr>
              <w:spacing w:after="0"/>
            </w:pPr>
            <w:r>
              <w:t>W</w:t>
            </w:r>
            <w:r w:rsidR="00A22BED">
              <w:t>ireless fidelity – a type of radio communication that sends signals using radio waves from a router to nearby devices</w:t>
            </w:r>
            <w:r w:rsidR="00230B9A">
              <w:t xml:space="preserve"> </w:t>
            </w:r>
          </w:p>
        </w:tc>
      </w:tr>
    </w:tbl>
    <w:p w14:paraId="65794482" w14:textId="77777777" w:rsidR="00230B9A" w:rsidRPr="00111BFD" w:rsidRDefault="00230B9A" w:rsidP="00230B9A"/>
    <w:p w14:paraId="78460E9B" w14:textId="77777777" w:rsidR="00230B9A" w:rsidRDefault="00230B9A" w:rsidP="00230B9A">
      <w:pPr>
        <w:pStyle w:val="Heading1"/>
      </w:pPr>
      <w:bookmarkStart w:id="66" w:name="_Appendix_B_–"/>
      <w:bookmarkStart w:id="67" w:name="_Toc139373168"/>
      <w:bookmarkStart w:id="68" w:name="_Toc146023005"/>
      <w:bookmarkEnd w:id="66"/>
      <w:r>
        <w:t>Appendix B – Interviews</w:t>
      </w:r>
      <w:bookmarkEnd w:id="67"/>
      <w:bookmarkEnd w:id="68"/>
    </w:p>
    <w:p w14:paraId="32AB5947" w14:textId="38C47A15" w:rsidR="00230B9A" w:rsidRDefault="00230B9A" w:rsidP="007629C0">
      <w:pPr>
        <w:pStyle w:val="Tableheading"/>
        <w:numPr>
          <w:ilvl w:val="0"/>
          <w:numId w:val="0"/>
        </w:numPr>
      </w:pPr>
      <w:r>
        <w:t>Interviewees and responde</w:t>
      </w:r>
      <w:r w:rsidR="00046663">
        <w:t>nts</w:t>
      </w:r>
    </w:p>
    <w:p w14:paraId="5C5C2F2A" w14:textId="0EB07F40" w:rsidR="001139F8" w:rsidRDefault="001139F8" w:rsidP="001139F8">
      <w:pPr>
        <w:pStyle w:val="ListBullet"/>
      </w:pPr>
      <w:r>
        <w:t>Brisbane City Council</w:t>
      </w:r>
    </w:p>
    <w:p w14:paraId="578A54F1" w14:textId="56B15FF8" w:rsidR="001139F8" w:rsidRDefault="001139F8" w:rsidP="001139F8">
      <w:pPr>
        <w:pStyle w:val="ListBullet"/>
      </w:pPr>
      <w:r>
        <w:t>Attorney General’s Department of South Australia – Public Safety Solutions section</w:t>
      </w:r>
    </w:p>
    <w:p w14:paraId="70E996F6" w14:textId="4E680E2B" w:rsidR="001139F8" w:rsidRDefault="001139F8" w:rsidP="001139F8">
      <w:pPr>
        <w:pStyle w:val="ListBullet"/>
      </w:pPr>
      <w:r>
        <w:t>BAI Communications Australia</w:t>
      </w:r>
    </w:p>
    <w:p w14:paraId="4C514D68" w14:textId="229C39EC" w:rsidR="001139F8" w:rsidRDefault="001139F8" w:rsidP="001139F8">
      <w:pPr>
        <w:pStyle w:val="ListBullet"/>
      </w:pPr>
      <w:r>
        <w:t>Nokia Australia</w:t>
      </w:r>
    </w:p>
    <w:p w14:paraId="66137A4D" w14:textId="27B21896" w:rsidR="001139F8" w:rsidRDefault="001139F8" w:rsidP="001139F8">
      <w:pPr>
        <w:pStyle w:val="ListBullet"/>
      </w:pPr>
      <w:proofErr w:type="spellStart"/>
      <w:r>
        <w:t>Aqura</w:t>
      </w:r>
      <w:proofErr w:type="spellEnd"/>
      <w:r>
        <w:t xml:space="preserve"> Technologies – private wireless network deployment specialist</w:t>
      </w:r>
    </w:p>
    <w:p w14:paraId="1447CEEA" w14:textId="3E9028A1" w:rsidR="001139F8" w:rsidRDefault="001139F8" w:rsidP="001139F8">
      <w:pPr>
        <w:pStyle w:val="ListBullet"/>
      </w:pPr>
      <w:r>
        <w:t>Public Transport Authority of Western Australia</w:t>
      </w:r>
    </w:p>
    <w:p w14:paraId="21D9B2EA" w14:textId="56CC3FAC" w:rsidR="001139F8" w:rsidRDefault="001139F8" w:rsidP="001139F8">
      <w:pPr>
        <w:pStyle w:val="ListBullet"/>
      </w:pPr>
      <w:r>
        <w:t>Mr Dan Beattie – Director of Tech Events</w:t>
      </w:r>
    </w:p>
    <w:p w14:paraId="37B16E8F" w14:textId="2884F903" w:rsidR="001139F8" w:rsidRDefault="001139F8" w:rsidP="001139F8">
      <w:pPr>
        <w:pStyle w:val="ListBullet"/>
      </w:pPr>
      <w:proofErr w:type="spellStart"/>
      <w:r>
        <w:t>ConnectedFarms</w:t>
      </w:r>
      <w:proofErr w:type="spellEnd"/>
    </w:p>
    <w:p w14:paraId="2CEB3C97" w14:textId="2905B61A" w:rsidR="001139F8" w:rsidRDefault="001139F8" w:rsidP="001139F8">
      <w:pPr>
        <w:pStyle w:val="ListBullet"/>
      </w:pPr>
      <w:r>
        <w:t>NTT Australia</w:t>
      </w:r>
    </w:p>
    <w:p w14:paraId="5780421F" w14:textId="23ABC7D5" w:rsidR="001139F8" w:rsidRDefault="001139F8" w:rsidP="001139F8">
      <w:pPr>
        <w:pStyle w:val="ListBullet"/>
      </w:pPr>
      <w:r>
        <w:t>Network and equipment specialist (requested anonymity)</w:t>
      </w:r>
    </w:p>
    <w:p w14:paraId="3418D7F5" w14:textId="3A2E7DAF" w:rsidR="001139F8" w:rsidRDefault="001139F8" w:rsidP="001139F8">
      <w:pPr>
        <w:pStyle w:val="ListBullet"/>
      </w:pPr>
      <w:r>
        <w:t>Queensland Rail</w:t>
      </w:r>
    </w:p>
    <w:p w14:paraId="3670A8F4" w14:textId="1503CD31" w:rsidR="00D1220D" w:rsidRDefault="003D40E4" w:rsidP="001139F8">
      <w:pPr>
        <w:pStyle w:val="ListBullet"/>
      </w:pPr>
      <w:r>
        <w:t>Challenge Networks</w:t>
      </w:r>
    </w:p>
    <w:p w14:paraId="32CA6F91" w14:textId="57D5BD27" w:rsidR="0010664B" w:rsidRPr="0036639A" w:rsidRDefault="00835477" w:rsidP="0036639A">
      <w:pPr>
        <w:pStyle w:val="Tableheading"/>
        <w:numPr>
          <w:ilvl w:val="0"/>
          <w:numId w:val="0"/>
        </w:numPr>
        <w:spacing w:after="240"/>
        <w:rPr>
          <w:b w:val="0"/>
          <w:bCs w:val="0"/>
          <w:i/>
          <w:iCs/>
          <w:sz w:val="16"/>
          <w:szCs w:val="16"/>
        </w:rPr>
      </w:pPr>
      <w:r w:rsidRPr="00B1580E">
        <w:rPr>
          <w:b w:val="0"/>
          <w:bCs w:val="0"/>
          <w:i/>
          <w:iCs/>
          <w:sz w:val="16"/>
          <w:szCs w:val="16"/>
        </w:rPr>
        <w:t xml:space="preserve">Note: </w:t>
      </w:r>
      <w:r w:rsidR="00B1580E" w:rsidRPr="00B1580E">
        <w:rPr>
          <w:b w:val="0"/>
          <w:bCs w:val="0"/>
          <w:i/>
          <w:iCs/>
          <w:sz w:val="16"/>
          <w:szCs w:val="16"/>
        </w:rPr>
        <w:t xml:space="preserve">Two other organisations were interviewed that did not want to be identified  </w:t>
      </w:r>
    </w:p>
    <w:p w14:paraId="08D94241" w14:textId="66D27474" w:rsidR="00230B9A" w:rsidRDefault="00230B9A" w:rsidP="007629C0">
      <w:pPr>
        <w:pStyle w:val="Tableheading"/>
        <w:numPr>
          <w:ilvl w:val="0"/>
          <w:numId w:val="0"/>
        </w:numPr>
      </w:pPr>
      <w:r>
        <w:t xml:space="preserve">Organisations </w:t>
      </w:r>
      <w:proofErr w:type="gramStart"/>
      <w:r>
        <w:t>contacted</w:t>
      </w:r>
      <w:proofErr w:type="gramEnd"/>
    </w:p>
    <w:p w14:paraId="32EB5433" w14:textId="2EC8D431" w:rsidR="0036639A" w:rsidRDefault="0036639A" w:rsidP="0036639A">
      <w:pPr>
        <w:pStyle w:val="ListBullet"/>
      </w:pPr>
      <w:r>
        <w:t>Australian Industry Group (AiG)</w:t>
      </w:r>
    </w:p>
    <w:p w14:paraId="090A09DD" w14:textId="1BF3D1C3" w:rsidR="0036639A" w:rsidRDefault="0036639A" w:rsidP="0036639A">
      <w:pPr>
        <w:pStyle w:val="ListBullet"/>
      </w:pPr>
      <w:r>
        <w:t>Australian Constructors Association (ACA)</w:t>
      </w:r>
    </w:p>
    <w:p w14:paraId="612914E3" w14:textId="183F85C3" w:rsidR="0036639A" w:rsidRDefault="0036639A" w:rsidP="0036639A">
      <w:pPr>
        <w:pStyle w:val="ListBullet"/>
      </w:pPr>
      <w:r>
        <w:t>Energy Network Australia (ENA)</w:t>
      </w:r>
    </w:p>
    <w:p w14:paraId="00132BC0" w14:textId="5B4CAB07" w:rsidR="0036639A" w:rsidRDefault="0036639A" w:rsidP="0036639A">
      <w:pPr>
        <w:pStyle w:val="ListBullet"/>
      </w:pPr>
      <w:r>
        <w:t>Australian Radio Communications Industry Association (ARCIA)</w:t>
      </w:r>
    </w:p>
    <w:p w14:paraId="7A820BB6" w14:textId="61F061E7" w:rsidR="0036639A" w:rsidRDefault="0036639A" w:rsidP="0036639A">
      <w:pPr>
        <w:pStyle w:val="ListBullet"/>
      </w:pPr>
      <w:r>
        <w:t>Sydney City Council</w:t>
      </w:r>
    </w:p>
    <w:p w14:paraId="6A083057" w14:textId="48171259" w:rsidR="0036639A" w:rsidRDefault="0036639A" w:rsidP="0036639A">
      <w:pPr>
        <w:pStyle w:val="ListBullet"/>
      </w:pPr>
      <w:r>
        <w:t>Brisbane City Council</w:t>
      </w:r>
    </w:p>
    <w:p w14:paraId="57335E62" w14:textId="68D8A7BD" w:rsidR="0036639A" w:rsidRDefault="0036639A" w:rsidP="0036639A">
      <w:pPr>
        <w:pStyle w:val="ListBullet"/>
      </w:pPr>
      <w:r>
        <w:t>Australian Logistics Council</w:t>
      </w:r>
    </w:p>
    <w:p w14:paraId="68B8BB34" w14:textId="76927DAF" w:rsidR="0036639A" w:rsidRDefault="0036639A" w:rsidP="0036639A">
      <w:pPr>
        <w:pStyle w:val="ListBullet"/>
      </w:pPr>
      <w:r>
        <w:t>Australasian Railway Association</w:t>
      </w:r>
    </w:p>
    <w:p w14:paraId="51676D0B" w14:textId="4A47DF68" w:rsidR="00230B9A" w:rsidRPr="000965AF" w:rsidRDefault="0036639A" w:rsidP="0036639A">
      <w:pPr>
        <w:pStyle w:val="ListBullet"/>
      </w:pPr>
      <w:r>
        <w:t>Water Services Association of Australia</w:t>
      </w:r>
    </w:p>
    <w:p w14:paraId="07CF1A43" w14:textId="77777777" w:rsidR="00230B9A" w:rsidRDefault="00230B9A" w:rsidP="00230B9A">
      <w:pPr>
        <w:pStyle w:val="Heading1"/>
      </w:pPr>
      <w:bookmarkStart w:id="69" w:name="_Appendix_C_–"/>
      <w:bookmarkStart w:id="70" w:name="_Toc139373169"/>
      <w:bookmarkStart w:id="71" w:name="_Toc146023006"/>
      <w:bookmarkEnd w:id="69"/>
      <w:r>
        <w:t>Appendix C – Technology performance comparison</w:t>
      </w:r>
      <w:bookmarkEnd w:id="70"/>
      <w:bookmarkEnd w:id="71"/>
    </w:p>
    <w:p w14:paraId="2F2F38F5" w14:textId="5F2B6F63" w:rsidR="00230B9A" w:rsidRDefault="00230B9A" w:rsidP="00CD264D">
      <w:pPr>
        <w:pStyle w:val="Tableheading"/>
      </w:pPr>
      <w:r>
        <w:t>Operation of existing wireless solutions compare</w:t>
      </w:r>
      <w:r w:rsidR="0038355D">
        <w:t>d</w:t>
      </w:r>
      <w:r>
        <w:t xml:space="preserve"> to private </w:t>
      </w:r>
      <w:proofErr w:type="gramStart"/>
      <w:r>
        <w:t>wireless</w:t>
      </w:r>
      <w:proofErr w:type="gramEnd"/>
      <w:r>
        <w:t xml:space="preserve"> </w:t>
      </w:r>
    </w:p>
    <w:tbl>
      <w:tblPr>
        <w:tblStyle w:val="ACMAtablestyle"/>
        <w:tblW w:w="7670" w:type="dxa"/>
        <w:tblLook w:val="04A0" w:firstRow="1" w:lastRow="0" w:firstColumn="1" w:lastColumn="0" w:noHBand="0" w:noVBand="1"/>
      </w:tblPr>
      <w:tblGrid>
        <w:gridCol w:w="2081"/>
        <w:gridCol w:w="5589"/>
      </w:tblGrid>
      <w:tr w:rsidR="00230B9A" w:rsidRPr="00E43581" w14:paraId="6715AB6B" w14:textId="77777777" w:rsidTr="00316C74">
        <w:trPr>
          <w:cnfStyle w:val="100000000000" w:firstRow="1" w:lastRow="0" w:firstColumn="0" w:lastColumn="0" w:oddVBand="0" w:evenVBand="0" w:oddHBand="0" w:evenHBand="0" w:firstRowFirstColumn="0" w:firstRowLastColumn="0" w:lastRowFirstColumn="0" w:lastRowLastColumn="0"/>
          <w:trHeight w:val="251"/>
        </w:trPr>
        <w:tc>
          <w:tcPr>
            <w:tcW w:w="2081" w:type="dxa"/>
          </w:tcPr>
          <w:p w14:paraId="41A8E6D2" w14:textId="77777777" w:rsidR="00230B9A" w:rsidRPr="00B55164" w:rsidRDefault="00230B9A" w:rsidP="00B55164">
            <w:pPr>
              <w:pStyle w:val="Paragraph"/>
              <w:spacing w:after="0"/>
              <w:rPr>
                <w:b/>
                <w:bCs/>
              </w:rPr>
            </w:pPr>
            <w:r w:rsidRPr="00B55164">
              <w:rPr>
                <w:b/>
                <w:bCs/>
              </w:rPr>
              <w:t>Existing solution</w:t>
            </w:r>
          </w:p>
        </w:tc>
        <w:tc>
          <w:tcPr>
            <w:tcW w:w="5589" w:type="dxa"/>
          </w:tcPr>
          <w:p w14:paraId="07ABDBA3" w14:textId="77777777" w:rsidR="00230B9A" w:rsidRPr="00B55164" w:rsidRDefault="00230B9A" w:rsidP="00B55164">
            <w:pPr>
              <w:pStyle w:val="Paragraph"/>
              <w:spacing w:after="0"/>
              <w:rPr>
                <w:b/>
                <w:bCs/>
              </w:rPr>
            </w:pPr>
            <w:r w:rsidRPr="00B55164">
              <w:rPr>
                <w:b/>
                <w:bCs/>
              </w:rPr>
              <w:t>Limitations</w:t>
            </w:r>
          </w:p>
        </w:tc>
      </w:tr>
      <w:tr w:rsidR="00230B9A" w:rsidRPr="00E43581" w14:paraId="75FEB233" w14:textId="77777777" w:rsidTr="00316C74">
        <w:trPr>
          <w:cnfStyle w:val="000000100000" w:firstRow="0" w:lastRow="0" w:firstColumn="0" w:lastColumn="0" w:oddVBand="0" w:evenVBand="0" w:oddHBand="1" w:evenHBand="0" w:firstRowFirstColumn="0" w:firstRowLastColumn="0" w:lastRowFirstColumn="0" w:lastRowLastColumn="0"/>
          <w:trHeight w:val="915"/>
        </w:trPr>
        <w:tc>
          <w:tcPr>
            <w:tcW w:w="2081" w:type="dxa"/>
          </w:tcPr>
          <w:p w14:paraId="455E1258" w14:textId="77777777" w:rsidR="00230B9A" w:rsidRPr="00775829" w:rsidRDefault="00230B9A" w:rsidP="00316C74">
            <w:pPr>
              <w:keepNext/>
              <w:spacing w:after="120"/>
              <w:rPr>
                <w:rFonts w:cs="Arial"/>
              </w:rPr>
            </w:pPr>
            <w:r w:rsidRPr="00775829">
              <w:rPr>
                <w:rFonts w:cs="Arial"/>
              </w:rPr>
              <w:t>WLAN</w:t>
            </w:r>
          </w:p>
        </w:tc>
        <w:tc>
          <w:tcPr>
            <w:tcW w:w="5589" w:type="dxa"/>
          </w:tcPr>
          <w:p w14:paraId="44F29814" w14:textId="77777777" w:rsidR="00230B9A" w:rsidRPr="00775829" w:rsidRDefault="00230B9A" w:rsidP="00316C74">
            <w:pPr>
              <w:keepNext/>
              <w:spacing w:after="120"/>
              <w:rPr>
                <w:rFonts w:cs="Arial"/>
              </w:rPr>
            </w:pPr>
            <w:r>
              <w:rPr>
                <w:rFonts w:cs="Arial"/>
              </w:rPr>
              <w:t xml:space="preserve">Proprietary standard </w:t>
            </w:r>
            <w:r w:rsidRPr="00775829">
              <w:rPr>
                <w:rFonts w:cs="Arial"/>
              </w:rPr>
              <w:t xml:space="preserve">WLAN is not suitable for mobile scenarios such as driverless transportation systems used in logistics. </w:t>
            </w:r>
          </w:p>
          <w:p w14:paraId="29C11680" w14:textId="77777777" w:rsidR="00230B9A" w:rsidRPr="00775829" w:rsidRDefault="00230B9A" w:rsidP="00316C74">
            <w:pPr>
              <w:keepNext/>
              <w:spacing w:after="120"/>
              <w:rPr>
                <w:rFonts w:cs="Arial"/>
              </w:rPr>
            </w:pPr>
            <w:r w:rsidRPr="00775829">
              <w:rPr>
                <w:rFonts w:cs="Arial"/>
              </w:rPr>
              <w:t>OSRAM and Deutsche Telekom are jointly testing the use of robots that move autonomously on the company premises – that is not under remote control. These autonomous vehicles require seamless </w:t>
            </w:r>
            <w:hyperlink r:id="rId34" w:anchor="glossar383686" w:history="1">
              <w:r w:rsidRPr="00775829">
                <w:rPr>
                  <w:rFonts w:cs="Arial"/>
                </w:rPr>
                <w:t>radio cells</w:t>
              </w:r>
            </w:hyperlink>
            <w:r w:rsidRPr="00775829">
              <w:rPr>
                <w:rFonts w:cs="Arial"/>
              </w:rPr>
              <w:t>. If WLAN were used, when these robots changed cells, they would have to stop and establish a connection with the new cell before they could continue.</w:t>
            </w:r>
          </w:p>
          <w:p w14:paraId="6F89012B" w14:textId="1971083A" w:rsidR="00230B9A" w:rsidRPr="00775829" w:rsidRDefault="00230B9A" w:rsidP="00B55164">
            <w:pPr>
              <w:keepNext/>
              <w:spacing w:after="0"/>
              <w:rPr>
                <w:rFonts w:cs="Arial"/>
              </w:rPr>
            </w:pPr>
            <w:r w:rsidRPr="00775829">
              <w:rPr>
                <w:rFonts w:cs="Arial"/>
              </w:rPr>
              <w:t>Not compatible with public mobile networks</w:t>
            </w:r>
            <w:r w:rsidR="0059731E">
              <w:rPr>
                <w:rFonts w:cs="Arial"/>
              </w:rPr>
              <w:t>.</w:t>
            </w:r>
          </w:p>
        </w:tc>
      </w:tr>
      <w:tr w:rsidR="00230B9A" w:rsidRPr="00E43581" w14:paraId="20413C27" w14:textId="77777777" w:rsidTr="00316C74">
        <w:trPr>
          <w:cnfStyle w:val="000000010000" w:firstRow="0" w:lastRow="0" w:firstColumn="0" w:lastColumn="0" w:oddVBand="0" w:evenVBand="0" w:oddHBand="0" w:evenHBand="1" w:firstRowFirstColumn="0" w:firstRowLastColumn="0" w:lastRowFirstColumn="0" w:lastRowLastColumn="0"/>
          <w:trHeight w:val="1333"/>
        </w:trPr>
        <w:tc>
          <w:tcPr>
            <w:tcW w:w="2081" w:type="dxa"/>
          </w:tcPr>
          <w:p w14:paraId="470737CD" w14:textId="68CAE65D" w:rsidR="00230B9A" w:rsidRDefault="00230B9A" w:rsidP="00B55164">
            <w:pPr>
              <w:spacing w:after="0"/>
              <w:rPr>
                <w:rFonts w:cs="Arial"/>
              </w:rPr>
            </w:pPr>
            <w:r w:rsidRPr="00775829">
              <w:rPr>
                <w:rFonts w:cs="Arial"/>
              </w:rPr>
              <w:t>Wi</w:t>
            </w:r>
            <w:r w:rsidR="00CB31DA">
              <w:rPr>
                <w:rFonts w:cs="Arial"/>
              </w:rPr>
              <w:t>-f</w:t>
            </w:r>
            <w:r w:rsidRPr="00775829">
              <w:rPr>
                <w:rFonts w:cs="Arial"/>
              </w:rPr>
              <w:t>i</w:t>
            </w:r>
          </w:p>
          <w:p w14:paraId="7AF49540" w14:textId="77777777" w:rsidR="00230B9A" w:rsidRPr="00775829" w:rsidRDefault="00230B9A" w:rsidP="00316C74">
            <w:pPr>
              <w:spacing w:after="120"/>
              <w:rPr>
                <w:rFonts w:cs="Arial"/>
              </w:rPr>
            </w:pPr>
            <w:r>
              <w:rPr>
                <w:rFonts w:cs="Arial"/>
              </w:rPr>
              <w:t>(</w:t>
            </w:r>
            <w:proofErr w:type="gramStart"/>
            <w:r>
              <w:rPr>
                <w:rFonts w:cs="Arial"/>
              </w:rPr>
              <w:t>type</w:t>
            </w:r>
            <w:proofErr w:type="gramEnd"/>
            <w:r>
              <w:rPr>
                <w:rFonts w:cs="Arial"/>
              </w:rPr>
              <w:t xml:space="preserve"> of WLAN)</w:t>
            </w:r>
          </w:p>
        </w:tc>
        <w:tc>
          <w:tcPr>
            <w:tcW w:w="5589" w:type="dxa"/>
          </w:tcPr>
          <w:p w14:paraId="140EBA07" w14:textId="77777777" w:rsidR="00230B9A" w:rsidRPr="00775829" w:rsidRDefault="00230B9A" w:rsidP="00316C74">
            <w:pPr>
              <w:spacing w:after="120"/>
              <w:rPr>
                <w:rFonts w:cs="Arial"/>
              </w:rPr>
            </w:pPr>
            <w:r w:rsidRPr="00775829">
              <w:rPr>
                <w:rFonts w:cs="Arial"/>
              </w:rPr>
              <w:t xml:space="preserve">Poor signal penetration underground or through buildings or over large areas. Expensive to administer. Data not automatically encrypted. </w:t>
            </w:r>
          </w:p>
          <w:p w14:paraId="1403691A" w14:textId="48596FE5" w:rsidR="00230B9A" w:rsidRPr="00775829" w:rsidRDefault="00230B9A" w:rsidP="00316C74">
            <w:pPr>
              <w:spacing w:after="120"/>
              <w:rPr>
                <w:rFonts w:cs="Arial"/>
              </w:rPr>
            </w:pPr>
            <w:r w:rsidRPr="00775829">
              <w:rPr>
                <w:rFonts w:cs="Arial"/>
              </w:rPr>
              <w:t xml:space="preserve">Harder for automated equipment to switch from </w:t>
            </w:r>
            <w:r w:rsidR="00CB31DA">
              <w:rPr>
                <w:rFonts w:cs="Arial"/>
              </w:rPr>
              <w:t>wi-fi</w:t>
            </w:r>
            <w:r w:rsidRPr="00775829">
              <w:rPr>
                <w:rFonts w:cs="Arial"/>
              </w:rPr>
              <w:t xml:space="preserve"> to public mobile, than from private to public mobile. </w:t>
            </w:r>
          </w:p>
          <w:p w14:paraId="61E3B3A7" w14:textId="77777777" w:rsidR="00230B9A" w:rsidRPr="00775829" w:rsidRDefault="00230B9A" w:rsidP="00316C74">
            <w:pPr>
              <w:spacing w:after="120"/>
              <w:rPr>
                <w:rFonts w:cs="Arial"/>
              </w:rPr>
            </w:pPr>
            <w:r w:rsidRPr="00775829">
              <w:rPr>
                <w:rFonts w:cs="Arial"/>
              </w:rPr>
              <w:t xml:space="preserve">Cannot prioritise users. This means mission critical equipment may lose signal if less important users/devices drain the network. </w:t>
            </w:r>
          </w:p>
          <w:p w14:paraId="77700A1F" w14:textId="77777777" w:rsidR="00230B9A" w:rsidRPr="00775829" w:rsidRDefault="00230B9A" w:rsidP="00B55164">
            <w:pPr>
              <w:spacing w:after="0"/>
              <w:rPr>
                <w:rFonts w:cs="Arial"/>
                <w:color w:val="383838"/>
                <w:shd w:val="clear" w:color="auto" w:fill="FFFFFF"/>
              </w:rPr>
            </w:pPr>
            <w:r w:rsidRPr="00775829">
              <w:rPr>
                <w:rFonts w:cs="Arial"/>
              </w:rPr>
              <w:t xml:space="preserve">Cannot carry the same volume of connected devices at low latencies as </w:t>
            </w:r>
            <w:r>
              <w:rPr>
                <w:rFonts w:cs="Arial"/>
              </w:rPr>
              <w:t>long-term evolution</w:t>
            </w:r>
            <w:r w:rsidRPr="00775829">
              <w:rPr>
                <w:rFonts w:cs="Arial"/>
              </w:rPr>
              <w:t xml:space="preserve"> or 5G. </w:t>
            </w:r>
          </w:p>
        </w:tc>
      </w:tr>
      <w:tr w:rsidR="00230B9A" w:rsidRPr="00E43581" w14:paraId="43498399" w14:textId="77777777" w:rsidTr="00316C74">
        <w:trPr>
          <w:cnfStyle w:val="000000100000" w:firstRow="0" w:lastRow="0" w:firstColumn="0" w:lastColumn="0" w:oddVBand="0" w:evenVBand="0" w:oddHBand="1" w:evenHBand="0" w:firstRowFirstColumn="0" w:firstRowLastColumn="0" w:lastRowFirstColumn="0" w:lastRowLastColumn="0"/>
          <w:trHeight w:val="1333"/>
        </w:trPr>
        <w:tc>
          <w:tcPr>
            <w:tcW w:w="2081" w:type="dxa"/>
          </w:tcPr>
          <w:p w14:paraId="01AD656F" w14:textId="77777777" w:rsidR="00230B9A" w:rsidRPr="00775829" w:rsidRDefault="00230B9A" w:rsidP="00316C74">
            <w:pPr>
              <w:spacing w:after="120"/>
              <w:rPr>
                <w:rFonts w:cs="Arial"/>
              </w:rPr>
            </w:pPr>
            <w:r w:rsidRPr="00775829">
              <w:rPr>
                <w:rFonts w:cs="Arial"/>
              </w:rPr>
              <w:t>Public 4G LTE</w:t>
            </w:r>
          </w:p>
        </w:tc>
        <w:tc>
          <w:tcPr>
            <w:tcW w:w="5589" w:type="dxa"/>
          </w:tcPr>
          <w:p w14:paraId="74190ED0" w14:textId="708690E4" w:rsidR="00230B9A" w:rsidRPr="00CB474A" w:rsidRDefault="00230B9A" w:rsidP="00316C74">
            <w:pPr>
              <w:spacing w:after="120"/>
              <w:rPr>
                <w:rFonts w:cs="Arial"/>
              </w:rPr>
            </w:pPr>
            <w:r w:rsidRPr="00CB474A">
              <w:rPr>
                <w:rFonts w:cs="Arial"/>
              </w:rPr>
              <w:t>Computing processes run on a back end deep in the core network architecture (that is, located offsite), potentially causing latency problems.</w:t>
            </w:r>
          </w:p>
          <w:p w14:paraId="005A4A50" w14:textId="77777777" w:rsidR="00230B9A" w:rsidRPr="00775829" w:rsidRDefault="00230B9A" w:rsidP="00316C74">
            <w:pPr>
              <w:spacing w:after="120"/>
              <w:rPr>
                <w:rFonts w:cs="Arial"/>
              </w:rPr>
            </w:pPr>
            <w:r w:rsidRPr="00775829">
              <w:rPr>
                <w:rFonts w:cs="Arial"/>
              </w:rPr>
              <w:t xml:space="preserve">Network owner cannot guarantee speeds and capacity on a shared network. </w:t>
            </w:r>
          </w:p>
          <w:p w14:paraId="22E19623" w14:textId="77777777" w:rsidR="00230B9A" w:rsidRPr="00775829" w:rsidRDefault="00230B9A" w:rsidP="00B55164">
            <w:pPr>
              <w:spacing w:after="0"/>
              <w:rPr>
                <w:rFonts w:cs="Arial"/>
              </w:rPr>
            </w:pPr>
            <w:r w:rsidRPr="00775829">
              <w:rPr>
                <w:rFonts w:cs="Arial"/>
              </w:rPr>
              <w:t xml:space="preserve">Not always available in the specific area it is needed. </w:t>
            </w:r>
          </w:p>
        </w:tc>
      </w:tr>
      <w:tr w:rsidR="00230B9A" w:rsidRPr="00E43581" w14:paraId="0002A935" w14:textId="77777777" w:rsidTr="00316C74">
        <w:trPr>
          <w:cnfStyle w:val="000000010000" w:firstRow="0" w:lastRow="0" w:firstColumn="0" w:lastColumn="0" w:oddVBand="0" w:evenVBand="0" w:oddHBand="0" w:evenHBand="1" w:firstRowFirstColumn="0" w:firstRowLastColumn="0" w:lastRowFirstColumn="0" w:lastRowLastColumn="0"/>
          <w:trHeight w:val="1990"/>
        </w:trPr>
        <w:tc>
          <w:tcPr>
            <w:tcW w:w="2081" w:type="dxa"/>
          </w:tcPr>
          <w:p w14:paraId="764A665C" w14:textId="77777777" w:rsidR="00230B9A" w:rsidRPr="00775829" w:rsidRDefault="00230B9A" w:rsidP="00316C74">
            <w:pPr>
              <w:spacing w:after="120"/>
              <w:rPr>
                <w:rFonts w:cs="Arial"/>
              </w:rPr>
            </w:pPr>
            <w:r w:rsidRPr="00775829">
              <w:rPr>
                <w:rFonts w:cs="Arial"/>
              </w:rPr>
              <w:t xml:space="preserve">Public 5G (including network slicing) </w:t>
            </w:r>
          </w:p>
        </w:tc>
        <w:tc>
          <w:tcPr>
            <w:tcW w:w="5589" w:type="dxa"/>
          </w:tcPr>
          <w:p w14:paraId="1F45D933" w14:textId="77777777" w:rsidR="00230B9A" w:rsidRPr="00211E8A" w:rsidRDefault="00230B9A" w:rsidP="00316C74">
            <w:pPr>
              <w:spacing w:after="120"/>
              <w:rPr>
                <w:rFonts w:cs="Arial"/>
                <w:color w:val="000000" w:themeColor="text1"/>
              </w:rPr>
            </w:pPr>
            <w:r w:rsidRPr="00211E8A">
              <w:rPr>
                <w:rFonts w:cs="Arial"/>
                <w:color w:val="000000" w:themeColor="text1"/>
              </w:rPr>
              <w:t>5G networks introduce technologies such as network slicing, ultra-reliable low latency communications, massive machine type communication and edge computing making it ideal for many industrial internet-of-things applications.</w:t>
            </w:r>
          </w:p>
          <w:p w14:paraId="55AA4414" w14:textId="77777777" w:rsidR="00230B9A" w:rsidRPr="00775829" w:rsidRDefault="00230B9A" w:rsidP="00316C74">
            <w:pPr>
              <w:spacing w:after="0"/>
              <w:rPr>
                <w:rFonts w:cs="Arial"/>
                <w:color w:val="383838"/>
              </w:rPr>
            </w:pPr>
            <w:r w:rsidRPr="00211E8A">
              <w:rPr>
                <w:rFonts w:cs="Arial"/>
                <w:color w:val="000000" w:themeColor="text1"/>
              </w:rPr>
              <w:t>However, the mobile network operator retains full control of the spectrum and the network performance, which may be undesirable where an enterprise requires greater network control and reliability.</w:t>
            </w:r>
          </w:p>
        </w:tc>
      </w:tr>
    </w:tbl>
    <w:p w14:paraId="012205FD" w14:textId="77777777" w:rsidR="00230B9A" w:rsidRPr="00CE0474" w:rsidRDefault="00230B9A" w:rsidP="00B55164">
      <w:pPr>
        <w:spacing w:before="120"/>
        <w:rPr>
          <w:i/>
          <w:iCs/>
          <w:sz w:val="16"/>
          <w:szCs w:val="16"/>
        </w:rPr>
      </w:pPr>
      <w:r w:rsidRPr="00CE0474">
        <w:rPr>
          <w:i/>
          <w:iCs/>
          <w:sz w:val="16"/>
          <w:szCs w:val="16"/>
        </w:rPr>
        <w:t xml:space="preserve">Source: </w:t>
      </w:r>
      <w:hyperlink r:id="rId35" w:history="1">
        <w:r w:rsidRPr="00CE0474">
          <w:rPr>
            <w:rStyle w:val="Hyperlink"/>
            <w:i/>
            <w:iCs/>
            <w:sz w:val="16"/>
            <w:szCs w:val="16"/>
          </w:rPr>
          <w:t>5G technology in industrial campus networks</w:t>
        </w:r>
      </w:hyperlink>
      <w:r w:rsidRPr="00CE0474">
        <w:rPr>
          <w:i/>
          <w:iCs/>
          <w:sz w:val="16"/>
          <w:szCs w:val="16"/>
        </w:rPr>
        <w:t xml:space="preserve">, Deutsche Telekom and </w:t>
      </w:r>
      <w:proofErr w:type="spellStart"/>
      <w:r w:rsidRPr="00CE0474">
        <w:rPr>
          <w:i/>
          <w:iCs/>
          <w:sz w:val="16"/>
          <w:szCs w:val="16"/>
        </w:rPr>
        <w:t>Westrup</w:t>
      </w:r>
      <w:proofErr w:type="spellEnd"/>
      <w:r w:rsidRPr="00CE0474">
        <w:rPr>
          <w:i/>
          <w:iCs/>
          <w:sz w:val="16"/>
          <w:szCs w:val="16"/>
        </w:rPr>
        <w:t xml:space="preserve">, W., Blog Post: </w:t>
      </w:r>
      <w:hyperlink r:id="rId36" w:history="1">
        <w:r w:rsidRPr="00CE0474">
          <w:rPr>
            <w:rStyle w:val="Hyperlink"/>
            <w:i/>
            <w:iCs/>
            <w:sz w:val="16"/>
            <w:szCs w:val="16"/>
          </w:rPr>
          <w:t>Should you build a Private 5G or LTE network?</w:t>
        </w:r>
      </w:hyperlink>
      <w:r w:rsidRPr="00CE0474">
        <w:rPr>
          <w:i/>
          <w:iCs/>
          <w:sz w:val="16"/>
          <w:szCs w:val="16"/>
        </w:rPr>
        <w:t xml:space="preserve">, Sierra Wireless, 23 June 2022, and Singtel, </w:t>
      </w:r>
      <w:hyperlink r:id="rId37" w:history="1">
        <w:r w:rsidRPr="00CE0474">
          <w:rPr>
            <w:rStyle w:val="Hyperlink"/>
            <w:i/>
            <w:iCs/>
            <w:sz w:val="16"/>
            <w:szCs w:val="16"/>
          </w:rPr>
          <w:t>Public VS private 5G – Which is better?, Accessed 21 November 2021.</w:t>
        </w:r>
      </w:hyperlink>
    </w:p>
    <w:p w14:paraId="114C6314" w14:textId="77777777" w:rsidR="00230B9A" w:rsidRDefault="00230B9A" w:rsidP="00230B9A"/>
    <w:p w14:paraId="3A819F00" w14:textId="77777777" w:rsidR="00230B9A" w:rsidRDefault="00230B9A" w:rsidP="00230B9A">
      <w:pPr>
        <w:pStyle w:val="Heading1"/>
      </w:pPr>
      <w:bookmarkStart w:id="72" w:name="_Appendix_D_–"/>
      <w:bookmarkStart w:id="73" w:name="_What_types_of"/>
      <w:bookmarkStart w:id="74" w:name="_Appendix_E_–"/>
      <w:bookmarkStart w:id="75" w:name="_Toc139373170"/>
      <w:bookmarkStart w:id="76" w:name="_Toc146023007"/>
      <w:bookmarkStart w:id="77" w:name="_Toc139373171"/>
      <w:bookmarkEnd w:id="72"/>
      <w:bookmarkEnd w:id="73"/>
      <w:bookmarkEnd w:id="74"/>
      <w:r>
        <w:t>Appendix D – Spectrum available for private wireless networks</w:t>
      </w:r>
      <w:bookmarkEnd w:id="75"/>
      <w:bookmarkEnd w:id="76"/>
    </w:p>
    <w:p w14:paraId="19BD99BB" w14:textId="2B676889" w:rsidR="00230B9A" w:rsidRDefault="00230B9A" w:rsidP="00CD264D">
      <w:pPr>
        <w:pStyle w:val="Paragraph"/>
      </w:pPr>
      <w:r>
        <w:t>Allocation of scarce spectrum resources is a matter for individual governments, but</w:t>
      </w:r>
      <w:r w:rsidR="00B54542">
        <w:t xml:space="preserve"> there is a degree of global harmonisation through the International Telecommunication Union (ITU)</w:t>
      </w:r>
      <w:r>
        <w:t xml:space="preserve">. </w:t>
      </w:r>
    </w:p>
    <w:p w14:paraId="19BF6B1C" w14:textId="69F2A1BE" w:rsidR="00230B9A" w:rsidRDefault="00230B9A" w:rsidP="00CD264D">
      <w:pPr>
        <w:pStyle w:val="Paragraph"/>
      </w:pPr>
      <w:r w:rsidRPr="004115AB">
        <w:t xml:space="preserve">The ACMA updates its spectrum allocation plans through the </w:t>
      </w:r>
      <w:r w:rsidR="00046663">
        <w:t>f</w:t>
      </w:r>
      <w:r w:rsidRPr="004115AB">
        <w:t>ive-</w:t>
      </w:r>
      <w:r w:rsidR="00046663">
        <w:t>y</w:t>
      </w:r>
      <w:r w:rsidRPr="004115AB">
        <w:t xml:space="preserve">ear </w:t>
      </w:r>
      <w:r w:rsidR="00046663">
        <w:t>s</w:t>
      </w:r>
      <w:r w:rsidRPr="004115AB">
        <w:t xml:space="preserve">pectrum </w:t>
      </w:r>
      <w:r w:rsidR="00046663">
        <w:t>o</w:t>
      </w:r>
      <w:r w:rsidRPr="004115AB">
        <w:t>utlook</w:t>
      </w:r>
      <w:r w:rsidR="00046663">
        <w:t xml:space="preserve"> (FYSO)</w:t>
      </w:r>
      <w:r w:rsidRPr="004115AB">
        <w:t>. The 2022</w:t>
      </w:r>
      <w:r w:rsidR="00046663">
        <w:t>–</w:t>
      </w:r>
      <w:r w:rsidRPr="004115AB">
        <w:t xml:space="preserve">27 </w:t>
      </w:r>
      <w:r w:rsidR="00046663">
        <w:t xml:space="preserve">FYSO, </w:t>
      </w:r>
      <w:r w:rsidRPr="004115AB">
        <w:t>released in November 2022</w:t>
      </w:r>
      <w:r w:rsidR="00046663">
        <w:t>,</w:t>
      </w:r>
      <w:r w:rsidRPr="004115AB">
        <w:t xml:space="preserve"> outlines the ACMA’s proposals to make spectrum available for local wireless broadband, or local private wireless networks.</w:t>
      </w:r>
      <w:r w:rsidRPr="004115AB">
        <w:rPr>
          <w:rStyle w:val="FootnoteReference"/>
          <w:rFonts w:eastAsia="Arial"/>
        </w:rPr>
        <w:footnoteReference w:id="89"/>
      </w:r>
      <w:r w:rsidRPr="004115AB">
        <w:t xml:space="preserve"> </w:t>
      </w:r>
      <w:r w:rsidR="00046663">
        <w:t>A</w:t>
      </w:r>
      <w:r>
        <w:t xml:space="preserve"> </w:t>
      </w:r>
      <w:hyperlink r:id="rId38" w:history="1">
        <w:r w:rsidRPr="000E20E0">
          <w:rPr>
            <w:rStyle w:val="Hyperlink"/>
          </w:rPr>
          <w:t xml:space="preserve">2021 </w:t>
        </w:r>
        <w:r w:rsidR="00046663">
          <w:rPr>
            <w:rStyle w:val="Hyperlink"/>
          </w:rPr>
          <w:t>i</w:t>
        </w:r>
        <w:r w:rsidRPr="000E20E0">
          <w:rPr>
            <w:rStyle w:val="Hyperlink"/>
          </w:rPr>
          <w:t xml:space="preserve">nformation </w:t>
        </w:r>
        <w:r w:rsidR="00046663">
          <w:rPr>
            <w:rStyle w:val="Hyperlink"/>
          </w:rPr>
          <w:t>p</w:t>
        </w:r>
        <w:r w:rsidRPr="000E20E0">
          <w:rPr>
            <w:rStyle w:val="Hyperlink"/>
          </w:rPr>
          <w:t>aper</w:t>
        </w:r>
      </w:hyperlink>
      <w:r>
        <w:t xml:space="preserve"> is also available.   </w:t>
      </w:r>
    </w:p>
    <w:p w14:paraId="5F7CD248" w14:textId="037D6034" w:rsidR="00230B9A" w:rsidRDefault="00230B9A" w:rsidP="00CD264D">
      <w:pPr>
        <w:pStyle w:val="Paragraph"/>
      </w:pPr>
      <w:r>
        <w:t xml:space="preserve">The ACMA has released spectrum as </w:t>
      </w:r>
      <w:hyperlink r:id="rId39">
        <w:r w:rsidRPr="638226AD">
          <w:rPr>
            <w:rStyle w:val="Hyperlink"/>
          </w:rPr>
          <w:t>area</w:t>
        </w:r>
        <w:r w:rsidR="00E31ED8">
          <w:rPr>
            <w:rStyle w:val="Hyperlink"/>
          </w:rPr>
          <w:t>-</w:t>
        </w:r>
        <w:r w:rsidRPr="638226AD">
          <w:rPr>
            <w:rStyle w:val="Hyperlink"/>
          </w:rPr>
          <w:t>wide licences in the 26 GHz and 28 GHz bands</w:t>
        </w:r>
      </w:hyperlink>
      <w:r>
        <w:t xml:space="preserve">. In addition, the </w:t>
      </w:r>
      <w:hyperlink r:id="rId40" w:anchor="allocation-of-awls-in-the-34%E2%80%9340-ghz-band-in-remote-areas">
        <w:r w:rsidRPr="638226AD">
          <w:rPr>
            <w:rStyle w:val="Hyperlink"/>
          </w:rPr>
          <w:t>ACMA is planning</w:t>
        </w:r>
      </w:hyperlink>
      <w:r>
        <w:t xml:space="preserve"> mid-band spectrum releases in the next </w:t>
      </w:r>
      <w:r w:rsidR="00E31ED8">
        <w:t>24 </w:t>
      </w:r>
      <w:r>
        <w:t xml:space="preserve">months that could be used for private wireless networks. These are outlined in Table </w:t>
      </w:r>
      <w:r w:rsidR="00B55164">
        <w:t>6</w:t>
      </w:r>
      <w:r>
        <w:t xml:space="preserve"> below. </w:t>
      </w:r>
    </w:p>
    <w:p w14:paraId="529C0E70" w14:textId="77777777" w:rsidR="00230B9A" w:rsidRPr="004115AB" w:rsidRDefault="00230B9A" w:rsidP="00CD264D">
      <w:pPr>
        <w:pStyle w:val="Tableheading"/>
      </w:pPr>
      <w:r>
        <w:t xml:space="preserve">Apparatus licences </w:t>
      </w:r>
    </w:p>
    <w:tbl>
      <w:tblPr>
        <w:tblStyle w:val="GridTable4"/>
        <w:tblW w:w="7792" w:type="dxa"/>
        <w:tblInd w:w="-3" w:type="dxa"/>
        <w:tblLayout w:type="fixed"/>
        <w:tblCellMar>
          <w:top w:w="85" w:type="dxa"/>
          <w:left w:w="57" w:type="dxa"/>
          <w:bottom w:w="85" w:type="dxa"/>
          <w:right w:w="57" w:type="dxa"/>
        </w:tblCellMar>
        <w:tblLook w:val="04A0" w:firstRow="1" w:lastRow="0" w:firstColumn="1" w:lastColumn="0" w:noHBand="0" w:noVBand="1"/>
      </w:tblPr>
      <w:tblGrid>
        <w:gridCol w:w="1555"/>
        <w:gridCol w:w="1984"/>
        <w:gridCol w:w="2977"/>
        <w:gridCol w:w="9"/>
        <w:gridCol w:w="1267"/>
      </w:tblGrid>
      <w:tr w:rsidR="00230B9A" w:rsidRPr="00564C0E" w14:paraId="51C7B891" w14:textId="77777777" w:rsidTr="0036639A">
        <w:trPr>
          <w:cnfStyle w:val="100000000000" w:firstRow="1" w:lastRow="0" w:firstColumn="0" w:lastColumn="0" w:oddVBand="0" w:evenVBand="0" w:oddHBand="0" w:evenHBand="0" w:firstRowFirstColumn="0" w:firstRowLastColumn="0" w:lastRowFirstColumn="0" w:lastRowLastColumn="0"/>
          <w:trHeight w:val="101"/>
          <w:tblHeader/>
        </w:trPr>
        <w:tc>
          <w:tcPr>
            <w:cnfStyle w:val="001000000000" w:firstRow="0" w:lastRow="0" w:firstColumn="1" w:lastColumn="0" w:oddVBand="0" w:evenVBand="0" w:oddHBand="0" w:evenHBand="0" w:firstRowFirstColumn="0" w:firstRowLastColumn="0" w:lastRowFirstColumn="0" w:lastRowLastColumn="0"/>
            <w:tcW w:w="1555" w:type="dxa"/>
            <w:tcBorders>
              <w:top w:val="single" w:sz="6" w:space="0" w:color="000000" w:themeColor="text1"/>
              <w:left w:val="single" w:sz="6" w:space="0" w:color="000000" w:themeColor="text1"/>
              <w:bottom w:val="single" w:sz="6" w:space="0" w:color="000000" w:themeColor="text1"/>
            </w:tcBorders>
            <w:shd w:val="clear" w:color="auto" w:fill="404040" w:themeFill="text1" w:themeFillTint="BF"/>
            <w:tcMar>
              <w:left w:w="105" w:type="dxa"/>
              <w:right w:w="105" w:type="dxa"/>
            </w:tcMar>
          </w:tcPr>
          <w:p w14:paraId="47E2C94F" w14:textId="77777777" w:rsidR="00230B9A" w:rsidRPr="00564C0E" w:rsidRDefault="00230B9A" w:rsidP="00B55164">
            <w:pPr>
              <w:spacing w:after="0"/>
              <w:rPr>
                <w:rFonts w:eastAsia="Arial" w:cs="Arial"/>
                <w:szCs w:val="20"/>
              </w:rPr>
            </w:pPr>
            <w:r w:rsidRPr="00564C0E">
              <w:rPr>
                <w:rFonts w:eastAsia="Arial" w:cs="Arial"/>
                <w:szCs w:val="20"/>
              </w:rPr>
              <w:t>Band</w:t>
            </w:r>
          </w:p>
        </w:tc>
        <w:tc>
          <w:tcPr>
            <w:tcW w:w="1984" w:type="dxa"/>
            <w:tcBorders>
              <w:top w:val="single" w:sz="6" w:space="0" w:color="000000" w:themeColor="text1"/>
              <w:bottom w:val="single" w:sz="6" w:space="0" w:color="000000" w:themeColor="text1"/>
            </w:tcBorders>
            <w:shd w:val="clear" w:color="auto" w:fill="404040" w:themeFill="text1" w:themeFillTint="BF"/>
            <w:tcMar>
              <w:left w:w="105" w:type="dxa"/>
              <w:right w:w="105" w:type="dxa"/>
            </w:tcMar>
          </w:tcPr>
          <w:p w14:paraId="6251C7BE" w14:textId="77777777" w:rsidR="00230B9A" w:rsidRPr="00564C0E" w:rsidRDefault="00230B9A" w:rsidP="00B55164">
            <w:pPr>
              <w:spacing w:after="0"/>
              <w:cnfStyle w:val="100000000000" w:firstRow="1" w:lastRow="0" w:firstColumn="0" w:lastColumn="0" w:oddVBand="0" w:evenVBand="0" w:oddHBand="0" w:evenHBand="0" w:firstRowFirstColumn="0" w:firstRowLastColumn="0" w:lastRowFirstColumn="0" w:lastRowLastColumn="0"/>
              <w:rPr>
                <w:rFonts w:eastAsia="Arial" w:cs="Arial"/>
                <w:b w:val="0"/>
                <w:szCs w:val="20"/>
              </w:rPr>
            </w:pPr>
            <w:r w:rsidRPr="00564C0E">
              <w:rPr>
                <w:rFonts w:eastAsia="Arial" w:cs="Arial"/>
                <w:szCs w:val="20"/>
              </w:rPr>
              <w:t>Location</w:t>
            </w:r>
          </w:p>
        </w:tc>
        <w:tc>
          <w:tcPr>
            <w:tcW w:w="2986" w:type="dxa"/>
            <w:gridSpan w:val="2"/>
            <w:tcBorders>
              <w:top w:val="single" w:sz="6" w:space="0" w:color="000000" w:themeColor="text1"/>
              <w:bottom w:val="single" w:sz="6" w:space="0" w:color="000000" w:themeColor="text1"/>
              <w:right w:val="single" w:sz="6" w:space="0" w:color="000000" w:themeColor="text1"/>
            </w:tcBorders>
            <w:shd w:val="clear" w:color="auto" w:fill="404040" w:themeFill="text1" w:themeFillTint="BF"/>
            <w:tcMar>
              <w:left w:w="105" w:type="dxa"/>
              <w:right w:w="105" w:type="dxa"/>
            </w:tcMar>
          </w:tcPr>
          <w:p w14:paraId="7668C160" w14:textId="77777777" w:rsidR="00230B9A" w:rsidRPr="00564C0E" w:rsidRDefault="00230B9A" w:rsidP="00B55164">
            <w:pPr>
              <w:spacing w:after="0"/>
              <w:cnfStyle w:val="100000000000" w:firstRow="1" w:lastRow="0" w:firstColumn="0" w:lastColumn="0" w:oddVBand="0" w:evenVBand="0" w:oddHBand="0" w:evenHBand="0" w:firstRowFirstColumn="0" w:firstRowLastColumn="0" w:lastRowFirstColumn="0" w:lastRowLastColumn="0"/>
              <w:rPr>
                <w:rFonts w:eastAsia="Arial" w:cs="Arial"/>
                <w:b w:val="0"/>
                <w:szCs w:val="20"/>
              </w:rPr>
            </w:pPr>
            <w:r w:rsidRPr="00564C0E">
              <w:rPr>
                <w:rFonts w:eastAsia="Arial" w:cs="Arial"/>
                <w:szCs w:val="20"/>
              </w:rPr>
              <w:t>Relevance to private wireless networks</w:t>
            </w:r>
          </w:p>
        </w:tc>
        <w:tc>
          <w:tcPr>
            <w:tcW w:w="1267" w:type="dxa"/>
            <w:tcBorders>
              <w:top w:val="single" w:sz="6" w:space="0" w:color="000000" w:themeColor="text1"/>
              <w:bottom w:val="single" w:sz="6" w:space="0" w:color="000000" w:themeColor="text1"/>
              <w:right w:val="single" w:sz="6" w:space="0" w:color="000000" w:themeColor="text1"/>
            </w:tcBorders>
            <w:shd w:val="clear" w:color="auto" w:fill="404040" w:themeFill="text1" w:themeFillTint="BF"/>
          </w:tcPr>
          <w:p w14:paraId="2BCF7BA8" w14:textId="77777777" w:rsidR="00230B9A" w:rsidRPr="00564C0E" w:rsidRDefault="00230B9A" w:rsidP="00B55164">
            <w:pPr>
              <w:spacing w:after="0"/>
              <w:cnfStyle w:val="100000000000" w:firstRow="1" w:lastRow="0" w:firstColumn="0" w:lastColumn="0" w:oddVBand="0" w:evenVBand="0" w:oddHBand="0" w:evenHBand="0" w:firstRowFirstColumn="0" w:firstRowLastColumn="0" w:lastRowFirstColumn="0" w:lastRowLastColumn="0"/>
              <w:rPr>
                <w:rFonts w:eastAsia="Arial" w:cs="Arial"/>
                <w:szCs w:val="20"/>
              </w:rPr>
            </w:pPr>
            <w:r w:rsidRPr="00564C0E">
              <w:rPr>
                <w:rFonts w:eastAsia="Arial" w:cs="Arial"/>
                <w:szCs w:val="20"/>
              </w:rPr>
              <w:t>Licence type</w:t>
            </w:r>
          </w:p>
        </w:tc>
      </w:tr>
      <w:tr w:rsidR="00230B9A" w:rsidRPr="00564C0E" w14:paraId="6BC7124C" w14:textId="77777777" w:rsidTr="0036639A">
        <w:trPr>
          <w:cnfStyle w:val="000000100000" w:firstRow="0" w:lastRow="0" w:firstColumn="0" w:lastColumn="0" w:oddVBand="0" w:evenVBand="0" w:oddHBand="1" w:evenHBand="0" w:firstRowFirstColumn="0" w:firstRowLastColumn="0" w:lastRowFirstColumn="0" w:lastRowLastColumn="0"/>
          <w:trHeight w:val="101"/>
        </w:trPr>
        <w:tc>
          <w:tcPr>
            <w:cnfStyle w:val="001000000000" w:firstRow="0" w:lastRow="0" w:firstColumn="1" w:lastColumn="0" w:oddVBand="0" w:evenVBand="0" w:oddHBand="0" w:evenHBand="0" w:firstRowFirstColumn="0" w:firstRowLastColumn="0" w:lastRowFirstColumn="0" w:lastRowLastColumn="0"/>
            <w:tcW w:w="1555" w:type="dxa"/>
            <w:vMerge w:val="restart"/>
            <w:shd w:val="clear" w:color="auto" w:fill="F2F2F2" w:themeFill="background1" w:themeFillShade="F2"/>
            <w:tcMar>
              <w:left w:w="105" w:type="dxa"/>
              <w:right w:w="105" w:type="dxa"/>
            </w:tcMar>
            <w:vAlign w:val="center"/>
          </w:tcPr>
          <w:p w14:paraId="76007906" w14:textId="77777777" w:rsidR="00230B9A" w:rsidRDefault="00230B9A" w:rsidP="00316C74">
            <w:pPr>
              <w:rPr>
                <w:rFonts w:eastAsia="Arial" w:cs="Arial"/>
                <w:b w:val="0"/>
                <w:bCs w:val="0"/>
                <w:szCs w:val="20"/>
              </w:rPr>
            </w:pPr>
          </w:p>
          <w:p w14:paraId="0B2FE008" w14:textId="16AB6766" w:rsidR="00230B9A" w:rsidRDefault="00230B9A" w:rsidP="00316C74">
            <w:pPr>
              <w:rPr>
                <w:rFonts w:eastAsia="Arial" w:cs="Arial"/>
                <w:b w:val="0"/>
                <w:bCs w:val="0"/>
                <w:szCs w:val="20"/>
              </w:rPr>
            </w:pPr>
            <w:r w:rsidRPr="00564C0E">
              <w:rPr>
                <w:rFonts w:eastAsia="Arial" w:cs="Arial"/>
                <w:szCs w:val="20"/>
              </w:rPr>
              <w:t>Mid</w:t>
            </w:r>
            <w:r w:rsidR="00D43C6C">
              <w:rPr>
                <w:rFonts w:eastAsia="Arial" w:cs="Arial"/>
                <w:szCs w:val="20"/>
              </w:rPr>
              <w:t>-</w:t>
            </w:r>
            <w:r>
              <w:rPr>
                <w:rFonts w:eastAsia="Arial" w:cs="Arial"/>
                <w:szCs w:val="20"/>
              </w:rPr>
              <w:t>b</w:t>
            </w:r>
            <w:r w:rsidRPr="00564C0E">
              <w:rPr>
                <w:rFonts w:eastAsia="Arial" w:cs="Arial"/>
                <w:szCs w:val="20"/>
              </w:rPr>
              <w:t>and</w:t>
            </w:r>
          </w:p>
          <w:p w14:paraId="46B24854" w14:textId="77777777" w:rsidR="00230B9A" w:rsidRPr="00564C0E" w:rsidRDefault="00230B9A" w:rsidP="00316C74">
            <w:pPr>
              <w:rPr>
                <w:rFonts w:eastAsia="Arial" w:cs="Arial"/>
                <w:szCs w:val="20"/>
              </w:rPr>
            </w:pPr>
          </w:p>
        </w:tc>
        <w:tc>
          <w:tcPr>
            <w:tcW w:w="1984" w:type="dxa"/>
            <w:shd w:val="clear" w:color="auto" w:fill="FFFFFF" w:themeFill="background1"/>
            <w:tcMar>
              <w:left w:w="105" w:type="dxa"/>
              <w:right w:w="105" w:type="dxa"/>
            </w:tcMar>
          </w:tcPr>
          <w:p w14:paraId="408DABE9" w14:textId="77777777" w:rsidR="00230B9A" w:rsidRPr="00564C0E" w:rsidRDefault="00230B9A" w:rsidP="00316C74">
            <w:pPr>
              <w:cnfStyle w:val="000000100000" w:firstRow="0" w:lastRow="0" w:firstColumn="0" w:lastColumn="0" w:oddVBand="0" w:evenVBand="0" w:oddHBand="1" w:evenHBand="0" w:firstRowFirstColumn="0" w:firstRowLastColumn="0" w:lastRowFirstColumn="0" w:lastRowLastColumn="0"/>
              <w:rPr>
                <w:rFonts w:eastAsia="Arial" w:cs="Arial"/>
                <w:szCs w:val="20"/>
              </w:rPr>
            </w:pPr>
            <w:r w:rsidRPr="00564C0E">
              <w:rPr>
                <w:rFonts w:eastAsia="Arial" w:cs="Arial"/>
                <w:szCs w:val="20"/>
              </w:rPr>
              <w:t>1800 MHz (also known as 3GPP Band 3)</w:t>
            </w:r>
          </w:p>
        </w:tc>
        <w:tc>
          <w:tcPr>
            <w:tcW w:w="2986" w:type="dxa"/>
            <w:gridSpan w:val="2"/>
            <w:shd w:val="clear" w:color="auto" w:fill="FFFFFF" w:themeFill="background1"/>
            <w:tcMar>
              <w:left w:w="105" w:type="dxa"/>
              <w:right w:w="105" w:type="dxa"/>
            </w:tcMar>
          </w:tcPr>
          <w:p w14:paraId="1608EAFB" w14:textId="575BBB57" w:rsidR="00230B9A" w:rsidRPr="00564C0E" w:rsidRDefault="00230B9A" w:rsidP="00B55164">
            <w:pPr>
              <w:spacing w:after="0"/>
              <w:cnfStyle w:val="000000100000" w:firstRow="0" w:lastRow="0" w:firstColumn="0" w:lastColumn="0" w:oddVBand="0" w:evenVBand="0" w:oddHBand="1" w:evenHBand="0" w:firstRowFirstColumn="0" w:firstRowLastColumn="0" w:lastRowFirstColumn="0" w:lastRowLastColumn="0"/>
              <w:rPr>
                <w:rFonts w:eastAsia="Arial" w:cs="Arial"/>
                <w:szCs w:val="20"/>
              </w:rPr>
            </w:pPr>
            <w:r w:rsidRPr="00564C0E">
              <w:rPr>
                <w:rFonts w:eastAsia="Arial" w:cs="Arial"/>
                <w:szCs w:val="20"/>
              </w:rPr>
              <w:t xml:space="preserve">Available </w:t>
            </w:r>
            <w:r>
              <w:rPr>
                <w:rFonts w:eastAsia="Arial" w:cs="Arial"/>
                <w:szCs w:val="20"/>
              </w:rPr>
              <w:t xml:space="preserve">for apparatus licensing </w:t>
            </w:r>
            <w:r w:rsidRPr="00564C0E">
              <w:rPr>
                <w:rFonts w:eastAsia="Arial" w:cs="Arial"/>
                <w:szCs w:val="20"/>
              </w:rPr>
              <w:t>in remote areas only. Commonly used for private wireless networks for mining operations</w:t>
            </w:r>
          </w:p>
        </w:tc>
        <w:tc>
          <w:tcPr>
            <w:tcW w:w="1267" w:type="dxa"/>
            <w:shd w:val="clear" w:color="auto" w:fill="FFFFFF" w:themeFill="background1"/>
          </w:tcPr>
          <w:p w14:paraId="6F2B50C9" w14:textId="77777777" w:rsidR="00230B9A" w:rsidRPr="00564C0E" w:rsidRDefault="00230B9A" w:rsidP="00316C74">
            <w:pPr>
              <w:cnfStyle w:val="000000100000" w:firstRow="0" w:lastRow="0" w:firstColumn="0" w:lastColumn="0" w:oddVBand="0" w:evenVBand="0" w:oddHBand="1" w:evenHBand="0" w:firstRowFirstColumn="0" w:firstRowLastColumn="0" w:lastRowFirstColumn="0" w:lastRowLastColumn="0"/>
              <w:rPr>
                <w:rFonts w:eastAsia="Arial" w:cs="Arial"/>
                <w:szCs w:val="20"/>
              </w:rPr>
            </w:pPr>
            <w:r>
              <w:rPr>
                <w:rFonts w:eastAsia="Arial" w:cs="Arial"/>
                <w:szCs w:val="20"/>
              </w:rPr>
              <w:t>Apparatus licence (remote areas)</w:t>
            </w:r>
          </w:p>
        </w:tc>
      </w:tr>
      <w:tr w:rsidR="00230B9A" w:rsidRPr="00564C0E" w14:paraId="36FF5378" w14:textId="77777777" w:rsidTr="0036639A">
        <w:trPr>
          <w:trHeight w:val="101"/>
        </w:trPr>
        <w:tc>
          <w:tcPr>
            <w:cnfStyle w:val="001000000000" w:firstRow="0" w:lastRow="0" w:firstColumn="1" w:lastColumn="0" w:oddVBand="0" w:evenVBand="0" w:oddHBand="0" w:evenHBand="0" w:firstRowFirstColumn="0" w:firstRowLastColumn="0" w:lastRowFirstColumn="0" w:lastRowLastColumn="0"/>
            <w:tcW w:w="1555" w:type="dxa"/>
            <w:vMerge/>
            <w:shd w:val="clear" w:color="auto" w:fill="F2F2F2" w:themeFill="background1" w:themeFillShade="F2"/>
            <w:tcMar>
              <w:left w:w="105" w:type="dxa"/>
              <w:right w:w="105" w:type="dxa"/>
            </w:tcMar>
          </w:tcPr>
          <w:p w14:paraId="4F15E15F" w14:textId="77777777" w:rsidR="00230B9A" w:rsidRPr="00564C0E" w:rsidRDefault="00230B9A" w:rsidP="00316C74">
            <w:pPr>
              <w:rPr>
                <w:rFonts w:eastAsia="Arial" w:cs="Arial"/>
                <w:szCs w:val="20"/>
              </w:rPr>
            </w:pPr>
          </w:p>
        </w:tc>
        <w:tc>
          <w:tcPr>
            <w:tcW w:w="1984" w:type="dxa"/>
            <w:shd w:val="clear" w:color="auto" w:fill="FFFFFF" w:themeFill="background1"/>
            <w:tcMar>
              <w:left w:w="105" w:type="dxa"/>
              <w:right w:w="105" w:type="dxa"/>
            </w:tcMar>
          </w:tcPr>
          <w:p w14:paraId="1573EBC8" w14:textId="6B4BBAB0" w:rsidR="00230B9A" w:rsidRPr="00564C0E" w:rsidRDefault="00230B9A" w:rsidP="00316C74">
            <w:pPr>
              <w:cnfStyle w:val="000000000000" w:firstRow="0" w:lastRow="0" w:firstColumn="0" w:lastColumn="0" w:oddVBand="0" w:evenVBand="0" w:oddHBand="0" w:evenHBand="0" w:firstRowFirstColumn="0" w:firstRowLastColumn="0" w:lastRowFirstColumn="0" w:lastRowLastColumn="0"/>
              <w:rPr>
                <w:rFonts w:eastAsia="Arial" w:cs="Arial"/>
                <w:szCs w:val="20"/>
              </w:rPr>
            </w:pPr>
            <w:r w:rsidRPr="00564C0E">
              <w:rPr>
                <w:rFonts w:eastAsia="Arial" w:cs="Arial"/>
                <w:szCs w:val="20"/>
              </w:rPr>
              <w:t>1900–1920 MHz</w:t>
            </w:r>
          </w:p>
        </w:tc>
        <w:tc>
          <w:tcPr>
            <w:tcW w:w="2986" w:type="dxa"/>
            <w:gridSpan w:val="2"/>
            <w:shd w:val="clear" w:color="auto" w:fill="FFFFFF" w:themeFill="background1"/>
            <w:tcMar>
              <w:left w:w="105" w:type="dxa"/>
              <w:right w:w="105" w:type="dxa"/>
            </w:tcMar>
          </w:tcPr>
          <w:p w14:paraId="1B290B36" w14:textId="6E44768B" w:rsidR="00230B9A" w:rsidRDefault="00230B9A" w:rsidP="00B55164">
            <w:pPr>
              <w:spacing w:after="120"/>
              <w:cnfStyle w:val="000000000000" w:firstRow="0" w:lastRow="0" w:firstColumn="0" w:lastColumn="0" w:oddVBand="0" w:evenVBand="0" w:oddHBand="0" w:evenHBand="0" w:firstRowFirstColumn="0" w:firstRowLastColumn="0" w:lastRowFirstColumn="0" w:lastRowLastColumn="0"/>
              <w:rPr>
                <w:rFonts w:eastAsia="Arial" w:cs="Arial"/>
                <w:szCs w:val="20"/>
              </w:rPr>
            </w:pPr>
            <w:r>
              <w:rPr>
                <w:rFonts w:eastAsia="Arial" w:cs="Arial"/>
                <w:szCs w:val="20"/>
              </w:rPr>
              <w:t xml:space="preserve">This band is currently under </w:t>
            </w:r>
            <w:proofErr w:type="gramStart"/>
            <w:r>
              <w:rPr>
                <w:rFonts w:eastAsia="Arial" w:cs="Arial"/>
                <w:szCs w:val="20"/>
              </w:rPr>
              <w:t>review</w:t>
            </w:r>
            <w:proofErr w:type="gramEnd"/>
          </w:p>
          <w:p w14:paraId="109FC8E6" w14:textId="0516E171" w:rsidR="00230B9A" w:rsidRPr="00564C0E" w:rsidRDefault="00230B9A" w:rsidP="00B55164">
            <w:pPr>
              <w:spacing w:after="0"/>
              <w:cnfStyle w:val="000000000000" w:firstRow="0" w:lastRow="0" w:firstColumn="0" w:lastColumn="0" w:oddVBand="0" w:evenVBand="0" w:oddHBand="0" w:evenHBand="0" w:firstRowFirstColumn="0" w:firstRowLastColumn="0" w:lastRowFirstColumn="0" w:lastRowLastColumn="0"/>
              <w:rPr>
                <w:rFonts w:eastAsia="Arial" w:cs="Arial"/>
                <w:szCs w:val="20"/>
              </w:rPr>
            </w:pPr>
            <w:r w:rsidRPr="00564C0E">
              <w:rPr>
                <w:rFonts w:eastAsia="Arial" w:cs="Arial"/>
                <w:szCs w:val="20"/>
              </w:rPr>
              <w:t xml:space="preserve">Available in regional and remote areas. Commonly used for private wireless networks for mining operations and </w:t>
            </w:r>
            <w:r w:rsidR="00046663">
              <w:rPr>
                <w:rFonts w:eastAsia="Arial" w:cs="Arial"/>
                <w:szCs w:val="20"/>
              </w:rPr>
              <w:t>w</w:t>
            </w:r>
            <w:r w:rsidRPr="00564C0E">
              <w:rPr>
                <w:rFonts w:eastAsia="Arial" w:cs="Arial"/>
                <w:szCs w:val="20"/>
              </w:rPr>
              <w:t xml:space="preserve">ireless </w:t>
            </w:r>
            <w:r w:rsidR="00046663">
              <w:rPr>
                <w:rFonts w:eastAsia="Arial" w:cs="Arial"/>
                <w:szCs w:val="20"/>
              </w:rPr>
              <w:t>i</w:t>
            </w:r>
            <w:r w:rsidRPr="00564C0E">
              <w:rPr>
                <w:rFonts w:eastAsia="Arial" w:cs="Arial"/>
                <w:szCs w:val="20"/>
              </w:rPr>
              <w:t xml:space="preserve">nternet </w:t>
            </w:r>
            <w:r w:rsidR="00046663">
              <w:rPr>
                <w:rFonts w:eastAsia="Arial" w:cs="Arial"/>
                <w:szCs w:val="20"/>
              </w:rPr>
              <w:t>s</w:t>
            </w:r>
            <w:r w:rsidRPr="00564C0E">
              <w:rPr>
                <w:rFonts w:eastAsia="Arial" w:cs="Arial"/>
                <w:szCs w:val="20"/>
              </w:rPr>
              <w:t xml:space="preserve">ervice </w:t>
            </w:r>
            <w:r w:rsidR="00046663">
              <w:rPr>
                <w:rFonts w:eastAsia="Arial" w:cs="Arial"/>
                <w:szCs w:val="20"/>
              </w:rPr>
              <w:t>p</w:t>
            </w:r>
            <w:r w:rsidRPr="00564C0E">
              <w:rPr>
                <w:rFonts w:eastAsia="Arial" w:cs="Arial"/>
                <w:szCs w:val="20"/>
              </w:rPr>
              <w:t>roviders (WISPs)</w:t>
            </w:r>
          </w:p>
        </w:tc>
        <w:tc>
          <w:tcPr>
            <w:tcW w:w="1267" w:type="dxa"/>
            <w:shd w:val="clear" w:color="auto" w:fill="FFFFFF" w:themeFill="background1"/>
          </w:tcPr>
          <w:p w14:paraId="5CEACE75" w14:textId="77777777" w:rsidR="00230B9A" w:rsidRPr="00564C0E" w:rsidRDefault="00230B9A" w:rsidP="00316C74">
            <w:pPr>
              <w:cnfStyle w:val="000000000000" w:firstRow="0" w:lastRow="0" w:firstColumn="0" w:lastColumn="0" w:oddVBand="0" w:evenVBand="0" w:oddHBand="0" w:evenHBand="0" w:firstRowFirstColumn="0" w:firstRowLastColumn="0" w:lastRowFirstColumn="0" w:lastRowLastColumn="0"/>
              <w:rPr>
                <w:rFonts w:eastAsia="Arial" w:cs="Arial"/>
                <w:szCs w:val="20"/>
              </w:rPr>
            </w:pPr>
            <w:r>
              <w:rPr>
                <w:rFonts w:eastAsia="Arial" w:cs="Arial"/>
                <w:szCs w:val="20"/>
              </w:rPr>
              <w:t>Apparatus</w:t>
            </w:r>
            <w:r w:rsidRPr="00564C0E">
              <w:rPr>
                <w:rFonts w:eastAsia="Arial" w:cs="Arial"/>
                <w:szCs w:val="20"/>
              </w:rPr>
              <w:t xml:space="preserve"> licence</w:t>
            </w:r>
          </w:p>
        </w:tc>
      </w:tr>
      <w:tr w:rsidR="00230B9A" w:rsidRPr="00564C0E" w14:paraId="0E0E5229" w14:textId="77777777" w:rsidTr="0036639A">
        <w:trPr>
          <w:cnfStyle w:val="000000100000" w:firstRow="0" w:lastRow="0" w:firstColumn="0" w:lastColumn="0" w:oddVBand="0" w:evenVBand="0" w:oddHBand="1" w:evenHBand="0" w:firstRowFirstColumn="0" w:firstRowLastColumn="0" w:lastRowFirstColumn="0" w:lastRowLastColumn="0"/>
          <w:trHeight w:val="101"/>
        </w:trPr>
        <w:tc>
          <w:tcPr>
            <w:cnfStyle w:val="001000000000" w:firstRow="0" w:lastRow="0" w:firstColumn="1" w:lastColumn="0" w:oddVBand="0" w:evenVBand="0" w:oddHBand="0" w:evenHBand="0" w:firstRowFirstColumn="0" w:firstRowLastColumn="0" w:lastRowFirstColumn="0" w:lastRowLastColumn="0"/>
            <w:tcW w:w="1555" w:type="dxa"/>
            <w:vMerge/>
            <w:shd w:val="clear" w:color="auto" w:fill="F2F2F2" w:themeFill="background1" w:themeFillShade="F2"/>
            <w:tcMar>
              <w:left w:w="105" w:type="dxa"/>
              <w:right w:w="105" w:type="dxa"/>
            </w:tcMar>
          </w:tcPr>
          <w:p w14:paraId="7C31EAD2" w14:textId="77777777" w:rsidR="00230B9A" w:rsidRPr="00564C0E" w:rsidRDefault="00230B9A" w:rsidP="00316C74">
            <w:pPr>
              <w:rPr>
                <w:rFonts w:eastAsia="Arial" w:cs="Arial"/>
                <w:szCs w:val="20"/>
              </w:rPr>
            </w:pPr>
          </w:p>
        </w:tc>
        <w:tc>
          <w:tcPr>
            <w:tcW w:w="1984" w:type="dxa"/>
            <w:shd w:val="clear" w:color="auto" w:fill="FFFFFF" w:themeFill="background1"/>
            <w:tcMar>
              <w:left w:w="105" w:type="dxa"/>
              <w:right w:w="105" w:type="dxa"/>
            </w:tcMar>
          </w:tcPr>
          <w:p w14:paraId="220A7E64" w14:textId="77777777" w:rsidR="00230B9A" w:rsidRPr="00564C0E" w:rsidRDefault="00230B9A" w:rsidP="00B55164">
            <w:pPr>
              <w:spacing w:after="0"/>
              <w:cnfStyle w:val="000000100000" w:firstRow="0" w:lastRow="0" w:firstColumn="0" w:lastColumn="0" w:oddVBand="0" w:evenVBand="0" w:oddHBand="1" w:evenHBand="0" w:firstRowFirstColumn="0" w:firstRowLastColumn="0" w:lastRowFirstColumn="0" w:lastRowLastColumn="0"/>
              <w:rPr>
                <w:rFonts w:eastAsia="Arial" w:cs="Arial"/>
                <w:szCs w:val="20"/>
              </w:rPr>
            </w:pPr>
            <w:r w:rsidRPr="00564C0E">
              <w:rPr>
                <w:rFonts w:eastAsia="Arial" w:cs="Arial"/>
                <w:szCs w:val="20"/>
              </w:rPr>
              <w:t>2100 MHz (also known as 3GPP Band 1)</w:t>
            </w:r>
          </w:p>
          <w:p w14:paraId="079F7ECD" w14:textId="77777777" w:rsidR="00230B9A" w:rsidRPr="00564C0E" w:rsidRDefault="00230B9A" w:rsidP="00B55164">
            <w:pPr>
              <w:spacing w:after="0"/>
              <w:cnfStyle w:val="000000100000" w:firstRow="0" w:lastRow="0" w:firstColumn="0" w:lastColumn="0" w:oddVBand="0" w:evenVBand="0" w:oddHBand="1" w:evenHBand="0" w:firstRowFirstColumn="0" w:firstRowLastColumn="0" w:lastRowFirstColumn="0" w:lastRowLastColumn="0"/>
              <w:rPr>
                <w:rFonts w:eastAsia="Arial" w:cs="Arial"/>
                <w:szCs w:val="20"/>
              </w:rPr>
            </w:pPr>
          </w:p>
        </w:tc>
        <w:tc>
          <w:tcPr>
            <w:tcW w:w="2986" w:type="dxa"/>
            <w:gridSpan w:val="2"/>
            <w:shd w:val="clear" w:color="auto" w:fill="FFFFFF" w:themeFill="background1"/>
            <w:tcMar>
              <w:left w:w="105" w:type="dxa"/>
              <w:right w:w="105" w:type="dxa"/>
            </w:tcMar>
          </w:tcPr>
          <w:p w14:paraId="0CD021FE" w14:textId="67E6CAF5" w:rsidR="00230B9A" w:rsidRPr="00564C0E" w:rsidRDefault="00230B9A" w:rsidP="00B55164">
            <w:pPr>
              <w:spacing w:after="0"/>
              <w:cnfStyle w:val="000000100000" w:firstRow="0" w:lastRow="0" w:firstColumn="0" w:lastColumn="0" w:oddVBand="0" w:evenVBand="0" w:oddHBand="1" w:evenHBand="0" w:firstRowFirstColumn="0" w:firstRowLastColumn="0" w:lastRowFirstColumn="0" w:lastRowLastColumn="0"/>
              <w:rPr>
                <w:rFonts w:eastAsia="Arial" w:cs="Arial"/>
                <w:szCs w:val="20"/>
              </w:rPr>
            </w:pPr>
            <w:r w:rsidRPr="00564C0E">
              <w:rPr>
                <w:rFonts w:eastAsia="Arial" w:cs="Arial"/>
                <w:szCs w:val="20"/>
              </w:rPr>
              <w:t>Available</w:t>
            </w:r>
            <w:r>
              <w:rPr>
                <w:rFonts w:eastAsia="Arial" w:cs="Arial"/>
                <w:szCs w:val="20"/>
              </w:rPr>
              <w:t xml:space="preserve"> for apparatus licensing in regional and </w:t>
            </w:r>
            <w:r w:rsidRPr="00564C0E">
              <w:rPr>
                <w:rFonts w:eastAsia="Arial" w:cs="Arial"/>
                <w:szCs w:val="20"/>
              </w:rPr>
              <w:t>remote areas. Commonly used for private wireless networks for mining operations and</w:t>
            </w:r>
            <w:r w:rsidR="00046663">
              <w:rPr>
                <w:rFonts w:eastAsia="Arial" w:cs="Arial"/>
                <w:szCs w:val="20"/>
              </w:rPr>
              <w:t xml:space="preserve"> WISPs</w:t>
            </w:r>
            <w:r>
              <w:rPr>
                <w:rFonts w:eastAsia="Arial" w:cs="Arial"/>
                <w:szCs w:val="20"/>
              </w:rPr>
              <w:t xml:space="preserve"> </w:t>
            </w:r>
          </w:p>
        </w:tc>
        <w:tc>
          <w:tcPr>
            <w:tcW w:w="1267" w:type="dxa"/>
            <w:shd w:val="clear" w:color="auto" w:fill="FFFFFF" w:themeFill="background1"/>
          </w:tcPr>
          <w:p w14:paraId="27B4C47F" w14:textId="77777777" w:rsidR="00230B9A" w:rsidRDefault="00230B9A" w:rsidP="00B55164">
            <w:pPr>
              <w:spacing w:after="0"/>
              <w:cnfStyle w:val="000000100000" w:firstRow="0" w:lastRow="0" w:firstColumn="0" w:lastColumn="0" w:oddVBand="0" w:evenVBand="0" w:oddHBand="1" w:evenHBand="0" w:firstRowFirstColumn="0" w:firstRowLastColumn="0" w:lastRowFirstColumn="0" w:lastRowLastColumn="0"/>
              <w:rPr>
                <w:rFonts w:eastAsia="Arial" w:cs="Arial"/>
                <w:szCs w:val="20"/>
              </w:rPr>
            </w:pPr>
            <w:r w:rsidRPr="638226AD">
              <w:rPr>
                <w:rFonts w:eastAsia="Arial" w:cs="Arial"/>
                <w:szCs w:val="20"/>
              </w:rPr>
              <w:t>Apparatus licence (regional and remote)</w:t>
            </w:r>
          </w:p>
          <w:p w14:paraId="5CE310F4" w14:textId="77777777" w:rsidR="00230B9A" w:rsidRPr="00564C0E" w:rsidRDefault="00230B9A" w:rsidP="00B55164">
            <w:pPr>
              <w:spacing w:after="0"/>
              <w:cnfStyle w:val="000000100000" w:firstRow="0" w:lastRow="0" w:firstColumn="0" w:lastColumn="0" w:oddVBand="0" w:evenVBand="0" w:oddHBand="1" w:evenHBand="0" w:firstRowFirstColumn="0" w:firstRowLastColumn="0" w:lastRowFirstColumn="0" w:lastRowLastColumn="0"/>
              <w:rPr>
                <w:rFonts w:eastAsia="Arial" w:cs="Arial"/>
                <w:szCs w:val="20"/>
              </w:rPr>
            </w:pPr>
          </w:p>
        </w:tc>
      </w:tr>
      <w:tr w:rsidR="00230B9A" w:rsidRPr="00564C0E" w14:paraId="2C4F0350" w14:textId="77777777" w:rsidTr="0036639A">
        <w:trPr>
          <w:trHeight w:val="314"/>
        </w:trPr>
        <w:tc>
          <w:tcPr>
            <w:cnfStyle w:val="001000000000" w:firstRow="0" w:lastRow="0" w:firstColumn="1" w:lastColumn="0" w:oddVBand="0" w:evenVBand="0" w:oddHBand="0" w:evenHBand="0" w:firstRowFirstColumn="0" w:firstRowLastColumn="0" w:lastRowFirstColumn="0" w:lastRowLastColumn="0"/>
            <w:tcW w:w="1555" w:type="dxa"/>
            <w:vMerge/>
            <w:shd w:val="clear" w:color="auto" w:fill="F2F2F2" w:themeFill="background1" w:themeFillShade="F2"/>
            <w:tcMar>
              <w:left w:w="105" w:type="dxa"/>
              <w:right w:w="105" w:type="dxa"/>
            </w:tcMar>
          </w:tcPr>
          <w:p w14:paraId="5672A97D" w14:textId="77777777" w:rsidR="00230B9A" w:rsidRPr="00564C0E" w:rsidRDefault="00230B9A" w:rsidP="00316C74">
            <w:pPr>
              <w:rPr>
                <w:rFonts w:eastAsia="Arial" w:cs="Arial"/>
                <w:szCs w:val="20"/>
              </w:rPr>
            </w:pPr>
          </w:p>
        </w:tc>
        <w:tc>
          <w:tcPr>
            <w:tcW w:w="1984" w:type="dxa"/>
            <w:tcBorders>
              <w:bottom w:val="single" w:sz="4" w:space="0" w:color="auto"/>
            </w:tcBorders>
            <w:shd w:val="clear" w:color="auto" w:fill="FFFFFF" w:themeFill="background1"/>
            <w:tcMar>
              <w:left w:w="105" w:type="dxa"/>
              <w:right w:w="105" w:type="dxa"/>
            </w:tcMar>
          </w:tcPr>
          <w:p w14:paraId="07DCFBE7" w14:textId="77777777" w:rsidR="00230B9A" w:rsidRPr="00564C0E" w:rsidRDefault="00230B9A" w:rsidP="00B55164">
            <w:pPr>
              <w:spacing w:after="0"/>
              <w:cnfStyle w:val="000000000000" w:firstRow="0" w:lastRow="0" w:firstColumn="0" w:lastColumn="0" w:oddVBand="0" w:evenVBand="0" w:oddHBand="0" w:evenHBand="0" w:firstRowFirstColumn="0" w:firstRowLastColumn="0" w:lastRowFirstColumn="0" w:lastRowLastColumn="0"/>
              <w:rPr>
                <w:rFonts w:eastAsia="Arial" w:cs="Arial"/>
                <w:szCs w:val="20"/>
              </w:rPr>
            </w:pPr>
            <w:r w:rsidRPr="00564C0E">
              <w:rPr>
                <w:rFonts w:eastAsia="Arial" w:cs="Arial"/>
                <w:szCs w:val="20"/>
              </w:rPr>
              <w:t>3.4-4.0 GHz</w:t>
            </w:r>
            <w:r>
              <w:rPr>
                <w:rFonts w:eastAsia="Arial" w:cs="Arial"/>
                <w:szCs w:val="20"/>
              </w:rPr>
              <w:t>*</w:t>
            </w:r>
          </w:p>
        </w:tc>
        <w:tc>
          <w:tcPr>
            <w:tcW w:w="2977" w:type="dxa"/>
            <w:tcBorders>
              <w:bottom w:val="single" w:sz="4" w:space="0" w:color="auto"/>
            </w:tcBorders>
            <w:shd w:val="clear" w:color="auto" w:fill="FFFFFF" w:themeFill="background1"/>
            <w:tcMar>
              <w:left w:w="105" w:type="dxa"/>
              <w:right w:w="105" w:type="dxa"/>
            </w:tcMar>
          </w:tcPr>
          <w:p w14:paraId="43B87814" w14:textId="77777777" w:rsidR="00230B9A" w:rsidRPr="00564C0E" w:rsidRDefault="00230B9A" w:rsidP="00B55164">
            <w:pPr>
              <w:spacing w:after="0"/>
              <w:cnfStyle w:val="000000000000" w:firstRow="0" w:lastRow="0" w:firstColumn="0" w:lastColumn="0" w:oddVBand="0" w:evenVBand="0" w:oddHBand="0" w:evenHBand="0" w:firstRowFirstColumn="0" w:firstRowLastColumn="0" w:lastRowFirstColumn="0" w:lastRowLastColumn="0"/>
              <w:rPr>
                <w:rFonts w:eastAsia="Arial" w:cs="Arial"/>
                <w:szCs w:val="20"/>
              </w:rPr>
            </w:pPr>
            <w:r>
              <w:rPr>
                <w:rFonts w:eastAsia="Arial" w:cs="Arial"/>
                <w:szCs w:val="20"/>
              </w:rPr>
              <w:t xml:space="preserve">(See table below) </w:t>
            </w:r>
          </w:p>
        </w:tc>
        <w:tc>
          <w:tcPr>
            <w:tcW w:w="1276" w:type="dxa"/>
            <w:gridSpan w:val="2"/>
            <w:tcBorders>
              <w:bottom w:val="single" w:sz="4" w:space="0" w:color="auto"/>
            </w:tcBorders>
            <w:shd w:val="clear" w:color="auto" w:fill="FFFFFF" w:themeFill="background1"/>
          </w:tcPr>
          <w:p w14:paraId="16E362B9" w14:textId="77777777" w:rsidR="00230B9A" w:rsidRPr="00564C0E" w:rsidRDefault="00230B9A" w:rsidP="00B55164">
            <w:pPr>
              <w:spacing w:after="0"/>
              <w:cnfStyle w:val="000000000000" w:firstRow="0" w:lastRow="0" w:firstColumn="0" w:lastColumn="0" w:oddVBand="0" w:evenVBand="0" w:oddHBand="0" w:evenHBand="0" w:firstRowFirstColumn="0" w:firstRowLastColumn="0" w:lastRowFirstColumn="0" w:lastRowLastColumn="0"/>
              <w:rPr>
                <w:rFonts w:eastAsia="Arial" w:cs="Arial"/>
                <w:szCs w:val="20"/>
              </w:rPr>
            </w:pPr>
            <w:r w:rsidRPr="00564C0E">
              <w:rPr>
                <w:rFonts w:eastAsia="Arial" w:cs="Arial"/>
                <w:szCs w:val="20"/>
              </w:rPr>
              <w:t>Apparatus licence</w:t>
            </w:r>
          </w:p>
        </w:tc>
      </w:tr>
      <w:tr w:rsidR="00230B9A" w:rsidRPr="00564C0E" w14:paraId="2B68C619" w14:textId="77777777" w:rsidTr="0036639A">
        <w:trPr>
          <w:cnfStyle w:val="000000100000" w:firstRow="0" w:lastRow="0" w:firstColumn="0" w:lastColumn="0" w:oddVBand="0" w:evenVBand="0" w:oddHBand="1" w:evenHBand="0" w:firstRowFirstColumn="0" w:firstRowLastColumn="0" w:lastRowFirstColumn="0" w:lastRowLastColumn="0"/>
          <w:trHeight w:val="650"/>
        </w:trPr>
        <w:tc>
          <w:tcPr>
            <w:cnfStyle w:val="001000000000" w:firstRow="0" w:lastRow="0" w:firstColumn="1" w:lastColumn="0" w:oddVBand="0" w:evenVBand="0" w:oddHBand="0" w:evenHBand="0" w:firstRowFirstColumn="0" w:firstRowLastColumn="0" w:lastRowFirstColumn="0" w:lastRowLastColumn="0"/>
            <w:tcW w:w="1555" w:type="dxa"/>
            <w:vMerge/>
            <w:shd w:val="clear" w:color="auto" w:fill="F2F2F2" w:themeFill="background1" w:themeFillShade="F2"/>
            <w:tcMar>
              <w:left w:w="105" w:type="dxa"/>
              <w:right w:w="105" w:type="dxa"/>
            </w:tcMar>
          </w:tcPr>
          <w:p w14:paraId="6E3EDF10" w14:textId="77777777" w:rsidR="00230B9A" w:rsidRPr="00564C0E" w:rsidRDefault="00230B9A" w:rsidP="00316C74">
            <w:pPr>
              <w:rPr>
                <w:rFonts w:eastAsia="Arial" w:cs="Arial"/>
                <w:szCs w:val="20"/>
              </w:rPr>
            </w:pPr>
          </w:p>
        </w:tc>
        <w:tc>
          <w:tcPr>
            <w:tcW w:w="1984" w:type="dxa"/>
            <w:tcBorders>
              <w:top w:val="single" w:sz="4" w:space="0" w:color="auto"/>
            </w:tcBorders>
            <w:shd w:val="clear" w:color="auto" w:fill="FFFFFF" w:themeFill="background1"/>
            <w:tcMar>
              <w:left w:w="105" w:type="dxa"/>
              <w:right w:w="105" w:type="dxa"/>
            </w:tcMar>
          </w:tcPr>
          <w:p w14:paraId="7D006231" w14:textId="77777777" w:rsidR="00230B9A" w:rsidRPr="00564C0E" w:rsidRDefault="00230B9A" w:rsidP="00B55164">
            <w:pPr>
              <w:spacing w:after="0"/>
              <w:cnfStyle w:val="000000100000" w:firstRow="0" w:lastRow="0" w:firstColumn="0" w:lastColumn="0" w:oddVBand="0" w:evenVBand="0" w:oddHBand="1" w:evenHBand="0" w:firstRowFirstColumn="0" w:firstRowLastColumn="0" w:lastRowFirstColumn="0" w:lastRowLastColumn="0"/>
              <w:rPr>
                <w:rFonts w:eastAsia="Arial" w:cs="Arial"/>
                <w:szCs w:val="20"/>
              </w:rPr>
            </w:pPr>
            <w:r w:rsidRPr="00564C0E">
              <w:rPr>
                <w:rFonts w:eastAsia="Arial" w:cs="Arial"/>
                <w:szCs w:val="20"/>
              </w:rPr>
              <w:t>5.6 GHz</w:t>
            </w:r>
          </w:p>
        </w:tc>
        <w:tc>
          <w:tcPr>
            <w:tcW w:w="2986" w:type="dxa"/>
            <w:gridSpan w:val="2"/>
            <w:tcBorders>
              <w:top w:val="single" w:sz="4" w:space="0" w:color="auto"/>
            </w:tcBorders>
            <w:shd w:val="clear" w:color="auto" w:fill="FFFFFF" w:themeFill="background1"/>
            <w:tcMar>
              <w:left w:w="105" w:type="dxa"/>
              <w:right w:w="105" w:type="dxa"/>
            </w:tcMar>
          </w:tcPr>
          <w:p w14:paraId="12C3FBE6" w14:textId="1657E8C8" w:rsidR="00230B9A" w:rsidRPr="00564C0E" w:rsidRDefault="00230B9A" w:rsidP="00B55164">
            <w:pPr>
              <w:spacing w:after="0"/>
              <w:cnfStyle w:val="000000100000" w:firstRow="0" w:lastRow="0" w:firstColumn="0" w:lastColumn="0" w:oddVBand="0" w:evenVBand="0" w:oddHBand="1" w:evenHBand="0" w:firstRowFirstColumn="0" w:firstRowLastColumn="0" w:lastRowFirstColumn="0" w:lastRowLastColumn="0"/>
              <w:rPr>
                <w:rFonts w:eastAsia="Arial" w:cs="Arial"/>
                <w:szCs w:val="20"/>
              </w:rPr>
            </w:pPr>
            <w:r w:rsidRPr="00564C0E">
              <w:rPr>
                <w:rFonts w:eastAsia="Arial" w:cs="Arial"/>
                <w:szCs w:val="20"/>
              </w:rPr>
              <w:t xml:space="preserve">Available in regional areas. </w:t>
            </w:r>
            <w:r>
              <w:rPr>
                <w:rFonts w:eastAsia="Arial" w:cs="Arial"/>
                <w:szCs w:val="20"/>
              </w:rPr>
              <w:t xml:space="preserve">Used by </w:t>
            </w:r>
            <w:r w:rsidR="00046663">
              <w:rPr>
                <w:rFonts w:eastAsia="Arial" w:cs="Arial"/>
                <w:szCs w:val="20"/>
              </w:rPr>
              <w:t>WISPs</w:t>
            </w:r>
            <w:r>
              <w:rPr>
                <w:rFonts w:eastAsia="Arial" w:cs="Arial"/>
                <w:szCs w:val="20"/>
              </w:rPr>
              <w:t xml:space="preserve"> and mining operations</w:t>
            </w:r>
          </w:p>
        </w:tc>
        <w:tc>
          <w:tcPr>
            <w:tcW w:w="1267" w:type="dxa"/>
            <w:tcBorders>
              <w:top w:val="single" w:sz="4" w:space="0" w:color="auto"/>
            </w:tcBorders>
            <w:shd w:val="clear" w:color="auto" w:fill="FFFFFF" w:themeFill="background1"/>
          </w:tcPr>
          <w:p w14:paraId="03A3510B" w14:textId="77777777" w:rsidR="00230B9A" w:rsidRPr="00564C0E" w:rsidRDefault="00230B9A" w:rsidP="00B55164">
            <w:pPr>
              <w:spacing w:after="0"/>
              <w:cnfStyle w:val="000000100000" w:firstRow="0" w:lastRow="0" w:firstColumn="0" w:lastColumn="0" w:oddVBand="0" w:evenVBand="0" w:oddHBand="1" w:evenHBand="0" w:firstRowFirstColumn="0" w:firstRowLastColumn="0" w:lastRowFirstColumn="0" w:lastRowLastColumn="0"/>
              <w:rPr>
                <w:rFonts w:eastAsia="Arial" w:cs="Arial"/>
                <w:szCs w:val="20"/>
              </w:rPr>
            </w:pPr>
            <w:r>
              <w:rPr>
                <w:rFonts w:eastAsia="Arial" w:cs="Arial"/>
                <w:szCs w:val="20"/>
              </w:rPr>
              <w:t>Apparatus licence</w:t>
            </w:r>
          </w:p>
        </w:tc>
      </w:tr>
      <w:tr w:rsidR="00230B9A" w:rsidRPr="00564C0E" w14:paraId="3879A7CE" w14:textId="77777777" w:rsidTr="0036639A">
        <w:trPr>
          <w:trHeight w:val="890"/>
        </w:trPr>
        <w:tc>
          <w:tcPr>
            <w:cnfStyle w:val="001000000000" w:firstRow="0" w:lastRow="0" w:firstColumn="1" w:lastColumn="0" w:oddVBand="0" w:evenVBand="0" w:oddHBand="0" w:evenHBand="0" w:firstRowFirstColumn="0" w:firstRowLastColumn="0" w:lastRowFirstColumn="0" w:lastRowLastColumn="0"/>
            <w:tcW w:w="1555" w:type="dxa"/>
            <w:vMerge w:val="restart"/>
            <w:shd w:val="clear" w:color="auto" w:fill="F2F2F2" w:themeFill="background1" w:themeFillShade="F2"/>
            <w:tcMar>
              <w:left w:w="105" w:type="dxa"/>
              <w:right w:w="105" w:type="dxa"/>
            </w:tcMar>
            <w:vAlign w:val="center"/>
          </w:tcPr>
          <w:p w14:paraId="6D848246" w14:textId="458A073D" w:rsidR="00230B9A" w:rsidRPr="00564C0E" w:rsidRDefault="00230B9A" w:rsidP="00316C74">
            <w:pPr>
              <w:rPr>
                <w:rFonts w:eastAsia="Arial" w:cs="Arial"/>
                <w:szCs w:val="20"/>
              </w:rPr>
            </w:pPr>
            <w:proofErr w:type="gramStart"/>
            <w:r w:rsidRPr="00564C0E">
              <w:rPr>
                <w:rFonts w:eastAsia="Arial" w:cs="Arial"/>
                <w:szCs w:val="20"/>
              </w:rPr>
              <w:t>High</w:t>
            </w:r>
            <w:r w:rsidR="00D43C6C">
              <w:rPr>
                <w:rFonts w:eastAsia="Arial" w:cs="Arial"/>
                <w:szCs w:val="20"/>
              </w:rPr>
              <w:t>-b</w:t>
            </w:r>
            <w:r w:rsidRPr="00564C0E">
              <w:rPr>
                <w:rFonts w:eastAsia="Arial" w:cs="Arial"/>
                <w:szCs w:val="20"/>
              </w:rPr>
              <w:t>and</w:t>
            </w:r>
            <w:proofErr w:type="gramEnd"/>
          </w:p>
        </w:tc>
        <w:tc>
          <w:tcPr>
            <w:tcW w:w="1984" w:type="dxa"/>
            <w:shd w:val="clear" w:color="auto" w:fill="F2F2F2" w:themeFill="background1" w:themeFillShade="F2"/>
            <w:tcMar>
              <w:left w:w="105" w:type="dxa"/>
              <w:right w:w="105" w:type="dxa"/>
            </w:tcMar>
          </w:tcPr>
          <w:p w14:paraId="7B34D1A2" w14:textId="1DD90C71" w:rsidR="00230B9A" w:rsidRDefault="00230B9A" w:rsidP="00D43C6C">
            <w:pPr>
              <w:spacing w:after="0"/>
              <w:cnfStyle w:val="000000000000" w:firstRow="0" w:lastRow="0" w:firstColumn="0" w:lastColumn="0" w:oddVBand="0" w:evenVBand="0" w:oddHBand="0" w:evenHBand="0" w:firstRowFirstColumn="0" w:firstRowLastColumn="0" w:lastRowFirstColumn="0" w:lastRowLastColumn="0"/>
              <w:rPr>
                <w:rFonts w:eastAsia="Arial" w:cs="Arial"/>
                <w:szCs w:val="20"/>
              </w:rPr>
            </w:pPr>
            <w:r w:rsidRPr="00564C0E">
              <w:rPr>
                <w:rFonts w:eastAsia="Arial" w:cs="Arial"/>
                <w:szCs w:val="20"/>
              </w:rPr>
              <w:t>24.25–25.1 GHz</w:t>
            </w:r>
            <w:r w:rsidR="00046663">
              <w:rPr>
                <w:rFonts w:eastAsia="Arial" w:cs="Arial"/>
                <w:szCs w:val="20"/>
              </w:rPr>
              <w:t xml:space="preserve">, </w:t>
            </w:r>
            <w:r w:rsidRPr="00564C0E">
              <w:rPr>
                <w:rFonts w:eastAsia="Arial" w:cs="Arial"/>
                <w:szCs w:val="20"/>
              </w:rPr>
              <w:t>24.7</w:t>
            </w:r>
            <w:r w:rsidR="00046663">
              <w:rPr>
                <w:rFonts w:eastAsia="Arial" w:cs="Arial"/>
                <w:szCs w:val="20"/>
              </w:rPr>
              <w:t>–</w:t>
            </w:r>
            <w:r w:rsidRPr="00564C0E">
              <w:rPr>
                <w:rFonts w:eastAsia="Arial" w:cs="Arial"/>
                <w:szCs w:val="20"/>
              </w:rPr>
              <w:t xml:space="preserve">25.1 GHz </w:t>
            </w:r>
          </w:p>
          <w:p w14:paraId="345B407E" w14:textId="4B9AEC07" w:rsidR="00230B9A" w:rsidRDefault="00046663" w:rsidP="00D43C6C">
            <w:pPr>
              <w:spacing w:after="0"/>
              <w:cnfStyle w:val="000000000000" w:firstRow="0" w:lastRow="0" w:firstColumn="0" w:lastColumn="0" w:oddVBand="0" w:evenVBand="0" w:oddHBand="0" w:evenHBand="0" w:firstRowFirstColumn="0" w:firstRowLastColumn="0" w:lastRowFirstColumn="0" w:lastRowLastColumn="0"/>
              <w:rPr>
                <w:rFonts w:eastAsia="Arial" w:cs="Arial"/>
                <w:szCs w:val="20"/>
              </w:rPr>
            </w:pPr>
            <w:r>
              <w:rPr>
                <w:rFonts w:eastAsia="Arial" w:cs="Arial"/>
                <w:szCs w:val="20"/>
              </w:rPr>
              <w:t>and</w:t>
            </w:r>
          </w:p>
          <w:p w14:paraId="2BC5F95E" w14:textId="1F93A6EF" w:rsidR="00230B9A" w:rsidRPr="00564C0E" w:rsidRDefault="00230B9A" w:rsidP="00D43C6C">
            <w:pPr>
              <w:spacing w:after="0"/>
              <w:cnfStyle w:val="000000000000" w:firstRow="0" w:lastRow="0" w:firstColumn="0" w:lastColumn="0" w:oddVBand="0" w:evenVBand="0" w:oddHBand="0" w:evenHBand="0" w:firstRowFirstColumn="0" w:firstRowLastColumn="0" w:lastRowFirstColumn="0" w:lastRowLastColumn="0"/>
              <w:rPr>
                <w:rFonts w:eastAsia="Arial" w:cs="Arial"/>
                <w:szCs w:val="20"/>
              </w:rPr>
            </w:pPr>
            <w:r w:rsidRPr="00564C0E">
              <w:rPr>
                <w:rFonts w:eastAsia="Arial" w:cs="Arial"/>
                <w:szCs w:val="20"/>
              </w:rPr>
              <w:t>27.5</w:t>
            </w:r>
            <w:r w:rsidR="00046663">
              <w:rPr>
                <w:rFonts w:eastAsia="Arial" w:cs="Arial"/>
                <w:szCs w:val="20"/>
              </w:rPr>
              <w:t>–</w:t>
            </w:r>
            <w:r w:rsidRPr="00564C0E">
              <w:rPr>
                <w:rFonts w:eastAsia="Arial" w:cs="Arial"/>
                <w:szCs w:val="20"/>
              </w:rPr>
              <w:t>29.5 GHz</w:t>
            </w:r>
          </w:p>
        </w:tc>
        <w:tc>
          <w:tcPr>
            <w:tcW w:w="2986" w:type="dxa"/>
            <w:gridSpan w:val="2"/>
            <w:shd w:val="clear" w:color="auto" w:fill="F2F2F2" w:themeFill="background1" w:themeFillShade="F2"/>
            <w:tcMar>
              <w:left w:w="105" w:type="dxa"/>
              <w:right w:w="105" w:type="dxa"/>
            </w:tcMar>
          </w:tcPr>
          <w:p w14:paraId="3DEC9B6D" w14:textId="5B448D0B" w:rsidR="00230B9A" w:rsidRPr="00564C0E" w:rsidRDefault="00230B9A" w:rsidP="00D43C6C">
            <w:pPr>
              <w:spacing w:after="0"/>
              <w:cnfStyle w:val="000000000000" w:firstRow="0" w:lastRow="0" w:firstColumn="0" w:lastColumn="0" w:oddVBand="0" w:evenVBand="0" w:oddHBand="0" w:evenHBand="0" w:firstRowFirstColumn="0" w:firstRowLastColumn="0" w:lastRowFirstColumn="0" w:lastRowLastColumn="0"/>
              <w:rPr>
                <w:rFonts w:eastAsia="Arial" w:cs="Arial"/>
                <w:b/>
                <w:bCs/>
                <w:szCs w:val="20"/>
              </w:rPr>
            </w:pPr>
            <w:r w:rsidRPr="00564C0E">
              <w:rPr>
                <w:rFonts w:eastAsia="Arial" w:cs="Arial"/>
                <w:szCs w:val="20"/>
              </w:rPr>
              <w:t>Available for private wireless networks Australia-wide through apparatus licensing</w:t>
            </w:r>
          </w:p>
        </w:tc>
        <w:tc>
          <w:tcPr>
            <w:tcW w:w="1267" w:type="dxa"/>
            <w:shd w:val="clear" w:color="auto" w:fill="F2F2F2" w:themeFill="background1" w:themeFillShade="F2"/>
          </w:tcPr>
          <w:p w14:paraId="39136796" w14:textId="77777777" w:rsidR="00230B9A" w:rsidRPr="00564C0E" w:rsidRDefault="00230B9A" w:rsidP="00B55164">
            <w:pPr>
              <w:spacing w:after="0"/>
              <w:cnfStyle w:val="000000000000" w:firstRow="0" w:lastRow="0" w:firstColumn="0" w:lastColumn="0" w:oddVBand="0" w:evenVBand="0" w:oddHBand="0" w:evenHBand="0" w:firstRowFirstColumn="0" w:firstRowLastColumn="0" w:lastRowFirstColumn="0" w:lastRowLastColumn="0"/>
              <w:rPr>
                <w:rFonts w:eastAsia="Arial" w:cs="Arial"/>
                <w:szCs w:val="20"/>
              </w:rPr>
            </w:pPr>
            <w:r>
              <w:rPr>
                <w:rFonts w:eastAsia="Arial" w:cs="Arial"/>
                <w:szCs w:val="20"/>
              </w:rPr>
              <w:t>Apparatus licence</w:t>
            </w:r>
          </w:p>
        </w:tc>
      </w:tr>
      <w:tr w:rsidR="00230B9A" w:rsidRPr="00564C0E" w14:paraId="61EC7212" w14:textId="77777777" w:rsidTr="0036639A">
        <w:trPr>
          <w:cnfStyle w:val="000000100000" w:firstRow="0" w:lastRow="0" w:firstColumn="0" w:lastColumn="0" w:oddVBand="0" w:evenVBand="0" w:oddHBand="1" w:evenHBand="0" w:firstRowFirstColumn="0" w:firstRowLastColumn="0" w:lastRowFirstColumn="0" w:lastRowLastColumn="0"/>
          <w:trHeight w:val="593"/>
        </w:trPr>
        <w:tc>
          <w:tcPr>
            <w:cnfStyle w:val="001000000000" w:firstRow="0" w:lastRow="0" w:firstColumn="1" w:lastColumn="0" w:oddVBand="0" w:evenVBand="0" w:oddHBand="0" w:evenHBand="0" w:firstRowFirstColumn="0" w:firstRowLastColumn="0" w:lastRowFirstColumn="0" w:lastRowLastColumn="0"/>
            <w:tcW w:w="1555" w:type="dxa"/>
            <w:vMerge/>
            <w:shd w:val="clear" w:color="auto" w:fill="F2F2F2" w:themeFill="background1" w:themeFillShade="F2"/>
            <w:tcMar>
              <w:left w:w="105" w:type="dxa"/>
              <w:right w:w="105" w:type="dxa"/>
            </w:tcMar>
            <w:vAlign w:val="center"/>
          </w:tcPr>
          <w:p w14:paraId="2E275A29" w14:textId="77777777" w:rsidR="00230B9A" w:rsidRPr="00564C0E" w:rsidRDefault="00230B9A" w:rsidP="00316C74">
            <w:pPr>
              <w:rPr>
                <w:rFonts w:eastAsia="Arial" w:cs="Arial"/>
                <w:szCs w:val="20"/>
              </w:rPr>
            </w:pPr>
          </w:p>
        </w:tc>
        <w:tc>
          <w:tcPr>
            <w:tcW w:w="1984" w:type="dxa"/>
            <w:shd w:val="clear" w:color="auto" w:fill="F2F2F2" w:themeFill="background1" w:themeFillShade="F2"/>
            <w:tcMar>
              <w:left w:w="105" w:type="dxa"/>
              <w:right w:w="105" w:type="dxa"/>
            </w:tcMar>
          </w:tcPr>
          <w:p w14:paraId="36BAA5F2" w14:textId="5B3EFC30" w:rsidR="00230B9A" w:rsidRPr="00564C0E" w:rsidRDefault="00230B9A" w:rsidP="00B55164">
            <w:pPr>
              <w:spacing w:after="0"/>
              <w:cnfStyle w:val="000000100000" w:firstRow="0" w:lastRow="0" w:firstColumn="0" w:lastColumn="0" w:oddVBand="0" w:evenVBand="0" w:oddHBand="1" w:evenHBand="0" w:firstRowFirstColumn="0" w:firstRowLastColumn="0" w:lastRowFirstColumn="0" w:lastRowLastColumn="0"/>
              <w:rPr>
                <w:rFonts w:eastAsia="Arial" w:cs="Arial"/>
                <w:szCs w:val="20"/>
              </w:rPr>
            </w:pPr>
            <w:r w:rsidRPr="00564C0E">
              <w:rPr>
                <w:rFonts w:eastAsia="Arial" w:cs="Arial"/>
                <w:szCs w:val="20"/>
              </w:rPr>
              <w:t>25.1</w:t>
            </w:r>
            <w:r w:rsidR="00046663">
              <w:rPr>
                <w:rFonts w:eastAsia="Arial" w:cs="Arial"/>
                <w:szCs w:val="20"/>
              </w:rPr>
              <w:t>–</w:t>
            </w:r>
            <w:r w:rsidRPr="00564C0E">
              <w:rPr>
                <w:rFonts w:eastAsia="Arial" w:cs="Arial"/>
                <w:szCs w:val="20"/>
              </w:rPr>
              <w:t>27.5 GHz</w:t>
            </w:r>
          </w:p>
        </w:tc>
        <w:tc>
          <w:tcPr>
            <w:tcW w:w="2986" w:type="dxa"/>
            <w:gridSpan w:val="2"/>
            <w:shd w:val="clear" w:color="auto" w:fill="F2F2F2" w:themeFill="background1" w:themeFillShade="F2"/>
            <w:tcMar>
              <w:left w:w="105" w:type="dxa"/>
              <w:right w:w="105" w:type="dxa"/>
            </w:tcMar>
          </w:tcPr>
          <w:p w14:paraId="317D0098" w14:textId="55415482" w:rsidR="00230B9A" w:rsidRPr="00D13E45" w:rsidRDefault="00230B9A" w:rsidP="00B55164">
            <w:pPr>
              <w:spacing w:after="0"/>
              <w:cnfStyle w:val="000000100000" w:firstRow="0" w:lastRow="0" w:firstColumn="0" w:lastColumn="0" w:oddVBand="0" w:evenVBand="0" w:oddHBand="1" w:evenHBand="0" w:firstRowFirstColumn="0" w:firstRowLastColumn="0" w:lastRowFirstColumn="0" w:lastRowLastColumn="0"/>
              <w:rPr>
                <w:rFonts w:eastAsia="Arial" w:cs="Arial"/>
                <w:szCs w:val="20"/>
              </w:rPr>
            </w:pPr>
            <w:r w:rsidRPr="00D13E45">
              <w:rPr>
                <w:rFonts w:eastAsia="Arial" w:cs="Arial"/>
                <w:szCs w:val="20"/>
              </w:rPr>
              <w:t xml:space="preserve">Available for private wireless networks in regional and remote areas </w:t>
            </w:r>
          </w:p>
        </w:tc>
        <w:tc>
          <w:tcPr>
            <w:tcW w:w="1267" w:type="dxa"/>
            <w:tcBorders>
              <w:top w:val="single" w:sz="4" w:space="0" w:color="auto"/>
            </w:tcBorders>
            <w:shd w:val="clear" w:color="auto" w:fill="F2F2F2" w:themeFill="background1" w:themeFillShade="F2"/>
          </w:tcPr>
          <w:p w14:paraId="238C8C3B" w14:textId="77777777" w:rsidR="00230B9A" w:rsidRPr="00D13E45" w:rsidRDefault="00230B9A" w:rsidP="00B55164">
            <w:pPr>
              <w:spacing w:after="0"/>
              <w:cnfStyle w:val="000000100000" w:firstRow="0" w:lastRow="0" w:firstColumn="0" w:lastColumn="0" w:oddVBand="0" w:evenVBand="0" w:oddHBand="1" w:evenHBand="0" w:firstRowFirstColumn="0" w:firstRowLastColumn="0" w:lastRowFirstColumn="0" w:lastRowLastColumn="0"/>
              <w:rPr>
                <w:rFonts w:eastAsia="Arial" w:cs="Arial"/>
                <w:szCs w:val="20"/>
              </w:rPr>
            </w:pPr>
            <w:r w:rsidRPr="00D13E45">
              <w:rPr>
                <w:rFonts w:eastAsia="Arial" w:cs="Arial"/>
                <w:szCs w:val="20"/>
              </w:rPr>
              <w:t>Apparatus licence</w:t>
            </w:r>
          </w:p>
        </w:tc>
      </w:tr>
    </w:tbl>
    <w:p w14:paraId="46E1170C" w14:textId="2B8C49A3" w:rsidR="00230B9A" w:rsidRDefault="00230B9A" w:rsidP="00CD264D">
      <w:pPr>
        <w:pStyle w:val="Tableorfigurenote"/>
        <w:rPr>
          <w:rFonts w:eastAsia="Arial"/>
        </w:rPr>
      </w:pPr>
      <w:r>
        <w:rPr>
          <w:rFonts w:eastAsia="Arial"/>
        </w:rPr>
        <w:t>*Following consultation on potential interference with altimeters operating at 4.2</w:t>
      </w:r>
      <w:r w:rsidR="00046663">
        <w:rPr>
          <w:rFonts w:eastAsia="Arial"/>
        </w:rPr>
        <w:t>–</w:t>
      </w:r>
      <w:r>
        <w:rPr>
          <w:rFonts w:eastAsia="Arial"/>
        </w:rPr>
        <w:t>4.4 GHz, the ACMA agreed to mitigations on new wireless broadband deployments near airports and at frequencies above 3.7 GHz until 31 March 2026. This will give the aviation sector time to</w:t>
      </w:r>
      <w:r w:rsidR="00731501">
        <w:rPr>
          <w:rFonts w:eastAsia="Arial"/>
        </w:rPr>
        <w:t xml:space="preserve"> upgrade</w:t>
      </w:r>
      <w:r>
        <w:rPr>
          <w:rFonts w:eastAsia="Arial"/>
        </w:rPr>
        <w:t xml:space="preserve"> radio altimeter performance. Full details in the </w:t>
      </w:r>
      <w:hyperlink r:id="rId41" w:history="1">
        <w:r w:rsidR="00046663" w:rsidRPr="00046663">
          <w:rPr>
            <w:rStyle w:val="Hyperlink"/>
            <w:rFonts w:eastAsia="Arial"/>
          </w:rPr>
          <w:t>o</w:t>
        </w:r>
        <w:r w:rsidRPr="00046663">
          <w:rPr>
            <w:rStyle w:val="Hyperlink"/>
            <w:rFonts w:eastAsia="Arial"/>
          </w:rPr>
          <w:t xml:space="preserve">utcomes </w:t>
        </w:r>
        <w:r w:rsidR="00046663" w:rsidRPr="00046663">
          <w:rPr>
            <w:rStyle w:val="Hyperlink"/>
            <w:rFonts w:eastAsia="Arial"/>
          </w:rPr>
          <w:t>p</w:t>
        </w:r>
        <w:r w:rsidRPr="00046663">
          <w:rPr>
            <w:rStyle w:val="Hyperlink"/>
            <w:rFonts w:eastAsia="Arial"/>
          </w:rPr>
          <w:t>aper</w:t>
        </w:r>
      </w:hyperlink>
      <w:r>
        <w:rPr>
          <w:rFonts w:eastAsia="Arial"/>
        </w:rPr>
        <w:t xml:space="preserve"> </w:t>
      </w:r>
      <w:r w:rsidR="00046663" w:rsidRPr="00450072">
        <w:rPr>
          <w:rFonts w:eastAsia="Arial"/>
        </w:rPr>
        <w:t>released</w:t>
      </w:r>
      <w:r>
        <w:rPr>
          <w:rFonts w:eastAsia="Arial"/>
        </w:rPr>
        <w:t xml:space="preserve"> in June 2023. </w:t>
      </w:r>
    </w:p>
    <w:p w14:paraId="443E0086" w14:textId="6E443B9C" w:rsidR="00230B9A" w:rsidRDefault="00230B9A" w:rsidP="00CD264D">
      <w:pPr>
        <w:pStyle w:val="Paragraph"/>
        <w:rPr>
          <w:rFonts w:eastAsia="Arial"/>
        </w:rPr>
      </w:pPr>
      <w:r>
        <w:rPr>
          <w:rFonts w:eastAsia="Arial"/>
        </w:rPr>
        <w:t>There are also multiple class licences available</w:t>
      </w:r>
      <w:r w:rsidR="00731501">
        <w:rPr>
          <w:rFonts w:eastAsia="Arial"/>
        </w:rPr>
        <w:t>. Of most interest for private networks is the Radiocommunications</w:t>
      </w:r>
      <w:r w:rsidR="002D6461">
        <w:rPr>
          <w:rFonts w:eastAsia="Arial"/>
        </w:rPr>
        <w:t xml:space="preserve"> (Low Interference Potential Devices) Class Licence 2015. </w:t>
      </w:r>
      <w:r>
        <w:rPr>
          <w:rFonts w:eastAsia="Arial"/>
        </w:rPr>
        <w:t>They are free</w:t>
      </w:r>
      <w:r w:rsidR="002B7E24">
        <w:rPr>
          <w:rFonts w:eastAsia="Arial"/>
        </w:rPr>
        <w:t xml:space="preserve"> to use, but there is no coordinated protection from interference and users need to consider if they are fit for purp</w:t>
      </w:r>
      <w:r w:rsidR="00650FBB">
        <w:rPr>
          <w:rFonts w:eastAsia="Arial"/>
        </w:rPr>
        <w:t xml:space="preserve">ose. </w:t>
      </w:r>
    </w:p>
    <w:p w14:paraId="19A6F45E" w14:textId="77777777" w:rsidR="00230B9A" w:rsidRDefault="00230B9A" w:rsidP="00CD264D">
      <w:pPr>
        <w:pStyle w:val="Paragraph"/>
        <w:rPr>
          <w:rFonts w:eastAsia="Arial"/>
        </w:rPr>
      </w:pPr>
      <w:r>
        <w:rPr>
          <w:rFonts w:eastAsia="Arial"/>
        </w:rPr>
        <w:t xml:space="preserve">A full list is available in schedule 1 of the </w:t>
      </w:r>
      <w:hyperlink r:id="rId42" w:history="1">
        <w:r w:rsidRPr="00C32A80">
          <w:rPr>
            <w:rStyle w:val="Hyperlink"/>
            <w:rFonts w:eastAsia="Arial"/>
            <w:szCs w:val="20"/>
          </w:rPr>
          <w:t>Radiocommunications (Low Interference Potential Devices) Class Licence 2015</w:t>
        </w:r>
      </w:hyperlink>
      <w:r>
        <w:rPr>
          <w:rFonts w:eastAsia="Arial"/>
        </w:rPr>
        <w:t>.</w:t>
      </w:r>
    </w:p>
    <w:p w14:paraId="34F96BE7" w14:textId="77777777" w:rsidR="00230B9A" w:rsidRDefault="00230B9A" w:rsidP="00CD264D">
      <w:pPr>
        <w:pStyle w:val="Tableheading"/>
      </w:pPr>
      <w:r>
        <w:t xml:space="preserve">Examples of class licences </w:t>
      </w:r>
    </w:p>
    <w:tbl>
      <w:tblPr>
        <w:tblStyle w:val="GridTable4"/>
        <w:tblW w:w="7792" w:type="dxa"/>
        <w:tblInd w:w="-3" w:type="dxa"/>
        <w:tblLayout w:type="fixed"/>
        <w:tblCellMar>
          <w:top w:w="85" w:type="dxa"/>
          <w:left w:w="57" w:type="dxa"/>
          <w:bottom w:w="85" w:type="dxa"/>
          <w:right w:w="57" w:type="dxa"/>
        </w:tblCellMar>
        <w:tblLook w:val="04A0" w:firstRow="1" w:lastRow="0" w:firstColumn="1" w:lastColumn="0" w:noHBand="0" w:noVBand="1"/>
      </w:tblPr>
      <w:tblGrid>
        <w:gridCol w:w="2175"/>
        <w:gridCol w:w="1931"/>
        <w:gridCol w:w="2126"/>
        <w:gridCol w:w="1560"/>
      </w:tblGrid>
      <w:tr w:rsidR="00230B9A" w:rsidRPr="00564C0E" w14:paraId="3657EF48" w14:textId="77777777" w:rsidTr="0036639A">
        <w:trPr>
          <w:cnfStyle w:val="100000000000" w:firstRow="1" w:lastRow="0" w:firstColumn="0" w:lastColumn="0" w:oddVBand="0" w:evenVBand="0" w:oddHBand="0" w:evenHBand="0" w:firstRowFirstColumn="0" w:firstRowLastColumn="0" w:lastRowFirstColumn="0" w:lastRowLastColumn="0"/>
          <w:trHeight w:val="101"/>
          <w:tblHeader/>
        </w:trPr>
        <w:tc>
          <w:tcPr>
            <w:cnfStyle w:val="001000000000" w:firstRow="0" w:lastRow="0" w:firstColumn="1" w:lastColumn="0" w:oddVBand="0" w:evenVBand="0" w:oddHBand="0" w:evenHBand="0" w:firstRowFirstColumn="0" w:firstRowLastColumn="0" w:lastRowFirstColumn="0" w:lastRowLastColumn="0"/>
            <w:tcW w:w="2175" w:type="dxa"/>
            <w:tcBorders>
              <w:top w:val="single" w:sz="6" w:space="0" w:color="000000" w:themeColor="text1"/>
              <w:left w:val="single" w:sz="6" w:space="0" w:color="000000" w:themeColor="text1"/>
              <w:bottom w:val="single" w:sz="6" w:space="0" w:color="000000" w:themeColor="text1"/>
            </w:tcBorders>
            <w:shd w:val="clear" w:color="auto" w:fill="404040" w:themeFill="text1" w:themeFillTint="BF"/>
            <w:tcMar>
              <w:left w:w="105" w:type="dxa"/>
              <w:right w:w="105" w:type="dxa"/>
            </w:tcMar>
          </w:tcPr>
          <w:p w14:paraId="5FAD47C5" w14:textId="77777777" w:rsidR="00230B9A" w:rsidRPr="00564C0E" w:rsidRDefault="00230B9A" w:rsidP="00B55164">
            <w:pPr>
              <w:spacing w:after="0"/>
              <w:rPr>
                <w:rFonts w:eastAsia="Arial" w:cs="Arial"/>
                <w:szCs w:val="20"/>
              </w:rPr>
            </w:pPr>
            <w:r w:rsidRPr="00564C0E">
              <w:rPr>
                <w:rFonts w:eastAsia="Arial" w:cs="Arial"/>
                <w:szCs w:val="20"/>
              </w:rPr>
              <w:t>Band</w:t>
            </w:r>
          </w:p>
        </w:tc>
        <w:tc>
          <w:tcPr>
            <w:tcW w:w="1931" w:type="dxa"/>
            <w:tcBorders>
              <w:top w:val="single" w:sz="6" w:space="0" w:color="000000" w:themeColor="text1"/>
              <w:bottom w:val="single" w:sz="6" w:space="0" w:color="000000" w:themeColor="text1"/>
            </w:tcBorders>
            <w:shd w:val="clear" w:color="auto" w:fill="404040" w:themeFill="text1" w:themeFillTint="BF"/>
            <w:tcMar>
              <w:left w:w="105" w:type="dxa"/>
              <w:right w:w="105" w:type="dxa"/>
            </w:tcMar>
          </w:tcPr>
          <w:p w14:paraId="15A73C04" w14:textId="77777777" w:rsidR="00230B9A" w:rsidRPr="00564C0E" w:rsidRDefault="00230B9A" w:rsidP="00B55164">
            <w:pPr>
              <w:spacing w:after="0"/>
              <w:cnfStyle w:val="100000000000" w:firstRow="1" w:lastRow="0" w:firstColumn="0" w:lastColumn="0" w:oddVBand="0" w:evenVBand="0" w:oddHBand="0" w:evenHBand="0" w:firstRowFirstColumn="0" w:firstRowLastColumn="0" w:lastRowFirstColumn="0" w:lastRowLastColumn="0"/>
              <w:rPr>
                <w:rFonts w:eastAsia="Arial" w:cs="Arial"/>
                <w:b w:val="0"/>
                <w:szCs w:val="20"/>
              </w:rPr>
            </w:pPr>
            <w:r w:rsidRPr="00564C0E">
              <w:rPr>
                <w:rFonts w:eastAsia="Arial" w:cs="Arial"/>
                <w:szCs w:val="20"/>
              </w:rPr>
              <w:t>Location</w:t>
            </w:r>
          </w:p>
        </w:tc>
        <w:tc>
          <w:tcPr>
            <w:tcW w:w="2126" w:type="dxa"/>
            <w:tcBorders>
              <w:top w:val="single" w:sz="6" w:space="0" w:color="000000" w:themeColor="text1"/>
              <w:bottom w:val="single" w:sz="6" w:space="0" w:color="000000" w:themeColor="text1"/>
              <w:right w:val="single" w:sz="6" w:space="0" w:color="000000" w:themeColor="text1"/>
            </w:tcBorders>
            <w:shd w:val="clear" w:color="auto" w:fill="404040" w:themeFill="text1" w:themeFillTint="BF"/>
            <w:tcMar>
              <w:left w:w="105" w:type="dxa"/>
              <w:right w:w="105" w:type="dxa"/>
            </w:tcMar>
          </w:tcPr>
          <w:p w14:paraId="4BB62B10" w14:textId="77777777" w:rsidR="00230B9A" w:rsidRPr="00564C0E" w:rsidRDefault="00230B9A" w:rsidP="00B55164">
            <w:pPr>
              <w:spacing w:after="0"/>
              <w:cnfStyle w:val="100000000000" w:firstRow="1" w:lastRow="0" w:firstColumn="0" w:lastColumn="0" w:oddVBand="0" w:evenVBand="0" w:oddHBand="0" w:evenHBand="0" w:firstRowFirstColumn="0" w:firstRowLastColumn="0" w:lastRowFirstColumn="0" w:lastRowLastColumn="0"/>
              <w:rPr>
                <w:rFonts w:eastAsia="Arial" w:cs="Arial"/>
                <w:b w:val="0"/>
                <w:szCs w:val="20"/>
              </w:rPr>
            </w:pPr>
            <w:r w:rsidRPr="00564C0E">
              <w:rPr>
                <w:rFonts w:eastAsia="Arial" w:cs="Arial"/>
                <w:szCs w:val="20"/>
              </w:rPr>
              <w:t>Relevance to private wireless networks</w:t>
            </w:r>
          </w:p>
        </w:tc>
        <w:tc>
          <w:tcPr>
            <w:tcW w:w="1560" w:type="dxa"/>
            <w:tcBorders>
              <w:top w:val="single" w:sz="6" w:space="0" w:color="000000" w:themeColor="text1"/>
              <w:bottom w:val="single" w:sz="6" w:space="0" w:color="000000" w:themeColor="text1"/>
              <w:right w:val="single" w:sz="6" w:space="0" w:color="000000" w:themeColor="text1"/>
            </w:tcBorders>
            <w:shd w:val="clear" w:color="auto" w:fill="404040" w:themeFill="text1" w:themeFillTint="BF"/>
          </w:tcPr>
          <w:p w14:paraId="269ED4D6" w14:textId="77777777" w:rsidR="00230B9A" w:rsidRPr="00564C0E" w:rsidRDefault="00230B9A" w:rsidP="00B55164">
            <w:pPr>
              <w:spacing w:after="0"/>
              <w:cnfStyle w:val="100000000000" w:firstRow="1" w:lastRow="0" w:firstColumn="0" w:lastColumn="0" w:oddVBand="0" w:evenVBand="0" w:oddHBand="0" w:evenHBand="0" w:firstRowFirstColumn="0" w:firstRowLastColumn="0" w:lastRowFirstColumn="0" w:lastRowLastColumn="0"/>
              <w:rPr>
                <w:rFonts w:eastAsia="Arial" w:cs="Arial"/>
                <w:szCs w:val="20"/>
              </w:rPr>
            </w:pPr>
            <w:r w:rsidRPr="00564C0E">
              <w:rPr>
                <w:rFonts w:eastAsia="Arial" w:cs="Arial"/>
                <w:szCs w:val="20"/>
              </w:rPr>
              <w:t>Licence type</w:t>
            </w:r>
          </w:p>
        </w:tc>
      </w:tr>
      <w:tr w:rsidR="00230B9A" w:rsidRPr="00564C0E" w14:paraId="4B632265" w14:textId="77777777" w:rsidTr="0036639A">
        <w:trPr>
          <w:cnfStyle w:val="000000100000" w:firstRow="0" w:lastRow="0" w:firstColumn="0" w:lastColumn="0" w:oddVBand="0" w:evenVBand="0" w:oddHBand="1" w:evenHBand="0" w:firstRowFirstColumn="0" w:firstRowLastColumn="0" w:lastRowFirstColumn="0" w:lastRowLastColumn="0"/>
          <w:trHeight w:val="101"/>
        </w:trPr>
        <w:tc>
          <w:tcPr>
            <w:cnfStyle w:val="001000000000" w:firstRow="0" w:lastRow="0" w:firstColumn="1" w:lastColumn="0" w:oddVBand="0" w:evenVBand="0" w:oddHBand="0" w:evenHBand="0" w:firstRowFirstColumn="0" w:firstRowLastColumn="0" w:lastRowFirstColumn="0" w:lastRowLastColumn="0"/>
            <w:tcW w:w="2175" w:type="dxa"/>
            <w:shd w:val="clear" w:color="auto" w:fill="F2F2F2" w:themeFill="background1" w:themeFillShade="F2"/>
            <w:tcMar>
              <w:left w:w="105" w:type="dxa"/>
              <w:right w:w="105" w:type="dxa"/>
            </w:tcMar>
            <w:vAlign w:val="center"/>
          </w:tcPr>
          <w:p w14:paraId="66837951" w14:textId="1EF59E57" w:rsidR="00230B9A" w:rsidRPr="00564C0E" w:rsidRDefault="00230B9A" w:rsidP="00B55164">
            <w:pPr>
              <w:spacing w:after="0"/>
              <w:rPr>
                <w:rFonts w:eastAsia="Arial" w:cs="Arial"/>
                <w:szCs w:val="20"/>
              </w:rPr>
            </w:pPr>
            <w:proofErr w:type="gramStart"/>
            <w:r w:rsidRPr="00564C0E">
              <w:rPr>
                <w:rFonts w:eastAsia="Arial" w:cs="Arial"/>
                <w:szCs w:val="20"/>
              </w:rPr>
              <w:t>Low</w:t>
            </w:r>
            <w:r w:rsidR="00E31ED8">
              <w:rPr>
                <w:rFonts w:eastAsia="Arial" w:cs="Arial"/>
                <w:szCs w:val="20"/>
              </w:rPr>
              <w:t>-</w:t>
            </w:r>
            <w:r>
              <w:rPr>
                <w:rFonts w:eastAsia="Arial" w:cs="Arial"/>
                <w:szCs w:val="20"/>
              </w:rPr>
              <w:t>b</w:t>
            </w:r>
            <w:r w:rsidRPr="00564C0E">
              <w:rPr>
                <w:rFonts w:eastAsia="Arial" w:cs="Arial"/>
                <w:szCs w:val="20"/>
              </w:rPr>
              <w:t>and</w:t>
            </w:r>
            <w:proofErr w:type="gramEnd"/>
          </w:p>
        </w:tc>
        <w:tc>
          <w:tcPr>
            <w:tcW w:w="1931" w:type="dxa"/>
            <w:shd w:val="clear" w:color="auto" w:fill="F2F2F2" w:themeFill="background1" w:themeFillShade="F2"/>
            <w:tcMar>
              <w:left w:w="105" w:type="dxa"/>
              <w:right w:w="105" w:type="dxa"/>
            </w:tcMar>
            <w:vAlign w:val="center"/>
          </w:tcPr>
          <w:p w14:paraId="5CD2024C" w14:textId="686BBD07" w:rsidR="00230B9A" w:rsidRPr="00564C0E" w:rsidRDefault="00230B9A" w:rsidP="00B55164">
            <w:pPr>
              <w:spacing w:after="0"/>
              <w:cnfStyle w:val="000000100000" w:firstRow="0" w:lastRow="0" w:firstColumn="0" w:lastColumn="0" w:oddVBand="0" w:evenVBand="0" w:oddHBand="1" w:evenHBand="0" w:firstRowFirstColumn="0" w:firstRowLastColumn="0" w:lastRowFirstColumn="0" w:lastRowLastColumn="0"/>
              <w:rPr>
                <w:rFonts w:eastAsia="Arial" w:cs="Arial"/>
                <w:szCs w:val="20"/>
              </w:rPr>
            </w:pPr>
            <w:r w:rsidRPr="00564C0E">
              <w:rPr>
                <w:rFonts w:eastAsia="Arial" w:cs="Arial"/>
                <w:szCs w:val="20"/>
              </w:rPr>
              <w:t>915</w:t>
            </w:r>
            <w:r w:rsidR="00E31ED8" w:rsidRPr="00C23581">
              <w:rPr>
                <w:rFonts w:eastAsia="Arial" w:cs="Arial"/>
                <w:szCs w:val="20"/>
              </w:rPr>
              <w:t>–</w:t>
            </w:r>
            <w:r w:rsidRPr="00564C0E">
              <w:rPr>
                <w:rFonts w:eastAsia="Arial" w:cs="Arial"/>
                <w:szCs w:val="20"/>
              </w:rPr>
              <w:t>935 MHz</w:t>
            </w:r>
          </w:p>
        </w:tc>
        <w:tc>
          <w:tcPr>
            <w:tcW w:w="2126" w:type="dxa"/>
            <w:shd w:val="clear" w:color="auto" w:fill="F2F2F2" w:themeFill="background1" w:themeFillShade="F2"/>
            <w:tcMar>
              <w:left w:w="105" w:type="dxa"/>
              <w:right w:w="105" w:type="dxa"/>
            </w:tcMar>
            <w:vAlign w:val="center"/>
          </w:tcPr>
          <w:p w14:paraId="7FAF10B2" w14:textId="34DF0137" w:rsidR="00230B9A" w:rsidRPr="00564C0E" w:rsidRDefault="00230B9A" w:rsidP="00B55164">
            <w:pPr>
              <w:spacing w:after="0"/>
              <w:cnfStyle w:val="000000100000" w:firstRow="0" w:lastRow="0" w:firstColumn="0" w:lastColumn="0" w:oddVBand="0" w:evenVBand="0" w:oddHBand="1" w:evenHBand="0" w:firstRowFirstColumn="0" w:firstRowLastColumn="0" w:lastRowFirstColumn="0" w:lastRowLastColumn="0"/>
              <w:rPr>
                <w:rFonts w:eastAsia="Arial" w:cs="Arial"/>
                <w:szCs w:val="20"/>
              </w:rPr>
            </w:pPr>
            <w:r>
              <w:rPr>
                <w:rFonts w:eastAsia="Arial" w:cs="Arial"/>
                <w:szCs w:val="20"/>
              </w:rPr>
              <w:t>Flexible use</w:t>
            </w:r>
            <w:r w:rsidR="00D80092">
              <w:rPr>
                <w:rFonts w:eastAsia="Arial" w:cs="Arial"/>
                <w:szCs w:val="20"/>
              </w:rPr>
              <w:t>.</w:t>
            </w:r>
            <w:r>
              <w:rPr>
                <w:rFonts w:eastAsia="Arial" w:cs="Arial"/>
                <w:szCs w:val="20"/>
              </w:rPr>
              <w:t xml:space="preserve"> Can be combined with apparatus licence.  </w:t>
            </w:r>
          </w:p>
        </w:tc>
        <w:tc>
          <w:tcPr>
            <w:tcW w:w="1560" w:type="dxa"/>
            <w:shd w:val="clear" w:color="auto" w:fill="F2F2F2" w:themeFill="background1" w:themeFillShade="F2"/>
            <w:vAlign w:val="center"/>
          </w:tcPr>
          <w:p w14:paraId="7A207CDD" w14:textId="77777777" w:rsidR="00230B9A" w:rsidRPr="00564C0E" w:rsidRDefault="00230B9A" w:rsidP="00B55164">
            <w:pPr>
              <w:spacing w:after="0"/>
              <w:cnfStyle w:val="000000100000" w:firstRow="0" w:lastRow="0" w:firstColumn="0" w:lastColumn="0" w:oddVBand="0" w:evenVBand="0" w:oddHBand="1" w:evenHBand="0" w:firstRowFirstColumn="0" w:firstRowLastColumn="0" w:lastRowFirstColumn="0" w:lastRowLastColumn="0"/>
              <w:rPr>
                <w:rFonts w:eastAsia="Arial" w:cs="Arial"/>
                <w:szCs w:val="20"/>
              </w:rPr>
            </w:pPr>
            <w:r w:rsidRPr="00564C0E">
              <w:rPr>
                <w:rFonts w:eastAsia="Arial" w:cs="Arial"/>
                <w:szCs w:val="20"/>
              </w:rPr>
              <w:t>Class licence</w:t>
            </w:r>
          </w:p>
        </w:tc>
      </w:tr>
      <w:tr w:rsidR="00230B9A" w:rsidRPr="00564C0E" w14:paraId="3727091F" w14:textId="77777777" w:rsidTr="0036639A">
        <w:trPr>
          <w:trHeight w:val="101"/>
        </w:trPr>
        <w:tc>
          <w:tcPr>
            <w:cnfStyle w:val="001000000000" w:firstRow="0" w:lastRow="0" w:firstColumn="1" w:lastColumn="0" w:oddVBand="0" w:evenVBand="0" w:oddHBand="0" w:evenHBand="0" w:firstRowFirstColumn="0" w:firstRowLastColumn="0" w:lastRowFirstColumn="0" w:lastRowLastColumn="0"/>
            <w:tcW w:w="2175" w:type="dxa"/>
            <w:vMerge w:val="restart"/>
            <w:tcMar>
              <w:left w:w="105" w:type="dxa"/>
              <w:right w:w="105" w:type="dxa"/>
            </w:tcMar>
            <w:vAlign w:val="center"/>
          </w:tcPr>
          <w:p w14:paraId="352B5D20" w14:textId="77777777" w:rsidR="00230B9A" w:rsidRPr="00C23581" w:rsidRDefault="00230B9A" w:rsidP="00B55164">
            <w:pPr>
              <w:spacing w:after="0"/>
              <w:rPr>
                <w:rFonts w:eastAsia="Arial" w:cs="Arial"/>
                <w:b w:val="0"/>
                <w:bCs w:val="0"/>
                <w:szCs w:val="20"/>
              </w:rPr>
            </w:pPr>
          </w:p>
          <w:p w14:paraId="5BA065B2" w14:textId="3DEF64AF" w:rsidR="00230B9A" w:rsidRPr="00C23581" w:rsidRDefault="00230B9A" w:rsidP="00B55164">
            <w:pPr>
              <w:spacing w:after="0"/>
              <w:rPr>
                <w:rFonts w:eastAsia="Arial" w:cs="Arial"/>
                <w:b w:val="0"/>
                <w:bCs w:val="0"/>
                <w:szCs w:val="20"/>
              </w:rPr>
            </w:pPr>
            <w:r w:rsidRPr="00C23581">
              <w:rPr>
                <w:rFonts w:eastAsia="Arial" w:cs="Arial"/>
                <w:szCs w:val="20"/>
              </w:rPr>
              <w:t>Mid</w:t>
            </w:r>
            <w:r w:rsidR="00E31ED8">
              <w:rPr>
                <w:rFonts w:eastAsia="Arial" w:cs="Arial"/>
                <w:szCs w:val="20"/>
              </w:rPr>
              <w:t>-</w:t>
            </w:r>
            <w:r w:rsidRPr="00C23581">
              <w:rPr>
                <w:rFonts w:eastAsia="Arial" w:cs="Arial"/>
                <w:szCs w:val="20"/>
              </w:rPr>
              <w:t>band</w:t>
            </w:r>
          </w:p>
          <w:p w14:paraId="336A4C09" w14:textId="77777777" w:rsidR="00230B9A" w:rsidRPr="00C23581" w:rsidRDefault="00230B9A" w:rsidP="00B55164">
            <w:pPr>
              <w:spacing w:after="0"/>
              <w:rPr>
                <w:rFonts w:eastAsia="Arial" w:cs="Arial"/>
                <w:szCs w:val="20"/>
              </w:rPr>
            </w:pPr>
          </w:p>
        </w:tc>
        <w:tc>
          <w:tcPr>
            <w:tcW w:w="1931" w:type="dxa"/>
            <w:shd w:val="clear" w:color="auto" w:fill="FFFFFF" w:themeFill="background1"/>
            <w:tcMar>
              <w:left w:w="105" w:type="dxa"/>
              <w:right w:w="105" w:type="dxa"/>
            </w:tcMar>
          </w:tcPr>
          <w:p w14:paraId="0FF3BE1A" w14:textId="24E56AA9" w:rsidR="00230B9A" w:rsidRPr="00C23581" w:rsidRDefault="00230B9A" w:rsidP="00B55164">
            <w:pPr>
              <w:spacing w:after="0"/>
              <w:cnfStyle w:val="000000000000" w:firstRow="0" w:lastRow="0" w:firstColumn="0" w:lastColumn="0" w:oddVBand="0" w:evenVBand="0" w:oddHBand="0" w:evenHBand="0" w:firstRowFirstColumn="0" w:firstRowLastColumn="0" w:lastRowFirstColumn="0" w:lastRowLastColumn="0"/>
              <w:rPr>
                <w:rFonts w:eastAsia="Arial" w:cs="Arial"/>
                <w:szCs w:val="20"/>
              </w:rPr>
            </w:pPr>
            <w:r w:rsidRPr="00C23581">
              <w:rPr>
                <w:rFonts w:eastAsia="Arial" w:cs="Arial"/>
                <w:szCs w:val="20"/>
              </w:rPr>
              <w:t>2.4–2.483.5 GHz</w:t>
            </w:r>
          </w:p>
        </w:tc>
        <w:tc>
          <w:tcPr>
            <w:tcW w:w="2126" w:type="dxa"/>
            <w:shd w:val="clear" w:color="auto" w:fill="FFFFFF" w:themeFill="background1"/>
            <w:tcMar>
              <w:left w:w="105" w:type="dxa"/>
              <w:right w:w="105" w:type="dxa"/>
            </w:tcMar>
          </w:tcPr>
          <w:p w14:paraId="14D0B434" w14:textId="77777777" w:rsidR="00230B9A" w:rsidRPr="00C23581" w:rsidRDefault="00230B9A" w:rsidP="00B55164">
            <w:pPr>
              <w:spacing w:after="0"/>
              <w:cnfStyle w:val="000000000000" w:firstRow="0" w:lastRow="0" w:firstColumn="0" w:lastColumn="0" w:oddVBand="0" w:evenVBand="0" w:oddHBand="0" w:evenHBand="0" w:firstRowFirstColumn="0" w:firstRowLastColumn="0" w:lastRowFirstColumn="0" w:lastRowLastColumn="0"/>
              <w:rPr>
                <w:rFonts w:eastAsia="Arial" w:cs="Arial"/>
                <w:szCs w:val="20"/>
              </w:rPr>
            </w:pPr>
            <w:r w:rsidRPr="00C23581">
              <w:rPr>
                <w:rFonts w:eastAsia="Arial" w:cs="Arial"/>
                <w:szCs w:val="20"/>
              </w:rPr>
              <w:t>(</w:t>
            </w:r>
            <w:proofErr w:type="gramStart"/>
            <w:r w:rsidRPr="00C23581">
              <w:rPr>
                <w:rFonts w:eastAsia="Arial" w:cs="Arial"/>
                <w:szCs w:val="20"/>
              </w:rPr>
              <w:t>as</w:t>
            </w:r>
            <w:proofErr w:type="gramEnd"/>
            <w:r w:rsidRPr="00C23581">
              <w:rPr>
                <w:rFonts w:eastAsia="Arial" w:cs="Arial"/>
                <w:szCs w:val="20"/>
              </w:rPr>
              <w:t xml:space="preserve"> above)</w:t>
            </w:r>
          </w:p>
        </w:tc>
        <w:tc>
          <w:tcPr>
            <w:tcW w:w="1560" w:type="dxa"/>
            <w:shd w:val="clear" w:color="auto" w:fill="FFFFFF" w:themeFill="background1"/>
          </w:tcPr>
          <w:p w14:paraId="259DF0AE" w14:textId="77777777" w:rsidR="00230B9A" w:rsidRPr="00C23581" w:rsidRDefault="00230B9A" w:rsidP="00B55164">
            <w:pPr>
              <w:spacing w:after="0"/>
              <w:cnfStyle w:val="000000000000" w:firstRow="0" w:lastRow="0" w:firstColumn="0" w:lastColumn="0" w:oddVBand="0" w:evenVBand="0" w:oddHBand="0" w:evenHBand="0" w:firstRowFirstColumn="0" w:firstRowLastColumn="0" w:lastRowFirstColumn="0" w:lastRowLastColumn="0"/>
              <w:rPr>
                <w:rFonts w:eastAsia="Arial" w:cs="Arial"/>
                <w:szCs w:val="20"/>
              </w:rPr>
            </w:pPr>
            <w:r w:rsidRPr="00C23581">
              <w:rPr>
                <w:rFonts w:eastAsia="Arial" w:cs="Arial"/>
                <w:szCs w:val="20"/>
              </w:rPr>
              <w:t>Class licence</w:t>
            </w:r>
          </w:p>
        </w:tc>
      </w:tr>
      <w:tr w:rsidR="00230B9A" w:rsidRPr="00564C0E" w14:paraId="65C24AD1" w14:textId="77777777" w:rsidTr="0036639A">
        <w:trPr>
          <w:cnfStyle w:val="000000100000" w:firstRow="0" w:lastRow="0" w:firstColumn="0" w:lastColumn="0" w:oddVBand="0" w:evenVBand="0" w:oddHBand="1" w:evenHBand="0" w:firstRowFirstColumn="0" w:firstRowLastColumn="0" w:lastRowFirstColumn="0" w:lastRowLastColumn="0"/>
          <w:trHeight w:val="101"/>
        </w:trPr>
        <w:tc>
          <w:tcPr>
            <w:cnfStyle w:val="001000000000" w:firstRow="0" w:lastRow="0" w:firstColumn="1" w:lastColumn="0" w:oddVBand="0" w:evenVBand="0" w:oddHBand="0" w:evenHBand="0" w:firstRowFirstColumn="0" w:firstRowLastColumn="0" w:lastRowFirstColumn="0" w:lastRowLastColumn="0"/>
            <w:tcW w:w="2175" w:type="dxa"/>
            <w:vMerge/>
            <w:tcMar>
              <w:left w:w="105" w:type="dxa"/>
              <w:right w:w="105" w:type="dxa"/>
            </w:tcMar>
          </w:tcPr>
          <w:p w14:paraId="6F95AFCB" w14:textId="77777777" w:rsidR="00230B9A" w:rsidRPr="00C23581" w:rsidRDefault="00230B9A" w:rsidP="00B55164">
            <w:pPr>
              <w:spacing w:after="0"/>
              <w:rPr>
                <w:rFonts w:eastAsia="Arial" w:cs="Arial"/>
                <w:szCs w:val="20"/>
              </w:rPr>
            </w:pPr>
          </w:p>
        </w:tc>
        <w:tc>
          <w:tcPr>
            <w:tcW w:w="1931" w:type="dxa"/>
            <w:shd w:val="clear" w:color="auto" w:fill="FFFFFF" w:themeFill="background1"/>
            <w:tcMar>
              <w:left w:w="105" w:type="dxa"/>
              <w:right w:w="105" w:type="dxa"/>
            </w:tcMar>
          </w:tcPr>
          <w:p w14:paraId="5C85EE2A" w14:textId="3374A7BA" w:rsidR="00230B9A" w:rsidRPr="00C23581" w:rsidRDefault="00230B9A" w:rsidP="00B55164">
            <w:pPr>
              <w:spacing w:after="0"/>
              <w:cnfStyle w:val="000000100000" w:firstRow="0" w:lastRow="0" w:firstColumn="0" w:lastColumn="0" w:oddVBand="0" w:evenVBand="0" w:oddHBand="1" w:evenHBand="0" w:firstRowFirstColumn="0" w:firstRowLastColumn="0" w:lastRowFirstColumn="0" w:lastRowLastColumn="0"/>
              <w:rPr>
                <w:rFonts w:eastAsia="Arial" w:cs="Arial"/>
                <w:szCs w:val="20"/>
              </w:rPr>
            </w:pPr>
            <w:r w:rsidRPr="00C23581">
              <w:rPr>
                <w:rFonts w:eastAsia="Arial" w:cs="Arial"/>
                <w:szCs w:val="20"/>
              </w:rPr>
              <w:t>5.15–5.35 GHz</w:t>
            </w:r>
          </w:p>
        </w:tc>
        <w:tc>
          <w:tcPr>
            <w:tcW w:w="2126" w:type="dxa"/>
            <w:shd w:val="clear" w:color="auto" w:fill="FFFFFF" w:themeFill="background1"/>
            <w:tcMar>
              <w:left w:w="105" w:type="dxa"/>
              <w:right w:w="105" w:type="dxa"/>
            </w:tcMar>
          </w:tcPr>
          <w:p w14:paraId="190E9EFF" w14:textId="77777777" w:rsidR="00230B9A" w:rsidRPr="00C23581" w:rsidRDefault="00230B9A" w:rsidP="00B55164">
            <w:pPr>
              <w:spacing w:after="0"/>
              <w:cnfStyle w:val="000000100000" w:firstRow="0" w:lastRow="0" w:firstColumn="0" w:lastColumn="0" w:oddVBand="0" w:evenVBand="0" w:oddHBand="1" w:evenHBand="0" w:firstRowFirstColumn="0" w:firstRowLastColumn="0" w:lastRowFirstColumn="0" w:lastRowLastColumn="0"/>
              <w:rPr>
                <w:rFonts w:eastAsia="Arial" w:cs="Arial"/>
                <w:szCs w:val="20"/>
              </w:rPr>
            </w:pPr>
            <w:r w:rsidRPr="00C23581">
              <w:rPr>
                <w:rFonts w:eastAsia="Arial" w:cs="Arial"/>
                <w:szCs w:val="20"/>
              </w:rPr>
              <w:t>(</w:t>
            </w:r>
            <w:proofErr w:type="gramStart"/>
            <w:r w:rsidRPr="00C23581">
              <w:rPr>
                <w:rFonts w:eastAsia="Arial" w:cs="Arial"/>
                <w:szCs w:val="20"/>
              </w:rPr>
              <w:t>as</w:t>
            </w:r>
            <w:proofErr w:type="gramEnd"/>
            <w:r w:rsidRPr="00C23581">
              <w:rPr>
                <w:rFonts w:eastAsia="Arial" w:cs="Arial"/>
                <w:szCs w:val="20"/>
              </w:rPr>
              <w:t xml:space="preserve"> above)</w:t>
            </w:r>
          </w:p>
        </w:tc>
        <w:tc>
          <w:tcPr>
            <w:tcW w:w="1560" w:type="dxa"/>
            <w:shd w:val="clear" w:color="auto" w:fill="FFFFFF" w:themeFill="background1"/>
          </w:tcPr>
          <w:p w14:paraId="60F65907" w14:textId="77777777" w:rsidR="00230B9A" w:rsidRPr="00C23581" w:rsidRDefault="00230B9A" w:rsidP="00B55164">
            <w:pPr>
              <w:spacing w:after="0"/>
              <w:cnfStyle w:val="000000100000" w:firstRow="0" w:lastRow="0" w:firstColumn="0" w:lastColumn="0" w:oddVBand="0" w:evenVBand="0" w:oddHBand="1" w:evenHBand="0" w:firstRowFirstColumn="0" w:firstRowLastColumn="0" w:lastRowFirstColumn="0" w:lastRowLastColumn="0"/>
              <w:rPr>
                <w:rFonts w:eastAsia="Arial" w:cs="Arial"/>
                <w:szCs w:val="20"/>
              </w:rPr>
            </w:pPr>
            <w:r w:rsidRPr="00C23581">
              <w:rPr>
                <w:rFonts w:eastAsia="Arial" w:cs="Arial"/>
                <w:szCs w:val="20"/>
              </w:rPr>
              <w:t>Class licence</w:t>
            </w:r>
          </w:p>
        </w:tc>
      </w:tr>
      <w:tr w:rsidR="00230B9A" w:rsidRPr="00564C0E" w14:paraId="36AEBD75" w14:textId="77777777" w:rsidTr="0036639A">
        <w:trPr>
          <w:trHeight w:val="101"/>
        </w:trPr>
        <w:tc>
          <w:tcPr>
            <w:cnfStyle w:val="001000000000" w:firstRow="0" w:lastRow="0" w:firstColumn="1" w:lastColumn="0" w:oddVBand="0" w:evenVBand="0" w:oddHBand="0" w:evenHBand="0" w:firstRowFirstColumn="0" w:firstRowLastColumn="0" w:lastRowFirstColumn="0" w:lastRowLastColumn="0"/>
            <w:tcW w:w="2175" w:type="dxa"/>
            <w:vMerge/>
            <w:tcMar>
              <w:left w:w="105" w:type="dxa"/>
              <w:right w:w="105" w:type="dxa"/>
            </w:tcMar>
          </w:tcPr>
          <w:p w14:paraId="69BD15A1" w14:textId="77777777" w:rsidR="00230B9A" w:rsidRPr="00C23581" w:rsidRDefault="00230B9A" w:rsidP="00B1580E">
            <w:pPr>
              <w:spacing w:after="0"/>
              <w:rPr>
                <w:rFonts w:eastAsia="Arial" w:cs="Arial"/>
                <w:szCs w:val="20"/>
              </w:rPr>
            </w:pPr>
          </w:p>
        </w:tc>
        <w:tc>
          <w:tcPr>
            <w:tcW w:w="1931" w:type="dxa"/>
            <w:shd w:val="clear" w:color="auto" w:fill="FFFFFF" w:themeFill="background1"/>
            <w:tcMar>
              <w:left w:w="105" w:type="dxa"/>
              <w:right w:w="105" w:type="dxa"/>
            </w:tcMar>
          </w:tcPr>
          <w:p w14:paraId="15F3BC4C" w14:textId="111C905A" w:rsidR="00230B9A" w:rsidRPr="00C23581" w:rsidRDefault="00230B9A" w:rsidP="00B1580E">
            <w:pPr>
              <w:spacing w:after="0"/>
              <w:cnfStyle w:val="000000000000" w:firstRow="0" w:lastRow="0" w:firstColumn="0" w:lastColumn="0" w:oddVBand="0" w:evenVBand="0" w:oddHBand="0" w:evenHBand="0" w:firstRowFirstColumn="0" w:firstRowLastColumn="0" w:lastRowFirstColumn="0" w:lastRowLastColumn="0"/>
              <w:rPr>
                <w:rFonts w:eastAsia="Arial" w:cs="Arial"/>
                <w:szCs w:val="20"/>
              </w:rPr>
            </w:pPr>
            <w:r w:rsidRPr="00C23581">
              <w:rPr>
                <w:rFonts w:eastAsia="Arial" w:cs="Arial"/>
                <w:szCs w:val="20"/>
              </w:rPr>
              <w:t>5.47–5.6 GHz</w:t>
            </w:r>
          </w:p>
        </w:tc>
        <w:tc>
          <w:tcPr>
            <w:tcW w:w="2126" w:type="dxa"/>
            <w:shd w:val="clear" w:color="auto" w:fill="FFFFFF" w:themeFill="background1"/>
            <w:tcMar>
              <w:left w:w="105" w:type="dxa"/>
              <w:right w:w="105" w:type="dxa"/>
            </w:tcMar>
          </w:tcPr>
          <w:p w14:paraId="428B7E49" w14:textId="77777777" w:rsidR="00230B9A" w:rsidRPr="00C23581" w:rsidRDefault="00230B9A" w:rsidP="00B1580E">
            <w:pPr>
              <w:spacing w:after="0"/>
              <w:cnfStyle w:val="000000000000" w:firstRow="0" w:lastRow="0" w:firstColumn="0" w:lastColumn="0" w:oddVBand="0" w:evenVBand="0" w:oddHBand="0" w:evenHBand="0" w:firstRowFirstColumn="0" w:firstRowLastColumn="0" w:lastRowFirstColumn="0" w:lastRowLastColumn="0"/>
              <w:rPr>
                <w:rFonts w:eastAsia="Arial" w:cs="Arial"/>
                <w:szCs w:val="20"/>
              </w:rPr>
            </w:pPr>
            <w:r w:rsidRPr="00C23581">
              <w:rPr>
                <w:rFonts w:eastAsia="Arial" w:cs="Arial"/>
                <w:szCs w:val="20"/>
              </w:rPr>
              <w:t>(</w:t>
            </w:r>
            <w:proofErr w:type="gramStart"/>
            <w:r w:rsidRPr="00C23581">
              <w:rPr>
                <w:rFonts w:eastAsia="Arial" w:cs="Arial"/>
                <w:szCs w:val="20"/>
              </w:rPr>
              <w:t>as</w:t>
            </w:r>
            <w:proofErr w:type="gramEnd"/>
            <w:r w:rsidRPr="00C23581">
              <w:rPr>
                <w:rFonts w:eastAsia="Arial" w:cs="Arial"/>
                <w:szCs w:val="20"/>
              </w:rPr>
              <w:t xml:space="preserve"> above)</w:t>
            </w:r>
          </w:p>
        </w:tc>
        <w:tc>
          <w:tcPr>
            <w:tcW w:w="1560" w:type="dxa"/>
            <w:shd w:val="clear" w:color="auto" w:fill="FFFFFF" w:themeFill="background1"/>
          </w:tcPr>
          <w:p w14:paraId="7C7885B7" w14:textId="77777777" w:rsidR="00230B9A" w:rsidRPr="00C23581" w:rsidRDefault="00230B9A" w:rsidP="00B1580E">
            <w:pPr>
              <w:spacing w:after="0"/>
              <w:cnfStyle w:val="000000000000" w:firstRow="0" w:lastRow="0" w:firstColumn="0" w:lastColumn="0" w:oddVBand="0" w:evenVBand="0" w:oddHBand="0" w:evenHBand="0" w:firstRowFirstColumn="0" w:firstRowLastColumn="0" w:lastRowFirstColumn="0" w:lastRowLastColumn="0"/>
              <w:rPr>
                <w:rFonts w:eastAsia="Arial" w:cs="Arial"/>
                <w:szCs w:val="20"/>
              </w:rPr>
            </w:pPr>
            <w:r w:rsidRPr="00C23581">
              <w:rPr>
                <w:rFonts w:eastAsia="Arial" w:cs="Arial"/>
                <w:szCs w:val="20"/>
              </w:rPr>
              <w:t>Class licence</w:t>
            </w:r>
          </w:p>
        </w:tc>
      </w:tr>
      <w:tr w:rsidR="00230B9A" w:rsidRPr="00564C0E" w14:paraId="53302B3E" w14:textId="77777777" w:rsidTr="0036639A">
        <w:trPr>
          <w:cnfStyle w:val="000000100000" w:firstRow="0" w:lastRow="0" w:firstColumn="0" w:lastColumn="0" w:oddVBand="0" w:evenVBand="0" w:oddHBand="1" w:evenHBand="0" w:firstRowFirstColumn="0" w:firstRowLastColumn="0" w:lastRowFirstColumn="0" w:lastRowLastColumn="0"/>
          <w:trHeight w:val="390"/>
        </w:trPr>
        <w:tc>
          <w:tcPr>
            <w:cnfStyle w:val="001000000000" w:firstRow="0" w:lastRow="0" w:firstColumn="1" w:lastColumn="0" w:oddVBand="0" w:evenVBand="0" w:oddHBand="0" w:evenHBand="0" w:firstRowFirstColumn="0" w:firstRowLastColumn="0" w:lastRowFirstColumn="0" w:lastRowLastColumn="0"/>
            <w:tcW w:w="2175" w:type="dxa"/>
            <w:vMerge/>
            <w:tcMar>
              <w:left w:w="105" w:type="dxa"/>
              <w:right w:w="105" w:type="dxa"/>
            </w:tcMar>
          </w:tcPr>
          <w:p w14:paraId="68A714A2" w14:textId="77777777" w:rsidR="00230B9A" w:rsidRPr="00C23581" w:rsidRDefault="00230B9A" w:rsidP="00B1580E">
            <w:pPr>
              <w:spacing w:after="0"/>
              <w:rPr>
                <w:rFonts w:eastAsia="Arial" w:cs="Arial"/>
                <w:szCs w:val="20"/>
              </w:rPr>
            </w:pPr>
          </w:p>
        </w:tc>
        <w:tc>
          <w:tcPr>
            <w:tcW w:w="1931" w:type="dxa"/>
            <w:tcBorders>
              <w:bottom w:val="single" w:sz="4" w:space="0" w:color="auto"/>
            </w:tcBorders>
            <w:shd w:val="clear" w:color="auto" w:fill="FFFFFF" w:themeFill="background1"/>
            <w:tcMar>
              <w:left w:w="105" w:type="dxa"/>
              <w:right w:w="105" w:type="dxa"/>
            </w:tcMar>
          </w:tcPr>
          <w:p w14:paraId="6CCF709A" w14:textId="4AAE0763" w:rsidR="00230B9A" w:rsidRPr="00C23581" w:rsidRDefault="00230B9A" w:rsidP="00B1580E">
            <w:pPr>
              <w:spacing w:after="0"/>
              <w:cnfStyle w:val="000000100000" w:firstRow="0" w:lastRow="0" w:firstColumn="0" w:lastColumn="0" w:oddVBand="0" w:evenVBand="0" w:oddHBand="1" w:evenHBand="0" w:firstRowFirstColumn="0" w:firstRowLastColumn="0" w:lastRowFirstColumn="0" w:lastRowLastColumn="0"/>
              <w:rPr>
                <w:rFonts w:eastAsia="Arial" w:cs="Arial"/>
                <w:szCs w:val="20"/>
              </w:rPr>
            </w:pPr>
            <w:r w:rsidRPr="00C23581">
              <w:rPr>
                <w:rFonts w:eastAsia="Arial" w:cs="Arial"/>
                <w:szCs w:val="20"/>
              </w:rPr>
              <w:t>5.65–5.725 GHz</w:t>
            </w:r>
          </w:p>
        </w:tc>
        <w:tc>
          <w:tcPr>
            <w:tcW w:w="2126" w:type="dxa"/>
            <w:tcBorders>
              <w:bottom w:val="single" w:sz="4" w:space="0" w:color="auto"/>
            </w:tcBorders>
            <w:shd w:val="clear" w:color="auto" w:fill="FFFFFF" w:themeFill="background1"/>
            <w:tcMar>
              <w:left w:w="105" w:type="dxa"/>
              <w:right w:w="105" w:type="dxa"/>
            </w:tcMar>
          </w:tcPr>
          <w:p w14:paraId="6D1FB768" w14:textId="77777777" w:rsidR="00230B9A" w:rsidRPr="00C23581" w:rsidRDefault="00230B9A" w:rsidP="00B1580E">
            <w:pPr>
              <w:spacing w:after="0"/>
              <w:cnfStyle w:val="000000100000" w:firstRow="0" w:lastRow="0" w:firstColumn="0" w:lastColumn="0" w:oddVBand="0" w:evenVBand="0" w:oddHBand="1" w:evenHBand="0" w:firstRowFirstColumn="0" w:firstRowLastColumn="0" w:lastRowFirstColumn="0" w:lastRowLastColumn="0"/>
              <w:rPr>
                <w:rFonts w:eastAsia="Arial" w:cs="Arial"/>
                <w:szCs w:val="20"/>
              </w:rPr>
            </w:pPr>
            <w:r w:rsidRPr="00C23581">
              <w:rPr>
                <w:rFonts w:eastAsia="Arial" w:cs="Arial"/>
                <w:szCs w:val="20"/>
              </w:rPr>
              <w:t>(</w:t>
            </w:r>
            <w:proofErr w:type="gramStart"/>
            <w:r w:rsidRPr="00C23581">
              <w:rPr>
                <w:rFonts w:eastAsia="Arial" w:cs="Arial"/>
                <w:szCs w:val="20"/>
              </w:rPr>
              <w:t>as</w:t>
            </w:r>
            <w:proofErr w:type="gramEnd"/>
            <w:r w:rsidRPr="00C23581">
              <w:rPr>
                <w:rFonts w:eastAsia="Arial" w:cs="Arial"/>
                <w:szCs w:val="20"/>
              </w:rPr>
              <w:t xml:space="preserve"> above)</w:t>
            </w:r>
          </w:p>
        </w:tc>
        <w:tc>
          <w:tcPr>
            <w:tcW w:w="1560" w:type="dxa"/>
            <w:tcBorders>
              <w:bottom w:val="single" w:sz="4" w:space="0" w:color="auto"/>
            </w:tcBorders>
            <w:shd w:val="clear" w:color="auto" w:fill="FFFFFF" w:themeFill="background1"/>
          </w:tcPr>
          <w:p w14:paraId="74CC0D89" w14:textId="77777777" w:rsidR="00230B9A" w:rsidRPr="00C23581" w:rsidRDefault="00230B9A" w:rsidP="00B1580E">
            <w:pPr>
              <w:spacing w:after="0"/>
              <w:cnfStyle w:val="000000100000" w:firstRow="0" w:lastRow="0" w:firstColumn="0" w:lastColumn="0" w:oddVBand="0" w:evenVBand="0" w:oddHBand="1" w:evenHBand="0" w:firstRowFirstColumn="0" w:firstRowLastColumn="0" w:lastRowFirstColumn="0" w:lastRowLastColumn="0"/>
              <w:rPr>
                <w:rFonts w:eastAsia="Arial" w:cs="Arial"/>
                <w:szCs w:val="20"/>
              </w:rPr>
            </w:pPr>
            <w:r w:rsidRPr="00C23581">
              <w:rPr>
                <w:rFonts w:eastAsia="Arial" w:cs="Arial"/>
                <w:szCs w:val="20"/>
              </w:rPr>
              <w:t>Class licence</w:t>
            </w:r>
          </w:p>
        </w:tc>
      </w:tr>
      <w:tr w:rsidR="00230B9A" w:rsidRPr="00564C0E" w14:paraId="35C60407" w14:textId="77777777" w:rsidTr="0036639A">
        <w:trPr>
          <w:trHeight w:val="420"/>
        </w:trPr>
        <w:tc>
          <w:tcPr>
            <w:cnfStyle w:val="001000000000" w:firstRow="0" w:lastRow="0" w:firstColumn="1" w:lastColumn="0" w:oddVBand="0" w:evenVBand="0" w:oddHBand="0" w:evenHBand="0" w:firstRowFirstColumn="0" w:firstRowLastColumn="0" w:lastRowFirstColumn="0" w:lastRowLastColumn="0"/>
            <w:tcW w:w="2175" w:type="dxa"/>
            <w:vMerge/>
            <w:tcMar>
              <w:left w:w="105" w:type="dxa"/>
              <w:right w:w="105" w:type="dxa"/>
            </w:tcMar>
          </w:tcPr>
          <w:p w14:paraId="79F7C7B5" w14:textId="77777777" w:rsidR="00230B9A" w:rsidRPr="00C23581" w:rsidRDefault="00230B9A" w:rsidP="00B1580E">
            <w:pPr>
              <w:spacing w:after="0"/>
              <w:rPr>
                <w:rFonts w:eastAsia="Arial" w:cs="Arial"/>
                <w:szCs w:val="20"/>
              </w:rPr>
            </w:pPr>
          </w:p>
        </w:tc>
        <w:tc>
          <w:tcPr>
            <w:tcW w:w="1931" w:type="dxa"/>
            <w:tcBorders>
              <w:top w:val="single" w:sz="4" w:space="0" w:color="auto"/>
            </w:tcBorders>
            <w:shd w:val="clear" w:color="auto" w:fill="FFFFFF" w:themeFill="background1"/>
            <w:tcMar>
              <w:left w:w="105" w:type="dxa"/>
              <w:right w:w="105" w:type="dxa"/>
            </w:tcMar>
          </w:tcPr>
          <w:p w14:paraId="31B550F5" w14:textId="64C420EB" w:rsidR="00230B9A" w:rsidRPr="00C23581" w:rsidRDefault="00230B9A" w:rsidP="00B1580E">
            <w:pPr>
              <w:spacing w:after="0"/>
              <w:cnfStyle w:val="000000000000" w:firstRow="0" w:lastRow="0" w:firstColumn="0" w:lastColumn="0" w:oddVBand="0" w:evenVBand="0" w:oddHBand="0" w:evenHBand="0" w:firstRowFirstColumn="0" w:firstRowLastColumn="0" w:lastRowFirstColumn="0" w:lastRowLastColumn="0"/>
              <w:rPr>
                <w:rFonts w:eastAsia="Arial" w:cs="Arial"/>
                <w:szCs w:val="20"/>
              </w:rPr>
            </w:pPr>
            <w:r w:rsidRPr="00C23581">
              <w:rPr>
                <w:rFonts w:eastAsia="Arial" w:cs="Arial"/>
                <w:szCs w:val="20"/>
              </w:rPr>
              <w:t>5.725–5.85 GHz</w:t>
            </w:r>
          </w:p>
        </w:tc>
        <w:tc>
          <w:tcPr>
            <w:tcW w:w="2126" w:type="dxa"/>
            <w:tcBorders>
              <w:top w:val="single" w:sz="4" w:space="0" w:color="auto"/>
            </w:tcBorders>
            <w:shd w:val="clear" w:color="auto" w:fill="FFFFFF" w:themeFill="background1"/>
            <w:tcMar>
              <w:left w:w="105" w:type="dxa"/>
              <w:right w:w="105" w:type="dxa"/>
            </w:tcMar>
          </w:tcPr>
          <w:p w14:paraId="13EF978E" w14:textId="77777777" w:rsidR="00230B9A" w:rsidRPr="00C23581" w:rsidRDefault="00230B9A" w:rsidP="00B1580E">
            <w:pPr>
              <w:spacing w:after="0"/>
              <w:cnfStyle w:val="000000000000" w:firstRow="0" w:lastRow="0" w:firstColumn="0" w:lastColumn="0" w:oddVBand="0" w:evenVBand="0" w:oddHBand="0" w:evenHBand="0" w:firstRowFirstColumn="0" w:firstRowLastColumn="0" w:lastRowFirstColumn="0" w:lastRowLastColumn="0"/>
              <w:rPr>
                <w:rFonts w:eastAsia="Arial" w:cs="Arial"/>
                <w:szCs w:val="20"/>
              </w:rPr>
            </w:pPr>
            <w:r w:rsidRPr="00C23581">
              <w:rPr>
                <w:rFonts w:eastAsia="Arial" w:cs="Arial"/>
                <w:szCs w:val="20"/>
              </w:rPr>
              <w:t>(</w:t>
            </w:r>
            <w:proofErr w:type="gramStart"/>
            <w:r w:rsidRPr="00C23581">
              <w:rPr>
                <w:rFonts w:eastAsia="Arial" w:cs="Arial"/>
                <w:szCs w:val="20"/>
              </w:rPr>
              <w:t>as</w:t>
            </w:r>
            <w:proofErr w:type="gramEnd"/>
            <w:r w:rsidRPr="00C23581">
              <w:rPr>
                <w:rFonts w:eastAsia="Arial" w:cs="Arial"/>
                <w:szCs w:val="20"/>
              </w:rPr>
              <w:t xml:space="preserve"> above)</w:t>
            </w:r>
          </w:p>
        </w:tc>
        <w:tc>
          <w:tcPr>
            <w:tcW w:w="1560" w:type="dxa"/>
            <w:tcBorders>
              <w:top w:val="single" w:sz="4" w:space="0" w:color="auto"/>
            </w:tcBorders>
            <w:shd w:val="clear" w:color="auto" w:fill="FFFFFF" w:themeFill="background1"/>
          </w:tcPr>
          <w:p w14:paraId="6995E02D" w14:textId="77777777" w:rsidR="00230B9A" w:rsidRPr="00C23581" w:rsidRDefault="00230B9A" w:rsidP="00B1580E">
            <w:pPr>
              <w:spacing w:after="0"/>
              <w:cnfStyle w:val="000000000000" w:firstRow="0" w:lastRow="0" w:firstColumn="0" w:lastColumn="0" w:oddVBand="0" w:evenVBand="0" w:oddHBand="0" w:evenHBand="0" w:firstRowFirstColumn="0" w:firstRowLastColumn="0" w:lastRowFirstColumn="0" w:lastRowLastColumn="0"/>
              <w:rPr>
                <w:rFonts w:eastAsia="Arial" w:cs="Arial"/>
                <w:szCs w:val="20"/>
              </w:rPr>
            </w:pPr>
            <w:r w:rsidRPr="00C23581">
              <w:rPr>
                <w:rFonts w:eastAsia="Arial" w:cs="Arial"/>
                <w:szCs w:val="20"/>
              </w:rPr>
              <w:t>Class licence</w:t>
            </w:r>
          </w:p>
        </w:tc>
      </w:tr>
      <w:tr w:rsidR="00230B9A" w:rsidRPr="00564C0E" w14:paraId="17A344AA" w14:textId="77777777" w:rsidTr="0036639A">
        <w:trPr>
          <w:cnfStyle w:val="000000100000" w:firstRow="0" w:lastRow="0" w:firstColumn="0" w:lastColumn="0" w:oddVBand="0" w:evenVBand="0" w:oddHBand="1" w:evenHBand="0" w:firstRowFirstColumn="0" w:firstRowLastColumn="0" w:lastRowFirstColumn="0" w:lastRowLastColumn="0"/>
          <w:trHeight w:val="116"/>
        </w:trPr>
        <w:tc>
          <w:tcPr>
            <w:cnfStyle w:val="001000000000" w:firstRow="0" w:lastRow="0" w:firstColumn="1" w:lastColumn="0" w:oddVBand="0" w:evenVBand="0" w:oddHBand="0" w:evenHBand="0" w:firstRowFirstColumn="0" w:firstRowLastColumn="0" w:lastRowFirstColumn="0" w:lastRowLastColumn="0"/>
            <w:tcW w:w="2175" w:type="dxa"/>
            <w:vMerge w:val="restart"/>
            <w:shd w:val="clear" w:color="auto" w:fill="F2F2F2" w:themeFill="background1" w:themeFillShade="F2"/>
            <w:tcMar>
              <w:left w:w="105" w:type="dxa"/>
              <w:right w:w="105" w:type="dxa"/>
            </w:tcMar>
            <w:vAlign w:val="center"/>
          </w:tcPr>
          <w:p w14:paraId="089546AE" w14:textId="155A57DC" w:rsidR="00230B9A" w:rsidRPr="00C23581" w:rsidRDefault="00230B9A" w:rsidP="00B55164">
            <w:pPr>
              <w:spacing w:after="0"/>
              <w:rPr>
                <w:rFonts w:eastAsia="Arial" w:cs="Arial"/>
                <w:szCs w:val="20"/>
              </w:rPr>
            </w:pPr>
            <w:proofErr w:type="gramStart"/>
            <w:r w:rsidRPr="00C23581">
              <w:rPr>
                <w:rFonts w:eastAsia="Arial" w:cs="Arial"/>
                <w:szCs w:val="20"/>
              </w:rPr>
              <w:t>High</w:t>
            </w:r>
            <w:r w:rsidR="00E31ED8">
              <w:rPr>
                <w:rFonts w:eastAsia="Arial" w:cs="Arial"/>
                <w:szCs w:val="20"/>
              </w:rPr>
              <w:t>-b</w:t>
            </w:r>
            <w:r w:rsidRPr="00C23581">
              <w:rPr>
                <w:rFonts w:eastAsia="Arial" w:cs="Arial"/>
                <w:szCs w:val="20"/>
              </w:rPr>
              <w:t>and</w:t>
            </w:r>
            <w:proofErr w:type="gramEnd"/>
          </w:p>
        </w:tc>
        <w:tc>
          <w:tcPr>
            <w:tcW w:w="1931" w:type="dxa"/>
            <w:shd w:val="clear" w:color="auto" w:fill="F2F2F2" w:themeFill="background1" w:themeFillShade="F2"/>
            <w:tcMar>
              <w:left w:w="105" w:type="dxa"/>
              <w:right w:w="105" w:type="dxa"/>
            </w:tcMar>
          </w:tcPr>
          <w:p w14:paraId="61C53549" w14:textId="189A363C" w:rsidR="00230B9A" w:rsidRPr="00C23581" w:rsidRDefault="00230B9A" w:rsidP="00E31ED8">
            <w:pPr>
              <w:spacing w:after="0"/>
              <w:cnfStyle w:val="000000100000" w:firstRow="0" w:lastRow="0" w:firstColumn="0" w:lastColumn="0" w:oddVBand="0" w:evenVBand="0" w:oddHBand="1" w:evenHBand="0" w:firstRowFirstColumn="0" w:firstRowLastColumn="0" w:lastRowFirstColumn="0" w:lastRowLastColumn="0"/>
              <w:rPr>
                <w:rFonts w:eastAsia="Arial" w:cs="Arial"/>
                <w:szCs w:val="20"/>
              </w:rPr>
            </w:pPr>
            <w:r w:rsidRPr="00C23581">
              <w:rPr>
                <w:rFonts w:eastAsia="Arial" w:cs="Arial"/>
                <w:szCs w:val="20"/>
              </w:rPr>
              <w:t>24.25–25.1 GHz</w:t>
            </w:r>
          </w:p>
        </w:tc>
        <w:tc>
          <w:tcPr>
            <w:tcW w:w="2126" w:type="dxa"/>
            <w:shd w:val="clear" w:color="auto" w:fill="F2F2F2" w:themeFill="background1" w:themeFillShade="F2"/>
            <w:tcMar>
              <w:left w:w="105" w:type="dxa"/>
              <w:right w:w="105" w:type="dxa"/>
            </w:tcMar>
          </w:tcPr>
          <w:p w14:paraId="659A1493" w14:textId="77777777" w:rsidR="00230B9A" w:rsidRPr="00C23581" w:rsidRDefault="00230B9A" w:rsidP="00E31ED8">
            <w:pPr>
              <w:spacing w:after="0"/>
              <w:cnfStyle w:val="000000100000" w:firstRow="0" w:lastRow="0" w:firstColumn="0" w:lastColumn="0" w:oddVBand="0" w:evenVBand="0" w:oddHBand="1" w:evenHBand="0" w:firstRowFirstColumn="0" w:firstRowLastColumn="0" w:lastRowFirstColumn="0" w:lastRowLastColumn="0"/>
              <w:rPr>
                <w:rFonts w:eastAsia="Arial" w:cs="Arial"/>
                <w:b/>
                <w:bCs/>
                <w:szCs w:val="20"/>
              </w:rPr>
            </w:pPr>
            <w:r w:rsidRPr="00C23581">
              <w:rPr>
                <w:rFonts w:eastAsia="Arial" w:cs="Arial"/>
                <w:szCs w:val="20"/>
              </w:rPr>
              <w:t>(</w:t>
            </w:r>
            <w:proofErr w:type="gramStart"/>
            <w:r w:rsidRPr="00C23581">
              <w:rPr>
                <w:rFonts w:eastAsia="Arial" w:cs="Arial"/>
                <w:szCs w:val="20"/>
              </w:rPr>
              <w:t>as</w:t>
            </w:r>
            <w:proofErr w:type="gramEnd"/>
            <w:r w:rsidRPr="00C23581">
              <w:rPr>
                <w:rFonts w:eastAsia="Arial" w:cs="Arial"/>
                <w:szCs w:val="20"/>
              </w:rPr>
              <w:t xml:space="preserve"> above)</w:t>
            </w:r>
          </w:p>
        </w:tc>
        <w:tc>
          <w:tcPr>
            <w:tcW w:w="1560" w:type="dxa"/>
            <w:shd w:val="clear" w:color="auto" w:fill="F2F2F2" w:themeFill="background1" w:themeFillShade="F2"/>
          </w:tcPr>
          <w:p w14:paraId="63142A2F" w14:textId="77777777" w:rsidR="00230B9A" w:rsidRPr="00C23581" w:rsidRDefault="00230B9A" w:rsidP="00B55164">
            <w:pPr>
              <w:spacing w:after="0"/>
              <w:cnfStyle w:val="000000100000" w:firstRow="0" w:lastRow="0" w:firstColumn="0" w:lastColumn="0" w:oddVBand="0" w:evenVBand="0" w:oddHBand="1" w:evenHBand="0" w:firstRowFirstColumn="0" w:firstRowLastColumn="0" w:lastRowFirstColumn="0" w:lastRowLastColumn="0"/>
              <w:rPr>
                <w:rFonts w:eastAsia="Arial" w:cs="Arial"/>
                <w:szCs w:val="20"/>
              </w:rPr>
            </w:pPr>
            <w:r w:rsidRPr="00C23581">
              <w:rPr>
                <w:rFonts w:eastAsia="Arial" w:cs="Arial"/>
                <w:szCs w:val="20"/>
              </w:rPr>
              <w:t>Class licence</w:t>
            </w:r>
          </w:p>
        </w:tc>
      </w:tr>
      <w:tr w:rsidR="00230B9A" w:rsidRPr="00564C0E" w14:paraId="102C4939" w14:textId="77777777" w:rsidTr="0036639A">
        <w:trPr>
          <w:trHeight w:val="858"/>
        </w:trPr>
        <w:tc>
          <w:tcPr>
            <w:cnfStyle w:val="001000000000" w:firstRow="0" w:lastRow="0" w:firstColumn="1" w:lastColumn="0" w:oddVBand="0" w:evenVBand="0" w:oddHBand="0" w:evenHBand="0" w:firstRowFirstColumn="0" w:firstRowLastColumn="0" w:lastRowFirstColumn="0" w:lastRowLastColumn="0"/>
            <w:tcW w:w="2175" w:type="dxa"/>
            <w:vMerge/>
            <w:shd w:val="clear" w:color="auto" w:fill="F2F2F2" w:themeFill="background1" w:themeFillShade="F2"/>
            <w:tcMar>
              <w:left w:w="105" w:type="dxa"/>
              <w:right w:w="105" w:type="dxa"/>
            </w:tcMar>
            <w:vAlign w:val="center"/>
          </w:tcPr>
          <w:p w14:paraId="6D8DDD56" w14:textId="77777777" w:rsidR="00230B9A" w:rsidRPr="00E80C5D" w:rsidRDefault="00230B9A" w:rsidP="00B55164">
            <w:pPr>
              <w:spacing w:after="0"/>
              <w:rPr>
                <w:rFonts w:eastAsia="Arial" w:cs="Arial"/>
                <w:szCs w:val="20"/>
              </w:rPr>
            </w:pPr>
          </w:p>
        </w:tc>
        <w:tc>
          <w:tcPr>
            <w:tcW w:w="1931" w:type="dxa"/>
            <w:shd w:val="clear" w:color="auto" w:fill="F2F2F2" w:themeFill="background1" w:themeFillShade="F2"/>
            <w:tcMar>
              <w:left w:w="105" w:type="dxa"/>
              <w:right w:w="105" w:type="dxa"/>
            </w:tcMar>
          </w:tcPr>
          <w:p w14:paraId="76711331" w14:textId="7A05E002" w:rsidR="00230B9A" w:rsidRPr="00E80C5D" w:rsidRDefault="00230B9A" w:rsidP="00B55164">
            <w:pPr>
              <w:spacing w:after="0"/>
              <w:cnfStyle w:val="000000000000" w:firstRow="0" w:lastRow="0" w:firstColumn="0" w:lastColumn="0" w:oddVBand="0" w:evenVBand="0" w:oddHBand="0" w:evenHBand="0" w:firstRowFirstColumn="0" w:firstRowLastColumn="0" w:lastRowFirstColumn="0" w:lastRowLastColumn="0"/>
              <w:rPr>
                <w:rFonts w:eastAsia="Arial" w:cs="Arial"/>
                <w:szCs w:val="20"/>
              </w:rPr>
            </w:pPr>
            <w:r w:rsidRPr="00C23581">
              <w:rPr>
                <w:rFonts w:eastAsia="Arial" w:cs="Arial"/>
                <w:szCs w:val="20"/>
              </w:rPr>
              <w:t>57–71 GHz</w:t>
            </w:r>
          </w:p>
        </w:tc>
        <w:tc>
          <w:tcPr>
            <w:tcW w:w="2126" w:type="dxa"/>
            <w:shd w:val="clear" w:color="auto" w:fill="F2F2F2" w:themeFill="background1" w:themeFillShade="F2"/>
            <w:tcMar>
              <w:left w:w="105" w:type="dxa"/>
              <w:right w:w="105" w:type="dxa"/>
            </w:tcMar>
          </w:tcPr>
          <w:p w14:paraId="6AFA2ED1" w14:textId="77777777" w:rsidR="00230B9A" w:rsidRPr="00E80C5D" w:rsidRDefault="00230B9A" w:rsidP="00B55164">
            <w:pPr>
              <w:spacing w:after="0"/>
              <w:cnfStyle w:val="000000000000" w:firstRow="0" w:lastRow="0" w:firstColumn="0" w:lastColumn="0" w:oddVBand="0" w:evenVBand="0" w:oddHBand="0" w:evenHBand="0" w:firstRowFirstColumn="0" w:firstRowLastColumn="0" w:lastRowFirstColumn="0" w:lastRowLastColumn="0"/>
              <w:rPr>
                <w:rFonts w:eastAsia="Arial" w:cs="Arial"/>
                <w:szCs w:val="20"/>
              </w:rPr>
            </w:pPr>
            <w:r w:rsidRPr="00C23581">
              <w:rPr>
                <w:rFonts w:eastAsia="Arial" w:cs="Arial"/>
                <w:szCs w:val="20"/>
              </w:rPr>
              <w:t xml:space="preserve">May have restrictions on effective isotropic radiated power, indoor and outdoor use, transmit power control, and dynamic frequency selection. </w:t>
            </w:r>
          </w:p>
        </w:tc>
        <w:tc>
          <w:tcPr>
            <w:tcW w:w="1560" w:type="dxa"/>
            <w:tcBorders>
              <w:top w:val="single" w:sz="4" w:space="0" w:color="auto"/>
            </w:tcBorders>
            <w:shd w:val="clear" w:color="auto" w:fill="F2F2F2" w:themeFill="background1" w:themeFillShade="F2"/>
          </w:tcPr>
          <w:p w14:paraId="1AE2F70C" w14:textId="77777777" w:rsidR="00230B9A" w:rsidRPr="00C23581" w:rsidRDefault="00230B9A" w:rsidP="00B55164">
            <w:pPr>
              <w:spacing w:after="0"/>
              <w:cnfStyle w:val="000000000000" w:firstRow="0" w:lastRow="0" w:firstColumn="0" w:lastColumn="0" w:oddVBand="0" w:evenVBand="0" w:oddHBand="0" w:evenHBand="0" w:firstRowFirstColumn="0" w:firstRowLastColumn="0" w:lastRowFirstColumn="0" w:lastRowLastColumn="0"/>
              <w:rPr>
                <w:rFonts w:eastAsia="Arial" w:cs="Arial"/>
                <w:szCs w:val="20"/>
              </w:rPr>
            </w:pPr>
          </w:p>
        </w:tc>
      </w:tr>
    </w:tbl>
    <w:p w14:paraId="0E01DC96" w14:textId="77777777" w:rsidR="00230B9A" w:rsidRDefault="00230B9A" w:rsidP="00230B9A">
      <w:pPr>
        <w:pStyle w:val="ACMATableHeader"/>
        <w:numPr>
          <w:ilvl w:val="0"/>
          <w:numId w:val="0"/>
        </w:numPr>
        <w:ind w:left="964"/>
      </w:pPr>
    </w:p>
    <w:p w14:paraId="787827E7" w14:textId="77777777" w:rsidR="00230B9A" w:rsidRDefault="00230B9A" w:rsidP="00CD264D">
      <w:pPr>
        <w:pStyle w:val="Paragraph"/>
        <w:rPr>
          <w:vertAlign w:val="superscript"/>
        </w:rPr>
      </w:pPr>
      <w:r>
        <w:t>In addition, the</w:t>
      </w:r>
      <w:r w:rsidRPr="000D2AAE">
        <w:t xml:space="preserve"> </w:t>
      </w:r>
      <w:hyperlink r:id="rId43" w:anchor="allocation-of-awls-in-the-34%E2%80%9340-ghz-band-in-remote-areas" w:history="1">
        <w:r w:rsidRPr="000D2AAE">
          <w:rPr>
            <w:rStyle w:val="Hyperlink"/>
          </w:rPr>
          <w:t>ACMA is planning</w:t>
        </w:r>
      </w:hyperlink>
      <w:r w:rsidRPr="000D2AAE">
        <w:t xml:space="preserve"> the following spectrum releases that could be used for private wireless networks:</w:t>
      </w:r>
      <w:r w:rsidRPr="008B7243">
        <w:rPr>
          <w:vertAlign w:val="superscript"/>
        </w:rPr>
        <w:t xml:space="preserve"> </w:t>
      </w:r>
      <w:r w:rsidRPr="008B7243">
        <w:rPr>
          <w:vertAlign w:val="superscript"/>
        </w:rPr>
        <w:footnoteReference w:id="90"/>
      </w:r>
    </w:p>
    <w:p w14:paraId="349FB8B6" w14:textId="2E34EC72" w:rsidR="00230B9A" w:rsidRDefault="00230B9A" w:rsidP="00CD264D">
      <w:pPr>
        <w:pStyle w:val="Tableheading"/>
      </w:pPr>
      <w:r>
        <w:t xml:space="preserve">Mid-band spectrum </w:t>
      </w:r>
      <w:r w:rsidR="00DC4D9D">
        <w:t xml:space="preserve">releases </w:t>
      </w:r>
      <w:r>
        <w:t xml:space="preserve">that could be used for private wireless </w:t>
      </w:r>
      <w:proofErr w:type="gramStart"/>
      <w:r>
        <w:t>networks</w:t>
      </w:r>
      <w:proofErr w:type="gramEnd"/>
    </w:p>
    <w:tbl>
      <w:tblPr>
        <w:tblStyle w:val="ACMAtablestyle1"/>
        <w:tblW w:w="7792" w:type="dxa"/>
        <w:tblCellMar>
          <w:top w:w="85" w:type="dxa"/>
          <w:left w:w="57" w:type="dxa"/>
          <w:bottom w:w="85" w:type="dxa"/>
          <w:right w:w="57" w:type="dxa"/>
        </w:tblCellMar>
        <w:tblLook w:val="04A0" w:firstRow="1" w:lastRow="0" w:firstColumn="1" w:lastColumn="0" w:noHBand="0" w:noVBand="1"/>
      </w:tblPr>
      <w:tblGrid>
        <w:gridCol w:w="1838"/>
        <w:gridCol w:w="2126"/>
        <w:gridCol w:w="3828"/>
      </w:tblGrid>
      <w:tr w:rsidR="00230B9A" w:rsidRPr="0038764C" w14:paraId="50807C03" w14:textId="77777777" w:rsidTr="0036639A">
        <w:trPr>
          <w:cnfStyle w:val="100000000000" w:firstRow="1" w:lastRow="0" w:firstColumn="0" w:lastColumn="0" w:oddVBand="0" w:evenVBand="0" w:oddHBand="0" w:evenHBand="0" w:firstRowFirstColumn="0" w:firstRowLastColumn="0" w:lastRowFirstColumn="0" w:lastRowLastColumn="0"/>
          <w:trHeight w:val="227"/>
        </w:trPr>
        <w:tc>
          <w:tcPr>
            <w:tcW w:w="1838" w:type="dxa"/>
          </w:tcPr>
          <w:p w14:paraId="6E7DF841" w14:textId="77777777" w:rsidR="00230B9A" w:rsidRPr="004E1A16" w:rsidRDefault="00230B9A" w:rsidP="00E31ED8">
            <w:pPr>
              <w:pStyle w:val="Caption"/>
              <w:numPr>
                <w:ilvl w:val="0"/>
                <w:numId w:val="0"/>
              </w:numPr>
            </w:pPr>
            <w:bookmarkStart w:id="78" w:name="_Hlk136866369"/>
            <w:r w:rsidRPr="008B7243">
              <w:rPr>
                <w:color w:val="FFFFFF" w:themeColor="background1"/>
              </w:rPr>
              <w:t>Frequency</w:t>
            </w:r>
          </w:p>
        </w:tc>
        <w:tc>
          <w:tcPr>
            <w:tcW w:w="2126" w:type="dxa"/>
          </w:tcPr>
          <w:p w14:paraId="71A9C328" w14:textId="77777777" w:rsidR="00230B9A" w:rsidRPr="00425229" w:rsidRDefault="00230B9A" w:rsidP="0035111C">
            <w:pPr>
              <w:spacing w:after="0"/>
              <w:rPr>
                <w:b/>
                <w:bCs/>
              </w:rPr>
            </w:pPr>
            <w:r w:rsidRPr="00425229">
              <w:rPr>
                <w:b/>
                <w:bCs/>
              </w:rPr>
              <w:t>Timing</w:t>
            </w:r>
          </w:p>
        </w:tc>
        <w:tc>
          <w:tcPr>
            <w:tcW w:w="3828" w:type="dxa"/>
          </w:tcPr>
          <w:p w14:paraId="18B0C4F4" w14:textId="77777777" w:rsidR="00230B9A" w:rsidRPr="00425229" w:rsidRDefault="00230B9A" w:rsidP="0035111C">
            <w:pPr>
              <w:spacing w:after="0"/>
              <w:rPr>
                <w:b/>
                <w:bCs/>
              </w:rPr>
            </w:pPr>
            <w:r w:rsidRPr="00425229">
              <w:rPr>
                <w:b/>
                <w:bCs/>
              </w:rPr>
              <w:t>Type and method</w:t>
            </w:r>
          </w:p>
        </w:tc>
      </w:tr>
      <w:tr w:rsidR="00230B9A" w:rsidRPr="0038764C" w14:paraId="21F411AD" w14:textId="77777777" w:rsidTr="0036639A">
        <w:trPr>
          <w:cnfStyle w:val="000000100000" w:firstRow="0" w:lastRow="0" w:firstColumn="0" w:lastColumn="0" w:oddVBand="0" w:evenVBand="0" w:oddHBand="1" w:evenHBand="0" w:firstRowFirstColumn="0" w:firstRowLastColumn="0" w:lastRowFirstColumn="0" w:lastRowLastColumn="0"/>
          <w:trHeight w:val="227"/>
        </w:trPr>
        <w:tc>
          <w:tcPr>
            <w:tcW w:w="1838" w:type="dxa"/>
          </w:tcPr>
          <w:p w14:paraId="6C2261D8" w14:textId="407495B0" w:rsidR="00230B9A" w:rsidRPr="0038764C" w:rsidRDefault="00230B9A" w:rsidP="0035111C">
            <w:pPr>
              <w:spacing w:after="0"/>
            </w:pPr>
            <w:r w:rsidRPr="0038764C">
              <w:t>3.4</w:t>
            </w:r>
            <w:r w:rsidR="00E31ED8">
              <w:t>–</w:t>
            </w:r>
            <w:r w:rsidRPr="0038764C">
              <w:t>4 GHz</w:t>
            </w:r>
            <w:r w:rsidR="00E31ED8">
              <w:t xml:space="preserve">: </w:t>
            </w:r>
            <w:r w:rsidRPr="0038764C">
              <w:t>remote areas</w:t>
            </w:r>
          </w:p>
        </w:tc>
        <w:tc>
          <w:tcPr>
            <w:tcW w:w="2126" w:type="dxa"/>
          </w:tcPr>
          <w:p w14:paraId="7E1084BD" w14:textId="6763E117" w:rsidR="00230B9A" w:rsidRDefault="00230B9A" w:rsidP="0035111C">
            <w:pPr>
              <w:spacing w:after="0"/>
            </w:pPr>
            <w:r w:rsidRPr="0038764C">
              <w:t>Q</w:t>
            </w:r>
            <w:r>
              <w:t xml:space="preserve">3 2023 </w:t>
            </w:r>
            <w:r w:rsidR="00E346BF">
              <w:t xml:space="preserve">– </w:t>
            </w:r>
            <w:r>
              <w:t xml:space="preserve">applications open and close in late July 2023 </w:t>
            </w:r>
          </w:p>
          <w:p w14:paraId="5AC14ECE" w14:textId="77777777" w:rsidR="00230B9A" w:rsidRPr="0038764C" w:rsidRDefault="00230B9A" w:rsidP="0035111C">
            <w:pPr>
              <w:spacing w:after="0"/>
            </w:pPr>
          </w:p>
        </w:tc>
        <w:tc>
          <w:tcPr>
            <w:tcW w:w="3828" w:type="dxa"/>
          </w:tcPr>
          <w:p w14:paraId="44F91053" w14:textId="77777777" w:rsidR="00230B9A" w:rsidRPr="000B2F49" w:rsidRDefault="00230B9A" w:rsidP="0035111C">
            <w:pPr>
              <w:spacing w:after="0"/>
            </w:pPr>
            <w:r>
              <w:t>Area-wide licence by administrative allocation window</w:t>
            </w:r>
          </w:p>
        </w:tc>
      </w:tr>
      <w:tr w:rsidR="00230B9A" w:rsidRPr="0038764C" w14:paraId="3E15571B" w14:textId="77777777" w:rsidTr="0036639A">
        <w:trPr>
          <w:cnfStyle w:val="000000010000" w:firstRow="0" w:lastRow="0" w:firstColumn="0" w:lastColumn="0" w:oddVBand="0" w:evenVBand="0" w:oddHBand="0" w:evenHBand="1" w:firstRowFirstColumn="0" w:firstRowLastColumn="0" w:lastRowFirstColumn="0" w:lastRowLastColumn="0"/>
          <w:trHeight w:val="227"/>
        </w:trPr>
        <w:tc>
          <w:tcPr>
            <w:tcW w:w="1838" w:type="dxa"/>
          </w:tcPr>
          <w:p w14:paraId="2B56E54D" w14:textId="39A15094" w:rsidR="00230B9A" w:rsidRPr="0038764C" w:rsidRDefault="00230B9A" w:rsidP="0035111C">
            <w:pPr>
              <w:spacing w:after="0"/>
            </w:pPr>
            <w:r w:rsidRPr="0038764C">
              <w:t>3.4 GHz and 3.7 GHz</w:t>
            </w:r>
            <w:r w:rsidR="00E31ED8">
              <w:t xml:space="preserve">: </w:t>
            </w:r>
            <w:r w:rsidRPr="0038764C">
              <w:t>metro and regional areas</w:t>
            </w:r>
          </w:p>
        </w:tc>
        <w:tc>
          <w:tcPr>
            <w:tcW w:w="2126" w:type="dxa"/>
          </w:tcPr>
          <w:p w14:paraId="3FA79171" w14:textId="77777777" w:rsidR="00230B9A" w:rsidRPr="0038764C" w:rsidRDefault="00230B9A" w:rsidP="0035111C">
            <w:pPr>
              <w:spacing w:after="0"/>
            </w:pPr>
            <w:r>
              <w:t>Applications open in Q3 2023 for an auction to be held in Q4 2023 (estimated)</w:t>
            </w:r>
          </w:p>
        </w:tc>
        <w:tc>
          <w:tcPr>
            <w:tcW w:w="3828" w:type="dxa"/>
          </w:tcPr>
          <w:p w14:paraId="1A83670E" w14:textId="77777777" w:rsidR="00230B9A" w:rsidRPr="000B2F49" w:rsidRDefault="00230B9A" w:rsidP="0035111C">
            <w:pPr>
              <w:spacing w:after="0"/>
            </w:pPr>
            <w:r w:rsidRPr="000B2F49">
              <w:t>Spectrum licence by auction</w:t>
            </w:r>
          </w:p>
        </w:tc>
      </w:tr>
      <w:tr w:rsidR="00230B9A" w:rsidRPr="0038764C" w14:paraId="7983C99B" w14:textId="77777777" w:rsidTr="0036639A">
        <w:trPr>
          <w:cnfStyle w:val="000000100000" w:firstRow="0" w:lastRow="0" w:firstColumn="0" w:lastColumn="0" w:oddVBand="0" w:evenVBand="0" w:oddHBand="1" w:evenHBand="0" w:firstRowFirstColumn="0" w:firstRowLastColumn="0" w:lastRowFirstColumn="0" w:lastRowLastColumn="0"/>
          <w:trHeight w:val="227"/>
        </w:trPr>
        <w:tc>
          <w:tcPr>
            <w:tcW w:w="1838" w:type="dxa"/>
          </w:tcPr>
          <w:p w14:paraId="53BB8A8A" w14:textId="29D7614A" w:rsidR="00230B9A" w:rsidRPr="0038764C" w:rsidRDefault="00230B9A" w:rsidP="0035111C">
            <w:pPr>
              <w:spacing w:after="0"/>
            </w:pPr>
            <w:r w:rsidRPr="0038764C">
              <w:t>3.8</w:t>
            </w:r>
            <w:r w:rsidR="00E346BF">
              <w:t>–</w:t>
            </w:r>
            <w:r w:rsidRPr="0038764C">
              <w:t>3.95 GHz</w:t>
            </w:r>
            <w:r w:rsidR="00E31ED8">
              <w:t xml:space="preserve">: </w:t>
            </w:r>
            <w:r w:rsidRPr="0038764C">
              <w:t>metro and surrounding areas</w:t>
            </w:r>
          </w:p>
        </w:tc>
        <w:tc>
          <w:tcPr>
            <w:tcW w:w="2126" w:type="dxa"/>
          </w:tcPr>
          <w:p w14:paraId="5CBEA0E7" w14:textId="77777777" w:rsidR="00230B9A" w:rsidRPr="0038764C" w:rsidRDefault="00230B9A" w:rsidP="0035111C">
            <w:pPr>
              <w:spacing w:after="0"/>
            </w:pPr>
            <w:r w:rsidRPr="0038764C">
              <w:t xml:space="preserve">Q1 2024 </w:t>
            </w:r>
          </w:p>
        </w:tc>
        <w:tc>
          <w:tcPr>
            <w:tcW w:w="3828" w:type="dxa"/>
          </w:tcPr>
          <w:p w14:paraId="182FB6C8" w14:textId="77777777" w:rsidR="00230B9A" w:rsidRPr="000B2F49" w:rsidRDefault="00230B9A" w:rsidP="0035111C">
            <w:pPr>
              <w:spacing w:after="0"/>
            </w:pPr>
            <w:r>
              <w:t>Area-wide licence by administrative allocation window</w:t>
            </w:r>
          </w:p>
        </w:tc>
      </w:tr>
      <w:tr w:rsidR="00230B9A" w:rsidRPr="0038764C" w14:paraId="206088EA" w14:textId="77777777" w:rsidTr="0036639A">
        <w:trPr>
          <w:cnfStyle w:val="000000010000" w:firstRow="0" w:lastRow="0" w:firstColumn="0" w:lastColumn="0" w:oddVBand="0" w:evenVBand="0" w:oddHBand="0" w:evenHBand="1" w:firstRowFirstColumn="0" w:firstRowLastColumn="0" w:lastRowFirstColumn="0" w:lastRowLastColumn="0"/>
          <w:trHeight w:val="227"/>
        </w:trPr>
        <w:tc>
          <w:tcPr>
            <w:tcW w:w="1838" w:type="dxa"/>
          </w:tcPr>
          <w:p w14:paraId="4FDA2CEE" w14:textId="6B6B176A" w:rsidR="00230B9A" w:rsidRPr="0038764C" w:rsidRDefault="00230B9A" w:rsidP="0035111C">
            <w:pPr>
              <w:spacing w:after="0"/>
            </w:pPr>
            <w:r w:rsidRPr="0038764C">
              <w:t>3.75</w:t>
            </w:r>
            <w:r w:rsidR="00E346BF">
              <w:t>–</w:t>
            </w:r>
            <w:r w:rsidRPr="0038764C">
              <w:t>3.95 GHz</w:t>
            </w:r>
            <w:r w:rsidR="00E31ED8">
              <w:t xml:space="preserve">: </w:t>
            </w:r>
            <w:r w:rsidRPr="0038764C">
              <w:t>regional areas</w:t>
            </w:r>
          </w:p>
        </w:tc>
        <w:tc>
          <w:tcPr>
            <w:tcW w:w="2126" w:type="dxa"/>
          </w:tcPr>
          <w:p w14:paraId="7FFA7668" w14:textId="77777777" w:rsidR="00230B9A" w:rsidRPr="0038764C" w:rsidRDefault="00230B9A" w:rsidP="0035111C">
            <w:pPr>
              <w:spacing w:after="0"/>
            </w:pPr>
            <w:r w:rsidRPr="0038764C">
              <w:t xml:space="preserve">Q1 2024 </w:t>
            </w:r>
          </w:p>
        </w:tc>
        <w:tc>
          <w:tcPr>
            <w:tcW w:w="3828" w:type="dxa"/>
          </w:tcPr>
          <w:p w14:paraId="469D6CB7" w14:textId="77777777" w:rsidR="00230B9A" w:rsidRPr="000B2F49" w:rsidRDefault="00230B9A" w:rsidP="0035111C">
            <w:pPr>
              <w:spacing w:after="0"/>
            </w:pPr>
            <w:r>
              <w:t>Area-wide licence by administrative allocation window</w:t>
            </w:r>
          </w:p>
        </w:tc>
      </w:tr>
      <w:tr w:rsidR="00230B9A" w:rsidRPr="0038764C" w14:paraId="4E17BA1D" w14:textId="77777777" w:rsidTr="0036639A">
        <w:trPr>
          <w:cnfStyle w:val="000000100000" w:firstRow="0" w:lastRow="0" w:firstColumn="0" w:lastColumn="0" w:oddVBand="0" w:evenVBand="0" w:oddHBand="1" w:evenHBand="0" w:firstRowFirstColumn="0" w:firstRowLastColumn="0" w:lastRowFirstColumn="0" w:lastRowLastColumn="0"/>
          <w:trHeight w:val="227"/>
        </w:trPr>
        <w:tc>
          <w:tcPr>
            <w:tcW w:w="1838" w:type="dxa"/>
          </w:tcPr>
          <w:p w14:paraId="32714A15" w14:textId="75C30C22" w:rsidR="00230B9A" w:rsidRPr="0038764C" w:rsidRDefault="00230B9A" w:rsidP="0035111C">
            <w:pPr>
              <w:spacing w:after="0"/>
            </w:pPr>
            <w:r w:rsidRPr="0038764C">
              <w:t>3.95</w:t>
            </w:r>
            <w:r w:rsidR="00E346BF">
              <w:t>–</w:t>
            </w:r>
            <w:r w:rsidRPr="0038764C">
              <w:t>4 GHz</w:t>
            </w:r>
            <w:r w:rsidR="00E31ED8">
              <w:t xml:space="preserve">: </w:t>
            </w:r>
            <w:r w:rsidRPr="0038764C">
              <w:t>regional and metro areas</w:t>
            </w:r>
          </w:p>
        </w:tc>
        <w:tc>
          <w:tcPr>
            <w:tcW w:w="2126" w:type="dxa"/>
          </w:tcPr>
          <w:p w14:paraId="3F33CFA3" w14:textId="77777777" w:rsidR="00230B9A" w:rsidRPr="0038764C" w:rsidRDefault="00230B9A" w:rsidP="0035111C">
            <w:pPr>
              <w:spacing w:after="0"/>
            </w:pPr>
            <w:r w:rsidRPr="0038764C">
              <w:t xml:space="preserve">TBD </w:t>
            </w:r>
          </w:p>
        </w:tc>
        <w:tc>
          <w:tcPr>
            <w:tcW w:w="3828" w:type="dxa"/>
          </w:tcPr>
          <w:p w14:paraId="0485139C" w14:textId="6FCC6BB5" w:rsidR="00F15281" w:rsidRDefault="001E3E84" w:rsidP="0035111C">
            <w:pPr>
              <w:spacing w:after="0"/>
            </w:pPr>
            <w:r>
              <w:t>Appa</w:t>
            </w:r>
            <w:r w:rsidR="00F15281">
              <w:t>ratus licence with restrictions on operation (</w:t>
            </w:r>
            <w:r w:rsidR="00E31ED8">
              <w:t>e.g.,</w:t>
            </w:r>
            <w:r w:rsidR="00F15281">
              <w:t xml:space="preserve"> low power) </w:t>
            </w:r>
          </w:p>
          <w:p w14:paraId="41B1690C" w14:textId="3537FDA8" w:rsidR="00230B9A" w:rsidRPr="0038764C" w:rsidRDefault="00F15281" w:rsidP="0035111C">
            <w:pPr>
              <w:spacing w:after="0"/>
            </w:pPr>
            <w:r>
              <w:t>Allocation method is TBD</w:t>
            </w:r>
          </w:p>
        </w:tc>
      </w:tr>
      <w:tr w:rsidR="00230B9A" w:rsidRPr="0038764C" w14:paraId="5525C813" w14:textId="77777777" w:rsidTr="0036639A">
        <w:trPr>
          <w:cnfStyle w:val="000000010000" w:firstRow="0" w:lastRow="0" w:firstColumn="0" w:lastColumn="0" w:oddVBand="0" w:evenVBand="0" w:oddHBand="0" w:evenHBand="1" w:firstRowFirstColumn="0" w:firstRowLastColumn="0" w:lastRowFirstColumn="0" w:lastRowLastColumn="0"/>
          <w:trHeight w:val="227"/>
        </w:trPr>
        <w:tc>
          <w:tcPr>
            <w:tcW w:w="1838" w:type="dxa"/>
          </w:tcPr>
          <w:p w14:paraId="7F4BD2AF" w14:textId="70424EC4" w:rsidR="00230B9A" w:rsidRPr="0038764C" w:rsidRDefault="00230B9A" w:rsidP="0035111C">
            <w:pPr>
              <w:spacing w:after="0"/>
            </w:pPr>
            <w:r w:rsidRPr="0038764C">
              <w:t>3.4</w:t>
            </w:r>
            <w:r w:rsidR="00E346BF">
              <w:t>–</w:t>
            </w:r>
            <w:r w:rsidRPr="0038764C">
              <w:t>3.475 GHz – urban excise areas</w:t>
            </w:r>
          </w:p>
        </w:tc>
        <w:tc>
          <w:tcPr>
            <w:tcW w:w="2126" w:type="dxa"/>
          </w:tcPr>
          <w:p w14:paraId="1ADE6FD9" w14:textId="77777777" w:rsidR="00230B9A" w:rsidRPr="0038764C" w:rsidRDefault="00230B9A" w:rsidP="0035111C">
            <w:pPr>
              <w:spacing w:after="0"/>
            </w:pPr>
            <w:r w:rsidRPr="0038764C">
              <w:t xml:space="preserve">TBD </w:t>
            </w:r>
          </w:p>
        </w:tc>
        <w:tc>
          <w:tcPr>
            <w:tcW w:w="3828" w:type="dxa"/>
          </w:tcPr>
          <w:p w14:paraId="48F9B6A1" w14:textId="74C97DA4" w:rsidR="000B4B2D" w:rsidRDefault="000B4B2D" w:rsidP="0035111C">
            <w:pPr>
              <w:spacing w:after="0"/>
            </w:pPr>
            <w:r>
              <w:t>Apparatus licence with restrictions on operation (</w:t>
            </w:r>
            <w:r w:rsidR="00E31ED8">
              <w:t>e.g.,</w:t>
            </w:r>
            <w:r>
              <w:t xml:space="preserve"> low power) </w:t>
            </w:r>
          </w:p>
          <w:p w14:paraId="62759D70" w14:textId="7D469855" w:rsidR="00230B9A" w:rsidRPr="0038764C" w:rsidRDefault="000B4B2D" w:rsidP="0035111C">
            <w:pPr>
              <w:spacing w:after="0"/>
            </w:pPr>
            <w:r>
              <w:t>Allocation method is TBD</w:t>
            </w:r>
          </w:p>
        </w:tc>
      </w:tr>
    </w:tbl>
    <w:p w14:paraId="3B8F7D37" w14:textId="77777777" w:rsidR="00230B9A" w:rsidRDefault="00230B9A" w:rsidP="00230B9A">
      <w:pPr>
        <w:pStyle w:val="Heading1"/>
      </w:pPr>
      <w:bookmarkStart w:id="79" w:name="_Toc146023008"/>
      <w:bookmarkEnd w:id="78"/>
      <w:r>
        <w:t>Appendix E – Radiofrequency allocation regime</w:t>
      </w:r>
      <w:bookmarkEnd w:id="77"/>
      <w:bookmarkEnd w:id="79"/>
    </w:p>
    <w:p w14:paraId="0AC36A7F" w14:textId="77777777" w:rsidR="00230B9A" w:rsidRPr="00CC74E3" w:rsidRDefault="00230B9A" w:rsidP="00CD264D">
      <w:pPr>
        <w:pStyle w:val="Heading2"/>
      </w:pPr>
      <w:bookmarkStart w:id="80" w:name="_Toc146023009"/>
      <w:bookmarkStart w:id="81" w:name="_Toc140741299"/>
      <w:r w:rsidRPr="00CC74E3">
        <w:t>What types of licences does the ACMA issue?</w:t>
      </w:r>
      <w:bookmarkEnd w:id="80"/>
      <w:r w:rsidRPr="00CC74E3">
        <w:t xml:space="preserve"> </w:t>
      </w:r>
      <w:bookmarkEnd w:id="81"/>
    </w:p>
    <w:p w14:paraId="05D93081" w14:textId="1DB49064" w:rsidR="00230B9A" w:rsidRPr="00551062" w:rsidRDefault="00230B9A" w:rsidP="00CD264D">
      <w:pPr>
        <w:pStyle w:val="Paragraph"/>
      </w:pPr>
      <w:r>
        <w:t xml:space="preserve">The ACMA has 3 licence types available to authorise access to spectrum – class, spectrum and apparatus licences. Each of these have differing characteristics with respect to the allocation method, approach to pricing, associated level of exclusivity and interference environment. </w:t>
      </w:r>
    </w:p>
    <w:p w14:paraId="78267856" w14:textId="32BE14CC" w:rsidR="00230B9A" w:rsidRPr="00CC74E3" w:rsidRDefault="00230B9A" w:rsidP="00E346BF">
      <w:pPr>
        <w:pStyle w:val="Heading3"/>
      </w:pPr>
      <w:r w:rsidRPr="00CC74E3">
        <w:t xml:space="preserve">Class </w:t>
      </w:r>
      <w:r w:rsidR="00E346BF">
        <w:t>l</w:t>
      </w:r>
      <w:r w:rsidRPr="00E346BF">
        <w:t>icences</w:t>
      </w:r>
    </w:p>
    <w:p w14:paraId="76E37346" w14:textId="7237FA5B" w:rsidR="00230B9A" w:rsidRDefault="00230B9A" w:rsidP="00CD264D">
      <w:pPr>
        <w:pStyle w:val="Paragraph"/>
      </w:pPr>
      <w:r>
        <w:t xml:space="preserve">Class licences are a standing authorisation to access spectrum provided certain conditions are met, for example low power operation. Class licences are used to operate common radio equipment on shared frequencies (for example, cordless telephones, </w:t>
      </w:r>
      <w:r w:rsidR="00CB31DA">
        <w:t>wi-fi</w:t>
      </w:r>
      <w:r>
        <w:t xml:space="preserve">, GPS and remote-controlled toys). They do not require any application or licence fees and are not taxed. Devices operating under a class licence, however, are typically not afforded protection from interference, this in combination with the shared nature of the spectrum can affect the quality of service. The ACMA has </w:t>
      </w:r>
      <w:hyperlink r:id="rId44" w:history="1">
        <w:r w:rsidRPr="003D52F2">
          <w:rPr>
            <w:rStyle w:val="Hyperlink"/>
          </w:rPr>
          <w:t>16 class licences</w:t>
        </w:r>
      </w:hyperlink>
      <w:r>
        <w:t xml:space="preserve">. </w:t>
      </w:r>
    </w:p>
    <w:p w14:paraId="0ECA4456" w14:textId="6599DCB7" w:rsidR="00230B9A" w:rsidRPr="00E346BF" w:rsidRDefault="00C2270A" w:rsidP="00E346BF">
      <w:pPr>
        <w:pStyle w:val="Heading3"/>
      </w:pPr>
      <w:hyperlink r:id="rId45" w:history="1">
        <w:r w:rsidR="00230B9A" w:rsidRPr="00DB552D">
          <w:rPr>
            <w:rStyle w:val="Hyperlink"/>
            <w:color w:val="auto"/>
            <w:u w:val="none"/>
          </w:rPr>
          <w:t xml:space="preserve">Spectrum </w:t>
        </w:r>
        <w:r w:rsidR="00E346BF">
          <w:rPr>
            <w:rStyle w:val="Hyperlink"/>
            <w:color w:val="auto"/>
            <w:u w:val="none"/>
          </w:rPr>
          <w:t>l</w:t>
        </w:r>
        <w:r w:rsidR="00230B9A" w:rsidRPr="00DB552D">
          <w:rPr>
            <w:rStyle w:val="Hyperlink"/>
            <w:color w:val="auto"/>
            <w:u w:val="none"/>
          </w:rPr>
          <w:t>icences</w:t>
        </w:r>
      </w:hyperlink>
    </w:p>
    <w:p w14:paraId="00AC4D1F" w14:textId="5C192BFD" w:rsidR="00230B9A" w:rsidRDefault="00230B9A" w:rsidP="00230B9A">
      <w:pPr>
        <w:pStyle w:val="Paragraph"/>
      </w:pPr>
      <w:r w:rsidRPr="00200A9B">
        <w:t xml:space="preserve">Spectrum licences </w:t>
      </w:r>
      <w:r w:rsidR="00545BE1">
        <w:t>let</w:t>
      </w:r>
      <w:r w:rsidRPr="00200A9B">
        <w:t xml:space="preserve"> radiocommunication devices </w:t>
      </w:r>
      <w:r w:rsidR="00545BE1">
        <w:t>operate i</w:t>
      </w:r>
      <w:r w:rsidRPr="00200A9B">
        <w:t xml:space="preserve">n a specific geographic area </w:t>
      </w:r>
      <w:r w:rsidR="00EC25AF">
        <w:t>at a</w:t>
      </w:r>
      <w:r w:rsidRPr="00200A9B">
        <w:t xml:space="preserve"> frequency band</w:t>
      </w:r>
      <w:r>
        <w:t xml:space="preserve"> with a high degree of exclusivity. This exclusivity </w:t>
      </w:r>
      <w:r w:rsidR="00EC25AF">
        <w:t>reduces</w:t>
      </w:r>
      <w:r>
        <w:t xml:space="preserve"> interference</w:t>
      </w:r>
      <w:r w:rsidR="00EC25AF">
        <w:t xml:space="preserve"> and</w:t>
      </w:r>
      <w:r>
        <w:t xml:space="preserve"> </w:t>
      </w:r>
      <w:r w:rsidR="00EC25AF">
        <w:t>provides a</w:t>
      </w:r>
      <w:r>
        <w:t xml:space="preserve"> high quality of service. The geographic area can vary</w:t>
      </w:r>
      <w:r w:rsidR="00EC25AF">
        <w:t xml:space="preserve"> but</w:t>
      </w:r>
      <w:r>
        <w:t xml:space="preserve"> can comprise the entire country. </w:t>
      </w:r>
      <w:r w:rsidR="00827ED9" w:rsidRPr="00200A9B">
        <w:t xml:space="preserve">Spectrum licences are allocated via auction, tender, set price, negotiation or direct allocation. </w:t>
      </w:r>
      <w:hyperlink r:id="rId46" w:history="1">
        <w:r w:rsidR="0059731E" w:rsidRPr="0059731E">
          <w:rPr>
            <w:rStyle w:val="Hyperlink"/>
          </w:rPr>
          <w:t>Auction</w:t>
        </w:r>
      </w:hyperlink>
      <w:r w:rsidR="0059731E">
        <w:t xml:space="preserve"> </w:t>
      </w:r>
      <w:r w:rsidR="0059731E" w:rsidRPr="00F11D01">
        <w:t>is the preferred approach where demand exceeds supply.</w:t>
      </w:r>
      <w:r w:rsidR="00827ED9" w:rsidRPr="00200A9B">
        <w:t xml:space="preserve"> </w:t>
      </w:r>
      <w:r>
        <w:t xml:space="preserve">Spectrum licences have historically been </w:t>
      </w:r>
      <w:r w:rsidR="00827ED9">
        <w:t xml:space="preserve">used </w:t>
      </w:r>
      <w:r>
        <w:t xml:space="preserve">to deploy commercial mobile broadband networks. </w:t>
      </w:r>
    </w:p>
    <w:p w14:paraId="6D174260" w14:textId="18280504" w:rsidR="00230B9A" w:rsidRPr="00200A9B" w:rsidRDefault="00230B9A" w:rsidP="00230B9A">
      <w:pPr>
        <w:pStyle w:val="Paragraph"/>
      </w:pPr>
      <w:r w:rsidRPr="00200A9B">
        <w:t xml:space="preserve">These licences may be issued for up to 20 years and can be </w:t>
      </w:r>
      <w:hyperlink r:id="rId47" w:history="1">
        <w:r w:rsidRPr="00200A9B">
          <w:rPr>
            <w:rStyle w:val="Hyperlink"/>
          </w:rPr>
          <w:t>traded wholly</w:t>
        </w:r>
      </w:hyperlink>
      <w:r w:rsidRPr="00200A9B">
        <w:t xml:space="preserve"> or in part. There are specific rules for spectrum licences set out in the </w:t>
      </w:r>
      <w:hyperlink r:id="rId48" w:history="1">
        <w:r w:rsidRPr="00200A9B">
          <w:rPr>
            <w:rStyle w:val="Hyperlink"/>
            <w:i/>
            <w:iCs/>
          </w:rPr>
          <w:t xml:space="preserve">Radiocommunications </w:t>
        </w:r>
        <w:r w:rsidR="00F11D01">
          <w:rPr>
            <w:rStyle w:val="Hyperlink"/>
            <w:i/>
            <w:iCs/>
          </w:rPr>
          <w:br/>
        </w:r>
        <w:r w:rsidRPr="00200A9B">
          <w:rPr>
            <w:rStyle w:val="Hyperlink"/>
            <w:i/>
            <w:iCs/>
          </w:rPr>
          <w:t>Act</w:t>
        </w:r>
      </w:hyperlink>
      <w:r w:rsidRPr="00200A9B">
        <w:rPr>
          <w:rStyle w:val="Hyperlink"/>
          <w:i/>
          <w:iCs/>
        </w:rPr>
        <w:t xml:space="preserve"> 1992</w:t>
      </w:r>
      <w:r w:rsidRPr="00200A9B">
        <w:t xml:space="preserve">. </w:t>
      </w:r>
    </w:p>
    <w:p w14:paraId="131C834D" w14:textId="1F3F3255" w:rsidR="00230B9A" w:rsidRPr="00E346BF" w:rsidRDefault="00C2270A" w:rsidP="00E346BF">
      <w:pPr>
        <w:pStyle w:val="Heading3"/>
      </w:pPr>
      <w:hyperlink r:id="rId49" w:history="1">
        <w:r w:rsidR="00230B9A" w:rsidRPr="00DB552D">
          <w:rPr>
            <w:rStyle w:val="Hyperlink"/>
            <w:color w:val="auto"/>
            <w:u w:val="none"/>
          </w:rPr>
          <w:t xml:space="preserve">Apparatus </w:t>
        </w:r>
        <w:r w:rsidR="00E346BF">
          <w:rPr>
            <w:rStyle w:val="Hyperlink"/>
            <w:color w:val="auto"/>
            <w:u w:val="none"/>
          </w:rPr>
          <w:t>l</w:t>
        </w:r>
        <w:r w:rsidR="00230B9A" w:rsidRPr="00DB552D">
          <w:rPr>
            <w:rStyle w:val="Hyperlink"/>
            <w:color w:val="auto"/>
            <w:u w:val="none"/>
          </w:rPr>
          <w:t>icences</w:t>
        </w:r>
      </w:hyperlink>
    </w:p>
    <w:p w14:paraId="47E5CEAE" w14:textId="5C3506AC" w:rsidR="00230B9A" w:rsidRDefault="00230B9A" w:rsidP="00CD264D">
      <w:pPr>
        <w:pStyle w:val="Paragraph"/>
      </w:pPr>
      <w:r>
        <w:t xml:space="preserve">Apparatus licences cover most licences issued by the ACMA. Devices covered </w:t>
      </w:r>
      <w:r w:rsidR="00CB6B84">
        <w:t xml:space="preserve">by apparatus licences </w:t>
      </w:r>
      <w:r>
        <w:t xml:space="preserve">vary </w:t>
      </w:r>
      <w:r w:rsidR="00CB6B84">
        <w:t>from</w:t>
      </w:r>
      <w:r>
        <w:t xml:space="preserve"> amateur radio to aeronautical communications to commercial broadcasting to public telecommunications services. They can </w:t>
      </w:r>
      <w:r w:rsidR="00C04F5F">
        <w:t>be valid</w:t>
      </w:r>
      <w:r>
        <w:t xml:space="preserve"> up to 20 years but are mostly for shorter </w:t>
      </w:r>
      <w:r w:rsidR="00C04F5F">
        <w:t>periods</w:t>
      </w:r>
      <w:r>
        <w:t>. The ACMA generally renews the licence unless it is intending to reallocate the spectrum for other uses.</w:t>
      </w:r>
    </w:p>
    <w:p w14:paraId="5636BB68" w14:textId="77777777" w:rsidR="00230B9A" w:rsidRDefault="00230B9A" w:rsidP="00CD264D">
      <w:pPr>
        <w:pStyle w:val="Paragraph"/>
      </w:pPr>
      <w:r>
        <w:t>Users obtain a licence through either an accredited person or applying directly to the ACMA. Licences are generally sold at a set price based upon the apparatus licence tax formula. However, if demand exceeds supply, licences can and have been awarded via an auction process.</w:t>
      </w:r>
    </w:p>
    <w:p w14:paraId="0CC06897" w14:textId="242C37C2" w:rsidR="00230B9A" w:rsidRDefault="00230B9A" w:rsidP="00CD264D">
      <w:pPr>
        <w:pStyle w:val="Paragraph"/>
      </w:pPr>
      <w:r>
        <w:t xml:space="preserve">This category includes the </w:t>
      </w:r>
      <w:r w:rsidR="00E31ED8">
        <w:t>a</w:t>
      </w:r>
      <w:r>
        <w:t>rea</w:t>
      </w:r>
      <w:r w:rsidR="00E31ED8">
        <w:t>-w</w:t>
      </w:r>
      <w:r>
        <w:t xml:space="preserve">ide </w:t>
      </w:r>
      <w:r w:rsidR="00E31ED8">
        <w:t>l</w:t>
      </w:r>
      <w:r>
        <w:t>icence system, which can be used for either private or public networks.</w:t>
      </w:r>
      <w:r w:rsidR="00090D29">
        <w:t xml:space="preserve"> </w:t>
      </w:r>
    </w:p>
    <w:p w14:paraId="2D4C5AFA" w14:textId="77777777" w:rsidR="00E92CD1" w:rsidRDefault="00230B9A" w:rsidP="00CD264D">
      <w:pPr>
        <w:pStyle w:val="Paragraph"/>
      </w:pPr>
      <w:r>
        <w:t xml:space="preserve">An </w:t>
      </w:r>
      <w:r>
        <w:rPr>
          <w:szCs w:val="20"/>
        </w:rPr>
        <w:t>area-wide licence</w:t>
      </w:r>
      <w:r>
        <w:t xml:space="preserve"> authorises the operation of one or more radiocommunications devices within a defined geographic area and within the frequencies specified on the licence, subject to defined conditions. </w:t>
      </w:r>
    </w:p>
    <w:p w14:paraId="4C791A3C" w14:textId="537C1612" w:rsidR="00230B9A" w:rsidRDefault="00230B9A" w:rsidP="00CD264D">
      <w:pPr>
        <w:pStyle w:val="Paragraph"/>
      </w:pPr>
      <w:r>
        <w:t>A</w:t>
      </w:r>
      <w:r>
        <w:rPr>
          <w:szCs w:val="20"/>
        </w:rPr>
        <w:t>rea-wide licence</w:t>
      </w:r>
      <w:r>
        <w:t xml:space="preserve">s are intended to be scalable, enabling its use for authorising difference-sized geographic areas and bandwidths. Unlike existing apparatus licence types – which typically align with specific uses and purposes – the area-wide apparatus licence </w:t>
      </w:r>
      <w:r w:rsidR="00E31ED8">
        <w:t>can authorise</w:t>
      </w:r>
      <w:r>
        <w:t xml:space="preserve"> a variety of services, uses, applications and technologies. </w:t>
      </w:r>
    </w:p>
    <w:p w14:paraId="620315C3" w14:textId="0A438711" w:rsidR="007F6B3C" w:rsidRDefault="00230B9A" w:rsidP="00CD264D">
      <w:pPr>
        <w:pStyle w:val="Paragraph"/>
      </w:pPr>
      <w:r>
        <w:t xml:space="preserve">Arrangements for </w:t>
      </w:r>
      <w:r>
        <w:rPr>
          <w:szCs w:val="20"/>
        </w:rPr>
        <w:t>area-wide licence</w:t>
      </w:r>
      <w:r>
        <w:t xml:space="preserve">s are in place in the 26 GHz and 28 GHz bands. There are also plans to allocate </w:t>
      </w:r>
      <w:r>
        <w:rPr>
          <w:szCs w:val="20"/>
        </w:rPr>
        <w:t>area-wide licence</w:t>
      </w:r>
      <w:r>
        <w:t xml:space="preserve"> in those parts of the 3.4</w:t>
      </w:r>
      <w:r w:rsidR="00E346BF">
        <w:t>–</w:t>
      </w:r>
      <w:r w:rsidR="00ED450C">
        <w:t>4</w:t>
      </w:r>
      <w:r>
        <w:t xml:space="preserve"> GHz band that are not subject to spectrum licensing </w:t>
      </w:r>
      <w:r w:rsidR="00BC70EE">
        <w:t>(see Appendix D for details)</w:t>
      </w:r>
      <w:r w:rsidR="00E31ED8">
        <w:t>.</w:t>
      </w:r>
      <w:r w:rsidR="00BC70EE">
        <w:t xml:space="preserve"> </w:t>
      </w:r>
      <w:r>
        <w:t xml:space="preserve"> </w:t>
      </w:r>
      <w:bookmarkEnd w:id="1"/>
    </w:p>
    <w:sectPr w:rsidR="007F6B3C" w:rsidSect="00C77380">
      <w:headerReference w:type="even" r:id="rId50"/>
      <w:headerReference w:type="default" r:id="rId51"/>
      <w:footerReference w:type="even" r:id="rId52"/>
      <w:footerReference w:type="default" r:id="rId53"/>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4A1872" w14:textId="77777777" w:rsidR="00143688" w:rsidRDefault="00143688">
      <w:r>
        <w:separator/>
      </w:r>
    </w:p>
  </w:endnote>
  <w:endnote w:type="continuationSeparator" w:id="0">
    <w:p w14:paraId="300CDAFD" w14:textId="77777777" w:rsidR="00143688" w:rsidRDefault="00143688">
      <w:r>
        <w:continuationSeparator/>
      </w:r>
    </w:p>
  </w:endnote>
  <w:endnote w:type="continuationNotice" w:id="1">
    <w:p w14:paraId="628A18F0" w14:textId="77777777" w:rsidR="00143688" w:rsidRDefault="0014368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Arial Nova Light">
    <w:charset w:val="00"/>
    <w:family w:val="swiss"/>
    <w:pitch w:val="variable"/>
    <w:sig w:usb0="0000028F" w:usb1="00000002" w:usb2="00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altName w:val="Arial"/>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BFC3C1" w14:textId="77777777" w:rsidR="005E250B" w:rsidRDefault="005E250B" w:rsidP="005E250B">
    <w:pPr>
      <w:pStyle w:val="Footer"/>
      <w:jc w:val="right"/>
    </w:pPr>
    <w:r w:rsidRPr="005E250B">
      <w:rPr>
        <w:noProof/>
        <w:vertAlign w:val="subscript"/>
      </w:rPr>
      <w:drawing>
        <wp:inline distT="0" distB="0" distL="0" distR="0" wp14:anchorId="4EF9F209" wp14:editId="65C7323D">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7D1F64"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B29CB0"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A0B1AA"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6DCCBA38"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48109C"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4AB20BEF"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5860A8"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7080BC02"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BE1A6A"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5C081492" w14:textId="77777777" w:rsidR="00C053A1" w:rsidRPr="00A5474E" w:rsidRDefault="00C053A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415B5D"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775AE595"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8DB06D" w14:textId="77777777" w:rsidR="00143688" w:rsidRDefault="00143688" w:rsidP="00DB3A64">
      <w:pPr>
        <w:spacing w:after="0"/>
      </w:pPr>
      <w:r>
        <w:separator/>
      </w:r>
    </w:p>
  </w:footnote>
  <w:footnote w:type="continuationSeparator" w:id="0">
    <w:p w14:paraId="73BEE170" w14:textId="77777777" w:rsidR="00143688" w:rsidRDefault="00143688">
      <w:r>
        <w:continuationSeparator/>
      </w:r>
    </w:p>
  </w:footnote>
  <w:footnote w:type="continuationNotice" w:id="1">
    <w:p w14:paraId="0C6FF05F" w14:textId="77777777" w:rsidR="00143688" w:rsidRDefault="00143688">
      <w:pPr>
        <w:spacing w:after="0" w:line="240" w:lineRule="auto"/>
      </w:pPr>
    </w:p>
  </w:footnote>
  <w:footnote w:id="2">
    <w:p w14:paraId="5F250685" w14:textId="21AE0963" w:rsidR="00230B9A" w:rsidRDefault="00230B9A" w:rsidP="00230B9A">
      <w:pPr>
        <w:pStyle w:val="FootnoteText"/>
      </w:pPr>
      <w:r>
        <w:rPr>
          <w:rStyle w:val="FootnoteReference"/>
        </w:rPr>
        <w:footnoteRef/>
      </w:r>
      <w:r>
        <w:t xml:space="preserve"> Australian Radio Communications Industry Association (ARCIA), </w:t>
      </w:r>
      <w:hyperlink r:id="rId1" w:history="1">
        <w:r w:rsidR="001477F8">
          <w:rPr>
            <w:rStyle w:val="Hyperlink"/>
            <w:i/>
            <w:iCs/>
          </w:rPr>
          <w:t>ACMA Research Into Private LTE</w:t>
        </w:r>
      </w:hyperlink>
      <w:r>
        <w:t xml:space="preserve">, </w:t>
      </w:r>
      <w:r w:rsidR="001477F8">
        <w:t xml:space="preserve">ARCIA website, 2022, </w:t>
      </w:r>
      <w:r>
        <w:t xml:space="preserve">accessed 12 February 2023. </w:t>
      </w:r>
    </w:p>
  </w:footnote>
  <w:footnote w:id="3">
    <w:p w14:paraId="5FBA6FB3" w14:textId="6E605F1B" w:rsidR="00C00CA1" w:rsidRDefault="00C00CA1" w:rsidP="00C00CA1">
      <w:pPr>
        <w:pStyle w:val="FootnoteText"/>
      </w:pPr>
      <w:r>
        <w:rPr>
          <w:rStyle w:val="FootnoteReference"/>
        </w:rPr>
        <w:footnoteRef/>
      </w:r>
      <w:r>
        <w:t xml:space="preserve"> GlobalData</w:t>
      </w:r>
      <w:r w:rsidRPr="005634DA">
        <w:rPr>
          <w:i/>
          <w:iCs/>
        </w:rPr>
        <w:t>, ACMA Report: GlobalData Perspective on Telecommunications Supply Chain</w:t>
      </w:r>
      <w:r>
        <w:t>, report to the Australian Communications and Media Authority</w:t>
      </w:r>
      <w:r w:rsidR="00AF24E0">
        <w:t>, 2022</w:t>
      </w:r>
      <w:r w:rsidR="0044653B">
        <w:t>,</w:t>
      </w:r>
      <w:r>
        <w:t xml:space="preserve"> pp. 38</w:t>
      </w:r>
      <w:r w:rsidR="00612FFF">
        <w:t>–</w:t>
      </w:r>
      <w:r>
        <w:t>53</w:t>
      </w:r>
      <w:r w:rsidR="0044653B">
        <w:t xml:space="preserve">; </w:t>
      </w:r>
      <w:r>
        <w:t xml:space="preserve">Mordor Intelligence, </w:t>
      </w:r>
      <w:r w:rsidRPr="000B0296">
        <w:rPr>
          <w:i/>
          <w:iCs/>
        </w:rPr>
        <w:t>Australian Private wireless network Landscape (2022-2027)</w:t>
      </w:r>
      <w:r w:rsidR="00DC5339">
        <w:t xml:space="preserve">, </w:t>
      </w:r>
      <w:r w:rsidR="00DC5339" w:rsidRPr="00DC5339">
        <w:t>report to the Australian Communications and Media Authority, 2022, p.7.</w:t>
      </w:r>
      <w:r>
        <w:t xml:space="preserve"> </w:t>
      </w:r>
    </w:p>
  </w:footnote>
  <w:footnote w:id="4">
    <w:p w14:paraId="61897D4B" w14:textId="6FBEDCD3" w:rsidR="008C1D56" w:rsidRDefault="008C1D56" w:rsidP="008C1D56">
      <w:pPr>
        <w:pStyle w:val="FootnoteText"/>
      </w:pPr>
      <w:r>
        <w:rPr>
          <w:rStyle w:val="FootnoteReference"/>
        </w:rPr>
        <w:footnoteRef/>
      </w:r>
      <w:r>
        <w:t xml:space="preserve"> Senate Standing Committee on Economics,</w:t>
      </w:r>
      <w:r>
        <w:rPr>
          <w:i/>
          <w:iCs/>
        </w:rPr>
        <w:t xml:space="preserve"> </w:t>
      </w:r>
      <w:hyperlink r:id="rId2" w:history="1">
        <w:r w:rsidRPr="004D3623">
          <w:rPr>
            <w:rStyle w:val="Hyperlink"/>
            <w:i/>
            <w:iCs/>
          </w:rPr>
          <w:t>The Australian Manufacturing Industry</w:t>
        </w:r>
      </w:hyperlink>
      <w:r>
        <w:t xml:space="preserve">, </w:t>
      </w:r>
      <w:r w:rsidR="0044653B">
        <w:t>Parliament of Australia website, 2022, accessed 21 July 2022,</w:t>
      </w:r>
      <w:r>
        <w:t xml:space="preserve"> p. 61</w:t>
      </w:r>
      <w:r w:rsidR="00612FFF">
        <w:t>–</w:t>
      </w:r>
      <w:r>
        <w:t>62</w:t>
      </w:r>
      <w:r w:rsidR="0044653B">
        <w:t>;</w:t>
      </w:r>
      <w:r>
        <w:t xml:space="preserve"> </w:t>
      </w:r>
      <w:r w:rsidR="0044653B">
        <w:t xml:space="preserve">R </w:t>
      </w:r>
      <w:r>
        <w:t xml:space="preserve">Chacon, (19 July 2022), Interview with TJ Maan: </w:t>
      </w:r>
      <w:hyperlink r:id="rId3" w:history="1">
        <w:r w:rsidRPr="004D3623">
          <w:rPr>
            <w:rStyle w:val="Hyperlink"/>
            <w:i/>
            <w:iCs/>
          </w:rPr>
          <w:t>Private 5G Networks and the Fourth Industrial Revolution</w:t>
        </w:r>
        <w:r>
          <w:rPr>
            <w:rStyle w:val="Hyperlink"/>
            <w:i/>
            <w:iCs/>
          </w:rPr>
          <w:t>,</w:t>
        </w:r>
        <w:r w:rsidRPr="002D1950">
          <w:rPr>
            <w:rStyle w:val="Hyperlink"/>
          </w:rPr>
          <w:t xml:space="preserve"> </w:t>
        </w:r>
        <w:r>
          <w:rPr>
            <w:rStyle w:val="Hyperlink"/>
          </w:rPr>
          <w:t>(interview video file and transcript), IoT for all</w:t>
        </w:r>
        <w:r w:rsidRPr="0044653B">
          <w:rPr>
            <w:rStyle w:val="Hyperlink"/>
            <w:color w:val="auto"/>
            <w:u w:val="none"/>
          </w:rPr>
          <w:t xml:space="preserve">, </w:t>
        </w:r>
      </w:hyperlink>
      <w:r w:rsidRPr="0044653B">
        <w:rPr>
          <w:rStyle w:val="Hyperlink"/>
          <w:color w:val="auto"/>
          <w:u w:val="none"/>
        </w:rPr>
        <w:t>accessed 25 November 2022.</w:t>
      </w:r>
      <w:r w:rsidRPr="0044653B">
        <w:rPr>
          <w:rStyle w:val="Hyperlink"/>
          <w:color w:val="auto"/>
        </w:rPr>
        <w:t xml:space="preserve"> </w:t>
      </w:r>
    </w:p>
  </w:footnote>
  <w:footnote w:id="5">
    <w:p w14:paraId="447260B6" w14:textId="19448D0C" w:rsidR="00861081" w:rsidRDefault="00861081" w:rsidP="00861081">
      <w:pPr>
        <w:pStyle w:val="FootnoteText"/>
      </w:pPr>
      <w:r>
        <w:rPr>
          <w:rStyle w:val="FootnoteReference"/>
        </w:rPr>
        <w:footnoteRef/>
      </w:r>
      <w:r>
        <w:t xml:space="preserve"> A Bhatia, </w:t>
      </w:r>
      <w:hyperlink r:id="rId4" w:history="1">
        <w:r w:rsidRPr="0044653B">
          <w:rPr>
            <w:rStyle w:val="Hyperlink"/>
            <w:i/>
            <w:iCs/>
          </w:rPr>
          <w:t>How is a Private 5G Network Different from a Public 5G Network?</w:t>
        </w:r>
      </w:hyperlink>
      <w:r>
        <w:t xml:space="preserve">, </w:t>
      </w:r>
      <w:r w:rsidRPr="0044653B">
        <w:t xml:space="preserve">Samsung </w:t>
      </w:r>
      <w:r w:rsidR="0044653B" w:rsidRPr="0044653B">
        <w:t>website</w:t>
      </w:r>
      <w:r w:rsidRPr="0044653B">
        <w:t>,</w:t>
      </w:r>
      <w:r>
        <w:t xml:space="preserve"> 2021, accessed 19 December 2022.</w:t>
      </w:r>
    </w:p>
  </w:footnote>
  <w:footnote w:id="6">
    <w:p w14:paraId="1C8791AF" w14:textId="0FE4E349" w:rsidR="00230B9A" w:rsidRDefault="00230B9A" w:rsidP="00230B9A">
      <w:pPr>
        <w:pStyle w:val="FootnoteText"/>
      </w:pPr>
      <w:r>
        <w:rPr>
          <w:rStyle w:val="FootnoteReference"/>
        </w:rPr>
        <w:footnoteRef/>
      </w:r>
      <w:r>
        <w:t xml:space="preserve"> </w:t>
      </w:r>
      <w:r>
        <w:rPr>
          <w:rFonts w:cs="Arial"/>
        </w:rPr>
        <w:t>Private wireless network</w:t>
      </w:r>
      <w:r w:rsidRPr="008C5BE9">
        <w:rPr>
          <w:rFonts w:cs="Arial"/>
        </w:rPr>
        <w:t xml:space="preserve">s using 4G or 5G mobile technology standards are also known as </w:t>
      </w:r>
      <w:r w:rsidR="00612FFF">
        <w:rPr>
          <w:rFonts w:cs="Arial"/>
        </w:rPr>
        <w:t>‘</w:t>
      </w:r>
      <w:r w:rsidRPr="008C5BE9">
        <w:rPr>
          <w:rFonts w:cs="Arial"/>
        </w:rPr>
        <w:t>non-public networks</w:t>
      </w:r>
      <w:r w:rsidR="00612FFF">
        <w:rPr>
          <w:rFonts w:cs="Arial"/>
        </w:rPr>
        <w:t>’</w:t>
      </w:r>
      <w:r w:rsidRPr="008C5BE9">
        <w:rPr>
          <w:rFonts w:cs="Arial"/>
        </w:rPr>
        <w:t xml:space="preserve"> by standardisation body 3rd Generation Partnership Project (3GPP).</w:t>
      </w:r>
    </w:p>
  </w:footnote>
  <w:footnote w:id="7">
    <w:p w14:paraId="17ECA6A4" w14:textId="779F43C4" w:rsidR="00230B9A" w:rsidRDefault="00230B9A" w:rsidP="00230B9A">
      <w:pPr>
        <w:pStyle w:val="FootnoteText"/>
      </w:pPr>
      <w:r>
        <w:rPr>
          <w:rStyle w:val="FootnoteReference"/>
        </w:rPr>
        <w:footnoteRef/>
      </w:r>
      <w:r>
        <w:t xml:space="preserve"> Based on analysis by ACMA</w:t>
      </w:r>
      <w:r w:rsidR="00F8204C">
        <w:t>.</w:t>
      </w:r>
    </w:p>
  </w:footnote>
  <w:footnote w:id="8">
    <w:p w14:paraId="6CC1A0AA" w14:textId="5BFEB518" w:rsidR="00230B9A" w:rsidRDefault="00230B9A" w:rsidP="00230B9A">
      <w:pPr>
        <w:pStyle w:val="FootnoteText"/>
      </w:pPr>
      <w:r>
        <w:rPr>
          <w:rStyle w:val="FootnoteReference"/>
        </w:rPr>
        <w:footnoteRef/>
      </w:r>
      <w:r>
        <w:t xml:space="preserve"> </w:t>
      </w:r>
      <w:r w:rsidRPr="00097A9E">
        <w:t xml:space="preserve">Mordor Intelligence, </w:t>
      </w:r>
      <w:r w:rsidRPr="007C5CC4">
        <w:rPr>
          <w:i/>
          <w:iCs/>
        </w:rPr>
        <w:t xml:space="preserve">Australian Private wireless network Landscape </w:t>
      </w:r>
      <w:r>
        <w:rPr>
          <w:i/>
          <w:iCs/>
        </w:rPr>
        <w:t>(2022-2027)</w:t>
      </w:r>
      <w:r w:rsidRPr="00097A9E">
        <w:t>.</w:t>
      </w:r>
    </w:p>
  </w:footnote>
  <w:footnote w:id="9">
    <w:p w14:paraId="5B3D97B6" w14:textId="77777777" w:rsidR="00230B9A" w:rsidRDefault="00230B9A" w:rsidP="00230B9A">
      <w:pPr>
        <w:pStyle w:val="FootnoteText"/>
      </w:pPr>
      <w:r>
        <w:rPr>
          <w:rStyle w:val="FootnoteReference"/>
        </w:rPr>
        <w:footnoteRef/>
      </w:r>
      <w:r>
        <w:t xml:space="preserve"> GlobalData, </w:t>
      </w:r>
      <w:r w:rsidRPr="007C5CC4">
        <w:rPr>
          <w:i/>
          <w:iCs/>
        </w:rPr>
        <w:t>Australian Mobile Operator KPI Forecast for Australia</w:t>
      </w:r>
      <w:r>
        <w:rPr>
          <w:i/>
          <w:iCs/>
        </w:rPr>
        <w:t xml:space="preserve"> </w:t>
      </w:r>
      <w:r w:rsidRPr="00CE32A2">
        <w:t>[database]</w:t>
      </w:r>
      <w:r>
        <w:t>, March 2023</w:t>
      </w:r>
      <w:r w:rsidRPr="000D7A4F">
        <w:t>,</w:t>
      </w:r>
      <w:r>
        <w:t xml:space="preserve"> accessed March 28, 2023. Forecast excludes device sales. </w:t>
      </w:r>
    </w:p>
  </w:footnote>
  <w:footnote w:id="10">
    <w:p w14:paraId="64F207FE" w14:textId="27DEFAEE" w:rsidR="00230B9A" w:rsidRDefault="00230B9A" w:rsidP="00230B9A">
      <w:pPr>
        <w:pStyle w:val="FootnoteText"/>
      </w:pPr>
      <w:r>
        <w:rPr>
          <w:rStyle w:val="FootnoteReference"/>
        </w:rPr>
        <w:footnoteRef/>
      </w:r>
      <w:r>
        <w:t xml:space="preserve"> GlobalData, </w:t>
      </w:r>
      <w:r w:rsidRPr="00E737EE">
        <w:rPr>
          <w:i/>
          <w:iCs/>
        </w:rPr>
        <w:t>Australia Telecom Operators: Country Intelligence Report</w:t>
      </w:r>
      <w:r>
        <w:rPr>
          <w:i/>
          <w:iCs/>
        </w:rPr>
        <w:t>,</w:t>
      </w:r>
      <w:r>
        <w:t xml:space="preserve"> GlobalData, July 2022, p. 3.</w:t>
      </w:r>
    </w:p>
  </w:footnote>
  <w:footnote w:id="11">
    <w:p w14:paraId="20DAE5DA" w14:textId="2B5E2937" w:rsidR="00B244F9" w:rsidRDefault="00B244F9" w:rsidP="00B244F9">
      <w:pPr>
        <w:pStyle w:val="FootnoteText"/>
      </w:pPr>
      <w:r>
        <w:rPr>
          <w:rStyle w:val="FootnoteReference"/>
        </w:rPr>
        <w:footnoteRef/>
      </w:r>
      <w:r>
        <w:t xml:space="preserve"> </w:t>
      </w:r>
      <w:r w:rsidRPr="00B53DDD">
        <w:t xml:space="preserve">Mordor Intelligence, </w:t>
      </w:r>
      <w:r w:rsidRPr="007C5CC4">
        <w:rPr>
          <w:i/>
          <w:iCs/>
        </w:rPr>
        <w:t>Australian Private wireless network Landscape</w:t>
      </w:r>
      <w:r w:rsidR="0044653B" w:rsidRPr="007C5CC4">
        <w:rPr>
          <w:i/>
          <w:iCs/>
        </w:rPr>
        <w:t xml:space="preserve"> </w:t>
      </w:r>
      <w:r w:rsidR="0044653B">
        <w:rPr>
          <w:i/>
          <w:iCs/>
        </w:rPr>
        <w:t>(2022-2027)</w:t>
      </w:r>
      <w:r w:rsidRPr="00B53DDD">
        <w:t>.</w:t>
      </w:r>
    </w:p>
  </w:footnote>
  <w:footnote w:id="12">
    <w:p w14:paraId="4D682B17" w14:textId="6F636278" w:rsidR="00A27131" w:rsidRDefault="00A27131" w:rsidP="00A27131">
      <w:pPr>
        <w:pStyle w:val="FootnoteText"/>
      </w:pPr>
      <w:r>
        <w:rPr>
          <w:rStyle w:val="FootnoteReference"/>
        </w:rPr>
        <w:footnoteRef/>
      </w:r>
      <w:r>
        <w:t xml:space="preserve"> GlobalData</w:t>
      </w:r>
      <w:r w:rsidRPr="005634DA">
        <w:rPr>
          <w:i/>
          <w:iCs/>
        </w:rPr>
        <w:t>, ACMA Report: GlobalData Perspective on Telecommunications Supply Chain</w:t>
      </w:r>
      <w:r>
        <w:t>.</w:t>
      </w:r>
    </w:p>
  </w:footnote>
  <w:footnote w:id="13">
    <w:p w14:paraId="37C07137" w14:textId="09958C1E" w:rsidR="00230B9A" w:rsidRDefault="00230B9A" w:rsidP="00230B9A">
      <w:pPr>
        <w:pStyle w:val="FootnoteText"/>
      </w:pPr>
      <w:r>
        <w:rPr>
          <w:rStyle w:val="FootnoteReference"/>
        </w:rPr>
        <w:footnoteRef/>
      </w:r>
      <w:r>
        <w:t xml:space="preserve"> V Kumar Shrimali, </w:t>
      </w:r>
      <w:hyperlink r:id="rId5" w:history="1">
        <w:r w:rsidRPr="0044653B">
          <w:rPr>
            <w:rStyle w:val="Hyperlink"/>
            <w:i/>
            <w:iCs/>
          </w:rPr>
          <w:t>5G Coverage by drones and challenge</w:t>
        </w:r>
        <w:r w:rsidRPr="00EE171E">
          <w:rPr>
            <w:rStyle w:val="Hyperlink"/>
          </w:rPr>
          <w:t>s</w:t>
        </w:r>
      </w:hyperlink>
      <w:r>
        <w:t xml:space="preserve">, Tecknexus </w:t>
      </w:r>
      <w:r w:rsidR="0044653B">
        <w:t>website</w:t>
      </w:r>
      <w:r>
        <w:t xml:space="preserve">, 2023, accessed 30 June 2023.   </w:t>
      </w:r>
    </w:p>
  </w:footnote>
  <w:footnote w:id="14">
    <w:p w14:paraId="384D25EC" w14:textId="3A098A0F" w:rsidR="00230B9A" w:rsidRPr="00AE22F5" w:rsidRDefault="00230B9A" w:rsidP="00230B9A">
      <w:pPr>
        <w:pStyle w:val="FootnoteText"/>
        <w:rPr>
          <w:rFonts w:cs="Arial"/>
        </w:rPr>
      </w:pPr>
      <w:r>
        <w:rPr>
          <w:rStyle w:val="FootnoteReference"/>
        </w:rPr>
        <w:footnoteRef/>
      </w:r>
      <w:r>
        <w:t xml:space="preserve"> Comments from </w:t>
      </w:r>
      <w:r>
        <w:rPr>
          <w:rFonts w:cs="Arial"/>
          <w:szCs w:val="20"/>
        </w:rPr>
        <w:t xml:space="preserve">Shahid Admed, executive vice president new ventures and innovation at NTT, speaking at </w:t>
      </w:r>
      <w:r>
        <w:t xml:space="preserve">Mobile World Congress Barcelona, </w:t>
      </w:r>
      <w:hyperlink r:id="rId6" w:history="1">
        <w:r w:rsidRPr="00051C19">
          <w:rPr>
            <w:rStyle w:val="Hyperlink"/>
            <w:i/>
            <w:iCs/>
          </w:rPr>
          <w:t>Are Private Networks Over-Hyped?</w:t>
        </w:r>
      </w:hyperlink>
      <w:r w:rsidRPr="00CF4BB5">
        <w:rPr>
          <w:rStyle w:val="Hyperlink"/>
          <w:u w:val="none"/>
        </w:rPr>
        <w:t xml:space="preserve"> </w:t>
      </w:r>
      <w:r w:rsidRPr="00CF4BB5">
        <w:rPr>
          <w:rStyle w:val="Hyperlink"/>
          <w:color w:val="auto"/>
          <w:u w:val="none"/>
        </w:rPr>
        <w:t>[video].</w:t>
      </w:r>
      <w:r w:rsidRPr="006878FE">
        <w:rPr>
          <w:rFonts w:cs="Arial"/>
          <w:szCs w:val="20"/>
        </w:rPr>
        <w:t xml:space="preserve"> </w:t>
      </w:r>
      <w:r>
        <w:rPr>
          <w:rFonts w:cs="Arial"/>
          <w:szCs w:val="20"/>
        </w:rPr>
        <w:t xml:space="preserve">He said removing cabling is a ‘compelling event’ for factory owners given how much blue wiring and access points are required for a </w:t>
      </w:r>
      <w:r w:rsidR="00F8204C">
        <w:rPr>
          <w:rFonts w:cs="Arial"/>
          <w:szCs w:val="20"/>
        </w:rPr>
        <w:t>large, connected</w:t>
      </w:r>
      <w:r>
        <w:rPr>
          <w:rFonts w:cs="Arial"/>
          <w:szCs w:val="20"/>
        </w:rPr>
        <w:t xml:space="preserve"> factory of about 100 million square feet</w:t>
      </w:r>
      <w:r>
        <w:t xml:space="preserve">. </w:t>
      </w:r>
    </w:p>
  </w:footnote>
  <w:footnote w:id="15">
    <w:p w14:paraId="02B4AF9F" w14:textId="328EBA3E" w:rsidR="00230B9A" w:rsidRPr="005A3F43" w:rsidRDefault="00230B9A" w:rsidP="00230B9A">
      <w:pPr>
        <w:pStyle w:val="FootnoteText"/>
        <w:rPr>
          <w:rFonts w:ascii="Arial Nova Light" w:hAnsi="Arial Nova Light"/>
        </w:rPr>
      </w:pPr>
      <w:r w:rsidRPr="00AE22F5">
        <w:rPr>
          <w:rStyle w:val="FootnoteReference"/>
          <w:rFonts w:cs="Arial"/>
        </w:rPr>
        <w:footnoteRef/>
      </w:r>
      <w:r w:rsidRPr="00AE22F5">
        <w:rPr>
          <w:rFonts w:cs="Arial"/>
        </w:rPr>
        <w:t xml:space="preserve"> Network builders use phrases like </w:t>
      </w:r>
      <w:r w:rsidR="00F8204C">
        <w:rPr>
          <w:rFonts w:cs="Arial"/>
        </w:rPr>
        <w:t>‘</w:t>
      </w:r>
      <w:r w:rsidRPr="00AE22F5">
        <w:rPr>
          <w:rFonts w:cs="Arial"/>
        </w:rPr>
        <w:t>three nines</w:t>
      </w:r>
      <w:r w:rsidR="00F8204C">
        <w:rPr>
          <w:rFonts w:cs="Arial"/>
        </w:rPr>
        <w:t>’</w:t>
      </w:r>
      <w:r w:rsidRPr="00AE22F5">
        <w:rPr>
          <w:rFonts w:cs="Arial"/>
        </w:rPr>
        <w:t xml:space="preserve"> (99.9%), </w:t>
      </w:r>
      <w:r w:rsidR="00F8204C">
        <w:rPr>
          <w:rFonts w:cs="Arial"/>
        </w:rPr>
        <w:t>‘</w:t>
      </w:r>
      <w:r w:rsidRPr="00AE22F5">
        <w:rPr>
          <w:rFonts w:cs="Arial"/>
        </w:rPr>
        <w:t>four nines</w:t>
      </w:r>
      <w:r w:rsidR="00F8204C">
        <w:rPr>
          <w:rFonts w:cs="Arial"/>
        </w:rPr>
        <w:t>’</w:t>
      </w:r>
      <w:r w:rsidRPr="00AE22F5">
        <w:rPr>
          <w:rFonts w:cs="Arial"/>
        </w:rPr>
        <w:t xml:space="preserve"> (99.99%) and </w:t>
      </w:r>
      <w:r w:rsidR="00F8204C">
        <w:rPr>
          <w:rFonts w:cs="Arial"/>
        </w:rPr>
        <w:t>‘</w:t>
      </w:r>
      <w:r w:rsidRPr="00AE22F5">
        <w:rPr>
          <w:rFonts w:cs="Arial"/>
        </w:rPr>
        <w:t>five nines</w:t>
      </w:r>
      <w:r w:rsidR="00F8204C">
        <w:rPr>
          <w:rFonts w:cs="Arial"/>
        </w:rPr>
        <w:t>’</w:t>
      </w:r>
      <w:r w:rsidRPr="00AE22F5">
        <w:rPr>
          <w:rFonts w:cs="Arial"/>
        </w:rPr>
        <w:t xml:space="preserve"> (99.999%) to market their network availability. Higher availability means the network can be trusted for automation because connected machinery will be connected 99.999% of the time. In comparison, Australia’s public mobile networks have a network availability of between 89% and 90.0%. For more detail</w:t>
      </w:r>
      <w:r w:rsidR="00F8204C">
        <w:rPr>
          <w:rFonts w:cs="Arial"/>
        </w:rPr>
        <w:t>,</w:t>
      </w:r>
      <w:r w:rsidRPr="00AE22F5">
        <w:rPr>
          <w:rFonts w:cs="Arial"/>
        </w:rPr>
        <w:t xml:space="preserve"> see</w:t>
      </w:r>
      <w:r>
        <w:rPr>
          <w:rFonts w:cs="Arial"/>
        </w:rPr>
        <w:t xml:space="preserve"> S Fenwick,</w:t>
      </w:r>
      <w:hyperlink r:id="rId7" w:history="1">
        <w:r w:rsidRPr="00AE22F5">
          <w:rPr>
            <w:rStyle w:val="Hyperlink"/>
            <w:rFonts w:cs="Arial"/>
          </w:rPr>
          <w:t xml:space="preserve"> Australia Mobile Network Experience Report</w:t>
        </w:r>
      </w:hyperlink>
      <w:r w:rsidRPr="00AE22F5">
        <w:rPr>
          <w:rFonts w:cs="Arial"/>
        </w:rPr>
        <w:t>, OpenSignal, October 2022</w:t>
      </w:r>
      <w:r>
        <w:rPr>
          <w:rFonts w:cs="Arial"/>
        </w:rPr>
        <w:t xml:space="preserve">, accessed 15 April 2023. </w:t>
      </w:r>
    </w:p>
  </w:footnote>
  <w:footnote w:id="16">
    <w:p w14:paraId="68C214EA" w14:textId="384047A1" w:rsidR="00230B9A" w:rsidRDefault="00230B9A" w:rsidP="00230B9A">
      <w:pPr>
        <w:pStyle w:val="FootnoteText"/>
      </w:pPr>
      <w:r>
        <w:rPr>
          <w:rStyle w:val="FootnoteReference"/>
        </w:rPr>
        <w:footnoteRef/>
      </w:r>
      <w:r>
        <w:t xml:space="preserve"> This is known as ‘edge computing’ and puts data storage, computer processing and analytics capabilities as close as possible to the equipment that is collecting and consuming the data. This improves performance, particularly if the operations are based in a remote location and the data would otherwise have to travel long distances back to city-based data centres for processing. Source: GlobalData, </w:t>
      </w:r>
      <w:r w:rsidRPr="007A3019">
        <w:rPr>
          <w:i/>
          <w:iCs/>
        </w:rPr>
        <w:t>Thematic Research: Edge Computing</w:t>
      </w:r>
      <w:r>
        <w:t xml:space="preserve"> </w:t>
      </w:r>
      <w:r w:rsidR="00BC40B1">
        <w:t>[</w:t>
      </w:r>
      <w:r>
        <w:t>report</w:t>
      </w:r>
      <w:r w:rsidR="00BC40B1">
        <w:t>]</w:t>
      </w:r>
      <w:r>
        <w:t xml:space="preserve">, </w:t>
      </w:r>
      <w:r w:rsidR="00BC40B1">
        <w:t xml:space="preserve">GlobalData, </w:t>
      </w:r>
      <w:r>
        <w:t xml:space="preserve">7 December 2021. </w:t>
      </w:r>
    </w:p>
  </w:footnote>
  <w:footnote w:id="17">
    <w:p w14:paraId="78A95103" w14:textId="77777777" w:rsidR="00230B9A" w:rsidRPr="005F2274" w:rsidRDefault="00230B9A" w:rsidP="00230B9A">
      <w:pPr>
        <w:pStyle w:val="FootnoteText"/>
        <w:spacing w:line="240" w:lineRule="auto"/>
        <w:rPr>
          <w:rFonts w:cs="Arial"/>
          <w:sz w:val="18"/>
          <w:szCs w:val="18"/>
        </w:rPr>
      </w:pPr>
      <w:r w:rsidRPr="005F2274">
        <w:rPr>
          <w:rStyle w:val="FootnoteReference"/>
          <w:rFonts w:cs="Arial"/>
          <w:sz w:val="18"/>
          <w:szCs w:val="18"/>
        </w:rPr>
        <w:footnoteRef/>
      </w:r>
      <w:r w:rsidRPr="005F2274">
        <w:rPr>
          <w:rFonts w:cs="Arial"/>
          <w:sz w:val="18"/>
          <w:szCs w:val="18"/>
        </w:rPr>
        <w:t xml:space="preserve"> </w:t>
      </w:r>
      <w:r w:rsidRPr="007A3019">
        <w:t>Comments from Simon Lardner, co-founder of Challenge Networks during interview with ACMA in November 2022.</w:t>
      </w:r>
    </w:p>
  </w:footnote>
  <w:footnote w:id="18">
    <w:p w14:paraId="1295E88A" w14:textId="77777777" w:rsidR="00230B9A" w:rsidRDefault="00230B9A" w:rsidP="00230B9A">
      <w:pPr>
        <w:pStyle w:val="FootnoteText"/>
      </w:pPr>
      <w:r>
        <w:rPr>
          <w:rStyle w:val="FootnoteReference"/>
        </w:rPr>
        <w:footnoteRef/>
      </w:r>
      <w:r>
        <w:t xml:space="preserve"> Estimate of 50 private networks came independently from 3 different interviewees based on their knowledge and experience in the private wireless network market in Australia.</w:t>
      </w:r>
    </w:p>
  </w:footnote>
  <w:footnote w:id="19">
    <w:p w14:paraId="1C06A0C5" w14:textId="1508B5BF" w:rsidR="00230B9A" w:rsidRDefault="00230B9A" w:rsidP="00230B9A">
      <w:pPr>
        <w:pStyle w:val="FootnoteText"/>
      </w:pPr>
      <w:r>
        <w:rPr>
          <w:rStyle w:val="FootnoteReference"/>
        </w:rPr>
        <w:footnoteRef/>
      </w:r>
      <w:r>
        <w:t xml:space="preserve"> The private network at the port is at Port Hedland, managed by the Pilbara Ports Authority. See </w:t>
      </w:r>
      <w:r w:rsidR="00F81532">
        <w:t xml:space="preserve">Aqura Technologies, </w:t>
      </w:r>
      <w:hyperlink r:id="rId8" w:history="1">
        <w:r w:rsidRPr="00C1755D">
          <w:rPr>
            <w:rStyle w:val="Hyperlink"/>
            <w:i/>
            <w:iCs/>
          </w:rPr>
          <w:t>New Private 4G for Port Hedland</w:t>
        </w:r>
      </w:hyperlink>
      <w:r w:rsidRPr="00C1755D">
        <w:rPr>
          <w:i/>
          <w:iCs/>
        </w:rPr>
        <w:t xml:space="preserve"> </w:t>
      </w:r>
      <w:r w:rsidR="00F81532" w:rsidRPr="00ED450C">
        <w:t>[</w:t>
      </w:r>
      <w:r w:rsidR="00033570">
        <w:t>news post</w:t>
      </w:r>
      <w:r w:rsidR="00F81532" w:rsidRPr="00ED450C">
        <w:t>]</w:t>
      </w:r>
      <w:r w:rsidR="002E412C">
        <w:t>,</w:t>
      </w:r>
      <w:r w:rsidR="00F81532">
        <w:rPr>
          <w:i/>
          <w:iCs/>
        </w:rPr>
        <w:t xml:space="preserve"> </w:t>
      </w:r>
      <w:r w:rsidRPr="00433B2C">
        <w:t>Aqura Technologies,</w:t>
      </w:r>
      <w:r>
        <w:t xml:space="preserve"> accessed 31 May 2023.</w:t>
      </w:r>
    </w:p>
  </w:footnote>
  <w:footnote w:id="20">
    <w:p w14:paraId="4DC12364" w14:textId="1F01BDD6" w:rsidR="00230B9A" w:rsidRDefault="00230B9A" w:rsidP="00230B9A">
      <w:pPr>
        <w:pStyle w:val="FootnoteText"/>
      </w:pPr>
      <w:r>
        <w:rPr>
          <w:rStyle w:val="FootnoteReference"/>
        </w:rPr>
        <w:footnoteRef/>
      </w:r>
      <w:r>
        <w:t xml:space="preserve"> See GSA Analyser for Mobile Broadband Data (GAMBoD) Networks, Technologies and Spectrum (NTS) database, </w:t>
      </w:r>
      <w:r w:rsidRPr="00612C93">
        <w:t>Search results for Australia</w:t>
      </w:r>
      <w:r>
        <w:t>, accessed on 28 November 2022.</w:t>
      </w:r>
    </w:p>
  </w:footnote>
  <w:footnote w:id="21">
    <w:p w14:paraId="057785C1" w14:textId="4AAFBDF7" w:rsidR="00230B9A" w:rsidRDefault="00230B9A" w:rsidP="00230B9A">
      <w:pPr>
        <w:pStyle w:val="FootnoteText"/>
      </w:pPr>
      <w:r>
        <w:rPr>
          <w:rStyle w:val="FootnoteReference"/>
        </w:rPr>
        <w:footnoteRef/>
      </w:r>
      <w:r>
        <w:t xml:space="preserve"> M Lin and C Wu, </w:t>
      </w:r>
      <w:hyperlink r:id="rId9" w:history="1">
        <w:r w:rsidRPr="001F0478">
          <w:rPr>
            <w:rStyle w:val="Hyperlink"/>
            <w:i/>
            <w:iCs/>
          </w:rPr>
          <w:t>Private 5G networks: Secure connectivity for Industry 4.0</w:t>
        </w:r>
      </w:hyperlink>
      <w:r>
        <w:t>, Deloitte</w:t>
      </w:r>
      <w:r w:rsidR="0044653B">
        <w:t xml:space="preserve"> website</w:t>
      </w:r>
      <w:r>
        <w:t xml:space="preserve">, 2022, </w:t>
      </w:r>
      <w:r w:rsidR="0044653B">
        <w:t xml:space="preserve">accessed 21 July 2023, </w:t>
      </w:r>
      <w:r>
        <w:t>p.</w:t>
      </w:r>
      <w:r w:rsidR="00612FFF">
        <w:t xml:space="preserve"> </w:t>
      </w:r>
      <w:r>
        <w:t xml:space="preserve">6. </w:t>
      </w:r>
      <w:r w:rsidR="00B27C34">
        <w:t xml:space="preserve">See also Flo Networks, </w:t>
      </w:r>
      <w:hyperlink r:id="rId10" w:anchor=":~:text=Applications%20of%20Both%20Technologies%20for%20Industry%204.0,-5G%20technology%2C%20when&amp;text=Smart%20factories%3A%20Private%205G%20networks,downtime%2C%20and%20improve%20overall%20efficiency" w:history="1">
        <w:r w:rsidR="00B27C34" w:rsidRPr="005D1728">
          <w:rPr>
            <w:rStyle w:val="Hyperlink"/>
          </w:rPr>
          <w:t>Revolutionizing Industry 4.0 with Private 5G Technology and Cloud Computing</w:t>
        </w:r>
      </w:hyperlink>
      <w:r w:rsidR="00B27C34">
        <w:t xml:space="preserve">, [website], Flo Networks. Accessed 8 September 2023. </w:t>
      </w:r>
    </w:p>
  </w:footnote>
  <w:footnote w:id="22">
    <w:p w14:paraId="5552E918" w14:textId="77777777" w:rsidR="00230B9A" w:rsidRDefault="00230B9A" w:rsidP="00230B9A">
      <w:pPr>
        <w:pStyle w:val="FootnoteText"/>
      </w:pPr>
      <w:r>
        <w:rPr>
          <w:rStyle w:val="FootnoteReference"/>
        </w:rPr>
        <w:footnoteRef/>
      </w:r>
      <w:r>
        <w:t xml:space="preserve"> Global mobile Suppliers Association (GSA), </w:t>
      </w:r>
      <w:r w:rsidRPr="007975A7">
        <w:rPr>
          <w:i/>
          <w:iCs/>
        </w:rPr>
        <w:t>Private Mobile Networks February 2023 Summary Report</w:t>
      </w:r>
      <w:r>
        <w:t>, GSA, 27 February 2023, p. 5, accessed 2 April 2023. Excluding device testing and lab-as-a-service networks, 5G accounts for 41% of references</w:t>
      </w:r>
      <w:r w:rsidRPr="00C64F42">
        <w:t xml:space="preserve">. </w:t>
      </w:r>
    </w:p>
  </w:footnote>
  <w:footnote w:id="23">
    <w:p w14:paraId="68C52F75" w14:textId="54676F9E" w:rsidR="00230B9A" w:rsidRDefault="00230B9A" w:rsidP="00230B9A">
      <w:pPr>
        <w:pStyle w:val="FootnoteText"/>
      </w:pPr>
      <w:r>
        <w:rPr>
          <w:rStyle w:val="FootnoteReference"/>
        </w:rPr>
        <w:footnoteRef/>
      </w:r>
      <w:r>
        <w:t xml:space="preserve"> A Fellah and C Gabriel, </w:t>
      </w:r>
      <w:hyperlink r:id="rId11" w:history="1">
        <w:r w:rsidRPr="00BD4B50">
          <w:rPr>
            <w:rStyle w:val="Hyperlink"/>
            <w:i/>
            <w:iCs/>
          </w:rPr>
          <w:t xml:space="preserve">WBA </w:t>
        </w:r>
        <w:r>
          <w:rPr>
            <w:rStyle w:val="Hyperlink"/>
            <w:i/>
            <w:iCs/>
          </w:rPr>
          <w:t>I</w:t>
        </w:r>
        <w:r w:rsidRPr="00BD4B50">
          <w:rPr>
            <w:rStyle w:val="Hyperlink"/>
            <w:i/>
            <w:iCs/>
          </w:rPr>
          <w:t>ndustry Report 2023</w:t>
        </w:r>
      </w:hyperlink>
      <w:r>
        <w:t>, Wireless Broadband Alliance</w:t>
      </w:r>
      <w:r w:rsidR="0044653B">
        <w:t xml:space="preserve"> website</w:t>
      </w:r>
      <w:r>
        <w:t>, 2022, accessed 22 November 2022</w:t>
      </w:r>
      <w:r w:rsidR="0044653B">
        <w:t>, p. 36</w:t>
      </w:r>
      <w:r>
        <w:t xml:space="preserve">. </w:t>
      </w:r>
    </w:p>
  </w:footnote>
  <w:footnote w:id="24">
    <w:p w14:paraId="6FBA915D" w14:textId="58E9CCAC" w:rsidR="00230B9A" w:rsidRDefault="00230B9A" w:rsidP="00230B9A">
      <w:pPr>
        <w:pStyle w:val="FootnoteText"/>
      </w:pPr>
      <w:r>
        <w:rPr>
          <w:rStyle w:val="FootnoteReference"/>
        </w:rPr>
        <w:footnoteRef/>
      </w:r>
      <w:r>
        <w:t xml:space="preserve"> GSA, </w:t>
      </w:r>
      <w:r w:rsidRPr="007975A7">
        <w:rPr>
          <w:i/>
          <w:iCs/>
        </w:rPr>
        <w:t>Private Mobile Networks February 2023 Summary Report</w:t>
      </w:r>
      <w:r>
        <w:t xml:space="preserve">, p. 5. Includes all identified private wireless networks deployed by organisations with revenue greater than </w:t>
      </w:r>
      <w:r>
        <w:rPr>
          <w:rFonts w:cs="Arial"/>
        </w:rPr>
        <w:t>€</w:t>
      </w:r>
      <w:r>
        <w:t xml:space="preserve">100,000. </w:t>
      </w:r>
    </w:p>
  </w:footnote>
  <w:footnote w:id="25">
    <w:p w14:paraId="63679245" w14:textId="77777777" w:rsidR="00230B9A" w:rsidRDefault="00230B9A" w:rsidP="00230B9A">
      <w:pPr>
        <w:pStyle w:val="FootnoteText"/>
      </w:pPr>
      <w:r>
        <w:rPr>
          <w:rStyle w:val="FootnoteReference"/>
        </w:rPr>
        <w:footnoteRef/>
      </w:r>
      <w:r>
        <w:t xml:space="preserve"> </w:t>
      </w:r>
      <w:r w:rsidRPr="00451899">
        <w:t>Comments from Simon Lardner co-founder of Challenge Networks during interview with ACMA in November 2022.</w:t>
      </w:r>
    </w:p>
  </w:footnote>
  <w:footnote w:id="26">
    <w:p w14:paraId="22BF278C" w14:textId="5BF897B3" w:rsidR="00230B9A" w:rsidRDefault="00230B9A" w:rsidP="00230B9A">
      <w:pPr>
        <w:pStyle w:val="FootnoteText"/>
      </w:pPr>
      <w:r>
        <w:rPr>
          <w:rStyle w:val="FootnoteReference"/>
        </w:rPr>
        <w:footnoteRef/>
      </w:r>
      <w:r>
        <w:t xml:space="preserve"> Australian Communications and Media Authority</w:t>
      </w:r>
      <w:r w:rsidR="0001542C">
        <w:t xml:space="preserve"> (ACMA)</w:t>
      </w:r>
      <w:r>
        <w:t xml:space="preserve">, </w:t>
      </w:r>
      <w:hyperlink r:id="rId12" w:history="1">
        <w:r w:rsidRPr="006261BD">
          <w:rPr>
            <w:rStyle w:val="Hyperlink"/>
            <w:i/>
            <w:iCs/>
          </w:rPr>
          <w:t>Proposed spectrum re-allocation declaration for the 3.4 GHz and 3.7 GHz bands</w:t>
        </w:r>
      </w:hyperlink>
      <w:r>
        <w:t>, ACMA</w:t>
      </w:r>
      <w:r w:rsidR="0001542C">
        <w:t xml:space="preserve"> website</w:t>
      </w:r>
      <w:r>
        <w:t>, Australian Government,</w:t>
      </w:r>
      <w:r w:rsidR="00F8204C">
        <w:t xml:space="preserve"> 2022,</w:t>
      </w:r>
      <w:r>
        <w:t xml:space="preserve"> accessed 25 May 2023. p.15</w:t>
      </w:r>
      <w:r w:rsidR="0001542C">
        <w:t>,</w:t>
      </w:r>
      <w:r>
        <w:t xml:space="preserve"> </w:t>
      </w:r>
      <w:r w:rsidR="00612FFF">
        <w:t>‘</w:t>
      </w:r>
      <w:r>
        <w:t>While we acknowledge the arguments for local area wireless broadband (LA WBB) operators wanting access to 4G spectrum, we consider the equipment ecosystem and associated costs can be expected to change in the short term</w:t>
      </w:r>
      <w:r w:rsidR="00612FFF">
        <w:t>’</w:t>
      </w:r>
      <w:r>
        <w:t xml:space="preserve">.  </w:t>
      </w:r>
    </w:p>
  </w:footnote>
  <w:footnote w:id="27">
    <w:p w14:paraId="4B99A414" w14:textId="5CE36A39" w:rsidR="000B3891" w:rsidRDefault="000B3891" w:rsidP="000B3891">
      <w:pPr>
        <w:pStyle w:val="FootnoteText"/>
      </w:pPr>
      <w:r>
        <w:rPr>
          <w:rStyle w:val="FootnoteReference"/>
        </w:rPr>
        <w:footnoteRef/>
      </w:r>
      <w:r>
        <w:t xml:space="preserve"> As of April 2023, there </w:t>
      </w:r>
      <w:r w:rsidR="00F8204C">
        <w:t xml:space="preserve">were </w:t>
      </w:r>
      <w:r>
        <w:t xml:space="preserve">1,557 commercially available 5G devices (52% are smartphones) and 855 commercially available 5G-standalone devices. Source: GSA, </w:t>
      </w:r>
      <w:r w:rsidRPr="001B6B5B">
        <w:rPr>
          <w:i/>
          <w:iCs/>
        </w:rPr>
        <w:t>5G Device Ecosystem: Member Report</w:t>
      </w:r>
      <w:r>
        <w:t xml:space="preserve">, May 2023, p. 2. </w:t>
      </w:r>
    </w:p>
  </w:footnote>
  <w:footnote w:id="28">
    <w:p w14:paraId="7B68B79A" w14:textId="48346D33" w:rsidR="00230B9A" w:rsidRDefault="00230B9A" w:rsidP="00230B9A">
      <w:pPr>
        <w:pStyle w:val="FootnoteText"/>
      </w:pPr>
      <w:r>
        <w:rPr>
          <w:rStyle w:val="FootnoteReference"/>
        </w:rPr>
        <w:footnoteRef/>
      </w:r>
      <w:r>
        <w:t xml:space="preserve"> </w:t>
      </w:r>
      <w:r w:rsidR="0001542C">
        <w:t>ACMA</w:t>
      </w:r>
      <w:r w:rsidR="00F8204C">
        <w:t xml:space="preserve">, </w:t>
      </w:r>
      <w:hyperlink r:id="rId13" w:history="1">
        <w:r w:rsidR="0001542C">
          <w:rPr>
            <w:rStyle w:val="Hyperlink"/>
            <w:i/>
            <w:iCs/>
          </w:rPr>
          <w:t>Local area wireless broadband services</w:t>
        </w:r>
      </w:hyperlink>
      <w:r>
        <w:t xml:space="preserve">, </w:t>
      </w:r>
      <w:r w:rsidR="0001542C">
        <w:t>ACMA website</w:t>
      </w:r>
      <w:r>
        <w:t xml:space="preserve">, </w:t>
      </w:r>
      <w:r w:rsidR="00F8204C">
        <w:t xml:space="preserve">2021, </w:t>
      </w:r>
      <w:r>
        <w:t xml:space="preserve">accessed 20 March 2023. </w:t>
      </w:r>
    </w:p>
  </w:footnote>
  <w:footnote w:id="29">
    <w:p w14:paraId="7B5896DD" w14:textId="77777777" w:rsidR="00230B9A" w:rsidRDefault="00230B9A" w:rsidP="00230B9A">
      <w:pPr>
        <w:pStyle w:val="FootnoteText"/>
      </w:pPr>
      <w:r>
        <w:rPr>
          <w:rStyle w:val="FootnoteReference"/>
        </w:rPr>
        <w:footnoteRef/>
      </w:r>
      <w:r>
        <w:t xml:space="preserve"> Comments about penetrating heavy machinery come from interviews with solution manager at network and equipment specialist during interviews with ACMA in October 2022. </w:t>
      </w:r>
    </w:p>
  </w:footnote>
  <w:footnote w:id="30">
    <w:p w14:paraId="10A0894F" w14:textId="77777777" w:rsidR="00230B9A" w:rsidRDefault="00230B9A" w:rsidP="00230B9A">
      <w:pPr>
        <w:pStyle w:val="FootnoteText"/>
      </w:pPr>
      <w:r>
        <w:rPr>
          <w:rStyle w:val="FootnoteReference"/>
        </w:rPr>
        <w:footnoteRef/>
      </w:r>
      <w:r>
        <w:t xml:space="preserve"> Analysis of the </w:t>
      </w:r>
      <w:hyperlink r:id="rId14" w:history="1">
        <w:r w:rsidRPr="005D1256">
          <w:rPr>
            <w:rStyle w:val="Hyperlink"/>
          </w:rPr>
          <w:t>Register of Radiocommunications Licences</w:t>
        </w:r>
      </w:hyperlink>
      <w:r>
        <w:t xml:space="preserve"> found mining companies often use Apparatus Licences, sub service PMTS Class B, at frequencies around 1.9 and 2.1 GHz. </w:t>
      </w:r>
    </w:p>
  </w:footnote>
  <w:footnote w:id="31">
    <w:p w14:paraId="79C05A43" w14:textId="77777777" w:rsidR="00230B9A" w:rsidRDefault="00230B9A" w:rsidP="00230B9A">
      <w:pPr>
        <w:pStyle w:val="FootnoteText"/>
      </w:pPr>
      <w:r w:rsidRPr="00D52DDE">
        <w:rPr>
          <w:rStyle w:val="FootnoteReference"/>
          <w:rFonts w:cs="Arial"/>
        </w:rPr>
        <w:footnoteRef/>
      </w:r>
      <w:r w:rsidRPr="00D52DDE">
        <w:rPr>
          <w:rFonts w:cs="Arial"/>
        </w:rPr>
        <w:t xml:space="preserve"> The Future Railway Mobile Communication System (FRMCS) is supported by the European Union and will become the worldwide 5G standard for railway operational communications.</w:t>
      </w:r>
      <w:r>
        <w:rPr>
          <w:rFonts w:cs="Arial"/>
        </w:rPr>
        <w:t xml:space="preserve"> See 5G Rail Project, </w:t>
      </w:r>
      <w:hyperlink r:id="rId15" w:history="1">
        <w:r w:rsidRPr="00606905">
          <w:rPr>
            <w:rStyle w:val="Hyperlink"/>
            <w:rFonts w:cs="Arial"/>
          </w:rPr>
          <w:t>5Grail.eu</w:t>
        </w:r>
      </w:hyperlink>
      <w:r>
        <w:rPr>
          <w:rFonts w:cs="Arial"/>
        </w:rPr>
        <w:t>, Official website, n.d., accessed 10 April 2023. 5G</w:t>
      </w:r>
      <w:r w:rsidRPr="00D52DDE">
        <w:rPr>
          <w:rFonts w:cs="Arial"/>
        </w:rPr>
        <w:t xml:space="preserve"> </w:t>
      </w:r>
      <w:r>
        <w:rPr>
          <w:rFonts w:cs="Arial"/>
        </w:rPr>
        <w:t xml:space="preserve">Rail </w:t>
      </w:r>
      <w:hyperlink r:id="rId16" w:history="1">
        <w:r w:rsidRPr="00D52DDE">
          <w:rPr>
            <w:rStyle w:val="Hyperlink"/>
            <w:rFonts w:cs="Arial"/>
          </w:rPr>
          <w:t>has selected the 1900 MHz band and manufacturers are starting to make equipment at this frequency</w:t>
        </w:r>
      </w:hyperlink>
      <w:r w:rsidRPr="00D52DDE">
        <w:rPr>
          <w:rFonts w:cs="Arial"/>
        </w:rPr>
        <w:t>. Australian rail operators want access to the FRMCS equipment market.</w:t>
      </w:r>
      <w:r>
        <w:t xml:space="preserve"> </w:t>
      </w:r>
    </w:p>
  </w:footnote>
  <w:footnote w:id="32">
    <w:p w14:paraId="7E34D55A" w14:textId="0DBD20E4" w:rsidR="00EA4F1B" w:rsidRDefault="00EA4F1B" w:rsidP="00EA4F1B">
      <w:pPr>
        <w:pStyle w:val="FootnoteText"/>
      </w:pPr>
      <w:r>
        <w:rPr>
          <w:rStyle w:val="FootnoteReference"/>
        </w:rPr>
        <w:footnoteRef/>
      </w:r>
      <w:r>
        <w:t xml:space="preserve"> When former</w:t>
      </w:r>
      <w:r w:rsidRPr="0097227E">
        <w:t xml:space="preserve"> OneTel collapsed </w:t>
      </w:r>
      <w:r>
        <w:t>in 2001</w:t>
      </w:r>
      <w:r w:rsidR="00F8204C">
        <w:t>,</w:t>
      </w:r>
      <w:r>
        <w:t xml:space="preserve"> its </w:t>
      </w:r>
      <w:r w:rsidRPr="0097227E">
        <w:t xml:space="preserve">assets </w:t>
      </w:r>
      <w:r>
        <w:t xml:space="preserve">including spectrum licences </w:t>
      </w:r>
      <w:r w:rsidRPr="0097227E">
        <w:t>were put into liquidation.</w:t>
      </w:r>
      <w:r>
        <w:t xml:space="preserve"> </w:t>
      </w:r>
      <w:r w:rsidRPr="0097227E">
        <w:t>Australia’s state railway organisations quickly organised the purchase of licences for 2</w:t>
      </w:r>
      <w:r w:rsidR="00F8204C">
        <w:t xml:space="preserve"> </w:t>
      </w:r>
      <w:r w:rsidRPr="0097227E">
        <w:t>x</w:t>
      </w:r>
      <w:r w:rsidR="00F8204C">
        <w:t xml:space="preserve"> </w:t>
      </w:r>
      <w:r w:rsidRPr="0097227E">
        <w:t>15 MHz at 1800 MHz directly from the liquidators in 2004. Media reports at the time suggested they paid $20 million for these licences, which were due to expire in 2013.</w:t>
      </w:r>
      <w:r>
        <w:t xml:space="preserve"> </w:t>
      </w:r>
      <w:r w:rsidRPr="0097227E">
        <w:t>In 2013</w:t>
      </w:r>
      <w:r w:rsidR="00F8204C">
        <w:t>,</w:t>
      </w:r>
      <w:r w:rsidRPr="0097227E">
        <w:t xml:space="preserve"> the then </w:t>
      </w:r>
      <w:r w:rsidR="0001542C" w:rsidRPr="0097227E">
        <w:t xml:space="preserve">Minister </w:t>
      </w:r>
      <w:r w:rsidR="0001542C">
        <w:t xml:space="preserve">for </w:t>
      </w:r>
      <w:r w:rsidRPr="0097227E">
        <w:t>Communications decided the railways could renew the licences, with part of the licence charged at a 50% discount or ‘public interest price’.</w:t>
      </w:r>
      <w:r>
        <w:t xml:space="preserve"> </w:t>
      </w:r>
      <w:r w:rsidRPr="0097227E">
        <w:t>The Public Transport Authority of Western Australia is using this 1800 MHz spectrum to upgrade its narrowband communications to an LTE private network along 250</w:t>
      </w:r>
      <w:r w:rsidR="00F8204C">
        <w:t xml:space="preserve"> </w:t>
      </w:r>
      <w:r w:rsidRPr="0097227E">
        <w:t>km of railway track and tunnels with equipment supplied by Nokia.</w:t>
      </w:r>
      <w:r>
        <w:t xml:space="preserve"> </w:t>
      </w:r>
      <w:r w:rsidRPr="0097227E">
        <w:t>The 1800 MHz range sits closely to the frequency chosen by Europe’s Future Railway Mobile Communication System at 1900 MHz. This means there will</w:t>
      </w:r>
      <w:r>
        <w:t xml:space="preserve"> eventually</w:t>
      </w:r>
      <w:r w:rsidRPr="0097227E">
        <w:t xml:space="preserve"> be a deep market of railway-specific communications </w:t>
      </w:r>
      <w:r>
        <w:t xml:space="preserve">5G </w:t>
      </w:r>
      <w:r w:rsidRPr="0097227E">
        <w:t>equipment</w:t>
      </w:r>
      <w:r>
        <w:t xml:space="preserve"> at that frequency</w:t>
      </w:r>
      <w:r w:rsidRPr="0097227E">
        <w:t>.</w:t>
      </w:r>
    </w:p>
  </w:footnote>
  <w:footnote w:id="33">
    <w:p w14:paraId="3B050D3B" w14:textId="4A7235D5" w:rsidR="00230B9A" w:rsidRDefault="00230B9A" w:rsidP="00230B9A">
      <w:pPr>
        <w:pStyle w:val="FootnoteText"/>
      </w:pPr>
      <w:r>
        <w:rPr>
          <w:rStyle w:val="FootnoteReference"/>
        </w:rPr>
        <w:footnoteRef/>
      </w:r>
      <w:r>
        <w:t xml:space="preserve"> GSA, </w:t>
      </w:r>
      <w:hyperlink r:id="rId17" w:history="1">
        <w:r w:rsidR="0001542C">
          <w:rPr>
            <w:rStyle w:val="Hyperlink"/>
          </w:rPr>
          <w:t>Private Mobile Networks Market May-2023 Summary</w:t>
        </w:r>
      </w:hyperlink>
      <w:r>
        <w:t xml:space="preserve">, </w:t>
      </w:r>
      <w:r w:rsidR="0001542C">
        <w:t>GSA website,</w:t>
      </w:r>
      <w:r>
        <w:t xml:space="preserve"> 2023, accessed 13 June 2023</w:t>
      </w:r>
      <w:r w:rsidR="0001542C">
        <w:t>,</w:t>
      </w:r>
      <w:r w:rsidR="0001542C" w:rsidRPr="0001542C">
        <w:t xml:space="preserve"> </w:t>
      </w:r>
      <w:r w:rsidR="0001542C">
        <w:t>p. 6</w:t>
      </w:r>
      <w:r>
        <w:t xml:space="preserve">. </w:t>
      </w:r>
    </w:p>
  </w:footnote>
  <w:footnote w:id="34">
    <w:p w14:paraId="4BD963D4" w14:textId="77777777" w:rsidR="00230B9A" w:rsidRPr="00EC136E" w:rsidRDefault="00230B9A" w:rsidP="00230B9A">
      <w:pPr>
        <w:pStyle w:val="FootnoteText"/>
        <w:rPr>
          <w:rFonts w:ascii="Arial Nova Light" w:hAnsi="Arial Nova Light"/>
        </w:rPr>
      </w:pPr>
      <w:r w:rsidRPr="00D710C2">
        <w:rPr>
          <w:rStyle w:val="FootnoteReference"/>
          <w:rFonts w:cs="Arial"/>
        </w:rPr>
        <w:footnoteRef/>
      </w:r>
      <w:r w:rsidRPr="00D710C2">
        <w:rPr>
          <w:rFonts w:cs="Arial"/>
        </w:rPr>
        <w:t xml:space="preserve"> </w:t>
      </w:r>
      <w:r>
        <w:t>Comments from solution manager at network and equipment specialist</w:t>
      </w:r>
      <w:r w:rsidRPr="00D710C2">
        <w:rPr>
          <w:rFonts w:cs="Arial"/>
        </w:rPr>
        <w:t>.</w:t>
      </w:r>
    </w:p>
  </w:footnote>
  <w:footnote w:id="35">
    <w:p w14:paraId="6DD79C39" w14:textId="77777777" w:rsidR="00230B9A" w:rsidRPr="00D710C2" w:rsidRDefault="00230B9A" w:rsidP="00230B9A">
      <w:pPr>
        <w:pStyle w:val="FootnoteText"/>
        <w:rPr>
          <w:rFonts w:cs="Arial"/>
        </w:rPr>
      </w:pPr>
      <w:r w:rsidRPr="00D710C2">
        <w:rPr>
          <w:rStyle w:val="FootnoteReference"/>
          <w:rFonts w:cs="Arial"/>
        </w:rPr>
        <w:footnoteRef/>
      </w:r>
      <w:r w:rsidRPr="00D710C2">
        <w:rPr>
          <w:rFonts w:cs="Arial"/>
        </w:rPr>
        <w:t xml:space="preserve"> </w:t>
      </w:r>
      <w:r w:rsidRPr="003D18B4">
        <w:t>Comments from interview with Rob Joyce, Chief Technology Officer for Nokia in Australia and New Zealand, February 2023.</w:t>
      </w:r>
    </w:p>
  </w:footnote>
  <w:footnote w:id="36">
    <w:p w14:paraId="0391193E" w14:textId="5096CDC4" w:rsidR="00230B9A" w:rsidRPr="00ED69B4" w:rsidRDefault="00230B9A" w:rsidP="00757D68">
      <w:pPr>
        <w:pStyle w:val="FootnoteText"/>
      </w:pPr>
      <w:r w:rsidRPr="00ED69B4">
        <w:rPr>
          <w:rStyle w:val="FootnoteReference"/>
        </w:rPr>
        <w:footnoteRef/>
      </w:r>
      <w:r w:rsidRPr="00ED69B4">
        <w:t xml:space="preserve"> Priority Access Licences (PAL) for the C</w:t>
      </w:r>
      <w:r>
        <w:t>itizens Broadband Radio Services</w:t>
      </w:r>
      <w:r w:rsidRPr="00ED69B4">
        <w:t xml:space="preserve"> frequency in the United States can access a maximum of 40</w:t>
      </w:r>
      <w:r>
        <w:t> </w:t>
      </w:r>
      <w:r w:rsidRPr="00ED69B4">
        <w:t xml:space="preserve">MHz of unpaired spectrum at 3.5 GHz. Generally Authorised Access (GAA) can access 150 MHz, but it is shared and therefore could become congested as more </w:t>
      </w:r>
      <w:r>
        <w:t>private wireless network</w:t>
      </w:r>
      <w:r w:rsidRPr="00ED69B4">
        <w:t xml:space="preserve">s are built. According to GlobalData, the 40 MHz limit hinders video-heavy applications. So, while </w:t>
      </w:r>
      <w:r>
        <w:t xml:space="preserve">Citizens Broadband Radio Services (3.5 GHz) </w:t>
      </w:r>
      <w:r w:rsidRPr="00ED69B4">
        <w:t xml:space="preserve">spectrum is widely available, the allocation is insufficient for large industrial settings. GlobalData expects to see </w:t>
      </w:r>
      <w:r>
        <w:t>private wireless network</w:t>
      </w:r>
      <w:r w:rsidRPr="00ED69B4">
        <w:t xml:space="preserve">s in heavily industrialised economies in north Asia resolve this problem by operating at very high </w:t>
      </w:r>
      <w:r>
        <w:t xml:space="preserve">millimetre wave </w:t>
      </w:r>
      <w:r w:rsidRPr="00ED69B4">
        <w:t>frequencies such as 28 GHz. While smaller spectrum allocations will be needed, equipment at this frequency could be more expensive.</w:t>
      </w:r>
    </w:p>
  </w:footnote>
  <w:footnote w:id="37">
    <w:p w14:paraId="70820D9A" w14:textId="746E2417" w:rsidR="00230B9A" w:rsidRPr="00ED69B4" w:rsidRDefault="00230B9A" w:rsidP="00230B9A">
      <w:pPr>
        <w:pStyle w:val="FootnoteText"/>
        <w:rPr>
          <w:rFonts w:cs="Arial"/>
        </w:rPr>
      </w:pPr>
      <w:r w:rsidRPr="00ED69B4">
        <w:rPr>
          <w:rStyle w:val="FootnoteReference"/>
          <w:rFonts w:cs="Arial"/>
        </w:rPr>
        <w:footnoteRef/>
      </w:r>
      <w:r w:rsidRPr="00ED69B4">
        <w:rPr>
          <w:rFonts w:cs="Arial"/>
        </w:rPr>
        <w:t xml:space="preserve"> </w:t>
      </w:r>
      <w:r>
        <w:rPr>
          <w:rFonts w:cs="Arial"/>
        </w:rPr>
        <w:t>Challenge Networks</w:t>
      </w:r>
      <w:r w:rsidRPr="00ED69B4">
        <w:rPr>
          <w:rFonts w:cs="Arial"/>
        </w:rPr>
        <w:t>,</w:t>
      </w:r>
      <w:r>
        <w:rPr>
          <w:rFonts w:cs="Arial"/>
        </w:rPr>
        <w:t xml:space="preserve"> </w:t>
      </w:r>
      <w:hyperlink r:id="rId18" w:history="1">
        <w:r w:rsidRPr="00ED69B4">
          <w:rPr>
            <w:rStyle w:val="Hyperlink"/>
            <w:rFonts w:cs="Arial"/>
            <w:i/>
            <w:iCs/>
          </w:rPr>
          <w:t>Challenge Networks Secures 1800MHz spectrum in remote Australia</w:t>
        </w:r>
      </w:hyperlink>
      <w:r>
        <w:rPr>
          <w:rFonts w:cs="Arial"/>
        </w:rPr>
        <w:t xml:space="preserve"> [media release], </w:t>
      </w:r>
      <w:r w:rsidRPr="00ED69B4">
        <w:rPr>
          <w:rFonts w:cs="Arial"/>
        </w:rPr>
        <w:t>26 April, 2016</w:t>
      </w:r>
      <w:r>
        <w:rPr>
          <w:rFonts w:cs="Arial"/>
        </w:rPr>
        <w:t>, accessed 27 February 2023</w:t>
      </w:r>
      <w:r w:rsidRPr="00ED69B4">
        <w:rPr>
          <w:rFonts w:cs="Arial"/>
        </w:rPr>
        <w:t xml:space="preserve">. </w:t>
      </w:r>
    </w:p>
  </w:footnote>
  <w:footnote w:id="38">
    <w:p w14:paraId="4850C1FC" w14:textId="77777777" w:rsidR="00230B9A" w:rsidRDefault="00230B9A" w:rsidP="00230B9A">
      <w:pPr>
        <w:pStyle w:val="FootnoteText"/>
      </w:pPr>
      <w:r w:rsidRPr="00ED69B4">
        <w:rPr>
          <w:rStyle w:val="FootnoteReference"/>
          <w:rFonts w:cs="Arial"/>
        </w:rPr>
        <w:footnoteRef/>
      </w:r>
      <w:r w:rsidRPr="00ED69B4">
        <w:rPr>
          <w:rFonts w:cs="Arial"/>
        </w:rPr>
        <w:t xml:space="preserve"> </w:t>
      </w:r>
      <w:r w:rsidRPr="00451899">
        <w:t>Comments from Simon Lardner, co-founder of Challenge Networks during interview with ACMA in November 2022.</w:t>
      </w:r>
    </w:p>
  </w:footnote>
  <w:footnote w:id="39">
    <w:p w14:paraId="5D2EAFE5" w14:textId="2116F2A2" w:rsidR="00230B9A" w:rsidRDefault="00230B9A" w:rsidP="00230B9A">
      <w:pPr>
        <w:pStyle w:val="FootnoteText"/>
      </w:pPr>
      <w:r>
        <w:rPr>
          <w:rStyle w:val="FootnoteReference"/>
        </w:rPr>
        <w:footnoteRef/>
      </w:r>
      <w:r>
        <w:t xml:space="preserve"> GlobalData, </w:t>
      </w:r>
      <w:r w:rsidRPr="001B6B5B">
        <w:rPr>
          <w:i/>
          <w:iCs/>
        </w:rPr>
        <w:t>ACMA Report: GlobalData perspective on Telecommunications Supply Chain</w:t>
      </w:r>
      <w:r w:rsidR="001477F8">
        <w:rPr>
          <w:i/>
          <w:iCs/>
        </w:rPr>
        <w:t>,</w:t>
      </w:r>
      <w:r>
        <w:t xml:space="preserve"> p.</w:t>
      </w:r>
      <w:r w:rsidR="00612FFF">
        <w:t xml:space="preserve"> </w:t>
      </w:r>
      <w:r>
        <w:t>43</w:t>
      </w:r>
      <w:r w:rsidR="004E1CD3">
        <w:t>.</w:t>
      </w:r>
    </w:p>
  </w:footnote>
  <w:footnote w:id="40">
    <w:p w14:paraId="631ECBBE" w14:textId="77777777" w:rsidR="00230B9A" w:rsidRDefault="00230B9A" w:rsidP="00230B9A">
      <w:pPr>
        <w:pStyle w:val="FootnoteText"/>
      </w:pPr>
      <w:r>
        <w:rPr>
          <w:rStyle w:val="FootnoteReference"/>
        </w:rPr>
        <w:footnoteRef/>
      </w:r>
      <w:r>
        <w:t xml:space="preserve"> Comments attributed to Simon Lardner</w:t>
      </w:r>
      <w:r w:rsidRPr="007A3019">
        <w:t>, co-founder of Challenge Networks</w:t>
      </w:r>
      <w:r>
        <w:t>,</w:t>
      </w:r>
      <w:r w:rsidRPr="007A3019">
        <w:t xml:space="preserve"> during interview with ACMA in November 2022.</w:t>
      </w:r>
    </w:p>
  </w:footnote>
  <w:footnote w:id="41">
    <w:p w14:paraId="00BAB5D9" w14:textId="78D63129" w:rsidR="00F17A0A" w:rsidRDefault="00F17A0A" w:rsidP="00F17A0A">
      <w:pPr>
        <w:pStyle w:val="FootnoteText"/>
      </w:pPr>
      <w:r>
        <w:rPr>
          <w:rStyle w:val="FootnoteReference"/>
        </w:rPr>
        <w:footnoteRef/>
      </w:r>
      <w:r>
        <w:t xml:space="preserve"> Comments attributed to Simon Lardner</w:t>
      </w:r>
      <w:r w:rsidRPr="007A3019">
        <w:t>.</w:t>
      </w:r>
    </w:p>
  </w:footnote>
  <w:footnote w:id="42">
    <w:p w14:paraId="1F915B26" w14:textId="2D736448" w:rsidR="00230B9A" w:rsidRDefault="00230B9A" w:rsidP="00230B9A">
      <w:pPr>
        <w:pStyle w:val="FootnoteText"/>
      </w:pPr>
      <w:r>
        <w:rPr>
          <w:rStyle w:val="FootnoteReference"/>
        </w:rPr>
        <w:footnoteRef/>
      </w:r>
      <w:r>
        <w:t xml:space="preserve"> For example, the United States has reserved spectrum available at 3.5</w:t>
      </w:r>
      <w:r w:rsidR="004E1CD3">
        <w:t>–</w:t>
      </w:r>
      <w:r>
        <w:t xml:space="preserve">3.7 GHz, Germany at 3.7–3.8 GHz and Japan at 1.9 GHz and between 4.6 GHz and 4.9 GHz. </w:t>
      </w:r>
    </w:p>
  </w:footnote>
  <w:footnote w:id="43">
    <w:p w14:paraId="266286DD" w14:textId="13B53661" w:rsidR="00230B9A" w:rsidRDefault="00230B9A" w:rsidP="00230B9A">
      <w:pPr>
        <w:pStyle w:val="FootnoteText"/>
      </w:pPr>
      <w:r>
        <w:rPr>
          <w:rStyle w:val="FootnoteReference"/>
        </w:rPr>
        <w:footnoteRef/>
      </w:r>
      <w:r>
        <w:t xml:space="preserve"> GSA, </w:t>
      </w:r>
      <w:r w:rsidRPr="004F069A">
        <w:rPr>
          <w:i/>
          <w:iCs/>
        </w:rPr>
        <w:t>Private Mobile Networks: May 2023</w:t>
      </w:r>
      <w:r w:rsidR="00722BE8" w:rsidRPr="004F069A">
        <w:rPr>
          <w:i/>
          <w:iCs/>
        </w:rPr>
        <w:t xml:space="preserve"> Member Report</w:t>
      </w:r>
      <w:r>
        <w:t>,</w:t>
      </w:r>
      <w:r w:rsidR="00CE782F">
        <w:t xml:space="preserve"> </w:t>
      </w:r>
      <w:r w:rsidR="00722BE8">
        <w:t>GSA</w:t>
      </w:r>
      <w:r w:rsidR="00CE782F">
        <w:t>,</w:t>
      </w:r>
      <w:r>
        <w:t xml:space="preserve"> </w:t>
      </w:r>
      <w:r w:rsidR="005B39A1">
        <w:t xml:space="preserve">2023. </w:t>
      </w:r>
      <w:r>
        <w:t>p.10, accessed 14 June 2023.</w:t>
      </w:r>
    </w:p>
  </w:footnote>
  <w:footnote w:id="44">
    <w:p w14:paraId="088E3CE1" w14:textId="77777777" w:rsidR="0090630A" w:rsidRDefault="0090630A" w:rsidP="0090630A">
      <w:pPr>
        <w:pStyle w:val="FootnoteText"/>
      </w:pPr>
      <w:r>
        <w:rPr>
          <w:rStyle w:val="FootnoteReference"/>
        </w:rPr>
        <w:footnoteRef/>
      </w:r>
      <w:r>
        <w:t xml:space="preserve"> Haas, R, </w:t>
      </w:r>
      <w:r w:rsidRPr="00212FE9">
        <w:rPr>
          <w:i/>
          <w:iCs/>
        </w:rPr>
        <w:t>Survey shows that private network spectrum is globally fragmented</w:t>
      </w:r>
      <w:r>
        <w:t xml:space="preserve"> [subscription news article], PolicyTracker, 4 August 2023. Accessed 30 August 2023. </w:t>
      </w:r>
    </w:p>
  </w:footnote>
  <w:footnote w:id="45">
    <w:p w14:paraId="2CDC9FC2" w14:textId="5DD0E804" w:rsidR="00230B9A" w:rsidRDefault="00230B9A" w:rsidP="00230B9A">
      <w:pPr>
        <w:pStyle w:val="FootnoteText"/>
      </w:pPr>
      <w:r>
        <w:rPr>
          <w:rStyle w:val="FootnoteReference"/>
        </w:rPr>
        <w:footnoteRef/>
      </w:r>
      <w:r>
        <w:t xml:space="preserve"> GSA, </w:t>
      </w:r>
      <w:r w:rsidRPr="004F069A">
        <w:rPr>
          <w:i/>
          <w:iCs/>
        </w:rPr>
        <w:t>Private Mobile Networks: May 2023</w:t>
      </w:r>
      <w:r w:rsidR="005B39A1">
        <w:rPr>
          <w:i/>
          <w:iCs/>
        </w:rPr>
        <w:t xml:space="preserve"> Member Report</w:t>
      </w:r>
      <w:r>
        <w:t>, pp</w:t>
      </w:r>
      <w:r w:rsidR="00612FFF">
        <w:t>.</w:t>
      </w:r>
      <w:r>
        <w:t xml:space="preserve"> 9</w:t>
      </w:r>
      <w:r w:rsidR="00612FFF">
        <w:t>–</w:t>
      </w:r>
      <w:r>
        <w:t xml:space="preserve">10. </w:t>
      </w:r>
    </w:p>
  </w:footnote>
  <w:footnote w:id="46">
    <w:p w14:paraId="26E9964B" w14:textId="77777777" w:rsidR="00230B9A" w:rsidRDefault="00230B9A" w:rsidP="00230B9A">
      <w:pPr>
        <w:pStyle w:val="FootnoteText"/>
      </w:pPr>
      <w:r>
        <w:rPr>
          <w:rStyle w:val="FootnoteReference"/>
        </w:rPr>
        <w:footnoteRef/>
      </w:r>
      <w:r>
        <w:t xml:space="preserve"> </w:t>
      </w:r>
      <w:r w:rsidRPr="002D25A0">
        <w:t>GlobalData</w:t>
      </w:r>
      <w:r>
        <w:t>,</w:t>
      </w:r>
      <w:r w:rsidRPr="002D25A0">
        <w:t xml:space="preserve"> </w:t>
      </w:r>
      <w:r w:rsidRPr="008055DA">
        <w:rPr>
          <w:i/>
          <w:iCs/>
        </w:rPr>
        <w:t>5G &amp; Private wireless network Deployments dashboard</w:t>
      </w:r>
      <w:r w:rsidRPr="002D25A0">
        <w:t>, Private Cellular (4G-5G) networks, accessed 18 April 2023</w:t>
      </w:r>
      <w:r>
        <w:t xml:space="preserve"> (64 deployments) and GSA, Private Mobile Networks: May 2023, p. 10, accessed 14 June 2023 (160 deployments).  </w:t>
      </w:r>
    </w:p>
  </w:footnote>
  <w:footnote w:id="47">
    <w:p w14:paraId="6A37734A" w14:textId="0297B8F4" w:rsidR="00230B9A" w:rsidRDefault="00230B9A" w:rsidP="00230B9A">
      <w:pPr>
        <w:pStyle w:val="FootnoteText"/>
      </w:pPr>
      <w:r>
        <w:rPr>
          <w:rStyle w:val="FootnoteReference"/>
        </w:rPr>
        <w:footnoteRef/>
      </w:r>
      <w:r>
        <w:t xml:space="preserve"> GSA, </w:t>
      </w:r>
      <w:r w:rsidRPr="004F069A">
        <w:rPr>
          <w:i/>
          <w:iCs/>
        </w:rPr>
        <w:t>Private Mobile Networks: May 2023</w:t>
      </w:r>
      <w:r w:rsidR="00AD5126" w:rsidRPr="004F069A">
        <w:rPr>
          <w:i/>
          <w:iCs/>
        </w:rPr>
        <w:t xml:space="preserve"> Member Report</w:t>
      </w:r>
      <w:r>
        <w:t>, p. 10</w:t>
      </w:r>
      <w:r w:rsidR="005B39A1">
        <w:t>,</w:t>
      </w:r>
      <w:r>
        <w:t xml:space="preserve"> and </w:t>
      </w:r>
      <w:r w:rsidRPr="002D25A0">
        <w:t>GlobalData</w:t>
      </w:r>
      <w:r>
        <w:t>,</w:t>
      </w:r>
      <w:r w:rsidRPr="002D25A0">
        <w:t xml:space="preserve"> </w:t>
      </w:r>
      <w:r w:rsidRPr="008055DA">
        <w:rPr>
          <w:i/>
          <w:iCs/>
        </w:rPr>
        <w:t>5G &amp; Private wireless network Deployments dashboard</w:t>
      </w:r>
      <w:r w:rsidRPr="002D25A0">
        <w:t xml:space="preserve">, Private Cellular (4G-5G) networks, </w:t>
      </w:r>
      <w:r>
        <w:t>(</w:t>
      </w:r>
      <w:r w:rsidR="00AD5126">
        <w:t>database</w:t>
      </w:r>
      <w:r>
        <w:t>)</w:t>
      </w:r>
      <w:r w:rsidR="00AD5126">
        <w:t>,</w:t>
      </w:r>
      <w:r>
        <w:t xml:space="preserve"> </w:t>
      </w:r>
      <w:r w:rsidRPr="002D25A0">
        <w:t xml:space="preserve">accessed </w:t>
      </w:r>
      <w:r w:rsidR="004E1CD3" w:rsidRPr="002D25A0">
        <w:t>18</w:t>
      </w:r>
      <w:r w:rsidR="004E1CD3">
        <w:t> </w:t>
      </w:r>
      <w:r w:rsidRPr="002D25A0">
        <w:t xml:space="preserve">April </w:t>
      </w:r>
      <w:r w:rsidR="001477F8">
        <w:t>2023</w:t>
      </w:r>
      <w:r w:rsidRPr="002D25A0">
        <w:t>.</w:t>
      </w:r>
      <w:r w:rsidR="001477F8">
        <w:t xml:space="preserve"> </w:t>
      </w:r>
      <w:r>
        <w:t>T</w:t>
      </w:r>
      <w:r w:rsidRPr="00DB0351">
        <w:rPr>
          <w:rFonts w:cs="Arial"/>
        </w:rPr>
        <w:t xml:space="preserve">hese numbers reflect public announcements about deployments and not all </w:t>
      </w:r>
      <w:r>
        <w:t>deployments are announced</w:t>
      </w:r>
      <w:r w:rsidRPr="00DB0351">
        <w:rPr>
          <w:rFonts w:cs="Arial"/>
        </w:rPr>
        <w:t>. It is likely that the numbers in this table may underestimate the actual private networks</w:t>
      </w:r>
      <w:r>
        <w:rPr>
          <w:rFonts w:cs="Arial"/>
        </w:rPr>
        <w:t xml:space="preserve">, for example Australia’s count is between 9 and 20, </w:t>
      </w:r>
      <w:r w:rsidRPr="00DB0351">
        <w:rPr>
          <w:rFonts w:cs="Arial"/>
        </w:rPr>
        <w:t xml:space="preserve">far lower than industry estimates of 50. </w:t>
      </w:r>
    </w:p>
  </w:footnote>
  <w:footnote w:id="48">
    <w:p w14:paraId="6C4ED8FD" w14:textId="1E4ADCC3" w:rsidR="00230B9A" w:rsidRDefault="00230B9A" w:rsidP="00230B9A">
      <w:pPr>
        <w:pStyle w:val="FootnoteText"/>
      </w:pPr>
      <w:r>
        <w:rPr>
          <w:rStyle w:val="FootnoteReference"/>
        </w:rPr>
        <w:footnoteRef/>
      </w:r>
      <w:r>
        <w:t xml:space="preserve"> </w:t>
      </w:r>
      <w:r w:rsidR="00AF48FC">
        <w:t>GlobalData</w:t>
      </w:r>
      <w:r w:rsidR="00AF48FC" w:rsidRPr="005634DA">
        <w:rPr>
          <w:i/>
          <w:iCs/>
        </w:rPr>
        <w:t>, ACMA Report: GlobalData Perspective on Telecommunications Supply Chain</w:t>
      </w:r>
      <w:r>
        <w:t>. p.</w:t>
      </w:r>
      <w:r w:rsidR="00612FFF">
        <w:t xml:space="preserve"> </w:t>
      </w:r>
      <w:r>
        <w:t>38. Celona told GlobalData analysts that private wireless network deployment will ‘look a lot like enterprise wi-fi’.</w:t>
      </w:r>
    </w:p>
  </w:footnote>
  <w:footnote w:id="49">
    <w:p w14:paraId="27E74C76" w14:textId="44182817" w:rsidR="00230B9A" w:rsidRDefault="00230B9A" w:rsidP="00230B9A">
      <w:pPr>
        <w:pStyle w:val="FootnoteText"/>
      </w:pPr>
      <w:r>
        <w:rPr>
          <w:rStyle w:val="FootnoteReference"/>
        </w:rPr>
        <w:footnoteRef/>
      </w:r>
      <w:r>
        <w:t xml:space="preserve"> For more details</w:t>
      </w:r>
      <w:r w:rsidR="004E1CD3">
        <w:t>,</w:t>
      </w:r>
      <w:r>
        <w:t xml:space="preserve"> see </w:t>
      </w:r>
      <w:r w:rsidR="0001542C">
        <w:t>ACMA</w:t>
      </w:r>
      <w:r w:rsidR="00612FFF">
        <w:t xml:space="preserve">, </w:t>
      </w:r>
      <w:hyperlink r:id="rId19" w:history="1">
        <w:r w:rsidRPr="005644AC">
          <w:rPr>
            <w:rStyle w:val="Hyperlink"/>
            <w:i/>
            <w:iCs/>
          </w:rPr>
          <w:t>Area-wide licensing: ACMA approach to introducing area-wide licences</w:t>
        </w:r>
      </w:hyperlink>
      <w:r>
        <w:t>, ACMA</w:t>
      </w:r>
      <w:r w:rsidR="00612FFF">
        <w:t xml:space="preserve"> website</w:t>
      </w:r>
      <w:r>
        <w:t xml:space="preserve">, Australian Government, </w:t>
      </w:r>
      <w:r w:rsidR="00612FFF">
        <w:t>2020,</w:t>
      </w:r>
      <w:r>
        <w:t xml:space="preserve"> accessed 15</w:t>
      </w:r>
      <w:r w:rsidR="001477F8">
        <w:t> </w:t>
      </w:r>
      <w:r>
        <w:t xml:space="preserve">April 2023. </w:t>
      </w:r>
    </w:p>
  </w:footnote>
  <w:footnote w:id="50">
    <w:p w14:paraId="6F6D09BB" w14:textId="77777777" w:rsidR="00230B9A" w:rsidRDefault="00230B9A" w:rsidP="003312C6">
      <w:pPr>
        <w:pStyle w:val="FootnoteText"/>
      </w:pPr>
      <w:r w:rsidRPr="00D710C2">
        <w:rPr>
          <w:rStyle w:val="FootnoteReference"/>
          <w:rFonts w:cs="Arial"/>
        </w:rPr>
        <w:footnoteRef/>
      </w:r>
      <w:r w:rsidRPr="00D710C2">
        <w:rPr>
          <w:rFonts w:cs="Arial"/>
        </w:rPr>
        <w:t xml:space="preserve"> </w:t>
      </w:r>
      <w:r w:rsidRPr="00106EBF">
        <w:t xml:space="preserve">This can facilitate and encourage the provision of mobile broadband and/or satellite services to regional and remote communities and improve connectivity in </w:t>
      </w:r>
      <w:r w:rsidRPr="00612FFF">
        <w:rPr>
          <w:rFonts w:cs="Arial"/>
        </w:rPr>
        <w:t>these</w:t>
      </w:r>
      <w:r w:rsidRPr="00106EBF">
        <w:t xml:space="preserve"> locations.</w:t>
      </w:r>
    </w:p>
  </w:footnote>
  <w:footnote w:id="51">
    <w:p w14:paraId="451B33FC" w14:textId="42398DEB" w:rsidR="00230B9A" w:rsidRDefault="00230B9A" w:rsidP="00230B9A">
      <w:pPr>
        <w:pStyle w:val="FootnoteText"/>
      </w:pPr>
      <w:r>
        <w:rPr>
          <w:rStyle w:val="FootnoteReference"/>
        </w:rPr>
        <w:footnoteRef/>
      </w:r>
      <w:r>
        <w:t xml:space="preserve"> See </w:t>
      </w:r>
      <w:hyperlink r:id="rId20" w:anchor="outcome" w:history="1">
        <w:r w:rsidRPr="00054C2B">
          <w:rPr>
            <w:rStyle w:val="Hyperlink"/>
          </w:rPr>
          <w:t>Draft Radiocommunications Licence Condition (Area-Wide Licence) Amendment Determination 2022 (No.1),</w:t>
        </w:r>
      </w:hyperlink>
      <w:r>
        <w:t xml:space="preserve"> Section 5, accessed 5 June 2023.</w:t>
      </w:r>
    </w:p>
  </w:footnote>
  <w:footnote w:id="52">
    <w:p w14:paraId="0E0EE5DF" w14:textId="3F66983E" w:rsidR="00BA4B48" w:rsidRDefault="00BA4B48" w:rsidP="00BA4B48">
      <w:pPr>
        <w:pStyle w:val="FootnoteText"/>
      </w:pPr>
      <w:r>
        <w:rPr>
          <w:rStyle w:val="FootnoteReference"/>
        </w:rPr>
        <w:footnoteRef/>
      </w:r>
      <w:r>
        <w:t xml:space="preserve"> </w:t>
      </w:r>
      <w:r w:rsidR="00AF48FC">
        <w:t>GlobalData</w:t>
      </w:r>
      <w:r w:rsidR="00AF48FC" w:rsidRPr="005634DA">
        <w:rPr>
          <w:i/>
          <w:iCs/>
        </w:rPr>
        <w:t>, ACMA Report: GlobalData Perspective on Telecommunications Supply Chain</w:t>
      </w:r>
      <w:r w:rsidR="001477F8">
        <w:t>,</w:t>
      </w:r>
      <w:r>
        <w:t xml:space="preserve"> p.</w:t>
      </w:r>
      <w:r w:rsidR="00612FFF">
        <w:t xml:space="preserve"> </w:t>
      </w:r>
      <w:r>
        <w:t>44</w:t>
      </w:r>
      <w:r w:rsidR="00612FFF">
        <w:t>.</w:t>
      </w:r>
    </w:p>
  </w:footnote>
  <w:footnote w:id="53">
    <w:p w14:paraId="61E051E1" w14:textId="04CF5C18" w:rsidR="00230B9A" w:rsidRDefault="00230B9A" w:rsidP="00230B9A">
      <w:pPr>
        <w:pStyle w:val="FootnoteText"/>
      </w:pPr>
      <w:r>
        <w:rPr>
          <w:rStyle w:val="FootnoteReference"/>
        </w:rPr>
        <w:footnoteRef/>
      </w:r>
      <w:r>
        <w:t xml:space="preserve"> </w:t>
      </w:r>
      <w:r w:rsidR="00AF48FC">
        <w:t>GlobalData</w:t>
      </w:r>
      <w:r w:rsidR="00AF48FC" w:rsidRPr="005634DA">
        <w:rPr>
          <w:i/>
          <w:iCs/>
        </w:rPr>
        <w:t>, ACMA Report: GlobalData Perspective on Telecommunications Supply Chain</w:t>
      </w:r>
      <w:r w:rsidR="00AF48FC">
        <w:t xml:space="preserve">, </w:t>
      </w:r>
      <w:r>
        <w:t>p. 21</w:t>
      </w:r>
      <w:r w:rsidR="00612FFF">
        <w:t>.</w:t>
      </w:r>
    </w:p>
  </w:footnote>
  <w:footnote w:id="54">
    <w:p w14:paraId="75B21068" w14:textId="34CBD4E3" w:rsidR="00230B9A" w:rsidRDefault="00230B9A" w:rsidP="00230B9A">
      <w:pPr>
        <w:pStyle w:val="FootnoteText"/>
      </w:pPr>
      <w:r>
        <w:rPr>
          <w:rStyle w:val="FootnoteReference"/>
        </w:rPr>
        <w:footnoteRef/>
      </w:r>
      <w:r>
        <w:t xml:space="preserve"> </w:t>
      </w:r>
      <w:r w:rsidR="00AF48FC">
        <w:t>GlobalData</w:t>
      </w:r>
      <w:r w:rsidR="00AF48FC" w:rsidRPr="005634DA">
        <w:rPr>
          <w:i/>
          <w:iCs/>
        </w:rPr>
        <w:t>, ACMA Report: GlobalData Perspective on Telecommunications Supply Chain</w:t>
      </w:r>
      <w:r w:rsidR="00AF48FC">
        <w:t>,</w:t>
      </w:r>
      <w:r>
        <w:t xml:space="preserve"> p. 21</w:t>
      </w:r>
      <w:r w:rsidR="00612FFF">
        <w:t>.</w:t>
      </w:r>
    </w:p>
  </w:footnote>
  <w:footnote w:id="55">
    <w:p w14:paraId="4B2C66A8" w14:textId="2D99F6CC" w:rsidR="00230B9A" w:rsidRDefault="00230B9A" w:rsidP="00230B9A">
      <w:pPr>
        <w:pStyle w:val="FootnoteText"/>
      </w:pPr>
      <w:r>
        <w:rPr>
          <w:rStyle w:val="FootnoteReference"/>
        </w:rPr>
        <w:footnoteRef/>
      </w:r>
      <w:r>
        <w:t xml:space="preserve"> For more details</w:t>
      </w:r>
      <w:r w:rsidR="004E1CD3">
        <w:t>,</w:t>
      </w:r>
      <w:r>
        <w:t xml:space="preserve"> see </w:t>
      </w:r>
      <w:r w:rsidR="001477F8">
        <w:t>ACMA</w:t>
      </w:r>
      <w:r>
        <w:t xml:space="preserve">, </w:t>
      </w:r>
      <w:hyperlink r:id="rId21" w:history="1">
        <w:r w:rsidR="0001542C">
          <w:rPr>
            <w:rStyle w:val="Hyperlink"/>
            <w:i/>
            <w:iCs/>
          </w:rPr>
          <w:t>Five-year Spectrum Outlook 2023–28 and 2023–23 work program</w:t>
        </w:r>
      </w:hyperlink>
      <w:r>
        <w:t>, ACMA</w:t>
      </w:r>
      <w:r w:rsidR="001477F8">
        <w:t xml:space="preserve"> website</w:t>
      </w:r>
      <w:r>
        <w:t>, Australian Government, 2023</w:t>
      </w:r>
      <w:r w:rsidR="00612FFF">
        <w:t xml:space="preserve">, </w:t>
      </w:r>
      <w:r>
        <w:t>p.</w:t>
      </w:r>
      <w:r w:rsidR="00612FFF">
        <w:t xml:space="preserve"> </w:t>
      </w:r>
      <w:r>
        <w:t xml:space="preserve">26, accessed 1 May 2023. </w:t>
      </w:r>
    </w:p>
  </w:footnote>
  <w:footnote w:id="56">
    <w:p w14:paraId="016B250F" w14:textId="7B741D68" w:rsidR="00230B9A" w:rsidRDefault="00230B9A" w:rsidP="00230B9A">
      <w:pPr>
        <w:pStyle w:val="FootnoteText"/>
      </w:pPr>
      <w:r>
        <w:rPr>
          <w:rStyle w:val="FootnoteReference"/>
        </w:rPr>
        <w:footnoteRef/>
      </w:r>
      <w:r>
        <w:t xml:space="preserve"> </w:t>
      </w:r>
      <w:r w:rsidR="0001542C">
        <w:t>ACMA</w:t>
      </w:r>
      <w:r>
        <w:t xml:space="preserve">, </w:t>
      </w:r>
      <w:hyperlink r:id="rId22" w:history="1">
        <w:r w:rsidRPr="000A3C42">
          <w:rPr>
            <w:rStyle w:val="Hyperlink"/>
            <w:i/>
            <w:iCs/>
          </w:rPr>
          <w:t>Proposed spectrum re-allocation declaration for the 3.4 GHz and 3.7 GHz bands</w:t>
        </w:r>
      </w:hyperlink>
      <w:r>
        <w:t>, ACMA, Australian Government, July 2022, p.</w:t>
      </w:r>
      <w:r w:rsidR="00612FFF">
        <w:t xml:space="preserve"> </w:t>
      </w:r>
      <w:r>
        <w:t>15</w:t>
      </w:r>
      <w:r w:rsidR="0001542C">
        <w:t>,</w:t>
      </w:r>
      <w:r w:rsidR="00612FFF">
        <w:t xml:space="preserve"> ‘</w:t>
      </w:r>
      <w:r>
        <w:t>While we acknowledge the arguments for local area wireless broadband (LA WBB) operators wanting access to 4G spectrum, we consider the equipment ecosystem and associated costs can be expected to change in the short term</w:t>
      </w:r>
      <w:r w:rsidR="00612FFF">
        <w:t>’</w:t>
      </w:r>
      <w:r>
        <w:t xml:space="preserve">.  </w:t>
      </w:r>
    </w:p>
  </w:footnote>
  <w:footnote w:id="57">
    <w:p w14:paraId="067964C1" w14:textId="785DCE59" w:rsidR="00230B9A" w:rsidRDefault="00230B9A" w:rsidP="00230B9A">
      <w:pPr>
        <w:pStyle w:val="FootnoteText"/>
      </w:pPr>
      <w:r>
        <w:rPr>
          <w:rStyle w:val="FootnoteReference"/>
        </w:rPr>
        <w:footnoteRef/>
      </w:r>
      <w:r>
        <w:t xml:space="preserve"> </w:t>
      </w:r>
      <w:r w:rsidR="0065461E">
        <w:t xml:space="preserve">T </w:t>
      </w:r>
      <w:r>
        <w:t xml:space="preserve">Uitto, </w:t>
      </w:r>
      <w:r w:rsidR="00AE2C87" w:rsidRPr="004F069A">
        <w:rPr>
          <w:u w:color="0000FF"/>
        </w:rPr>
        <w:t>Special Call to Nokia investors</w:t>
      </w:r>
      <w:r>
        <w:t xml:space="preserve"> </w:t>
      </w:r>
      <w:r w:rsidR="00AE2C87">
        <w:t xml:space="preserve">[transcript], Nokia Oyj, </w:t>
      </w:r>
      <w:r>
        <w:t>1 December 2022</w:t>
      </w:r>
      <w:r w:rsidR="00AE2C87">
        <w:t>, accessed 20 July 2023</w:t>
      </w:r>
      <w:r>
        <w:t>.</w:t>
      </w:r>
    </w:p>
  </w:footnote>
  <w:footnote w:id="58">
    <w:p w14:paraId="7A1AEB58" w14:textId="2B1C69EA" w:rsidR="00230B9A" w:rsidRDefault="00230B9A" w:rsidP="00230B9A">
      <w:pPr>
        <w:pStyle w:val="FootnoteText"/>
      </w:pPr>
      <w:r>
        <w:rPr>
          <w:rStyle w:val="FootnoteReference"/>
        </w:rPr>
        <w:footnoteRef/>
      </w:r>
      <w:r>
        <w:t xml:space="preserve"> </w:t>
      </w:r>
      <w:r w:rsidR="006A7BD1">
        <w:t>GlobalData</w:t>
      </w:r>
      <w:r w:rsidR="006A7BD1" w:rsidRPr="005634DA">
        <w:rPr>
          <w:i/>
          <w:iCs/>
        </w:rPr>
        <w:t>, ACMA Report: GlobalData Perspective on Telecommunications Supply Chain</w:t>
      </w:r>
      <w:r w:rsidR="006A7BD1">
        <w:t>,</w:t>
      </w:r>
      <w:r>
        <w:t xml:space="preserve"> p. 45</w:t>
      </w:r>
      <w:r w:rsidR="00612FFF">
        <w:t>.</w:t>
      </w:r>
    </w:p>
  </w:footnote>
  <w:footnote w:id="59">
    <w:p w14:paraId="3223F958" w14:textId="3AF46488" w:rsidR="003E691E" w:rsidRDefault="003E691E" w:rsidP="003E691E">
      <w:pPr>
        <w:pStyle w:val="FootnoteText"/>
      </w:pPr>
      <w:r>
        <w:rPr>
          <w:rStyle w:val="FootnoteReference"/>
        </w:rPr>
        <w:footnoteRef/>
      </w:r>
      <w:r>
        <w:t xml:space="preserve"> </w:t>
      </w:r>
      <w:r w:rsidRPr="00182819">
        <w:t>Comments from interview with Rob Joyce, Chief Technology Officer for Nokia in Australia and New Zealand, February 2023</w:t>
      </w:r>
      <w:r>
        <w:t xml:space="preserve">; Manufacturers follow the equipment standards set by </w:t>
      </w:r>
      <w:hyperlink r:id="rId23" w:history="1">
        <w:r w:rsidRPr="00C97487">
          <w:rPr>
            <w:rStyle w:val="Hyperlink"/>
          </w:rPr>
          <w:t>3GPP</w:t>
        </w:r>
      </w:hyperlink>
      <w:r>
        <w:t xml:space="preserve">, a global standards organisation. Technical standards for LTE/4G operating bands range from 699 MHz up to 3.8 GHz (except for 2 unlicensed bands between 5.15 GHz and 5.92 GHz). However, equipment maker Cambium does manufacture some fixed wireless equipment that operates up to 3.9 </w:t>
      </w:r>
      <w:r w:rsidRPr="00174289">
        <w:t>GH</w:t>
      </w:r>
      <w:r w:rsidRPr="00182819">
        <w:t>z.</w:t>
      </w:r>
    </w:p>
  </w:footnote>
  <w:footnote w:id="60">
    <w:p w14:paraId="6AF4D7A3" w14:textId="260B89CC" w:rsidR="00230B9A" w:rsidRPr="006F6116" w:rsidRDefault="00230B9A" w:rsidP="00757D68">
      <w:pPr>
        <w:pStyle w:val="FootnoteText"/>
        <w:rPr>
          <w:color w:val="FFFFFF" w:themeColor="background1"/>
        </w:rPr>
      </w:pPr>
      <w:r w:rsidRPr="006F6116">
        <w:rPr>
          <w:rStyle w:val="FootnoteReference"/>
        </w:rPr>
        <w:footnoteRef/>
      </w:r>
      <w:r w:rsidRPr="006F6116">
        <w:t xml:space="preserve"> In 2018</w:t>
      </w:r>
      <w:r w:rsidR="001139F8">
        <w:t>,</w:t>
      </w:r>
      <w:r w:rsidRPr="006F6116">
        <w:t xml:space="preserve"> the </w:t>
      </w:r>
      <w:hyperlink r:id="rId24" w:anchor="search=%22media/pressrel/6164495%22" w:history="1">
        <w:r w:rsidRPr="006F6116">
          <w:rPr>
            <w:rStyle w:val="Hyperlink"/>
          </w:rPr>
          <w:t>Australian government banned</w:t>
        </w:r>
      </w:hyperlink>
      <w:r w:rsidRPr="006F6116">
        <w:t xml:space="preserve"> certain 5G equipment providers from providing 5G technology to Australia. This reduced the diversity of 5G equipment available to network owners and operators. The ban was formalised in the Telecommunication Sector Security Reforms (TSSR), which still apply to all ‘carriers, carriage service providers and carriage service intermediaries’ and imposes reporting rules and security obligations on the carriers.</w:t>
      </w:r>
      <w:r w:rsidRPr="006F6116">
        <w:rPr>
          <w:color w:val="FFFFFF" w:themeColor="background1"/>
        </w:rPr>
        <w:t xml:space="preserve"> </w:t>
      </w:r>
      <w:r w:rsidRPr="006F6116">
        <w:t xml:space="preserve">However, it is unclear if the equipment ban extends to private 5G networks, a product that was not well known in 2018. </w:t>
      </w:r>
    </w:p>
  </w:footnote>
  <w:footnote w:id="61">
    <w:p w14:paraId="4E017CE1" w14:textId="5DF0AB3C" w:rsidR="00230B9A" w:rsidRDefault="00230B9A" w:rsidP="00230B9A">
      <w:pPr>
        <w:pStyle w:val="FootnoteText"/>
      </w:pPr>
      <w:r>
        <w:rPr>
          <w:rStyle w:val="FootnoteReference"/>
        </w:rPr>
        <w:footnoteRef/>
      </w:r>
      <w:r>
        <w:t xml:space="preserve"> GlobalData</w:t>
      </w:r>
      <w:r w:rsidRPr="005634DA">
        <w:rPr>
          <w:i/>
          <w:iCs/>
        </w:rPr>
        <w:t>, ACMA Report: GlobalData Perspective on Telecommunications Supply Chain</w:t>
      </w:r>
      <w:r w:rsidR="00612FFF">
        <w:rPr>
          <w:i/>
          <w:iCs/>
        </w:rPr>
        <w:t>.</w:t>
      </w:r>
    </w:p>
  </w:footnote>
  <w:footnote w:id="62">
    <w:p w14:paraId="2A209689" w14:textId="28088E58" w:rsidR="00230B9A" w:rsidRDefault="00230B9A" w:rsidP="00230B9A">
      <w:pPr>
        <w:pStyle w:val="FootnoteText"/>
      </w:pPr>
      <w:r>
        <w:rPr>
          <w:rStyle w:val="FootnoteReference"/>
        </w:rPr>
        <w:footnoteRef/>
      </w:r>
      <w:r>
        <w:t xml:space="preserve"> GlobalData</w:t>
      </w:r>
      <w:r w:rsidRPr="005634DA">
        <w:rPr>
          <w:i/>
          <w:iCs/>
        </w:rPr>
        <w:t>, ACMA Report: GlobalData Perspective on Telecommunications Supply Chain</w:t>
      </w:r>
      <w:r w:rsidR="00C03830">
        <w:rPr>
          <w:i/>
          <w:iCs/>
        </w:rPr>
        <w:t xml:space="preserve">. </w:t>
      </w:r>
      <w:r>
        <w:rPr>
          <w:i/>
          <w:iCs/>
        </w:rPr>
        <w:t xml:space="preserve"> </w:t>
      </w:r>
    </w:p>
  </w:footnote>
  <w:footnote w:id="63">
    <w:p w14:paraId="3F3BD498" w14:textId="4E38D630" w:rsidR="00230B9A" w:rsidRPr="0027060F" w:rsidRDefault="00230B9A" w:rsidP="00230B9A">
      <w:pPr>
        <w:pStyle w:val="FootnoteText"/>
        <w:rPr>
          <w:rFonts w:cs="Arial"/>
        </w:rPr>
      </w:pPr>
      <w:r w:rsidRPr="0027060F">
        <w:rPr>
          <w:rStyle w:val="FootnoteReference"/>
          <w:rFonts w:cs="Arial"/>
        </w:rPr>
        <w:footnoteRef/>
      </w:r>
      <w:r w:rsidRPr="0027060F">
        <w:rPr>
          <w:rFonts w:cs="Arial"/>
        </w:rPr>
        <w:t xml:space="preserve"> </w:t>
      </w:r>
      <w:r>
        <w:t>GlobalData</w:t>
      </w:r>
      <w:r w:rsidRPr="005634DA">
        <w:rPr>
          <w:i/>
          <w:iCs/>
        </w:rPr>
        <w:t>, ACMA Report: GlobalData Perspective on Telecommunications Supply Chain</w:t>
      </w:r>
      <w:r w:rsidR="00612FFF">
        <w:rPr>
          <w:i/>
          <w:iCs/>
        </w:rPr>
        <w:t>.</w:t>
      </w:r>
    </w:p>
  </w:footnote>
  <w:footnote w:id="64">
    <w:p w14:paraId="7557A85A" w14:textId="4E7024A2" w:rsidR="00230B9A" w:rsidRDefault="00230B9A" w:rsidP="00230B9A">
      <w:pPr>
        <w:pStyle w:val="FootnoteText"/>
      </w:pPr>
      <w:r>
        <w:rPr>
          <w:rStyle w:val="FootnoteReference"/>
        </w:rPr>
        <w:footnoteRef/>
      </w:r>
      <w:r>
        <w:t xml:space="preserve"> </w:t>
      </w:r>
      <w:r w:rsidR="005726C8">
        <w:t xml:space="preserve">K </w:t>
      </w:r>
      <w:r>
        <w:t>Weldon</w:t>
      </w:r>
      <w:r w:rsidR="005726C8">
        <w:t>,</w:t>
      </w:r>
      <w:r>
        <w:t xml:space="preserve"> </w:t>
      </w:r>
      <w:r w:rsidRPr="00E369EF">
        <w:rPr>
          <w:i/>
          <w:iCs/>
        </w:rPr>
        <w:t>Who’s winning the wireless private wireless network race?</w:t>
      </w:r>
      <w:r>
        <w:t xml:space="preserve">, Analyst blog, GlobalData, </w:t>
      </w:r>
      <w:r w:rsidR="004E1CD3">
        <w:t>21 </w:t>
      </w:r>
      <w:r>
        <w:t xml:space="preserve">September 2020, accessed 12 February </w:t>
      </w:r>
      <w:r w:rsidRPr="00E72D8A">
        <w:t xml:space="preserve">2023. </w:t>
      </w:r>
    </w:p>
  </w:footnote>
  <w:footnote w:id="65">
    <w:p w14:paraId="3EE27C6E" w14:textId="129A7C96" w:rsidR="00230B9A" w:rsidRDefault="00230B9A" w:rsidP="00230B9A">
      <w:pPr>
        <w:pStyle w:val="FootnoteText"/>
      </w:pPr>
      <w:r>
        <w:rPr>
          <w:rStyle w:val="FootnoteReference"/>
        </w:rPr>
        <w:footnoteRef/>
      </w:r>
      <w:r>
        <w:t xml:space="preserve"> Telstra Purple, </w:t>
      </w:r>
      <w:hyperlink r:id="rId25" w:history="1">
        <w:r w:rsidRPr="00DF6C85">
          <w:rPr>
            <w:rStyle w:val="Hyperlink"/>
          </w:rPr>
          <w:t>Telstra Purple acquires Alliance Automation and Aqura Technologies</w:t>
        </w:r>
      </w:hyperlink>
      <w:r>
        <w:t xml:space="preserve"> [media release], </w:t>
      </w:r>
      <w:r w:rsidR="006878FE">
        <w:t>31 </w:t>
      </w:r>
      <w:r>
        <w:t xml:space="preserve">January 2022, accessed 30 June 2023; Vocus, </w:t>
      </w:r>
      <w:hyperlink r:id="rId26" w:history="1">
        <w:r w:rsidRPr="00DF6C85">
          <w:rPr>
            <w:rStyle w:val="Hyperlink"/>
          </w:rPr>
          <w:t>Vocus completes acquisition of private LTE/5G network provider Challenge Networks</w:t>
        </w:r>
      </w:hyperlink>
      <w:r>
        <w:t xml:space="preserve"> [media release], 12 May 2023, accessed 30 June 2023. </w:t>
      </w:r>
    </w:p>
  </w:footnote>
  <w:footnote w:id="66">
    <w:p w14:paraId="11CC6BFE" w14:textId="6837760C" w:rsidR="00230B9A" w:rsidRDefault="00230B9A" w:rsidP="00230B9A">
      <w:pPr>
        <w:pStyle w:val="FootnoteText"/>
      </w:pPr>
      <w:r>
        <w:rPr>
          <w:rStyle w:val="FootnoteReference"/>
        </w:rPr>
        <w:footnoteRef/>
      </w:r>
      <w:r>
        <w:t xml:space="preserve"> </w:t>
      </w:r>
      <w:r w:rsidR="0065461E">
        <w:t xml:space="preserve">T </w:t>
      </w:r>
      <w:r w:rsidR="00337DB4">
        <w:t xml:space="preserve">Uitto, </w:t>
      </w:r>
      <w:r w:rsidR="00337DB4" w:rsidRPr="00FF5F88">
        <w:rPr>
          <w:u w:color="0000FF"/>
        </w:rPr>
        <w:t>Special Call to Nokia investors</w:t>
      </w:r>
      <w:r w:rsidR="00337DB4">
        <w:t xml:space="preserve"> [transcript]</w:t>
      </w:r>
      <w:r w:rsidR="0065461E">
        <w:t xml:space="preserve">; </w:t>
      </w:r>
      <w:r>
        <w:t>Nokia</w:t>
      </w:r>
      <w:r w:rsidRPr="00D32764">
        <w:rPr>
          <w:i/>
          <w:iCs/>
        </w:rPr>
        <w:t xml:space="preserve">, </w:t>
      </w:r>
      <w:hyperlink r:id="rId27" w:anchor="past-events" w:history="1">
        <w:r>
          <w:rPr>
            <w:rStyle w:val="Hyperlink"/>
            <w:i/>
            <w:iCs/>
            <w:color w:val="auto"/>
          </w:rPr>
          <w:t>Mobile Networks Progress Update</w:t>
        </w:r>
      </w:hyperlink>
      <w:r w:rsidRPr="00337DB4">
        <w:rPr>
          <w:rStyle w:val="Hyperlink"/>
          <w:i/>
          <w:iCs/>
          <w:color w:val="auto"/>
          <w:u w:val="none"/>
        </w:rPr>
        <w:t xml:space="preserve"> </w:t>
      </w:r>
      <w:r w:rsidRPr="00337DB4">
        <w:rPr>
          <w:rStyle w:val="Hyperlink"/>
          <w:color w:val="auto"/>
          <w:u w:val="none"/>
        </w:rPr>
        <w:t>[Investor Presentation]</w:t>
      </w:r>
      <w:r w:rsidRPr="006878FE">
        <w:t>,</w:t>
      </w:r>
      <w:r>
        <w:t xml:space="preserve"> 1 December 2022, accessed 1 May 2023.</w:t>
      </w:r>
    </w:p>
  </w:footnote>
  <w:footnote w:id="67">
    <w:p w14:paraId="6A57B58E" w14:textId="2D317D25" w:rsidR="00230B9A" w:rsidRDefault="00230B9A" w:rsidP="00230B9A">
      <w:pPr>
        <w:pStyle w:val="FootnoteText"/>
      </w:pPr>
      <w:r>
        <w:rPr>
          <w:rStyle w:val="FootnoteReference"/>
        </w:rPr>
        <w:footnoteRef/>
      </w:r>
      <w:r>
        <w:t xml:space="preserve"> Nokia (2023), </w:t>
      </w:r>
      <w:hyperlink r:id="rId28" w:history="1">
        <w:r w:rsidRPr="002C2204">
          <w:rPr>
            <w:rStyle w:val="Hyperlink"/>
            <w:i/>
            <w:iCs/>
          </w:rPr>
          <w:t>Nokia and Kyndryl expand global network and edge computing alliance</w:t>
        </w:r>
      </w:hyperlink>
      <w:r w:rsidR="006878FE">
        <w:t xml:space="preserve"> </w:t>
      </w:r>
      <w:r>
        <w:t xml:space="preserve">[media release], Nokia, 14 February 2023, accessed 1 March 2023. </w:t>
      </w:r>
    </w:p>
  </w:footnote>
  <w:footnote w:id="68">
    <w:p w14:paraId="41DCF0F6" w14:textId="3D6C63C9" w:rsidR="00230B9A" w:rsidRDefault="00230B9A" w:rsidP="00230B9A">
      <w:pPr>
        <w:pStyle w:val="FootnoteText"/>
      </w:pPr>
      <w:r>
        <w:rPr>
          <w:rStyle w:val="FootnoteReference"/>
        </w:rPr>
        <w:footnoteRef/>
      </w:r>
      <w:r>
        <w:t xml:space="preserve"> Ericsson (2022), </w:t>
      </w:r>
      <w:hyperlink r:id="rId29" w:history="1">
        <w:r w:rsidRPr="000D578E">
          <w:rPr>
            <w:rStyle w:val="Hyperlink"/>
            <w:i/>
            <w:iCs/>
          </w:rPr>
          <w:t>Ericsson Capital Market Day 2022</w:t>
        </w:r>
      </w:hyperlink>
      <w:r>
        <w:rPr>
          <w:i/>
          <w:iCs/>
        </w:rPr>
        <w:t xml:space="preserve"> </w:t>
      </w:r>
      <w:r>
        <w:t>[</w:t>
      </w:r>
      <w:r w:rsidR="006878FE">
        <w:t>p</w:t>
      </w:r>
      <w:r>
        <w:t xml:space="preserve">resentation], </w:t>
      </w:r>
      <w:hyperlink r:id="rId30" w:history="1">
        <w:r w:rsidRPr="00D32764">
          <w:t>Ericsson</w:t>
        </w:r>
        <w:r>
          <w:t xml:space="preserve">, 15 December 2022, </w:t>
        </w:r>
      </w:hyperlink>
      <w:r>
        <w:t xml:space="preserve">p.35, accessed 3 February 2023. </w:t>
      </w:r>
    </w:p>
  </w:footnote>
  <w:footnote w:id="69">
    <w:p w14:paraId="5414E82E" w14:textId="58389EC5" w:rsidR="00230B9A" w:rsidRDefault="00230B9A" w:rsidP="006878FE">
      <w:pPr>
        <w:pStyle w:val="FootnoteText"/>
      </w:pPr>
      <w:r>
        <w:rPr>
          <w:rStyle w:val="FootnoteReference"/>
        </w:rPr>
        <w:footnoteRef/>
      </w:r>
      <w:r>
        <w:t xml:space="preserve"> Ericsson (2020), </w:t>
      </w:r>
      <w:hyperlink r:id="rId31" w:history="1">
        <w:r w:rsidRPr="006F06D5">
          <w:rPr>
            <w:rStyle w:val="Hyperlink"/>
            <w:i/>
            <w:iCs/>
          </w:rPr>
          <w:t>Ericsson completes acquisition of Cradlepoint</w:t>
        </w:r>
      </w:hyperlink>
      <w:r w:rsidRPr="000D578E">
        <w:rPr>
          <w:rStyle w:val="Hyperlink"/>
          <w:i/>
          <w:iCs/>
          <w:u w:val="none"/>
        </w:rPr>
        <w:t xml:space="preserve"> </w:t>
      </w:r>
      <w:r w:rsidRPr="00337DB4">
        <w:rPr>
          <w:rStyle w:val="Hyperlink"/>
          <w:color w:val="auto"/>
          <w:u w:val="none"/>
        </w:rPr>
        <w:t>[media release]</w:t>
      </w:r>
      <w:r w:rsidRPr="006878FE">
        <w:t xml:space="preserve">, </w:t>
      </w:r>
      <w:r>
        <w:t xml:space="preserve">Ericsson, 20 November 2020, </w:t>
      </w:r>
      <w:r w:rsidRPr="006878FE">
        <w:t>accessed</w:t>
      </w:r>
      <w:r>
        <w:t xml:space="preserve"> 18 March 2023.</w:t>
      </w:r>
    </w:p>
  </w:footnote>
  <w:footnote w:id="70">
    <w:p w14:paraId="411C0C3F" w14:textId="77777777" w:rsidR="00230B9A" w:rsidRPr="006F6116" w:rsidRDefault="00230B9A" w:rsidP="00337DB4">
      <w:pPr>
        <w:pStyle w:val="FootnoteText"/>
      </w:pPr>
      <w:r w:rsidRPr="006F6116">
        <w:rPr>
          <w:rStyle w:val="FootnoteReference"/>
        </w:rPr>
        <w:footnoteRef/>
      </w:r>
      <w:r w:rsidRPr="006F6116">
        <w:t xml:space="preserve"> Comments attributed to Peter Gray, senior vice president in NTT New Ventures and Innovation. Getting access to spectrum is a complex transaction that differs from country to country. Spectrum purchasing is a skill that was previously only useful for mobile network operators</w:t>
      </w:r>
      <w:r>
        <w:t xml:space="preserve">. </w:t>
      </w:r>
    </w:p>
  </w:footnote>
  <w:footnote w:id="71">
    <w:p w14:paraId="6C0E9710" w14:textId="475BB050" w:rsidR="00230B9A" w:rsidRPr="009B6C15" w:rsidRDefault="00230B9A" w:rsidP="00230B9A">
      <w:pPr>
        <w:pStyle w:val="FootnoteText"/>
        <w:rPr>
          <w:rFonts w:cs="Arial"/>
        </w:rPr>
      </w:pPr>
      <w:r w:rsidRPr="007D705C">
        <w:rPr>
          <w:rStyle w:val="FootnoteReference"/>
          <w:rFonts w:cs="Arial"/>
        </w:rPr>
        <w:footnoteRef/>
      </w:r>
      <w:r w:rsidRPr="007D705C">
        <w:rPr>
          <w:rFonts w:cs="Arial"/>
        </w:rPr>
        <w:t xml:space="preserve"> </w:t>
      </w:r>
      <w:r w:rsidRPr="009B6C15">
        <w:rPr>
          <w:rFonts w:cs="Arial"/>
        </w:rPr>
        <w:t>Comments attributed to Stephen Farrugia, chief technology officer, BAI Communications Australia, Interview with ACMA on 22 November 2022</w:t>
      </w:r>
      <w:r>
        <w:rPr>
          <w:rFonts w:cs="Arial"/>
        </w:rPr>
        <w:t xml:space="preserve">. BAI </w:t>
      </w:r>
      <w:r w:rsidRPr="005E3B37">
        <w:rPr>
          <w:rFonts w:cs="Arial"/>
        </w:rPr>
        <w:t xml:space="preserve">conducted a 5G Standalone Private wireless network trial at an abattoir. </w:t>
      </w:r>
      <w:r>
        <w:rPr>
          <w:rFonts w:cs="Arial"/>
        </w:rPr>
        <w:t>See Case Study</w:t>
      </w:r>
      <w:r w:rsidR="004E1CD3">
        <w:rPr>
          <w:rFonts w:cs="Arial"/>
        </w:rPr>
        <w:t xml:space="preserve"> </w:t>
      </w:r>
      <w:r w:rsidR="00B9749A">
        <w:rPr>
          <w:rFonts w:cs="Arial"/>
        </w:rPr>
        <w:t>2</w:t>
      </w:r>
      <w:r>
        <w:rPr>
          <w:rFonts w:cs="Arial"/>
        </w:rPr>
        <w:t xml:space="preserve">. </w:t>
      </w:r>
    </w:p>
  </w:footnote>
  <w:footnote w:id="72">
    <w:p w14:paraId="06C63A46" w14:textId="17910992" w:rsidR="00230B9A" w:rsidRPr="009B6C15" w:rsidRDefault="00230B9A" w:rsidP="00230B9A">
      <w:pPr>
        <w:pStyle w:val="FootnoteText"/>
        <w:rPr>
          <w:rFonts w:cs="Arial"/>
        </w:rPr>
      </w:pPr>
      <w:r w:rsidRPr="009B6C15">
        <w:rPr>
          <w:rStyle w:val="FootnoteReference"/>
          <w:rFonts w:cs="Arial"/>
        </w:rPr>
        <w:footnoteRef/>
      </w:r>
      <w:r w:rsidRPr="009B6C15">
        <w:rPr>
          <w:rFonts w:cs="Arial"/>
        </w:rPr>
        <w:t xml:space="preserve"> </w:t>
      </w:r>
      <w:r>
        <w:rPr>
          <w:rFonts w:cs="Arial"/>
        </w:rPr>
        <w:t>Minister for Home Affairs,</w:t>
      </w:r>
      <w:r w:rsidRPr="009B6C15">
        <w:rPr>
          <w:rFonts w:cs="Arial"/>
        </w:rPr>
        <w:t xml:space="preserve"> </w:t>
      </w:r>
      <w:hyperlink r:id="rId32" w:history="1">
        <w:r w:rsidRPr="001139F8">
          <w:rPr>
            <w:rStyle w:val="Hyperlink"/>
            <w:rFonts w:cs="Arial"/>
            <w:i/>
            <w:iCs/>
          </w:rPr>
          <w:t>Telecommunications supplier diversity: Joint statement between Australia, Canada, the United Kingdom and the United States of America on Telecommunications Supplier Diversity</w:t>
        </w:r>
      </w:hyperlink>
      <w:r w:rsidR="00612FFF">
        <w:rPr>
          <w:rFonts w:cs="Arial"/>
        </w:rPr>
        <w:t xml:space="preserve"> </w:t>
      </w:r>
      <w:r>
        <w:rPr>
          <w:rFonts w:cs="Arial"/>
        </w:rPr>
        <w:t xml:space="preserve">[media release], </w:t>
      </w:r>
      <w:r w:rsidRPr="009B6C15">
        <w:rPr>
          <w:rFonts w:cs="Arial"/>
        </w:rPr>
        <w:t>The Hon Clare O’Neil Minister for Home Affairs, 8 December 2022</w:t>
      </w:r>
      <w:r>
        <w:rPr>
          <w:rFonts w:cs="Arial"/>
        </w:rPr>
        <w:t xml:space="preserve">, accessed 20 December 2022. </w:t>
      </w:r>
      <w:r w:rsidRPr="009B6C15">
        <w:rPr>
          <w:rFonts w:cs="Arial"/>
        </w:rPr>
        <w:t xml:space="preserve">ORAN allows radio access networks to be built using parts from different vendors. </w:t>
      </w:r>
    </w:p>
  </w:footnote>
  <w:footnote w:id="73">
    <w:p w14:paraId="7DB653D6" w14:textId="2CE1F397" w:rsidR="00230B9A" w:rsidRDefault="00230B9A" w:rsidP="00230B9A">
      <w:pPr>
        <w:pStyle w:val="FootnoteText"/>
      </w:pPr>
      <w:r>
        <w:rPr>
          <w:rStyle w:val="FootnoteReference"/>
        </w:rPr>
        <w:footnoteRef/>
      </w:r>
      <w:r>
        <w:t xml:space="preserve"> The Australian Industry Group, Australian Contractors Association, Australian Water Association and Logistics Council kindly declined the participate due to other priorities. The Energy Networks Association and Australasian Railway Association forwarded the request to members, which generated </w:t>
      </w:r>
      <w:r w:rsidR="004E1CD3">
        <w:t xml:space="preserve">2 </w:t>
      </w:r>
      <w:r>
        <w:t xml:space="preserve">responses from each sector. </w:t>
      </w:r>
    </w:p>
  </w:footnote>
  <w:footnote w:id="74">
    <w:p w14:paraId="56BB32B9" w14:textId="7808D0F4" w:rsidR="00230B9A" w:rsidRDefault="00230B9A" w:rsidP="00230B9A">
      <w:pPr>
        <w:pStyle w:val="FootnoteText"/>
      </w:pPr>
      <w:r>
        <w:rPr>
          <w:rStyle w:val="FootnoteReference"/>
        </w:rPr>
        <w:footnoteRef/>
      </w:r>
      <w:r>
        <w:t xml:space="preserve"> M Lin and C Wu, </w:t>
      </w:r>
      <w:hyperlink r:id="rId33" w:history="1">
        <w:r w:rsidRPr="001F0478">
          <w:rPr>
            <w:rStyle w:val="Hyperlink"/>
            <w:i/>
            <w:iCs/>
          </w:rPr>
          <w:t>Private 5G networks: Secure connectivity for Industry 4.0</w:t>
        </w:r>
      </w:hyperlink>
      <w:r>
        <w:t xml:space="preserve">, Deloitte, </w:t>
      </w:r>
      <w:r w:rsidR="00267668">
        <w:t xml:space="preserve">2022, </w:t>
      </w:r>
      <w:r>
        <w:t xml:space="preserve">p.13, accessed 15 February 2023. </w:t>
      </w:r>
    </w:p>
  </w:footnote>
  <w:footnote w:id="75">
    <w:p w14:paraId="6695D851" w14:textId="4E528700" w:rsidR="00230B9A" w:rsidRDefault="00230B9A" w:rsidP="00230B9A">
      <w:pPr>
        <w:pStyle w:val="FootnoteText"/>
        <w:spacing w:line="240" w:lineRule="auto"/>
      </w:pPr>
      <w:r>
        <w:rPr>
          <w:rStyle w:val="FootnoteReference"/>
        </w:rPr>
        <w:footnoteRef/>
      </w:r>
      <w:r>
        <w:t xml:space="preserve"> GlobalData</w:t>
      </w:r>
      <w:r w:rsidRPr="005634DA">
        <w:rPr>
          <w:i/>
          <w:iCs/>
        </w:rPr>
        <w:t>, ACMA Report: GlobalData Perspective on Telecommunications Supply Chain</w:t>
      </w:r>
      <w:r w:rsidR="004E1CD3">
        <w:rPr>
          <w:i/>
          <w:iCs/>
        </w:rPr>
        <w:t>.</w:t>
      </w:r>
    </w:p>
  </w:footnote>
  <w:footnote w:id="76">
    <w:p w14:paraId="1D9897F6" w14:textId="249AAD98" w:rsidR="00230B9A" w:rsidRDefault="00230B9A" w:rsidP="00230B9A">
      <w:pPr>
        <w:pStyle w:val="FootnoteText"/>
      </w:pPr>
      <w:r>
        <w:rPr>
          <w:rStyle w:val="FootnoteReference"/>
        </w:rPr>
        <w:footnoteRef/>
      </w:r>
      <w:r>
        <w:t xml:space="preserve"> DITRDCA (Department of Infrastructure, Transport, Regional Development, Communications and the Arts</w:t>
      </w:r>
      <w:r w:rsidR="00267668">
        <w:t>)</w:t>
      </w:r>
      <w:r>
        <w:t xml:space="preserve">, </w:t>
      </w:r>
      <w:hyperlink r:id="rId34" w:anchor="/5g-innovation-initiative-1" w:history="1">
        <w:r w:rsidRPr="00CE2BD3">
          <w:rPr>
            <w:rStyle w:val="Hyperlink"/>
            <w:i/>
            <w:iCs/>
          </w:rPr>
          <w:t>The Australian 5G Innovation Initiative</w:t>
        </w:r>
      </w:hyperlink>
      <w:r>
        <w:t xml:space="preserve"> [website], n.d., accessed 16 February 2023</w:t>
      </w:r>
      <w:r w:rsidR="004E1CD3">
        <w:t>.</w:t>
      </w:r>
    </w:p>
  </w:footnote>
  <w:footnote w:id="77">
    <w:p w14:paraId="643156A4" w14:textId="77777777" w:rsidR="00230B9A" w:rsidRDefault="00230B9A" w:rsidP="00230B9A">
      <w:pPr>
        <w:pStyle w:val="FootnoteText"/>
      </w:pPr>
      <w:r>
        <w:rPr>
          <w:rStyle w:val="FootnoteReference"/>
        </w:rPr>
        <w:footnoteRef/>
      </w:r>
      <w:r>
        <w:t xml:space="preserve"> Comments from Queensland Rail response </w:t>
      </w:r>
      <w:r w:rsidRPr="00E72D8A">
        <w:t xml:space="preserve">to </w:t>
      </w:r>
      <w:r w:rsidRPr="00E2154E">
        <w:t>ACMA interview process, December 2022.</w:t>
      </w:r>
      <w:r>
        <w:t xml:space="preserve"> </w:t>
      </w:r>
    </w:p>
  </w:footnote>
  <w:footnote w:id="78">
    <w:p w14:paraId="53D5B3D0" w14:textId="77777777" w:rsidR="00230B9A" w:rsidRDefault="00230B9A" w:rsidP="00230B9A">
      <w:pPr>
        <w:pStyle w:val="FootnoteText"/>
      </w:pPr>
      <w:r>
        <w:rPr>
          <w:rStyle w:val="FootnoteReference"/>
        </w:rPr>
        <w:footnoteRef/>
      </w:r>
      <w:r>
        <w:t xml:space="preserve"> </w:t>
      </w:r>
      <w:r w:rsidRPr="006202C0">
        <w:t xml:space="preserve">Comments </w:t>
      </w:r>
      <w:r>
        <w:t xml:space="preserve">from </w:t>
      </w:r>
      <w:r w:rsidRPr="006202C0">
        <w:t>L</w:t>
      </w:r>
      <w:r>
        <w:t xml:space="preserve"> </w:t>
      </w:r>
      <w:r w:rsidRPr="006202C0">
        <w:t>Bradford, chief operating officer of Connected Farms</w:t>
      </w:r>
      <w:r>
        <w:t>, during interviews with the ACMA in December 2022</w:t>
      </w:r>
      <w:r w:rsidRPr="006202C0">
        <w:t xml:space="preserve">. </w:t>
      </w:r>
    </w:p>
  </w:footnote>
  <w:footnote w:id="79">
    <w:p w14:paraId="48600210" w14:textId="77777777" w:rsidR="00230B9A" w:rsidRDefault="00230B9A" w:rsidP="00230B9A">
      <w:pPr>
        <w:pStyle w:val="FootnoteText"/>
      </w:pPr>
      <w:r w:rsidRPr="00E72D8A">
        <w:rPr>
          <w:rStyle w:val="FootnoteReference"/>
        </w:rPr>
        <w:footnoteRef/>
      </w:r>
      <w:r w:rsidRPr="00E72D8A">
        <w:t xml:space="preserve"> </w:t>
      </w:r>
      <w:r w:rsidRPr="006202C0">
        <w:rPr>
          <w:rFonts w:cs="Arial"/>
        </w:rPr>
        <w:t xml:space="preserve">Comments </w:t>
      </w:r>
      <w:r>
        <w:rPr>
          <w:rFonts w:cs="Arial"/>
        </w:rPr>
        <w:t xml:space="preserve">from </w:t>
      </w:r>
      <w:r w:rsidRPr="006202C0">
        <w:rPr>
          <w:rFonts w:cs="Arial"/>
        </w:rPr>
        <w:t xml:space="preserve">S Farrugia, BAI Communications Australia, </w:t>
      </w:r>
      <w:r>
        <w:rPr>
          <w:rFonts w:cs="Arial"/>
        </w:rPr>
        <w:t xml:space="preserve">during interviews with the ACMA in December 2022.  </w:t>
      </w:r>
    </w:p>
  </w:footnote>
  <w:footnote w:id="80">
    <w:p w14:paraId="263BEEF0" w14:textId="77777777" w:rsidR="00230B9A" w:rsidRDefault="00230B9A" w:rsidP="00230B9A">
      <w:pPr>
        <w:pStyle w:val="FootnoteText"/>
      </w:pPr>
      <w:r w:rsidRPr="0011252E">
        <w:rPr>
          <w:rStyle w:val="FootnoteReference"/>
        </w:rPr>
        <w:footnoteRef/>
      </w:r>
      <w:r w:rsidRPr="0011252E">
        <w:t xml:space="preserve"> </w:t>
      </w:r>
      <w:r w:rsidRPr="00182819">
        <w:t xml:space="preserve">Comments </w:t>
      </w:r>
      <w:r>
        <w:t>from</w:t>
      </w:r>
      <w:r w:rsidRPr="00182819">
        <w:t xml:space="preserve"> D Beattie</w:t>
      </w:r>
      <w:r w:rsidRPr="00E72D8A">
        <w:t xml:space="preserve">, director of Tech Event Pty Ltd in interview with </w:t>
      </w:r>
      <w:r>
        <w:t>the ACMA</w:t>
      </w:r>
      <w:r w:rsidRPr="00E72D8A">
        <w:t xml:space="preserve"> in November 2022 and February 2023</w:t>
      </w:r>
      <w:r>
        <w:t xml:space="preserve">. </w:t>
      </w:r>
    </w:p>
  </w:footnote>
  <w:footnote w:id="81">
    <w:p w14:paraId="214DC929" w14:textId="77777777" w:rsidR="007E27FB" w:rsidRDefault="007E27FB" w:rsidP="007E27FB">
      <w:pPr>
        <w:pStyle w:val="FootnoteText"/>
      </w:pPr>
      <w:r>
        <w:rPr>
          <w:rStyle w:val="FootnoteReference"/>
        </w:rPr>
        <w:footnoteRef/>
      </w:r>
      <w:r>
        <w:t xml:space="preserve"> Telstra’s mobile network covers 2.6 million square kilometres, but Australia’s landmass is 7.6 million square kilometres. </w:t>
      </w:r>
    </w:p>
  </w:footnote>
  <w:footnote w:id="82">
    <w:p w14:paraId="402AE65D" w14:textId="77777777" w:rsidR="007E27FB" w:rsidRPr="00A315B2" w:rsidRDefault="007E27FB" w:rsidP="007E27FB">
      <w:pPr>
        <w:spacing w:after="0" w:line="200" w:lineRule="atLeast"/>
        <w:rPr>
          <w:sz w:val="16"/>
          <w:szCs w:val="16"/>
        </w:rPr>
      </w:pPr>
      <w:r w:rsidRPr="00D710C2">
        <w:rPr>
          <w:rStyle w:val="FootnoteReference"/>
          <w:sz w:val="16"/>
          <w:szCs w:val="16"/>
        </w:rPr>
        <w:footnoteRef/>
      </w:r>
      <w:r w:rsidRPr="00D710C2">
        <w:rPr>
          <w:sz w:val="16"/>
          <w:szCs w:val="16"/>
        </w:rPr>
        <w:t xml:space="preserve"> Ericsson, </w:t>
      </w:r>
      <w:hyperlink r:id="rId35" w:history="1">
        <w:r w:rsidRPr="00FB7F38">
          <w:rPr>
            <w:rStyle w:val="Hyperlink"/>
            <w:i/>
            <w:iCs/>
            <w:sz w:val="16"/>
            <w:szCs w:val="16"/>
          </w:rPr>
          <w:t>Telstra in partnership with Ericsson announce suite of upcoming 5G Standalone automated and orchestrated services for enterprises</w:t>
        </w:r>
      </w:hyperlink>
      <w:r w:rsidRPr="00D710C2">
        <w:rPr>
          <w:sz w:val="16"/>
          <w:szCs w:val="16"/>
        </w:rPr>
        <w:t xml:space="preserve"> </w:t>
      </w:r>
      <w:r>
        <w:rPr>
          <w:sz w:val="16"/>
          <w:szCs w:val="16"/>
        </w:rPr>
        <w:t>[media</w:t>
      </w:r>
      <w:r w:rsidRPr="00D710C2">
        <w:rPr>
          <w:sz w:val="16"/>
          <w:szCs w:val="16"/>
        </w:rPr>
        <w:t xml:space="preserve"> release</w:t>
      </w:r>
      <w:r>
        <w:rPr>
          <w:sz w:val="16"/>
          <w:szCs w:val="16"/>
        </w:rPr>
        <w:t>]</w:t>
      </w:r>
      <w:r w:rsidRPr="00D710C2">
        <w:rPr>
          <w:sz w:val="16"/>
          <w:szCs w:val="16"/>
        </w:rPr>
        <w:t>, 1 September 2022</w:t>
      </w:r>
      <w:r>
        <w:rPr>
          <w:sz w:val="16"/>
          <w:szCs w:val="16"/>
        </w:rPr>
        <w:t>, accessed 30 November 2022</w:t>
      </w:r>
      <w:r w:rsidRPr="00D710C2">
        <w:rPr>
          <w:rFonts w:eastAsia="Arial Nova Light" w:cs="Arial Nova Light"/>
          <w:sz w:val="16"/>
          <w:szCs w:val="16"/>
        </w:rPr>
        <w:t>.</w:t>
      </w:r>
      <w:r>
        <w:rPr>
          <w:rFonts w:eastAsia="Arial Nova Light" w:cs="Arial Nova Light"/>
          <w:sz w:val="16"/>
          <w:szCs w:val="16"/>
        </w:rPr>
        <w:t xml:space="preserve"> </w:t>
      </w:r>
      <w:r w:rsidRPr="00A315B2">
        <w:rPr>
          <w:sz w:val="16"/>
          <w:szCs w:val="16"/>
        </w:rPr>
        <w:t xml:space="preserve">See for example: S Sehgal, </w:t>
      </w:r>
      <w:hyperlink r:id="rId36" w:history="1">
        <w:r w:rsidRPr="00A315B2">
          <w:rPr>
            <w:rStyle w:val="Hyperlink"/>
            <w:i/>
            <w:iCs/>
            <w:sz w:val="16"/>
            <w:szCs w:val="16"/>
          </w:rPr>
          <w:t>Connecting Construction sites months sooner with 5G Standalone enabled Network Slicing</w:t>
        </w:r>
      </w:hyperlink>
      <w:r w:rsidRPr="00A315B2">
        <w:rPr>
          <w:sz w:val="16"/>
          <w:szCs w:val="16"/>
        </w:rPr>
        <w:t xml:space="preserve">, Telstra Exchange, 28 February 2023, accessed 15 March 2023; Optus, </w:t>
      </w:r>
      <w:hyperlink r:id="rId37" w:history="1">
        <w:r w:rsidRPr="00A315B2">
          <w:rPr>
            <w:rStyle w:val="Hyperlink"/>
            <w:i/>
            <w:iCs/>
            <w:sz w:val="16"/>
            <w:szCs w:val="16"/>
          </w:rPr>
          <w:t>Optus Demonstrates Australian first network capability with Ericsson at Tech Day</w:t>
        </w:r>
      </w:hyperlink>
      <w:r w:rsidRPr="00A315B2">
        <w:rPr>
          <w:sz w:val="16"/>
          <w:szCs w:val="16"/>
        </w:rPr>
        <w:t xml:space="preserve"> [media release], Optus, 14</w:t>
      </w:r>
      <w:r>
        <w:rPr>
          <w:sz w:val="16"/>
          <w:szCs w:val="16"/>
        </w:rPr>
        <w:t> </w:t>
      </w:r>
      <w:r w:rsidRPr="00A315B2">
        <w:rPr>
          <w:sz w:val="16"/>
          <w:szCs w:val="16"/>
        </w:rPr>
        <w:t xml:space="preserve">February 2023, accessed 15 March 2023; TPG Group, </w:t>
      </w:r>
      <w:hyperlink r:id="rId38" w:history="1">
        <w:r w:rsidRPr="00A315B2">
          <w:rPr>
            <w:rStyle w:val="Hyperlink"/>
            <w:i/>
            <w:iCs/>
            <w:sz w:val="16"/>
            <w:szCs w:val="16"/>
          </w:rPr>
          <w:t>TPG Telecom triples 5G coverage in network supercharge</w:t>
        </w:r>
      </w:hyperlink>
      <w:r w:rsidRPr="00A315B2">
        <w:rPr>
          <w:sz w:val="16"/>
          <w:szCs w:val="16"/>
        </w:rPr>
        <w:t xml:space="preserve"> [media release], TPG Telecom, 15 November 2021, accessed 15 March 2023.</w:t>
      </w:r>
    </w:p>
  </w:footnote>
  <w:footnote w:id="83">
    <w:p w14:paraId="48D447AA" w14:textId="77777777" w:rsidR="007E27FB" w:rsidRDefault="007E27FB" w:rsidP="007E27FB">
      <w:pPr>
        <w:pStyle w:val="FootnoteText"/>
      </w:pPr>
      <w:r>
        <w:rPr>
          <w:rStyle w:val="FootnoteReference"/>
        </w:rPr>
        <w:footnoteRef/>
      </w:r>
      <w:r>
        <w:t xml:space="preserve"> </w:t>
      </w:r>
      <w:r w:rsidRPr="00B21E1B">
        <w:t xml:space="preserve">Public mobile networks are susceptible during natural disasters and </w:t>
      </w:r>
      <w:r>
        <w:t xml:space="preserve">may get knocked out by fire or flood. They </w:t>
      </w:r>
      <w:r w:rsidRPr="00B21E1B">
        <w:t xml:space="preserve">do not provide a public safety grade network. Comments from </w:t>
      </w:r>
      <w:r>
        <w:t>I</w:t>
      </w:r>
      <w:r w:rsidRPr="00B21E1B">
        <w:t>nterview with Public Safety Solutions division within South Australia Attorney-General’s Department</w:t>
      </w:r>
      <w:r>
        <w:t>, November 2022</w:t>
      </w:r>
      <w:r w:rsidRPr="00B21E1B">
        <w:t>.</w:t>
      </w:r>
    </w:p>
  </w:footnote>
  <w:footnote w:id="84">
    <w:p w14:paraId="12CE2259" w14:textId="77777777" w:rsidR="007E27FB" w:rsidRPr="00B21674" w:rsidRDefault="007E27FB" w:rsidP="007E27FB">
      <w:pPr>
        <w:pStyle w:val="FootnoteText"/>
      </w:pPr>
      <w:r w:rsidRPr="00B21674">
        <w:rPr>
          <w:rStyle w:val="FootnoteReference"/>
        </w:rPr>
        <w:footnoteRef/>
      </w:r>
      <w:r w:rsidRPr="00B21674">
        <w:t xml:space="preserve"> </w:t>
      </w:r>
      <w:r w:rsidRPr="00C1755D">
        <w:t>Response from City of Sydney</w:t>
      </w:r>
      <w:r>
        <w:t xml:space="preserve"> to ACMA questionnaire</w:t>
      </w:r>
      <w:r w:rsidRPr="00C1755D">
        <w:t>.</w:t>
      </w:r>
      <w:r w:rsidRPr="00B21674">
        <w:t xml:space="preserve"> </w:t>
      </w:r>
      <w:r>
        <w:t>See also, City of Melbourne</w:t>
      </w:r>
      <w:r w:rsidRPr="0044653B">
        <w:rPr>
          <w:i/>
          <w:iCs/>
        </w:rPr>
        <w:t xml:space="preserve">, </w:t>
      </w:r>
      <w:hyperlink r:id="rId39" w:history="1">
        <w:r w:rsidRPr="0044653B">
          <w:rPr>
            <w:rStyle w:val="Hyperlink"/>
            <w:i/>
            <w:iCs/>
          </w:rPr>
          <w:t>Data in the park – Argyle Square</w:t>
        </w:r>
      </w:hyperlink>
      <w:r>
        <w:t xml:space="preserve">, City of Melbourne website, 2022, accessed 14 June 2023. </w:t>
      </w:r>
    </w:p>
  </w:footnote>
  <w:footnote w:id="85">
    <w:p w14:paraId="09085ECB" w14:textId="77777777" w:rsidR="007E27FB" w:rsidRDefault="007E27FB" w:rsidP="007E27FB">
      <w:pPr>
        <w:pStyle w:val="FootnoteText"/>
      </w:pPr>
      <w:r>
        <w:rPr>
          <w:rStyle w:val="FootnoteReference"/>
        </w:rPr>
        <w:footnoteRef/>
      </w:r>
      <w:r>
        <w:t xml:space="preserve"> Survey response from electricity network operator who wished to remain anonymous. </w:t>
      </w:r>
    </w:p>
  </w:footnote>
  <w:footnote w:id="86">
    <w:p w14:paraId="2129368A" w14:textId="77777777" w:rsidR="007E27FB" w:rsidRDefault="007E27FB" w:rsidP="007E27FB">
      <w:pPr>
        <w:pStyle w:val="FootnoteText"/>
      </w:pPr>
      <w:r>
        <w:rPr>
          <w:rStyle w:val="FootnoteReference"/>
        </w:rPr>
        <w:footnoteRef/>
      </w:r>
      <w:r>
        <w:t xml:space="preserve"> $3.6 billion in expenditure in 2021–22. See </w:t>
      </w:r>
      <w:hyperlink r:id="rId40" w:history="1">
        <w:r w:rsidRPr="0044653B">
          <w:rPr>
            <w:rStyle w:val="Hyperlink"/>
            <w:i/>
            <w:iCs/>
          </w:rPr>
          <w:t>Annual Report 2021-22</w:t>
        </w:r>
      </w:hyperlink>
      <w:r>
        <w:t xml:space="preserve">, Brisbane City Council, p. 17, accessed 18 June 2023. </w:t>
      </w:r>
    </w:p>
  </w:footnote>
  <w:footnote w:id="87">
    <w:p w14:paraId="451E06BA" w14:textId="77777777" w:rsidR="007E27FB" w:rsidRDefault="007E27FB" w:rsidP="007E27FB">
      <w:pPr>
        <w:pStyle w:val="FootnoteText"/>
      </w:pPr>
      <w:r w:rsidRPr="00BC3370">
        <w:rPr>
          <w:rStyle w:val="FootnoteReference"/>
        </w:rPr>
        <w:footnoteRef/>
      </w:r>
      <w:r w:rsidRPr="00BC3370">
        <w:t xml:space="preserve"> Based on interview with representatives from Brisbane City Council </w:t>
      </w:r>
      <w:r>
        <w:t xml:space="preserve">by ACMA </w:t>
      </w:r>
      <w:r w:rsidRPr="00BC3370">
        <w:t>in November 2022</w:t>
      </w:r>
      <w:r>
        <w:t>.</w:t>
      </w:r>
      <w:r w:rsidRPr="00BC3370">
        <w:t xml:space="preserve"> </w:t>
      </w:r>
    </w:p>
  </w:footnote>
  <w:footnote w:id="88">
    <w:p w14:paraId="644A3FD5" w14:textId="77777777" w:rsidR="00230B9A" w:rsidRDefault="00230B9A" w:rsidP="00230B9A">
      <w:pPr>
        <w:pStyle w:val="FootnoteText"/>
      </w:pPr>
      <w:r>
        <w:rPr>
          <w:rStyle w:val="FootnoteReference"/>
        </w:rPr>
        <w:footnoteRef/>
      </w:r>
      <w:r>
        <w:t xml:space="preserve"> Based on analysis of the </w:t>
      </w:r>
      <w:hyperlink r:id="rId41" w:history="1">
        <w:r w:rsidRPr="00557FA1">
          <w:rPr>
            <w:rStyle w:val="Hyperlink"/>
          </w:rPr>
          <w:t>Register of Radiocommunications Licences</w:t>
        </w:r>
      </w:hyperlink>
    </w:p>
  </w:footnote>
  <w:footnote w:id="89">
    <w:p w14:paraId="75450345" w14:textId="3D4BBE7E" w:rsidR="00230B9A" w:rsidRDefault="00230B9A" w:rsidP="00230B9A">
      <w:pPr>
        <w:pStyle w:val="FootnoteText"/>
      </w:pPr>
      <w:r>
        <w:rPr>
          <w:rStyle w:val="FootnoteReference"/>
        </w:rPr>
        <w:footnoteRef/>
      </w:r>
      <w:r>
        <w:t xml:space="preserve"> ACMA, </w:t>
      </w:r>
      <w:hyperlink r:id="rId42" w:history="1">
        <w:r w:rsidRPr="00BE6216">
          <w:rPr>
            <w:rStyle w:val="Hyperlink"/>
          </w:rPr>
          <w:t>Five-year spectrum outlook 2022-27 and 2022-23 work program</w:t>
        </w:r>
      </w:hyperlink>
      <w:r>
        <w:t>, September 2022</w:t>
      </w:r>
      <w:r w:rsidR="00160981">
        <w:t>.</w:t>
      </w:r>
    </w:p>
  </w:footnote>
  <w:footnote w:id="90">
    <w:p w14:paraId="739B58FC" w14:textId="77777777" w:rsidR="00230B9A" w:rsidRDefault="00230B9A" w:rsidP="00230B9A">
      <w:pPr>
        <w:pStyle w:val="FootnoteText"/>
      </w:pPr>
      <w:r>
        <w:rPr>
          <w:rStyle w:val="FootnoteReference"/>
        </w:rPr>
        <w:footnoteRef/>
      </w:r>
      <w:r>
        <w:t xml:space="preserve"> ACMA website, </w:t>
      </w:r>
      <w:hyperlink r:id="rId43" w:anchor="allocation-of-awls-in-the-34%E2%80%9340-ghz-band-in-remote-areas" w:history="1">
        <w:r w:rsidRPr="00675C21">
          <w:rPr>
            <w:rStyle w:val="Hyperlink"/>
            <w:i/>
            <w:iCs/>
          </w:rPr>
          <w:t>Allocating the 3.4-4.0 GHz band</w:t>
        </w:r>
      </w:hyperlink>
      <w:r>
        <w:t xml:space="preserve">, accessed 6 March 2023; Caruso, L., </w:t>
      </w:r>
      <w:hyperlink r:id="rId44" w:history="1">
        <w:r w:rsidRPr="00024B64">
          <w:rPr>
            <w:rStyle w:val="Hyperlink"/>
          </w:rPr>
          <w:t>Speech to RadComms 2022: licensing innovation</w:t>
        </w:r>
      </w:hyperlink>
      <w:r>
        <w:t>, 15 November 2022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2DBF4D" w14:textId="77777777" w:rsidR="00C053A1" w:rsidRPr="00A5474E" w:rsidRDefault="00C053A1" w:rsidP="00A5474E">
    <w:pPr>
      <w:pStyle w:val="Header"/>
    </w:pPr>
    <w:r>
      <w:rPr>
        <w:noProof/>
      </w:rPr>
      <w:drawing>
        <wp:inline distT="0" distB="0" distL="0" distR="0" wp14:anchorId="6AA589BF" wp14:editId="6BA25DEB">
          <wp:extent cx="6283434" cy="578076"/>
          <wp:effectExtent l="0" t="0" r="3175"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FEB50E"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76D52"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34CD46"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3C596D34" w14:textId="77777777" w:rsidTr="003B0421">
      <w:trPr>
        <w:trHeight w:hRule="exact" w:val="988"/>
      </w:trPr>
      <w:tc>
        <w:tcPr>
          <w:tcW w:w="7678" w:type="dxa"/>
          <w:shd w:val="clear" w:color="auto" w:fill="auto"/>
        </w:tcPr>
        <w:p w14:paraId="54F7AA9F" w14:textId="77777777" w:rsidR="00971914" w:rsidRDefault="00971914" w:rsidP="00971914">
          <w:pPr>
            <w:pStyle w:val="Header"/>
          </w:pPr>
        </w:p>
      </w:tc>
    </w:tr>
    <w:tr w:rsidR="00971914" w14:paraId="3C8AA24A" w14:textId="77777777" w:rsidTr="003B0421">
      <w:tc>
        <w:tcPr>
          <w:tcW w:w="7678" w:type="dxa"/>
          <w:shd w:val="clear" w:color="auto" w:fill="auto"/>
        </w:tcPr>
        <w:p w14:paraId="4DBF3CC1" w14:textId="77777777" w:rsidR="00971914" w:rsidRDefault="00971914" w:rsidP="00971914">
          <w:pPr>
            <w:pStyle w:val="GridTable31"/>
          </w:pPr>
          <w:r>
            <w:t xml:space="preserve">Contents </w:t>
          </w:r>
          <w:r w:rsidRPr="00915B1C">
            <w:rPr>
              <w:b w:val="0"/>
              <w:spacing w:val="0"/>
              <w:sz w:val="28"/>
              <w:szCs w:val="28"/>
            </w:rPr>
            <w:t>(Continued)</w:t>
          </w:r>
        </w:p>
      </w:tc>
    </w:tr>
    <w:tr w:rsidR="00971914" w14:paraId="3D64759E" w14:textId="77777777" w:rsidTr="003B0421">
      <w:trPr>
        <w:trHeight w:val="1220"/>
      </w:trPr>
      <w:tc>
        <w:tcPr>
          <w:tcW w:w="7678" w:type="dxa"/>
          <w:shd w:val="clear" w:color="auto" w:fill="auto"/>
        </w:tcPr>
        <w:p w14:paraId="2D80B31F" w14:textId="77777777" w:rsidR="00971914" w:rsidRDefault="00971914" w:rsidP="00971914"/>
      </w:tc>
    </w:tr>
  </w:tbl>
  <w:p w14:paraId="52010191"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3F612ABF" w14:textId="77777777" w:rsidTr="003B0421">
      <w:trPr>
        <w:trHeight w:hRule="exact" w:val="988"/>
      </w:trPr>
      <w:tc>
        <w:tcPr>
          <w:tcW w:w="7678" w:type="dxa"/>
          <w:shd w:val="clear" w:color="auto" w:fill="auto"/>
        </w:tcPr>
        <w:p w14:paraId="7BC13D7F" w14:textId="77777777" w:rsidR="00971914" w:rsidRDefault="00971914" w:rsidP="00971914">
          <w:pPr>
            <w:pStyle w:val="Header"/>
          </w:pPr>
        </w:p>
      </w:tc>
    </w:tr>
    <w:tr w:rsidR="00971914" w14:paraId="7548FEAC" w14:textId="77777777" w:rsidTr="003B0421">
      <w:tc>
        <w:tcPr>
          <w:tcW w:w="7678" w:type="dxa"/>
          <w:shd w:val="clear" w:color="auto" w:fill="auto"/>
        </w:tcPr>
        <w:p w14:paraId="0DB1B3BC" w14:textId="77777777" w:rsidR="00971914" w:rsidRDefault="00971914" w:rsidP="00971914">
          <w:pPr>
            <w:pStyle w:val="GridTable31"/>
          </w:pPr>
          <w:r>
            <w:t xml:space="preserve">Contents </w:t>
          </w:r>
          <w:r w:rsidRPr="00915B1C">
            <w:rPr>
              <w:b w:val="0"/>
              <w:spacing w:val="0"/>
              <w:sz w:val="28"/>
              <w:szCs w:val="28"/>
            </w:rPr>
            <w:t>(Continued)</w:t>
          </w:r>
        </w:p>
      </w:tc>
    </w:tr>
    <w:tr w:rsidR="00971914" w14:paraId="33E9DF88" w14:textId="77777777" w:rsidTr="003B0421">
      <w:trPr>
        <w:trHeight w:val="1220"/>
      </w:trPr>
      <w:tc>
        <w:tcPr>
          <w:tcW w:w="7678" w:type="dxa"/>
          <w:shd w:val="clear" w:color="auto" w:fill="auto"/>
        </w:tcPr>
        <w:p w14:paraId="0C5F025A" w14:textId="77777777" w:rsidR="00971914" w:rsidRDefault="00971914" w:rsidP="00971914"/>
      </w:tc>
    </w:tr>
  </w:tbl>
  <w:p w14:paraId="2E313E06"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88DBA8"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00207A"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3742186"/>
    <w:multiLevelType w:val="hybridMultilevel"/>
    <w:tmpl w:val="A31ABCBC"/>
    <w:lvl w:ilvl="0" w:tplc="AE0C8052">
      <w:start w:val="1"/>
      <w:numFmt w:val="bullet"/>
      <w:lvlText w:val="&gt;"/>
      <w:lvlJc w:val="left"/>
      <w:pPr>
        <w:ind w:left="720" w:hanging="360"/>
      </w:pPr>
      <w:rPr>
        <w:rFonts w:ascii="Arial Nova Light" w:hAnsi="Arial Nova Light"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4C34024"/>
    <w:multiLevelType w:val="hybridMultilevel"/>
    <w:tmpl w:val="F0707FFE"/>
    <w:lvl w:ilvl="0" w:tplc="44EEC084">
      <w:start w:val="1"/>
      <w:numFmt w:val="bullet"/>
      <w:lvlText w:val="&gt;"/>
      <w:lvlJc w:val="left"/>
      <w:pPr>
        <w:ind w:left="360" w:hanging="360"/>
      </w:pPr>
      <w:rPr>
        <w:rFonts w:ascii="HelveticaNeueLT Std" w:hAnsi="HelveticaNeueLT Std"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7" w15:restartNumberingAfterBreak="0">
    <w:nsid w:val="4EE31E40"/>
    <w:multiLevelType w:val="hybridMultilevel"/>
    <w:tmpl w:val="6276C0FC"/>
    <w:lvl w:ilvl="0" w:tplc="AE0C8052">
      <w:start w:val="1"/>
      <w:numFmt w:val="bullet"/>
      <w:lvlText w:val="&gt;"/>
      <w:lvlJc w:val="left"/>
      <w:pPr>
        <w:ind w:left="720" w:hanging="360"/>
      </w:pPr>
      <w:rPr>
        <w:rFonts w:ascii="Arial Nova Light" w:hAnsi="Arial Nova Light"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13D73C7"/>
    <w:multiLevelType w:val="hybridMultilevel"/>
    <w:tmpl w:val="EE4A3624"/>
    <w:lvl w:ilvl="0" w:tplc="AE0C8052">
      <w:start w:val="1"/>
      <w:numFmt w:val="bullet"/>
      <w:lvlText w:val="&gt;"/>
      <w:lvlJc w:val="left"/>
      <w:pPr>
        <w:ind w:left="720" w:hanging="360"/>
      </w:pPr>
      <w:rPr>
        <w:rFonts w:ascii="Arial Nova Light" w:hAnsi="Arial Nova Light"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617521768">
    <w:abstractNumId w:val="3"/>
  </w:num>
  <w:num w:numId="2" w16cid:durableId="969045093">
    <w:abstractNumId w:val="1"/>
  </w:num>
  <w:num w:numId="3" w16cid:durableId="1714190328">
    <w:abstractNumId w:val="2"/>
  </w:num>
  <w:num w:numId="4" w16cid:durableId="1292904938">
    <w:abstractNumId w:val="0"/>
  </w:num>
  <w:num w:numId="5" w16cid:durableId="1192914688">
    <w:abstractNumId w:val="6"/>
  </w:num>
  <w:num w:numId="6" w16cid:durableId="818768531">
    <w:abstractNumId w:val="10"/>
  </w:num>
  <w:num w:numId="7" w16cid:durableId="636617026">
    <w:abstractNumId w:val="8"/>
  </w:num>
  <w:num w:numId="8" w16cid:durableId="227307242">
    <w:abstractNumId w:val="9"/>
  </w:num>
  <w:num w:numId="9" w16cid:durableId="1325478460">
    <w:abstractNumId w:val="11"/>
  </w:num>
  <w:num w:numId="10" w16cid:durableId="1032997555">
    <w:abstractNumId w:val="5"/>
  </w:num>
  <w:num w:numId="11" w16cid:durableId="1332492483">
    <w:abstractNumId w:val="7"/>
  </w:num>
  <w:num w:numId="12" w16cid:durableId="1817869493">
    <w:abstractNumId w:val="4"/>
  </w:num>
  <w:num w:numId="13" w16cid:durableId="887179838">
    <w:abstractNumId w:val="12"/>
  </w:num>
  <w:num w:numId="14" w16cid:durableId="1323849388">
    <w:abstractNumId w:val="3"/>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removePersonalInformation/>
  <w:removeDateAndTime/>
  <w:proofState w:spelling="clean" w:grammar="clean"/>
  <w:stylePaneFormatFilter w:val="9008" w:allStyles="0" w:customStyles="0" w:latentStyles="0" w:stylesInUse="1" w:headingStyles="0" w:numberingStyles="0" w:tableStyles="0" w:directFormattingOnRuns="0" w:directFormattingOnParagraphs="0" w:directFormattingOnNumbering="0" w:directFormattingOnTables="0" w:clearFormatting="1" w:top3HeadingStyles="0" w:visibleStyles="0" w:alternateStyleNames="1"/>
  <w:defaultTabStop w:val="284"/>
  <w:evenAndOddHeaders/>
  <w:drawingGridHorizontalSpacing w:val="100"/>
  <w:displayHorizontalDrawingGridEvery w:val="2"/>
  <w:characterSpacingControl w:val="doNotCompress"/>
  <w:savePreviewPicture/>
  <w:hdrShapeDefaults>
    <o:shapedefaults v:ext="edit" spidmax="2050">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6B3C"/>
    <w:rsid w:val="00000110"/>
    <w:rsid w:val="000009CC"/>
    <w:rsid w:val="00003C83"/>
    <w:rsid w:val="00005E74"/>
    <w:rsid w:val="00010667"/>
    <w:rsid w:val="000129D5"/>
    <w:rsid w:val="0001542C"/>
    <w:rsid w:val="00015AE7"/>
    <w:rsid w:val="00016E21"/>
    <w:rsid w:val="00016F03"/>
    <w:rsid w:val="0001719C"/>
    <w:rsid w:val="0002224E"/>
    <w:rsid w:val="00022FCF"/>
    <w:rsid w:val="00023A4E"/>
    <w:rsid w:val="00023DE0"/>
    <w:rsid w:val="000245E5"/>
    <w:rsid w:val="00026F91"/>
    <w:rsid w:val="000273B9"/>
    <w:rsid w:val="0003271D"/>
    <w:rsid w:val="00033570"/>
    <w:rsid w:val="00033756"/>
    <w:rsid w:val="00041450"/>
    <w:rsid w:val="00046663"/>
    <w:rsid w:val="00046727"/>
    <w:rsid w:val="0004764C"/>
    <w:rsid w:val="0005011A"/>
    <w:rsid w:val="0005045A"/>
    <w:rsid w:val="00051C1E"/>
    <w:rsid w:val="000522D4"/>
    <w:rsid w:val="000539F9"/>
    <w:rsid w:val="00054C27"/>
    <w:rsid w:val="00054C2B"/>
    <w:rsid w:val="00055CEE"/>
    <w:rsid w:val="00055EC3"/>
    <w:rsid w:val="000563CE"/>
    <w:rsid w:val="00056859"/>
    <w:rsid w:val="00061ED0"/>
    <w:rsid w:val="00064FC8"/>
    <w:rsid w:val="000659B6"/>
    <w:rsid w:val="0006686F"/>
    <w:rsid w:val="0006722A"/>
    <w:rsid w:val="000732AC"/>
    <w:rsid w:val="000732CF"/>
    <w:rsid w:val="00075B96"/>
    <w:rsid w:val="0007684D"/>
    <w:rsid w:val="0008196A"/>
    <w:rsid w:val="00085853"/>
    <w:rsid w:val="00090D29"/>
    <w:rsid w:val="000915ED"/>
    <w:rsid w:val="0009209D"/>
    <w:rsid w:val="000923A3"/>
    <w:rsid w:val="0009463C"/>
    <w:rsid w:val="000969BD"/>
    <w:rsid w:val="000969BF"/>
    <w:rsid w:val="000971BD"/>
    <w:rsid w:val="000A0C22"/>
    <w:rsid w:val="000A1400"/>
    <w:rsid w:val="000A3C42"/>
    <w:rsid w:val="000A3C43"/>
    <w:rsid w:val="000A4A51"/>
    <w:rsid w:val="000A5D2B"/>
    <w:rsid w:val="000B14AD"/>
    <w:rsid w:val="000B3891"/>
    <w:rsid w:val="000B4664"/>
    <w:rsid w:val="000B4B2D"/>
    <w:rsid w:val="000B5DE3"/>
    <w:rsid w:val="000B74CB"/>
    <w:rsid w:val="000C014B"/>
    <w:rsid w:val="000C0A57"/>
    <w:rsid w:val="000C230C"/>
    <w:rsid w:val="000C480E"/>
    <w:rsid w:val="000C5032"/>
    <w:rsid w:val="000C6AB4"/>
    <w:rsid w:val="000C7984"/>
    <w:rsid w:val="000D3249"/>
    <w:rsid w:val="000D3D4A"/>
    <w:rsid w:val="000D71D9"/>
    <w:rsid w:val="000D758E"/>
    <w:rsid w:val="000D76E0"/>
    <w:rsid w:val="000D7E8B"/>
    <w:rsid w:val="000E170C"/>
    <w:rsid w:val="000E30E3"/>
    <w:rsid w:val="000E4449"/>
    <w:rsid w:val="000E6097"/>
    <w:rsid w:val="000E657D"/>
    <w:rsid w:val="000F2FA3"/>
    <w:rsid w:val="000F6F28"/>
    <w:rsid w:val="000F790E"/>
    <w:rsid w:val="0010267F"/>
    <w:rsid w:val="00103829"/>
    <w:rsid w:val="00105671"/>
    <w:rsid w:val="0010664B"/>
    <w:rsid w:val="00111FCE"/>
    <w:rsid w:val="001139F8"/>
    <w:rsid w:val="00113F84"/>
    <w:rsid w:val="001229A5"/>
    <w:rsid w:val="001236E2"/>
    <w:rsid w:val="00123B50"/>
    <w:rsid w:val="0012489B"/>
    <w:rsid w:val="00125951"/>
    <w:rsid w:val="001271FB"/>
    <w:rsid w:val="00130017"/>
    <w:rsid w:val="00130F91"/>
    <w:rsid w:val="001349ED"/>
    <w:rsid w:val="00136722"/>
    <w:rsid w:val="00137424"/>
    <w:rsid w:val="00140318"/>
    <w:rsid w:val="00141AD9"/>
    <w:rsid w:val="00143688"/>
    <w:rsid w:val="00146CE6"/>
    <w:rsid w:val="001477F8"/>
    <w:rsid w:val="001525FE"/>
    <w:rsid w:val="00152903"/>
    <w:rsid w:val="00153FD5"/>
    <w:rsid w:val="0015614F"/>
    <w:rsid w:val="001577C2"/>
    <w:rsid w:val="00160981"/>
    <w:rsid w:val="001633C4"/>
    <w:rsid w:val="001704D5"/>
    <w:rsid w:val="00171591"/>
    <w:rsid w:val="00172206"/>
    <w:rsid w:val="00173981"/>
    <w:rsid w:val="00175967"/>
    <w:rsid w:val="0017719D"/>
    <w:rsid w:val="00182757"/>
    <w:rsid w:val="00183FD7"/>
    <w:rsid w:val="00185CAB"/>
    <w:rsid w:val="00185DA5"/>
    <w:rsid w:val="00185DEA"/>
    <w:rsid w:val="001865D3"/>
    <w:rsid w:val="001875B7"/>
    <w:rsid w:val="00187CB3"/>
    <w:rsid w:val="0019050A"/>
    <w:rsid w:val="001910D4"/>
    <w:rsid w:val="00191297"/>
    <w:rsid w:val="001976E3"/>
    <w:rsid w:val="001A3170"/>
    <w:rsid w:val="001A44EC"/>
    <w:rsid w:val="001A4AF1"/>
    <w:rsid w:val="001B1275"/>
    <w:rsid w:val="001B28D9"/>
    <w:rsid w:val="001B3768"/>
    <w:rsid w:val="001B577F"/>
    <w:rsid w:val="001B58AA"/>
    <w:rsid w:val="001B6B5B"/>
    <w:rsid w:val="001B7E48"/>
    <w:rsid w:val="001C17CE"/>
    <w:rsid w:val="001C36CA"/>
    <w:rsid w:val="001C44D1"/>
    <w:rsid w:val="001C6AEE"/>
    <w:rsid w:val="001C7630"/>
    <w:rsid w:val="001D44C5"/>
    <w:rsid w:val="001D4DD0"/>
    <w:rsid w:val="001D6D15"/>
    <w:rsid w:val="001E3E84"/>
    <w:rsid w:val="001E564C"/>
    <w:rsid w:val="001F7558"/>
    <w:rsid w:val="0020191F"/>
    <w:rsid w:val="00204DC4"/>
    <w:rsid w:val="00205B57"/>
    <w:rsid w:val="002062FE"/>
    <w:rsid w:val="0021158A"/>
    <w:rsid w:val="00211E8A"/>
    <w:rsid w:val="00214CA4"/>
    <w:rsid w:val="002157E0"/>
    <w:rsid w:val="00216A57"/>
    <w:rsid w:val="00217448"/>
    <w:rsid w:val="00222C34"/>
    <w:rsid w:val="0022334F"/>
    <w:rsid w:val="00226819"/>
    <w:rsid w:val="00230B9A"/>
    <w:rsid w:val="00233101"/>
    <w:rsid w:val="00233817"/>
    <w:rsid w:val="002347E2"/>
    <w:rsid w:val="00234B12"/>
    <w:rsid w:val="002367FF"/>
    <w:rsid w:val="00240CE9"/>
    <w:rsid w:val="002410BA"/>
    <w:rsid w:val="002434BA"/>
    <w:rsid w:val="00246089"/>
    <w:rsid w:val="00246093"/>
    <w:rsid w:val="00246702"/>
    <w:rsid w:val="00246C0D"/>
    <w:rsid w:val="00247C59"/>
    <w:rsid w:val="00247F2E"/>
    <w:rsid w:val="00250ADC"/>
    <w:rsid w:val="00250B07"/>
    <w:rsid w:val="002521B2"/>
    <w:rsid w:val="00257553"/>
    <w:rsid w:val="00257E9D"/>
    <w:rsid w:val="00260FB2"/>
    <w:rsid w:val="00262128"/>
    <w:rsid w:val="00262D67"/>
    <w:rsid w:val="00263198"/>
    <w:rsid w:val="00267668"/>
    <w:rsid w:val="002676A2"/>
    <w:rsid w:val="0027165D"/>
    <w:rsid w:val="002737FD"/>
    <w:rsid w:val="002738A9"/>
    <w:rsid w:val="00273CEB"/>
    <w:rsid w:val="00281C89"/>
    <w:rsid w:val="0028282F"/>
    <w:rsid w:val="00284A74"/>
    <w:rsid w:val="00292C97"/>
    <w:rsid w:val="002938DD"/>
    <w:rsid w:val="0029593B"/>
    <w:rsid w:val="002959D7"/>
    <w:rsid w:val="00297FC5"/>
    <w:rsid w:val="002A0417"/>
    <w:rsid w:val="002A16D8"/>
    <w:rsid w:val="002A1BC8"/>
    <w:rsid w:val="002A28EB"/>
    <w:rsid w:val="002A3A95"/>
    <w:rsid w:val="002A3EF2"/>
    <w:rsid w:val="002A580A"/>
    <w:rsid w:val="002A7087"/>
    <w:rsid w:val="002B0903"/>
    <w:rsid w:val="002B0DED"/>
    <w:rsid w:val="002B19A2"/>
    <w:rsid w:val="002B2CB1"/>
    <w:rsid w:val="002B381A"/>
    <w:rsid w:val="002B4FCC"/>
    <w:rsid w:val="002B7408"/>
    <w:rsid w:val="002B7CFD"/>
    <w:rsid w:val="002B7E24"/>
    <w:rsid w:val="002C210F"/>
    <w:rsid w:val="002C43F1"/>
    <w:rsid w:val="002C5BA8"/>
    <w:rsid w:val="002D3600"/>
    <w:rsid w:val="002D5729"/>
    <w:rsid w:val="002D6461"/>
    <w:rsid w:val="002E4026"/>
    <w:rsid w:val="002E412C"/>
    <w:rsid w:val="002E4DDC"/>
    <w:rsid w:val="002E4E0C"/>
    <w:rsid w:val="002E6C58"/>
    <w:rsid w:val="002F04C2"/>
    <w:rsid w:val="002F3FFC"/>
    <w:rsid w:val="00302480"/>
    <w:rsid w:val="00302758"/>
    <w:rsid w:val="00305E26"/>
    <w:rsid w:val="003125DD"/>
    <w:rsid w:val="0031283B"/>
    <w:rsid w:val="0031294A"/>
    <w:rsid w:val="00312E49"/>
    <w:rsid w:val="00313023"/>
    <w:rsid w:val="003165E6"/>
    <w:rsid w:val="003215B5"/>
    <w:rsid w:val="003221CF"/>
    <w:rsid w:val="003233ED"/>
    <w:rsid w:val="00324D9F"/>
    <w:rsid w:val="00327229"/>
    <w:rsid w:val="00327948"/>
    <w:rsid w:val="0033000F"/>
    <w:rsid w:val="003312C6"/>
    <w:rsid w:val="003312F4"/>
    <w:rsid w:val="00332011"/>
    <w:rsid w:val="00332518"/>
    <w:rsid w:val="00332925"/>
    <w:rsid w:val="003332ED"/>
    <w:rsid w:val="003368DC"/>
    <w:rsid w:val="00337DB4"/>
    <w:rsid w:val="00343459"/>
    <w:rsid w:val="0034440C"/>
    <w:rsid w:val="00345927"/>
    <w:rsid w:val="00346A5E"/>
    <w:rsid w:val="00350584"/>
    <w:rsid w:val="0035111C"/>
    <w:rsid w:val="00351857"/>
    <w:rsid w:val="00351BA1"/>
    <w:rsid w:val="0035258B"/>
    <w:rsid w:val="003545E8"/>
    <w:rsid w:val="00355E5C"/>
    <w:rsid w:val="00356C8C"/>
    <w:rsid w:val="00357092"/>
    <w:rsid w:val="00360DDC"/>
    <w:rsid w:val="003610E1"/>
    <w:rsid w:val="00361468"/>
    <w:rsid w:val="003628C1"/>
    <w:rsid w:val="0036639A"/>
    <w:rsid w:val="003671BE"/>
    <w:rsid w:val="0037044C"/>
    <w:rsid w:val="00372485"/>
    <w:rsid w:val="00373200"/>
    <w:rsid w:val="0037405F"/>
    <w:rsid w:val="00375EF5"/>
    <w:rsid w:val="003766DA"/>
    <w:rsid w:val="003767A5"/>
    <w:rsid w:val="00381D15"/>
    <w:rsid w:val="0038355D"/>
    <w:rsid w:val="00384C2F"/>
    <w:rsid w:val="00385254"/>
    <w:rsid w:val="00392FB0"/>
    <w:rsid w:val="00397A27"/>
    <w:rsid w:val="003A04DB"/>
    <w:rsid w:val="003A2B70"/>
    <w:rsid w:val="003A5F5B"/>
    <w:rsid w:val="003A789A"/>
    <w:rsid w:val="003B0974"/>
    <w:rsid w:val="003B12EC"/>
    <w:rsid w:val="003B7AA2"/>
    <w:rsid w:val="003C2B17"/>
    <w:rsid w:val="003C41F9"/>
    <w:rsid w:val="003C77E0"/>
    <w:rsid w:val="003D1028"/>
    <w:rsid w:val="003D17D7"/>
    <w:rsid w:val="003D2678"/>
    <w:rsid w:val="003D40E4"/>
    <w:rsid w:val="003D47B5"/>
    <w:rsid w:val="003D71A3"/>
    <w:rsid w:val="003E0157"/>
    <w:rsid w:val="003E2B8A"/>
    <w:rsid w:val="003E454A"/>
    <w:rsid w:val="003E691E"/>
    <w:rsid w:val="003F10EE"/>
    <w:rsid w:val="003F16F6"/>
    <w:rsid w:val="003F1B47"/>
    <w:rsid w:val="003F4DC7"/>
    <w:rsid w:val="003F5235"/>
    <w:rsid w:val="003F7CF5"/>
    <w:rsid w:val="004027E4"/>
    <w:rsid w:val="0041071D"/>
    <w:rsid w:val="00413446"/>
    <w:rsid w:val="00414AFC"/>
    <w:rsid w:val="004151A7"/>
    <w:rsid w:val="00415310"/>
    <w:rsid w:val="00421709"/>
    <w:rsid w:val="00423763"/>
    <w:rsid w:val="00426BDD"/>
    <w:rsid w:val="004273CA"/>
    <w:rsid w:val="0042762F"/>
    <w:rsid w:val="0042780B"/>
    <w:rsid w:val="00427DC7"/>
    <w:rsid w:val="00431613"/>
    <w:rsid w:val="00431792"/>
    <w:rsid w:val="0043297A"/>
    <w:rsid w:val="00432EB2"/>
    <w:rsid w:val="00435CE2"/>
    <w:rsid w:val="0043714F"/>
    <w:rsid w:val="004438B5"/>
    <w:rsid w:val="0044653B"/>
    <w:rsid w:val="00447037"/>
    <w:rsid w:val="00450072"/>
    <w:rsid w:val="004511C5"/>
    <w:rsid w:val="0045124D"/>
    <w:rsid w:val="00454596"/>
    <w:rsid w:val="0045605D"/>
    <w:rsid w:val="00457585"/>
    <w:rsid w:val="0046135B"/>
    <w:rsid w:val="00461D47"/>
    <w:rsid w:val="0046587C"/>
    <w:rsid w:val="00471660"/>
    <w:rsid w:val="004718CC"/>
    <w:rsid w:val="00481695"/>
    <w:rsid w:val="00483A1A"/>
    <w:rsid w:val="00487782"/>
    <w:rsid w:val="00494CEC"/>
    <w:rsid w:val="0049566C"/>
    <w:rsid w:val="00495A96"/>
    <w:rsid w:val="00495BB3"/>
    <w:rsid w:val="004962DC"/>
    <w:rsid w:val="00496A2E"/>
    <w:rsid w:val="0049715B"/>
    <w:rsid w:val="004A56BB"/>
    <w:rsid w:val="004A5C76"/>
    <w:rsid w:val="004A70D6"/>
    <w:rsid w:val="004A7ADA"/>
    <w:rsid w:val="004B1751"/>
    <w:rsid w:val="004C0253"/>
    <w:rsid w:val="004C4B36"/>
    <w:rsid w:val="004D56FF"/>
    <w:rsid w:val="004E1CD3"/>
    <w:rsid w:val="004E2A8C"/>
    <w:rsid w:val="004E39D3"/>
    <w:rsid w:val="004E4140"/>
    <w:rsid w:val="004E4F12"/>
    <w:rsid w:val="004E508A"/>
    <w:rsid w:val="004E616D"/>
    <w:rsid w:val="004E66D8"/>
    <w:rsid w:val="004F069A"/>
    <w:rsid w:val="004F1BDE"/>
    <w:rsid w:val="004F2CEE"/>
    <w:rsid w:val="004F45C4"/>
    <w:rsid w:val="004F556E"/>
    <w:rsid w:val="004F591C"/>
    <w:rsid w:val="004F7F44"/>
    <w:rsid w:val="005020CA"/>
    <w:rsid w:val="005037B4"/>
    <w:rsid w:val="005079BF"/>
    <w:rsid w:val="0051269A"/>
    <w:rsid w:val="005144FA"/>
    <w:rsid w:val="005219E7"/>
    <w:rsid w:val="00521ED4"/>
    <w:rsid w:val="00525B37"/>
    <w:rsid w:val="00530A09"/>
    <w:rsid w:val="00531B9A"/>
    <w:rsid w:val="00531D15"/>
    <w:rsid w:val="00537604"/>
    <w:rsid w:val="00540EB5"/>
    <w:rsid w:val="00541612"/>
    <w:rsid w:val="00542377"/>
    <w:rsid w:val="00542A10"/>
    <w:rsid w:val="00545BE1"/>
    <w:rsid w:val="005476EB"/>
    <w:rsid w:val="00551782"/>
    <w:rsid w:val="0055298B"/>
    <w:rsid w:val="00560DFA"/>
    <w:rsid w:val="00562234"/>
    <w:rsid w:val="00562DB0"/>
    <w:rsid w:val="00563EF1"/>
    <w:rsid w:val="005643AC"/>
    <w:rsid w:val="005645A2"/>
    <w:rsid w:val="005649F9"/>
    <w:rsid w:val="005659B3"/>
    <w:rsid w:val="00566AB4"/>
    <w:rsid w:val="005721CC"/>
    <w:rsid w:val="005726C8"/>
    <w:rsid w:val="005741D7"/>
    <w:rsid w:val="00575AC5"/>
    <w:rsid w:val="0057605D"/>
    <w:rsid w:val="00581347"/>
    <w:rsid w:val="00581AC9"/>
    <w:rsid w:val="005849F8"/>
    <w:rsid w:val="00586809"/>
    <w:rsid w:val="005920EC"/>
    <w:rsid w:val="005938DF"/>
    <w:rsid w:val="00594E9C"/>
    <w:rsid w:val="005954C3"/>
    <w:rsid w:val="0059731E"/>
    <w:rsid w:val="005A099B"/>
    <w:rsid w:val="005A2D9C"/>
    <w:rsid w:val="005A390D"/>
    <w:rsid w:val="005A54F9"/>
    <w:rsid w:val="005A55FE"/>
    <w:rsid w:val="005A6A11"/>
    <w:rsid w:val="005B1539"/>
    <w:rsid w:val="005B39A1"/>
    <w:rsid w:val="005B6BBC"/>
    <w:rsid w:val="005B7F5C"/>
    <w:rsid w:val="005D0D34"/>
    <w:rsid w:val="005D1728"/>
    <w:rsid w:val="005D1C78"/>
    <w:rsid w:val="005D2502"/>
    <w:rsid w:val="005D40BB"/>
    <w:rsid w:val="005D4475"/>
    <w:rsid w:val="005D47F3"/>
    <w:rsid w:val="005D485E"/>
    <w:rsid w:val="005D49BF"/>
    <w:rsid w:val="005D4AA5"/>
    <w:rsid w:val="005D6F4E"/>
    <w:rsid w:val="005D7C73"/>
    <w:rsid w:val="005E250B"/>
    <w:rsid w:val="005E38DD"/>
    <w:rsid w:val="005E3ACD"/>
    <w:rsid w:val="005E7226"/>
    <w:rsid w:val="005E7A57"/>
    <w:rsid w:val="005F17E4"/>
    <w:rsid w:val="005F24B0"/>
    <w:rsid w:val="005F4EC7"/>
    <w:rsid w:val="005F6EC5"/>
    <w:rsid w:val="00601B57"/>
    <w:rsid w:val="00604315"/>
    <w:rsid w:val="00604B36"/>
    <w:rsid w:val="00604E26"/>
    <w:rsid w:val="0060523F"/>
    <w:rsid w:val="006052CF"/>
    <w:rsid w:val="00607B8D"/>
    <w:rsid w:val="006119F9"/>
    <w:rsid w:val="00611F5C"/>
    <w:rsid w:val="00612FFF"/>
    <w:rsid w:val="006134DB"/>
    <w:rsid w:val="00616E09"/>
    <w:rsid w:val="00617B91"/>
    <w:rsid w:val="00622A3B"/>
    <w:rsid w:val="00622EEA"/>
    <w:rsid w:val="0062396C"/>
    <w:rsid w:val="00623FF9"/>
    <w:rsid w:val="006261BD"/>
    <w:rsid w:val="00627D4E"/>
    <w:rsid w:val="00632B89"/>
    <w:rsid w:val="0063346D"/>
    <w:rsid w:val="00634478"/>
    <w:rsid w:val="00642A6F"/>
    <w:rsid w:val="00644373"/>
    <w:rsid w:val="006457B5"/>
    <w:rsid w:val="00645915"/>
    <w:rsid w:val="00650FBB"/>
    <w:rsid w:val="006519C3"/>
    <w:rsid w:val="00652148"/>
    <w:rsid w:val="00652B30"/>
    <w:rsid w:val="0065314A"/>
    <w:rsid w:val="0065461E"/>
    <w:rsid w:val="00656345"/>
    <w:rsid w:val="00656DC6"/>
    <w:rsid w:val="00660EC6"/>
    <w:rsid w:val="006617B3"/>
    <w:rsid w:val="006636DC"/>
    <w:rsid w:val="00664110"/>
    <w:rsid w:val="00664D17"/>
    <w:rsid w:val="00666520"/>
    <w:rsid w:val="00667C5B"/>
    <w:rsid w:val="00670351"/>
    <w:rsid w:val="006878FE"/>
    <w:rsid w:val="00691EB8"/>
    <w:rsid w:val="00692CDE"/>
    <w:rsid w:val="00693073"/>
    <w:rsid w:val="00697214"/>
    <w:rsid w:val="006977FF"/>
    <w:rsid w:val="006A01FA"/>
    <w:rsid w:val="006A0E9E"/>
    <w:rsid w:val="006A25C7"/>
    <w:rsid w:val="006A4AAD"/>
    <w:rsid w:val="006A4CC5"/>
    <w:rsid w:val="006A632B"/>
    <w:rsid w:val="006A6DA2"/>
    <w:rsid w:val="006A7AB2"/>
    <w:rsid w:val="006A7BD1"/>
    <w:rsid w:val="006B225E"/>
    <w:rsid w:val="006B3CC1"/>
    <w:rsid w:val="006B52DE"/>
    <w:rsid w:val="006B5717"/>
    <w:rsid w:val="006B582F"/>
    <w:rsid w:val="006B5EB2"/>
    <w:rsid w:val="006C0CEB"/>
    <w:rsid w:val="006C1631"/>
    <w:rsid w:val="006C3B1E"/>
    <w:rsid w:val="006C47FD"/>
    <w:rsid w:val="006C560E"/>
    <w:rsid w:val="006C5C19"/>
    <w:rsid w:val="006C5EA2"/>
    <w:rsid w:val="006C70A0"/>
    <w:rsid w:val="006C7FC0"/>
    <w:rsid w:val="006D27CB"/>
    <w:rsid w:val="006D2F08"/>
    <w:rsid w:val="006D576C"/>
    <w:rsid w:val="006D5865"/>
    <w:rsid w:val="006D6AE6"/>
    <w:rsid w:val="006E4B1B"/>
    <w:rsid w:val="006E5445"/>
    <w:rsid w:val="006E7D93"/>
    <w:rsid w:val="006F14D2"/>
    <w:rsid w:val="006F61A1"/>
    <w:rsid w:val="006F77AD"/>
    <w:rsid w:val="007029A3"/>
    <w:rsid w:val="00702EA1"/>
    <w:rsid w:val="00702FA7"/>
    <w:rsid w:val="007048D9"/>
    <w:rsid w:val="00706E4E"/>
    <w:rsid w:val="0070791C"/>
    <w:rsid w:val="00712B80"/>
    <w:rsid w:val="0071383C"/>
    <w:rsid w:val="007141A7"/>
    <w:rsid w:val="007152CD"/>
    <w:rsid w:val="00715722"/>
    <w:rsid w:val="00721032"/>
    <w:rsid w:val="00721B55"/>
    <w:rsid w:val="00722BE8"/>
    <w:rsid w:val="00726CE4"/>
    <w:rsid w:val="00731501"/>
    <w:rsid w:val="00734143"/>
    <w:rsid w:val="0073659A"/>
    <w:rsid w:val="00737E47"/>
    <w:rsid w:val="00740EAC"/>
    <w:rsid w:val="0074197E"/>
    <w:rsid w:val="0074217C"/>
    <w:rsid w:val="007432B1"/>
    <w:rsid w:val="00744956"/>
    <w:rsid w:val="00745A5C"/>
    <w:rsid w:val="0074605F"/>
    <w:rsid w:val="00746DCE"/>
    <w:rsid w:val="00747C2E"/>
    <w:rsid w:val="00747E94"/>
    <w:rsid w:val="00750D91"/>
    <w:rsid w:val="007510D8"/>
    <w:rsid w:val="0075173A"/>
    <w:rsid w:val="00754C83"/>
    <w:rsid w:val="00757D68"/>
    <w:rsid w:val="00761E5C"/>
    <w:rsid w:val="007629C0"/>
    <w:rsid w:val="00763ECA"/>
    <w:rsid w:val="00764C7E"/>
    <w:rsid w:val="00765DF8"/>
    <w:rsid w:val="00766749"/>
    <w:rsid w:val="00767C1B"/>
    <w:rsid w:val="007714A9"/>
    <w:rsid w:val="00774F88"/>
    <w:rsid w:val="00774FDB"/>
    <w:rsid w:val="007775FC"/>
    <w:rsid w:val="00777BA2"/>
    <w:rsid w:val="00781408"/>
    <w:rsid w:val="00784F7F"/>
    <w:rsid w:val="00785581"/>
    <w:rsid w:val="007878BD"/>
    <w:rsid w:val="0079402B"/>
    <w:rsid w:val="0079546E"/>
    <w:rsid w:val="00796F25"/>
    <w:rsid w:val="007A2E98"/>
    <w:rsid w:val="007A3368"/>
    <w:rsid w:val="007A3BA3"/>
    <w:rsid w:val="007A6CC0"/>
    <w:rsid w:val="007A7FEC"/>
    <w:rsid w:val="007B1499"/>
    <w:rsid w:val="007B1B40"/>
    <w:rsid w:val="007B1BBF"/>
    <w:rsid w:val="007B2960"/>
    <w:rsid w:val="007B355D"/>
    <w:rsid w:val="007B7980"/>
    <w:rsid w:val="007C0580"/>
    <w:rsid w:val="007C0C56"/>
    <w:rsid w:val="007C0DEF"/>
    <w:rsid w:val="007C5D5A"/>
    <w:rsid w:val="007C607F"/>
    <w:rsid w:val="007C6E44"/>
    <w:rsid w:val="007C79DD"/>
    <w:rsid w:val="007D05F1"/>
    <w:rsid w:val="007D1A97"/>
    <w:rsid w:val="007D1B55"/>
    <w:rsid w:val="007D2CD6"/>
    <w:rsid w:val="007D3063"/>
    <w:rsid w:val="007D3CEB"/>
    <w:rsid w:val="007D639E"/>
    <w:rsid w:val="007D7D92"/>
    <w:rsid w:val="007E27FB"/>
    <w:rsid w:val="007E3375"/>
    <w:rsid w:val="007E7683"/>
    <w:rsid w:val="007F056B"/>
    <w:rsid w:val="007F1148"/>
    <w:rsid w:val="007F1C32"/>
    <w:rsid w:val="007F49FA"/>
    <w:rsid w:val="007F54C4"/>
    <w:rsid w:val="007F6B3C"/>
    <w:rsid w:val="007F6E9A"/>
    <w:rsid w:val="00800CCD"/>
    <w:rsid w:val="008044D4"/>
    <w:rsid w:val="008056FE"/>
    <w:rsid w:val="00810AB4"/>
    <w:rsid w:val="00811E00"/>
    <w:rsid w:val="00817B56"/>
    <w:rsid w:val="00821A88"/>
    <w:rsid w:val="0082495D"/>
    <w:rsid w:val="0082776D"/>
    <w:rsid w:val="00827ED9"/>
    <w:rsid w:val="00830B72"/>
    <w:rsid w:val="00831AC3"/>
    <w:rsid w:val="00835477"/>
    <w:rsid w:val="00836FCE"/>
    <w:rsid w:val="008408FF"/>
    <w:rsid w:val="00842F57"/>
    <w:rsid w:val="00846424"/>
    <w:rsid w:val="00846927"/>
    <w:rsid w:val="00847DCA"/>
    <w:rsid w:val="00851F3F"/>
    <w:rsid w:val="0085618F"/>
    <w:rsid w:val="008566E9"/>
    <w:rsid w:val="00856EDC"/>
    <w:rsid w:val="008577F5"/>
    <w:rsid w:val="00861081"/>
    <w:rsid w:val="0086186B"/>
    <w:rsid w:val="008623B5"/>
    <w:rsid w:val="00870ABA"/>
    <w:rsid w:val="008710E1"/>
    <w:rsid w:val="008716E5"/>
    <w:rsid w:val="00881106"/>
    <w:rsid w:val="00881CA9"/>
    <w:rsid w:val="008823D1"/>
    <w:rsid w:val="00883628"/>
    <w:rsid w:val="008839CB"/>
    <w:rsid w:val="008841D2"/>
    <w:rsid w:val="00885544"/>
    <w:rsid w:val="0088634E"/>
    <w:rsid w:val="00893AB8"/>
    <w:rsid w:val="008A04C8"/>
    <w:rsid w:val="008A5A26"/>
    <w:rsid w:val="008A6913"/>
    <w:rsid w:val="008A69BF"/>
    <w:rsid w:val="008B042B"/>
    <w:rsid w:val="008B19EF"/>
    <w:rsid w:val="008B42CE"/>
    <w:rsid w:val="008B48DA"/>
    <w:rsid w:val="008B53A5"/>
    <w:rsid w:val="008B5FE3"/>
    <w:rsid w:val="008B70F3"/>
    <w:rsid w:val="008B71C4"/>
    <w:rsid w:val="008B7553"/>
    <w:rsid w:val="008B76DF"/>
    <w:rsid w:val="008C10F4"/>
    <w:rsid w:val="008C1D56"/>
    <w:rsid w:val="008C65F7"/>
    <w:rsid w:val="008D02D6"/>
    <w:rsid w:val="008D3CDC"/>
    <w:rsid w:val="008D4D65"/>
    <w:rsid w:val="008D7028"/>
    <w:rsid w:val="008E0C09"/>
    <w:rsid w:val="008E3139"/>
    <w:rsid w:val="008E4767"/>
    <w:rsid w:val="008E7A8C"/>
    <w:rsid w:val="00901A31"/>
    <w:rsid w:val="0090203B"/>
    <w:rsid w:val="00902432"/>
    <w:rsid w:val="009031C6"/>
    <w:rsid w:val="00903285"/>
    <w:rsid w:val="00903B8B"/>
    <w:rsid w:val="00905ABE"/>
    <w:rsid w:val="0090630A"/>
    <w:rsid w:val="00906F40"/>
    <w:rsid w:val="0090731E"/>
    <w:rsid w:val="009148A5"/>
    <w:rsid w:val="00915B1C"/>
    <w:rsid w:val="0091662A"/>
    <w:rsid w:val="009174F3"/>
    <w:rsid w:val="0091797D"/>
    <w:rsid w:val="00923CBA"/>
    <w:rsid w:val="009242EB"/>
    <w:rsid w:val="00926703"/>
    <w:rsid w:val="00926EDE"/>
    <w:rsid w:val="00927691"/>
    <w:rsid w:val="00927A5F"/>
    <w:rsid w:val="009301BD"/>
    <w:rsid w:val="00930510"/>
    <w:rsid w:val="00931862"/>
    <w:rsid w:val="009344F0"/>
    <w:rsid w:val="00935B63"/>
    <w:rsid w:val="0094078F"/>
    <w:rsid w:val="0094091E"/>
    <w:rsid w:val="00940FA3"/>
    <w:rsid w:val="00941FB0"/>
    <w:rsid w:val="009426D4"/>
    <w:rsid w:val="00947F25"/>
    <w:rsid w:val="00950159"/>
    <w:rsid w:val="009517D5"/>
    <w:rsid w:val="009521D8"/>
    <w:rsid w:val="00952B9B"/>
    <w:rsid w:val="0095490B"/>
    <w:rsid w:val="00956034"/>
    <w:rsid w:val="00960A33"/>
    <w:rsid w:val="00964CDC"/>
    <w:rsid w:val="00971914"/>
    <w:rsid w:val="00974363"/>
    <w:rsid w:val="009807D8"/>
    <w:rsid w:val="00981898"/>
    <w:rsid w:val="00981B64"/>
    <w:rsid w:val="00983187"/>
    <w:rsid w:val="00984786"/>
    <w:rsid w:val="00992EA0"/>
    <w:rsid w:val="0099577C"/>
    <w:rsid w:val="00996283"/>
    <w:rsid w:val="009978C4"/>
    <w:rsid w:val="009A319E"/>
    <w:rsid w:val="009B24A5"/>
    <w:rsid w:val="009B2601"/>
    <w:rsid w:val="009B3903"/>
    <w:rsid w:val="009B4E9E"/>
    <w:rsid w:val="009B675B"/>
    <w:rsid w:val="009B67AC"/>
    <w:rsid w:val="009C1690"/>
    <w:rsid w:val="009C26FE"/>
    <w:rsid w:val="009C33AB"/>
    <w:rsid w:val="009C6881"/>
    <w:rsid w:val="009C6DAE"/>
    <w:rsid w:val="009C7759"/>
    <w:rsid w:val="009D043D"/>
    <w:rsid w:val="009D07C8"/>
    <w:rsid w:val="009D1D05"/>
    <w:rsid w:val="009D3D69"/>
    <w:rsid w:val="009D42EC"/>
    <w:rsid w:val="009D45B1"/>
    <w:rsid w:val="009D4DCA"/>
    <w:rsid w:val="009D5B82"/>
    <w:rsid w:val="009D6C71"/>
    <w:rsid w:val="009E0631"/>
    <w:rsid w:val="009E0FCE"/>
    <w:rsid w:val="009E16D0"/>
    <w:rsid w:val="009E2051"/>
    <w:rsid w:val="009E38FD"/>
    <w:rsid w:val="009F13D6"/>
    <w:rsid w:val="009F4C6B"/>
    <w:rsid w:val="009F78A8"/>
    <w:rsid w:val="00A002CF"/>
    <w:rsid w:val="00A00EB5"/>
    <w:rsid w:val="00A02AD6"/>
    <w:rsid w:val="00A02BD1"/>
    <w:rsid w:val="00A0702B"/>
    <w:rsid w:val="00A07096"/>
    <w:rsid w:val="00A07318"/>
    <w:rsid w:val="00A11370"/>
    <w:rsid w:val="00A12573"/>
    <w:rsid w:val="00A17B1B"/>
    <w:rsid w:val="00A224CE"/>
    <w:rsid w:val="00A22522"/>
    <w:rsid w:val="00A22BED"/>
    <w:rsid w:val="00A2440D"/>
    <w:rsid w:val="00A24882"/>
    <w:rsid w:val="00A24AFD"/>
    <w:rsid w:val="00A24F5C"/>
    <w:rsid w:val="00A27131"/>
    <w:rsid w:val="00A31A03"/>
    <w:rsid w:val="00A32F96"/>
    <w:rsid w:val="00A3493D"/>
    <w:rsid w:val="00A369F3"/>
    <w:rsid w:val="00A40871"/>
    <w:rsid w:val="00A412AB"/>
    <w:rsid w:val="00A4193E"/>
    <w:rsid w:val="00A440E0"/>
    <w:rsid w:val="00A442EF"/>
    <w:rsid w:val="00A47D98"/>
    <w:rsid w:val="00A51D1A"/>
    <w:rsid w:val="00A5367F"/>
    <w:rsid w:val="00A5418D"/>
    <w:rsid w:val="00A5474E"/>
    <w:rsid w:val="00A62E28"/>
    <w:rsid w:val="00A64234"/>
    <w:rsid w:val="00A703C3"/>
    <w:rsid w:val="00A70ADF"/>
    <w:rsid w:val="00A71466"/>
    <w:rsid w:val="00A74B5E"/>
    <w:rsid w:val="00A77F59"/>
    <w:rsid w:val="00A81BED"/>
    <w:rsid w:val="00A81EC4"/>
    <w:rsid w:val="00A824E8"/>
    <w:rsid w:val="00A92CD2"/>
    <w:rsid w:val="00A9341C"/>
    <w:rsid w:val="00A967FD"/>
    <w:rsid w:val="00AA22F1"/>
    <w:rsid w:val="00AA2DE5"/>
    <w:rsid w:val="00AA4B5C"/>
    <w:rsid w:val="00AA4EA9"/>
    <w:rsid w:val="00AA725E"/>
    <w:rsid w:val="00AB000E"/>
    <w:rsid w:val="00AB156C"/>
    <w:rsid w:val="00AB3603"/>
    <w:rsid w:val="00AB5A0D"/>
    <w:rsid w:val="00AB6405"/>
    <w:rsid w:val="00AB6814"/>
    <w:rsid w:val="00AB71CA"/>
    <w:rsid w:val="00AC04BA"/>
    <w:rsid w:val="00AC0E39"/>
    <w:rsid w:val="00AC1F5E"/>
    <w:rsid w:val="00AC3D75"/>
    <w:rsid w:val="00AD1F67"/>
    <w:rsid w:val="00AD3082"/>
    <w:rsid w:val="00AD32B4"/>
    <w:rsid w:val="00AD4AD0"/>
    <w:rsid w:val="00AD5126"/>
    <w:rsid w:val="00AD5436"/>
    <w:rsid w:val="00AD60CD"/>
    <w:rsid w:val="00AD6940"/>
    <w:rsid w:val="00AD6C8C"/>
    <w:rsid w:val="00AE091D"/>
    <w:rsid w:val="00AE0A5F"/>
    <w:rsid w:val="00AE2C87"/>
    <w:rsid w:val="00AE33FB"/>
    <w:rsid w:val="00AE3B60"/>
    <w:rsid w:val="00AE53A1"/>
    <w:rsid w:val="00AF04B6"/>
    <w:rsid w:val="00AF080D"/>
    <w:rsid w:val="00AF2484"/>
    <w:rsid w:val="00AF24E0"/>
    <w:rsid w:val="00AF48FC"/>
    <w:rsid w:val="00AF5DB6"/>
    <w:rsid w:val="00AF63E7"/>
    <w:rsid w:val="00AF6E17"/>
    <w:rsid w:val="00B0165D"/>
    <w:rsid w:val="00B01B60"/>
    <w:rsid w:val="00B031F3"/>
    <w:rsid w:val="00B052A4"/>
    <w:rsid w:val="00B05E58"/>
    <w:rsid w:val="00B10535"/>
    <w:rsid w:val="00B11B7A"/>
    <w:rsid w:val="00B125DE"/>
    <w:rsid w:val="00B12D91"/>
    <w:rsid w:val="00B13FDD"/>
    <w:rsid w:val="00B1580E"/>
    <w:rsid w:val="00B22EB2"/>
    <w:rsid w:val="00B24407"/>
    <w:rsid w:val="00B244F9"/>
    <w:rsid w:val="00B268C1"/>
    <w:rsid w:val="00B27442"/>
    <w:rsid w:val="00B27C34"/>
    <w:rsid w:val="00B31167"/>
    <w:rsid w:val="00B329D8"/>
    <w:rsid w:val="00B32BB9"/>
    <w:rsid w:val="00B33AE1"/>
    <w:rsid w:val="00B3723C"/>
    <w:rsid w:val="00B37C38"/>
    <w:rsid w:val="00B37E08"/>
    <w:rsid w:val="00B4288C"/>
    <w:rsid w:val="00B43262"/>
    <w:rsid w:val="00B434C9"/>
    <w:rsid w:val="00B44100"/>
    <w:rsid w:val="00B46CBA"/>
    <w:rsid w:val="00B46F94"/>
    <w:rsid w:val="00B50DE0"/>
    <w:rsid w:val="00B515E3"/>
    <w:rsid w:val="00B538D2"/>
    <w:rsid w:val="00B54542"/>
    <w:rsid w:val="00B54E13"/>
    <w:rsid w:val="00B55164"/>
    <w:rsid w:val="00B6003C"/>
    <w:rsid w:val="00B61F03"/>
    <w:rsid w:val="00B626E4"/>
    <w:rsid w:val="00B72F4A"/>
    <w:rsid w:val="00B75C14"/>
    <w:rsid w:val="00B767E1"/>
    <w:rsid w:val="00B821D5"/>
    <w:rsid w:val="00B82D8F"/>
    <w:rsid w:val="00B83C27"/>
    <w:rsid w:val="00B84BC3"/>
    <w:rsid w:val="00B84BDD"/>
    <w:rsid w:val="00B92812"/>
    <w:rsid w:val="00B92BA1"/>
    <w:rsid w:val="00B9749A"/>
    <w:rsid w:val="00BA28C8"/>
    <w:rsid w:val="00BA4B48"/>
    <w:rsid w:val="00BA788B"/>
    <w:rsid w:val="00BB45A1"/>
    <w:rsid w:val="00BB7686"/>
    <w:rsid w:val="00BC23F9"/>
    <w:rsid w:val="00BC3421"/>
    <w:rsid w:val="00BC40B1"/>
    <w:rsid w:val="00BC5562"/>
    <w:rsid w:val="00BC70EE"/>
    <w:rsid w:val="00BC732C"/>
    <w:rsid w:val="00BD13CB"/>
    <w:rsid w:val="00BD4421"/>
    <w:rsid w:val="00BD7249"/>
    <w:rsid w:val="00BE2580"/>
    <w:rsid w:val="00BE266D"/>
    <w:rsid w:val="00BE35CB"/>
    <w:rsid w:val="00BE3938"/>
    <w:rsid w:val="00BE4C11"/>
    <w:rsid w:val="00BE6805"/>
    <w:rsid w:val="00BE71C0"/>
    <w:rsid w:val="00BF610C"/>
    <w:rsid w:val="00C0060B"/>
    <w:rsid w:val="00C00CA1"/>
    <w:rsid w:val="00C01A6C"/>
    <w:rsid w:val="00C0265C"/>
    <w:rsid w:val="00C0277D"/>
    <w:rsid w:val="00C03830"/>
    <w:rsid w:val="00C04F5F"/>
    <w:rsid w:val="00C053A1"/>
    <w:rsid w:val="00C16198"/>
    <w:rsid w:val="00C2083D"/>
    <w:rsid w:val="00C2202F"/>
    <w:rsid w:val="00C23023"/>
    <w:rsid w:val="00C24A53"/>
    <w:rsid w:val="00C33D8F"/>
    <w:rsid w:val="00C34A05"/>
    <w:rsid w:val="00C34FB2"/>
    <w:rsid w:val="00C35864"/>
    <w:rsid w:val="00C35CCE"/>
    <w:rsid w:val="00C37BFE"/>
    <w:rsid w:val="00C4032F"/>
    <w:rsid w:val="00C422A7"/>
    <w:rsid w:val="00C44047"/>
    <w:rsid w:val="00C45155"/>
    <w:rsid w:val="00C51AE7"/>
    <w:rsid w:val="00C53102"/>
    <w:rsid w:val="00C54241"/>
    <w:rsid w:val="00C54352"/>
    <w:rsid w:val="00C5498F"/>
    <w:rsid w:val="00C55235"/>
    <w:rsid w:val="00C55D36"/>
    <w:rsid w:val="00C64CD0"/>
    <w:rsid w:val="00C6684F"/>
    <w:rsid w:val="00C66CC8"/>
    <w:rsid w:val="00C70E70"/>
    <w:rsid w:val="00C71F7F"/>
    <w:rsid w:val="00C73483"/>
    <w:rsid w:val="00C75F8D"/>
    <w:rsid w:val="00C77380"/>
    <w:rsid w:val="00C82940"/>
    <w:rsid w:val="00C87E8A"/>
    <w:rsid w:val="00C966A8"/>
    <w:rsid w:val="00C97736"/>
    <w:rsid w:val="00CA345A"/>
    <w:rsid w:val="00CB090D"/>
    <w:rsid w:val="00CB1E82"/>
    <w:rsid w:val="00CB31DA"/>
    <w:rsid w:val="00CB4BA8"/>
    <w:rsid w:val="00CB52D7"/>
    <w:rsid w:val="00CB6B84"/>
    <w:rsid w:val="00CC0560"/>
    <w:rsid w:val="00CC0608"/>
    <w:rsid w:val="00CC6732"/>
    <w:rsid w:val="00CD21FB"/>
    <w:rsid w:val="00CD264D"/>
    <w:rsid w:val="00CD659F"/>
    <w:rsid w:val="00CD6ED4"/>
    <w:rsid w:val="00CD7BEF"/>
    <w:rsid w:val="00CE0BB5"/>
    <w:rsid w:val="00CE205F"/>
    <w:rsid w:val="00CE3C96"/>
    <w:rsid w:val="00CE51A8"/>
    <w:rsid w:val="00CE782F"/>
    <w:rsid w:val="00CF0C75"/>
    <w:rsid w:val="00CF150D"/>
    <w:rsid w:val="00CF169A"/>
    <w:rsid w:val="00CF369B"/>
    <w:rsid w:val="00CF4315"/>
    <w:rsid w:val="00CF4B1D"/>
    <w:rsid w:val="00CF4BB5"/>
    <w:rsid w:val="00D00E28"/>
    <w:rsid w:val="00D01287"/>
    <w:rsid w:val="00D0269E"/>
    <w:rsid w:val="00D05D6C"/>
    <w:rsid w:val="00D1220D"/>
    <w:rsid w:val="00D14FCA"/>
    <w:rsid w:val="00D15810"/>
    <w:rsid w:val="00D16D4E"/>
    <w:rsid w:val="00D16FE3"/>
    <w:rsid w:val="00D201CA"/>
    <w:rsid w:val="00D20670"/>
    <w:rsid w:val="00D26C01"/>
    <w:rsid w:val="00D27BAD"/>
    <w:rsid w:val="00D27F41"/>
    <w:rsid w:val="00D32A67"/>
    <w:rsid w:val="00D36441"/>
    <w:rsid w:val="00D4064E"/>
    <w:rsid w:val="00D414E9"/>
    <w:rsid w:val="00D42EF0"/>
    <w:rsid w:val="00D43C6C"/>
    <w:rsid w:val="00D43D6A"/>
    <w:rsid w:val="00D44E9B"/>
    <w:rsid w:val="00D45FD2"/>
    <w:rsid w:val="00D466C7"/>
    <w:rsid w:val="00D47AEB"/>
    <w:rsid w:val="00D50DB9"/>
    <w:rsid w:val="00D51302"/>
    <w:rsid w:val="00D52C43"/>
    <w:rsid w:val="00D52D30"/>
    <w:rsid w:val="00D635A6"/>
    <w:rsid w:val="00D6507F"/>
    <w:rsid w:val="00D66B09"/>
    <w:rsid w:val="00D70423"/>
    <w:rsid w:val="00D730BC"/>
    <w:rsid w:val="00D73912"/>
    <w:rsid w:val="00D73DFF"/>
    <w:rsid w:val="00D8006D"/>
    <w:rsid w:val="00D80092"/>
    <w:rsid w:val="00D82CB6"/>
    <w:rsid w:val="00D83CA5"/>
    <w:rsid w:val="00D85226"/>
    <w:rsid w:val="00D87B94"/>
    <w:rsid w:val="00D92D49"/>
    <w:rsid w:val="00D92EC1"/>
    <w:rsid w:val="00D96DEA"/>
    <w:rsid w:val="00DA2BC4"/>
    <w:rsid w:val="00DA4E41"/>
    <w:rsid w:val="00DB117A"/>
    <w:rsid w:val="00DB3A64"/>
    <w:rsid w:val="00DB3E8A"/>
    <w:rsid w:val="00DB5173"/>
    <w:rsid w:val="00DB552D"/>
    <w:rsid w:val="00DB7873"/>
    <w:rsid w:val="00DC187B"/>
    <w:rsid w:val="00DC43AD"/>
    <w:rsid w:val="00DC4D9D"/>
    <w:rsid w:val="00DC5339"/>
    <w:rsid w:val="00DC5BE7"/>
    <w:rsid w:val="00DC7DEF"/>
    <w:rsid w:val="00DD0407"/>
    <w:rsid w:val="00DD1A43"/>
    <w:rsid w:val="00DD1C51"/>
    <w:rsid w:val="00DD73C2"/>
    <w:rsid w:val="00DE04A2"/>
    <w:rsid w:val="00DE319B"/>
    <w:rsid w:val="00DE4D4E"/>
    <w:rsid w:val="00DE59CA"/>
    <w:rsid w:val="00DE5BC2"/>
    <w:rsid w:val="00DF0799"/>
    <w:rsid w:val="00DF2237"/>
    <w:rsid w:val="00DF34FE"/>
    <w:rsid w:val="00DF56AA"/>
    <w:rsid w:val="00DF56AF"/>
    <w:rsid w:val="00DF78E7"/>
    <w:rsid w:val="00E065AE"/>
    <w:rsid w:val="00E110E0"/>
    <w:rsid w:val="00E131D8"/>
    <w:rsid w:val="00E15371"/>
    <w:rsid w:val="00E22EC6"/>
    <w:rsid w:val="00E23372"/>
    <w:rsid w:val="00E24104"/>
    <w:rsid w:val="00E302D0"/>
    <w:rsid w:val="00E30D66"/>
    <w:rsid w:val="00E319B7"/>
    <w:rsid w:val="00E31ED8"/>
    <w:rsid w:val="00E346BF"/>
    <w:rsid w:val="00E35707"/>
    <w:rsid w:val="00E35BE7"/>
    <w:rsid w:val="00E36AA1"/>
    <w:rsid w:val="00E41ECB"/>
    <w:rsid w:val="00E42676"/>
    <w:rsid w:val="00E45751"/>
    <w:rsid w:val="00E45F0C"/>
    <w:rsid w:val="00E46EA6"/>
    <w:rsid w:val="00E47505"/>
    <w:rsid w:val="00E54FDB"/>
    <w:rsid w:val="00E5617D"/>
    <w:rsid w:val="00E563D7"/>
    <w:rsid w:val="00E56D21"/>
    <w:rsid w:val="00E6125E"/>
    <w:rsid w:val="00E663F4"/>
    <w:rsid w:val="00E666F2"/>
    <w:rsid w:val="00E66C41"/>
    <w:rsid w:val="00E66DD4"/>
    <w:rsid w:val="00E70D9D"/>
    <w:rsid w:val="00E72E84"/>
    <w:rsid w:val="00E748CC"/>
    <w:rsid w:val="00E75415"/>
    <w:rsid w:val="00E775B1"/>
    <w:rsid w:val="00E8033F"/>
    <w:rsid w:val="00E8152A"/>
    <w:rsid w:val="00E82E73"/>
    <w:rsid w:val="00E91C4F"/>
    <w:rsid w:val="00E92CD1"/>
    <w:rsid w:val="00E93629"/>
    <w:rsid w:val="00E93B5C"/>
    <w:rsid w:val="00E94CEC"/>
    <w:rsid w:val="00E96E44"/>
    <w:rsid w:val="00EA04EF"/>
    <w:rsid w:val="00EA305F"/>
    <w:rsid w:val="00EA36BB"/>
    <w:rsid w:val="00EA4F1B"/>
    <w:rsid w:val="00EA6F19"/>
    <w:rsid w:val="00EB0360"/>
    <w:rsid w:val="00EB03E1"/>
    <w:rsid w:val="00EB0D05"/>
    <w:rsid w:val="00EB5951"/>
    <w:rsid w:val="00EB7090"/>
    <w:rsid w:val="00EB73DD"/>
    <w:rsid w:val="00EC1BBE"/>
    <w:rsid w:val="00EC25AF"/>
    <w:rsid w:val="00EC2B68"/>
    <w:rsid w:val="00EC3AEF"/>
    <w:rsid w:val="00EC43B1"/>
    <w:rsid w:val="00EC5468"/>
    <w:rsid w:val="00EC5CD7"/>
    <w:rsid w:val="00ED450C"/>
    <w:rsid w:val="00ED7103"/>
    <w:rsid w:val="00EE51D3"/>
    <w:rsid w:val="00EE5FB3"/>
    <w:rsid w:val="00EE6D53"/>
    <w:rsid w:val="00EE7F79"/>
    <w:rsid w:val="00EF715A"/>
    <w:rsid w:val="00F01BC3"/>
    <w:rsid w:val="00F01CF5"/>
    <w:rsid w:val="00F0385B"/>
    <w:rsid w:val="00F040AE"/>
    <w:rsid w:val="00F04366"/>
    <w:rsid w:val="00F06E14"/>
    <w:rsid w:val="00F071B2"/>
    <w:rsid w:val="00F11D01"/>
    <w:rsid w:val="00F15281"/>
    <w:rsid w:val="00F179D4"/>
    <w:rsid w:val="00F17A0A"/>
    <w:rsid w:val="00F33B3A"/>
    <w:rsid w:val="00F33C56"/>
    <w:rsid w:val="00F347C7"/>
    <w:rsid w:val="00F34848"/>
    <w:rsid w:val="00F412D2"/>
    <w:rsid w:val="00F42D46"/>
    <w:rsid w:val="00F4496C"/>
    <w:rsid w:val="00F44F3A"/>
    <w:rsid w:val="00F45DD5"/>
    <w:rsid w:val="00F46C15"/>
    <w:rsid w:val="00F47139"/>
    <w:rsid w:val="00F47D44"/>
    <w:rsid w:val="00F51F10"/>
    <w:rsid w:val="00F529A5"/>
    <w:rsid w:val="00F53CD4"/>
    <w:rsid w:val="00F60F00"/>
    <w:rsid w:val="00F614C0"/>
    <w:rsid w:val="00F61C77"/>
    <w:rsid w:val="00F7026D"/>
    <w:rsid w:val="00F75BE6"/>
    <w:rsid w:val="00F75F68"/>
    <w:rsid w:val="00F76E57"/>
    <w:rsid w:val="00F778A9"/>
    <w:rsid w:val="00F80946"/>
    <w:rsid w:val="00F81532"/>
    <w:rsid w:val="00F8204C"/>
    <w:rsid w:val="00F83848"/>
    <w:rsid w:val="00F85379"/>
    <w:rsid w:val="00F9020E"/>
    <w:rsid w:val="00F906BF"/>
    <w:rsid w:val="00F975E9"/>
    <w:rsid w:val="00FA1B7D"/>
    <w:rsid w:val="00FA30A6"/>
    <w:rsid w:val="00FA601D"/>
    <w:rsid w:val="00FB775C"/>
    <w:rsid w:val="00FC07B9"/>
    <w:rsid w:val="00FC4E21"/>
    <w:rsid w:val="00FC5F6D"/>
    <w:rsid w:val="00FC693D"/>
    <w:rsid w:val="00FC73C3"/>
    <w:rsid w:val="00FD0107"/>
    <w:rsid w:val="00FD1D61"/>
    <w:rsid w:val="00FD2C2F"/>
    <w:rsid w:val="00FD3B31"/>
    <w:rsid w:val="00FD6537"/>
    <w:rsid w:val="00FE1823"/>
    <w:rsid w:val="00FE487A"/>
    <w:rsid w:val="00FF0569"/>
    <w:rsid w:val="00FF1344"/>
    <w:rsid w:val="00FF206E"/>
    <w:rsid w:val="00FF3C69"/>
    <w:rsid w:val="00FF4440"/>
    <w:rsid w:val="00FF6E0A"/>
    <w:rsid w:val="0408A268"/>
    <w:rsid w:val="042D4DBD"/>
    <w:rsid w:val="045A3EA2"/>
    <w:rsid w:val="046CE794"/>
    <w:rsid w:val="0709B11A"/>
    <w:rsid w:val="0A41981E"/>
    <w:rsid w:val="0A70B2AC"/>
    <w:rsid w:val="0B768781"/>
    <w:rsid w:val="0F51910B"/>
    <w:rsid w:val="11209826"/>
    <w:rsid w:val="11B62394"/>
    <w:rsid w:val="151F3B0D"/>
    <w:rsid w:val="1B66160E"/>
    <w:rsid w:val="1D5F0529"/>
    <w:rsid w:val="22600B46"/>
    <w:rsid w:val="26D72385"/>
    <w:rsid w:val="2AD589B8"/>
    <w:rsid w:val="2D54092D"/>
    <w:rsid w:val="2EDE8FAF"/>
    <w:rsid w:val="312ECB08"/>
    <w:rsid w:val="3698050B"/>
    <w:rsid w:val="36E4C34C"/>
    <w:rsid w:val="3846153D"/>
    <w:rsid w:val="417C684F"/>
    <w:rsid w:val="419692FD"/>
    <w:rsid w:val="46C7B5EC"/>
    <w:rsid w:val="470AF3F8"/>
    <w:rsid w:val="4A8D70F9"/>
    <w:rsid w:val="516B3102"/>
    <w:rsid w:val="523B6EAE"/>
    <w:rsid w:val="526E8126"/>
    <w:rsid w:val="53B32B32"/>
    <w:rsid w:val="57C009B5"/>
    <w:rsid w:val="5808BC4A"/>
    <w:rsid w:val="5B523CF3"/>
    <w:rsid w:val="5BF05800"/>
    <w:rsid w:val="5DA115F1"/>
    <w:rsid w:val="5E809534"/>
    <w:rsid w:val="5FA02C4D"/>
    <w:rsid w:val="5FFBA4AB"/>
    <w:rsid w:val="6775D123"/>
    <w:rsid w:val="67A94492"/>
    <w:rsid w:val="6C520B1B"/>
    <w:rsid w:val="6E5AA5E9"/>
    <w:rsid w:val="6EE364D7"/>
    <w:rsid w:val="6FC02A7C"/>
    <w:rsid w:val="7233A80F"/>
    <w:rsid w:val="796D65B6"/>
    <w:rsid w:val="7DCAE613"/>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734694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qFormat="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B4B2D"/>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BodySubHeader"/>
    <w:next w:val="Normal"/>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9"/>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aliases w:val="List Bullet 1"/>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aliases w:val="Appel note de bas de p,Appel note de bas de p + 11 pt,Italic,Appel note de bas de p1,Appel note de bas de p2,Appel note de bas de p3,Footnote Reference/,Footnote,Style 12,(NECG) Footnote Reference,Style 124,o,fr,Style 3,Style 13,FR"/>
    <w:basedOn w:val="DefaultParagraphFont"/>
    <w:qFormat/>
    <w:rsid w:val="00566AB4"/>
    <w:rPr>
      <w:rFonts w:ascii="Arial" w:hAnsi="Arial"/>
      <w:vertAlign w:val="superscript"/>
    </w:rPr>
  </w:style>
  <w:style w:type="paragraph" w:styleId="FootnoteText">
    <w:name w:val="footnote text"/>
    <w:aliases w:val="Footnote text,ACMA Footnote Text,footnote text,Footnote Text Char1,Footnote Text Char Char,Footnote Text Char1 Char Char,Footnote Text Char Char Char Char,Footnote Text Char1 Char Char Char Char,Footnote Text Char Char Char Char Char Char"/>
    <w:basedOn w:val="Normal"/>
    <w:link w:val="FootnoteTextChar"/>
    <w:uiPriority w:val="23"/>
    <w:qFormat/>
    <w:rsid w:val="00A17B1B"/>
    <w:pPr>
      <w:spacing w:after="0" w:line="200" w:lineRule="atLeast"/>
    </w:pPr>
    <w:rPr>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unhideWhenUsed/>
    <w:qFormat/>
    <w:rsid w:val="00FC07B9"/>
    <w:pPr>
      <w:spacing w:before="0" w:after="120"/>
    </w:pPr>
    <w:rPr>
      <w:b w:val="0"/>
    </w:rPr>
  </w:style>
  <w:style w:type="paragraph" w:customStyle="1" w:styleId="ACMACopyrightHeader">
    <w:name w:val="ACMA_CopyrightHeader"/>
    <w:basedOn w:val="ACMACorporateAddressHeader"/>
    <w:unhideWhenUsed/>
    <w:qFormat/>
    <w:rsid w:val="00950159"/>
    <w:pPr>
      <w:spacing w:before="3000"/>
    </w:pPr>
  </w:style>
  <w:style w:type="paragraph" w:customStyle="1" w:styleId="ACMACClogo">
    <w:name w:val="ACMA_CClogo"/>
    <w:unhideWhenUsed/>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7"/>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8"/>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rsid w:val="00CE0BB5"/>
    <w:rPr>
      <w:rFonts w:ascii="Arial" w:hAnsi="Arial" w:cs="Arial"/>
      <w:bCs/>
      <w:color w:val="323232"/>
      <w:kern w:val="32"/>
      <w:sz w:val="53"/>
      <w:szCs w:val="32"/>
    </w:rPr>
  </w:style>
  <w:style w:type="character" w:customStyle="1" w:styleId="Heading2Char">
    <w:name w:val="Heading 2 Char"/>
    <w:basedOn w:val="DefaultParagraphFont"/>
    <w:link w:val="Heading2"/>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C82940"/>
    <w:pPr>
      <w:tabs>
        <w:tab w:val="clear" w:pos="845"/>
        <w:tab w:val="left" w:pos="295"/>
      </w:tabs>
      <w:ind w:left="590" w:hanging="295"/>
    </w:pPr>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C82940"/>
    <w:pPr>
      <w:ind w:left="766" w:hanging="295"/>
    </w:pPr>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F04366"/>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tcPr>
    </w:tblStylePr>
    <w:tblStylePr w:type="band2Horz">
      <w:rPr>
        <w:rFonts w:ascii="Arial" w:hAnsi="Arial"/>
        <w:sz w:val="20"/>
      </w:rPr>
      <w:tblPr/>
      <w:tcPr>
        <w:shd w:val="clear" w:color="auto" w:fill="F2F2F2" w:themeFill="background1" w:themeFillShade="F2"/>
      </w:tc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4511C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4511C5"/>
    <w:rPr>
      <w:rFonts w:ascii="Segoe UI" w:hAnsi="Segoe UI" w:cs="Segoe UI"/>
      <w:sz w:val="18"/>
      <w:szCs w:val="18"/>
    </w:rPr>
  </w:style>
  <w:style w:type="paragraph" w:styleId="Revision">
    <w:name w:val="Revision"/>
    <w:hidden/>
    <w:semiHidden/>
    <w:rsid w:val="004511C5"/>
    <w:rPr>
      <w:rFonts w:ascii="Arial" w:hAnsi="Arial"/>
      <w:sz w:val="20"/>
    </w:rPr>
  </w:style>
  <w:style w:type="paragraph" w:customStyle="1" w:styleId="ACMALinecover">
    <w:name w:val="ACMA_Line cover"/>
    <w:basedOn w:val="Normal"/>
    <w:qFormat/>
    <w:rsid w:val="007F6B3C"/>
    <w:pPr>
      <w:pBdr>
        <w:bottom w:val="single" w:sz="4" w:space="1" w:color="auto"/>
      </w:pBdr>
      <w:spacing w:after="600"/>
    </w:pPr>
    <w:rPr>
      <w:rFonts w:cs="Arial"/>
    </w:rPr>
  </w:style>
  <w:style w:type="paragraph" w:customStyle="1" w:styleId="ACMAExecSummaryHeading">
    <w:name w:val="ACMA_ExecSummaryHeading"/>
    <w:basedOn w:val="Normal"/>
    <w:qFormat/>
    <w:rsid w:val="007F6B3C"/>
    <w:pPr>
      <w:spacing w:after="1440" w:line="550" w:lineRule="exact"/>
    </w:pPr>
    <w:rPr>
      <w:b/>
      <w:color w:val="323232"/>
      <w:spacing w:val="-18"/>
      <w:sz w:val="53"/>
    </w:rPr>
  </w:style>
  <w:style w:type="paragraph" w:customStyle="1" w:styleId="ACMAReportTitle">
    <w:name w:val="ACMA_ReportTitle"/>
    <w:basedOn w:val="Normal"/>
    <w:qFormat/>
    <w:rsid w:val="00230B9A"/>
    <w:pPr>
      <w:spacing w:line="560" w:lineRule="exact"/>
    </w:pPr>
    <w:rPr>
      <w:b/>
      <w:spacing w:val="-28"/>
      <w:sz w:val="53"/>
    </w:rPr>
  </w:style>
  <w:style w:type="paragraph" w:customStyle="1" w:styleId="ACMAReportSubTitle">
    <w:name w:val="ACMA_ReportSubTitle"/>
    <w:basedOn w:val="Normal"/>
    <w:qFormat/>
    <w:rsid w:val="00230B9A"/>
    <w:pPr>
      <w:spacing w:after="200" w:line="560" w:lineRule="exact"/>
    </w:pPr>
    <w:rPr>
      <w:color w:val="323232"/>
      <w:spacing w:val="-28"/>
      <w:sz w:val="53"/>
    </w:rPr>
  </w:style>
  <w:style w:type="paragraph" w:customStyle="1" w:styleId="ACMAReportDate">
    <w:name w:val="ACMA_ReportDate"/>
    <w:basedOn w:val="ACMAReportSubTitle"/>
    <w:qFormat/>
    <w:rsid w:val="00230B9A"/>
    <w:pPr>
      <w:spacing w:after="1200" w:line="240" w:lineRule="auto"/>
    </w:pPr>
    <w:rPr>
      <w:caps/>
      <w:spacing w:val="-10"/>
      <w:sz w:val="20"/>
    </w:rPr>
  </w:style>
  <w:style w:type="paragraph" w:customStyle="1" w:styleId="TableHeading0">
    <w:name w:val="Table Heading"/>
    <w:basedOn w:val="Normal"/>
    <w:qFormat/>
    <w:rsid w:val="00230B9A"/>
    <w:pPr>
      <w:spacing w:after="0"/>
    </w:pPr>
    <w:rPr>
      <w:b/>
    </w:rPr>
  </w:style>
  <w:style w:type="character" w:styleId="Strong">
    <w:name w:val="Strong"/>
    <w:basedOn w:val="DefaultParagraphFont"/>
    <w:semiHidden/>
    <w:qFormat/>
    <w:rsid w:val="00230B9A"/>
    <w:rPr>
      <w:b/>
      <w:bCs/>
    </w:rPr>
  </w:style>
  <w:style w:type="paragraph" w:customStyle="1" w:styleId="ACMANormalTabbed">
    <w:name w:val="ACMA_NormalTabbed"/>
    <w:basedOn w:val="Normal"/>
    <w:qFormat/>
    <w:rsid w:val="00230B9A"/>
    <w:pPr>
      <w:tabs>
        <w:tab w:val="left" w:pos="1134"/>
      </w:tabs>
    </w:pPr>
  </w:style>
  <w:style w:type="paragraph" w:customStyle="1" w:styleId="ACMASpaceaftertable">
    <w:name w:val="ACMA_Space after table"/>
    <w:basedOn w:val="Normal"/>
    <w:qFormat/>
    <w:rsid w:val="00230B9A"/>
    <w:rPr>
      <w:rFonts w:cs="Arial"/>
    </w:rPr>
  </w:style>
  <w:style w:type="paragraph" w:customStyle="1" w:styleId="Researchquote">
    <w:name w:val="Research quote"/>
    <w:basedOn w:val="Normal"/>
    <w:qFormat/>
    <w:rsid w:val="00230B9A"/>
    <w:pPr>
      <w:spacing w:before="120" w:after="120"/>
      <w:ind w:left="680" w:right="567"/>
    </w:pPr>
    <w:rPr>
      <w:rFonts w:cs="Arial"/>
      <w:sz w:val="18"/>
      <w:szCs w:val="18"/>
    </w:rPr>
  </w:style>
  <w:style w:type="paragraph" w:styleId="Quote">
    <w:name w:val="Quote"/>
    <w:basedOn w:val="Normal"/>
    <w:next w:val="Normal"/>
    <w:link w:val="QuoteChar"/>
    <w:rsid w:val="00230B9A"/>
    <w:rPr>
      <w:i/>
      <w:iCs/>
      <w:color w:val="000000" w:themeColor="text1"/>
    </w:rPr>
  </w:style>
  <w:style w:type="character" w:customStyle="1" w:styleId="QuoteChar">
    <w:name w:val="Quote Char"/>
    <w:basedOn w:val="DefaultParagraphFont"/>
    <w:link w:val="Quote"/>
    <w:rsid w:val="00230B9A"/>
    <w:rPr>
      <w:rFonts w:ascii="Arial" w:hAnsi="Arial"/>
      <w:i/>
      <w:iCs/>
      <w:color w:val="000000" w:themeColor="text1"/>
      <w:sz w:val="20"/>
    </w:rPr>
  </w:style>
  <w:style w:type="character" w:styleId="BookTitle">
    <w:name w:val="Book Title"/>
    <w:basedOn w:val="DefaultParagraphFont"/>
    <w:rsid w:val="00230B9A"/>
    <w:rPr>
      <w:b/>
      <w:bCs/>
      <w:i/>
      <w:iCs/>
      <w:spacing w:val="5"/>
    </w:rPr>
  </w:style>
  <w:style w:type="character" w:customStyle="1" w:styleId="FootnoteTextChar">
    <w:name w:val="Footnote Text Char"/>
    <w:aliases w:val="Footnote text Char,ACMA Footnote Text Char,footnote text Char,Footnote Text Char1 Char,Footnote Text Char Char Char,Footnote Text Char1 Char Char Char,Footnote Text Char Char Char Char Char,Footnote Text Char1 Char Char Char Char Char"/>
    <w:basedOn w:val="DefaultParagraphFont"/>
    <w:link w:val="FootnoteText"/>
    <w:uiPriority w:val="23"/>
    <w:qFormat/>
    <w:rsid w:val="00230B9A"/>
    <w:rPr>
      <w:rFonts w:ascii="Arial" w:hAnsi="Arial"/>
      <w:sz w:val="16"/>
      <w:szCs w:val="16"/>
    </w:rPr>
  </w:style>
  <w:style w:type="paragraph" w:styleId="ListParagraph">
    <w:name w:val="List Paragraph"/>
    <w:basedOn w:val="Normal"/>
    <w:uiPriority w:val="34"/>
    <w:qFormat/>
    <w:rsid w:val="00230B9A"/>
    <w:pPr>
      <w:spacing w:after="160" w:line="252" w:lineRule="auto"/>
      <w:ind w:left="720"/>
      <w:contextualSpacing/>
    </w:pPr>
    <w:rPr>
      <w:rFonts w:ascii="Calibri" w:eastAsiaTheme="minorHAnsi" w:hAnsi="Calibri" w:cs="Calibri"/>
      <w:sz w:val="22"/>
      <w:szCs w:val="22"/>
      <w:lang w:eastAsia="en-US"/>
    </w:rPr>
  </w:style>
  <w:style w:type="table" w:customStyle="1" w:styleId="ACMAtablestyle1">
    <w:name w:val="ACMA table style1"/>
    <w:basedOn w:val="TableNormal"/>
    <w:uiPriority w:val="99"/>
    <w:rsid w:val="00230B9A"/>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table" w:styleId="ListTable2-Accent5">
    <w:name w:val="List Table 2 Accent 5"/>
    <w:basedOn w:val="TableNormal"/>
    <w:uiPriority w:val="47"/>
    <w:rsid w:val="00230B9A"/>
    <w:tblPr>
      <w:tblStyleRowBandSize w:val="1"/>
      <w:tblStyleColBandSize w:val="1"/>
      <w:tblBorders>
        <w:top w:val="single" w:sz="4" w:space="0" w:color="92CDDC" w:themeColor="accent5" w:themeTint="99"/>
        <w:bottom w:val="single" w:sz="4" w:space="0" w:color="92CDDC" w:themeColor="accent5" w:themeTint="99"/>
        <w:insideH w:val="single" w:sz="4" w:space="0" w:color="92CDDC"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GridTable4">
    <w:name w:val="Grid Table 4"/>
    <w:basedOn w:val="TableNormal"/>
    <w:uiPriority w:val="49"/>
    <w:rsid w:val="00230B9A"/>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customStyle="1" w:styleId="ui-provider">
    <w:name w:val="ui-provider"/>
    <w:basedOn w:val="DefaultParagraphFont"/>
    <w:rsid w:val="00230B9A"/>
  </w:style>
  <w:style w:type="character" w:customStyle="1" w:styleId="normaltextrun">
    <w:name w:val="normaltextrun"/>
    <w:basedOn w:val="DefaultParagraphFont"/>
    <w:rsid w:val="00230B9A"/>
  </w:style>
  <w:style w:type="character" w:customStyle="1" w:styleId="eop">
    <w:name w:val="eop"/>
    <w:basedOn w:val="DefaultParagraphFont"/>
    <w:rsid w:val="00230B9A"/>
  </w:style>
  <w:style w:type="paragraph" w:styleId="NormalWeb">
    <w:name w:val="Normal (Web)"/>
    <w:basedOn w:val="Normal"/>
    <w:uiPriority w:val="99"/>
    <w:semiHidden/>
    <w:unhideWhenUsed/>
    <w:rsid w:val="00230B9A"/>
    <w:pPr>
      <w:spacing w:before="100" w:beforeAutospacing="1" w:after="100" w:afterAutospacing="1" w:line="240" w:lineRule="auto"/>
    </w:pPr>
    <w:rPr>
      <w:rFonts w:ascii="Times New Roman" w:hAnsi="Times New Roman"/>
      <w:sz w:val="24"/>
    </w:rPr>
  </w:style>
  <w:style w:type="table" w:styleId="PlainTable2">
    <w:name w:val="Plain Table 2"/>
    <w:basedOn w:val="TableNormal"/>
    <w:rsid w:val="007629C0"/>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1">
    <w:name w:val="Plain Table 1"/>
    <w:basedOn w:val="TableNormal"/>
    <w:rsid w:val="00835477"/>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957836878">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 w:id="20467834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4.png"/><Relationship Id="rId18" Type="http://schemas.openxmlformats.org/officeDocument/2006/relationships/footer" Target="footer2.xml"/><Relationship Id="rId26" Type="http://schemas.openxmlformats.org/officeDocument/2006/relationships/chart" Target="charts/chart1.xml"/><Relationship Id="rId39" Type="http://schemas.openxmlformats.org/officeDocument/2006/relationships/hyperlink" Target="https://www.acma.gov.au/area-wide-apparatus-licensing-26-and-28-ghz-bands" TargetMode="External"/><Relationship Id="rId21" Type="http://schemas.openxmlformats.org/officeDocument/2006/relationships/header" Target="header6.xml"/><Relationship Id="rId34" Type="http://schemas.openxmlformats.org/officeDocument/2006/relationships/hyperlink" Target="https://www.telekom.com/en/glossary" TargetMode="External"/><Relationship Id="rId42" Type="http://schemas.openxmlformats.org/officeDocument/2006/relationships/hyperlink" Target="https://www.legislation.gov.au/Details/F2023C00524" TargetMode="External"/><Relationship Id="rId47" Type="http://schemas.openxmlformats.org/officeDocument/2006/relationships/hyperlink" Target="https://www.acma.gov.au/trade-your-spectrum-licence" TargetMode="External"/><Relationship Id="rId50" Type="http://schemas.openxmlformats.org/officeDocument/2006/relationships/header" Target="header7.xml"/><Relationship Id="rId55"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eader" Target="header3.xml"/><Relationship Id="rId29" Type="http://schemas.openxmlformats.org/officeDocument/2006/relationships/hyperlink" Target="https://www.acma.gov.au/five-year-spectrum-outlook" TargetMode="External"/><Relationship Id="rId11" Type="http://schemas.openxmlformats.org/officeDocument/2006/relationships/header" Target="header2.xml"/><Relationship Id="rId24" Type="http://schemas.openxmlformats.org/officeDocument/2006/relationships/footer" Target="footer6.xml"/><Relationship Id="rId32" Type="http://schemas.openxmlformats.org/officeDocument/2006/relationships/chart" Target="charts/chart3.xml"/><Relationship Id="rId37" Type="http://schemas.openxmlformats.org/officeDocument/2006/relationships/hyperlink" Target="https://www.singtel.com/business/articles/public-vs-private-5g-which-is-better" TargetMode="External"/><Relationship Id="rId40" Type="http://schemas.openxmlformats.org/officeDocument/2006/relationships/hyperlink" Target="https://www.acma.gov.au/allocating-34-40-ghz-band" TargetMode="External"/><Relationship Id="rId45" Type="http://schemas.openxmlformats.org/officeDocument/2006/relationships/hyperlink" Target="https://www.acma.gov.au/spectrum-licences" TargetMode="External"/><Relationship Id="rId53" Type="http://schemas.openxmlformats.org/officeDocument/2006/relationships/footer" Target="footer8.xml"/><Relationship Id="rId5" Type="http://schemas.openxmlformats.org/officeDocument/2006/relationships/webSettings" Target="webSettings.xml"/><Relationship Id="rId10" Type="http://schemas.openxmlformats.org/officeDocument/2006/relationships/footer" Target="footer1.xml"/><Relationship Id="rId19" Type="http://schemas.openxmlformats.org/officeDocument/2006/relationships/footer" Target="footer3.xml"/><Relationship Id="rId31" Type="http://schemas.openxmlformats.org/officeDocument/2006/relationships/hyperlink" Target="https://uic.org/rail-system/frmcs/" TargetMode="External"/><Relationship Id="rId44" Type="http://schemas.openxmlformats.org/officeDocument/2006/relationships/hyperlink" Target="https://www.acma.gov.au/class-licences" TargetMode="External"/><Relationship Id="rId52" Type="http://schemas.openxmlformats.org/officeDocument/2006/relationships/footer" Target="footer7.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creativecommons.org/licenses/by/4.0/" TargetMode="External"/><Relationship Id="rId22" Type="http://schemas.openxmlformats.org/officeDocument/2006/relationships/footer" Target="footer4.xml"/><Relationship Id="rId27" Type="http://schemas.openxmlformats.org/officeDocument/2006/relationships/chart" Target="charts/chart2.xml"/><Relationship Id="rId30" Type="http://schemas.openxmlformats.org/officeDocument/2006/relationships/hyperlink" Target="https://www.acma.gov.au/local-area-wireless-broadband-services" TargetMode="External"/><Relationship Id="rId35" Type="http://schemas.openxmlformats.org/officeDocument/2006/relationships/hyperlink" Target="https://www.telekom.com/en/company/details/5g-technology-in-campus-networks-556692" TargetMode="External"/><Relationship Id="rId43" Type="http://schemas.openxmlformats.org/officeDocument/2006/relationships/hyperlink" Target="https://www.acma.gov.au/allocating-34-40-ghz-band" TargetMode="External"/><Relationship Id="rId48" Type="http://schemas.openxmlformats.org/officeDocument/2006/relationships/hyperlink" Target="https://www.legislation.gov.au/Details/C2021C00462" TargetMode="External"/><Relationship Id="rId8" Type="http://schemas.openxmlformats.org/officeDocument/2006/relationships/image" Target="media/image1.png"/><Relationship Id="rId51" Type="http://schemas.openxmlformats.org/officeDocument/2006/relationships/header" Target="header8.xml"/><Relationship Id="rId3" Type="http://schemas.openxmlformats.org/officeDocument/2006/relationships/styles" Target="styles.xml"/><Relationship Id="rId12" Type="http://schemas.openxmlformats.org/officeDocument/2006/relationships/hyperlink" Target="http://i.creativecommons.org/l/by/3.0/88x31.png" TargetMode="External"/><Relationship Id="rId17" Type="http://schemas.openxmlformats.org/officeDocument/2006/relationships/header" Target="header4.xml"/><Relationship Id="rId25" Type="http://schemas.openxmlformats.org/officeDocument/2006/relationships/hyperlink" Target="https://spatial.infrastructure.gov.au/portal/apps/sites/" TargetMode="External"/><Relationship Id="rId33" Type="http://schemas.openxmlformats.org/officeDocument/2006/relationships/hyperlink" Target="https://techlab.uts.edu.au/5g-cobot/" TargetMode="External"/><Relationship Id="rId38" Type="http://schemas.openxmlformats.org/officeDocument/2006/relationships/hyperlink" Target="https://www.acma.gov.au/local-area-wireless-broadband-services" TargetMode="External"/><Relationship Id="rId46" Type="http://schemas.openxmlformats.org/officeDocument/2006/relationships/hyperlink" Target="https://www.acma.gov.au/spectrum-licences" TargetMode="External"/><Relationship Id="rId20" Type="http://schemas.openxmlformats.org/officeDocument/2006/relationships/header" Target="header5.xml"/><Relationship Id="rId41" Type="http://schemas.openxmlformats.org/officeDocument/2006/relationships/hyperlink" Target="https://www.acma.gov.au/sites/default/files/2023-06/Wireless%20broadband%20and%20radio%20altimeters%20coexistence_Outcomes%20paper.pdf" TargetMode="External"/><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mailto:info@acma.gov.au" TargetMode="External"/><Relationship Id="rId23" Type="http://schemas.openxmlformats.org/officeDocument/2006/relationships/footer" Target="footer5.xml"/><Relationship Id="rId28" Type="http://schemas.openxmlformats.org/officeDocument/2006/relationships/image" Target="media/image5.png"/><Relationship Id="rId36" Type="http://schemas.openxmlformats.org/officeDocument/2006/relationships/hyperlink" Target="https://www.sierrawireless.com/iot-blog/what-are-private-lte-networks/" TargetMode="External"/><Relationship Id="rId49" Type="http://schemas.openxmlformats.org/officeDocument/2006/relationships/hyperlink" Target="https://www.acma.gov.au/apparatus-licences"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13" Type="http://schemas.openxmlformats.org/officeDocument/2006/relationships/hyperlink" Target="https://www.acma.gov.au/local-area-wireless-broadband-services" TargetMode="External"/><Relationship Id="rId18" Type="http://schemas.openxmlformats.org/officeDocument/2006/relationships/hyperlink" Target="https://www.challengenetworks.com.au/2016/04/26/challenge-networks-secures-1800-mhz-spectrum-in-remote-australia/" TargetMode="External"/><Relationship Id="rId26" Type="http://schemas.openxmlformats.org/officeDocument/2006/relationships/hyperlink" Target="https://www.vocus.com.au/news/vocus-completes-acquisition-of-private-lte-5g-network-provider-challenge-networks" TargetMode="External"/><Relationship Id="rId39" Type="http://schemas.openxmlformats.org/officeDocument/2006/relationships/hyperlink" Target="https://participate.melbourne.vic.gov.au/emerging-tech-testbed/data-park" TargetMode="External"/><Relationship Id="rId21" Type="http://schemas.openxmlformats.org/officeDocument/2006/relationships/hyperlink" Target="https://www.acma.gov.au/sites/default/files/2023-04/Draft%20FYSO%202023-28_for%20consultation.pdf" TargetMode="External"/><Relationship Id="rId34" Type="http://schemas.openxmlformats.org/officeDocument/2006/relationships/hyperlink" Target="https://spatial.infrastructure.gov.au/portal/apps/sites/" TargetMode="External"/><Relationship Id="rId42" Type="http://schemas.openxmlformats.org/officeDocument/2006/relationships/hyperlink" Target="https://www.acma.gov.au/publications/2022-09/plan/five-year-spectrum-outlook-2022-27" TargetMode="External"/><Relationship Id="rId7" Type="http://schemas.openxmlformats.org/officeDocument/2006/relationships/hyperlink" Target="https://www.opensignal.com/reports/2022/10/australia/mobile-network-experience" TargetMode="External"/><Relationship Id="rId2" Type="http://schemas.openxmlformats.org/officeDocument/2006/relationships/hyperlink" Target="https://www.aph.gov.au/Parliamentary_Business/Committees/Senate/Economics/REFSManufacturing/Report" TargetMode="External"/><Relationship Id="rId16" Type="http://schemas.openxmlformats.org/officeDocument/2006/relationships/hyperlink" Target="http://5grail.eu/wp-content/uploads/2022/06/5GRAILNewsletter-No1_Final.pdf" TargetMode="External"/><Relationship Id="rId20" Type="http://schemas.openxmlformats.org/officeDocument/2006/relationships/hyperlink" Target="https://www.acma.gov.au/consultations/2022-02/allocation-awls-34-40-ghz-band-remote-australia-ifc-112022" TargetMode="External"/><Relationship Id="rId29" Type="http://schemas.openxmlformats.org/officeDocument/2006/relationships/hyperlink" Target="https://www.ericsson.com/en/press-releases/2022/12/ericsson-capital-markets-day-2022" TargetMode="External"/><Relationship Id="rId41" Type="http://schemas.openxmlformats.org/officeDocument/2006/relationships/hyperlink" Target="https://web.acma.gov.au/rrl/licence_search.licence_lookup?pLICENCE_NO=11986940/1" TargetMode="External"/><Relationship Id="rId1" Type="http://schemas.openxmlformats.org/officeDocument/2006/relationships/hyperlink" Target="https://arcia.org.au/acma-research-into-private-lte/" TargetMode="External"/><Relationship Id="rId6" Type="http://schemas.openxmlformats.org/officeDocument/2006/relationships/hyperlink" Target="https://www.mwcbarcelona.com/agenda/session/are-private-networks-over-hyped" TargetMode="External"/><Relationship Id="rId11" Type="http://schemas.openxmlformats.org/officeDocument/2006/relationships/hyperlink" Target="https://wballiance.com/resource/wba-annual-industry-report-2023/" TargetMode="External"/><Relationship Id="rId24" Type="http://schemas.openxmlformats.org/officeDocument/2006/relationships/hyperlink" Target="https://parlinfo.aph.gov.au/parlInfo/download/media/pressrel/6164495/upload_binary/6164495.pdf;fileType=application%2Fpdf" TargetMode="External"/><Relationship Id="rId32" Type="http://schemas.openxmlformats.org/officeDocument/2006/relationships/hyperlink" Target="https://minister.homeaffairs.gov.au/ClareONeil/Pages/telecommunications-supplier-diversity.aspx" TargetMode="External"/><Relationship Id="rId37" Type="http://schemas.openxmlformats.org/officeDocument/2006/relationships/hyperlink" Target="https://www.optus.com.au/about/media-centre/media-releases/2023/02/optus-demonstrates-australian-first-network-capability-with-ericsson-at-tech-day" TargetMode="External"/><Relationship Id="rId40" Type="http://schemas.openxmlformats.org/officeDocument/2006/relationships/hyperlink" Target="https://www.brisbane.qld.gov.au/sites/default/files/documents/2022-12/Brisbane%20City%20Council%20Annual%20Report%202021-2022.pdf" TargetMode="External"/><Relationship Id="rId5" Type="http://schemas.openxmlformats.org/officeDocument/2006/relationships/hyperlink" Target="https://tecknexus.com/5gnews-all/5g-coverage-by-drones-and-challenges-vinod-kumar-shrimali/" TargetMode="External"/><Relationship Id="rId15" Type="http://schemas.openxmlformats.org/officeDocument/2006/relationships/hyperlink" Target="https://5grail.eu/" TargetMode="External"/><Relationship Id="rId23" Type="http://schemas.openxmlformats.org/officeDocument/2006/relationships/hyperlink" Target="https://www.3gpp.org/" TargetMode="External"/><Relationship Id="rId28" Type="http://schemas.openxmlformats.org/officeDocument/2006/relationships/hyperlink" Target="https://www.nokia.com/about-us/news/releases/2023/02/14/nokia-and-kyndryl-expand-global-network-and-edge-computing-alliance/" TargetMode="External"/><Relationship Id="rId36" Type="http://schemas.openxmlformats.org/officeDocument/2006/relationships/hyperlink" Target="https://exchange.telstra.com.au/connecting-construction-sites-months-sooner-with-5g-standalone-enabled-network-slicing/" TargetMode="External"/><Relationship Id="rId10" Type="http://schemas.openxmlformats.org/officeDocument/2006/relationships/hyperlink" Target="https://flo.net/revolutionizing-industry-4-0-with-private-5g-technology-and-cloud-computing/" TargetMode="External"/><Relationship Id="rId19" Type="http://schemas.openxmlformats.org/officeDocument/2006/relationships/hyperlink" Target="https://view.officeapps.live.com/op/view.aspx?src=https%3A%2F%2Fwww.acma.gov.au%2Fsites%2Fdefault%2Ffiles%2F2020-02%2FACMA%2520approach%2520to%2520introducing%2520area-wide%2520licences.docx&amp;wdOrigin=BROWSELINK" TargetMode="External"/><Relationship Id="rId31" Type="http://schemas.openxmlformats.org/officeDocument/2006/relationships/hyperlink" Target="https://www.ericsson.com/en/press-releases/2020/11/ericsson-completes-acquisition-of-cradlepoint" TargetMode="External"/><Relationship Id="rId44" Type="http://schemas.openxmlformats.org/officeDocument/2006/relationships/hyperlink" Target="https://www.acma.gov.au/publications/2022-11/speech/speech-linda-caruso-general-manager-communications-infrastructure-radcomms-2022-licensing-innovation" TargetMode="External"/><Relationship Id="rId4" Type="http://schemas.openxmlformats.org/officeDocument/2006/relationships/hyperlink" Target="https://www.samsung.com/global/business/networks/insights/blog/0503-how-is-a-private-5g-network-different-from-a-public-5g-network/" TargetMode="External"/><Relationship Id="rId9" Type="http://schemas.openxmlformats.org/officeDocument/2006/relationships/hyperlink" Target="https://www2.deloitte.com/tw/en/pages/risk/articles/private-5g-networks-secure-connectivity-for-industry-4-0.html" TargetMode="External"/><Relationship Id="rId14" Type="http://schemas.openxmlformats.org/officeDocument/2006/relationships/hyperlink" Target="https://www.acma.gov.au/radiocommunications-licences" TargetMode="External"/><Relationship Id="rId22" Type="http://schemas.openxmlformats.org/officeDocument/2006/relationships/hyperlink" Target="https://www.acma.gov.au/consultations/2022-03/proposed-spectrum-re-allocation-declaration-34-ghz-and-37-ghz-bands-ifc-102022" TargetMode="External"/><Relationship Id="rId27" Type="http://schemas.openxmlformats.org/officeDocument/2006/relationships/hyperlink" Target="https://www.nokia.com/about-us/investors/investor-relations-events/" TargetMode="External"/><Relationship Id="rId30" Type="http://schemas.openxmlformats.org/officeDocument/2006/relationships/hyperlink" Target="https://acmagovau.sharepoint.com/:b:/r/sites/MarketAnalysis/Market%20Analysis%20Library/Bulletins/2022%2012/Sources%20for%202022%20December%20Bulletins/Telefonaktiebolaget%20LM%20Ericsson%20Presentation.pdf?csf=1&amp;web=1&amp;e=ydEKBJ" TargetMode="External"/><Relationship Id="rId35" Type="http://schemas.openxmlformats.org/officeDocument/2006/relationships/hyperlink" Target="https://www.ericsson.com/en/press-releases/2/2022/9/telstra-in-partnership-with-ericsson-announce-suite-of-upcoming-5g-standalone-automated-and-orchestrated-services-for-enterprises" TargetMode="External"/><Relationship Id="rId43" Type="http://schemas.openxmlformats.org/officeDocument/2006/relationships/hyperlink" Target="https://www.acma.gov.au/allocating-34-40-ghz-band" TargetMode="External"/><Relationship Id="rId8" Type="http://schemas.openxmlformats.org/officeDocument/2006/relationships/hyperlink" Target="https://aqura.com.au/new-private-4g-for-port-hedland/" TargetMode="External"/><Relationship Id="rId3" Type="http://schemas.openxmlformats.org/officeDocument/2006/relationships/hyperlink" Target="https://www.iotforall.com/podcasts/e203-private-5g-networks-fourth-industrial-revolution" TargetMode="External"/><Relationship Id="rId12" Type="http://schemas.openxmlformats.org/officeDocument/2006/relationships/hyperlink" Target="https://www.acma.gov.au/consultations/2022-03/proposed-spectrum-re-allocation-declaration-34-ghz-and-37-ghz-bands-ifc-102022" TargetMode="External"/><Relationship Id="rId17" Type="http://schemas.openxmlformats.org/officeDocument/2006/relationships/hyperlink" Target="https://gsacom.com/paper/private-mobile-networks-may-2023-summary/" TargetMode="External"/><Relationship Id="rId25" Type="http://schemas.openxmlformats.org/officeDocument/2006/relationships/hyperlink" Target="https://purple.telstra.com/news-media/telstra-purple-acquires-alliance-automation-and-aqura-technologies" TargetMode="External"/><Relationship Id="rId33" Type="http://schemas.openxmlformats.org/officeDocument/2006/relationships/hyperlink" Target="https://www2.deloitte.com/tw/en/pages/risk/articles/private-5g-networks-secure-connectivity-for-industry-4-0.html" TargetMode="External"/><Relationship Id="rId38" Type="http://schemas.openxmlformats.org/officeDocument/2006/relationships/hyperlink" Target="https://www.tpgtelecom.com.au/sites/default/files/media-release/Media%20release%20-%20TPG%20Telecom%20triples%205G%20coverage%20in%20network%20supercharge_0.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charts/_rels/chart1.xml.rels><?xml version="1.0" encoding="UTF-8" standalone="yes"?>
<Relationships xmlns="http://schemas.openxmlformats.org/package/2006/relationships"><Relationship Id="rId3" Type="http://schemas.openxmlformats.org/officeDocument/2006/relationships/oleObject" Target="https://acmagovau.sharepoint.com/sites/MarketAnalysis/Market%20Analysis%20Library/Market%20Studies/Private%20Networks%20Market%20Study/Graphics%20%20for%20Private%20Neworks%20Market%20Study.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https://acmagovau.sharepoint.com/sites/MarketAnalysis/Market%20Analysis%20Library/Market%20Studies/Private%20Networks%20Market%20Study/Graphics%20%20for%20Private%20Neworks%20Market%20Study.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https://acmagovau.sharepoint.com/sites/MarketAnalysis/Market%20Analysis%20Library/Market%20Studies/Private%20Networks%20Market%20Study/Graphics%20%20for%20Private%20Neworks%20Market%20Study.xlsx" TargetMode="External"/><Relationship Id="rId2" Type="http://schemas.microsoft.com/office/2011/relationships/chartColorStyle" Target="colors3.xml"/><Relationship Id="rId1" Type="http://schemas.microsoft.com/office/2011/relationships/chartStyle" Target="style3.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spPr>
            <a:solidFill>
              <a:srgbClr val="39457C"/>
            </a:solidFill>
            <a:ln>
              <a:noFill/>
            </a:ln>
            <a:effectLst/>
          </c:spPr>
          <c:invertIfNegative val="0"/>
          <c:dLbls>
            <c:dLbl>
              <c:idx val="6"/>
              <c:tx>
                <c:rich>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r>
                      <a:rPr lang="en-US"/>
                      <a:t>$533.0</a:t>
                    </a:r>
                  </a:p>
                </c:rich>
              </c:tx>
              <c:numFmt formatCode="_(&quot;$&quot;* #,##0_);_(&quot;$&quot;* \(#,##0\);_(&quot;$&quot;* &quot;-&quot;_);_(@_)"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0-CBDE-4781-9045-2F86C3898E82}"/>
                </c:ext>
              </c:extLst>
            </c:dLbl>
            <c:numFmt formatCode="_-&quot;$&quot;* #,##0.0_-;\-&quot;$&quot;* #,##0.0_-;_-&quot;$&quot;* &quot;-&quot;?_-;_-@_-"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'Figure 1'!$A$2:$A$9</c:f>
              <c:numCache>
                <c:formatCode>General</c:formatCode>
                <c:ptCount val="8"/>
                <c:pt idx="0">
                  <c:v>2020</c:v>
                </c:pt>
                <c:pt idx="1">
                  <c:v>2021</c:v>
                </c:pt>
                <c:pt idx="2">
                  <c:v>2022</c:v>
                </c:pt>
                <c:pt idx="3">
                  <c:v>2023</c:v>
                </c:pt>
                <c:pt idx="4">
                  <c:v>2024</c:v>
                </c:pt>
                <c:pt idx="5">
                  <c:v>2025</c:v>
                </c:pt>
                <c:pt idx="6">
                  <c:v>2026</c:v>
                </c:pt>
                <c:pt idx="7">
                  <c:v>2027</c:v>
                </c:pt>
              </c:numCache>
            </c:numRef>
          </c:cat>
          <c:val>
            <c:numRef>
              <c:f>'Figure 1'!$B$2:$B$9</c:f>
              <c:numCache>
                <c:formatCode>General</c:formatCode>
                <c:ptCount val="8"/>
                <c:pt idx="0">
                  <c:v>88</c:v>
                </c:pt>
                <c:pt idx="1">
                  <c:v>130</c:v>
                </c:pt>
                <c:pt idx="2">
                  <c:v>187.3</c:v>
                </c:pt>
                <c:pt idx="3">
                  <c:v>242.2</c:v>
                </c:pt>
                <c:pt idx="4">
                  <c:v>314.39999999999998</c:v>
                </c:pt>
                <c:pt idx="5">
                  <c:v>409</c:v>
                </c:pt>
                <c:pt idx="6">
                  <c:v>533</c:v>
                </c:pt>
                <c:pt idx="7">
                  <c:v>694.7</c:v>
                </c:pt>
              </c:numCache>
            </c:numRef>
          </c:val>
          <c:extLst>
            <c:ext xmlns:c16="http://schemas.microsoft.com/office/drawing/2014/chart" uri="{C3380CC4-5D6E-409C-BE32-E72D297353CC}">
              <c16:uniqueId val="{00000001-CBDE-4781-9045-2F86C3898E82}"/>
            </c:ext>
          </c:extLst>
        </c:ser>
        <c:dLbls>
          <c:dLblPos val="outEnd"/>
          <c:showLegendKey val="0"/>
          <c:showVal val="1"/>
          <c:showCatName val="0"/>
          <c:showSerName val="0"/>
          <c:showPercent val="0"/>
          <c:showBubbleSize val="0"/>
        </c:dLbls>
        <c:gapWidth val="219"/>
        <c:overlap val="-27"/>
        <c:axId val="1349940544"/>
        <c:axId val="1349941792"/>
      </c:barChart>
      <c:catAx>
        <c:axId val="134994054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crossAx val="1349941792"/>
        <c:crosses val="autoZero"/>
        <c:auto val="1"/>
        <c:lblAlgn val="ctr"/>
        <c:lblOffset val="100"/>
        <c:noMultiLvlLbl val="0"/>
      </c:catAx>
      <c:valAx>
        <c:axId val="1349941792"/>
        <c:scaling>
          <c:orientation val="minMax"/>
        </c:scaling>
        <c:delete val="1"/>
        <c:axPos val="l"/>
        <c:numFmt formatCode="General" sourceLinked="1"/>
        <c:majorTickMark val="none"/>
        <c:minorTickMark val="none"/>
        <c:tickLblPos val="nextTo"/>
        <c:crossAx val="1349940544"/>
        <c:crosses val="autoZero"/>
        <c:crossBetween val="between"/>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7366808862496E-2"/>
          <c:y val="7.5533661740558297E-2"/>
          <c:w val="0.89490647754809427"/>
          <c:h val="0.92411088474080605"/>
        </c:manualLayout>
      </c:layout>
      <c:pieChart>
        <c:varyColors val="1"/>
        <c:ser>
          <c:idx val="0"/>
          <c:order val="0"/>
          <c:spPr>
            <a:solidFill>
              <a:srgbClr val="39457C"/>
            </a:solidFill>
          </c:spPr>
          <c:dPt>
            <c:idx val="0"/>
            <c:bubble3D val="0"/>
            <c:spPr>
              <a:solidFill>
                <a:srgbClr val="39457C"/>
              </a:solidFill>
              <a:ln w="19050">
                <a:solidFill>
                  <a:schemeClr val="lt1"/>
                </a:solidFill>
              </a:ln>
              <a:effectLst/>
            </c:spPr>
            <c:extLst>
              <c:ext xmlns:c16="http://schemas.microsoft.com/office/drawing/2014/chart" uri="{C3380CC4-5D6E-409C-BE32-E72D297353CC}">
                <c16:uniqueId val="{00000001-BB80-4732-9D09-FF66B53A52D6}"/>
              </c:ext>
            </c:extLst>
          </c:dPt>
          <c:dPt>
            <c:idx val="1"/>
            <c:bubble3D val="0"/>
            <c:spPr>
              <a:solidFill>
                <a:srgbClr val="39457C">
                  <a:alpha val="60000"/>
                </a:srgbClr>
              </a:solidFill>
              <a:ln w="19050">
                <a:solidFill>
                  <a:schemeClr val="lt1"/>
                </a:solidFill>
              </a:ln>
              <a:effectLst/>
            </c:spPr>
            <c:extLst>
              <c:ext xmlns:c16="http://schemas.microsoft.com/office/drawing/2014/chart" uri="{C3380CC4-5D6E-409C-BE32-E72D297353CC}">
                <c16:uniqueId val="{00000003-BB80-4732-9D09-FF66B53A52D6}"/>
              </c:ext>
            </c:extLst>
          </c:dPt>
          <c:dPt>
            <c:idx val="2"/>
            <c:bubble3D val="0"/>
            <c:spPr>
              <a:solidFill>
                <a:srgbClr val="39457C">
                  <a:alpha val="40000"/>
                </a:srgbClr>
              </a:solidFill>
              <a:ln w="19050">
                <a:solidFill>
                  <a:schemeClr val="lt1"/>
                </a:solidFill>
              </a:ln>
              <a:effectLst/>
            </c:spPr>
            <c:extLst>
              <c:ext xmlns:c16="http://schemas.microsoft.com/office/drawing/2014/chart" uri="{C3380CC4-5D6E-409C-BE32-E72D297353CC}">
                <c16:uniqueId val="{00000005-BB80-4732-9D09-FF66B53A52D6}"/>
              </c:ext>
            </c:extLst>
          </c:dPt>
          <c:dPt>
            <c:idx val="3"/>
            <c:bubble3D val="0"/>
            <c:spPr>
              <a:solidFill>
                <a:srgbClr val="39457C">
                  <a:alpha val="20000"/>
                </a:srgbClr>
              </a:solidFill>
              <a:ln w="19050">
                <a:solidFill>
                  <a:schemeClr val="lt1"/>
                </a:solidFill>
              </a:ln>
              <a:effectLst/>
            </c:spPr>
            <c:extLst>
              <c:ext xmlns:c16="http://schemas.microsoft.com/office/drawing/2014/chart" uri="{C3380CC4-5D6E-409C-BE32-E72D297353CC}">
                <c16:uniqueId val="{00000007-BB80-4732-9D09-FF66B53A52D6}"/>
              </c:ext>
            </c:extLst>
          </c:dPt>
          <c:dLbls>
            <c:dLbl>
              <c:idx val="0"/>
              <c:tx>
                <c:rich>
                  <a:bodyPr rot="0" spcFirstLastPara="1" vertOverflow="ellipsis" vert="horz" wrap="square" lIns="38100" tIns="19050" rIns="38100" bIns="19050" anchor="ctr" anchorCtr="1">
                    <a:spAutoFit/>
                  </a:bodyPr>
                  <a:lstStyle/>
                  <a:p>
                    <a:pPr>
                      <a:defRPr sz="900" b="0" i="0" u="none" strike="noStrike" kern="1200" baseline="0">
                        <a:solidFill>
                          <a:schemeClr val="bg1"/>
                        </a:solidFill>
                        <a:latin typeface="Arial" panose="020B0604020202020204" pitchFamily="34" charset="0"/>
                        <a:ea typeface="+mn-ea"/>
                        <a:cs typeface="Arial" panose="020B0604020202020204" pitchFamily="34" charset="0"/>
                      </a:defRPr>
                    </a:pPr>
                    <a:r>
                      <a:rPr lang="en-US">
                        <a:solidFill>
                          <a:schemeClr val="bg1"/>
                        </a:solidFill>
                        <a:latin typeface="Arial" panose="020B0604020202020204" pitchFamily="34" charset="0"/>
                        <a:cs typeface="Arial" panose="020B0604020202020204" pitchFamily="34" charset="0"/>
                      </a:rPr>
                      <a:t>4G/</a:t>
                    </a:r>
                    <a:fld id="{31F96943-A39C-4765-BE5A-1EC19DDF5527}" type="CATEGORYNAME">
                      <a:rPr lang="en-US">
                        <a:solidFill>
                          <a:schemeClr val="bg1"/>
                        </a:solidFill>
                        <a:latin typeface="Arial" panose="020B0604020202020204" pitchFamily="34" charset="0"/>
                        <a:cs typeface="Arial" panose="020B0604020202020204" pitchFamily="34" charset="0"/>
                      </a:rPr>
                      <a:pPr>
                        <a:defRPr>
                          <a:solidFill>
                            <a:schemeClr val="bg1"/>
                          </a:solidFill>
                          <a:latin typeface="Arial" panose="020B0604020202020204" pitchFamily="34" charset="0"/>
                          <a:cs typeface="Arial" panose="020B0604020202020204" pitchFamily="34" charset="0"/>
                        </a:defRPr>
                      </a:pPr>
                      <a:t>[CATEGORY NAME]</a:t>
                    </a:fld>
                    <a:r>
                      <a:rPr lang="en-US" baseline="0">
                        <a:solidFill>
                          <a:schemeClr val="bg1"/>
                        </a:solidFill>
                        <a:latin typeface="Arial" panose="020B0604020202020204" pitchFamily="34" charset="0"/>
                        <a:cs typeface="Arial" panose="020B0604020202020204" pitchFamily="34" charset="0"/>
                      </a:rPr>
                      <a:t>
</a:t>
                    </a:r>
                    <a:fld id="{6AC4BDDC-E79A-433E-A403-549641EF4BFB}" type="VALUE">
                      <a:rPr lang="en-US" baseline="0">
                        <a:solidFill>
                          <a:schemeClr val="bg1"/>
                        </a:solidFill>
                        <a:latin typeface="Arial" panose="020B0604020202020204" pitchFamily="34" charset="0"/>
                        <a:cs typeface="Arial" panose="020B0604020202020204" pitchFamily="34" charset="0"/>
                      </a:rPr>
                      <a:pPr>
                        <a:defRPr>
                          <a:solidFill>
                            <a:schemeClr val="bg1"/>
                          </a:solidFill>
                          <a:latin typeface="Arial" panose="020B0604020202020204" pitchFamily="34" charset="0"/>
                          <a:cs typeface="Arial" panose="020B0604020202020204" pitchFamily="34" charset="0"/>
                        </a:defRPr>
                      </a:pPr>
                      <a:t>[VALUE]</a:t>
                    </a:fld>
                    <a:endParaRPr lang="en-US" baseline="0">
                      <a:solidFill>
                        <a:schemeClr val="bg1"/>
                      </a:solidFill>
                      <a:latin typeface="Arial" panose="020B0604020202020204" pitchFamily="34" charset="0"/>
                      <a:cs typeface="Arial" panose="020B0604020202020204" pitchFamily="34" charset="0"/>
                    </a:endParaRPr>
                  </a:p>
                </c:rich>
              </c:tx>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solidFill>
                      <a:latin typeface="Arial" panose="020B0604020202020204" pitchFamily="34" charset="0"/>
                      <a:ea typeface="+mn-ea"/>
                      <a:cs typeface="Arial" panose="020B0604020202020204" pitchFamily="34" charset="0"/>
                    </a:defRPr>
                  </a:pPr>
                  <a:endParaRPr lang="en-US"/>
                </a:p>
              </c:txPr>
              <c:dLblPos val="ctr"/>
              <c:showLegendKey val="0"/>
              <c:showVal val="1"/>
              <c:showCatName val="1"/>
              <c:showSerName val="0"/>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1-BB80-4732-9D09-FF66B53A52D6}"/>
                </c:ext>
              </c:extLst>
            </c:dLbl>
            <c:dLbl>
              <c:idx val="1"/>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solidFill>
                      <a:latin typeface="Arial" panose="020B0604020202020204" pitchFamily="34" charset="0"/>
                      <a:ea typeface="+mn-ea"/>
                      <a:cs typeface="Arial" panose="020B0604020202020204" pitchFamily="34" charset="0"/>
                    </a:defRPr>
                  </a:pPr>
                  <a:endParaRPr lang="en-US"/>
                </a:p>
              </c:txPr>
              <c:dLblPos val="ctr"/>
              <c:showLegendKey val="0"/>
              <c:showVal val="1"/>
              <c:showCatName val="1"/>
              <c:showSerName val="0"/>
              <c:showPercent val="0"/>
              <c:showBubbleSize val="0"/>
              <c:extLst>
                <c:ext xmlns:c15="http://schemas.microsoft.com/office/drawing/2012/chart" uri="{CE6537A1-D6FC-4f65-9D91-7224C49458BB}"/>
                <c:ext xmlns:c16="http://schemas.microsoft.com/office/drawing/2014/chart" uri="{C3380CC4-5D6E-409C-BE32-E72D297353CC}">
                  <c16:uniqueId val="{00000003-BB80-4732-9D09-FF66B53A52D6}"/>
                </c:ext>
              </c:extLst>
            </c:dLbl>
            <c:dLbl>
              <c:idx val="2"/>
              <c:layout>
                <c:manualLayout>
                  <c:x val="0.1990952770247981"/>
                  <c:y val="0.21712340011552611"/>
                </c:manualLayout>
              </c:layout>
              <c:dLblPos val="bestFit"/>
              <c:showLegendKey val="0"/>
              <c:showVal val="1"/>
              <c:showCatName val="1"/>
              <c:showSerName val="0"/>
              <c:showPercent val="0"/>
              <c:showBubbleSize val="0"/>
              <c:extLst>
                <c:ext xmlns:c15="http://schemas.microsoft.com/office/drawing/2012/chart" uri="{CE6537A1-D6FC-4f65-9D91-7224C49458BB}"/>
                <c:ext xmlns:c16="http://schemas.microsoft.com/office/drawing/2014/chart" uri="{C3380CC4-5D6E-409C-BE32-E72D297353CC}">
                  <c16:uniqueId val="{00000005-BB80-4732-9D09-FF66B53A52D6}"/>
                </c:ext>
              </c:extLst>
            </c:dLbl>
            <c:dLbl>
              <c:idx val="3"/>
              <c:layout>
                <c:manualLayout>
                  <c:x val="3.0768503761066046E-2"/>
                  <c:y val="1.0612094966539268E-4"/>
                </c:manualLayout>
              </c:layout>
              <c:spPr>
                <a:noFill/>
                <a:ln>
                  <a:noFill/>
                </a:ln>
                <a:effectLst/>
              </c:spPr>
              <c:txPr>
                <a:bodyPr rot="0" spcFirstLastPara="1" vertOverflow="ellipsis" vert="horz" wrap="square" lIns="38100" tIns="19050" rIns="38100" bIns="19050" anchor="ctr" anchorCtr="1">
                  <a:noAutofit/>
                </a:bodyPr>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dLblPos val="bestFit"/>
              <c:showLegendKey val="0"/>
              <c:showVal val="1"/>
              <c:showCatName val="1"/>
              <c:showSerName val="0"/>
              <c:showPercent val="0"/>
              <c:showBubbleSize val="0"/>
              <c:separator> </c:separator>
              <c:extLst>
                <c:ext xmlns:c15="http://schemas.microsoft.com/office/drawing/2012/chart" uri="{CE6537A1-D6FC-4f65-9D91-7224C49458BB}">
                  <c15:layout>
                    <c:manualLayout>
                      <c:w val="0.22504636073033243"/>
                      <c:h val="0.10038592683245973"/>
                    </c:manualLayout>
                  </c15:layout>
                </c:ext>
                <c:ext xmlns:c16="http://schemas.microsoft.com/office/drawing/2014/chart" uri="{C3380CC4-5D6E-409C-BE32-E72D297353CC}">
                  <c16:uniqueId val="{00000007-BB80-4732-9D09-FF66B53A52D6}"/>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dLblPos val="ctr"/>
            <c:showLegendKey val="0"/>
            <c:showVal val="1"/>
            <c:showCatName val="1"/>
            <c:showSerName val="0"/>
            <c:showPercent val="0"/>
            <c:showBubbleSize val="0"/>
            <c:separator>
</c:separator>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'Figure 2 pie chart'!$A$2:$A$5</c:f>
              <c:strCache>
                <c:ptCount val="4"/>
                <c:pt idx="0">
                  <c:v>LTE</c:v>
                </c:pt>
                <c:pt idx="1">
                  <c:v>5G</c:v>
                </c:pt>
                <c:pt idx="2">
                  <c:v>LTE and 5G</c:v>
                </c:pt>
                <c:pt idx="3">
                  <c:v>GSM-R</c:v>
                </c:pt>
              </c:strCache>
            </c:strRef>
          </c:cat>
          <c:val>
            <c:numRef>
              <c:f>'Figure 2 pie chart'!$B$2:$B$5</c:f>
              <c:numCache>
                <c:formatCode>0%</c:formatCode>
                <c:ptCount val="4"/>
                <c:pt idx="0">
                  <c:v>0.54</c:v>
                </c:pt>
                <c:pt idx="1">
                  <c:v>0.24</c:v>
                </c:pt>
                <c:pt idx="2">
                  <c:v>0.2</c:v>
                </c:pt>
                <c:pt idx="3">
                  <c:v>0.02</c:v>
                </c:pt>
              </c:numCache>
            </c:numRef>
          </c:val>
          <c:extLst>
            <c:ext xmlns:c16="http://schemas.microsoft.com/office/drawing/2014/chart" uri="{C3380CC4-5D6E-409C-BE32-E72D297353CC}">
              <c16:uniqueId val="{00000008-BB80-4732-9D09-FF66B53A52D6}"/>
            </c:ext>
          </c:extLst>
        </c:ser>
        <c:dLbls>
          <c:dLblPos val="ctr"/>
          <c:showLegendKey val="0"/>
          <c:showVal val="1"/>
          <c:showCatName val="0"/>
          <c:showSerName val="0"/>
          <c:showPercent val="0"/>
          <c:showBubbleSize val="0"/>
          <c:showLeaderLines val="1"/>
        </c:dLbls>
        <c:firstSliceAng val="0"/>
      </c:pieChart>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3"/>
    </mc:Choice>
    <mc:Fallback>
      <c:style val="3"/>
    </mc:Fallback>
  </mc:AlternateContent>
  <c:chart>
    <c:autoTitleDeleted val="1"/>
    <c:plotArea>
      <c:layout>
        <c:manualLayout>
          <c:layoutTarget val="inner"/>
          <c:xMode val="edge"/>
          <c:yMode val="edge"/>
          <c:x val="8.2660088771723081E-2"/>
          <c:y val="3.7562700495771366E-2"/>
          <c:w val="0.81016152812770081"/>
          <c:h val="0.96243741992874854"/>
        </c:manualLayout>
      </c:layout>
      <c:pieChart>
        <c:varyColors val="1"/>
        <c:ser>
          <c:idx val="0"/>
          <c:order val="0"/>
          <c:spPr>
            <a:solidFill>
              <a:srgbClr val="39457C"/>
            </a:solidFill>
          </c:spPr>
          <c:dPt>
            <c:idx val="0"/>
            <c:bubble3D val="0"/>
            <c:spPr>
              <a:solidFill>
                <a:srgbClr val="39457C"/>
              </a:solidFill>
              <a:ln w="19050">
                <a:solidFill>
                  <a:schemeClr val="lt1"/>
                </a:solidFill>
              </a:ln>
              <a:effectLst/>
            </c:spPr>
            <c:extLst>
              <c:ext xmlns:c16="http://schemas.microsoft.com/office/drawing/2014/chart" uri="{C3380CC4-5D6E-409C-BE32-E72D297353CC}">
                <c16:uniqueId val="{00000001-5E03-4BBD-BC13-A71BAD47D165}"/>
              </c:ext>
            </c:extLst>
          </c:dPt>
          <c:dPt>
            <c:idx val="1"/>
            <c:bubble3D val="0"/>
            <c:spPr>
              <a:solidFill>
                <a:srgbClr val="39457C">
                  <a:alpha val="89804"/>
                </a:srgbClr>
              </a:solidFill>
              <a:ln w="19050">
                <a:solidFill>
                  <a:schemeClr val="lt1"/>
                </a:solidFill>
              </a:ln>
              <a:effectLst/>
            </c:spPr>
            <c:extLst>
              <c:ext xmlns:c16="http://schemas.microsoft.com/office/drawing/2014/chart" uri="{C3380CC4-5D6E-409C-BE32-E72D297353CC}">
                <c16:uniqueId val="{00000003-5E03-4BBD-BC13-A71BAD47D165}"/>
              </c:ext>
            </c:extLst>
          </c:dPt>
          <c:dPt>
            <c:idx val="2"/>
            <c:bubble3D val="0"/>
            <c:spPr>
              <a:solidFill>
                <a:srgbClr val="39457C">
                  <a:alpha val="80000"/>
                </a:srgbClr>
              </a:solidFill>
              <a:ln w="19050">
                <a:solidFill>
                  <a:schemeClr val="lt1"/>
                </a:solidFill>
              </a:ln>
              <a:effectLst/>
            </c:spPr>
            <c:extLst>
              <c:ext xmlns:c16="http://schemas.microsoft.com/office/drawing/2014/chart" uri="{C3380CC4-5D6E-409C-BE32-E72D297353CC}">
                <c16:uniqueId val="{00000005-5E03-4BBD-BC13-A71BAD47D165}"/>
              </c:ext>
            </c:extLst>
          </c:dPt>
          <c:dPt>
            <c:idx val="3"/>
            <c:bubble3D val="0"/>
            <c:spPr>
              <a:solidFill>
                <a:srgbClr val="39457C">
                  <a:alpha val="69804"/>
                </a:srgbClr>
              </a:solidFill>
              <a:ln w="19050">
                <a:solidFill>
                  <a:schemeClr val="lt1"/>
                </a:solidFill>
              </a:ln>
              <a:effectLst/>
            </c:spPr>
            <c:extLst>
              <c:ext xmlns:c16="http://schemas.microsoft.com/office/drawing/2014/chart" uri="{C3380CC4-5D6E-409C-BE32-E72D297353CC}">
                <c16:uniqueId val="{00000007-5E03-4BBD-BC13-A71BAD47D165}"/>
              </c:ext>
            </c:extLst>
          </c:dPt>
          <c:dPt>
            <c:idx val="4"/>
            <c:bubble3D val="0"/>
            <c:spPr>
              <a:solidFill>
                <a:srgbClr val="39457C">
                  <a:alpha val="60000"/>
                </a:srgbClr>
              </a:solidFill>
              <a:ln w="19050">
                <a:solidFill>
                  <a:schemeClr val="lt1"/>
                </a:solidFill>
              </a:ln>
              <a:effectLst/>
            </c:spPr>
            <c:extLst>
              <c:ext xmlns:c16="http://schemas.microsoft.com/office/drawing/2014/chart" uri="{C3380CC4-5D6E-409C-BE32-E72D297353CC}">
                <c16:uniqueId val="{00000009-5E03-4BBD-BC13-A71BAD47D165}"/>
              </c:ext>
            </c:extLst>
          </c:dPt>
          <c:dPt>
            <c:idx val="5"/>
            <c:bubble3D val="0"/>
            <c:spPr>
              <a:solidFill>
                <a:srgbClr val="39457C">
                  <a:alpha val="50196"/>
                </a:srgbClr>
              </a:solidFill>
              <a:ln w="19050">
                <a:solidFill>
                  <a:schemeClr val="lt1"/>
                </a:solidFill>
              </a:ln>
              <a:effectLst/>
            </c:spPr>
            <c:extLst>
              <c:ext xmlns:c16="http://schemas.microsoft.com/office/drawing/2014/chart" uri="{C3380CC4-5D6E-409C-BE32-E72D297353CC}">
                <c16:uniqueId val="{0000000B-5E03-4BBD-BC13-A71BAD47D165}"/>
              </c:ext>
            </c:extLst>
          </c:dPt>
          <c:dPt>
            <c:idx val="6"/>
            <c:bubble3D val="0"/>
            <c:spPr>
              <a:solidFill>
                <a:srgbClr val="39457C">
                  <a:alpha val="40000"/>
                </a:srgbClr>
              </a:solidFill>
              <a:ln w="19050">
                <a:solidFill>
                  <a:schemeClr val="lt1"/>
                </a:solidFill>
              </a:ln>
              <a:effectLst/>
            </c:spPr>
            <c:extLst>
              <c:ext xmlns:c16="http://schemas.microsoft.com/office/drawing/2014/chart" uri="{C3380CC4-5D6E-409C-BE32-E72D297353CC}">
                <c16:uniqueId val="{0000000D-5E03-4BBD-BC13-A71BAD47D165}"/>
              </c:ext>
            </c:extLst>
          </c:dPt>
          <c:dPt>
            <c:idx val="7"/>
            <c:bubble3D val="0"/>
            <c:spPr>
              <a:solidFill>
                <a:srgbClr val="39457C">
                  <a:alpha val="30196"/>
                </a:srgbClr>
              </a:solidFill>
              <a:ln w="19050">
                <a:solidFill>
                  <a:schemeClr val="lt1"/>
                </a:solidFill>
              </a:ln>
              <a:effectLst/>
            </c:spPr>
            <c:extLst>
              <c:ext xmlns:c16="http://schemas.microsoft.com/office/drawing/2014/chart" uri="{C3380CC4-5D6E-409C-BE32-E72D297353CC}">
                <c16:uniqueId val="{0000000F-5E03-4BBD-BC13-A71BAD47D165}"/>
              </c:ext>
            </c:extLst>
          </c:dPt>
          <c:dPt>
            <c:idx val="8"/>
            <c:bubble3D val="0"/>
            <c:spPr>
              <a:solidFill>
                <a:srgbClr val="39457C">
                  <a:alpha val="20000"/>
                </a:srgbClr>
              </a:solidFill>
              <a:ln w="19050">
                <a:solidFill>
                  <a:schemeClr val="lt1"/>
                </a:solidFill>
              </a:ln>
              <a:effectLst/>
            </c:spPr>
            <c:extLst>
              <c:ext xmlns:c16="http://schemas.microsoft.com/office/drawing/2014/chart" uri="{C3380CC4-5D6E-409C-BE32-E72D297353CC}">
                <c16:uniqueId val="{00000011-5E03-4BBD-BC13-A71BAD47D165}"/>
              </c:ext>
            </c:extLst>
          </c:dPt>
          <c:dPt>
            <c:idx val="9"/>
            <c:bubble3D val="0"/>
            <c:spPr>
              <a:solidFill>
                <a:srgbClr val="39457C">
                  <a:alpha val="10196"/>
                </a:srgbClr>
              </a:solidFill>
              <a:ln w="19050">
                <a:solidFill>
                  <a:schemeClr val="lt1"/>
                </a:solidFill>
              </a:ln>
              <a:effectLst/>
            </c:spPr>
            <c:extLst>
              <c:ext xmlns:c16="http://schemas.microsoft.com/office/drawing/2014/chart" uri="{C3380CC4-5D6E-409C-BE32-E72D297353CC}">
                <c16:uniqueId val="{00000013-5E03-4BBD-BC13-A71BAD47D165}"/>
              </c:ext>
            </c:extLst>
          </c:dPt>
          <c:dLbls>
            <c:dLbl>
              <c:idx val="0"/>
              <c:layout>
                <c:manualLayout>
                  <c:x val="-0.18425365433082908"/>
                  <c:y val="0.1319379420530595"/>
                </c:manualLayout>
              </c:layout>
              <c:tx>
                <c:rich>
                  <a:bodyPr rot="0" spcFirstLastPara="1" vertOverflow="clip" horzOverflow="clip" vert="horz" wrap="square" lIns="38100" tIns="19050" rIns="38100" bIns="19050" anchor="ctr" anchorCtr="1">
                    <a:spAutoFit/>
                  </a:bodyPr>
                  <a:lstStyle/>
                  <a:p>
                    <a:pPr>
                      <a:defRPr sz="900" b="0" i="0" u="none" strike="noStrike" kern="1200" baseline="0">
                        <a:solidFill>
                          <a:schemeClr val="dk1">
                            <a:lumMod val="65000"/>
                            <a:lumOff val="35000"/>
                          </a:schemeClr>
                        </a:solidFill>
                        <a:latin typeface="Arial" panose="020B0604020202020204" pitchFamily="34" charset="0"/>
                        <a:ea typeface="+mn-ea"/>
                        <a:cs typeface="Arial" panose="020B0604020202020204" pitchFamily="34" charset="0"/>
                      </a:defRPr>
                    </a:pPr>
                    <a:fld id="{230D7516-64BD-4C2F-95D6-421D33B87232}" type="CATEGORYNAME">
                      <a:rPr lang="en-US">
                        <a:solidFill>
                          <a:schemeClr val="bg1"/>
                        </a:solidFill>
                        <a:latin typeface="Arial" panose="020B0604020202020204" pitchFamily="34" charset="0"/>
                        <a:cs typeface="Arial" panose="020B0604020202020204" pitchFamily="34" charset="0"/>
                      </a:rPr>
                      <a:pPr>
                        <a:defRPr>
                          <a:latin typeface="Arial" panose="020B0604020202020204" pitchFamily="34" charset="0"/>
                          <a:cs typeface="Arial" panose="020B0604020202020204" pitchFamily="34" charset="0"/>
                        </a:defRPr>
                      </a:pPr>
                      <a:t>[CATEGORY NAME]</a:t>
                    </a:fld>
                    <a:r>
                      <a:rPr lang="en-US" baseline="0">
                        <a:solidFill>
                          <a:schemeClr val="bg1"/>
                        </a:solidFill>
                        <a:latin typeface="Arial" panose="020B0604020202020204" pitchFamily="34" charset="0"/>
                        <a:cs typeface="Arial" panose="020B0604020202020204" pitchFamily="34" charset="0"/>
                      </a:rPr>
                      <a:t>
</a:t>
                    </a:r>
                    <a:fld id="{844770EA-CDCE-4E35-ADF4-8A9FD4FC01B8}" type="PERCENTAGE">
                      <a:rPr lang="en-US" baseline="0">
                        <a:solidFill>
                          <a:schemeClr val="bg1"/>
                        </a:solidFill>
                        <a:latin typeface="Arial" panose="020B0604020202020204" pitchFamily="34" charset="0"/>
                        <a:cs typeface="Arial" panose="020B0604020202020204" pitchFamily="34" charset="0"/>
                      </a:rPr>
                      <a:pPr>
                        <a:defRPr>
                          <a:latin typeface="Arial" panose="020B0604020202020204" pitchFamily="34" charset="0"/>
                          <a:cs typeface="Arial" panose="020B0604020202020204" pitchFamily="34" charset="0"/>
                        </a:defRPr>
                      </a:pPr>
                      <a:t>[PERCENTAGE]</a:t>
                    </a:fld>
                    <a:endParaRPr lang="en-US" baseline="0">
                      <a:solidFill>
                        <a:schemeClr val="bg1"/>
                      </a:solidFill>
                      <a:latin typeface="Arial" panose="020B0604020202020204" pitchFamily="34" charset="0"/>
                      <a:cs typeface="Arial" panose="020B0604020202020204" pitchFamily="34" charset="0"/>
                    </a:endParaRPr>
                  </a:p>
                </c:rich>
              </c:tx>
              <c:spPr>
                <a:noFill/>
                <a:ln>
                  <a:noFill/>
                </a:ln>
                <a:effectLst/>
              </c:spPr>
              <c:txPr>
                <a:bodyPr rot="0" spcFirstLastPara="1" vertOverflow="clip" horzOverflow="clip" vert="horz" wrap="square" lIns="38100" tIns="19050" rIns="38100" bIns="19050" anchor="ctr" anchorCtr="1">
                  <a:spAutoFit/>
                </a:bodyPr>
                <a:lstStyle/>
                <a:p>
                  <a:pPr>
                    <a:defRPr sz="900" b="0" i="0" u="none" strike="noStrike" kern="1200" baseline="0">
                      <a:solidFill>
                        <a:schemeClr val="dk1">
                          <a:lumMod val="65000"/>
                          <a:lumOff val="35000"/>
                        </a:schemeClr>
                      </a:solidFill>
                      <a:latin typeface="Arial" panose="020B0604020202020204" pitchFamily="34" charset="0"/>
                      <a:ea typeface="+mn-ea"/>
                      <a:cs typeface="Arial" panose="020B0604020202020204" pitchFamily="34" charset="0"/>
                    </a:defRPr>
                  </a:pPr>
                  <a:endParaRPr lang="en-US"/>
                </a:p>
              </c:txPr>
              <c:dLblPos val="bestFit"/>
              <c:showLegendKey val="0"/>
              <c:showVal val="0"/>
              <c:showCatName val="1"/>
              <c:showSerName val="0"/>
              <c:showPercent val="1"/>
              <c:showBubbleSize val="0"/>
              <c:extLst>
                <c:ext xmlns:c15="http://schemas.microsoft.com/office/drawing/2012/chart" uri="{CE6537A1-D6FC-4f65-9D91-7224C49458BB}">
                  <c15:spPr xmlns:c15="http://schemas.microsoft.com/office/drawing/2012/chart">
                    <a:prstGeom prst="wedgeRectCallout">
                      <a:avLst/>
                    </a:prstGeom>
                    <a:noFill/>
                    <a:ln>
                      <a:noFill/>
                    </a:ln>
                  </c15:spPr>
                  <c15:dlblFieldTable/>
                  <c15:showDataLabelsRange val="0"/>
                </c:ext>
                <c:ext xmlns:c16="http://schemas.microsoft.com/office/drawing/2014/chart" uri="{C3380CC4-5D6E-409C-BE32-E72D297353CC}">
                  <c16:uniqueId val="{00000001-5E03-4BBD-BC13-A71BAD47D165}"/>
                </c:ext>
              </c:extLst>
            </c:dLbl>
            <c:dLbl>
              <c:idx val="1"/>
              <c:layout>
                <c:manualLayout>
                  <c:x val="-0.16643374158441238"/>
                  <c:y val="-9.8859961302715765E-2"/>
                </c:manualLayout>
              </c:layout>
              <c:tx>
                <c:rich>
                  <a:bodyPr rot="0" spcFirstLastPara="1" vertOverflow="clip" horzOverflow="clip" vert="horz" wrap="square" lIns="38100" tIns="19050" rIns="38100" bIns="19050" anchor="ctr" anchorCtr="1">
                    <a:spAutoFit/>
                  </a:bodyPr>
                  <a:lstStyle/>
                  <a:p>
                    <a:pPr>
                      <a:defRPr sz="900" b="0" i="0" u="none" strike="noStrike" kern="1200" baseline="0">
                        <a:solidFill>
                          <a:schemeClr val="dk1">
                            <a:lumMod val="65000"/>
                            <a:lumOff val="35000"/>
                          </a:schemeClr>
                        </a:solidFill>
                        <a:latin typeface="Arial" panose="020B0604020202020204" pitchFamily="34" charset="0"/>
                        <a:ea typeface="+mn-ea"/>
                        <a:cs typeface="Arial" panose="020B0604020202020204" pitchFamily="34" charset="0"/>
                      </a:defRPr>
                    </a:pPr>
                    <a:fld id="{EC5A5CE0-66FB-489E-98CB-6B350B336AF6}" type="CATEGORYNAME">
                      <a:rPr lang="en-US">
                        <a:solidFill>
                          <a:schemeClr val="bg1"/>
                        </a:solidFill>
                        <a:latin typeface="Arial" panose="020B0604020202020204" pitchFamily="34" charset="0"/>
                        <a:cs typeface="Arial" panose="020B0604020202020204" pitchFamily="34" charset="0"/>
                      </a:rPr>
                      <a:pPr>
                        <a:defRPr>
                          <a:latin typeface="Arial" panose="020B0604020202020204" pitchFamily="34" charset="0"/>
                          <a:cs typeface="Arial" panose="020B0604020202020204" pitchFamily="34" charset="0"/>
                        </a:defRPr>
                      </a:pPr>
                      <a:t>[CATEGORY NAME]</a:t>
                    </a:fld>
                    <a:r>
                      <a:rPr lang="en-US" baseline="0">
                        <a:solidFill>
                          <a:schemeClr val="bg1"/>
                        </a:solidFill>
                        <a:latin typeface="Arial" panose="020B0604020202020204" pitchFamily="34" charset="0"/>
                        <a:cs typeface="Arial" panose="020B0604020202020204" pitchFamily="34" charset="0"/>
                      </a:rPr>
                      <a:t>
</a:t>
                    </a:r>
                    <a:fld id="{341D79DF-21E3-4D9D-A6B6-42420C514954}" type="PERCENTAGE">
                      <a:rPr lang="en-US" baseline="0">
                        <a:solidFill>
                          <a:schemeClr val="bg1"/>
                        </a:solidFill>
                        <a:latin typeface="Arial" panose="020B0604020202020204" pitchFamily="34" charset="0"/>
                        <a:cs typeface="Arial" panose="020B0604020202020204" pitchFamily="34" charset="0"/>
                      </a:rPr>
                      <a:pPr>
                        <a:defRPr>
                          <a:latin typeface="Arial" panose="020B0604020202020204" pitchFamily="34" charset="0"/>
                          <a:cs typeface="Arial" panose="020B0604020202020204" pitchFamily="34" charset="0"/>
                        </a:defRPr>
                      </a:pPr>
                      <a:t>[PERCENTAGE]</a:t>
                    </a:fld>
                    <a:endParaRPr lang="en-US" baseline="0">
                      <a:solidFill>
                        <a:schemeClr val="bg1"/>
                      </a:solidFill>
                      <a:latin typeface="Arial" panose="020B0604020202020204" pitchFamily="34" charset="0"/>
                      <a:cs typeface="Arial" panose="020B0604020202020204" pitchFamily="34" charset="0"/>
                    </a:endParaRPr>
                  </a:p>
                </c:rich>
              </c:tx>
              <c:spPr>
                <a:noFill/>
                <a:ln>
                  <a:noFill/>
                </a:ln>
                <a:effectLst/>
              </c:spPr>
              <c:txPr>
                <a:bodyPr rot="0" spcFirstLastPara="1" vertOverflow="clip" horzOverflow="clip" vert="horz" wrap="square" lIns="38100" tIns="19050" rIns="38100" bIns="19050" anchor="ctr" anchorCtr="1">
                  <a:spAutoFit/>
                </a:bodyPr>
                <a:lstStyle/>
                <a:p>
                  <a:pPr>
                    <a:defRPr sz="900" b="0" i="0" u="none" strike="noStrike" kern="1200" baseline="0">
                      <a:solidFill>
                        <a:schemeClr val="dk1">
                          <a:lumMod val="65000"/>
                          <a:lumOff val="35000"/>
                        </a:schemeClr>
                      </a:solidFill>
                      <a:latin typeface="Arial" panose="020B0604020202020204" pitchFamily="34" charset="0"/>
                      <a:ea typeface="+mn-ea"/>
                      <a:cs typeface="Arial" panose="020B0604020202020204" pitchFamily="34" charset="0"/>
                    </a:defRPr>
                  </a:pPr>
                  <a:endParaRPr lang="en-US"/>
                </a:p>
              </c:txPr>
              <c:dLblPos val="bestFit"/>
              <c:showLegendKey val="0"/>
              <c:showVal val="0"/>
              <c:showCatName val="1"/>
              <c:showSerName val="0"/>
              <c:showPercent val="1"/>
              <c:showBubbleSize val="0"/>
              <c:extLst>
                <c:ext xmlns:c15="http://schemas.microsoft.com/office/drawing/2012/chart" uri="{CE6537A1-D6FC-4f65-9D91-7224C49458BB}">
                  <c15:spPr xmlns:c15="http://schemas.microsoft.com/office/drawing/2012/chart">
                    <a:prstGeom prst="wedgeRectCallout">
                      <a:avLst/>
                    </a:prstGeom>
                    <a:noFill/>
                    <a:ln>
                      <a:noFill/>
                    </a:ln>
                  </c15:spPr>
                  <c15:dlblFieldTable/>
                  <c15:showDataLabelsRange val="0"/>
                </c:ext>
                <c:ext xmlns:c16="http://schemas.microsoft.com/office/drawing/2014/chart" uri="{C3380CC4-5D6E-409C-BE32-E72D297353CC}">
                  <c16:uniqueId val="{00000003-5E03-4BBD-BC13-A71BAD47D165}"/>
                </c:ext>
              </c:extLst>
            </c:dLbl>
            <c:dLbl>
              <c:idx val="2"/>
              <c:layout>
                <c:manualLayout>
                  <c:x val="-0.10103642229000322"/>
                  <c:y val="-7.3536285277245608E-2"/>
                </c:manualLayout>
              </c:layout>
              <c:tx>
                <c:rich>
                  <a:bodyPr rot="0" spcFirstLastPara="1" vertOverflow="clip" horzOverflow="clip" vert="horz" wrap="square" lIns="38100" tIns="19050" rIns="38100" bIns="19050" anchor="ctr" anchorCtr="1">
                    <a:noAutofit/>
                  </a:bodyPr>
                  <a:lstStyle/>
                  <a:p>
                    <a:pPr>
                      <a:defRPr sz="900" b="0" i="0" u="none" strike="noStrike" kern="1200" baseline="0">
                        <a:solidFill>
                          <a:schemeClr val="dk1">
                            <a:lumMod val="65000"/>
                            <a:lumOff val="35000"/>
                          </a:schemeClr>
                        </a:solidFill>
                        <a:latin typeface="Arial" panose="020B0604020202020204" pitchFamily="34" charset="0"/>
                        <a:ea typeface="+mn-ea"/>
                        <a:cs typeface="Arial" panose="020B0604020202020204" pitchFamily="34" charset="0"/>
                      </a:defRPr>
                    </a:pPr>
                    <a:fld id="{2A11C093-EFF5-448A-A62C-8F690E768EF1}" type="CATEGORYNAME">
                      <a:rPr lang="en-US">
                        <a:solidFill>
                          <a:schemeClr val="bg1"/>
                        </a:solidFill>
                        <a:latin typeface="Arial" panose="020B0604020202020204" pitchFamily="34" charset="0"/>
                        <a:cs typeface="Arial" panose="020B0604020202020204" pitchFamily="34" charset="0"/>
                      </a:rPr>
                      <a:pPr>
                        <a:defRPr>
                          <a:latin typeface="Arial" panose="020B0604020202020204" pitchFamily="34" charset="0"/>
                          <a:cs typeface="Arial" panose="020B0604020202020204" pitchFamily="34" charset="0"/>
                        </a:defRPr>
                      </a:pPr>
                      <a:t>[CATEGORY NAME]</a:t>
                    </a:fld>
                    <a:r>
                      <a:rPr lang="en-US" baseline="0">
                        <a:solidFill>
                          <a:schemeClr val="bg1"/>
                        </a:solidFill>
                        <a:latin typeface="Arial" panose="020B0604020202020204" pitchFamily="34" charset="0"/>
                        <a:cs typeface="Arial" panose="020B0604020202020204" pitchFamily="34" charset="0"/>
                      </a:rPr>
                      <a:t>
</a:t>
                    </a:r>
                    <a:fld id="{0D6406AD-670D-4604-B0A6-18CE5881CA4D}" type="PERCENTAGE">
                      <a:rPr lang="en-US" baseline="0">
                        <a:solidFill>
                          <a:schemeClr val="bg1"/>
                        </a:solidFill>
                        <a:latin typeface="Arial" panose="020B0604020202020204" pitchFamily="34" charset="0"/>
                        <a:cs typeface="Arial" panose="020B0604020202020204" pitchFamily="34" charset="0"/>
                      </a:rPr>
                      <a:pPr>
                        <a:defRPr>
                          <a:latin typeface="Arial" panose="020B0604020202020204" pitchFamily="34" charset="0"/>
                          <a:cs typeface="Arial" panose="020B0604020202020204" pitchFamily="34" charset="0"/>
                        </a:defRPr>
                      </a:pPr>
                      <a:t>[PERCENTAGE]</a:t>
                    </a:fld>
                    <a:endParaRPr lang="en-US" baseline="0">
                      <a:solidFill>
                        <a:schemeClr val="bg1"/>
                      </a:solidFill>
                      <a:latin typeface="Arial" panose="020B0604020202020204" pitchFamily="34" charset="0"/>
                      <a:cs typeface="Arial" panose="020B0604020202020204" pitchFamily="34" charset="0"/>
                    </a:endParaRPr>
                  </a:p>
                </c:rich>
              </c:tx>
              <c:spPr>
                <a:noFill/>
                <a:ln>
                  <a:noFill/>
                </a:ln>
                <a:effectLst/>
              </c:spPr>
              <c:txPr>
                <a:bodyPr rot="0" spcFirstLastPara="1" vertOverflow="clip" horzOverflow="clip" vert="horz" wrap="square" lIns="38100" tIns="19050" rIns="38100" bIns="19050" anchor="ctr" anchorCtr="1">
                  <a:noAutofit/>
                </a:bodyPr>
                <a:lstStyle/>
                <a:p>
                  <a:pPr>
                    <a:defRPr sz="900" b="0" i="0" u="none" strike="noStrike" kern="1200" baseline="0">
                      <a:solidFill>
                        <a:schemeClr val="dk1">
                          <a:lumMod val="65000"/>
                          <a:lumOff val="35000"/>
                        </a:schemeClr>
                      </a:solidFill>
                      <a:latin typeface="Arial" panose="020B0604020202020204" pitchFamily="34" charset="0"/>
                      <a:ea typeface="+mn-ea"/>
                      <a:cs typeface="Arial" panose="020B0604020202020204" pitchFamily="34" charset="0"/>
                    </a:defRPr>
                  </a:pPr>
                  <a:endParaRPr lang="en-US"/>
                </a:p>
              </c:txPr>
              <c:dLblPos val="bestFit"/>
              <c:showLegendKey val="0"/>
              <c:showVal val="0"/>
              <c:showCatName val="1"/>
              <c:showSerName val="0"/>
              <c:showPercent val="1"/>
              <c:showBubbleSize val="0"/>
              <c:extLst>
                <c:ext xmlns:c15="http://schemas.microsoft.com/office/drawing/2012/chart" uri="{CE6537A1-D6FC-4f65-9D91-7224C49458BB}">
                  <c15:spPr xmlns:c15="http://schemas.microsoft.com/office/drawing/2012/chart">
                    <a:prstGeom prst="wedgeRectCallout">
                      <a:avLst/>
                    </a:prstGeom>
                    <a:noFill/>
                    <a:ln>
                      <a:noFill/>
                    </a:ln>
                  </c15:spPr>
                  <c15:layout>
                    <c:manualLayout>
                      <c:w val="0.12552820038271928"/>
                      <c:h val="0.135249343832021"/>
                    </c:manualLayout>
                  </c15:layout>
                  <c15:dlblFieldTable/>
                  <c15:showDataLabelsRange val="0"/>
                </c:ext>
                <c:ext xmlns:c16="http://schemas.microsoft.com/office/drawing/2014/chart" uri="{C3380CC4-5D6E-409C-BE32-E72D297353CC}">
                  <c16:uniqueId val="{00000005-5E03-4BBD-BC13-A71BAD47D165}"/>
                </c:ext>
              </c:extLst>
            </c:dLbl>
            <c:dLbl>
              <c:idx val="3"/>
              <c:layout>
                <c:manualLayout>
                  <c:x val="0.11755439501091573"/>
                  <c:y val="-4.1808842839842424E-2"/>
                </c:manualLayout>
              </c:layout>
              <c:tx>
                <c:rich>
                  <a:bodyPr rot="0" spcFirstLastPara="1" vertOverflow="clip" horzOverflow="clip" vert="horz" wrap="square" lIns="38100" tIns="19050" rIns="38100" bIns="19050" anchor="ctr" anchorCtr="1">
                    <a:spAutoFit/>
                  </a:bodyPr>
                  <a:lstStyle/>
                  <a:p>
                    <a:pPr>
                      <a:defRPr sz="900" b="0" i="0" u="none" strike="noStrike" kern="1200" baseline="0">
                        <a:solidFill>
                          <a:schemeClr val="dk1">
                            <a:lumMod val="65000"/>
                            <a:lumOff val="35000"/>
                          </a:schemeClr>
                        </a:solidFill>
                        <a:latin typeface="Arial" panose="020B0604020202020204" pitchFamily="34" charset="0"/>
                        <a:ea typeface="+mn-ea"/>
                        <a:cs typeface="Arial" panose="020B0604020202020204" pitchFamily="34" charset="0"/>
                      </a:defRPr>
                    </a:pPr>
                    <a:fld id="{DF50087F-3B47-4A07-B593-F318FE3A0D8D}" type="CATEGORYNAME">
                      <a:rPr lang="en-US">
                        <a:solidFill>
                          <a:schemeClr val="bg1"/>
                        </a:solidFill>
                        <a:latin typeface="Arial" panose="020B0604020202020204" pitchFamily="34" charset="0"/>
                        <a:cs typeface="Arial" panose="020B0604020202020204" pitchFamily="34" charset="0"/>
                      </a:rPr>
                      <a:pPr>
                        <a:defRPr>
                          <a:latin typeface="Arial" panose="020B0604020202020204" pitchFamily="34" charset="0"/>
                          <a:cs typeface="Arial" panose="020B0604020202020204" pitchFamily="34" charset="0"/>
                        </a:defRPr>
                      </a:pPr>
                      <a:t>[CATEGORY NAME]</a:t>
                    </a:fld>
                    <a:r>
                      <a:rPr lang="en-US" baseline="0">
                        <a:solidFill>
                          <a:schemeClr val="bg1"/>
                        </a:solidFill>
                        <a:latin typeface="Arial" panose="020B0604020202020204" pitchFamily="34" charset="0"/>
                        <a:cs typeface="Arial" panose="020B0604020202020204" pitchFamily="34" charset="0"/>
                      </a:rPr>
                      <a:t>
</a:t>
                    </a:r>
                    <a:fld id="{2E56F848-122A-4CEB-91D1-107320DDBBF8}" type="PERCENTAGE">
                      <a:rPr lang="en-US" baseline="0">
                        <a:solidFill>
                          <a:schemeClr val="bg1"/>
                        </a:solidFill>
                        <a:latin typeface="Arial" panose="020B0604020202020204" pitchFamily="34" charset="0"/>
                        <a:cs typeface="Arial" panose="020B0604020202020204" pitchFamily="34" charset="0"/>
                      </a:rPr>
                      <a:pPr>
                        <a:defRPr>
                          <a:latin typeface="Arial" panose="020B0604020202020204" pitchFamily="34" charset="0"/>
                          <a:cs typeface="Arial" panose="020B0604020202020204" pitchFamily="34" charset="0"/>
                        </a:defRPr>
                      </a:pPr>
                      <a:t>[PERCENTAGE]</a:t>
                    </a:fld>
                    <a:endParaRPr lang="en-US" baseline="0">
                      <a:solidFill>
                        <a:schemeClr val="bg1"/>
                      </a:solidFill>
                      <a:latin typeface="Arial" panose="020B0604020202020204" pitchFamily="34" charset="0"/>
                      <a:cs typeface="Arial" panose="020B0604020202020204" pitchFamily="34" charset="0"/>
                    </a:endParaRPr>
                  </a:p>
                </c:rich>
              </c:tx>
              <c:spPr>
                <a:noFill/>
                <a:ln w="9525" cap="flat" cmpd="sng" algn="ctr">
                  <a:no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ffectLst/>
              </c:spPr>
              <c:txPr>
                <a:bodyPr rot="0" spcFirstLastPara="1" vertOverflow="clip" horzOverflow="clip" vert="horz" wrap="square" lIns="38100" tIns="19050" rIns="38100" bIns="19050" anchor="ctr" anchorCtr="1">
                  <a:spAutoFit/>
                </a:bodyPr>
                <a:lstStyle/>
                <a:p>
                  <a:pPr>
                    <a:defRPr sz="900" b="0" i="0" u="none" strike="noStrike" kern="1200" baseline="0">
                      <a:solidFill>
                        <a:schemeClr val="dk1">
                          <a:lumMod val="65000"/>
                          <a:lumOff val="35000"/>
                        </a:schemeClr>
                      </a:solidFill>
                      <a:latin typeface="Arial" panose="020B0604020202020204" pitchFamily="34" charset="0"/>
                      <a:ea typeface="+mn-ea"/>
                      <a:cs typeface="Arial" panose="020B0604020202020204" pitchFamily="34" charset="0"/>
                    </a:defRPr>
                  </a:pPr>
                  <a:endParaRPr lang="en-US"/>
                </a:p>
              </c:txPr>
              <c:dLblPos val="bestFit"/>
              <c:showLegendKey val="0"/>
              <c:showVal val="0"/>
              <c:showCatName val="1"/>
              <c:showSerName val="0"/>
              <c:showPercent val="1"/>
              <c:showBubbleSize val="0"/>
              <c:extLst>
                <c:ext xmlns:c15="http://schemas.microsoft.com/office/drawing/2012/chart" uri="{CE6537A1-D6FC-4f65-9D91-7224C49458BB}">
                  <c15:spPr xmlns:c15="http://schemas.microsoft.com/office/drawing/2012/chart">
                    <a:prstGeom prst="wedgeRectCallout">
                      <a:avLst>
                        <a:gd name="adj1" fmla="val 29118"/>
                        <a:gd name="adj2" fmla="val -107279"/>
                      </a:avLst>
                    </a:prstGeom>
                    <a:noFill/>
                    <a:ln>
                      <a:noFill/>
                    </a:ln>
                  </c15:spPr>
                  <c15:dlblFieldTable/>
                  <c15:showDataLabelsRange val="0"/>
                </c:ext>
                <c:ext xmlns:c16="http://schemas.microsoft.com/office/drawing/2014/chart" uri="{C3380CC4-5D6E-409C-BE32-E72D297353CC}">
                  <c16:uniqueId val="{00000007-5E03-4BBD-BC13-A71BAD47D165}"/>
                </c:ext>
              </c:extLst>
            </c:dLbl>
            <c:dLbl>
              <c:idx val="4"/>
              <c:layout>
                <c:manualLayout>
                  <c:x val="0.16445855454793948"/>
                  <c:y val="-0.15266867422361832"/>
                </c:manualLayout>
              </c:layout>
              <c:tx>
                <c:rich>
                  <a:bodyPr rot="0" spcFirstLastPara="1" vertOverflow="clip" horzOverflow="clip" vert="horz" wrap="square" lIns="38100" tIns="19050" rIns="38100" bIns="19050" anchor="ctr" anchorCtr="1">
                    <a:spAutoFit/>
                  </a:bodyPr>
                  <a:lstStyle/>
                  <a:p>
                    <a:pPr>
                      <a:defRPr sz="900" b="0" i="0" u="none" strike="noStrike" kern="1200" baseline="0">
                        <a:solidFill>
                          <a:schemeClr val="dk1">
                            <a:lumMod val="65000"/>
                            <a:lumOff val="35000"/>
                          </a:schemeClr>
                        </a:solidFill>
                        <a:latin typeface="Arial" panose="020B0604020202020204" pitchFamily="34" charset="0"/>
                        <a:ea typeface="+mn-ea"/>
                        <a:cs typeface="Arial" panose="020B0604020202020204" pitchFamily="34" charset="0"/>
                      </a:defRPr>
                    </a:pPr>
                    <a:fld id="{B296DB2B-9A47-4AC1-BA00-E8A451ABF1AA}" type="CATEGORYNAME">
                      <a:rPr lang="en-US">
                        <a:solidFill>
                          <a:schemeClr val="bg1"/>
                        </a:solidFill>
                        <a:latin typeface="Arial" panose="020B0604020202020204" pitchFamily="34" charset="0"/>
                        <a:cs typeface="Arial" panose="020B0604020202020204" pitchFamily="34" charset="0"/>
                      </a:rPr>
                      <a:pPr>
                        <a:defRPr>
                          <a:latin typeface="Arial" panose="020B0604020202020204" pitchFamily="34" charset="0"/>
                          <a:cs typeface="Arial" panose="020B0604020202020204" pitchFamily="34" charset="0"/>
                        </a:defRPr>
                      </a:pPr>
                      <a:t>[CATEGORY NAME]</a:t>
                    </a:fld>
                    <a:r>
                      <a:rPr lang="en-US" baseline="0">
                        <a:solidFill>
                          <a:schemeClr val="bg1"/>
                        </a:solidFill>
                        <a:latin typeface="Arial" panose="020B0604020202020204" pitchFamily="34" charset="0"/>
                        <a:cs typeface="Arial" panose="020B0604020202020204" pitchFamily="34" charset="0"/>
                      </a:rPr>
                      <a:t>
</a:t>
                    </a:r>
                    <a:fld id="{8F411469-1B93-4481-AC9F-B5AC1E28C2F3}" type="PERCENTAGE">
                      <a:rPr lang="en-US" baseline="0">
                        <a:solidFill>
                          <a:schemeClr val="bg1"/>
                        </a:solidFill>
                        <a:latin typeface="Arial" panose="020B0604020202020204" pitchFamily="34" charset="0"/>
                        <a:cs typeface="Arial" panose="020B0604020202020204" pitchFamily="34" charset="0"/>
                      </a:rPr>
                      <a:pPr>
                        <a:defRPr>
                          <a:latin typeface="Arial" panose="020B0604020202020204" pitchFamily="34" charset="0"/>
                          <a:cs typeface="Arial" panose="020B0604020202020204" pitchFamily="34" charset="0"/>
                        </a:defRPr>
                      </a:pPr>
                      <a:t>[PERCENTAGE]</a:t>
                    </a:fld>
                    <a:endParaRPr lang="en-US" baseline="0">
                      <a:solidFill>
                        <a:schemeClr val="bg1"/>
                      </a:solidFill>
                      <a:latin typeface="Arial" panose="020B0604020202020204" pitchFamily="34" charset="0"/>
                      <a:cs typeface="Arial" panose="020B0604020202020204" pitchFamily="34" charset="0"/>
                    </a:endParaRPr>
                  </a:p>
                </c:rich>
              </c:tx>
              <c:spPr>
                <a:xfrm>
                  <a:off x="1957878" y="2095383"/>
                  <a:ext cx="771733" cy="543425"/>
                </a:xfrm>
                <a:noFill/>
                <a:ln w="9525" cap="flat" cmpd="sng" algn="ctr">
                  <a:no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ffectLst/>
              </c:spPr>
              <c:txPr>
                <a:bodyPr rot="0" spcFirstLastPara="1" vertOverflow="clip" horzOverflow="clip" vert="horz" wrap="square" lIns="38100" tIns="19050" rIns="38100" bIns="19050" anchor="ctr" anchorCtr="1">
                  <a:spAutoFit/>
                </a:bodyPr>
                <a:lstStyle/>
                <a:p>
                  <a:pPr>
                    <a:defRPr sz="900" b="0" i="0" u="none" strike="noStrike" kern="1200" baseline="0">
                      <a:solidFill>
                        <a:schemeClr val="dk1">
                          <a:lumMod val="65000"/>
                          <a:lumOff val="35000"/>
                        </a:schemeClr>
                      </a:solidFill>
                      <a:latin typeface="Arial" panose="020B0604020202020204" pitchFamily="34" charset="0"/>
                      <a:ea typeface="+mn-ea"/>
                      <a:cs typeface="Arial" panose="020B0604020202020204" pitchFamily="34" charset="0"/>
                    </a:defRPr>
                  </a:pPr>
                  <a:endParaRPr lang="en-US"/>
                </a:p>
              </c:txPr>
              <c:dLblPos val="bestFit"/>
              <c:showLegendKey val="0"/>
              <c:showVal val="0"/>
              <c:showCatName val="1"/>
              <c:showSerName val="0"/>
              <c:showPercent val="1"/>
              <c:showBubbleSize val="0"/>
              <c:extLst>
                <c:ext xmlns:c15="http://schemas.microsoft.com/office/drawing/2012/chart" uri="{CE6537A1-D6FC-4f65-9D91-7224C49458BB}">
                  <c15:spPr xmlns:c15="http://schemas.microsoft.com/office/drawing/2012/chart">
                    <a:prstGeom prst="wedgeRectCallout">
                      <a:avLst>
                        <a:gd name="adj1" fmla="val 67039"/>
                        <a:gd name="adj2" fmla="val -75264"/>
                      </a:avLst>
                    </a:prstGeom>
                    <a:noFill/>
                    <a:ln>
                      <a:noFill/>
                    </a:ln>
                  </c15:spPr>
                  <c15:layout>
                    <c:manualLayout>
                      <c:w val="0.15667227999329325"/>
                      <c:h val="0.16808398950131237"/>
                    </c:manualLayout>
                  </c15:layout>
                  <c15:dlblFieldTable/>
                  <c15:showDataLabelsRange val="0"/>
                </c:ext>
                <c:ext xmlns:c16="http://schemas.microsoft.com/office/drawing/2014/chart" uri="{C3380CC4-5D6E-409C-BE32-E72D297353CC}">
                  <c16:uniqueId val="{00000009-5E03-4BBD-BC13-A71BAD47D165}"/>
                </c:ext>
              </c:extLst>
            </c:dLbl>
            <c:dLbl>
              <c:idx val="5"/>
              <c:layout>
                <c:manualLayout>
                  <c:x val="0.13926904954283986"/>
                  <c:y val="-4.1748214001240486E-2"/>
                </c:manualLayout>
              </c:layout>
              <c:tx>
                <c:rich>
                  <a:bodyPr rot="0" spcFirstLastPara="1" vertOverflow="clip" horzOverflow="clip" vert="horz" wrap="square" lIns="38100" tIns="19050" rIns="38100" bIns="19050" anchor="ctr" anchorCtr="1">
                    <a:spAutoFit/>
                  </a:bodyPr>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fld id="{6BA89BAA-D95D-40B1-9412-BC4A663E2343}" type="CATEGORYNAME">
                      <a:rPr lang="en-US">
                        <a:solidFill>
                          <a:schemeClr val="tx1"/>
                        </a:solidFill>
                        <a:latin typeface="Arial" panose="020B0604020202020204" pitchFamily="34" charset="0"/>
                        <a:cs typeface="Arial" panose="020B0604020202020204" pitchFamily="34" charset="0"/>
                      </a:rPr>
                      <a:pPr>
                        <a:defRPr>
                          <a:solidFill>
                            <a:schemeClr val="tx1"/>
                          </a:solidFill>
                          <a:latin typeface="Arial" panose="020B0604020202020204" pitchFamily="34" charset="0"/>
                          <a:cs typeface="Arial" panose="020B0604020202020204" pitchFamily="34" charset="0"/>
                        </a:defRPr>
                      </a:pPr>
                      <a:t>[CATEGORY NAME]</a:t>
                    </a:fld>
                    <a:r>
                      <a:rPr lang="en-US" baseline="0">
                        <a:solidFill>
                          <a:schemeClr val="tx1"/>
                        </a:solidFill>
                        <a:latin typeface="Arial" panose="020B0604020202020204" pitchFamily="34" charset="0"/>
                        <a:cs typeface="Arial" panose="020B0604020202020204" pitchFamily="34" charset="0"/>
                      </a:rPr>
                      <a:t>
</a:t>
                    </a:r>
                    <a:fld id="{915EF984-0B68-4CDD-9C38-540A3306B09B}" type="PERCENTAGE">
                      <a:rPr lang="en-US" baseline="0">
                        <a:solidFill>
                          <a:schemeClr val="tx1"/>
                        </a:solidFill>
                        <a:latin typeface="Arial" panose="020B0604020202020204" pitchFamily="34" charset="0"/>
                        <a:cs typeface="Arial" panose="020B0604020202020204" pitchFamily="34" charset="0"/>
                      </a:rPr>
                      <a:pPr>
                        <a:defRPr>
                          <a:solidFill>
                            <a:schemeClr val="tx1"/>
                          </a:solidFill>
                          <a:latin typeface="Arial" panose="020B0604020202020204" pitchFamily="34" charset="0"/>
                          <a:cs typeface="Arial" panose="020B0604020202020204" pitchFamily="34" charset="0"/>
                        </a:defRPr>
                      </a:pPr>
                      <a:t>[PERCENTAGE]</a:t>
                    </a:fld>
                    <a:endParaRPr lang="en-US" baseline="0">
                      <a:solidFill>
                        <a:schemeClr val="tx1"/>
                      </a:solidFill>
                      <a:latin typeface="Arial" panose="020B0604020202020204" pitchFamily="34" charset="0"/>
                      <a:cs typeface="Arial" panose="020B0604020202020204" pitchFamily="34" charset="0"/>
                    </a:endParaRPr>
                  </a:p>
                </c:rich>
              </c:tx>
              <c:spPr>
                <a:noFill/>
                <a:ln>
                  <a:noFill/>
                </a:ln>
                <a:effectLst/>
              </c:spPr>
              <c:txPr>
                <a:bodyPr rot="0" spcFirstLastPara="1" vertOverflow="clip" horzOverflow="clip" vert="horz" wrap="square" lIns="38100" tIns="19050" rIns="38100" bIns="19050" anchor="ctr" anchorCtr="1">
                  <a:spAutoFit/>
                </a:bodyPr>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dLblPos val="bestFit"/>
              <c:showLegendKey val="0"/>
              <c:showVal val="0"/>
              <c:showCatName val="1"/>
              <c:showSerName val="0"/>
              <c:showPercent val="1"/>
              <c:showBubbleSize val="0"/>
              <c:extLst>
                <c:ext xmlns:c15="http://schemas.microsoft.com/office/drawing/2012/chart" uri="{CE6537A1-D6FC-4f65-9D91-7224C49458BB}">
                  <c15:spPr xmlns:c15="http://schemas.microsoft.com/office/drawing/2012/chart">
                    <a:prstGeom prst="wedgeRectCallout">
                      <a:avLst/>
                    </a:prstGeom>
                    <a:noFill/>
                    <a:ln>
                      <a:noFill/>
                    </a:ln>
                  </c15:spPr>
                  <c15:dlblFieldTable/>
                  <c15:showDataLabelsRange val="0"/>
                </c:ext>
                <c:ext xmlns:c16="http://schemas.microsoft.com/office/drawing/2014/chart" uri="{C3380CC4-5D6E-409C-BE32-E72D297353CC}">
                  <c16:uniqueId val="{0000000B-5E03-4BBD-BC13-A71BAD47D165}"/>
                </c:ext>
              </c:extLst>
            </c:dLbl>
            <c:dLbl>
              <c:idx val="6"/>
              <c:layout>
                <c:manualLayout>
                  <c:x val="0.10901977595360604"/>
                  <c:y val="3.2443233929877802E-2"/>
                </c:manualLayout>
              </c:layout>
              <c:tx>
                <c:rich>
                  <a:bodyPr rot="0" spcFirstLastPara="1" vertOverflow="clip" horzOverflow="clip" vert="horz" wrap="square" lIns="38100" tIns="19050" rIns="38100" bIns="19050" anchor="ctr" anchorCtr="1">
                    <a:spAutoFit/>
                  </a:bodyPr>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fld id="{D6C6AF95-C262-446F-B6E0-BA906FA23C9D}" type="CATEGORYNAME">
                      <a:rPr lang="en-US">
                        <a:solidFill>
                          <a:schemeClr val="tx1"/>
                        </a:solidFill>
                        <a:latin typeface="Arial" panose="020B0604020202020204" pitchFamily="34" charset="0"/>
                        <a:cs typeface="Arial" panose="020B0604020202020204" pitchFamily="34" charset="0"/>
                      </a:rPr>
                      <a:pPr>
                        <a:defRPr>
                          <a:solidFill>
                            <a:schemeClr val="tx1"/>
                          </a:solidFill>
                          <a:latin typeface="Arial" panose="020B0604020202020204" pitchFamily="34" charset="0"/>
                          <a:cs typeface="Arial" panose="020B0604020202020204" pitchFamily="34" charset="0"/>
                        </a:defRPr>
                      </a:pPr>
                      <a:t>[CATEGORY NAME]</a:t>
                    </a:fld>
                    <a:r>
                      <a:rPr lang="en-US" baseline="0">
                        <a:solidFill>
                          <a:schemeClr val="tx1"/>
                        </a:solidFill>
                        <a:latin typeface="Arial" panose="020B0604020202020204" pitchFamily="34" charset="0"/>
                        <a:cs typeface="Arial" panose="020B0604020202020204" pitchFamily="34" charset="0"/>
                      </a:rPr>
                      <a:t>
</a:t>
                    </a:r>
                    <a:fld id="{E93DEA0F-56EF-40C6-AE33-A52E7D8151A1}" type="PERCENTAGE">
                      <a:rPr lang="en-US" baseline="0">
                        <a:solidFill>
                          <a:schemeClr val="tx1"/>
                        </a:solidFill>
                        <a:latin typeface="Arial" panose="020B0604020202020204" pitchFamily="34" charset="0"/>
                        <a:cs typeface="Arial" panose="020B0604020202020204" pitchFamily="34" charset="0"/>
                      </a:rPr>
                      <a:pPr>
                        <a:defRPr>
                          <a:solidFill>
                            <a:schemeClr val="tx1"/>
                          </a:solidFill>
                          <a:latin typeface="Arial" panose="020B0604020202020204" pitchFamily="34" charset="0"/>
                          <a:cs typeface="Arial" panose="020B0604020202020204" pitchFamily="34" charset="0"/>
                        </a:defRPr>
                      </a:pPr>
                      <a:t>[PERCENTAGE]</a:t>
                    </a:fld>
                    <a:endParaRPr lang="en-US" baseline="0">
                      <a:solidFill>
                        <a:schemeClr val="tx1"/>
                      </a:solidFill>
                      <a:latin typeface="Arial" panose="020B0604020202020204" pitchFamily="34" charset="0"/>
                      <a:cs typeface="Arial" panose="020B0604020202020204" pitchFamily="34" charset="0"/>
                    </a:endParaRPr>
                  </a:p>
                </c:rich>
              </c:tx>
              <c:spPr>
                <a:noFill/>
                <a:ln>
                  <a:noFill/>
                </a:ln>
                <a:effectLst/>
              </c:spPr>
              <c:txPr>
                <a:bodyPr rot="0" spcFirstLastPara="1" vertOverflow="clip" horzOverflow="clip" vert="horz" wrap="square" lIns="38100" tIns="19050" rIns="38100" bIns="19050" anchor="ctr" anchorCtr="1">
                  <a:spAutoFit/>
                </a:bodyPr>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dLblPos val="bestFit"/>
              <c:showLegendKey val="0"/>
              <c:showVal val="0"/>
              <c:showCatName val="1"/>
              <c:showSerName val="0"/>
              <c:showPercent val="1"/>
              <c:showBubbleSize val="0"/>
              <c:extLst>
                <c:ext xmlns:c15="http://schemas.microsoft.com/office/drawing/2012/chart" uri="{CE6537A1-D6FC-4f65-9D91-7224C49458BB}">
                  <c15:spPr xmlns:c15="http://schemas.microsoft.com/office/drawing/2012/chart">
                    <a:prstGeom prst="wedgeRectCallout">
                      <a:avLst/>
                    </a:prstGeom>
                    <a:noFill/>
                    <a:ln>
                      <a:noFill/>
                    </a:ln>
                  </c15:spPr>
                  <c15:dlblFieldTable/>
                  <c15:showDataLabelsRange val="0"/>
                </c:ext>
                <c:ext xmlns:c16="http://schemas.microsoft.com/office/drawing/2014/chart" uri="{C3380CC4-5D6E-409C-BE32-E72D297353CC}">
                  <c16:uniqueId val="{0000000D-5E03-4BBD-BC13-A71BAD47D165}"/>
                </c:ext>
              </c:extLst>
            </c:dLbl>
            <c:dLbl>
              <c:idx val="7"/>
              <c:layout>
                <c:manualLayout>
                  <c:x val="0.12918057975586816"/>
                  <c:y val="0.10946041880298257"/>
                </c:manualLayout>
              </c:layout>
              <c:tx>
                <c:rich>
                  <a:bodyPr rot="0" spcFirstLastPara="1" vertOverflow="clip" horzOverflow="clip" vert="horz" wrap="square" lIns="38100" tIns="19050" rIns="38100" bIns="19050" anchor="ctr" anchorCtr="1">
                    <a:spAutoFit/>
                  </a:bodyPr>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fld id="{079AAAE9-FD32-496A-8687-A8C67C038EA8}" type="CATEGORYNAME">
                      <a:rPr lang="en-US">
                        <a:solidFill>
                          <a:schemeClr val="tx1"/>
                        </a:solidFill>
                        <a:latin typeface="Arial" panose="020B0604020202020204" pitchFamily="34" charset="0"/>
                        <a:cs typeface="Arial" panose="020B0604020202020204" pitchFamily="34" charset="0"/>
                      </a:rPr>
                      <a:pPr>
                        <a:defRPr>
                          <a:solidFill>
                            <a:schemeClr val="tx1"/>
                          </a:solidFill>
                          <a:latin typeface="Arial" panose="020B0604020202020204" pitchFamily="34" charset="0"/>
                          <a:cs typeface="Arial" panose="020B0604020202020204" pitchFamily="34" charset="0"/>
                        </a:defRPr>
                      </a:pPr>
                      <a:t>[CATEGORY NAME]</a:t>
                    </a:fld>
                    <a:r>
                      <a:rPr lang="en-US" baseline="0">
                        <a:solidFill>
                          <a:schemeClr val="tx1"/>
                        </a:solidFill>
                        <a:latin typeface="Arial" panose="020B0604020202020204" pitchFamily="34" charset="0"/>
                        <a:cs typeface="Arial" panose="020B0604020202020204" pitchFamily="34" charset="0"/>
                      </a:rPr>
                      <a:t>
</a:t>
                    </a:r>
                    <a:fld id="{3FFDC5C0-A002-43AD-8955-9463F3F0AFCE}" type="PERCENTAGE">
                      <a:rPr lang="en-US" baseline="0">
                        <a:solidFill>
                          <a:schemeClr val="tx1"/>
                        </a:solidFill>
                        <a:latin typeface="Arial" panose="020B0604020202020204" pitchFamily="34" charset="0"/>
                        <a:cs typeface="Arial" panose="020B0604020202020204" pitchFamily="34" charset="0"/>
                      </a:rPr>
                      <a:pPr>
                        <a:defRPr>
                          <a:solidFill>
                            <a:schemeClr val="tx1"/>
                          </a:solidFill>
                          <a:latin typeface="Arial" panose="020B0604020202020204" pitchFamily="34" charset="0"/>
                          <a:cs typeface="Arial" panose="020B0604020202020204" pitchFamily="34" charset="0"/>
                        </a:defRPr>
                      </a:pPr>
                      <a:t>[PERCENTAGE]</a:t>
                    </a:fld>
                    <a:endParaRPr lang="en-US" baseline="0">
                      <a:solidFill>
                        <a:schemeClr val="tx1"/>
                      </a:solidFill>
                      <a:latin typeface="Arial" panose="020B0604020202020204" pitchFamily="34" charset="0"/>
                      <a:cs typeface="Arial" panose="020B0604020202020204" pitchFamily="34" charset="0"/>
                    </a:endParaRPr>
                  </a:p>
                </c:rich>
              </c:tx>
              <c:spPr>
                <a:noFill/>
                <a:ln w="9525" cap="flat" cmpd="sng" algn="ctr">
                  <a:no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ffectLst/>
              </c:spPr>
              <c:txPr>
                <a:bodyPr rot="0" spcFirstLastPara="1" vertOverflow="clip" horzOverflow="clip" vert="horz" wrap="square" lIns="38100" tIns="19050" rIns="38100" bIns="19050" anchor="ctr" anchorCtr="1">
                  <a:spAutoFit/>
                </a:bodyPr>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dLblPos val="bestFit"/>
              <c:showLegendKey val="0"/>
              <c:showVal val="0"/>
              <c:showCatName val="1"/>
              <c:showSerName val="0"/>
              <c:showPercent val="1"/>
              <c:showBubbleSize val="0"/>
              <c:extLst>
                <c:ext xmlns:c15="http://schemas.microsoft.com/office/drawing/2012/chart" uri="{CE6537A1-D6FC-4f65-9D91-7224C49458BB}">
                  <c15:spPr xmlns:c15="http://schemas.microsoft.com/office/drawing/2012/chart">
                    <a:prstGeom prst="wedgeRectCallout">
                      <a:avLst>
                        <a:gd name="adj1" fmla="val 78719"/>
                        <a:gd name="adj2" fmla="val 41095"/>
                      </a:avLst>
                    </a:prstGeom>
                    <a:noFill/>
                    <a:ln>
                      <a:noFill/>
                    </a:ln>
                  </c15:spPr>
                  <c15:dlblFieldTable/>
                  <c15:showDataLabelsRange val="0"/>
                </c:ext>
                <c:ext xmlns:c16="http://schemas.microsoft.com/office/drawing/2014/chart" uri="{C3380CC4-5D6E-409C-BE32-E72D297353CC}">
                  <c16:uniqueId val="{0000000F-5E03-4BBD-BC13-A71BAD47D165}"/>
                </c:ext>
              </c:extLst>
            </c:dLbl>
            <c:dLbl>
              <c:idx val="8"/>
              <c:layout>
                <c:manualLayout>
                  <c:x val="6.5188276759792552E-2"/>
                  <c:y val="0.10485262706922978"/>
                </c:manualLayout>
              </c:layout>
              <c:spPr>
                <a:noFill/>
                <a:ln w="9525" cap="flat" cmpd="sng" algn="ctr">
                  <a:no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ffectLst/>
              </c:spPr>
              <c:txPr>
                <a:bodyPr rot="0" spcFirstLastPara="1" vertOverflow="clip" horzOverflow="clip" vert="horz" wrap="square" lIns="38100" tIns="19050" rIns="38100" bIns="19050" anchor="ctr" anchorCtr="1">
                  <a:spAutoFit/>
                </a:bodyPr>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dLblPos val="bestFit"/>
              <c:showLegendKey val="0"/>
              <c:showVal val="0"/>
              <c:showCatName val="1"/>
              <c:showSerName val="0"/>
              <c:showPercent val="1"/>
              <c:showBubbleSize val="0"/>
              <c:extLst>
                <c:ext xmlns:c15="http://schemas.microsoft.com/office/drawing/2012/chart" uri="{CE6537A1-D6FC-4f65-9D91-7224C49458BB}">
                  <c15:spPr xmlns:c15="http://schemas.microsoft.com/office/drawing/2012/chart">
                    <a:prstGeom prst="wedgeRectCallout">
                      <a:avLst>
                        <a:gd name="adj1" fmla="val 143699"/>
                        <a:gd name="adj2" fmla="val 99423"/>
                      </a:avLst>
                    </a:prstGeom>
                    <a:noFill/>
                    <a:ln>
                      <a:noFill/>
                    </a:ln>
                  </c15:spPr>
                </c:ext>
                <c:ext xmlns:c16="http://schemas.microsoft.com/office/drawing/2014/chart" uri="{C3380CC4-5D6E-409C-BE32-E72D297353CC}">
                  <c16:uniqueId val="{00000011-5E03-4BBD-BC13-A71BAD47D165}"/>
                </c:ext>
              </c:extLst>
            </c:dLbl>
            <c:dLbl>
              <c:idx val="9"/>
              <c:layout>
                <c:manualLayout>
                  <c:x val="4.6603480269202469E-2"/>
                  <c:y val="5.664806041849365E-2"/>
                </c:manualLayout>
              </c:layout>
              <c:spPr>
                <a:noFill/>
                <a:ln>
                  <a:noFill/>
                </a:ln>
                <a:effectLst/>
              </c:spPr>
              <c:txPr>
                <a:bodyPr rot="0" spcFirstLastPara="1" vertOverflow="clip" horzOverflow="clip" vert="horz" wrap="square" lIns="38100" tIns="19050" rIns="38100" bIns="19050" anchor="ctr" anchorCtr="0">
                  <a:noAutofit/>
                </a:bodyPr>
                <a:lstStyle/>
                <a:p>
                  <a:pPr algn="ct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dLblPos val="bestFit"/>
              <c:showLegendKey val="0"/>
              <c:showVal val="0"/>
              <c:showCatName val="1"/>
              <c:showSerName val="0"/>
              <c:showPercent val="1"/>
              <c:showBubbleSize val="0"/>
              <c:extLst>
                <c:ext xmlns:c15="http://schemas.microsoft.com/office/drawing/2012/chart" uri="{CE6537A1-D6FC-4f65-9D91-7224C49458BB}">
                  <c15:spPr xmlns:c15="http://schemas.microsoft.com/office/drawing/2012/chart">
                    <a:prstGeom prst="wedgeRectCallout">
                      <a:avLst/>
                    </a:prstGeom>
                    <a:noFill/>
                    <a:ln>
                      <a:noFill/>
                    </a:ln>
                  </c15:spPr>
                  <c15:layout>
                    <c:manualLayout>
                      <c:w val="0.10532817140587807"/>
                      <c:h val="0.17691601049868766"/>
                    </c:manualLayout>
                  </c15:layout>
                </c:ext>
                <c:ext xmlns:c16="http://schemas.microsoft.com/office/drawing/2014/chart" uri="{C3380CC4-5D6E-409C-BE32-E72D297353CC}">
                  <c16:uniqueId val="{00000013-5E03-4BBD-BC13-A71BAD47D165}"/>
                </c:ext>
              </c:extLst>
            </c:dLbl>
            <c:spPr>
              <a:solidFill>
                <a:sysClr val="window" lastClr="FFFFFF"/>
              </a:solidFill>
              <a:ln>
                <a:solidFill>
                  <a:sysClr val="windowText" lastClr="000000">
                    <a:lumMod val="25000"/>
                    <a:lumOff val="75000"/>
                  </a:sysClr>
                </a:solidFill>
              </a:ln>
              <a:effectLst/>
            </c:spPr>
            <c:txPr>
              <a:bodyPr rot="0" spcFirstLastPara="1" vertOverflow="clip" horzOverflow="clip" vert="horz" wrap="square" lIns="38100" tIns="19050" rIns="38100" bIns="19050" anchor="ctr" anchorCtr="1">
                <a:spAutoFit/>
              </a:bodyPr>
              <a:lstStyle/>
              <a:p>
                <a:pPr>
                  <a:defRPr sz="900" b="0" i="0" u="none" strike="noStrike" kern="1200" baseline="0">
                    <a:solidFill>
                      <a:schemeClr val="dk1">
                        <a:lumMod val="65000"/>
                        <a:lumOff val="35000"/>
                      </a:schemeClr>
                    </a:solidFill>
                    <a:latin typeface="Arial" panose="020B0604020202020204" pitchFamily="34" charset="0"/>
                    <a:ea typeface="+mn-ea"/>
                    <a:cs typeface="Arial" panose="020B0604020202020204" pitchFamily="34" charset="0"/>
                  </a:defRPr>
                </a:pPr>
                <a:endParaRPr lang="en-US"/>
              </a:p>
            </c:txPr>
            <c:dLblPos val="ctr"/>
            <c:showLegendKey val="0"/>
            <c:showVal val="0"/>
            <c:showCatName val="1"/>
            <c:showSerName val="0"/>
            <c:showPercent val="1"/>
            <c:showBubbleSize val="0"/>
            <c:showLeaderLines val="0"/>
            <c:extLst>
              <c:ext xmlns:c15="http://schemas.microsoft.com/office/drawing/2012/chart" uri="{CE6537A1-D6FC-4f65-9D91-7224C49458BB}">
                <c15:spPr xmlns:c15="http://schemas.microsoft.com/office/drawing/2012/chart">
                  <a:prstGeom prst="wedgeRectCallout">
                    <a:avLst/>
                  </a:prstGeom>
                  <a:noFill/>
                  <a:ln>
                    <a:noFill/>
                  </a:ln>
                </c15:spPr>
              </c:ext>
            </c:extLst>
          </c:dLbls>
          <c:cat>
            <c:strRef>
              <c:f>'GAMoD networks'!$A$2:$A$11</c:f>
              <c:strCache>
                <c:ptCount val="10"/>
                <c:pt idx="0">
                  <c:v>Manufacturing</c:v>
                </c:pt>
                <c:pt idx="1">
                  <c:v>Education</c:v>
                </c:pt>
                <c:pt idx="2">
                  <c:v>Mining</c:v>
                </c:pt>
                <c:pt idx="3">
                  <c:v>Defence and peacekeeping</c:v>
                </c:pt>
                <c:pt idx="4">
                  <c:v>Power and utilities</c:v>
                </c:pt>
                <c:pt idx="5">
                  <c:v>Lab-as-a-service</c:v>
                </c:pt>
                <c:pt idx="6">
                  <c:v>Other</c:v>
                </c:pt>
                <c:pt idx="7">
                  <c:v>Smart city</c:v>
                </c:pt>
                <c:pt idx="8">
                  <c:v>Rail </c:v>
                </c:pt>
                <c:pt idx="9">
                  <c:v>Oil and gas</c:v>
                </c:pt>
              </c:strCache>
            </c:strRef>
          </c:cat>
          <c:val>
            <c:numRef>
              <c:f>'GAMoD networks'!$B$2:$B$11</c:f>
              <c:numCache>
                <c:formatCode>General</c:formatCode>
                <c:ptCount val="10"/>
                <c:pt idx="0">
                  <c:v>219</c:v>
                </c:pt>
                <c:pt idx="1">
                  <c:v>114</c:v>
                </c:pt>
                <c:pt idx="2">
                  <c:v>84</c:v>
                </c:pt>
                <c:pt idx="3">
                  <c:v>75</c:v>
                </c:pt>
                <c:pt idx="4">
                  <c:v>73</c:v>
                </c:pt>
                <c:pt idx="5">
                  <c:v>64</c:v>
                </c:pt>
                <c:pt idx="6">
                  <c:v>57</c:v>
                </c:pt>
                <c:pt idx="7">
                  <c:v>55</c:v>
                </c:pt>
                <c:pt idx="8">
                  <c:v>43</c:v>
                </c:pt>
                <c:pt idx="9">
                  <c:v>45</c:v>
                </c:pt>
              </c:numCache>
            </c:numRef>
          </c:val>
          <c:extLst>
            <c:ext xmlns:c16="http://schemas.microsoft.com/office/drawing/2014/chart" uri="{C3380CC4-5D6E-409C-BE32-E72D297353CC}">
              <c16:uniqueId val="{00000014-5E03-4BBD-BC13-A71BAD47D165}"/>
            </c:ext>
          </c:extLst>
        </c:ser>
        <c:dLbls>
          <c:dLblPos val="ctr"/>
          <c:showLegendKey val="0"/>
          <c:showVal val="1"/>
          <c:showCatName val="0"/>
          <c:showSerName val="0"/>
          <c:showPercent val="0"/>
          <c:showBubbleSize val="0"/>
          <c:showLeaderLines val="0"/>
        </c:dLbls>
        <c:firstSliceAng val="0"/>
      </c:pieChart>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withinLinear" id="14">
  <a:schemeClr val="accent1"/>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C86DBA-C773-4DAC-958D-07E48CB3DC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42</Pages>
  <Words>10791</Words>
  <Characters>61509</Characters>
  <Application>Microsoft Office Word</Application>
  <DocSecurity>0</DocSecurity>
  <Lines>512</Lines>
  <Paragraphs>144</Paragraphs>
  <ScaleCrop>false</ScaleCrop>
  <HeadingPairs>
    <vt:vector size="4" baseType="variant">
      <vt:variant>
        <vt:lpstr>Title</vt:lpstr>
      </vt:variant>
      <vt:variant>
        <vt:i4>1</vt:i4>
      </vt:variant>
      <vt:variant>
        <vt:lpstr>Headings</vt:lpstr>
      </vt:variant>
      <vt:variant>
        <vt:i4>41</vt:i4>
      </vt:variant>
    </vt:vector>
  </HeadingPairs>
  <TitlesOfParts>
    <vt:vector size="42" baseType="lpstr">
      <vt:lpstr/>
      <vt:lpstr>About this market study</vt:lpstr>
      <vt:lpstr>    Case studies</vt:lpstr>
      <vt:lpstr>    Methodology</vt:lpstr>
      <vt:lpstr>Private wireless networks</vt:lpstr>
      <vt:lpstr>    What are private wireless networks?</vt:lpstr>
      <vt:lpstr>    Why use private wireless networks?</vt:lpstr>
      <vt:lpstr>    4G versus 5G </vt:lpstr>
      <vt:lpstr>        Deployment considerations</vt:lpstr>
      <vt:lpstr>Spectrum</vt:lpstr>
      <vt:lpstr>    Spectrum characteristics</vt:lpstr>
      <vt:lpstr>        Mid- and high-band frequencies suit indoor manufacturing</vt:lpstr>
      <vt:lpstr>    How much spectrum do private wireless networks need? </vt:lpstr>
      <vt:lpstr>    Spectrum access</vt:lpstr>
      <vt:lpstr>        Licence type suitability </vt:lpstr>
      <vt:lpstr>        Interference</vt:lpstr>
      <vt:lpstr>Equipment</vt:lpstr>
      <vt:lpstr>    Equipment availability</vt:lpstr>
      <vt:lpstr>        Is 4G and 5G private wireless network equipment available now? </vt:lpstr>
      <vt:lpstr>        Deployment considerations</vt:lpstr>
      <vt:lpstr>        Equipment vendors</vt:lpstr>
      <vt:lpstr>    Equipment suitability</vt:lpstr>
      <vt:lpstr>        Industrial conditions</vt:lpstr>
      <vt:lpstr>Identified challenges</vt:lpstr>
      <vt:lpstr>    Cost </vt:lpstr>
      <vt:lpstr>    Time </vt:lpstr>
      <vt:lpstr>    Connectivity</vt:lpstr>
      <vt:lpstr>    Options other than private wireless networks </vt:lpstr>
      <vt:lpstr>        Public mobile networks</vt:lpstr>
      <vt:lpstr>        Public-private (hybrid) networks</vt:lpstr>
      <vt:lpstr>        Wireless LAN (WLAN), fixed wireless and wi-fi</vt:lpstr>
      <vt:lpstr>        Deployment considerations</vt:lpstr>
      <vt:lpstr>Conclusion</vt:lpstr>
      <vt:lpstr>Appendix A – Glossary</vt:lpstr>
      <vt:lpstr>Appendix B – Interviews</vt:lpstr>
      <vt:lpstr>Appendix C – Technology performance comparison</vt:lpstr>
      <vt:lpstr>Appendix D – Spectrum available for private wireless networks</vt:lpstr>
      <vt:lpstr>Appendix E – Radiofrequency allocation regime</vt:lpstr>
      <vt:lpstr>    What types of licences does the ACMA issue? </vt:lpstr>
      <vt:lpstr>        Class licences</vt:lpstr>
      <vt:lpstr>        Spectrum licences</vt:lpstr>
      <vt:lpstr>        Apparatus licences</vt:lpstr>
    </vt:vector>
  </TitlesOfParts>
  <Manager/>
  <Company/>
  <LinksUpToDate>false</LinksUpToDate>
  <CharactersWithSpaces>72156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2023-10-11T05:09:00Z</dcterms:created>
  <dcterms:modified xsi:type="dcterms:W3CDTF">2023-10-11T05:09:00Z</dcterms:modified>
  <cp:category/>
</cp:coreProperties>
</file>