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73CC" w14:textId="0993D6EF" w:rsidR="00F06E14" w:rsidRPr="00E162C4" w:rsidRDefault="0063685B" w:rsidP="00A51D1A">
      <w:pPr>
        <w:pStyle w:val="Reporttitle"/>
      </w:pPr>
      <w:r>
        <w:t xml:space="preserve">Variation of cost </w:t>
      </w:r>
      <w:r w:rsidRPr="00A518D9">
        <w:t>recovery</w:t>
      </w:r>
      <w:r>
        <w:t xml:space="preserve"> arrangements for the National Self-Exclusion Register</w:t>
      </w:r>
    </w:p>
    <w:p w14:paraId="0B2A0672" w14:textId="37C4782F" w:rsidR="00F06E14" w:rsidRPr="00E162C4" w:rsidRDefault="00770B3F" w:rsidP="00F06E14">
      <w:pPr>
        <w:pStyle w:val="Reportsubtitle"/>
      </w:pPr>
      <w:r w:rsidRPr="00E162C4">
        <w:t xml:space="preserve">Consultation </w:t>
      </w:r>
      <w:r w:rsidR="0063685B">
        <w:t>paper</w:t>
      </w:r>
    </w:p>
    <w:p w14:paraId="6645F2C4" w14:textId="247DB509" w:rsidR="00C97736" w:rsidRPr="00E162C4" w:rsidRDefault="0063685B" w:rsidP="00EC2B68">
      <w:pPr>
        <w:pStyle w:val="Reportdate"/>
        <w:spacing w:after="720"/>
        <w:rPr>
          <w:rFonts w:cs="Arial"/>
        </w:rPr>
        <w:sectPr w:rsidR="00C97736" w:rsidRPr="00E162C4" w:rsidSect="0021426C">
          <w:headerReference w:type="default" r:id="rId8"/>
          <w:footerReference w:type="default" r:id="rId9"/>
          <w:headerReference w:type="first" r:id="rId10"/>
          <w:pgSz w:w="11906" w:h="16838" w:code="9"/>
          <w:pgMar w:top="3924" w:right="992" w:bottom="1440" w:left="1134" w:header="709" w:footer="454" w:gutter="0"/>
          <w:cols w:space="708"/>
          <w:docGrid w:linePitch="360"/>
        </w:sectPr>
      </w:pPr>
      <w:r>
        <w:t>July</w:t>
      </w:r>
      <w:r w:rsidR="00BD4421" w:rsidRPr="00E162C4">
        <w:t xml:space="preserve"> 20</w:t>
      </w:r>
      <w:r w:rsidR="008E0428" w:rsidRPr="00E162C4">
        <w:t>2</w:t>
      </w:r>
      <w:r w:rsidR="008500E5">
        <w:t>3</w:t>
      </w:r>
    </w:p>
    <w:p w14:paraId="247F419D" w14:textId="77777777" w:rsidR="0005011A" w:rsidRPr="00E162C4" w:rsidRDefault="0005011A" w:rsidP="00FC07B9">
      <w:pPr>
        <w:pStyle w:val="ACMACorporateAddressHeader"/>
      </w:pPr>
      <w:r w:rsidRPr="00E162C4">
        <w:lastRenderedPageBreak/>
        <w:t>Canberra</w:t>
      </w:r>
    </w:p>
    <w:p w14:paraId="4104F9E7" w14:textId="77777777" w:rsidR="0005011A" w:rsidRPr="00E162C4" w:rsidRDefault="0005011A" w:rsidP="00FC07B9">
      <w:pPr>
        <w:pStyle w:val="ACMACorporateAddresses"/>
      </w:pPr>
      <w:r w:rsidRPr="00E162C4">
        <w:t xml:space="preserve">Red Building </w:t>
      </w:r>
      <w:r w:rsidRPr="00E162C4">
        <w:br/>
        <w:t>Benjamin Offices</w:t>
      </w:r>
      <w:r w:rsidRPr="00E162C4">
        <w:br/>
        <w:t xml:space="preserve">Chan Street </w:t>
      </w:r>
      <w:r w:rsidRPr="00E162C4">
        <w:br/>
        <w:t>Belconnen ACT</w:t>
      </w:r>
    </w:p>
    <w:p w14:paraId="76F3F2E6" w14:textId="77777777" w:rsidR="0005011A" w:rsidRPr="00E162C4" w:rsidRDefault="0005011A" w:rsidP="00FC07B9">
      <w:pPr>
        <w:pStyle w:val="ACMACorporateAddresses"/>
      </w:pPr>
      <w:r w:rsidRPr="00E162C4">
        <w:t>PO Box 78</w:t>
      </w:r>
      <w:r w:rsidRPr="00E162C4">
        <w:br/>
        <w:t>Belconnen ACT 2616</w:t>
      </w:r>
    </w:p>
    <w:p w14:paraId="07BA558C" w14:textId="77777777" w:rsidR="00FE1823" w:rsidRPr="00E162C4" w:rsidRDefault="0005011A" w:rsidP="00FC07B9">
      <w:pPr>
        <w:pStyle w:val="ACMACorporateAddresses"/>
      </w:pPr>
      <w:r w:rsidRPr="00E162C4">
        <w:t>T</w:t>
      </w:r>
      <w:r w:rsidR="00537604" w:rsidRPr="00E162C4">
        <w:tab/>
      </w:r>
      <w:r w:rsidRPr="00E162C4">
        <w:t>+61 2 6219 5555</w:t>
      </w:r>
      <w:r w:rsidRPr="00E162C4">
        <w:br/>
        <w:t>F</w:t>
      </w:r>
      <w:r w:rsidR="00537604" w:rsidRPr="00E162C4">
        <w:tab/>
      </w:r>
      <w:r w:rsidRPr="00E162C4">
        <w:t>+61 2 6219 5353</w:t>
      </w:r>
    </w:p>
    <w:p w14:paraId="1270963B" w14:textId="77777777" w:rsidR="0005011A" w:rsidRPr="00E162C4" w:rsidRDefault="0005011A" w:rsidP="00FC07B9">
      <w:pPr>
        <w:pStyle w:val="ACMACorporateAddressHeader"/>
      </w:pPr>
      <w:r w:rsidRPr="00E162C4">
        <w:t>Melbourne</w:t>
      </w:r>
    </w:p>
    <w:p w14:paraId="04401C05" w14:textId="77777777" w:rsidR="0005011A" w:rsidRPr="00E162C4" w:rsidRDefault="0005011A" w:rsidP="00FC07B9">
      <w:pPr>
        <w:pStyle w:val="ACMACorporateAddresses"/>
      </w:pPr>
      <w:r w:rsidRPr="00E162C4">
        <w:t xml:space="preserve">Level 32 </w:t>
      </w:r>
      <w:r w:rsidRPr="00E162C4">
        <w:br/>
        <w:t>Melbourne Central Tower</w:t>
      </w:r>
      <w:r w:rsidRPr="00E162C4">
        <w:br/>
        <w:t xml:space="preserve">360 Elizabeth Street </w:t>
      </w:r>
      <w:r w:rsidR="008C10F4" w:rsidRPr="00E162C4">
        <w:br/>
      </w:r>
      <w:r w:rsidRPr="00E162C4">
        <w:t>Melbourne VIC</w:t>
      </w:r>
    </w:p>
    <w:p w14:paraId="2A7FA357" w14:textId="77777777" w:rsidR="0005011A" w:rsidRPr="00E162C4" w:rsidRDefault="0005011A" w:rsidP="00FC07B9">
      <w:pPr>
        <w:pStyle w:val="ACMACorporateAddresses"/>
      </w:pPr>
      <w:r w:rsidRPr="00E162C4">
        <w:t>PO Box 13112</w:t>
      </w:r>
      <w:r w:rsidRPr="00E162C4">
        <w:br/>
        <w:t xml:space="preserve">Law Courts </w:t>
      </w:r>
      <w:r w:rsidRPr="00E162C4">
        <w:br/>
        <w:t>Melbourne VIC 8010</w:t>
      </w:r>
    </w:p>
    <w:p w14:paraId="7DAA0AEE" w14:textId="77777777" w:rsidR="0005011A" w:rsidRPr="00E162C4" w:rsidRDefault="0005011A" w:rsidP="00FC07B9">
      <w:pPr>
        <w:pStyle w:val="ACMACorporateAddresses"/>
      </w:pPr>
      <w:r w:rsidRPr="00E162C4">
        <w:t>T</w:t>
      </w:r>
      <w:r w:rsidR="00140318" w:rsidRPr="00E162C4">
        <w:tab/>
      </w:r>
      <w:r w:rsidRPr="00E162C4">
        <w:t>+61 3 9963 6800</w:t>
      </w:r>
      <w:r w:rsidRPr="00E162C4">
        <w:br/>
        <w:t>F</w:t>
      </w:r>
      <w:r w:rsidR="00140318" w:rsidRPr="00E162C4">
        <w:tab/>
      </w:r>
      <w:r w:rsidRPr="00E162C4">
        <w:t>+61 3 9963 6899</w:t>
      </w:r>
    </w:p>
    <w:p w14:paraId="7F7253DA" w14:textId="77777777" w:rsidR="0005011A" w:rsidRPr="00E162C4" w:rsidRDefault="0005011A" w:rsidP="00FC07B9">
      <w:pPr>
        <w:pStyle w:val="ACMACorporateAddressHeader"/>
      </w:pPr>
      <w:r w:rsidRPr="00E162C4">
        <w:t>Sydney</w:t>
      </w:r>
    </w:p>
    <w:p w14:paraId="6007DB16" w14:textId="77777777" w:rsidR="0005011A" w:rsidRPr="00E162C4" w:rsidRDefault="0005011A" w:rsidP="00FC07B9">
      <w:pPr>
        <w:pStyle w:val="ACMACorporateAddresses"/>
      </w:pPr>
      <w:r w:rsidRPr="00E162C4">
        <w:t xml:space="preserve">Level 5 </w:t>
      </w:r>
      <w:r w:rsidRPr="00E162C4">
        <w:br/>
        <w:t>The Bay Centre</w:t>
      </w:r>
      <w:r w:rsidRPr="00E162C4">
        <w:br/>
        <w:t xml:space="preserve">65 Pirrama Road </w:t>
      </w:r>
      <w:r w:rsidRPr="00E162C4">
        <w:br/>
        <w:t>Pyrmont NSW</w:t>
      </w:r>
    </w:p>
    <w:p w14:paraId="286CD5CD" w14:textId="77777777" w:rsidR="0005011A" w:rsidRPr="00E162C4" w:rsidRDefault="0005011A" w:rsidP="00FC07B9">
      <w:pPr>
        <w:pStyle w:val="ACMACorporateAddresses"/>
      </w:pPr>
      <w:r w:rsidRPr="00E162C4">
        <w:t>PO Box Q500</w:t>
      </w:r>
      <w:r w:rsidRPr="00E162C4">
        <w:br/>
        <w:t xml:space="preserve">Queen Victoria Building </w:t>
      </w:r>
      <w:r w:rsidRPr="00E162C4">
        <w:br/>
        <w:t>NSW 1230</w:t>
      </w:r>
    </w:p>
    <w:p w14:paraId="7252E825" w14:textId="77777777" w:rsidR="0005011A" w:rsidRPr="00E162C4" w:rsidRDefault="0005011A" w:rsidP="00FC07B9">
      <w:pPr>
        <w:pStyle w:val="ACMACorporateAddresses"/>
      </w:pPr>
      <w:r w:rsidRPr="00E162C4">
        <w:t>T</w:t>
      </w:r>
      <w:r w:rsidR="00140318" w:rsidRPr="00E162C4">
        <w:tab/>
      </w:r>
      <w:r w:rsidRPr="00E162C4">
        <w:t>+61 2 9334 7700</w:t>
      </w:r>
      <w:r w:rsidR="00140318" w:rsidRPr="00E162C4">
        <w:t xml:space="preserve"> or</w:t>
      </w:r>
      <w:r w:rsidRPr="00E162C4">
        <w:t xml:space="preserve"> 1800 226 667</w:t>
      </w:r>
      <w:r w:rsidRPr="00E162C4">
        <w:br/>
        <w:t>F</w:t>
      </w:r>
      <w:r w:rsidR="00140318" w:rsidRPr="00E162C4">
        <w:tab/>
      </w:r>
      <w:r w:rsidRPr="00E162C4">
        <w:t>+61 2 9334 7799</w:t>
      </w:r>
    </w:p>
    <w:p w14:paraId="71A0C900" w14:textId="77777777" w:rsidR="00140318" w:rsidRPr="00E162C4" w:rsidRDefault="00140318" w:rsidP="00FC07B9">
      <w:pPr>
        <w:pStyle w:val="ACMACopyrightHeader"/>
      </w:pPr>
      <w:r w:rsidRPr="00E162C4">
        <w:t>Copyright notice</w:t>
      </w:r>
    </w:p>
    <w:p w14:paraId="404C050E" w14:textId="77777777" w:rsidR="00140318" w:rsidRPr="00E162C4" w:rsidRDefault="00623FF9" w:rsidP="00623FF9">
      <w:pPr>
        <w:pStyle w:val="ACMACClogo"/>
      </w:pPr>
      <w:r w:rsidRPr="00E162C4">
        <w:rPr>
          <w:noProof/>
        </w:rPr>
        <w:drawing>
          <wp:inline distT="0" distB="0" distL="0" distR="0" wp14:anchorId="45E9A620" wp14:editId="2F96F51D">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3F6AADE5" w14:textId="77777777" w:rsidR="00AA2DE5" w:rsidRPr="00E162C4" w:rsidRDefault="0089493D" w:rsidP="00AA2DE5">
      <w:pPr>
        <w:pStyle w:val="ACMACorporateAddresses"/>
        <w:rPr>
          <w:rStyle w:val="Hyperlink"/>
        </w:rPr>
      </w:pPr>
      <w:hyperlink r:id="rId13" w:history="1">
        <w:r w:rsidR="00AA2DE5" w:rsidRPr="00E162C4">
          <w:rPr>
            <w:rStyle w:val="Hyperlink"/>
          </w:rPr>
          <w:t>https://creativecommons.org/licenses/by/4.0/</w:t>
        </w:r>
      </w:hyperlink>
    </w:p>
    <w:p w14:paraId="7A9E12CA" w14:textId="77777777" w:rsidR="00AA2DE5" w:rsidRPr="00E162C4" w:rsidRDefault="00AA2DE5" w:rsidP="00AA2DE5">
      <w:pPr>
        <w:pStyle w:val="ACMACorporateAddresses"/>
      </w:pPr>
      <w:r w:rsidRPr="00E162C4">
        <w:t xml:space="preserve">With the exception of coats of arms, logos, emblems, images, other third-party material or devices protected by a trademark, this content is made available under the terms of the Creative Commons Attribution 4.0 International (CC BY 4.0) licence. </w:t>
      </w:r>
    </w:p>
    <w:p w14:paraId="1D43BF1A" w14:textId="77777777" w:rsidR="00AA2DE5" w:rsidRPr="00E162C4" w:rsidRDefault="00AA2DE5" w:rsidP="00AA2DE5">
      <w:pPr>
        <w:pStyle w:val="ACMACorporateAddresses"/>
      </w:pPr>
      <w:r w:rsidRPr="00E162C4">
        <w:t>We request attribution as © Commonwealth of Australia (Australian Communications and Media Authority) 20</w:t>
      </w:r>
      <w:r w:rsidR="00C41F21" w:rsidRPr="00E162C4">
        <w:t>2</w:t>
      </w:r>
      <w:r w:rsidR="008500E5">
        <w:t>3</w:t>
      </w:r>
      <w:r w:rsidRPr="00E162C4">
        <w:t>.</w:t>
      </w:r>
    </w:p>
    <w:p w14:paraId="4B071BB1" w14:textId="77777777" w:rsidR="00AA2DE5" w:rsidRPr="00E162C4" w:rsidRDefault="00AA2DE5" w:rsidP="00AA2DE5">
      <w:pPr>
        <w:pStyle w:val="ACMACorporateAddresses"/>
      </w:pPr>
      <w:r w:rsidRPr="00E162C4">
        <w:t>All other rights are reserved.</w:t>
      </w:r>
    </w:p>
    <w:p w14:paraId="6ABE2792" w14:textId="77777777" w:rsidR="00AA2DE5" w:rsidRPr="00E162C4" w:rsidRDefault="00AA2DE5" w:rsidP="00AA2DE5">
      <w:pPr>
        <w:pStyle w:val="ACMACorporateAddresses"/>
      </w:pPr>
      <w:r w:rsidRPr="00E162C4">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1C00F6D0" w14:textId="77777777" w:rsidR="00AA2DE5" w:rsidRPr="00E162C4" w:rsidRDefault="00AA2DE5" w:rsidP="00AA2DE5">
      <w:pPr>
        <w:pStyle w:val="ACMACorporateAddresses"/>
      </w:pPr>
      <w:r w:rsidRPr="00E162C4">
        <w:t>Written enquiries may be sent to:</w:t>
      </w:r>
    </w:p>
    <w:p w14:paraId="6C095D2E" w14:textId="77777777" w:rsidR="00AA2DE5" w:rsidRPr="00E162C4" w:rsidRDefault="00AA2DE5" w:rsidP="00AA2DE5">
      <w:pPr>
        <w:pStyle w:val="ACMACorporateAddresses"/>
        <w:rPr>
          <w:rStyle w:val="Hyperlink"/>
        </w:rPr>
      </w:pPr>
      <w:r w:rsidRPr="00E162C4">
        <w:t xml:space="preserve">Manager, Editorial </w:t>
      </w:r>
      <w:r w:rsidR="000245E5" w:rsidRPr="00E162C4">
        <w:t>Services</w:t>
      </w:r>
      <w:r w:rsidRPr="00E162C4">
        <w:br/>
        <w:t>PO Box 13112</w:t>
      </w:r>
      <w:r w:rsidRPr="00E162C4">
        <w:br/>
        <w:t>Law Courts</w:t>
      </w:r>
      <w:r w:rsidRPr="00E162C4">
        <w:br/>
        <w:t>Melbourne VIC 8010</w:t>
      </w:r>
      <w:r w:rsidRPr="00E162C4">
        <w:br/>
        <w:t xml:space="preserve">Email: </w:t>
      </w:r>
      <w:hyperlink r:id="rId14" w:history="1">
        <w:r w:rsidRPr="00E162C4">
          <w:rPr>
            <w:rStyle w:val="Hyperlink"/>
          </w:rPr>
          <w:t>info@acma.gov.au</w:t>
        </w:r>
      </w:hyperlink>
    </w:p>
    <w:p w14:paraId="3E48A2D3" w14:textId="77777777" w:rsidR="00D16FE3" w:rsidRPr="00E162C4" w:rsidRDefault="00D16FE3" w:rsidP="00D16FE3">
      <w:pPr>
        <w:pStyle w:val="ACMACorporateAddresses"/>
        <w:rPr>
          <w:rStyle w:val="Hyperlink"/>
        </w:rPr>
      </w:pPr>
    </w:p>
    <w:p w14:paraId="039B4EE6" w14:textId="77777777" w:rsidR="00D16FE3" w:rsidRPr="00E162C4" w:rsidRDefault="00D16FE3" w:rsidP="00D16FE3">
      <w:pPr>
        <w:pStyle w:val="ACMACorporateAddresses"/>
        <w:sectPr w:rsidR="00D16FE3" w:rsidRPr="00E162C4">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244DB0EF" w14:textId="5474EAA8" w:rsidR="00A36AA9" w:rsidRDefault="006A3ECF">
      <w:pPr>
        <w:pStyle w:val="TOC1"/>
        <w:rPr>
          <w:rFonts w:asciiTheme="minorHAnsi" w:eastAsiaTheme="minorEastAsia" w:hAnsiTheme="minorHAnsi" w:cstheme="minorBidi"/>
          <w:b w:val="0"/>
          <w:spacing w:val="0"/>
          <w:sz w:val="22"/>
          <w:szCs w:val="22"/>
        </w:rPr>
      </w:pPr>
      <w:r w:rsidRPr="00E162C4">
        <w:rPr>
          <w:rFonts w:cs="Arial"/>
        </w:rPr>
        <w:lastRenderedPageBreak/>
        <w:fldChar w:fldCharType="begin"/>
      </w:r>
      <w:r w:rsidRPr="00E162C4">
        <w:rPr>
          <w:rFonts w:cs="Arial"/>
        </w:rPr>
        <w:instrText xml:space="preserve"> TOC \o "1-2" \h \z \t "Exec summary heading,1" </w:instrText>
      </w:r>
      <w:r w:rsidRPr="00E162C4">
        <w:rPr>
          <w:rFonts w:cs="Arial"/>
        </w:rPr>
        <w:fldChar w:fldCharType="separate"/>
      </w:r>
      <w:hyperlink w:anchor="_Toc139629641" w:history="1">
        <w:r w:rsidR="00A36AA9" w:rsidRPr="00571C2B">
          <w:rPr>
            <w:rStyle w:val="Hyperlink"/>
          </w:rPr>
          <w:t>Issue for comment</w:t>
        </w:r>
        <w:r w:rsidR="00A36AA9">
          <w:rPr>
            <w:webHidden/>
          </w:rPr>
          <w:tab/>
        </w:r>
        <w:r w:rsidR="00A36AA9">
          <w:rPr>
            <w:webHidden/>
          </w:rPr>
          <w:fldChar w:fldCharType="begin"/>
        </w:r>
        <w:r w:rsidR="00A36AA9">
          <w:rPr>
            <w:webHidden/>
          </w:rPr>
          <w:instrText xml:space="preserve"> PAGEREF _Toc139629641 \h </w:instrText>
        </w:r>
        <w:r w:rsidR="00A36AA9">
          <w:rPr>
            <w:webHidden/>
          </w:rPr>
        </w:r>
        <w:r w:rsidR="00A36AA9">
          <w:rPr>
            <w:webHidden/>
          </w:rPr>
          <w:fldChar w:fldCharType="separate"/>
        </w:r>
        <w:r w:rsidR="00A36AA9">
          <w:rPr>
            <w:webHidden/>
          </w:rPr>
          <w:t>1</w:t>
        </w:r>
        <w:r w:rsidR="00A36AA9">
          <w:rPr>
            <w:webHidden/>
          </w:rPr>
          <w:fldChar w:fldCharType="end"/>
        </w:r>
      </w:hyperlink>
    </w:p>
    <w:p w14:paraId="53898F6C" w14:textId="4418D552" w:rsidR="00A36AA9" w:rsidRDefault="0089493D">
      <w:pPr>
        <w:pStyle w:val="TOC2"/>
        <w:rPr>
          <w:rFonts w:asciiTheme="minorHAnsi" w:eastAsiaTheme="minorEastAsia" w:hAnsiTheme="minorHAnsi" w:cstheme="minorBidi"/>
          <w:spacing w:val="0"/>
          <w:sz w:val="22"/>
          <w:szCs w:val="22"/>
        </w:rPr>
      </w:pPr>
      <w:hyperlink w:anchor="_Toc139629642" w:history="1">
        <w:r w:rsidR="00A36AA9" w:rsidRPr="00571C2B">
          <w:rPr>
            <w:rStyle w:val="Hyperlink"/>
          </w:rPr>
          <w:t>Background</w:t>
        </w:r>
        <w:r w:rsidR="00A36AA9">
          <w:rPr>
            <w:webHidden/>
          </w:rPr>
          <w:tab/>
        </w:r>
        <w:r w:rsidR="00A36AA9">
          <w:rPr>
            <w:webHidden/>
          </w:rPr>
          <w:fldChar w:fldCharType="begin"/>
        </w:r>
        <w:r w:rsidR="00A36AA9">
          <w:rPr>
            <w:webHidden/>
          </w:rPr>
          <w:instrText xml:space="preserve"> PAGEREF _Toc139629642 \h </w:instrText>
        </w:r>
        <w:r w:rsidR="00A36AA9">
          <w:rPr>
            <w:webHidden/>
          </w:rPr>
        </w:r>
        <w:r w:rsidR="00A36AA9">
          <w:rPr>
            <w:webHidden/>
          </w:rPr>
          <w:fldChar w:fldCharType="separate"/>
        </w:r>
        <w:r w:rsidR="00A36AA9">
          <w:rPr>
            <w:webHidden/>
          </w:rPr>
          <w:t>1</w:t>
        </w:r>
        <w:r w:rsidR="00A36AA9">
          <w:rPr>
            <w:webHidden/>
          </w:rPr>
          <w:fldChar w:fldCharType="end"/>
        </w:r>
      </w:hyperlink>
    </w:p>
    <w:p w14:paraId="5F5010D4" w14:textId="372A08A1" w:rsidR="00A36AA9" w:rsidRDefault="0089493D">
      <w:pPr>
        <w:pStyle w:val="TOC2"/>
        <w:rPr>
          <w:rFonts w:asciiTheme="minorHAnsi" w:eastAsiaTheme="minorEastAsia" w:hAnsiTheme="minorHAnsi" w:cstheme="minorBidi"/>
          <w:spacing w:val="0"/>
          <w:sz w:val="22"/>
          <w:szCs w:val="22"/>
        </w:rPr>
      </w:pPr>
      <w:hyperlink w:anchor="_Toc139629643" w:history="1">
        <w:r w:rsidR="00A36AA9" w:rsidRPr="00571C2B">
          <w:rPr>
            <w:rStyle w:val="Hyperlink"/>
          </w:rPr>
          <w:t>Proposed changes</w:t>
        </w:r>
        <w:r w:rsidR="00A36AA9">
          <w:rPr>
            <w:webHidden/>
          </w:rPr>
          <w:tab/>
        </w:r>
        <w:r w:rsidR="00A36AA9">
          <w:rPr>
            <w:webHidden/>
          </w:rPr>
          <w:fldChar w:fldCharType="begin"/>
        </w:r>
        <w:r w:rsidR="00A36AA9">
          <w:rPr>
            <w:webHidden/>
          </w:rPr>
          <w:instrText xml:space="preserve"> PAGEREF _Toc139629643 \h </w:instrText>
        </w:r>
        <w:r w:rsidR="00A36AA9">
          <w:rPr>
            <w:webHidden/>
          </w:rPr>
        </w:r>
        <w:r w:rsidR="00A36AA9">
          <w:rPr>
            <w:webHidden/>
          </w:rPr>
          <w:fldChar w:fldCharType="separate"/>
        </w:r>
        <w:r w:rsidR="00A36AA9">
          <w:rPr>
            <w:webHidden/>
          </w:rPr>
          <w:t>1</w:t>
        </w:r>
        <w:r w:rsidR="00A36AA9">
          <w:rPr>
            <w:webHidden/>
          </w:rPr>
          <w:fldChar w:fldCharType="end"/>
        </w:r>
      </w:hyperlink>
    </w:p>
    <w:p w14:paraId="1DA272C1" w14:textId="52E36B20" w:rsidR="00A36AA9" w:rsidRDefault="0089493D">
      <w:pPr>
        <w:pStyle w:val="TOC1"/>
        <w:rPr>
          <w:rFonts w:asciiTheme="minorHAnsi" w:eastAsiaTheme="minorEastAsia" w:hAnsiTheme="minorHAnsi" w:cstheme="minorBidi"/>
          <w:b w:val="0"/>
          <w:spacing w:val="0"/>
          <w:sz w:val="22"/>
          <w:szCs w:val="22"/>
        </w:rPr>
      </w:pPr>
      <w:hyperlink w:anchor="_Toc139629644" w:history="1">
        <w:r w:rsidR="00A36AA9" w:rsidRPr="00571C2B">
          <w:rPr>
            <w:rStyle w:val="Hyperlink"/>
          </w:rPr>
          <w:t>Invitation to comment</w:t>
        </w:r>
        <w:r w:rsidR="00A36AA9">
          <w:rPr>
            <w:webHidden/>
          </w:rPr>
          <w:tab/>
        </w:r>
        <w:r w:rsidR="00A36AA9">
          <w:rPr>
            <w:webHidden/>
          </w:rPr>
          <w:fldChar w:fldCharType="begin"/>
        </w:r>
        <w:r w:rsidR="00A36AA9">
          <w:rPr>
            <w:webHidden/>
          </w:rPr>
          <w:instrText xml:space="preserve"> PAGEREF _Toc139629644 \h </w:instrText>
        </w:r>
        <w:r w:rsidR="00A36AA9">
          <w:rPr>
            <w:webHidden/>
          </w:rPr>
        </w:r>
        <w:r w:rsidR="00A36AA9">
          <w:rPr>
            <w:webHidden/>
          </w:rPr>
          <w:fldChar w:fldCharType="separate"/>
        </w:r>
        <w:r w:rsidR="00A36AA9">
          <w:rPr>
            <w:webHidden/>
          </w:rPr>
          <w:t>3</w:t>
        </w:r>
        <w:r w:rsidR="00A36AA9">
          <w:rPr>
            <w:webHidden/>
          </w:rPr>
          <w:fldChar w:fldCharType="end"/>
        </w:r>
      </w:hyperlink>
    </w:p>
    <w:p w14:paraId="7C191281" w14:textId="29F871EB" w:rsidR="00A36AA9" w:rsidRDefault="0089493D">
      <w:pPr>
        <w:pStyle w:val="TOC2"/>
        <w:rPr>
          <w:rFonts w:asciiTheme="minorHAnsi" w:eastAsiaTheme="minorEastAsia" w:hAnsiTheme="minorHAnsi" w:cstheme="minorBidi"/>
          <w:spacing w:val="0"/>
          <w:sz w:val="22"/>
          <w:szCs w:val="22"/>
        </w:rPr>
      </w:pPr>
      <w:hyperlink w:anchor="_Toc139629645" w:history="1">
        <w:r w:rsidR="00A36AA9" w:rsidRPr="00571C2B">
          <w:rPr>
            <w:rStyle w:val="Hyperlink"/>
          </w:rPr>
          <w:t>Making a submission</w:t>
        </w:r>
        <w:r w:rsidR="00A36AA9">
          <w:rPr>
            <w:webHidden/>
          </w:rPr>
          <w:tab/>
        </w:r>
        <w:r w:rsidR="00A36AA9">
          <w:rPr>
            <w:webHidden/>
          </w:rPr>
          <w:fldChar w:fldCharType="begin"/>
        </w:r>
        <w:r w:rsidR="00A36AA9">
          <w:rPr>
            <w:webHidden/>
          </w:rPr>
          <w:instrText xml:space="preserve"> PAGEREF _Toc139629645 \h </w:instrText>
        </w:r>
        <w:r w:rsidR="00A36AA9">
          <w:rPr>
            <w:webHidden/>
          </w:rPr>
        </w:r>
        <w:r w:rsidR="00A36AA9">
          <w:rPr>
            <w:webHidden/>
          </w:rPr>
          <w:fldChar w:fldCharType="separate"/>
        </w:r>
        <w:r w:rsidR="00A36AA9">
          <w:rPr>
            <w:webHidden/>
          </w:rPr>
          <w:t>3</w:t>
        </w:r>
        <w:r w:rsidR="00A36AA9">
          <w:rPr>
            <w:webHidden/>
          </w:rPr>
          <w:fldChar w:fldCharType="end"/>
        </w:r>
      </w:hyperlink>
    </w:p>
    <w:p w14:paraId="5F7A01A8" w14:textId="68E7C823" w:rsidR="004D56FF" w:rsidRPr="00E162C4" w:rsidRDefault="006A3ECF">
      <w:pPr>
        <w:rPr>
          <w:rFonts w:cs="Arial"/>
        </w:rPr>
        <w:sectPr w:rsidR="004D56FF" w:rsidRPr="00E162C4"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sidRPr="00E162C4">
        <w:rPr>
          <w:rFonts w:cs="Arial"/>
          <w:noProof/>
          <w:spacing w:val="-14"/>
          <w:sz w:val="28"/>
        </w:rPr>
        <w:fldChar w:fldCharType="end"/>
      </w:r>
    </w:p>
    <w:p w14:paraId="124A65FF" w14:textId="290EDA8C" w:rsidR="00715722" w:rsidRPr="00E162C4" w:rsidRDefault="00715722" w:rsidP="00715722">
      <w:pPr>
        <w:pStyle w:val="Heading1"/>
      </w:pPr>
      <w:bookmarkStart w:id="0" w:name="_Toc433122125"/>
      <w:bookmarkStart w:id="1" w:name="_Toc139629641"/>
      <w:r w:rsidRPr="00E162C4">
        <w:lastRenderedPageBreak/>
        <w:t>Issue for comment</w:t>
      </w:r>
      <w:bookmarkEnd w:id="0"/>
      <w:bookmarkEnd w:id="1"/>
    </w:p>
    <w:p w14:paraId="172891B0" w14:textId="77777777" w:rsidR="008D694A" w:rsidRDefault="008D694A" w:rsidP="008D694A">
      <w:pPr>
        <w:pStyle w:val="Heading2"/>
      </w:pPr>
      <w:bookmarkStart w:id="2" w:name="_Toc139629642"/>
      <w:r>
        <w:t>Background</w:t>
      </w:r>
      <w:bookmarkEnd w:id="2"/>
    </w:p>
    <w:p w14:paraId="1951E478" w14:textId="608987B8" w:rsidR="00FE548B" w:rsidRPr="00FE548B" w:rsidRDefault="00FE548B" w:rsidP="00FE548B">
      <w:pPr>
        <w:pStyle w:val="Paragraph"/>
      </w:pPr>
      <w:r w:rsidRPr="00FE548B">
        <w:t>The ACMA is empowered to recover costs for the register through a levy on wagering providers under the </w:t>
      </w:r>
      <w:hyperlink r:id="rId24" w:history="1">
        <w:r w:rsidRPr="00FE548B">
          <w:rPr>
            <w:rStyle w:val="Hyperlink"/>
            <w:i/>
            <w:iCs/>
          </w:rPr>
          <w:t>National Self-exclusion Register (Cost Recovery Levy) Act 2019</w:t>
        </w:r>
      </w:hyperlink>
      <w:r w:rsidRPr="00FE548B">
        <w:t>.</w:t>
      </w:r>
    </w:p>
    <w:p w14:paraId="5B22901D" w14:textId="52A98062" w:rsidR="002E63B6" w:rsidRPr="00FE548B" w:rsidRDefault="00FE548B" w:rsidP="002E63B6">
      <w:pPr>
        <w:pStyle w:val="Paragraph"/>
      </w:pPr>
      <w:r w:rsidRPr="00FE548B">
        <w:t>We made the </w:t>
      </w:r>
      <w:hyperlink r:id="rId25" w:history="1">
        <w:r w:rsidRPr="00FE548B">
          <w:rPr>
            <w:rStyle w:val="Hyperlink"/>
          </w:rPr>
          <w:t>National Self-</w:t>
        </w:r>
        <w:r w:rsidR="00AF33D1">
          <w:rPr>
            <w:rStyle w:val="Hyperlink"/>
          </w:rPr>
          <w:t>e</w:t>
        </w:r>
        <w:r w:rsidRPr="00FE548B">
          <w:rPr>
            <w:rStyle w:val="Hyperlink"/>
          </w:rPr>
          <w:t>xclusion Register (Cost Recovery Levy) Determination 2022</w:t>
        </w:r>
      </w:hyperlink>
      <w:r w:rsidRPr="00FE548B">
        <w:rPr>
          <w:i/>
          <w:iCs/>
        </w:rPr>
        <w:t xml:space="preserve"> </w:t>
      </w:r>
      <w:r w:rsidR="002E63B6" w:rsidRPr="002E63B6">
        <w:t>(</w:t>
      </w:r>
      <w:r w:rsidR="00AF33D1">
        <w:t>l</w:t>
      </w:r>
      <w:r w:rsidR="002E63B6" w:rsidRPr="002E63B6">
        <w:t xml:space="preserve">evy </w:t>
      </w:r>
      <w:r w:rsidR="00AF33D1">
        <w:t>d</w:t>
      </w:r>
      <w:r w:rsidR="002E63B6" w:rsidRPr="002E63B6">
        <w:t>etermination)</w:t>
      </w:r>
      <w:r w:rsidR="002E63B6">
        <w:rPr>
          <w:i/>
          <w:iCs/>
        </w:rPr>
        <w:t xml:space="preserve"> </w:t>
      </w:r>
      <w:r w:rsidRPr="002E63B6">
        <w:t>in mid-2022,</w:t>
      </w:r>
      <w:r w:rsidRPr="00FE548B">
        <w:t xml:space="preserve"> which details the model for recovering costs from industry. </w:t>
      </w:r>
      <w:r w:rsidR="002E63B6" w:rsidRPr="00FE548B">
        <w:t>This follows</w:t>
      </w:r>
      <w:hyperlink r:id="rId26" w:history="1">
        <w:r w:rsidR="002E63B6" w:rsidRPr="00FE548B">
          <w:rPr>
            <w:rStyle w:val="Hyperlink"/>
          </w:rPr>
          <w:t> public consultation</w:t>
        </w:r>
      </w:hyperlink>
      <w:r w:rsidR="002E63B6" w:rsidRPr="00FE548B">
        <w:t xml:space="preserve"> between December 2021 and </w:t>
      </w:r>
      <w:r w:rsidR="00AF33D1">
        <w:br/>
      </w:r>
      <w:r w:rsidR="002E63B6" w:rsidRPr="00FE548B">
        <w:t>February 2022.</w:t>
      </w:r>
    </w:p>
    <w:p w14:paraId="75B68B62" w14:textId="451069EC" w:rsidR="00FE548B" w:rsidRPr="00FE548B" w:rsidRDefault="002E63B6" w:rsidP="00FE548B">
      <w:pPr>
        <w:pStyle w:val="Paragraph"/>
      </w:pPr>
      <w:r>
        <w:t>Cost recovery</w:t>
      </w:r>
      <w:r w:rsidR="008D694A">
        <w:t xml:space="preserve"> </w:t>
      </w:r>
      <w:r w:rsidR="00776CD3">
        <w:t xml:space="preserve">is </w:t>
      </w:r>
      <w:r w:rsidR="008D694A">
        <w:t xml:space="preserve">in the form of an annual levy </w:t>
      </w:r>
      <w:r w:rsidR="00AF33D1">
        <w:t xml:space="preserve">that </w:t>
      </w:r>
      <w:r w:rsidR="008D694A">
        <w:t>will recover costs based on the proportionate use of the service by a wagering provider</w:t>
      </w:r>
      <w:r w:rsidR="00776CD3">
        <w:t xml:space="preserve"> across the previous year</w:t>
      </w:r>
      <w:r w:rsidR="008D694A">
        <w:t xml:space="preserve">. </w:t>
      </w:r>
      <w:r w:rsidR="00FE548B" w:rsidRPr="00FE548B">
        <w:t>Further information about the cost recovery arrangements are detailed in the </w:t>
      </w:r>
      <w:r w:rsidR="00DD3D47">
        <w:t xml:space="preserve">Levy Determination and the </w:t>
      </w:r>
      <w:hyperlink r:id="rId27" w:history="1">
        <w:r w:rsidR="00AF33D1">
          <w:rPr>
            <w:rStyle w:val="Hyperlink"/>
          </w:rPr>
          <w:t>c</w:t>
        </w:r>
        <w:r w:rsidR="00FE548B" w:rsidRPr="00FE548B">
          <w:rPr>
            <w:rStyle w:val="Hyperlink"/>
          </w:rPr>
          <w:t xml:space="preserve">ost </w:t>
        </w:r>
        <w:r w:rsidR="00AF33D1">
          <w:rPr>
            <w:rStyle w:val="Hyperlink"/>
          </w:rPr>
          <w:t>r</w:t>
        </w:r>
        <w:r w:rsidR="00FE548B" w:rsidRPr="00FE548B">
          <w:rPr>
            <w:rStyle w:val="Hyperlink"/>
          </w:rPr>
          <w:t xml:space="preserve">ecovery </w:t>
        </w:r>
        <w:r w:rsidR="00AF33D1">
          <w:rPr>
            <w:rStyle w:val="Hyperlink"/>
          </w:rPr>
          <w:t>i</w:t>
        </w:r>
        <w:r w:rsidR="00FE548B" w:rsidRPr="00FE548B">
          <w:rPr>
            <w:rStyle w:val="Hyperlink"/>
          </w:rPr>
          <w:t xml:space="preserve">mplementation </w:t>
        </w:r>
        <w:r w:rsidR="00AF33D1">
          <w:rPr>
            <w:rStyle w:val="Hyperlink"/>
          </w:rPr>
          <w:t>s</w:t>
        </w:r>
        <w:r w:rsidR="00FE548B" w:rsidRPr="00FE548B">
          <w:rPr>
            <w:rStyle w:val="Hyperlink"/>
          </w:rPr>
          <w:t>tatement</w:t>
        </w:r>
      </w:hyperlink>
      <w:r w:rsidR="00AF33D1">
        <w:t xml:space="preserve"> (CRIS).</w:t>
      </w:r>
      <w:r w:rsidR="00FE548B" w:rsidRPr="00FE548B">
        <w:t> </w:t>
      </w:r>
    </w:p>
    <w:p w14:paraId="0821A718" w14:textId="546DD672" w:rsidR="00961B14" w:rsidRDefault="0063685B" w:rsidP="0063685B">
      <w:pPr>
        <w:pStyle w:val="Paragraph"/>
      </w:pPr>
      <w:r>
        <w:t>Since th</w:t>
      </w:r>
      <w:r w:rsidR="00DD3D47">
        <w:t xml:space="preserve">e </w:t>
      </w:r>
      <w:r w:rsidR="00AF33D1">
        <w:t>l</w:t>
      </w:r>
      <w:r w:rsidR="00DD3D47">
        <w:t xml:space="preserve">evy </w:t>
      </w:r>
      <w:r w:rsidR="00AF33D1">
        <w:t>d</w:t>
      </w:r>
      <w:r w:rsidR="00DD3D47">
        <w:t>etermination was made</w:t>
      </w:r>
      <w:r>
        <w:t>, the previous Register operator went into voluntary administration and the register</w:t>
      </w:r>
      <w:r w:rsidR="00FE548B">
        <w:t xml:space="preserve">’s commencement has been delayed until </w:t>
      </w:r>
      <w:r w:rsidR="00AF33D1">
        <w:br/>
      </w:r>
      <w:r w:rsidR="00FE548B">
        <w:t xml:space="preserve">21 August 2023. </w:t>
      </w:r>
      <w:r>
        <w:t xml:space="preserve">As such, the ACMA must </w:t>
      </w:r>
      <w:r w:rsidR="00DD3D47">
        <w:t xml:space="preserve">now </w:t>
      </w:r>
      <w:r>
        <w:t>vary the determination to reflect t</w:t>
      </w:r>
      <w:r w:rsidR="00FE548B">
        <w:t>hat the register will commence in the 2023</w:t>
      </w:r>
      <w:r w:rsidR="00AF33D1">
        <w:t>–</w:t>
      </w:r>
      <w:r w:rsidR="00FE548B">
        <w:t xml:space="preserve">24 </w:t>
      </w:r>
      <w:r w:rsidR="00AF33D1">
        <w:t>f</w:t>
      </w:r>
      <w:r w:rsidR="00FE548B">
        <w:t xml:space="preserve">inancial </w:t>
      </w:r>
      <w:r w:rsidR="00AF33D1">
        <w:t>y</w:t>
      </w:r>
      <w:r w:rsidR="00FE548B">
        <w:t xml:space="preserve">ear. </w:t>
      </w:r>
    </w:p>
    <w:p w14:paraId="1E9D10D9" w14:textId="32CF2885" w:rsidR="008D694A" w:rsidRDefault="008D694A" w:rsidP="008D694A">
      <w:pPr>
        <w:pStyle w:val="Heading2"/>
      </w:pPr>
      <w:bookmarkStart w:id="3" w:name="_Toc139629643"/>
      <w:r>
        <w:t>Proposed changes</w:t>
      </w:r>
      <w:bookmarkEnd w:id="3"/>
    </w:p>
    <w:p w14:paraId="49963E68" w14:textId="0706E990" w:rsidR="008D694A" w:rsidRPr="00961B14" w:rsidRDefault="008D694A" w:rsidP="008D694A">
      <w:pPr>
        <w:pStyle w:val="ACMANumberedList"/>
        <w:spacing w:after="120"/>
        <w:rPr>
          <w:rFonts w:cs="Arial"/>
          <w:sz w:val="20"/>
        </w:rPr>
      </w:pPr>
      <w:r w:rsidRPr="00961B14">
        <w:rPr>
          <w:rFonts w:ascii="Arial" w:hAnsi="Arial" w:cs="Arial"/>
          <w:sz w:val="20"/>
        </w:rPr>
        <w:t xml:space="preserve">Charging can only happen once BetStop – the National Self-Exclusion Register has commenced. </w:t>
      </w:r>
      <w:r w:rsidR="00DD3D47">
        <w:rPr>
          <w:rFonts w:ascii="Arial" w:hAnsi="Arial" w:cs="Arial"/>
          <w:sz w:val="20"/>
        </w:rPr>
        <w:t xml:space="preserve">As such, </w:t>
      </w:r>
      <w:r w:rsidR="00AF33D1">
        <w:rPr>
          <w:rFonts w:ascii="Arial" w:hAnsi="Arial" w:cs="Arial"/>
          <w:sz w:val="20"/>
        </w:rPr>
        <w:t xml:space="preserve">we are </w:t>
      </w:r>
      <w:r w:rsidR="00DD3D47">
        <w:rPr>
          <w:rFonts w:ascii="Arial" w:hAnsi="Arial" w:cs="Arial"/>
          <w:sz w:val="20"/>
        </w:rPr>
        <w:t xml:space="preserve">proposing </w:t>
      </w:r>
      <w:r w:rsidR="00AF33D1">
        <w:rPr>
          <w:rFonts w:ascii="Arial" w:hAnsi="Arial" w:cs="Arial"/>
          <w:sz w:val="20"/>
        </w:rPr>
        <w:t xml:space="preserve">2 </w:t>
      </w:r>
      <w:r w:rsidRPr="00961B14">
        <w:rPr>
          <w:rFonts w:ascii="Arial" w:hAnsi="Arial" w:cs="Arial"/>
          <w:sz w:val="20"/>
        </w:rPr>
        <w:t xml:space="preserve">changes to the </w:t>
      </w:r>
      <w:r w:rsidR="00AF33D1">
        <w:rPr>
          <w:rFonts w:ascii="Arial" w:hAnsi="Arial" w:cs="Arial"/>
          <w:sz w:val="20"/>
        </w:rPr>
        <w:t>l</w:t>
      </w:r>
      <w:r w:rsidRPr="00961B14">
        <w:rPr>
          <w:rFonts w:ascii="Arial" w:hAnsi="Arial" w:cs="Arial"/>
          <w:sz w:val="20"/>
        </w:rPr>
        <w:t xml:space="preserve">evy </w:t>
      </w:r>
      <w:r w:rsidR="00AF33D1">
        <w:rPr>
          <w:rFonts w:ascii="Arial" w:hAnsi="Arial" w:cs="Arial"/>
          <w:sz w:val="20"/>
        </w:rPr>
        <w:t>d</w:t>
      </w:r>
      <w:r w:rsidRPr="00961B14">
        <w:rPr>
          <w:rFonts w:ascii="Arial" w:hAnsi="Arial" w:cs="Arial"/>
          <w:sz w:val="20"/>
        </w:rPr>
        <w:t>etermination to account for the revised start date:</w:t>
      </w:r>
    </w:p>
    <w:p w14:paraId="7211F6D3" w14:textId="7B142A37" w:rsidR="008D694A" w:rsidRPr="00961B14" w:rsidRDefault="008D694A" w:rsidP="008D694A">
      <w:pPr>
        <w:pStyle w:val="ACMANumberedList"/>
        <w:numPr>
          <w:ilvl w:val="1"/>
          <w:numId w:val="20"/>
        </w:numPr>
        <w:spacing w:after="120"/>
        <w:rPr>
          <w:rFonts w:cs="Arial"/>
          <w:sz w:val="20"/>
        </w:rPr>
      </w:pPr>
      <w:r w:rsidRPr="00961B14">
        <w:rPr>
          <w:rFonts w:ascii="Arial" w:hAnsi="Arial" w:cs="Arial"/>
          <w:sz w:val="20"/>
        </w:rPr>
        <w:t>The defined levy periods will be updated to reflect that BetStop will now commence in 2023</w:t>
      </w:r>
      <w:r w:rsidR="00AF33D1">
        <w:rPr>
          <w:rFonts w:ascii="Arial" w:hAnsi="Arial" w:cs="Arial"/>
          <w:sz w:val="20"/>
        </w:rPr>
        <w:t>–</w:t>
      </w:r>
      <w:r w:rsidRPr="00961B14">
        <w:rPr>
          <w:rFonts w:ascii="Arial" w:hAnsi="Arial" w:cs="Arial"/>
          <w:sz w:val="20"/>
        </w:rPr>
        <w:t>24 (refer to item 4 of the consultation draft). These periods relate to when the ACMA recovers its upfront costs for delivering BetStop.</w:t>
      </w:r>
    </w:p>
    <w:p w14:paraId="3637021A" w14:textId="1FE1C9CB" w:rsidR="008D694A" w:rsidRPr="00961B14" w:rsidRDefault="008D694A" w:rsidP="008D694A">
      <w:pPr>
        <w:pStyle w:val="ACMANumberedList"/>
        <w:numPr>
          <w:ilvl w:val="1"/>
          <w:numId w:val="20"/>
        </w:numPr>
        <w:spacing w:after="120"/>
        <w:rPr>
          <w:rFonts w:ascii="Arial" w:hAnsi="Arial" w:cs="Arial"/>
          <w:sz w:val="20"/>
        </w:rPr>
      </w:pPr>
      <w:r w:rsidRPr="00961B14">
        <w:rPr>
          <w:rFonts w:ascii="Arial" w:hAnsi="Arial" w:cs="Arial"/>
          <w:sz w:val="20"/>
        </w:rPr>
        <w:t>The percentages of the upfront costs to be recovered in each levy period have been re-balanced for 2023</w:t>
      </w:r>
      <w:r w:rsidR="00AF33D1">
        <w:rPr>
          <w:rFonts w:ascii="Arial" w:hAnsi="Arial" w:cs="Arial"/>
          <w:sz w:val="20"/>
        </w:rPr>
        <w:t>–</w:t>
      </w:r>
      <w:r w:rsidRPr="00961B14">
        <w:rPr>
          <w:rFonts w:ascii="Arial" w:hAnsi="Arial" w:cs="Arial"/>
          <w:sz w:val="20"/>
        </w:rPr>
        <w:t>24 to 2025</w:t>
      </w:r>
      <w:r w:rsidR="00AF33D1">
        <w:rPr>
          <w:rFonts w:ascii="Arial" w:hAnsi="Arial" w:cs="Arial"/>
          <w:sz w:val="20"/>
        </w:rPr>
        <w:t>–</w:t>
      </w:r>
      <w:r w:rsidRPr="00961B14">
        <w:rPr>
          <w:rFonts w:ascii="Arial" w:hAnsi="Arial" w:cs="Arial"/>
          <w:sz w:val="20"/>
        </w:rPr>
        <w:t>26</w:t>
      </w:r>
      <w:r w:rsidR="00DD3D47">
        <w:rPr>
          <w:rFonts w:ascii="Arial" w:hAnsi="Arial" w:cs="Arial"/>
          <w:sz w:val="20"/>
        </w:rPr>
        <w:t xml:space="preserve"> (Refer to item 7 of the consultation draft)</w:t>
      </w:r>
      <w:r w:rsidRPr="00961B14">
        <w:rPr>
          <w:rFonts w:ascii="Arial" w:hAnsi="Arial" w:cs="Arial"/>
          <w:sz w:val="20"/>
        </w:rPr>
        <w:t xml:space="preserve">. </w:t>
      </w:r>
    </w:p>
    <w:p w14:paraId="1C06E62B" w14:textId="3909FBD5" w:rsidR="008D694A" w:rsidRPr="001B1779" w:rsidRDefault="00AF33D1" w:rsidP="001B1779">
      <w:pPr>
        <w:pStyle w:val="Paragraph"/>
      </w:pPr>
      <w:r>
        <w:rPr>
          <w:szCs w:val="20"/>
        </w:rPr>
        <w:t xml:space="preserve">We are </w:t>
      </w:r>
      <w:r w:rsidR="008D694A" w:rsidRPr="00961B14">
        <w:rPr>
          <w:szCs w:val="20"/>
        </w:rPr>
        <w:t xml:space="preserve">not </w:t>
      </w:r>
      <w:r w:rsidR="008D694A" w:rsidRPr="001B1779">
        <w:t xml:space="preserve">proposing to vary the method for calculating the levy. </w:t>
      </w:r>
    </w:p>
    <w:p w14:paraId="7DE80EF5" w14:textId="77777777" w:rsidR="00961B14" w:rsidRDefault="00961B14">
      <w:pPr>
        <w:spacing w:after="0" w:line="240" w:lineRule="auto"/>
        <w:rPr>
          <w:szCs w:val="20"/>
        </w:rPr>
      </w:pPr>
      <w:r>
        <w:rPr>
          <w:szCs w:val="20"/>
        </w:rPr>
        <w:br w:type="page"/>
      </w:r>
    </w:p>
    <w:p w14:paraId="187B404E" w14:textId="159B1163" w:rsidR="00D5737E" w:rsidRDefault="00961B14" w:rsidP="000436B2">
      <w:pPr>
        <w:pStyle w:val="Paragraphbeforelist"/>
      </w:pPr>
      <w:r>
        <w:lastRenderedPageBreak/>
        <w:t>The delayed commencement of the Register d</w:t>
      </w:r>
      <w:r w:rsidRPr="00961B14">
        <w:t>ue to the</w:t>
      </w:r>
      <w:r>
        <w:t xml:space="preserve"> previous register operator entering voluntary administration and the subsequent novation of the contract to IXUP Limited have resulted in changes to the expense and revenue profile detailed in the published </w:t>
      </w:r>
      <w:r w:rsidR="000436B2">
        <w:t>CRIS</w:t>
      </w:r>
      <w:r>
        <w:t xml:space="preserve">. </w:t>
      </w:r>
      <w:r w:rsidR="00D5737E">
        <w:t>This includes:</w:t>
      </w:r>
    </w:p>
    <w:p w14:paraId="3BDAFA8C" w14:textId="5C626FFC" w:rsidR="00D5737E" w:rsidRPr="00C25AE3" w:rsidRDefault="005A5B67" w:rsidP="00D5737E">
      <w:pPr>
        <w:pStyle w:val="ListParagraph"/>
        <w:numPr>
          <w:ilvl w:val="0"/>
          <w:numId w:val="21"/>
        </w:numPr>
      </w:pPr>
      <w:r>
        <w:t>M</w:t>
      </w:r>
      <w:r w:rsidR="00D5737E">
        <w:t>oving 15% of the upfront costs previous set to be recovered in 2022</w:t>
      </w:r>
      <w:r w:rsidR="00AF33D1">
        <w:t>–</w:t>
      </w:r>
      <w:r w:rsidR="00D5737E">
        <w:t>23 to the financial years 2023</w:t>
      </w:r>
      <w:r w:rsidR="00AF33D1">
        <w:t>–</w:t>
      </w:r>
      <w:r w:rsidR="00D5737E">
        <w:t>24 to 2025</w:t>
      </w:r>
      <w:r w:rsidR="00AF33D1">
        <w:t>–</w:t>
      </w:r>
      <w:r w:rsidR="00D5737E">
        <w:t>26.</w:t>
      </w:r>
    </w:p>
    <w:p w14:paraId="1D1B4747" w14:textId="4BBCAF37" w:rsidR="00D5737E" w:rsidRPr="00D5737E" w:rsidRDefault="00D5737E" w:rsidP="00D5737E">
      <w:pPr>
        <w:pStyle w:val="ListParagraph"/>
        <w:keepNext/>
        <w:numPr>
          <w:ilvl w:val="0"/>
          <w:numId w:val="21"/>
        </w:numPr>
        <w:rPr>
          <w:szCs w:val="20"/>
        </w:rPr>
      </w:pPr>
      <w:r>
        <w:rPr>
          <w:szCs w:val="20"/>
        </w:rPr>
        <w:t>A forecast increase in the cost of delivering and operating BetStop to 2026</w:t>
      </w:r>
      <w:r w:rsidR="00AF33D1">
        <w:rPr>
          <w:szCs w:val="20"/>
        </w:rPr>
        <w:t>–</w:t>
      </w:r>
      <w:r>
        <w:rPr>
          <w:szCs w:val="20"/>
        </w:rPr>
        <w:t>27 of $7.33 million (approximately 18% i</w:t>
      </w:r>
      <w:r w:rsidRPr="00C85CAE">
        <w:rPr>
          <w:szCs w:val="20"/>
        </w:rPr>
        <w:t>ncrease)</w:t>
      </w:r>
      <w:r w:rsidR="005A5B67">
        <w:rPr>
          <w:szCs w:val="20"/>
        </w:rPr>
        <w:t xml:space="preserve">. This results </w:t>
      </w:r>
      <w:r w:rsidR="00C85CAE" w:rsidRPr="00C85CAE">
        <w:t>from a full review of expected operating costs for the service</w:t>
      </w:r>
      <w:r w:rsidR="005A5B67">
        <w:t>,</w:t>
      </w:r>
      <w:r w:rsidR="00C85CAE" w:rsidRPr="00C85CAE">
        <w:t xml:space="preserve"> taking into account updated demand assumptions and wage growth since earlier estimates.</w:t>
      </w:r>
    </w:p>
    <w:p w14:paraId="7AAAF055" w14:textId="3C5FC5B8" w:rsidR="00961B14" w:rsidRDefault="00961B14" w:rsidP="00961B14">
      <w:pPr>
        <w:keepNext/>
        <w:rPr>
          <w:szCs w:val="20"/>
        </w:rPr>
      </w:pPr>
      <w:r>
        <w:rPr>
          <w:szCs w:val="20"/>
        </w:rPr>
        <w:t xml:space="preserve">These changes are displayed in </w:t>
      </w:r>
      <w:r w:rsidR="00AF33D1">
        <w:rPr>
          <w:szCs w:val="20"/>
        </w:rPr>
        <w:t>T</w:t>
      </w:r>
      <w:r>
        <w:rPr>
          <w:szCs w:val="20"/>
        </w:rPr>
        <w:t xml:space="preserve">able </w:t>
      </w:r>
      <w:r w:rsidR="00D5737E">
        <w:rPr>
          <w:szCs w:val="20"/>
        </w:rPr>
        <w:t xml:space="preserve">1 </w:t>
      </w:r>
      <w:r>
        <w:rPr>
          <w:szCs w:val="20"/>
        </w:rPr>
        <w:t xml:space="preserve">below. </w:t>
      </w:r>
    </w:p>
    <w:p w14:paraId="5238E205" w14:textId="0221AA16" w:rsidR="00D5737E" w:rsidRPr="00574C36" w:rsidRDefault="00D5737E" w:rsidP="00D5737E">
      <w:pPr>
        <w:keepNext/>
        <w:spacing w:after="120"/>
        <w:rPr>
          <w:rFonts w:eastAsia="SimSun"/>
          <w:b/>
          <w:bCs/>
          <w:szCs w:val="22"/>
        </w:rPr>
      </w:pPr>
      <w:r w:rsidRPr="00574C36">
        <w:rPr>
          <w:b/>
          <w:bCs/>
          <w:szCs w:val="22"/>
        </w:rPr>
        <w:t xml:space="preserve">Table </w:t>
      </w:r>
      <w:r>
        <w:rPr>
          <w:b/>
          <w:bCs/>
          <w:szCs w:val="22"/>
        </w:rPr>
        <w:t>1</w:t>
      </w:r>
      <w:r w:rsidRPr="00574C36">
        <w:rPr>
          <w:b/>
          <w:bCs/>
          <w:szCs w:val="22"/>
        </w:rPr>
        <w:t xml:space="preserve">: Updated </w:t>
      </w:r>
      <w:r w:rsidR="00AF33D1">
        <w:rPr>
          <w:b/>
          <w:bCs/>
          <w:szCs w:val="22"/>
        </w:rPr>
        <w:t>e</w:t>
      </w:r>
      <w:r w:rsidRPr="00574C36">
        <w:rPr>
          <w:b/>
          <w:bCs/>
          <w:szCs w:val="22"/>
        </w:rPr>
        <w:t xml:space="preserve">xpenses and </w:t>
      </w:r>
      <w:r w:rsidR="00AF33D1">
        <w:rPr>
          <w:b/>
          <w:bCs/>
          <w:szCs w:val="22"/>
        </w:rPr>
        <w:t>r</w:t>
      </w:r>
      <w:r w:rsidRPr="00574C36">
        <w:rPr>
          <w:b/>
          <w:bCs/>
          <w:szCs w:val="22"/>
        </w:rPr>
        <w:t>evenue (</w:t>
      </w:r>
      <w:r w:rsidR="00AF33D1">
        <w:rPr>
          <w:b/>
          <w:bCs/>
          <w:szCs w:val="22"/>
        </w:rPr>
        <w:t>l</w:t>
      </w:r>
      <w:r w:rsidRPr="00574C36">
        <w:rPr>
          <w:b/>
          <w:bCs/>
          <w:szCs w:val="22"/>
        </w:rPr>
        <w:t>evy) estimates</w:t>
      </w:r>
      <w:r>
        <w:rPr>
          <w:b/>
          <w:bCs/>
          <w:szCs w:val="22"/>
        </w:rPr>
        <w:t xml:space="preserve"> ($m) </w:t>
      </w:r>
    </w:p>
    <w:tbl>
      <w:tblPr>
        <w:tblStyle w:val="ACMAtablestyle"/>
        <w:tblW w:w="10075" w:type="dxa"/>
        <w:tblLayout w:type="fixed"/>
        <w:tblLook w:val="04A0" w:firstRow="1" w:lastRow="0" w:firstColumn="1" w:lastColumn="0" w:noHBand="0" w:noVBand="1"/>
      </w:tblPr>
      <w:tblGrid>
        <w:gridCol w:w="895"/>
        <w:gridCol w:w="990"/>
        <w:gridCol w:w="819"/>
        <w:gridCol w:w="819"/>
        <w:gridCol w:w="819"/>
        <w:gridCol w:w="819"/>
        <w:gridCol w:w="819"/>
        <w:gridCol w:w="819"/>
        <w:gridCol w:w="819"/>
        <w:gridCol w:w="819"/>
        <w:gridCol w:w="819"/>
        <w:gridCol w:w="819"/>
      </w:tblGrid>
      <w:tr w:rsidR="00961B14" w:rsidRPr="00703E69" w14:paraId="0174A887" w14:textId="77777777" w:rsidTr="00D5737E">
        <w:trPr>
          <w:cnfStyle w:val="100000000000" w:firstRow="1" w:lastRow="0" w:firstColumn="0" w:lastColumn="0" w:oddVBand="0" w:evenVBand="0" w:oddHBand="0" w:evenHBand="0" w:firstRowFirstColumn="0" w:firstRowLastColumn="0" w:lastRowFirstColumn="0" w:lastRowLastColumn="0"/>
          <w:trHeight w:val="420"/>
        </w:trPr>
        <w:tc>
          <w:tcPr>
            <w:tcW w:w="1885" w:type="dxa"/>
            <w:gridSpan w:val="2"/>
          </w:tcPr>
          <w:p w14:paraId="24653004" w14:textId="77777777" w:rsidR="00961B14" w:rsidRPr="00703E69" w:rsidRDefault="00961B14" w:rsidP="00961B14">
            <w:pPr>
              <w:keepNext/>
              <w:jc w:val="center"/>
              <w:rPr>
                <w:rFonts w:cs="Arial"/>
                <w:b/>
                <w:sz w:val="16"/>
                <w:szCs w:val="16"/>
              </w:rPr>
            </w:pPr>
          </w:p>
        </w:tc>
        <w:tc>
          <w:tcPr>
            <w:tcW w:w="819" w:type="dxa"/>
          </w:tcPr>
          <w:p w14:paraId="58EFD115"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 xml:space="preserve">Actual 18–19 </w:t>
            </w:r>
          </w:p>
        </w:tc>
        <w:tc>
          <w:tcPr>
            <w:tcW w:w="819" w:type="dxa"/>
          </w:tcPr>
          <w:p w14:paraId="03350559"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 xml:space="preserve">Actual 19–20 </w:t>
            </w:r>
          </w:p>
        </w:tc>
        <w:tc>
          <w:tcPr>
            <w:tcW w:w="819" w:type="dxa"/>
          </w:tcPr>
          <w:p w14:paraId="241ADE55"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Actual 20–21</w:t>
            </w:r>
          </w:p>
        </w:tc>
        <w:tc>
          <w:tcPr>
            <w:tcW w:w="819" w:type="dxa"/>
          </w:tcPr>
          <w:p w14:paraId="35D022CC"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Actual</w:t>
            </w:r>
            <w:r w:rsidRPr="00703E69">
              <w:rPr>
                <w:rFonts w:cs="Arial"/>
                <w:b/>
                <w:sz w:val="16"/>
                <w:szCs w:val="16"/>
              </w:rPr>
              <w:br/>
              <w:t xml:space="preserve">21–22 </w:t>
            </w:r>
          </w:p>
        </w:tc>
        <w:tc>
          <w:tcPr>
            <w:tcW w:w="819" w:type="dxa"/>
          </w:tcPr>
          <w:p w14:paraId="0CD3B445"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 xml:space="preserve">Estimate22–23 </w:t>
            </w:r>
          </w:p>
        </w:tc>
        <w:tc>
          <w:tcPr>
            <w:tcW w:w="819" w:type="dxa"/>
          </w:tcPr>
          <w:p w14:paraId="30B76B79"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 xml:space="preserve">Estimate23–24 </w:t>
            </w:r>
          </w:p>
        </w:tc>
        <w:tc>
          <w:tcPr>
            <w:tcW w:w="819" w:type="dxa"/>
          </w:tcPr>
          <w:p w14:paraId="07A2C179"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 xml:space="preserve">Estimate24–25 </w:t>
            </w:r>
          </w:p>
        </w:tc>
        <w:tc>
          <w:tcPr>
            <w:tcW w:w="819" w:type="dxa"/>
          </w:tcPr>
          <w:p w14:paraId="09E5017F" w14:textId="77777777" w:rsidR="00961B14" w:rsidRPr="00703E69" w:rsidRDefault="00961B14" w:rsidP="00961B14">
            <w:pPr>
              <w:keepNext/>
              <w:spacing w:after="0" w:line="240" w:lineRule="auto"/>
              <w:jc w:val="center"/>
              <w:rPr>
                <w:rFonts w:cs="Arial"/>
                <w:b/>
                <w:sz w:val="16"/>
                <w:szCs w:val="16"/>
              </w:rPr>
            </w:pPr>
            <w:bookmarkStart w:id="4" w:name="_Hlk88147862"/>
            <w:r w:rsidRPr="00703E69">
              <w:rPr>
                <w:rFonts w:cs="Arial"/>
                <w:b/>
                <w:sz w:val="16"/>
                <w:szCs w:val="16"/>
              </w:rPr>
              <w:t xml:space="preserve">Estimate25–26 </w:t>
            </w:r>
            <w:bookmarkEnd w:id="4"/>
          </w:p>
        </w:tc>
        <w:tc>
          <w:tcPr>
            <w:tcW w:w="819" w:type="dxa"/>
          </w:tcPr>
          <w:p w14:paraId="31772401" w14:textId="77777777" w:rsidR="00961B14" w:rsidRPr="00703E69" w:rsidRDefault="00961B14" w:rsidP="00961B14">
            <w:pPr>
              <w:keepNext/>
              <w:spacing w:after="0" w:line="240" w:lineRule="auto"/>
              <w:jc w:val="center"/>
              <w:rPr>
                <w:rFonts w:cs="Arial"/>
                <w:b/>
                <w:sz w:val="16"/>
                <w:szCs w:val="16"/>
              </w:rPr>
            </w:pPr>
            <w:r w:rsidRPr="00703E69">
              <w:rPr>
                <w:rFonts w:cs="Arial"/>
                <w:b/>
                <w:sz w:val="16"/>
                <w:szCs w:val="16"/>
              </w:rPr>
              <w:t xml:space="preserve">Estimate26–27 </w:t>
            </w:r>
          </w:p>
        </w:tc>
        <w:tc>
          <w:tcPr>
            <w:tcW w:w="819" w:type="dxa"/>
          </w:tcPr>
          <w:p w14:paraId="42ACFD0D" w14:textId="77777777" w:rsidR="00961B14" w:rsidRPr="00703E69" w:rsidRDefault="00961B14" w:rsidP="00961B14">
            <w:pPr>
              <w:keepNext/>
              <w:jc w:val="center"/>
              <w:rPr>
                <w:rFonts w:cs="Arial"/>
                <w:b/>
                <w:sz w:val="16"/>
                <w:szCs w:val="16"/>
              </w:rPr>
            </w:pPr>
            <w:r w:rsidRPr="00703E69">
              <w:rPr>
                <w:rFonts w:cs="Arial"/>
                <w:b/>
                <w:sz w:val="16"/>
                <w:szCs w:val="16"/>
              </w:rPr>
              <w:t>Total</w:t>
            </w:r>
          </w:p>
        </w:tc>
      </w:tr>
      <w:tr w:rsidR="00961B14" w:rsidRPr="00703E69" w14:paraId="7EA5B7BF" w14:textId="77777777" w:rsidTr="00D5737E">
        <w:trPr>
          <w:cnfStyle w:val="000000100000" w:firstRow="0" w:lastRow="0" w:firstColumn="0" w:lastColumn="0" w:oddVBand="0" w:evenVBand="0" w:oddHBand="1" w:evenHBand="0" w:firstRowFirstColumn="0" w:firstRowLastColumn="0" w:lastRowFirstColumn="0" w:lastRowLastColumn="0"/>
          <w:trHeight w:val="349"/>
        </w:trPr>
        <w:tc>
          <w:tcPr>
            <w:tcW w:w="895" w:type="dxa"/>
            <w:vMerge w:val="restart"/>
          </w:tcPr>
          <w:p w14:paraId="7371FD7C" w14:textId="77777777" w:rsidR="00961B14" w:rsidRPr="00703E69" w:rsidRDefault="00961B14" w:rsidP="00961B14">
            <w:pPr>
              <w:keepNext/>
              <w:spacing w:after="0" w:line="240" w:lineRule="auto"/>
              <w:jc w:val="center"/>
              <w:rPr>
                <w:rFonts w:cs="Arial"/>
                <w:sz w:val="16"/>
                <w:szCs w:val="16"/>
              </w:rPr>
            </w:pPr>
            <w:r w:rsidRPr="00703E69">
              <w:rPr>
                <w:rFonts w:cs="Arial"/>
                <w:sz w:val="16"/>
                <w:szCs w:val="16"/>
              </w:rPr>
              <w:t>Expenses</w:t>
            </w:r>
          </w:p>
          <w:p w14:paraId="771671F6" w14:textId="77777777" w:rsidR="00961B14" w:rsidRPr="00703E69" w:rsidRDefault="00961B14" w:rsidP="00961B14">
            <w:pPr>
              <w:keepNext/>
              <w:spacing w:after="0" w:line="240" w:lineRule="auto"/>
              <w:jc w:val="center"/>
              <w:rPr>
                <w:rFonts w:cs="Arial"/>
                <w:sz w:val="16"/>
                <w:szCs w:val="16"/>
              </w:rPr>
            </w:pPr>
            <w:r w:rsidRPr="00703E69">
              <w:rPr>
                <w:rFonts w:cs="Arial"/>
                <w:sz w:val="16"/>
                <w:szCs w:val="16"/>
              </w:rPr>
              <w:t>(X)</w:t>
            </w:r>
          </w:p>
          <w:p w14:paraId="331ECFBF" w14:textId="77777777" w:rsidR="00961B14" w:rsidRPr="00703E69" w:rsidRDefault="00961B14" w:rsidP="00961B14">
            <w:pPr>
              <w:keepNext/>
              <w:spacing w:after="0" w:line="240" w:lineRule="auto"/>
              <w:jc w:val="center"/>
              <w:rPr>
                <w:rFonts w:cs="Arial"/>
                <w:sz w:val="16"/>
                <w:szCs w:val="16"/>
              </w:rPr>
            </w:pPr>
          </w:p>
        </w:tc>
        <w:tc>
          <w:tcPr>
            <w:tcW w:w="990" w:type="dxa"/>
          </w:tcPr>
          <w:p w14:paraId="4014A316" w14:textId="77777777" w:rsidR="00961B14" w:rsidRPr="004B3317" w:rsidRDefault="00961B14" w:rsidP="00961B14">
            <w:pPr>
              <w:keepNext/>
              <w:spacing w:after="0" w:line="240" w:lineRule="auto"/>
              <w:jc w:val="center"/>
              <w:rPr>
                <w:rFonts w:cs="Arial"/>
                <w:sz w:val="16"/>
                <w:szCs w:val="16"/>
              </w:rPr>
            </w:pPr>
            <w:r w:rsidRPr="004B3317">
              <w:rPr>
                <w:rFonts w:cs="Arial"/>
                <w:sz w:val="16"/>
                <w:szCs w:val="16"/>
              </w:rPr>
              <w:t>Revised forecast</w:t>
            </w:r>
          </w:p>
        </w:tc>
        <w:tc>
          <w:tcPr>
            <w:tcW w:w="819" w:type="dxa"/>
          </w:tcPr>
          <w:p w14:paraId="72C14E84"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0.38</w:t>
            </w:r>
          </w:p>
        </w:tc>
        <w:tc>
          <w:tcPr>
            <w:tcW w:w="819" w:type="dxa"/>
          </w:tcPr>
          <w:p w14:paraId="7CEE21C0"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2.11</w:t>
            </w:r>
          </w:p>
        </w:tc>
        <w:tc>
          <w:tcPr>
            <w:tcW w:w="819" w:type="dxa"/>
          </w:tcPr>
          <w:p w14:paraId="5691B012"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2.97</w:t>
            </w:r>
          </w:p>
        </w:tc>
        <w:tc>
          <w:tcPr>
            <w:tcW w:w="819" w:type="dxa"/>
          </w:tcPr>
          <w:p w14:paraId="2E1C7CFB"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7.58</w:t>
            </w:r>
          </w:p>
        </w:tc>
        <w:tc>
          <w:tcPr>
            <w:tcW w:w="819" w:type="dxa"/>
          </w:tcPr>
          <w:p w14:paraId="15F365E1"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5.97</w:t>
            </w:r>
          </w:p>
        </w:tc>
        <w:tc>
          <w:tcPr>
            <w:tcW w:w="819" w:type="dxa"/>
          </w:tcPr>
          <w:p w14:paraId="35982129"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8.37</w:t>
            </w:r>
          </w:p>
        </w:tc>
        <w:tc>
          <w:tcPr>
            <w:tcW w:w="819" w:type="dxa"/>
          </w:tcPr>
          <w:p w14:paraId="283CF31E"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6.60</w:t>
            </w:r>
          </w:p>
        </w:tc>
        <w:tc>
          <w:tcPr>
            <w:tcW w:w="819" w:type="dxa"/>
          </w:tcPr>
          <w:p w14:paraId="45479BD7"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6.73</w:t>
            </w:r>
          </w:p>
        </w:tc>
        <w:tc>
          <w:tcPr>
            <w:tcW w:w="819" w:type="dxa"/>
          </w:tcPr>
          <w:p w14:paraId="67326E0E" w14:textId="77777777" w:rsidR="00961B14" w:rsidRPr="00703E69" w:rsidRDefault="00961B14" w:rsidP="00961B14">
            <w:pPr>
              <w:keepNext/>
              <w:spacing w:after="0" w:line="240" w:lineRule="auto"/>
              <w:jc w:val="center"/>
              <w:rPr>
                <w:rFonts w:cs="Arial"/>
                <w:sz w:val="16"/>
                <w:szCs w:val="16"/>
              </w:rPr>
            </w:pPr>
            <w:r w:rsidRPr="00703E69">
              <w:rPr>
                <w:rFonts w:cs="Arial"/>
                <w:b/>
                <w:bCs/>
                <w:color w:val="000000"/>
                <w:sz w:val="16"/>
                <w:szCs w:val="16"/>
              </w:rPr>
              <w:t>6.93</w:t>
            </w:r>
          </w:p>
        </w:tc>
        <w:tc>
          <w:tcPr>
            <w:tcW w:w="819" w:type="dxa"/>
          </w:tcPr>
          <w:p w14:paraId="14B4FEF5" w14:textId="77777777" w:rsidR="00961B14" w:rsidRPr="00703E69" w:rsidRDefault="00961B14" w:rsidP="00961B14">
            <w:pPr>
              <w:keepNext/>
              <w:spacing w:after="0" w:line="240" w:lineRule="auto"/>
              <w:jc w:val="center"/>
              <w:rPr>
                <w:rFonts w:cs="Arial"/>
                <w:b/>
                <w:bCs/>
                <w:color w:val="000000"/>
                <w:sz w:val="16"/>
                <w:szCs w:val="16"/>
              </w:rPr>
            </w:pPr>
            <w:r w:rsidRPr="00703E69">
              <w:rPr>
                <w:rFonts w:cs="Arial"/>
                <w:b/>
                <w:bCs/>
                <w:color w:val="000000"/>
                <w:sz w:val="16"/>
                <w:szCs w:val="16"/>
              </w:rPr>
              <w:t>47.63</w:t>
            </w:r>
          </w:p>
        </w:tc>
      </w:tr>
      <w:tr w:rsidR="00961B14" w:rsidRPr="00703E69" w14:paraId="2E86F48B" w14:textId="77777777" w:rsidTr="00D5737E">
        <w:trPr>
          <w:cnfStyle w:val="000000010000" w:firstRow="0" w:lastRow="0" w:firstColumn="0" w:lastColumn="0" w:oddVBand="0" w:evenVBand="0" w:oddHBand="0" w:evenHBand="1" w:firstRowFirstColumn="0" w:firstRowLastColumn="0" w:lastRowFirstColumn="0" w:lastRowLastColumn="0"/>
          <w:trHeight w:val="469"/>
        </w:trPr>
        <w:tc>
          <w:tcPr>
            <w:tcW w:w="895" w:type="dxa"/>
            <w:vMerge/>
          </w:tcPr>
          <w:p w14:paraId="368703D0" w14:textId="77777777" w:rsidR="00961B14" w:rsidRPr="00703E69" w:rsidRDefault="00961B14" w:rsidP="00961B14">
            <w:pPr>
              <w:keepNext/>
              <w:spacing w:after="0" w:line="240" w:lineRule="auto"/>
              <w:jc w:val="center"/>
              <w:rPr>
                <w:rFonts w:cs="Arial"/>
                <w:sz w:val="16"/>
                <w:szCs w:val="16"/>
              </w:rPr>
            </w:pPr>
          </w:p>
        </w:tc>
        <w:tc>
          <w:tcPr>
            <w:tcW w:w="990" w:type="dxa"/>
          </w:tcPr>
          <w:p w14:paraId="74AA0BEA" w14:textId="77777777" w:rsidR="00961B14" w:rsidRPr="004B3317" w:rsidRDefault="00961B14" w:rsidP="00961B14">
            <w:pPr>
              <w:keepNext/>
              <w:spacing w:after="0" w:line="240" w:lineRule="auto"/>
              <w:jc w:val="center"/>
              <w:rPr>
                <w:rFonts w:cs="Arial"/>
                <w:sz w:val="16"/>
                <w:szCs w:val="16"/>
              </w:rPr>
            </w:pPr>
            <w:r w:rsidRPr="004B3317">
              <w:rPr>
                <w:rFonts w:cs="Arial"/>
                <w:sz w:val="16"/>
                <w:szCs w:val="16"/>
              </w:rPr>
              <w:t>Variation from 2022 CRIS</w:t>
            </w:r>
          </w:p>
        </w:tc>
        <w:tc>
          <w:tcPr>
            <w:tcW w:w="819" w:type="dxa"/>
          </w:tcPr>
          <w:p w14:paraId="3A98098B" w14:textId="77777777" w:rsidR="00961B14" w:rsidRPr="00703E69" w:rsidRDefault="00961B14" w:rsidP="00961B14">
            <w:pPr>
              <w:keepNext/>
              <w:spacing w:after="0" w:line="240" w:lineRule="auto"/>
              <w:jc w:val="center"/>
              <w:rPr>
                <w:rFonts w:cs="Arial"/>
                <w:b/>
                <w:bCs/>
                <w:color w:val="000000"/>
                <w:sz w:val="16"/>
                <w:szCs w:val="16"/>
              </w:rPr>
            </w:pPr>
            <w:r w:rsidRPr="00703E69">
              <w:rPr>
                <w:rFonts w:cs="Arial"/>
                <w:b/>
                <w:bCs/>
                <w:color w:val="000000"/>
                <w:sz w:val="16"/>
                <w:szCs w:val="16"/>
              </w:rPr>
              <w:t>0.00</w:t>
            </w:r>
          </w:p>
        </w:tc>
        <w:tc>
          <w:tcPr>
            <w:tcW w:w="819" w:type="dxa"/>
          </w:tcPr>
          <w:p w14:paraId="75B2E4F2" w14:textId="77777777" w:rsidR="00961B14" w:rsidRPr="00703E69" w:rsidRDefault="00961B14" w:rsidP="00961B14">
            <w:pPr>
              <w:keepNext/>
              <w:spacing w:after="0" w:line="240" w:lineRule="auto"/>
              <w:jc w:val="center"/>
              <w:rPr>
                <w:rFonts w:cs="Arial"/>
                <w:b/>
                <w:bCs/>
                <w:color w:val="000000"/>
                <w:sz w:val="16"/>
                <w:szCs w:val="16"/>
              </w:rPr>
            </w:pPr>
            <w:r w:rsidRPr="00703E69">
              <w:rPr>
                <w:rFonts w:cs="Arial"/>
                <w:b/>
                <w:bCs/>
                <w:color w:val="000000"/>
                <w:sz w:val="16"/>
                <w:szCs w:val="16"/>
              </w:rPr>
              <w:t>0.00</w:t>
            </w:r>
          </w:p>
        </w:tc>
        <w:tc>
          <w:tcPr>
            <w:tcW w:w="819" w:type="dxa"/>
          </w:tcPr>
          <w:p w14:paraId="6B0614BE" w14:textId="77777777" w:rsidR="00961B14" w:rsidRPr="00703E69" w:rsidRDefault="00961B14" w:rsidP="00961B14">
            <w:pPr>
              <w:keepNext/>
              <w:spacing w:after="0" w:line="240" w:lineRule="auto"/>
              <w:jc w:val="center"/>
              <w:rPr>
                <w:rFonts w:cs="Arial"/>
                <w:b/>
                <w:bCs/>
                <w:color w:val="000000"/>
                <w:sz w:val="16"/>
                <w:szCs w:val="16"/>
              </w:rPr>
            </w:pPr>
            <w:r w:rsidRPr="00703E69">
              <w:rPr>
                <w:rFonts w:cs="Arial"/>
                <w:b/>
                <w:bCs/>
                <w:color w:val="000000"/>
                <w:sz w:val="16"/>
                <w:szCs w:val="16"/>
              </w:rPr>
              <w:t>0.00</w:t>
            </w:r>
          </w:p>
        </w:tc>
        <w:tc>
          <w:tcPr>
            <w:tcW w:w="819" w:type="dxa"/>
          </w:tcPr>
          <w:p w14:paraId="6356AE8A" w14:textId="77777777" w:rsidR="00961B14" w:rsidRPr="00703E69" w:rsidRDefault="00961B14" w:rsidP="00961B14">
            <w:pPr>
              <w:keepNext/>
              <w:spacing w:after="0" w:line="240" w:lineRule="auto"/>
              <w:jc w:val="center"/>
              <w:rPr>
                <w:rFonts w:cs="Arial"/>
                <w:b/>
                <w:bCs/>
                <w:color w:val="000000"/>
                <w:sz w:val="16"/>
                <w:szCs w:val="16"/>
              </w:rPr>
            </w:pPr>
            <w:r w:rsidRPr="00703E69">
              <w:rPr>
                <w:rFonts w:cs="Arial"/>
                <w:b/>
                <w:bCs/>
                <w:color w:val="000000"/>
                <w:sz w:val="16"/>
                <w:szCs w:val="16"/>
              </w:rPr>
              <w:t>-0.16</w:t>
            </w:r>
          </w:p>
        </w:tc>
        <w:tc>
          <w:tcPr>
            <w:tcW w:w="819" w:type="dxa"/>
          </w:tcPr>
          <w:p w14:paraId="0F72C52B" w14:textId="77777777" w:rsidR="00961B14" w:rsidRPr="00703E69" w:rsidRDefault="00961B14" w:rsidP="00961B14">
            <w:pPr>
              <w:keepNext/>
              <w:spacing w:after="0" w:line="240" w:lineRule="auto"/>
              <w:jc w:val="center"/>
              <w:rPr>
                <w:rFonts w:cs="Arial"/>
                <w:b/>
                <w:bCs/>
                <w:color w:val="000000"/>
                <w:sz w:val="16"/>
                <w:szCs w:val="16"/>
              </w:rPr>
            </w:pPr>
            <w:r w:rsidRPr="00703E69">
              <w:rPr>
                <w:rFonts w:cs="Arial"/>
                <w:b/>
                <w:bCs/>
                <w:color w:val="000000"/>
                <w:sz w:val="16"/>
                <w:szCs w:val="16"/>
              </w:rPr>
              <w:t>-1.84</w:t>
            </w:r>
          </w:p>
        </w:tc>
        <w:tc>
          <w:tcPr>
            <w:tcW w:w="819" w:type="dxa"/>
          </w:tcPr>
          <w:p w14:paraId="4102BEB7" w14:textId="77777777" w:rsidR="00961B14" w:rsidRPr="00703E69" w:rsidRDefault="00961B14" w:rsidP="00961B14">
            <w:pPr>
              <w:keepNext/>
              <w:spacing w:after="0" w:line="240" w:lineRule="auto"/>
              <w:jc w:val="center"/>
              <w:rPr>
                <w:rFonts w:cs="Arial"/>
                <w:b/>
                <w:bCs/>
                <w:color w:val="FF0000"/>
                <w:sz w:val="16"/>
                <w:szCs w:val="16"/>
              </w:rPr>
            </w:pPr>
            <w:r w:rsidRPr="00703E69">
              <w:rPr>
                <w:rFonts w:cs="Arial"/>
                <w:b/>
                <w:bCs/>
                <w:color w:val="FF0000"/>
                <w:sz w:val="16"/>
                <w:szCs w:val="16"/>
              </w:rPr>
              <w:t>+2.73</w:t>
            </w:r>
          </w:p>
        </w:tc>
        <w:tc>
          <w:tcPr>
            <w:tcW w:w="819" w:type="dxa"/>
          </w:tcPr>
          <w:p w14:paraId="215B3FE2" w14:textId="77777777" w:rsidR="00961B14" w:rsidRPr="00703E69" w:rsidRDefault="00961B14" w:rsidP="00961B14">
            <w:pPr>
              <w:keepNext/>
              <w:spacing w:after="0" w:line="240" w:lineRule="auto"/>
              <w:jc w:val="center"/>
              <w:rPr>
                <w:rFonts w:cs="Arial"/>
                <w:b/>
                <w:bCs/>
                <w:color w:val="FF0000"/>
                <w:sz w:val="16"/>
                <w:szCs w:val="16"/>
              </w:rPr>
            </w:pPr>
            <w:r w:rsidRPr="00703E69">
              <w:rPr>
                <w:rFonts w:cs="Arial"/>
                <w:b/>
                <w:bCs/>
                <w:color w:val="FF0000"/>
                <w:sz w:val="16"/>
                <w:szCs w:val="16"/>
              </w:rPr>
              <w:t>+2.05</w:t>
            </w:r>
          </w:p>
        </w:tc>
        <w:tc>
          <w:tcPr>
            <w:tcW w:w="819" w:type="dxa"/>
          </w:tcPr>
          <w:p w14:paraId="44AE8CEE" w14:textId="77777777" w:rsidR="00961B14" w:rsidRPr="00703E69" w:rsidRDefault="00961B14" w:rsidP="00961B14">
            <w:pPr>
              <w:keepNext/>
              <w:spacing w:after="0" w:line="240" w:lineRule="auto"/>
              <w:jc w:val="center"/>
              <w:rPr>
                <w:rFonts w:cs="Arial"/>
                <w:b/>
                <w:bCs/>
                <w:color w:val="FF0000"/>
                <w:sz w:val="16"/>
                <w:szCs w:val="16"/>
              </w:rPr>
            </w:pPr>
            <w:r w:rsidRPr="00703E69">
              <w:rPr>
                <w:rFonts w:cs="Arial"/>
                <w:b/>
                <w:bCs/>
                <w:color w:val="FF0000"/>
                <w:sz w:val="16"/>
                <w:szCs w:val="16"/>
              </w:rPr>
              <w:t>+2.18</w:t>
            </w:r>
          </w:p>
        </w:tc>
        <w:tc>
          <w:tcPr>
            <w:tcW w:w="819" w:type="dxa"/>
          </w:tcPr>
          <w:p w14:paraId="77615967" w14:textId="77777777" w:rsidR="00961B14" w:rsidRPr="00703E69" w:rsidRDefault="00961B14" w:rsidP="00961B14">
            <w:pPr>
              <w:keepNext/>
              <w:spacing w:after="0" w:line="240" w:lineRule="auto"/>
              <w:jc w:val="center"/>
              <w:rPr>
                <w:rFonts w:cs="Arial"/>
                <w:b/>
                <w:bCs/>
                <w:color w:val="FF0000"/>
                <w:sz w:val="16"/>
                <w:szCs w:val="16"/>
              </w:rPr>
            </w:pPr>
            <w:r w:rsidRPr="00703E69">
              <w:rPr>
                <w:rFonts w:cs="Arial"/>
                <w:b/>
                <w:bCs/>
                <w:color w:val="FF0000"/>
                <w:sz w:val="16"/>
                <w:szCs w:val="16"/>
              </w:rPr>
              <w:t>+2.38</w:t>
            </w:r>
          </w:p>
        </w:tc>
        <w:tc>
          <w:tcPr>
            <w:tcW w:w="819" w:type="dxa"/>
          </w:tcPr>
          <w:p w14:paraId="6CAFC78A" w14:textId="77777777" w:rsidR="00961B14" w:rsidRPr="00703E69" w:rsidRDefault="00961B14" w:rsidP="00961B14">
            <w:pPr>
              <w:keepNext/>
              <w:spacing w:after="0" w:line="240" w:lineRule="auto"/>
              <w:jc w:val="center"/>
              <w:rPr>
                <w:rFonts w:cs="Arial"/>
                <w:b/>
                <w:bCs/>
                <w:color w:val="FF0000"/>
                <w:sz w:val="16"/>
                <w:szCs w:val="16"/>
              </w:rPr>
            </w:pPr>
            <w:r w:rsidRPr="00703E69">
              <w:rPr>
                <w:rFonts w:cs="Arial"/>
                <w:b/>
                <w:bCs/>
                <w:color w:val="FF0000"/>
                <w:sz w:val="16"/>
                <w:szCs w:val="16"/>
              </w:rPr>
              <w:t>+7.33</w:t>
            </w:r>
          </w:p>
        </w:tc>
      </w:tr>
      <w:tr w:rsidR="00961B14" w:rsidRPr="00703E69" w14:paraId="64649BDD" w14:textId="77777777" w:rsidTr="00D5737E">
        <w:trPr>
          <w:cnfStyle w:val="000000100000" w:firstRow="0" w:lastRow="0" w:firstColumn="0" w:lastColumn="0" w:oddVBand="0" w:evenVBand="0" w:oddHBand="1" w:evenHBand="0" w:firstRowFirstColumn="0" w:firstRowLastColumn="0" w:lastRowFirstColumn="0" w:lastRowLastColumn="0"/>
          <w:trHeight w:val="194"/>
        </w:trPr>
        <w:tc>
          <w:tcPr>
            <w:tcW w:w="895" w:type="dxa"/>
            <w:vMerge w:val="restart"/>
          </w:tcPr>
          <w:p w14:paraId="0A603245" w14:textId="77777777" w:rsidR="00961B14" w:rsidRPr="00703E69" w:rsidRDefault="00961B14" w:rsidP="00A70725">
            <w:pPr>
              <w:spacing w:after="0" w:line="240" w:lineRule="auto"/>
              <w:jc w:val="center"/>
              <w:rPr>
                <w:rFonts w:cs="Arial"/>
                <w:sz w:val="16"/>
                <w:szCs w:val="16"/>
              </w:rPr>
            </w:pPr>
            <w:r w:rsidRPr="00703E69">
              <w:rPr>
                <w:rFonts w:cs="Arial"/>
                <w:sz w:val="16"/>
                <w:szCs w:val="16"/>
              </w:rPr>
              <w:t>Revenue</w:t>
            </w:r>
          </w:p>
          <w:p w14:paraId="27753644" w14:textId="77777777" w:rsidR="00961B14" w:rsidRPr="00703E69" w:rsidRDefault="00961B14" w:rsidP="00A70725">
            <w:pPr>
              <w:spacing w:after="0" w:line="240" w:lineRule="auto"/>
              <w:jc w:val="center"/>
              <w:rPr>
                <w:rFonts w:cs="Arial"/>
                <w:sz w:val="16"/>
                <w:szCs w:val="16"/>
              </w:rPr>
            </w:pPr>
            <w:r w:rsidRPr="00703E69">
              <w:rPr>
                <w:rFonts w:cs="Arial"/>
                <w:sz w:val="16"/>
                <w:szCs w:val="16"/>
              </w:rPr>
              <w:t>(Y)</w:t>
            </w:r>
          </w:p>
        </w:tc>
        <w:tc>
          <w:tcPr>
            <w:tcW w:w="990" w:type="dxa"/>
          </w:tcPr>
          <w:p w14:paraId="56AFA731" w14:textId="77777777" w:rsidR="00961B14" w:rsidRPr="004B3317" w:rsidRDefault="00961B14" w:rsidP="00A70725">
            <w:pPr>
              <w:keepNext/>
              <w:spacing w:after="0" w:line="240" w:lineRule="auto"/>
              <w:jc w:val="center"/>
              <w:rPr>
                <w:rFonts w:cs="Arial"/>
                <w:sz w:val="16"/>
                <w:szCs w:val="16"/>
              </w:rPr>
            </w:pPr>
            <w:r w:rsidRPr="004B3317">
              <w:rPr>
                <w:rFonts w:cs="Arial"/>
                <w:sz w:val="16"/>
                <w:szCs w:val="16"/>
              </w:rPr>
              <w:t>Revised forecast</w:t>
            </w:r>
          </w:p>
        </w:tc>
        <w:tc>
          <w:tcPr>
            <w:tcW w:w="819" w:type="dxa"/>
          </w:tcPr>
          <w:p w14:paraId="2BADF07F"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0.00</w:t>
            </w:r>
          </w:p>
        </w:tc>
        <w:tc>
          <w:tcPr>
            <w:tcW w:w="819" w:type="dxa"/>
          </w:tcPr>
          <w:p w14:paraId="4AF00EFA"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0.00</w:t>
            </w:r>
          </w:p>
        </w:tc>
        <w:tc>
          <w:tcPr>
            <w:tcW w:w="819" w:type="dxa"/>
          </w:tcPr>
          <w:p w14:paraId="767B7AAA"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0.00</w:t>
            </w:r>
          </w:p>
        </w:tc>
        <w:tc>
          <w:tcPr>
            <w:tcW w:w="819" w:type="dxa"/>
          </w:tcPr>
          <w:p w14:paraId="7A1DB088"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0.00</w:t>
            </w:r>
          </w:p>
        </w:tc>
        <w:tc>
          <w:tcPr>
            <w:tcW w:w="819" w:type="dxa"/>
          </w:tcPr>
          <w:p w14:paraId="600A5D72"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0.00</w:t>
            </w:r>
          </w:p>
        </w:tc>
        <w:tc>
          <w:tcPr>
            <w:tcW w:w="819" w:type="dxa"/>
          </w:tcPr>
          <w:p w14:paraId="08AFCAFD"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13.33</w:t>
            </w:r>
          </w:p>
        </w:tc>
        <w:tc>
          <w:tcPr>
            <w:tcW w:w="819" w:type="dxa"/>
          </w:tcPr>
          <w:p w14:paraId="5B0B06F4"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13.62</w:t>
            </w:r>
          </w:p>
        </w:tc>
        <w:tc>
          <w:tcPr>
            <w:tcW w:w="819" w:type="dxa"/>
          </w:tcPr>
          <w:p w14:paraId="51169D93"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13.76</w:t>
            </w:r>
          </w:p>
        </w:tc>
        <w:tc>
          <w:tcPr>
            <w:tcW w:w="819" w:type="dxa"/>
          </w:tcPr>
          <w:p w14:paraId="6BA7EF8F"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6.93</w:t>
            </w:r>
          </w:p>
        </w:tc>
        <w:tc>
          <w:tcPr>
            <w:tcW w:w="819" w:type="dxa"/>
          </w:tcPr>
          <w:p w14:paraId="249E3504" w14:textId="77777777" w:rsidR="00961B14" w:rsidRPr="00703E69" w:rsidRDefault="00961B14" w:rsidP="00A70725">
            <w:pPr>
              <w:spacing w:after="0" w:line="240" w:lineRule="auto"/>
              <w:jc w:val="center"/>
              <w:rPr>
                <w:rFonts w:cs="Arial"/>
                <w:b/>
                <w:bCs/>
                <w:color w:val="000000"/>
                <w:sz w:val="16"/>
                <w:szCs w:val="16"/>
              </w:rPr>
            </w:pPr>
            <w:r w:rsidRPr="00703E69">
              <w:rPr>
                <w:rFonts w:cs="Arial"/>
                <w:b/>
                <w:bCs/>
                <w:color w:val="000000"/>
                <w:sz w:val="16"/>
                <w:szCs w:val="16"/>
              </w:rPr>
              <w:t>47.63</w:t>
            </w:r>
          </w:p>
        </w:tc>
      </w:tr>
      <w:tr w:rsidR="00961B14" w:rsidRPr="00703E69" w14:paraId="0524ED59" w14:textId="77777777" w:rsidTr="00D5737E">
        <w:trPr>
          <w:cnfStyle w:val="000000010000" w:firstRow="0" w:lastRow="0" w:firstColumn="0" w:lastColumn="0" w:oddVBand="0" w:evenVBand="0" w:oddHBand="0" w:evenHBand="1" w:firstRowFirstColumn="0" w:firstRowLastColumn="0" w:lastRowFirstColumn="0" w:lastRowLastColumn="0"/>
          <w:trHeight w:val="550"/>
        </w:trPr>
        <w:tc>
          <w:tcPr>
            <w:tcW w:w="895" w:type="dxa"/>
            <w:vMerge/>
          </w:tcPr>
          <w:p w14:paraId="02BC5D15" w14:textId="77777777" w:rsidR="00961B14" w:rsidRPr="00703E69" w:rsidRDefault="00961B14" w:rsidP="00A70725">
            <w:pPr>
              <w:spacing w:after="0" w:line="240" w:lineRule="auto"/>
              <w:rPr>
                <w:rFonts w:cs="Arial"/>
                <w:sz w:val="16"/>
                <w:szCs w:val="16"/>
              </w:rPr>
            </w:pPr>
          </w:p>
        </w:tc>
        <w:tc>
          <w:tcPr>
            <w:tcW w:w="990" w:type="dxa"/>
          </w:tcPr>
          <w:p w14:paraId="0F4BA268" w14:textId="77777777" w:rsidR="00961B14" w:rsidRPr="004B3317" w:rsidRDefault="00961B14" w:rsidP="00A70725">
            <w:pPr>
              <w:keepNext/>
              <w:spacing w:after="0" w:line="240" w:lineRule="auto"/>
              <w:jc w:val="center"/>
              <w:rPr>
                <w:rFonts w:cs="Arial"/>
                <w:sz w:val="16"/>
                <w:szCs w:val="16"/>
              </w:rPr>
            </w:pPr>
            <w:r w:rsidRPr="004B3317">
              <w:rPr>
                <w:rFonts w:cs="Arial"/>
                <w:sz w:val="16"/>
                <w:szCs w:val="16"/>
              </w:rPr>
              <w:t>Variation from 2022 CRIS</w:t>
            </w:r>
          </w:p>
        </w:tc>
        <w:tc>
          <w:tcPr>
            <w:tcW w:w="819" w:type="dxa"/>
          </w:tcPr>
          <w:p w14:paraId="63A236F7" w14:textId="77777777" w:rsidR="00961B14" w:rsidRPr="00703E69" w:rsidRDefault="00961B14" w:rsidP="00A70725">
            <w:pPr>
              <w:spacing w:after="0" w:line="240" w:lineRule="auto"/>
              <w:jc w:val="center"/>
              <w:rPr>
                <w:rFonts w:cs="Arial"/>
                <w:b/>
                <w:bCs/>
                <w:color w:val="000000"/>
                <w:sz w:val="16"/>
                <w:szCs w:val="16"/>
              </w:rPr>
            </w:pPr>
            <w:r w:rsidRPr="00703E69">
              <w:rPr>
                <w:rFonts w:cs="Arial"/>
                <w:b/>
                <w:bCs/>
                <w:color w:val="000000"/>
                <w:sz w:val="16"/>
                <w:szCs w:val="16"/>
              </w:rPr>
              <w:t>0.00</w:t>
            </w:r>
          </w:p>
        </w:tc>
        <w:tc>
          <w:tcPr>
            <w:tcW w:w="819" w:type="dxa"/>
          </w:tcPr>
          <w:p w14:paraId="612381A3" w14:textId="77777777" w:rsidR="00961B14" w:rsidRPr="00703E69" w:rsidRDefault="00961B14" w:rsidP="00A70725">
            <w:pPr>
              <w:spacing w:after="0" w:line="240" w:lineRule="auto"/>
              <w:jc w:val="center"/>
              <w:rPr>
                <w:rFonts w:cs="Arial"/>
                <w:b/>
                <w:bCs/>
                <w:color w:val="000000"/>
                <w:sz w:val="16"/>
                <w:szCs w:val="16"/>
              </w:rPr>
            </w:pPr>
            <w:r w:rsidRPr="00703E69">
              <w:rPr>
                <w:rFonts w:cs="Arial"/>
                <w:b/>
                <w:bCs/>
                <w:color w:val="000000"/>
                <w:sz w:val="16"/>
                <w:szCs w:val="16"/>
              </w:rPr>
              <w:t>0.00</w:t>
            </w:r>
          </w:p>
        </w:tc>
        <w:tc>
          <w:tcPr>
            <w:tcW w:w="819" w:type="dxa"/>
          </w:tcPr>
          <w:p w14:paraId="2A31373D" w14:textId="77777777" w:rsidR="00961B14" w:rsidRPr="00703E69" w:rsidRDefault="00961B14" w:rsidP="00A70725">
            <w:pPr>
              <w:spacing w:after="0" w:line="240" w:lineRule="auto"/>
              <w:jc w:val="center"/>
              <w:rPr>
                <w:rFonts w:cs="Arial"/>
                <w:b/>
                <w:bCs/>
                <w:color w:val="000000"/>
                <w:sz w:val="16"/>
                <w:szCs w:val="16"/>
              </w:rPr>
            </w:pPr>
            <w:r w:rsidRPr="00703E69">
              <w:rPr>
                <w:rFonts w:cs="Arial"/>
                <w:b/>
                <w:bCs/>
                <w:color w:val="000000"/>
                <w:sz w:val="16"/>
                <w:szCs w:val="16"/>
              </w:rPr>
              <w:t>0.00</w:t>
            </w:r>
          </w:p>
        </w:tc>
        <w:tc>
          <w:tcPr>
            <w:tcW w:w="819" w:type="dxa"/>
          </w:tcPr>
          <w:p w14:paraId="3D20DDA7" w14:textId="77777777" w:rsidR="00961B14" w:rsidRPr="00703E69" w:rsidRDefault="00961B14" w:rsidP="00A70725">
            <w:pPr>
              <w:spacing w:after="0" w:line="240" w:lineRule="auto"/>
              <w:jc w:val="center"/>
              <w:rPr>
                <w:rFonts w:cs="Arial"/>
                <w:b/>
                <w:bCs/>
                <w:color w:val="000000"/>
                <w:sz w:val="16"/>
                <w:szCs w:val="16"/>
              </w:rPr>
            </w:pPr>
            <w:r w:rsidRPr="00703E69">
              <w:rPr>
                <w:rFonts w:cs="Arial"/>
                <w:b/>
                <w:bCs/>
                <w:color w:val="000000"/>
                <w:sz w:val="16"/>
                <w:szCs w:val="16"/>
              </w:rPr>
              <w:t>0.00</w:t>
            </w:r>
          </w:p>
        </w:tc>
        <w:tc>
          <w:tcPr>
            <w:tcW w:w="819" w:type="dxa"/>
          </w:tcPr>
          <w:p w14:paraId="30E415E1" w14:textId="77777777" w:rsidR="00961B14" w:rsidRPr="00703E69" w:rsidRDefault="00961B14" w:rsidP="00A70725">
            <w:pPr>
              <w:spacing w:after="0" w:line="240" w:lineRule="auto"/>
              <w:jc w:val="center"/>
              <w:rPr>
                <w:rFonts w:cs="Arial"/>
                <w:b/>
                <w:bCs/>
                <w:color w:val="000000"/>
                <w:sz w:val="16"/>
                <w:szCs w:val="16"/>
              </w:rPr>
            </w:pPr>
            <w:r w:rsidRPr="00703E69">
              <w:rPr>
                <w:rFonts w:cs="Arial"/>
                <w:b/>
                <w:bCs/>
                <w:color w:val="000000"/>
                <w:sz w:val="16"/>
                <w:szCs w:val="16"/>
              </w:rPr>
              <w:t>-8.09</w:t>
            </w:r>
          </w:p>
        </w:tc>
        <w:tc>
          <w:tcPr>
            <w:tcW w:w="819" w:type="dxa"/>
          </w:tcPr>
          <w:p w14:paraId="392813C8" w14:textId="77777777" w:rsidR="00961B14" w:rsidRPr="00703E69" w:rsidRDefault="00961B14" w:rsidP="00A70725">
            <w:pPr>
              <w:spacing w:after="0" w:line="240" w:lineRule="auto"/>
              <w:jc w:val="center"/>
              <w:rPr>
                <w:rFonts w:cs="Arial"/>
                <w:b/>
                <w:bCs/>
                <w:color w:val="FF0000"/>
                <w:sz w:val="16"/>
                <w:szCs w:val="16"/>
              </w:rPr>
            </w:pPr>
            <w:r w:rsidRPr="00703E69">
              <w:rPr>
                <w:rFonts w:cs="Arial"/>
                <w:b/>
                <w:bCs/>
                <w:color w:val="FF0000"/>
                <w:sz w:val="16"/>
                <w:szCs w:val="16"/>
              </w:rPr>
              <w:t>+3.90</w:t>
            </w:r>
          </w:p>
        </w:tc>
        <w:tc>
          <w:tcPr>
            <w:tcW w:w="819" w:type="dxa"/>
          </w:tcPr>
          <w:p w14:paraId="518BBE97" w14:textId="77777777" w:rsidR="00961B14" w:rsidRPr="00703E69" w:rsidRDefault="00961B14" w:rsidP="00A70725">
            <w:pPr>
              <w:spacing w:after="0" w:line="240" w:lineRule="auto"/>
              <w:jc w:val="center"/>
              <w:rPr>
                <w:rFonts w:cs="Arial"/>
                <w:b/>
                <w:bCs/>
                <w:color w:val="FF0000"/>
                <w:sz w:val="16"/>
                <w:szCs w:val="16"/>
              </w:rPr>
            </w:pPr>
            <w:r w:rsidRPr="00703E69">
              <w:rPr>
                <w:rFonts w:cs="Arial"/>
                <w:b/>
                <w:bCs/>
                <w:color w:val="FF0000"/>
                <w:sz w:val="16"/>
                <w:szCs w:val="16"/>
              </w:rPr>
              <w:t>+4.51</w:t>
            </w:r>
          </w:p>
        </w:tc>
        <w:tc>
          <w:tcPr>
            <w:tcW w:w="819" w:type="dxa"/>
          </w:tcPr>
          <w:p w14:paraId="791B8603" w14:textId="77777777" w:rsidR="00961B14" w:rsidRPr="00703E69" w:rsidRDefault="00961B14" w:rsidP="00A70725">
            <w:pPr>
              <w:spacing w:after="0" w:line="240" w:lineRule="auto"/>
              <w:jc w:val="center"/>
              <w:rPr>
                <w:rFonts w:cs="Arial"/>
                <w:b/>
                <w:bCs/>
                <w:color w:val="FF0000"/>
                <w:sz w:val="16"/>
                <w:szCs w:val="16"/>
              </w:rPr>
            </w:pPr>
            <w:r w:rsidRPr="00703E69">
              <w:rPr>
                <w:rFonts w:cs="Arial"/>
                <w:b/>
                <w:bCs/>
                <w:color w:val="FF0000"/>
                <w:sz w:val="16"/>
                <w:szCs w:val="16"/>
              </w:rPr>
              <w:t>+4.65</w:t>
            </w:r>
          </w:p>
        </w:tc>
        <w:tc>
          <w:tcPr>
            <w:tcW w:w="819" w:type="dxa"/>
          </w:tcPr>
          <w:p w14:paraId="2FF11528" w14:textId="77777777" w:rsidR="00961B14" w:rsidRPr="00703E69" w:rsidRDefault="00961B14" w:rsidP="00A70725">
            <w:pPr>
              <w:spacing w:after="0" w:line="240" w:lineRule="auto"/>
              <w:jc w:val="center"/>
              <w:rPr>
                <w:rFonts w:cs="Arial"/>
                <w:b/>
                <w:bCs/>
                <w:color w:val="FF0000"/>
                <w:sz w:val="16"/>
                <w:szCs w:val="16"/>
              </w:rPr>
            </w:pPr>
            <w:r w:rsidRPr="00703E69">
              <w:rPr>
                <w:rFonts w:cs="Arial"/>
                <w:b/>
                <w:bCs/>
                <w:color w:val="FF0000"/>
                <w:sz w:val="16"/>
                <w:szCs w:val="16"/>
              </w:rPr>
              <w:t>+2.38</w:t>
            </w:r>
          </w:p>
        </w:tc>
        <w:tc>
          <w:tcPr>
            <w:tcW w:w="819" w:type="dxa"/>
          </w:tcPr>
          <w:p w14:paraId="4EC560F1" w14:textId="77777777" w:rsidR="00961B14" w:rsidRPr="00703E69" w:rsidRDefault="00961B14" w:rsidP="00A70725">
            <w:pPr>
              <w:spacing w:after="0" w:line="240" w:lineRule="auto"/>
              <w:jc w:val="center"/>
              <w:rPr>
                <w:rFonts w:cs="Arial"/>
                <w:b/>
                <w:bCs/>
                <w:color w:val="FF0000"/>
                <w:sz w:val="16"/>
                <w:szCs w:val="16"/>
              </w:rPr>
            </w:pPr>
            <w:r w:rsidRPr="00703E69">
              <w:rPr>
                <w:rFonts w:cs="Arial"/>
                <w:b/>
                <w:bCs/>
                <w:color w:val="FF0000"/>
                <w:sz w:val="16"/>
                <w:szCs w:val="16"/>
              </w:rPr>
              <w:t>+7.33</w:t>
            </w:r>
          </w:p>
        </w:tc>
      </w:tr>
      <w:tr w:rsidR="00961B14" w:rsidRPr="00703E69" w14:paraId="751B0C49" w14:textId="77777777" w:rsidTr="00D5737E">
        <w:trPr>
          <w:cnfStyle w:val="000000100000" w:firstRow="0" w:lastRow="0" w:firstColumn="0" w:lastColumn="0" w:oddVBand="0" w:evenVBand="0" w:oddHBand="1" w:evenHBand="0" w:firstRowFirstColumn="0" w:firstRowLastColumn="0" w:lastRowFirstColumn="0" w:lastRowLastColumn="0"/>
          <w:trHeight w:val="569"/>
        </w:trPr>
        <w:tc>
          <w:tcPr>
            <w:tcW w:w="1885" w:type="dxa"/>
            <w:gridSpan w:val="2"/>
          </w:tcPr>
          <w:p w14:paraId="74B2231B" w14:textId="77777777" w:rsidR="00961B14" w:rsidRPr="00703E69" w:rsidRDefault="00961B14" w:rsidP="00A70725">
            <w:pPr>
              <w:jc w:val="center"/>
              <w:rPr>
                <w:rFonts w:cs="Arial"/>
                <w:sz w:val="16"/>
                <w:szCs w:val="16"/>
              </w:rPr>
            </w:pPr>
            <w:r w:rsidRPr="00703E69">
              <w:rPr>
                <w:rFonts w:cs="Arial"/>
                <w:sz w:val="16"/>
                <w:szCs w:val="16"/>
              </w:rPr>
              <w:t xml:space="preserve">Cumulative balance </w:t>
            </w:r>
            <w:r>
              <w:rPr>
                <w:rFonts w:cs="Arial"/>
                <w:sz w:val="16"/>
                <w:szCs w:val="16"/>
              </w:rPr>
              <w:t xml:space="preserve">to be recovered </w:t>
            </w:r>
            <w:r w:rsidRPr="00703E69">
              <w:rPr>
                <w:rFonts w:cs="Arial"/>
                <w:sz w:val="16"/>
                <w:szCs w:val="16"/>
              </w:rPr>
              <w:t>(Y–X)</w:t>
            </w:r>
          </w:p>
        </w:tc>
        <w:tc>
          <w:tcPr>
            <w:tcW w:w="819" w:type="dxa"/>
          </w:tcPr>
          <w:p w14:paraId="70F9B05A"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-0.38</w:t>
            </w:r>
          </w:p>
        </w:tc>
        <w:tc>
          <w:tcPr>
            <w:tcW w:w="819" w:type="dxa"/>
          </w:tcPr>
          <w:p w14:paraId="35EF5C1D" w14:textId="77777777" w:rsidR="00961B14" w:rsidRPr="00703E69" w:rsidRDefault="00961B14" w:rsidP="00A70725">
            <w:pPr>
              <w:spacing w:after="0" w:line="240" w:lineRule="auto"/>
              <w:jc w:val="center"/>
              <w:rPr>
                <w:rFonts w:cs="Arial"/>
                <w:color w:val="000000"/>
                <w:sz w:val="16"/>
                <w:szCs w:val="16"/>
              </w:rPr>
            </w:pPr>
            <w:r w:rsidRPr="00703E69">
              <w:rPr>
                <w:rFonts w:cs="Arial"/>
                <w:b/>
                <w:bCs/>
                <w:color w:val="000000"/>
                <w:sz w:val="16"/>
                <w:szCs w:val="16"/>
              </w:rPr>
              <w:t>-2.49</w:t>
            </w:r>
          </w:p>
        </w:tc>
        <w:tc>
          <w:tcPr>
            <w:tcW w:w="819" w:type="dxa"/>
          </w:tcPr>
          <w:p w14:paraId="3AADA245" w14:textId="77777777" w:rsidR="00961B14" w:rsidRPr="00703E69" w:rsidRDefault="00961B14" w:rsidP="00A70725">
            <w:pPr>
              <w:spacing w:after="0" w:line="240" w:lineRule="auto"/>
              <w:jc w:val="center"/>
              <w:rPr>
                <w:rFonts w:cs="Arial"/>
                <w:color w:val="000000"/>
                <w:sz w:val="16"/>
                <w:szCs w:val="16"/>
              </w:rPr>
            </w:pPr>
            <w:r w:rsidRPr="00703E69">
              <w:rPr>
                <w:rFonts w:cs="Arial"/>
                <w:b/>
                <w:bCs/>
                <w:color w:val="000000"/>
                <w:sz w:val="16"/>
                <w:szCs w:val="16"/>
              </w:rPr>
              <w:t>-5.46</w:t>
            </w:r>
          </w:p>
        </w:tc>
        <w:tc>
          <w:tcPr>
            <w:tcW w:w="819" w:type="dxa"/>
          </w:tcPr>
          <w:p w14:paraId="323713D3"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-13.04</w:t>
            </w:r>
          </w:p>
        </w:tc>
        <w:tc>
          <w:tcPr>
            <w:tcW w:w="819" w:type="dxa"/>
          </w:tcPr>
          <w:p w14:paraId="06004891"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-19.02</w:t>
            </w:r>
          </w:p>
        </w:tc>
        <w:tc>
          <w:tcPr>
            <w:tcW w:w="819" w:type="dxa"/>
          </w:tcPr>
          <w:p w14:paraId="53EC9E05" w14:textId="77777777" w:rsidR="00961B14" w:rsidRPr="00703E69" w:rsidRDefault="00961B14" w:rsidP="00A70725">
            <w:pPr>
              <w:spacing w:after="0" w:line="240" w:lineRule="auto"/>
              <w:jc w:val="center"/>
              <w:rPr>
                <w:rFonts w:cs="Arial"/>
                <w:color w:val="000000"/>
                <w:sz w:val="16"/>
                <w:szCs w:val="16"/>
              </w:rPr>
            </w:pPr>
            <w:r w:rsidRPr="00703E69">
              <w:rPr>
                <w:rFonts w:cs="Arial"/>
                <w:b/>
                <w:bCs/>
                <w:color w:val="000000"/>
                <w:sz w:val="16"/>
                <w:szCs w:val="16"/>
              </w:rPr>
              <w:t>-14.05</w:t>
            </w:r>
          </w:p>
        </w:tc>
        <w:tc>
          <w:tcPr>
            <w:tcW w:w="819" w:type="dxa"/>
          </w:tcPr>
          <w:p w14:paraId="3776FA43" w14:textId="77777777" w:rsidR="00961B14" w:rsidRPr="00703E69" w:rsidRDefault="00961B14" w:rsidP="00A70725">
            <w:pPr>
              <w:spacing w:after="0" w:line="240" w:lineRule="auto"/>
              <w:jc w:val="center"/>
              <w:rPr>
                <w:rFonts w:cs="Arial"/>
                <w:color w:val="000000"/>
                <w:sz w:val="16"/>
                <w:szCs w:val="16"/>
              </w:rPr>
            </w:pPr>
            <w:r w:rsidRPr="00703E69">
              <w:rPr>
                <w:rFonts w:cs="Arial"/>
                <w:b/>
                <w:bCs/>
                <w:color w:val="000000"/>
                <w:sz w:val="16"/>
                <w:szCs w:val="16"/>
              </w:rPr>
              <w:t>-7.03</w:t>
            </w:r>
          </w:p>
        </w:tc>
        <w:tc>
          <w:tcPr>
            <w:tcW w:w="819" w:type="dxa"/>
          </w:tcPr>
          <w:p w14:paraId="6A6BAB03" w14:textId="77777777" w:rsidR="00961B14" w:rsidRPr="00703E69" w:rsidRDefault="00961B14" w:rsidP="00A70725">
            <w:pPr>
              <w:spacing w:after="0" w:line="240" w:lineRule="auto"/>
              <w:jc w:val="center"/>
              <w:rPr>
                <w:rFonts w:cs="Arial"/>
                <w:color w:val="000000"/>
                <w:sz w:val="16"/>
                <w:szCs w:val="16"/>
              </w:rPr>
            </w:pPr>
            <w:r w:rsidRPr="00703E69">
              <w:rPr>
                <w:rFonts w:cs="Arial"/>
                <w:b/>
                <w:bCs/>
                <w:color w:val="000000"/>
                <w:sz w:val="16"/>
                <w:szCs w:val="16"/>
              </w:rPr>
              <w:t>0.00</w:t>
            </w:r>
          </w:p>
        </w:tc>
        <w:tc>
          <w:tcPr>
            <w:tcW w:w="819" w:type="dxa"/>
          </w:tcPr>
          <w:p w14:paraId="3F8C87A7" w14:textId="77777777" w:rsidR="00961B14" w:rsidRPr="00703E69" w:rsidRDefault="00961B14" w:rsidP="00A70725">
            <w:pPr>
              <w:spacing w:after="0" w:line="240" w:lineRule="auto"/>
              <w:jc w:val="center"/>
              <w:rPr>
                <w:rFonts w:cs="Arial"/>
                <w:sz w:val="16"/>
                <w:szCs w:val="16"/>
              </w:rPr>
            </w:pPr>
            <w:r w:rsidRPr="00703E69">
              <w:rPr>
                <w:rFonts w:cs="Arial"/>
                <w:b/>
                <w:bCs/>
                <w:color w:val="000000"/>
                <w:sz w:val="16"/>
                <w:szCs w:val="16"/>
              </w:rPr>
              <w:t>0.00</w:t>
            </w:r>
          </w:p>
        </w:tc>
        <w:tc>
          <w:tcPr>
            <w:tcW w:w="819" w:type="dxa"/>
          </w:tcPr>
          <w:p w14:paraId="0D3CEB49" w14:textId="77777777" w:rsidR="00961B14" w:rsidRPr="00703E69" w:rsidRDefault="00961B14" w:rsidP="00A70725">
            <w:pPr>
              <w:spacing w:after="0" w:line="240" w:lineRule="auto"/>
              <w:jc w:val="center"/>
              <w:rPr>
                <w:rFonts w:cs="Arial"/>
                <w:b/>
                <w:bCs/>
                <w:color w:val="000000"/>
                <w:sz w:val="16"/>
                <w:szCs w:val="16"/>
              </w:rPr>
            </w:pPr>
            <w:r w:rsidRPr="00703E69">
              <w:rPr>
                <w:rFonts w:cs="Arial"/>
                <w:b/>
                <w:bCs/>
                <w:color w:val="000000"/>
                <w:sz w:val="16"/>
                <w:szCs w:val="16"/>
              </w:rPr>
              <w:t>0.00</w:t>
            </w:r>
          </w:p>
        </w:tc>
      </w:tr>
    </w:tbl>
    <w:p w14:paraId="67E06C56" w14:textId="0C940601" w:rsidR="00D5737E" w:rsidRPr="00D5737E" w:rsidRDefault="00D5737E" w:rsidP="00D5737E">
      <w:pPr>
        <w:rPr>
          <w:rFonts w:cs="Arial"/>
          <w:color w:val="000000"/>
          <w:sz w:val="16"/>
          <w:szCs w:val="18"/>
        </w:rPr>
      </w:pPr>
      <w:r w:rsidRPr="00D5737E">
        <w:rPr>
          <w:rFonts w:cs="Arial"/>
          <w:color w:val="000000"/>
          <w:sz w:val="16"/>
          <w:szCs w:val="18"/>
        </w:rPr>
        <w:t xml:space="preserve">* Some figures may not add up </w:t>
      </w:r>
      <w:r w:rsidR="00AF33D1">
        <w:rPr>
          <w:rFonts w:cs="Arial"/>
          <w:color w:val="000000"/>
          <w:sz w:val="16"/>
          <w:szCs w:val="18"/>
        </w:rPr>
        <w:t xml:space="preserve">exactly </w:t>
      </w:r>
      <w:r w:rsidRPr="00D5737E">
        <w:rPr>
          <w:rFonts w:cs="Arial"/>
          <w:color w:val="000000"/>
          <w:sz w:val="16"/>
          <w:szCs w:val="18"/>
        </w:rPr>
        <w:t>due to rounding.</w:t>
      </w:r>
    </w:p>
    <w:p w14:paraId="35ED531D" w14:textId="02F68538" w:rsidR="00EA5E68" w:rsidRPr="00961B14" w:rsidRDefault="00EA5E68" w:rsidP="00EA5E68">
      <w:pPr>
        <w:pStyle w:val="Paragraph"/>
        <w:rPr>
          <w:szCs w:val="20"/>
        </w:rPr>
      </w:pPr>
      <w:r w:rsidRPr="001B1779">
        <w:t xml:space="preserve">As charging will be based on actual usage of the system, </w:t>
      </w:r>
      <w:r w:rsidR="00AF33D1">
        <w:t>we are</w:t>
      </w:r>
      <w:r w:rsidRPr="001B1779">
        <w:t xml:space="preserve"> unable to provide </w:t>
      </w:r>
      <w:r w:rsidR="00776CD3">
        <w:t xml:space="preserve">upfront </w:t>
      </w:r>
      <w:r w:rsidRPr="001B1779">
        <w:t xml:space="preserve">information to individual providers </w:t>
      </w:r>
      <w:r w:rsidR="00776CD3">
        <w:t>about</w:t>
      </w:r>
      <w:r w:rsidRPr="001B1779">
        <w:t xml:space="preserve"> how much </w:t>
      </w:r>
      <w:r w:rsidR="00776CD3">
        <w:t xml:space="preserve">each </w:t>
      </w:r>
      <w:r w:rsidR="00D5737E">
        <w:t xml:space="preserve">provider </w:t>
      </w:r>
      <w:r w:rsidRPr="001B1779">
        <w:t xml:space="preserve">will be liable to pay. The ACMA </w:t>
      </w:r>
      <w:r w:rsidR="00776CD3">
        <w:t>anticipates</w:t>
      </w:r>
      <w:r w:rsidR="00776CD3" w:rsidRPr="001B1779">
        <w:t xml:space="preserve"> </w:t>
      </w:r>
      <w:r w:rsidRPr="001B1779">
        <w:t>consult</w:t>
      </w:r>
      <w:r w:rsidR="00776CD3">
        <w:t>ing</w:t>
      </w:r>
      <w:r w:rsidRPr="001B1779">
        <w:t xml:space="preserve"> with industry </w:t>
      </w:r>
      <w:r>
        <w:t xml:space="preserve">on the cost recovery arrangements again </w:t>
      </w:r>
      <w:r w:rsidRPr="001B1779">
        <w:t>in the s</w:t>
      </w:r>
      <w:r w:rsidRPr="00961B14">
        <w:rPr>
          <w:szCs w:val="20"/>
        </w:rPr>
        <w:t>econd half of 2024</w:t>
      </w:r>
      <w:r>
        <w:rPr>
          <w:szCs w:val="20"/>
        </w:rPr>
        <w:t xml:space="preserve">, after the first levy period, </w:t>
      </w:r>
      <w:r w:rsidRPr="001B1779">
        <w:t xml:space="preserve">through an update to the </w:t>
      </w:r>
      <w:r w:rsidR="00AF33D1">
        <w:t>CRIS</w:t>
      </w:r>
      <w:r w:rsidR="00776CD3">
        <w:t>.</w:t>
      </w:r>
    </w:p>
    <w:p w14:paraId="5887CBEA" w14:textId="77777777" w:rsidR="006C1631" w:rsidRPr="00E162C4" w:rsidRDefault="006C1631" w:rsidP="006C1631">
      <w:pPr>
        <w:pStyle w:val="Heading1"/>
      </w:pPr>
      <w:bookmarkStart w:id="5" w:name="_Toc139629644"/>
      <w:r w:rsidRPr="00E162C4">
        <w:lastRenderedPageBreak/>
        <w:t>Invitation to comment</w:t>
      </w:r>
      <w:bookmarkEnd w:id="5"/>
    </w:p>
    <w:p w14:paraId="6CA6AF04" w14:textId="77777777" w:rsidR="006C1631" w:rsidRPr="00E162C4" w:rsidRDefault="006C1631" w:rsidP="006C1631">
      <w:pPr>
        <w:pStyle w:val="Heading2"/>
      </w:pPr>
      <w:bookmarkStart w:id="6" w:name="_Toc433122131"/>
      <w:bookmarkStart w:id="7" w:name="_Toc348105637"/>
      <w:bookmarkStart w:id="8" w:name="_Toc300909556"/>
      <w:bookmarkStart w:id="9" w:name="_Toc298924673"/>
      <w:bookmarkStart w:id="10" w:name="_Toc139629645"/>
      <w:bookmarkStart w:id="11" w:name="_Toc348105638"/>
      <w:bookmarkStart w:id="12" w:name="_Toc300909557"/>
      <w:bookmarkStart w:id="13" w:name="_Toc298924674"/>
      <w:bookmarkStart w:id="14" w:name="_Toc274296357"/>
      <w:r w:rsidRPr="00E162C4">
        <w:t>Making a submission</w:t>
      </w:r>
      <w:bookmarkEnd w:id="6"/>
      <w:bookmarkEnd w:id="7"/>
      <w:bookmarkEnd w:id="8"/>
      <w:bookmarkEnd w:id="9"/>
      <w:bookmarkEnd w:id="10"/>
    </w:p>
    <w:p w14:paraId="51951294" w14:textId="77777777" w:rsidR="006C1631" w:rsidRPr="00E162C4" w:rsidRDefault="006C5FD4" w:rsidP="006C1631">
      <w:r w:rsidRPr="00E162C4">
        <w:t>We</w:t>
      </w:r>
      <w:r w:rsidR="006C1631" w:rsidRPr="00E162C4">
        <w:t xml:space="preserve"> invite comments on the issues set out in this discussion paper. </w:t>
      </w:r>
    </w:p>
    <w:p w14:paraId="5EF6A7C8" w14:textId="77777777" w:rsidR="0070133D" w:rsidRPr="00E162C4" w:rsidRDefault="0089493D" w:rsidP="0070133D">
      <w:pPr>
        <w:pStyle w:val="Bulletlevel1"/>
      </w:pPr>
      <w:hyperlink r:id="rId28" w:history="1">
        <w:r w:rsidR="0070133D" w:rsidRPr="00E162C4">
          <w:rPr>
            <w:rStyle w:val="Hyperlink"/>
          </w:rPr>
          <w:t>Online submissions</w:t>
        </w:r>
      </w:hyperlink>
      <w:r w:rsidR="0070133D" w:rsidRPr="00E162C4">
        <w:t xml:space="preserve"> can be made by uploading a document. Submissions in</w:t>
      </w:r>
      <w:r w:rsidR="00396DC2" w:rsidRPr="00E162C4">
        <w:t xml:space="preserve"> PDF, </w:t>
      </w:r>
      <w:r w:rsidR="0070133D" w:rsidRPr="00E162C4">
        <w:t>Microsoft Word or Rich Text Format are preferred.</w:t>
      </w:r>
    </w:p>
    <w:p w14:paraId="378F92B3" w14:textId="77777777" w:rsidR="006C1631" w:rsidRPr="008D694A" w:rsidRDefault="006C1631" w:rsidP="0070133D">
      <w:pPr>
        <w:pStyle w:val="Bulletlevel1"/>
      </w:pPr>
      <w:r w:rsidRPr="00E162C4">
        <w:t>Su</w:t>
      </w:r>
      <w:r w:rsidRPr="008D694A">
        <w:t xml:space="preserve">bmissions by post can be sent to: </w:t>
      </w:r>
    </w:p>
    <w:p w14:paraId="19FBBE36" w14:textId="77777777" w:rsidR="006C1631" w:rsidRPr="008D694A" w:rsidRDefault="006C1631" w:rsidP="006C1631">
      <w:pPr>
        <w:tabs>
          <w:tab w:val="num" w:pos="295"/>
        </w:tabs>
        <w:spacing w:after="0"/>
        <w:ind w:left="295"/>
        <w:rPr>
          <w:szCs w:val="20"/>
        </w:rPr>
      </w:pPr>
      <w:r w:rsidRPr="008D694A">
        <w:rPr>
          <w:szCs w:val="20"/>
        </w:rPr>
        <w:t>The Manager</w:t>
      </w:r>
    </w:p>
    <w:p w14:paraId="69BCE7A5" w14:textId="5AB7B689" w:rsidR="006C1631" w:rsidRPr="008D694A" w:rsidRDefault="008D694A" w:rsidP="006C1631">
      <w:pPr>
        <w:spacing w:after="0"/>
        <w:ind w:left="295"/>
        <w:rPr>
          <w:szCs w:val="20"/>
        </w:rPr>
      </w:pPr>
      <w:r w:rsidRPr="008D694A">
        <w:rPr>
          <w:szCs w:val="20"/>
        </w:rPr>
        <w:t>National Self-Exclusion Register</w:t>
      </w:r>
    </w:p>
    <w:p w14:paraId="0F0F9078" w14:textId="77777777" w:rsidR="006C1631" w:rsidRPr="008D694A" w:rsidRDefault="006C1631" w:rsidP="006C1631">
      <w:pPr>
        <w:spacing w:after="0"/>
        <w:ind w:left="295"/>
        <w:rPr>
          <w:szCs w:val="20"/>
        </w:rPr>
      </w:pPr>
      <w:r w:rsidRPr="008D694A">
        <w:rPr>
          <w:szCs w:val="20"/>
        </w:rPr>
        <w:t>Australian Communications and Media Authority</w:t>
      </w:r>
    </w:p>
    <w:p w14:paraId="6325F1CE" w14:textId="77777777" w:rsidR="006C1631" w:rsidRPr="008D694A" w:rsidRDefault="006C1631" w:rsidP="006C1631">
      <w:pPr>
        <w:spacing w:after="0"/>
        <w:ind w:left="295"/>
        <w:rPr>
          <w:szCs w:val="20"/>
        </w:rPr>
      </w:pPr>
      <w:r w:rsidRPr="008D694A">
        <w:rPr>
          <w:szCs w:val="20"/>
        </w:rPr>
        <w:t>PO Box 78</w:t>
      </w:r>
    </w:p>
    <w:p w14:paraId="41BA5E1A" w14:textId="77777777" w:rsidR="006C1631" w:rsidRPr="008D694A" w:rsidRDefault="006C1631" w:rsidP="006C1631">
      <w:pPr>
        <w:ind w:left="295"/>
        <w:rPr>
          <w:szCs w:val="20"/>
        </w:rPr>
      </w:pPr>
      <w:r w:rsidRPr="008D694A">
        <w:rPr>
          <w:szCs w:val="20"/>
        </w:rPr>
        <w:t>Belconnen ACT 2616</w:t>
      </w:r>
    </w:p>
    <w:p w14:paraId="25B8E55C" w14:textId="4D34D451" w:rsidR="006C1631" w:rsidRPr="00E162C4" w:rsidRDefault="006C1631" w:rsidP="006C1631">
      <w:r w:rsidRPr="008D694A">
        <w:t>The closing date for su</w:t>
      </w:r>
      <w:r w:rsidRPr="00E162C4">
        <w:t xml:space="preserve">bmissions is </w:t>
      </w:r>
      <w:r w:rsidRPr="00AF33D1">
        <w:rPr>
          <w:b/>
          <w:bCs/>
        </w:rPr>
        <w:t>COB,</w:t>
      </w:r>
      <w:r w:rsidRPr="00E162C4">
        <w:t xml:space="preserve"> </w:t>
      </w:r>
      <w:r w:rsidR="008D694A">
        <w:rPr>
          <w:b/>
          <w:bCs/>
        </w:rPr>
        <w:t>Monday 24 July 2023</w:t>
      </w:r>
      <w:r w:rsidRPr="00E162C4">
        <w:t>.</w:t>
      </w:r>
    </w:p>
    <w:p w14:paraId="4143D310" w14:textId="5E5C4805" w:rsidR="006C1631" w:rsidRPr="00E162C4" w:rsidRDefault="006C1631" w:rsidP="006C1631">
      <w:pPr>
        <w:rPr>
          <w:szCs w:val="20"/>
        </w:rPr>
      </w:pPr>
      <w:r w:rsidRPr="00E162C4">
        <w:t xml:space="preserve">Consultation enquiries can be emailed </w:t>
      </w:r>
      <w:r w:rsidRPr="00E162C4">
        <w:rPr>
          <w:szCs w:val="20"/>
        </w:rPr>
        <w:t xml:space="preserve">to </w:t>
      </w:r>
      <w:hyperlink r:id="rId29" w:history="1">
        <w:r w:rsidR="008D694A" w:rsidRPr="00084F2D">
          <w:rPr>
            <w:rStyle w:val="Hyperlink"/>
            <w:szCs w:val="20"/>
          </w:rPr>
          <w:t>betstop@acma.gov.au</w:t>
        </w:r>
      </w:hyperlink>
      <w:r w:rsidR="008D694A">
        <w:rPr>
          <w:szCs w:val="20"/>
        </w:rPr>
        <w:t xml:space="preserve">. </w:t>
      </w:r>
    </w:p>
    <w:p w14:paraId="6204E214" w14:textId="77777777" w:rsidR="006C1631" w:rsidRPr="00E162C4" w:rsidRDefault="006C1631" w:rsidP="005B2F0D">
      <w:pPr>
        <w:pStyle w:val="Heading4"/>
      </w:pPr>
      <w:bookmarkStart w:id="15" w:name="_Toc348105639"/>
      <w:bookmarkStart w:id="16" w:name="_Toc300909558"/>
      <w:bookmarkStart w:id="17" w:name="_Hlk59627494"/>
      <w:bookmarkEnd w:id="11"/>
      <w:bookmarkEnd w:id="12"/>
      <w:r w:rsidRPr="00E162C4">
        <w:t>Publication of submissions</w:t>
      </w:r>
      <w:bookmarkEnd w:id="13"/>
      <w:bookmarkEnd w:id="14"/>
      <w:bookmarkEnd w:id="15"/>
      <w:bookmarkEnd w:id="16"/>
    </w:p>
    <w:p w14:paraId="70620E3A" w14:textId="77777777" w:rsidR="006C1631" w:rsidRPr="00E162C4" w:rsidRDefault="006C5FD4" w:rsidP="006C1631">
      <w:bookmarkStart w:id="18" w:name="_Toc348105640"/>
      <w:bookmarkStart w:id="19" w:name="_Toc300909559"/>
      <w:bookmarkStart w:id="20" w:name="_Toc265246234"/>
      <w:r w:rsidRPr="00E162C4">
        <w:t>We</w:t>
      </w:r>
      <w:r w:rsidR="006C1631" w:rsidRPr="00E162C4">
        <w:t xml:space="preserve"> publish submissions on our website</w:t>
      </w:r>
      <w:r w:rsidR="006C1631" w:rsidRPr="00E162C4">
        <w:rPr>
          <w:rFonts w:cs="Arial"/>
        </w:rPr>
        <w:t>, including personal information (such as names and contact details)</w:t>
      </w:r>
      <w:r w:rsidR="006C1631" w:rsidRPr="00E162C4">
        <w:t xml:space="preserve">, except for information that you have claimed (and we have accepted) is confidential. </w:t>
      </w:r>
    </w:p>
    <w:p w14:paraId="7CC8B5A9" w14:textId="77777777" w:rsidR="006C1631" w:rsidRPr="00E162C4" w:rsidRDefault="006C1631" w:rsidP="006C1631">
      <w:r w:rsidRPr="00E162C4">
        <w:t>Confidential information will not be published or otherwise released unless required or authorised by law.</w:t>
      </w:r>
    </w:p>
    <w:p w14:paraId="3AEE187E" w14:textId="77777777" w:rsidR="006C1631" w:rsidRPr="00E162C4" w:rsidRDefault="006C1631" w:rsidP="005B2F0D">
      <w:pPr>
        <w:pStyle w:val="Heading4"/>
      </w:pPr>
      <w:r w:rsidRPr="00E162C4">
        <w:t>Privacy</w:t>
      </w:r>
    </w:p>
    <w:p w14:paraId="5B2E7C9A" w14:textId="77777777" w:rsidR="006C1631" w:rsidRPr="00E162C4" w:rsidRDefault="00E21056" w:rsidP="005B2F0D">
      <w:pPr>
        <w:pStyle w:val="Paragraph"/>
      </w:pPr>
      <w:r w:rsidRPr="00E162C4">
        <w:t>View</w:t>
      </w:r>
      <w:r w:rsidR="006C1631" w:rsidRPr="00E162C4">
        <w:t xml:space="preserve"> information about </w:t>
      </w:r>
      <w:r w:rsidRPr="00E162C4">
        <w:t xml:space="preserve">our policy on the </w:t>
      </w:r>
      <w:hyperlink r:id="rId30" w:history="1">
        <w:r w:rsidRPr="00E162C4">
          <w:rPr>
            <w:rStyle w:val="Hyperlink"/>
          </w:rPr>
          <w:t>publication of submissions</w:t>
        </w:r>
      </w:hyperlink>
      <w:r w:rsidRPr="00E162C4">
        <w:t xml:space="preserve">, including </w:t>
      </w:r>
      <w:r w:rsidR="006C1631" w:rsidRPr="00E162C4">
        <w:t>collection of personal information during consultation and how we handle that information</w:t>
      </w:r>
      <w:r w:rsidRPr="00E162C4">
        <w:t>.</w:t>
      </w:r>
    </w:p>
    <w:bookmarkEnd w:id="18"/>
    <w:bookmarkEnd w:id="19"/>
    <w:bookmarkEnd w:id="20"/>
    <w:p w14:paraId="216F1031" w14:textId="77777777" w:rsidR="00A4193E" w:rsidRPr="00E162C4" w:rsidRDefault="006C1631" w:rsidP="005B2F0D">
      <w:pPr>
        <w:pStyle w:val="Paragraph"/>
      </w:pPr>
      <w:r w:rsidRPr="00E162C4">
        <w:t xml:space="preserve">Information on the </w:t>
      </w:r>
      <w:r w:rsidRPr="00E162C4">
        <w:rPr>
          <w:i/>
        </w:rPr>
        <w:t>Privacy Act 1988</w:t>
      </w:r>
      <w:r w:rsidR="006A4CCA" w:rsidRPr="00E162C4">
        <w:rPr>
          <w:i/>
        </w:rPr>
        <w:t xml:space="preserve">, </w:t>
      </w:r>
      <w:r w:rsidRPr="00E162C4">
        <w:t xml:space="preserve">how to access or correct personal information, how to make a privacy complaint and how we will deal with </w:t>
      </w:r>
      <w:r w:rsidR="006C5FD4" w:rsidRPr="00E162C4">
        <w:t xml:space="preserve">any </w:t>
      </w:r>
      <w:r w:rsidRPr="00E162C4">
        <w:t>complaint</w:t>
      </w:r>
      <w:r w:rsidR="006C5FD4" w:rsidRPr="00E162C4">
        <w:t>s</w:t>
      </w:r>
      <w:r w:rsidR="00BB6335" w:rsidRPr="00E162C4">
        <w:t>,</w:t>
      </w:r>
      <w:r w:rsidR="00CF0BFE" w:rsidRPr="00E162C4">
        <w:t xml:space="preserve"> </w:t>
      </w:r>
      <w:r w:rsidRPr="00E162C4">
        <w:t xml:space="preserve">is available </w:t>
      </w:r>
      <w:r w:rsidR="00E21056" w:rsidRPr="00E162C4">
        <w:t xml:space="preserve">in our </w:t>
      </w:r>
      <w:hyperlink r:id="rId31" w:history="1">
        <w:r w:rsidR="00E21056" w:rsidRPr="00E162C4">
          <w:rPr>
            <w:rStyle w:val="Hyperlink"/>
          </w:rPr>
          <w:t>privacy policy</w:t>
        </w:r>
      </w:hyperlink>
      <w:r w:rsidRPr="00E162C4">
        <w:t>.</w:t>
      </w:r>
      <w:r w:rsidR="00A4193E" w:rsidRPr="00E162C4">
        <w:t xml:space="preserve"> </w:t>
      </w:r>
    </w:p>
    <w:bookmarkEnd w:id="17"/>
    <w:p w14:paraId="779BB2F6" w14:textId="2B2D785C" w:rsidR="0063685B" w:rsidRDefault="0063685B" w:rsidP="00851F3F"/>
    <w:sectPr w:rsidR="0063685B" w:rsidSect="00C77380">
      <w:headerReference w:type="even" r:id="rId32"/>
      <w:headerReference w:type="default" r:id="rId33"/>
      <w:footerReference w:type="even" r:id="rId34"/>
      <w:footerReference w:type="default" r:id="rId35"/>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CBD9" w14:textId="77777777" w:rsidR="005911A2" w:rsidRDefault="005911A2">
      <w:r>
        <w:separator/>
      </w:r>
    </w:p>
  </w:endnote>
  <w:endnote w:type="continuationSeparator" w:id="0">
    <w:p w14:paraId="1D36C3FE" w14:textId="77777777" w:rsidR="005911A2" w:rsidRDefault="005911A2">
      <w:r>
        <w:continuationSeparator/>
      </w:r>
    </w:p>
  </w:endnote>
  <w:endnote w:type="continuationNotice" w:id="1">
    <w:p w14:paraId="64F08667" w14:textId="77777777" w:rsidR="005911A2" w:rsidRDefault="00591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722" w14:textId="77777777" w:rsidR="005E250B" w:rsidRDefault="005E250B" w:rsidP="005E250B">
    <w:pPr>
      <w:pStyle w:val="Footer"/>
      <w:jc w:val="right"/>
    </w:pPr>
    <w:r w:rsidRPr="005E250B">
      <w:rPr>
        <w:noProof/>
        <w:vertAlign w:val="subscript"/>
      </w:rPr>
      <w:drawing>
        <wp:inline distT="0" distB="0" distL="0" distR="0" wp14:anchorId="14572D50" wp14:editId="6F720E08">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94DA"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FB94"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F94E"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3955258A"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C818"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512F312F"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E523"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34BC15A1"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6C12"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1BA5EC59"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E96D"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3645B8B7"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A888" w14:textId="77777777" w:rsidR="005911A2" w:rsidRDefault="005911A2" w:rsidP="00EA0969">
      <w:pPr>
        <w:spacing w:after="0"/>
      </w:pPr>
      <w:r>
        <w:separator/>
      </w:r>
    </w:p>
  </w:footnote>
  <w:footnote w:type="continuationSeparator" w:id="0">
    <w:p w14:paraId="760618FB" w14:textId="77777777" w:rsidR="005911A2" w:rsidRDefault="005911A2">
      <w:r>
        <w:continuationSeparator/>
      </w:r>
    </w:p>
  </w:footnote>
  <w:footnote w:type="continuationNotice" w:id="1">
    <w:p w14:paraId="12D4A2B6" w14:textId="77777777" w:rsidR="005911A2" w:rsidRDefault="005911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E587" w14:textId="77777777" w:rsidR="00C053A1" w:rsidRPr="00A5474E" w:rsidRDefault="0021426C" w:rsidP="00A5474E">
    <w:pPr>
      <w:pStyle w:val="Header"/>
    </w:pPr>
    <w:r>
      <w:rPr>
        <w:noProof/>
      </w:rPr>
      <w:drawing>
        <wp:inline distT="0" distB="0" distL="0" distR="0" wp14:anchorId="0785F6C5" wp14:editId="3958879C">
          <wp:extent cx="6210300" cy="571134"/>
          <wp:effectExtent l="0" t="0" r="0"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0A4F"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C71C"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2830"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3296D6D6" w14:textId="77777777" w:rsidTr="003B0421">
      <w:trPr>
        <w:trHeight w:hRule="exact" w:val="988"/>
      </w:trPr>
      <w:tc>
        <w:tcPr>
          <w:tcW w:w="7678" w:type="dxa"/>
          <w:shd w:val="clear" w:color="auto" w:fill="auto"/>
        </w:tcPr>
        <w:p w14:paraId="25A47E87" w14:textId="77777777" w:rsidR="00971914" w:rsidRDefault="00971914" w:rsidP="00971914">
          <w:pPr>
            <w:pStyle w:val="Header"/>
          </w:pPr>
        </w:p>
      </w:tc>
    </w:tr>
    <w:tr w:rsidR="00971914" w14:paraId="63A2EC39" w14:textId="77777777" w:rsidTr="003B0421">
      <w:tc>
        <w:tcPr>
          <w:tcW w:w="7678" w:type="dxa"/>
          <w:shd w:val="clear" w:color="auto" w:fill="auto"/>
        </w:tcPr>
        <w:p w14:paraId="5FBCA8C1" w14:textId="77777777" w:rsidR="00971914" w:rsidRDefault="00971914" w:rsidP="00971914">
          <w:pPr>
            <w:pStyle w:val="GridTable31"/>
          </w:pPr>
          <w:r>
            <w:t xml:space="preserve">Contents </w:t>
          </w:r>
          <w:r w:rsidRPr="00915B1C">
            <w:rPr>
              <w:b w:val="0"/>
              <w:spacing w:val="0"/>
              <w:sz w:val="28"/>
              <w:szCs w:val="28"/>
            </w:rPr>
            <w:t>(Continued)</w:t>
          </w:r>
        </w:p>
      </w:tc>
    </w:tr>
    <w:tr w:rsidR="00971914" w14:paraId="36E08148" w14:textId="77777777" w:rsidTr="003B0421">
      <w:trPr>
        <w:trHeight w:val="1220"/>
      </w:trPr>
      <w:tc>
        <w:tcPr>
          <w:tcW w:w="7678" w:type="dxa"/>
          <w:shd w:val="clear" w:color="auto" w:fill="auto"/>
        </w:tcPr>
        <w:p w14:paraId="7C4D2710" w14:textId="77777777" w:rsidR="00971914" w:rsidRDefault="00971914" w:rsidP="00971914"/>
      </w:tc>
    </w:tr>
  </w:tbl>
  <w:p w14:paraId="5DCC735B"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5DDEF3AD" w14:textId="77777777" w:rsidTr="003B0421">
      <w:trPr>
        <w:trHeight w:hRule="exact" w:val="988"/>
      </w:trPr>
      <w:tc>
        <w:tcPr>
          <w:tcW w:w="7678" w:type="dxa"/>
          <w:shd w:val="clear" w:color="auto" w:fill="auto"/>
        </w:tcPr>
        <w:p w14:paraId="49D3CFFD" w14:textId="77777777" w:rsidR="00971914" w:rsidRDefault="00971914" w:rsidP="00971914">
          <w:pPr>
            <w:pStyle w:val="Header"/>
          </w:pPr>
        </w:p>
      </w:tc>
    </w:tr>
    <w:tr w:rsidR="00971914" w14:paraId="5609141B" w14:textId="77777777" w:rsidTr="003B0421">
      <w:tc>
        <w:tcPr>
          <w:tcW w:w="7678" w:type="dxa"/>
          <w:shd w:val="clear" w:color="auto" w:fill="auto"/>
        </w:tcPr>
        <w:p w14:paraId="4D371AB9" w14:textId="77777777" w:rsidR="00971914" w:rsidRDefault="00971914" w:rsidP="00971914">
          <w:pPr>
            <w:pStyle w:val="GridTable31"/>
          </w:pPr>
          <w:r>
            <w:t xml:space="preserve">Contents </w:t>
          </w:r>
          <w:r w:rsidRPr="00915B1C">
            <w:rPr>
              <w:b w:val="0"/>
              <w:spacing w:val="0"/>
              <w:sz w:val="28"/>
              <w:szCs w:val="28"/>
            </w:rPr>
            <w:t>(Continued)</w:t>
          </w:r>
        </w:p>
      </w:tc>
    </w:tr>
    <w:tr w:rsidR="00971914" w14:paraId="20E08352" w14:textId="77777777" w:rsidTr="003B0421">
      <w:trPr>
        <w:trHeight w:val="1220"/>
      </w:trPr>
      <w:tc>
        <w:tcPr>
          <w:tcW w:w="7678" w:type="dxa"/>
          <w:shd w:val="clear" w:color="auto" w:fill="auto"/>
        </w:tcPr>
        <w:p w14:paraId="3555350A" w14:textId="77777777" w:rsidR="00971914" w:rsidRDefault="00971914" w:rsidP="00971914"/>
      </w:tc>
    </w:tr>
  </w:tbl>
  <w:p w14:paraId="601AAD97"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7D22"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7AEA" w14:textId="77777777"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2F5A5080"/>
    <w:multiLevelType w:val="hybridMultilevel"/>
    <w:tmpl w:val="BE2AF6CE"/>
    <w:lvl w:ilvl="0" w:tplc="D05E2434">
      <w:start w:val="1"/>
      <w:numFmt w:val="bullet"/>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7020905"/>
    <w:multiLevelType w:val="hybridMultilevel"/>
    <w:tmpl w:val="611E5B6A"/>
    <w:lvl w:ilvl="0" w:tplc="D90E7946">
      <w:start w:val="1"/>
      <w:numFmt w:val="decimal"/>
      <w:lvlText w:val="%1."/>
      <w:lvlJc w:val="left"/>
      <w:pPr>
        <w:ind w:left="360" w:hanging="360"/>
      </w:pPr>
      <w:rPr>
        <w:rFonts w:ascii="Arial" w:eastAsia="Times New Roman" w:hAnsi="Arial" w:cs="Times New Roman"/>
        <w:b w:val="0"/>
        <w:bCs w:val="0"/>
      </w:rPr>
    </w:lvl>
    <w:lvl w:ilvl="1" w:tplc="4718C3FE">
      <w:start w:val="1"/>
      <w:numFmt w:val="decimal"/>
      <w:lvlText w:val="%2."/>
      <w:lvlJc w:val="left"/>
      <w:pPr>
        <w:ind w:left="797" w:hanging="360"/>
      </w:pPr>
      <w:rPr>
        <w:rFonts w:ascii="Arial" w:eastAsia="Times New Roman" w:hAnsi="Arial" w:cs="Arial" w:hint="default"/>
        <w:sz w:val="22"/>
        <w:szCs w:val="22"/>
      </w:rPr>
    </w:lvl>
    <w:lvl w:ilvl="2" w:tplc="9D986C32">
      <w:start w:val="1"/>
      <w:numFmt w:val="lowerLetter"/>
      <w:lvlText w:val="(%3)"/>
      <w:lvlJc w:val="left"/>
      <w:pPr>
        <w:ind w:left="2050" w:hanging="713"/>
      </w:pPr>
      <w:rPr>
        <w:rFonts w:hint="default"/>
      </w:rPr>
    </w:lvl>
    <w:lvl w:ilvl="3" w:tplc="0C09000F" w:tentative="1">
      <w:start w:val="1"/>
      <w:numFmt w:val="decimal"/>
      <w:lvlText w:val="%4."/>
      <w:lvlJc w:val="left"/>
      <w:pPr>
        <w:ind w:left="2237" w:hanging="360"/>
      </w:pPr>
    </w:lvl>
    <w:lvl w:ilvl="4" w:tplc="0C090019" w:tentative="1">
      <w:start w:val="1"/>
      <w:numFmt w:val="lowerLetter"/>
      <w:lvlText w:val="%5."/>
      <w:lvlJc w:val="left"/>
      <w:pPr>
        <w:ind w:left="2957" w:hanging="360"/>
      </w:pPr>
    </w:lvl>
    <w:lvl w:ilvl="5" w:tplc="0C09001B" w:tentative="1">
      <w:start w:val="1"/>
      <w:numFmt w:val="lowerRoman"/>
      <w:lvlText w:val="%6."/>
      <w:lvlJc w:val="right"/>
      <w:pPr>
        <w:ind w:left="3677" w:hanging="180"/>
      </w:pPr>
    </w:lvl>
    <w:lvl w:ilvl="6" w:tplc="0C09000F" w:tentative="1">
      <w:start w:val="1"/>
      <w:numFmt w:val="decimal"/>
      <w:lvlText w:val="%7."/>
      <w:lvlJc w:val="left"/>
      <w:pPr>
        <w:ind w:left="4397" w:hanging="360"/>
      </w:pPr>
    </w:lvl>
    <w:lvl w:ilvl="7" w:tplc="0C090019" w:tentative="1">
      <w:start w:val="1"/>
      <w:numFmt w:val="lowerLetter"/>
      <w:lvlText w:val="%8."/>
      <w:lvlJc w:val="left"/>
      <w:pPr>
        <w:ind w:left="5117" w:hanging="360"/>
      </w:pPr>
    </w:lvl>
    <w:lvl w:ilvl="8" w:tplc="0C09001B" w:tentative="1">
      <w:start w:val="1"/>
      <w:numFmt w:val="lowerRoman"/>
      <w:lvlText w:val="%9."/>
      <w:lvlJc w:val="right"/>
      <w:pPr>
        <w:ind w:left="5837" w:hanging="180"/>
      </w:pPr>
    </w:lvl>
  </w:abstractNum>
  <w:abstractNum w:abstractNumId="9" w15:restartNumberingAfterBreak="0">
    <w:nsid w:val="51DD4E29"/>
    <w:multiLevelType w:val="hybridMultilevel"/>
    <w:tmpl w:val="96829DF6"/>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794340">
    <w:abstractNumId w:val="3"/>
  </w:num>
  <w:num w:numId="2" w16cid:durableId="961808067">
    <w:abstractNumId w:val="1"/>
  </w:num>
  <w:num w:numId="3" w16cid:durableId="823132573">
    <w:abstractNumId w:val="2"/>
  </w:num>
  <w:num w:numId="4" w16cid:durableId="1435860948">
    <w:abstractNumId w:val="0"/>
  </w:num>
  <w:num w:numId="5" w16cid:durableId="1458793115">
    <w:abstractNumId w:val="6"/>
  </w:num>
  <w:num w:numId="6" w16cid:durableId="1170756036">
    <w:abstractNumId w:val="12"/>
  </w:num>
  <w:num w:numId="7" w16cid:durableId="1179462982">
    <w:abstractNumId w:val="10"/>
  </w:num>
  <w:num w:numId="8" w16cid:durableId="2010865431">
    <w:abstractNumId w:val="11"/>
  </w:num>
  <w:num w:numId="9" w16cid:durableId="153958827">
    <w:abstractNumId w:val="13"/>
  </w:num>
  <w:num w:numId="10" w16cid:durableId="770122694">
    <w:abstractNumId w:val="5"/>
  </w:num>
  <w:num w:numId="11" w16cid:durableId="1981958685">
    <w:abstractNumId w:val="4"/>
  </w:num>
  <w:num w:numId="12" w16cid:durableId="454564071">
    <w:abstractNumId w:val="3"/>
  </w:num>
  <w:num w:numId="13" w16cid:durableId="1550874486">
    <w:abstractNumId w:val="2"/>
    <w:lvlOverride w:ilvl="0">
      <w:startOverride w:val="1"/>
    </w:lvlOverride>
  </w:num>
  <w:num w:numId="14" w16cid:durableId="825971527">
    <w:abstractNumId w:val="2"/>
    <w:lvlOverride w:ilvl="0">
      <w:startOverride w:val="1"/>
    </w:lvlOverride>
  </w:num>
  <w:num w:numId="15" w16cid:durableId="889999444">
    <w:abstractNumId w:val="2"/>
    <w:lvlOverride w:ilvl="0">
      <w:startOverride w:val="1"/>
    </w:lvlOverride>
  </w:num>
  <w:num w:numId="16" w16cid:durableId="271406163">
    <w:abstractNumId w:val="7"/>
  </w:num>
  <w:num w:numId="17" w16cid:durableId="1271475918">
    <w:abstractNumId w:val="2"/>
    <w:lvlOverride w:ilvl="0">
      <w:startOverride w:val="1"/>
    </w:lvlOverride>
  </w:num>
  <w:num w:numId="18" w16cid:durableId="2118475825">
    <w:abstractNumId w:val="3"/>
  </w:num>
  <w:num w:numId="19" w16cid:durableId="1206605668">
    <w:abstractNumId w:val="3"/>
  </w:num>
  <w:num w:numId="20" w16cid:durableId="1933196634">
    <w:abstractNumId w:val="8"/>
  </w:num>
  <w:num w:numId="21" w16cid:durableId="6600867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5B"/>
    <w:rsid w:val="00010667"/>
    <w:rsid w:val="000129D5"/>
    <w:rsid w:val="00015AE7"/>
    <w:rsid w:val="00016E21"/>
    <w:rsid w:val="0001719C"/>
    <w:rsid w:val="0002224E"/>
    <w:rsid w:val="00023A36"/>
    <w:rsid w:val="000245E5"/>
    <w:rsid w:val="00026F91"/>
    <w:rsid w:val="00032621"/>
    <w:rsid w:val="000436B2"/>
    <w:rsid w:val="0004764C"/>
    <w:rsid w:val="0005011A"/>
    <w:rsid w:val="0005045A"/>
    <w:rsid w:val="00051C1E"/>
    <w:rsid w:val="000539F9"/>
    <w:rsid w:val="00054C27"/>
    <w:rsid w:val="00055EC3"/>
    <w:rsid w:val="000563CE"/>
    <w:rsid w:val="000659B6"/>
    <w:rsid w:val="0006686F"/>
    <w:rsid w:val="0006722A"/>
    <w:rsid w:val="000732CF"/>
    <w:rsid w:val="00075B96"/>
    <w:rsid w:val="0008196A"/>
    <w:rsid w:val="000915ED"/>
    <w:rsid w:val="0009209D"/>
    <w:rsid w:val="0009463C"/>
    <w:rsid w:val="000969BD"/>
    <w:rsid w:val="000969BF"/>
    <w:rsid w:val="000A0C22"/>
    <w:rsid w:val="000A1400"/>
    <w:rsid w:val="000A3C43"/>
    <w:rsid w:val="000A4A51"/>
    <w:rsid w:val="000A5D2B"/>
    <w:rsid w:val="000B4664"/>
    <w:rsid w:val="000B5DE3"/>
    <w:rsid w:val="000C0A57"/>
    <w:rsid w:val="000C230C"/>
    <w:rsid w:val="000C6AB4"/>
    <w:rsid w:val="000D71D9"/>
    <w:rsid w:val="000D76E0"/>
    <w:rsid w:val="000D7E8B"/>
    <w:rsid w:val="000E4449"/>
    <w:rsid w:val="000E6097"/>
    <w:rsid w:val="000F5EA8"/>
    <w:rsid w:val="00103829"/>
    <w:rsid w:val="00111FCE"/>
    <w:rsid w:val="001229A5"/>
    <w:rsid w:val="0012489B"/>
    <w:rsid w:val="00130017"/>
    <w:rsid w:val="00130F91"/>
    <w:rsid w:val="001349ED"/>
    <w:rsid w:val="00137424"/>
    <w:rsid w:val="00140318"/>
    <w:rsid w:val="00141AD9"/>
    <w:rsid w:val="00146CE6"/>
    <w:rsid w:val="00152903"/>
    <w:rsid w:val="00153FD5"/>
    <w:rsid w:val="0015614F"/>
    <w:rsid w:val="001577C2"/>
    <w:rsid w:val="001633C4"/>
    <w:rsid w:val="001704D5"/>
    <w:rsid w:val="00171591"/>
    <w:rsid w:val="00173981"/>
    <w:rsid w:val="0017719D"/>
    <w:rsid w:val="00183FD7"/>
    <w:rsid w:val="00185CAB"/>
    <w:rsid w:val="001875B7"/>
    <w:rsid w:val="00187CB3"/>
    <w:rsid w:val="0019050A"/>
    <w:rsid w:val="001910D4"/>
    <w:rsid w:val="001976E3"/>
    <w:rsid w:val="001A44EC"/>
    <w:rsid w:val="001B1779"/>
    <w:rsid w:val="001B58AA"/>
    <w:rsid w:val="001B7E48"/>
    <w:rsid w:val="001C17CE"/>
    <w:rsid w:val="001C36CA"/>
    <w:rsid w:val="001C44D1"/>
    <w:rsid w:val="001C6AEE"/>
    <w:rsid w:val="001C7630"/>
    <w:rsid w:val="001D6D15"/>
    <w:rsid w:val="001F50F7"/>
    <w:rsid w:val="001F7558"/>
    <w:rsid w:val="00201EE2"/>
    <w:rsid w:val="00205B57"/>
    <w:rsid w:val="0021426C"/>
    <w:rsid w:val="002157E0"/>
    <w:rsid w:val="00216047"/>
    <w:rsid w:val="00216A57"/>
    <w:rsid w:val="00217448"/>
    <w:rsid w:val="0022334F"/>
    <w:rsid w:val="00226819"/>
    <w:rsid w:val="00233101"/>
    <w:rsid w:val="00233817"/>
    <w:rsid w:val="0023539A"/>
    <w:rsid w:val="002367FF"/>
    <w:rsid w:val="00240CE9"/>
    <w:rsid w:val="002434BA"/>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83F51"/>
    <w:rsid w:val="0029593B"/>
    <w:rsid w:val="00297FC5"/>
    <w:rsid w:val="002A0417"/>
    <w:rsid w:val="002A16D8"/>
    <w:rsid w:val="002A1BC8"/>
    <w:rsid w:val="002A3EF2"/>
    <w:rsid w:val="002B0DED"/>
    <w:rsid w:val="002B19A2"/>
    <w:rsid w:val="002B381A"/>
    <w:rsid w:val="002B4FCC"/>
    <w:rsid w:val="002B7408"/>
    <w:rsid w:val="002B7CFD"/>
    <w:rsid w:val="002C0530"/>
    <w:rsid w:val="002C210F"/>
    <w:rsid w:val="002D3600"/>
    <w:rsid w:val="002E4DDC"/>
    <w:rsid w:val="002E4EC0"/>
    <w:rsid w:val="002E63B6"/>
    <w:rsid w:val="00302480"/>
    <w:rsid w:val="00302758"/>
    <w:rsid w:val="003165E6"/>
    <w:rsid w:val="003215B5"/>
    <w:rsid w:val="003221CF"/>
    <w:rsid w:val="003233ED"/>
    <w:rsid w:val="00324D9F"/>
    <w:rsid w:val="003253EE"/>
    <w:rsid w:val="00327948"/>
    <w:rsid w:val="0033000F"/>
    <w:rsid w:val="00332011"/>
    <w:rsid w:val="00332518"/>
    <w:rsid w:val="00332925"/>
    <w:rsid w:val="00332E3F"/>
    <w:rsid w:val="003332ED"/>
    <w:rsid w:val="003368DC"/>
    <w:rsid w:val="0034490B"/>
    <w:rsid w:val="00345927"/>
    <w:rsid w:val="00350584"/>
    <w:rsid w:val="00351857"/>
    <w:rsid w:val="003545E8"/>
    <w:rsid w:val="003610E1"/>
    <w:rsid w:val="003671BE"/>
    <w:rsid w:val="00372485"/>
    <w:rsid w:val="00373200"/>
    <w:rsid w:val="00375EF5"/>
    <w:rsid w:val="003767A5"/>
    <w:rsid w:val="003803BD"/>
    <w:rsid w:val="00381D15"/>
    <w:rsid w:val="00385254"/>
    <w:rsid w:val="00390D91"/>
    <w:rsid w:val="003933E8"/>
    <w:rsid w:val="00394031"/>
    <w:rsid w:val="00396DC2"/>
    <w:rsid w:val="003A04DB"/>
    <w:rsid w:val="003A5F5B"/>
    <w:rsid w:val="003A789A"/>
    <w:rsid w:val="003B12EC"/>
    <w:rsid w:val="003C03B8"/>
    <w:rsid w:val="003C77E0"/>
    <w:rsid w:val="003D17D7"/>
    <w:rsid w:val="003D2678"/>
    <w:rsid w:val="003D71A3"/>
    <w:rsid w:val="003E2B8A"/>
    <w:rsid w:val="003F10EE"/>
    <w:rsid w:val="003F16F6"/>
    <w:rsid w:val="003F4DC7"/>
    <w:rsid w:val="003F5235"/>
    <w:rsid w:val="004027E4"/>
    <w:rsid w:val="0041071D"/>
    <w:rsid w:val="00414AFC"/>
    <w:rsid w:val="004151A7"/>
    <w:rsid w:val="00415310"/>
    <w:rsid w:val="00420E42"/>
    <w:rsid w:val="00421709"/>
    <w:rsid w:val="00423763"/>
    <w:rsid w:val="0042762F"/>
    <w:rsid w:val="00427DC7"/>
    <w:rsid w:val="00431613"/>
    <w:rsid w:val="00431792"/>
    <w:rsid w:val="0043297A"/>
    <w:rsid w:val="00432EB2"/>
    <w:rsid w:val="0043714F"/>
    <w:rsid w:val="004438B5"/>
    <w:rsid w:val="00447037"/>
    <w:rsid w:val="0045124D"/>
    <w:rsid w:val="00454596"/>
    <w:rsid w:val="0045605D"/>
    <w:rsid w:val="0046135B"/>
    <w:rsid w:val="00461D47"/>
    <w:rsid w:val="004718CC"/>
    <w:rsid w:val="00481695"/>
    <w:rsid w:val="00486FF6"/>
    <w:rsid w:val="00495A96"/>
    <w:rsid w:val="00495BB3"/>
    <w:rsid w:val="004A56BB"/>
    <w:rsid w:val="004A70D6"/>
    <w:rsid w:val="004B1751"/>
    <w:rsid w:val="004C0253"/>
    <w:rsid w:val="004D56FF"/>
    <w:rsid w:val="004E39D3"/>
    <w:rsid w:val="004E508A"/>
    <w:rsid w:val="004E616D"/>
    <w:rsid w:val="004F1BDE"/>
    <w:rsid w:val="004F2CEE"/>
    <w:rsid w:val="004F556E"/>
    <w:rsid w:val="004F591C"/>
    <w:rsid w:val="004F7F44"/>
    <w:rsid w:val="005037B4"/>
    <w:rsid w:val="005079BF"/>
    <w:rsid w:val="0051269A"/>
    <w:rsid w:val="005219E7"/>
    <w:rsid w:val="00531B9A"/>
    <w:rsid w:val="00531D15"/>
    <w:rsid w:val="00537604"/>
    <w:rsid w:val="00542377"/>
    <w:rsid w:val="005476EB"/>
    <w:rsid w:val="00551782"/>
    <w:rsid w:val="00563EF1"/>
    <w:rsid w:val="00566AB4"/>
    <w:rsid w:val="00573812"/>
    <w:rsid w:val="00575AC5"/>
    <w:rsid w:val="0057605D"/>
    <w:rsid w:val="00581347"/>
    <w:rsid w:val="00581AC9"/>
    <w:rsid w:val="005849F8"/>
    <w:rsid w:val="00584B51"/>
    <w:rsid w:val="00584FCC"/>
    <w:rsid w:val="005911A2"/>
    <w:rsid w:val="005938DF"/>
    <w:rsid w:val="00594E9C"/>
    <w:rsid w:val="005A099B"/>
    <w:rsid w:val="005A2D9C"/>
    <w:rsid w:val="005A55FE"/>
    <w:rsid w:val="005A5B67"/>
    <w:rsid w:val="005A6A11"/>
    <w:rsid w:val="005B2F0D"/>
    <w:rsid w:val="005B4AED"/>
    <w:rsid w:val="005C34EF"/>
    <w:rsid w:val="005D2502"/>
    <w:rsid w:val="005D40BB"/>
    <w:rsid w:val="005D47F3"/>
    <w:rsid w:val="005D49BF"/>
    <w:rsid w:val="005D4AA5"/>
    <w:rsid w:val="005D6F4E"/>
    <w:rsid w:val="005D7C73"/>
    <w:rsid w:val="005E250B"/>
    <w:rsid w:val="005E3ACD"/>
    <w:rsid w:val="005E7226"/>
    <w:rsid w:val="005E7A57"/>
    <w:rsid w:val="005F24B0"/>
    <w:rsid w:val="00604315"/>
    <w:rsid w:val="00604E26"/>
    <w:rsid w:val="0060523F"/>
    <w:rsid w:val="006052CF"/>
    <w:rsid w:val="00607B8D"/>
    <w:rsid w:val="00611F5C"/>
    <w:rsid w:val="00616E09"/>
    <w:rsid w:val="00622A3B"/>
    <w:rsid w:val="00622EEA"/>
    <w:rsid w:val="0062396C"/>
    <w:rsid w:val="00623FF9"/>
    <w:rsid w:val="0062437D"/>
    <w:rsid w:val="00627D4E"/>
    <w:rsid w:val="00632B89"/>
    <w:rsid w:val="0063346D"/>
    <w:rsid w:val="00634478"/>
    <w:rsid w:val="0063685B"/>
    <w:rsid w:val="00644373"/>
    <w:rsid w:val="00645915"/>
    <w:rsid w:val="00646CC4"/>
    <w:rsid w:val="006519C3"/>
    <w:rsid w:val="00652B30"/>
    <w:rsid w:val="00656345"/>
    <w:rsid w:val="00656DC6"/>
    <w:rsid w:val="00660EC6"/>
    <w:rsid w:val="00664110"/>
    <w:rsid w:val="00664D17"/>
    <w:rsid w:val="00666520"/>
    <w:rsid w:val="00667C5B"/>
    <w:rsid w:val="00691EB8"/>
    <w:rsid w:val="00692CDE"/>
    <w:rsid w:val="00693073"/>
    <w:rsid w:val="006977FF"/>
    <w:rsid w:val="006A01FA"/>
    <w:rsid w:val="006A0E9E"/>
    <w:rsid w:val="006A25C7"/>
    <w:rsid w:val="006A3ECF"/>
    <w:rsid w:val="006A4AAD"/>
    <w:rsid w:val="006A4CCA"/>
    <w:rsid w:val="006A6DA2"/>
    <w:rsid w:val="006A7AB2"/>
    <w:rsid w:val="006B0765"/>
    <w:rsid w:val="006B0912"/>
    <w:rsid w:val="006B52DE"/>
    <w:rsid w:val="006B5717"/>
    <w:rsid w:val="006B582F"/>
    <w:rsid w:val="006B5EB2"/>
    <w:rsid w:val="006C0CEB"/>
    <w:rsid w:val="006C1631"/>
    <w:rsid w:val="006C3B1E"/>
    <w:rsid w:val="006C47FD"/>
    <w:rsid w:val="006C5C19"/>
    <w:rsid w:val="006C5FD4"/>
    <w:rsid w:val="006C70A0"/>
    <w:rsid w:val="006D27CB"/>
    <w:rsid w:val="006D2F08"/>
    <w:rsid w:val="006D576C"/>
    <w:rsid w:val="006D5865"/>
    <w:rsid w:val="006E4B1B"/>
    <w:rsid w:val="006E5445"/>
    <w:rsid w:val="006E7D93"/>
    <w:rsid w:val="006F4E58"/>
    <w:rsid w:val="0070133D"/>
    <w:rsid w:val="007029A3"/>
    <w:rsid w:val="00706E4E"/>
    <w:rsid w:val="0070791C"/>
    <w:rsid w:val="0071383C"/>
    <w:rsid w:val="007141A7"/>
    <w:rsid w:val="00715722"/>
    <w:rsid w:val="00715BAF"/>
    <w:rsid w:val="00721032"/>
    <w:rsid w:val="00721B55"/>
    <w:rsid w:val="00726CE4"/>
    <w:rsid w:val="00734143"/>
    <w:rsid w:val="00737E47"/>
    <w:rsid w:val="00740EAC"/>
    <w:rsid w:val="00744956"/>
    <w:rsid w:val="00745A5C"/>
    <w:rsid w:val="0074605F"/>
    <w:rsid w:val="00747E94"/>
    <w:rsid w:val="00754C83"/>
    <w:rsid w:val="00761E5C"/>
    <w:rsid w:val="00765DF8"/>
    <w:rsid w:val="00766749"/>
    <w:rsid w:val="00767C1B"/>
    <w:rsid w:val="00770B3F"/>
    <w:rsid w:val="007714A9"/>
    <w:rsid w:val="00774F88"/>
    <w:rsid w:val="00774FDB"/>
    <w:rsid w:val="00776CD3"/>
    <w:rsid w:val="00777BA2"/>
    <w:rsid w:val="00781408"/>
    <w:rsid w:val="00784F7F"/>
    <w:rsid w:val="007878BD"/>
    <w:rsid w:val="00796F25"/>
    <w:rsid w:val="007A2E98"/>
    <w:rsid w:val="007A3BA3"/>
    <w:rsid w:val="007A6CC0"/>
    <w:rsid w:val="007A7FEC"/>
    <w:rsid w:val="007B1499"/>
    <w:rsid w:val="007B1BBF"/>
    <w:rsid w:val="007B2960"/>
    <w:rsid w:val="007B355D"/>
    <w:rsid w:val="007B7980"/>
    <w:rsid w:val="007C0DEF"/>
    <w:rsid w:val="007C1AF4"/>
    <w:rsid w:val="007C5D5A"/>
    <w:rsid w:val="007C607F"/>
    <w:rsid w:val="007C79DD"/>
    <w:rsid w:val="007D1A97"/>
    <w:rsid w:val="007D2CD6"/>
    <w:rsid w:val="007D3063"/>
    <w:rsid w:val="007D3CEB"/>
    <w:rsid w:val="007E7683"/>
    <w:rsid w:val="007F49FA"/>
    <w:rsid w:val="007F54C4"/>
    <w:rsid w:val="007F6E9A"/>
    <w:rsid w:val="00800CCD"/>
    <w:rsid w:val="00801FEB"/>
    <w:rsid w:val="008044D4"/>
    <w:rsid w:val="00810AB4"/>
    <w:rsid w:val="00817B56"/>
    <w:rsid w:val="00821A88"/>
    <w:rsid w:val="0082322E"/>
    <w:rsid w:val="0082495D"/>
    <w:rsid w:val="00831AC3"/>
    <w:rsid w:val="00836FCE"/>
    <w:rsid w:val="008408FF"/>
    <w:rsid w:val="008500E5"/>
    <w:rsid w:val="00851F3F"/>
    <w:rsid w:val="00856EDC"/>
    <w:rsid w:val="008623B5"/>
    <w:rsid w:val="00870ABA"/>
    <w:rsid w:val="008710E1"/>
    <w:rsid w:val="008716E5"/>
    <w:rsid w:val="00881CA9"/>
    <w:rsid w:val="00883628"/>
    <w:rsid w:val="00885544"/>
    <w:rsid w:val="0088634E"/>
    <w:rsid w:val="00893AB8"/>
    <w:rsid w:val="0089493D"/>
    <w:rsid w:val="008A04C8"/>
    <w:rsid w:val="008A4066"/>
    <w:rsid w:val="008A6913"/>
    <w:rsid w:val="008A71F8"/>
    <w:rsid w:val="008B70F3"/>
    <w:rsid w:val="008B71C4"/>
    <w:rsid w:val="008B76DF"/>
    <w:rsid w:val="008C10F4"/>
    <w:rsid w:val="008C65F7"/>
    <w:rsid w:val="008D477A"/>
    <w:rsid w:val="008D694A"/>
    <w:rsid w:val="008E0428"/>
    <w:rsid w:val="008E4767"/>
    <w:rsid w:val="008E7A8C"/>
    <w:rsid w:val="0090203B"/>
    <w:rsid w:val="00903285"/>
    <w:rsid w:val="00906F40"/>
    <w:rsid w:val="0090731E"/>
    <w:rsid w:val="00915B1C"/>
    <w:rsid w:val="009174F3"/>
    <w:rsid w:val="0091797D"/>
    <w:rsid w:val="00923CBA"/>
    <w:rsid w:val="00926703"/>
    <w:rsid w:val="00927691"/>
    <w:rsid w:val="00927A5F"/>
    <w:rsid w:val="00930510"/>
    <w:rsid w:val="00935B63"/>
    <w:rsid w:val="00936E95"/>
    <w:rsid w:val="0094078F"/>
    <w:rsid w:val="00940FA3"/>
    <w:rsid w:val="00941FB0"/>
    <w:rsid w:val="009426D4"/>
    <w:rsid w:val="00947F25"/>
    <w:rsid w:val="00950159"/>
    <w:rsid w:val="0095490B"/>
    <w:rsid w:val="00960A33"/>
    <w:rsid w:val="00961B14"/>
    <w:rsid w:val="00971914"/>
    <w:rsid w:val="00974363"/>
    <w:rsid w:val="00981898"/>
    <w:rsid w:val="0099577C"/>
    <w:rsid w:val="009A021C"/>
    <w:rsid w:val="009A25CC"/>
    <w:rsid w:val="009B24A5"/>
    <w:rsid w:val="009B2601"/>
    <w:rsid w:val="009B4E9E"/>
    <w:rsid w:val="009C1690"/>
    <w:rsid w:val="009C2480"/>
    <w:rsid w:val="009C6881"/>
    <w:rsid w:val="009C7759"/>
    <w:rsid w:val="009D043D"/>
    <w:rsid w:val="009D07C8"/>
    <w:rsid w:val="009D4C85"/>
    <w:rsid w:val="009D6C71"/>
    <w:rsid w:val="009E0631"/>
    <w:rsid w:val="009E16D0"/>
    <w:rsid w:val="009E2051"/>
    <w:rsid w:val="009E38FD"/>
    <w:rsid w:val="009F13D6"/>
    <w:rsid w:val="009F4C6B"/>
    <w:rsid w:val="009F78A8"/>
    <w:rsid w:val="00A017E0"/>
    <w:rsid w:val="00A02AD6"/>
    <w:rsid w:val="00A07096"/>
    <w:rsid w:val="00A07318"/>
    <w:rsid w:val="00A11370"/>
    <w:rsid w:val="00A224CE"/>
    <w:rsid w:val="00A22522"/>
    <w:rsid w:val="00A24AFD"/>
    <w:rsid w:val="00A24F5C"/>
    <w:rsid w:val="00A32F96"/>
    <w:rsid w:val="00A36AA9"/>
    <w:rsid w:val="00A40871"/>
    <w:rsid w:val="00A412AB"/>
    <w:rsid w:val="00A4193E"/>
    <w:rsid w:val="00A440E0"/>
    <w:rsid w:val="00A442EF"/>
    <w:rsid w:val="00A518D9"/>
    <w:rsid w:val="00A51D1A"/>
    <w:rsid w:val="00A5418D"/>
    <w:rsid w:val="00A5474E"/>
    <w:rsid w:val="00A64234"/>
    <w:rsid w:val="00A70ADF"/>
    <w:rsid w:val="00A71466"/>
    <w:rsid w:val="00A74B5E"/>
    <w:rsid w:val="00A81BED"/>
    <w:rsid w:val="00A81EC4"/>
    <w:rsid w:val="00A824E8"/>
    <w:rsid w:val="00A82661"/>
    <w:rsid w:val="00A85C35"/>
    <w:rsid w:val="00A967FD"/>
    <w:rsid w:val="00AA2DE5"/>
    <w:rsid w:val="00AB156C"/>
    <w:rsid w:val="00AB6814"/>
    <w:rsid w:val="00AC04BA"/>
    <w:rsid w:val="00AC0E39"/>
    <w:rsid w:val="00AD3082"/>
    <w:rsid w:val="00AD32B4"/>
    <w:rsid w:val="00AD4AD0"/>
    <w:rsid w:val="00AD5436"/>
    <w:rsid w:val="00AD60CD"/>
    <w:rsid w:val="00AD6C8C"/>
    <w:rsid w:val="00AE091D"/>
    <w:rsid w:val="00AE3B60"/>
    <w:rsid w:val="00AE53A1"/>
    <w:rsid w:val="00AF2484"/>
    <w:rsid w:val="00AF33D1"/>
    <w:rsid w:val="00AF63E7"/>
    <w:rsid w:val="00AF6E17"/>
    <w:rsid w:val="00B0165D"/>
    <w:rsid w:val="00B01A3B"/>
    <w:rsid w:val="00B01B60"/>
    <w:rsid w:val="00B031F3"/>
    <w:rsid w:val="00B052A4"/>
    <w:rsid w:val="00B125DE"/>
    <w:rsid w:val="00B13FDD"/>
    <w:rsid w:val="00B22EB2"/>
    <w:rsid w:val="00B27442"/>
    <w:rsid w:val="00B31167"/>
    <w:rsid w:val="00B329D8"/>
    <w:rsid w:val="00B32BB9"/>
    <w:rsid w:val="00B33AE1"/>
    <w:rsid w:val="00B37C38"/>
    <w:rsid w:val="00B4288C"/>
    <w:rsid w:val="00B43262"/>
    <w:rsid w:val="00B44100"/>
    <w:rsid w:val="00B46CBA"/>
    <w:rsid w:val="00B46F94"/>
    <w:rsid w:val="00B6003C"/>
    <w:rsid w:val="00B61F03"/>
    <w:rsid w:val="00B626E4"/>
    <w:rsid w:val="00B72F4A"/>
    <w:rsid w:val="00B83C27"/>
    <w:rsid w:val="00B84BC3"/>
    <w:rsid w:val="00B84BDD"/>
    <w:rsid w:val="00B92812"/>
    <w:rsid w:val="00BA66BC"/>
    <w:rsid w:val="00BB45A1"/>
    <w:rsid w:val="00BB6335"/>
    <w:rsid w:val="00BB7686"/>
    <w:rsid w:val="00BB7802"/>
    <w:rsid w:val="00BC23F9"/>
    <w:rsid w:val="00BC3421"/>
    <w:rsid w:val="00BC732C"/>
    <w:rsid w:val="00BD12D2"/>
    <w:rsid w:val="00BD4421"/>
    <w:rsid w:val="00BE2580"/>
    <w:rsid w:val="00BE266D"/>
    <w:rsid w:val="00BE3938"/>
    <w:rsid w:val="00BE4C11"/>
    <w:rsid w:val="00BE71C0"/>
    <w:rsid w:val="00BF610C"/>
    <w:rsid w:val="00C0060B"/>
    <w:rsid w:val="00C01A6C"/>
    <w:rsid w:val="00C0277D"/>
    <w:rsid w:val="00C02F26"/>
    <w:rsid w:val="00C053A1"/>
    <w:rsid w:val="00C13CA7"/>
    <w:rsid w:val="00C16198"/>
    <w:rsid w:val="00C2083D"/>
    <w:rsid w:val="00C24466"/>
    <w:rsid w:val="00C24A53"/>
    <w:rsid w:val="00C34A05"/>
    <w:rsid w:val="00C35CCE"/>
    <w:rsid w:val="00C4032F"/>
    <w:rsid w:val="00C41F21"/>
    <w:rsid w:val="00C44047"/>
    <w:rsid w:val="00C45155"/>
    <w:rsid w:val="00C5498F"/>
    <w:rsid w:val="00C55235"/>
    <w:rsid w:val="00C64CD0"/>
    <w:rsid w:val="00C65F61"/>
    <w:rsid w:val="00C6684F"/>
    <w:rsid w:val="00C70E70"/>
    <w:rsid w:val="00C75F8D"/>
    <w:rsid w:val="00C77380"/>
    <w:rsid w:val="00C85CAE"/>
    <w:rsid w:val="00C87E8A"/>
    <w:rsid w:val="00C913D6"/>
    <w:rsid w:val="00C97736"/>
    <w:rsid w:val="00CA345A"/>
    <w:rsid w:val="00CB1E82"/>
    <w:rsid w:val="00CB4BA8"/>
    <w:rsid w:val="00CB52D7"/>
    <w:rsid w:val="00CC6732"/>
    <w:rsid w:val="00CD6ACF"/>
    <w:rsid w:val="00CE3C96"/>
    <w:rsid w:val="00CE51A8"/>
    <w:rsid w:val="00CF0BFE"/>
    <w:rsid w:val="00CF369B"/>
    <w:rsid w:val="00D00E28"/>
    <w:rsid w:val="00D0269E"/>
    <w:rsid w:val="00D03276"/>
    <w:rsid w:val="00D05D6C"/>
    <w:rsid w:val="00D15810"/>
    <w:rsid w:val="00D16D4E"/>
    <w:rsid w:val="00D16FE3"/>
    <w:rsid w:val="00D27F41"/>
    <w:rsid w:val="00D36441"/>
    <w:rsid w:val="00D4064E"/>
    <w:rsid w:val="00D43B47"/>
    <w:rsid w:val="00D44E9B"/>
    <w:rsid w:val="00D47AEB"/>
    <w:rsid w:val="00D50DB9"/>
    <w:rsid w:val="00D51302"/>
    <w:rsid w:val="00D52C43"/>
    <w:rsid w:val="00D5737E"/>
    <w:rsid w:val="00D61243"/>
    <w:rsid w:val="00D63F3A"/>
    <w:rsid w:val="00D6507F"/>
    <w:rsid w:val="00D730BC"/>
    <w:rsid w:val="00D73912"/>
    <w:rsid w:val="00D85226"/>
    <w:rsid w:val="00D87B94"/>
    <w:rsid w:val="00D92D49"/>
    <w:rsid w:val="00D92EC1"/>
    <w:rsid w:val="00D96DEA"/>
    <w:rsid w:val="00DA4E41"/>
    <w:rsid w:val="00DB117A"/>
    <w:rsid w:val="00DB5173"/>
    <w:rsid w:val="00DB7873"/>
    <w:rsid w:val="00DC187B"/>
    <w:rsid w:val="00DD1A43"/>
    <w:rsid w:val="00DD3D47"/>
    <w:rsid w:val="00DD73C2"/>
    <w:rsid w:val="00DE319B"/>
    <w:rsid w:val="00DF34FE"/>
    <w:rsid w:val="00DF56AA"/>
    <w:rsid w:val="00DF56AF"/>
    <w:rsid w:val="00DF61AA"/>
    <w:rsid w:val="00DF7158"/>
    <w:rsid w:val="00DF78E7"/>
    <w:rsid w:val="00E110E0"/>
    <w:rsid w:val="00E15371"/>
    <w:rsid w:val="00E162C4"/>
    <w:rsid w:val="00E21056"/>
    <w:rsid w:val="00E24104"/>
    <w:rsid w:val="00E302D0"/>
    <w:rsid w:val="00E35707"/>
    <w:rsid w:val="00E36AA1"/>
    <w:rsid w:val="00E41ECB"/>
    <w:rsid w:val="00E42676"/>
    <w:rsid w:val="00E5426D"/>
    <w:rsid w:val="00E54FDB"/>
    <w:rsid w:val="00E5617D"/>
    <w:rsid w:val="00E563D7"/>
    <w:rsid w:val="00E663F4"/>
    <w:rsid w:val="00E666F2"/>
    <w:rsid w:val="00E66DD4"/>
    <w:rsid w:val="00E710B8"/>
    <w:rsid w:val="00E71872"/>
    <w:rsid w:val="00E748CC"/>
    <w:rsid w:val="00E74F15"/>
    <w:rsid w:val="00E75415"/>
    <w:rsid w:val="00E775B1"/>
    <w:rsid w:val="00E77682"/>
    <w:rsid w:val="00E810A7"/>
    <w:rsid w:val="00E8152A"/>
    <w:rsid w:val="00E85638"/>
    <w:rsid w:val="00E93629"/>
    <w:rsid w:val="00E93B5C"/>
    <w:rsid w:val="00E94CEC"/>
    <w:rsid w:val="00EA04EF"/>
    <w:rsid w:val="00EA0969"/>
    <w:rsid w:val="00EA53C3"/>
    <w:rsid w:val="00EA5E68"/>
    <w:rsid w:val="00EA6C79"/>
    <w:rsid w:val="00EA6F19"/>
    <w:rsid w:val="00EB7090"/>
    <w:rsid w:val="00EC1BBE"/>
    <w:rsid w:val="00EC2B68"/>
    <w:rsid w:val="00EC3AEF"/>
    <w:rsid w:val="00EC5CD7"/>
    <w:rsid w:val="00EC6DE8"/>
    <w:rsid w:val="00EE5FB3"/>
    <w:rsid w:val="00EE7F79"/>
    <w:rsid w:val="00EF715A"/>
    <w:rsid w:val="00F06E14"/>
    <w:rsid w:val="00F179D4"/>
    <w:rsid w:val="00F22A23"/>
    <w:rsid w:val="00F33C56"/>
    <w:rsid w:val="00F347C7"/>
    <w:rsid w:val="00F34848"/>
    <w:rsid w:val="00F361D7"/>
    <w:rsid w:val="00F42D46"/>
    <w:rsid w:val="00F4496C"/>
    <w:rsid w:val="00F44F3A"/>
    <w:rsid w:val="00F51F10"/>
    <w:rsid w:val="00F529A5"/>
    <w:rsid w:val="00F5310D"/>
    <w:rsid w:val="00F60F00"/>
    <w:rsid w:val="00F614C0"/>
    <w:rsid w:val="00F83848"/>
    <w:rsid w:val="00F975E9"/>
    <w:rsid w:val="00FA1B7D"/>
    <w:rsid w:val="00FC07B9"/>
    <w:rsid w:val="00FC4E21"/>
    <w:rsid w:val="00FC5F6D"/>
    <w:rsid w:val="00FD0107"/>
    <w:rsid w:val="00FD2C2F"/>
    <w:rsid w:val="00FD3B31"/>
    <w:rsid w:val="00FE1823"/>
    <w:rsid w:val="00FE487A"/>
    <w:rsid w:val="00FE548B"/>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4EC3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390D91"/>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3"/>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semiHidden/>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uiPriority w:val="23"/>
    <w:rsid w:val="00C24466"/>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uiPriority w:val="20"/>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F5310D"/>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390D91"/>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D43B47"/>
    <w:pPr>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801FEB"/>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3803B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Protectivemarking">
    <w:name w:val="Protective marking"/>
    <w:basedOn w:val="Normal"/>
    <w:uiPriority w:val="99"/>
    <w:qFormat/>
    <w:rsid w:val="00390D91"/>
    <w:pPr>
      <w:tabs>
        <w:tab w:val="left" w:pos="720"/>
      </w:tabs>
      <w:spacing w:after="0" w:line="240" w:lineRule="auto"/>
      <w:jc w:val="center"/>
    </w:pPr>
    <w:rPr>
      <w:rFonts w:cs="Arial"/>
      <w:b/>
      <w:bCs/>
      <w:color w:val="FF0000"/>
      <w:sz w:val="32"/>
      <w:lang w:eastAsia="en-US"/>
    </w:rPr>
  </w:style>
  <w:style w:type="paragraph" w:styleId="Revision">
    <w:name w:val="Revision"/>
    <w:hidden/>
    <w:semiHidden/>
    <w:rsid w:val="00023A36"/>
    <w:rPr>
      <w:rFonts w:ascii="Arial" w:hAnsi="Arial"/>
      <w:sz w:val="20"/>
    </w:rPr>
  </w:style>
  <w:style w:type="paragraph" w:styleId="NormalWeb">
    <w:name w:val="Normal (Web)"/>
    <w:basedOn w:val="Normal"/>
    <w:uiPriority w:val="99"/>
    <w:semiHidden/>
    <w:unhideWhenUsed/>
    <w:rsid w:val="00FE548B"/>
    <w:pPr>
      <w:spacing w:before="100" w:beforeAutospacing="1" w:after="100" w:afterAutospacing="1" w:line="240" w:lineRule="auto"/>
    </w:pPr>
    <w:rPr>
      <w:rFonts w:ascii="Times New Roman" w:hAnsi="Times New Roman"/>
      <w:sz w:val="24"/>
    </w:rPr>
  </w:style>
  <w:style w:type="paragraph" w:customStyle="1" w:styleId="ACMANumberedList">
    <w:name w:val="ACMA Numbered List"/>
    <w:rsid w:val="008D694A"/>
    <w:pPr>
      <w:spacing w:before="20" w:after="20"/>
    </w:pPr>
    <w:rPr>
      <w:szCs w:val="20"/>
      <w:lang w:eastAsia="en-US"/>
    </w:rPr>
  </w:style>
  <w:style w:type="paragraph" w:styleId="ListParagraph">
    <w:name w:val="List Paragraph"/>
    <w:basedOn w:val="Normal"/>
    <w:semiHidden/>
    <w:rsid w:val="00D57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56921824">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consultations/2021-12/proposed-cost-recovery-arrangements-national-self-exclusion-register-consultation-432021" TargetMode="Externa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legislation.gov.au/Details/F2022L01073"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betstop@acm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legislation.gov.au/Details/C2019A00128"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acma.gov.au/have-your-say"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acma.gov.au/privacy-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cost-recovery-implementation-statement-cris" TargetMode="External"/><Relationship Id="rId30" Type="http://schemas.openxmlformats.org/officeDocument/2006/relationships/hyperlink" Target="https://www.acma.gov.au/publication-submissions" TargetMode="External"/><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8262-1C21-46BC-9DE5-9254E2A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1087</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2023-07-09T23:11:00Z</dcterms:created>
  <dcterms:modified xsi:type="dcterms:W3CDTF">2023-07-09T23:11:00Z</dcterms:modified>
  <cp:category/>
</cp:coreProperties>
</file>