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11065" w14:textId="77777777" w:rsidR="00726B8C" w:rsidRPr="00A51D1A" w:rsidRDefault="00726B8C" w:rsidP="00726B8C">
      <w:pPr>
        <w:pStyle w:val="ACMAReportTitle"/>
        <w:spacing w:after="200"/>
      </w:pPr>
      <w:bookmarkStart w:id="0" w:name="_Hlk75863257"/>
      <w:r>
        <w:t>Temporary community broadcasting licence guidelines for radio</w:t>
      </w:r>
    </w:p>
    <w:bookmarkEnd w:id="0"/>
    <w:p w14:paraId="38DEEB2D" w14:textId="254D7024" w:rsidR="00726B8C" w:rsidRPr="00B17715" w:rsidRDefault="00E22622" w:rsidP="00E22622">
      <w:pPr>
        <w:pStyle w:val="Reportdate"/>
        <w:spacing w:after="720"/>
        <w:rPr>
          <w:rFonts w:cs="Arial"/>
        </w:rPr>
      </w:pPr>
      <w:r w:rsidRPr="00E22622">
        <w:t>June 2023</w:t>
      </w:r>
    </w:p>
    <w:p w14:paraId="6A577930" w14:textId="617C4F74" w:rsidR="00C97736" w:rsidRPr="00702EA1" w:rsidRDefault="00C97736" w:rsidP="00EC2B68">
      <w:pPr>
        <w:pStyle w:val="Reportdate"/>
        <w:spacing w:after="720"/>
        <w:rPr>
          <w:rFonts w:cs="Arial"/>
        </w:rPr>
        <w:sectPr w:rsidR="00C97736"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p>
    <w:p w14:paraId="38D11FE6" w14:textId="77777777" w:rsidR="00284A74" w:rsidRPr="00702EA1" w:rsidRDefault="00284A74" w:rsidP="00284A74">
      <w:pPr>
        <w:pStyle w:val="ACMACorporateAddressHeader"/>
      </w:pPr>
      <w:r w:rsidRPr="00702EA1">
        <w:lastRenderedPageBreak/>
        <w:t>Canberra</w:t>
      </w:r>
    </w:p>
    <w:p w14:paraId="49C17EE4"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1F2DBD7B" w14:textId="77777777" w:rsidR="00284A74" w:rsidRPr="00702EA1" w:rsidRDefault="00284A74" w:rsidP="00284A74">
      <w:pPr>
        <w:pStyle w:val="ACMACorporateAddresses"/>
      </w:pPr>
      <w:r w:rsidRPr="00702EA1">
        <w:t>PO Box 78</w:t>
      </w:r>
      <w:r w:rsidRPr="00702EA1">
        <w:br/>
        <w:t>Belconnen ACT 2616</w:t>
      </w:r>
    </w:p>
    <w:p w14:paraId="38CAEA8E"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5B951F61" w14:textId="77777777" w:rsidR="00284A74" w:rsidRPr="00702EA1" w:rsidRDefault="00284A74" w:rsidP="00284A74">
      <w:pPr>
        <w:pStyle w:val="ACMACorporateAddressHeader"/>
      </w:pPr>
      <w:r w:rsidRPr="00702EA1">
        <w:t>Melbourne</w:t>
      </w:r>
    </w:p>
    <w:p w14:paraId="02E1A542"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258D805D"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408229C8"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5C89BEC3" w14:textId="77777777" w:rsidR="00284A74" w:rsidRPr="00702EA1" w:rsidRDefault="00284A74" w:rsidP="00284A74">
      <w:pPr>
        <w:pStyle w:val="ACMACorporateAddressHeader"/>
      </w:pPr>
      <w:r w:rsidRPr="00702EA1">
        <w:t>Sydney</w:t>
      </w:r>
    </w:p>
    <w:p w14:paraId="2B682844"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55DD81FB"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2DD06CC0"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2FE8D12D" w14:textId="77777777" w:rsidR="00284A74" w:rsidRPr="00702EA1" w:rsidRDefault="00284A74" w:rsidP="00284A74">
      <w:pPr>
        <w:pStyle w:val="ACMACopyrightHeader"/>
      </w:pPr>
      <w:r w:rsidRPr="00702EA1">
        <w:t>Copyright notice</w:t>
      </w:r>
    </w:p>
    <w:p w14:paraId="11AD7382" w14:textId="77777777" w:rsidR="00284A74" w:rsidRPr="00702EA1" w:rsidRDefault="00284A74" w:rsidP="00284A74">
      <w:pPr>
        <w:pStyle w:val="ACMACClogo"/>
      </w:pPr>
      <w:r w:rsidRPr="00702EA1">
        <w:rPr>
          <w:noProof/>
        </w:rPr>
        <w:drawing>
          <wp:inline distT="0" distB="0" distL="0" distR="0" wp14:anchorId="2923D54B" wp14:editId="5EBA7310">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634F2A1" w14:textId="77777777" w:rsidR="00284A74" w:rsidRPr="00702EA1" w:rsidRDefault="00F21C70" w:rsidP="00284A74">
      <w:pPr>
        <w:pStyle w:val="ACMACorporateAddresses"/>
        <w:rPr>
          <w:rStyle w:val="Hyperlink"/>
        </w:rPr>
      </w:pPr>
      <w:hyperlink r:id="rId13" w:history="1">
        <w:r w:rsidR="00284A74" w:rsidRPr="00702EA1">
          <w:rPr>
            <w:rStyle w:val="Hyperlink"/>
          </w:rPr>
          <w:t>https://creativecommons.org/licenses/by/4.0/</w:t>
        </w:r>
      </w:hyperlink>
    </w:p>
    <w:p w14:paraId="784CF15D"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3AD465AF" w14:textId="7AC0D236" w:rsidR="00284A74" w:rsidRPr="00702EA1" w:rsidRDefault="00284A74" w:rsidP="00284A74">
      <w:pPr>
        <w:pStyle w:val="ACMACorporateAddresses"/>
      </w:pPr>
      <w:r w:rsidRPr="00702EA1">
        <w:t>We request attribution as © Commonwealth of Australia (Australian Communications and Media Authority) 202</w:t>
      </w:r>
      <w:r w:rsidR="00E22622">
        <w:t>3</w:t>
      </w:r>
      <w:r w:rsidRPr="00702EA1">
        <w:t>.</w:t>
      </w:r>
    </w:p>
    <w:p w14:paraId="014DCFCE" w14:textId="77777777" w:rsidR="00284A74" w:rsidRPr="00702EA1" w:rsidRDefault="00284A74" w:rsidP="00284A74">
      <w:pPr>
        <w:pStyle w:val="ACMACorporateAddresses"/>
      </w:pPr>
      <w:r w:rsidRPr="00702EA1">
        <w:t>All other rights are reserved.</w:t>
      </w:r>
    </w:p>
    <w:p w14:paraId="2129D486"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CCAE57B" w14:textId="77777777" w:rsidR="00284A74" w:rsidRPr="00702EA1" w:rsidRDefault="00284A74" w:rsidP="00284A74">
      <w:pPr>
        <w:pStyle w:val="ACMACorporateAddresses"/>
      </w:pPr>
      <w:r w:rsidRPr="00702EA1">
        <w:t>Written enquiries may be sent to:</w:t>
      </w:r>
    </w:p>
    <w:p w14:paraId="6ED28BFD"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1E516B70" w14:textId="77777777" w:rsidR="00D16FE3" w:rsidRPr="00702EA1" w:rsidRDefault="00D16FE3" w:rsidP="00D16FE3">
      <w:pPr>
        <w:pStyle w:val="ACMACorporateAddresses"/>
        <w:sectPr w:rsidR="00D16FE3" w:rsidRPr="00702EA1">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F151EDF" w14:textId="714F2B3D" w:rsidR="001258BC" w:rsidRDefault="00726B8C">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"1-1" \h \z \t "Heading 2,2" </w:instrText>
      </w:r>
      <w:r>
        <w:rPr>
          <w:rFonts w:cs="Arial"/>
          <w:b w:val="0"/>
        </w:rPr>
        <w:fldChar w:fldCharType="separate"/>
      </w:r>
      <w:hyperlink w:anchor="_Toc137562982" w:history="1">
        <w:r w:rsidR="001258BC" w:rsidRPr="000153BD">
          <w:rPr>
            <w:rStyle w:val="Hyperlink"/>
          </w:rPr>
          <w:t>Background</w:t>
        </w:r>
        <w:r w:rsidR="001258BC">
          <w:rPr>
            <w:webHidden/>
          </w:rPr>
          <w:tab/>
        </w:r>
        <w:r w:rsidR="001258BC">
          <w:rPr>
            <w:webHidden/>
          </w:rPr>
          <w:fldChar w:fldCharType="begin"/>
        </w:r>
        <w:r w:rsidR="001258BC">
          <w:rPr>
            <w:webHidden/>
          </w:rPr>
          <w:instrText xml:space="preserve"> PAGEREF _Toc137562982 \h </w:instrText>
        </w:r>
        <w:r w:rsidR="001258BC">
          <w:rPr>
            <w:webHidden/>
          </w:rPr>
        </w:r>
        <w:r w:rsidR="001258BC">
          <w:rPr>
            <w:webHidden/>
          </w:rPr>
          <w:fldChar w:fldCharType="separate"/>
        </w:r>
        <w:r w:rsidR="001258BC">
          <w:rPr>
            <w:webHidden/>
          </w:rPr>
          <w:t>1</w:t>
        </w:r>
        <w:r w:rsidR="001258BC">
          <w:rPr>
            <w:webHidden/>
          </w:rPr>
          <w:fldChar w:fldCharType="end"/>
        </w:r>
      </w:hyperlink>
    </w:p>
    <w:p w14:paraId="684E4633" w14:textId="0217F643" w:rsidR="001258BC" w:rsidRDefault="001258BC">
      <w:pPr>
        <w:pStyle w:val="TOC1"/>
        <w:rPr>
          <w:rFonts w:asciiTheme="minorHAnsi" w:eastAsiaTheme="minorEastAsia" w:hAnsiTheme="minorHAnsi" w:cstheme="minorBidi"/>
          <w:b w:val="0"/>
          <w:spacing w:val="0"/>
          <w:sz w:val="22"/>
          <w:szCs w:val="22"/>
        </w:rPr>
      </w:pPr>
      <w:hyperlink w:anchor="_Toc137562983" w:history="1">
        <w:r w:rsidRPr="000153BD">
          <w:rPr>
            <w:rStyle w:val="Hyperlink"/>
          </w:rPr>
          <w:t>Making spectrum available for temporary community broadcasting</w:t>
        </w:r>
        <w:r>
          <w:rPr>
            <w:webHidden/>
          </w:rPr>
          <w:tab/>
        </w:r>
        <w:r>
          <w:rPr>
            <w:webHidden/>
          </w:rPr>
          <w:fldChar w:fldCharType="begin"/>
        </w:r>
        <w:r>
          <w:rPr>
            <w:webHidden/>
          </w:rPr>
          <w:instrText xml:space="preserve"> PAGEREF _Toc137562983 \h </w:instrText>
        </w:r>
        <w:r>
          <w:rPr>
            <w:webHidden/>
          </w:rPr>
        </w:r>
        <w:r>
          <w:rPr>
            <w:webHidden/>
          </w:rPr>
          <w:fldChar w:fldCharType="separate"/>
        </w:r>
        <w:r>
          <w:rPr>
            <w:webHidden/>
          </w:rPr>
          <w:t>3</w:t>
        </w:r>
        <w:r>
          <w:rPr>
            <w:webHidden/>
          </w:rPr>
          <w:fldChar w:fldCharType="end"/>
        </w:r>
      </w:hyperlink>
    </w:p>
    <w:p w14:paraId="1DE7EFAA" w14:textId="6ED0BAFA" w:rsidR="001258BC" w:rsidRDefault="001258BC">
      <w:pPr>
        <w:pStyle w:val="TOC2"/>
        <w:rPr>
          <w:rFonts w:asciiTheme="minorHAnsi" w:eastAsiaTheme="minorEastAsia" w:hAnsiTheme="minorHAnsi" w:cstheme="minorBidi"/>
          <w:spacing w:val="0"/>
          <w:sz w:val="22"/>
          <w:szCs w:val="22"/>
        </w:rPr>
      </w:pPr>
      <w:hyperlink w:anchor="_Toc137562984" w:history="1">
        <w:r w:rsidRPr="000153BD">
          <w:rPr>
            <w:rStyle w:val="Hyperlink"/>
          </w:rPr>
          <w:t>Situations where spectrum may be available for temporary community broadcasting purposes</w:t>
        </w:r>
        <w:r>
          <w:rPr>
            <w:webHidden/>
          </w:rPr>
          <w:tab/>
        </w:r>
        <w:r>
          <w:rPr>
            <w:webHidden/>
          </w:rPr>
          <w:fldChar w:fldCharType="begin"/>
        </w:r>
        <w:r>
          <w:rPr>
            <w:webHidden/>
          </w:rPr>
          <w:instrText xml:space="preserve"> PAGEREF _Toc137562984 \h </w:instrText>
        </w:r>
        <w:r>
          <w:rPr>
            <w:webHidden/>
          </w:rPr>
        </w:r>
        <w:r>
          <w:rPr>
            <w:webHidden/>
          </w:rPr>
          <w:fldChar w:fldCharType="separate"/>
        </w:r>
        <w:r>
          <w:rPr>
            <w:webHidden/>
          </w:rPr>
          <w:t>3</w:t>
        </w:r>
        <w:r>
          <w:rPr>
            <w:webHidden/>
          </w:rPr>
          <w:fldChar w:fldCharType="end"/>
        </w:r>
      </w:hyperlink>
    </w:p>
    <w:p w14:paraId="65E21E21" w14:textId="29F0AADD" w:rsidR="001258BC" w:rsidRDefault="001258BC">
      <w:pPr>
        <w:pStyle w:val="TOC1"/>
        <w:rPr>
          <w:rFonts w:asciiTheme="minorHAnsi" w:eastAsiaTheme="minorEastAsia" w:hAnsiTheme="minorHAnsi" w:cstheme="minorBidi"/>
          <w:b w:val="0"/>
          <w:spacing w:val="0"/>
          <w:sz w:val="22"/>
          <w:szCs w:val="22"/>
        </w:rPr>
      </w:pPr>
      <w:hyperlink w:anchor="_Toc137562985" w:history="1">
        <w:r w:rsidRPr="000153BD">
          <w:rPr>
            <w:rStyle w:val="Hyperlink"/>
            <w:lang w:val="en-US"/>
          </w:rPr>
          <w:t>Eligibility to apply for a TCBL</w:t>
        </w:r>
        <w:r>
          <w:rPr>
            <w:webHidden/>
          </w:rPr>
          <w:tab/>
        </w:r>
        <w:r>
          <w:rPr>
            <w:webHidden/>
          </w:rPr>
          <w:fldChar w:fldCharType="begin"/>
        </w:r>
        <w:r>
          <w:rPr>
            <w:webHidden/>
          </w:rPr>
          <w:instrText xml:space="preserve"> PAGEREF _Toc137562985 \h </w:instrText>
        </w:r>
        <w:r>
          <w:rPr>
            <w:webHidden/>
          </w:rPr>
        </w:r>
        <w:r>
          <w:rPr>
            <w:webHidden/>
          </w:rPr>
          <w:fldChar w:fldCharType="separate"/>
        </w:r>
        <w:r>
          <w:rPr>
            <w:webHidden/>
          </w:rPr>
          <w:t>6</w:t>
        </w:r>
        <w:r>
          <w:rPr>
            <w:webHidden/>
          </w:rPr>
          <w:fldChar w:fldCharType="end"/>
        </w:r>
      </w:hyperlink>
    </w:p>
    <w:p w14:paraId="2EAABBDE" w14:textId="557B86CC" w:rsidR="001258BC" w:rsidRDefault="001258BC">
      <w:pPr>
        <w:pStyle w:val="TOC2"/>
        <w:rPr>
          <w:rFonts w:asciiTheme="minorHAnsi" w:eastAsiaTheme="minorEastAsia" w:hAnsiTheme="minorHAnsi" w:cstheme="minorBidi"/>
          <w:spacing w:val="0"/>
          <w:sz w:val="22"/>
          <w:szCs w:val="22"/>
        </w:rPr>
      </w:pPr>
      <w:hyperlink w:anchor="_Toc137562986" w:history="1">
        <w:r w:rsidRPr="000153BD">
          <w:rPr>
            <w:rStyle w:val="Hyperlink"/>
          </w:rPr>
          <w:t>Applicants for a TCBL</w:t>
        </w:r>
        <w:r>
          <w:rPr>
            <w:webHidden/>
          </w:rPr>
          <w:tab/>
        </w:r>
        <w:r>
          <w:rPr>
            <w:webHidden/>
          </w:rPr>
          <w:fldChar w:fldCharType="begin"/>
        </w:r>
        <w:r>
          <w:rPr>
            <w:webHidden/>
          </w:rPr>
          <w:instrText xml:space="preserve"> PAGEREF _Toc137562986 \h </w:instrText>
        </w:r>
        <w:r>
          <w:rPr>
            <w:webHidden/>
          </w:rPr>
        </w:r>
        <w:r>
          <w:rPr>
            <w:webHidden/>
          </w:rPr>
          <w:fldChar w:fldCharType="separate"/>
        </w:r>
        <w:r>
          <w:rPr>
            <w:webHidden/>
          </w:rPr>
          <w:t>6</w:t>
        </w:r>
        <w:r>
          <w:rPr>
            <w:webHidden/>
          </w:rPr>
          <w:fldChar w:fldCharType="end"/>
        </w:r>
      </w:hyperlink>
    </w:p>
    <w:p w14:paraId="66F6125B" w14:textId="6DE08C52" w:rsidR="001258BC" w:rsidRDefault="001258BC">
      <w:pPr>
        <w:pStyle w:val="TOC1"/>
        <w:rPr>
          <w:rFonts w:asciiTheme="minorHAnsi" w:eastAsiaTheme="minorEastAsia" w:hAnsiTheme="minorHAnsi" w:cstheme="minorBidi"/>
          <w:b w:val="0"/>
          <w:spacing w:val="0"/>
          <w:sz w:val="22"/>
          <w:szCs w:val="22"/>
        </w:rPr>
      </w:pPr>
      <w:hyperlink w:anchor="_Toc137562987" w:history="1">
        <w:r w:rsidRPr="000153BD">
          <w:rPr>
            <w:rStyle w:val="Hyperlink"/>
            <w:lang w:val="en-US"/>
          </w:rPr>
          <w:t>How we decide to allocate  a TCBL</w:t>
        </w:r>
        <w:r>
          <w:rPr>
            <w:webHidden/>
          </w:rPr>
          <w:tab/>
        </w:r>
        <w:r>
          <w:rPr>
            <w:webHidden/>
          </w:rPr>
          <w:fldChar w:fldCharType="begin"/>
        </w:r>
        <w:r>
          <w:rPr>
            <w:webHidden/>
          </w:rPr>
          <w:instrText xml:space="preserve"> PAGEREF _Toc137562987 \h </w:instrText>
        </w:r>
        <w:r>
          <w:rPr>
            <w:webHidden/>
          </w:rPr>
        </w:r>
        <w:r>
          <w:rPr>
            <w:webHidden/>
          </w:rPr>
          <w:fldChar w:fldCharType="separate"/>
        </w:r>
        <w:r>
          <w:rPr>
            <w:webHidden/>
          </w:rPr>
          <w:t>8</w:t>
        </w:r>
        <w:r>
          <w:rPr>
            <w:webHidden/>
          </w:rPr>
          <w:fldChar w:fldCharType="end"/>
        </w:r>
      </w:hyperlink>
    </w:p>
    <w:p w14:paraId="092B1DAE" w14:textId="71DB0810" w:rsidR="001258BC" w:rsidRDefault="001258BC">
      <w:pPr>
        <w:pStyle w:val="TOC2"/>
        <w:rPr>
          <w:rFonts w:asciiTheme="minorHAnsi" w:eastAsiaTheme="minorEastAsia" w:hAnsiTheme="minorHAnsi" w:cstheme="minorBidi"/>
          <w:spacing w:val="0"/>
          <w:sz w:val="22"/>
          <w:szCs w:val="22"/>
        </w:rPr>
      </w:pPr>
      <w:hyperlink w:anchor="_Toc137562988" w:history="1">
        <w:r w:rsidRPr="000153BD">
          <w:rPr>
            <w:rStyle w:val="Hyperlink"/>
          </w:rPr>
          <w:t>Considerations</w:t>
        </w:r>
        <w:r>
          <w:rPr>
            <w:webHidden/>
          </w:rPr>
          <w:tab/>
        </w:r>
        <w:r>
          <w:rPr>
            <w:webHidden/>
          </w:rPr>
          <w:fldChar w:fldCharType="begin"/>
        </w:r>
        <w:r>
          <w:rPr>
            <w:webHidden/>
          </w:rPr>
          <w:instrText xml:space="preserve"> PAGEREF _Toc137562988 \h </w:instrText>
        </w:r>
        <w:r>
          <w:rPr>
            <w:webHidden/>
          </w:rPr>
        </w:r>
        <w:r>
          <w:rPr>
            <w:webHidden/>
          </w:rPr>
          <w:fldChar w:fldCharType="separate"/>
        </w:r>
        <w:r>
          <w:rPr>
            <w:webHidden/>
          </w:rPr>
          <w:t>8</w:t>
        </w:r>
        <w:r>
          <w:rPr>
            <w:webHidden/>
          </w:rPr>
          <w:fldChar w:fldCharType="end"/>
        </w:r>
      </w:hyperlink>
    </w:p>
    <w:p w14:paraId="561E4FE9" w14:textId="4EBF86EA" w:rsidR="001258BC" w:rsidRDefault="001258BC">
      <w:pPr>
        <w:pStyle w:val="TOC2"/>
        <w:rPr>
          <w:rFonts w:asciiTheme="minorHAnsi" w:eastAsiaTheme="minorEastAsia" w:hAnsiTheme="minorHAnsi" w:cstheme="minorBidi"/>
          <w:spacing w:val="0"/>
          <w:sz w:val="22"/>
          <w:szCs w:val="22"/>
        </w:rPr>
      </w:pPr>
      <w:hyperlink w:anchor="_Toc137562989" w:history="1">
        <w:r w:rsidRPr="000153BD">
          <w:rPr>
            <w:rStyle w:val="Hyperlink"/>
          </w:rPr>
          <w:t>Allocation of multiple licences</w:t>
        </w:r>
        <w:r>
          <w:rPr>
            <w:webHidden/>
          </w:rPr>
          <w:tab/>
        </w:r>
        <w:r>
          <w:rPr>
            <w:webHidden/>
          </w:rPr>
          <w:fldChar w:fldCharType="begin"/>
        </w:r>
        <w:r>
          <w:rPr>
            <w:webHidden/>
          </w:rPr>
          <w:instrText xml:space="preserve"> PAGEREF _Toc137562989 \h </w:instrText>
        </w:r>
        <w:r>
          <w:rPr>
            <w:webHidden/>
          </w:rPr>
        </w:r>
        <w:r>
          <w:rPr>
            <w:webHidden/>
          </w:rPr>
          <w:fldChar w:fldCharType="separate"/>
        </w:r>
        <w:r>
          <w:rPr>
            <w:webHidden/>
          </w:rPr>
          <w:t>9</w:t>
        </w:r>
        <w:r>
          <w:rPr>
            <w:webHidden/>
          </w:rPr>
          <w:fldChar w:fldCharType="end"/>
        </w:r>
      </w:hyperlink>
    </w:p>
    <w:p w14:paraId="63EC8438" w14:textId="74786220" w:rsidR="001258BC" w:rsidRDefault="001258BC">
      <w:pPr>
        <w:pStyle w:val="TOC2"/>
        <w:rPr>
          <w:rFonts w:asciiTheme="minorHAnsi" w:eastAsiaTheme="minorEastAsia" w:hAnsiTheme="minorHAnsi" w:cstheme="minorBidi"/>
          <w:spacing w:val="0"/>
          <w:sz w:val="22"/>
          <w:szCs w:val="22"/>
        </w:rPr>
      </w:pPr>
      <w:hyperlink w:anchor="_Toc137562990" w:history="1">
        <w:r w:rsidRPr="000153BD">
          <w:rPr>
            <w:rStyle w:val="Hyperlink"/>
          </w:rPr>
          <w:t>Publication of TCBL information</w:t>
        </w:r>
        <w:r>
          <w:rPr>
            <w:webHidden/>
          </w:rPr>
          <w:tab/>
        </w:r>
        <w:r>
          <w:rPr>
            <w:webHidden/>
          </w:rPr>
          <w:fldChar w:fldCharType="begin"/>
        </w:r>
        <w:r>
          <w:rPr>
            <w:webHidden/>
          </w:rPr>
          <w:instrText xml:space="preserve"> PAGEREF _Toc137562990 \h </w:instrText>
        </w:r>
        <w:r>
          <w:rPr>
            <w:webHidden/>
          </w:rPr>
        </w:r>
        <w:r>
          <w:rPr>
            <w:webHidden/>
          </w:rPr>
          <w:fldChar w:fldCharType="separate"/>
        </w:r>
        <w:r>
          <w:rPr>
            <w:webHidden/>
          </w:rPr>
          <w:t>9</w:t>
        </w:r>
        <w:r>
          <w:rPr>
            <w:webHidden/>
          </w:rPr>
          <w:fldChar w:fldCharType="end"/>
        </w:r>
      </w:hyperlink>
    </w:p>
    <w:p w14:paraId="03994BBD" w14:textId="55BF2D62" w:rsidR="001258BC" w:rsidRDefault="001258BC">
      <w:pPr>
        <w:pStyle w:val="TOC1"/>
        <w:rPr>
          <w:rFonts w:asciiTheme="minorHAnsi" w:eastAsiaTheme="minorEastAsia" w:hAnsiTheme="minorHAnsi" w:cstheme="minorBidi"/>
          <w:b w:val="0"/>
          <w:spacing w:val="0"/>
          <w:sz w:val="22"/>
          <w:szCs w:val="22"/>
        </w:rPr>
      </w:pPr>
      <w:hyperlink w:anchor="_Toc137562991" w:history="1">
        <w:r w:rsidRPr="000153BD">
          <w:rPr>
            <w:rStyle w:val="Hyperlink"/>
            <w:lang w:val="en-US"/>
          </w:rPr>
          <w:t>How the licence area is designated</w:t>
        </w:r>
        <w:r>
          <w:rPr>
            <w:webHidden/>
          </w:rPr>
          <w:tab/>
        </w:r>
        <w:r>
          <w:rPr>
            <w:webHidden/>
          </w:rPr>
          <w:fldChar w:fldCharType="begin"/>
        </w:r>
        <w:r>
          <w:rPr>
            <w:webHidden/>
          </w:rPr>
          <w:instrText xml:space="preserve"> PAGEREF _Toc137562991 \h </w:instrText>
        </w:r>
        <w:r>
          <w:rPr>
            <w:webHidden/>
          </w:rPr>
        </w:r>
        <w:r>
          <w:rPr>
            <w:webHidden/>
          </w:rPr>
          <w:fldChar w:fldCharType="separate"/>
        </w:r>
        <w:r>
          <w:rPr>
            <w:webHidden/>
          </w:rPr>
          <w:t>10</w:t>
        </w:r>
        <w:r>
          <w:rPr>
            <w:webHidden/>
          </w:rPr>
          <w:fldChar w:fldCharType="end"/>
        </w:r>
      </w:hyperlink>
    </w:p>
    <w:p w14:paraId="2AFB3AA6" w14:textId="7A610EA0" w:rsidR="001258BC" w:rsidRDefault="001258BC">
      <w:pPr>
        <w:pStyle w:val="TOC1"/>
        <w:rPr>
          <w:rFonts w:asciiTheme="minorHAnsi" w:eastAsiaTheme="minorEastAsia" w:hAnsiTheme="minorHAnsi" w:cstheme="minorBidi"/>
          <w:b w:val="0"/>
          <w:spacing w:val="0"/>
          <w:sz w:val="22"/>
          <w:szCs w:val="22"/>
        </w:rPr>
      </w:pPr>
      <w:hyperlink w:anchor="_Toc137562992" w:history="1">
        <w:r w:rsidRPr="000153BD">
          <w:rPr>
            <w:rStyle w:val="Hyperlink"/>
            <w:lang w:val="en-US"/>
          </w:rPr>
          <w:t>Duration of TCBLs</w:t>
        </w:r>
        <w:r>
          <w:rPr>
            <w:webHidden/>
          </w:rPr>
          <w:tab/>
        </w:r>
        <w:r>
          <w:rPr>
            <w:webHidden/>
          </w:rPr>
          <w:fldChar w:fldCharType="begin"/>
        </w:r>
        <w:r>
          <w:rPr>
            <w:webHidden/>
          </w:rPr>
          <w:instrText xml:space="preserve"> PAGEREF _Toc137562992 \h </w:instrText>
        </w:r>
        <w:r>
          <w:rPr>
            <w:webHidden/>
          </w:rPr>
        </w:r>
        <w:r>
          <w:rPr>
            <w:webHidden/>
          </w:rPr>
          <w:fldChar w:fldCharType="separate"/>
        </w:r>
        <w:r>
          <w:rPr>
            <w:webHidden/>
          </w:rPr>
          <w:t>11</w:t>
        </w:r>
        <w:r>
          <w:rPr>
            <w:webHidden/>
          </w:rPr>
          <w:fldChar w:fldCharType="end"/>
        </w:r>
      </w:hyperlink>
    </w:p>
    <w:p w14:paraId="0305B37F" w14:textId="6620AC4C" w:rsidR="001258BC" w:rsidRDefault="001258BC">
      <w:pPr>
        <w:pStyle w:val="TOC2"/>
        <w:rPr>
          <w:rFonts w:asciiTheme="minorHAnsi" w:eastAsiaTheme="minorEastAsia" w:hAnsiTheme="minorHAnsi" w:cstheme="minorBidi"/>
          <w:spacing w:val="0"/>
          <w:sz w:val="22"/>
          <w:szCs w:val="22"/>
        </w:rPr>
      </w:pPr>
      <w:hyperlink w:anchor="_Toc137562993" w:history="1">
        <w:r w:rsidRPr="000153BD">
          <w:rPr>
            <w:rStyle w:val="Hyperlink"/>
          </w:rPr>
          <w:t>Subsequent TCBLs</w:t>
        </w:r>
        <w:r>
          <w:rPr>
            <w:webHidden/>
          </w:rPr>
          <w:tab/>
        </w:r>
        <w:r>
          <w:rPr>
            <w:webHidden/>
          </w:rPr>
          <w:fldChar w:fldCharType="begin"/>
        </w:r>
        <w:r>
          <w:rPr>
            <w:webHidden/>
          </w:rPr>
          <w:instrText xml:space="preserve"> PAGEREF _Toc137562993 \h </w:instrText>
        </w:r>
        <w:r>
          <w:rPr>
            <w:webHidden/>
          </w:rPr>
        </w:r>
        <w:r>
          <w:rPr>
            <w:webHidden/>
          </w:rPr>
          <w:fldChar w:fldCharType="separate"/>
        </w:r>
        <w:r>
          <w:rPr>
            <w:webHidden/>
          </w:rPr>
          <w:t>11</w:t>
        </w:r>
        <w:r>
          <w:rPr>
            <w:webHidden/>
          </w:rPr>
          <w:fldChar w:fldCharType="end"/>
        </w:r>
      </w:hyperlink>
    </w:p>
    <w:p w14:paraId="0CC3C3AA" w14:textId="7FA7822B" w:rsidR="001258BC" w:rsidRDefault="001258BC">
      <w:pPr>
        <w:pStyle w:val="TOC1"/>
        <w:rPr>
          <w:rFonts w:asciiTheme="minorHAnsi" w:eastAsiaTheme="minorEastAsia" w:hAnsiTheme="minorHAnsi" w:cstheme="minorBidi"/>
          <w:b w:val="0"/>
          <w:spacing w:val="0"/>
          <w:sz w:val="22"/>
          <w:szCs w:val="22"/>
        </w:rPr>
      </w:pPr>
      <w:hyperlink w:anchor="_Toc137562994" w:history="1">
        <w:r w:rsidRPr="000153BD">
          <w:rPr>
            <w:rStyle w:val="Hyperlink"/>
            <w:lang w:val="en-US"/>
          </w:rPr>
          <w:t>How timing conditions are determined</w:t>
        </w:r>
        <w:r>
          <w:rPr>
            <w:webHidden/>
          </w:rPr>
          <w:tab/>
        </w:r>
        <w:r>
          <w:rPr>
            <w:webHidden/>
          </w:rPr>
          <w:fldChar w:fldCharType="begin"/>
        </w:r>
        <w:r>
          <w:rPr>
            <w:webHidden/>
          </w:rPr>
          <w:instrText xml:space="preserve"> PAGEREF _Toc137562994 \h </w:instrText>
        </w:r>
        <w:r>
          <w:rPr>
            <w:webHidden/>
          </w:rPr>
        </w:r>
        <w:r>
          <w:rPr>
            <w:webHidden/>
          </w:rPr>
          <w:fldChar w:fldCharType="separate"/>
        </w:r>
        <w:r>
          <w:rPr>
            <w:webHidden/>
          </w:rPr>
          <w:t>12</w:t>
        </w:r>
        <w:r>
          <w:rPr>
            <w:webHidden/>
          </w:rPr>
          <w:fldChar w:fldCharType="end"/>
        </w:r>
      </w:hyperlink>
    </w:p>
    <w:p w14:paraId="4D3610E6" w14:textId="7D8C326A" w:rsidR="001258BC" w:rsidRDefault="001258BC">
      <w:pPr>
        <w:pStyle w:val="TOC2"/>
        <w:rPr>
          <w:rFonts w:asciiTheme="minorHAnsi" w:eastAsiaTheme="minorEastAsia" w:hAnsiTheme="minorHAnsi" w:cstheme="minorBidi"/>
          <w:spacing w:val="0"/>
          <w:sz w:val="22"/>
          <w:szCs w:val="22"/>
        </w:rPr>
      </w:pPr>
      <w:hyperlink w:anchor="_Toc137562995" w:history="1">
        <w:r w:rsidRPr="000153BD">
          <w:rPr>
            <w:rStyle w:val="Hyperlink"/>
          </w:rPr>
          <w:t>Sole TCBL holder</w:t>
        </w:r>
        <w:r>
          <w:rPr>
            <w:webHidden/>
          </w:rPr>
          <w:tab/>
        </w:r>
        <w:r>
          <w:rPr>
            <w:webHidden/>
          </w:rPr>
          <w:fldChar w:fldCharType="begin"/>
        </w:r>
        <w:r>
          <w:rPr>
            <w:webHidden/>
          </w:rPr>
          <w:instrText xml:space="preserve"> PAGEREF _Toc137562995 \h </w:instrText>
        </w:r>
        <w:r>
          <w:rPr>
            <w:webHidden/>
          </w:rPr>
        </w:r>
        <w:r>
          <w:rPr>
            <w:webHidden/>
          </w:rPr>
          <w:fldChar w:fldCharType="separate"/>
        </w:r>
        <w:r>
          <w:rPr>
            <w:webHidden/>
          </w:rPr>
          <w:t>12</w:t>
        </w:r>
        <w:r>
          <w:rPr>
            <w:webHidden/>
          </w:rPr>
          <w:fldChar w:fldCharType="end"/>
        </w:r>
      </w:hyperlink>
    </w:p>
    <w:p w14:paraId="2E33249C" w14:textId="2D4707B8" w:rsidR="001258BC" w:rsidRDefault="001258BC">
      <w:pPr>
        <w:pStyle w:val="TOC2"/>
        <w:rPr>
          <w:rFonts w:asciiTheme="minorHAnsi" w:eastAsiaTheme="minorEastAsia" w:hAnsiTheme="minorHAnsi" w:cstheme="minorBidi"/>
          <w:spacing w:val="0"/>
          <w:sz w:val="22"/>
          <w:szCs w:val="22"/>
        </w:rPr>
      </w:pPr>
      <w:hyperlink w:anchor="_Toc137562996" w:history="1">
        <w:r w:rsidRPr="000153BD">
          <w:rPr>
            <w:rStyle w:val="Hyperlink"/>
          </w:rPr>
          <w:t>Multiple TCBL holders</w:t>
        </w:r>
        <w:r>
          <w:rPr>
            <w:webHidden/>
          </w:rPr>
          <w:tab/>
        </w:r>
        <w:r>
          <w:rPr>
            <w:webHidden/>
          </w:rPr>
          <w:fldChar w:fldCharType="begin"/>
        </w:r>
        <w:r>
          <w:rPr>
            <w:webHidden/>
          </w:rPr>
          <w:instrText xml:space="preserve"> PAGEREF _Toc137562996 \h </w:instrText>
        </w:r>
        <w:r>
          <w:rPr>
            <w:webHidden/>
          </w:rPr>
        </w:r>
        <w:r>
          <w:rPr>
            <w:webHidden/>
          </w:rPr>
          <w:fldChar w:fldCharType="separate"/>
        </w:r>
        <w:r>
          <w:rPr>
            <w:webHidden/>
          </w:rPr>
          <w:t>12</w:t>
        </w:r>
        <w:r>
          <w:rPr>
            <w:webHidden/>
          </w:rPr>
          <w:fldChar w:fldCharType="end"/>
        </w:r>
      </w:hyperlink>
    </w:p>
    <w:p w14:paraId="7B102FC9" w14:textId="57E84F08" w:rsidR="001258BC" w:rsidRDefault="001258BC">
      <w:pPr>
        <w:pStyle w:val="TOC2"/>
        <w:rPr>
          <w:rFonts w:asciiTheme="minorHAnsi" w:eastAsiaTheme="minorEastAsia" w:hAnsiTheme="minorHAnsi" w:cstheme="minorBidi"/>
          <w:spacing w:val="0"/>
          <w:sz w:val="22"/>
          <w:szCs w:val="22"/>
        </w:rPr>
      </w:pPr>
      <w:hyperlink w:anchor="_Toc137562997" w:history="1">
        <w:r w:rsidRPr="000153BD">
          <w:rPr>
            <w:rStyle w:val="Hyperlink"/>
          </w:rPr>
          <w:t>Relevant considerations</w:t>
        </w:r>
        <w:r>
          <w:rPr>
            <w:webHidden/>
          </w:rPr>
          <w:tab/>
        </w:r>
        <w:r>
          <w:rPr>
            <w:webHidden/>
          </w:rPr>
          <w:fldChar w:fldCharType="begin"/>
        </w:r>
        <w:r>
          <w:rPr>
            <w:webHidden/>
          </w:rPr>
          <w:instrText xml:space="preserve"> PAGEREF _Toc137562997 \h </w:instrText>
        </w:r>
        <w:r>
          <w:rPr>
            <w:webHidden/>
          </w:rPr>
        </w:r>
        <w:r>
          <w:rPr>
            <w:webHidden/>
          </w:rPr>
          <w:fldChar w:fldCharType="separate"/>
        </w:r>
        <w:r>
          <w:rPr>
            <w:webHidden/>
          </w:rPr>
          <w:t>12</w:t>
        </w:r>
        <w:r>
          <w:rPr>
            <w:webHidden/>
          </w:rPr>
          <w:fldChar w:fldCharType="end"/>
        </w:r>
      </w:hyperlink>
    </w:p>
    <w:p w14:paraId="37063E49" w14:textId="230E4900" w:rsidR="001258BC" w:rsidRDefault="001258BC">
      <w:pPr>
        <w:pStyle w:val="TOC1"/>
        <w:rPr>
          <w:rFonts w:asciiTheme="minorHAnsi" w:eastAsiaTheme="minorEastAsia" w:hAnsiTheme="minorHAnsi" w:cstheme="minorBidi"/>
          <w:b w:val="0"/>
          <w:spacing w:val="0"/>
          <w:sz w:val="22"/>
          <w:szCs w:val="22"/>
        </w:rPr>
      </w:pPr>
      <w:hyperlink w:anchor="_Toc137562998" w:history="1">
        <w:r w:rsidRPr="000153BD">
          <w:rPr>
            <w:rStyle w:val="Hyperlink"/>
            <w:lang w:val="en-US"/>
          </w:rPr>
          <w:t>Varying licence periods and timing conditions</w:t>
        </w:r>
        <w:r>
          <w:rPr>
            <w:webHidden/>
          </w:rPr>
          <w:tab/>
        </w:r>
        <w:r>
          <w:rPr>
            <w:webHidden/>
          </w:rPr>
          <w:fldChar w:fldCharType="begin"/>
        </w:r>
        <w:r>
          <w:rPr>
            <w:webHidden/>
          </w:rPr>
          <w:instrText xml:space="preserve"> PAGEREF _Toc137562998 \h </w:instrText>
        </w:r>
        <w:r>
          <w:rPr>
            <w:webHidden/>
          </w:rPr>
        </w:r>
        <w:r>
          <w:rPr>
            <w:webHidden/>
          </w:rPr>
          <w:fldChar w:fldCharType="separate"/>
        </w:r>
        <w:r>
          <w:rPr>
            <w:webHidden/>
          </w:rPr>
          <w:t>14</w:t>
        </w:r>
        <w:r>
          <w:rPr>
            <w:webHidden/>
          </w:rPr>
          <w:fldChar w:fldCharType="end"/>
        </w:r>
      </w:hyperlink>
    </w:p>
    <w:p w14:paraId="05905190" w14:textId="715F74FA" w:rsidR="001258BC" w:rsidRDefault="001258BC">
      <w:pPr>
        <w:pStyle w:val="TOC2"/>
        <w:rPr>
          <w:rFonts w:asciiTheme="minorHAnsi" w:eastAsiaTheme="minorEastAsia" w:hAnsiTheme="minorHAnsi" w:cstheme="minorBidi"/>
          <w:spacing w:val="0"/>
          <w:sz w:val="22"/>
          <w:szCs w:val="22"/>
        </w:rPr>
      </w:pPr>
      <w:hyperlink w:anchor="_Toc137562999" w:history="1">
        <w:r w:rsidRPr="000153BD">
          <w:rPr>
            <w:rStyle w:val="Hyperlink"/>
          </w:rPr>
          <w:t>Varying licence periods</w:t>
        </w:r>
        <w:r>
          <w:rPr>
            <w:webHidden/>
          </w:rPr>
          <w:tab/>
        </w:r>
        <w:r>
          <w:rPr>
            <w:webHidden/>
          </w:rPr>
          <w:fldChar w:fldCharType="begin"/>
        </w:r>
        <w:r>
          <w:rPr>
            <w:webHidden/>
          </w:rPr>
          <w:instrText xml:space="preserve"> PAGEREF _Toc137562999 \h </w:instrText>
        </w:r>
        <w:r>
          <w:rPr>
            <w:webHidden/>
          </w:rPr>
        </w:r>
        <w:r>
          <w:rPr>
            <w:webHidden/>
          </w:rPr>
          <w:fldChar w:fldCharType="separate"/>
        </w:r>
        <w:r>
          <w:rPr>
            <w:webHidden/>
          </w:rPr>
          <w:t>14</w:t>
        </w:r>
        <w:r>
          <w:rPr>
            <w:webHidden/>
          </w:rPr>
          <w:fldChar w:fldCharType="end"/>
        </w:r>
      </w:hyperlink>
    </w:p>
    <w:p w14:paraId="0C95A907" w14:textId="38091287" w:rsidR="001258BC" w:rsidRDefault="001258BC">
      <w:pPr>
        <w:pStyle w:val="TOC2"/>
        <w:rPr>
          <w:rFonts w:asciiTheme="minorHAnsi" w:eastAsiaTheme="minorEastAsia" w:hAnsiTheme="minorHAnsi" w:cstheme="minorBidi"/>
          <w:spacing w:val="0"/>
          <w:sz w:val="22"/>
          <w:szCs w:val="22"/>
        </w:rPr>
      </w:pPr>
      <w:hyperlink w:anchor="_Toc137563000" w:history="1">
        <w:r w:rsidRPr="000153BD">
          <w:rPr>
            <w:rStyle w:val="Hyperlink"/>
          </w:rPr>
          <w:t>Varying timing conditions</w:t>
        </w:r>
        <w:r>
          <w:rPr>
            <w:webHidden/>
          </w:rPr>
          <w:tab/>
        </w:r>
        <w:r>
          <w:rPr>
            <w:webHidden/>
          </w:rPr>
          <w:fldChar w:fldCharType="begin"/>
        </w:r>
        <w:r>
          <w:rPr>
            <w:webHidden/>
          </w:rPr>
          <w:instrText xml:space="preserve"> PAGEREF _Toc137563000 \h </w:instrText>
        </w:r>
        <w:r>
          <w:rPr>
            <w:webHidden/>
          </w:rPr>
        </w:r>
        <w:r>
          <w:rPr>
            <w:webHidden/>
          </w:rPr>
          <w:fldChar w:fldCharType="separate"/>
        </w:r>
        <w:r>
          <w:rPr>
            <w:webHidden/>
          </w:rPr>
          <w:t>14</w:t>
        </w:r>
        <w:r>
          <w:rPr>
            <w:webHidden/>
          </w:rPr>
          <w:fldChar w:fldCharType="end"/>
        </w:r>
      </w:hyperlink>
    </w:p>
    <w:p w14:paraId="64822F5B" w14:textId="74F8CED6" w:rsidR="001258BC" w:rsidRDefault="001258BC">
      <w:pPr>
        <w:pStyle w:val="TOC1"/>
        <w:rPr>
          <w:rFonts w:asciiTheme="minorHAnsi" w:eastAsiaTheme="minorEastAsia" w:hAnsiTheme="minorHAnsi" w:cstheme="minorBidi"/>
          <w:b w:val="0"/>
          <w:spacing w:val="0"/>
          <w:sz w:val="22"/>
          <w:szCs w:val="22"/>
        </w:rPr>
      </w:pPr>
      <w:hyperlink w:anchor="_Toc137563001" w:history="1">
        <w:r w:rsidRPr="000153BD">
          <w:rPr>
            <w:rStyle w:val="Hyperlink"/>
            <w:lang w:val="en-US"/>
          </w:rPr>
          <w:t>Licence conditions for temporary community broadcasting</w:t>
        </w:r>
        <w:r>
          <w:rPr>
            <w:webHidden/>
          </w:rPr>
          <w:tab/>
        </w:r>
        <w:r>
          <w:rPr>
            <w:webHidden/>
          </w:rPr>
          <w:fldChar w:fldCharType="begin"/>
        </w:r>
        <w:r>
          <w:rPr>
            <w:webHidden/>
          </w:rPr>
          <w:instrText xml:space="preserve"> PAGEREF _Toc137563001 \h </w:instrText>
        </w:r>
        <w:r>
          <w:rPr>
            <w:webHidden/>
          </w:rPr>
        </w:r>
        <w:r>
          <w:rPr>
            <w:webHidden/>
          </w:rPr>
          <w:fldChar w:fldCharType="separate"/>
        </w:r>
        <w:r>
          <w:rPr>
            <w:webHidden/>
          </w:rPr>
          <w:t>16</w:t>
        </w:r>
        <w:r>
          <w:rPr>
            <w:webHidden/>
          </w:rPr>
          <w:fldChar w:fldCharType="end"/>
        </w:r>
      </w:hyperlink>
    </w:p>
    <w:p w14:paraId="715FB0A3" w14:textId="0F4A0478" w:rsidR="001258BC" w:rsidRDefault="001258BC">
      <w:pPr>
        <w:pStyle w:val="TOC2"/>
        <w:rPr>
          <w:rFonts w:asciiTheme="minorHAnsi" w:eastAsiaTheme="minorEastAsia" w:hAnsiTheme="minorHAnsi" w:cstheme="minorBidi"/>
          <w:spacing w:val="0"/>
          <w:sz w:val="22"/>
          <w:szCs w:val="22"/>
        </w:rPr>
      </w:pPr>
      <w:hyperlink w:anchor="_Toc137563002" w:history="1">
        <w:r w:rsidRPr="000153BD">
          <w:rPr>
            <w:rStyle w:val="Hyperlink"/>
          </w:rPr>
          <w:t>Complaints</w:t>
        </w:r>
        <w:r>
          <w:rPr>
            <w:webHidden/>
          </w:rPr>
          <w:tab/>
        </w:r>
        <w:r>
          <w:rPr>
            <w:webHidden/>
          </w:rPr>
          <w:fldChar w:fldCharType="begin"/>
        </w:r>
        <w:r>
          <w:rPr>
            <w:webHidden/>
          </w:rPr>
          <w:instrText xml:space="preserve"> PAGEREF _Toc137563002 \h </w:instrText>
        </w:r>
        <w:r>
          <w:rPr>
            <w:webHidden/>
          </w:rPr>
        </w:r>
        <w:r>
          <w:rPr>
            <w:webHidden/>
          </w:rPr>
          <w:fldChar w:fldCharType="separate"/>
        </w:r>
        <w:r>
          <w:rPr>
            <w:webHidden/>
          </w:rPr>
          <w:t>16</w:t>
        </w:r>
        <w:r>
          <w:rPr>
            <w:webHidden/>
          </w:rPr>
          <w:fldChar w:fldCharType="end"/>
        </w:r>
      </w:hyperlink>
    </w:p>
    <w:p w14:paraId="7F0863B5" w14:textId="24C04393" w:rsidR="001258BC" w:rsidRDefault="001258BC">
      <w:pPr>
        <w:pStyle w:val="TOC1"/>
        <w:rPr>
          <w:rFonts w:asciiTheme="minorHAnsi" w:eastAsiaTheme="minorEastAsia" w:hAnsiTheme="minorHAnsi" w:cstheme="minorBidi"/>
          <w:b w:val="0"/>
          <w:spacing w:val="0"/>
          <w:sz w:val="22"/>
          <w:szCs w:val="22"/>
        </w:rPr>
      </w:pPr>
      <w:hyperlink w:anchor="_Toc137563003" w:history="1">
        <w:r w:rsidRPr="000153BD">
          <w:rPr>
            <w:rStyle w:val="Hyperlink"/>
            <w:lang w:val="en-US"/>
          </w:rPr>
          <w:t>Submitting applications</w:t>
        </w:r>
        <w:r>
          <w:rPr>
            <w:webHidden/>
          </w:rPr>
          <w:tab/>
        </w:r>
        <w:r>
          <w:rPr>
            <w:webHidden/>
          </w:rPr>
          <w:fldChar w:fldCharType="begin"/>
        </w:r>
        <w:r>
          <w:rPr>
            <w:webHidden/>
          </w:rPr>
          <w:instrText xml:space="preserve"> PAGEREF _Toc137563003 \h </w:instrText>
        </w:r>
        <w:r>
          <w:rPr>
            <w:webHidden/>
          </w:rPr>
        </w:r>
        <w:r>
          <w:rPr>
            <w:webHidden/>
          </w:rPr>
          <w:fldChar w:fldCharType="separate"/>
        </w:r>
        <w:r>
          <w:rPr>
            <w:webHidden/>
          </w:rPr>
          <w:t>17</w:t>
        </w:r>
        <w:r>
          <w:rPr>
            <w:webHidden/>
          </w:rPr>
          <w:fldChar w:fldCharType="end"/>
        </w:r>
      </w:hyperlink>
    </w:p>
    <w:p w14:paraId="7FE618C0" w14:textId="1FA446F3" w:rsidR="001258BC" w:rsidRDefault="001258BC">
      <w:pPr>
        <w:pStyle w:val="TOC1"/>
        <w:rPr>
          <w:rFonts w:asciiTheme="minorHAnsi" w:eastAsiaTheme="minorEastAsia" w:hAnsiTheme="minorHAnsi" w:cstheme="minorBidi"/>
          <w:b w:val="0"/>
          <w:spacing w:val="0"/>
          <w:sz w:val="22"/>
          <w:szCs w:val="22"/>
        </w:rPr>
      </w:pPr>
      <w:hyperlink w:anchor="_Toc137563004" w:history="1">
        <w:r w:rsidRPr="000153BD">
          <w:rPr>
            <w:rStyle w:val="Hyperlink"/>
            <w:lang w:val="en-US"/>
          </w:rPr>
          <w:t>Further information</w:t>
        </w:r>
        <w:r>
          <w:rPr>
            <w:webHidden/>
          </w:rPr>
          <w:tab/>
        </w:r>
        <w:r>
          <w:rPr>
            <w:webHidden/>
          </w:rPr>
          <w:fldChar w:fldCharType="begin"/>
        </w:r>
        <w:r>
          <w:rPr>
            <w:webHidden/>
          </w:rPr>
          <w:instrText xml:space="preserve"> PAGEREF _Toc137563004 \h </w:instrText>
        </w:r>
        <w:r>
          <w:rPr>
            <w:webHidden/>
          </w:rPr>
        </w:r>
        <w:r>
          <w:rPr>
            <w:webHidden/>
          </w:rPr>
          <w:fldChar w:fldCharType="separate"/>
        </w:r>
        <w:r>
          <w:rPr>
            <w:webHidden/>
          </w:rPr>
          <w:t>18</w:t>
        </w:r>
        <w:r>
          <w:rPr>
            <w:webHidden/>
          </w:rPr>
          <w:fldChar w:fldCharType="end"/>
        </w:r>
      </w:hyperlink>
    </w:p>
    <w:p w14:paraId="5B6A83FE" w14:textId="395083A6" w:rsidR="004D56FF" w:rsidRPr="00702EA1" w:rsidRDefault="00726B8C">
      <w:pPr>
        <w:rPr>
          <w:rFonts w:cs="Arial"/>
        </w:rPr>
        <w:sectPr w:rsidR="004D56FF" w:rsidRPr="00702EA1"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5C0B4E5E" w14:textId="77777777" w:rsidR="00726B8C" w:rsidRPr="00052902" w:rsidRDefault="00726B8C" w:rsidP="00726B8C">
      <w:pPr>
        <w:pStyle w:val="Heading1"/>
      </w:pPr>
      <w:bookmarkStart w:id="1" w:name="_Toc306369867"/>
      <w:bookmarkStart w:id="2" w:name="_Toc75850287"/>
      <w:bookmarkStart w:id="3" w:name="_Toc75868700"/>
      <w:bookmarkStart w:id="4" w:name="_Toc75868794"/>
      <w:bookmarkStart w:id="5" w:name="_Toc75868861"/>
      <w:bookmarkStart w:id="6" w:name="_Toc84847008"/>
      <w:bookmarkStart w:id="7" w:name="_Toc137562982"/>
      <w:r w:rsidRPr="00052902">
        <w:lastRenderedPageBreak/>
        <w:t>Background</w:t>
      </w:r>
      <w:bookmarkEnd w:id="1"/>
      <w:bookmarkEnd w:id="2"/>
      <w:bookmarkEnd w:id="3"/>
      <w:bookmarkEnd w:id="4"/>
      <w:bookmarkEnd w:id="5"/>
      <w:bookmarkEnd w:id="6"/>
      <w:bookmarkEnd w:id="7"/>
    </w:p>
    <w:p w14:paraId="38CA52CD" w14:textId="1CC75D64" w:rsidR="00726B8C" w:rsidRPr="0022079E" w:rsidRDefault="00726B8C" w:rsidP="00726B8C">
      <w:pPr>
        <w:rPr>
          <w:rFonts w:cs="Arial"/>
        </w:rPr>
      </w:pPr>
      <w:bookmarkStart w:id="8" w:name="_Hlk47086412"/>
      <w:r w:rsidRPr="0022079E">
        <w:rPr>
          <w:rFonts w:cs="Arial"/>
        </w:rPr>
        <w:t xml:space="preserve">Community radio broadcasting services are </w:t>
      </w:r>
      <w:r w:rsidR="00DF3D25">
        <w:rPr>
          <w:rFonts w:cs="Arial"/>
        </w:rPr>
        <w:t xml:space="preserve">not-for-profit. They are </w:t>
      </w:r>
      <w:r w:rsidRPr="0022079E">
        <w:rPr>
          <w:rFonts w:cs="Arial"/>
        </w:rPr>
        <w:t xml:space="preserve">provided by community groups for community purposes. </w:t>
      </w:r>
      <w:r w:rsidR="00DF3D25">
        <w:rPr>
          <w:rFonts w:cs="Arial"/>
        </w:rPr>
        <w:t>We</w:t>
      </w:r>
      <w:r w:rsidRPr="0022079E">
        <w:rPr>
          <w:rFonts w:cs="Arial"/>
        </w:rPr>
        <w:t xml:space="preserve"> plan the use of a limited number of frequencies </w:t>
      </w:r>
      <w:r w:rsidR="00DF3D25">
        <w:rPr>
          <w:rFonts w:cs="Arial"/>
        </w:rPr>
        <w:t>in</w:t>
      </w:r>
      <w:r w:rsidR="00DF3D25" w:rsidRPr="0022079E">
        <w:rPr>
          <w:rFonts w:cs="Arial"/>
        </w:rPr>
        <w:t xml:space="preserve"> </w:t>
      </w:r>
      <w:r w:rsidRPr="0022079E">
        <w:rPr>
          <w:rFonts w:cs="Arial"/>
        </w:rPr>
        <w:t xml:space="preserve">licence areas for long-term community radio broadcasting </w:t>
      </w:r>
      <w:r w:rsidR="00BB74F6">
        <w:rPr>
          <w:rFonts w:cs="Arial"/>
        </w:rPr>
        <w:t>under</w:t>
      </w:r>
      <w:r w:rsidRPr="0022079E">
        <w:rPr>
          <w:rFonts w:cs="Arial"/>
        </w:rPr>
        <w:t xml:space="preserve"> the </w:t>
      </w:r>
      <w:r w:rsidRPr="0022079E">
        <w:rPr>
          <w:rFonts w:cs="Arial"/>
          <w:i/>
        </w:rPr>
        <w:t>Broadcasting Services Act 1992</w:t>
      </w:r>
      <w:r w:rsidRPr="0022079E">
        <w:rPr>
          <w:rFonts w:cs="Arial"/>
        </w:rPr>
        <w:t xml:space="preserve"> (the Act).</w:t>
      </w:r>
      <w:r w:rsidR="001C39BB">
        <w:rPr>
          <w:rStyle w:val="FootnoteReference"/>
          <w:rFonts w:cs="Arial"/>
        </w:rPr>
        <w:footnoteReference w:id="2"/>
      </w:r>
      <w:r w:rsidRPr="0022079E">
        <w:rPr>
          <w:rFonts w:cs="Arial"/>
        </w:rPr>
        <w:t xml:space="preserve"> </w:t>
      </w:r>
    </w:p>
    <w:p w14:paraId="05B1DEAC" w14:textId="2124B4EE" w:rsidR="00DF3D25" w:rsidRDefault="00DF3D25" w:rsidP="00B211A1">
      <w:pPr>
        <w:spacing w:line="240" w:lineRule="auto"/>
      </w:pPr>
      <w:r>
        <w:t>C</w:t>
      </w:r>
      <w:r w:rsidR="00726B8C" w:rsidRPr="0022079E">
        <w:t>ommunity radio broadcasting licensees</w:t>
      </w:r>
      <w:r>
        <w:t xml:space="preserve"> –</w:t>
      </w:r>
      <w:r w:rsidR="00726B8C">
        <w:t xml:space="preserve"> including temporary community broadcasting licence (TCBL) holders</w:t>
      </w:r>
      <w:r>
        <w:t xml:space="preserve"> –</w:t>
      </w:r>
      <w:r w:rsidR="00726B8C">
        <w:t xml:space="preserve"> </w:t>
      </w:r>
      <w:r>
        <w:t>must</w:t>
      </w:r>
      <w:r w:rsidR="00726B8C" w:rsidRPr="0022079E">
        <w:t xml:space="preserve"> represent their </w:t>
      </w:r>
      <w:r w:rsidR="00726B8C" w:rsidRPr="000133F5">
        <w:t>specified</w:t>
      </w:r>
      <w:r w:rsidR="00726B8C" w:rsidRPr="0022079E">
        <w:t xml:space="preserve"> community interest and</w:t>
      </w:r>
      <w:r w:rsidR="00726B8C">
        <w:t xml:space="preserve"> </w:t>
      </w:r>
      <w:r w:rsidR="009D2B46">
        <w:t>meet</w:t>
      </w:r>
      <w:r w:rsidR="00726B8C">
        <w:t xml:space="preserve"> other licence conditions in the Act</w:t>
      </w:r>
      <w:r>
        <w:t xml:space="preserve">. This </w:t>
      </w:r>
      <w:r w:rsidR="00726B8C">
        <w:t>includ</w:t>
      </w:r>
      <w:r>
        <w:t>es:</w:t>
      </w:r>
    </w:p>
    <w:p w14:paraId="416FBD8E" w14:textId="183DE24F" w:rsidR="00DF3D25" w:rsidRDefault="00726B8C" w:rsidP="00DF3D25">
      <w:pPr>
        <w:pStyle w:val="Bulletlevel1"/>
      </w:pPr>
      <w:r w:rsidRPr="00DF3D25">
        <w:t>encouraging community participation in the operations</w:t>
      </w:r>
      <w:r w:rsidR="00B211A1">
        <w:t xml:space="preserve"> of the service</w:t>
      </w:r>
    </w:p>
    <w:p w14:paraId="491D7778" w14:textId="6F62B313" w:rsidR="009D2B46" w:rsidRDefault="00B211A1" w:rsidP="00766EDD">
      <w:pPr>
        <w:pStyle w:val="Bulletlevel1last"/>
      </w:pPr>
      <w:r>
        <w:t xml:space="preserve">encouraging community participation in the </w:t>
      </w:r>
      <w:r w:rsidR="00726B8C" w:rsidRPr="00DF3D25">
        <w:t>programming of the service.</w:t>
      </w:r>
      <w:r w:rsidR="004024B8">
        <w:rPr>
          <w:rStyle w:val="FootnoteReference"/>
        </w:rPr>
        <w:footnoteReference w:id="3"/>
      </w:r>
      <w:r w:rsidR="00726B8C" w:rsidRPr="00DF3D25">
        <w:t xml:space="preserve"> </w:t>
      </w:r>
    </w:p>
    <w:p w14:paraId="44D75678" w14:textId="16A5A7C7" w:rsidR="00726B8C" w:rsidRPr="00DF3D25" w:rsidRDefault="009D2B46" w:rsidP="00766EDD">
      <w:pPr>
        <w:pStyle w:val="Paragraph"/>
      </w:pPr>
      <w:r>
        <w:t>You can find i</w:t>
      </w:r>
      <w:r w:rsidR="00726B8C" w:rsidRPr="00DF3D25">
        <w:t xml:space="preserve">nformation about which </w:t>
      </w:r>
      <w:hyperlink r:id="rId24" w:history="1">
        <w:r w:rsidR="00726B8C" w:rsidRPr="00DF3D25">
          <w:rPr>
            <w:rStyle w:val="Hyperlink"/>
          </w:rPr>
          <w:t>community services operate in local areas</w:t>
        </w:r>
      </w:hyperlink>
      <w:r w:rsidR="00726B8C" w:rsidRPr="00DF3D25">
        <w:t xml:space="preserve"> on the ACMA website.</w:t>
      </w:r>
    </w:p>
    <w:p w14:paraId="141D04D3" w14:textId="44311613" w:rsidR="00726B8C" w:rsidRPr="007002D0" w:rsidRDefault="00726B8C" w:rsidP="00726B8C">
      <w:pPr>
        <w:rPr>
          <w:rFonts w:cs="Arial"/>
        </w:rPr>
      </w:pPr>
      <w:r w:rsidRPr="007002D0">
        <w:rPr>
          <w:rFonts w:cs="Arial"/>
        </w:rPr>
        <w:t>In some circumstances</w:t>
      </w:r>
      <w:r w:rsidR="00566DBA">
        <w:rPr>
          <w:rFonts w:cs="Arial"/>
        </w:rPr>
        <w:t>,</w:t>
      </w:r>
      <w:r w:rsidRPr="007002D0">
        <w:rPr>
          <w:rFonts w:cs="Arial"/>
        </w:rPr>
        <w:t xml:space="preserve"> </w:t>
      </w:r>
      <w:r w:rsidR="00B241C6" w:rsidRPr="007002D0">
        <w:rPr>
          <w:rFonts w:cs="Arial"/>
        </w:rPr>
        <w:t xml:space="preserve">where </w:t>
      </w:r>
      <w:r w:rsidRPr="007002D0">
        <w:rPr>
          <w:rFonts w:cs="Arial"/>
        </w:rPr>
        <w:t xml:space="preserve">radiofrequency spectrum </w:t>
      </w:r>
      <w:r w:rsidR="00B241C6" w:rsidRPr="007002D0">
        <w:rPr>
          <w:rFonts w:cs="Arial"/>
        </w:rPr>
        <w:t>can be made</w:t>
      </w:r>
      <w:r w:rsidR="00A5308F" w:rsidRPr="007002D0">
        <w:rPr>
          <w:rFonts w:cs="Arial"/>
        </w:rPr>
        <w:t xml:space="preserve"> </w:t>
      </w:r>
      <w:r w:rsidRPr="007002D0">
        <w:rPr>
          <w:rFonts w:cs="Arial"/>
        </w:rPr>
        <w:t>available</w:t>
      </w:r>
      <w:r w:rsidR="00B241C6" w:rsidRPr="007002D0">
        <w:rPr>
          <w:rFonts w:cs="Arial"/>
        </w:rPr>
        <w:t xml:space="preserve">, we may </w:t>
      </w:r>
      <w:r w:rsidRPr="007002D0">
        <w:rPr>
          <w:rFonts w:cs="Arial"/>
        </w:rPr>
        <w:t>allocate a TCBL to community groups for up to 12 months. The allocation of a TCBL does not guarantee future allocation of TCBLs or a long-term community licence.</w:t>
      </w:r>
      <w:bookmarkEnd w:id="8"/>
    </w:p>
    <w:p w14:paraId="0EFF4A6C" w14:textId="6A3D4539" w:rsidR="00B12808" w:rsidRDefault="00B12808" w:rsidP="00B12808">
      <w:pPr>
        <w:rPr>
          <w:rFonts w:cs="Arial"/>
        </w:rPr>
      </w:pPr>
      <w:r>
        <w:rPr>
          <w:rFonts w:cs="Arial"/>
        </w:rPr>
        <w:t xml:space="preserve">The TCBL scheme gives aspirant broadcasters the </w:t>
      </w:r>
      <w:r w:rsidR="009D2B46">
        <w:rPr>
          <w:rFonts w:cs="Arial"/>
        </w:rPr>
        <w:t xml:space="preserve">chance </w:t>
      </w:r>
      <w:r>
        <w:rPr>
          <w:rFonts w:cs="Arial"/>
        </w:rPr>
        <w:t>to develop broadcasting skills</w:t>
      </w:r>
      <w:r w:rsidR="00590CF6">
        <w:rPr>
          <w:rFonts w:cs="Arial"/>
        </w:rPr>
        <w:t xml:space="preserve"> ahead of the ACMA </w:t>
      </w:r>
      <w:r w:rsidR="00590CF6" w:rsidRPr="00590CF6">
        <w:rPr>
          <w:rFonts w:cs="Arial"/>
        </w:rPr>
        <w:t>allocating long-term broadcasting licences</w:t>
      </w:r>
      <w:r>
        <w:rPr>
          <w:bCs/>
        </w:rPr>
        <w:t>.</w:t>
      </w:r>
      <w:r>
        <w:rPr>
          <w:rStyle w:val="FootnoteReference"/>
          <w:bCs/>
        </w:rPr>
        <w:footnoteReference w:id="4"/>
      </w:r>
    </w:p>
    <w:p w14:paraId="384ED437" w14:textId="44D5F377" w:rsidR="00726B8C" w:rsidRPr="007002D0" w:rsidRDefault="00726B8C" w:rsidP="00726B8C">
      <w:pPr>
        <w:spacing w:after="80"/>
        <w:rPr>
          <w:rFonts w:cs="Arial"/>
        </w:rPr>
      </w:pPr>
      <w:r w:rsidRPr="007002D0">
        <w:rPr>
          <w:rFonts w:cs="Arial"/>
        </w:rPr>
        <w:t>We have developed the</w:t>
      </w:r>
      <w:r w:rsidR="009D2B46">
        <w:rPr>
          <w:rFonts w:cs="Arial"/>
        </w:rPr>
        <w:t>se</w:t>
      </w:r>
      <w:r w:rsidRPr="007002D0">
        <w:rPr>
          <w:rFonts w:cs="Arial"/>
        </w:rPr>
        <w:t xml:space="preserve"> </w:t>
      </w:r>
      <w:r w:rsidR="009D2B46">
        <w:rPr>
          <w:rFonts w:cs="Arial"/>
        </w:rPr>
        <w:t>t</w:t>
      </w:r>
      <w:r w:rsidRPr="00766EDD">
        <w:rPr>
          <w:rFonts w:cs="Arial"/>
          <w:iCs/>
        </w:rPr>
        <w:t>emporary</w:t>
      </w:r>
      <w:r w:rsidRPr="009D2B46">
        <w:rPr>
          <w:rFonts w:cs="Arial"/>
          <w:iCs/>
        </w:rPr>
        <w:t xml:space="preserve"> </w:t>
      </w:r>
      <w:r w:rsidRPr="00766EDD">
        <w:rPr>
          <w:rFonts w:cs="Arial"/>
          <w:iCs/>
        </w:rPr>
        <w:t>community broadcasting licence guidelines</w:t>
      </w:r>
      <w:r w:rsidRPr="007002D0">
        <w:rPr>
          <w:rFonts w:cs="Arial"/>
        </w:rPr>
        <w:t xml:space="preserve"> </w:t>
      </w:r>
      <w:bookmarkStart w:id="9" w:name="_Hlk44679182"/>
      <w:r w:rsidRPr="007002D0">
        <w:rPr>
          <w:rFonts w:cs="Arial"/>
        </w:rPr>
        <w:t>to:</w:t>
      </w:r>
    </w:p>
    <w:p w14:paraId="43301959" w14:textId="2F3E56AD" w:rsidR="00726B8C" w:rsidRPr="007002D0" w:rsidRDefault="009D2B46" w:rsidP="00676951">
      <w:pPr>
        <w:pStyle w:val="ListBullet"/>
        <w:rPr>
          <w:rFonts w:cs="Arial"/>
        </w:rPr>
      </w:pPr>
      <w:bookmarkStart w:id="10" w:name="_Hlk47086477"/>
      <w:r>
        <w:rPr>
          <w:rFonts w:cs="Arial"/>
        </w:rPr>
        <w:t xml:space="preserve">give you </w:t>
      </w:r>
      <w:r w:rsidR="00726B8C" w:rsidRPr="007002D0">
        <w:rPr>
          <w:rFonts w:cs="Arial"/>
        </w:rPr>
        <w:t xml:space="preserve">information about when </w:t>
      </w:r>
      <w:r>
        <w:rPr>
          <w:rFonts w:cs="Arial"/>
        </w:rPr>
        <w:t>we</w:t>
      </w:r>
      <w:r w:rsidR="00726B8C" w:rsidRPr="007002D0">
        <w:rPr>
          <w:rFonts w:cs="Arial"/>
        </w:rPr>
        <w:t xml:space="preserve"> may </w:t>
      </w:r>
      <w:r w:rsidR="00B241C6" w:rsidRPr="007002D0">
        <w:rPr>
          <w:rFonts w:cs="Arial"/>
        </w:rPr>
        <w:t xml:space="preserve">allocate a TCBL (including when </w:t>
      </w:r>
      <w:r>
        <w:rPr>
          <w:rFonts w:cs="Arial"/>
        </w:rPr>
        <w:t>we</w:t>
      </w:r>
      <w:r w:rsidR="00B241C6" w:rsidRPr="007002D0">
        <w:rPr>
          <w:rFonts w:cs="Arial"/>
        </w:rPr>
        <w:t xml:space="preserve"> may</w:t>
      </w:r>
      <w:r w:rsidR="00726B8C" w:rsidRPr="007002D0">
        <w:rPr>
          <w:rFonts w:cs="Arial"/>
        </w:rPr>
        <w:t xml:space="preserve"> make spectrum available</w:t>
      </w:r>
      <w:r w:rsidR="00B241C6" w:rsidRPr="007002D0">
        <w:rPr>
          <w:rFonts w:cs="Arial"/>
        </w:rPr>
        <w:t>)</w:t>
      </w:r>
    </w:p>
    <w:p w14:paraId="27493D3B" w14:textId="2AD40881" w:rsidR="00726B8C" w:rsidRPr="00052902" w:rsidRDefault="00726B8C" w:rsidP="00726B8C">
      <w:pPr>
        <w:pStyle w:val="ListBullet"/>
        <w:rPr>
          <w:rFonts w:cs="Arial"/>
        </w:rPr>
      </w:pPr>
      <w:r>
        <w:rPr>
          <w:rFonts w:cs="Arial"/>
        </w:rPr>
        <w:t>outline the process</w:t>
      </w:r>
    </w:p>
    <w:p w14:paraId="3FBEC85D" w14:textId="058FF09C" w:rsidR="00726B8C" w:rsidRPr="00052902" w:rsidRDefault="00726B8C" w:rsidP="00726B8C">
      <w:pPr>
        <w:pStyle w:val="ListBulletLast"/>
      </w:pPr>
      <w:r>
        <w:t xml:space="preserve">assist </w:t>
      </w:r>
      <w:r w:rsidRPr="00052902">
        <w:t xml:space="preserve">existing </w:t>
      </w:r>
      <w:r>
        <w:t>TCBL</w:t>
      </w:r>
      <w:r w:rsidRPr="00052902">
        <w:t xml:space="preserve"> holders to comply with their obligations</w:t>
      </w:r>
      <w:bookmarkEnd w:id="9"/>
      <w:r w:rsidRPr="00052902">
        <w:t>.</w:t>
      </w:r>
    </w:p>
    <w:bookmarkEnd w:id="10"/>
    <w:p w14:paraId="15198003" w14:textId="2379D686" w:rsidR="00726B8C" w:rsidRDefault="00726B8C" w:rsidP="00726B8C">
      <w:pPr>
        <w:rPr>
          <w:rFonts w:cs="Arial"/>
        </w:rPr>
      </w:pPr>
      <w:r w:rsidRPr="00052902">
        <w:rPr>
          <w:rFonts w:cs="Arial"/>
        </w:rPr>
        <w:t>A</w:t>
      </w:r>
      <w:r w:rsidR="009D2B46">
        <w:rPr>
          <w:rFonts w:cs="Arial"/>
        </w:rPr>
        <w:t xml:space="preserve"> TCBL </w:t>
      </w:r>
      <w:r w:rsidRPr="00052902">
        <w:rPr>
          <w:rFonts w:cs="Arial"/>
        </w:rPr>
        <w:t xml:space="preserve">application must be </w:t>
      </w:r>
      <w:r>
        <w:rPr>
          <w:rFonts w:cs="Arial"/>
        </w:rPr>
        <w:t xml:space="preserve">made using the </w:t>
      </w:r>
      <w:r w:rsidRPr="00052902">
        <w:rPr>
          <w:rFonts w:cs="Arial"/>
        </w:rPr>
        <w:t>ACMA B42</w:t>
      </w:r>
      <w:r>
        <w:rPr>
          <w:rFonts w:cs="Arial"/>
        </w:rPr>
        <w:t xml:space="preserve"> form </w:t>
      </w:r>
      <w:bookmarkStart w:id="11" w:name="OLE_LINK15"/>
      <w:bookmarkStart w:id="12" w:name="OLE_LINK16"/>
      <w:r w:rsidRPr="00052902">
        <w:rPr>
          <w:rFonts w:cs="Arial"/>
        </w:rPr>
        <w:t xml:space="preserve">and </w:t>
      </w:r>
      <w:bookmarkStart w:id="13" w:name="OLE_LINK5"/>
      <w:bookmarkStart w:id="14" w:name="OLE_LINK6"/>
      <w:r w:rsidRPr="00052902">
        <w:rPr>
          <w:rFonts w:cs="Arial"/>
        </w:rPr>
        <w:t>a completed apparatus licence application form (B12</w:t>
      </w:r>
      <w:r>
        <w:rPr>
          <w:rFonts w:cs="Arial"/>
        </w:rPr>
        <w:t>).</w:t>
      </w:r>
      <w:r w:rsidR="00566DBA">
        <w:rPr>
          <w:rFonts w:cs="Arial"/>
        </w:rPr>
        <w:t xml:space="preserve"> You can access the</w:t>
      </w:r>
      <w:r>
        <w:rPr>
          <w:rFonts w:cs="Arial"/>
        </w:rPr>
        <w:t xml:space="preserve"> </w:t>
      </w:r>
      <w:hyperlink r:id="rId25" w:history="1">
        <w:r w:rsidR="00566DBA">
          <w:rPr>
            <w:rStyle w:val="Hyperlink"/>
            <w:rFonts w:cs="Arial"/>
          </w:rPr>
          <w:t>b</w:t>
        </w:r>
        <w:r w:rsidRPr="00120089">
          <w:rPr>
            <w:rStyle w:val="Hyperlink"/>
            <w:rFonts w:cs="Arial"/>
          </w:rPr>
          <w:t>roadcasting forms</w:t>
        </w:r>
      </w:hyperlink>
      <w:r>
        <w:rPr>
          <w:rFonts w:cs="Arial"/>
        </w:rPr>
        <w:t xml:space="preserve"> </w:t>
      </w:r>
      <w:r w:rsidR="00566DBA">
        <w:rPr>
          <w:rFonts w:cs="Arial"/>
        </w:rPr>
        <w:t>on our</w:t>
      </w:r>
      <w:r>
        <w:rPr>
          <w:rFonts w:cs="Arial"/>
        </w:rPr>
        <w:t xml:space="preserve"> </w:t>
      </w:r>
      <w:r w:rsidRPr="00120089">
        <w:rPr>
          <w:rFonts w:cs="Arial"/>
        </w:rPr>
        <w:t>website</w:t>
      </w:r>
      <w:r>
        <w:rPr>
          <w:rFonts w:cs="Arial"/>
        </w:rPr>
        <w:t>.</w:t>
      </w:r>
    </w:p>
    <w:p w14:paraId="1E0A3DC0" w14:textId="4DCD7E29" w:rsidR="00566DBA" w:rsidRDefault="00726B8C" w:rsidP="00766EDD">
      <w:pPr>
        <w:pStyle w:val="Paragraphbeforelist"/>
      </w:pPr>
      <w:r w:rsidRPr="003061B3">
        <w:t xml:space="preserve">In considering applications for a TCBL, we are required by the Act to </w:t>
      </w:r>
      <w:r w:rsidR="00566DBA">
        <w:t xml:space="preserve">decide </w:t>
      </w:r>
      <w:r w:rsidR="00566DBA">
        <w:br/>
        <w:t xml:space="preserve">whether to: </w:t>
      </w:r>
    </w:p>
    <w:p w14:paraId="05F101BE" w14:textId="4D71C5C3" w:rsidR="00566DBA" w:rsidRDefault="00726B8C" w:rsidP="00566DBA">
      <w:pPr>
        <w:pStyle w:val="Bulletlevel1"/>
      </w:pPr>
      <w:r w:rsidRPr="003061B3">
        <w:t>make spectrum available for temporary community broadcasting purposes</w:t>
      </w:r>
      <w:r w:rsidR="004829BD">
        <w:rPr>
          <w:rStyle w:val="FootnoteReference"/>
        </w:rPr>
        <w:footnoteReference w:id="5"/>
      </w:r>
      <w:r w:rsidRPr="003061B3">
        <w:t xml:space="preserve"> (</w:t>
      </w:r>
      <w:r w:rsidR="000316ED" w:rsidRPr="003061B3">
        <w:t>see</w:t>
      </w:r>
      <w:r w:rsidR="006D207B">
        <w:t xml:space="preserve"> </w:t>
      </w:r>
      <w:hyperlink w:anchor="_Making_spectrum_available" w:history="1">
        <w:r w:rsidR="00566DBA">
          <w:rPr>
            <w:rStyle w:val="Hyperlink"/>
          </w:rPr>
          <w:t>M</w:t>
        </w:r>
        <w:r w:rsidR="00D45B3F" w:rsidRPr="00754734">
          <w:rPr>
            <w:rStyle w:val="Hyperlink"/>
          </w:rPr>
          <w:t>aking spectrum available for temporary community broadcasting</w:t>
        </w:r>
      </w:hyperlink>
      <w:r w:rsidRPr="003061B3">
        <w:t xml:space="preserve">) </w:t>
      </w:r>
    </w:p>
    <w:p w14:paraId="7B42B0C2" w14:textId="20BC979E" w:rsidR="00566DBA" w:rsidRDefault="00726B8C" w:rsidP="00566DBA">
      <w:pPr>
        <w:pStyle w:val="Bulletlevel1last"/>
      </w:pPr>
      <w:r w:rsidRPr="003061B3">
        <w:t>allocate a licence to an applicant</w:t>
      </w:r>
      <w:r w:rsidR="004829BD">
        <w:rPr>
          <w:rStyle w:val="FootnoteReference"/>
        </w:rPr>
        <w:footnoteReference w:id="6"/>
      </w:r>
      <w:r w:rsidRPr="003061B3">
        <w:t xml:space="preserve"> (see</w:t>
      </w:r>
      <w:r w:rsidR="006D207B">
        <w:t xml:space="preserve"> </w:t>
      </w:r>
      <w:hyperlink w:anchor="_How_we_decide" w:history="1">
        <w:r w:rsidR="00D45B3F" w:rsidRPr="00754734">
          <w:rPr>
            <w:rStyle w:val="Hyperlink"/>
          </w:rPr>
          <w:t>How we decide to allocate a TCBL</w:t>
        </w:r>
      </w:hyperlink>
      <w:r w:rsidRPr="003061B3">
        <w:t xml:space="preserve">). </w:t>
      </w:r>
    </w:p>
    <w:p w14:paraId="3E68A050" w14:textId="7189ED9B" w:rsidR="00E96B32" w:rsidRDefault="00726B8C" w:rsidP="00566DBA">
      <w:pPr>
        <w:pStyle w:val="Paragraph"/>
      </w:pPr>
      <w:r w:rsidRPr="003061B3">
        <w:t>The Act requires the ACMA to consider different matters for each decision.</w:t>
      </w:r>
      <w:r w:rsidR="00566DBA">
        <w:t xml:space="preserve"> </w:t>
      </w:r>
      <w:bookmarkEnd w:id="11"/>
      <w:bookmarkEnd w:id="12"/>
      <w:bookmarkEnd w:id="13"/>
      <w:bookmarkEnd w:id="14"/>
      <w:r w:rsidRPr="00041A1A">
        <w:t>The</w:t>
      </w:r>
      <w:r w:rsidR="00B211A1">
        <w:t>se</w:t>
      </w:r>
      <w:r w:rsidRPr="00041A1A">
        <w:t xml:space="preserve"> guidelines are </w:t>
      </w:r>
      <w:r w:rsidRPr="00766EDD">
        <w:rPr>
          <w:iCs/>
        </w:rPr>
        <w:t>advisory only</w:t>
      </w:r>
      <w:r w:rsidRPr="00041A1A">
        <w:t xml:space="preserve"> and do not replace the requirements of the Act. We may deviate from these guidelines where appropriate. </w:t>
      </w:r>
    </w:p>
    <w:p w14:paraId="4AE14E81" w14:textId="2E3B924F" w:rsidR="00726B8C" w:rsidRDefault="00726B8C" w:rsidP="00766EDD">
      <w:pPr>
        <w:pStyle w:val="Paragraph"/>
      </w:pPr>
      <w:r w:rsidRPr="00041A1A">
        <w:lastRenderedPageBreak/>
        <w:t>If in doubt, licensees should approach one of the industry groups representing the community broadcasting sector – such as the Community Broadcasting Association of Australia (CBAA) or First Nations Media Australia (FNMA) – or seek independent legal advice.</w:t>
      </w:r>
    </w:p>
    <w:p w14:paraId="04CC5793" w14:textId="5F2787AF" w:rsidR="00C95E81" w:rsidRPr="00B87479" w:rsidRDefault="00C95E81" w:rsidP="00C95E81">
      <w:pPr>
        <w:rPr>
          <w:rFonts w:cs="Arial"/>
          <w:b/>
          <w:bCs/>
          <w:iCs/>
          <w:sz w:val="28"/>
          <w:szCs w:val="28"/>
        </w:rPr>
      </w:pPr>
      <w:r w:rsidRPr="00B87479">
        <w:rPr>
          <w:rFonts w:cs="Arial"/>
          <w:b/>
          <w:bCs/>
          <w:iCs/>
          <w:sz w:val="28"/>
          <w:szCs w:val="28"/>
        </w:rPr>
        <w:t>Broadcasting Services Act amendment</w:t>
      </w:r>
      <w:r w:rsidR="00AD7109" w:rsidRPr="00B87479">
        <w:rPr>
          <w:rFonts w:cs="Arial"/>
          <w:b/>
          <w:bCs/>
          <w:iCs/>
          <w:sz w:val="28"/>
          <w:szCs w:val="28"/>
        </w:rPr>
        <w:t>s 2022</w:t>
      </w:r>
      <w:r w:rsidRPr="00B87479">
        <w:rPr>
          <w:rFonts w:cs="Arial"/>
          <w:b/>
          <w:bCs/>
          <w:iCs/>
          <w:sz w:val="28"/>
          <w:szCs w:val="28"/>
        </w:rPr>
        <w:t xml:space="preserve"> </w:t>
      </w:r>
    </w:p>
    <w:p w14:paraId="0F24464C" w14:textId="5841BE97" w:rsidR="0037079B" w:rsidRPr="00B87479" w:rsidRDefault="00C95E81" w:rsidP="00C95E81">
      <w:pPr>
        <w:rPr>
          <w:rFonts w:cs="Arial"/>
        </w:rPr>
      </w:pPr>
      <w:r w:rsidRPr="00B87479">
        <w:rPr>
          <w:rFonts w:cs="Arial"/>
        </w:rPr>
        <w:t>In December 2022, the Act was amended</w:t>
      </w:r>
      <w:r w:rsidRPr="00B87479">
        <w:rPr>
          <w:rStyle w:val="FootnoteReference"/>
          <w:rFonts w:cs="Arial"/>
        </w:rPr>
        <w:footnoteReference w:id="7"/>
      </w:r>
      <w:r w:rsidRPr="00B87479">
        <w:rPr>
          <w:rFonts w:cs="Arial"/>
        </w:rPr>
        <w:t xml:space="preserve"> to provide greater regulatory clarity and flexibility for community radio broadcast</w:t>
      </w:r>
      <w:r w:rsidR="0037079B" w:rsidRPr="00B87479">
        <w:rPr>
          <w:rFonts w:cs="Arial"/>
        </w:rPr>
        <w:t>er</w:t>
      </w:r>
      <w:r w:rsidRPr="00B87479">
        <w:rPr>
          <w:rFonts w:cs="Arial"/>
        </w:rPr>
        <w:t>s by simplifying aspects of community broadcasting licensing</w:t>
      </w:r>
      <w:r w:rsidR="00E96B32">
        <w:rPr>
          <w:rFonts w:cs="Arial"/>
        </w:rPr>
        <w:t>.</w:t>
      </w:r>
      <w:r w:rsidR="00E935E6" w:rsidRPr="00B87479">
        <w:rPr>
          <w:rStyle w:val="FootnoteReference"/>
          <w:rFonts w:cs="Arial"/>
        </w:rPr>
        <w:footnoteReference w:id="8"/>
      </w:r>
    </w:p>
    <w:p w14:paraId="2E485F2C" w14:textId="14CAEB88" w:rsidR="00C95E81" w:rsidRDefault="0037079B" w:rsidP="00C95E81">
      <w:pPr>
        <w:rPr>
          <w:rFonts w:cs="Arial"/>
        </w:rPr>
      </w:pPr>
      <w:bookmarkStart w:id="15" w:name="_Hlk131659606"/>
      <w:r w:rsidRPr="00B87479">
        <w:rPr>
          <w:rFonts w:cs="Arial"/>
        </w:rPr>
        <w:t>The</w:t>
      </w:r>
      <w:r w:rsidR="003B7E08" w:rsidRPr="00B87479">
        <w:rPr>
          <w:rFonts w:cs="Arial"/>
        </w:rPr>
        <w:t xml:space="preserve"> amendment</w:t>
      </w:r>
      <w:r w:rsidR="008D0BF1" w:rsidRPr="00B87479">
        <w:rPr>
          <w:rFonts w:cs="Arial"/>
        </w:rPr>
        <w:t>s</w:t>
      </w:r>
      <w:r w:rsidRPr="00B87479">
        <w:rPr>
          <w:rFonts w:cs="Arial"/>
        </w:rPr>
        <w:t xml:space="preserve"> included measures to</w:t>
      </w:r>
      <w:r w:rsidR="00C95E81" w:rsidRPr="00B87479">
        <w:rPr>
          <w:rFonts w:cs="Arial"/>
        </w:rPr>
        <w:t xml:space="preserve"> clarify </w:t>
      </w:r>
      <w:r w:rsidR="00E96B32">
        <w:rPr>
          <w:rFonts w:cs="Arial"/>
        </w:rPr>
        <w:t>what</w:t>
      </w:r>
      <w:r w:rsidR="00C95E81" w:rsidRPr="00B87479">
        <w:rPr>
          <w:rFonts w:cs="Arial"/>
        </w:rPr>
        <w:t xml:space="preserve"> we may consider when allocating a new TCBL</w:t>
      </w:r>
      <w:r w:rsidRPr="00B87479">
        <w:rPr>
          <w:rFonts w:cs="Arial"/>
        </w:rPr>
        <w:t xml:space="preserve">, and to allow us discretion to limit the number </w:t>
      </w:r>
      <w:proofErr w:type="spellStart"/>
      <w:r w:rsidRPr="00B87479">
        <w:rPr>
          <w:rFonts w:cs="Arial"/>
        </w:rPr>
        <w:t>ot</w:t>
      </w:r>
      <w:proofErr w:type="spellEnd"/>
      <w:r w:rsidRPr="00B87479">
        <w:rPr>
          <w:rFonts w:cs="Arial"/>
        </w:rPr>
        <w:t xml:space="preserve"> TCBL</w:t>
      </w:r>
      <w:r w:rsidR="008D0BF1" w:rsidRPr="00B87479">
        <w:rPr>
          <w:rFonts w:cs="Arial"/>
        </w:rPr>
        <w:t>s</w:t>
      </w:r>
      <w:r w:rsidRPr="00B87479">
        <w:rPr>
          <w:rFonts w:cs="Arial"/>
        </w:rPr>
        <w:t xml:space="preserve"> that can share a frequency.</w:t>
      </w:r>
      <w:r w:rsidR="00C95E81">
        <w:rPr>
          <w:rFonts w:cs="Arial"/>
        </w:rPr>
        <w:t xml:space="preserve"> </w:t>
      </w:r>
    </w:p>
    <w:bookmarkEnd w:id="15"/>
    <w:p w14:paraId="0C0D96F2" w14:textId="77777777" w:rsidR="003B7E08" w:rsidRDefault="003B7E08" w:rsidP="00C95E81">
      <w:pPr>
        <w:rPr>
          <w:rFonts w:cs="Arial"/>
        </w:rPr>
      </w:pPr>
    </w:p>
    <w:p w14:paraId="22B43A3E" w14:textId="77777777" w:rsidR="00C95E81" w:rsidRDefault="00C95E81" w:rsidP="00726B8C">
      <w:pPr>
        <w:rPr>
          <w:rFonts w:cs="Arial"/>
        </w:rPr>
      </w:pPr>
    </w:p>
    <w:p w14:paraId="5E6E23AF" w14:textId="655B1439" w:rsidR="00726B8C" w:rsidRPr="00766EDD" w:rsidRDefault="00ED1843" w:rsidP="00726B8C">
      <w:pPr>
        <w:pStyle w:val="Heading1"/>
        <w:rPr>
          <w:sz w:val="48"/>
          <w:szCs w:val="48"/>
        </w:rPr>
      </w:pPr>
      <w:bookmarkStart w:id="16" w:name="_Making_spectrum_available"/>
      <w:bookmarkStart w:id="17" w:name="_Toc306369868"/>
      <w:bookmarkStart w:id="18" w:name="_Toc75850288"/>
      <w:bookmarkStart w:id="19" w:name="_Toc75868701"/>
      <w:bookmarkStart w:id="20" w:name="_Toc75868795"/>
      <w:bookmarkStart w:id="21" w:name="_Toc75868862"/>
      <w:bookmarkStart w:id="22" w:name="_Toc84847009"/>
      <w:bookmarkStart w:id="23" w:name="_Toc137562983"/>
      <w:bookmarkEnd w:id="16"/>
      <w:r w:rsidRPr="00766EDD">
        <w:rPr>
          <w:sz w:val="48"/>
          <w:szCs w:val="48"/>
        </w:rPr>
        <w:lastRenderedPageBreak/>
        <w:t xml:space="preserve">Making </w:t>
      </w:r>
      <w:r w:rsidR="00726B8C" w:rsidRPr="00766EDD">
        <w:rPr>
          <w:sz w:val="48"/>
          <w:szCs w:val="48"/>
        </w:rPr>
        <w:t xml:space="preserve">spectrum </w:t>
      </w:r>
      <w:r w:rsidRPr="00766EDD">
        <w:rPr>
          <w:sz w:val="48"/>
          <w:szCs w:val="48"/>
        </w:rPr>
        <w:t>av</w:t>
      </w:r>
      <w:r w:rsidR="00726B8C" w:rsidRPr="00766EDD">
        <w:rPr>
          <w:sz w:val="48"/>
          <w:szCs w:val="48"/>
        </w:rPr>
        <w:t xml:space="preserve">ailable for </w:t>
      </w:r>
      <w:bookmarkEnd w:id="17"/>
      <w:r w:rsidR="00726B8C" w:rsidRPr="00766EDD">
        <w:rPr>
          <w:sz w:val="48"/>
          <w:szCs w:val="48"/>
        </w:rPr>
        <w:t>temporary community broadcasting</w:t>
      </w:r>
      <w:bookmarkEnd w:id="18"/>
      <w:bookmarkEnd w:id="19"/>
      <w:bookmarkEnd w:id="20"/>
      <w:bookmarkEnd w:id="21"/>
      <w:bookmarkEnd w:id="22"/>
      <w:bookmarkEnd w:id="23"/>
    </w:p>
    <w:p w14:paraId="7DFB7856" w14:textId="176593A7" w:rsidR="000566FD" w:rsidRPr="00AF3474" w:rsidRDefault="00E70702" w:rsidP="00EA4D28">
      <w:r>
        <w:rPr>
          <w:rFonts w:cs="Arial"/>
        </w:rPr>
        <w:t>A</w:t>
      </w:r>
      <w:r w:rsidR="00726B8C" w:rsidRPr="007002D0">
        <w:rPr>
          <w:rFonts w:cs="Arial"/>
        </w:rPr>
        <w:t>vailable radiofrequency spectrum</w:t>
      </w:r>
      <w:r>
        <w:rPr>
          <w:rFonts w:cs="Arial"/>
        </w:rPr>
        <w:t xml:space="preserve"> is scarce in many parts of Australia</w:t>
      </w:r>
      <w:r w:rsidR="00726B8C" w:rsidRPr="007002D0">
        <w:rPr>
          <w:rFonts w:cs="Arial"/>
        </w:rPr>
        <w:t xml:space="preserve">. </w:t>
      </w:r>
      <w:r w:rsidR="00726B8C" w:rsidRPr="00AF3474">
        <w:t xml:space="preserve">Before we allocate a TCBL to a community broadcaster (see </w:t>
      </w:r>
      <w:hyperlink w:anchor="_How_we_decide" w:history="1">
        <w:r w:rsidR="001863FA" w:rsidRPr="00754734">
          <w:rPr>
            <w:rStyle w:val="Hyperlink"/>
            <w:iCs/>
          </w:rPr>
          <w:t>How we decide to allocate a TCBL</w:t>
        </w:r>
      </w:hyperlink>
      <w:r w:rsidR="00726B8C" w:rsidRPr="00AF3474">
        <w:t>), we must determine</w:t>
      </w:r>
      <w:r w:rsidR="00262C9C" w:rsidRPr="00C9737F">
        <w:t xml:space="preserve"> </w:t>
      </w:r>
      <w:r w:rsidR="00726B8C" w:rsidRPr="00090DF4">
        <w:t xml:space="preserve">whether to make spectrum available </w:t>
      </w:r>
      <w:r w:rsidR="009A538D">
        <w:t>to</w:t>
      </w:r>
      <w:r w:rsidR="009A538D" w:rsidRPr="00AF3474">
        <w:t xml:space="preserve"> </w:t>
      </w:r>
      <w:r w:rsidR="00726B8C" w:rsidRPr="00C9737F">
        <w:t xml:space="preserve">temporary community broadcasting </w:t>
      </w:r>
      <w:r w:rsidR="009A538D">
        <w:t>licensees</w:t>
      </w:r>
      <w:r w:rsidR="00726B8C" w:rsidRPr="00AF3474">
        <w:t>.</w:t>
      </w:r>
      <w:r w:rsidR="00CA481B">
        <w:rPr>
          <w:rStyle w:val="FootnoteReference"/>
        </w:rPr>
        <w:footnoteReference w:id="9"/>
      </w:r>
    </w:p>
    <w:p w14:paraId="45B4F02E" w14:textId="3998F731" w:rsidR="002513CD" w:rsidRDefault="001578C3" w:rsidP="006B4F62">
      <w:pPr>
        <w:pStyle w:val="ListBullet"/>
        <w:numPr>
          <w:ilvl w:val="0"/>
          <w:numId w:val="0"/>
        </w:numPr>
        <w:spacing w:after="240"/>
      </w:pPr>
      <w:bookmarkStart w:id="24" w:name="_Hlk75349669"/>
      <w:r w:rsidRPr="002E3775">
        <w:t xml:space="preserve">The existence of available spectrum does not automatically mean we will make it available </w:t>
      </w:r>
      <w:r w:rsidR="009A538D">
        <w:t>to</w:t>
      </w:r>
      <w:r w:rsidR="009A538D" w:rsidRPr="00AF3474">
        <w:t xml:space="preserve"> </w:t>
      </w:r>
      <w:r w:rsidR="00D577EA">
        <w:t xml:space="preserve">temporary </w:t>
      </w:r>
      <w:r w:rsidRPr="00C9737F">
        <w:t xml:space="preserve">community broadcasting </w:t>
      </w:r>
      <w:r w:rsidR="009A538D">
        <w:t>licensees</w:t>
      </w:r>
      <w:r w:rsidRPr="00AF3474">
        <w:t>.</w:t>
      </w:r>
      <w:r w:rsidR="003E15AB">
        <w:t xml:space="preserve"> The decision to make spectrum available engages sections 34 and 23 of the Act</w:t>
      </w:r>
      <w:r w:rsidR="001E16ED">
        <w:t>,</w:t>
      </w:r>
      <w:r w:rsidR="003E15AB">
        <w:t xml:space="preserve"> which </w:t>
      </w:r>
      <w:r w:rsidR="000F6591">
        <w:t>are</w:t>
      </w:r>
      <w:r w:rsidR="000A3374">
        <w:t xml:space="preserve"> concerned with the planning </w:t>
      </w:r>
      <w:r w:rsidR="000B0F09">
        <w:t>of radiofrequency spectrum.</w:t>
      </w:r>
    </w:p>
    <w:p w14:paraId="0E7E7C47" w14:textId="16E7B814" w:rsidR="00E76A5A" w:rsidRPr="00C9737F" w:rsidRDefault="00E76A5A" w:rsidP="00090DF4">
      <w:pPr>
        <w:pStyle w:val="ListBullet"/>
        <w:numPr>
          <w:ilvl w:val="0"/>
          <w:numId w:val="0"/>
        </w:numPr>
        <w:spacing w:after="240"/>
      </w:pPr>
      <w:r w:rsidRPr="00C9737F">
        <w:t xml:space="preserve">Section 34 provides </w:t>
      </w:r>
      <w:r w:rsidR="004D617B">
        <w:t>that</w:t>
      </w:r>
      <w:r w:rsidRPr="00C9737F">
        <w:t xml:space="preserve"> </w:t>
      </w:r>
      <w:r w:rsidRPr="002E3775">
        <w:t xml:space="preserve">in </w:t>
      </w:r>
      <w:r w:rsidR="009625FE">
        <w:t>de</w:t>
      </w:r>
      <w:r w:rsidR="00D02985">
        <w:t>termining</w:t>
      </w:r>
      <w:r w:rsidR="009625FE">
        <w:t xml:space="preserve"> whether to make spectrum available for </w:t>
      </w:r>
      <w:r w:rsidR="001A64CB">
        <w:t>alternative uses</w:t>
      </w:r>
      <w:r w:rsidRPr="002E3775">
        <w:t xml:space="preserve">, </w:t>
      </w:r>
      <w:r w:rsidR="00E70702">
        <w:t>we consider</w:t>
      </w:r>
      <w:r w:rsidRPr="000B0F09">
        <w:t xml:space="preserve"> the possible future demand for that part of the spectrum and other </w:t>
      </w:r>
      <w:r w:rsidR="00E70702">
        <w:t xml:space="preserve">relevant </w:t>
      </w:r>
      <w:r w:rsidRPr="000B0F09">
        <w:t>matters.</w:t>
      </w:r>
      <w:r w:rsidR="00F65162" w:rsidDel="00F65162">
        <w:rPr>
          <w:rStyle w:val="CommentReference"/>
        </w:rPr>
        <w:t xml:space="preserve"> </w:t>
      </w:r>
    </w:p>
    <w:p w14:paraId="257265E5" w14:textId="108F3BD0" w:rsidR="00E76A5A" w:rsidRPr="00090DF4" w:rsidRDefault="000B0F09" w:rsidP="00090DF4">
      <w:pPr>
        <w:pStyle w:val="ListBullet"/>
        <w:numPr>
          <w:ilvl w:val="0"/>
          <w:numId w:val="0"/>
        </w:numPr>
        <w:spacing w:after="240"/>
      </w:pPr>
      <w:r>
        <w:t>Section 23</w:t>
      </w:r>
      <w:r w:rsidR="001D7AFB">
        <w:t xml:space="preserve"> </w:t>
      </w:r>
      <w:r>
        <w:t xml:space="preserve">sets out specific </w:t>
      </w:r>
      <w:r w:rsidR="00080EA0">
        <w:t xml:space="preserve">matters the ACMA is to consider when </w:t>
      </w:r>
      <w:r w:rsidR="00784594">
        <w:t xml:space="preserve">performing </w:t>
      </w:r>
      <w:r w:rsidR="00080EA0">
        <w:t xml:space="preserve">planning </w:t>
      </w:r>
      <w:r w:rsidR="00784594">
        <w:t>functions</w:t>
      </w:r>
      <w:r w:rsidR="005C7FEB">
        <w:t xml:space="preserve">, including </w:t>
      </w:r>
      <w:r w:rsidR="002855F5">
        <w:t>functions</w:t>
      </w:r>
      <w:r w:rsidR="005C7FEB">
        <w:t xml:space="preserve"> under section 34</w:t>
      </w:r>
      <w:r w:rsidR="002741E3">
        <w:t xml:space="preserve">. </w:t>
      </w:r>
      <w:r w:rsidR="00147764">
        <w:t xml:space="preserve">We weigh up </w:t>
      </w:r>
      <w:r w:rsidR="00BA3271">
        <w:t xml:space="preserve">the economic and efficient use of spectrum, </w:t>
      </w:r>
      <w:r w:rsidR="002A268F">
        <w:t>demographics</w:t>
      </w:r>
      <w:r w:rsidR="00F33BE3">
        <w:t xml:space="preserve">, social and economic </w:t>
      </w:r>
      <w:r w:rsidR="002A268F">
        <w:t>characteristics</w:t>
      </w:r>
      <w:r w:rsidR="002E4CF8">
        <w:t>,</w:t>
      </w:r>
      <w:r w:rsidR="002A268F">
        <w:t xml:space="preserve"> </w:t>
      </w:r>
      <w:r w:rsidR="00436C83">
        <w:t xml:space="preserve">technical restraints </w:t>
      </w:r>
      <w:r w:rsidR="00147764">
        <w:t>and other</w:t>
      </w:r>
      <w:r w:rsidR="00B04695">
        <w:t xml:space="preserve"> relevant</w:t>
      </w:r>
      <w:r w:rsidR="00147764">
        <w:t xml:space="preserve"> matters</w:t>
      </w:r>
      <w:r>
        <w:t>.</w:t>
      </w:r>
      <w:r w:rsidR="00E76A5A" w:rsidRPr="00C9737F">
        <w:t xml:space="preserve"> </w:t>
      </w:r>
    </w:p>
    <w:bookmarkEnd w:id="24"/>
    <w:p w14:paraId="6C098EBE" w14:textId="53D069AD" w:rsidR="003061B3" w:rsidRDefault="00726B8C" w:rsidP="003061B3">
      <w:pPr>
        <w:pStyle w:val="ListBullet"/>
        <w:numPr>
          <w:ilvl w:val="0"/>
          <w:numId w:val="0"/>
        </w:numPr>
        <w:spacing w:after="240"/>
      </w:pPr>
      <w:r w:rsidRPr="00041A1A">
        <w:t xml:space="preserve">In all cases – </w:t>
      </w:r>
      <w:r w:rsidR="006C7DD7">
        <w:t xml:space="preserve">both </w:t>
      </w:r>
      <w:r w:rsidRPr="00041A1A">
        <w:t>applications for a new TCBL and applications for a subsequent TCBL – our published broadcast spectrum planning priorities may affect the availability of spectrum for community broadcasting purposes</w:t>
      </w:r>
      <w:r w:rsidR="009B11D0">
        <w:t xml:space="preserve">. This includes </w:t>
      </w:r>
      <w:r w:rsidRPr="00041A1A">
        <w:t xml:space="preserve">the priority given to them from a broadcast spectrum planning perspective. These priorities may change over time, with the potential to impact the ongoing availability of a frequency for temporary community radio broadcasting purposes into </w:t>
      </w:r>
      <w:r w:rsidRPr="007002D0">
        <w:t xml:space="preserve">the future. </w:t>
      </w:r>
      <w:bookmarkStart w:id="25" w:name="_Hlk72397176"/>
    </w:p>
    <w:p w14:paraId="3F301018" w14:textId="0671D4F9" w:rsidR="00726B8C" w:rsidRPr="00041A1A" w:rsidRDefault="00726B8C" w:rsidP="00726B8C">
      <w:pPr>
        <w:pStyle w:val="ListBullet"/>
        <w:numPr>
          <w:ilvl w:val="0"/>
          <w:numId w:val="0"/>
        </w:numPr>
      </w:pPr>
      <w:r w:rsidRPr="003061B3">
        <w:t xml:space="preserve">Generally, planning new broadcasting services </w:t>
      </w:r>
      <w:r w:rsidR="006A3E29" w:rsidRPr="003061B3">
        <w:t xml:space="preserve">is </w:t>
      </w:r>
      <w:r w:rsidRPr="003061B3">
        <w:t xml:space="preserve">not </w:t>
      </w:r>
      <w:r w:rsidR="006A3E29" w:rsidRPr="003061B3">
        <w:t xml:space="preserve">a </w:t>
      </w:r>
      <w:r w:rsidRPr="003061B3">
        <w:t>priority activit</w:t>
      </w:r>
      <w:r w:rsidR="006A3E29" w:rsidRPr="003061B3">
        <w:t>y</w:t>
      </w:r>
      <w:r w:rsidR="00DA2C5D" w:rsidRPr="003061B3">
        <w:t>,</w:t>
      </w:r>
      <w:r w:rsidR="00F3376C" w:rsidRPr="003061B3">
        <w:t xml:space="preserve"> as the broader industry </w:t>
      </w:r>
      <w:r w:rsidR="00B241C6" w:rsidRPr="003061B3">
        <w:t xml:space="preserve">has asked </w:t>
      </w:r>
      <w:r w:rsidR="00F3376C" w:rsidRPr="003061B3">
        <w:t>us to address more urgent matters such as the conversion of existing AM services to FM</w:t>
      </w:r>
      <w:r w:rsidR="00D554AE" w:rsidRPr="003061B3">
        <w:t xml:space="preserve">. </w:t>
      </w:r>
      <w:r w:rsidR="009169AC">
        <w:t>Our</w:t>
      </w:r>
      <w:r w:rsidR="00D554AE" w:rsidRPr="003061B3">
        <w:t xml:space="preserve"> broadcast spectrum planning priorities to help support radio were developed following </w:t>
      </w:r>
      <w:r w:rsidR="00F649AD" w:rsidRPr="003061B3">
        <w:t>extensive industry</w:t>
      </w:r>
      <w:r w:rsidR="00D554AE" w:rsidRPr="003061B3">
        <w:t xml:space="preserve"> consultation</w:t>
      </w:r>
      <w:r w:rsidR="009169AC">
        <w:t xml:space="preserve">. We </w:t>
      </w:r>
      <w:r w:rsidR="00D554AE" w:rsidRPr="003061B3">
        <w:t xml:space="preserve">published </w:t>
      </w:r>
      <w:r w:rsidR="009169AC">
        <w:t xml:space="preserve">them </w:t>
      </w:r>
      <w:r w:rsidR="00D554AE" w:rsidRPr="003061B3">
        <w:t xml:space="preserve">in May 2019 in </w:t>
      </w:r>
      <w:hyperlink r:id="rId26" w:history="1">
        <w:r w:rsidR="00D554AE" w:rsidRPr="003061B3">
          <w:rPr>
            <w:rStyle w:val="Hyperlink"/>
            <w:i/>
            <w:iCs/>
          </w:rPr>
          <w:t>The future delivery of radio</w:t>
        </w:r>
      </w:hyperlink>
      <w:r w:rsidR="009169AC">
        <w:rPr>
          <w:rStyle w:val="Hyperlink"/>
          <w:color w:val="auto"/>
          <w:u w:val="none"/>
        </w:rPr>
        <w:t xml:space="preserve"> d</w:t>
      </w:r>
      <w:r w:rsidR="009169AC" w:rsidRPr="00766EDD">
        <w:rPr>
          <w:rStyle w:val="Hyperlink"/>
          <w:color w:val="auto"/>
          <w:u w:val="none"/>
        </w:rPr>
        <w:t>ocument</w:t>
      </w:r>
      <w:r w:rsidR="009169AC">
        <w:rPr>
          <w:rStyle w:val="Hyperlink"/>
          <w:color w:val="auto"/>
          <w:u w:val="none"/>
        </w:rPr>
        <w:t>.</w:t>
      </w:r>
    </w:p>
    <w:p w14:paraId="31E63200" w14:textId="77777777" w:rsidR="00726B8C" w:rsidRPr="00041A1A" w:rsidRDefault="00726B8C" w:rsidP="00726B8C">
      <w:pPr>
        <w:pStyle w:val="Heading2"/>
      </w:pPr>
      <w:bookmarkStart w:id="26" w:name="_Hlk49784947"/>
      <w:bookmarkStart w:id="27" w:name="_Toc75850290"/>
      <w:bookmarkStart w:id="28" w:name="_Toc75868703"/>
      <w:bookmarkStart w:id="29" w:name="_Toc75868797"/>
      <w:bookmarkStart w:id="30" w:name="_Toc75868864"/>
      <w:bookmarkStart w:id="31" w:name="_Toc84847010"/>
      <w:bookmarkStart w:id="32" w:name="_Toc137562984"/>
      <w:bookmarkEnd w:id="25"/>
      <w:r w:rsidRPr="00041A1A">
        <w:t xml:space="preserve">Situations where spectrum may be available for temporary </w:t>
      </w:r>
      <w:bookmarkEnd w:id="26"/>
      <w:r w:rsidRPr="00041A1A">
        <w:t>community broadcasting purposes</w:t>
      </w:r>
      <w:bookmarkEnd w:id="27"/>
      <w:bookmarkEnd w:id="28"/>
      <w:bookmarkEnd w:id="29"/>
      <w:bookmarkEnd w:id="30"/>
      <w:bookmarkEnd w:id="31"/>
      <w:bookmarkEnd w:id="32"/>
    </w:p>
    <w:p w14:paraId="6718F633" w14:textId="77777777" w:rsidR="00726B8C" w:rsidRPr="00041A1A" w:rsidRDefault="00726B8C" w:rsidP="00726B8C">
      <w:pPr>
        <w:pStyle w:val="Heading3"/>
      </w:pPr>
      <w:bookmarkStart w:id="33" w:name="_Toc75850291"/>
      <w:r w:rsidRPr="00041A1A">
        <w:t>In areas where spectrum has been planned</w:t>
      </w:r>
      <w:bookmarkEnd w:id="33"/>
    </w:p>
    <w:p w14:paraId="0A87E73A" w14:textId="68A4D370" w:rsidR="00E2497B" w:rsidRDefault="00726B8C" w:rsidP="00766EDD">
      <w:pPr>
        <w:pStyle w:val="Paragraphbeforelist"/>
      </w:pPr>
      <w:r w:rsidRPr="00041A1A">
        <w:t xml:space="preserve">Spectrum </w:t>
      </w:r>
      <w:r w:rsidRPr="00766EDD">
        <w:t>may</w:t>
      </w:r>
      <w:r w:rsidRPr="00041A1A">
        <w:t xml:space="preserve"> be made available for temporary community broadcasting </w:t>
      </w:r>
      <w:r w:rsidR="009A23BD">
        <w:br/>
      </w:r>
      <w:r w:rsidRPr="00041A1A">
        <w:t>purposes where</w:t>
      </w:r>
      <w:r w:rsidR="00E2497B">
        <w:t>:</w:t>
      </w:r>
      <w:r w:rsidRPr="00041A1A">
        <w:t xml:space="preserve"> </w:t>
      </w:r>
    </w:p>
    <w:p w14:paraId="43A9F851" w14:textId="77C4E972" w:rsidR="00726B8C" w:rsidRPr="007002D0" w:rsidRDefault="00726B8C" w:rsidP="00766EDD">
      <w:pPr>
        <w:pStyle w:val="Bulletlevel1"/>
      </w:pPr>
      <w:r w:rsidRPr="00041A1A">
        <w:t xml:space="preserve">a long-term community radio broadcasting service has been planned in a licence </w:t>
      </w:r>
      <w:r w:rsidRPr="007002D0">
        <w:t>area plan (LAP) covering the proposed service area for the proposed temporary community broadcasting service</w:t>
      </w:r>
    </w:p>
    <w:p w14:paraId="6AA80394" w14:textId="2B7914E6" w:rsidR="00726B8C" w:rsidRPr="00041A1A" w:rsidRDefault="00726B8C" w:rsidP="00726B8C">
      <w:pPr>
        <w:pStyle w:val="ListBullet"/>
      </w:pPr>
      <w:r w:rsidRPr="007002D0">
        <w:t>the long-term licence is not yet</w:t>
      </w:r>
      <w:r w:rsidR="00B241C6" w:rsidRPr="007002D0">
        <w:t>, and is not soon to be,</w:t>
      </w:r>
      <w:r w:rsidRPr="007002D0">
        <w:t xml:space="preserve"> allocated </w:t>
      </w:r>
      <w:bookmarkStart w:id="34" w:name="_Hlk49762422"/>
      <w:bookmarkStart w:id="35" w:name="_Hlk49843769"/>
      <w:r w:rsidRPr="007002D0">
        <w:t>(or an allocated licence has been cancelled, not renewed, surrendered or lapsed)</w:t>
      </w:r>
      <w:bookmarkEnd w:id="34"/>
      <w:bookmarkEnd w:id="35"/>
    </w:p>
    <w:p w14:paraId="4A9E41E5" w14:textId="76FA543B" w:rsidR="00726B8C" w:rsidRDefault="00726B8C" w:rsidP="00726B8C">
      <w:pPr>
        <w:pStyle w:val="ListBullet"/>
        <w:spacing w:after="240"/>
      </w:pPr>
      <w:r w:rsidRPr="00041A1A">
        <w:t>the frequency is not identified for use for another possible</w:t>
      </w:r>
      <w:r w:rsidRPr="002D55AC">
        <w:t xml:space="preserve"> purpose (for example, AM to FM conversion).</w:t>
      </w:r>
    </w:p>
    <w:p w14:paraId="1699CD72" w14:textId="77777777" w:rsidR="00726B8C" w:rsidRPr="002D55AC" w:rsidRDefault="00726B8C" w:rsidP="00726B8C">
      <w:pPr>
        <w:pStyle w:val="Heading3"/>
        <w:keepLines/>
      </w:pPr>
      <w:bookmarkStart w:id="36" w:name="_Toc75850292"/>
      <w:r w:rsidRPr="002D55AC">
        <w:lastRenderedPageBreak/>
        <w:t>In areas where spectrum is unplanned</w:t>
      </w:r>
      <w:bookmarkEnd w:id="36"/>
    </w:p>
    <w:p w14:paraId="7C3F188C" w14:textId="71BFCAB2" w:rsidR="009A23BD" w:rsidRDefault="00726B8C" w:rsidP="00726B8C">
      <w:pPr>
        <w:pStyle w:val="ListBullet"/>
        <w:keepNext/>
        <w:keepLines/>
        <w:numPr>
          <w:ilvl w:val="0"/>
          <w:numId w:val="0"/>
        </w:numPr>
      </w:pPr>
      <w:r w:rsidRPr="002D55AC">
        <w:rPr>
          <w:rFonts w:cs="Arial"/>
        </w:rPr>
        <w:t xml:space="preserve">Spectrum </w:t>
      </w:r>
      <w:r w:rsidRPr="00766EDD">
        <w:rPr>
          <w:rFonts w:cs="Arial"/>
        </w:rPr>
        <w:t>may</w:t>
      </w:r>
      <w:r w:rsidRPr="002D55AC">
        <w:rPr>
          <w:rFonts w:cs="Arial"/>
        </w:rPr>
        <w:t xml:space="preserve"> be </w:t>
      </w:r>
      <w:r>
        <w:rPr>
          <w:rFonts w:cs="Arial"/>
        </w:rPr>
        <w:t xml:space="preserve">made </w:t>
      </w:r>
      <w:r w:rsidRPr="002D55AC">
        <w:rPr>
          <w:rFonts w:cs="Arial"/>
        </w:rPr>
        <w:t xml:space="preserve">available for temporary </w:t>
      </w:r>
      <w:r w:rsidRPr="0022079E">
        <w:rPr>
          <w:rFonts w:cs="Arial"/>
        </w:rPr>
        <w:t xml:space="preserve">community broadcasting </w:t>
      </w:r>
      <w:r w:rsidR="009A23BD">
        <w:rPr>
          <w:rFonts w:cs="Arial"/>
        </w:rPr>
        <w:br/>
      </w:r>
      <w:r w:rsidRPr="0022079E">
        <w:rPr>
          <w:rFonts w:cs="Arial"/>
        </w:rPr>
        <w:t>purposes</w:t>
      </w:r>
      <w:r w:rsidRPr="002D55AC" w:rsidDel="004B5032">
        <w:rPr>
          <w:rFonts w:cs="Arial"/>
        </w:rPr>
        <w:t xml:space="preserve"> </w:t>
      </w:r>
      <w:r w:rsidRPr="002D55AC">
        <w:rPr>
          <w:rFonts w:cs="Arial"/>
        </w:rPr>
        <w:t>where</w:t>
      </w:r>
      <w:r w:rsidR="009A23BD">
        <w:rPr>
          <w:rFonts w:cs="Arial"/>
        </w:rPr>
        <w:t>:</w:t>
      </w:r>
      <w:r w:rsidRPr="002D55AC">
        <w:t xml:space="preserve"> </w:t>
      </w:r>
    </w:p>
    <w:p w14:paraId="256B5E5D" w14:textId="6089C055" w:rsidR="00726B8C" w:rsidRPr="002D55AC" w:rsidRDefault="00726B8C" w:rsidP="00766EDD">
      <w:pPr>
        <w:pStyle w:val="Bulletlevel1"/>
      </w:pPr>
      <w:r w:rsidRPr="002D55AC">
        <w:t xml:space="preserve">a long-term community radio broadcasting service covering the proposed service area of the </w:t>
      </w:r>
      <w:r>
        <w:t xml:space="preserve">proposed </w:t>
      </w:r>
      <w:r w:rsidRPr="002D55AC">
        <w:t xml:space="preserve">temporary </w:t>
      </w:r>
      <w:r>
        <w:t>community broadcasting service</w:t>
      </w:r>
      <w:r w:rsidRPr="002D55AC" w:rsidDel="00307653">
        <w:t xml:space="preserve"> </w:t>
      </w:r>
      <w:r w:rsidRPr="002D55AC">
        <w:t xml:space="preserve">has not been planned in a </w:t>
      </w:r>
      <w:r>
        <w:t>LAP</w:t>
      </w:r>
    </w:p>
    <w:p w14:paraId="230FE85C" w14:textId="085DB5D3" w:rsidR="00726B8C" w:rsidRPr="00F86D42" w:rsidRDefault="00726B8C" w:rsidP="001578C3">
      <w:pPr>
        <w:pStyle w:val="ListNumber"/>
        <w:keepNext/>
        <w:keepLines/>
        <w:numPr>
          <w:ilvl w:val="0"/>
          <w:numId w:val="19"/>
        </w:numPr>
      </w:pPr>
      <w:bookmarkStart w:id="37" w:name="_Hlk49784392"/>
      <w:r w:rsidRPr="00F86D42">
        <w:t>the proposed service area is in a remote commercial radio licence</w:t>
      </w:r>
      <w:r w:rsidR="000B287A" w:rsidRPr="00F86D42">
        <w:t xml:space="preserve"> area</w:t>
      </w:r>
      <w:r w:rsidR="003A09F3" w:rsidRPr="00F86D42">
        <w:t>,</w:t>
      </w:r>
      <w:r w:rsidRPr="00F86D42">
        <w:rPr>
          <w:rStyle w:val="FootnoteReference"/>
          <w:rFonts w:cs="Arial"/>
        </w:rPr>
        <w:footnoteReference w:id="10"/>
      </w:r>
      <w:r w:rsidR="001578C3" w:rsidRPr="00F86D42">
        <w:t xml:space="preserve"> </w:t>
      </w:r>
      <w:r w:rsidR="001578C3" w:rsidRPr="00F86D42">
        <w:rPr>
          <w:rFonts w:cs="Arial"/>
        </w:rPr>
        <w:t>or</w:t>
      </w:r>
      <w:r w:rsidR="001578C3" w:rsidRPr="00F86D42">
        <w:t xml:space="preserve"> the </w:t>
      </w:r>
      <w:r w:rsidR="007002D0" w:rsidRPr="00F86D42">
        <w:t xml:space="preserve">service is in </w:t>
      </w:r>
      <w:r w:rsidR="001578C3" w:rsidRPr="00F86D42">
        <w:t>a remote Indigenous community</w:t>
      </w:r>
      <w:r w:rsidR="001578C3" w:rsidRPr="00F86D42">
        <w:rPr>
          <w:rStyle w:val="FootnoteReference"/>
        </w:rPr>
        <w:footnoteReference w:id="11"/>
      </w:r>
    </w:p>
    <w:bookmarkEnd w:id="37"/>
    <w:p w14:paraId="3451CB58" w14:textId="77777777" w:rsidR="00726B8C" w:rsidRPr="002D55AC" w:rsidRDefault="00726B8C" w:rsidP="001578C3">
      <w:pPr>
        <w:pStyle w:val="ListNumber"/>
        <w:keepNext/>
        <w:keepLines/>
        <w:numPr>
          <w:ilvl w:val="0"/>
          <w:numId w:val="19"/>
        </w:numPr>
      </w:pPr>
      <w:r w:rsidRPr="00A909A2">
        <w:rPr>
          <w:rFonts w:cs="Arial"/>
        </w:rPr>
        <w:t xml:space="preserve">the applicant represents an identified community interest and </w:t>
      </w:r>
      <w:r>
        <w:rPr>
          <w:rFonts w:cs="Arial"/>
        </w:rPr>
        <w:t>there is</w:t>
      </w:r>
      <w:r w:rsidRPr="00A909A2">
        <w:rPr>
          <w:rFonts w:cs="Arial"/>
        </w:rPr>
        <w:t xml:space="preserve"> a </w:t>
      </w:r>
      <w:r>
        <w:rPr>
          <w:rFonts w:cs="Arial"/>
        </w:rPr>
        <w:t>clear</w:t>
      </w:r>
      <w:r w:rsidRPr="00A909A2">
        <w:rPr>
          <w:rFonts w:cs="Arial"/>
        </w:rPr>
        <w:t xml:space="preserve"> case as to why that community interest would benefit from the proposed service</w:t>
      </w:r>
      <w:r w:rsidRPr="002D55AC">
        <w:rPr>
          <w:rStyle w:val="FootnoteReference"/>
          <w:rFonts w:cs="Arial"/>
        </w:rPr>
        <w:footnoteReference w:id="12"/>
      </w:r>
      <w:r w:rsidRPr="002D55AC">
        <w:t xml:space="preserve"> </w:t>
      </w:r>
    </w:p>
    <w:p w14:paraId="40F2B21B" w14:textId="77777777" w:rsidR="00726B8C" w:rsidRPr="002D55AC" w:rsidRDefault="00726B8C" w:rsidP="001578C3">
      <w:pPr>
        <w:pStyle w:val="ListNumber"/>
        <w:keepNext/>
        <w:keepLines/>
        <w:numPr>
          <w:ilvl w:val="0"/>
          <w:numId w:val="19"/>
        </w:numPr>
        <w:spacing w:after="240"/>
      </w:pPr>
      <w:r w:rsidRPr="002D55AC">
        <w:t>spectrum is not scarce.</w:t>
      </w:r>
    </w:p>
    <w:p w14:paraId="690140AD" w14:textId="28EF2814" w:rsidR="00F86D42" w:rsidRDefault="0065598A" w:rsidP="00F86D42">
      <w:pPr>
        <w:pStyle w:val="Paragraphbeforelist"/>
      </w:pPr>
      <w:r>
        <w:t>E</w:t>
      </w:r>
      <w:r w:rsidR="00726B8C" w:rsidRPr="00F86D42">
        <w:t xml:space="preserve">xceptional circumstances must be found for spectrum to be made available for temporary community broadcasting purposes </w:t>
      </w:r>
      <w:r w:rsidR="00BE1C12" w:rsidRPr="00F86D42">
        <w:t xml:space="preserve">where a proposed temporary service meets </w:t>
      </w:r>
      <w:r w:rsidR="007A0047" w:rsidRPr="00F86D42">
        <w:t xml:space="preserve">the latter 2 </w:t>
      </w:r>
      <w:r w:rsidR="00BE1C12" w:rsidRPr="00F86D42">
        <w:t>conditions above</w:t>
      </w:r>
      <w:r w:rsidR="00F86D42">
        <w:t>,</w:t>
      </w:r>
      <w:r w:rsidR="00BE1C12" w:rsidRPr="00F86D42">
        <w:t xml:space="preserve"> but is not</w:t>
      </w:r>
      <w:r w:rsidR="009D7BB6">
        <w:t xml:space="preserve"> either</w:t>
      </w:r>
      <w:r w:rsidR="00F86D42">
        <w:t>:</w:t>
      </w:r>
    </w:p>
    <w:p w14:paraId="77CAA46B" w14:textId="77777777" w:rsidR="00F86D42" w:rsidRDefault="00BE1C12" w:rsidP="00F86D42">
      <w:pPr>
        <w:pStyle w:val="Bulletlevel1"/>
      </w:pPr>
      <w:r w:rsidRPr="00F86D42">
        <w:t>in a remote commercial radio licence area</w:t>
      </w:r>
      <w:r w:rsidR="00956B17" w:rsidRPr="00F86D42">
        <w:t xml:space="preserve"> </w:t>
      </w:r>
    </w:p>
    <w:p w14:paraId="22B819EE" w14:textId="77777777" w:rsidR="00F86D42" w:rsidRDefault="004F28C7" w:rsidP="00F86D42">
      <w:pPr>
        <w:pStyle w:val="Bulletlevel1last"/>
      </w:pPr>
      <w:r w:rsidRPr="00F86D42">
        <w:t>from a remote Indigenous community</w:t>
      </w:r>
      <w:r w:rsidR="00726B8C" w:rsidRPr="00F86D42">
        <w:t xml:space="preserve">. </w:t>
      </w:r>
    </w:p>
    <w:p w14:paraId="39A7860F" w14:textId="4EB6BE71" w:rsidR="00726B8C" w:rsidRPr="002D55AC" w:rsidRDefault="00B241C6" w:rsidP="00F86D42">
      <w:pPr>
        <w:keepNext/>
        <w:keepLines/>
      </w:pPr>
      <w:r w:rsidRPr="00F86D42">
        <w:t>These circumstances are expected to be rare and may include, f</w:t>
      </w:r>
      <w:r w:rsidR="00AB06DF" w:rsidRPr="00F86D42">
        <w:t>or example, where there are no or limited other radio broadcasting services</w:t>
      </w:r>
      <w:r w:rsidR="00D9069A" w:rsidRPr="00F86D42">
        <w:t xml:space="preserve"> available</w:t>
      </w:r>
      <w:r w:rsidR="00AB06DF" w:rsidRPr="00F86D42">
        <w:t xml:space="preserve"> in the area</w:t>
      </w:r>
      <w:r w:rsidR="0065598A">
        <w:t xml:space="preserve"> that provide local content. This </w:t>
      </w:r>
      <w:r w:rsidR="00AB06DF" w:rsidRPr="00F86D42">
        <w:t>includ</w:t>
      </w:r>
      <w:r w:rsidR="0065598A">
        <w:t>es</w:t>
      </w:r>
      <w:r w:rsidR="00AB06DF" w:rsidRPr="00F86D42">
        <w:t xml:space="preserve"> commercial and national radio services. </w:t>
      </w:r>
      <w:r w:rsidR="00726B8C" w:rsidRPr="00F86D42">
        <w:t>We will consider these situations on a case-by-case basis.</w:t>
      </w:r>
    </w:p>
    <w:p w14:paraId="4EF2CF8D" w14:textId="77777777" w:rsidR="00726B8C" w:rsidRPr="002D55AC" w:rsidRDefault="00726B8C" w:rsidP="00726B8C">
      <w:pPr>
        <w:pStyle w:val="Heading3"/>
      </w:pPr>
      <w:bookmarkStart w:id="38" w:name="_Toc75850293"/>
      <w:r w:rsidRPr="002D55AC">
        <w:t>Subsequent licences</w:t>
      </w:r>
      <w:bookmarkEnd w:id="38"/>
    </w:p>
    <w:p w14:paraId="54112BE3" w14:textId="42E273C9" w:rsidR="00726B8C" w:rsidRPr="002D55AC" w:rsidRDefault="00726B8C" w:rsidP="00726B8C">
      <w:pPr>
        <w:pStyle w:val="ListBullet"/>
        <w:numPr>
          <w:ilvl w:val="0"/>
          <w:numId w:val="0"/>
        </w:numPr>
        <w:rPr>
          <w:rFonts w:cs="Arial"/>
        </w:rPr>
      </w:pPr>
      <w:r>
        <w:rPr>
          <w:rFonts w:cs="Arial"/>
        </w:rPr>
        <w:t>If</w:t>
      </w:r>
      <w:r w:rsidRPr="002D55AC">
        <w:rPr>
          <w:rFonts w:cs="Arial"/>
        </w:rPr>
        <w:t xml:space="preserve"> a </w:t>
      </w:r>
      <w:r>
        <w:rPr>
          <w:rFonts w:cs="Arial"/>
        </w:rPr>
        <w:t>TCBL</w:t>
      </w:r>
      <w:r w:rsidRPr="002D55AC">
        <w:rPr>
          <w:rFonts w:cs="Arial"/>
        </w:rPr>
        <w:t xml:space="preserve"> has been granted, licensees should be aware </w:t>
      </w:r>
      <w:r w:rsidRPr="000133F5">
        <w:rPr>
          <w:rFonts w:cs="Arial"/>
        </w:rPr>
        <w:t xml:space="preserve">that making spectrum available again for temporary community broadcasting purposes, or </w:t>
      </w:r>
      <w:r>
        <w:rPr>
          <w:rFonts w:cs="Arial"/>
        </w:rPr>
        <w:t>allocating</w:t>
      </w:r>
      <w:r w:rsidRPr="002D55AC">
        <w:rPr>
          <w:rFonts w:cs="Arial"/>
        </w:rPr>
        <w:t xml:space="preserve"> subsequent licences</w:t>
      </w:r>
      <w:r>
        <w:rPr>
          <w:rFonts w:cs="Arial"/>
        </w:rPr>
        <w:t xml:space="preserve">, </w:t>
      </w:r>
      <w:r w:rsidRPr="002D55AC">
        <w:rPr>
          <w:rFonts w:cs="Arial"/>
        </w:rPr>
        <w:t xml:space="preserve">is </w:t>
      </w:r>
      <w:r>
        <w:rPr>
          <w:rFonts w:cs="Arial"/>
        </w:rPr>
        <w:t xml:space="preserve">not </w:t>
      </w:r>
      <w:r w:rsidRPr="002D55AC">
        <w:rPr>
          <w:rFonts w:cs="Arial"/>
        </w:rPr>
        <w:t xml:space="preserve">automatic. Before </w:t>
      </w:r>
      <w:r>
        <w:rPr>
          <w:rFonts w:cs="Arial"/>
        </w:rPr>
        <w:t xml:space="preserve">making spectrum available for </w:t>
      </w:r>
      <w:r w:rsidRPr="002D55AC">
        <w:rPr>
          <w:rFonts w:cs="Arial"/>
        </w:rPr>
        <w:t xml:space="preserve">a subsequent licence, </w:t>
      </w:r>
      <w:r>
        <w:rPr>
          <w:rFonts w:cs="Arial"/>
        </w:rPr>
        <w:t>we</w:t>
      </w:r>
      <w:r w:rsidRPr="002D55AC">
        <w:rPr>
          <w:rFonts w:cs="Arial"/>
        </w:rPr>
        <w:t xml:space="preserve"> will </w:t>
      </w:r>
      <w:r>
        <w:rPr>
          <w:rFonts w:cs="Arial"/>
        </w:rPr>
        <w:t>consider</w:t>
      </w:r>
      <w:r w:rsidRPr="002D55AC">
        <w:rPr>
          <w:rFonts w:cs="Arial"/>
        </w:rPr>
        <w:t xml:space="preserve"> the individual circumstances </w:t>
      </w:r>
      <w:r>
        <w:rPr>
          <w:rFonts w:cs="Arial"/>
        </w:rPr>
        <w:t>of the application</w:t>
      </w:r>
      <w:r w:rsidR="000D541E">
        <w:rPr>
          <w:rFonts w:cs="Arial"/>
        </w:rPr>
        <w:t xml:space="preserve">. This includes </w:t>
      </w:r>
      <w:r w:rsidRPr="002D55AC">
        <w:rPr>
          <w:rFonts w:cs="Arial"/>
        </w:rPr>
        <w:t>the</w:t>
      </w:r>
      <w:r>
        <w:rPr>
          <w:rFonts w:cs="Arial"/>
        </w:rPr>
        <w:t xml:space="preserve"> applicant</w:t>
      </w:r>
      <w:r w:rsidR="003A2C4F">
        <w:rPr>
          <w:rFonts w:cs="Arial"/>
        </w:rPr>
        <w:t>’</w:t>
      </w:r>
      <w:r>
        <w:rPr>
          <w:rFonts w:cs="Arial"/>
        </w:rPr>
        <w:t>s</w:t>
      </w:r>
      <w:r w:rsidRPr="002D55AC">
        <w:rPr>
          <w:rFonts w:cs="Arial"/>
        </w:rPr>
        <w:t xml:space="preserve"> record of compliance with the community broadcasting licence conditions</w:t>
      </w:r>
      <w:r>
        <w:rPr>
          <w:rFonts w:cs="Arial"/>
        </w:rPr>
        <w:t xml:space="preserve"> and the </w:t>
      </w:r>
      <w:r w:rsidR="009B406B">
        <w:rPr>
          <w:rFonts w:cs="Arial"/>
        </w:rPr>
        <w:t>c</w:t>
      </w:r>
      <w:r>
        <w:rPr>
          <w:rFonts w:cs="Arial"/>
        </w:rPr>
        <w:t>ommunity radio broadcasting codes of practice</w:t>
      </w:r>
      <w:r w:rsidR="000D541E">
        <w:rPr>
          <w:rFonts w:cs="Arial"/>
        </w:rPr>
        <w:t>. We wi</w:t>
      </w:r>
      <w:r w:rsidRPr="002D55AC">
        <w:rPr>
          <w:rFonts w:cs="Arial"/>
        </w:rPr>
        <w:t>ll also need, in all cases, to be satisfied that:</w:t>
      </w:r>
    </w:p>
    <w:p w14:paraId="31CD913C" w14:textId="77777777" w:rsidR="00726B8C" w:rsidRPr="002D55AC" w:rsidRDefault="00726B8C" w:rsidP="00726B8C">
      <w:pPr>
        <w:pStyle w:val="ListBullet"/>
      </w:pPr>
      <w:bookmarkStart w:id="39" w:name="_Hlk62119885"/>
      <w:r w:rsidRPr="002D55AC">
        <w:t xml:space="preserve">the frequency has not been identified for use for another possible purpose </w:t>
      </w:r>
      <w:bookmarkEnd w:id="39"/>
      <w:r w:rsidRPr="002D55AC">
        <w:t>(for example, AM to FM conversion)</w:t>
      </w:r>
    </w:p>
    <w:p w14:paraId="3649889C" w14:textId="77777777" w:rsidR="00726B8C" w:rsidRDefault="00726B8C" w:rsidP="00726B8C">
      <w:pPr>
        <w:pStyle w:val="ListBulletLast"/>
      </w:pPr>
      <w:bookmarkStart w:id="40" w:name="_Hlk57639391"/>
      <w:r w:rsidRPr="002D55AC">
        <w:t>use of the frequency has not and is not likely to cause interference with other services</w:t>
      </w:r>
      <w:bookmarkEnd w:id="40"/>
      <w:r w:rsidRPr="002D55AC">
        <w:t>.</w:t>
      </w:r>
    </w:p>
    <w:p w14:paraId="3E0A8C08" w14:textId="4D257CE5" w:rsidR="00726B8C" w:rsidRPr="00041A1A" w:rsidRDefault="00726B8C" w:rsidP="00726B8C">
      <w:r w:rsidRPr="00F86D42">
        <w:t>Planning new services or changing technical specifications of planned services happens through a LAP variation. This requires extensive engineering work and public consultation. If a frequency that has previously been made available for temporary community broadcasting purposes is identified for another purpose, we will advise an incumbent TCBL holder before a proposal for a LAP variation is released for public consultation.</w:t>
      </w:r>
    </w:p>
    <w:p w14:paraId="35AAF40F" w14:textId="77777777" w:rsidR="00726B8C" w:rsidRPr="00041A1A" w:rsidRDefault="00726B8C" w:rsidP="00726B8C">
      <w:pPr>
        <w:rPr>
          <w:rFonts w:cs="Arial"/>
        </w:rPr>
      </w:pPr>
      <w:bookmarkStart w:id="41" w:name="_Hlk52979499"/>
      <w:r w:rsidRPr="00041A1A">
        <w:rPr>
          <w:rFonts w:cs="Arial"/>
        </w:rPr>
        <w:lastRenderedPageBreak/>
        <w:t>If spectrum is not (or is no longer) available for use for a temporary community licence, community groups may wish to consider other technologies to deliver an audio service (for example, internet radio).</w:t>
      </w:r>
    </w:p>
    <w:bookmarkEnd w:id="41"/>
    <w:p w14:paraId="23C94DF3" w14:textId="2C55A269" w:rsidR="00726B8C" w:rsidRPr="00766EDD" w:rsidRDefault="0065263A" w:rsidP="009A17F1">
      <w:pPr>
        <w:pStyle w:val="ListBullet"/>
        <w:keepNext/>
        <w:keepLines/>
        <w:numPr>
          <w:ilvl w:val="0"/>
          <w:numId w:val="0"/>
        </w:numPr>
        <w:pBdr>
          <w:top w:val="single" w:sz="4" w:space="1" w:color="auto"/>
          <w:left w:val="single" w:sz="4" w:space="4" w:color="auto"/>
          <w:bottom w:val="single" w:sz="4" w:space="5" w:color="auto"/>
          <w:right w:val="single" w:sz="4" w:space="4" w:color="auto"/>
        </w:pBdr>
        <w:shd w:val="clear" w:color="auto" w:fill="F2F2F2" w:themeFill="background1" w:themeFillShade="F2"/>
        <w:spacing w:after="120"/>
        <w:rPr>
          <w:bCs/>
        </w:rPr>
      </w:pPr>
      <w:r w:rsidRPr="00766EDD">
        <w:rPr>
          <w:rFonts w:cs="Arial"/>
          <w:b/>
        </w:rPr>
        <w:t>Please n</w:t>
      </w:r>
      <w:r w:rsidR="006D207B" w:rsidRPr="0065263A">
        <w:rPr>
          <w:rFonts w:cs="Arial"/>
          <w:b/>
        </w:rPr>
        <w:t>ote:</w:t>
      </w:r>
      <w:r w:rsidR="00CF25BC" w:rsidRPr="00766EDD">
        <w:rPr>
          <w:rFonts w:cs="Arial"/>
          <w:bCs/>
        </w:rPr>
        <w:t xml:space="preserve"> </w:t>
      </w:r>
      <w:r w:rsidR="00726B8C" w:rsidRPr="00766EDD">
        <w:rPr>
          <w:bCs/>
        </w:rPr>
        <w:t>We retain the discretion to not make a frequency available for temporary community purposes</w:t>
      </w:r>
      <w:r>
        <w:rPr>
          <w:bCs/>
        </w:rPr>
        <w:t xml:space="preserve">. This </w:t>
      </w:r>
      <w:r w:rsidR="00726B8C" w:rsidRPr="00766EDD">
        <w:rPr>
          <w:bCs/>
        </w:rPr>
        <w:t>includ</w:t>
      </w:r>
      <w:r>
        <w:rPr>
          <w:bCs/>
        </w:rPr>
        <w:t>es</w:t>
      </w:r>
      <w:r w:rsidR="00726B8C" w:rsidRPr="00766EDD">
        <w:rPr>
          <w:bCs/>
        </w:rPr>
        <w:t xml:space="preserve"> where a long-term community radio broadcasting service has been planned in a LAP and is not currently allocated.</w:t>
      </w:r>
    </w:p>
    <w:p w14:paraId="7CC03459" w14:textId="0EF0BDD0" w:rsidR="00726B8C" w:rsidRPr="00391E82" w:rsidRDefault="00726B8C" w:rsidP="00726B8C">
      <w:pPr>
        <w:pStyle w:val="ListBullet"/>
        <w:keepNext/>
        <w:keepLines/>
        <w:numPr>
          <w:ilvl w:val="0"/>
          <w:numId w:val="0"/>
        </w:numPr>
        <w:pBdr>
          <w:top w:val="single" w:sz="4" w:space="1" w:color="auto"/>
          <w:left w:val="single" w:sz="4" w:space="4" w:color="auto"/>
          <w:bottom w:val="single" w:sz="4" w:space="5" w:color="auto"/>
          <w:right w:val="single" w:sz="4" w:space="4" w:color="auto"/>
        </w:pBdr>
        <w:shd w:val="clear" w:color="auto" w:fill="F2F2F2" w:themeFill="background1" w:themeFillShade="F2"/>
        <w:rPr>
          <w:rFonts w:cs="Arial"/>
          <w:b/>
        </w:rPr>
      </w:pPr>
      <w:r w:rsidRPr="00766EDD">
        <w:rPr>
          <w:rFonts w:cs="Arial"/>
          <w:bCs/>
        </w:rPr>
        <w:t>The current availability of a frequency for a TCBL does not guarantee the long-term availability of that frequency for community broadcasting purposes</w:t>
      </w:r>
      <w:r w:rsidR="0065263A">
        <w:rPr>
          <w:rFonts w:cs="Arial"/>
          <w:bCs/>
        </w:rPr>
        <w:t xml:space="preserve">. This is regardless of </w:t>
      </w:r>
      <w:r w:rsidRPr="00766EDD">
        <w:rPr>
          <w:rFonts w:cs="Arial"/>
          <w:bCs/>
        </w:rPr>
        <w:t>whether it has been planned in a LAP.</w:t>
      </w:r>
    </w:p>
    <w:p w14:paraId="74A528B3" w14:textId="06526E23" w:rsidR="00726B8C" w:rsidRPr="00052902" w:rsidRDefault="009C3DA0" w:rsidP="00726B8C">
      <w:pPr>
        <w:pStyle w:val="Heading1"/>
        <w:rPr>
          <w:lang w:val="en-US"/>
        </w:rPr>
      </w:pPr>
      <w:bookmarkStart w:id="42" w:name="_Toc306369869"/>
      <w:bookmarkStart w:id="43" w:name="_Toc75850294"/>
      <w:bookmarkStart w:id="44" w:name="_Toc75868704"/>
      <w:bookmarkStart w:id="45" w:name="_Toc75868798"/>
      <w:bookmarkStart w:id="46" w:name="_Toc75868865"/>
      <w:bookmarkStart w:id="47" w:name="_Toc84847011"/>
      <w:bookmarkStart w:id="48" w:name="_Toc137562985"/>
      <w:r>
        <w:rPr>
          <w:lang w:val="en-US"/>
        </w:rPr>
        <w:lastRenderedPageBreak/>
        <w:t>Eligibility to apply for a TCBL</w:t>
      </w:r>
      <w:bookmarkEnd w:id="42"/>
      <w:bookmarkEnd w:id="43"/>
      <w:bookmarkEnd w:id="44"/>
      <w:bookmarkEnd w:id="45"/>
      <w:bookmarkEnd w:id="46"/>
      <w:bookmarkEnd w:id="47"/>
      <w:bookmarkEnd w:id="48"/>
    </w:p>
    <w:p w14:paraId="7F174A4B" w14:textId="77777777" w:rsidR="00726B8C" w:rsidRPr="00052902" w:rsidRDefault="00726B8C" w:rsidP="00726B8C">
      <w:pPr>
        <w:pStyle w:val="Heading2"/>
      </w:pPr>
      <w:bookmarkStart w:id="49" w:name="_Toc306369870"/>
      <w:bookmarkStart w:id="50" w:name="_Toc75850295"/>
      <w:bookmarkStart w:id="51" w:name="_Toc75868705"/>
      <w:bookmarkStart w:id="52" w:name="_Toc75868799"/>
      <w:bookmarkStart w:id="53" w:name="_Toc75868866"/>
      <w:bookmarkStart w:id="54" w:name="_Toc84847012"/>
      <w:bookmarkStart w:id="55" w:name="_Toc137562986"/>
      <w:r>
        <w:t>Applicants for a</w:t>
      </w:r>
      <w:r w:rsidRPr="00052902">
        <w:t xml:space="preserve"> </w:t>
      </w:r>
      <w:bookmarkEnd w:id="49"/>
      <w:r>
        <w:t>TCBL</w:t>
      </w:r>
      <w:bookmarkEnd w:id="50"/>
      <w:bookmarkEnd w:id="51"/>
      <w:bookmarkEnd w:id="52"/>
      <w:bookmarkEnd w:id="53"/>
      <w:bookmarkEnd w:id="54"/>
      <w:bookmarkEnd w:id="55"/>
    </w:p>
    <w:p w14:paraId="3B8A1569" w14:textId="1D0F4639" w:rsidR="00726B8C" w:rsidRPr="00052902" w:rsidRDefault="00726B8C" w:rsidP="00726B8C">
      <w:pPr>
        <w:spacing w:after="80"/>
        <w:rPr>
          <w:rFonts w:cs="Arial"/>
        </w:rPr>
      </w:pPr>
      <w:r>
        <w:rPr>
          <w:rFonts w:cs="Arial"/>
        </w:rPr>
        <w:t>A</w:t>
      </w:r>
      <w:r w:rsidRPr="00052902">
        <w:rPr>
          <w:rFonts w:cs="Arial"/>
        </w:rPr>
        <w:t xml:space="preserve">n applicant </w:t>
      </w:r>
      <w:r>
        <w:rPr>
          <w:rFonts w:cs="Arial"/>
        </w:rPr>
        <w:t>for a TCBL must</w:t>
      </w:r>
      <w:r w:rsidR="003B017E">
        <w:rPr>
          <w:rFonts w:cs="Arial"/>
        </w:rPr>
        <w:t>:</w:t>
      </w:r>
      <w:r w:rsidRPr="00052902">
        <w:rPr>
          <w:rStyle w:val="FootnoteReference"/>
          <w:rFonts w:cs="Arial"/>
        </w:rPr>
        <w:footnoteReference w:id="13"/>
      </w:r>
    </w:p>
    <w:p w14:paraId="3B6421DB" w14:textId="77777777" w:rsidR="00726B8C" w:rsidRPr="00052902" w:rsidRDefault="00726B8C" w:rsidP="00726B8C">
      <w:pPr>
        <w:pStyle w:val="ListBullet"/>
        <w:rPr>
          <w:rFonts w:cs="Arial"/>
        </w:rPr>
      </w:pPr>
      <w:r>
        <w:rPr>
          <w:rFonts w:cs="Arial"/>
        </w:rPr>
        <w:t xml:space="preserve">be </w:t>
      </w:r>
      <w:r w:rsidRPr="00052902">
        <w:rPr>
          <w:rFonts w:cs="Arial"/>
        </w:rPr>
        <w:t>a company (company includes incorporated association) formed in Australia or in an external territory</w:t>
      </w:r>
    </w:p>
    <w:p w14:paraId="0B7397B1" w14:textId="77777777" w:rsidR="00726B8C" w:rsidRPr="00052902" w:rsidRDefault="00726B8C" w:rsidP="00726B8C">
      <w:pPr>
        <w:pStyle w:val="ListBulletLast"/>
      </w:pPr>
      <w:r w:rsidRPr="00052902">
        <w:t>represent a community interest.</w:t>
      </w:r>
    </w:p>
    <w:p w14:paraId="6C8F1F90" w14:textId="77777777" w:rsidR="00726B8C" w:rsidRPr="00052902" w:rsidRDefault="00726B8C" w:rsidP="00726B8C">
      <w:pPr>
        <w:pStyle w:val="Heading3"/>
      </w:pPr>
      <w:bookmarkStart w:id="56" w:name="_Toc306369871"/>
      <w:bookmarkStart w:id="57" w:name="_Toc75850296"/>
      <w:r w:rsidRPr="00052902">
        <w:t>Organisation structure</w:t>
      </w:r>
      <w:bookmarkEnd w:id="56"/>
      <w:bookmarkEnd w:id="57"/>
    </w:p>
    <w:p w14:paraId="49BAD557" w14:textId="25CF0723" w:rsidR="00726B8C" w:rsidRDefault="00726B8C" w:rsidP="00726B8C">
      <w:pPr>
        <w:pStyle w:val="CommentText"/>
        <w:rPr>
          <w:rFonts w:cs="Arial"/>
        </w:rPr>
      </w:pPr>
      <w:r w:rsidRPr="00052902">
        <w:rPr>
          <w:rFonts w:cs="Arial"/>
        </w:rPr>
        <w:t xml:space="preserve">A range of entities may apply for a </w:t>
      </w:r>
      <w:r>
        <w:rPr>
          <w:rFonts w:cs="Arial"/>
        </w:rPr>
        <w:t>TCBL</w:t>
      </w:r>
      <w:r w:rsidRPr="00052902">
        <w:rPr>
          <w:rFonts w:cs="Arial"/>
        </w:rPr>
        <w:t>, including incorporated associations and companies limited by shares</w:t>
      </w:r>
      <w:r>
        <w:rPr>
          <w:rFonts w:cs="Arial"/>
        </w:rPr>
        <w:t xml:space="preserve"> or by guarantee</w:t>
      </w:r>
      <w:r w:rsidRPr="00052902">
        <w:rPr>
          <w:rFonts w:cs="Arial"/>
        </w:rPr>
        <w:t>.</w:t>
      </w:r>
      <w:r>
        <w:rPr>
          <w:rFonts w:cs="Arial"/>
        </w:rPr>
        <w:t xml:space="preserve"> Applicants must be able to provide a service on a not-for-profit basis.</w:t>
      </w:r>
    </w:p>
    <w:p w14:paraId="1F975887" w14:textId="5882EF1C" w:rsidR="00726B8C" w:rsidRDefault="000B7A15" w:rsidP="00726B8C">
      <w:pPr>
        <w:rPr>
          <w:rFonts w:cs="Arial"/>
        </w:rPr>
      </w:pPr>
      <w:r>
        <w:rPr>
          <w:rFonts w:cs="Arial"/>
        </w:rPr>
        <w:t>I</w:t>
      </w:r>
      <w:r w:rsidR="00726B8C" w:rsidRPr="00052902">
        <w:rPr>
          <w:rFonts w:cs="Arial"/>
        </w:rPr>
        <w:t xml:space="preserve">ncorporated </w:t>
      </w:r>
      <w:r w:rsidR="00726B8C">
        <w:rPr>
          <w:rFonts w:cs="Arial"/>
        </w:rPr>
        <w:t xml:space="preserve">entities that are </w:t>
      </w:r>
      <w:r w:rsidR="00925EF4">
        <w:rPr>
          <w:rFonts w:cs="Arial"/>
        </w:rPr>
        <w:t>locally based</w:t>
      </w:r>
      <w:r w:rsidR="00726B8C">
        <w:rPr>
          <w:rFonts w:cs="Arial"/>
        </w:rPr>
        <w:t xml:space="preserve"> and not-for-profit, with </w:t>
      </w:r>
      <w:r w:rsidR="00726B8C" w:rsidRPr="00052902">
        <w:rPr>
          <w:rFonts w:cs="Arial"/>
        </w:rPr>
        <w:t xml:space="preserve">clearly defined </w:t>
      </w:r>
      <w:r w:rsidR="00726B8C">
        <w:rPr>
          <w:rFonts w:cs="Arial"/>
        </w:rPr>
        <w:t xml:space="preserve">community </w:t>
      </w:r>
      <w:r w:rsidR="00726B8C" w:rsidRPr="00052902">
        <w:rPr>
          <w:rFonts w:cs="Arial"/>
        </w:rPr>
        <w:t xml:space="preserve">purposes </w:t>
      </w:r>
      <w:r w:rsidR="00726B8C">
        <w:rPr>
          <w:rFonts w:cs="Arial"/>
        </w:rPr>
        <w:t>and</w:t>
      </w:r>
      <w:r w:rsidR="00726B8C" w:rsidRPr="00052902">
        <w:rPr>
          <w:rFonts w:cs="Arial"/>
        </w:rPr>
        <w:t xml:space="preserve"> transparent, non-discriminatory membership rules</w:t>
      </w:r>
      <w:r w:rsidR="00726B8C">
        <w:rPr>
          <w:rFonts w:cs="Arial"/>
        </w:rPr>
        <w:t>,</w:t>
      </w:r>
      <w:r w:rsidR="00726B8C" w:rsidRPr="00052902">
        <w:rPr>
          <w:rFonts w:cs="Arial"/>
        </w:rPr>
        <w:t xml:space="preserve"> are </w:t>
      </w:r>
      <w:r>
        <w:rPr>
          <w:rFonts w:cs="Arial"/>
        </w:rPr>
        <w:t xml:space="preserve">more </w:t>
      </w:r>
      <w:r w:rsidR="00726B8C" w:rsidRPr="00052902">
        <w:rPr>
          <w:rFonts w:cs="Arial"/>
        </w:rPr>
        <w:t xml:space="preserve">likely to </w:t>
      </w:r>
      <w:r w:rsidR="00726B8C">
        <w:rPr>
          <w:rFonts w:cs="Arial"/>
        </w:rPr>
        <w:t>be suited to be community broadcasting licensees</w:t>
      </w:r>
      <w:r w:rsidR="00726B8C" w:rsidRPr="00052902">
        <w:rPr>
          <w:rFonts w:cs="Arial"/>
        </w:rPr>
        <w:t>.</w:t>
      </w:r>
      <w:r w:rsidR="00726B8C">
        <w:rPr>
          <w:rFonts w:cs="Arial"/>
        </w:rPr>
        <w:t xml:space="preserve"> </w:t>
      </w:r>
    </w:p>
    <w:p w14:paraId="0C2BF86E" w14:textId="398BC3A3" w:rsidR="00726B8C" w:rsidRPr="00052902" w:rsidRDefault="00726B8C" w:rsidP="00726B8C">
      <w:pPr>
        <w:pStyle w:val="CommentText"/>
        <w:spacing w:after="80"/>
        <w:rPr>
          <w:rFonts w:cs="Arial"/>
        </w:rPr>
      </w:pPr>
      <w:r w:rsidRPr="007F432A">
        <w:rPr>
          <w:rFonts w:cs="Arial"/>
        </w:rPr>
        <w:t xml:space="preserve">We encourage </w:t>
      </w:r>
      <w:r w:rsidR="000B7A15">
        <w:rPr>
          <w:rFonts w:cs="Arial"/>
        </w:rPr>
        <w:t xml:space="preserve">incorporated association </w:t>
      </w:r>
      <w:r w:rsidRPr="007F432A">
        <w:rPr>
          <w:rFonts w:cs="Arial"/>
        </w:rPr>
        <w:t>applicants</w:t>
      </w:r>
      <w:r w:rsidR="001E37CE">
        <w:rPr>
          <w:rFonts w:cs="Arial"/>
        </w:rPr>
        <w:t xml:space="preserve"> </w:t>
      </w:r>
      <w:r w:rsidRPr="007F432A">
        <w:rPr>
          <w:rFonts w:cs="Arial"/>
        </w:rPr>
        <w:t xml:space="preserve">for </w:t>
      </w:r>
      <w:r>
        <w:rPr>
          <w:rFonts w:cs="Arial"/>
        </w:rPr>
        <w:t>TCBLs</w:t>
      </w:r>
      <w:r w:rsidR="001E37CE" w:rsidRPr="007F432A">
        <w:rPr>
          <w:rFonts w:cs="Arial"/>
        </w:rPr>
        <w:t xml:space="preserve"> </w:t>
      </w:r>
      <w:r w:rsidRPr="007F432A">
        <w:rPr>
          <w:rFonts w:cs="Arial"/>
        </w:rPr>
        <w:t>to</w:t>
      </w:r>
      <w:r w:rsidRPr="00052902">
        <w:rPr>
          <w:rFonts w:cs="Arial"/>
        </w:rPr>
        <w:t>:</w:t>
      </w:r>
    </w:p>
    <w:p w14:paraId="0DE64F15" w14:textId="77777777" w:rsidR="00726B8C" w:rsidRPr="00052902" w:rsidRDefault="00726B8C" w:rsidP="00726B8C">
      <w:pPr>
        <w:pStyle w:val="ListBullet"/>
        <w:rPr>
          <w:rFonts w:cs="Arial"/>
        </w:rPr>
      </w:pPr>
      <w:r w:rsidRPr="00052902">
        <w:rPr>
          <w:rFonts w:cs="Arial"/>
        </w:rPr>
        <w:t xml:space="preserve">adopt the model rules issued by the relevant state or territory body that administers the legislation under which the </w:t>
      </w:r>
      <w:r>
        <w:rPr>
          <w:rFonts w:cs="Arial"/>
        </w:rPr>
        <w:t xml:space="preserve">applicant </w:t>
      </w:r>
      <w:r w:rsidRPr="00052902">
        <w:rPr>
          <w:rFonts w:cs="Arial"/>
        </w:rPr>
        <w:t>is incorporated</w:t>
      </w:r>
    </w:p>
    <w:p w14:paraId="5774982B" w14:textId="77777777" w:rsidR="00726B8C" w:rsidRPr="00052902" w:rsidRDefault="00726B8C" w:rsidP="00726B8C">
      <w:pPr>
        <w:pStyle w:val="ListBullet"/>
        <w:spacing w:after="240"/>
        <w:rPr>
          <w:rFonts w:cs="Arial"/>
        </w:rPr>
      </w:pPr>
      <w:r w:rsidRPr="00052902">
        <w:rPr>
          <w:rFonts w:cs="Arial"/>
        </w:rPr>
        <w:t>make amendments to those rules as recommended by CBAA.</w:t>
      </w:r>
    </w:p>
    <w:p w14:paraId="2EFE84A9" w14:textId="41DD0A46" w:rsidR="00726B8C" w:rsidRDefault="00726B8C" w:rsidP="00726B8C">
      <w:pPr>
        <w:rPr>
          <w:rFonts w:cs="Arial"/>
        </w:rPr>
      </w:pPr>
      <w:r w:rsidRPr="00052902">
        <w:rPr>
          <w:rFonts w:cs="Arial"/>
        </w:rPr>
        <w:t xml:space="preserve">CBAA’s standard amendments to model rules for each state and territory are available at </w:t>
      </w:r>
      <w:hyperlink r:id="rId27" w:history="1">
        <w:r w:rsidRPr="00052902">
          <w:rPr>
            <w:rStyle w:val="Hyperlink"/>
            <w:rFonts w:cs="Arial"/>
            <w:lang w:val="en-US"/>
          </w:rPr>
          <w:t>cbaa.org.au</w:t>
        </w:r>
      </w:hyperlink>
      <w:r w:rsidRPr="00052902">
        <w:rPr>
          <w:rFonts w:cs="Arial"/>
        </w:rPr>
        <w:t xml:space="preserve">. The amendments are designed to </w:t>
      </w:r>
      <w:r>
        <w:rPr>
          <w:rFonts w:cs="Arial"/>
        </w:rPr>
        <w:t>assist</w:t>
      </w:r>
      <w:r w:rsidRPr="00052902">
        <w:rPr>
          <w:rFonts w:cs="Arial"/>
        </w:rPr>
        <w:t xml:space="preserve"> community broadcasters</w:t>
      </w:r>
      <w:r>
        <w:rPr>
          <w:rFonts w:cs="Arial"/>
        </w:rPr>
        <w:t xml:space="preserve"> to</w:t>
      </w:r>
      <w:r w:rsidRPr="00052902">
        <w:rPr>
          <w:rFonts w:cs="Arial"/>
        </w:rPr>
        <w:t xml:space="preserve"> have appropriate corporate structures that promote compliance with the applicable licence conditions.</w:t>
      </w:r>
    </w:p>
    <w:p w14:paraId="75341578" w14:textId="57DFF2E6" w:rsidR="00726B8C" w:rsidRPr="00052902" w:rsidRDefault="00726B8C" w:rsidP="00726B8C">
      <w:pPr>
        <w:rPr>
          <w:rFonts w:cs="Arial"/>
        </w:rPr>
      </w:pPr>
      <w:r>
        <w:rPr>
          <w:rFonts w:cs="Arial"/>
        </w:rPr>
        <w:t>When applying for a TCBL, applicants must submit a copy of their company’s registration and constitution documents, and a completed ACMA B42 form</w:t>
      </w:r>
      <w:r w:rsidRPr="009E39B9">
        <w:rPr>
          <w:rFonts w:cs="Arial"/>
        </w:rPr>
        <w:t>.</w:t>
      </w:r>
      <w:r w:rsidR="006F7BD0" w:rsidRPr="009E39B9">
        <w:rPr>
          <w:rFonts w:cs="Arial"/>
        </w:rPr>
        <w:t xml:space="preserve"> In some circumstances</w:t>
      </w:r>
      <w:r w:rsidR="00D4217A">
        <w:rPr>
          <w:rFonts w:cs="Arial"/>
        </w:rPr>
        <w:t>,</w:t>
      </w:r>
      <w:r w:rsidR="006F7BD0" w:rsidRPr="009E39B9">
        <w:rPr>
          <w:rFonts w:cs="Arial"/>
        </w:rPr>
        <w:t xml:space="preserve"> additional information may be requested</w:t>
      </w:r>
      <w:r w:rsidR="00D4217A">
        <w:rPr>
          <w:rFonts w:cs="Arial"/>
        </w:rPr>
        <w:t>.</w:t>
      </w:r>
      <w:r w:rsidR="00CF1CC3" w:rsidRPr="009E39B9">
        <w:rPr>
          <w:rStyle w:val="FootnoteReference"/>
          <w:rFonts w:cs="Arial"/>
        </w:rPr>
        <w:footnoteReference w:id="14"/>
      </w:r>
    </w:p>
    <w:p w14:paraId="6A2880C5" w14:textId="77777777" w:rsidR="00726B8C" w:rsidRPr="00052902" w:rsidRDefault="00726B8C" w:rsidP="00726B8C">
      <w:pPr>
        <w:pStyle w:val="Heading3"/>
      </w:pPr>
      <w:bookmarkStart w:id="58" w:name="_Toc306369872"/>
      <w:bookmarkStart w:id="59" w:name="_Toc75850297"/>
      <w:r w:rsidRPr="00052902">
        <w:t>Community interest</w:t>
      </w:r>
      <w:bookmarkEnd w:id="58"/>
      <w:bookmarkEnd w:id="59"/>
    </w:p>
    <w:p w14:paraId="2EE1003A" w14:textId="65D10C57" w:rsidR="00726B8C" w:rsidRPr="00052902" w:rsidRDefault="00726B8C" w:rsidP="00726B8C">
      <w:pPr>
        <w:spacing w:after="80"/>
        <w:rPr>
          <w:rFonts w:cs="Arial"/>
        </w:rPr>
      </w:pPr>
      <w:r w:rsidRPr="00052902">
        <w:rPr>
          <w:rFonts w:cs="Arial"/>
        </w:rPr>
        <w:t xml:space="preserve">An applicant for a </w:t>
      </w:r>
      <w:r>
        <w:rPr>
          <w:rFonts w:cs="Arial"/>
        </w:rPr>
        <w:t>TCBL</w:t>
      </w:r>
      <w:r w:rsidRPr="00052902">
        <w:rPr>
          <w:rFonts w:cs="Arial"/>
        </w:rPr>
        <w:t xml:space="preserve"> </w:t>
      </w:r>
      <w:r>
        <w:rPr>
          <w:rFonts w:cs="Arial"/>
        </w:rPr>
        <w:t>must</w:t>
      </w:r>
      <w:r w:rsidRPr="00052902" w:rsidDel="006366D5">
        <w:rPr>
          <w:rFonts w:cs="Arial"/>
        </w:rPr>
        <w:t xml:space="preserve"> </w:t>
      </w:r>
      <w:r w:rsidRPr="00052902">
        <w:rPr>
          <w:rFonts w:cs="Arial"/>
        </w:rPr>
        <w:t>represent a community interest</w:t>
      </w:r>
      <w:r>
        <w:rPr>
          <w:rFonts w:cs="Arial"/>
        </w:rPr>
        <w:t xml:space="preserve">. </w:t>
      </w:r>
      <w:r>
        <w:t>As part of demonstrating this</w:t>
      </w:r>
      <w:r>
        <w:rPr>
          <w:rFonts w:cs="Arial"/>
        </w:rPr>
        <w:t xml:space="preserve">, </w:t>
      </w:r>
      <w:r w:rsidRPr="00052902">
        <w:rPr>
          <w:rFonts w:cs="Arial"/>
        </w:rPr>
        <w:t>applicant</w:t>
      </w:r>
      <w:r>
        <w:rPr>
          <w:rFonts w:cs="Arial"/>
        </w:rPr>
        <w:t xml:space="preserve">s </w:t>
      </w:r>
      <w:r>
        <w:t xml:space="preserve">for a new TCBL (or </w:t>
      </w:r>
      <w:r w:rsidR="002056F2">
        <w:t>for a</w:t>
      </w:r>
      <w:r>
        <w:t xml:space="preserve"> subsequent </w:t>
      </w:r>
      <w:r w:rsidR="00F65162">
        <w:t>TCBL</w:t>
      </w:r>
      <w:r>
        <w:t>, where there is a change</w:t>
      </w:r>
      <w:r w:rsidR="00F65162">
        <w:t xml:space="preserve"> in the community interest represented</w:t>
      </w:r>
      <w:r>
        <w:t>)</w:t>
      </w:r>
      <w:r>
        <w:rPr>
          <w:rFonts w:cs="Arial"/>
        </w:rPr>
        <w:t xml:space="preserve"> are asked to</w:t>
      </w:r>
      <w:r w:rsidRPr="00052902">
        <w:rPr>
          <w:rFonts w:cs="Arial"/>
        </w:rPr>
        <w:t xml:space="preserve"> provide evidence of an open structure and transparent procedures</w:t>
      </w:r>
      <w:r w:rsidR="001F6247">
        <w:rPr>
          <w:rFonts w:cs="Arial"/>
        </w:rPr>
        <w:t>. F</w:t>
      </w:r>
      <w:r w:rsidRPr="00052902">
        <w:rPr>
          <w:rFonts w:cs="Arial"/>
        </w:rPr>
        <w:t xml:space="preserve">or example: </w:t>
      </w:r>
    </w:p>
    <w:p w14:paraId="08D271D0" w14:textId="77777777" w:rsidR="00726B8C" w:rsidRPr="00052902" w:rsidRDefault="00726B8C" w:rsidP="00726B8C">
      <w:pPr>
        <w:pStyle w:val="ListBullet"/>
        <w:rPr>
          <w:rFonts w:cs="Arial"/>
        </w:rPr>
      </w:pPr>
      <w:r w:rsidRPr="00052902">
        <w:rPr>
          <w:rFonts w:cs="Arial"/>
        </w:rPr>
        <w:t>an organisation chart of the company structure, including office holders and membership</w:t>
      </w:r>
    </w:p>
    <w:p w14:paraId="0C64E9A5" w14:textId="77777777" w:rsidR="00726B8C" w:rsidRDefault="00726B8C" w:rsidP="00726B8C">
      <w:pPr>
        <w:pStyle w:val="ListBullet"/>
        <w:spacing w:after="240"/>
      </w:pPr>
      <w:r w:rsidRPr="002B5F74">
        <w:rPr>
          <w:rFonts w:cs="Arial"/>
        </w:rPr>
        <w:t>documented</w:t>
      </w:r>
      <w:r w:rsidRPr="00052902">
        <w:t xml:space="preserve"> decision-making policies, including for membership and programming</w:t>
      </w:r>
      <w:r>
        <w:t>.</w:t>
      </w:r>
    </w:p>
    <w:p w14:paraId="11CF2990" w14:textId="2A9910BF" w:rsidR="00687000" w:rsidRDefault="00726B8C" w:rsidP="009A17F1">
      <w:pPr>
        <w:pStyle w:val="ListBulletLast"/>
        <w:keepNext/>
        <w:keepLines/>
        <w:numPr>
          <w:ilvl w:val="0"/>
          <w:numId w:val="0"/>
        </w:numPr>
      </w:pPr>
      <w:r w:rsidRPr="00C30FEF">
        <w:lastRenderedPageBreak/>
        <w:t xml:space="preserve">In the case of applicants for a new </w:t>
      </w:r>
      <w:bookmarkStart w:id="60" w:name="_Hlk72399246"/>
      <w:r w:rsidRPr="00C30FEF">
        <w:t>TCBL, evidence that the community interest represented by the applicant would benefit from the proposed service may be requested</w:t>
      </w:r>
      <w:bookmarkEnd w:id="60"/>
      <w:r w:rsidRPr="00C30FEF">
        <w:t>.</w:t>
      </w:r>
    </w:p>
    <w:p w14:paraId="1F76787D" w14:textId="1FD360B7" w:rsidR="006F7BD0" w:rsidRPr="00766EDD" w:rsidRDefault="001F6247" w:rsidP="009A17F1">
      <w:pPr>
        <w:keepNext/>
        <w:keepLines/>
        <w:pBdr>
          <w:top w:val="single" w:sz="4" w:space="1" w:color="auto"/>
          <w:left w:val="single" w:sz="4" w:space="4" w:color="auto"/>
          <w:bottom w:val="single" w:sz="4" w:space="1" w:color="auto"/>
          <w:right w:val="single" w:sz="4" w:space="4" w:color="auto"/>
        </w:pBdr>
        <w:shd w:val="clear" w:color="auto" w:fill="F2F2F2"/>
        <w:spacing w:after="80"/>
        <w:rPr>
          <w:rFonts w:cs="Arial"/>
          <w:bCs/>
        </w:rPr>
      </w:pPr>
      <w:r>
        <w:rPr>
          <w:rFonts w:cs="Arial"/>
          <w:b/>
        </w:rPr>
        <w:t>Please n</w:t>
      </w:r>
      <w:r w:rsidR="001E16ED">
        <w:rPr>
          <w:rFonts w:cs="Arial"/>
          <w:b/>
        </w:rPr>
        <w:t>ote</w:t>
      </w:r>
      <w:r w:rsidR="00726B8C" w:rsidRPr="006645D2">
        <w:rPr>
          <w:rFonts w:cs="Arial"/>
          <w:b/>
        </w:rPr>
        <w:t>:</w:t>
      </w:r>
      <w:r w:rsidR="001E16ED">
        <w:rPr>
          <w:rFonts w:cs="Arial"/>
          <w:b/>
        </w:rPr>
        <w:t xml:space="preserve"> </w:t>
      </w:r>
      <w:r w:rsidR="00726B8C" w:rsidRPr="00766EDD">
        <w:rPr>
          <w:rFonts w:cs="Arial"/>
          <w:bCs/>
        </w:rPr>
        <w:t>Applicants must submit a copy of their company’s registration and constitution documents, and a completed ACMA B42 form.</w:t>
      </w:r>
    </w:p>
    <w:p w14:paraId="2F12D71C" w14:textId="3BF0E82B" w:rsidR="006F7BD0" w:rsidRPr="00766EDD" w:rsidRDefault="006F7BD0" w:rsidP="009A17F1">
      <w:pPr>
        <w:keepNext/>
        <w:keepLines/>
        <w:pBdr>
          <w:top w:val="single" w:sz="4" w:space="1" w:color="auto"/>
          <w:left w:val="single" w:sz="4" w:space="4" w:color="auto"/>
          <w:bottom w:val="single" w:sz="4" w:space="1" w:color="auto"/>
          <w:right w:val="single" w:sz="4" w:space="4" w:color="auto"/>
        </w:pBdr>
        <w:shd w:val="clear" w:color="auto" w:fill="F2F2F2"/>
        <w:spacing w:after="80"/>
        <w:rPr>
          <w:rFonts w:cs="Arial"/>
          <w:bCs/>
        </w:rPr>
      </w:pPr>
      <w:r w:rsidRPr="00766EDD">
        <w:rPr>
          <w:rFonts w:cs="Arial"/>
          <w:bCs/>
        </w:rPr>
        <w:t>In some circumstances</w:t>
      </w:r>
      <w:r w:rsidR="001F6247">
        <w:rPr>
          <w:rFonts w:cs="Arial"/>
          <w:bCs/>
        </w:rPr>
        <w:t>,</w:t>
      </w:r>
      <w:r w:rsidRPr="00766EDD">
        <w:rPr>
          <w:rFonts w:cs="Arial"/>
          <w:bCs/>
        </w:rPr>
        <w:t xml:space="preserve"> additional information may be requested.</w:t>
      </w:r>
    </w:p>
    <w:p w14:paraId="7BD61D0D" w14:textId="0B698B6D" w:rsidR="00726B8C" w:rsidRPr="009E39B9" w:rsidRDefault="00726B8C" w:rsidP="00726B8C">
      <w:pPr>
        <w:pStyle w:val="Heading1"/>
        <w:rPr>
          <w:lang w:val="en-US"/>
        </w:rPr>
      </w:pPr>
      <w:bookmarkStart w:id="61" w:name="_How_we_decide"/>
      <w:bookmarkStart w:id="62" w:name="_Toc75850298"/>
      <w:bookmarkStart w:id="63" w:name="_Toc75868706"/>
      <w:bookmarkStart w:id="64" w:name="_Toc75868800"/>
      <w:bookmarkStart w:id="65" w:name="_Toc75868867"/>
      <w:bookmarkStart w:id="66" w:name="_Toc84847013"/>
      <w:bookmarkStart w:id="67" w:name="_Toc137562987"/>
      <w:bookmarkEnd w:id="61"/>
      <w:r w:rsidRPr="008E4564">
        <w:rPr>
          <w:lang w:val="en-US"/>
        </w:rPr>
        <w:lastRenderedPageBreak/>
        <w:t xml:space="preserve">How we decide to allocate </w:t>
      </w:r>
      <w:r w:rsidR="00E70702">
        <w:rPr>
          <w:lang w:val="en-US"/>
        </w:rPr>
        <w:br/>
      </w:r>
      <w:r w:rsidRPr="008E4564">
        <w:rPr>
          <w:lang w:val="en-US"/>
        </w:rPr>
        <w:t xml:space="preserve">a </w:t>
      </w:r>
      <w:r w:rsidRPr="009E39B9">
        <w:rPr>
          <w:lang w:val="en-US"/>
        </w:rPr>
        <w:t>TCBL</w:t>
      </w:r>
      <w:bookmarkEnd w:id="62"/>
      <w:bookmarkEnd w:id="63"/>
      <w:bookmarkEnd w:id="64"/>
      <w:bookmarkEnd w:id="65"/>
      <w:bookmarkEnd w:id="66"/>
      <w:bookmarkEnd w:id="67"/>
    </w:p>
    <w:p w14:paraId="6F795424" w14:textId="4D3D537F" w:rsidR="00B77523" w:rsidRDefault="00911202" w:rsidP="00766EDD">
      <w:pPr>
        <w:pStyle w:val="Paragraphbeforelist"/>
        <w:rPr>
          <w:color w:val="000000"/>
          <w:lang w:val="en-US"/>
        </w:rPr>
      </w:pPr>
      <w:r w:rsidRPr="009E39B9">
        <w:t xml:space="preserve">There are several matters we </w:t>
      </w:r>
      <w:r w:rsidRPr="00766EDD">
        <w:rPr>
          <w:iCs/>
        </w:rPr>
        <w:t>may</w:t>
      </w:r>
      <w:r w:rsidRPr="009E39B9">
        <w:t xml:space="preserve"> consider when deciding whether to allocate a TCBL. </w:t>
      </w:r>
      <w:r w:rsidR="00DE71E3" w:rsidRPr="009E39B9">
        <w:t xml:space="preserve">The </w:t>
      </w:r>
      <w:r w:rsidR="00B77523">
        <w:t>e</w:t>
      </w:r>
      <w:r w:rsidR="00DE71E3" w:rsidRPr="009E39B9">
        <w:t xml:space="preserve">xplanatory </w:t>
      </w:r>
      <w:r w:rsidR="00B77523">
        <w:t>m</w:t>
      </w:r>
      <w:r w:rsidR="00DE71E3" w:rsidRPr="009E39B9">
        <w:t>emorandum to the Broadcasting Services (Community Radio) Bill 2022</w:t>
      </w:r>
      <w:r w:rsidR="00841468" w:rsidRPr="009E39B9">
        <w:rPr>
          <w:rStyle w:val="FootnoteReference"/>
          <w:szCs w:val="20"/>
        </w:rPr>
        <w:footnoteReference w:id="15"/>
      </w:r>
      <w:r w:rsidR="00DE71E3" w:rsidRPr="00616C90">
        <w:t xml:space="preserve"> </w:t>
      </w:r>
      <w:r w:rsidR="00B77523">
        <w:t>states</w:t>
      </w:r>
      <w:r w:rsidR="00DE71E3" w:rsidRPr="00616C90">
        <w:t xml:space="preserve"> </w:t>
      </w:r>
      <w:r w:rsidR="00DE71E3" w:rsidRPr="00E22622">
        <w:rPr>
          <w:color w:val="000000"/>
          <w:lang w:val="en-US"/>
        </w:rPr>
        <w:t xml:space="preserve">the </w:t>
      </w:r>
      <w:r w:rsidR="00DE71E3" w:rsidRPr="00616C90">
        <w:rPr>
          <w:color w:val="000000"/>
          <w:lang w:val="en-US"/>
        </w:rPr>
        <w:t>change</w:t>
      </w:r>
      <w:r w:rsidR="00DE71E3" w:rsidRPr="00E22622">
        <w:rPr>
          <w:color w:val="000000"/>
          <w:lang w:val="en-US"/>
        </w:rPr>
        <w:t xml:space="preserve"> to </w:t>
      </w:r>
      <w:r w:rsidR="00DE71E3" w:rsidRPr="00616C90">
        <w:rPr>
          <w:color w:val="000000"/>
          <w:lang w:val="en-US"/>
        </w:rPr>
        <w:t>the Act allows</w:t>
      </w:r>
      <w:r w:rsidR="00DE71E3" w:rsidRPr="00E22622">
        <w:rPr>
          <w:color w:val="000000"/>
          <w:lang w:val="en-US"/>
        </w:rPr>
        <w:t xml:space="preserve"> </w:t>
      </w:r>
      <w:r w:rsidR="00B77523">
        <w:rPr>
          <w:color w:val="000000"/>
          <w:lang w:val="en-US"/>
        </w:rPr>
        <w:t>us</w:t>
      </w:r>
      <w:r w:rsidR="00DE71E3" w:rsidRPr="00616C90">
        <w:rPr>
          <w:color w:val="000000"/>
          <w:lang w:val="en-US"/>
        </w:rPr>
        <w:t xml:space="preserve"> to</w:t>
      </w:r>
      <w:r w:rsidR="00B77523">
        <w:rPr>
          <w:color w:val="000000"/>
          <w:lang w:val="en-US"/>
        </w:rPr>
        <w:t>:</w:t>
      </w:r>
    </w:p>
    <w:p w14:paraId="7DE19D40" w14:textId="44B91DE1" w:rsidR="00B77523" w:rsidRPr="00766EDD" w:rsidRDefault="00DE71E3" w:rsidP="00B77523">
      <w:pPr>
        <w:pStyle w:val="Bulletlevel1"/>
      </w:pPr>
      <w:r w:rsidRPr="00616C90">
        <w:rPr>
          <w:lang w:val="en-US"/>
        </w:rPr>
        <w:t xml:space="preserve">consider additional matters that provide a better indication of the quality of the </w:t>
      </w:r>
      <w:r w:rsidRPr="00E22622">
        <w:rPr>
          <w:lang w:val="en-US"/>
        </w:rPr>
        <w:t xml:space="preserve">proposed </w:t>
      </w:r>
      <w:r w:rsidRPr="00616C90">
        <w:rPr>
          <w:lang w:val="en-US"/>
        </w:rPr>
        <w:t xml:space="preserve">temporary </w:t>
      </w:r>
      <w:r w:rsidRPr="00E22622">
        <w:rPr>
          <w:lang w:val="en-US"/>
        </w:rPr>
        <w:t xml:space="preserve">community </w:t>
      </w:r>
      <w:r w:rsidRPr="00616C90">
        <w:rPr>
          <w:lang w:val="en-US"/>
        </w:rPr>
        <w:t>radio service</w:t>
      </w:r>
    </w:p>
    <w:p w14:paraId="7AB7A1A5" w14:textId="0CBC2C6A" w:rsidR="00DE71E3" w:rsidRPr="00616C90" w:rsidRDefault="00DE71E3" w:rsidP="00766EDD">
      <w:pPr>
        <w:pStyle w:val="Bulletlevel1"/>
      </w:pPr>
      <w:r w:rsidRPr="00616C90">
        <w:rPr>
          <w:lang w:val="en-US"/>
        </w:rPr>
        <w:t>reject</w:t>
      </w:r>
      <w:r w:rsidRPr="00E22622">
        <w:rPr>
          <w:lang w:val="en-US"/>
        </w:rPr>
        <w:t xml:space="preserve"> the </w:t>
      </w:r>
      <w:r w:rsidRPr="00616C90">
        <w:rPr>
          <w:lang w:val="en-US"/>
        </w:rPr>
        <w:t xml:space="preserve">application if there is insufficient evidence that a quality service will be provided. </w:t>
      </w:r>
    </w:p>
    <w:p w14:paraId="1810306F" w14:textId="77777777" w:rsidR="00726B8C" w:rsidRPr="00C072D2" w:rsidRDefault="00726B8C" w:rsidP="00726B8C">
      <w:pPr>
        <w:pStyle w:val="Heading2"/>
      </w:pPr>
      <w:bookmarkStart w:id="68" w:name="_Toc75850299"/>
      <w:bookmarkStart w:id="69" w:name="_Toc75868707"/>
      <w:bookmarkStart w:id="70" w:name="_Toc75868801"/>
      <w:bookmarkStart w:id="71" w:name="_Toc75868868"/>
      <w:bookmarkStart w:id="72" w:name="_Toc84847014"/>
      <w:bookmarkStart w:id="73" w:name="_Toc137562988"/>
      <w:r w:rsidRPr="00C072D2">
        <w:t>Considerations</w:t>
      </w:r>
      <w:bookmarkEnd w:id="68"/>
      <w:bookmarkEnd w:id="69"/>
      <w:bookmarkEnd w:id="70"/>
      <w:bookmarkEnd w:id="71"/>
      <w:bookmarkEnd w:id="72"/>
      <w:bookmarkEnd w:id="73"/>
    </w:p>
    <w:p w14:paraId="253F44AF" w14:textId="755336FE" w:rsidR="00726B8C" w:rsidRPr="00C072D2" w:rsidRDefault="00726B8C" w:rsidP="00726B8C">
      <w:pPr>
        <w:spacing w:after="80"/>
        <w:rPr>
          <w:rFonts w:cs="Arial"/>
        </w:rPr>
      </w:pPr>
      <w:bookmarkStart w:id="74" w:name="_Hlk131659726"/>
      <w:r w:rsidRPr="00C072D2">
        <w:rPr>
          <w:rFonts w:cs="Arial"/>
        </w:rPr>
        <w:t xml:space="preserve">In deciding whether to allocate a TCBL, </w:t>
      </w:r>
      <w:r w:rsidR="00DA77D7">
        <w:rPr>
          <w:rFonts w:cs="Arial"/>
        </w:rPr>
        <w:t>we</w:t>
      </w:r>
      <w:r w:rsidR="00BD7393" w:rsidRPr="00C072D2">
        <w:rPr>
          <w:rFonts w:cs="Arial"/>
        </w:rPr>
        <w:t xml:space="preserve"> may </w:t>
      </w:r>
      <w:r w:rsidRPr="00C072D2">
        <w:rPr>
          <w:rFonts w:cs="Arial"/>
        </w:rPr>
        <w:t>consider</w:t>
      </w:r>
      <w:r w:rsidR="003F0758" w:rsidRPr="00C072D2">
        <w:rPr>
          <w:rFonts w:cs="Arial"/>
        </w:rPr>
        <w:t>:</w:t>
      </w:r>
      <w:r w:rsidRPr="00C072D2">
        <w:rPr>
          <w:rStyle w:val="FootnoteReference"/>
          <w:rFonts w:cs="Arial"/>
        </w:rPr>
        <w:footnoteReference w:id="16"/>
      </w:r>
    </w:p>
    <w:p w14:paraId="073ABD87" w14:textId="77777777" w:rsidR="00726B8C" w:rsidRPr="00C072D2" w:rsidRDefault="00726B8C" w:rsidP="00726B8C">
      <w:pPr>
        <w:pStyle w:val="ListBullet"/>
        <w:rPr>
          <w:rFonts w:cs="Arial"/>
          <w:snapToGrid w:val="0"/>
        </w:rPr>
      </w:pPr>
      <w:r w:rsidRPr="00C072D2">
        <w:rPr>
          <w:rFonts w:cs="Arial"/>
          <w:snapToGrid w:val="0"/>
        </w:rPr>
        <w:t>the undesirability of one person being in a position to exercise control over more than one community broadcasting licence that is a broadcasting services bands licence in the same licence area</w:t>
      </w:r>
    </w:p>
    <w:p w14:paraId="7385903F" w14:textId="7602FB59" w:rsidR="00726B8C" w:rsidRPr="00C072D2" w:rsidRDefault="00726B8C" w:rsidP="00E22622">
      <w:pPr>
        <w:pStyle w:val="ListBullet"/>
        <w:rPr>
          <w:rFonts w:cs="Arial"/>
          <w:snapToGrid w:val="0"/>
        </w:rPr>
      </w:pPr>
      <w:r w:rsidRPr="00C072D2">
        <w:rPr>
          <w:rFonts w:cs="Arial"/>
          <w:snapToGrid w:val="0"/>
        </w:rPr>
        <w:t>the undesirability of the Commonwealth, a state or a territory, or a political party being in a position to exercise control of a TCBL.</w:t>
      </w:r>
    </w:p>
    <w:p w14:paraId="6A2C88A3" w14:textId="77777777" w:rsidR="00E935E6" w:rsidRPr="00C072D2" w:rsidRDefault="00E935E6" w:rsidP="00E935E6">
      <w:pPr>
        <w:pStyle w:val="ListBullet"/>
        <w:rPr>
          <w:rFonts w:cs="Arial"/>
          <w:snapToGrid w:val="0"/>
        </w:rPr>
      </w:pPr>
      <w:r w:rsidRPr="00C072D2">
        <w:rPr>
          <w:rFonts w:cs="Arial"/>
          <w:snapToGrid w:val="0"/>
        </w:rPr>
        <w:t>the extent to which the proposed service would meet the existing and perceived future needs of the community within the licence area</w:t>
      </w:r>
    </w:p>
    <w:p w14:paraId="4982D0FF" w14:textId="77777777" w:rsidR="00E935E6" w:rsidRPr="00C072D2" w:rsidRDefault="00E935E6" w:rsidP="00E935E6">
      <w:pPr>
        <w:pStyle w:val="ListBullet"/>
        <w:rPr>
          <w:rFonts w:cs="Arial"/>
          <w:snapToGrid w:val="0"/>
        </w:rPr>
      </w:pPr>
      <w:r w:rsidRPr="00C072D2">
        <w:rPr>
          <w:rFonts w:cs="Arial"/>
          <w:snapToGrid w:val="0"/>
        </w:rPr>
        <w:t>the nature and diversity of interests of the local community</w:t>
      </w:r>
    </w:p>
    <w:p w14:paraId="3A98A32C" w14:textId="77777777" w:rsidR="00E935E6" w:rsidRPr="00C072D2" w:rsidRDefault="00E935E6" w:rsidP="00E935E6">
      <w:pPr>
        <w:pStyle w:val="ListBullet"/>
        <w:rPr>
          <w:rFonts w:cs="Arial"/>
          <w:snapToGrid w:val="0"/>
        </w:rPr>
      </w:pPr>
      <w:r w:rsidRPr="00C072D2">
        <w:rPr>
          <w:rFonts w:cs="Arial"/>
          <w:snapToGrid w:val="0"/>
        </w:rPr>
        <w:t>the extent to which the proposed service would provide material of local significance</w:t>
      </w:r>
    </w:p>
    <w:p w14:paraId="0CB8B557" w14:textId="6EF4F3B2" w:rsidR="00E935E6" w:rsidRPr="00C072D2" w:rsidRDefault="00E935E6" w:rsidP="00E935E6">
      <w:pPr>
        <w:pStyle w:val="ListBullet"/>
        <w:rPr>
          <w:rFonts w:cs="Arial"/>
        </w:rPr>
      </w:pPr>
      <w:r w:rsidRPr="00C072D2">
        <w:rPr>
          <w:rFonts w:cs="Arial"/>
          <w:snapToGrid w:val="0"/>
        </w:rPr>
        <w:t xml:space="preserve">the nature and diversity of other broadcasting services available within the </w:t>
      </w:r>
      <w:r w:rsidR="00DA77D7">
        <w:rPr>
          <w:rFonts w:cs="Arial"/>
          <w:snapToGrid w:val="0"/>
        </w:rPr>
        <w:br/>
      </w:r>
      <w:r w:rsidRPr="00C072D2">
        <w:rPr>
          <w:rFonts w:cs="Arial"/>
          <w:snapToGrid w:val="0"/>
        </w:rPr>
        <w:t>licence area</w:t>
      </w:r>
    </w:p>
    <w:p w14:paraId="6B717858" w14:textId="42DC814D" w:rsidR="00E935E6" w:rsidRPr="00C072D2" w:rsidRDefault="00E935E6" w:rsidP="00E935E6">
      <w:pPr>
        <w:pStyle w:val="ListBullet"/>
        <w:spacing w:after="240"/>
        <w:rPr>
          <w:rFonts w:cs="Arial"/>
          <w:snapToGrid w:val="0"/>
        </w:rPr>
      </w:pPr>
      <w:r w:rsidRPr="00C072D2">
        <w:rPr>
          <w:rFonts w:cs="Arial"/>
          <w:snapToGrid w:val="0"/>
        </w:rPr>
        <w:t>the capacity of the applicant</w:t>
      </w:r>
      <w:r w:rsidRPr="00C072D2">
        <w:rPr>
          <w:rFonts w:cs="Arial"/>
        </w:rPr>
        <w:t xml:space="preserve"> to provide the proposed service.</w:t>
      </w:r>
    </w:p>
    <w:bookmarkEnd w:id="74"/>
    <w:p w14:paraId="1AB0D9EE" w14:textId="457970ED" w:rsidR="0014458C" w:rsidRDefault="0014458C" w:rsidP="00E22622">
      <w:pPr>
        <w:rPr>
          <w:rFonts w:cs="Arial"/>
        </w:rPr>
      </w:pPr>
      <w:r w:rsidRPr="00052902">
        <w:rPr>
          <w:rFonts w:cs="Arial"/>
        </w:rPr>
        <w:t xml:space="preserve">In deciding whether to </w:t>
      </w:r>
      <w:r>
        <w:rPr>
          <w:rFonts w:cs="Arial"/>
        </w:rPr>
        <w:t>exercise our discretion to</w:t>
      </w:r>
      <w:r w:rsidRPr="006645D2">
        <w:rPr>
          <w:rFonts w:cs="Arial"/>
        </w:rPr>
        <w:t xml:space="preserve"> </w:t>
      </w:r>
      <w:r w:rsidRPr="00052902">
        <w:rPr>
          <w:rFonts w:cs="Arial"/>
        </w:rPr>
        <w:t xml:space="preserve">allocate a </w:t>
      </w:r>
      <w:r>
        <w:rPr>
          <w:rFonts w:cs="Arial"/>
        </w:rPr>
        <w:t>TCBL</w:t>
      </w:r>
      <w:r w:rsidRPr="00052902">
        <w:rPr>
          <w:rFonts w:cs="Arial"/>
        </w:rPr>
        <w:t xml:space="preserve"> to an applicant, or </w:t>
      </w:r>
      <w:r w:rsidR="00DA77D7">
        <w:rPr>
          <w:rFonts w:cs="Arial"/>
        </w:rPr>
        <w:br/>
      </w:r>
      <w:r w:rsidRPr="00052902">
        <w:rPr>
          <w:rFonts w:cs="Arial"/>
        </w:rPr>
        <w:t>to one of a group of applicants</w:t>
      </w:r>
      <w:r>
        <w:rPr>
          <w:rFonts w:cs="Arial"/>
        </w:rPr>
        <w:t xml:space="preserve">, we will consider the objects set out in section 3 of </w:t>
      </w:r>
      <w:r w:rsidR="00DA77D7">
        <w:rPr>
          <w:rFonts w:cs="Arial"/>
        </w:rPr>
        <w:br/>
      </w:r>
      <w:r>
        <w:rPr>
          <w:rFonts w:cs="Arial"/>
        </w:rPr>
        <w:t>the Act.</w:t>
      </w:r>
    </w:p>
    <w:p w14:paraId="65FBC788" w14:textId="01B8696B" w:rsidR="00726B8C" w:rsidRPr="00052902" w:rsidRDefault="00726B8C" w:rsidP="00726B8C">
      <w:pPr>
        <w:rPr>
          <w:rFonts w:cs="Arial"/>
        </w:rPr>
      </w:pPr>
      <w:r>
        <w:rPr>
          <w:rFonts w:cs="Arial"/>
        </w:rPr>
        <w:t>We</w:t>
      </w:r>
      <w:r w:rsidRPr="00052902">
        <w:rPr>
          <w:rFonts w:cs="Arial"/>
        </w:rPr>
        <w:t xml:space="preserve"> may decide not to allocate a </w:t>
      </w:r>
      <w:r>
        <w:rPr>
          <w:rFonts w:cs="Arial"/>
        </w:rPr>
        <w:t>TCBL</w:t>
      </w:r>
      <w:r w:rsidRPr="00052902">
        <w:rPr>
          <w:rFonts w:cs="Arial"/>
        </w:rPr>
        <w:t xml:space="preserve"> if an applicant previously held a </w:t>
      </w:r>
      <w:r>
        <w:rPr>
          <w:rFonts w:cs="Arial"/>
        </w:rPr>
        <w:t>TCBL</w:t>
      </w:r>
      <w:r w:rsidRPr="00052902">
        <w:rPr>
          <w:rFonts w:cs="Arial"/>
        </w:rPr>
        <w:t xml:space="preserve"> but did not provide a broadcasting service under that licence.</w:t>
      </w:r>
      <w:r w:rsidRPr="00052902">
        <w:rPr>
          <w:rStyle w:val="FootnoteReference"/>
          <w:rFonts w:cs="Arial"/>
        </w:rPr>
        <w:footnoteReference w:id="17"/>
      </w:r>
    </w:p>
    <w:p w14:paraId="072295FC" w14:textId="77777777" w:rsidR="00726B8C" w:rsidRPr="00052902" w:rsidRDefault="00726B8C" w:rsidP="00726B8C">
      <w:pPr>
        <w:spacing w:after="80"/>
        <w:rPr>
          <w:rFonts w:cs="Arial"/>
        </w:rPr>
      </w:pPr>
      <w:r>
        <w:rPr>
          <w:rFonts w:cs="Arial"/>
        </w:rPr>
        <w:t>We</w:t>
      </w:r>
      <w:r w:rsidRPr="00052902">
        <w:rPr>
          <w:rFonts w:cs="Arial"/>
        </w:rPr>
        <w:t xml:space="preserve"> </w:t>
      </w:r>
      <w:r>
        <w:rPr>
          <w:rFonts w:cs="Arial"/>
        </w:rPr>
        <w:t xml:space="preserve">may consider the suitability of an applicant. If we choose to do so, we </w:t>
      </w:r>
      <w:r w:rsidRPr="00052902">
        <w:rPr>
          <w:rFonts w:cs="Arial"/>
        </w:rPr>
        <w:t xml:space="preserve">must not allocate a </w:t>
      </w:r>
      <w:r>
        <w:rPr>
          <w:rFonts w:cs="Arial"/>
        </w:rPr>
        <w:t>TCBL</w:t>
      </w:r>
      <w:r w:rsidRPr="00052902">
        <w:rPr>
          <w:rFonts w:cs="Arial"/>
        </w:rPr>
        <w:t xml:space="preserve"> if </w:t>
      </w:r>
      <w:r>
        <w:rPr>
          <w:rFonts w:cs="Arial"/>
        </w:rPr>
        <w:t>we are</w:t>
      </w:r>
      <w:r w:rsidRPr="00052902">
        <w:rPr>
          <w:rFonts w:cs="Arial"/>
        </w:rPr>
        <w:t xml:space="preserve"> satisfied that an applicant is not a ‘suitable applicant’ or a ‘suitable licensee’.</w:t>
      </w:r>
      <w:r w:rsidRPr="00052902">
        <w:rPr>
          <w:rStyle w:val="FootnoteReference"/>
          <w:rFonts w:cs="Arial"/>
        </w:rPr>
        <w:footnoteReference w:id="18"/>
      </w:r>
      <w:r w:rsidRPr="00052902">
        <w:rPr>
          <w:rFonts w:cs="Arial"/>
        </w:rPr>
        <w:t xml:space="preserve"> </w:t>
      </w:r>
      <w:r>
        <w:rPr>
          <w:rFonts w:cs="Arial"/>
        </w:rPr>
        <w:t>We</w:t>
      </w:r>
      <w:r w:rsidRPr="00052902">
        <w:rPr>
          <w:rFonts w:cs="Arial"/>
        </w:rPr>
        <w:t xml:space="preserve"> may consider an applicant is not a suitable applicant if </w:t>
      </w:r>
      <w:r>
        <w:rPr>
          <w:rFonts w:cs="Arial"/>
        </w:rPr>
        <w:t>we are</w:t>
      </w:r>
      <w:r w:rsidRPr="00052902">
        <w:rPr>
          <w:rFonts w:cs="Arial"/>
        </w:rPr>
        <w:t xml:space="preserve"> satisfied that allowing an applicant to provide a temporary community broadcasting service would lead to a significant risk of:</w:t>
      </w:r>
    </w:p>
    <w:p w14:paraId="54E09566" w14:textId="77777777" w:rsidR="00726B8C" w:rsidRPr="00052902" w:rsidRDefault="00726B8C" w:rsidP="00726B8C">
      <w:pPr>
        <w:pStyle w:val="ListBullet"/>
        <w:rPr>
          <w:rFonts w:cs="Arial"/>
          <w:snapToGrid w:val="0"/>
        </w:rPr>
      </w:pPr>
      <w:r w:rsidRPr="00052902">
        <w:rPr>
          <w:rFonts w:cs="Arial"/>
          <w:snapToGrid w:val="0"/>
        </w:rPr>
        <w:t>an offence against the Act or the regulations being committed</w:t>
      </w:r>
    </w:p>
    <w:p w14:paraId="46D05461" w14:textId="77777777" w:rsidR="00726B8C" w:rsidRPr="00052902" w:rsidRDefault="00726B8C" w:rsidP="00726B8C">
      <w:pPr>
        <w:pStyle w:val="ListBullet"/>
        <w:rPr>
          <w:rFonts w:cs="Arial"/>
          <w:snapToGrid w:val="0"/>
        </w:rPr>
      </w:pPr>
      <w:r w:rsidRPr="00052902">
        <w:rPr>
          <w:rFonts w:cs="Arial"/>
          <w:snapToGrid w:val="0"/>
        </w:rPr>
        <w:t>a breach of a civil penalty provision occurring</w:t>
      </w:r>
    </w:p>
    <w:p w14:paraId="4141DD69" w14:textId="77777777" w:rsidR="00726B8C" w:rsidRPr="00052902" w:rsidRDefault="00726B8C" w:rsidP="00726B8C">
      <w:pPr>
        <w:pStyle w:val="ListBullet"/>
        <w:spacing w:after="240"/>
        <w:rPr>
          <w:rFonts w:cs="Arial"/>
          <w:snapToGrid w:val="0"/>
        </w:rPr>
      </w:pPr>
      <w:r w:rsidRPr="00052902">
        <w:rPr>
          <w:rFonts w:cs="Arial"/>
          <w:snapToGrid w:val="0"/>
        </w:rPr>
        <w:t>a breach of the licence conditions occurring.</w:t>
      </w:r>
    </w:p>
    <w:p w14:paraId="16D7ECA0" w14:textId="784CBE97" w:rsidR="00726B8C" w:rsidRPr="00052902" w:rsidRDefault="00726B8C" w:rsidP="00726B8C">
      <w:pPr>
        <w:keepNext/>
        <w:keepLines/>
        <w:rPr>
          <w:rFonts w:cs="Arial"/>
        </w:rPr>
      </w:pPr>
      <w:r w:rsidRPr="007002D0">
        <w:rPr>
          <w:rFonts w:cs="Arial"/>
        </w:rPr>
        <w:lastRenderedPageBreak/>
        <w:t>These situations may arise, for example, if an applicant has previously held a licence (either a long-term licence that has not been renewed or a TCBL) and has not previously complied with licence conditions and/or undertaken required compliance measures.</w:t>
      </w:r>
    </w:p>
    <w:p w14:paraId="749D63AE" w14:textId="77777777" w:rsidR="00726B8C" w:rsidRPr="008E4564" w:rsidRDefault="00726B8C" w:rsidP="00726B8C">
      <w:pPr>
        <w:pStyle w:val="Heading2"/>
      </w:pPr>
      <w:bookmarkStart w:id="75" w:name="_Toc75850302"/>
      <w:bookmarkStart w:id="76" w:name="_Toc75868708"/>
      <w:bookmarkStart w:id="77" w:name="_Toc75868802"/>
      <w:bookmarkStart w:id="78" w:name="_Toc75868869"/>
      <w:bookmarkStart w:id="79" w:name="_Toc84847015"/>
      <w:bookmarkStart w:id="80" w:name="_Toc137562989"/>
      <w:r w:rsidRPr="008E4564">
        <w:t>Allocation of multiple licences</w:t>
      </w:r>
      <w:bookmarkEnd w:id="75"/>
      <w:bookmarkEnd w:id="76"/>
      <w:bookmarkEnd w:id="77"/>
      <w:bookmarkEnd w:id="78"/>
      <w:bookmarkEnd w:id="79"/>
      <w:bookmarkEnd w:id="80"/>
    </w:p>
    <w:p w14:paraId="216ADB12" w14:textId="44734557" w:rsidR="00616EEF" w:rsidRPr="008E4564" w:rsidRDefault="00726B8C" w:rsidP="00726B8C">
      <w:pPr>
        <w:rPr>
          <w:rFonts w:cs="Arial"/>
        </w:rPr>
      </w:pPr>
      <w:r w:rsidRPr="008E4564">
        <w:rPr>
          <w:rFonts w:cs="Arial"/>
        </w:rPr>
        <w:t xml:space="preserve">Unlike long-term licences, we may allocate multiple </w:t>
      </w:r>
      <w:r>
        <w:rPr>
          <w:rFonts w:cs="Arial"/>
        </w:rPr>
        <w:t>TCBL</w:t>
      </w:r>
      <w:r w:rsidRPr="008E4564">
        <w:rPr>
          <w:rFonts w:cs="Arial"/>
        </w:rPr>
        <w:t xml:space="preserve">s for shared use of the same frequency in the same licence area. In </w:t>
      </w:r>
      <w:r>
        <w:rPr>
          <w:rFonts w:cs="Arial"/>
        </w:rPr>
        <w:t>these</w:t>
      </w:r>
      <w:r w:rsidRPr="008E4564">
        <w:rPr>
          <w:rFonts w:cs="Arial"/>
        </w:rPr>
        <w:t xml:space="preserve"> cases, we will </w:t>
      </w:r>
      <w:r w:rsidRPr="008E4564">
        <w:rPr>
          <w:rFonts w:cs="Arial"/>
          <w:lang w:val="en-US"/>
        </w:rPr>
        <w:t xml:space="preserve">determine timing conditions </w:t>
      </w:r>
      <w:r>
        <w:rPr>
          <w:rFonts w:cs="Arial"/>
          <w:lang w:val="en-US"/>
        </w:rPr>
        <w:t xml:space="preserve">for shared use of the frequency </w:t>
      </w:r>
      <w:r w:rsidRPr="008E4564">
        <w:rPr>
          <w:rFonts w:cs="Arial"/>
        </w:rPr>
        <w:t xml:space="preserve">(see </w:t>
      </w:r>
      <w:hyperlink w:anchor="_How_timing_conditions" w:history="1">
        <w:r w:rsidR="00897A37" w:rsidRPr="003B017E">
          <w:rPr>
            <w:rStyle w:val="Hyperlink"/>
            <w:rFonts w:cs="Arial"/>
          </w:rPr>
          <w:t xml:space="preserve">How timing conditions </w:t>
        </w:r>
        <w:r w:rsidR="009C3DA0" w:rsidRPr="003B017E">
          <w:rPr>
            <w:rStyle w:val="Hyperlink"/>
            <w:rFonts w:cs="Arial"/>
          </w:rPr>
          <w:t xml:space="preserve">are </w:t>
        </w:r>
        <w:r w:rsidR="00897A37" w:rsidRPr="003B017E">
          <w:rPr>
            <w:rStyle w:val="Hyperlink"/>
            <w:rFonts w:cs="Arial"/>
          </w:rPr>
          <w:t>determined</w:t>
        </w:r>
      </w:hyperlink>
      <w:r w:rsidRPr="008E4564">
        <w:rPr>
          <w:rFonts w:cs="Arial"/>
        </w:rPr>
        <w:t>).</w:t>
      </w:r>
      <w:r>
        <w:rPr>
          <w:rFonts w:cs="Arial"/>
        </w:rPr>
        <w:t xml:space="preserve"> </w:t>
      </w:r>
      <w:r w:rsidR="00F8403D" w:rsidRPr="00FE56D6">
        <w:rPr>
          <w:rFonts w:cs="Arial"/>
        </w:rPr>
        <w:t>We may</w:t>
      </w:r>
      <w:r w:rsidR="00F8403D" w:rsidRPr="00FE56D6">
        <w:t xml:space="preserve"> </w:t>
      </w:r>
      <w:r w:rsidR="00616EEF" w:rsidRPr="00FE56D6">
        <w:t xml:space="preserve">determine a maximum number </w:t>
      </w:r>
      <w:proofErr w:type="spellStart"/>
      <w:r w:rsidR="00616EEF" w:rsidRPr="00FE56D6">
        <w:t>ot</w:t>
      </w:r>
      <w:proofErr w:type="spellEnd"/>
      <w:r w:rsidR="00616EEF" w:rsidRPr="00FE56D6">
        <w:t xml:space="preserve"> temporary community broadcasting licenses</w:t>
      </w:r>
      <w:r w:rsidR="00F8403D" w:rsidRPr="00FE56D6">
        <w:t xml:space="preserve"> that can share a particular frequency, and if we do</w:t>
      </w:r>
      <w:r w:rsidR="00C2772F" w:rsidRPr="00FE56D6">
        <w:t>, we must not allocate a TCBL if that number would be exceeded</w:t>
      </w:r>
      <w:r w:rsidR="00C44291">
        <w:t>.</w:t>
      </w:r>
      <w:r w:rsidR="00C2772F" w:rsidRPr="00FE56D6">
        <w:rPr>
          <w:rStyle w:val="FootnoteReference"/>
        </w:rPr>
        <w:footnoteReference w:id="19"/>
      </w:r>
    </w:p>
    <w:p w14:paraId="5524BB76" w14:textId="1537F50C" w:rsidR="00726B8C" w:rsidRPr="00766EDD" w:rsidRDefault="00C44291" w:rsidP="009A17F1">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cs="Arial"/>
          <w:bCs/>
        </w:rPr>
      </w:pPr>
      <w:r>
        <w:rPr>
          <w:rFonts w:cs="Arial"/>
          <w:b/>
        </w:rPr>
        <w:t>Please n</w:t>
      </w:r>
      <w:r w:rsidR="001E16ED">
        <w:rPr>
          <w:rFonts w:cs="Arial"/>
          <w:b/>
        </w:rPr>
        <w:t xml:space="preserve">ote: </w:t>
      </w:r>
      <w:r w:rsidR="00726B8C" w:rsidRPr="00766EDD">
        <w:rPr>
          <w:rFonts w:cs="Arial"/>
          <w:bCs/>
        </w:rPr>
        <w:t>The allocation of a TCBL does not mean that the TCBL holder will be allocated a long-term licence</w:t>
      </w:r>
      <w:r w:rsidR="009868EE" w:rsidRPr="00766EDD">
        <w:rPr>
          <w:rFonts w:cs="Arial"/>
          <w:bCs/>
        </w:rPr>
        <w:t>. A</w:t>
      </w:r>
      <w:r w:rsidR="00726B8C" w:rsidRPr="00766EDD">
        <w:rPr>
          <w:rFonts w:cs="Arial"/>
          <w:bCs/>
        </w:rPr>
        <w:t>llocation of a</w:t>
      </w:r>
      <w:r w:rsidR="001129FE" w:rsidRPr="00766EDD">
        <w:rPr>
          <w:rFonts w:cs="Arial"/>
          <w:bCs/>
        </w:rPr>
        <w:t xml:space="preserve"> new</w:t>
      </w:r>
      <w:r w:rsidR="00726B8C" w:rsidRPr="00766EDD">
        <w:rPr>
          <w:rFonts w:cs="Arial"/>
          <w:bCs/>
        </w:rPr>
        <w:t xml:space="preserve"> long-term licence is a public process and may be contested.</w:t>
      </w:r>
    </w:p>
    <w:p w14:paraId="7D386F29" w14:textId="5B7CF381" w:rsidR="00726B8C" w:rsidRPr="00766EDD" w:rsidRDefault="00AC013A" w:rsidP="00726B8C">
      <w:pPr>
        <w:pStyle w:val="ListBullet"/>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bCs/>
        </w:rPr>
      </w:pPr>
      <w:r>
        <w:rPr>
          <w:rFonts w:cs="Arial"/>
          <w:bCs/>
        </w:rPr>
        <w:t>In some cases</w:t>
      </w:r>
      <w:r w:rsidRPr="00766EDD">
        <w:rPr>
          <w:rFonts w:cs="Arial"/>
          <w:bCs/>
        </w:rPr>
        <w:t xml:space="preserve"> </w:t>
      </w:r>
      <w:r w:rsidR="00726B8C" w:rsidRPr="00766EDD">
        <w:rPr>
          <w:rFonts w:cs="Arial"/>
          <w:bCs/>
        </w:rPr>
        <w:t xml:space="preserve">a TCBL </w:t>
      </w:r>
      <w:r>
        <w:rPr>
          <w:rFonts w:cs="Arial"/>
          <w:bCs/>
        </w:rPr>
        <w:t xml:space="preserve">may be allocated to </w:t>
      </w:r>
      <w:proofErr w:type="spellStart"/>
      <w:r w:rsidR="00726B8C" w:rsidRPr="00766EDD">
        <w:rPr>
          <w:rFonts w:cs="Arial"/>
          <w:bCs/>
        </w:rPr>
        <w:t>to</w:t>
      </w:r>
      <w:proofErr w:type="spellEnd"/>
      <w:r w:rsidR="00726B8C" w:rsidRPr="00766EDD">
        <w:rPr>
          <w:rFonts w:cs="Arial"/>
          <w:bCs/>
        </w:rPr>
        <w:t xml:space="preserve"> a former licensee of a long-term licence </w:t>
      </w:r>
      <w:r>
        <w:rPr>
          <w:rFonts w:cs="Arial"/>
          <w:bCs/>
        </w:rPr>
        <w:t xml:space="preserve">where </w:t>
      </w:r>
      <w:r w:rsidR="00726B8C" w:rsidRPr="00766EDD">
        <w:rPr>
          <w:rFonts w:cs="Arial"/>
          <w:bCs/>
        </w:rPr>
        <w:t xml:space="preserve">that </w:t>
      </w:r>
      <w:r>
        <w:rPr>
          <w:rFonts w:cs="Arial"/>
          <w:bCs/>
        </w:rPr>
        <w:t xml:space="preserve">long-term licence </w:t>
      </w:r>
      <w:r w:rsidR="00726B8C" w:rsidRPr="00766EDD">
        <w:rPr>
          <w:rFonts w:cs="Arial"/>
          <w:bCs/>
        </w:rPr>
        <w:t>has been cancelled, not renewed, surrendered or lapsed</w:t>
      </w:r>
      <w:r>
        <w:rPr>
          <w:rFonts w:cs="Arial"/>
          <w:bCs/>
        </w:rPr>
        <w:t>. The allocation of a TCBL in this circumstance</w:t>
      </w:r>
      <w:r w:rsidR="00726B8C" w:rsidRPr="00766EDD">
        <w:rPr>
          <w:rFonts w:cs="Arial"/>
          <w:bCs/>
        </w:rPr>
        <w:t xml:space="preserve"> does not mean that the former licensee will be allocated a long-term licence if we later decide to allocate a long-term licence.</w:t>
      </w:r>
    </w:p>
    <w:p w14:paraId="790D7B2A" w14:textId="77777777" w:rsidR="00726B8C" w:rsidRPr="00052902" w:rsidRDefault="00726B8C" w:rsidP="00726B8C">
      <w:pPr>
        <w:pStyle w:val="Heading2"/>
      </w:pPr>
      <w:bookmarkStart w:id="81" w:name="_Toc306369876"/>
      <w:bookmarkStart w:id="82" w:name="_Toc75850303"/>
      <w:bookmarkStart w:id="83" w:name="_Toc75868709"/>
      <w:bookmarkStart w:id="84" w:name="_Toc75868803"/>
      <w:bookmarkStart w:id="85" w:name="_Toc75868870"/>
      <w:bookmarkStart w:id="86" w:name="_Toc84847016"/>
      <w:bookmarkStart w:id="87" w:name="_Toc137562990"/>
      <w:r w:rsidRPr="00052902">
        <w:t xml:space="preserve">Publication of </w:t>
      </w:r>
      <w:r>
        <w:t>TCBL</w:t>
      </w:r>
      <w:r w:rsidRPr="00052902">
        <w:t xml:space="preserve"> information</w:t>
      </w:r>
      <w:bookmarkEnd w:id="81"/>
      <w:bookmarkEnd w:id="82"/>
      <w:bookmarkEnd w:id="83"/>
      <w:bookmarkEnd w:id="84"/>
      <w:bookmarkEnd w:id="85"/>
      <w:bookmarkEnd w:id="86"/>
      <w:bookmarkEnd w:id="87"/>
    </w:p>
    <w:p w14:paraId="153B0374" w14:textId="77777777" w:rsidR="00726B8C" w:rsidRPr="00052902" w:rsidRDefault="00726B8C" w:rsidP="00726B8C">
      <w:pPr>
        <w:rPr>
          <w:rFonts w:cs="Arial"/>
        </w:rPr>
      </w:pPr>
      <w:r>
        <w:rPr>
          <w:rFonts w:cs="Arial"/>
        </w:rPr>
        <w:t xml:space="preserve">Information about TCBL holders, including contact details, their community interest, timing conditions and licence period, are publicly available online through the </w:t>
      </w:r>
      <w:hyperlink r:id="rId28" w:history="1">
        <w:r w:rsidRPr="00BA7485">
          <w:rPr>
            <w:rStyle w:val="Hyperlink"/>
            <w:rFonts w:cs="Arial"/>
          </w:rPr>
          <w:t>Register of Radiocommunications Licences</w:t>
        </w:r>
      </w:hyperlink>
      <w:r>
        <w:rPr>
          <w:rFonts w:cs="Arial"/>
        </w:rPr>
        <w:t>. We</w:t>
      </w:r>
      <w:r w:rsidRPr="00052902">
        <w:rPr>
          <w:rFonts w:cs="Arial"/>
        </w:rPr>
        <w:t xml:space="preserve"> </w:t>
      </w:r>
      <w:r>
        <w:rPr>
          <w:rFonts w:cs="Arial"/>
        </w:rPr>
        <w:t xml:space="preserve">also </w:t>
      </w:r>
      <w:r w:rsidRPr="00052902">
        <w:rPr>
          <w:rFonts w:cs="Arial"/>
        </w:rPr>
        <w:t xml:space="preserve">publish a list of </w:t>
      </w:r>
      <w:hyperlink r:id="rId29" w:history="1">
        <w:r>
          <w:rPr>
            <w:rStyle w:val="Hyperlink"/>
            <w:rFonts w:cs="Arial"/>
          </w:rPr>
          <w:t>TCBL</w:t>
        </w:r>
        <w:r w:rsidRPr="004A2657">
          <w:rPr>
            <w:rStyle w:val="Hyperlink"/>
            <w:rFonts w:cs="Arial"/>
          </w:rPr>
          <w:t xml:space="preserve"> holders and their community interest</w:t>
        </w:r>
      </w:hyperlink>
      <w:r w:rsidRPr="00052902">
        <w:rPr>
          <w:rFonts w:cs="Arial"/>
        </w:rPr>
        <w:t xml:space="preserve"> on the </w:t>
      </w:r>
      <w:r w:rsidRPr="004A2657">
        <w:rPr>
          <w:rFonts w:cs="Arial"/>
        </w:rPr>
        <w:t>ACMA website</w:t>
      </w:r>
      <w:r w:rsidRPr="00052902">
        <w:rPr>
          <w:rFonts w:cs="Arial"/>
        </w:rPr>
        <w:t>.</w:t>
      </w:r>
    </w:p>
    <w:p w14:paraId="14004319" w14:textId="16A29539" w:rsidR="00726B8C" w:rsidRDefault="00726B8C" w:rsidP="00726B8C">
      <w:pPr>
        <w:rPr>
          <w:rFonts w:cs="Arial"/>
        </w:rPr>
      </w:pPr>
      <w:r w:rsidRPr="00052902">
        <w:rPr>
          <w:rFonts w:cs="Arial"/>
        </w:rPr>
        <w:t xml:space="preserve">If </w:t>
      </w:r>
      <w:r>
        <w:rPr>
          <w:rFonts w:cs="Arial"/>
        </w:rPr>
        <w:t>we</w:t>
      </w:r>
      <w:r w:rsidRPr="00052902">
        <w:rPr>
          <w:rFonts w:cs="Arial"/>
        </w:rPr>
        <w:t xml:space="preserve"> receive </w:t>
      </w:r>
      <w:r>
        <w:rPr>
          <w:rFonts w:cs="Arial"/>
        </w:rPr>
        <w:t xml:space="preserve">an </w:t>
      </w:r>
      <w:r w:rsidRPr="00052902">
        <w:rPr>
          <w:rFonts w:cs="Arial"/>
        </w:rPr>
        <w:t>enquir</w:t>
      </w:r>
      <w:r>
        <w:rPr>
          <w:rFonts w:cs="Arial"/>
        </w:rPr>
        <w:t>y</w:t>
      </w:r>
      <w:r w:rsidRPr="00052902">
        <w:rPr>
          <w:rFonts w:cs="Arial"/>
        </w:rPr>
        <w:t xml:space="preserve"> about </w:t>
      </w:r>
      <w:r>
        <w:rPr>
          <w:rFonts w:cs="Arial"/>
        </w:rPr>
        <w:t>providing a community radio broadcasting service</w:t>
      </w:r>
      <w:r w:rsidRPr="00052902">
        <w:rPr>
          <w:rFonts w:cs="Arial"/>
        </w:rPr>
        <w:t xml:space="preserve"> in a licence area, </w:t>
      </w:r>
      <w:r>
        <w:rPr>
          <w:rFonts w:cs="Arial"/>
        </w:rPr>
        <w:t>we</w:t>
      </w:r>
      <w:r w:rsidRPr="00052902">
        <w:rPr>
          <w:rFonts w:cs="Arial"/>
        </w:rPr>
        <w:t xml:space="preserve"> generally provide </w:t>
      </w:r>
      <w:r>
        <w:rPr>
          <w:rFonts w:cs="Arial"/>
        </w:rPr>
        <w:t xml:space="preserve">licence </w:t>
      </w:r>
      <w:r w:rsidRPr="00052902">
        <w:rPr>
          <w:rFonts w:cs="Arial"/>
        </w:rPr>
        <w:t xml:space="preserve">information </w:t>
      </w:r>
      <w:r>
        <w:rPr>
          <w:rFonts w:cs="Arial"/>
        </w:rPr>
        <w:t xml:space="preserve">and </w:t>
      </w:r>
      <w:r w:rsidRPr="00052902">
        <w:rPr>
          <w:rFonts w:cs="Arial"/>
        </w:rPr>
        <w:t>contact details</w:t>
      </w:r>
      <w:r>
        <w:rPr>
          <w:rFonts w:cs="Arial"/>
        </w:rPr>
        <w:t xml:space="preserve"> of holders of existing temporary and long-term licences</w:t>
      </w:r>
      <w:r w:rsidRPr="00052902">
        <w:rPr>
          <w:rFonts w:cs="Arial"/>
        </w:rPr>
        <w:t xml:space="preserve"> to enable members of the local community to </w:t>
      </w:r>
      <w:r w:rsidR="009868EE">
        <w:rPr>
          <w:rFonts w:cs="Arial"/>
        </w:rPr>
        <w:t xml:space="preserve">seek to </w:t>
      </w:r>
      <w:r w:rsidRPr="00052902">
        <w:rPr>
          <w:rFonts w:cs="Arial"/>
        </w:rPr>
        <w:t xml:space="preserve">participate in those services. </w:t>
      </w:r>
    </w:p>
    <w:p w14:paraId="691AD445" w14:textId="77777777" w:rsidR="00726B8C" w:rsidRDefault="00726B8C" w:rsidP="00726B8C">
      <w:pPr>
        <w:rPr>
          <w:rFonts w:cs="Arial"/>
        </w:rPr>
      </w:pPr>
    </w:p>
    <w:p w14:paraId="454E5221" w14:textId="77777777" w:rsidR="00726B8C" w:rsidRDefault="00726B8C" w:rsidP="00726B8C">
      <w:pPr>
        <w:spacing w:after="0" w:line="240" w:lineRule="auto"/>
        <w:rPr>
          <w:rFonts w:cs="Arial"/>
        </w:rPr>
      </w:pPr>
      <w:r>
        <w:rPr>
          <w:rFonts w:cs="Arial"/>
        </w:rPr>
        <w:br w:type="page"/>
      </w:r>
    </w:p>
    <w:p w14:paraId="68B18784" w14:textId="1AE6D91B" w:rsidR="00726B8C" w:rsidRPr="00052902" w:rsidRDefault="00726B8C" w:rsidP="00726B8C">
      <w:pPr>
        <w:pStyle w:val="Heading1"/>
        <w:rPr>
          <w:lang w:val="en-US"/>
        </w:rPr>
      </w:pPr>
      <w:bookmarkStart w:id="88" w:name="_Toc306369877"/>
      <w:bookmarkStart w:id="89" w:name="_Toc496859782"/>
      <w:bookmarkStart w:id="90" w:name="_Toc75850304"/>
      <w:bookmarkStart w:id="91" w:name="_Toc75868710"/>
      <w:bookmarkStart w:id="92" w:name="_Toc75868804"/>
      <w:bookmarkStart w:id="93" w:name="_Toc75868871"/>
      <w:bookmarkStart w:id="94" w:name="_Toc84847017"/>
      <w:bookmarkStart w:id="95" w:name="_Toc137562991"/>
      <w:r w:rsidRPr="00052902">
        <w:rPr>
          <w:lang w:val="en-US"/>
        </w:rPr>
        <w:lastRenderedPageBreak/>
        <w:t>How the licence area</w:t>
      </w:r>
      <w:r w:rsidR="001E16ED">
        <w:rPr>
          <w:lang w:val="en-US"/>
        </w:rPr>
        <w:t xml:space="preserve"> is</w:t>
      </w:r>
      <w:r w:rsidRPr="00052902">
        <w:rPr>
          <w:lang w:val="en-US"/>
        </w:rPr>
        <w:t xml:space="preserve"> designated</w:t>
      </w:r>
      <w:bookmarkEnd w:id="88"/>
      <w:bookmarkEnd w:id="89"/>
      <w:bookmarkEnd w:id="90"/>
      <w:bookmarkEnd w:id="91"/>
      <w:bookmarkEnd w:id="92"/>
      <w:bookmarkEnd w:id="93"/>
      <w:bookmarkEnd w:id="94"/>
      <w:bookmarkEnd w:id="95"/>
    </w:p>
    <w:p w14:paraId="7DA8B063" w14:textId="77777777" w:rsidR="00726B8C" w:rsidRPr="00052902" w:rsidRDefault="00726B8C" w:rsidP="00726B8C">
      <w:pPr>
        <w:spacing w:after="80"/>
        <w:rPr>
          <w:rFonts w:cs="Arial"/>
        </w:rPr>
      </w:pPr>
      <w:r>
        <w:rPr>
          <w:rFonts w:cs="Arial"/>
        </w:rPr>
        <w:t>We designate</w:t>
      </w:r>
      <w:r w:rsidRPr="00052902">
        <w:rPr>
          <w:rFonts w:cs="Arial"/>
        </w:rPr>
        <w:t xml:space="preserve"> the licence area of a </w:t>
      </w:r>
      <w:r>
        <w:rPr>
          <w:rFonts w:cs="Arial"/>
        </w:rPr>
        <w:t>TCBL</w:t>
      </w:r>
      <w:r w:rsidRPr="00052902">
        <w:rPr>
          <w:rFonts w:cs="Arial"/>
        </w:rPr>
        <w:t xml:space="preserve"> </w:t>
      </w:r>
      <w:r>
        <w:rPr>
          <w:rFonts w:cs="Arial"/>
        </w:rPr>
        <w:t>using Australian Bureau of Statistics census data, and</w:t>
      </w:r>
      <w:r w:rsidRPr="00EB2CFB">
        <w:rPr>
          <w:rFonts w:cs="Arial"/>
        </w:rPr>
        <w:t>:</w:t>
      </w:r>
    </w:p>
    <w:p w14:paraId="4B83B336" w14:textId="77777777" w:rsidR="00726B8C" w:rsidRDefault="00726B8C" w:rsidP="00726B8C">
      <w:pPr>
        <w:pStyle w:val="ListBullet"/>
        <w:rPr>
          <w:rFonts w:cs="Arial"/>
        </w:rPr>
      </w:pPr>
      <w:r w:rsidRPr="00052902">
        <w:rPr>
          <w:rFonts w:cs="Arial"/>
        </w:rPr>
        <w:t xml:space="preserve">the relevant </w:t>
      </w:r>
      <w:r>
        <w:rPr>
          <w:rFonts w:cs="Arial"/>
        </w:rPr>
        <w:t>LAP</w:t>
      </w:r>
      <w:r w:rsidRPr="00052902">
        <w:rPr>
          <w:rFonts w:cs="Arial"/>
        </w:rPr>
        <w:t xml:space="preserve"> </w:t>
      </w:r>
      <w:r>
        <w:rPr>
          <w:rFonts w:cs="Arial"/>
        </w:rPr>
        <w:t xml:space="preserve">– </w:t>
      </w:r>
      <w:r w:rsidRPr="00052902">
        <w:rPr>
          <w:rFonts w:cs="Arial"/>
        </w:rPr>
        <w:t xml:space="preserve">where there is a planned long-term community radio broadcasting licence </w:t>
      </w:r>
      <w:r>
        <w:rPr>
          <w:rFonts w:cs="Arial"/>
        </w:rPr>
        <w:t>that</w:t>
      </w:r>
      <w:r w:rsidRPr="00052902">
        <w:rPr>
          <w:rFonts w:cs="Arial"/>
        </w:rPr>
        <w:t xml:space="preserve"> has not been allocated</w:t>
      </w:r>
    </w:p>
    <w:p w14:paraId="167EF22A" w14:textId="77777777" w:rsidR="00726B8C" w:rsidRPr="00052902" w:rsidRDefault="00726B8C" w:rsidP="00726B8C">
      <w:pPr>
        <w:pStyle w:val="ListBullet"/>
        <w:spacing w:after="240"/>
        <w:rPr>
          <w:rFonts w:cs="Arial"/>
        </w:rPr>
      </w:pPr>
      <w:r w:rsidRPr="00052902">
        <w:rPr>
          <w:rFonts w:cs="Arial"/>
        </w:rPr>
        <w:t xml:space="preserve">the name of the place to be served, based on the major population centre of the coverage area of the </w:t>
      </w:r>
      <w:r>
        <w:rPr>
          <w:rFonts w:cs="Arial"/>
        </w:rPr>
        <w:t>TCBL</w:t>
      </w:r>
      <w:r>
        <w:t xml:space="preserve"> </w:t>
      </w:r>
      <w:r>
        <w:rPr>
          <w:rFonts w:cs="Arial"/>
        </w:rPr>
        <w:t>–</w:t>
      </w:r>
      <w:r>
        <w:t xml:space="preserve"> </w:t>
      </w:r>
      <w:r>
        <w:rPr>
          <w:rFonts w:cs="Arial"/>
        </w:rPr>
        <w:t>where there is no planned long-term community radio broadcasting service</w:t>
      </w:r>
      <w:r w:rsidRPr="00052902">
        <w:rPr>
          <w:rFonts w:cs="Arial"/>
        </w:rPr>
        <w:t>. In this case, t</w:t>
      </w:r>
      <w:r w:rsidRPr="00C46630">
        <w:rPr>
          <w:rFonts w:cs="Arial"/>
        </w:rPr>
        <w:t xml:space="preserve">he licence area for the </w:t>
      </w:r>
      <w:r>
        <w:rPr>
          <w:rFonts w:cs="Arial"/>
        </w:rPr>
        <w:t>TCBL</w:t>
      </w:r>
      <w:r w:rsidRPr="00C46630">
        <w:rPr>
          <w:rFonts w:cs="Arial"/>
        </w:rPr>
        <w:t xml:space="preserve"> is not included in the </w:t>
      </w:r>
      <w:r>
        <w:rPr>
          <w:rFonts w:cs="Arial"/>
        </w:rPr>
        <w:t>LAP</w:t>
      </w:r>
      <w:r w:rsidRPr="00C46630">
        <w:rPr>
          <w:rFonts w:cs="Arial"/>
        </w:rPr>
        <w:t>.</w:t>
      </w:r>
    </w:p>
    <w:p w14:paraId="1F1CFD0B" w14:textId="7C4180B6" w:rsidR="00726B8C" w:rsidRPr="00052902" w:rsidRDefault="009C3DA0" w:rsidP="00726B8C">
      <w:pPr>
        <w:pStyle w:val="Heading1"/>
      </w:pPr>
      <w:bookmarkStart w:id="96" w:name="_Toc75850305"/>
      <w:bookmarkStart w:id="97" w:name="_Toc75868711"/>
      <w:bookmarkStart w:id="98" w:name="_Toc75868805"/>
      <w:bookmarkStart w:id="99" w:name="_Toc75868872"/>
      <w:bookmarkStart w:id="100" w:name="_Toc84847018"/>
      <w:bookmarkStart w:id="101" w:name="_Toc137562992"/>
      <w:r>
        <w:rPr>
          <w:lang w:val="en-US"/>
        </w:rPr>
        <w:lastRenderedPageBreak/>
        <w:t xml:space="preserve">Duration of </w:t>
      </w:r>
      <w:r w:rsidR="00726B8C">
        <w:rPr>
          <w:lang w:val="en-US"/>
        </w:rPr>
        <w:t>TCBLs</w:t>
      </w:r>
      <w:bookmarkEnd w:id="96"/>
      <w:bookmarkEnd w:id="97"/>
      <w:bookmarkEnd w:id="98"/>
      <w:bookmarkEnd w:id="99"/>
      <w:bookmarkEnd w:id="100"/>
      <w:bookmarkEnd w:id="101"/>
    </w:p>
    <w:p w14:paraId="362442EC" w14:textId="77777777" w:rsidR="00726B8C" w:rsidRPr="00052902" w:rsidRDefault="00726B8C" w:rsidP="00726B8C">
      <w:pPr>
        <w:rPr>
          <w:rFonts w:cs="Arial"/>
        </w:rPr>
      </w:pPr>
      <w:r>
        <w:rPr>
          <w:rFonts w:cs="Arial"/>
        </w:rPr>
        <w:t>TCBL</w:t>
      </w:r>
      <w:r w:rsidRPr="00052902">
        <w:rPr>
          <w:rFonts w:cs="Arial"/>
        </w:rPr>
        <w:t xml:space="preserve">s </w:t>
      </w:r>
      <w:r>
        <w:rPr>
          <w:rFonts w:cs="Arial"/>
        </w:rPr>
        <w:t>can be</w:t>
      </w:r>
      <w:r w:rsidRPr="00052902">
        <w:rPr>
          <w:rFonts w:cs="Arial"/>
        </w:rPr>
        <w:t xml:space="preserve"> allocated for a maximum of 12 months and cannot be renewed.</w:t>
      </w:r>
      <w:r w:rsidRPr="00052902">
        <w:rPr>
          <w:rStyle w:val="FootnoteReference"/>
          <w:rFonts w:cs="Arial"/>
        </w:rPr>
        <w:footnoteReference w:id="20"/>
      </w:r>
      <w:r w:rsidRPr="00052902">
        <w:rPr>
          <w:rFonts w:cs="Arial"/>
        </w:rPr>
        <w:t xml:space="preserve"> </w:t>
      </w:r>
    </w:p>
    <w:p w14:paraId="28282CDB" w14:textId="03B8A0DB" w:rsidR="00726B8C" w:rsidRPr="00052902" w:rsidRDefault="00726B8C" w:rsidP="00726B8C">
      <w:pPr>
        <w:spacing w:after="80"/>
        <w:rPr>
          <w:rFonts w:cs="Arial"/>
        </w:rPr>
      </w:pPr>
      <w:r>
        <w:rPr>
          <w:rFonts w:cs="Arial"/>
        </w:rPr>
        <w:t>To determine</w:t>
      </w:r>
      <w:r w:rsidRPr="00052902">
        <w:rPr>
          <w:rFonts w:cs="Arial"/>
        </w:rPr>
        <w:t xml:space="preserve"> the licence period for a </w:t>
      </w:r>
      <w:r>
        <w:rPr>
          <w:rFonts w:cs="Arial"/>
        </w:rPr>
        <w:t>TCBL</w:t>
      </w:r>
      <w:r w:rsidRPr="00052902">
        <w:rPr>
          <w:rFonts w:cs="Arial"/>
        </w:rPr>
        <w:t xml:space="preserve">, </w:t>
      </w:r>
      <w:r>
        <w:rPr>
          <w:rFonts w:cs="Arial"/>
        </w:rPr>
        <w:t>we</w:t>
      </w:r>
      <w:r w:rsidRPr="00052902">
        <w:rPr>
          <w:rFonts w:cs="Arial"/>
        </w:rPr>
        <w:t xml:space="preserve"> must consider</w:t>
      </w:r>
      <w:r w:rsidR="00754734">
        <w:rPr>
          <w:rFonts w:cs="Arial"/>
        </w:rPr>
        <w:t>:</w:t>
      </w:r>
      <w:r w:rsidRPr="00052902">
        <w:rPr>
          <w:rStyle w:val="FootnoteReference"/>
          <w:rFonts w:cs="Arial"/>
        </w:rPr>
        <w:footnoteReference w:id="21"/>
      </w:r>
    </w:p>
    <w:p w14:paraId="284D8E39" w14:textId="77777777" w:rsidR="00726B8C" w:rsidRPr="00052902" w:rsidRDefault="00726B8C" w:rsidP="00726B8C">
      <w:pPr>
        <w:pStyle w:val="ListBullet"/>
        <w:rPr>
          <w:rFonts w:cs="Arial"/>
          <w:snapToGrid w:val="0"/>
        </w:rPr>
      </w:pPr>
      <w:r w:rsidRPr="00052902">
        <w:rPr>
          <w:rFonts w:cs="Arial"/>
          <w:snapToGrid w:val="0"/>
        </w:rPr>
        <w:t xml:space="preserve">any other applications for a </w:t>
      </w:r>
      <w:r>
        <w:rPr>
          <w:rFonts w:cs="Arial"/>
          <w:snapToGrid w:val="0"/>
        </w:rPr>
        <w:t>TCBL</w:t>
      </w:r>
      <w:r w:rsidRPr="00052902">
        <w:rPr>
          <w:rFonts w:cs="Arial"/>
          <w:snapToGrid w:val="0"/>
        </w:rPr>
        <w:t xml:space="preserve"> in the licence area of the proposed licence</w:t>
      </w:r>
    </w:p>
    <w:p w14:paraId="4255F12E" w14:textId="77777777" w:rsidR="00726B8C" w:rsidRPr="00052902" w:rsidRDefault="00726B8C" w:rsidP="00726B8C">
      <w:pPr>
        <w:pStyle w:val="ListBullet"/>
        <w:rPr>
          <w:rFonts w:cs="Arial"/>
          <w:snapToGrid w:val="0"/>
        </w:rPr>
      </w:pPr>
      <w:r w:rsidRPr="00052902">
        <w:rPr>
          <w:rFonts w:cs="Arial"/>
          <w:snapToGrid w:val="0"/>
        </w:rPr>
        <w:t xml:space="preserve">any other </w:t>
      </w:r>
      <w:r>
        <w:rPr>
          <w:rFonts w:cs="Arial"/>
          <w:snapToGrid w:val="0"/>
        </w:rPr>
        <w:t>TCBL</w:t>
      </w:r>
      <w:r w:rsidRPr="00052902">
        <w:rPr>
          <w:rFonts w:cs="Arial"/>
          <w:snapToGrid w:val="0"/>
        </w:rPr>
        <w:t>s in the licence area of the proposed licence</w:t>
      </w:r>
    </w:p>
    <w:p w14:paraId="76124EB2" w14:textId="4667278E" w:rsidR="00726B8C" w:rsidRPr="00985866" w:rsidRDefault="00726B8C" w:rsidP="00726B8C">
      <w:pPr>
        <w:pStyle w:val="ListBullet"/>
        <w:rPr>
          <w:rFonts w:cs="Arial"/>
          <w:snapToGrid w:val="0"/>
        </w:rPr>
      </w:pPr>
      <w:r w:rsidRPr="00985866">
        <w:rPr>
          <w:rFonts w:cs="Arial"/>
          <w:snapToGrid w:val="0"/>
        </w:rPr>
        <w:t>other matters as we think fit, for example whether:</w:t>
      </w:r>
    </w:p>
    <w:p w14:paraId="3761EC77" w14:textId="77777777" w:rsidR="00726B8C" w:rsidRPr="00052902" w:rsidRDefault="00726B8C" w:rsidP="00726B8C">
      <w:pPr>
        <w:pStyle w:val="ListBullet2"/>
        <w:rPr>
          <w:rFonts w:cs="Arial"/>
        </w:rPr>
      </w:pPr>
      <w:bookmarkStart w:id="102" w:name="OLE_LINK23"/>
      <w:r>
        <w:rPr>
          <w:rFonts w:cs="Arial"/>
          <w:lang w:val="en-US"/>
        </w:rPr>
        <w:t>we</w:t>
      </w:r>
      <w:r w:rsidRPr="00052902">
        <w:rPr>
          <w:rFonts w:cs="Arial"/>
          <w:lang w:val="en-US"/>
        </w:rPr>
        <w:t xml:space="preserve"> will commence</w:t>
      </w:r>
      <w:r w:rsidRPr="00052902">
        <w:rPr>
          <w:rFonts w:cs="Arial"/>
        </w:rPr>
        <w:t xml:space="preserve"> an allocation process for a long-term community radio broadcasting licence that has been specified in a </w:t>
      </w:r>
      <w:r>
        <w:rPr>
          <w:rFonts w:cs="Arial"/>
        </w:rPr>
        <w:t>LAP</w:t>
      </w:r>
    </w:p>
    <w:p w14:paraId="42B956FD" w14:textId="77777777" w:rsidR="00726B8C" w:rsidRPr="00052902" w:rsidRDefault="00726B8C" w:rsidP="00726B8C">
      <w:pPr>
        <w:pStyle w:val="ListBullet2"/>
        <w:spacing w:after="240"/>
        <w:rPr>
          <w:rFonts w:cs="Arial"/>
        </w:rPr>
      </w:pPr>
      <w:r w:rsidRPr="00052902">
        <w:rPr>
          <w:rFonts w:cs="Arial"/>
        </w:rPr>
        <w:t>there is a foreseeable need for alternative use of unplanned spectrum.</w:t>
      </w:r>
    </w:p>
    <w:p w14:paraId="5B4B05DE" w14:textId="77777777" w:rsidR="00726B8C" w:rsidRDefault="00726B8C" w:rsidP="00726B8C">
      <w:pPr>
        <w:rPr>
          <w:rFonts w:cs="Arial"/>
        </w:rPr>
      </w:pPr>
      <w:r w:rsidRPr="00052902">
        <w:rPr>
          <w:rFonts w:cs="Arial"/>
        </w:rPr>
        <w:t xml:space="preserve">Depending on demand for use of the frequency, </w:t>
      </w:r>
      <w:r>
        <w:rPr>
          <w:rFonts w:cs="Arial"/>
        </w:rPr>
        <w:t>we</w:t>
      </w:r>
      <w:r w:rsidRPr="00052902">
        <w:rPr>
          <w:rFonts w:cs="Arial"/>
        </w:rPr>
        <w:t xml:space="preserve"> generally allocate a </w:t>
      </w:r>
      <w:r>
        <w:rPr>
          <w:rFonts w:cs="Arial"/>
        </w:rPr>
        <w:t>TCBL</w:t>
      </w:r>
      <w:r w:rsidRPr="00052902">
        <w:rPr>
          <w:rFonts w:cs="Arial"/>
        </w:rPr>
        <w:t xml:space="preserve"> for between </w:t>
      </w:r>
      <w:r>
        <w:rPr>
          <w:rFonts w:cs="Arial"/>
        </w:rPr>
        <w:t>3</w:t>
      </w:r>
      <w:r w:rsidRPr="00052902">
        <w:rPr>
          <w:rFonts w:cs="Arial"/>
        </w:rPr>
        <w:t xml:space="preserve"> months to the maximum allowable 12 months.</w:t>
      </w:r>
      <w:bookmarkEnd w:id="102"/>
    </w:p>
    <w:p w14:paraId="682D0D4F" w14:textId="77777777" w:rsidR="00726B8C" w:rsidRPr="00052902" w:rsidRDefault="00726B8C" w:rsidP="00726B8C">
      <w:pPr>
        <w:pStyle w:val="Heading2"/>
      </w:pPr>
      <w:bookmarkStart w:id="103" w:name="_Toc75850306"/>
      <w:bookmarkStart w:id="104" w:name="_Toc75868712"/>
      <w:bookmarkStart w:id="105" w:name="_Toc75868806"/>
      <w:bookmarkStart w:id="106" w:name="_Toc75868873"/>
      <w:bookmarkStart w:id="107" w:name="_Toc84847019"/>
      <w:bookmarkStart w:id="108" w:name="_Toc137562993"/>
      <w:r w:rsidRPr="00052902">
        <w:t xml:space="preserve">Subsequent </w:t>
      </w:r>
      <w:r>
        <w:t>TCBL</w:t>
      </w:r>
      <w:r w:rsidRPr="00052902">
        <w:t>s</w:t>
      </w:r>
      <w:bookmarkEnd w:id="103"/>
      <w:bookmarkEnd w:id="104"/>
      <w:bookmarkEnd w:id="105"/>
      <w:bookmarkEnd w:id="106"/>
      <w:bookmarkEnd w:id="107"/>
      <w:bookmarkEnd w:id="108"/>
    </w:p>
    <w:p w14:paraId="23646C9D" w14:textId="39E89987" w:rsidR="00726B8C" w:rsidRDefault="00726B8C" w:rsidP="00726B8C">
      <w:pPr>
        <w:rPr>
          <w:rFonts w:cs="Arial"/>
        </w:rPr>
      </w:pPr>
      <w:r>
        <w:rPr>
          <w:rFonts w:cs="Arial"/>
        </w:rPr>
        <w:t>Although TCBLs cannot be renewed,</w:t>
      </w:r>
      <w:r w:rsidRPr="00052902">
        <w:rPr>
          <w:rFonts w:cs="Arial"/>
        </w:rPr>
        <w:t xml:space="preserve"> a </w:t>
      </w:r>
      <w:r>
        <w:rPr>
          <w:rFonts w:cs="Arial"/>
        </w:rPr>
        <w:t>TCBL</w:t>
      </w:r>
      <w:r w:rsidRPr="00052902">
        <w:rPr>
          <w:rFonts w:cs="Arial"/>
        </w:rPr>
        <w:t xml:space="preserve"> holder can apply for a </w:t>
      </w:r>
      <w:r w:rsidR="00C44291">
        <w:rPr>
          <w:rFonts w:cs="Arial"/>
        </w:rPr>
        <w:br/>
      </w:r>
      <w:r>
        <w:rPr>
          <w:rFonts w:cs="Arial"/>
        </w:rPr>
        <w:t>subsequent</w:t>
      </w:r>
      <w:r w:rsidRPr="00052902">
        <w:rPr>
          <w:rFonts w:cs="Arial"/>
        </w:rPr>
        <w:t xml:space="preserve"> </w:t>
      </w:r>
      <w:r>
        <w:rPr>
          <w:rFonts w:cs="Arial"/>
        </w:rPr>
        <w:t>TCBL.</w:t>
      </w:r>
    </w:p>
    <w:p w14:paraId="161FCEDC" w14:textId="3EC16061" w:rsidR="001877CC" w:rsidRDefault="00726B8C" w:rsidP="00726B8C">
      <w:pPr>
        <w:rPr>
          <w:rFonts w:cs="Arial"/>
        </w:rPr>
      </w:pPr>
      <w:r>
        <w:rPr>
          <w:rFonts w:cs="Arial"/>
        </w:rPr>
        <w:t xml:space="preserve">If we receive an application for a subsequent TCBL for use of a frequency, we first determine whether that frequency remains available for temporary community radio broadcasting purposes (see </w:t>
      </w:r>
      <w:hyperlink w:anchor="_Making_spectrum_available" w:history="1">
        <w:r w:rsidR="00A775B1" w:rsidRPr="00754734">
          <w:rPr>
            <w:rStyle w:val="Hyperlink"/>
          </w:rPr>
          <w:t>Making spectrum available for temporary community broadcasting</w:t>
        </w:r>
      </w:hyperlink>
      <w:r>
        <w:rPr>
          <w:rFonts w:cs="Arial"/>
        </w:rPr>
        <w:t xml:space="preserve">). If a frequency remains available, we decide whether to allocate a TCBL on the same basis we use to decide to allocate a new TCBL (see </w:t>
      </w:r>
      <w:hyperlink w:anchor="_How_we_decide" w:history="1">
        <w:r w:rsidR="001877CC" w:rsidRPr="00754734">
          <w:rPr>
            <w:rStyle w:val="Hyperlink"/>
            <w:lang w:val="en-US"/>
          </w:rPr>
          <w:t>How we decide to allocate a TCBL</w:t>
        </w:r>
      </w:hyperlink>
      <w:r>
        <w:rPr>
          <w:rFonts w:cs="Arial"/>
        </w:rPr>
        <w:t>).</w:t>
      </w:r>
    </w:p>
    <w:p w14:paraId="5AD341BE" w14:textId="73E7FE90" w:rsidR="00726B8C" w:rsidRDefault="00726B8C" w:rsidP="00726B8C">
      <w:pPr>
        <w:pStyle w:val="ListBullet"/>
        <w:numPr>
          <w:ilvl w:val="0"/>
          <w:numId w:val="0"/>
        </w:numPr>
        <w:spacing w:after="240"/>
      </w:pPr>
      <w:r>
        <w:t xml:space="preserve">To apply for a new TCBL that commences immediately on expiry of the current TCBL, we ask that the current TCBL holders </w:t>
      </w:r>
      <w:r w:rsidRPr="00052902">
        <w:t xml:space="preserve">submit the ACMA B12 and B42 forms at least one month </w:t>
      </w:r>
      <w:r>
        <w:t>before</w:t>
      </w:r>
      <w:r w:rsidRPr="00052902">
        <w:t xml:space="preserve"> the expiry of the licence period</w:t>
      </w:r>
      <w:r>
        <w:t xml:space="preserve">. The B42 requests that licensees </w:t>
      </w:r>
      <w:r w:rsidRPr="006F3334">
        <w:t>answer only those questions where circumstances have changed since the last application and attach copies of supporting documents</w:t>
      </w:r>
      <w:r>
        <w:t xml:space="preserve">. A </w:t>
      </w:r>
      <w:r w:rsidRPr="00052902">
        <w:t xml:space="preserve">payment for the </w:t>
      </w:r>
      <w:r>
        <w:t xml:space="preserve">further </w:t>
      </w:r>
      <w:r w:rsidRPr="00052902">
        <w:t>apparatus licence</w:t>
      </w:r>
      <w:r>
        <w:t xml:space="preserve"> will also be required if the </w:t>
      </w:r>
      <w:r w:rsidR="00F15600">
        <w:t xml:space="preserve">TCBL </w:t>
      </w:r>
      <w:r>
        <w:t xml:space="preserve">is </w:t>
      </w:r>
      <w:r w:rsidR="00F15600">
        <w:t>allocated</w:t>
      </w:r>
      <w:r w:rsidRPr="00052902">
        <w:t>.</w:t>
      </w:r>
      <w:r>
        <w:t xml:space="preserve"> Applications made </w:t>
      </w:r>
      <w:r w:rsidR="00C44291">
        <w:br/>
      </w:r>
      <w:r>
        <w:t xml:space="preserve">less than one month before a TCBL expires may not be processed before that </w:t>
      </w:r>
      <w:r w:rsidR="00C44291">
        <w:br/>
      </w:r>
      <w:r>
        <w:t xml:space="preserve">TCBL expires. </w:t>
      </w:r>
    </w:p>
    <w:p w14:paraId="61C77C7D" w14:textId="5EE5A447" w:rsidR="00726B8C" w:rsidRPr="00052902" w:rsidRDefault="00C44291" w:rsidP="00726B8C">
      <w:pPr>
        <w:pBdr>
          <w:top w:val="single" w:sz="4" w:space="1" w:color="auto"/>
          <w:left w:val="single" w:sz="4" w:space="4" w:color="auto"/>
          <w:bottom w:val="single" w:sz="4" w:space="0" w:color="auto"/>
          <w:right w:val="single" w:sz="4" w:space="4" w:color="auto"/>
        </w:pBdr>
        <w:shd w:val="clear" w:color="auto" w:fill="F2F2F2" w:themeFill="background1" w:themeFillShade="F2"/>
        <w:spacing w:after="80"/>
        <w:rPr>
          <w:rFonts w:cs="Arial"/>
          <w:b/>
          <w:lang w:val="en-US"/>
        </w:rPr>
      </w:pPr>
      <w:r>
        <w:rPr>
          <w:rFonts w:cs="Arial"/>
          <w:b/>
          <w:lang w:val="en-US"/>
        </w:rPr>
        <w:t>Please n</w:t>
      </w:r>
      <w:r w:rsidR="001E16ED">
        <w:rPr>
          <w:rFonts w:cs="Arial"/>
          <w:b/>
          <w:lang w:val="en-US"/>
        </w:rPr>
        <w:t xml:space="preserve">ote: </w:t>
      </w:r>
      <w:r w:rsidR="00726B8C" w:rsidRPr="00766EDD">
        <w:rPr>
          <w:rFonts w:cs="Arial"/>
          <w:bCs/>
          <w:lang w:val="en-US"/>
        </w:rPr>
        <w:t>TCBL holders wanting to reapply for a TCBL should do so at least one month before the TCBL expires.</w:t>
      </w:r>
    </w:p>
    <w:p w14:paraId="3CFFB8ED" w14:textId="233EA748" w:rsidR="00726B8C" w:rsidRPr="00052902" w:rsidRDefault="00726B8C" w:rsidP="00726B8C">
      <w:pPr>
        <w:pStyle w:val="Heading1"/>
      </w:pPr>
      <w:bookmarkStart w:id="109" w:name="_How_timing_conditions"/>
      <w:bookmarkStart w:id="110" w:name="_Toc306369879"/>
      <w:bookmarkStart w:id="111" w:name="_Toc75850307"/>
      <w:bookmarkStart w:id="112" w:name="_Toc75868713"/>
      <w:bookmarkStart w:id="113" w:name="_Toc75868807"/>
      <w:bookmarkStart w:id="114" w:name="_Toc75868874"/>
      <w:bookmarkStart w:id="115" w:name="_Toc84847020"/>
      <w:bookmarkStart w:id="116" w:name="_Toc137562994"/>
      <w:bookmarkEnd w:id="109"/>
      <w:r w:rsidRPr="00052902">
        <w:rPr>
          <w:lang w:val="en-US"/>
        </w:rPr>
        <w:lastRenderedPageBreak/>
        <w:t xml:space="preserve">How timing conditions </w:t>
      </w:r>
      <w:r w:rsidR="001E16ED">
        <w:rPr>
          <w:lang w:val="en-US"/>
        </w:rPr>
        <w:t xml:space="preserve">are </w:t>
      </w:r>
      <w:r w:rsidRPr="00052902">
        <w:rPr>
          <w:lang w:val="en-US"/>
        </w:rPr>
        <w:t>determined</w:t>
      </w:r>
      <w:bookmarkEnd w:id="110"/>
      <w:bookmarkEnd w:id="111"/>
      <w:bookmarkEnd w:id="112"/>
      <w:bookmarkEnd w:id="113"/>
      <w:bookmarkEnd w:id="114"/>
      <w:bookmarkEnd w:id="115"/>
      <w:bookmarkEnd w:id="116"/>
    </w:p>
    <w:p w14:paraId="39663D0E" w14:textId="77777777" w:rsidR="00726B8C" w:rsidRPr="00052902" w:rsidRDefault="00726B8C" w:rsidP="00726B8C">
      <w:pPr>
        <w:spacing w:line="240" w:lineRule="auto"/>
        <w:rPr>
          <w:rFonts w:cs="Arial"/>
        </w:rPr>
      </w:pPr>
      <w:bookmarkStart w:id="117" w:name="OLE_LINK21"/>
      <w:bookmarkStart w:id="118" w:name="OLE_LINK22"/>
      <w:r w:rsidRPr="00052902">
        <w:rPr>
          <w:rFonts w:cs="Arial"/>
        </w:rPr>
        <w:t>Timing conditions are determined by the ACMA</w:t>
      </w:r>
      <w:r>
        <w:rPr>
          <w:rFonts w:cs="Arial"/>
        </w:rPr>
        <w:t>. These conditions</w:t>
      </w:r>
      <w:r w:rsidRPr="00052902">
        <w:rPr>
          <w:rFonts w:cs="Arial"/>
        </w:rPr>
        <w:t xml:space="preserve"> specify the times when a </w:t>
      </w:r>
      <w:r>
        <w:rPr>
          <w:rFonts w:cs="Arial"/>
        </w:rPr>
        <w:t>TCBL</w:t>
      </w:r>
      <w:r w:rsidRPr="00052902">
        <w:rPr>
          <w:rFonts w:cs="Arial"/>
        </w:rPr>
        <w:t xml:space="preserve"> holder is permitted to broadcast.</w:t>
      </w:r>
      <w:r w:rsidRPr="00052902">
        <w:rPr>
          <w:rStyle w:val="FootnoteReference"/>
          <w:rFonts w:cs="Arial"/>
        </w:rPr>
        <w:footnoteReference w:id="22"/>
      </w:r>
    </w:p>
    <w:p w14:paraId="22411D93" w14:textId="2ADC1C6C" w:rsidR="00726B8C" w:rsidRPr="00052902" w:rsidRDefault="00726B8C" w:rsidP="00726B8C">
      <w:pPr>
        <w:rPr>
          <w:rFonts w:cs="Arial"/>
        </w:rPr>
      </w:pPr>
      <w:r>
        <w:rPr>
          <w:rFonts w:cs="Arial"/>
        </w:rPr>
        <w:t>We</w:t>
      </w:r>
      <w:r w:rsidRPr="00052902">
        <w:rPr>
          <w:rFonts w:cs="Arial"/>
        </w:rPr>
        <w:t xml:space="preserve"> </w:t>
      </w:r>
      <w:r>
        <w:rPr>
          <w:rFonts w:cs="Arial"/>
        </w:rPr>
        <w:t xml:space="preserve">will seek to determine </w:t>
      </w:r>
      <w:r w:rsidRPr="00052902">
        <w:rPr>
          <w:rFonts w:cs="Arial"/>
        </w:rPr>
        <w:t>timing conditions to promote the development of the broadcasting skills and programming expertise of aspirant groups so that they are well-placed to provide a service that meets the needs and interests of the community,</w:t>
      </w:r>
      <w:r w:rsidR="005C69B2">
        <w:t> </w:t>
      </w:r>
      <w:r w:rsidRPr="00052902">
        <w:rPr>
          <w:rFonts w:cs="Arial"/>
        </w:rPr>
        <w:t xml:space="preserve">including those not being met by other broadcasting services available in </w:t>
      </w:r>
      <w:r w:rsidR="005C69B2">
        <w:rPr>
          <w:rFonts w:cs="Arial"/>
        </w:rPr>
        <w:br/>
      </w:r>
      <w:r w:rsidRPr="00052902">
        <w:rPr>
          <w:rFonts w:cs="Arial"/>
        </w:rPr>
        <w:t>a licence area.</w:t>
      </w:r>
    </w:p>
    <w:p w14:paraId="371861ED" w14:textId="77777777" w:rsidR="00726B8C" w:rsidRPr="00052902" w:rsidRDefault="00726B8C" w:rsidP="00726B8C">
      <w:pPr>
        <w:pStyle w:val="Heading2"/>
      </w:pPr>
      <w:bookmarkStart w:id="119" w:name="_Toc306369880"/>
      <w:bookmarkStart w:id="120" w:name="_Toc75850308"/>
      <w:bookmarkStart w:id="121" w:name="_Toc75868714"/>
      <w:bookmarkStart w:id="122" w:name="_Toc75868808"/>
      <w:bookmarkStart w:id="123" w:name="_Toc75868875"/>
      <w:bookmarkStart w:id="124" w:name="_Toc84847021"/>
      <w:bookmarkStart w:id="125" w:name="_Toc137562995"/>
      <w:r w:rsidRPr="00052902">
        <w:t xml:space="preserve">Sole </w:t>
      </w:r>
      <w:r>
        <w:t>TCBL</w:t>
      </w:r>
      <w:r w:rsidRPr="00052902">
        <w:t xml:space="preserve"> holder</w:t>
      </w:r>
      <w:bookmarkEnd w:id="119"/>
      <w:bookmarkEnd w:id="120"/>
      <w:bookmarkEnd w:id="121"/>
      <w:bookmarkEnd w:id="122"/>
      <w:bookmarkEnd w:id="123"/>
      <w:bookmarkEnd w:id="124"/>
      <w:bookmarkEnd w:id="125"/>
    </w:p>
    <w:p w14:paraId="3D718C8D" w14:textId="77777777" w:rsidR="00726B8C" w:rsidRPr="00052902" w:rsidRDefault="00726B8C" w:rsidP="00726B8C">
      <w:pPr>
        <w:rPr>
          <w:rFonts w:cs="Arial"/>
        </w:rPr>
      </w:pPr>
      <w:r w:rsidRPr="00052902">
        <w:rPr>
          <w:rFonts w:cs="Arial"/>
        </w:rPr>
        <w:t xml:space="preserve">If there is only one </w:t>
      </w:r>
      <w:r>
        <w:rPr>
          <w:rFonts w:cs="Arial"/>
        </w:rPr>
        <w:t>TCBL</w:t>
      </w:r>
      <w:r w:rsidRPr="00052902">
        <w:rPr>
          <w:rFonts w:cs="Arial"/>
        </w:rPr>
        <w:t xml:space="preserve"> holder in a licence area, </w:t>
      </w:r>
      <w:r>
        <w:rPr>
          <w:rFonts w:cs="Arial"/>
        </w:rPr>
        <w:t>we</w:t>
      </w:r>
      <w:r w:rsidRPr="00052902">
        <w:rPr>
          <w:rFonts w:cs="Arial"/>
        </w:rPr>
        <w:t xml:space="preserve"> generally determine timing conditions that enable the licensee to broadcast continuously for the duration of the licence period.</w:t>
      </w:r>
    </w:p>
    <w:p w14:paraId="4829D3B1" w14:textId="77777777" w:rsidR="00726B8C" w:rsidRPr="00052902" w:rsidRDefault="00726B8C" w:rsidP="00726B8C">
      <w:pPr>
        <w:pStyle w:val="Heading2"/>
      </w:pPr>
      <w:bookmarkStart w:id="126" w:name="_Toc306369881"/>
      <w:bookmarkStart w:id="127" w:name="_Toc75850309"/>
      <w:bookmarkStart w:id="128" w:name="_Toc75868715"/>
      <w:bookmarkStart w:id="129" w:name="_Toc75868809"/>
      <w:bookmarkStart w:id="130" w:name="_Toc75868876"/>
      <w:bookmarkStart w:id="131" w:name="_Toc84847022"/>
      <w:bookmarkStart w:id="132" w:name="_Toc137562996"/>
      <w:r w:rsidRPr="00052902">
        <w:t xml:space="preserve">Multiple </w:t>
      </w:r>
      <w:r>
        <w:t>TCBL</w:t>
      </w:r>
      <w:r w:rsidRPr="00052902">
        <w:t xml:space="preserve"> holders</w:t>
      </w:r>
      <w:bookmarkEnd w:id="126"/>
      <w:bookmarkEnd w:id="127"/>
      <w:bookmarkEnd w:id="128"/>
      <w:bookmarkEnd w:id="129"/>
      <w:bookmarkEnd w:id="130"/>
      <w:bookmarkEnd w:id="131"/>
      <w:bookmarkEnd w:id="132"/>
    </w:p>
    <w:p w14:paraId="07AAF84F" w14:textId="77777777" w:rsidR="00726B8C" w:rsidRPr="00052902" w:rsidRDefault="00726B8C" w:rsidP="00726B8C">
      <w:pPr>
        <w:rPr>
          <w:rFonts w:cs="Arial"/>
        </w:rPr>
      </w:pPr>
      <w:r w:rsidRPr="00052902">
        <w:rPr>
          <w:rFonts w:cs="Arial"/>
        </w:rPr>
        <w:t>If</w:t>
      </w:r>
      <w:r>
        <w:rPr>
          <w:rFonts w:cs="Arial"/>
        </w:rPr>
        <w:t xml:space="preserve"> </w:t>
      </w:r>
      <w:r w:rsidRPr="00052902">
        <w:rPr>
          <w:rFonts w:cs="Arial"/>
        </w:rPr>
        <w:t xml:space="preserve">there is more than one </w:t>
      </w:r>
      <w:r>
        <w:rPr>
          <w:rFonts w:cs="Arial"/>
        </w:rPr>
        <w:t>TCBL</w:t>
      </w:r>
      <w:r w:rsidRPr="00052902">
        <w:rPr>
          <w:rFonts w:cs="Arial"/>
        </w:rPr>
        <w:t xml:space="preserve"> holder for a nominated frequency in a licence area, </w:t>
      </w:r>
      <w:r>
        <w:rPr>
          <w:rFonts w:cs="Arial"/>
        </w:rPr>
        <w:t>we will</w:t>
      </w:r>
      <w:r w:rsidRPr="00052902">
        <w:rPr>
          <w:rFonts w:cs="Arial"/>
        </w:rPr>
        <w:t xml:space="preserve"> determine timing conditions for shared use of the frequency. </w:t>
      </w:r>
    </w:p>
    <w:p w14:paraId="45049B5B" w14:textId="77777777" w:rsidR="00726B8C" w:rsidRPr="00052902" w:rsidRDefault="00726B8C" w:rsidP="00726B8C">
      <w:pPr>
        <w:rPr>
          <w:rFonts w:cs="Arial"/>
        </w:rPr>
      </w:pPr>
      <w:r>
        <w:rPr>
          <w:rFonts w:cs="Arial"/>
        </w:rPr>
        <w:t>We</w:t>
      </w:r>
      <w:r w:rsidRPr="00052902">
        <w:rPr>
          <w:rFonts w:cs="Arial"/>
        </w:rPr>
        <w:t xml:space="preserve"> encourage aspirant groups to agree on time-sharing and to notify </w:t>
      </w:r>
      <w:r>
        <w:rPr>
          <w:rFonts w:cs="Arial"/>
        </w:rPr>
        <w:t>us</w:t>
      </w:r>
      <w:r w:rsidRPr="00052902">
        <w:rPr>
          <w:rFonts w:cs="Arial"/>
        </w:rPr>
        <w:t xml:space="preserve"> of the agreement. If aspirant groups are able to agree on time-sharing, </w:t>
      </w:r>
      <w:r>
        <w:rPr>
          <w:rFonts w:cs="Arial"/>
        </w:rPr>
        <w:t>we</w:t>
      </w:r>
      <w:r w:rsidRPr="00052902">
        <w:rPr>
          <w:rFonts w:cs="Arial"/>
        </w:rPr>
        <w:t xml:space="preserve"> generally determine timing conditions that reflect </w:t>
      </w:r>
      <w:r>
        <w:rPr>
          <w:rFonts w:cs="Arial"/>
        </w:rPr>
        <w:t>the</w:t>
      </w:r>
      <w:r w:rsidRPr="00052902">
        <w:rPr>
          <w:rFonts w:cs="Arial"/>
        </w:rPr>
        <w:t xml:space="preserve"> time-sharing agreement.</w:t>
      </w:r>
    </w:p>
    <w:p w14:paraId="5CC8D5C9" w14:textId="2F5C1864" w:rsidR="00726B8C" w:rsidRPr="00052902" w:rsidRDefault="00491BFB" w:rsidP="00726B8C">
      <w:pPr>
        <w:rPr>
          <w:rFonts w:cs="Arial"/>
        </w:rPr>
      </w:pPr>
      <w:r>
        <w:rPr>
          <w:rFonts w:cs="Arial"/>
        </w:rPr>
        <w:t>W</w:t>
      </w:r>
      <w:r w:rsidR="00726B8C">
        <w:rPr>
          <w:rFonts w:cs="Arial"/>
        </w:rPr>
        <w:t>e</w:t>
      </w:r>
      <w:r w:rsidR="00726B8C" w:rsidRPr="00052902">
        <w:rPr>
          <w:rFonts w:cs="Arial"/>
        </w:rPr>
        <w:t xml:space="preserve"> </w:t>
      </w:r>
      <w:r>
        <w:rPr>
          <w:rFonts w:cs="Arial"/>
        </w:rPr>
        <w:t xml:space="preserve">will </w:t>
      </w:r>
      <w:r w:rsidR="00726B8C" w:rsidRPr="00052902">
        <w:rPr>
          <w:rFonts w:cs="Arial"/>
        </w:rPr>
        <w:t xml:space="preserve">usually give </w:t>
      </w:r>
      <w:r w:rsidR="00726B8C">
        <w:rPr>
          <w:rFonts w:cs="Arial"/>
        </w:rPr>
        <w:t>TCBL</w:t>
      </w:r>
      <w:r w:rsidR="00726B8C" w:rsidRPr="00052902">
        <w:rPr>
          <w:rFonts w:cs="Arial"/>
        </w:rPr>
        <w:t xml:space="preserve"> holders the opportunity to comment on proposed timing conditions.</w:t>
      </w:r>
    </w:p>
    <w:p w14:paraId="1FBE7728" w14:textId="77777777" w:rsidR="00726B8C" w:rsidRPr="00052902" w:rsidRDefault="00726B8C" w:rsidP="00726B8C">
      <w:pPr>
        <w:pStyle w:val="Heading2"/>
      </w:pPr>
      <w:bookmarkStart w:id="133" w:name="_Toc306369882"/>
      <w:bookmarkStart w:id="134" w:name="_Toc75850310"/>
      <w:bookmarkStart w:id="135" w:name="_Toc75868716"/>
      <w:bookmarkStart w:id="136" w:name="_Toc75868810"/>
      <w:bookmarkStart w:id="137" w:name="_Toc75868877"/>
      <w:bookmarkStart w:id="138" w:name="_Toc84847023"/>
      <w:bookmarkStart w:id="139" w:name="_Toc137562997"/>
      <w:r w:rsidRPr="00052902">
        <w:t>Relevant considerations</w:t>
      </w:r>
      <w:bookmarkEnd w:id="133"/>
      <w:bookmarkEnd w:id="134"/>
      <w:bookmarkEnd w:id="135"/>
      <w:bookmarkEnd w:id="136"/>
      <w:bookmarkEnd w:id="137"/>
      <w:bookmarkEnd w:id="138"/>
      <w:bookmarkEnd w:id="139"/>
    </w:p>
    <w:p w14:paraId="68EE0C06" w14:textId="3BF8C8B9" w:rsidR="00726B8C" w:rsidRPr="00052902" w:rsidRDefault="00726B8C" w:rsidP="00726B8C">
      <w:pPr>
        <w:spacing w:after="80"/>
        <w:rPr>
          <w:rFonts w:cs="Arial"/>
        </w:rPr>
      </w:pPr>
      <w:r w:rsidRPr="00052902">
        <w:rPr>
          <w:rFonts w:cs="Arial"/>
        </w:rPr>
        <w:t xml:space="preserve">In determining the timing conditions for </w:t>
      </w:r>
      <w:r>
        <w:rPr>
          <w:rFonts w:cs="Arial"/>
        </w:rPr>
        <w:t>TCBL</w:t>
      </w:r>
      <w:r w:rsidRPr="00052902">
        <w:rPr>
          <w:rFonts w:cs="Arial"/>
        </w:rPr>
        <w:t xml:space="preserve">s, </w:t>
      </w:r>
      <w:r>
        <w:rPr>
          <w:rFonts w:cs="Arial"/>
        </w:rPr>
        <w:t>we</w:t>
      </w:r>
      <w:r w:rsidRPr="00052902">
        <w:rPr>
          <w:rFonts w:cs="Arial"/>
        </w:rPr>
        <w:t xml:space="preserve"> must</w:t>
      </w:r>
      <w:r w:rsidRPr="00052902">
        <w:rPr>
          <w:rFonts w:cs="Arial"/>
          <w:b/>
        </w:rPr>
        <w:t xml:space="preserve"> </w:t>
      </w:r>
      <w:r w:rsidRPr="00052902">
        <w:rPr>
          <w:rFonts w:cs="Arial"/>
        </w:rPr>
        <w:t>consider</w:t>
      </w:r>
      <w:r w:rsidR="003B017E">
        <w:rPr>
          <w:rFonts w:cs="Arial"/>
        </w:rPr>
        <w:t>:</w:t>
      </w:r>
      <w:r w:rsidRPr="00052902">
        <w:rPr>
          <w:rStyle w:val="FootnoteReference"/>
          <w:rFonts w:cs="Arial"/>
        </w:rPr>
        <w:footnoteReference w:id="23"/>
      </w:r>
    </w:p>
    <w:p w14:paraId="0F5041DC" w14:textId="77777777" w:rsidR="00726B8C" w:rsidRPr="00052902" w:rsidRDefault="00726B8C" w:rsidP="00726B8C">
      <w:pPr>
        <w:pStyle w:val="ListBullet"/>
        <w:rPr>
          <w:rFonts w:cs="Arial"/>
          <w:snapToGrid w:val="0"/>
        </w:rPr>
      </w:pPr>
      <w:r w:rsidRPr="00052902">
        <w:rPr>
          <w:rFonts w:cs="Arial"/>
          <w:snapToGrid w:val="0"/>
        </w:rPr>
        <w:t xml:space="preserve">any other applications for a </w:t>
      </w:r>
      <w:r>
        <w:rPr>
          <w:rFonts w:cs="Arial"/>
          <w:snapToGrid w:val="0"/>
        </w:rPr>
        <w:t>TCBL</w:t>
      </w:r>
      <w:r w:rsidRPr="00052902">
        <w:rPr>
          <w:rFonts w:cs="Arial"/>
          <w:snapToGrid w:val="0"/>
        </w:rPr>
        <w:t xml:space="preserve"> in the licence area of the proposed licence</w:t>
      </w:r>
    </w:p>
    <w:p w14:paraId="14FB5C2E" w14:textId="77777777" w:rsidR="00726B8C" w:rsidRPr="00052902" w:rsidRDefault="00726B8C" w:rsidP="00726B8C">
      <w:pPr>
        <w:pStyle w:val="ListBullet"/>
        <w:rPr>
          <w:rFonts w:cs="Arial"/>
          <w:snapToGrid w:val="0"/>
        </w:rPr>
      </w:pPr>
      <w:r w:rsidRPr="00052902">
        <w:rPr>
          <w:rFonts w:cs="Arial"/>
          <w:snapToGrid w:val="0"/>
        </w:rPr>
        <w:t xml:space="preserve">any other </w:t>
      </w:r>
      <w:r>
        <w:rPr>
          <w:rFonts w:cs="Arial"/>
          <w:snapToGrid w:val="0"/>
        </w:rPr>
        <w:t>TCBL</w:t>
      </w:r>
      <w:r w:rsidRPr="00052902">
        <w:rPr>
          <w:rFonts w:cs="Arial"/>
          <w:snapToGrid w:val="0"/>
        </w:rPr>
        <w:t>s in the licence area of the proposed licence</w:t>
      </w:r>
    </w:p>
    <w:p w14:paraId="0A0C2097" w14:textId="34669D30" w:rsidR="00726B8C" w:rsidRPr="00985866" w:rsidRDefault="00726B8C" w:rsidP="00726B8C">
      <w:pPr>
        <w:pStyle w:val="ListBullet"/>
        <w:spacing w:after="240"/>
        <w:rPr>
          <w:rFonts w:cs="Arial"/>
          <w:snapToGrid w:val="0"/>
        </w:rPr>
      </w:pPr>
      <w:r w:rsidRPr="00985866">
        <w:rPr>
          <w:rFonts w:cs="Arial"/>
          <w:snapToGrid w:val="0"/>
        </w:rPr>
        <w:t>other matters as we think fit.</w:t>
      </w:r>
    </w:p>
    <w:bookmarkEnd w:id="117"/>
    <w:bookmarkEnd w:id="118"/>
    <w:p w14:paraId="0E4AE619" w14:textId="77777777" w:rsidR="00726B8C" w:rsidRPr="002D55AC" w:rsidRDefault="00726B8C" w:rsidP="00726B8C">
      <w:pPr>
        <w:spacing w:after="80"/>
        <w:rPr>
          <w:rFonts w:cs="Arial"/>
          <w:lang w:val="en-US"/>
        </w:rPr>
      </w:pPr>
      <w:r w:rsidRPr="002D55AC">
        <w:rPr>
          <w:rFonts w:cs="Arial"/>
          <w:lang w:val="en-US"/>
        </w:rPr>
        <w:t>Other matters may include:</w:t>
      </w:r>
    </w:p>
    <w:p w14:paraId="6A6A0B1F" w14:textId="77777777" w:rsidR="00726B8C" w:rsidRPr="002D55AC" w:rsidRDefault="00726B8C" w:rsidP="00726B8C">
      <w:pPr>
        <w:pStyle w:val="ListBullet"/>
        <w:rPr>
          <w:rFonts w:cs="Arial"/>
          <w:snapToGrid w:val="0"/>
        </w:rPr>
      </w:pPr>
      <w:r w:rsidRPr="002D55AC">
        <w:rPr>
          <w:rFonts w:cs="Arial"/>
          <w:snapToGrid w:val="0"/>
        </w:rPr>
        <w:t xml:space="preserve">the extent to which the timing conditions will produce stable and predictable regulatory arrangements in the </w:t>
      </w:r>
      <w:r>
        <w:rPr>
          <w:rFonts w:cs="Arial"/>
          <w:snapToGrid w:val="0"/>
        </w:rPr>
        <w:t>l</w:t>
      </w:r>
      <w:r w:rsidRPr="002D55AC">
        <w:rPr>
          <w:rFonts w:cs="Arial"/>
          <w:snapToGrid w:val="0"/>
        </w:rPr>
        <w:t xml:space="preserve">icence </w:t>
      </w:r>
      <w:r>
        <w:rPr>
          <w:rFonts w:cs="Arial"/>
          <w:snapToGrid w:val="0"/>
        </w:rPr>
        <w:t>a</w:t>
      </w:r>
      <w:r w:rsidRPr="002D55AC">
        <w:rPr>
          <w:rFonts w:cs="Arial"/>
          <w:snapToGrid w:val="0"/>
        </w:rPr>
        <w:t>rea</w:t>
      </w:r>
    </w:p>
    <w:p w14:paraId="01398D64" w14:textId="77777777" w:rsidR="00726B8C" w:rsidRPr="00052902" w:rsidRDefault="00726B8C" w:rsidP="00726B8C">
      <w:pPr>
        <w:pStyle w:val="ListBullet"/>
        <w:rPr>
          <w:rFonts w:cs="Arial"/>
          <w:snapToGrid w:val="0"/>
        </w:rPr>
      </w:pPr>
      <w:r w:rsidRPr="002D55AC">
        <w:rPr>
          <w:rFonts w:cs="Arial"/>
          <w:snapToGrid w:val="0"/>
        </w:rPr>
        <w:t xml:space="preserve">fair access to airtime for all </w:t>
      </w:r>
      <w:r>
        <w:rPr>
          <w:rFonts w:cs="Arial"/>
          <w:snapToGrid w:val="0"/>
        </w:rPr>
        <w:t>TCBL</w:t>
      </w:r>
      <w:r w:rsidRPr="002D55AC">
        <w:rPr>
          <w:rFonts w:cs="Arial"/>
          <w:snapToGrid w:val="0"/>
        </w:rPr>
        <w:t xml:space="preserve"> holders (for example, a balance of</w:t>
      </w:r>
      <w:r w:rsidRPr="00052902">
        <w:rPr>
          <w:rFonts w:cs="Arial"/>
          <w:snapToGrid w:val="0"/>
        </w:rPr>
        <w:t xml:space="preserve"> peak and non-peak listening periods, including weekends)</w:t>
      </w:r>
    </w:p>
    <w:p w14:paraId="17F1E2BD" w14:textId="382ACB62" w:rsidR="00726B8C" w:rsidRDefault="00726B8C" w:rsidP="00726B8C">
      <w:pPr>
        <w:pStyle w:val="ListBullet"/>
        <w:rPr>
          <w:rFonts w:cs="Arial"/>
          <w:snapToGrid w:val="0"/>
        </w:rPr>
      </w:pPr>
      <w:r w:rsidRPr="00052902">
        <w:rPr>
          <w:rFonts w:cs="Arial"/>
          <w:snapToGrid w:val="0"/>
        </w:rPr>
        <w:t xml:space="preserve">the provision of quality of service through adequate broadcast periods </w:t>
      </w:r>
      <w:r w:rsidR="005C69B2">
        <w:rPr>
          <w:rFonts w:cs="Arial"/>
          <w:snapToGrid w:val="0"/>
        </w:rPr>
        <w:br/>
      </w:r>
      <w:r w:rsidRPr="00052902">
        <w:rPr>
          <w:rFonts w:cs="Arial"/>
          <w:snapToGrid w:val="0"/>
        </w:rPr>
        <w:t xml:space="preserve">(for example, broadcast periods of no less than </w:t>
      </w:r>
      <w:r>
        <w:rPr>
          <w:rFonts w:cs="Arial"/>
          <w:snapToGrid w:val="0"/>
        </w:rPr>
        <w:t xml:space="preserve">4 </w:t>
      </w:r>
      <w:r w:rsidRPr="00052902">
        <w:rPr>
          <w:rFonts w:cs="Arial"/>
          <w:snapToGrid w:val="0"/>
        </w:rPr>
        <w:t>hours duration)</w:t>
      </w:r>
    </w:p>
    <w:p w14:paraId="359422FC" w14:textId="77777777" w:rsidR="00726B8C" w:rsidRDefault="00726B8C" w:rsidP="00726B8C">
      <w:pPr>
        <w:pStyle w:val="ListBullet"/>
        <w:rPr>
          <w:rFonts w:cs="Arial"/>
          <w:snapToGrid w:val="0"/>
        </w:rPr>
      </w:pPr>
      <w:r w:rsidRPr="00052902">
        <w:rPr>
          <w:rFonts w:cs="Arial"/>
          <w:snapToGrid w:val="0"/>
        </w:rPr>
        <w:t xml:space="preserve">practical operational matters (for example, convenient changeover times) </w:t>
      </w:r>
    </w:p>
    <w:p w14:paraId="0F0EF6FA" w14:textId="77777777" w:rsidR="00726B8C" w:rsidRPr="00052902" w:rsidRDefault="00726B8C" w:rsidP="00726B8C">
      <w:pPr>
        <w:pStyle w:val="ListBullet"/>
        <w:rPr>
          <w:rFonts w:cs="Arial"/>
          <w:snapToGrid w:val="0"/>
        </w:rPr>
      </w:pPr>
      <w:r>
        <w:rPr>
          <w:rFonts w:cs="Arial"/>
          <w:snapToGrid w:val="0"/>
        </w:rPr>
        <w:t>the extent to which the timing conditions may affect the viability of the sharing parties to provide a service</w:t>
      </w:r>
    </w:p>
    <w:p w14:paraId="4C25934F" w14:textId="77777777" w:rsidR="00726B8C" w:rsidRPr="00052902" w:rsidRDefault="00726B8C" w:rsidP="00726B8C">
      <w:pPr>
        <w:pStyle w:val="ListBullet"/>
        <w:rPr>
          <w:rFonts w:cs="Arial"/>
          <w:snapToGrid w:val="0"/>
        </w:rPr>
      </w:pPr>
      <w:r w:rsidRPr="00052902">
        <w:rPr>
          <w:rFonts w:cs="Arial"/>
          <w:snapToGrid w:val="0"/>
        </w:rPr>
        <w:lastRenderedPageBreak/>
        <w:t xml:space="preserve">listener </w:t>
      </w:r>
      <w:r>
        <w:rPr>
          <w:rFonts w:cs="Arial"/>
          <w:snapToGrid w:val="0"/>
        </w:rPr>
        <w:t>requirements</w:t>
      </w:r>
      <w:r w:rsidRPr="00052902">
        <w:rPr>
          <w:rFonts w:cs="Arial"/>
          <w:snapToGrid w:val="0"/>
        </w:rPr>
        <w:t xml:space="preserve"> (for example, continuity of service and access to broadcasts of particular relevance to listeners in the licence area)</w:t>
      </w:r>
    </w:p>
    <w:p w14:paraId="58912A45" w14:textId="77777777" w:rsidR="00726B8C" w:rsidRPr="00052902" w:rsidRDefault="00726B8C" w:rsidP="00726B8C">
      <w:pPr>
        <w:pStyle w:val="ListBullet"/>
        <w:rPr>
          <w:rFonts w:cs="Arial"/>
          <w:snapToGrid w:val="0"/>
        </w:rPr>
      </w:pPr>
      <w:r w:rsidRPr="00052902">
        <w:rPr>
          <w:rFonts w:cs="Arial"/>
          <w:snapToGrid w:val="0"/>
        </w:rPr>
        <w:t xml:space="preserve">the </w:t>
      </w:r>
      <w:r>
        <w:rPr>
          <w:rFonts w:cs="Arial"/>
          <w:snapToGrid w:val="0"/>
        </w:rPr>
        <w:t>needs</w:t>
      </w:r>
      <w:r w:rsidRPr="00052902">
        <w:rPr>
          <w:rFonts w:cs="Arial"/>
          <w:snapToGrid w:val="0"/>
        </w:rPr>
        <w:t xml:space="preserve"> of the community interest represented by a licensee </w:t>
      </w:r>
      <w:r>
        <w:rPr>
          <w:rFonts w:cs="Arial"/>
          <w:snapToGrid w:val="0"/>
        </w:rPr>
        <w:t>to</w:t>
      </w:r>
      <w:r w:rsidRPr="00052902">
        <w:rPr>
          <w:rFonts w:cs="Arial"/>
          <w:snapToGrid w:val="0"/>
        </w:rPr>
        <w:t xml:space="preserve"> hear</w:t>
      </w:r>
      <w:r>
        <w:rPr>
          <w:rFonts w:cs="Arial"/>
          <w:snapToGrid w:val="0"/>
        </w:rPr>
        <w:t xml:space="preserve"> </w:t>
      </w:r>
      <w:r w:rsidRPr="00052902">
        <w:rPr>
          <w:rFonts w:cs="Arial"/>
          <w:snapToGrid w:val="0"/>
        </w:rPr>
        <w:t>broadcasts at particular times (for example, regular broadcasting</w:t>
      </w:r>
      <w:r>
        <w:rPr>
          <w:rFonts w:cs="Arial"/>
          <w:snapToGrid w:val="0"/>
        </w:rPr>
        <w:t xml:space="preserve"> on a particular day of the week</w:t>
      </w:r>
      <w:r w:rsidRPr="00052902">
        <w:rPr>
          <w:rFonts w:cs="Arial"/>
          <w:snapToGrid w:val="0"/>
        </w:rPr>
        <w:t xml:space="preserve"> may be important for </w:t>
      </w:r>
      <w:r>
        <w:rPr>
          <w:rFonts w:cs="Arial"/>
          <w:snapToGrid w:val="0"/>
        </w:rPr>
        <w:t>some religious</w:t>
      </w:r>
      <w:r w:rsidRPr="00052902">
        <w:rPr>
          <w:rFonts w:cs="Arial"/>
          <w:snapToGrid w:val="0"/>
        </w:rPr>
        <w:t xml:space="preserve"> communities)</w:t>
      </w:r>
    </w:p>
    <w:p w14:paraId="540F7A79" w14:textId="77777777" w:rsidR="00726B8C" w:rsidRPr="00052902" w:rsidRDefault="00726B8C" w:rsidP="00726B8C">
      <w:pPr>
        <w:pStyle w:val="ListBullet"/>
        <w:rPr>
          <w:rFonts w:cs="Arial"/>
          <w:snapToGrid w:val="0"/>
        </w:rPr>
      </w:pPr>
      <w:r w:rsidRPr="00052902">
        <w:rPr>
          <w:rFonts w:cs="Arial"/>
          <w:snapToGrid w:val="0"/>
        </w:rPr>
        <w:t xml:space="preserve">submissions by </w:t>
      </w:r>
      <w:r>
        <w:rPr>
          <w:rFonts w:cs="Arial"/>
          <w:snapToGrid w:val="0"/>
        </w:rPr>
        <w:t>TCBL</w:t>
      </w:r>
      <w:r w:rsidRPr="00052902">
        <w:rPr>
          <w:rFonts w:cs="Arial"/>
          <w:snapToGrid w:val="0"/>
        </w:rPr>
        <w:t xml:space="preserve"> holders on their particular </w:t>
      </w:r>
      <w:r>
        <w:rPr>
          <w:rFonts w:cs="Arial"/>
          <w:snapToGrid w:val="0"/>
        </w:rPr>
        <w:t>constraints</w:t>
      </w:r>
      <w:r w:rsidRPr="00052902">
        <w:rPr>
          <w:rFonts w:cs="Arial"/>
          <w:snapToGrid w:val="0"/>
        </w:rPr>
        <w:t xml:space="preserve"> (for example, periods when they have access to transmission facilities, or their desire to provide programming during particular periods to meet local community needs) </w:t>
      </w:r>
    </w:p>
    <w:p w14:paraId="70DA52E3" w14:textId="77777777" w:rsidR="00726B8C" w:rsidRPr="00052902" w:rsidRDefault="00726B8C" w:rsidP="00726B8C">
      <w:pPr>
        <w:pStyle w:val="ListBullet"/>
        <w:rPr>
          <w:rFonts w:cs="Arial"/>
          <w:snapToGrid w:val="0"/>
        </w:rPr>
      </w:pPr>
      <w:r w:rsidRPr="00052902">
        <w:rPr>
          <w:rFonts w:cs="Arial"/>
          <w:snapToGrid w:val="0"/>
        </w:rPr>
        <w:t xml:space="preserve">the opportunity </w:t>
      </w:r>
      <w:r>
        <w:rPr>
          <w:rFonts w:cs="Arial"/>
          <w:snapToGrid w:val="0"/>
        </w:rPr>
        <w:t>for TCBL</w:t>
      </w:r>
      <w:r w:rsidRPr="00052902">
        <w:rPr>
          <w:rFonts w:cs="Arial"/>
          <w:snapToGrid w:val="0"/>
        </w:rPr>
        <w:t xml:space="preserve"> holders to develop their broadcasting skills and programming expertise, as well as to gain an audience base and build community support for their service </w:t>
      </w:r>
    </w:p>
    <w:p w14:paraId="02AAD3FE" w14:textId="77777777" w:rsidR="00726B8C" w:rsidRPr="00052902" w:rsidRDefault="00726B8C" w:rsidP="00726B8C">
      <w:pPr>
        <w:pStyle w:val="ListBullet"/>
        <w:rPr>
          <w:rFonts w:cs="Arial"/>
          <w:snapToGrid w:val="0"/>
        </w:rPr>
      </w:pPr>
      <w:r w:rsidRPr="00052902">
        <w:rPr>
          <w:rFonts w:cs="Arial"/>
          <w:snapToGrid w:val="0"/>
        </w:rPr>
        <w:t xml:space="preserve">the broadcasting experience of the </w:t>
      </w:r>
      <w:r>
        <w:rPr>
          <w:rFonts w:cs="Arial"/>
          <w:snapToGrid w:val="0"/>
        </w:rPr>
        <w:t>TCBL</w:t>
      </w:r>
      <w:r w:rsidRPr="00052902">
        <w:rPr>
          <w:rFonts w:cs="Arial"/>
          <w:snapToGrid w:val="0"/>
        </w:rPr>
        <w:t xml:space="preserve"> holder, including </w:t>
      </w:r>
      <w:r>
        <w:rPr>
          <w:rFonts w:cs="Arial"/>
          <w:snapToGrid w:val="0"/>
        </w:rPr>
        <w:t xml:space="preserve">any prior </w:t>
      </w:r>
      <w:r w:rsidRPr="00052902">
        <w:rPr>
          <w:rFonts w:cs="Arial"/>
          <w:snapToGrid w:val="0"/>
        </w:rPr>
        <w:t xml:space="preserve">experience as a long-term </w:t>
      </w:r>
      <w:r>
        <w:rPr>
          <w:rFonts w:cs="Arial"/>
          <w:snapToGrid w:val="0"/>
        </w:rPr>
        <w:t>or</w:t>
      </w:r>
      <w:r w:rsidRPr="00052902">
        <w:rPr>
          <w:rFonts w:cs="Arial"/>
          <w:snapToGrid w:val="0"/>
        </w:rPr>
        <w:t xml:space="preserve"> temporary community broadcaster</w:t>
      </w:r>
    </w:p>
    <w:p w14:paraId="6E935EC2" w14:textId="77777777" w:rsidR="00726B8C" w:rsidRPr="00985617" w:rsidRDefault="00726B8C" w:rsidP="00726B8C">
      <w:pPr>
        <w:pStyle w:val="ListBullet"/>
        <w:rPr>
          <w:rFonts w:cs="Arial"/>
          <w:snapToGrid w:val="0"/>
        </w:rPr>
      </w:pPr>
      <w:r w:rsidRPr="00052902">
        <w:rPr>
          <w:rFonts w:cs="Arial"/>
          <w:snapToGrid w:val="0"/>
        </w:rPr>
        <w:t xml:space="preserve">the </w:t>
      </w:r>
      <w:r>
        <w:rPr>
          <w:rFonts w:cs="Arial"/>
          <w:snapToGrid w:val="0"/>
        </w:rPr>
        <w:t>applicant’s</w:t>
      </w:r>
      <w:r w:rsidRPr="00052902">
        <w:rPr>
          <w:rFonts w:cs="Arial"/>
          <w:snapToGrid w:val="0"/>
        </w:rPr>
        <w:t xml:space="preserve"> history of compliance with codes of practice and licence conditions during previous long-term or temporary community broadcasting licences</w:t>
      </w:r>
    </w:p>
    <w:p w14:paraId="26A72E1E" w14:textId="77777777" w:rsidR="00726B8C" w:rsidRPr="00052902" w:rsidRDefault="00726B8C" w:rsidP="00726B8C">
      <w:pPr>
        <w:pStyle w:val="ListBullet"/>
        <w:spacing w:after="240"/>
        <w:rPr>
          <w:rFonts w:cs="Arial"/>
        </w:rPr>
      </w:pPr>
      <w:r w:rsidRPr="00052902">
        <w:rPr>
          <w:rFonts w:cs="Arial"/>
          <w:snapToGrid w:val="0"/>
        </w:rPr>
        <w:t>other matters as relevant on a case-by-case basis.</w:t>
      </w:r>
    </w:p>
    <w:p w14:paraId="1A778914" w14:textId="5CC94AC3" w:rsidR="00726B8C" w:rsidRPr="00766EDD" w:rsidRDefault="005C69B2" w:rsidP="009A17F1">
      <w:pPr>
        <w:pBdr>
          <w:top w:val="single" w:sz="4" w:space="1" w:color="auto"/>
          <w:left w:val="single" w:sz="4" w:space="4" w:color="auto"/>
          <w:bottom w:val="single" w:sz="4" w:space="1" w:color="auto"/>
          <w:right w:val="single" w:sz="4" w:space="4" w:color="auto"/>
        </w:pBdr>
        <w:shd w:val="clear" w:color="auto" w:fill="F2F2F2" w:themeFill="background1" w:themeFillShade="F2"/>
        <w:spacing w:after="80"/>
        <w:rPr>
          <w:rFonts w:cs="Arial"/>
          <w:bCs/>
        </w:rPr>
      </w:pPr>
      <w:r>
        <w:rPr>
          <w:rFonts w:cs="Arial"/>
          <w:b/>
        </w:rPr>
        <w:t>Please n</w:t>
      </w:r>
      <w:r w:rsidR="001E16ED">
        <w:rPr>
          <w:rFonts w:cs="Arial"/>
          <w:b/>
        </w:rPr>
        <w:t xml:space="preserve">ote: </w:t>
      </w:r>
      <w:r w:rsidR="00726B8C" w:rsidRPr="00766EDD">
        <w:rPr>
          <w:rFonts w:cs="Arial"/>
          <w:bCs/>
        </w:rPr>
        <w:t>Timing conditions are determined by the ACMA, consistent with the above relevant considerations and all available and relevant information.</w:t>
      </w:r>
    </w:p>
    <w:p w14:paraId="76D280BB" w14:textId="77777777" w:rsidR="00726B8C" w:rsidRPr="00052902" w:rsidRDefault="00726B8C" w:rsidP="00726B8C">
      <w:pPr>
        <w:pStyle w:val="Heading1"/>
      </w:pPr>
      <w:bookmarkStart w:id="140" w:name="_Toc306369883"/>
      <w:bookmarkStart w:id="141" w:name="_Toc75850311"/>
      <w:bookmarkStart w:id="142" w:name="_Toc75868717"/>
      <w:bookmarkStart w:id="143" w:name="_Toc75868811"/>
      <w:bookmarkStart w:id="144" w:name="_Toc75868878"/>
      <w:bookmarkStart w:id="145" w:name="_Toc84847024"/>
      <w:bookmarkStart w:id="146" w:name="_Toc137562998"/>
      <w:r w:rsidRPr="00052902">
        <w:rPr>
          <w:lang w:val="en-US"/>
        </w:rPr>
        <w:lastRenderedPageBreak/>
        <w:t>Varying licence periods and timing conditions</w:t>
      </w:r>
      <w:bookmarkEnd w:id="140"/>
      <w:bookmarkEnd w:id="141"/>
      <w:bookmarkEnd w:id="142"/>
      <w:bookmarkEnd w:id="143"/>
      <w:bookmarkEnd w:id="144"/>
      <w:bookmarkEnd w:id="145"/>
      <w:bookmarkEnd w:id="146"/>
    </w:p>
    <w:p w14:paraId="04A1762E" w14:textId="77777777" w:rsidR="00726B8C" w:rsidRPr="00052902" w:rsidRDefault="00726B8C" w:rsidP="00726B8C">
      <w:pPr>
        <w:pStyle w:val="Heading2"/>
      </w:pPr>
      <w:bookmarkStart w:id="147" w:name="_Toc306369884"/>
      <w:bookmarkStart w:id="148" w:name="_Toc75850312"/>
      <w:bookmarkStart w:id="149" w:name="_Toc75868718"/>
      <w:bookmarkStart w:id="150" w:name="_Toc75868812"/>
      <w:bookmarkStart w:id="151" w:name="_Toc75868879"/>
      <w:bookmarkStart w:id="152" w:name="_Toc84847025"/>
      <w:bookmarkStart w:id="153" w:name="_Toc137562999"/>
      <w:r w:rsidRPr="00052902">
        <w:t>Varying licence periods</w:t>
      </w:r>
      <w:bookmarkEnd w:id="147"/>
      <w:bookmarkEnd w:id="148"/>
      <w:bookmarkEnd w:id="149"/>
      <w:bookmarkEnd w:id="150"/>
      <w:bookmarkEnd w:id="151"/>
      <w:bookmarkEnd w:id="152"/>
      <w:bookmarkEnd w:id="153"/>
    </w:p>
    <w:p w14:paraId="413F7A15" w14:textId="4350CA73" w:rsidR="00726B8C" w:rsidRPr="00052902" w:rsidRDefault="00726B8C" w:rsidP="00726B8C">
      <w:pPr>
        <w:rPr>
          <w:rFonts w:cs="Arial"/>
          <w:lang w:val="en-US"/>
        </w:rPr>
      </w:pPr>
      <w:r>
        <w:rPr>
          <w:rFonts w:cs="Arial"/>
          <w:lang w:val="en-US"/>
        </w:rPr>
        <w:t>We</w:t>
      </w:r>
      <w:r w:rsidRPr="00052902">
        <w:rPr>
          <w:rFonts w:cs="Arial"/>
          <w:lang w:val="en-US"/>
        </w:rPr>
        <w:t xml:space="preserve"> may vary the period of a </w:t>
      </w:r>
      <w:r>
        <w:rPr>
          <w:rFonts w:cs="Arial"/>
          <w:lang w:val="en-US"/>
        </w:rPr>
        <w:t>TCBL</w:t>
      </w:r>
      <w:r w:rsidRPr="00052902">
        <w:rPr>
          <w:rStyle w:val="FootnoteReference"/>
          <w:rFonts w:cs="Arial"/>
          <w:lang w:val="en-US"/>
        </w:rPr>
        <w:footnoteReference w:id="24"/>
      </w:r>
      <w:r w:rsidRPr="00052902">
        <w:rPr>
          <w:rFonts w:cs="Arial"/>
          <w:lang w:val="en-US"/>
        </w:rPr>
        <w:t xml:space="preserve"> to reduce the licence period</w:t>
      </w:r>
      <w:r w:rsidRPr="00052902">
        <w:rPr>
          <w:rStyle w:val="FootnoteReference"/>
          <w:rFonts w:cs="Arial"/>
          <w:lang w:val="en-US"/>
        </w:rPr>
        <w:footnoteReference w:id="25"/>
      </w:r>
      <w:r w:rsidRPr="00052902">
        <w:rPr>
          <w:rFonts w:cs="Arial"/>
          <w:lang w:val="en-US"/>
        </w:rPr>
        <w:t xml:space="preserve"> or, in the case of </w:t>
      </w:r>
      <w:r w:rsidR="0075461C">
        <w:rPr>
          <w:rFonts w:cs="Arial"/>
          <w:lang w:val="en-US"/>
        </w:rPr>
        <w:br/>
      </w:r>
      <w:r w:rsidRPr="00052902">
        <w:rPr>
          <w:rFonts w:cs="Arial"/>
          <w:lang w:val="en-US"/>
        </w:rPr>
        <w:t xml:space="preserve">a period of </w:t>
      </w:r>
      <w:r>
        <w:rPr>
          <w:rFonts w:cs="Arial"/>
          <w:lang w:val="en-US"/>
        </w:rPr>
        <w:t>less</w:t>
      </w:r>
      <w:r w:rsidRPr="00052902">
        <w:rPr>
          <w:rFonts w:cs="Arial"/>
          <w:lang w:val="en-US"/>
        </w:rPr>
        <w:t xml:space="preserve"> than 12 months, to extend the licence period to a maximum of </w:t>
      </w:r>
      <w:r w:rsidR="0075461C">
        <w:rPr>
          <w:rFonts w:cs="Arial"/>
          <w:lang w:val="en-US"/>
        </w:rPr>
        <w:br/>
      </w:r>
      <w:r w:rsidRPr="00052902">
        <w:rPr>
          <w:rFonts w:cs="Arial"/>
          <w:lang w:val="en-US"/>
        </w:rPr>
        <w:t>12 months.</w:t>
      </w:r>
    </w:p>
    <w:p w14:paraId="3B3B5A63" w14:textId="77777777" w:rsidR="00726B8C" w:rsidRPr="00052902" w:rsidRDefault="00726B8C" w:rsidP="00726B8C">
      <w:pPr>
        <w:rPr>
          <w:rFonts w:cs="Arial"/>
          <w:snapToGrid w:val="0"/>
        </w:rPr>
      </w:pPr>
      <w:r w:rsidRPr="00052902">
        <w:rPr>
          <w:rFonts w:cs="Arial"/>
          <w:lang w:val="en-US"/>
        </w:rPr>
        <w:t xml:space="preserve">Before varying a licence period, </w:t>
      </w:r>
      <w:r>
        <w:rPr>
          <w:rFonts w:cs="Arial"/>
          <w:lang w:val="en-US"/>
        </w:rPr>
        <w:t>we will</w:t>
      </w:r>
      <w:r w:rsidRPr="00052902">
        <w:rPr>
          <w:rFonts w:cs="Arial"/>
          <w:lang w:val="en-US"/>
        </w:rPr>
        <w:t xml:space="preserve"> </w:t>
      </w:r>
      <w:r w:rsidRPr="00052902">
        <w:rPr>
          <w:rFonts w:cs="Arial"/>
          <w:snapToGrid w:val="0"/>
        </w:rPr>
        <w:t xml:space="preserve">write to the </w:t>
      </w:r>
      <w:r>
        <w:rPr>
          <w:rFonts w:cs="Arial"/>
          <w:snapToGrid w:val="0"/>
        </w:rPr>
        <w:t>TCBL</w:t>
      </w:r>
      <w:r w:rsidRPr="00052902">
        <w:rPr>
          <w:rFonts w:cs="Arial"/>
          <w:snapToGrid w:val="0"/>
        </w:rPr>
        <w:t xml:space="preserve"> holder, advising </w:t>
      </w:r>
      <w:r>
        <w:rPr>
          <w:rFonts w:cs="Arial"/>
          <w:snapToGrid w:val="0"/>
        </w:rPr>
        <w:t xml:space="preserve">our </w:t>
      </w:r>
      <w:r w:rsidRPr="00052902">
        <w:rPr>
          <w:rFonts w:cs="Arial"/>
          <w:snapToGrid w:val="0"/>
        </w:rPr>
        <w:t xml:space="preserve">intention to vary the licence period and </w:t>
      </w:r>
      <w:r>
        <w:rPr>
          <w:rFonts w:cs="Arial"/>
          <w:snapToGrid w:val="0"/>
        </w:rPr>
        <w:t>providing</w:t>
      </w:r>
      <w:r w:rsidRPr="00052902">
        <w:rPr>
          <w:rFonts w:cs="Arial"/>
          <w:snapToGrid w:val="0"/>
        </w:rPr>
        <w:t xml:space="preserve"> a reasonable opportunity to make representations to the ACMA</w:t>
      </w:r>
      <w:r>
        <w:rPr>
          <w:rFonts w:cs="Arial"/>
          <w:snapToGrid w:val="0"/>
        </w:rPr>
        <w:t xml:space="preserve"> </w:t>
      </w:r>
      <w:r w:rsidRPr="00052902">
        <w:rPr>
          <w:rFonts w:cs="Arial"/>
          <w:snapToGrid w:val="0"/>
        </w:rPr>
        <w:t>on the proposed action.</w:t>
      </w:r>
      <w:r w:rsidRPr="00052902">
        <w:rPr>
          <w:rStyle w:val="FootnoteReference"/>
          <w:rFonts w:cs="Arial"/>
          <w:snapToGrid w:val="0"/>
        </w:rPr>
        <w:footnoteReference w:id="26"/>
      </w:r>
    </w:p>
    <w:p w14:paraId="6F074AE0" w14:textId="443EEE27" w:rsidR="00726B8C" w:rsidRPr="00052902" w:rsidRDefault="00726B8C" w:rsidP="00726B8C">
      <w:pPr>
        <w:rPr>
          <w:rFonts w:cs="Arial"/>
          <w:lang w:val="en-US"/>
        </w:rPr>
      </w:pPr>
      <w:r w:rsidRPr="00052902">
        <w:rPr>
          <w:rFonts w:cs="Arial"/>
          <w:lang w:val="en-US"/>
        </w:rPr>
        <w:t xml:space="preserve">In varying a licence period, </w:t>
      </w:r>
      <w:r>
        <w:rPr>
          <w:rFonts w:cs="Arial"/>
          <w:lang w:val="en-US"/>
        </w:rPr>
        <w:t>we consider</w:t>
      </w:r>
      <w:r w:rsidRPr="00052902">
        <w:rPr>
          <w:rFonts w:cs="Arial"/>
          <w:lang w:val="en-US"/>
        </w:rPr>
        <w:t xml:space="preserve"> the same </w:t>
      </w:r>
      <w:r>
        <w:rPr>
          <w:rFonts w:cs="Arial"/>
          <w:lang w:val="en-US"/>
        </w:rPr>
        <w:t xml:space="preserve">or similar </w:t>
      </w:r>
      <w:r w:rsidRPr="00052902">
        <w:rPr>
          <w:rFonts w:cs="Arial"/>
          <w:lang w:val="en-US"/>
        </w:rPr>
        <w:t xml:space="preserve">matters </w:t>
      </w:r>
      <w:r>
        <w:rPr>
          <w:rFonts w:cs="Arial"/>
          <w:lang w:val="en-US"/>
        </w:rPr>
        <w:t>as we did</w:t>
      </w:r>
      <w:r w:rsidRPr="00052902">
        <w:rPr>
          <w:rFonts w:cs="Arial"/>
          <w:lang w:val="en-US"/>
        </w:rPr>
        <w:t xml:space="preserve"> </w:t>
      </w:r>
      <w:r>
        <w:rPr>
          <w:rFonts w:cs="Arial"/>
          <w:lang w:val="en-US"/>
        </w:rPr>
        <w:t>to</w:t>
      </w:r>
      <w:r w:rsidRPr="00052902">
        <w:rPr>
          <w:rFonts w:cs="Arial"/>
          <w:lang w:val="en-US"/>
        </w:rPr>
        <w:t xml:space="preserve"> determin</w:t>
      </w:r>
      <w:r>
        <w:rPr>
          <w:rFonts w:cs="Arial"/>
          <w:lang w:val="en-US"/>
        </w:rPr>
        <w:t>e the</w:t>
      </w:r>
      <w:r w:rsidRPr="00052902">
        <w:rPr>
          <w:rFonts w:cs="Arial"/>
          <w:lang w:val="en-US"/>
        </w:rPr>
        <w:t xml:space="preserve"> original licence period. </w:t>
      </w:r>
    </w:p>
    <w:p w14:paraId="245CDB13" w14:textId="58533E59" w:rsidR="00726B8C" w:rsidRPr="00052902" w:rsidRDefault="0075461C" w:rsidP="009A17F1">
      <w:pPr>
        <w:pBdr>
          <w:top w:val="single" w:sz="4" w:space="1" w:color="auto"/>
          <w:left w:val="single" w:sz="4" w:space="4" w:color="auto"/>
          <w:bottom w:val="single" w:sz="4" w:space="1" w:color="auto"/>
          <w:right w:val="single" w:sz="4" w:space="4" w:color="auto"/>
        </w:pBdr>
        <w:shd w:val="clear" w:color="auto" w:fill="F2F2F2" w:themeFill="background1" w:themeFillShade="F2"/>
        <w:spacing w:after="80"/>
        <w:rPr>
          <w:rFonts w:cs="Arial"/>
          <w:b/>
          <w:lang w:val="en-US"/>
        </w:rPr>
      </w:pPr>
      <w:r>
        <w:rPr>
          <w:rFonts w:cs="Arial"/>
          <w:b/>
        </w:rPr>
        <w:t>Please n</w:t>
      </w:r>
      <w:r w:rsidR="001E16ED">
        <w:rPr>
          <w:rFonts w:cs="Arial"/>
          <w:b/>
        </w:rPr>
        <w:t xml:space="preserve">ote: </w:t>
      </w:r>
      <w:r w:rsidR="00726B8C" w:rsidRPr="00766EDD">
        <w:rPr>
          <w:rFonts w:cs="Arial"/>
          <w:bCs/>
          <w:lang w:val="en-US"/>
        </w:rPr>
        <w:t>The ACMA cannot vary a licence period to exceed the maximum allowable 12 months.</w:t>
      </w:r>
    </w:p>
    <w:p w14:paraId="194D3694" w14:textId="77777777" w:rsidR="00726B8C" w:rsidRPr="00052902" w:rsidRDefault="00726B8C" w:rsidP="00726B8C">
      <w:pPr>
        <w:pStyle w:val="Heading2"/>
      </w:pPr>
      <w:bookmarkStart w:id="154" w:name="_Toc306369885"/>
      <w:bookmarkStart w:id="155" w:name="_Toc75850313"/>
      <w:bookmarkStart w:id="156" w:name="_Toc75868719"/>
      <w:bookmarkStart w:id="157" w:name="_Toc75868813"/>
      <w:bookmarkStart w:id="158" w:name="_Toc75868880"/>
      <w:bookmarkStart w:id="159" w:name="_Toc84847026"/>
      <w:bookmarkStart w:id="160" w:name="_Toc137563000"/>
      <w:r w:rsidRPr="00052902">
        <w:t>Varying timing conditions</w:t>
      </w:r>
      <w:bookmarkEnd w:id="154"/>
      <w:bookmarkEnd w:id="155"/>
      <w:bookmarkEnd w:id="156"/>
      <w:bookmarkEnd w:id="157"/>
      <w:bookmarkEnd w:id="158"/>
      <w:bookmarkEnd w:id="159"/>
      <w:bookmarkEnd w:id="160"/>
    </w:p>
    <w:p w14:paraId="42339AF7" w14:textId="17FDBC34" w:rsidR="00726B8C" w:rsidRPr="00052902" w:rsidRDefault="00726B8C" w:rsidP="00726B8C">
      <w:pPr>
        <w:rPr>
          <w:rFonts w:cs="Arial"/>
          <w:lang w:val="en-US"/>
        </w:rPr>
      </w:pPr>
      <w:r w:rsidRPr="00052902">
        <w:rPr>
          <w:rFonts w:cs="Arial"/>
          <w:lang w:val="en-US"/>
        </w:rPr>
        <w:t xml:space="preserve">Once a </w:t>
      </w:r>
      <w:r>
        <w:rPr>
          <w:rFonts w:cs="Arial"/>
          <w:lang w:val="en-US"/>
        </w:rPr>
        <w:t>TCBL</w:t>
      </w:r>
      <w:r w:rsidRPr="00052902">
        <w:rPr>
          <w:rFonts w:cs="Arial"/>
          <w:lang w:val="en-US"/>
        </w:rPr>
        <w:t xml:space="preserve"> has been allocated and the timing conditions determined, </w:t>
      </w:r>
      <w:r>
        <w:rPr>
          <w:rFonts w:cs="Arial"/>
          <w:lang w:val="en-US"/>
        </w:rPr>
        <w:t>we</w:t>
      </w:r>
      <w:r w:rsidRPr="00052902">
        <w:rPr>
          <w:rFonts w:cs="Arial"/>
          <w:lang w:val="en-US"/>
        </w:rPr>
        <w:t xml:space="preserve"> may vary the timing conditions to accommodate a change in circumstances since the original timing conditions</w:t>
      </w:r>
      <w:r>
        <w:rPr>
          <w:rFonts w:cs="Arial"/>
          <w:lang w:val="en-US"/>
        </w:rPr>
        <w:t xml:space="preserve"> (see </w:t>
      </w:r>
      <w:hyperlink w:anchor="_How_timing_conditions" w:history="1">
        <w:r w:rsidR="00B15201" w:rsidRPr="007565F3">
          <w:rPr>
            <w:rStyle w:val="Hyperlink"/>
            <w:rFonts w:cs="Arial"/>
            <w:lang w:val="en-US"/>
          </w:rPr>
          <w:t>How timing conditions</w:t>
        </w:r>
        <w:r w:rsidR="009C3DA0" w:rsidRPr="007565F3">
          <w:rPr>
            <w:rStyle w:val="Hyperlink"/>
            <w:rFonts w:cs="Arial"/>
            <w:lang w:val="en-US"/>
          </w:rPr>
          <w:t xml:space="preserve"> are</w:t>
        </w:r>
        <w:r w:rsidR="00B15201" w:rsidRPr="007565F3">
          <w:rPr>
            <w:rStyle w:val="Hyperlink"/>
            <w:rFonts w:cs="Arial"/>
            <w:lang w:val="en-US"/>
          </w:rPr>
          <w:t xml:space="preserve"> determined</w:t>
        </w:r>
      </w:hyperlink>
      <w:r>
        <w:rPr>
          <w:rFonts w:cs="Arial"/>
          <w:lang w:val="en-US"/>
        </w:rPr>
        <w:t>) were determined</w:t>
      </w:r>
      <w:r w:rsidRPr="00052902">
        <w:rPr>
          <w:rFonts w:cs="Arial"/>
          <w:lang w:val="en-US"/>
        </w:rPr>
        <w:t>.</w:t>
      </w:r>
      <w:r w:rsidRPr="00052902">
        <w:rPr>
          <w:rStyle w:val="FootnoteReference"/>
          <w:rFonts w:cs="Arial"/>
          <w:lang w:val="en-US"/>
        </w:rPr>
        <w:footnoteReference w:id="27"/>
      </w:r>
      <w:r w:rsidRPr="00052902">
        <w:rPr>
          <w:rFonts w:cs="Arial"/>
          <w:lang w:val="en-US"/>
        </w:rPr>
        <w:t xml:space="preserve"> </w:t>
      </w:r>
    </w:p>
    <w:p w14:paraId="50CCCF58" w14:textId="473A0B57" w:rsidR="00726B8C" w:rsidRPr="00052902" w:rsidRDefault="00726B8C" w:rsidP="00726B8C">
      <w:pPr>
        <w:rPr>
          <w:rFonts w:cs="Arial"/>
          <w:lang w:val="en-US"/>
        </w:rPr>
      </w:pPr>
      <w:r w:rsidRPr="00052902">
        <w:rPr>
          <w:rFonts w:cs="Arial"/>
          <w:lang w:val="en-US"/>
        </w:rPr>
        <w:t xml:space="preserve">In varying timing conditions, </w:t>
      </w:r>
      <w:r>
        <w:rPr>
          <w:rFonts w:cs="Arial"/>
          <w:lang w:val="en-US"/>
        </w:rPr>
        <w:t>we consider</w:t>
      </w:r>
      <w:r w:rsidRPr="00052902">
        <w:rPr>
          <w:rFonts w:cs="Arial"/>
          <w:lang w:val="en-US"/>
        </w:rPr>
        <w:t xml:space="preserve"> the same </w:t>
      </w:r>
      <w:r>
        <w:rPr>
          <w:rFonts w:cs="Arial"/>
          <w:lang w:val="en-US"/>
        </w:rPr>
        <w:t xml:space="preserve">or similar </w:t>
      </w:r>
      <w:r w:rsidRPr="00052902">
        <w:rPr>
          <w:rFonts w:cs="Arial"/>
          <w:lang w:val="en-US"/>
        </w:rPr>
        <w:t xml:space="preserve">matters </w:t>
      </w:r>
      <w:r>
        <w:rPr>
          <w:rFonts w:cs="Arial"/>
          <w:lang w:val="en-US"/>
        </w:rPr>
        <w:t xml:space="preserve">as we </w:t>
      </w:r>
      <w:r w:rsidR="00B15201">
        <w:rPr>
          <w:rFonts w:cs="Arial"/>
          <w:lang w:val="en-US"/>
        </w:rPr>
        <w:t>did</w:t>
      </w:r>
      <w:r>
        <w:rPr>
          <w:rFonts w:cs="Arial"/>
          <w:lang w:val="en-US"/>
        </w:rPr>
        <w:t xml:space="preserve"> to</w:t>
      </w:r>
      <w:r w:rsidRPr="00052902">
        <w:rPr>
          <w:rFonts w:cs="Arial"/>
          <w:lang w:val="en-US"/>
        </w:rPr>
        <w:t xml:space="preserve"> determine original timing conditions</w:t>
      </w:r>
      <w:r>
        <w:rPr>
          <w:rFonts w:cs="Arial"/>
          <w:lang w:val="en-US"/>
        </w:rPr>
        <w:t xml:space="preserve"> (see </w:t>
      </w:r>
      <w:hyperlink w:anchor="_How_timing_conditions" w:history="1">
        <w:r w:rsidR="00B15201" w:rsidRPr="007565F3">
          <w:rPr>
            <w:rStyle w:val="Hyperlink"/>
            <w:rFonts w:cs="Arial"/>
            <w:lang w:val="en-US"/>
          </w:rPr>
          <w:t>How timing conditions</w:t>
        </w:r>
        <w:r w:rsidR="009C3DA0" w:rsidRPr="007565F3">
          <w:rPr>
            <w:rStyle w:val="Hyperlink"/>
            <w:rFonts w:cs="Arial"/>
            <w:lang w:val="en-US"/>
          </w:rPr>
          <w:t xml:space="preserve"> are</w:t>
        </w:r>
        <w:r w:rsidR="00B15201" w:rsidRPr="007565F3">
          <w:rPr>
            <w:rStyle w:val="Hyperlink"/>
            <w:rFonts w:cs="Arial"/>
            <w:lang w:val="en-US"/>
          </w:rPr>
          <w:t xml:space="preserve"> determined</w:t>
        </w:r>
      </w:hyperlink>
      <w:r>
        <w:rPr>
          <w:rFonts w:cs="Arial"/>
          <w:lang w:val="en-US"/>
        </w:rPr>
        <w:t>)</w:t>
      </w:r>
      <w:r w:rsidRPr="00052902">
        <w:rPr>
          <w:rFonts w:cs="Arial"/>
          <w:lang w:val="en-US"/>
        </w:rPr>
        <w:t>.</w:t>
      </w:r>
    </w:p>
    <w:p w14:paraId="5C3B4619" w14:textId="77777777" w:rsidR="00726B8C" w:rsidRPr="00052902" w:rsidRDefault="00726B8C" w:rsidP="00726B8C">
      <w:pPr>
        <w:pStyle w:val="Heading3"/>
      </w:pPr>
      <w:bookmarkStart w:id="161" w:name="_Toc306369886"/>
      <w:bookmarkStart w:id="162" w:name="_Toc75850314"/>
      <w:r w:rsidRPr="00052902">
        <w:t xml:space="preserve">Variation requested by a </w:t>
      </w:r>
      <w:r>
        <w:t>TCBL</w:t>
      </w:r>
      <w:r w:rsidRPr="00052902">
        <w:t xml:space="preserve"> holder</w:t>
      </w:r>
      <w:bookmarkEnd w:id="161"/>
      <w:bookmarkEnd w:id="162"/>
    </w:p>
    <w:p w14:paraId="68FD12D5" w14:textId="77777777" w:rsidR="00726B8C" w:rsidRPr="00052902" w:rsidRDefault="00726B8C" w:rsidP="00726B8C">
      <w:pPr>
        <w:rPr>
          <w:rFonts w:cs="Arial"/>
          <w:lang w:val="en-US"/>
        </w:rPr>
      </w:pPr>
      <w:r w:rsidRPr="00052902">
        <w:rPr>
          <w:rFonts w:cs="Arial"/>
          <w:lang w:val="en-US"/>
        </w:rPr>
        <w:t xml:space="preserve">A </w:t>
      </w:r>
      <w:r>
        <w:rPr>
          <w:rFonts w:cs="Arial"/>
          <w:lang w:val="en-US"/>
        </w:rPr>
        <w:t>TCBL</w:t>
      </w:r>
      <w:r w:rsidRPr="00052902">
        <w:rPr>
          <w:rFonts w:cs="Arial"/>
          <w:lang w:val="en-US"/>
        </w:rPr>
        <w:t xml:space="preserve"> holder may ask the ACMA to vary timing conditions. For example, a </w:t>
      </w:r>
      <w:r>
        <w:rPr>
          <w:rFonts w:cs="Arial"/>
          <w:lang w:val="en-US"/>
        </w:rPr>
        <w:t>TCBL</w:t>
      </w:r>
      <w:r w:rsidRPr="00052902">
        <w:rPr>
          <w:rFonts w:cs="Arial"/>
          <w:lang w:val="en-US"/>
        </w:rPr>
        <w:t xml:space="preserve"> holder may wish to broadcast coverage of an event or occurrence that falls outside its permitted broadcast times but is relevan</w:t>
      </w:r>
      <w:r>
        <w:rPr>
          <w:rFonts w:cs="Arial"/>
          <w:lang w:val="en-US"/>
        </w:rPr>
        <w:t xml:space="preserve">t </w:t>
      </w:r>
      <w:r w:rsidRPr="00052902">
        <w:rPr>
          <w:rFonts w:cs="Arial"/>
          <w:lang w:val="en-US"/>
        </w:rPr>
        <w:t>to its community interest.</w:t>
      </w:r>
    </w:p>
    <w:p w14:paraId="4FC868D8" w14:textId="28AC8C05" w:rsidR="00726B8C" w:rsidRPr="00052902" w:rsidRDefault="00726B8C" w:rsidP="00726B8C">
      <w:pPr>
        <w:keepNext/>
        <w:rPr>
          <w:rFonts w:cs="Arial"/>
        </w:rPr>
      </w:pPr>
      <w:r w:rsidRPr="00052902">
        <w:rPr>
          <w:rFonts w:cs="Arial"/>
          <w:lang w:val="en-US"/>
        </w:rPr>
        <w:t xml:space="preserve">Before varying timing conditions, </w:t>
      </w:r>
      <w:r>
        <w:rPr>
          <w:rFonts w:cs="Arial"/>
          <w:lang w:val="en-US"/>
        </w:rPr>
        <w:t>we will</w:t>
      </w:r>
      <w:r w:rsidRPr="00052902">
        <w:rPr>
          <w:rFonts w:cs="Arial"/>
          <w:lang w:val="en-US"/>
        </w:rPr>
        <w:t xml:space="preserve"> </w:t>
      </w:r>
      <w:r w:rsidRPr="00052902">
        <w:rPr>
          <w:rFonts w:cs="Arial"/>
        </w:rPr>
        <w:t xml:space="preserve">write to all </w:t>
      </w:r>
      <w:r>
        <w:rPr>
          <w:rFonts w:cs="Arial"/>
        </w:rPr>
        <w:t>TCBL</w:t>
      </w:r>
      <w:r w:rsidRPr="00052902">
        <w:rPr>
          <w:rFonts w:cs="Arial"/>
        </w:rPr>
        <w:t xml:space="preserve"> holders sharing broadcast time on the frequency, advising </w:t>
      </w:r>
      <w:r>
        <w:rPr>
          <w:rFonts w:cs="Arial"/>
        </w:rPr>
        <w:t>our</w:t>
      </w:r>
      <w:r w:rsidRPr="00052902">
        <w:rPr>
          <w:rFonts w:cs="Arial"/>
        </w:rPr>
        <w:t xml:space="preserve"> intention to vary the timing conditions, and giving them a reasonable opportunity to make representations on the proposed action.</w:t>
      </w:r>
      <w:r w:rsidRPr="00052902">
        <w:rPr>
          <w:rStyle w:val="FootnoteReference"/>
          <w:rFonts w:cs="Arial"/>
        </w:rPr>
        <w:footnoteReference w:id="28"/>
      </w:r>
      <w:r>
        <w:rPr>
          <w:rFonts w:cs="Arial"/>
        </w:rPr>
        <w:t xml:space="preserve"> A TCBL holder seeking to vary its timing conditions should bear in mind that it is likely that the ACMA will need to consult the other TCBL holders sharing the same frequency about the proposed changes. </w:t>
      </w:r>
      <w:r w:rsidR="00F21C70">
        <w:rPr>
          <w:rFonts w:cs="Arial"/>
        </w:rPr>
        <w:br/>
      </w:r>
      <w:r>
        <w:rPr>
          <w:rFonts w:cs="Arial"/>
        </w:rPr>
        <w:lastRenderedPageBreak/>
        <w:t>As a result, any requests to vary timing conditions should be provided to the ACMA well in advance of the proposed date of effect of the variation.</w:t>
      </w:r>
    </w:p>
    <w:p w14:paraId="566AFCC9" w14:textId="77777777" w:rsidR="00726B8C" w:rsidRPr="00052902" w:rsidRDefault="00726B8C" w:rsidP="00726B8C">
      <w:pPr>
        <w:pStyle w:val="Heading3"/>
      </w:pPr>
      <w:bookmarkStart w:id="163" w:name="_Toc306369887"/>
      <w:bookmarkStart w:id="164" w:name="_Toc75850315"/>
      <w:r w:rsidRPr="00052902">
        <w:t xml:space="preserve">Variation agreed on by </w:t>
      </w:r>
      <w:r>
        <w:t>TCBL</w:t>
      </w:r>
      <w:r w:rsidRPr="00052902">
        <w:t xml:space="preserve"> holders</w:t>
      </w:r>
      <w:bookmarkEnd w:id="163"/>
      <w:bookmarkEnd w:id="164"/>
    </w:p>
    <w:p w14:paraId="61708E73" w14:textId="4D961F14" w:rsidR="00726B8C" w:rsidRPr="00052902" w:rsidRDefault="00726B8C" w:rsidP="00726B8C">
      <w:pPr>
        <w:rPr>
          <w:rFonts w:cs="Arial"/>
          <w:lang w:val="en-US"/>
        </w:rPr>
      </w:pPr>
      <w:r w:rsidRPr="00052902">
        <w:rPr>
          <w:rFonts w:cs="Arial"/>
          <w:lang w:val="en-US"/>
        </w:rPr>
        <w:t xml:space="preserve">If </w:t>
      </w:r>
      <w:r>
        <w:rPr>
          <w:rFonts w:cs="Arial"/>
          <w:lang w:val="en-US"/>
        </w:rPr>
        <w:t>a group of TCBL</w:t>
      </w:r>
      <w:r w:rsidRPr="00052902">
        <w:rPr>
          <w:rFonts w:cs="Arial"/>
          <w:lang w:val="en-US"/>
        </w:rPr>
        <w:t xml:space="preserve"> holders sharing broadcast time on a frequency agree to vary </w:t>
      </w:r>
      <w:r w:rsidR="001F576F">
        <w:rPr>
          <w:rFonts w:cs="Arial"/>
          <w:lang w:val="en-US"/>
        </w:rPr>
        <w:br/>
      </w:r>
      <w:r w:rsidRPr="00052902">
        <w:rPr>
          <w:rFonts w:cs="Arial"/>
          <w:lang w:val="en-US"/>
        </w:rPr>
        <w:t xml:space="preserve">the timing conditions, they may write to the ACMA requesting a variation to reflect </w:t>
      </w:r>
      <w:r w:rsidR="001F576F">
        <w:rPr>
          <w:rFonts w:cs="Arial"/>
          <w:lang w:val="en-US"/>
        </w:rPr>
        <w:br/>
      </w:r>
      <w:r w:rsidRPr="00052902">
        <w:rPr>
          <w:rFonts w:cs="Arial"/>
          <w:lang w:val="en-US"/>
        </w:rPr>
        <w:t>their agreement.</w:t>
      </w:r>
    </w:p>
    <w:p w14:paraId="789C3B9C" w14:textId="6A426057" w:rsidR="00726B8C" w:rsidRPr="00052902" w:rsidRDefault="001F576F" w:rsidP="009A17F1">
      <w:pPr>
        <w:keepNext/>
        <w:keepLines/>
        <w:pBdr>
          <w:top w:val="single" w:sz="4" w:space="1" w:color="auto"/>
          <w:left w:val="single" w:sz="4" w:space="4" w:color="auto"/>
          <w:bottom w:val="single" w:sz="4" w:space="1" w:color="auto"/>
          <w:right w:val="single" w:sz="4" w:space="4" w:color="auto"/>
        </w:pBdr>
        <w:shd w:val="clear" w:color="auto" w:fill="F2F2F2"/>
        <w:spacing w:after="80"/>
        <w:rPr>
          <w:rFonts w:cs="Arial"/>
          <w:b/>
        </w:rPr>
      </w:pPr>
      <w:r>
        <w:rPr>
          <w:rFonts w:cs="Arial"/>
          <w:b/>
        </w:rPr>
        <w:t>Please n</w:t>
      </w:r>
      <w:r w:rsidR="001E16ED">
        <w:rPr>
          <w:rFonts w:cs="Arial"/>
          <w:b/>
        </w:rPr>
        <w:t xml:space="preserve">ote: </w:t>
      </w:r>
      <w:r w:rsidR="00726B8C" w:rsidRPr="00766EDD">
        <w:rPr>
          <w:rFonts w:cs="Arial"/>
          <w:bCs/>
        </w:rPr>
        <w:t xml:space="preserve">The ACMA generally requires at least 2 </w:t>
      </w:r>
      <w:proofErr w:type="spellStart"/>
      <w:r w:rsidR="00726B8C" w:rsidRPr="00766EDD">
        <w:rPr>
          <w:rFonts w:cs="Arial"/>
          <w:bCs/>
        </w:rPr>
        <w:t>weeks notice</w:t>
      </w:r>
      <w:proofErr w:type="spellEnd"/>
      <w:r w:rsidR="00726B8C" w:rsidRPr="00766EDD">
        <w:rPr>
          <w:rFonts w:cs="Arial"/>
          <w:bCs/>
        </w:rPr>
        <w:t xml:space="preserve"> of any request to vary timing conditions.</w:t>
      </w:r>
      <w:r w:rsidR="00726B8C" w:rsidRPr="00052902">
        <w:rPr>
          <w:rFonts w:cs="Arial"/>
          <w:b/>
        </w:rPr>
        <w:t xml:space="preserve">  </w:t>
      </w:r>
    </w:p>
    <w:p w14:paraId="1CA7CDDB" w14:textId="7F04C480" w:rsidR="00726B8C" w:rsidRPr="00052902" w:rsidRDefault="00ED1843" w:rsidP="00726B8C">
      <w:pPr>
        <w:pStyle w:val="Heading1"/>
        <w:rPr>
          <w:lang w:val="en-US"/>
        </w:rPr>
      </w:pPr>
      <w:bookmarkStart w:id="165" w:name="_Toc75850316"/>
      <w:bookmarkStart w:id="166" w:name="_Toc75868720"/>
      <w:bookmarkStart w:id="167" w:name="_Toc75868814"/>
      <w:bookmarkStart w:id="168" w:name="_Toc75868881"/>
      <w:bookmarkStart w:id="169" w:name="_Toc84847027"/>
      <w:bookmarkStart w:id="170" w:name="_Toc137563001"/>
      <w:r>
        <w:rPr>
          <w:lang w:val="en-US"/>
        </w:rPr>
        <w:lastRenderedPageBreak/>
        <w:t>L</w:t>
      </w:r>
      <w:r w:rsidR="00726B8C">
        <w:rPr>
          <w:lang w:val="en-US"/>
        </w:rPr>
        <w:t xml:space="preserve">icence conditions </w:t>
      </w:r>
      <w:r>
        <w:rPr>
          <w:lang w:val="en-US"/>
        </w:rPr>
        <w:t xml:space="preserve">for </w:t>
      </w:r>
      <w:r w:rsidR="00726B8C">
        <w:rPr>
          <w:lang w:val="en-US"/>
        </w:rPr>
        <w:t>temporary community broadcasting</w:t>
      </w:r>
      <w:bookmarkEnd w:id="165"/>
      <w:bookmarkEnd w:id="166"/>
      <w:bookmarkEnd w:id="167"/>
      <w:bookmarkEnd w:id="168"/>
      <w:bookmarkEnd w:id="169"/>
      <w:bookmarkEnd w:id="170"/>
    </w:p>
    <w:p w14:paraId="6C90F989" w14:textId="557F6376" w:rsidR="00726B8C" w:rsidRPr="00052902" w:rsidRDefault="00726B8C" w:rsidP="00726B8C">
      <w:pPr>
        <w:rPr>
          <w:rFonts w:cs="Arial"/>
        </w:rPr>
      </w:pPr>
      <w:bookmarkStart w:id="171" w:name="_Hlk45728141"/>
      <w:r>
        <w:rPr>
          <w:rFonts w:cs="Arial"/>
        </w:rPr>
        <w:t>TCBL</w:t>
      </w:r>
      <w:r w:rsidRPr="00052902">
        <w:rPr>
          <w:rFonts w:cs="Arial"/>
        </w:rPr>
        <w:t xml:space="preserve"> holders are required to comply with the same licence conditions that apply to long-term community radio broadcasters at Parts 1 and 2, as well as</w:t>
      </w:r>
      <w:r w:rsidRPr="00765401">
        <w:rPr>
          <w:rFonts w:cs="Arial"/>
          <w:lang w:val="en-US"/>
        </w:rPr>
        <w:t xml:space="preserve"> clause 9 in Part 5 of Schedule 2 </w:t>
      </w:r>
      <w:r>
        <w:rPr>
          <w:rFonts w:cs="Arial"/>
          <w:lang w:val="en-US"/>
        </w:rPr>
        <w:t>(</w:t>
      </w:r>
      <w:r w:rsidRPr="00765401">
        <w:rPr>
          <w:rFonts w:cs="Arial"/>
          <w:lang w:val="en-US"/>
        </w:rPr>
        <w:t>except paragraph 9(1)(h)</w:t>
      </w:r>
      <w:r>
        <w:rPr>
          <w:rFonts w:cs="Arial"/>
          <w:lang w:val="en-US"/>
        </w:rPr>
        <w:t xml:space="preserve">) </w:t>
      </w:r>
      <w:r w:rsidRPr="00765401">
        <w:rPr>
          <w:rFonts w:cs="Arial"/>
          <w:lang w:val="en-US"/>
        </w:rPr>
        <w:t>to the Act</w:t>
      </w:r>
      <w:r>
        <w:rPr>
          <w:rFonts w:cs="Arial"/>
          <w:lang w:val="en-US"/>
        </w:rPr>
        <w:t>.</w:t>
      </w:r>
      <w:bookmarkEnd w:id="171"/>
      <w:r w:rsidRPr="003B017E">
        <w:t xml:space="preserve"> </w:t>
      </w:r>
      <w:r>
        <w:rPr>
          <w:rFonts w:cs="Arial"/>
        </w:rPr>
        <w:t xml:space="preserve">All community radio broadcasters, including TCBL holders, are subject to industry </w:t>
      </w:r>
      <w:hyperlink r:id="rId30" w:history="1">
        <w:r w:rsidRPr="00BA7485">
          <w:rPr>
            <w:rStyle w:val="Hyperlink"/>
            <w:rFonts w:cs="Arial"/>
          </w:rPr>
          <w:t>codes of practice</w:t>
        </w:r>
      </w:hyperlink>
      <w:r w:rsidRPr="006E0806">
        <w:rPr>
          <w:rStyle w:val="Hyperlink"/>
          <w:rFonts w:cs="Arial"/>
          <w:color w:val="auto"/>
          <w:u w:val="none"/>
        </w:rPr>
        <w:t>.</w:t>
      </w:r>
    </w:p>
    <w:p w14:paraId="10C1F8B4" w14:textId="77777777" w:rsidR="00726B8C" w:rsidRPr="00052902" w:rsidRDefault="00726B8C" w:rsidP="00726B8C">
      <w:pPr>
        <w:spacing w:after="80"/>
        <w:rPr>
          <w:rFonts w:cs="Arial"/>
        </w:rPr>
      </w:pPr>
      <w:r w:rsidRPr="00052902">
        <w:rPr>
          <w:rFonts w:cs="Arial"/>
        </w:rPr>
        <w:t>The licence conditions include requirements of licensees to:</w:t>
      </w:r>
    </w:p>
    <w:p w14:paraId="7C6ED5A6" w14:textId="77777777" w:rsidR="00726B8C" w:rsidRPr="00052902" w:rsidRDefault="00726B8C" w:rsidP="00726B8C">
      <w:pPr>
        <w:pStyle w:val="ListBullet"/>
        <w:rPr>
          <w:rFonts w:cs="Arial"/>
          <w:snapToGrid w:val="0"/>
        </w:rPr>
      </w:pPr>
      <w:r w:rsidRPr="00052902">
        <w:rPr>
          <w:rFonts w:cs="Arial"/>
          <w:snapToGrid w:val="0"/>
        </w:rPr>
        <w:t>continue to represent the community interest</w:t>
      </w:r>
    </w:p>
    <w:p w14:paraId="43072D5A" w14:textId="77777777" w:rsidR="00726B8C" w:rsidRPr="00052902" w:rsidRDefault="00726B8C" w:rsidP="00726B8C">
      <w:pPr>
        <w:pStyle w:val="ListBullet"/>
        <w:spacing w:after="240"/>
        <w:rPr>
          <w:rFonts w:cs="Arial"/>
          <w:snapToGrid w:val="0"/>
        </w:rPr>
      </w:pPr>
      <w:r w:rsidRPr="00052902">
        <w:rPr>
          <w:rFonts w:cs="Arial"/>
          <w:snapToGrid w:val="0"/>
        </w:rPr>
        <w:t>encourage members of the community to participate in the operations and programming of the service.</w:t>
      </w:r>
    </w:p>
    <w:p w14:paraId="35599158" w14:textId="5C6343BB" w:rsidR="007E4241" w:rsidRDefault="00726B8C" w:rsidP="00726B8C">
      <w:pPr>
        <w:rPr>
          <w:rFonts w:cs="Arial"/>
        </w:rPr>
      </w:pPr>
      <w:r w:rsidRPr="00052902">
        <w:rPr>
          <w:rFonts w:cs="Arial"/>
        </w:rPr>
        <w:t>The</w:t>
      </w:r>
      <w:r>
        <w:rPr>
          <w:rFonts w:cs="Arial"/>
        </w:rPr>
        <w:t>re are</w:t>
      </w:r>
      <w:r w:rsidRPr="00052902">
        <w:rPr>
          <w:rFonts w:cs="Arial"/>
        </w:rPr>
        <w:t xml:space="preserve"> a range of enforcement options available </w:t>
      </w:r>
      <w:r>
        <w:rPr>
          <w:rFonts w:cs="Arial"/>
        </w:rPr>
        <w:t>if</w:t>
      </w:r>
      <w:r w:rsidRPr="00052902">
        <w:rPr>
          <w:rFonts w:cs="Arial"/>
        </w:rPr>
        <w:t xml:space="preserve"> a </w:t>
      </w:r>
      <w:r>
        <w:rPr>
          <w:rFonts w:cs="Arial"/>
        </w:rPr>
        <w:t>TCBL</w:t>
      </w:r>
      <w:r w:rsidRPr="00052902">
        <w:rPr>
          <w:rFonts w:cs="Arial"/>
        </w:rPr>
        <w:t xml:space="preserve"> holder does not comply with licence conditions</w:t>
      </w:r>
      <w:r w:rsidR="00E00852">
        <w:rPr>
          <w:rFonts w:cs="Arial"/>
        </w:rPr>
        <w:t xml:space="preserve"> or codes of practice or both. </w:t>
      </w:r>
      <w:r w:rsidR="00741640">
        <w:rPr>
          <w:rFonts w:cs="Arial"/>
        </w:rPr>
        <w:t xml:space="preserve">Enforcement options for breach of a licence condition </w:t>
      </w:r>
      <w:r w:rsidR="007E4241">
        <w:rPr>
          <w:rFonts w:cs="Arial"/>
        </w:rPr>
        <w:t>may</w:t>
      </w:r>
      <w:r w:rsidR="00741640">
        <w:rPr>
          <w:rFonts w:cs="Arial"/>
        </w:rPr>
        <w:t xml:space="preserve"> include a remedial direction. Enforcement options for </w:t>
      </w:r>
      <w:r w:rsidR="007E4241">
        <w:rPr>
          <w:rFonts w:cs="Arial"/>
        </w:rPr>
        <w:t>breaches of codes may include the imposition of an additional licence condition.</w:t>
      </w:r>
      <w:r w:rsidR="00457E20">
        <w:rPr>
          <w:rStyle w:val="FootnoteReference"/>
          <w:rFonts w:cs="Arial"/>
        </w:rPr>
        <w:footnoteReference w:id="29"/>
      </w:r>
      <w:r w:rsidR="007E4241">
        <w:rPr>
          <w:rFonts w:cs="Arial"/>
        </w:rPr>
        <w:t xml:space="preserve"> </w:t>
      </w:r>
      <w:r w:rsidRPr="00052902">
        <w:rPr>
          <w:rFonts w:cs="Arial"/>
        </w:rPr>
        <w:t xml:space="preserve"> </w:t>
      </w:r>
    </w:p>
    <w:p w14:paraId="5BEA7119" w14:textId="2B4157F2" w:rsidR="00726B8C" w:rsidRDefault="00726B8C" w:rsidP="00726B8C">
      <w:pPr>
        <w:rPr>
          <w:rFonts w:cs="Arial"/>
        </w:rPr>
      </w:pPr>
      <w:r w:rsidRPr="00052902">
        <w:rPr>
          <w:rFonts w:cs="Arial"/>
          <w:lang w:val="en-US"/>
        </w:rPr>
        <w:t xml:space="preserve">Before imposing or varying a licence condition, </w:t>
      </w:r>
      <w:r>
        <w:rPr>
          <w:rFonts w:cs="Arial"/>
          <w:lang w:val="en-US"/>
        </w:rPr>
        <w:t>we</w:t>
      </w:r>
      <w:r w:rsidRPr="00052902">
        <w:rPr>
          <w:rFonts w:cs="Arial"/>
          <w:lang w:val="en-US"/>
        </w:rPr>
        <w:t xml:space="preserve"> will </w:t>
      </w:r>
      <w:r w:rsidRPr="00052902">
        <w:rPr>
          <w:rFonts w:cs="Arial"/>
        </w:rPr>
        <w:t xml:space="preserve">write to the affected </w:t>
      </w:r>
      <w:r>
        <w:rPr>
          <w:rFonts w:cs="Arial"/>
        </w:rPr>
        <w:t>TCBL</w:t>
      </w:r>
      <w:r w:rsidRPr="00052902">
        <w:rPr>
          <w:rFonts w:cs="Arial"/>
        </w:rPr>
        <w:t xml:space="preserve"> holder, advising </w:t>
      </w:r>
      <w:r>
        <w:rPr>
          <w:rFonts w:cs="Arial"/>
        </w:rPr>
        <w:t>our</w:t>
      </w:r>
      <w:r w:rsidRPr="00052902">
        <w:rPr>
          <w:rFonts w:cs="Arial"/>
        </w:rPr>
        <w:t xml:space="preserve"> intention to impose or vary the additional licence condition and </w:t>
      </w:r>
      <w:r>
        <w:rPr>
          <w:rFonts w:cs="Arial"/>
        </w:rPr>
        <w:t xml:space="preserve">providing </w:t>
      </w:r>
      <w:r w:rsidRPr="00052902">
        <w:rPr>
          <w:rFonts w:cs="Arial"/>
        </w:rPr>
        <w:t>a reasonable opportunity to make representations to the ACMA on the proposed action.</w:t>
      </w:r>
      <w:r w:rsidRPr="00052902">
        <w:rPr>
          <w:rStyle w:val="FootnoteReference"/>
          <w:rFonts w:cs="Arial"/>
        </w:rPr>
        <w:footnoteReference w:id="30"/>
      </w:r>
    </w:p>
    <w:p w14:paraId="4C01A060" w14:textId="77777777" w:rsidR="00726B8C" w:rsidRPr="00052902" w:rsidRDefault="00726B8C" w:rsidP="00726B8C">
      <w:pPr>
        <w:pStyle w:val="Heading2"/>
      </w:pPr>
      <w:bookmarkStart w:id="172" w:name="_Toc89062030"/>
      <w:bookmarkStart w:id="173" w:name="_Toc96414195"/>
      <w:bookmarkStart w:id="174" w:name="_Toc96831826"/>
      <w:bookmarkStart w:id="175" w:name="_Toc161545429"/>
      <w:bookmarkStart w:id="176" w:name="_Toc306369889"/>
      <w:bookmarkStart w:id="177" w:name="_Toc75850317"/>
      <w:bookmarkStart w:id="178" w:name="_Toc75868721"/>
      <w:bookmarkStart w:id="179" w:name="_Toc75868815"/>
      <w:bookmarkStart w:id="180" w:name="_Toc75868882"/>
      <w:bookmarkStart w:id="181" w:name="_Toc84847028"/>
      <w:bookmarkStart w:id="182" w:name="_Toc137563002"/>
      <w:r w:rsidRPr="00052902">
        <w:t>Complaints</w:t>
      </w:r>
      <w:bookmarkEnd w:id="172"/>
      <w:bookmarkEnd w:id="173"/>
      <w:bookmarkEnd w:id="174"/>
      <w:bookmarkEnd w:id="175"/>
      <w:bookmarkEnd w:id="176"/>
      <w:bookmarkEnd w:id="177"/>
      <w:bookmarkEnd w:id="178"/>
      <w:bookmarkEnd w:id="179"/>
      <w:bookmarkEnd w:id="180"/>
      <w:bookmarkEnd w:id="181"/>
      <w:bookmarkEnd w:id="182"/>
    </w:p>
    <w:p w14:paraId="757269F9" w14:textId="77777777" w:rsidR="00726B8C" w:rsidRPr="00052902" w:rsidRDefault="00726B8C" w:rsidP="00726B8C">
      <w:pPr>
        <w:rPr>
          <w:rFonts w:cs="Arial"/>
        </w:rPr>
      </w:pPr>
      <w:r>
        <w:rPr>
          <w:rFonts w:cs="Arial"/>
        </w:rPr>
        <w:t>We deal</w:t>
      </w:r>
      <w:r w:rsidRPr="00052902">
        <w:rPr>
          <w:rFonts w:cs="Arial"/>
        </w:rPr>
        <w:t xml:space="preserve"> with complaints about </w:t>
      </w:r>
      <w:r>
        <w:rPr>
          <w:rFonts w:cs="Arial"/>
        </w:rPr>
        <w:t>TCBL</w:t>
      </w:r>
      <w:r w:rsidRPr="00052902">
        <w:rPr>
          <w:rFonts w:cs="Arial"/>
        </w:rPr>
        <w:t>s in the same way as complaints about long-term community radio broadcasters</w:t>
      </w:r>
      <w:bookmarkStart w:id="183" w:name="_Toc89062031"/>
      <w:r w:rsidRPr="00052902">
        <w:rPr>
          <w:rFonts w:cs="Arial"/>
        </w:rPr>
        <w:t>.</w:t>
      </w:r>
    </w:p>
    <w:p w14:paraId="41587343" w14:textId="77777777" w:rsidR="00726B8C" w:rsidRPr="00052902" w:rsidRDefault="00726B8C" w:rsidP="00726B8C">
      <w:pPr>
        <w:rPr>
          <w:rFonts w:cs="Arial"/>
          <w:color w:val="000000"/>
        </w:rPr>
      </w:pPr>
      <w:r w:rsidRPr="00052902">
        <w:rPr>
          <w:rFonts w:cs="Arial"/>
          <w:color w:val="000000"/>
        </w:rPr>
        <w:t xml:space="preserve">Complaints may be made directly to the ACMA if a person believes that a </w:t>
      </w:r>
      <w:r>
        <w:rPr>
          <w:rFonts w:cs="Arial"/>
          <w:color w:val="000000"/>
        </w:rPr>
        <w:t>TCBL</w:t>
      </w:r>
      <w:r w:rsidRPr="00052902">
        <w:rPr>
          <w:rFonts w:cs="Arial"/>
          <w:color w:val="000000"/>
        </w:rPr>
        <w:t xml:space="preserve"> holder is breaching a licence condition.</w:t>
      </w:r>
      <w:r w:rsidRPr="00052902">
        <w:rPr>
          <w:rStyle w:val="FootnoteReference"/>
          <w:rFonts w:cs="Arial"/>
          <w:color w:val="000000"/>
        </w:rPr>
        <w:footnoteReference w:id="31"/>
      </w:r>
    </w:p>
    <w:p w14:paraId="794AAA47" w14:textId="3DE90966" w:rsidR="00726B8C" w:rsidRPr="00052902" w:rsidRDefault="00726B8C" w:rsidP="00726B8C">
      <w:pPr>
        <w:rPr>
          <w:rFonts w:cs="Arial"/>
          <w:color w:val="000000"/>
        </w:rPr>
      </w:pPr>
      <w:r w:rsidRPr="00052902">
        <w:rPr>
          <w:rFonts w:cs="Arial"/>
          <w:color w:val="000000"/>
        </w:rPr>
        <w:t xml:space="preserve">Complaints about a code matter </w:t>
      </w:r>
      <w:r w:rsidR="008C7F17">
        <w:rPr>
          <w:rFonts w:cs="Arial"/>
          <w:color w:val="000000"/>
        </w:rPr>
        <w:t xml:space="preserve">should </w:t>
      </w:r>
      <w:r w:rsidRPr="00052902">
        <w:rPr>
          <w:rFonts w:cs="Arial"/>
          <w:color w:val="000000"/>
        </w:rPr>
        <w:t xml:space="preserve">be made to the </w:t>
      </w:r>
      <w:r>
        <w:rPr>
          <w:rFonts w:cs="Arial"/>
          <w:color w:val="000000"/>
        </w:rPr>
        <w:t>TCBL</w:t>
      </w:r>
      <w:r w:rsidRPr="00052902">
        <w:rPr>
          <w:rFonts w:cs="Arial"/>
          <w:color w:val="000000"/>
        </w:rPr>
        <w:t xml:space="preserve"> holder first. If the </w:t>
      </w:r>
      <w:r>
        <w:rPr>
          <w:rFonts w:cs="Arial"/>
          <w:color w:val="000000"/>
        </w:rPr>
        <w:t>complainant</w:t>
      </w:r>
      <w:r w:rsidRPr="00052902">
        <w:rPr>
          <w:rFonts w:cs="Arial"/>
          <w:color w:val="000000"/>
        </w:rPr>
        <w:t xml:space="preserve"> has not received a response within 60 days after making the complaint, or has received a response but considers it to be inadequate, the</w:t>
      </w:r>
      <w:r>
        <w:rPr>
          <w:rFonts w:cs="Arial"/>
          <w:color w:val="000000"/>
        </w:rPr>
        <w:t xml:space="preserve">y </w:t>
      </w:r>
      <w:r w:rsidRPr="00052902">
        <w:rPr>
          <w:rFonts w:cs="Arial"/>
          <w:color w:val="000000"/>
        </w:rPr>
        <w:t>may then make a complaint to the ACMA about the code matter.</w:t>
      </w:r>
      <w:r w:rsidRPr="00052902">
        <w:rPr>
          <w:rStyle w:val="FootnoteReference"/>
          <w:rFonts w:cs="Arial"/>
          <w:color w:val="000000"/>
        </w:rPr>
        <w:footnoteReference w:id="32"/>
      </w:r>
    </w:p>
    <w:p w14:paraId="407356EF" w14:textId="77777777" w:rsidR="00726B8C" w:rsidRDefault="00726B8C" w:rsidP="00726B8C">
      <w:pPr>
        <w:spacing w:after="0" w:line="240" w:lineRule="auto"/>
        <w:rPr>
          <w:rFonts w:cs="Arial"/>
          <w:bCs/>
          <w:color w:val="323232"/>
          <w:kern w:val="32"/>
          <w:sz w:val="53"/>
          <w:szCs w:val="32"/>
          <w:lang w:val="en-US"/>
        </w:rPr>
      </w:pPr>
      <w:bookmarkStart w:id="184" w:name="_Toc232839448"/>
      <w:bookmarkStart w:id="185" w:name="_Toc306369890"/>
      <w:bookmarkEnd w:id="183"/>
      <w:r>
        <w:rPr>
          <w:lang w:val="en-US"/>
        </w:rPr>
        <w:br w:type="page"/>
      </w:r>
    </w:p>
    <w:p w14:paraId="23DAF374" w14:textId="77777777" w:rsidR="00726B8C" w:rsidRPr="00052902" w:rsidRDefault="00726B8C" w:rsidP="00726B8C">
      <w:pPr>
        <w:pStyle w:val="Heading1"/>
        <w:rPr>
          <w:lang w:val="en-US"/>
        </w:rPr>
      </w:pPr>
      <w:bookmarkStart w:id="186" w:name="_Toc75850318"/>
      <w:bookmarkStart w:id="187" w:name="_Toc75868722"/>
      <w:bookmarkStart w:id="188" w:name="_Toc75868816"/>
      <w:bookmarkStart w:id="189" w:name="_Toc75868883"/>
      <w:bookmarkStart w:id="190" w:name="_Toc84847029"/>
      <w:bookmarkStart w:id="191" w:name="_Toc137563003"/>
      <w:r>
        <w:rPr>
          <w:lang w:val="en-US"/>
        </w:rPr>
        <w:lastRenderedPageBreak/>
        <w:t>Submitting applications</w:t>
      </w:r>
      <w:bookmarkEnd w:id="186"/>
      <w:bookmarkEnd w:id="187"/>
      <w:bookmarkEnd w:id="188"/>
      <w:bookmarkEnd w:id="189"/>
      <w:bookmarkEnd w:id="190"/>
      <w:bookmarkEnd w:id="191"/>
    </w:p>
    <w:p w14:paraId="21BA80CF" w14:textId="77777777" w:rsidR="00726B8C" w:rsidRPr="00052902" w:rsidRDefault="00726B8C" w:rsidP="00726B8C">
      <w:pPr>
        <w:keepNext/>
        <w:spacing w:after="80"/>
        <w:rPr>
          <w:rFonts w:cs="Arial"/>
        </w:rPr>
      </w:pPr>
      <w:r w:rsidRPr="00052902">
        <w:rPr>
          <w:rFonts w:cs="Arial"/>
        </w:rPr>
        <w:t xml:space="preserve">An application for a </w:t>
      </w:r>
      <w:r>
        <w:rPr>
          <w:rFonts w:cs="Arial"/>
        </w:rPr>
        <w:t>TCBL</w:t>
      </w:r>
      <w:r w:rsidRPr="00052902">
        <w:rPr>
          <w:rFonts w:cs="Arial"/>
        </w:rPr>
        <w:t xml:space="preserve"> must be:</w:t>
      </w:r>
    </w:p>
    <w:p w14:paraId="0AEC4C9C" w14:textId="77777777" w:rsidR="00726B8C" w:rsidRPr="00052902" w:rsidRDefault="00726B8C" w:rsidP="00726B8C">
      <w:pPr>
        <w:pStyle w:val="ListBullet"/>
        <w:keepNext/>
        <w:rPr>
          <w:rFonts w:cs="Arial"/>
        </w:rPr>
      </w:pPr>
      <w:r w:rsidRPr="00052902">
        <w:rPr>
          <w:rFonts w:cs="Arial"/>
        </w:rPr>
        <w:t>in writing</w:t>
      </w:r>
      <w:r>
        <w:rPr>
          <w:rFonts w:cs="Arial"/>
        </w:rPr>
        <w:t>, using</w:t>
      </w:r>
      <w:r w:rsidRPr="00052902">
        <w:rPr>
          <w:rFonts w:cs="Arial"/>
        </w:rPr>
        <w:t xml:space="preserve"> the ACMA </w:t>
      </w:r>
      <w:r>
        <w:rPr>
          <w:rFonts w:cs="Arial"/>
        </w:rPr>
        <w:t xml:space="preserve">form </w:t>
      </w:r>
      <w:r w:rsidRPr="00052902">
        <w:rPr>
          <w:rFonts w:cs="Arial"/>
        </w:rPr>
        <w:t>B42</w:t>
      </w:r>
    </w:p>
    <w:p w14:paraId="2643B41F" w14:textId="77777777" w:rsidR="00726B8C" w:rsidRPr="00363977" w:rsidRDefault="00726B8C" w:rsidP="00726B8C">
      <w:pPr>
        <w:pStyle w:val="ListBullet"/>
        <w:keepNext/>
        <w:tabs>
          <w:tab w:val="num" w:pos="709"/>
        </w:tabs>
        <w:spacing w:after="240"/>
        <w:ind w:left="266" w:hanging="266"/>
        <w:rPr>
          <w:rFonts w:cs="Arial"/>
        </w:rPr>
      </w:pPr>
      <w:r w:rsidRPr="00E4454F">
        <w:rPr>
          <w:rFonts w:cs="Arial"/>
        </w:rPr>
        <w:t xml:space="preserve">accompanied by a completed </w:t>
      </w:r>
      <w:r>
        <w:rPr>
          <w:rFonts w:cs="Arial"/>
        </w:rPr>
        <w:t xml:space="preserve">ACMA </w:t>
      </w:r>
      <w:r w:rsidRPr="00E4454F">
        <w:rPr>
          <w:rFonts w:cs="Arial"/>
        </w:rPr>
        <w:t>apparatus licence application form B12</w:t>
      </w:r>
      <w:r>
        <w:rPr>
          <w:rFonts w:cs="Arial"/>
        </w:rPr>
        <w:t>.</w:t>
      </w:r>
      <w:r w:rsidRPr="00052902">
        <w:rPr>
          <w:rStyle w:val="FootnoteReference"/>
          <w:rFonts w:cs="Arial"/>
        </w:rPr>
        <w:footnoteReference w:id="33"/>
      </w:r>
    </w:p>
    <w:p w14:paraId="0E61CCA0" w14:textId="77777777" w:rsidR="00726B8C" w:rsidRPr="00052902" w:rsidRDefault="00726B8C" w:rsidP="00726B8C">
      <w:pPr>
        <w:keepNext/>
        <w:spacing w:after="120"/>
        <w:rPr>
          <w:rFonts w:cs="Arial"/>
        </w:rPr>
      </w:pPr>
      <w:r w:rsidRPr="00052902">
        <w:rPr>
          <w:rFonts w:cs="Arial"/>
        </w:rPr>
        <w:t>Applications should be sent:</w:t>
      </w:r>
    </w:p>
    <w:p w14:paraId="58F3D4EA" w14:textId="77777777" w:rsidR="00726B8C" w:rsidRPr="00052902" w:rsidRDefault="00726B8C" w:rsidP="00726B8C">
      <w:pPr>
        <w:spacing w:after="120"/>
        <w:rPr>
          <w:rFonts w:cs="Arial"/>
        </w:rPr>
      </w:pPr>
      <w:r w:rsidRPr="00052902">
        <w:rPr>
          <w:rFonts w:cs="Arial"/>
          <w:szCs w:val="20"/>
        </w:rPr>
        <w:t>By email:</w:t>
      </w:r>
      <w:r w:rsidRPr="00052902">
        <w:rPr>
          <w:rFonts w:cs="Arial"/>
          <w:szCs w:val="20"/>
        </w:rPr>
        <w:tab/>
      </w:r>
      <w:r>
        <w:rPr>
          <w:rFonts w:cs="Arial"/>
          <w:szCs w:val="20"/>
        </w:rPr>
        <w:tab/>
      </w:r>
      <w:hyperlink r:id="rId31" w:history="1">
        <w:r w:rsidRPr="00C51939">
          <w:rPr>
            <w:rStyle w:val="Hyperlink"/>
            <w:rFonts w:cs="Arial"/>
          </w:rPr>
          <w:t>communitybroadcasting@acma.gov.au</w:t>
        </w:r>
      </w:hyperlink>
    </w:p>
    <w:p w14:paraId="2082FE48" w14:textId="77777777" w:rsidR="00726B8C" w:rsidRDefault="00726B8C" w:rsidP="00726B8C">
      <w:pPr>
        <w:ind w:left="1136" w:hanging="1136"/>
        <w:rPr>
          <w:rFonts w:cs="Arial"/>
          <w:b/>
          <w:i/>
          <w:szCs w:val="20"/>
          <w:lang w:eastAsia="en-US"/>
        </w:rPr>
      </w:pPr>
      <w:r w:rsidRPr="00052902">
        <w:rPr>
          <w:rFonts w:cs="Arial"/>
          <w:szCs w:val="20"/>
        </w:rPr>
        <w:t>By mail:</w:t>
      </w:r>
      <w:r w:rsidRPr="00052902">
        <w:rPr>
          <w:rFonts w:cs="Arial"/>
          <w:szCs w:val="20"/>
        </w:rPr>
        <w:tab/>
      </w:r>
      <w:r w:rsidRPr="00052902">
        <w:rPr>
          <w:rFonts w:cs="Arial"/>
        </w:rPr>
        <w:t xml:space="preserve">Manager, Community Broadcasting </w:t>
      </w:r>
      <w:r>
        <w:rPr>
          <w:rFonts w:cs="Arial"/>
        </w:rPr>
        <w:t xml:space="preserve">and Safeguards </w:t>
      </w:r>
      <w:r w:rsidRPr="00052902">
        <w:rPr>
          <w:rFonts w:cs="Arial"/>
        </w:rPr>
        <w:t>Section</w:t>
      </w:r>
      <w:r>
        <w:rPr>
          <w:rFonts w:cs="Arial"/>
        </w:rPr>
        <w:br/>
      </w:r>
      <w:r w:rsidRPr="00052902">
        <w:rPr>
          <w:rFonts w:cs="Arial"/>
        </w:rPr>
        <w:t>Australian Communications and Media Authority</w:t>
      </w:r>
      <w:r w:rsidRPr="00052902">
        <w:rPr>
          <w:rFonts w:cs="Arial"/>
        </w:rPr>
        <w:br/>
        <w:t>PO Box Q500</w:t>
      </w:r>
      <w:r>
        <w:rPr>
          <w:rFonts w:cs="Arial"/>
        </w:rPr>
        <w:br/>
      </w:r>
      <w:r w:rsidRPr="00052902">
        <w:rPr>
          <w:rFonts w:cs="Arial"/>
        </w:rPr>
        <w:t>Queen Victoria Building</w:t>
      </w:r>
      <w:r>
        <w:rPr>
          <w:rFonts w:cs="Arial"/>
        </w:rPr>
        <w:br/>
      </w:r>
      <w:r w:rsidRPr="00052902">
        <w:rPr>
          <w:rFonts w:cs="Arial"/>
        </w:rPr>
        <w:t>Sydney NSW 1230</w:t>
      </w:r>
    </w:p>
    <w:p w14:paraId="5C61CA39" w14:textId="77777777" w:rsidR="00726B8C" w:rsidRDefault="00726B8C" w:rsidP="00726B8C">
      <w:pPr>
        <w:keepNext/>
        <w:spacing w:after="60"/>
        <w:rPr>
          <w:rFonts w:cs="Arial"/>
          <w:b/>
          <w:i/>
          <w:szCs w:val="20"/>
          <w:lang w:eastAsia="en-US"/>
        </w:rPr>
      </w:pPr>
      <w:r w:rsidRPr="0055176D">
        <w:rPr>
          <w:rFonts w:cs="Arial"/>
          <w:b/>
          <w:i/>
          <w:szCs w:val="20"/>
          <w:lang w:eastAsia="en-US"/>
        </w:rPr>
        <w:t>Col</w:t>
      </w:r>
      <w:r>
        <w:rPr>
          <w:rFonts w:cs="Arial"/>
          <w:b/>
          <w:i/>
          <w:szCs w:val="20"/>
          <w:lang w:eastAsia="en-US"/>
        </w:rPr>
        <w:t>lection of personal information</w:t>
      </w:r>
    </w:p>
    <w:p w14:paraId="2E97E425" w14:textId="4DE648D6" w:rsidR="00726B8C" w:rsidRDefault="00726B8C" w:rsidP="00726B8C">
      <w:pPr>
        <w:rPr>
          <w:rFonts w:cs="Arial"/>
          <w:szCs w:val="20"/>
          <w:lang w:eastAsia="en-US"/>
        </w:rPr>
      </w:pPr>
      <w:r w:rsidRPr="00E4593F">
        <w:rPr>
          <w:rFonts w:cs="Arial"/>
        </w:rPr>
        <w:t>The</w:t>
      </w:r>
      <w:r w:rsidRPr="0055176D">
        <w:rPr>
          <w:rFonts w:cs="Arial"/>
          <w:szCs w:val="20"/>
          <w:lang w:eastAsia="en-US"/>
        </w:rPr>
        <w:t xml:space="preserve"> </w:t>
      </w:r>
      <w:hyperlink r:id="rId32" w:history="1">
        <w:r w:rsidRPr="007746FC">
          <w:rPr>
            <w:rStyle w:val="Hyperlink"/>
            <w:rFonts w:cs="Arial"/>
            <w:i/>
            <w:szCs w:val="20"/>
            <w:lang w:eastAsia="en-US"/>
          </w:rPr>
          <w:t>Privacy Act 1988</w:t>
        </w:r>
      </w:hyperlink>
      <w:r w:rsidR="00925EF4">
        <w:rPr>
          <w:rFonts w:cs="Arial"/>
          <w:szCs w:val="20"/>
          <w:lang w:eastAsia="en-US"/>
        </w:rPr>
        <w:t xml:space="preserve"> (</w:t>
      </w:r>
      <w:proofErr w:type="spellStart"/>
      <w:r w:rsidRPr="0055176D">
        <w:rPr>
          <w:rFonts w:cs="Arial"/>
          <w:szCs w:val="20"/>
          <w:lang w:eastAsia="en-US"/>
        </w:rPr>
        <w:t>Cth</w:t>
      </w:r>
      <w:proofErr w:type="spellEnd"/>
      <w:r w:rsidRPr="0055176D">
        <w:rPr>
          <w:rFonts w:cs="Arial"/>
          <w:szCs w:val="20"/>
          <w:lang w:eastAsia="en-US"/>
        </w:rPr>
        <w:t xml:space="preserve">) (the Privacy Act) imposes obligations on the ACMA in relation to the collection, security, quality, access, use and disclosure of personal information. These obligations are detailed in the </w:t>
      </w:r>
      <w:hyperlink r:id="rId33" w:history="1">
        <w:r w:rsidRPr="0055176D">
          <w:rPr>
            <w:rFonts w:cs="Arial"/>
            <w:color w:val="0000FF"/>
            <w:szCs w:val="20"/>
            <w:u w:val="single"/>
            <w:lang w:eastAsia="en-US"/>
          </w:rPr>
          <w:t>Australian Privacy Principles</w:t>
        </w:r>
      </w:hyperlink>
      <w:r w:rsidRPr="0055176D">
        <w:rPr>
          <w:rFonts w:cs="Arial"/>
          <w:szCs w:val="20"/>
          <w:lang w:eastAsia="en-US"/>
        </w:rPr>
        <w:t xml:space="preserve">. </w:t>
      </w:r>
    </w:p>
    <w:p w14:paraId="14182773" w14:textId="77777777" w:rsidR="00726B8C" w:rsidRDefault="00726B8C" w:rsidP="00726B8C">
      <w:pPr>
        <w:rPr>
          <w:rFonts w:cs="Arial"/>
          <w:szCs w:val="20"/>
          <w:lang w:eastAsia="en-US"/>
        </w:rPr>
      </w:pPr>
      <w:r>
        <w:rPr>
          <w:rFonts w:cs="Arial"/>
          <w:szCs w:val="20"/>
          <w:lang w:eastAsia="en-US"/>
        </w:rPr>
        <w:t>We</w:t>
      </w:r>
      <w:r w:rsidRPr="0055176D">
        <w:rPr>
          <w:rFonts w:cs="Arial"/>
          <w:szCs w:val="20"/>
          <w:lang w:eastAsia="en-US"/>
        </w:rPr>
        <w:t xml:space="preserve"> may only collect personal information if it is reasonably necessary for, or directly related to, one or more of the ACMA’s functions or activities. </w:t>
      </w:r>
    </w:p>
    <w:p w14:paraId="7DAE2F9B" w14:textId="77777777" w:rsidR="00726B8C" w:rsidRDefault="00726B8C" w:rsidP="00726B8C">
      <w:pPr>
        <w:rPr>
          <w:rFonts w:cs="Arial"/>
          <w:szCs w:val="20"/>
          <w:lang w:eastAsia="en-US"/>
        </w:rPr>
      </w:pPr>
      <w:r>
        <w:rPr>
          <w:rFonts w:cs="Arial"/>
          <w:szCs w:val="20"/>
          <w:lang w:eastAsia="en-US"/>
        </w:rPr>
        <w:t>C</w:t>
      </w:r>
      <w:r w:rsidRPr="0055176D">
        <w:rPr>
          <w:rFonts w:cs="Arial"/>
          <w:szCs w:val="20"/>
          <w:lang w:eastAsia="en-US"/>
        </w:rPr>
        <w:t>ollection of personal information in th</w:t>
      </w:r>
      <w:r>
        <w:rPr>
          <w:rFonts w:cs="Arial"/>
          <w:szCs w:val="20"/>
          <w:lang w:eastAsia="en-US"/>
        </w:rPr>
        <w:t>e</w:t>
      </w:r>
      <w:r w:rsidRPr="0055176D">
        <w:rPr>
          <w:rFonts w:cs="Arial"/>
          <w:szCs w:val="20"/>
          <w:lang w:eastAsia="en-US"/>
        </w:rPr>
        <w:t xml:space="preserve"> </w:t>
      </w:r>
      <w:r>
        <w:rPr>
          <w:rFonts w:cs="Arial"/>
          <w:szCs w:val="20"/>
          <w:lang w:eastAsia="en-US"/>
        </w:rPr>
        <w:t xml:space="preserve">B42 </w:t>
      </w:r>
      <w:r w:rsidRPr="0055176D">
        <w:rPr>
          <w:rFonts w:cs="Arial"/>
          <w:szCs w:val="20"/>
          <w:lang w:eastAsia="en-US"/>
        </w:rPr>
        <w:t>form enable</w:t>
      </w:r>
      <w:r>
        <w:rPr>
          <w:rFonts w:cs="Arial"/>
          <w:szCs w:val="20"/>
          <w:lang w:eastAsia="en-US"/>
        </w:rPr>
        <w:t>s</w:t>
      </w:r>
      <w:r w:rsidRPr="0055176D">
        <w:rPr>
          <w:rFonts w:cs="Arial"/>
          <w:szCs w:val="20"/>
          <w:lang w:eastAsia="en-US"/>
        </w:rPr>
        <w:t xml:space="preserve"> the ACMA to a</w:t>
      </w:r>
      <w:r>
        <w:rPr>
          <w:rFonts w:cs="Arial"/>
          <w:szCs w:val="20"/>
          <w:lang w:eastAsia="en-US"/>
        </w:rPr>
        <w:t xml:space="preserve">ssess your eligibility </w:t>
      </w:r>
      <w:r w:rsidRPr="0055176D">
        <w:rPr>
          <w:rFonts w:cs="Arial"/>
          <w:szCs w:val="20"/>
          <w:lang w:eastAsia="en-US"/>
        </w:rPr>
        <w:t xml:space="preserve">to provide the </w:t>
      </w:r>
      <w:r>
        <w:rPr>
          <w:rFonts w:cs="Arial"/>
          <w:szCs w:val="20"/>
          <w:lang w:eastAsia="en-US"/>
        </w:rPr>
        <w:t xml:space="preserve">temporary </w:t>
      </w:r>
      <w:r w:rsidRPr="0055176D">
        <w:rPr>
          <w:rFonts w:cs="Arial"/>
          <w:szCs w:val="20"/>
          <w:lang w:eastAsia="en-US"/>
        </w:rPr>
        <w:t xml:space="preserve">community broadcasting service. This information is required under section 92E of the </w:t>
      </w:r>
      <w:r>
        <w:rPr>
          <w:rFonts w:cs="Arial"/>
          <w:szCs w:val="20"/>
          <w:lang w:eastAsia="en-US"/>
        </w:rPr>
        <w:t>Act</w:t>
      </w:r>
      <w:r w:rsidRPr="0055176D">
        <w:rPr>
          <w:rFonts w:cs="Arial"/>
          <w:szCs w:val="20"/>
          <w:lang w:eastAsia="en-US"/>
        </w:rPr>
        <w:t>.</w:t>
      </w:r>
    </w:p>
    <w:p w14:paraId="1E653C6E" w14:textId="77777777" w:rsidR="00726B8C" w:rsidRDefault="00726B8C" w:rsidP="00726B8C">
      <w:pPr>
        <w:rPr>
          <w:rFonts w:cs="Arial"/>
          <w:szCs w:val="20"/>
          <w:lang w:eastAsia="en-US"/>
        </w:rPr>
      </w:pPr>
      <w:r>
        <w:rPr>
          <w:rFonts w:cs="Arial"/>
          <w:szCs w:val="20"/>
          <w:lang w:eastAsia="en-US"/>
        </w:rPr>
        <w:t>We</w:t>
      </w:r>
      <w:r w:rsidRPr="0055176D">
        <w:rPr>
          <w:rFonts w:cs="Arial"/>
          <w:szCs w:val="20"/>
          <w:lang w:eastAsia="en-US"/>
        </w:rPr>
        <w:t xml:space="preserve"> will not use the information for any other purpose, nor disclose it, unless the relevant consent has been obtained or </w:t>
      </w:r>
      <w:r>
        <w:rPr>
          <w:rFonts w:cs="Arial"/>
          <w:szCs w:val="20"/>
          <w:lang w:eastAsia="en-US"/>
        </w:rPr>
        <w:t>we are</w:t>
      </w:r>
      <w:r w:rsidRPr="0055176D">
        <w:rPr>
          <w:rFonts w:cs="Arial"/>
          <w:szCs w:val="20"/>
          <w:lang w:eastAsia="en-US"/>
        </w:rPr>
        <w:t xml:space="preserve"> otherwise permitted to do so under the Privacy Act.  </w:t>
      </w:r>
    </w:p>
    <w:p w14:paraId="2CCC09D3" w14:textId="77777777" w:rsidR="00726B8C" w:rsidRDefault="00726B8C" w:rsidP="00726B8C">
      <w:pPr>
        <w:rPr>
          <w:rFonts w:cs="Arial"/>
          <w:szCs w:val="20"/>
          <w:lang w:eastAsia="en-US"/>
        </w:rPr>
      </w:pPr>
      <w:r w:rsidRPr="0055176D">
        <w:rPr>
          <w:rFonts w:cs="Arial"/>
          <w:szCs w:val="20"/>
          <w:lang w:eastAsia="en-US"/>
        </w:rPr>
        <w:t>If the information requested in th</w:t>
      </w:r>
      <w:r>
        <w:rPr>
          <w:rFonts w:cs="Arial"/>
          <w:szCs w:val="20"/>
          <w:lang w:eastAsia="en-US"/>
        </w:rPr>
        <w:t>e B42</w:t>
      </w:r>
      <w:r w:rsidRPr="0055176D">
        <w:rPr>
          <w:rFonts w:cs="Arial"/>
          <w:szCs w:val="20"/>
          <w:lang w:eastAsia="en-US"/>
        </w:rPr>
        <w:t xml:space="preserve"> form is not provided, the application may not be processed.   </w:t>
      </w:r>
    </w:p>
    <w:p w14:paraId="2AA1B088" w14:textId="1C07ED52" w:rsidR="00726B8C" w:rsidRDefault="00726B8C" w:rsidP="00726B8C">
      <w:pPr>
        <w:rPr>
          <w:rFonts w:cs="Arial"/>
          <w:szCs w:val="20"/>
          <w:lang w:eastAsia="en-US"/>
        </w:rPr>
      </w:pPr>
      <w:r w:rsidRPr="0055176D">
        <w:rPr>
          <w:rFonts w:cs="Arial"/>
          <w:szCs w:val="20"/>
          <w:lang w:eastAsia="en-US"/>
        </w:rPr>
        <w:t xml:space="preserve">Further information on the Privacy Act and the ACMA’s Privacy Policy is available </w:t>
      </w:r>
      <w:r>
        <w:rPr>
          <w:rFonts w:cs="Arial"/>
          <w:szCs w:val="20"/>
          <w:lang w:eastAsia="en-US"/>
        </w:rPr>
        <w:t>at</w:t>
      </w:r>
      <w:r w:rsidRPr="0055176D">
        <w:rPr>
          <w:rFonts w:cs="Arial"/>
          <w:szCs w:val="20"/>
          <w:lang w:eastAsia="en-US"/>
        </w:rPr>
        <w:t xml:space="preserve"> </w:t>
      </w:r>
      <w:hyperlink r:id="rId34" w:history="1">
        <w:r w:rsidRPr="0055176D">
          <w:rPr>
            <w:rFonts w:cs="Arial"/>
            <w:color w:val="0000FF"/>
            <w:szCs w:val="20"/>
            <w:u w:val="single"/>
            <w:lang w:eastAsia="en-US"/>
          </w:rPr>
          <w:t>acma.gov.au</w:t>
        </w:r>
      </w:hyperlink>
      <w:r w:rsidRPr="0055176D">
        <w:rPr>
          <w:rFonts w:cs="Arial"/>
          <w:szCs w:val="20"/>
          <w:lang w:eastAsia="en-US"/>
        </w:rPr>
        <w:t xml:space="preserve">. The </w:t>
      </w:r>
      <w:r w:rsidR="00A6114D">
        <w:rPr>
          <w:rFonts w:cs="Arial"/>
          <w:szCs w:val="20"/>
          <w:lang w:eastAsia="en-US"/>
        </w:rPr>
        <w:t>p</w:t>
      </w:r>
      <w:r w:rsidRPr="0055176D">
        <w:rPr>
          <w:rFonts w:cs="Arial"/>
          <w:szCs w:val="20"/>
          <w:lang w:eastAsia="en-US"/>
        </w:rPr>
        <w:t xml:space="preserve">olicy contains details about how personal information that </w:t>
      </w:r>
      <w:r>
        <w:rPr>
          <w:rFonts w:cs="Arial"/>
          <w:szCs w:val="20"/>
          <w:lang w:eastAsia="en-US"/>
        </w:rPr>
        <w:t>we hold</w:t>
      </w:r>
      <w:r w:rsidRPr="0055176D">
        <w:rPr>
          <w:rFonts w:cs="Arial"/>
          <w:szCs w:val="20"/>
          <w:lang w:eastAsia="en-US"/>
        </w:rPr>
        <w:t xml:space="preserve"> may be accessed, and how such information may be corrected, where appropriate. It also explains how a complaint about a breach of the </w:t>
      </w:r>
      <w:r w:rsidRPr="007746FC">
        <w:rPr>
          <w:rFonts w:cs="Arial"/>
          <w:szCs w:val="20"/>
          <w:lang w:eastAsia="en-US"/>
        </w:rPr>
        <w:t xml:space="preserve">Privacy Act </w:t>
      </w:r>
      <w:r w:rsidRPr="0055176D">
        <w:rPr>
          <w:rFonts w:cs="Arial"/>
          <w:szCs w:val="20"/>
        </w:rPr>
        <w:t>may be lodged</w:t>
      </w:r>
      <w:r>
        <w:rPr>
          <w:rFonts w:cs="Arial"/>
          <w:szCs w:val="20"/>
        </w:rPr>
        <w:t>,</w:t>
      </w:r>
      <w:r w:rsidRPr="0055176D">
        <w:rPr>
          <w:rFonts w:cs="Arial"/>
          <w:szCs w:val="20"/>
        </w:rPr>
        <w:t xml:space="preserve"> </w:t>
      </w:r>
      <w:r w:rsidRPr="0055176D">
        <w:rPr>
          <w:rFonts w:cs="Arial"/>
          <w:szCs w:val="20"/>
          <w:lang w:eastAsia="en-US"/>
        </w:rPr>
        <w:t xml:space="preserve">and how </w:t>
      </w:r>
      <w:r>
        <w:rPr>
          <w:rFonts w:cs="Arial"/>
          <w:szCs w:val="20"/>
          <w:lang w:eastAsia="en-US"/>
        </w:rPr>
        <w:t>we</w:t>
      </w:r>
      <w:r w:rsidRPr="0055176D">
        <w:rPr>
          <w:rFonts w:cs="Arial"/>
          <w:szCs w:val="20"/>
          <w:lang w:eastAsia="en-US"/>
        </w:rPr>
        <w:t xml:space="preserve"> will deal with </w:t>
      </w:r>
      <w:r>
        <w:rPr>
          <w:rFonts w:cs="Arial"/>
          <w:szCs w:val="20"/>
          <w:lang w:eastAsia="en-US"/>
        </w:rPr>
        <w:t>these</w:t>
      </w:r>
      <w:r w:rsidRPr="0055176D">
        <w:rPr>
          <w:rFonts w:cs="Arial"/>
          <w:szCs w:val="20"/>
          <w:lang w:eastAsia="en-US"/>
        </w:rPr>
        <w:t xml:space="preserve"> complaint</w:t>
      </w:r>
      <w:r>
        <w:rPr>
          <w:rFonts w:cs="Arial"/>
          <w:szCs w:val="20"/>
          <w:lang w:eastAsia="en-US"/>
        </w:rPr>
        <w:t>s</w:t>
      </w:r>
      <w:r w:rsidRPr="0055176D">
        <w:rPr>
          <w:rFonts w:cs="Arial"/>
          <w:szCs w:val="20"/>
          <w:lang w:eastAsia="en-US"/>
        </w:rPr>
        <w:t>.</w:t>
      </w:r>
    </w:p>
    <w:p w14:paraId="17FE12D2" w14:textId="77777777" w:rsidR="00726B8C" w:rsidRPr="00666916" w:rsidRDefault="00726B8C" w:rsidP="00726B8C">
      <w:pPr>
        <w:rPr>
          <w:rFonts w:cs="Arial"/>
          <w:szCs w:val="20"/>
        </w:rPr>
      </w:pPr>
      <w:r>
        <w:rPr>
          <w:rFonts w:cs="Arial"/>
          <w:szCs w:val="20"/>
          <w:lang w:eastAsia="en-US"/>
        </w:rPr>
        <w:t>Q</w:t>
      </w:r>
      <w:r w:rsidRPr="0055176D">
        <w:rPr>
          <w:rFonts w:cs="Arial"/>
          <w:szCs w:val="20"/>
          <w:lang w:eastAsia="en-US"/>
        </w:rPr>
        <w:t xml:space="preserve">uestions </w:t>
      </w:r>
      <w:r>
        <w:rPr>
          <w:rFonts w:cs="Arial"/>
          <w:szCs w:val="20"/>
          <w:lang w:eastAsia="en-US"/>
        </w:rPr>
        <w:t>about</w:t>
      </w:r>
      <w:r w:rsidRPr="0055176D">
        <w:rPr>
          <w:rFonts w:cs="Arial"/>
          <w:szCs w:val="20"/>
          <w:lang w:eastAsia="en-US"/>
        </w:rPr>
        <w:t xml:space="preserve"> the privacy of information requested in </w:t>
      </w:r>
      <w:r>
        <w:rPr>
          <w:rFonts w:cs="Arial"/>
          <w:szCs w:val="20"/>
          <w:lang w:eastAsia="en-US"/>
        </w:rPr>
        <w:t>the B42</w:t>
      </w:r>
      <w:r w:rsidRPr="0055176D">
        <w:rPr>
          <w:rFonts w:cs="Arial"/>
          <w:szCs w:val="20"/>
          <w:lang w:eastAsia="en-US"/>
        </w:rPr>
        <w:t xml:space="preserve"> form should be directed to the ACMA’s </w:t>
      </w:r>
      <w:r>
        <w:rPr>
          <w:rFonts w:cs="Arial"/>
          <w:szCs w:val="20"/>
          <w:lang w:eastAsia="en-US"/>
        </w:rPr>
        <w:t>P</w:t>
      </w:r>
      <w:r w:rsidRPr="0055176D">
        <w:rPr>
          <w:rFonts w:cs="Arial"/>
          <w:szCs w:val="20"/>
          <w:lang w:eastAsia="en-US"/>
        </w:rPr>
        <w:t xml:space="preserve">rivacy </w:t>
      </w:r>
      <w:r>
        <w:rPr>
          <w:rFonts w:cs="Arial"/>
          <w:szCs w:val="20"/>
          <w:lang w:eastAsia="en-US"/>
        </w:rPr>
        <w:t>C</w:t>
      </w:r>
      <w:r w:rsidRPr="0055176D">
        <w:rPr>
          <w:rFonts w:cs="Arial"/>
          <w:szCs w:val="20"/>
          <w:lang w:eastAsia="en-US"/>
        </w:rPr>
        <w:t xml:space="preserve">ontact </w:t>
      </w:r>
      <w:r>
        <w:rPr>
          <w:rFonts w:cs="Arial"/>
          <w:szCs w:val="20"/>
          <w:lang w:eastAsia="en-US"/>
        </w:rPr>
        <w:t>O</w:t>
      </w:r>
      <w:r w:rsidRPr="0055176D">
        <w:rPr>
          <w:rFonts w:cs="Arial"/>
          <w:szCs w:val="20"/>
          <w:lang w:eastAsia="en-US"/>
        </w:rPr>
        <w:t xml:space="preserve">fficer on telephone 1800 226 667 or by email to </w:t>
      </w:r>
      <w:hyperlink r:id="rId35" w:history="1">
        <w:r w:rsidRPr="0055176D">
          <w:rPr>
            <w:rFonts w:cs="Arial"/>
            <w:color w:val="0000FF"/>
            <w:szCs w:val="20"/>
            <w:u w:val="single"/>
            <w:lang w:eastAsia="en-US"/>
          </w:rPr>
          <w:t>privacy@acma.gov.au</w:t>
        </w:r>
      </w:hyperlink>
      <w:r w:rsidRPr="0055176D">
        <w:rPr>
          <w:rFonts w:cs="Arial"/>
          <w:szCs w:val="20"/>
          <w:lang w:eastAsia="en-US"/>
        </w:rPr>
        <w:t>.</w:t>
      </w:r>
    </w:p>
    <w:p w14:paraId="0924CBB9" w14:textId="77777777" w:rsidR="00726B8C" w:rsidRPr="00052902" w:rsidRDefault="00726B8C" w:rsidP="00726B8C">
      <w:pPr>
        <w:pStyle w:val="Heading1"/>
        <w:rPr>
          <w:lang w:val="en-US"/>
        </w:rPr>
      </w:pPr>
      <w:bookmarkStart w:id="192" w:name="_Toc75850319"/>
      <w:bookmarkStart w:id="193" w:name="_Toc75868723"/>
      <w:bookmarkStart w:id="194" w:name="_Toc75868817"/>
      <w:bookmarkStart w:id="195" w:name="_Toc75868884"/>
      <w:bookmarkStart w:id="196" w:name="_Toc84847030"/>
      <w:bookmarkStart w:id="197" w:name="_Toc137563004"/>
      <w:r w:rsidRPr="00052902">
        <w:rPr>
          <w:lang w:val="en-US"/>
        </w:rPr>
        <w:lastRenderedPageBreak/>
        <w:t>Further information</w:t>
      </w:r>
      <w:bookmarkEnd w:id="184"/>
      <w:bookmarkEnd w:id="185"/>
      <w:bookmarkEnd w:id="192"/>
      <w:bookmarkEnd w:id="193"/>
      <w:bookmarkEnd w:id="194"/>
      <w:bookmarkEnd w:id="195"/>
      <w:bookmarkEnd w:id="196"/>
      <w:bookmarkEnd w:id="197"/>
    </w:p>
    <w:p w14:paraId="63A82BFB" w14:textId="74A32B2D" w:rsidR="00726B8C" w:rsidRPr="00052902" w:rsidRDefault="00726B8C" w:rsidP="00726B8C">
      <w:pPr>
        <w:rPr>
          <w:rFonts w:cs="Arial"/>
          <w:lang w:val="en-US"/>
        </w:rPr>
      </w:pPr>
      <w:r>
        <w:rPr>
          <w:rFonts w:cs="Arial"/>
          <w:lang w:val="en-US"/>
        </w:rPr>
        <w:t>I</w:t>
      </w:r>
      <w:r w:rsidRPr="00052902">
        <w:rPr>
          <w:rFonts w:cs="Arial"/>
          <w:lang w:val="en-US"/>
        </w:rPr>
        <w:t xml:space="preserve">nformation on </w:t>
      </w:r>
      <w:hyperlink r:id="rId36" w:history="1">
        <w:r w:rsidRPr="007746FC">
          <w:rPr>
            <w:rStyle w:val="Hyperlink"/>
            <w:rFonts w:cs="Arial"/>
            <w:lang w:val="en-US"/>
          </w:rPr>
          <w:t>community broadcasting</w:t>
        </w:r>
      </w:hyperlink>
      <w:r w:rsidRPr="00052902">
        <w:rPr>
          <w:rFonts w:cs="Arial"/>
          <w:lang w:val="en-US"/>
        </w:rPr>
        <w:t xml:space="preserve">, including </w:t>
      </w:r>
      <w:r>
        <w:rPr>
          <w:rFonts w:cs="Arial"/>
          <w:lang w:val="en-US"/>
        </w:rPr>
        <w:t>TCBL</w:t>
      </w:r>
      <w:r w:rsidRPr="00052902">
        <w:rPr>
          <w:rFonts w:cs="Arial"/>
          <w:lang w:val="en-US"/>
        </w:rPr>
        <w:t xml:space="preserve">s, is available from the </w:t>
      </w:r>
      <w:r w:rsidRPr="007746FC">
        <w:rPr>
          <w:rFonts w:cs="Arial"/>
          <w:lang w:val="en-US"/>
        </w:rPr>
        <w:t>ACMA website</w:t>
      </w:r>
      <w:r w:rsidRPr="00052902">
        <w:rPr>
          <w:rFonts w:cs="Arial"/>
          <w:lang w:val="en-US"/>
        </w:rPr>
        <w:t>.</w:t>
      </w:r>
    </w:p>
    <w:p w14:paraId="45AC29BB" w14:textId="32BC4E7E" w:rsidR="00726B8C" w:rsidRPr="00052902" w:rsidRDefault="00726B8C" w:rsidP="00726B8C">
      <w:pPr>
        <w:rPr>
          <w:rFonts w:cs="Arial"/>
          <w:lang w:val="en-US"/>
        </w:rPr>
      </w:pPr>
      <w:r w:rsidRPr="00052902">
        <w:rPr>
          <w:rFonts w:cs="Arial"/>
          <w:lang w:val="en-US"/>
        </w:rPr>
        <w:t xml:space="preserve">For queries about these guidelines, email the ACMA Community Broadcasting </w:t>
      </w:r>
      <w:r>
        <w:rPr>
          <w:rFonts w:cs="Arial"/>
          <w:lang w:val="en-US"/>
        </w:rPr>
        <w:t xml:space="preserve">and Safeguards </w:t>
      </w:r>
      <w:r w:rsidRPr="00052902">
        <w:rPr>
          <w:rFonts w:cs="Arial"/>
          <w:lang w:val="en-US"/>
        </w:rPr>
        <w:t xml:space="preserve">Section at </w:t>
      </w:r>
      <w:hyperlink r:id="rId37" w:history="1">
        <w:r w:rsidRPr="00052902">
          <w:rPr>
            <w:rStyle w:val="Hyperlink"/>
            <w:rFonts w:cs="Arial"/>
            <w:lang w:val="en-US"/>
          </w:rPr>
          <w:t>communitybroadcasting@acma.gov.au</w:t>
        </w:r>
      </w:hyperlink>
      <w:r w:rsidRPr="00052902">
        <w:rPr>
          <w:rFonts w:cs="Arial"/>
          <w:lang w:val="en-US"/>
        </w:rPr>
        <w:t xml:space="preserve"> or</w:t>
      </w:r>
      <w:r w:rsidR="00A6114D">
        <w:rPr>
          <w:rFonts w:cs="Arial"/>
          <w:lang w:val="en-US"/>
        </w:rPr>
        <w:t xml:space="preserve"> </w:t>
      </w:r>
      <w:r w:rsidRPr="00052902">
        <w:rPr>
          <w:rFonts w:cs="Arial"/>
          <w:lang w:val="en-US"/>
        </w:rPr>
        <w:t>phone (02)</w:t>
      </w:r>
      <w:r>
        <w:rPr>
          <w:rFonts w:cs="Arial"/>
          <w:lang w:val="en-US"/>
        </w:rPr>
        <w:t> </w:t>
      </w:r>
      <w:r w:rsidRPr="00052902">
        <w:rPr>
          <w:rFonts w:cs="Arial"/>
          <w:lang w:val="en-US"/>
        </w:rPr>
        <w:t>9334</w:t>
      </w:r>
      <w:r>
        <w:rPr>
          <w:rFonts w:cs="Arial"/>
          <w:lang w:val="en-US"/>
        </w:rPr>
        <w:t> </w:t>
      </w:r>
      <w:r w:rsidRPr="00052902">
        <w:rPr>
          <w:rFonts w:cs="Arial"/>
          <w:lang w:val="en-US"/>
        </w:rPr>
        <w:t>7922.</w:t>
      </w:r>
    </w:p>
    <w:p w14:paraId="7C7E5BEF" w14:textId="77777777" w:rsidR="00726B8C" w:rsidRPr="002D55AC" w:rsidRDefault="00726B8C" w:rsidP="00726B8C">
      <w:pPr>
        <w:pStyle w:val="ListBullet"/>
        <w:numPr>
          <w:ilvl w:val="0"/>
          <w:numId w:val="0"/>
        </w:numPr>
        <w:spacing w:after="240"/>
        <w:ind w:left="295"/>
      </w:pPr>
    </w:p>
    <w:sectPr w:rsidR="00726B8C" w:rsidRPr="002D55AC" w:rsidSect="00C77380">
      <w:headerReference w:type="even" r:id="rId38"/>
      <w:headerReference w:type="default" r:id="rId39"/>
      <w:footerReference w:type="even" r:id="rId40"/>
      <w:footerReference w:type="default" r:id="rId4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07B3E2" w14:textId="77777777" w:rsidR="00A8386C" w:rsidRDefault="00A8386C">
      <w:r>
        <w:separator/>
      </w:r>
    </w:p>
  </w:endnote>
  <w:endnote w:type="continuationSeparator" w:id="0">
    <w:p w14:paraId="68B41EA9" w14:textId="77777777" w:rsidR="00A8386C" w:rsidRDefault="00A8386C">
      <w:r>
        <w:continuationSeparator/>
      </w:r>
    </w:p>
  </w:endnote>
  <w:endnote w:type="continuationNotice" w:id="1">
    <w:p w14:paraId="38F95F82" w14:textId="77777777" w:rsidR="00A8386C" w:rsidRDefault="00A838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AAC08" w14:textId="77777777" w:rsidR="005E250B" w:rsidRDefault="005E250B" w:rsidP="005E250B">
    <w:pPr>
      <w:pStyle w:val="Footer"/>
      <w:jc w:val="right"/>
    </w:pPr>
    <w:r w:rsidRPr="005E250B">
      <w:rPr>
        <w:noProof/>
        <w:vertAlign w:val="subscript"/>
      </w:rPr>
      <w:drawing>
        <wp:inline distT="0" distB="0" distL="0" distR="0" wp14:anchorId="36C93C7E" wp14:editId="6122768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F9408"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0C0CC"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F90F1"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2B5848BD"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8E06D"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9766447"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29ACA"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13291412"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58CAF"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A72D928"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8EFA7"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7E4E8C51"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F120E" w14:textId="77777777" w:rsidR="00A8386C" w:rsidRDefault="00A8386C" w:rsidP="00DB3A64">
      <w:pPr>
        <w:spacing w:after="0"/>
      </w:pPr>
      <w:r>
        <w:separator/>
      </w:r>
    </w:p>
  </w:footnote>
  <w:footnote w:type="continuationSeparator" w:id="0">
    <w:p w14:paraId="3231D5DF" w14:textId="77777777" w:rsidR="00A8386C" w:rsidRDefault="00A8386C">
      <w:r>
        <w:continuationSeparator/>
      </w:r>
    </w:p>
  </w:footnote>
  <w:footnote w:type="continuationNotice" w:id="1">
    <w:p w14:paraId="7810A6E1" w14:textId="77777777" w:rsidR="00A8386C" w:rsidRDefault="00A8386C">
      <w:pPr>
        <w:spacing w:after="0" w:line="240" w:lineRule="auto"/>
      </w:pPr>
    </w:p>
  </w:footnote>
  <w:footnote w:id="2">
    <w:p w14:paraId="2387F4A7" w14:textId="19BF6F29" w:rsidR="001C39BB" w:rsidRDefault="001C39BB">
      <w:pPr>
        <w:pStyle w:val="FootnoteText"/>
      </w:pPr>
      <w:r>
        <w:rPr>
          <w:rStyle w:val="FootnoteReference"/>
        </w:rPr>
        <w:footnoteRef/>
      </w:r>
      <w:r>
        <w:t xml:space="preserve"> </w:t>
      </w:r>
      <w:r w:rsidR="002D4645">
        <w:t>Section 3</w:t>
      </w:r>
      <w:r w:rsidR="00107DB4">
        <w:t xml:space="preserve"> of the Act</w:t>
      </w:r>
      <w:r w:rsidR="002D4645">
        <w:t xml:space="preserve">. </w:t>
      </w:r>
      <w:r>
        <w:t xml:space="preserve">The Act can be accessed from the Federal Register of Legislation at </w:t>
      </w:r>
      <w:hyperlink r:id="rId1" w:history="1">
        <w:r w:rsidR="00A8767D" w:rsidRPr="00765D18">
          <w:rPr>
            <w:rStyle w:val="Hyperlink"/>
          </w:rPr>
          <w:t>https://www.legislation.gov.au/Latest/C2004A04401</w:t>
        </w:r>
      </w:hyperlink>
      <w:r w:rsidR="00A8767D">
        <w:t xml:space="preserve">. </w:t>
      </w:r>
    </w:p>
  </w:footnote>
  <w:footnote w:id="3">
    <w:p w14:paraId="021960D5" w14:textId="5A706256" w:rsidR="004024B8" w:rsidRDefault="004024B8">
      <w:pPr>
        <w:pStyle w:val="FootnoteText"/>
      </w:pPr>
      <w:r>
        <w:rPr>
          <w:rStyle w:val="FootnoteReference"/>
        </w:rPr>
        <w:footnoteRef/>
      </w:r>
      <w:r>
        <w:t xml:space="preserve"> Part 5 of Schedule 2</w:t>
      </w:r>
      <w:r w:rsidR="00107DB4">
        <w:t xml:space="preserve"> to the Act</w:t>
      </w:r>
      <w:r>
        <w:t>.</w:t>
      </w:r>
    </w:p>
  </w:footnote>
  <w:footnote w:id="4">
    <w:p w14:paraId="65403660" w14:textId="34BAB54D" w:rsidR="00B12808" w:rsidRDefault="00B12808" w:rsidP="00B12808">
      <w:pPr>
        <w:pStyle w:val="FootnoteText"/>
      </w:pPr>
      <w:r>
        <w:rPr>
          <w:rStyle w:val="FootnoteReference"/>
        </w:rPr>
        <w:footnoteRef/>
      </w:r>
      <w:r>
        <w:t xml:space="preserve"> See, for example, page 8 of the </w:t>
      </w:r>
      <w:r w:rsidR="00D16148">
        <w:t>e</w:t>
      </w:r>
      <w:r>
        <w:t xml:space="preserve">xplanatory </w:t>
      </w:r>
      <w:r w:rsidR="00D16148">
        <w:t>m</w:t>
      </w:r>
      <w:r>
        <w:t>emorandum to the Communications Legislation Amendment Bill (No. 1) 1997.</w:t>
      </w:r>
    </w:p>
  </w:footnote>
  <w:footnote w:id="5">
    <w:p w14:paraId="3DD42C5E" w14:textId="2B792371" w:rsidR="004829BD" w:rsidRDefault="004829BD">
      <w:pPr>
        <w:pStyle w:val="FootnoteText"/>
      </w:pPr>
      <w:r>
        <w:rPr>
          <w:rStyle w:val="FootnoteReference"/>
        </w:rPr>
        <w:footnoteRef/>
      </w:r>
      <w:r>
        <w:t xml:space="preserve"> Section 34</w:t>
      </w:r>
      <w:r w:rsidR="00107DB4">
        <w:t xml:space="preserve"> of the Act</w:t>
      </w:r>
      <w:r>
        <w:t>.</w:t>
      </w:r>
    </w:p>
  </w:footnote>
  <w:footnote w:id="6">
    <w:p w14:paraId="5F7EBF86" w14:textId="2C404471" w:rsidR="004829BD" w:rsidRDefault="004829BD">
      <w:pPr>
        <w:pStyle w:val="FootnoteText"/>
      </w:pPr>
      <w:r>
        <w:rPr>
          <w:rStyle w:val="FootnoteReference"/>
        </w:rPr>
        <w:footnoteRef/>
      </w:r>
      <w:r>
        <w:t xml:space="preserve"> Part 6A</w:t>
      </w:r>
      <w:r w:rsidR="00107DB4">
        <w:t xml:space="preserve"> of the Act</w:t>
      </w:r>
      <w:r>
        <w:t>.</w:t>
      </w:r>
    </w:p>
  </w:footnote>
  <w:footnote w:id="7">
    <w:p w14:paraId="540EADD0" w14:textId="79CA1287" w:rsidR="00D2163C" w:rsidRPr="00B87479" w:rsidRDefault="00C95E81" w:rsidP="00C95E81">
      <w:pPr>
        <w:pStyle w:val="FootnoteText"/>
        <w:rPr>
          <w:i/>
          <w:iCs/>
        </w:rPr>
      </w:pPr>
      <w:r w:rsidRPr="000422EA">
        <w:rPr>
          <w:rStyle w:val="FootnoteReference"/>
        </w:rPr>
        <w:footnoteRef/>
      </w:r>
      <w:r w:rsidR="003D53E9">
        <w:t xml:space="preserve"> </w:t>
      </w:r>
      <w:hyperlink r:id="rId2" w:history="1">
        <w:r w:rsidR="00E935E6" w:rsidRPr="00766EDD">
          <w:rPr>
            <w:rStyle w:val="Hyperlink"/>
            <w:i/>
            <w:iCs/>
          </w:rPr>
          <w:t>Broadcasting Services Amendment (Community Radio) Act 2022</w:t>
        </w:r>
      </w:hyperlink>
      <w:r w:rsidR="003D53E9" w:rsidRPr="00766EDD">
        <w:rPr>
          <w:rStyle w:val="Hyperlink"/>
          <w:color w:val="auto"/>
          <w:u w:val="none"/>
        </w:rPr>
        <w:t>.</w:t>
      </w:r>
      <w:r w:rsidR="00E935E6" w:rsidRPr="000422EA">
        <w:t xml:space="preserve"> </w:t>
      </w:r>
    </w:p>
  </w:footnote>
  <w:footnote w:id="8">
    <w:p w14:paraId="040D8F64" w14:textId="6C04299B" w:rsidR="00E935E6" w:rsidRPr="00766EDD" w:rsidRDefault="00E935E6" w:rsidP="00E935E6">
      <w:pPr>
        <w:pStyle w:val="FootnoteText"/>
      </w:pPr>
      <w:r w:rsidRPr="000422EA">
        <w:rPr>
          <w:rStyle w:val="FootnoteReference"/>
        </w:rPr>
        <w:footnoteRef/>
      </w:r>
      <w:r w:rsidRPr="000422EA">
        <w:t xml:space="preserve"> </w:t>
      </w:r>
      <w:hyperlink r:id="rId3" w:history="1">
        <w:r w:rsidRPr="00766EDD">
          <w:rPr>
            <w:rStyle w:val="Hyperlink"/>
          </w:rPr>
          <w:t>Broadcasting Services Amendment (Community Radio) Bill 2022</w:t>
        </w:r>
      </w:hyperlink>
      <w:r>
        <w:t xml:space="preserve"> and </w:t>
      </w:r>
      <w:r w:rsidR="003D53E9">
        <w:t>e</w:t>
      </w:r>
      <w:r w:rsidR="00741B3F">
        <w:t xml:space="preserve">xplanatory memorandum to the </w:t>
      </w:r>
      <w:r w:rsidRPr="00766EDD">
        <w:rPr>
          <w:u w:color="0000FF"/>
        </w:rPr>
        <w:t xml:space="preserve">Broadcasting Services Amendment </w:t>
      </w:r>
      <w:r w:rsidR="00741B3F" w:rsidRPr="00766EDD">
        <w:rPr>
          <w:u w:color="0000FF"/>
        </w:rPr>
        <w:t>(</w:t>
      </w:r>
      <w:r w:rsidRPr="00766EDD">
        <w:rPr>
          <w:u w:color="0000FF"/>
        </w:rPr>
        <w:t>Community Radio</w:t>
      </w:r>
      <w:r w:rsidR="00741B3F" w:rsidRPr="00766EDD">
        <w:rPr>
          <w:u w:color="0000FF"/>
        </w:rPr>
        <w:t>)</w:t>
      </w:r>
      <w:r w:rsidRPr="00766EDD">
        <w:rPr>
          <w:u w:color="0000FF"/>
        </w:rPr>
        <w:t xml:space="preserve"> Bill</w:t>
      </w:r>
      <w:r w:rsidRPr="00766EDD">
        <w:t xml:space="preserve"> 2022</w:t>
      </w:r>
      <w:r w:rsidR="003D53E9">
        <w:t>.</w:t>
      </w:r>
    </w:p>
    <w:p w14:paraId="17429099" w14:textId="77777777" w:rsidR="00E935E6" w:rsidRDefault="00E935E6" w:rsidP="00E935E6">
      <w:pPr>
        <w:pStyle w:val="FootnoteText"/>
      </w:pPr>
    </w:p>
    <w:p w14:paraId="167A1C4F" w14:textId="6FB209EE" w:rsidR="00E935E6" w:rsidRDefault="00E935E6">
      <w:pPr>
        <w:pStyle w:val="FootnoteText"/>
      </w:pPr>
    </w:p>
  </w:footnote>
  <w:footnote w:id="9">
    <w:p w14:paraId="3B2465BB" w14:textId="0CD91AB9" w:rsidR="00CA481B" w:rsidRDefault="00CA481B">
      <w:pPr>
        <w:pStyle w:val="FootnoteText"/>
      </w:pPr>
      <w:r>
        <w:rPr>
          <w:rStyle w:val="FootnoteReference"/>
        </w:rPr>
        <w:footnoteRef/>
      </w:r>
      <w:r>
        <w:t xml:space="preserve"> </w:t>
      </w:r>
      <w:r w:rsidR="00BC5992">
        <w:t>Section 92F of the Act provides that the ACMA is not to allocate a temporary community broadcasting licence except in accordance with a determination of the ACMA under section 34.</w:t>
      </w:r>
    </w:p>
  </w:footnote>
  <w:footnote w:id="10">
    <w:p w14:paraId="0EB625C6" w14:textId="76BD171E" w:rsidR="00726B8C" w:rsidRPr="007002D0" w:rsidRDefault="00726B8C" w:rsidP="00726B8C">
      <w:pPr>
        <w:pStyle w:val="FootnoteText"/>
      </w:pPr>
      <w:r>
        <w:rPr>
          <w:rStyle w:val="FootnoteReference"/>
        </w:rPr>
        <w:footnoteRef/>
      </w:r>
      <w:r>
        <w:t xml:space="preserve"> </w:t>
      </w:r>
      <w:r w:rsidR="00DF1133" w:rsidRPr="00DF1133">
        <w:t xml:space="preserve">For the purposes of these guidelines, ‘remote commercial radio licence area’ means one of the following </w:t>
      </w:r>
      <w:r w:rsidR="003A2C4F">
        <w:t>3</w:t>
      </w:r>
      <w:r w:rsidR="003A2C4F" w:rsidRPr="00DF1133">
        <w:t xml:space="preserve"> </w:t>
      </w:r>
      <w:r w:rsidR="00DF1133" w:rsidRPr="00DF1133">
        <w:t>licence areas: Remote Commercial Radio Service Central Zone RA1 and Remote Commercial Radio Service North East Zone RA1 defined in the Remote Central and Eastern Australia Radio LAP, and the Remote Commercial Radio Service Western Zone RA1 defined in Remote Western Australia Radio LAP.</w:t>
      </w:r>
    </w:p>
  </w:footnote>
  <w:footnote w:id="11">
    <w:p w14:paraId="772549C2" w14:textId="26E7AC05" w:rsidR="001578C3" w:rsidRPr="007002D0" w:rsidRDefault="001578C3">
      <w:pPr>
        <w:pStyle w:val="FootnoteText"/>
      </w:pPr>
      <w:r w:rsidRPr="007002D0">
        <w:rPr>
          <w:rStyle w:val="FootnoteReference"/>
        </w:rPr>
        <w:footnoteRef/>
      </w:r>
      <w:r w:rsidRPr="007002D0">
        <w:t xml:space="preserve"> The ACMA may determine remote Indigenous communities under section 8B of the Act.</w:t>
      </w:r>
      <w:r w:rsidR="00097C9A" w:rsidRPr="007002D0">
        <w:t xml:space="preserve"> See the </w:t>
      </w:r>
      <w:hyperlink r:id="rId4" w:history="1">
        <w:r w:rsidR="00AE71DB">
          <w:rPr>
            <w:rStyle w:val="Hyperlink"/>
          </w:rPr>
          <w:t>Broadcasting Services (Remote Indigenous Communities) Determination 2022</w:t>
        </w:r>
      </w:hyperlink>
      <w:r w:rsidR="00097C9A" w:rsidRPr="00CF25BC">
        <w:t>.</w:t>
      </w:r>
    </w:p>
  </w:footnote>
  <w:footnote w:id="12">
    <w:p w14:paraId="7CD3E528" w14:textId="77777777" w:rsidR="00726B8C" w:rsidRDefault="00726B8C" w:rsidP="00726B8C">
      <w:pPr>
        <w:pStyle w:val="FootnoteText"/>
      </w:pPr>
      <w:r w:rsidRPr="007002D0">
        <w:rPr>
          <w:rStyle w:val="FootnoteReference"/>
        </w:rPr>
        <w:footnoteRef/>
      </w:r>
      <w:r w:rsidRPr="007002D0">
        <w:t xml:space="preserve"> </w:t>
      </w:r>
      <w:r w:rsidRPr="007002D0">
        <w:rPr>
          <w:rFonts w:cs="Arial"/>
        </w:rPr>
        <w:t>For example, where a community interest is</w:t>
      </w:r>
      <w:r w:rsidRPr="00A909A2">
        <w:rPr>
          <w:rFonts w:cs="Arial"/>
        </w:rPr>
        <w:t xml:space="preserve"> not currently represented by a community broadcasting service in the area.</w:t>
      </w:r>
    </w:p>
  </w:footnote>
  <w:footnote w:id="13">
    <w:p w14:paraId="680B33A1" w14:textId="6C3B55AE"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92C(1) of the Act.</w:t>
      </w:r>
      <w:r>
        <w:rPr>
          <w:rFonts w:cs="Arial"/>
        </w:rPr>
        <w:t xml:space="preserve"> See also Chapter 3 </w:t>
      </w:r>
      <w:r w:rsidR="001E7BA0">
        <w:rPr>
          <w:rFonts w:cs="Arial"/>
        </w:rPr>
        <w:t xml:space="preserve">and Chapter 7 </w:t>
      </w:r>
      <w:r>
        <w:rPr>
          <w:rFonts w:cs="Arial"/>
        </w:rPr>
        <w:t xml:space="preserve">of the ACMA’s </w:t>
      </w:r>
      <w:hyperlink r:id="rId5" w:history="1">
        <w:r w:rsidRPr="009F5CF2">
          <w:rPr>
            <w:rStyle w:val="Hyperlink"/>
            <w:rFonts w:cs="Arial"/>
            <w:i/>
            <w:iCs/>
          </w:rPr>
          <w:t>Community Broadcasting Participation Guidelines</w:t>
        </w:r>
      </w:hyperlink>
      <w:r w:rsidRPr="006E0806">
        <w:rPr>
          <w:rStyle w:val="Hyperlink"/>
          <w:rFonts w:cs="Arial"/>
          <w:i/>
          <w:iCs/>
          <w:color w:val="auto"/>
          <w:u w:val="none"/>
        </w:rPr>
        <w:t xml:space="preserve"> </w:t>
      </w:r>
      <w:r w:rsidRPr="006E0806">
        <w:rPr>
          <w:rStyle w:val="Hyperlink"/>
          <w:rFonts w:cs="Arial"/>
          <w:color w:val="auto"/>
          <w:u w:val="none"/>
        </w:rPr>
        <w:t xml:space="preserve">for more information about </w:t>
      </w:r>
      <w:r w:rsidR="001E7BA0">
        <w:rPr>
          <w:rStyle w:val="Hyperlink"/>
          <w:rFonts w:cs="Arial"/>
          <w:color w:val="auto"/>
          <w:u w:val="none"/>
        </w:rPr>
        <w:t xml:space="preserve">appropriate organisational structures for licensees and </w:t>
      </w:r>
      <w:r w:rsidRPr="006E0806">
        <w:rPr>
          <w:rStyle w:val="Hyperlink"/>
          <w:rFonts w:cs="Arial"/>
          <w:color w:val="auto"/>
          <w:u w:val="none"/>
        </w:rPr>
        <w:t>community interest</w:t>
      </w:r>
      <w:r w:rsidR="000B0898">
        <w:rPr>
          <w:rStyle w:val="Hyperlink"/>
          <w:rFonts w:cs="Arial"/>
          <w:color w:val="auto"/>
          <w:u w:val="none"/>
        </w:rPr>
        <w:t>s</w:t>
      </w:r>
      <w:r w:rsidRPr="006E0806">
        <w:rPr>
          <w:rFonts w:cs="Arial"/>
        </w:rPr>
        <w:t>.</w:t>
      </w:r>
    </w:p>
  </w:footnote>
  <w:footnote w:id="14">
    <w:p w14:paraId="3C339C9A" w14:textId="019C7DC9" w:rsidR="00CF1CC3" w:rsidRDefault="00CF1CC3">
      <w:pPr>
        <w:pStyle w:val="FootnoteText"/>
      </w:pPr>
      <w:r>
        <w:rPr>
          <w:rStyle w:val="FootnoteReference"/>
        </w:rPr>
        <w:footnoteRef/>
      </w:r>
      <w:r>
        <w:t xml:space="preserve"> </w:t>
      </w:r>
      <w:r w:rsidR="00A10255">
        <w:t>For example, a</w:t>
      </w:r>
      <w:r w:rsidR="009E6608" w:rsidRPr="009E39B9">
        <w:t>dditional information may be requested s</w:t>
      </w:r>
      <w:r w:rsidR="00593215" w:rsidRPr="009E39B9">
        <w:t xml:space="preserve">hould the ACMA </w:t>
      </w:r>
      <w:r w:rsidR="00DF65BC" w:rsidRPr="009E39B9">
        <w:t>choose to consider the matters at subsection 92E(2) of the BSA</w:t>
      </w:r>
      <w:r w:rsidR="00593215" w:rsidRPr="009E39B9">
        <w:t xml:space="preserve">. See </w:t>
      </w:r>
      <w:r w:rsidRPr="009E39B9">
        <w:t>‘How we decide to allocate a TCBL’</w:t>
      </w:r>
      <w:r w:rsidR="00593215" w:rsidRPr="009E39B9">
        <w:t xml:space="preserve"> for information about the matters we </w:t>
      </w:r>
      <w:r w:rsidR="00593215" w:rsidRPr="00766EDD">
        <w:t>may</w:t>
      </w:r>
      <w:r w:rsidR="00593215" w:rsidRPr="009E39B9">
        <w:t xml:space="preserve"> consider when deciding to allocate a TCBL.</w:t>
      </w:r>
    </w:p>
  </w:footnote>
  <w:footnote w:id="15">
    <w:p w14:paraId="20FFF1A8" w14:textId="0CA21B0D" w:rsidR="00841468" w:rsidRPr="00FE56D6" w:rsidRDefault="00841468">
      <w:pPr>
        <w:pStyle w:val="FootnoteText"/>
      </w:pPr>
      <w:r>
        <w:rPr>
          <w:rStyle w:val="FootnoteReference"/>
        </w:rPr>
        <w:footnoteRef/>
      </w:r>
      <w:r>
        <w:t xml:space="preserve"> </w:t>
      </w:r>
      <w:r w:rsidR="0071771C">
        <w:t xml:space="preserve">Explanatory memorandum </w:t>
      </w:r>
      <w:r w:rsidR="00AD0A09">
        <w:t>to</w:t>
      </w:r>
      <w:r w:rsidR="0071771C">
        <w:t xml:space="preserve"> the </w:t>
      </w:r>
      <w:hyperlink r:id="rId6" w:history="1">
        <w:r w:rsidR="00DF65BC" w:rsidRPr="00C072D2">
          <w:rPr>
            <w:rStyle w:val="Hyperlink"/>
          </w:rPr>
          <w:t>Broadcasting Services Amendment (Community Radio) Bill 2022 (legislation.gov.au)</w:t>
        </w:r>
      </w:hyperlink>
      <w:r w:rsidR="00DF65BC" w:rsidRPr="00C072D2">
        <w:t>.</w:t>
      </w:r>
    </w:p>
  </w:footnote>
  <w:footnote w:id="16">
    <w:p w14:paraId="786F35AA" w14:textId="7978FE9E" w:rsidR="00726B8C" w:rsidRDefault="00726B8C" w:rsidP="00726B8C">
      <w:pPr>
        <w:pStyle w:val="FootnoteText"/>
      </w:pPr>
      <w:r w:rsidRPr="00FE56D6">
        <w:rPr>
          <w:rStyle w:val="FootnoteReference"/>
        </w:rPr>
        <w:footnoteRef/>
      </w:r>
      <w:r w:rsidRPr="00FE56D6">
        <w:t xml:space="preserve"> Subsection</w:t>
      </w:r>
      <w:r w:rsidR="00E935E6" w:rsidRPr="00FE56D6">
        <w:t xml:space="preserve"> 92E(1) and</w:t>
      </w:r>
      <w:r w:rsidRPr="00FE56D6">
        <w:t xml:space="preserve"> 92E(2) of the Act.</w:t>
      </w:r>
    </w:p>
  </w:footnote>
  <w:footnote w:id="17">
    <w:p w14:paraId="6322FAA5"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92C(3) of the Act.</w:t>
      </w:r>
    </w:p>
  </w:footnote>
  <w:footnote w:id="18">
    <w:p w14:paraId="4FF6846D" w14:textId="136C46CD"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 xml:space="preserve">ection 92C(2) and </w:t>
      </w:r>
      <w:r w:rsidR="00657150">
        <w:rPr>
          <w:rFonts w:cs="Arial"/>
        </w:rPr>
        <w:t xml:space="preserve">section </w:t>
      </w:r>
      <w:r w:rsidRPr="00BB5586">
        <w:rPr>
          <w:rFonts w:cs="Arial"/>
        </w:rPr>
        <w:t>92D of the Act.</w:t>
      </w:r>
    </w:p>
  </w:footnote>
  <w:footnote w:id="19">
    <w:p w14:paraId="6200E0A2" w14:textId="360F5027" w:rsidR="00C2772F" w:rsidRDefault="00C2772F">
      <w:pPr>
        <w:pStyle w:val="FootnoteText"/>
      </w:pPr>
      <w:r>
        <w:rPr>
          <w:rStyle w:val="FootnoteReference"/>
        </w:rPr>
        <w:footnoteRef/>
      </w:r>
      <w:r>
        <w:t xml:space="preserve"> Sub</w:t>
      </w:r>
      <w:r w:rsidR="00F8403D">
        <w:t>section</w:t>
      </w:r>
      <w:r>
        <w:t xml:space="preserve"> 92F(2) of the Act</w:t>
      </w:r>
      <w:r w:rsidR="00DF65BC">
        <w:t>.</w:t>
      </w:r>
      <w:r w:rsidR="002408AC">
        <w:t xml:space="preserve"> </w:t>
      </w:r>
    </w:p>
  </w:footnote>
  <w:footnote w:id="20">
    <w:p w14:paraId="0E264C31" w14:textId="2D7FC704"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w:t>
      </w:r>
      <w:r>
        <w:rPr>
          <w:rFonts w:cs="Arial"/>
        </w:rPr>
        <w:t>Paragraph</w:t>
      </w:r>
      <w:r w:rsidRPr="00BB5586">
        <w:rPr>
          <w:rFonts w:cs="Arial"/>
        </w:rPr>
        <w:t xml:space="preserve"> 92G(1)(c) of the Act.</w:t>
      </w:r>
    </w:p>
  </w:footnote>
  <w:footnote w:id="21">
    <w:p w14:paraId="6E459B6F"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92G(2) of the Act.</w:t>
      </w:r>
    </w:p>
  </w:footnote>
  <w:footnote w:id="22">
    <w:p w14:paraId="7F68F4E5"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Section 92A of the Act.</w:t>
      </w:r>
    </w:p>
  </w:footnote>
  <w:footnote w:id="23">
    <w:p w14:paraId="7887F3E4"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92G(2) of the Act.</w:t>
      </w:r>
    </w:p>
  </w:footnote>
  <w:footnote w:id="24">
    <w:p w14:paraId="12A47807" w14:textId="36497BD5"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w:t>
      </w:r>
      <w:r>
        <w:rPr>
          <w:rFonts w:cs="Arial"/>
        </w:rPr>
        <w:t>Paragraph</w:t>
      </w:r>
      <w:r w:rsidRPr="00BB5586">
        <w:rPr>
          <w:rFonts w:cs="Arial"/>
        </w:rPr>
        <w:t xml:space="preserve"> 92J(1)(c) of the Act.</w:t>
      </w:r>
    </w:p>
  </w:footnote>
  <w:footnote w:id="25">
    <w:p w14:paraId="4A9D644E" w14:textId="77777777" w:rsidR="00726B8C" w:rsidRPr="00BB5586" w:rsidRDefault="00726B8C" w:rsidP="00726B8C">
      <w:pPr>
        <w:pStyle w:val="FootnoteText"/>
        <w:tabs>
          <w:tab w:val="left" w:pos="180"/>
        </w:tabs>
        <w:ind w:left="180" w:hanging="180"/>
        <w:rPr>
          <w:rFonts w:cs="Arial"/>
        </w:rPr>
      </w:pPr>
      <w:r w:rsidRPr="00BB5586">
        <w:rPr>
          <w:rStyle w:val="FootnoteReference"/>
          <w:rFonts w:cs="Arial"/>
        </w:rPr>
        <w:footnoteRef/>
      </w:r>
      <w:r w:rsidRPr="00BB5586">
        <w:rPr>
          <w:rFonts w:cs="Arial"/>
        </w:rPr>
        <w:t xml:space="preserve"> This may occur, for example, where </w:t>
      </w:r>
      <w:r>
        <w:rPr>
          <w:rFonts w:cs="Arial"/>
        </w:rPr>
        <w:t>a</w:t>
      </w:r>
      <w:r w:rsidRPr="00BB5586">
        <w:rPr>
          <w:rFonts w:cs="Arial"/>
        </w:rPr>
        <w:t xml:space="preserve"> long-term licence has been allocated for the frequency occupied by a </w:t>
      </w:r>
      <w:r>
        <w:rPr>
          <w:rFonts w:cs="Arial"/>
        </w:rPr>
        <w:t>TCBL</w:t>
      </w:r>
      <w:r w:rsidRPr="00BB5586">
        <w:rPr>
          <w:rFonts w:cs="Arial"/>
        </w:rPr>
        <w:t>.</w:t>
      </w:r>
    </w:p>
  </w:footnote>
  <w:footnote w:id="26">
    <w:p w14:paraId="131DF448"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92J(4) of the Act.</w:t>
      </w:r>
    </w:p>
  </w:footnote>
  <w:footnote w:id="27">
    <w:p w14:paraId="7F312FDD"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w:t>
      </w:r>
      <w:r>
        <w:rPr>
          <w:rFonts w:cs="Arial"/>
        </w:rPr>
        <w:t>Paragraph</w:t>
      </w:r>
      <w:r w:rsidRPr="00BB5586">
        <w:rPr>
          <w:rFonts w:cs="Arial"/>
        </w:rPr>
        <w:t xml:space="preserve"> 92J(1)(a) of the Act.</w:t>
      </w:r>
    </w:p>
  </w:footnote>
  <w:footnote w:id="28">
    <w:p w14:paraId="1D063CF4"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92J(4) of the Act.</w:t>
      </w:r>
    </w:p>
  </w:footnote>
  <w:footnote w:id="29">
    <w:p w14:paraId="3484061D" w14:textId="20BF0420" w:rsidR="00457E20" w:rsidRDefault="00457E20">
      <w:pPr>
        <w:pStyle w:val="FootnoteText"/>
      </w:pPr>
      <w:r>
        <w:rPr>
          <w:rStyle w:val="FootnoteReference"/>
        </w:rPr>
        <w:footnoteRef/>
      </w:r>
      <w:r>
        <w:t xml:space="preserve"> See the ACMA’s </w:t>
      </w:r>
      <w:hyperlink r:id="rId7" w:history="1">
        <w:r w:rsidRPr="00AC7B4A">
          <w:rPr>
            <w:rStyle w:val="Hyperlink"/>
          </w:rPr>
          <w:t xml:space="preserve">Compliance and </w:t>
        </w:r>
        <w:r w:rsidR="001F576F">
          <w:rPr>
            <w:rStyle w:val="Hyperlink"/>
          </w:rPr>
          <w:t>e</w:t>
        </w:r>
        <w:r w:rsidRPr="00AC7B4A">
          <w:rPr>
            <w:rStyle w:val="Hyperlink"/>
          </w:rPr>
          <w:t>nforcement policy</w:t>
        </w:r>
      </w:hyperlink>
      <w:r>
        <w:t>.</w:t>
      </w:r>
    </w:p>
  </w:footnote>
  <w:footnote w:id="30">
    <w:p w14:paraId="7792FA49"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92J(4) of the Act.</w:t>
      </w:r>
    </w:p>
  </w:footnote>
  <w:footnote w:id="31">
    <w:p w14:paraId="5C98CA10"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Section 147 of the Act.</w:t>
      </w:r>
    </w:p>
  </w:footnote>
  <w:footnote w:id="32">
    <w:p w14:paraId="6C8CB847"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Section 148 of the Act.</w:t>
      </w:r>
    </w:p>
  </w:footnote>
  <w:footnote w:id="33">
    <w:p w14:paraId="6D866E48" w14:textId="77777777" w:rsidR="00726B8C" w:rsidRPr="00BB5586" w:rsidRDefault="00726B8C" w:rsidP="00726B8C">
      <w:pPr>
        <w:pStyle w:val="FootnoteText"/>
        <w:rPr>
          <w:rFonts w:cs="Arial"/>
        </w:rPr>
      </w:pPr>
      <w:r w:rsidRPr="00BB5586">
        <w:rPr>
          <w:rStyle w:val="FootnoteReference"/>
          <w:rFonts w:cs="Arial"/>
        </w:rPr>
        <w:footnoteRef/>
      </w:r>
      <w:r w:rsidRPr="00BB5586">
        <w:rPr>
          <w:rFonts w:cs="Arial"/>
        </w:rPr>
        <w:t xml:space="preserve"> S</w:t>
      </w:r>
      <w:r>
        <w:rPr>
          <w:rFonts w:cs="Arial"/>
        </w:rPr>
        <w:t>ubs</w:t>
      </w:r>
      <w:r w:rsidRPr="00BB5586">
        <w:rPr>
          <w:rFonts w:cs="Arial"/>
        </w:rPr>
        <w:t>ection 92B(2) of the 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7A48D" w14:textId="77777777" w:rsidR="00C053A1" w:rsidRPr="00A5474E" w:rsidRDefault="00C053A1" w:rsidP="00A5474E">
    <w:pPr>
      <w:pStyle w:val="Header"/>
    </w:pPr>
    <w:r>
      <w:rPr>
        <w:noProof/>
      </w:rPr>
      <w:drawing>
        <wp:inline distT="0" distB="0" distL="0" distR="0" wp14:anchorId="193552F7" wp14:editId="2DBC95BD">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0C48E"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B6DD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975F5"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BBE223D" w14:textId="77777777" w:rsidTr="003B0421">
      <w:trPr>
        <w:trHeight w:hRule="exact" w:val="988"/>
      </w:trPr>
      <w:tc>
        <w:tcPr>
          <w:tcW w:w="7678" w:type="dxa"/>
          <w:shd w:val="clear" w:color="auto" w:fill="auto"/>
        </w:tcPr>
        <w:p w14:paraId="460227D0" w14:textId="77777777" w:rsidR="00971914" w:rsidRDefault="00971914" w:rsidP="00971914">
          <w:pPr>
            <w:pStyle w:val="Header"/>
          </w:pPr>
        </w:p>
      </w:tc>
    </w:tr>
    <w:tr w:rsidR="00971914" w14:paraId="7DC16B68" w14:textId="77777777" w:rsidTr="003B0421">
      <w:tc>
        <w:tcPr>
          <w:tcW w:w="7678" w:type="dxa"/>
          <w:shd w:val="clear" w:color="auto" w:fill="auto"/>
        </w:tcPr>
        <w:p w14:paraId="28346989" w14:textId="77777777" w:rsidR="00971914" w:rsidRDefault="00971914" w:rsidP="00971914">
          <w:pPr>
            <w:pStyle w:val="GridTable31"/>
          </w:pPr>
          <w:r>
            <w:t xml:space="preserve">Contents </w:t>
          </w:r>
          <w:r w:rsidRPr="00915B1C">
            <w:rPr>
              <w:b w:val="0"/>
              <w:spacing w:val="0"/>
              <w:sz w:val="28"/>
              <w:szCs w:val="28"/>
            </w:rPr>
            <w:t>(Continued)</w:t>
          </w:r>
        </w:p>
      </w:tc>
    </w:tr>
    <w:tr w:rsidR="00971914" w14:paraId="0FB44320" w14:textId="77777777" w:rsidTr="003B0421">
      <w:trPr>
        <w:trHeight w:val="1220"/>
      </w:trPr>
      <w:tc>
        <w:tcPr>
          <w:tcW w:w="7678" w:type="dxa"/>
          <w:shd w:val="clear" w:color="auto" w:fill="auto"/>
        </w:tcPr>
        <w:p w14:paraId="00426F4B" w14:textId="77777777" w:rsidR="00971914" w:rsidRDefault="00971914" w:rsidP="00971914"/>
      </w:tc>
    </w:tr>
  </w:tbl>
  <w:p w14:paraId="117FE2EB"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9961D57" w14:textId="77777777" w:rsidTr="003B0421">
      <w:trPr>
        <w:trHeight w:hRule="exact" w:val="988"/>
      </w:trPr>
      <w:tc>
        <w:tcPr>
          <w:tcW w:w="7678" w:type="dxa"/>
          <w:shd w:val="clear" w:color="auto" w:fill="auto"/>
        </w:tcPr>
        <w:p w14:paraId="5EDAC3CB" w14:textId="77777777" w:rsidR="00971914" w:rsidRDefault="00971914" w:rsidP="00971914">
          <w:pPr>
            <w:pStyle w:val="Header"/>
          </w:pPr>
        </w:p>
      </w:tc>
    </w:tr>
    <w:tr w:rsidR="00971914" w14:paraId="4075DF8E" w14:textId="77777777" w:rsidTr="003B0421">
      <w:tc>
        <w:tcPr>
          <w:tcW w:w="7678" w:type="dxa"/>
          <w:shd w:val="clear" w:color="auto" w:fill="auto"/>
        </w:tcPr>
        <w:p w14:paraId="5EF036DF" w14:textId="77777777" w:rsidR="00971914" w:rsidRDefault="00971914" w:rsidP="00971914">
          <w:pPr>
            <w:pStyle w:val="GridTable31"/>
          </w:pPr>
          <w:r>
            <w:t xml:space="preserve">Contents </w:t>
          </w:r>
          <w:r w:rsidRPr="00915B1C">
            <w:rPr>
              <w:b w:val="0"/>
              <w:spacing w:val="0"/>
              <w:sz w:val="28"/>
              <w:szCs w:val="28"/>
            </w:rPr>
            <w:t>(Continued)</w:t>
          </w:r>
        </w:p>
      </w:tc>
    </w:tr>
    <w:tr w:rsidR="00971914" w14:paraId="096A68DA" w14:textId="77777777" w:rsidTr="003B0421">
      <w:trPr>
        <w:trHeight w:val="1220"/>
      </w:trPr>
      <w:tc>
        <w:tcPr>
          <w:tcW w:w="7678" w:type="dxa"/>
          <w:shd w:val="clear" w:color="auto" w:fill="auto"/>
        </w:tcPr>
        <w:p w14:paraId="050E1C90" w14:textId="77777777" w:rsidR="00971914" w:rsidRDefault="00971914" w:rsidP="00971914"/>
      </w:tc>
    </w:tr>
  </w:tbl>
  <w:p w14:paraId="524530EF"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4DF7A"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94541"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31CEF02"/>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2"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4"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AE1947"/>
    <w:multiLevelType w:val="hybridMultilevel"/>
    <w:tmpl w:val="DA7ECFA8"/>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420402F"/>
    <w:multiLevelType w:val="hybridMultilevel"/>
    <w:tmpl w:val="41862AB2"/>
    <w:lvl w:ilvl="0" w:tplc="D2DE2858">
      <w:start w:val="1"/>
      <w:numFmt w:val="decimal"/>
      <w:lvlText w:val="%1."/>
      <w:lvlJc w:val="left"/>
      <w:pPr>
        <w:ind w:left="720" w:hanging="360"/>
      </w:pPr>
      <w:rPr>
        <w:sz w:val="16"/>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207C7AB4"/>
    <w:multiLevelType w:val="hybridMultilevel"/>
    <w:tmpl w:val="0B0082E8"/>
    <w:lvl w:ilvl="0" w:tplc="19B6D7F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DED08E5"/>
    <w:multiLevelType w:val="hybridMultilevel"/>
    <w:tmpl w:val="5B4CD96A"/>
    <w:lvl w:ilvl="0" w:tplc="D2A2274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2E5B1829"/>
    <w:multiLevelType w:val="hybridMultilevel"/>
    <w:tmpl w:val="115AEB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92617FB"/>
    <w:multiLevelType w:val="hybridMultilevel"/>
    <w:tmpl w:val="2BB2B128"/>
    <w:lvl w:ilvl="0" w:tplc="6BD2D05E">
      <w:numFmt w:val="bullet"/>
      <w:lvlText w:val="-"/>
      <w:lvlJc w:val="left"/>
      <w:pPr>
        <w:ind w:left="720" w:hanging="360"/>
      </w:pPr>
      <w:rPr>
        <w:rFonts w:ascii="Calibri" w:eastAsiaTheme="minorHAnsi" w:hAnsi="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4"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C4485F"/>
    <w:multiLevelType w:val="hybridMultilevel"/>
    <w:tmpl w:val="5C0EEF94"/>
    <w:lvl w:ilvl="0" w:tplc="49B631C0">
      <w:start w:val="1"/>
      <w:numFmt w:val="bullet"/>
      <w:lvlText w:val="&gt;"/>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23D55BF"/>
    <w:multiLevelType w:val="hybridMultilevel"/>
    <w:tmpl w:val="9774E5CA"/>
    <w:lvl w:ilvl="0" w:tplc="4E5237F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395810649">
    <w:abstractNumId w:val="4"/>
  </w:num>
  <w:num w:numId="2" w16cid:durableId="564876355">
    <w:abstractNumId w:val="2"/>
  </w:num>
  <w:num w:numId="3" w16cid:durableId="283931091">
    <w:abstractNumId w:val="3"/>
  </w:num>
  <w:num w:numId="4" w16cid:durableId="266934133">
    <w:abstractNumId w:val="1"/>
  </w:num>
  <w:num w:numId="5" w16cid:durableId="1103499481">
    <w:abstractNumId w:val="11"/>
  </w:num>
  <w:num w:numId="6" w16cid:durableId="1131746739">
    <w:abstractNumId w:val="17"/>
  </w:num>
  <w:num w:numId="7" w16cid:durableId="310523721">
    <w:abstractNumId w:val="14"/>
  </w:num>
  <w:num w:numId="8" w16cid:durableId="1184248787">
    <w:abstractNumId w:val="16"/>
  </w:num>
  <w:num w:numId="9" w16cid:durableId="1163083179">
    <w:abstractNumId w:val="18"/>
  </w:num>
  <w:num w:numId="10" w16cid:durableId="599871160">
    <w:abstractNumId w:val="5"/>
  </w:num>
  <w:num w:numId="11" w16cid:durableId="309942346">
    <w:abstractNumId w:val="3"/>
    <w:lvlOverride w:ilvl="0">
      <w:startOverride w:val="1"/>
    </w:lvlOverride>
  </w:num>
  <w:num w:numId="12" w16cid:durableId="1024015549">
    <w:abstractNumId w:val="3"/>
    <w:lvlOverride w:ilvl="0">
      <w:startOverride w:val="1"/>
    </w:lvlOverride>
  </w:num>
  <w:num w:numId="13" w16cid:durableId="444278181">
    <w:abstractNumId w:val="7"/>
    <w:lvlOverride w:ilvl="0">
      <w:startOverride w:val="1"/>
    </w:lvlOverride>
  </w:num>
  <w:num w:numId="14" w16cid:durableId="910458517">
    <w:abstractNumId w:val="6"/>
  </w:num>
  <w:num w:numId="15" w16cid:durableId="2052067033">
    <w:abstractNumId w:val="0"/>
  </w:num>
  <w:num w:numId="16" w16cid:durableId="918637595">
    <w:abstractNumId w:val="10"/>
  </w:num>
  <w:num w:numId="17" w16cid:durableId="107311520">
    <w:abstractNumId w:val="13"/>
  </w:num>
  <w:num w:numId="18" w16cid:durableId="794565249">
    <w:abstractNumId w:val="9"/>
  </w:num>
  <w:num w:numId="19" w16cid:durableId="823664931">
    <w:abstractNumId w:val="19"/>
  </w:num>
  <w:num w:numId="20" w16cid:durableId="620920281">
    <w:abstractNumId w:val="15"/>
  </w:num>
  <w:num w:numId="21" w16cid:durableId="44816347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095637401">
    <w:abstractNumId w:val="4"/>
  </w:num>
  <w:num w:numId="23" w16cid:durableId="711150673">
    <w:abstractNumId w:val="4"/>
  </w:num>
  <w:num w:numId="24" w16cid:durableId="535309329">
    <w:abstractNumId w:val="4"/>
  </w:num>
  <w:num w:numId="25" w16cid:durableId="141388613">
    <w:abstractNumId w:val="4"/>
  </w:num>
  <w:num w:numId="26" w16cid:durableId="1244098182">
    <w:abstractNumId w:val="4"/>
  </w:num>
  <w:num w:numId="27" w16cid:durableId="1829055613">
    <w:abstractNumId w:val="8"/>
  </w:num>
  <w:num w:numId="28" w16cid:durableId="995572694">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hideSpellingErrors/>
  <w:hideGrammaticalErrors/>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B8C"/>
    <w:rsid w:val="00010667"/>
    <w:rsid w:val="000129D5"/>
    <w:rsid w:val="00015AE7"/>
    <w:rsid w:val="00016E21"/>
    <w:rsid w:val="0001719C"/>
    <w:rsid w:val="0002224E"/>
    <w:rsid w:val="000245E5"/>
    <w:rsid w:val="00026F91"/>
    <w:rsid w:val="000316ED"/>
    <w:rsid w:val="000422EA"/>
    <w:rsid w:val="0004764C"/>
    <w:rsid w:val="0005011A"/>
    <w:rsid w:val="0005045A"/>
    <w:rsid w:val="00051C1E"/>
    <w:rsid w:val="000539F9"/>
    <w:rsid w:val="00054C27"/>
    <w:rsid w:val="00055EC3"/>
    <w:rsid w:val="000563CE"/>
    <w:rsid w:val="000566FD"/>
    <w:rsid w:val="000659B6"/>
    <w:rsid w:val="0006686F"/>
    <w:rsid w:val="0006722A"/>
    <w:rsid w:val="000700DC"/>
    <w:rsid w:val="00071E0A"/>
    <w:rsid w:val="000732CF"/>
    <w:rsid w:val="00073509"/>
    <w:rsid w:val="00075B96"/>
    <w:rsid w:val="00077513"/>
    <w:rsid w:val="00080EA0"/>
    <w:rsid w:val="0008196A"/>
    <w:rsid w:val="00090DF4"/>
    <w:rsid w:val="000915ED"/>
    <w:rsid w:val="00091EFF"/>
    <w:rsid w:val="0009209D"/>
    <w:rsid w:val="0009463C"/>
    <w:rsid w:val="000969BD"/>
    <w:rsid w:val="000969BF"/>
    <w:rsid w:val="00096A2E"/>
    <w:rsid w:val="000971BD"/>
    <w:rsid w:val="00097C9A"/>
    <w:rsid w:val="000A0C22"/>
    <w:rsid w:val="000A1400"/>
    <w:rsid w:val="000A3374"/>
    <w:rsid w:val="000A3C43"/>
    <w:rsid w:val="000A4A51"/>
    <w:rsid w:val="000A5D2B"/>
    <w:rsid w:val="000A7888"/>
    <w:rsid w:val="000B0898"/>
    <w:rsid w:val="000B0F09"/>
    <w:rsid w:val="000B287A"/>
    <w:rsid w:val="000B4664"/>
    <w:rsid w:val="000B5DE3"/>
    <w:rsid w:val="000B6A1C"/>
    <w:rsid w:val="000B6EC3"/>
    <w:rsid w:val="000B7A15"/>
    <w:rsid w:val="000C0A57"/>
    <w:rsid w:val="000C230C"/>
    <w:rsid w:val="000C6AB4"/>
    <w:rsid w:val="000D541E"/>
    <w:rsid w:val="000D71D9"/>
    <w:rsid w:val="000D76E0"/>
    <w:rsid w:val="000D7E8B"/>
    <w:rsid w:val="000E20D8"/>
    <w:rsid w:val="000E4449"/>
    <w:rsid w:val="000E6097"/>
    <w:rsid w:val="000F6591"/>
    <w:rsid w:val="0010267F"/>
    <w:rsid w:val="00103829"/>
    <w:rsid w:val="00107DB4"/>
    <w:rsid w:val="00111FCE"/>
    <w:rsid w:val="001129FE"/>
    <w:rsid w:val="00113F84"/>
    <w:rsid w:val="00114744"/>
    <w:rsid w:val="001229A5"/>
    <w:rsid w:val="00123FEC"/>
    <w:rsid w:val="0012489B"/>
    <w:rsid w:val="001258BC"/>
    <w:rsid w:val="00130017"/>
    <w:rsid w:val="00130F91"/>
    <w:rsid w:val="001349ED"/>
    <w:rsid w:val="00137424"/>
    <w:rsid w:val="00140318"/>
    <w:rsid w:val="00141AD9"/>
    <w:rsid w:val="0014458C"/>
    <w:rsid w:val="00146CE6"/>
    <w:rsid w:val="00147764"/>
    <w:rsid w:val="0015016A"/>
    <w:rsid w:val="00152903"/>
    <w:rsid w:val="00153FD5"/>
    <w:rsid w:val="0015614F"/>
    <w:rsid w:val="001577C2"/>
    <w:rsid w:val="001578C3"/>
    <w:rsid w:val="001632C1"/>
    <w:rsid w:val="001633C4"/>
    <w:rsid w:val="001704D5"/>
    <w:rsid w:val="00171591"/>
    <w:rsid w:val="00173981"/>
    <w:rsid w:val="001739BF"/>
    <w:rsid w:val="00175D49"/>
    <w:rsid w:val="0017719D"/>
    <w:rsid w:val="00183FD7"/>
    <w:rsid w:val="00185CAB"/>
    <w:rsid w:val="001863FA"/>
    <w:rsid w:val="001875B7"/>
    <w:rsid w:val="001877CC"/>
    <w:rsid w:val="00187CB3"/>
    <w:rsid w:val="0019025E"/>
    <w:rsid w:val="0019050A"/>
    <w:rsid w:val="00191077"/>
    <w:rsid w:val="001910D4"/>
    <w:rsid w:val="00191182"/>
    <w:rsid w:val="001934B2"/>
    <w:rsid w:val="001976E3"/>
    <w:rsid w:val="001A0104"/>
    <w:rsid w:val="001A32C1"/>
    <w:rsid w:val="001A44EC"/>
    <w:rsid w:val="001A64CB"/>
    <w:rsid w:val="001B28D9"/>
    <w:rsid w:val="001B58AA"/>
    <w:rsid w:val="001B7E48"/>
    <w:rsid w:val="001C17CE"/>
    <w:rsid w:val="001C36CA"/>
    <w:rsid w:val="001C39BB"/>
    <w:rsid w:val="001C44D1"/>
    <w:rsid w:val="001C4D59"/>
    <w:rsid w:val="001C6AEE"/>
    <w:rsid w:val="001C7630"/>
    <w:rsid w:val="001D4DD0"/>
    <w:rsid w:val="001D6D15"/>
    <w:rsid w:val="001D7AFB"/>
    <w:rsid w:val="001E16ED"/>
    <w:rsid w:val="001E1CA3"/>
    <w:rsid w:val="001E37CE"/>
    <w:rsid w:val="001E68ED"/>
    <w:rsid w:val="001E7BA0"/>
    <w:rsid w:val="001F1A6B"/>
    <w:rsid w:val="001F32EB"/>
    <w:rsid w:val="001F576F"/>
    <w:rsid w:val="001F6247"/>
    <w:rsid w:val="001F7558"/>
    <w:rsid w:val="002056F2"/>
    <w:rsid w:val="00205B57"/>
    <w:rsid w:val="00210EC6"/>
    <w:rsid w:val="002157E0"/>
    <w:rsid w:val="00216A57"/>
    <w:rsid w:val="00217448"/>
    <w:rsid w:val="002176D7"/>
    <w:rsid w:val="00217C30"/>
    <w:rsid w:val="00222A5E"/>
    <w:rsid w:val="0022334F"/>
    <w:rsid w:val="00226819"/>
    <w:rsid w:val="00227642"/>
    <w:rsid w:val="00231B7F"/>
    <w:rsid w:val="00233101"/>
    <w:rsid w:val="00233817"/>
    <w:rsid w:val="00235C7A"/>
    <w:rsid w:val="002367FF"/>
    <w:rsid w:val="002408AC"/>
    <w:rsid w:val="00240CE9"/>
    <w:rsid w:val="002434BA"/>
    <w:rsid w:val="00246089"/>
    <w:rsid w:val="00246093"/>
    <w:rsid w:val="00246702"/>
    <w:rsid w:val="002476AF"/>
    <w:rsid w:val="00247C59"/>
    <w:rsid w:val="00247F2E"/>
    <w:rsid w:val="00250ADC"/>
    <w:rsid w:val="00250B07"/>
    <w:rsid w:val="002513CD"/>
    <w:rsid w:val="00257553"/>
    <w:rsid w:val="00260FB2"/>
    <w:rsid w:val="00262128"/>
    <w:rsid w:val="00262C9C"/>
    <w:rsid w:val="002637FC"/>
    <w:rsid w:val="002642A5"/>
    <w:rsid w:val="0027165D"/>
    <w:rsid w:val="00273CEB"/>
    <w:rsid w:val="002741E3"/>
    <w:rsid w:val="002807B7"/>
    <w:rsid w:val="00281C89"/>
    <w:rsid w:val="0028282F"/>
    <w:rsid w:val="002848B1"/>
    <w:rsid w:val="00284A74"/>
    <w:rsid w:val="00284FE0"/>
    <w:rsid w:val="002855F5"/>
    <w:rsid w:val="0029099A"/>
    <w:rsid w:val="0029593B"/>
    <w:rsid w:val="002963D5"/>
    <w:rsid w:val="00297FC5"/>
    <w:rsid w:val="002A0417"/>
    <w:rsid w:val="002A16D8"/>
    <w:rsid w:val="002A1BC8"/>
    <w:rsid w:val="002A268F"/>
    <w:rsid w:val="002A3EF2"/>
    <w:rsid w:val="002A6179"/>
    <w:rsid w:val="002A6B7C"/>
    <w:rsid w:val="002A7AD6"/>
    <w:rsid w:val="002B0DED"/>
    <w:rsid w:val="002B19A2"/>
    <w:rsid w:val="002B381A"/>
    <w:rsid w:val="002B4FCC"/>
    <w:rsid w:val="002B5BDF"/>
    <w:rsid w:val="002B7408"/>
    <w:rsid w:val="002B7CFD"/>
    <w:rsid w:val="002C210F"/>
    <w:rsid w:val="002C3F23"/>
    <w:rsid w:val="002D3600"/>
    <w:rsid w:val="002D4645"/>
    <w:rsid w:val="002E3775"/>
    <w:rsid w:val="002E44FF"/>
    <w:rsid w:val="002E4CF8"/>
    <w:rsid w:val="002E4DDC"/>
    <w:rsid w:val="002E6C69"/>
    <w:rsid w:val="002F494E"/>
    <w:rsid w:val="002F668A"/>
    <w:rsid w:val="002F7D4D"/>
    <w:rsid w:val="00300895"/>
    <w:rsid w:val="00302480"/>
    <w:rsid w:val="00302758"/>
    <w:rsid w:val="00304CFB"/>
    <w:rsid w:val="003061B3"/>
    <w:rsid w:val="003165E6"/>
    <w:rsid w:val="003167DA"/>
    <w:rsid w:val="0031792A"/>
    <w:rsid w:val="003215B5"/>
    <w:rsid w:val="003221CF"/>
    <w:rsid w:val="003233ED"/>
    <w:rsid w:val="00324C05"/>
    <w:rsid w:val="00324D9F"/>
    <w:rsid w:val="00326E16"/>
    <w:rsid w:val="00327948"/>
    <w:rsid w:val="00327F54"/>
    <w:rsid w:val="0033000F"/>
    <w:rsid w:val="00332011"/>
    <w:rsid w:val="00332518"/>
    <w:rsid w:val="00332925"/>
    <w:rsid w:val="003332ED"/>
    <w:rsid w:val="003368DC"/>
    <w:rsid w:val="00336C13"/>
    <w:rsid w:val="00345927"/>
    <w:rsid w:val="00350584"/>
    <w:rsid w:val="00351857"/>
    <w:rsid w:val="003545E8"/>
    <w:rsid w:val="003610E1"/>
    <w:rsid w:val="003626D3"/>
    <w:rsid w:val="00365475"/>
    <w:rsid w:val="003671BE"/>
    <w:rsid w:val="0037079B"/>
    <w:rsid w:val="00372485"/>
    <w:rsid w:val="00373200"/>
    <w:rsid w:val="00375EF5"/>
    <w:rsid w:val="003767A5"/>
    <w:rsid w:val="00381D15"/>
    <w:rsid w:val="00385254"/>
    <w:rsid w:val="00386736"/>
    <w:rsid w:val="00387568"/>
    <w:rsid w:val="003879E4"/>
    <w:rsid w:val="00390705"/>
    <w:rsid w:val="00394A36"/>
    <w:rsid w:val="00397A7B"/>
    <w:rsid w:val="003A04DB"/>
    <w:rsid w:val="003A09F3"/>
    <w:rsid w:val="003A0DF5"/>
    <w:rsid w:val="003A2C4F"/>
    <w:rsid w:val="003A4457"/>
    <w:rsid w:val="003A5F5B"/>
    <w:rsid w:val="003A789A"/>
    <w:rsid w:val="003B017E"/>
    <w:rsid w:val="003B12EC"/>
    <w:rsid w:val="003B432B"/>
    <w:rsid w:val="003B4E74"/>
    <w:rsid w:val="003B5665"/>
    <w:rsid w:val="003B7E08"/>
    <w:rsid w:val="003C77E0"/>
    <w:rsid w:val="003D17D7"/>
    <w:rsid w:val="003D2678"/>
    <w:rsid w:val="003D53E9"/>
    <w:rsid w:val="003D71A3"/>
    <w:rsid w:val="003E15AB"/>
    <w:rsid w:val="003E2B8A"/>
    <w:rsid w:val="003F0758"/>
    <w:rsid w:val="003F10EE"/>
    <w:rsid w:val="003F16F6"/>
    <w:rsid w:val="003F4DC7"/>
    <w:rsid w:val="003F5235"/>
    <w:rsid w:val="00401C66"/>
    <w:rsid w:val="004024B8"/>
    <w:rsid w:val="004027E4"/>
    <w:rsid w:val="00402C20"/>
    <w:rsid w:val="004039AD"/>
    <w:rsid w:val="00407701"/>
    <w:rsid w:val="00407A7D"/>
    <w:rsid w:val="0041071D"/>
    <w:rsid w:val="00414AFC"/>
    <w:rsid w:val="004151A7"/>
    <w:rsid w:val="00415310"/>
    <w:rsid w:val="00420377"/>
    <w:rsid w:val="00421709"/>
    <w:rsid w:val="00423763"/>
    <w:rsid w:val="0042762F"/>
    <w:rsid w:val="00427C91"/>
    <w:rsid w:val="00427DC7"/>
    <w:rsid w:val="00430C7F"/>
    <w:rsid w:val="00431613"/>
    <w:rsid w:val="00431792"/>
    <w:rsid w:val="0043297A"/>
    <w:rsid w:val="00432EB2"/>
    <w:rsid w:val="00436C83"/>
    <w:rsid w:val="0043714F"/>
    <w:rsid w:val="004438B5"/>
    <w:rsid w:val="00445B9D"/>
    <w:rsid w:val="00447037"/>
    <w:rsid w:val="004511C5"/>
    <w:rsid w:val="0045124D"/>
    <w:rsid w:val="00451AA8"/>
    <w:rsid w:val="00454596"/>
    <w:rsid w:val="0045605D"/>
    <w:rsid w:val="0045695E"/>
    <w:rsid w:val="00457E20"/>
    <w:rsid w:val="00457ED5"/>
    <w:rsid w:val="0046135B"/>
    <w:rsid w:val="00461D47"/>
    <w:rsid w:val="004718CC"/>
    <w:rsid w:val="00472BEF"/>
    <w:rsid w:val="00481695"/>
    <w:rsid w:val="004829BD"/>
    <w:rsid w:val="00491596"/>
    <w:rsid w:val="00491BFB"/>
    <w:rsid w:val="00495A96"/>
    <w:rsid w:val="00495BB3"/>
    <w:rsid w:val="004A0C66"/>
    <w:rsid w:val="004A3105"/>
    <w:rsid w:val="004A56BB"/>
    <w:rsid w:val="004A61F4"/>
    <w:rsid w:val="004A70D6"/>
    <w:rsid w:val="004B1751"/>
    <w:rsid w:val="004B6473"/>
    <w:rsid w:val="004B748C"/>
    <w:rsid w:val="004C0253"/>
    <w:rsid w:val="004C0B85"/>
    <w:rsid w:val="004D56FF"/>
    <w:rsid w:val="004D617B"/>
    <w:rsid w:val="004E3011"/>
    <w:rsid w:val="004E39D3"/>
    <w:rsid w:val="004E508A"/>
    <w:rsid w:val="004E616D"/>
    <w:rsid w:val="004F1BDE"/>
    <w:rsid w:val="004F28C7"/>
    <w:rsid w:val="004F2CEE"/>
    <w:rsid w:val="004F556E"/>
    <w:rsid w:val="004F591C"/>
    <w:rsid w:val="004F62D6"/>
    <w:rsid w:val="004F760A"/>
    <w:rsid w:val="004F7F44"/>
    <w:rsid w:val="005037B4"/>
    <w:rsid w:val="005079BF"/>
    <w:rsid w:val="005120D1"/>
    <w:rsid w:val="0051269A"/>
    <w:rsid w:val="005144FA"/>
    <w:rsid w:val="00521757"/>
    <w:rsid w:val="005219E7"/>
    <w:rsid w:val="00521ED4"/>
    <w:rsid w:val="005232BD"/>
    <w:rsid w:val="005270BA"/>
    <w:rsid w:val="005274F0"/>
    <w:rsid w:val="00530519"/>
    <w:rsid w:val="00531B9A"/>
    <w:rsid w:val="00531D15"/>
    <w:rsid w:val="00531F6A"/>
    <w:rsid w:val="00533EC6"/>
    <w:rsid w:val="005355A4"/>
    <w:rsid w:val="00537604"/>
    <w:rsid w:val="00542377"/>
    <w:rsid w:val="005476EB"/>
    <w:rsid w:val="00551782"/>
    <w:rsid w:val="00562E72"/>
    <w:rsid w:val="00563EF1"/>
    <w:rsid w:val="00566AB4"/>
    <w:rsid w:val="00566DBA"/>
    <w:rsid w:val="00575AC5"/>
    <w:rsid w:val="0057605D"/>
    <w:rsid w:val="005763FF"/>
    <w:rsid w:val="00581347"/>
    <w:rsid w:val="00581AC9"/>
    <w:rsid w:val="00583057"/>
    <w:rsid w:val="005849F8"/>
    <w:rsid w:val="00590CF6"/>
    <w:rsid w:val="005926BE"/>
    <w:rsid w:val="00593215"/>
    <w:rsid w:val="005938DF"/>
    <w:rsid w:val="00594E9C"/>
    <w:rsid w:val="005A099B"/>
    <w:rsid w:val="005A1701"/>
    <w:rsid w:val="005A2D9C"/>
    <w:rsid w:val="005A44EC"/>
    <w:rsid w:val="005A55FE"/>
    <w:rsid w:val="005A6A11"/>
    <w:rsid w:val="005B4E94"/>
    <w:rsid w:val="005B6B52"/>
    <w:rsid w:val="005C202D"/>
    <w:rsid w:val="005C27C0"/>
    <w:rsid w:val="005C69B2"/>
    <w:rsid w:val="005C7FEB"/>
    <w:rsid w:val="005D2502"/>
    <w:rsid w:val="005D40BB"/>
    <w:rsid w:val="005D47F3"/>
    <w:rsid w:val="005D49BF"/>
    <w:rsid w:val="005D4AA5"/>
    <w:rsid w:val="005D6F4E"/>
    <w:rsid w:val="005D7C73"/>
    <w:rsid w:val="005E0E52"/>
    <w:rsid w:val="005E250B"/>
    <w:rsid w:val="005E3ACD"/>
    <w:rsid w:val="005E56EB"/>
    <w:rsid w:val="005E7226"/>
    <w:rsid w:val="005E7747"/>
    <w:rsid w:val="005E7A57"/>
    <w:rsid w:val="005F0854"/>
    <w:rsid w:val="005F16DC"/>
    <w:rsid w:val="005F24B0"/>
    <w:rsid w:val="005F2A16"/>
    <w:rsid w:val="005F7A10"/>
    <w:rsid w:val="00601B57"/>
    <w:rsid w:val="00603F79"/>
    <w:rsid w:val="00604315"/>
    <w:rsid w:val="00604E26"/>
    <w:rsid w:val="0060523F"/>
    <w:rsid w:val="006052CF"/>
    <w:rsid w:val="006062A3"/>
    <w:rsid w:val="00607B8D"/>
    <w:rsid w:val="00610260"/>
    <w:rsid w:val="00611F5C"/>
    <w:rsid w:val="00616C90"/>
    <w:rsid w:val="00616CDB"/>
    <w:rsid w:val="00616E09"/>
    <w:rsid w:val="00616EEF"/>
    <w:rsid w:val="00622A3B"/>
    <w:rsid w:val="00622EEA"/>
    <w:rsid w:val="0062396C"/>
    <w:rsid w:val="00623FF9"/>
    <w:rsid w:val="00627D4E"/>
    <w:rsid w:val="00632B89"/>
    <w:rsid w:val="0063346D"/>
    <w:rsid w:val="00634478"/>
    <w:rsid w:val="00637F77"/>
    <w:rsid w:val="00644373"/>
    <w:rsid w:val="00645915"/>
    <w:rsid w:val="0064596D"/>
    <w:rsid w:val="00646C40"/>
    <w:rsid w:val="006505FC"/>
    <w:rsid w:val="006519C3"/>
    <w:rsid w:val="00651CAA"/>
    <w:rsid w:val="0065263A"/>
    <w:rsid w:val="00652B30"/>
    <w:rsid w:val="0065342A"/>
    <w:rsid w:val="00653DE1"/>
    <w:rsid w:val="0065598A"/>
    <w:rsid w:val="00656345"/>
    <w:rsid w:val="00656DC6"/>
    <w:rsid w:val="00657150"/>
    <w:rsid w:val="00660EC6"/>
    <w:rsid w:val="00664110"/>
    <w:rsid w:val="00664D17"/>
    <w:rsid w:val="00666520"/>
    <w:rsid w:val="00667C5B"/>
    <w:rsid w:val="00676E9D"/>
    <w:rsid w:val="00687000"/>
    <w:rsid w:val="00691EB8"/>
    <w:rsid w:val="00692CDE"/>
    <w:rsid w:val="00693073"/>
    <w:rsid w:val="00694DA9"/>
    <w:rsid w:val="00696949"/>
    <w:rsid w:val="0069751B"/>
    <w:rsid w:val="006977FF"/>
    <w:rsid w:val="006A01FA"/>
    <w:rsid w:val="006A0E9E"/>
    <w:rsid w:val="006A25C7"/>
    <w:rsid w:val="006A3E29"/>
    <w:rsid w:val="006A4AAD"/>
    <w:rsid w:val="006A6DA2"/>
    <w:rsid w:val="006A7AB2"/>
    <w:rsid w:val="006B4022"/>
    <w:rsid w:val="006B4F62"/>
    <w:rsid w:val="006B52DE"/>
    <w:rsid w:val="006B5717"/>
    <w:rsid w:val="006B582F"/>
    <w:rsid w:val="006B5EB2"/>
    <w:rsid w:val="006C0CEB"/>
    <w:rsid w:val="006C1631"/>
    <w:rsid w:val="006C3B1E"/>
    <w:rsid w:val="006C40B1"/>
    <w:rsid w:val="006C47FD"/>
    <w:rsid w:val="006C5C19"/>
    <w:rsid w:val="006C70A0"/>
    <w:rsid w:val="006C7DD7"/>
    <w:rsid w:val="006D207B"/>
    <w:rsid w:val="006D27CB"/>
    <w:rsid w:val="006D2F08"/>
    <w:rsid w:val="006D576C"/>
    <w:rsid w:val="006D5865"/>
    <w:rsid w:val="006D6868"/>
    <w:rsid w:val="006E4B1B"/>
    <w:rsid w:val="006E5445"/>
    <w:rsid w:val="006E7D93"/>
    <w:rsid w:val="006F00F8"/>
    <w:rsid w:val="006F207A"/>
    <w:rsid w:val="006F23C8"/>
    <w:rsid w:val="006F5602"/>
    <w:rsid w:val="006F7075"/>
    <w:rsid w:val="006F7BD0"/>
    <w:rsid w:val="007002D0"/>
    <w:rsid w:val="007029A3"/>
    <w:rsid w:val="00702EA1"/>
    <w:rsid w:val="00706E4E"/>
    <w:rsid w:val="0070791C"/>
    <w:rsid w:val="0071383C"/>
    <w:rsid w:val="007141A7"/>
    <w:rsid w:val="007152CD"/>
    <w:rsid w:val="00715722"/>
    <w:rsid w:val="0071712F"/>
    <w:rsid w:val="007175D1"/>
    <w:rsid w:val="0071771C"/>
    <w:rsid w:val="00721032"/>
    <w:rsid w:val="00721B55"/>
    <w:rsid w:val="00726B8C"/>
    <w:rsid w:val="00726CE4"/>
    <w:rsid w:val="00732D66"/>
    <w:rsid w:val="00734143"/>
    <w:rsid w:val="007351DE"/>
    <w:rsid w:val="00737E47"/>
    <w:rsid w:val="00740EAC"/>
    <w:rsid w:val="00741640"/>
    <w:rsid w:val="00741B3F"/>
    <w:rsid w:val="00744956"/>
    <w:rsid w:val="00745A5C"/>
    <w:rsid w:val="0074605F"/>
    <w:rsid w:val="00747E94"/>
    <w:rsid w:val="00753B8D"/>
    <w:rsid w:val="0075461C"/>
    <w:rsid w:val="00754734"/>
    <w:rsid w:val="00754C83"/>
    <w:rsid w:val="007565F3"/>
    <w:rsid w:val="00761C3A"/>
    <w:rsid w:val="00761E5C"/>
    <w:rsid w:val="00765DF8"/>
    <w:rsid w:val="00766749"/>
    <w:rsid w:val="00766EDD"/>
    <w:rsid w:val="00767C1B"/>
    <w:rsid w:val="007714A9"/>
    <w:rsid w:val="00774F88"/>
    <w:rsid w:val="00774FDB"/>
    <w:rsid w:val="00777BA2"/>
    <w:rsid w:val="00780B0B"/>
    <w:rsid w:val="00781408"/>
    <w:rsid w:val="00784594"/>
    <w:rsid w:val="00784F7F"/>
    <w:rsid w:val="007878BD"/>
    <w:rsid w:val="00796CE0"/>
    <w:rsid w:val="00796F25"/>
    <w:rsid w:val="007A0047"/>
    <w:rsid w:val="007A1833"/>
    <w:rsid w:val="007A2E98"/>
    <w:rsid w:val="007A3BA3"/>
    <w:rsid w:val="007A6CC0"/>
    <w:rsid w:val="007A7FEC"/>
    <w:rsid w:val="007B1499"/>
    <w:rsid w:val="007B1BBF"/>
    <w:rsid w:val="007B2960"/>
    <w:rsid w:val="007B355D"/>
    <w:rsid w:val="007B4655"/>
    <w:rsid w:val="007B7980"/>
    <w:rsid w:val="007C09FE"/>
    <w:rsid w:val="007C0DEF"/>
    <w:rsid w:val="007C5D5A"/>
    <w:rsid w:val="007C607F"/>
    <w:rsid w:val="007C6E44"/>
    <w:rsid w:val="007C7921"/>
    <w:rsid w:val="007C79DD"/>
    <w:rsid w:val="007D01F7"/>
    <w:rsid w:val="007D1A97"/>
    <w:rsid w:val="007D2CD6"/>
    <w:rsid w:val="007D3063"/>
    <w:rsid w:val="007D3CEB"/>
    <w:rsid w:val="007D6F48"/>
    <w:rsid w:val="007D6F58"/>
    <w:rsid w:val="007E3375"/>
    <w:rsid w:val="007E4241"/>
    <w:rsid w:val="007E6DCB"/>
    <w:rsid w:val="007E7683"/>
    <w:rsid w:val="007F49FA"/>
    <w:rsid w:val="007F54C4"/>
    <w:rsid w:val="007F54FD"/>
    <w:rsid w:val="007F6E9A"/>
    <w:rsid w:val="00800CCD"/>
    <w:rsid w:val="00803703"/>
    <w:rsid w:val="00804445"/>
    <w:rsid w:val="008044D4"/>
    <w:rsid w:val="00805EC4"/>
    <w:rsid w:val="00806803"/>
    <w:rsid w:val="00810AB4"/>
    <w:rsid w:val="00817B56"/>
    <w:rsid w:val="00821A88"/>
    <w:rsid w:val="0082495D"/>
    <w:rsid w:val="008249EC"/>
    <w:rsid w:val="00824BA5"/>
    <w:rsid w:val="00831AC3"/>
    <w:rsid w:val="008336C2"/>
    <w:rsid w:val="00836FCE"/>
    <w:rsid w:val="00837841"/>
    <w:rsid w:val="008379FE"/>
    <w:rsid w:val="00837E6C"/>
    <w:rsid w:val="008408FF"/>
    <w:rsid w:val="00841468"/>
    <w:rsid w:val="00851F3F"/>
    <w:rsid w:val="0085618F"/>
    <w:rsid w:val="00856EDC"/>
    <w:rsid w:val="008623B5"/>
    <w:rsid w:val="00866F31"/>
    <w:rsid w:val="00870ABA"/>
    <w:rsid w:val="008710E1"/>
    <w:rsid w:val="008716E5"/>
    <w:rsid w:val="00881CA9"/>
    <w:rsid w:val="00883628"/>
    <w:rsid w:val="00885544"/>
    <w:rsid w:val="0088634E"/>
    <w:rsid w:val="00886B82"/>
    <w:rsid w:val="00893AB8"/>
    <w:rsid w:val="00897A37"/>
    <w:rsid w:val="008A04C8"/>
    <w:rsid w:val="008A3C53"/>
    <w:rsid w:val="008A5299"/>
    <w:rsid w:val="008A59A7"/>
    <w:rsid w:val="008A6913"/>
    <w:rsid w:val="008A69DE"/>
    <w:rsid w:val="008A6C35"/>
    <w:rsid w:val="008B70F3"/>
    <w:rsid w:val="008B71C4"/>
    <w:rsid w:val="008B76DF"/>
    <w:rsid w:val="008C10F4"/>
    <w:rsid w:val="008C65F7"/>
    <w:rsid w:val="008C7F17"/>
    <w:rsid w:val="008D0BF1"/>
    <w:rsid w:val="008E4767"/>
    <w:rsid w:val="008E52C5"/>
    <w:rsid w:val="008E7A8C"/>
    <w:rsid w:val="008F43C1"/>
    <w:rsid w:val="008F79B1"/>
    <w:rsid w:val="0090203B"/>
    <w:rsid w:val="00903285"/>
    <w:rsid w:val="00906F40"/>
    <w:rsid w:val="0090731E"/>
    <w:rsid w:val="00911202"/>
    <w:rsid w:val="00911A43"/>
    <w:rsid w:val="0091303A"/>
    <w:rsid w:val="00915B1C"/>
    <w:rsid w:val="009169AC"/>
    <w:rsid w:val="0091748E"/>
    <w:rsid w:val="009174F3"/>
    <w:rsid w:val="0091797D"/>
    <w:rsid w:val="009238EC"/>
    <w:rsid w:val="00923CBA"/>
    <w:rsid w:val="009242EB"/>
    <w:rsid w:val="0092472C"/>
    <w:rsid w:val="00925E62"/>
    <w:rsid w:val="00925EF4"/>
    <w:rsid w:val="009264D3"/>
    <w:rsid w:val="00926703"/>
    <w:rsid w:val="00927691"/>
    <w:rsid w:val="00927A5F"/>
    <w:rsid w:val="00930510"/>
    <w:rsid w:val="009322D2"/>
    <w:rsid w:val="00935B63"/>
    <w:rsid w:val="0094078F"/>
    <w:rsid w:val="00940FA3"/>
    <w:rsid w:val="00941FB0"/>
    <w:rsid w:val="009426D4"/>
    <w:rsid w:val="009436C0"/>
    <w:rsid w:val="0094719D"/>
    <w:rsid w:val="00947F25"/>
    <w:rsid w:val="00950159"/>
    <w:rsid w:val="00953694"/>
    <w:rsid w:val="0095490B"/>
    <w:rsid w:val="00956B17"/>
    <w:rsid w:val="00960A33"/>
    <w:rsid w:val="00960FF0"/>
    <w:rsid w:val="009625FE"/>
    <w:rsid w:val="009634C4"/>
    <w:rsid w:val="00971914"/>
    <w:rsid w:val="00974363"/>
    <w:rsid w:val="00981898"/>
    <w:rsid w:val="00985866"/>
    <w:rsid w:val="009868EE"/>
    <w:rsid w:val="0099576B"/>
    <w:rsid w:val="0099577C"/>
    <w:rsid w:val="009A17F1"/>
    <w:rsid w:val="009A23BD"/>
    <w:rsid w:val="009A538D"/>
    <w:rsid w:val="009A7C63"/>
    <w:rsid w:val="009B11D0"/>
    <w:rsid w:val="009B24A5"/>
    <w:rsid w:val="009B2601"/>
    <w:rsid w:val="009B31E1"/>
    <w:rsid w:val="009B406B"/>
    <w:rsid w:val="009B4E9E"/>
    <w:rsid w:val="009C1690"/>
    <w:rsid w:val="009C196C"/>
    <w:rsid w:val="009C3DA0"/>
    <w:rsid w:val="009C6881"/>
    <w:rsid w:val="009C7759"/>
    <w:rsid w:val="009D043D"/>
    <w:rsid w:val="009D07C8"/>
    <w:rsid w:val="009D1D05"/>
    <w:rsid w:val="009D1F43"/>
    <w:rsid w:val="009D2352"/>
    <w:rsid w:val="009D2B46"/>
    <w:rsid w:val="009D6C71"/>
    <w:rsid w:val="009D7BB6"/>
    <w:rsid w:val="009E008B"/>
    <w:rsid w:val="009E0631"/>
    <w:rsid w:val="009E16D0"/>
    <w:rsid w:val="009E2051"/>
    <w:rsid w:val="009E28DD"/>
    <w:rsid w:val="009E38FD"/>
    <w:rsid w:val="009E39B9"/>
    <w:rsid w:val="009E6608"/>
    <w:rsid w:val="009E75AF"/>
    <w:rsid w:val="009F13D6"/>
    <w:rsid w:val="009F4C6B"/>
    <w:rsid w:val="009F78A8"/>
    <w:rsid w:val="00A01D91"/>
    <w:rsid w:val="00A02AD6"/>
    <w:rsid w:val="00A0394B"/>
    <w:rsid w:val="00A04A0A"/>
    <w:rsid w:val="00A07096"/>
    <w:rsid w:val="00A07318"/>
    <w:rsid w:val="00A10255"/>
    <w:rsid w:val="00A11370"/>
    <w:rsid w:val="00A158E7"/>
    <w:rsid w:val="00A224CE"/>
    <w:rsid w:val="00A22522"/>
    <w:rsid w:val="00A229F9"/>
    <w:rsid w:val="00A23335"/>
    <w:rsid w:val="00A2440D"/>
    <w:rsid w:val="00A24882"/>
    <w:rsid w:val="00A24AFD"/>
    <w:rsid w:val="00A24F5C"/>
    <w:rsid w:val="00A32F96"/>
    <w:rsid w:val="00A40871"/>
    <w:rsid w:val="00A412AB"/>
    <w:rsid w:val="00A4193E"/>
    <w:rsid w:val="00A440E0"/>
    <w:rsid w:val="00A442EF"/>
    <w:rsid w:val="00A51C67"/>
    <w:rsid w:val="00A51D1A"/>
    <w:rsid w:val="00A5259A"/>
    <w:rsid w:val="00A5308F"/>
    <w:rsid w:val="00A5418D"/>
    <w:rsid w:val="00A5474E"/>
    <w:rsid w:val="00A6114D"/>
    <w:rsid w:val="00A64234"/>
    <w:rsid w:val="00A70ADF"/>
    <w:rsid w:val="00A71466"/>
    <w:rsid w:val="00A74B5E"/>
    <w:rsid w:val="00A771B9"/>
    <w:rsid w:val="00A775B1"/>
    <w:rsid w:val="00A81BED"/>
    <w:rsid w:val="00A81EC4"/>
    <w:rsid w:val="00A824E8"/>
    <w:rsid w:val="00A8386C"/>
    <w:rsid w:val="00A85CBD"/>
    <w:rsid w:val="00A87458"/>
    <w:rsid w:val="00A8767D"/>
    <w:rsid w:val="00A967FD"/>
    <w:rsid w:val="00AA056E"/>
    <w:rsid w:val="00AA1487"/>
    <w:rsid w:val="00AA2DE5"/>
    <w:rsid w:val="00AA3EF0"/>
    <w:rsid w:val="00AB06DF"/>
    <w:rsid w:val="00AB156C"/>
    <w:rsid w:val="00AB6814"/>
    <w:rsid w:val="00AB763C"/>
    <w:rsid w:val="00AC013A"/>
    <w:rsid w:val="00AC04BA"/>
    <w:rsid w:val="00AC0E39"/>
    <w:rsid w:val="00AC2AE3"/>
    <w:rsid w:val="00AC7B4A"/>
    <w:rsid w:val="00AD0A09"/>
    <w:rsid w:val="00AD3082"/>
    <w:rsid w:val="00AD32B4"/>
    <w:rsid w:val="00AD4AD0"/>
    <w:rsid w:val="00AD5436"/>
    <w:rsid w:val="00AD60CD"/>
    <w:rsid w:val="00AD6C8C"/>
    <w:rsid w:val="00AD7109"/>
    <w:rsid w:val="00AE091D"/>
    <w:rsid w:val="00AE3B60"/>
    <w:rsid w:val="00AE53A1"/>
    <w:rsid w:val="00AE71DB"/>
    <w:rsid w:val="00AE7724"/>
    <w:rsid w:val="00AF2484"/>
    <w:rsid w:val="00AF3474"/>
    <w:rsid w:val="00AF63E7"/>
    <w:rsid w:val="00AF6E17"/>
    <w:rsid w:val="00B01365"/>
    <w:rsid w:val="00B0165D"/>
    <w:rsid w:val="00B01B60"/>
    <w:rsid w:val="00B023A9"/>
    <w:rsid w:val="00B02DDF"/>
    <w:rsid w:val="00B031F3"/>
    <w:rsid w:val="00B04695"/>
    <w:rsid w:val="00B052A4"/>
    <w:rsid w:val="00B125DE"/>
    <w:rsid w:val="00B12808"/>
    <w:rsid w:val="00B13FDD"/>
    <w:rsid w:val="00B15201"/>
    <w:rsid w:val="00B17715"/>
    <w:rsid w:val="00B211A1"/>
    <w:rsid w:val="00B22EB2"/>
    <w:rsid w:val="00B241C6"/>
    <w:rsid w:val="00B27442"/>
    <w:rsid w:val="00B31167"/>
    <w:rsid w:val="00B329D8"/>
    <w:rsid w:val="00B32BB9"/>
    <w:rsid w:val="00B33AE1"/>
    <w:rsid w:val="00B37C38"/>
    <w:rsid w:val="00B4288C"/>
    <w:rsid w:val="00B43262"/>
    <w:rsid w:val="00B44100"/>
    <w:rsid w:val="00B45AB5"/>
    <w:rsid w:val="00B46CBA"/>
    <w:rsid w:val="00B46F94"/>
    <w:rsid w:val="00B51086"/>
    <w:rsid w:val="00B569C1"/>
    <w:rsid w:val="00B6003C"/>
    <w:rsid w:val="00B61F03"/>
    <w:rsid w:val="00B6201A"/>
    <w:rsid w:val="00B626E4"/>
    <w:rsid w:val="00B70F05"/>
    <w:rsid w:val="00B72271"/>
    <w:rsid w:val="00B72F4A"/>
    <w:rsid w:val="00B77523"/>
    <w:rsid w:val="00B83C27"/>
    <w:rsid w:val="00B8414A"/>
    <w:rsid w:val="00B84BC3"/>
    <w:rsid w:val="00B84BDD"/>
    <w:rsid w:val="00B86381"/>
    <w:rsid w:val="00B87479"/>
    <w:rsid w:val="00B92812"/>
    <w:rsid w:val="00B92A1A"/>
    <w:rsid w:val="00B95C27"/>
    <w:rsid w:val="00BA3271"/>
    <w:rsid w:val="00BA46B4"/>
    <w:rsid w:val="00BB45A1"/>
    <w:rsid w:val="00BB74F6"/>
    <w:rsid w:val="00BB7686"/>
    <w:rsid w:val="00BC23F9"/>
    <w:rsid w:val="00BC3421"/>
    <w:rsid w:val="00BC5992"/>
    <w:rsid w:val="00BC732C"/>
    <w:rsid w:val="00BD4421"/>
    <w:rsid w:val="00BD7249"/>
    <w:rsid w:val="00BD7393"/>
    <w:rsid w:val="00BE17B9"/>
    <w:rsid w:val="00BE1C12"/>
    <w:rsid w:val="00BE2580"/>
    <w:rsid w:val="00BE266D"/>
    <w:rsid w:val="00BE35CB"/>
    <w:rsid w:val="00BE3938"/>
    <w:rsid w:val="00BE4C11"/>
    <w:rsid w:val="00BE61EA"/>
    <w:rsid w:val="00BE6805"/>
    <w:rsid w:val="00BE71C0"/>
    <w:rsid w:val="00BF610C"/>
    <w:rsid w:val="00BF79FC"/>
    <w:rsid w:val="00C0060B"/>
    <w:rsid w:val="00C01A6C"/>
    <w:rsid w:val="00C0277D"/>
    <w:rsid w:val="00C053A1"/>
    <w:rsid w:val="00C072D2"/>
    <w:rsid w:val="00C16198"/>
    <w:rsid w:val="00C2083D"/>
    <w:rsid w:val="00C24A53"/>
    <w:rsid w:val="00C2533D"/>
    <w:rsid w:val="00C2772F"/>
    <w:rsid w:val="00C30FEF"/>
    <w:rsid w:val="00C34A05"/>
    <w:rsid w:val="00C34F0B"/>
    <w:rsid w:val="00C35CCE"/>
    <w:rsid w:val="00C35CEC"/>
    <w:rsid w:val="00C4032F"/>
    <w:rsid w:val="00C435D6"/>
    <w:rsid w:val="00C44047"/>
    <w:rsid w:val="00C44291"/>
    <w:rsid w:val="00C45155"/>
    <w:rsid w:val="00C50D80"/>
    <w:rsid w:val="00C53A9C"/>
    <w:rsid w:val="00C5498F"/>
    <w:rsid w:val="00C55235"/>
    <w:rsid w:val="00C56AC2"/>
    <w:rsid w:val="00C576D1"/>
    <w:rsid w:val="00C64CD0"/>
    <w:rsid w:val="00C6684F"/>
    <w:rsid w:val="00C70E70"/>
    <w:rsid w:val="00C75F8D"/>
    <w:rsid w:val="00C77380"/>
    <w:rsid w:val="00C82940"/>
    <w:rsid w:val="00C87241"/>
    <w:rsid w:val="00C87E8A"/>
    <w:rsid w:val="00C95E81"/>
    <w:rsid w:val="00C9737F"/>
    <w:rsid w:val="00C97736"/>
    <w:rsid w:val="00C97C4A"/>
    <w:rsid w:val="00CA345A"/>
    <w:rsid w:val="00CA481B"/>
    <w:rsid w:val="00CB1E82"/>
    <w:rsid w:val="00CB4BA8"/>
    <w:rsid w:val="00CB52D7"/>
    <w:rsid w:val="00CC470A"/>
    <w:rsid w:val="00CC6732"/>
    <w:rsid w:val="00CD4F44"/>
    <w:rsid w:val="00CE0BB5"/>
    <w:rsid w:val="00CE3C96"/>
    <w:rsid w:val="00CE51A8"/>
    <w:rsid w:val="00CE5D88"/>
    <w:rsid w:val="00CE6D91"/>
    <w:rsid w:val="00CF1CC3"/>
    <w:rsid w:val="00CF25BC"/>
    <w:rsid w:val="00CF369B"/>
    <w:rsid w:val="00D00E28"/>
    <w:rsid w:val="00D025B0"/>
    <w:rsid w:val="00D0269E"/>
    <w:rsid w:val="00D02985"/>
    <w:rsid w:val="00D044CF"/>
    <w:rsid w:val="00D05D6C"/>
    <w:rsid w:val="00D15810"/>
    <w:rsid w:val="00D16148"/>
    <w:rsid w:val="00D16D4E"/>
    <w:rsid w:val="00D16FE3"/>
    <w:rsid w:val="00D2163C"/>
    <w:rsid w:val="00D222DA"/>
    <w:rsid w:val="00D26DC8"/>
    <w:rsid w:val="00D27F41"/>
    <w:rsid w:val="00D33FC9"/>
    <w:rsid w:val="00D35B72"/>
    <w:rsid w:val="00D36441"/>
    <w:rsid w:val="00D4064E"/>
    <w:rsid w:val="00D414E9"/>
    <w:rsid w:val="00D4217A"/>
    <w:rsid w:val="00D42EF0"/>
    <w:rsid w:val="00D44E9B"/>
    <w:rsid w:val="00D45332"/>
    <w:rsid w:val="00D45B3F"/>
    <w:rsid w:val="00D45FD2"/>
    <w:rsid w:val="00D4645C"/>
    <w:rsid w:val="00D47AEB"/>
    <w:rsid w:val="00D50DB9"/>
    <w:rsid w:val="00D51302"/>
    <w:rsid w:val="00D52C43"/>
    <w:rsid w:val="00D53595"/>
    <w:rsid w:val="00D554AE"/>
    <w:rsid w:val="00D577EA"/>
    <w:rsid w:val="00D61CCD"/>
    <w:rsid w:val="00D622A6"/>
    <w:rsid w:val="00D6507F"/>
    <w:rsid w:val="00D730BC"/>
    <w:rsid w:val="00D73912"/>
    <w:rsid w:val="00D7730A"/>
    <w:rsid w:val="00D85226"/>
    <w:rsid w:val="00D87B94"/>
    <w:rsid w:val="00D9069A"/>
    <w:rsid w:val="00D92D49"/>
    <w:rsid w:val="00D92EC1"/>
    <w:rsid w:val="00D96DEA"/>
    <w:rsid w:val="00DA2C5D"/>
    <w:rsid w:val="00DA4E41"/>
    <w:rsid w:val="00DA77D7"/>
    <w:rsid w:val="00DB117A"/>
    <w:rsid w:val="00DB3A64"/>
    <w:rsid w:val="00DB3C90"/>
    <w:rsid w:val="00DB5173"/>
    <w:rsid w:val="00DB7873"/>
    <w:rsid w:val="00DC187B"/>
    <w:rsid w:val="00DC7DEF"/>
    <w:rsid w:val="00DD1944"/>
    <w:rsid w:val="00DD1A43"/>
    <w:rsid w:val="00DD73C2"/>
    <w:rsid w:val="00DE319B"/>
    <w:rsid w:val="00DE71E3"/>
    <w:rsid w:val="00DF0799"/>
    <w:rsid w:val="00DF1133"/>
    <w:rsid w:val="00DF34FE"/>
    <w:rsid w:val="00DF3D25"/>
    <w:rsid w:val="00DF56AA"/>
    <w:rsid w:val="00DF56AF"/>
    <w:rsid w:val="00DF65BC"/>
    <w:rsid w:val="00DF78E7"/>
    <w:rsid w:val="00E00852"/>
    <w:rsid w:val="00E110E0"/>
    <w:rsid w:val="00E15371"/>
    <w:rsid w:val="00E22622"/>
    <w:rsid w:val="00E23372"/>
    <w:rsid w:val="00E24104"/>
    <w:rsid w:val="00E2497B"/>
    <w:rsid w:val="00E302D0"/>
    <w:rsid w:val="00E35707"/>
    <w:rsid w:val="00E36AA1"/>
    <w:rsid w:val="00E41ECB"/>
    <w:rsid w:val="00E42518"/>
    <w:rsid w:val="00E42676"/>
    <w:rsid w:val="00E54FDB"/>
    <w:rsid w:val="00E5617D"/>
    <w:rsid w:val="00E563D7"/>
    <w:rsid w:val="00E663F4"/>
    <w:rsid w:val="00E666F2"/>
    <w:rsid w:val="00E66DD4"/>
    <w:rsid w:val="00E70702"/>
    <w:rsid w:val="00E748CC"/>
    <w:rsid w:val="00E75415"/>
    <w:rsid w:val="00E76A5A"/>
    <w:rsid w:val="00E775B1"/>
    <w:rsid w:val="00E77733"/>
    <w:rsid w:val="00E8021F"/>
    <w:rsid w:val="00E8152A"/>
    <w:rsid w:val="00E84767"/>
    <w:rsid w:val="00E91875"/>
    <w:rsid w:val="00E935E6"/>
    <w:rsid w:val="00E93629"/>
    <w:rsid w:val="00E9366B"/>
    <w:rsid w:val="00E93B5C"/>
    <w:rsid w:val="00E94CEC"/>
    <w:rsid w:val="00E96B32"/>
    <w:rsid w:val="00E971E4"/>
    <w:rsid w:val="00EA04EF"/>
    <w:rsid w:val="00EA4D28"/>
    <w:rsid w:val="00EA6F19"/>
    <w:rsid w:val="00EA7A5C"/>
    <w:rsid w:val="00EB7090"/>
    <w:rsid w:val="00EC1BBE"/>
    <w:rsid w:val="00EC2B68"/>
    <w:rsid w:val="00EC3AEF"/>
    <w:rsid w:val="00EC5571"/>
    <w:rsid w:val="00EC5CD7"/>
    <w:rsid w:val="00ED1843"/>
    <w:rsid w:val="00ED64FE"/>
    <w:rsid w:val="00EE4134"/>
    <w:rsid w:val="00EE5FB3"/>
    <w:rsid w:val="00EE7F79"/>
    <w:rsid w:val="00EF2319"/>
    <w:rsid w:val="00EF42D4"/>
    <w:rsid w:val="00EF715A"/>
    <w:rsid w:val="00F01BC3"/>
    <w:rsid w:val="00F02261"/>
    <w:rsid w:val="00F06E14"/>
    <w:rsid w:val="00F112A4"/>
    <w:rsid w:val="00F13FA9"/>
    <w:rsid w:val="00F15600"/>
    <w:rsid w:val="00F16886"/>
    <w:rsid w:val="00F179D4"/>
    <w:rsid w:val="00F204CB"/>
    <w:rsid w:val="00F21C70"/>
    <w:rsid w:val="00F23AEC"/>
    <w:rsid w:val="00F24DBB"/>
    <w:rsid w:val="00F3376C"/>
    <w:rsid w:val="00F33BE3"/>
    <w:rsid w:val="00F33C56"/>
    <w:rsid w:val="00F347C7"/>
    <w:rsid w:val="00F34848"/>
    <w:rsid w:val="00F42D46"/>
    <w:rsid w:val="00F4496C"/>
    <w:rsid w:val="00F44F3A"/>
    <w:rsid w:val="00F452E3"/>
    <w:rsid w:val="00F45D06"/>
    <w:rsid w:val="00F45DD5"/>
    <w:rsid w:val="00F46D9F"/>
    <w:rsid w:val="00F51F10"/>
    <w:rsid w:val="00F529A5"/>
    <w:rsid w:val="00F60F00"/>
    <w:rsid w:val="00F614C0"/>
    <w:rsid w:val="00F61C77"/>
    <w:rsid w:val="00F649AD"/>
    <w:rsid w:val="00F65162"/>
    <w:rsid w:val="00F6570E"/>
    <w:rsid w:val="00F67A46"/>
    <w:rsid w:val="00F732BB"/>
    <w:rsid w:val="00F8343B"/>
    <w:rsid w:val="00F83848"/>
    <w:rsid w:val="00F8403D"/>
    <w:rsid w:val="00F86D42"/>
    <w:rsid w:val="00F90B49"/>
    <w:rsid w:val="00F93332"/>
    <w:rsid w:val="00F975E9"/>
    <w:rsid w:val="00FA1B7D"/>
    <w:rsid w:val="00FB4172"/>
    <w:rsid w:val="00FB5DA6"/>
    <w:rsid w:val="00FC07B9"/>
    <w:rsid w:val="00FC4E21"/>
    <w:rsid w:val="00FC5F6D"/>
    <w:rsid w:val="00FD0107"/>
    <w:rsid w:val="00FD152B"/>
    <w:rsid w:val="00FD2C2F"/>
    <w:rsid w:val="00FD3B31"/>
    <w:rsid w:val="00FD691C"/>
    <w:rsid w:val="00FE1823"/>
    <w:rsid w:val="00FE374B"/>
    <w:rsid w:val="00FE487A"/>
    <w:rsid w:val="00FE56D6"/>
    <w:rsid w:val="00FE7F6A"/>
    <w:rsid w:val="00FF0569"/>
    <w:rsid w:val="00FF206E"/>
    <w:rsid w:val="00FF3C69"/>
    <w:rsid w:val="00FF5386"/>
    <w:rsid w:val="00FF593E"/>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64F57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Footnote text,ACMA Footnote Text,ABA Footnote Text"/>
    <w:basedOn w:val="Normal"/>
    <w:link w:val="FootnoteTextChar"/>
    <w:rsid w:val="007C6E44"/>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CE0BB5"/>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character" w:customStyle="1" w:styleId="FootnoteTextChar">
    <w:name w:val="Footnote Text Char"/>
    <w:aliases w:val="Footnote text Char,ACMA Footnote Text Char,ABA Footnote Text Char"/>
    <w:basedOn w:val="DefaultParagraphFont"/>
    <w:link w:val="FootnoteText"/>
    <w:rsid w:val="00726B8C"/>
    <w:rPr>
      <w:rFonts w:ascii="Arial" w:hAnsi="Arial"/>
      <w:sz w:val="16"/>
      <w:szCs w:val="16"/>
    </w:rPr>
  </w:style>
  <w:style w:type="paragraph" w:customStyle="1" w:styleId="ACMAReportTitle">
    <w:name w:val="ACMA_ReportTitle"/>
    <w:basedOn w:val="Normal"/>
    <w:qFormat/>
    <w:rsid w:val="00726B8C"/>
    <w:pPr>
      <w:spacing w:after="0" w:line="560" w:lineRule="exact"/>
    </w:pPr>
    <w:rPr>
      <w:b/>
      <w:spacing w:val="-28"/>
      <w:sz w:val="53"/>
    </w:rPr>
  </w:style>
  <w:style w:type="paragraph" w:customStyle="1" w:styleId="ACMAReportSubTitle">
    <w:name w:val="ACMA_ReportSubTitle"/>
    <w:basedOn w:val="Normal"/>
    <w:qFormat/>
    <w:rsid w:val="00726B8C"/>
    <w:pPr>
      <w:spacing w:after="200" w:line="560" w:lineRule="exact"/>
    </w:pPr>
    <w:rPr>
      <w:color w:val="323232"/>
      <w:spacing w:val="-28"/>
      <w:sz w:val="53"/>
    </w:rPr>
  </w:style>
  <w:style w:type="paragraph" w:customStyle="1" w:styleId="ACMAReportDate">
    <w:name w:val="ACMA_ReportDate"/>
    <w:basedOn w:val="ACMAReportSubTitle"/>
    <w:qFormat/>
    <w:rsid w:val="00726B8C"/>
    <w:pPr>
      <w:spacing w:after="1200" w:line="240" w:lineRule="auto"/>
    </w:pPr>
    <w:rPr>
      <w:caps/>
      <w:spacing w:val="-10"/>
      <w:sz w:val="20"/>
    </w:rPr>
  </w:style>
  <w:style w:type="paragraph" w:customStyle="1" w:styleId="TableHeading0">
    <w:name w:val="Table Heading"/>
    <w:basedOn w:val="Normal"/>
    <w:qFormat/>
    <w:rsid w:val="00726B8C"/>
    <w:pPr>
      <w:spacing w:after="0"/>
    </w:pPr>
    <w:rPr>
      <w:b/>
    </w:rPr>
  </w:style>
  <w:style w:type="paragraph" w:customStyle="1" w:styleId="ACMAExecSummaryHeading">
    <w:name w:val="ACMA_ExecSummaryHeading"/>
    <w:basedOn w:val="Normal"/>
    <w:qFormat/>
    <w:rsid w:val="00726B8C"/>
    <w:pPr>
      <w:spacing w:after="1440" w:line="550" w:lineRule="exact"/>
    </w:pPr>
    <w:rPr>
      <w:b/>
      <w:color w:val="323232"/>
      <w:spacing w:val="-18"/>
      <w:sz w:val="53"/>
    </w:rPr>
  </w:style>
  <w:style w:type="character" w:styleId="Strong">
    <w:name w:val="Strong"/>
    <w:basedOn w:val="DefaultParagraphFont"/>
    <w:semiHidden/>
    <w:qFormat/>
    <w:rsid w:val="00726B8C"/>
    <w:rPr>
      <w:b/>
      <w:bCs/>
    </w:rPr>
  </w:style>
  <w:style w:type="paragraph" w:customStyle="1" w:styleId="ACMANormalTabbed">
    <w:name w:val="ACMA_NormalTabbed"/>
    <w:basedOn w:val="Normal"/>
    <w:qFormat/>
    <w:rsid w:val="00726B8C"/>
    <w:pPr>
      <w:tabs>
        <w:tab w:val="left" w:pos="1134"/>
      </w:tabs>
    </w:pPr>
  </w:style>
  <w:style w:type="paragraph" w:customStyle="1" w:styleId="ACMASpaceaftertable">
    <w:name w:val="ACMA_Space after table"/>
    <w:basedOn w:val="Normal"/>
    <w:qFormat/>
    <w:rsid w:val="00726B8C"/>
    <w:rPr>
      <w:rFonts w:cs="Arial"/>
    </w:rPr>
  </w:style>
  <w:style w:type="paragraph" w:customStyle="1" w:styleId="ExecSummaryHeading0">
    <w:name w:val="Exec Summary Heading"/>
    <w:basedOn w:val="Normal"/>
    <w:rsid w:val="00726B8C"/>
    <w:pPr>
      <w:spacing w:after="1440" w:line="550" w:lineRule="exact"/>
    </w:pPr>
    <w:rPr>
      <w:rFonts w:ascii="HelveticaNeueLT Std Med" w:hAnsi="HelveticaNeueLT Std Med"/>
      <w:b/>
      <w:color w:val="4D4D4F"/>
      <w:spacing w:val="-18"/>
      <w:sz w:val="53"/>
    </w:rPr>
  </w:style>
  <w:style w:type="paragraph" w:customStyle="1" w:styleId="ACMABodyText">
    <w:name w:val="ACMA Body Text"/>
    <w:link w:val="ACMABodyTextChar"/>
    <w:rsid w:val="00726B8C"/>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726B8C"/>
    <w:rPr>
      <w:snapToGrid w:val="0"/>
      <w:szCs w:val="20"/>
      <w:lang w:eastAsia="en-US"/>
    </w:rPr>
  </w:style>
  <w:style w:type="paragraph" w:customStyle="1" w:styleId="ABABodyText">
    <w:name w:val="ABA Body Text"/>
    <w:rsid w:val="00726B8C"/>
    <w:pPr>
      <w:suppressAutoHyphens/>
      <w:spacing w:before="80" w:after="120" w:line="280" w:lineRule="atLeast"/>
    </w:pPr>
    <w:rPr>
      <w:snapToGrid w:val="0"/>
      <w:szCs w:val="20"/>
      <w:lang w:eastAsia="en-US"/>
    </w:rPr>
  </w:style>
  <w:style w:type="paragraph" w:customStyle="1" w:styleId="subsection">
    <w:name w:val="subsection"/>
    <w:aliases w:val="ss"/>
    <w:rsid w:val="00726B8C"/>
    <w:pPr>
      <w:tabs>
        <w:tab w:val="right" w:pos="1021"/>
      </w:tabs>
      <w:spacing w:before="180"/>
      <w:ind w:left="1134" w:hanging="1134"/>
    </w:pPr>
    <w:rPr>
      <w:sz w:val="22"/>
    </w:rPr>
  </w:style>
  <w:style w:type="character" w:customStyle="1" w:styleId="CharSectno">
    <w:name w:val="CharSectno"/>
    <w:basedOn w:val="DefaultParagraphFont"/>
    <w:rsid w:val="00726B8C"/>
  </w:style>
  <w:style w:type="paragraph" w:customStyle="1" w:styleId="paragraph0">
    <w:name w:val="paragraph"/>
    <w:aliases w:val="a"/>
    <w:rsid w:val="00726B8C"/>
    <w:pPr>
      <w:tabs>
        <w:tab w:val="right" w:pos="1531"/>
      </w:tabs>
      <w:spacing w:before="40"/>
      <w:ind w:left="1644" w:hanging="1644"/>
    </w:pPr>
    <w:rPr>
      <w:sz w:val="22"/>
    </w:rPr>
  </w:style>
  <w:style w:type="paragraph" w:customStyle="1" w:styleId="paragraphsub">
    <w:name w:val="paragraph(sub)"/>
    <w:aliases w:val="aa"/>
    <w:basedOn w:val="paragraph0"/>
    <w:rsid w:val="00726B8C"/>
    <w:pPr>
      <w:tabs>
        <w:tab w:val="clear" w:pos="1531"/>
        <w:tab w:val="right" w:pos="1985"/>
      </w:tabs>
      <w:ind w:left="2098" w:hanging="2098"/>
    </w:pPr>
  </w:style>
  <w:style w:type="paragraph" w:customStyle="1" w:styleId="ActHead5">
    <w:name w:val="ActHead 5"/>
    <w:aliases w:val="s"/>
    <w:basedOn w:val="Normal"/>
    <w:next w:val="Normal"/>
    <w:rsid w:val="00726B8C"/>
    <w:pPr>
      <w:keepNext/>
      <w:keepLines/>
      <w:spacing w:before="280" w:after="0" w:line="240" w:lineRule="auto"/>
      <w:ind w:left="1134" w:hanging="1134"/>
      <w:outlineLvl w:val="4"/>
    </w:pPr>
    <w:rPr>
      <w:rFonts w:ascii="Times New Roman" w:hAnsi="Times New Roman"/>
      <w:b/>
      <w:bCs/>
      <w:kern w:val="28"/>
      <w:sz w:val="24"/>
      <w:szCs w:val="32"/>
    </w:rPr>
  </w:style>
  <w:style w:type="character" w:customStyle="1" w:styleId="CharPartNo">
    <w:name w:val="CharPartNo"/>
    <w:basedOn w:val="DefaultParagraphFont"/>
    <w:rsid w:val="00726B8C"/>
  </w:style>
  <w:style w:type="character" w:customStyle="1" w:styleId="CharPartText">
    <w:name w:val="CharPartText"/>
    <w:basedOn w:val="DefaultParagraphFont"/>
    <w:rsid w:val="00726B8C"/>
  </w:style>
  <w:style w:type="paragraph" w:customStyle="1" w:styleId="Definition">
    <w:name w:val="Definition"/>
    <w:aliases w:val="dd"/>
    <w:basedOn w:val="subsection"/>
    <w:rsid w:val="00726B8C"/>
    <w:pPr>
      <w:tabs>
        <w:tab w:val="clear" w:pos="1021"/>
      </w:tabs>
      <w:ind w:firstLine="0"/>
    </w:pPr>
  </w:style>
  <w:style w:type="paragraph" w:customStyle="1" w:styleId="ActHead2">
    <w:name w:val="ActHead 2"/>
    <w:aliases w:val="p"/>
    <w:basedOn w:val="Normal"/>
    <w:next w:val="Normal"/>
    <w:rsid w:val="00726B8C"/>
    <w:pPr>
      <w:keepNext/>
      <w:keepLines/>
      <w:spacing w:before="280" w:after="0" w:line="240" w:lineRule="auto"/>
      <w:ind w:left="1134" w:hanging="1134"/>
      <w:outlineLvl w:val="1"/>
    </w:pPr>
    <w:rPr>
      <w:rFonts w:ascii="Times New Roman" w:hAnsi="Times New Roman"/>
      <w:b/>
      <w:bCs/>
      <w:kern w:val="28"/>
      <w:sz w:val="32"/>
      <w:szCs w:val="32"/>
    </w:rPr>
  </w:style>
  <w:style w:type="paragraph" w:customStyle="1" w:styleId="notetext">
    <w:name w:val="note(text)"/>
    <w:aliases w:val="n"/>
    <w:rsid w:val="00726B8C"/>
    <w:pPr>
      <w:spacing w:before="122" w:line="198" w:lineRule="exact"/>
      <w:ind w:left="1985" w:hanging="851"/>
    </w:pPr>
    <w:rPr>
      <w:sz w:val="18"/>
    </w:rPr>
  </w:style>
  <w:style w:type="paragraph" w:styleId="ListParagraph">
    <w:name w:val="List Paragraph"/>
    <w:basedOn w:val="Normal"/>
    <w:uiPriority w:val="34"/>
    <w:qFormat/>
    <w:rsid w:val="00726B8C"/>
    <w:pPr>
      <w:ind w:left="720"/>
      <w:contextualSpacing/>
    </w:pPr>
  </w:style>
  <w:style w:type="paragraph" w:customStyle="1" w:styleId="LegislationLvl1">
    <w:name w:val="Legislation Lvl 1"/>
    <w:rsid w:val="00726B8C"/>
    <w:pPr>
      <w:numPr>
        <w:numId w:val="13"/>
      </w:numPr>
      <w:tabs>
        <w:tab w:val="clear" w:pos="1080"/>
        <w:tab w:val="num" w:pos="851"/>
      </w:tabs>
      <w:ind w:left="850" w:hanging="493"/>
    </w:pPr>
    <w:rPr>
      <w:bCs/>
      <w:sz w:val="22"/>
      <w:szCs w:val="20"/>
      <w:lang w:eastAsia="en-US"/>
    </w:rPr>
  </w:style>
  <w:style w:type="paragraph" w:customStyle="1" w:styleId="LegislationLvl2">
    <w:name w:val="Legislation Lvl 2"/>
    <w:rsid w:val="00726B8C"/>
    <w:pPr>
      <w:numPr>
        <w:ilvl w:val="1"/>
        <w:numId w:val="13"/>
      </w:numPr>
      <w:tabs>
        <w:tab w:val="clear" w:pos="1440"/>
        <w:tab w:val="num" w:pos="1418"/>
      </w:tabs>
      <w:ind w:left="1418" w:hanging="567"/>
    </w:pPr>
    <w:rPr>
      <w:sz w:val="22"/>
      <w:szCs w:val="20"/>
      <w:lang w:eastAsia="en-US"/>
    </w:rPr>
  </w:style>
  <w:style w:type="paragraph" w:customStyle="1" w:styleId="LegislationLvl3">
    <w:name w:val="Legislation Lvl 3"/>
    <w:rsid w:val="00726B8C"/>
    <w:pPr>
      <w:numPr>
        <w:ilvl w:val="2"/>
        <w:numId w:val="13"/>
      </w:numPr>
      <w:tabs>
        <w:tab w:val="clear" w:pos="2340"/>
        <w:tab w:val="num" w:pos="1985"/>
      </w:tabs>
      <w:ind w:left="1985" w:hanging="567"/>
    </w:pPr>
    <w:rPr>
      <w:sz w:val="22"/>
      <w:szCs w:val="20"/>
      <w:lang w:eastAsia="en-US"/>
    </w:rPr>
  </w:style>
  <w:style w:type="paragraph" w:customStyle="1" w:styleId="LegislationLvl4">
    <w:name w:val="Legislation Lvl 4"/>
    <w:rsid w:val="00726B8C"/>
    <w:pPr>
      <w:numPr>
        <w:ilvl w:val="3"/>
        <w:numId w:val="13"/>
      </w:numPr>
      <w:tabs>
        <w:tab w:val="clear" w:pos="2700"/>
        <w:tab w:val="num" w:pos="2694"/>
      </w:tabs>
      <w:ind w:left="2694" w:hanging="426"/>
    </w:pPr>
    <w:rPr>
      <w:sz w:val="22"/>
      <w:szCs w:val="20"/>
      <w:lang w:eastAsia="en-US"/>
    </w:rPr>
  </w:style>
  <w:style w:type="paragraph" w:customStyle="1" w:styleId="acthead20">
    <w:name w:val="acthead2"/>
    <w:basedOn w:val="Normal"/>
    <w:rsid w:val="00726B8C"/>
    <w:pPr>
      <w:keepNext/>
      <w:spacing w:before="280" w:after="0" w:line="240" w:lineRule="auto"/>
      <w:ind w:left="1134" w:hanging="1134"/>
    </w:pPr>
    <w:rPr>
      <w:rFonts w:ascii="Times New Roman" w:hAnsi="Times New Roman"/>
      <w:b/>
      <w:bCs/>
      <w:sz w:val="32"/>
      <w:szCs w:val="32"/>
    </w:rPr>
  </w:style>
  <w:style w:type="character" w:customStyle="1" w:styleId="charpartno0">
    <w:name w:val="charpartno"/>
    <w:basedOn w:val="DefaultParagraphFont"/>
    <w:rsid w:val="00726B8C"/>
  </w:style>
  <w:style w:type="character" w:customStyle="1" w:styleId="CharDivNo">
    <w:name w:val="CharDivNo"/>
    <w:basedOn w:val="DefaultParagraphFont"/>
    <w:rsid w:val="00726B8C"/>
  </w:style>
  <w:style w:type="character" w:customStyle="1" w:styleId="CharDivText">
    <w:name w:val="CharDivText"/>
    <w:basedOn w:val="DefaultParagraphFont"/>
    <w:rsid w:val="00726B8C"/>
  </w:style>
  <w:style w:type="paragraph" w:customStyle="1" w:styleId="Default">
    <w:name w:val="Default"/>
    <w:rsid w:val="00726B8C"/>
    <w:pPr>
      <w:autoSpaceDE w:val="0"/>
      <w:autoSpaceDN w:val="0"/>
      <w:adjustRightInd w:val="0"/>
    </w:pPr>
    <w:rPr>
      <w:rFonts w:ascii="Arial" w:hAnsi="Arial" w:cs="Arial"/>
      <w:color w:val="000000"/>
    </w:rPr>
  </w:style>
  <w:style w:type="paragraph" w:customStyle="1" w:styleId="acthead50">
    <w:name w:val="acthead5"/>
    <w:basedOn w:val="Normal"/>
    <w:rsid w:val="00726B8C"/>
    <w:pPr>
      <w:spacing w:before="100" w:beforeAutospacing="1" w:after="100" w:afterAutospacing="1" w:line="240" w:lineRule="auto"/>
    </w:pPr>
    <w:rPr>
      <w:rFonts w:ascii="Times New Roman" w:hAnsi="Times New Roman"/>
      <w:sz w:val="24"/>
    </w:rPr>
  </w:style>
  <w:style w:type="character" w:customStyle="1" w:styleId="charsectno0">
    <w:name w:val="charsectno"/>
    <w:basedOn w:val="DefaultParagraphFont"/>
    <w:rsid w:val="00726B8C"/>
  </w:style>
  <w:style w:type="paragraph" w:customStyle="1" w:styleId="paragraphsub0">
    <w:name w:val="paragraphsub"/>
    <w:basedOn w:val="Normal"/>
    <w:rsid w:val="00726B8C"/>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03483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60323517">
      <w:bodyDiv w:val="1"/>
      <w:marLeft w:val="0"/>
      <w:marRight w:val="0"/>
      <w:marTop w:val="0"/>
      <w:marBottom w:val="0"/>
      <w:divBdr>
        <w:top w:val="none" w:sz="0" w:space="0" w:color="auto"/>
        <w:left w:val="none" w:sz="0" w:space="0" w:color="auto"/>
        <w:bottom w:val="none" w:sz="0" w:space="0" w:color="auto"/>
        <w:right w:val="none" w:sz="0" w:space="0" w:color="auto"/>
      </w:divBdr>
    </w:div>
    <w:div w:id="1776556533">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130541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20-03/report/future-delivery-radio" TargetMode="External"/><Relationship Id="rId39" Type="http://schemas.openxmlformats.org/officeDocument/2006/relationships/header" Target="header8.xml"/><Relationship Id="rId21" Type="http://schemas.openxmlformats.org/officeDocument/2006/relationships/footer" Target="footer4.xml"/><Relationship Id="rId34" Type="http://schemas.openxmlformats.org/officeDocument/2006/relationships/hyperlink" Target="http://www.acma.gov.au"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about-community-broadcasting-licences" TargetMode="Externa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about-community-broadcasting-licences" TargetMode="External"/><Relationship Id="rId32" Type="http://schemas.openxmlformats.org/officeDocument/2006/relationships/hyperlink" Target="http://www.comlaw.gov.au/Series/C2004A03712" TargetMode="External"/><Relationship Id="rId37" Type="http://schemas.openxmlformats.org/officeDocument/2006/relationships/hyperlink" Target="mailto:communitybroadcasting@acma.gov.au" TargetMode="External"/><Relationship Id="rId40"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eb.acma.gov.au/rrl/browse_licences.licence_list?pSV_ID=90&amp;pSS_ID=417" TargetMode="External"/><Relationship Id="rId36" Type="http://schemas.openxmlformats.org/officeDocument/2006/relationships/hyperlink" Target="https://www.acma.gov.au/community-broadcasting-licences"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mailto:communitybroadcasting@acma.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www.cbaa.org.au" TargetMode="External"/><Relationship Id="rId30" Type="http://schemas.openxmlformats.org/officeDocument/2006/relationships/hyperlink" Target="https://www.acma.gov.au/codes-practice-community-broadcasters" TargetMode="External"/><Relationship Id="rId35" Type="http://schemas.openxmlformats.org/officeDocument/2006/relationships/hyperlink" Target="mailto:privacy@acma.gov.au" TargetMode="External"/><Relationship Id="rId43"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broadcasting-forms" TargetMode="External"/><Relationship Id="rId33" Type="http://schemas.openxmlformats.org/officeDocument/2006/relationships/hyperlink" Target="http://www.oaic.gov.au" TargetMode="External"/><Relationship Id="rId38" Type="http://schemas.openxmlformats.org/officeDocument/2006/relationships/header" Target="head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parlinfo.aph.gov.au/parlInfo/search/display/display.w3p;query=Id%3A%22legislation%2Fbills%2Fr6931_aspassed%2F0000%22;rec=0" TargetMode="External"/><Relationship Id="rId7" Type="http://schemas.openxmlformats.org/officeDocument/2006/relationships/hyperlink" Target="https://www.acma.gov.au/compliance-and-enforcement-policy" TargetMode="External"/><Relationship Id="rId2" Type="http://schemas.openxmlformats.org/officeDocument/2006/relationships/hyperlink" Target="https://www.legislation.gov.au/Details/C2022A00091" TargetMode="External"/><Relationship Id="rId1" Type="http://schemas.openxmlformats.org/officeDocument/2006/relationships/hyperlink" Target="https://www.legislation.gov.au/Latest/C2004A04401" TargetMode="External"/><Relationship Id="rId6" Type="http://schemas.openxmlformats.org/officeDocument/2006/relationships/hyperlink" Target="https://www.legislation.gov.au/Details/C2022B00126/Explanatory%20Memorandum/Text" TargetMode="External"/><Relationship Id="rId5" Type="http://schemas.openxmlformats.org/officeDocument/2006/relationships/hyperlink" Target="https://www.acma.gov.au/publications/2010-06/guide/community-broadcasting-participation-guidelines" TargetMode="External"/><Relationship Id="rId4" Type="http://schemas.openxmlformats.org/officeDocument/2006/relationships/hyperlink" Target="https://www.legislation.gov.au/Details/F2022L0040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4954</Words>
  <Characters>26657</Characters>
  <Application>Microsoft Office Word</Application>
  <DocSecurity>0</DocSecurity>
  <Lines>567</Lines>
  <Paragraphs>303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31308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2023-06-13T05:38:00Z</dcterms:created>
  <dcterms:modified xsi:type="dcterms:W3CDTF">2023-06-13T05:38:00Z</dcterms:modified>
  <cp:category/>
</cp:coreProperties>
</file>