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2026D" w14:textId="4513A349" w:rsidR="00697FF2" w:rsidRPr="004D60CC" w:rsidRDefault="00DA3260" w:rsidP="00697FF2">
      <w:pPr>
        <w:pStyle w:val="Reportsubtitle"/>
        <w:spacing w:after="0"/>
        <w:rPr>
          <w:b/>
        </w:rPr>
      </w:pPr>
      <w:r>
        <w:rPr>
          <w:b/>
        </w:rPr>
        <w:t>A</w:t>
      </w:r>
      <w:r w:rsidR="00697FF2" w:rsidRPr="004D60CC">
        <w:rPr>
          <w:b/>
        </w:rPr>
        <w:t>pplicant information pack</w:t>
      </w:r>
    </w:p>
    <w:p w14:paraId="2FA9E66B" w14:textId="49522369" w:rsidR="00F06E14" w:rsidRPr="004D60CC" w:rsidRDefault="00570B99" w:rsidP="00697FF2">
      <w:pPr>
        <w:pStyle w:val="Reporttitle"/>
        <w:spacing w:after="200"/>
        <w:rPr>
          <w:b w:val="0"/>
          <w:bCs/>
        </w:rPr>
      </w:pPr>
      <w:r w:rsidRPr="004D60CC">
        <w:rPr>
          <w:b w:val="0"/>
          <w:bCs/>
        </w:rPr>
        <w:t>Allocation of a</w:t>
      </w:r>
      <w:r w:rsidR="0F7C7E31" w:rsidRPr="004D60CC">
        <w:rPr>
          <w:b w:val="0"/>
          <w:bCs/>
        </w:rPr>
        <w:t xml:space="preserve">pparatus </w:t>
      </w:r>
      <w:r w:rsidR="0EC34CC7" w:rsidRPr="004D60CC">
        <w:rPr>
          <w:b w:val="0"/>
          <w:bCs/>
        </w:rPr>
        <w:t xml:space="preserve">licences in the </w:t>
      </w:r>
      <w:r w:rsidR="004D60CC">
        <w:rPr>
          <w:b w:val="0"/>
          <w:bCs/>
        </w:rPr>
        <w:br/>
      </w:r>
      <w:r w:rsidR="00ED30FF">
        <w:rPr>
          <w:b w:val="0"/>
          <w:bCs/>
        </w:rPr>
        <w:t>3</w:t>
      </w:r>
      <w:r w:rsidR="00D62060">
        <w:rPr>
          <w:b w:val="0"/>
          <w:bCs/>
        </w:rPr>
        <w:t>.</w:t>
      </w:r>
      <w:r w:rsidR="00ED30FF">
        <w:rPr>
          <w:b w:val="0"/>
          <w:bCs/>
        </w:rPr>
        <w:t>4</w:t>
      </w:r>
      <w:r w:rsidR="00323F7E">
        <w:rPr>
          <w:b w:val="0"/>
          <w:bCs/>
        </w:rPr>
        <w:t>–</w:t>
      </w:r>
      <w:r w:rsidR="00ED30FF">
        <w:rPr>
          <w:b w:val="0"/>
          <w:bCs/>
        </w:rPr>
        <w:t>4</w:t>
      </w:r>
      <w:r w:rsidR="00D62060">
        <w:rPr>
          <w:b w:val="0"/>
          <w:bCs/>
        </w:rPr>
        <w:t>.</w:t>
      </w:r>
      <w:r w:rsidR="00ED30FF">
        <w:rPr>
          <w:b w:val="0"/>
          <w:bCs/>
        </w:rPr>
        <w:t xml:space="preserve">0 </w:t>
      </w:r>
      <w:r w:rsidR="00D62060">
        <w:rPr>
          <w:b w:val="0"/>
          <w:bCs/>
        </w:rPr>
        <w:t>G</w:t>
      </w:r>
      <w:r w:rsidR="00D62060" w:rsidRPr="004D60CC">
        <w:rPr>
          <w:b w:val="0"/>
          <w:bCs/>
        </w:rPr>
        <w:t xml:space="preserve">Hz </w:t>
      </w:r>
      <w:r w:rsidR="0EC34CC7" w:rsidRPr="004D60CC">
        <w:rPr>
          <w:b w:val="0"/>
          <w:bCs/>
        </w:rPr>
        <w:t>band</w:t>
      </w:r>
      <w:r w:rsidR="00CF205D">
        <w:rPr>
          <w:b w:val="0"/>
          <w:bCs/>
        </w:rPr>
        <w:t xml:space="preserve"> </w:t>
      </w:r>
      <w:r w:rsidR="00BD634E">
        <w:rPr>
          <w:b w:val="0"/>
          <w:bCs/>
        </w:rPr>
        <w:t>in remote Australia</w:t>
      </w:r>
    </w:p>
    <w:p w14:paraId="326BB30B" w14:textId="01D7D534" w:rsidR="00C97736" w:rsidRPr="000D76E0" w:rsidRDefault="00865AE3" w:rsidP="00EC2B68">
      <w:pPr>
        <w:pStyle w:val="Reportdate"/>
        <w:spacing w:after="720"/>
        <w:rPr>
          <w:rFonts w:cs="Arial"/>
        </w:rPr>
        <w:sectPr w:rsidR="00C97736" w:rsidRPr="000D76E0"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 xml:space="preserve">june </w:t>
      </w:r>
      <w:r w:rsidR="00E94835">
        <w:t>2023</w:t>
      </w:r>
    </w:p>
    <w:p w14:paraId="68C06D48" w14:textId="77777777" w:rsidR="0005011A" w:rsidRPr="00F44F3A" w:rsidRDefault="0005011A" w:rsidP="00FC07B9">
      <w:pPr>
        <w:pStyle w:val="ACMACorporateAddressHeader"/>
      </w:pPr>
      <w:r w:rsidRPr="00F44F3A">
        <w:lastRenderedPageBreak/>
        <w:t>Canberra</w:t>
      </w:r>
    </w:p>
    <w:p w14:paraId="392D5D84"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1C695C2F" w14:textId="77777777" w:rsidR="0005011A" w:rsidRPr="00FC07B9" w:rsidRDefault="0005011A" w:rsidP="00FC07B9">
      <w:pPr>
        <w:pStyle w:val="ACMACorporateAddresses"/>
      </w:pPr>
      <w:r w:rsidRPr="00FC07B9">
        <w:t>PO Box 78</w:t>
      </w:r>
      <w:r w:rsidRPr="00FC07B9">
        <w:br/>
        <w:t>Belconnen ACT 2616</w:t>
      </w:r>
    </w:p>
    <w:p w14:paraId="110238A4"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1D439C95" w14:textId="77777777" w:rsidR="0005011A" w:rsidRPr="00F44F3A" w:rsidRDefault="0005011A" w:rsidP="00FC07B9">
      <w:pPr>
        <w:pStyle w:val="ACMACorporateAddressHeader"/>
      </w:pPr>
      <w:r w:rsidRPr="00F44F3A">
        <w:t>Melbourne</w:t>
      </w:r>
    </w:p>
    <w:p w14:paraId="45DAD207"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76B81E79"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1075F02F"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178C0807" w14:textId="77777777" w:rsidR="0005011A" w:rsidRPr="00F44F3A" w:rsidRDefault="0005011A" w:rsidP="00FC07B9">
      <w:pPr>
        <w:pStyle w:val="ACMACorporateAddressHeader"/>
      </w:pPr>
      <w:r w:rsidRPr="00F44F3A">
        <w:t>Sydney</w:t>
      </w:r>
    </w:p>
    <w:p w14:paraId="721CBCEC"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53889568"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39D8915F" w14:textId="5885C7EA"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w:t>
      </w:r>
      <w:r w:rsidRPr="00F44F3A">
        <w:br/>
        <w:t>F</w:t>
      </w:r>
      <w:r w:rsidR="00140318" w:rsidRPr="00F44F3A">
        <w:tab/>
      </w:r>
      <w:r w:rsidRPr="00F44F3A">
        <w:t>+61 2 9334 7799</w:t>
      </w:r>
    </w:p>
    <w:p w14:paraId="444DB424" w14:textId="77777777" w:rsidR="00140318" w:rsidRPr="006D46E5" w:rsidRDefault="00140318" w:rsidP="00FC07B9">
      <w:pPr>
        <w:pStyle w:val="ACMACopyrightHeader"/>
      </w:pPr>
      <w:r w:rsidRPr="00140318">
        <w:t>Copyright notice</w:t>
      </w:r>
    </w:p>
    <w:p w14:paraId="74049F9E" w14:textId="77777777" w:rsidR="00140318" w:rsidRPr="006D46E5" w:rsidRDefault="79B2A847" w:rsidP="00623FF9">
      <w:pPr>
        <w:pStyle w:val="ACMACClogo"/>
      </w:pPr>
      <w:r>
        <w:rPr>
          <w:noProof/>
        </w:rPr>
        <w:drawing>
          <wp:inline distT="0" distB="0" distL="0" distR="0" wp14:anchorId="132E355F" wp14:editId="0C549D4B">
            <wp:extent cx="838200" cy="295275"/>
            <wp:effectExtent l="0" t="0" r="0" b="0"/>
            <wp:docPr id="647346591" name="Picture 64734659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706C68BB" w14:textId="77777777" w:rsidR="00AA2DE5" w:rsidRDefault="00000000" w:rsidP="00AA2DE5">
      <w:pPr>
        <w:pStyle w:val="ACMACorporateAddresses"/>
        <w:rPr>
          <w:rStyle w:val="Hyperlink"/>
        </w:rPr>
      </w:pPr>
      <w:hyperlink r:id="rId13" w:history="1">
        <w:r w:rsidR="00AA2DE5">
          <w:rPr>
            <w:rStyle w:val="Hyperlink"/>
          </w:rPr>
          <w:t>https://creativecommons.org/licenses/by/4.0/</w:t>
        </w:r>
      </w:hyperlink>
    </w:p>
    <w:p w14:paraId="09FAC35A"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7424F915" w14:textId="22C829D5" w:rsidR="00AA2DE5" w:rsidRDefault="00AA2DE5" w:rsidP="00AA2DE5">
      <w:pPr>
        <w:pStyle w:val="ACMACorporateAddresses"/>
      </w:pPr>
      <w:r>
        <w:t xml:space="preserve">We request attribution as © Commonwealth of Australia (Australian Communications and Media Authority) </w:t>
      </w:r>
      <w:r w:rsidR="00C74C86">
        <w:t>202</w:t>
      </w:r>
      <w:r w:rsidR="00E94835">
        <w:t>3</w:t>
      </w:r>
      <w:r>
        <w:t>.</w:t>
      </w:r>
    </w:p>
    <w:p w14:paraId="49748CF8" w14:textId="77777777" w:rsidR="00AA2DE5" w:rsidRDefault="00AA2DE5" w:rsidP="00AA2DE5">
      <w:pPr>
        <w:pStyle w:val="ACMACorporateAddresses"/>
      </w:pPr>
      <w:r>
        <w:t>All other rights are reserved.</w:t>
      </w:r>
    </w:p>
    <w:p w14:paraId="1750E721"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15BF9915" w14:textId="77777777" w:rsidR="00AA2DE5" w:rsidRDefault="00AA2DE5" w:rsidP="00AA2DE5">
      <w:pPr>
        <w:pStyle w:val="ACMACorporateAddresses"/>
      </w:pPr>
      <w:r>
        <w:t>Written enquiries may be sent to:</w:t>
      </w:r>
    </w:p>
    <w:p w14:paraId="72608807"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7C4F66BB" w14:textId="77777777" w:rsidR="00D16FE3" w:rsidRDefault="00D16FE3" w:rsidP="00D16FE3">
      <w:pPr>
        <w:pStyle w:val="ACMACorporateAddresses"/>
        <w:rPr>
          <w:rStyle w:val="Hyperlink"/>
        </w:rPr>
      </w:pPr>
    </w:p>
    <w:p w14:paraId="0D250D3F"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sdt>
      <w:sdtPr>
        <w:rPr>
          <w:b w:val="0"/>
          <w:noProof/>
          <w:color w:val="0000FF"/>
          <w:spacing w:val="0"/>
          <w:sz w:val="20"/>
          <w:u w:val="single" w:color="0000FF"/>
        </w:rPr>
        <w:id w:val="950129775"/>
        <w:docPartObj>
          <w:docPartGallery w:val="Table of Contents"/>
          <w:docPartUnique/>
        </w:docPartObj>
      </w:sdtPr>
      <w:sdtEndPr>
        <w:rPr>
          <w:b/>
          <w:bCs/>
          <w:color w:val="auto"/>
          <w:spacing w:val="-14"/>
          <w:sz w:val="28"/>
          <w:u w:val="none"/>
        </w:rPr>
      </w:sdtEndPr>
      <w:sdtContent>
        <w:p w14:paraId="04727B5E" w14:textId="6EE9D9AF" w:rsidR="00101D0B" w:rsidRDefault="00101D0B">
          <w:pPr>
            <w:pStyle w:val="TOCHeading"/>
          </w:pPr>
          <w:r>
            <w:t>Contents</w:t>
          </w:r>
        </w:p>
        <w:p w14:paraId="19E42492" w14:textId="2A124080" w:rsidR="00AC63A0" w:rsidRDefault="00101D0B">
          <w:pPr>
            <w:pStyle w:val="TOC1"/>
            <w:rPr>
              <w:rFonts w:asciiTheme="minorHAnsi" w:eastAsiaTheme="minorEastAsia" w:hAnsiTheme="minorHAnsi" w:cstheme="minorBidi"/>
              <w:b w:val="0"/>
              <w:spacing w:val="0"/>
              <w:sz w:val="22"/>
              <w:szCs w:val="22"/>
            </w:rPr>
          </w:pPr>
          <w:r>
            <w:fldChar w:fldCharType="begin"/>
          </w:r>
          <w:r>
            <w:instrText xml:space="preserve"> TOC \o "1-3" \h \z \u </w:instrText>
          </w:r>
          <w:r>
            <w:fldChar w:fldCharType="separate"/>
          </w:r>
          <w:hyperlink w:anchor="_Toc137726585" w:history="1">
            <w:r w:rsidR="00AC63A0" w:rsidRPr="00E45548">
              <w:rPr>
                <w:rStyle w:val="Hyperlink"/>
              </w:rPr>
              <w:t>Introduction</w:t>
            </w:r>
            <w:r w:rsidR="00AC63A0">
              <w:rPr>
                <w:webHidden/>
              </w:rPr>
              <w:tab/>
            </w:r>
            <w:r w:rsidR="00AC63A0">
              <w:rPr>
                <w:webHidden/>
              </w:rPr>
              <w:fldChar w:fldCharType="begin"/>
            </w:r>
            <w:r w:rsidR="00AC63A0">
              <w:rPr>
                <w:webHidden/>
              </w:rPr>
              <w:instrText xml:space="preserve"> PAGEREF _Toc137726585 \h </w:instrText>
            </w:r>
            <w:r w:rsidR="00AC63A0">
              <w:rPr>
                <w:webHidden/>
              </w:rPr>
            </w:r>
            <w:r w:rsidR="00AC63A0">
              <w:rPr>
                <w:webHidden/>
              </w:rPr>
              <w:fldChar w:fldCharType="separate"/>
            </w:r>
            <w:r w:rsidR="00AC63A0">
              <w:rPr>
                <w:webHidden/>
              </w:rPr>
              <w:t>3</w:t>
            </w:r>
            <w:r w:rsidR="00AC63A0">
              <w:rPr>
                <w:webHidden/>
              </w:rPr>
              <w:fldChar w:fldCharType="end"/>
            </w:r>
          </w:hyperlink>
        </w:p>
        <w:p w14:paraId="605BACEF" w14:textId="41994257" w:rsidR="00AC63A0" w:rsidRDefault="00000000">
          <w:pPr>
            <w:pStyle w:val="TOC1"/>
            <w:tabs>
              <w:tab w:val="left" w:pos="885"/>
            </w:tabs>
            <w:rPr>
              <w:rFonts w:asciiTheme="minorHAnsi" w:eastAsiaTheme="minorEastAsia" w:hAnsiTheme="minorHAnsi" w:cstheme="minorBidi"/>
              <w:b w:val="0"/>
              <w:spacing w:val="0"/>
              <w:sz w:val="22"/>
              <w:szCs w:val="22"/>
            </w:rPr>
          </w:pPr>
          <w:hyperlink w:anchor="_Toc137726586" w:history="1">
            <w:r w:rsidR="00AC63A0" w:rsidRPr="00E45548">
              <w:rPr>
                <w:rStyle w:val="Hyperlink"/>
              </w:rPr>
              <w:t>1.</w:t>
            </w:r>
            <w:r w:rsidR="00AC63A0">
              <w:rPr>
                <w:rFonts w:asciiTheme="minorHAnsi" w:eastAsiaTheme="minorEastAsia" w:hAnsiTheme="minorHAnsi" w:cstheme="minorBidi"/>
                <w:b w:val="0"/>
                <w:spacing w:val="0"/>
                <w:sz w:val="22"/>
                <w:szCs w:val="22"/>
              </w:rPr>
              <w:tab/>
            </w:r>
            <w:r w:rsidR="00AC63A0" w:rsidRPr="00E45548">
              <w:rPr>
                <w:rStyle w:val="Hyperlink"/>
              </w:rPr>
              <w:t>Background</w:t>
            </w:r>
            <w:r w:rsidR="00AC63A0">
              <w:rPr>
                <w:webHidden/>
              </w:rPr>
              <w:tab/>
            </w:r>
            <w:r w:rsidR="00AC63A0">
              <w:rPr>
                <w:webHidden/>
              </w:rPr>
              <w:fldChar w:fldCharType="begin"/>
            </w:r>
            <w:r w:rsidR="00AC63A0">
              <w:rPr>
                <w:webHidden/>
              </w:rPr>
              <w:instrText xml:space="preserve"> PAGEREF _Toc137726586 \h </w:instrText>
            </w:r>
            <w:r w:rsidR="00AC63A0">
              <w:rPr>
                <w:webHidden/>
              </w:rPr>
            </w:r>
            <w:r w:rsidR="00AC63A0">
              <w:rPr>
                <w:webHidden/>
              </w:rPr>
              <w:fldChar w:fldCharType="separate"/>
            </w:r>
            <w:r w:rsidR="00AC63A0">
              <w:rPr>
                <w:webHidden/>
              </w:rPr>
              <w:t>4</w:t>
            </w:r>
            <w:r w:rsidR="00AC63A0">
              <w:rPr>
                <w:webHidden/>
              </w:rPr>
              <w:fldChar w:fldCharType="end"/>
            </w:r>
          </w:hyperlink>
        </w:p>
        <w:p w14:paraId="380639FF" w14:textId="0DDE3F12" w:rsidR="00AC63A0" w:rsidRDefault="00000000">
          <w:pPr>
            <w:pStyle w:val="TOC2"/>
            <w:rPr>
              <w:rFonts w:asciiTheme="minorHAnsi" w:eastAsiaTheme="minorEastAsia" w:hAnsiTheme="minorHAnsi" w:cstheme="minorBidi"/>
              <w:spacing w:val="0"/>
              <w:sz w:val="22"/>
              <w:szCs w:val="22"/>
            </w:rPr>
          </w:pPr>
          <w:hyperlink w:anchor="_Toc137726587" w:history="1">
            <w:r w:rsidR="00AC63A0" w:rsidRPr="00E45548">
              <w:rPr>
                <w:rStyle w:val="Hyperlink"/>
              </w:rPr>
              <w:t>1.1</w:t>
            </w:r>
            <w:r w:rsidR="00AC63A0">
              <w:rPr>
                <w:rFonts w:asciiTheme="minorHAnsi" w:eastAsiaTheme="minorEastAsia" w:hAnsiTheme="minorHAnsi" w:cstheme="minorBidi"/>
                <w:spacing w:val="0"/>
                <w:sz w:val="22"/>
                <w:szCs w:val="22"/>
              </w:rPr>
              <w:tab/>
            </w:r>
            <w:r w:rsidR="00AC63A0" w:rsidRPr="00E45548">
              <w:rPr>
                <w:rStyle w:val="Hyperlink"/>
              </w:rPr>
              <w:t>Planning outcomes</w:t>
            </w:r>
            <w:r w:rsidR="00AC63A0">
              <w:rPr>
                <w:webHidden/>
              </w:rPr>
              <w:tab/>
            </w:r>
            <w:r w:rsidR="00AC63A0">
              <w:rPr>
                <w:webHidden/>
              </w:rPr>
              <w:fldChar w:fldCharType="begin"/>
            </w:r>
            <w:r w:rsidR="00AC63A0">
              <w:rPr>
                <w:webHidden/>
              </w:rPr>
              <w:instrText xml:space="preserve"> PAGEREF _Toc137726587 \h </w:instrText>
            </w:r>
            <w:r w:rsidR="00AC63A0">
              <w:rPr>
                <w:webHidden/>
              </w:rPr>
            </w:r>
            <w:r w:rsidR="00AC63A0">
              <w:rPr>
                <w:webHidden/>
              </w:rPr>
              <w:fldChar w:fldCharType="separate"/>
            </w:r>
            <w:r w:rsidR="00AC63A0">
              <w:rPr>
                <w:webHidden/>
              </w:rPr>
              <w:t>4</w:t>
            </w:r>
            <w:r w:rsidR="00AC63A0">
              <w:rPr>
                <w:webHidden/>
              </w:rPr>
              <w:fldChar w:fldCharType="end"/>
            </w:r>
          </w:hyperlink>
        </w:p>
        <w:p w14:paraId="61EBB810" w14:textId="56419EA6" w:rsidR="00AC63A0" w:rsidRDefault="00000000">
          <w:pPr>
            <w:pStyle w:val="TOC2"/>
            <w:rPr>
              <w:rFonts w:asciiTheme="minorHAnsi" w:eastAsiaTheme="minorEastAsia" w:hAnsiTheme="minorHAnsi" w:cstheme="minorBidi"/>
              <w:spacing w:val="0"/>
              <w:sz w:val="22"/>
              <w:szCs w:val="22"/>
            </w:rPr>
          </w:pPr>
          <w:hyperlink w:anchor="_Toc137726588" w:history="1">
            <w:r w:rsidR="00AC63A0" w:rsidRPr="00E45548">
              <w:rPr>
                <w:rStyle w:val="Hyperlink"/>
              </w:rPr>
              <w:t>1.2</w:t>
            </w:r>
            <w:r w:rsidR="00AC63A0">
              <w:rPr>
                <w:rFonts w:asciiTheme="minorHAnsi" w:eastAsiaTheme="minorEastAsia" w:hAnsiTheme="minorHAnsi" w:cstheme="minorBidi"/>
                <w:spacing w:val="0"/>
                <w:sz w:val="22"/>
                <w:szCs w:val="22"/>
              </w:rPr>
              <w:tab/>
            </w:r>
            <w:r w:rsidR="00AC63A0" w:rsidRPr="00E45548">
              <w:rPr>
                <w:rStyle w:val="Hyperlink"/>
              </w:rPr>
              <w:t>Legislative and policy framework</w:t>
            </w:r>
            <w:r w:rsidR="00AC63A0">
              <w:rPr>
                <w:webHidden/>
              </w:rPr>
              <w:tab/>
            </w:r>
            <w:r w:rsidR="00AC63A0">
              <w:rPr>
                <w:webHidden/>
              </w:rPr>
              <w:fldChar w:fldCharType="begin"/>
            </w:r>
            <w:r w:rsidR="00AC63A0">
              <w:rPr>
                <w:webHidden/>
              </w:rPr>
              <w:instrText xml:space="preserve"> PAGEREF _Toc137726588 \h </w:instrText>
            </w:r>
            <w:r w:rsidR="00AC63A0">
              <w:rPr>
                <w:webHidden/>
              </w:rPr>
            </w:r>
            <w:r w:rsidR="00AC63A0">
              <w:rPr>
                <w:webHidden/>
              </w:rPr>
              <w:fldChar w:fldCharType="separate"/>
            </w:r>
            <w:r w:rsidR="00AC63A0">
              <w:rPr>
                <w:webHidden/>
              </w:rPr>
              <w:t>5</w:t>
            </w:r>
            <w:r w:rsidR="00AC63A0">
              <w:rPr>
                <w:webHidden/>
              </w:rPr>
              <w:fldChar w:fldCharType="end"/>
            </w:r>
          </w:hyperlink>
        </w:p>
        <w:p w14:paraId="2B012225" w14:textId="0DF9EA82" w:rsidR="00AC63A0" w:rsidRDefault="00000000">
          <w:pPr>
            <w:pStyle w:val="TOC3"/>
            <w:rPr>
              <w:rFonts w:asciiTheme="minorHAnsi" w:eastAsiaTheme="minorEastAsia" w:hAnsiTheme="minorHAnsi" w:cstheme="minorBidi"/>
            </w:rPr>
          </w:pPr>
          <w:hyperlink w:anchor="_Toc137726589" w:history="1">
            <w:r w:rsidR="00AC63A0" w:rsidRPr="00E45548">
              <w:rPr>
                <w:rStyle w:val="Hyperlink"/>
              </w:rPr>
              <w:t>Guiding legislation</w:t>
            </w:r>
            <w:r w:rsidR="00AC63A0">
              <w:rPr>
                <w:webHidden/>
              </w:rPr>
              <w:tab/>
            </w:r>
            <w:r w:rsidR="00AC63A0">
              <w:rPr>
                <w:webHidden/>
              </w:rPr>
              <w:fldChar w:fldCharType="begin"/>
            </w:r>
            <w:r w:rsidR="00AC63A0">
              <w:rPr>
                <w:webHidden/>
              </w:rPr>
              <w:instrText xml:space="preserve"> PAGEREF _Toc137726589 \h </w:instrText>
            </w:r>
            <w:r w:rsidR="00AC63A0">
              <w:rPr>
                <w:webHidden/>
              </w:rPr>
            </w:r>
            <w:r w:rsidR="00AC63A0">
              <w:rPr>
                <w:webHidden/>
              </w:rPr>
              <w:fldChar w:fldCharType="separate"/>
            </w:r>
            <w:r w:rsidR="00AC63A0">
              <w:rPr>
                <w:webHidden/>
              </w:rPr>
              <w:t>5</w:t>
            </w:r>
            <w:r w:rsidR="00AC63A0">
              <w:rPr>
                <w:webHidden/>
              </w:rPr>
              <w:fldChar w:fldCharType="end"/>
            </w:r>
          </w:hyperlink>
        </w:p>
        <w:p w14:paraId="6587A13B" w14:textId="6C9F7A0E" w:rsidR="00AC63A0" w:rsidRDefault="00000000">
          <w:pPr>
            <w:pStyle w:val="TOC3"/>
            <w:rPr>
              <w:rFonts w:asciiTheme="minorHAnsi" w:eastAsiaTheme="minorEastAsia" w:hAnsiTheme="minorHAnsi" w:cstheme="minorBidi"/>
            </w:rPr>
          </w:pPr>
          <w:hyperlink w:anchor="_Toc137726590" w:history="1">
            <w:r w:rsidR="00AC63A0" w:rsidRPr="00E45548">
              <w:rPr>
                <w:rStyle w:val="Hyperlink"/>
              </w:rPr>
              <w:t>Ministerial Policy Statement</w:t>
            </w:r>
            <w:r w:rsidR="00AC63A0">
              <w:rPr>
                <w:webHidden/>
              </w:rPr>
              <w:tab/>
            </w:r>
            <w:r w:rsidR="00AC63A0">
              <w:rPr>
                <w:webHidden/>
              </w:rPr>
              <w:fldChar w:fldCharType="begin"/>
            </w:r>
            <w:r w:rsidR="00AC63A0">
              <w:rPr>
                <w:webHidden/>
              </w:rPr>
              <w:instrText xml:space="preserve"> PAGEREF _Toc137726590 \h </w:instrText>
            </w:r>
            <w:r w:rsidR="00AC63A0">
              <w:rPr>
                <w:webHidden/>
              </w:rPr>
            </w:r>
            <w:r w:rsidR="00AC63A0">
              <w:rPr>
                <w:webHidden/>
              </w:rPr>
              <w:fldChar w:fldCharType="separate"/>
            </w:r>
            <w:r w:rsidR="00AC63A0">
              <w:rPr>
                <w:webHidden/>
              </w:rPr>
              <w:t>5</w:t>
            </w:r>
            <w:r w:rsidR="00AC63A0">
              <w:rPr>
                <w:webHidden/>
              </w:rPr>
              <w:fldChar w:fldCharType="end"/>
            </w:r>
          </w:hyperlink>
        </w:p>
        <w:p w14:paraId="1F4152B1" w14:textId="1DB7A1C5" w:rsidR="00AC63A0" w:rsidRDefault="00000000">
          <w:pPr>
            <w:pStyle w:val="TOC3"/>
            <w:rPr>
              <w:rFonts w:asciiTheme="minorHAnsi" w:eastAsiaTheme="minorEastAsia" w:hAnsiTheme="minorHAnsi" w:cstheme="minorBidi"/>
            </w:rPr>
          </w:pPr>
          <w:hyperlink w:anchor="_Toc137726591" w:history="1">
            <w:r w:rsidR="00AC63A0" w:rsidRPr="00E45548">
              <w:rPr>
                <w:rStyle w:val="Hyperlink"/>
              </w:rPr>
              <w:t>Government communications policy objectives</w:t>
            </w:r>
            <w:r w:rsidR="00AC63A0">
              <w:rPr>
                <w:webHidden/>
              </w:rPr>
              <w:tab/>
            </w:r>
            <w:r w:rsidR="00AC63A0">
              <w:rPr>
                <w:webHidden/>
              </w:rPr>
              <w:fldChar w:fldCharType="begin"/>
            </w:r>
            <w:r w:rsidR="00AC63A0">
              <w:rPr>
                <w:webHidden/>
              </w:rPr>
              <w:instrText xml:space="preserve"> PAGEREF _Toc137726591 \h </w:instrText>
            </w:r>
            <w:r w:rsidR="00AC63A0">
              <w:rPr>
                <w:webHidden/>
              </w:rPr>
            </w:r>
            <w:r w:rsidR="00AC63A0">
              <w:rPr>
                <w:webHidden/>
              </w:rPr>
              <w:fldChar w:fldCharType="separate"/>
            </w:r>
            <w:r w:rsidR="00AC63A0">
              <w:rPr>
                <w:webHidden/>
              </w:rPr>
              <w:t>6</w:t>
            </w:r>
            <w:r w:rsidR="00AC63A0">
              <w:rPr>
                <w:webHidden/>
              </w:rPr>
              <w:fldChar w:fldCharType="end"/>
            </w:r>
          </w:hyperlink>
        </w:p>
        <w:p w14:paraId="280E0640" w14:textId="0118AD6D" w:rsidR="00AC63A0" w:rsidRDefault="00000000">
          <w:pPr>
            <w:pStyle w:val="TOC3"/>
            <w:rPr>
              <w:rFonts w:asciiTheme="minorHAnsi" w:eastAsiaTheme="minorEastAsia" w:hAnsiTheme="minorHAnsi" w:cstheme="minorBidi"/>
            </w:rPr>
          </w:pPr>
          <w:hyperlink w:anchor="_Toc137726592" w:history="1">
            <w:r w:rsidR="00AC63A0" w:rsidRPr="00E45548">
              <w:rPr>
                <w:rStyle w:val="Hyperlink"/>
              </w:rPr>
              <w:t>Guiding objectives for the 3.4-4.0 GHz AWL allocation</w:t>
            </w:r>
            <w:r w:rsidR="00AC63A0">
              <w:rPr>
                <w:webHidden/>
              </w:rPr>
              <w:tab/>
            </w:r>
            <w:r w:rsidR="00AC63A0">
              <w:rPr>
                <w:webHidden/>
              </w:rPr>
              <w:fldChar w:fldCharType="begin"/>
            </w:r>
            <w:r w:rsidR="00AC63A0">
              <w:rPr>
                <w:webHidden/>
              </w:rPr>
              <w:instrText xml:space="preserve"> PAGEREF _Toc137726592 \h </w:instrText>
            </w:r>
            <w:r w:rsidR="00AC63A0">
              <w:rPr>
                <w:webHidden/>
              </w:rPr>
            </w:r>
            <w:r w:rsidR="00AC63A0">
              <w:rPr>
                <w:webHidden/>
              </w:rPr>
              <w:fldChar w:fldCharType="separate"/>
            </w:r>
            <w:r w:rsidR="00AC63A0">
              <w:rPr>
                <w:webHidden/>
              </w:rPr>
              <w:t>6</w:t>
            </w:r>
            <w:r w:rsidR="00AC63A0">
              <w:rPr>
                <w:webHidden/>
              </w:rPr>
              <w:fldChar w:fldCharType="end"/>
            </w:r>
          </w:hyperlink>
        </w:p>
        <w:p w14:paraId="3D1296B3" w14:textId="1926D853" w:rsidR="00AC63A0" w:rsidRDefault="00000000">
          <w:pPr>
            <w:pStyle w:val="TOC1"/>
            <w:tabs>
              <w:tab w:val="left" w:pos="885"/>
            </w:tabs>
            <w:rPr>
              <w:rFonts w:asciiTheme="minorHAnsi" w:eastAsiaTheme="minorEastAsia" w:hAnsiTheme="minorHAnsi" w:cstheme="minorBidi"/>
              <w:b w:val="0"/>
              <w:spacing w:val="0"/>
              <w:sz w:val="22"/>
              <w:szCs w:val="22"/>
            </w:rPr>
          </w:pPr>
          <w:hyperlink w:anchor="_Toc137726593" w:history="1">
            <w:r w:rsidR="00AC63A0" w:rsidRPr="00E45548">
              <w:rPr>
                <w:rStyle w:val="Hyperlink"/>
              </w:rPr>
              <w:t>2.</w:t>
            </w:r>
            <w:r w:rsidR="00AC63A0">
              <w:rPr>
                <w:rFonts w:asciiTheme="minorHAnsi" w:eastAsiaTheme="minorEastAsia" w:hAnsiTheme="minorHAnsi" w:cstheme="minorBidi"/>
                <w:b w:val="0"/>
                <w:spacing w:val="0"/>
                <w:sz w:val="22"/>
                <w:szCs w:val="22"/>
              </w:rPr>
              <w:tab/>
            </w:r>
            <w:r w:rsidR="00AC63A0" w:rsidRPr="00E45548">
              <w:rPr>
                <w:rStyle w:val="Hyperlink"/>
              </w:rPr>
              <w:t>Product description</w:t>
            </w:r>
            <w:r w:rsidR="00AC63A0">
              <w:rPr>
                <w:webHidden/>
              </w:rPr>
              <w:tab/>
            </w:r>
            <w:r w:rsidR="00AC63A0">
              <w:rPr>
                <w:webHidden/>
              </w:rPr>
              <w:fldChar w:fldCharType="begin"/>
            </w:r>
            <w:r w:rsidR="00AC63A0">
              <w:rPr>
                <w:webHidden/>
              </w:rPr>
              <w:instrText xml:space="preserve"> PAGEREF _Toc137726593 \h </w:instrText>
            </w:r>
            <w:r w:rsidR="00AC63A0">
              <w:rPr>
                <w:webHidden/>
              </w:rPr>
            </w:r>
            <w:r w:rsidR="00AC63A0">
              <w:rPr>
                <w:webHidden/>
              </w:rPr>
              <w:fldChar w:fldCharType="separate"/>
            </w:r>
            <w:r w:rsidR="00AC63A0">
              <w:rPr>
                <w:webHidden/>
              </w:rPr>
              <w:t>7</w:t>
            </w:r>
            <w:r w:rsidR="00AC63A0">
              <w:rPr>
                <w:webHidden/>
              </w:rPr>
              <w:fldChar w:fldCharType="end"/>
            </w:r>
          </w:hyperlink>
        </w:p>
        <w:p w14:paraId="0D2C1584" w14:textId="46993BF5" w:rsidR="00AC63A0" w:rsidRDefault="00000000">
          <w:pPr>
            <w:pStyle w:val="TOC2"/>
            <w:rPr>
              <w:rFonts w:asciiTheme="minorHAnsi" w:eastAsiaTheme="minorEastAsia" w:hAnsiTheme="minorHAnsi" w:cstheme="minorBidi"/>
              <w:spacing w:val="0"/>
              <w:sz w:val="22"/>
              <w:szCs w:val="22"/>
            </w:rPr>
          </w:pPr>
          <w:hyperlink w:anchor="_Toc137726594" w:history="1">
            <w:r w:rsidR="00AC63A0" w:rsidRPr="00E45548">
              <w:rPr>
                <w:rStyle w:val="Hyperlink"/>
              </w:rPr>
              <w:t>2.1</w:t>
            </w:r>
            <w:r w:rsidR="00AC63A0">
              <w:rPr>
                <w:rFonts w:asciiTheme="minorHAnsi" w:eastAsiaTheme="minorEastAsia" w:hAnsiTheme="minorHAnsi" w:cstheme="minorBidi"/>
                <w:spacing w:val="0"/>
                <w:sz w:val="22"/>
                <w:szCs w:val="22"/>
              </w:rPr>
              <w:tab/>
            </w:r>
            <w:r w:rsidR="00AC63A0" w:rsidRPr="00E45548">
              <w:rPr>
                <w:rStyle w:val="Hyperlink"/>
              </w:rPr>
              <w:t>AWL</w:t>
            </w:r>
            <w:r w:rsidR="00AC63A0">
              <w:rPr>
                <w:webHidden/>
              </w:rPr>
              <w:tab/>
            </w:r>
            <w:r w:rsidR="00AC63A0">
              <w:rPr>
                <w:webHidden/>
              </w:rPr>
              <w:fldChar w:fldCharType="begin"/>
            </w:r>
            <w:r w:rsidR="00AC63A0">
              <w:rPr>
                <w:webHidden/>
              </w:rPr>
              <w:instrText xml:space="preserve"> PAGEREF _Toc137726594 \h </w:instrText>
            </w:r>
            <w:r w:rsidR="00AC63A0">
              <w:rPr>
                <w:webHidden/>
              </w:rPr>
            </w:r>
            <w:r w:rsidR="00AC63A0">
              <w:rPr>
                <w:webHidden/>
              </w:rPr>
              <w:fldChar w:fldCharType="separate"/>
            </w:r>
            <w:r w:rsidR="00AC63A0">
              <w:rPr>
                <w:webHidden/>
              </w:rPr>
              <w:t>7</w:t>
            </w:r>
            <w:r w:rsidR="00AC63A0">
              <w:rPr>
                <w:webHidden/>
              </w:rPr>
              <w:fldChar w:fldCharType="end"/>
            </w:r>
          </w:hyperlink>
        </w:p>
        <w:p w14:paraId="6F421D2D" w14:textId="4E97E667" w:rsidR="00AC63A0" w:rsidRDefault="00000000">
          <w:pPr>
            <w:pStyle w:val="TOC2"/>
            <w:rPr>
              <w:rFonts w:asciiTheme="minorHAnsi" w:eastAsiaTheme="minorEastAsia" w:hAnsiTheme="minorHAnsi" w:cstheme="minorBidi"/>
              <w:spacing w:val="0"/>
              <w:sz w:val="22"/>
              <w:szCs w:val="22"/>
            </w:rPr>
          </w:pPr>
          <w:hyperlink w:anchor="_Toc137726595" w:history="1">
            <w:r w:rsidR="00AC63A0" w:rsidRPr="00E45548">
              <w:rPr>
                <w:rStyle w:val="Hyperlink"/>
              </w:rPr>
              <w:t>2.2</w:t>
            </w:r>
            <w:r w:rsidR="00AC63A0">
              <w:rPr>
                <w:rFonts w:asciiTheme="minorHAnsi" w:eastAsiaTheme="minorEastAsia" w:hAnsiTheme="minorHAnsi" w:cstheme="minorBidi"/>
                <w:spacing w:val="0"/>
                <w:sz w:val="22"/>
                <w:szCs w:val="22"/>
              </w:rPr>
              <w:tab/>
            </w:r>
            <w:r w:rsidR="00AC63A0" w:rsidRPr="00E45548">
              <w:rPr>
                <w:rStyle w:val="Hyperlink"/>
              </w:rPr>
              <w:t>Available spectrum</w:t>
            </w:r>
            <w:r w:rsidR="00AC63A0">
              <w:rPr>
                <w:webHidden/>
              </w:rPr>
              <w:tab/>
            </w:r>
            <w:r w:rsidR="00AC63A0">
              <w:rPr>
                <w:webHidden/>
              </w:rPr>
              <w:fldChar w:fldCharType="begin"/>
            </w:r>
            <w:r w:rsidR="00AC63A0">
              <w:rPr>
                <w:webHidden/>
              </w:rPr>
              <w:instrText xml:space="preserve"> PAGEREF _Toc137726595 \h </w:instrText>
            </w:r>
            <w:r w:rsidR="00AC63A0">
              <w:rPr>
                <w:webHidden/>
              </w:rPr>
            </w:r>
            <w:r w:rsidR="00AC63A0">
              <w:rPr>
                <w:webHidden/>
              </w:rPr>
              <w:fldChar w:fldCharType="separate"/>
            </w:r>
            <w:r w:rsidR="00AC63A0">
              <w:rPr>
                <w:webHidden/>
              </w:rPr>
              <w:t>7</w:t>
            </w:r>
            <w:r w:rsidR="00AC63A0">
              <w:rPr>
                <w:webHidden/>
              </w:rPr>
              <w:fldChar w:fldCharType="end"/>
            </w:r>
          </w:hyperlink>
        </w:p>
        <w:p w14:paraId="56663857" w14:textId="2B9CA64A" w:rsidR="00AC63A0" w:rsidRDefault="00000000">
          <w:pPr>
            <w:pStyle w:val="TOC2"/>
            <w:rPr>
              <w:rFonts w:asciiTheme="minorHAnsi" w:eastAsiaTheme="minorEastAsia" w:hAnsiTheme="minorHAnsi" w:cstheme="minorBidi"/>
              <w:spacing w:val="0"/>
              <w:sz w:val="22"/>
              <w:szCs w:val="22"/>
            </w:rPr>
          </w:pPr>
          <w:hyperlink w:anchor="_Toc137726596" w:history="1">
            <w:r w:rsidR="00AC63A0" w:rsidRPr="00E45548">
              <w:rPr>
                <w:rStyle w:val="Hyperlink"/>
              </w:rPr>
              <w:t>2.3</w:t>
            </w:r>
            <w:r w:rsidR="00AC63A0">
              <w:rPr>
                <w:rFonts w:asciiTheme="minorHAnsi" w:eastAsiaTheme="minorEastAsia" w:hAnsiTheme="minorHAnsi" w:cstheme="minorBidi"/>
                <w:spacing w:val="0"/>
                <w:sz w:val="22"/>
                <w:szCs w:val="22"/>
              </w:rPr>
              <w:tab/>
            </w:r>
            <w:r w:rsidR="00AC63A0" w:rsidRPr="00E45548">
              <w:rPr>
                <w:rStyle w:val="Hyperlink"/>
              </w:rPr>
              <w:t>Geographical areas</w:t>
            </w:r>
            <w:r w:rsidR="00AC63A0">
              <w:rPr>
                <w:webHidden/>
              </w:rPr>
              <w:tab/>
            </w:r>
            <w:r w:rsidR="00AC63A0">
              <w:rPr>
                <w:webHidden/>
              </w:rPr>
              <w:fldChar w:fldCharType="begin"/>
            </w:r>
            <w:r w:rsidR="00AC63A0">
              <w:rPr>
                <w:webHidden/>
              </w:rPr>
              <w:instrText xml:space="preserve"> PAGEREF _Toc137726596 \h </w:instrText>
            </w:r>
            <w:r w:rsidR="00AC63A0">
              <w:rPr>
                <w:webHidden/>
              </w:rPr>
            </w:r>
            <w:r w:rsidR="00AC63A0">
              <w:rPr>
                <w:webHidden/>
              </w:rPr>
              <w:fldChar w:fldCharType="separate"/>
            </w:r>
            <w:r w:rsidR="00AC63A0">
              <w:rPr>
                <w:webHidden/>
              </w:rPr>
              <w:t>8</w:t>
            </w:r>
            <w:r w:rsidR="00AC63A0">
              <w:rPr>
                <w:webHidden/>
              </w:rPr>
              <w:fldChar w:fldCharType="end"/>
            </w:r>
          </w:hyperlink>
        </w:p>
        <w:p w14:paraId="2A8C3826" w14:textId="78B80EA7" w:rsidR="00AC63A0" w:rsidRDefault="00000000">
          <w:pPr>
            <w:pStyle w:val="TOC2"/>
            <w:rPr>
              <w:rFonts w:asciiTheme="minorHAnsi" w:eastAsiaTheme="minorEastAsia" w:hAnsiTheme="minorHAnsi" w:cstheme="minorBidi"/>
              <w:spacing w:val="0"/>
              <w:sz w:val="22"/>
              <w:szCs w:val="22"/>
            </w:rPr>
          </w:pPr>
          <w:hyperlink w:anchor="_Toc137726597" w:history="1">
            <w:r w:rsidR="00AC63A0" w:rsidRPr="00E45548">
              <w:rPr>
                <w:rStyle w:val="Hyperlink"/>
              </w:rPr>
              <w:t>2.4</w:t>
            </w:r>
            <w:r w:rsidR="00AC63A0">
              <w:rPr>
                <w:rFonts w:asciiTheme="minorHAnsi" w:eastAsiaTheme="minorEastAsia" w:hAnsiTheme="minorHAnsi" w:cstheme="minorBidi"/>
                <w:spacing w:val="0"/>
                <w:sz w:val="22"/>
                <w:szCs w:val="22"/>
              </w:rPr>
              <w:tab/>
            </w:r>
            <w:r w:rsidR="00AC63A0" w:rsidRPr="00E45548">
              <w:rPr>
                <w:rStyle w:val="Hyperlink"/>
              </w:rPr>
              <w:t>Technical framework</w:t>
            </w:r>
            <w:r w:rsidR="00AC63A0">
              <w:rPr>
                <w:webHidden/>
              </w:rPr>
              <w:tab/>
            </w:r>
            <w:r w:rsidR="00AC63A0">
              <w:rPr>
                <w:webHidden/>
              </w:rPr>
              <w:fldChar w:fldCharType="begin"/>
            </w:r>
            <w:r w:rsidR="00AC63A0">
              <w:rPr>
                <w:webHidden/>
              </w:rPr>
              <w:instrText xml:space="preserve"> PAGEREF _Toc137726597 \h </w:instrText>
            </w:r>
            <w:r w:rsidR="00AC63A0">
              <w:rPr>
                <w:webHidden/>
              </w:rPr>
            </w:r>
            <w:r w:rsidR="00AC63A0">
              <w:rPr>
                <w:webHidden/>
              </w:rPr>
              <w:fldChar w:fldCharType="separate"/>
            </w:r>
            <w:r w:rsidR="00AC63A0">
              <w:rPr>
                <w:webHidden/>
              </w:rPr>
              <w:t>9</w:t>
            </w:r>
            <w:r w:rsidR="00AC63A0">
              <w:rPr>
                <w:webHidden/>
              </w:rPr>
              <w:fldChar w:fldCharType="end"/>
            </w:r>
          </w:hyperlink>
        </w:p>
        <w:p w14:paraId="6052DBC6" w14:textId="3A5CE1FB" w:rsidR="00AC63A0" w:rsidRDefault="00000000">
          <w:pPr>
            <w:pStyle w:val="TOC3"/>
            <w:rPr>
              <w:rFonts w:asciiTheme="minorHAnsi" w:eastAsiaTheme="minorEastAsia" w:hAnsiTheme="minorHAnsi" w:cstheme="minorBidi"/>
            </w:rPr>
          </w:pPr>
          <w:hyperlink w:anchor="_Toc137726598" w:history="1">
            <w:r w:rsidR="00AC63A0" w:rsidRPr="00E45548">
              <w:rPr>
                <w:rStyle w:val="Hyperlink"/>
              </w:rPr>
              <w:t>AWL Licence Condition Determination (LCD)</w:t>
            </w:r>
            <w:r w:rsidR="00AC63A0">
              <w:rPr>
                <w:webHidden/>
              </w:rPr>
              <w:tab/>
            </w:r>
            <w:r w:rsidR="00AC63A0">
              <w:rPr>
                <w:webHidden/>
              </w:rPr>
              <w:fldChar w:fldCharType="begin"/>
            </w:r>
            <w:r w:rsidR="00AC63A0">
              <w:rPr>
                <w:webHidden/>
              </w:rPr>
              <w:instrText xml:space="preserve"> PAGEREF _Toc137726598 \h </w:instrText>
            </w:r>
            <w:r w:rsidR="00AC63A0">
              <w:rPr>
                <w:webHidden/>
              </w:rPr>
            </w:r>
            <w:r w:rsidR="00AC63A0">
              <w:rPr>
                <w:webHidden/>
              </w:rPr>
              <w:fldChar w:fldCharType="separate"/>
            </w:r>
            <w:r w:rsidR="00AC63A0">
              <w:rPr>
                <w:webHidden/>
              </w:rPr>
              <w:t>10</w:t>
            </w:r>
            <w:r w:rsidR="00AC63A0">
              <w:rPr>
                <w:webHidden/>
              </w:rPr>
              <w:fldChar w:fldCharType="end"/>
            </w:r>
          </w:hyperlink>
        </w:p>
        <w:p w14:paraId="65C63031" w14:textId="1E9FC42B" w:rsidR="00AC63A0" w:rsidRDefault="00000000">
          <w:pPr>
            <w:pStyle w:val="TOC3"/>
            <w:rPr>
              <w:rFonts w:asciiTheme="minorHAnsi" w:eastAsiaTheme="minorEastAsia" w:hAnsiTheme="minorHAnsi" w:cstheme="minorBidi"/>
            </w:rPr>
          </w:pPr>
          <w:hyperlink w:anchor="_Toc137726599" w:history="1">
            <w:r w:rsidR="00AC63A0" w:rsidRPr="00E45548">
              <w:rPr>
                <w:rStyle w:val="Hyperlink"/>
              </w:rPr>
              <w:t>Radiocommunications Assignment and Licensing Instructions</w:t>
            </w:r>
            <w:r w:rsidR="00AC63A0">
              <w:rPr>
                <w:webHidden/>
              </w:rPr>
              <w:tab/>
            </w:r>
            <w:r w:rsidR="00AC63A0">
              <w:rPr>
                <w:webHidden/>
              </w:rPr>
              <w:fldChar w:fldCharType="begin"/>
            </w:r>
            <w:r w:rsidR="00AC63A0">
              <w:rPr>
                <w:webHidden/>
              </w:rPr>
              <w:instrText xml:space="preserve"> PAGEREF _Toc137726599 \h </w:instrText>
            </w:r>
            <w:r w:rsidR="00AC63A0">
              <w:rPr>
                <w:webHidden/>
              </w:rPr>
            </w:r>
            <w:r w:rsidR="00AC63A0">
              <w:rPr>
                <w:webHidden/>
              </w:rPr>
              <w:fldChar w:fldCharType="separate"/>
            </w:r>
            <w:r w:rsidR="00AC63A0">
              <w:rPr>
                <w:webHidden/>
              </w:rPr>
              <w:t>11</w:t>
            </w:r>
            <w:r w:rsidR="00AC63A0">
              <w:rPr>
                <w:webHidden/>
              </w:rPr>
              <w:fldChar w:fldCharType="end"/>
            </w:r>
          </w:hyperlink>
        </w:p>
        <w:p w14:paraId="7F33ABE7" w14:textId="59F337B9" w:rsidR="00AC63A0" w:rsidRDefault="00000000">
          <w:pPr>
            <w:pStyle w:val="TOC2"/>
            <w:rPr>
              <w:rFonts w:asciiTheme="minorHAnsi" w:eastAsiaTheme="minorEastAsia" w:hAnsiTheme="minorHAnsi" w:cstheme="minorBidi"/>
              <w:spacing w:val="0"/>
              <w:sz w:val="22"/>
              <w:szCs w:val="22"/>
            </w:rPr>
          </w:pPr>
          <w:hyperlink w:anchor="_Toc137726600" w:history="1">
            <w:r w:rsidR="00AC63A0" w:rsidRPr="00E45548">
              <w:rPr>
                <w:rStyle w:val="Hyperlink"/>
              </w:rPr>
              <w:t>2.5</w:t>
            </w:r>
            <w:r w:rsidR="00AC63A0">
              <w:rPr>
                <w:rFonts w:asciiTheme="minorHAnsi" w:eastAsiaTheme="minorEastAsia" w:hAnsiTheme="minorHAnsi" w:cstheme="minorBidi"/>
                <w:spacing w:val="0"/>
                <w:sz w:val="22"/>
                <w:szCs w:val="22"/>
              </w:rPr>
              <w:tab/>
            </w:r>
            <w:r w:rsidR="00AC63A0" w:rsidRPr="00E45548">
              <w:rPr>
                <w:rStyle w:val="Hyperlink"/>
              </w:rPr>
              <w:t>Licence tenure</w:t>
            </w:r>
            <w:r w:rsidR="00AC63A0">
              <w:rPr>
                <w:webHidden/>
              </w:rPr>
              <w:tab/>
            </w:r>
            <w:r w:rsidR="00AC63A0">
              <w:rPr>
                <w:webHidden/>
              </w:rPr>
              <w:fldChar w:fldCharType="begin"/>
            </w:r>
            <w:r w:rsidR="00AC63A0">
              <w:rPr>
                <w:webHidden/>
              </w:rPr>
              <w:instrText xml:space="preserve"> PAGEREF _Toc137726600 \h </w:instrText>
            </w:r>
            <w:r w:rsidR="00AC63A0">
              <w:rPr>
                <w:webHidden/>
              </w:rPr>
            </w:r>
            <w:r w:rsidR="00AC63A0">
              <w:rPr>
                <w:webHidden/>
              </w:rPr>
              <w:fldChar w:fldCharType="separate"/>
            </w:r>
            <w:r w:rsidR="00AC63A0">
              <w:rPr>
                <w:webHidden/>
              </w:rPr>
              <w:t>13</w:t>
            </w:r>
            <w:r w:rsidR="00AC63A0">
              <w:rPr>
                <w:webHidden/>
              </w:rPr>
              <w:fldChar w:fldCharType="end"/>
            </w:r>
          </w:hyperlink>
        </w:p>
        <w:p w14:paraId="7C56B087" w14:textId="405BC6B9" w:rsidR="00AC63A0" w:rsidRDefault="00000000">
          <w:pPr>
            <w:pStyle w:val="TOC3"/>
            <w:rPr>
              <w:rFonts w:asciiTheme="minorHAnsi" w:eastAsiaTheme="minorEastAsia" w:hAnsiTheme="minorHAnsi" w:cstheme="minorBidi"/>
            </w:rPr>
          </w:pPr>
          <w:hyperlink w:anchor="_Toc137726601" w:history="1">
            <w:r w:rsidR="00AC63A0" w:rsidRPr="00E45548">
              <w:rPr>
                <w:rStyle w:val="Hyperlink"/>
              </w:rPr>
              <w:t>Licence duration</w:t>
            </w:r>
            <w:r w:rsidR="00AC63A0">
              <w:rPr>
                <w:webHidden/>
              </w:rPr>
              <w:tab/>
            </w:r>
            <w:r w:rsidR="00AC63A0">
              <w:rPr>
                <w:webHidden/>
              </w:rPr>
              <w:fldChar w:fldCharType="begin"/>
            </w:r>
            <w:r w:rsidR="00AC63A0">
              <w:rPr>
                <w:webHidden/>
              </w:rPr>
              <w:instrText xml:space="preserve"> PAGEREF _Toc137726601 \h </w:instrText>
            </w:r>
            <w:r w:rsidR="00AC63A0">
              <w:rPr>
                <w:webHidden/>
              </w:rPr>
            </w:r>
            <w:r w:rsidR="00AC63A0">
              <w:rPr>
                <w:webHidden/>
              </w:rPr>
              <w:fldChar w:fldCharType="separate"/>
            </w:r>
            <w:r w:rsidR="00AC63A0">
              <w:rPr>
                <w:webHidden/>
              </w:rPr>
              <w:t>13</w:t>
            </w:r>
            <w:r w:rsidR="00AC63A0">
              <w:rPr>
                <w:webHidden/>
              </w:rPr>
              <w:fldChar w:fldCharType="end"/>
            </w:r>
          </w:hyperlink>
        </w:p>
        <w:p w14:paraId="24BF35BD" w14:textId="1C4B8260" w:rsidR="00AC63A0" w:rsidRDefault="00000000">
          <w:pPr>
            <w:pStyle w:val="TOC3"/>
            <w:rPr>
              <w:rFonts w:asciiTheme="minorHAnsi" w:eastAsiaTheme="minorEastAsia" w:hAnsiTheme="minorHAnsi" w:cstheme="minorBidi"/>
            </w:rPr>
          </w:pPr>
          <w:hyperlink w:anchor="_Toc137726602" w:history="1">
            <w:r w:rsidR="00AC63A0" w:rsidRPr="00E45548">
              <w:rPr>
                <w:rStyle w:val="Hyperlink"/>
              </w:rPr>
              <w:t>Licence renewal</w:t>
            </w:r>
            <w:r w:rsidR="00AC63A0">
              <w:rPr>
                <w:webHidden/>
              </w:rPr>
              <w:tab/>
            </w:r>
            <w:r w:rsidR="00AC63A0">
              <w:rPr>
                <w:webHidden/>
              </w:rPr>
              <w:fldChar w:fldCharType="begin"/>
            </w:r>
            <w:r w:rsidR="00AC63A0">
              <w:rPr>
                <w:webHidden/>
              </w:rPr>
              <w:instrText xml:space="preserve"> PAGEREF _Toc137726602 \h </w:instrText>
            </w:r>
            <w:r w:rsidR="00AC63A0">
              <w:rPr>
                <w:webHidden/>
              </w:rPr>
            </w:r>
            <w:r w:rsidR="00AC63A0">
              <w:rPr>
                <w:webHidden/>
              </w:rPr>
              <w:fldChar w:fldCharType="separate"/>
            </w:r>
            <w:r w:rsidR="00AC63A0">
              <w:rPr>
                <w:webHidden/>
              </w:rPr>
              <w:t>13</w:t>
            </w:r>
            <w:r w:rsidR="00AC63A0">
              <w:rPr>
                <w:webHidden/>
              </w:rPr>
              <w:fldChar w:fldCharType="end"/>
            </w:r>
          </w:hyperlink>
        </w:p>
        <w:p w14:paraId="567D4F87" w14:textId="4219C62B" w:rsidR="00AC63A0" w:rsidRDefault="00000000">
          <w:pPr>
            <w:pStyle w:val="TOC2"/>
            <w:rPr>
              <w:rFonts w:asciiTheme="minorHAnsi" w:eastAsiaTheme="minorEastAsia" w:hAnsiTheme="minorHAnsi" w:cstheme="minorBidi"/>
              <w:spacing w:val="0"/>
              <w:sz w:val="22"/>
              <w:szCs w:val="22"/>
            </w:rPr>
          </w:pPr>
          <w:hyperlink w:anchor="_Toc137726603" w:history="1">
            <w:r w:rsidR="00AC63A0" w:rsidRPr="00E45548">
              <w:rPr>
                <w:rStyle w:val="Hyperlink"/>
              </w:rPr>
              <w:t>2.6</w:t>
            </w:r>
            <w:r w:rsidR="00AC63A0">
              <w:rPr>
                <w:rFonts w:asciiTheme="minorHAnsi" w:eastAsiaTheme="minorEastAsia" w:hAnsiTheme="minorHAnsi" w:cstheme="minorBidi"/>
                <w:spacing w:val="0"/>
                <w:sz w:val="22"/>
                <w:szCs w:val="22"/>
              </w:rPr>
              <w:tab/>
            </w:r>
            <w:r w:rsidR="00AC63A0" w:rsidRPr="00E45548">
              <w:rPr>
                <w:rStyle w:val="Hyperlink"/>
              </w:rPr>
              <w:t>Pricing</w:t>
            </w:r>
            <w:r w:rsidR="00AC63A0">
              <w:rPr>
                <w:webHidden/>
              </w:rPr>
              <w:tab/>
            </w:r>
            <w:r w:rsidR="00AC63A0">
              <w:rPr>
                <w:webHidden/>
              </w:rPr>
              <w:fldChar w:fldCharType="begin"/>
            </w:r>
            <w:r w:rsidR="00AC63A0">
              <w:rPr>
                <w:webHidden/>
              </w:rPr>
              <w:instrText xml:space="preserve"> PAGEREF _Toc137726603 \h </w:instrText>
            </w:r>
            <w:r w:rsidR="00AC63A0">
              <w:rPr>
                <w:webHidden/>
              </w:rPr>
            </w:r>
            <w:r w:rsidR="00AC63A0">
              <w:rPr>
                <w:webHidden/>
              </w:rPr>
              <w:fldChar w:fldCharType="separate"/>
            </w:r>
            <w:r w:rsidR="00AC63A0">
              <w:rPr>
                <w:webHidden/>
              </w:rPr>
              <w:t>14</w:t>
            </w:r>
            <w:r w:rsidR="00AC63A0">
              <w:rPr>
                <w:webHidden/>
              </w:rPr>
              <w:fldChar w:fldCharType="end"/>
            </w:r>
          </w:hyperlink>
        </w:p>
        <w:p w14:paraId="2060CCE8" w14:textId="5DF7EFC8" w:rsidR="00AC63A0" w:rsidRDefault="00000000">
          <w:pPr>
            <w:pStyle w:val="TOC3"/>
            <w:rPr>
              <w:rFonts w:asciiTheme="minorHAnsi" w:eastAsiaTheme="minorEastAsia" w:hAnsiTheme="minorHAnsi" w:cstheme="minorBidi"/>
            </w:rPr>
          </w:pPr>
          <w:hyperlink w:anchor="_Toc137726604" w:history="1">
            <w:r w:rsidR="00AC63A0" w:rsidRPr="00E45548">
              <w:rPr>
                <w:rStyle w:val="Hyperlink"/>
              </w:rPr>
              <w:t>Annual apparatus licence tax</w:t>
            </w:r>
            <w:r w:rsidR="00AC63A0">
              <w:rPr>
                <w:webHidden/>
              </w:rPr>
              <w:tab/>
            </w:r>
            <w:r w:rsidR="00AC63A0">
              <w:rPr>
                <w:webHidden/>
              </w:rPr>
              <w:fldChar w:fldCharType="begin"/>
            </w:r>
            <w:r w:rsidR="00AC63A0">
              <w:rPr>
                <w:webHidden/>
              </w:rPr>
              <w:instrText xml:space="preserve"> PAGEREF _Toc137726604 \h </w:instrText>
            </w:r>
            <w:r w:rsidR="00AC63A0">
              <w:rPr>
                <w:webHidden/>
              </w:rPr>
            </w:r>
            <w:r w:rsidR="00AC63A0">
              <w:rPr>
                <w:webHidden/>
              </w:rPr>
              <w:fldChar w:fldCharType="separate"/>
            </w:r>
            <w:r w:rsidR="00AC63A0">
              <w:rPr>
                <w:webHidden/>
              </w:rPr>
              <w:t>14</w:t>
            </w:r>
            <w:r w:rsidR="00AC63A0">
              <w:rPr>
                <w:webHidden/>
              </w:rPr>
              <w:fldChar w:fldCharType="end"/>
            </w:r>
          </w:hyperlink>
        </w:p>
        <w:p w14:paraId="3CA1921C" w14:textId="6EE8A58E" w:rsidR="00AC63A0" w:rsidRDefault="00000000">
          <w:pPr>
            <w:pStyle w:val="TOC3"/>
            <w:rPr>
              <w:rFonts w:asciiTheme="minorHAnsi" w:eastAsiaTheme="minorEastAsia" w:hAnsiTheme="minorHAnsi" w:cstheme="minorBidi"/>
            </w:rPr>
          </w:pPr>
          <w:hyperlink w:anchor="_Toc137726605" w:history="1">
            <w:r w:rsidR="00AC63A0" w:rsidRPr="00E45548">
              <w:rPr>
                <w:rStyle w:val="Hyperlink"/>
                <w:i/>
                <w:iCs/>
              </w:rPr>
              <w:t>Examples of taxes</w:t>
            </w:r>
            <w:r w:rsidR="00AC63A0">
              <w:rPr>
                <w:webHidden/>
              </w:rPr>
              <w:tab/>
            </w:r>
            <w:r w:rsidR="00AC63A0">
              <w:rPr>
                <w:webHidden/>
              </w:rPr>
              <w:fldChar w:fldCharType="begin"/>
            </w:r>
            <w:r w:rsidR="00AC63A0">
              <w:rPr>
                <w:webHidden/>
              </w:rPr>
              <w:instrText xml:space="preserve"> PAGEREF _Toc137726605 \h </w:instrText>
            </w:r>
            <w:r w:rsidR="00AC63A0">
              <w:rPr>
                <w:webHidden/>
              </w:rPr>
            </w:r>
            <w:r w:rsidR="00AC63A0">
              <w:rPr>
                <w:webHidden/>
              </w:rPr>
              <w:fldChar w:fldCharType="separate"/>
            </w:r>
            <w:r w:rsidR="00AC63A0">
              <w:rPr>
                <w:webHidden/>
              </w:rPr>
              <w:t>15</w:t>
            </w:r>
            <w:r w:rsidR="00AC63A0">
              <w:rPr>
                <w:webHidden/>
              </w:rPr>
              <w:fldChar w:fldCharType="end"/>
            </w:r>
          </w:hyperlink>
        </w:p>
        <w:p w14:paraId="1D6F0DFF" w14:textId="25790110" w:rsidR="00AC63A0" w:rsidRDefault="00000000">
          <w:pPr>
            <w:pStyle w:val="TOC3"/>
            <w:rPr>
              <w:rFonts w:asciiTheme="minorHAnsi" w:eastAsiaTheme="minorEastAsia" w:hAnsiTheme="minorHAnsi" w:cstheme="minorBidi"/>
            </w:rPr>
          </w:pPr>
          <w:hyperlink w:anchor="_Toc137726606" w:history="1">
            <w:r w:rsidR="00AC63A0" w:rsidRPr="00E45548">
              <w:rPr>
                <w:rStyle w:val="Hyperlink"/>
                <w:i/>
                <w:iCs/>
              </w:rPr>
              <w:t>Payment of tax</w:t>
            </w:r>
            <w:r w:rsidR="00AC63A0">
              <w:rPr>
                <w:webHidden/>
              </w:rPr>
              <w:tab/>
            </w:r>
            <w:r w:rsidR="00AC63A0">
              <w:rPr>
                <w:webHidden/>
              </w:rPr>
              <w:fldChar w:fldCharType="begin"/>
            </w:r>
            <w:r w:rsidR="00AC63A0">
              <w:rPr>
                <w:webHidden/>
              </w:rPr>
              <w:instrText xml:space="preserve"> PAGEREF _Toc137726606 \h </w:instrText>
            </w:r>
            <w:r w:rsidR="00AC63A0">
              <w:rPr>
                <w:webHidden/>
              </w:rPr>
            </w:r>
            <w:r w:rsidR="00AC63A0">
              <w:rPr>
                <w:webHidden/>
              </w:rPr>
              <w:fldChar w:fldCharType="separate"/>
            </w:r>
            <w:r w:rsidR="00AC63A0">
              <w:rPr>
                <w:webHidden/>
              </w:rPr>
              <w:t>16</w:t>
            </w:r>
            <w:r w:rsidR="00AC63A0">
              <w:rPr>
                <w:webHidden/>
              </w:rPr>
              <w:fldChar w:fldCharType="end"/>
            </w:r>
          </w:hyperlink>
        </w:p>
        <w:p w14:paraId="4878B099" w14:textId="3829B8CC" w:rsidR="00AC63A0" w:rsidRDefault="00000000">
          <w:pPr>
            <w:pStyle w:val="TOC3"/>
            <w:rPr>
              <w:rFonts w:asciiTheme="minorHAnsi" w:eastAsiaTheme="minorEastAsia" w:hAnsiTheme="minorHAnsi" w:cstheme="minorBidi"/>
            </w:rPr>
          </w:pPr>
          <w:hyperlink w:anchor="_Toc137726607" w:history="1">
            <w:r w:rsidR="00AC63A0" w:rsidRPr="00E45548">
              <w:rPr>
                <w:rStyle w:val="Hyperlink"/>
              </w:rPr>
              <w:t>Charges</w:t>
            </w:r>
            <w:r w:rsidR="00AC63A0">
              <w:rPr>
                <w:webHidden/>
              </w:rPr>
              <w:tab/>
            </w:r>
            <w:r w:rsidR="00AC63A0">
              <w:rPr>
                <w:webHidden/>
              </w:rPr>
              <w:fldChar w:fldCharType="begin"/>
            </w:r>
            <w:r w:rsidR="00AC63A0">
              <w:rPr>
                <w:webHidden/>
              </w:rPr>
              <w:instrText xml:space="preserve"> PAGEREF _Toc137726607 \h </w:instrText>
            </w:r>
            <w:r w:rsidR="00AC63A0">
              <w:rPr>
                <w:webHidden/>
              </w:rPr>
            </w:r>
            <w:r w:rsidR="00AC63A0">
              <w:rPr>
                <w:webHidden/>
              </w:rPr>
              <w:fldChar w:fldCharType="separate"/>
            </w:r>
            <w:r w:rsidR="00AC63A0">
              <w:rPr>
                <w:webHidden/>
              </w:rPr>
              <w:t>16</w:t>
            </w:r>
            <w:r w:rsidR="00AC63A0">
              <w:rPr>
                <w:webHidden/>
              </w:rPr>
              <w:fldChar w:fldCharType="end"/>
            </w:r>
          </w:hyperlink>
        </w:p>
        <w:p w14:paraId="591BC9ED" w14:textId="629C8BAC" w:rsidR="00AC63A0" w:rsidRDefault="00AC63A0">
          <w:pPr>
            <w:pStyle w:val="TOC1"/>
            <w:tabs>
              <w:tab w:val="left" w:pos="885"/>
            </w:tabs>
            <w:rPr>
              <w:rFonts w:asciiTheme="minorHAnsi" w:eastAsiaTheme="minorEastAsia" w:hAnsiTheme="minorHAnsi" w:cstheme="minorBidi"/>
              <w:b w:val="0"/>
              <w:spacing w:val="0"/>
              <w:sz w:val="22"/>
              <w:szCs w:val="22"/>
            </w:rPr>
          </w:pPr>
          <w:r>
            <w:rPr>
              <w:rStyle w:val="Hyperlink"/>
            </w:rPr>
            <w:br/>
          </w:r>
          <w:r>
            <w:rPr>
              <w:rStyle w:val="Hyperlink"/>
            </w:rPr>
            <w:br/>
          </w:r>
          <w:r>
            <w:rPr>
              <w:rStyle w:val="Hyperlink"/>
            </w:rPr>
            <w:br/>
          </w:r>
          <w:r>
            <w:rPr>
              <w:rStyle w:val="Hyperlink"/>
            </w:rPr>
            <w:br/>
          </w:r>
          <w:r>
            <w:rPr>
              <w:rStyle w:val="Hyperlink"/>
            </w:rPr>
            <w:br/>
          </w:r>
          <w:r>
            <w:rPr>
              <w:rStyle w:val="Hyperlink"/>
            </w:rPr>
            <w:br/>
          </w:r>
          <w:r>
            <w:rPr>
              <w:rStyle w:val="Hyperlink"/>
            </w:rPr>
            <w:br/>
          </w:r>
          <w:r>
            <w:rPr>
              <w:rStyle w:val="Hyperlink"/>
            </w:rPr>
            <w:br/>
          </w:r>
          <w:r>
            <w:rPr>
              <w:rStyle w:val="Hyperlink"/>
            </w:rPr>
            <w:br/>
          </w:r>
          <w:hyperlink w:anchor="_Toc137726608" w:history="1">
            <w:r w:rsidRPr="00E45548">
              <w:rPr>
                <w:rStyle w:val="Hyperlink"/>
              </w:rPr>
              <w:t>3.</w:t>
            </w:r>
            <w:r>
              <w:rPr>
                <w:rFonts w:asciiTheme="minorHAnsi" w:eastAsiaTheme="minorEastAsia" w:hAnsiTheme="minorHAnsi" w:cstheme="minorBidi"/>
                <w:b w:val="0"/>
                <w:spacing w:val="0"/>
                <w:sz w:val="22"/>
                <w:szCs w:val="22"/>
              </w:rPr>
              <w:tab/>
            </w:r>
            <w:r w:rsidRPr="00E45548">
              <w:rPr>
                <w:rStyle w:val="Hyperlink"/>
              </w:rPr>
              <w:t>Allocation process</w:t>
            </w:r>
            <w:r>
              <w:rPr>
                <w:webHidden/>
              </w:rPr>
              <w:tab/>
            </w:r>
            <w:r>
              <w:rPr>
                <w:webHidden/>
              </w:rPr>
              <w:fldChar w:fldCharType="begin"/>
            </w:r>
            <w:r>
              <w:rPr>
                <w:webHidden/>
              </w:rPr>
              <w:instrText xml:space="preserve"> PAGEREF _Toc137726608 \h </w:instrText>
            </w:r>
            <w:r>
              <w:rPr>
                <w:webHidden/>
              </w:rPr>
            </w:r>
            <w:r>
              <w:rPr>
                <w:webHidden/>
              </w:rPr>
              <w:fldChar w:fldCharType="separate"/>
            </w:r>
            <w:r>
              <w:rPr>
                <w:webHidden/>
              </w:rPr>
              <w:t>17</w:t>
            </w:r>
            <w:r>
              <w:rPr>
                <w:webHidden/>
              </w:rPr>
              <w:fldChar w:fldCharType="end"/>
            </w:r>
          </w:hyperlink>
        </w:p>
        <w:p w14:paraId="1A1E7BF7" w14:textId="2F49A772" w:rsidR="00AC63A0" w:rsidRDefault="00000000">
          <w:pPr>
            <w:pStyle w:val="TOC2"/>
            <w:rPr>
              <w:rFonts w:asciiTheme="minorHAnsi" w:eastAsiaTheme="minorEastAsia" w:hAnsiTheme="minorHAnsi" w:cstheme="minorBidi"/>
              <w:spacing w:val="0"/>
              <w:sz w:val="22"/>
              <w:szCs w:val="22"/>
            </w:rPr>
          </w:pPr>
          <w:hyperlink w:anchor="_Toc137726609" w:history="1">
            <w:r w:rsidR="00AC63A0" w:rsidRPr="00E45548">
              <w:rPr>
                <w:rStyle w:val="Hyperlink"/>
              </w:rPr>
              <w:t>3.1</w:t>
            </w:r>
            <w:r w:rsidR="00AC63A0">
              <w:rPr>
                <w:rFonts w:asciiTheme="minorHAnsi" w:eastAsiaTheme="minorEastAsia" w:hAnsiTheme="minorHAnsi" w:cstheme="minorBidi"/>
                <w:spacing w:val="0"/>
                <w:sz w:val="22"/>
                <w:szCs w:val="22"/>
              </w:rPr>
              <w:tab/>
            </w:r>
            <w:r w:rsidR="00AC63A0" w:rsidRPr="00E45548">
              <w:rPr>
                <w:rStyle w:val="Hyperlink"/>
              </w:rPr>
              <w:t>Licence application</w:t>
            </w:r>
            <w:r w:rsidR="00AC63A0">
              <w:rPr>
                <w:webHidden/>
              </w:rPr>
              <w:tab/>
            </w:r>
            <w:r w:rsidR="00AC63A0">
              <w:rPr>
                <w:webHidden/>
              </w:rPr>
              <w:fldChar w:fldCharType="begin"/>
            </w:r>
            <w:r w:rsidR="00AC63A0">
              <w:rPr>
                <w:webHidden/>
              </w:rPr>
              <w:instrText xml:space="preserve"> PAGEREF _Toc137726609 \h </w:instrText>
            </w:r>
            <w:r w:rsidR="00AC63A0">
              <w:rPr>
                <w:webHidden/>
              </w:rPr>
            </w:r>
            <w:r w:rsidR="00AC63A0">
              <w:rPr>
                <w:webHidden/>
              </w:rPr>
              <w:fldChar w:fldCharType="separate"/>
            </w:r>
            <w:r w:rsidR="00AC63A0">
              <w:rPr>
                <w:webHidden/>
              </w:rPr>
              <w:t>17</w:t>
            </w:r>
            <w:r w:rsidR="00AC63A0">
              <w:rPr>
                <w:webHidden/>
              </w:rPr>
              <w:fldChar w:fldCharType="end"/>
            </w:r>
          </w:hyperlink>
        </w:p>
        <w:p w14:paraId="1E8677AB" w14:textId="29A54764" w:rsidR="00AC63A0" w:rsidRDefault="00000000">
          <w:pPr>
            <w:pStyle w:val="TOC3"/>
            <w:rPr>
              <w:rFonts w:asciiTheme="minorHAnsi" w:eastAsiaTheme="minorEastAsia" w:hAnsiTheme="minorHAnsi" w:cstheme="minorBidi"/>
            </w:rPr>
          </w:pPr>
          <w:hyperlink w:anchor="_Toc137726610" w:history="1">
            <w:r w:rsidR="00AC63A0" w:rsidRPr="00E45548">
              <w:rPr>
                <w:rStyle w:val="Hyperlink"/>
              </w:rPr>
              <w:t>Application form</w:t>
            </w:r>
            <w:r w:rsidR="00AC63A0">
              <w:rPr>
                <w:webHidden/>
              </w:rPr>
              <w:tab/>
            </w:r>
            <w:r w:rsidR="00AC63A0">
              <w:rPr>
                <w:webHidden/>
              </w:rPr>
              <w:fldChar w:fldCharType="begin"/>
            </w:r>
            <w:r w:rsidR="00AC63A0">
              <w:rPr>
                <w:webHidden/>
              </w:rPr>
              <w:instrText xml:space="preserve"> PAGEREF _Toc137726610 \h </w:instrText>
            </w:r>
            <w:r w:rsidR="00AC63A0">
              <w:rPr>
                <w:webHidden/>
              </w:rPr>
            </w:r>
            <w:r w:rsidR="00AC63A0">
              <w:rPr>
                <w:webHidden/>
              </w:rPr>
              <w:fldChar w:fldCharType="separate"/>
            </w:r>
            <w:r w:rsidR="00AC63A0">
              <w:rPr>
                <w:webHidden/>
              </w:rPr>
              <w:t>18</w:t>
            </w:r>
            <w:r w:rsidR="00AC63A0">
              <w:rPr>
                <w:webHidden/>
              </w:rPr>
              <w:fldChar w:fldCharType="end"/>
            </w:r>
          </w:hyperlink>
        </w:p>
        <w:p w14:paraId="27A992CB" w14:textId="66814309" w:rsidR="00AC63A0" w:rsidRDefault="00000000">
          <w:pPr>
            <w:pStyle w:val="TOC2"/>
            <w:rPr>
              <w:rFonts w:asciiTheme="minorHAnsi" w:eastAsiaTheme="minorEastAsia" w:hAnsiTheme="minorHAnsi" w:cstheme="minorBidi"/>
              <w:spacing w:val="0"/>
              <w:sz w:val="22"/>
              <w:szCs w:val="22"/>
            </w:rPr>
          </w:pPr>
          <w:hyperlink w:anchor="_Toc137726611" w:history="1">
            <w:r w:rsidR="00AC63A0" w:rsidRPr="00E45548">
              <w:rPr>
                <w:rStyle w:val="Hyperlink"/>
              </w:rPr>
              <w:t>3.2</w:t>
            </w:r>
            <w:r w:rsidR="00AC63A0">
              <w:rPr>
                <w:rFonts w:asciiTheme="minorHAnsi" w:eastAsiaTheme="minorEastAsia" w:hAnsiTheme="minorHAnsi" w:cstheme="minorBidi"/>
                <w:spacing w:val="0"/>
                <w:sz w:val="22"/>
                <w:szCs w:val="22"/>
              </w:rPr>
              <w:tab/>
            </w:r>
            <w:r w:rsidR="00AC63A0" w:rsidRPr="00E45548">
              <w:rPr>
                <w:rStyle w:val="Hyperlink"/>
              </w:rPr>
              <w:t xml:space="preserve">Minimum and maximum amount of spectrum and </w:t>
            </w:r>
            <w:r w:rsidR="00AC63A0">
              <w:rPr>
                <w:rStyle w:val="Hyperlink"/>
              </w:rPr>
              <w:br/>
            </w:r>
            <w:r w:rsidR="00AC63A0" w:rsidRPr="00E45548">
              <w:rPr>
                <w:rStyle w:val="Hyperlink"/>
              </w:rPr>
              <w:t>geographic area</w:t>
            </w:r>
            <w:r w:rsidR="00AC63A0">
              <w:rPr>
                <w:webHidden/>
              </w:rPr>
              <w:tab/>
            </w:r>
            <w:r w:rsidR="00AC63A0">
              <w:rPr>
                <w:webHidden/>
              </w:rPr>
              <w:fldChar w:fldCharType="begin"/>
            </w:r>
            <w:r w:rsidR="00AC63A0">
              <w:rPr>
                <w:webHidden/>
              </w:rPr>
              <w:instrText xml:space="preserve"> PAGEREF _Toc137726611 \h </w:instrText>
            </w:r>
            <w:r w:rsidR="00AC63A0">
              <w:rPr>
                <w:webHidden/>
              </w:rPr>
            </w:r>
            <w:r w:rsidR="00AC63A0">
              <w:rPr>
                <w:webHidden/>
              </w:rPr>
              <w:fldChar w:fldCharType="separate"/>
            </w:r>
            <w:r w:rsidR="00AC63A0">
              <w:rPr>
                <w:webHidden/>
              </w:rPr>
              <w:t>19</w:t>
            </w:r>
            <w:r w:rsidR="00AC63A0">
              <w:rPr>
                <w:webHidden/>
              </w:rPr>
              <w:fldChar w:fldCharType="end"/>
            </w:r>
          </w:hyperlink>
        </w:p>
        <w:p w14:paraId="2F714E03" w14:textId="2587349C" w:rsidR="00AC63A0" w:rsidRDefault="00000000">
          <w:pPr>
            <w:pStyle w:val="TOC2"/>
            <w:rPr>
              <w:rFonts w:asciiTheme="minorHAnsi" w:eastAsiaTheme="minorEastAsia" w:hAnsiTheme="minorHAnsi" w:cstheme="minorBidi"/>
              <w:spacing w:val="0"/>
              <w:sz w:val="22"/>
              <w:szCs w:val="22"/>
            </w:rPr>
          </w:pPr>
          <w:hyperlink w:anchor="_Toc137726612" w:history="1">
            <w:r w:rsidR="00AC63A0" w:rsidRPr="00E45548">
              <w:rPr>
                <w:rStyle w:val="Hyperlink"/>
              </w:rPr>
              <w:t>3.3</w:t>
            </w:r>
            <w:r w:rsidR="00AC63A0">
              <w:rPr>
                <w:rFonts w:asciiTheme="minorHAnsi" w:eastAsiaTheme="minorEastAsia" w:hAnsiTheme="minorHAnsi" w:cstheme="minorBidi"/>
                <w:spacing w:val="0"/>
                <w:sz w:val="22"/>
                <w:szCs w:val="22"/>
              </w:rPr>
              <w:tab/>
            </w:r>
            <w:r w:rsidR="00AC63A0" w:rsidRPr="00E45548">
              <w:rPr>
                <w:rStyle w:val="Hyperlink"/>
              </w:rPr>
              <w:t>Allocation quantum</w:t>
            </w:r>
            <w:r w:rsidR="00AC63A0">
              <w:rPr>
                <w:webHidden/>
              </w:rPr>
              <w:tab/>
            </w:r>
            <w:r w:rsidR="00AC63A0">
              <w:rPr>
                <w:webHidden/>
              </w:rPr>
              <w:fldChar w:fldCharType="begin"/>
            </w:r>
            <w:r w:rsidR="00AC63A0">
              <w:rPr>
                <w:webHidden/>
              </w:rPr>
              <w:instrText xml:space="preserve"> PAGEREF _Toc137726612 \h </w:instrText>
            </w:r>
            <w:r w:rsidR="00AC63A0">
              <w:rPr>
                <w:webHidden/>
              </w:rPr>
            </w:r>
            <w:r w:rsidR="00AC63A0">
              <w:rPr>
                <w:webHidden/>
              </w:rPr>
              <w:fldChar w:fldCharType="separate"/>
            </w:r>
            <w:r w:rsidR="00AC63A0">
              <w:rPr>
                <w:webHidden/>
              </w:rPr>
              <w:t>19</w:t>
            </w:r>
            <w:r w:rsidR="00AC63A0">
              <w:rPr>
                <w:webHidden/>
              </w:rPr>
              <w:fldChar w:fldCharType="end"/>
            </w:r>
          </w:hyperlink>
        </w:p>
        <w:p w14:paraId="28CAA1E2" w14:textId="20DA0B93" w:rsidR="00AC63A0" w:rsidRDefault="00000000">
          <w:pPr>
            <w:pStyle w:val="TOC2"/>
            <w:rPr>
              <w:rFonts w:asciiTheme="minorHAnsi" w:eastAsiaTheme="minorEastAsia" w:hAnsiTheme="minorHAnsi" w:cstheme="minorBidi"/>
              <w:spacing w:val="0"/>
              <w:sz w:val="22"/>
              <w:szCs w:val="22"/>
            </w:rPr>
          </w:pPr>
          <w:hyperlink w:anchor="_Toc137726613" w:history="1">
            <w:r w:rsidR="00AC63A0" w:rsidRPr="00E45548">
              <w:rPr>
                <w:rStyle w:val="Hyperlink"/>
              </w:rPr>
              <w:t>3.4</w:t>
            </w:r>
            <w:r w:rsidR="00AC63A0">
              <w:rPr>
                <w:rFonts w:asciiTheme="minorHAnsi" w:eastAsiaTheme="minorEastAsia" w:hAnsiTheme="minorHAnsi" w:cstheme="minorBidi"/>
                <w:spacing w:val="0"/>
                <w:sz w:val="22"/>
                <w:szCs w:val="22"/>
              </w:rPr>
              <w:tab/>
            </w:r>
            <w:r w:rsidR="00AC63A0" w:rsidRPr="00E45548">
              <w:rPr>
                <w:rStyle w:val="Hyperlink"/>
              </w:rPr>
              <w:t>Allocation principles</w:t>
            </w:r>
            <w:r w:rsidR="00AC63A0">
              <w:rPr>
                <w:webHidden/>
              </w:rPr>
              <w:tab/>
            </w:r>
            <w:r w:rsidR="00AC63A0">
              <w:rPr>
                <w:webHidden/>
              </w:rPr>
              <w:fldChar w:fldCharType="begin"/>
            </w:r>
            <w:r w:rsidR="00AC63A0">
              <w:rPr>
                <w:webHidden/>
              </w:rPr>
              <w:instrText xml:space="preserve"> PAGEREF _Toc137726613 \h </w:instrText>
            </w:r>
            <w:r w:rsidR="00AC63A0">
              <w:rPr>
                <w:webHidden/>
              </w:rPr>
            </w:r>
            <w:r w:rsidR="00AC63A0">
              <w:rPr>
                <w:webHidden/>
              </w:rPr>
              <w:fldChar w:fldCharType="separate"/>
            </w:r>
            <w:r w:rsidR="00AC63A0">
              <w:rPr>
                <w:webHidden/>
              </w:rPr>
              <w:t>20</w:t>
            </w:r>
            <w:r w:rsidR="00AC63A0">
              <w:rPr>
                <w:webHidden/>
              </w:rPr>
              <w:fldChar w:fldCharType="end"/>
            </w:r>
          </w:hyperlink>
        </w:p>
        <w:p w14:paraId="00B117F3" w14:textId="065F5294" w:rsidR="00AC63A0" w:rsidRDefault="00000000">
          <w:pPr>
            <w:pStyle w:val="TOC1"/>
            <w:tabs>
              <w:tab w:val="left" w:pos="885"/>
            </w:tabs>
            <w:rPr>
              <w:rFonts w:asciiTheme="minorHAnsi" w:eastAsiaTheme="minorEastAsia" w:hAnsiTheme="minorHAnsi" w:cstheme="minorBidi"/>
              <w:b w:val="0"/>
              <w:spacing w:val="0"/>
              <w:sz w:val="22"/>
              <w:szCs w:val="22"/>
            </w:rPr>
          </w:pPr>
          <w:hyperlink w:anchor="_Toc137726614" w:history="1">
            <w:r w:rsidR="00AC63A0" w:rsidRPr="00E45548">
              <w:rPr>
                <w:rStyle w:val="Hyperlink"/>
              </w:rPr>
              <w:t>4.</w:t>
            </w:r>
            <w:r w:rsidR="00AC63A0">
              <w:rPr>
                <w:rFonts w:asciiTheme="minorHAnsi" w:eastAsiaTheme="minorEastAsia" w:hAnsiTheme="minorHAnsi" w:cstheme="minorBidi"/>
                <w:b w:val="0"/>
                <w:spacing w:val="0"/>
                <w:sz w:val="22"/>
                <w:szCs w:val="22"/>
              </w:rPr>
              <w:tab/>
            </w:r>
            <w:r w:rsidR="00AC63A0" w:rsidRPr="00E45548">
              <w:rPr>
                <w:rStyle w:val="Hyperlink"/>
              </w:rPr>
              <w:t>Other considerations</w:t>
            </w:r>
            <w:r w:rsidR="00AC63A0">
              <w:rPr>
                <w:webHidden/>
              </w:rPr>
              <w:tab/>
            </w:r>
            <w:r w:rsidR="00AC63A0">
              <w:rPr>
                <w:webHidden/>
              </w:rPr>
              <w:fldChar w:fldCharType="begin"/>
            </w:r>
            <w:r w:rsidR="00AC63A0">
              <w:rPr>
                <w:webHidden/>
              </w:rPr>
              <w:instrText xml:space="preserve"> PAGEREF _Toc137726614 \h </w:instrText>
            </w:r>
            <w:r w:rsidR="00AC63A0">
              <w:rPr>
                <w:webHidden/>
              </w:rPr>
            </w:r>
            <w:r w:rsidR="00AC63A0">
              <w:rPr>
                <w:webHidden/>
              </w:rPr>
              <w:fldChar w:fldCharType="separate"/>
            </w:r>
            <w:r w:rsidR="00AC63A0">
              <w:rPr>
                <w:webHidden/>
              </w:rPr>
              <w:t>21</w:t>
            </w:r>
            <w:r w:rsidR="00AC63A0">
              <w:rPr>
                <w:webHidden/>
              </w:rPr>
              <w:fldChar w:fldCharType="end"/>
            </w:r>
          </w:hyperlink>
        </w:p>
        <w:p w14:paraId="36F38510" w14:textId="24F06546" w:rsidR="00101D0B" w:rsidRPr="00F64571" w:rsidRDefault="00101D0B" w:rsidP="00F64571">
          <w:pPr>
            <w:pStyle w:val="TOC1"/>
            <w:rPr>
              <w:rFonts w:asciiTheme="minorHAnsi" w:eastAsiaTheme="minorEastAsia" w:hAnsiTheme="minorHAnsi" w:cstheme="minorBidi"/>
              <w:b w:val="0"/>
              <w:spacing w:val="0"/>
              <w:sz w:val="22"/>
              <w:szCs w:val="22"/>
            </w:rPr>
          </w:pPr>
          <w:r>
            <w:rPr>
              <w:b w:val="0"/>
            </w:rPr>
            <w:fldChar w:fldCharType="end"/>
          </w:r>
        </w:p>
      </w:sdtContent>
    </w:sdt>
    <w:p w14:paraId="0E85FE68" w14:textId="77777777" w:rsidR="00EA1CEC" w:rsidRDefault="00EA1CEC">
      <w:pPr>
        <w:spacing w:after="0" w:line="240" w:lineRule="auto"/>
        <w:rPr>
          <w:rFonts w:cs="Arial"/>
          <w:bCs/>
          <w:color w:val="323232"/>
          <w:kern w:val="32"/>
          <w:sz w:val="53"/>
          <w:szCs w:val="32"/>
        </w:rPr>
      </w:pPr>
      <w:r>
        <w:br w:type="page"/>
      </w:r>
    </w:p>
    <w:p w14:paraId="02941FB4" w14:textId="0B8112F0" w:rsidR="00872BC5" w:rsidRDefault="006C614B" w:rsidP="00AB78D7">
      <w:pPr>
        <w:pStyle w:val="Heading1"/>
      </w:pPr>
      <w:bookmarkStart w:id="0" w:name="_Toc137726585"/>
      <w:r>
        <w:t>Introduction</w:t>
      </w:r>
      <w:bookmarkEnd w:id="0"/>
    </w:p>
    <w:p w14:paraId="07C83AA0" w14:textId="4BAC3BB6" w:rsidR="001C1CDB" w:rsidRDefault="001C1CDB" w:rsidP="001C1CDB">
      <w:pPr>
        <w:pStyle w:val="Paragraph"/>
      </w:pPr>
      <w:r w:rsidRPr="006A79FA">
        <w:rPr>
          <w:color w:val="000000"/>
        </w:rPr>
        <w:t xml:space="preserve">The Australian Communications and Media Authority </w:t>
      </w:r>
      <w:r>
        <w:rPr>
          <w:color w:val="000000"/>
        </w:rPr>
        <w:t xml:space="preserve">(ACMA) </w:t>
      </w:r>
      <w:r w:rsidRPr="006A79FA">
        <w:t xml:space="preserve">is </w:t>
      </w:r>
      <w:r w:rsidR="008F13C0">
        <w:t>calling for applications for</w:t>
      </w:r>
      <w:r w:rsidR="008F13C0" w:rsidRPr="006A79FA">
        <w:t xml:space="preserve"> </w:t>
      </w:r>
      <w:r w:rsidRPr="006A79FA">
        <w:t>apparatus lice</w:t>
      </w:r>
      <w:r>
        <w:t>nces</w:t>
      </w:r>
      <w:r w:rsidRPr="006A79FA">
        <w:t xml:space="preserve"> in </w:t>
      </w:r>
      <w:r w:rsidRPr="00305F87">
        <w:rPr>
          <w:color w:val="000000"/>
        </w:rPr>
        <w:t xml:space="preserve">the </w:t>
      </w:r>
      <w:r w:rsidR="00D62060">
        <w:rPr>
          <w:color w:val="000000"/>
        </w:rPr>
        <w:t>3.4–4.0 GHz</w:t>
      </w:r>
      <w:r w:rsidRPr="00305F87">
        <w:rPr>
          <w:color w:val="000000"/>
        </w:rPr>
        <w:t xml:space="preserve"> band in remote </w:t>
      </w:r>
      <w:r>
        <w:rPr>
          <w:color w:val="000000"/>
        </w:rPr>
        <w:t xml:space="preserve">areas of </w:t>
      </w:r>
      <w:r w:rsidRPr="00E50064">
        <w:t>Australia</w:t>
      </w:r>
      <w:r w:rsidR="00DC0A66">
        <w:t xml:space="preserve">. These will </w:t>
      </w:r>
      <w:r w:rsidR="008F13C0">
        <w:t>be issued</w:t>
      </w:r>
      <w:r w:rsidRPr="00E50064">
        <w:t xml:space="preserve"> </w:t>
      </w:r>
      <w:r w:rsidR="00E94835">
        <w:t>through an administrative process</w:t>
      </w:r>
      <w:r w:rsidRPr="000A285E">
        <w:t xml:space="preserve">, </w:t>
      </w:r>
      <w:r w:rsidRPr="00476E87">
        <w:t>consistent with our general practice for apparatus licensing</w:t>
      </w:r>
      <w:r w:rsidRPr="00476E87">
        <w:rPr>
          <w:rFonts w:cs="Times New Roman"/>
        </w:rPr>
        <w:t>.</w:t>
      </w:r>
      <w:r>
        <w:t xml:space="preserve"> </w:t>
      </w:r>
    </w:p>
    <w:p w14:paraId="38AA7BF3" w14:textId="297B8DAF" w:rsidR="00E558F4" w:rsidRPr="00B6487C" w:rsidRDefault="00E558F4" w:rsidP="00E558F4">
      <w:pPr>
        <w:pStyle w:val="Paragraph"/>
      </w:pPr>
      <w:r w:rsidRPr="00B6487C">
        <w:t xml:space="preserve">This applicant information pack contains important information about allocating and issuing </w:t>
      </w:r>
      <w:r w:rsidR="00657DC2">
        <w:t xml:space="preserve">area-wide </w:t>
      </w:r>
      <w:r w:rsidRPr="00B6487C">
        <w:t xml:space="preserve">licences </w:t>
      </w:r>
      <w:r w:rsidR="00657DC2">
        <w:t xml:space="preserve">(AWLs) </w:t>
      </w:r>
      <w:r w:rsidRPr="00B6487C">
        <w:t>in the band</w:t>
      </w:r>
      <w:r>
        <w:t>, as well as how to make an application</w:t>
      </w:r>
      <w:r w:rsidRPr="00B6487C">
        <w:t xml:space="preserve">. </w:t>
      </w:r>
    </w:p>
    <w:p w14:paraId="7F61F97B" w14:textId="77777777" w:rsidR="00E558F4" w:rsidRPr="005A31DC" w:rsidRDefault="00E558F4" w:rsidP="00E558F4">
      <w:pPr>
        <w:pStyle w:val="Paragraphbeforelist"/>
      </w:pPr>
      <w:r w:rsidRPr="00B6487C">
        <w:t xml:space="preserve">The </w:t>
      </w:r>
      <w:r w:rsidRPr="005A31DC">
        <w:t xml:space="preserve">pack contains: </w:t>
      </w:r>
    </w:p>
    <w:p w14:paraId="66859C6B" w14:textId="255BFCB1" w:rsidR="009B6DA0" w:rsidRDefault="009B6DA0" w:rsidP="003F12DA">
      <w:pPr>
        <w:pStyle w:val="ListBullet"/>
        <w:numPr>
          <w:ilvl w:val="0"/>
          <w:numId w:val="1"/>
        </w:numPr>
        <w:tabs>
          <w:tab w:val="clear" w:pos="295"/>
          <w:tab w:val="num" w:pos="317"/>
        </w:tabs>
        <w:spacing w:after="120"/>
      </w:pPr>
      <w:r>
        <w:t xml:space="preserve">a </w:t>
      </w:r>
      <w:r w:rsidR="00CB16B9">
        <w:t>s</w:t>
      </w:r>
      <w:r w:rsidR="0096586F">
        <w:t xml:space="preserve">ummary of planning arrangements </w:t>
      </w:r>
    </w:p>
    <w:p w14:paraId="0646C5A8" w14:textId="347EACE4" w:rsidR="00863B50" w:rsidRPr="00863B50" w:rsidRDefault="009B6DA0" w:rsidP="003F12DA">
      <w:pPr>
        <w:pStyle w:val="ListBullet"/>
        <w:numPr>
          <w:ilvl w:val="0"/>
          <w:numId w:val="1"/>
        </w:numPr>
        <w:tabs>
          <w:tab w:val="clear" w:pos="295"/>
          <w:tab w:val="num" w:pos="317"/>
        </w:tabs>
        <w:spacing w:after="120"/>
      </w:pPr>
      <w:r>
        <w:t xml:space="preserve">the </w:t>
      </w:r>
      <w:r w:rsidR="00FE18FC">
        <w:t xml:space="preserve">technical framework </w:t>
      </w:r>
      <w:r w:rsidR="001F7123">
        <w:t>applicable to AWLs in the band</w:t>
      </w:r>
    </w:p>
    <w:p w14:paraId="7412D3DD" w14:textId="7D2FE073" w:rsidR="00863B50" w:rsidRPr="005A31DC" w:rsidRDefault="00863B50" w:rsidP="003F12DA">
      <w:pPr>
        <w:pStyle w:val="ListBullet"/>
        <w:numPr>
          <w:ilvl w:val="0"/>
          <w:numId w:val="1"/>
        </w:numPr>
        <w:tabs>
          <w:tab w:val="clear" w:pos="295"/>
          <w:tab w:val="num" w:pos="306"/>
        </w:tabs>
        <w:spacing w:after="120"/>
      </w:pPr>
      <w:r>
        <w:t>available spectrum and geographic area</w:t>
      </w:r>
      <w:r w:rsidR="00A90801">
        <w:t>s</w:t>
      </w:r>
      <w:r>
        <w:t xml:space="preserve"> </w:t>
      </w:r>
    </w:p>
    <w:p w14:paraId="6B58C82D" w14:textId="77777777" w:rsidR="00A9515E" w:rsidRPr="000D1519" w:rsidRDefault="00A9515E" w:rsidP="00A9515E">
      <w:pPr>
        <w:pStyle w:val="Bulletlevel1last"/>
        <w:numPr>
          <w:ilvl w:val="0"/>
          <w:numId w:val="1"/>
        </w:numPr>
        <w:tabs>
          <w:tab w:val="clear" w:pos="295"/>
          <w:tab w:val="num" w:pos="306"/>
        </w:tabs>
        <w:spacing w:after="120"/>
      </w:pPr>
      <w:r w:rsidRPr="000D1519">
        <w:t>pricing arrangements</w:t>
      </w:r>
    </w:p>
    <w:p w14:paraId="6C8DA850" w14:textId="086BE31B" w:rsidR="00E558F4" w:rsidRPr="000D1519" w:rsidRDefault="007418D9" w:rsidP="003F12DA">
      <w:pPr>
        <w:pStyle w:val="ListBullet"/>
        <w:numPr>
          <w:ilvl w:val="0"/>
          <w:numId w:val="1"/>
        </w:numPr>
        <w:tabs>
          <w:tab w:val="clear" w:pos="295"/>
          <w:tab w:val="num" w:pos="306"/>
        </w:tabs>
        <w:spacing w:after="120"/>
      </w:pPr>
      <w:r>
        <w:t xml:space="preserve">allocation policy, including </w:t>
      </w:r>
      <w:r w:rsidR="00F37DE0">
        <w:t xml:space="preserve">eligibility and </w:t>
      </w:r>
      <w:r w:rsidR="001F7123">
        <w:t xml:space="preserve">an </w:t>
      </w:r>
      <w:r w:rsidR="00F37DE0">
        <w:t xml:space="preserve">allocation quantum </w:t>
      </w:r>
      <w:r w:rsidR="001F7123">
        <w:t>policy</w:t>
      </w:r>
    </w:p>
    <w:p w14:paraId="05B29B41" w14:textId="1F3E19B0" w:rsidR="00CB16B9" w:rsidRPr="00A9515E" w:rsidRDefault="00CB16B9" w:rsidP="003F12DA">
      <w:pPr>
        <w:pStyle w:val="Bulletlevel1last"/>
        <w:numPr>
          <w:ilvl w:val="0"/>
          <w:numId w:val="1"/>
        </w:numPr>
        <w:spacing w:after="120"/>
        <w:rPr>
          <w:b/>
          <w:vanish/>
        </w:rPr>
      </w:pPr>
      <w:r w:rsidRPr="000D1519">
        <w:t>the allocation process for AWLs</w:t>
      </w:r>
      <w:r>
        <w:t xml:space="preserve">, including </w:t>
      </w:r>
      <w:r w:rsidR="001F7123">
        <w:t xml:space="preserve">expected </w:t>
      </w:r>
      <w:r>
        <w:t>timeframes</w:t>
      </w:r>
      <w:r w:rsidR="008A4FE0">
        <w:t>.</w:t>
      </w:r>
    </w:p>
    <w:p w14:paraId="5F8BCD11" w14:textId="17B970D2" w:rsidR="00FA7031" w:rsidRDefault="00FA7031" w:rsidP="003F12DA">
      <w:pPr>
        <w:pStyle w:val="Paragraph"/>
        <w:spacing w:before="240"/>
      </w:pPr>
      <w:r w:rsidRPr="00A11367">
        <w:t xml:space="preserve">The planning, allocation and licensing arrangements </w:t>
      </w:r>
      <w:r>
        <w:t xml:space="preserve">described in the pack </w:t>
      </w:r>
      <w:r w:rsidRPr="00A11367">
        <w:t xml:space="preserve">are </w:t>
      </w:r>
      <w:r w:rsidR="00C05B93">
        <w:t>designed</w:t>
      </w:r>
      <w:r w:rsidR="00C05B93" w:rsidRPr="00A11367">
        <w:t xml:space="preserve"> </w:t>
      </w:r>
      <w:r w:rsidRPr="00A11367">
        <w:t xml:space="preserve">to </w:t>
      </w:r>
      <w:r w:rsidR="00984128">
        <w:t>facilitate</w:t>
      </w:r>
      <w:r w:rsidR="00984128" w:rsidRPr="00A11367">
        <w:t xml:space="preserve"> </w:t>
      </w:r>
      <w:r w:rsidRPr="00A11367">
        <w:t xml:space="preserve">competition between different spectrum uses </w:t>
      </w:r>
      <w:r w:rsidR="00C05B93">
        <w:t>and users</w:t>
      </w:r>
      <w:r w:rsidR="00503E35">
        <w:t>,</w:t>
      </w:r>
      <w:r w:rsidR="00C05B93">
        <w:t xml:space="preserve"> </w:t>
      </w:r>
      <w:r w:rsidRPr="00A11367">
        <w:t xml:space="preserve">and </w:t>
      </w:r>
      <w:r w:rsidR="00C05B93">
        <w:t xml:space="preserve">to </w:t>
      </w:r>
      <w:r w:rsidRPr="00A11367">
        <w:t>provide an opportunity for new entrants in the band</w:t>
      </w:r>
      <w:r>
        <w:t xml:space="preserve">. </w:t>
      </w:r>
    </w:p>
    <w:p w14:paraId="0F9D67B5" w14:textId="68BAF7E7" w:rsidR="00CD6C25" w:rsidRDefault="00E558F4" w:rsidP="00F055FD">
      <w:pPr>
        <w:pStyle w:val="Paragraphbeforelist"/>
      </w:pPr>
      <w:r w:rsidRPr="00761FE4">
        <w:t>The</w:t>
      </w:r>
      <w:r w:rsidR="00F3062F">
        <w:t xml:space="preserve"> </w:t>
      </w:r>
      <w:r w:rsidR="00070019">
        <w:t xml:space="preserve">allocation and issue </w:t>
      </w:r>
      <w:r w:rsidR="00F3062F">
        <w:t>of</w:t>
      </w:r>
      <w:r w:rsidR="009B0634">
        <w:t xml:space="preserve"> AWLs</w:t>
      </w:r>
      <w:r w:rsidRPr="00761FE4">
        <w:t xml:space="preserve"> </w:t>
      </w:r>
      <w:r w:rsidR="00070019">
        <w:t xml:space="preserve">in </w:t>
      </w:r>
      <w:r w:rsidR="00070019" w:rsidRPr="00305F87">
        <w:rPr>
          <w:color w:val="000000"/>
        </w:rPr>
        <w:t xml:space="preserve">the </w:t>
      </w:r>
      <w:r w:rsidR="00070019">
        <w:rPr>
          <w:color w:val="000000"/>
        </w:rPr>
        <w:t>3.4–4.0 GHz</w:t>
      </w:r>
      <w:r w:rsidR="00070019" w:rsidRPr="00305F87">
        <w:rPr>
          <w:color w:val="000000"/>
        </w:rPr>
        <w:t xml:space="preserve"> band </w:t>
      </w:r>
      <w:r w:rsidR="009B0634">
        <w:t>in</w:t>
      </w:r>
      <w:r w:rsidRPr="00761FE4">
        <w:t xml:space="preserve"> </w:t>
      </w:r>
      <w:r w:rsidR="009B0634">
        <w:t xml:space="preserve">remote areas </w:t>
      </w:r>
      <w:r w:rsidR="00F3062F">
        <w:t>is</w:t>
      </w:r>
      <w:r w:rsidR="00F3062F" w:rsidRPr="00761FE4">
        <w:t xml:space="preserve"> </w:t>
      </w:r>
      <w:r w:rsidRPr="00761FE4">
        <w:t>part of a broader </w:t>
      </w:r>
      <w:hyperlink r:id="rId19" w:history="1">
        <w:r w:rsidR="00F3062F" w:rsidRPr="00D9618B">
          <w:rPr>
            <w:rStyle w:val="Hyperlink"/>
          </w:rPr>
          <w:t>allocation program</w:t>
        </w:r>
      </w:hyperlink>
      <w:r w:rsidR="00F3062F">
        <w:t xml:space="preserve"> which includes</w:t>
      </w:r>
      <w:r w:rsidR="00CD6C25">
        <w:t>:</w:t>
      </w:r>
    </w:p>
    <w:p w14:paraId="3055A706" w14:textId="038CBD87" w:rsidR="00CD6C25" w:rsidRDefault="00CD6C25" w:rsidP="00A03484">
      <w:pPr>
        <w:pStyle w:val="Bulletlevel1"/>
      </w:pPr>
      <w:r>
        <w:t xml:space="preserve">the auction of spectrum licences in the 3.4 GHz and 3.7 GHz bands </w:t>
      </w:r>
      <w:r w:rsidR="00115CBE">
        <w:t xml:space="preserve">in metropolitan and regional areas </w:t>
      </w:r>
      <w:r>
        <w:t>(Q4 2023)</w:t>
      </w:r>
    </w:p>
    <w:p w14:paraId="77A61D1C" w14:textId="4EC22961" w:rsidR="00CD6C25" w:rsidRDefault="00CD6C25" w:rsidP="00A03484">
      <w:pPr>
        <w:pStyle w:val="Bulletlevel1"/>
      </w:pPr>
      <w:r>
        <w:t xml:space="preserve">the administrative allocation of AWLs (Q1 2024) </w:t>
      </w:r>
    </w:p>
    <w:p w14:paraId="3734FF47" w14:textId="12E0F65D" w:rsidR="00CD6C25" w:rsidRDefault="00F60BDD" w:rsidP="00464890">
      <w:pPr>
        <w:pStyle w:val="Bulletlevel2"/>
      </w:pPr>
      <w:r>
        <w:t xml:space="preserve">in </w:t>
      </w:r>
      <w:r w:rsidR="00070019">
        <w:t xml:space="preserve">the </w:t>
      </w:r>
      <w:r w:rsidR="00CD6C25">
        <w:t>3800</w:t>
      </w:r>
      <w:r w:rsidR="00B54635">
        <w:t>–</w:t>
      </w:r>
      <w:r w:rsidR="00CD6C25">
        <w:t xml:space="preserve">3950 MHz band in metropolitan and immediate </w:t>
      </w:r>
      <w:r w:rsidR="00B54635">
        <w:br/>
      </w:r>
      <w:r w:rsidR="00CD6C25">
        <w:t>surrounding areas</w:t>
      </w:r>
    </w:p>
    <w:p w14:paraId="5D971ECC" w14:textId="78997DEA" w:rsidR="002F4C60" w:rsidRDefault="00F60BDD" w:rsidP="00D062A3">
      <w:pPr>
        <w:pStyle w:val="Bulletlevel2last"/>
      </w:pPr>
      <w:r>
        <w:t xml:space="preserve">in </w:t>
      </w:r>
      <w:r w:rsidR="00070019">
        <w:t xml:space="preserve">the </w:t>
      </w:r>
      <w:r w:rsidR="002F4C60">
        <w:t>3750</w:t>
      </w:r>
      <w:r w:rsidR="00B54635">
        <w:t>–</w:t>
      </w:r>
      <w:r w:rsidR="002F4C60">
        <w:t>3950 MHz in other regional areas</w:t>
      </w:r>
    </w:p>
    <w:p w14:paraId="4391399C" w14:textId="43353833" w:rsidR="00115CBE" w:rsidRDefault="00170808" w:rsidP="00A03484">
      <w:pPr>
        <w:pStyle w:val="Bulletlevel1"/>
      </w:pPr>
      <w:r>
        <w:t xml:space="preserve">the </w:t>
      </w:r>
      <w:r w:rsidR="00AF5074">
        <w:t xml:space="preserve">allocation of </w:t>
      </w:r>
      <w:r w:rsidR="00912F99">
        <w:t xml:space="preserve">apparatus licences (timing to be determined) </w:t>
      </w:r>
    </w:p>
    <w:p w14:paraId="1838FF07" w14:textId="567FD562" w:rsidR="00F60BDD" w:rsidRDefault="00F60BDD" w:rsidP="002918C8">
      <w:pPr>
        <w:pStyle w:val="Bulletlevel2"/>
      </w:pPr>
      <w:r>
        <w:t xml:space="preserve">in </w:t>
      </w:r>
      <w:r w:rsidR="00170808">
        <w:t xml:space="preserve">the </w:t>
      </w:r>
      <w:r>
        <w:t>3.95</w:t>
      </w:r>
      <w:r w:rsidR="00B54635">
        <w:t>–</w:t>
      </w:r>
      <w:r>
        <w:t>4.0 GHz band in regional and metropolitan areas</w:t>
      </w:r>
    </w:p>
    <w:p w14:paraId="124B70F9" w14:textId="60FC83F2" w:rsidR="0032383B" w:rsidRDefault="00F60BDD" w:rsidP="00D062A3">
      <w:pPr>
        <w:pStyle w:val="Bulletlevel2last"/>
      </w:pPr>
      <w:r>
        <w:t xml:space="preserve">in </w:t>
      </w:r>
      <w:r w:rsidR="00170808">
        <w:t xml:space="preserve">the </w:t>
      </w:r>
      <w:r>
        <w:t>3.4</w:t>
      </w:r>
      <w:r w:rsidR="00B54635">
        <w:t>–</w:t>
      </w:r>
      <w:r>
        <w:t>3.475 GHz</w:t>
      </w:r>
      <w:r w:rsidR="00D9618B">
        <w:t xml:space="preserve"> band in ‘urban excise </w:t>
      </w:r>
      <w:r w:rsidR="00170808">
        <w:t>areas’</w:t>
      </w:r>
      <w:r w:rsidR="00D9618B">
        <w:t xml:space="preserve">. </w:t>
      </w:r>
    </w:p>
    <w:p w14:paraId="57A762B4" w14:textId="45E838E4" w:rsidR="00DC459B" w:rsidRDefault="00DA11FC" w:rsidP="00D11147">
      <w:pPr>
        <w:pStyle w:val="Paragraph"/>
        <w:spacing w:after="0"/>
        <w:ind w:left="11"/>
      </w:pPr>
      <w:bookmarkStart w:id="1" w:name="_Context_for_this"/>
      <w:bookmarkEnd w:id="1"/>
      <w:r>
        <w:t>Information on the planning, licensing, allocating and pricing arrangements for other elements of the 3.4</w:t>
      </w:r>
      <w:r w:rsidR="00B54635">
        <w:t>–</w:t>
      </w:r>
      <w:r>
        <w:t>4</w:t>
      </w:r>
      <w:r w:rsidR="005F6FF1">
        <w:t>.0</w:t>
      </w:r>
      <w:r>
        <w:t xml:space="preserve"> GHz allocation program will be described in documents </w:t>
      </w:r>
      <w:r w:rsidR="00CF7652">
        <w:t xml:space="preserve">specific to those allocation activities. </w:t>
      </w:r>
    </w:p>
    <w:p w14:paraId="2EA726CC" w14:textId="3F6D4B44" w:rsidR="004F61C7" w:rsidRPr="00692A92" w:rsidRDefault="002055F3" w:rsidP="00DB7D11">
      <w:pPr>
        <w:pStyle w:val="Heading1"/>
        <w:numPr>
          <w:ilvl w:val="0"/>
          <w:numId w:val="32"/>
        </w:numPr>
      </w:pPr>
      <w:bookmarkStart w:id="2" w:name="_Toc137726586"/>
      <w:r>
        <w:t>Background</w:t>
      </w:r>
      <w:bookmarkEnd w:id="2"/>
    </w:p>
    <w:p w14:paraId="5C5EBE05" w14:textId="5EEDBBC1" w:rsidR="00B92F9D" w:rsidRDefault="00B92F9D" w:rsidP="00D11147">
      <w:pPr>
        <w:pStyle w:val="Paragraph"/>
        <w:ind w:left="11"/>
      </w:pPr>
      <w:r w:rsidRPr="002D72B7">
        <w:t>The 3</w:t>
      </w:r>
      <w:r w:rsidR="0032383B">
        <w:t>.</w:t>
      </w:r>
      <w:r w:rsidRPr="002D72B7">
        <w:t>4–4</w:t>
      </w:r>
      <w:r w:rsidR="0032383B">
        <w:t>.</w:t>
      </w:r>
      <w:r w:rsidR="00BC20B3">
        <w:t>0</w:t>
      </w:r>
      <w:r w:rsidRPr="002D72B7">
        <w:t xml:space="preserve"> </w:t>
      </w:r>
      <w:r w:rsidR="0032383B">
        <w:t>G</w:t>
      </w:r>
      <w:r w:rsidR="0032383B" w:rsidRPr="002D72B7">
        <w:t xml:space="preserve">Hz </w:t>
      </w:r>
      <w:r w:rsidRPr="002D72B7">
        <w:t>band is a key band for the delivery of wireless broadband (WBB) services globally</w:t>
      </w:r>
      <w:r w:rsidR="00CD1956">
        <w:t>, including</w:t>
      </w:r>
      <w:r w:rsidR="00603A69">
        <w:t xml:space="preserve"> for the use of</w:t>
      </w:r>
      <w:r w:rsidR="00CD1956">
        <w:t xml:space="preserve"> 5G</w:t>
      </w:r>
      <w:r w:rsidRPr="002D72B7">
        <w:t>. In Australia, the band is currently used by a mixture of services</w:t>
      </w:r>
      <w:r w:rsidR="00886D52">
        <w:t>, devices</w:t>
      </w:r>
      <w:r w:rsidRPr="002D72B7">
        <w:t xml:space="preserve"> and applications including point-to-point </w:t>
      </w:r>
      <w:r>
        <w:t xml:space="preserve">(PTP) links, point-to-multipoint (PMP) </w:t>
      </w:r>
      <w:r w:rsidR="000A308D">
        <w:t>services</w:t>
      </w:r>
      <w:r w:rsidRPr="002D72B7">
        <w:t xml:space="preserve">, coordinated fixed satellite service (FSS) earth </w:t>
      </w:r>
      <w:r w:rsidR="00665CC2">
        <w:t xml:space="preserve">receive </w:t>
      </w:r>
      <w:r w:rsidRPr="002D72B7">
        <w:t>stations, radiodetermination</w:t>
      </w:r>
      <w:r w:rsidR="00603A69">
        <w:t xml:space="preserve"> and</w:t>
      </w:r>
      <w:r w:rsidR="002969B4">
        <w:t xml:space="preserve"> amateur</w:t>
      </w:r>
      <w:r w:rsidRPr="002D72B7">
        <w:t xml:space="preserve"> </w:t>
      </w:r>
      <w:r w:rsidR="00603A69">
        <w:t xml:space="preserve">services, </w:t>
      </w:r>
      <w:r w:rsidRPr="002D72B7">
        <w:t>and various low power class licensed devices.</w:t>
      </w:r>
    </w:p>
    <w:p w14:paraId="69B769BE" w14:textId="08C45191" w:rsidR="00FA7031" w:rsidRDefault="0032383B" w:rsidP="009C16FC">
      <w:pPr>
        <w:pStyle w:val="Paragraph"/>
        <w:ind w:left="11"/>
      </w:pPr>
      <w:r>
        <w:t xml:space="preserve">As outlined in </w:t>
      </w:r>
      <w:r w:rsidRPr="0028234D">
        <w:t xml:space="preserve">our </w:t>
      </w:r>
      <w:hyperlink r:id="rId20" w:history="1">
        <w:r w:rsidR="00313BDA" w:rsidRPr="00BF114E">
          <w:rPr>
            <w:rStyle w:val="Hyperlink"/>
            <w:i/>
            <w:iCs/>
          </w:rPr>
          <w:t>Five-year spectrum outlook 2021–26</w:t>
        </w:r>
      </w:hyperlink>
      <w:r w:rsidRPr="0028234D">
        <w:rPr>
          <w:i/>
          <w:iCs/>
        </w:rPr>
        <w:t xml:space="preserve"> </w:t>
      </w:r>
      <w:r w:rsidRPr="00241476">
        <w:t>(</w:t>
      </w:r>
      <w:r w:rsidR="00BF114E" w:rsidRPr="00241476">
        <w:t>FYSO</w:t>
      </w:r>
      <w:r w:rsidRPr="00241476">
        <w:t xml:space="preserve">), </w:t>
      </w:r>
      <w:r w:rsidR="00F216C8">
        <w:t>we are</w:t>
      </w:r>
      <w:r>
        <w:t xml:space="preserve"> proposing to proceed with a staged approach to allocating spectrum across the 3.4–4.0 GHz </w:t>
      </w:r>
      <w:r w:rsidR="00006664">
        <w:t>band</w:t>
      </w:r>
      <w:r>
        <w:t xml:space="preserve">, beginning with the allocation of </w:t>
      </w:r>
      <w:r w:rsidR="00006664">
        <w:t>AWLs</w:t>
      </w:r>
      <w:r>
        <w:t xml:space="preserve"> in remote areas.</w:t>
      </w:r>
    </w:p>
    <w:p w14:paraId="5433EB9E" w14:textId="006E3F24" w:rsidR="00F216C8" w:rsidRDefault="001439CA" w:rsidP="009C16FC">
      <w:pPr>
        <w:pStyle w:val="Paragraph"/>
        <w:ind w:left="11"/>
      </w:pPr>
      <w:r w:rsidRPr="001439CA">
        <w:t>In August 2021</w:t>
      </w:r>
      <w:r w:rsidR="00F216C8">
        <w:t>, we</w:t>
      </w:r>
      <w:r w:rsidRPr="001439CA">
        <w:t xml:space="preserve"> </w:t>
      </w:r>
      <w:r w:rsidR="00BE005B">
        <w:t xml:space="preserve">consulted with </w:t>
      </w:r>
      <w:r w:rsidRPr="001439CA">
        <w:t xml:space="preserve"> the </w:t>
      </w:r>
      <w:r w:rsidR="000A699D" w:rsidRPr="000A699D">
        <w:t xml:space="preserve">Australian Competition and Consumer Commission (ACCC) </w:t>
      </w:r>
      <w:r w:rsidR="00D33818">
        <w:t xml:space="preserve">on </w:t>
      </w:r>
      <w:r w:rsidR="00D77954">
        <w:t xml:space="preserve">whether allocation limits should be imposed by the ACMA for the </w:t>
      </w:r>
      <w:r w:rsidRPr="001439CA">
        <w:t>remote 3.4</w:t>
      </w:r>
      <w:r w:rsidR="00F216C8">
        <w:t>–</w:t>
      </w:r>
      <w:r w:rsidRPr="001439CA">
        <w:t xml:space="preserve">4.0 GHz allocation. Following public consultation, the ACCC </w:t>
      </w:r>
      <w:r w:rsidR="006963BE">
        <w:t>provided advice</w:t>
      </w:r>
      <w:r w:rsidRPr="001439CA">
        <w:t xml:space="preserve"> in November 2021</w:t>
      </w:r>
      <w:r w:rsidR="006963BE">
        <w:t xml:space="preserve">. </w:t>
      </w:r>
    </w:p>
    <w:p w14:paraId="05CDFA04" w14:textId="4B2207E0" w:rsidR="001439CA" w:rsidRDefault="006963BE" w:rsidP="009C16FC">
      <w:pPr>
        <w:pStyle w:val="Paragraph"/>
        <w:ind w:left="11"/>
      </w:pPr>
      <w:r>
        <w:t xml:space="preserve">Further information on this process can be found on the </w:t>
      </w:r>
      <w:hyperlink r:id="rId21" w:history="1">
        <w:r w:rsidRPr="005B36B2">
          <w:rPr>
            <w:rStyle w:val="Hyperlink"/>
          </w:rPr>
          <w:t>ACCC website</w:t>
        </w:r>
      </w:hyperlink>
      <w:r w:rsidR="005B36B2">
        <w:t>.</w:t>
      </w:r>
      <w:r>
        <w:t xml:space="preserve"> </w:t>
      </w:r>
      <w:r w:rsidR="00F216C8">
        <w:t>We</w:t>
      </w:r>
      <w:r w:rsidR="00C017C6">
        <w:t xml:space="preserve"> considered the ACCC’s advice in developing the </w:t>
      </w:r>
      <w:r w:rsidR="00393A45">
        <w:t xml:space="preserve">proposed allocation </w:t>
      </w:r>
      <w:r w:rsidR="00C954C5">
        <w:t>framework for 3.4</w:t>
      </w:r>
      <w:r w:rsidR="00F216C8">
        <w:t>–</w:t>
      </w:r>
      <w:r w:rsidR="00C954C5">
        <w:t>4.0 GHz spectrum in remote areas</w:t>
      </w:r>
      <w:r w:rsidR="00F216C8">
        <w:t>,</w:t>
      </w:r>
      <w:r w:rsidR="00C954C5">
        <w:t xml:space="preserve"> which was subject to public consultation </w:t>
      </w:r>
      <w:r w:rsidR="008F2987">
        <w:t xml:space="preserve">from 2 March </w:t>
      </w:r>
      <w:r w:rsidR="00F216C8">
        <w:t>to</w:t>
      </w:r>
      <w:r w:rsidR="008F2987">
        <w:t xml:space="preserve"> 4 May 2022.</w:t>
      </w:r>
    </w:p>
    <w:p w14:paraId="1BAC9FAD" w14:textId="791DFC6D" w:rsidR="00515DA5" w:rsidRPr="001452C5" w:rsidRDefault="00515DA5" w:rsidP="00866B61">
      <w:pPr>
        <w:pStyle w:val="Heading2"/>
        <w:keepNext w:val="0"/>
        <w:numPr>
          <w:ilvl w:val="1"/>
          <w:numId w:val="32"/>
        </w:numPr>
      </w:pPr>
      <w:bookmarkStart w:id="3" w:name="_Toc137726587"/>
      <w:r>
        <w:t>Planning outcomes</w:t>
      </w:r>
      <w:bookmarkEnd w:id="3"/>
    </w:p>
    <w:p w14:paraId="2F4F0E5D" w14:textId="48416F3F" w:rsidR="00E26D67" w:rsidRDefault="00B92F9D" w:rsidP="00F055FD">
      <w:pPr>
        <w:pStyle w:val="Paragraphbeforelist"/>
      </w:pPr>
      <w:r w:rsidRPr="00885439">
        <w:rPr>
          <w:bCs/>
          <w:color w:val="000000" w:themeColor="text1"/>
          <w:szCs w:val="20"/>
        </w:rPr>
        <w:t xml:space="preserve">In </w:t>
      </w:r>
      <w:r>
        <w:rPr>
          <w:bCs/>
          <w:color w:val="000000" w:themeColor="text1"/>
          <w:szCs w:val="20"/>
        </w:rPr>
        <w:t>January 2021,</w:t>
      </w:r>
      <w:r w:rsidRPr="00885439">
        <w:rPr>
          <w:bCs/>
          <w:color w:val="000000" w:themeColor="text1"/>
          <w:szCs w:val="20"/>
        </w:rPr>
        <w:t xml:space="preserve"> </w:t>
      </w:r>
      <w:r w:rsidR="00F216C8">
        <w:rPr>
          <w:bCs/>
          <w:color w:val="000000" w:themeColor="text1"/>
          <w:szCs w:val="20"/>
        </w:rPr>
        <w:t xml:space="preserve">we </w:t>
      </w:r>
      <w:r w:rsidRPr="00885439">
        <w:rPr>
          <w:bCs/>
          <w:color w:val="000000" w:themeColor="text1"/>
          <w:szCs w:val="20"/>
        </w:rPr>
        <w:t xml:space="preserve">released the </w:t>
      </w:r>
      <w:hyperlink r:id="rId22" w:history="1">
        <w:r w:rsidR="0040451D">
          <w:rPr>
            <w:rStyle w:val="Hyperlink"/>
            <w:i/>
            <w:iCs/>
            <w:szCs w:val="20"/>
          </w:rPr>
          <w:t xml:space="preserve">Replanning the 3700–4200 MHz band </w:t>
        </w:r>
        <w:r w:rsidR="00AA2A9B">
          <w:rPr>
            <w:rStyle w:val="Hyperlink"/>
            <w:i/>
            <w:iCs/>
            <w:szCs w:val="20"/>
          </w:rPr>
          <w:t>–</w:t>
        </w:r>
        <w:r w:rsidR="0040451D">
          <w:rPr>
            <w:rStyle w:val="Hyperlink"/>
            <w:i/>
            <w:iCs/>
            <w:szCs w:val="20"/>
          </w:rPr>
          <w:t xml:space="preserve"> Outcomes paper</w:t>
        </w:r>
      </w:hyperlink>
      <w:r w:rsidRPr="00885439">
        <w:rPr>
          <w:bCs/>
          <w:color w:val="000000" w:themeColor="text1"/>
          <w:szCs w:val="20"/>
        </w:rPr>
        <w:t xml:space="preserve"> (the </w:t>
      </w:r>
      <w:r>
        <w:rPr>
          <w:bCs/>
          <w:color w:val="000000" w:themeColor="text1"/>
          <w:szCs w:val="20"/>
        </w:rPr>
        <w:t xml:space="preserve">2021 </w:t>
      </w:r>
      <w:r w:rsidR="00F216C8">
        <w:rPr>
          <w:bCs/>
          <w:color w:val="000000" w:themeColor="text1"/>
          <w:szCs w:val="20"/>
        </w:rPr>
        <w:t>o</w:t>
      </w:r>
      <w:r w:rsidRPr="00885439">
        <w:rPr>
          <w:bCs/>
          <w:color w:val="000000" w:themeColor="text1"/>
          <w:szCs w:val="20"/>
        </w:rPr>
        <w:t>utcomes paper).</w:t>
      </w:r>
      <w:r w:rsidRPr="00885439">
        <w:rPr>
          <w:b/>
          <w:color w:val="000000" w:themeColor="text1"/>
          <w:szCs w:val="20"/>
        </w:rPr>
        <w:t xml:space="preserve"> </w:t>
      </w:r>
      <w:r>
        <w:t>This paper</w:t>
      </w:r>
      <w:r w:rsidR="00E26D67">
        <w:t>:</w:t>
      </w:r>
    </w:p>
    <w:p w14:paraId="75981AC6" w14:textId="11559B7B" w:rsidR="00592233" w:rsidRDefault="00B92F9D" w:rsidP="00F93B2C">
      <w:pPr>
        <w:pStyle w:val="Bulletlevel1"/>
      </w:pPr>
      <w:r w:rsidRPr="00E26D67">
        <w:t xml:space="preserve">described the outcomes </w:t>
      </w:r>
      <w:r w:rsidR="00087DE9" w:rsidRPr="00E26D67">
        <w:t xml:space="preserve">of a public consultation on planning options for this band </w:t>
      </w:r>
    </w:p>
    <w:p w14:paraId="0F583DE2" w14:textId="1C3A7E20" w:rsidR="00592233" w:rsidRDefault="00087DE9" w:rsidP="00F93B2C">
      <w:pPr>
        <w:pStyle w:val="Bulletlevel1"/>
      </w:pPr>
      <w:r w:rsidRPr="00E26D67">
        <w:t>examined</w:t>
      </w:r>
      <w:r w:rsidR="0097148C" w:rsidRPr="00E26D67">
        <w:t xml:space="preserve"> possible</w:t>
      </w:r>
      <w:r w:rsidRPr="00E26D67">
        <w:t xml:space="preserve"> sharing and coexistence</w:t>
      </w:r>
      <w:r w:rsidR="0097148C" w:rsidRPr="00E26D67">
        <w:t xml:space="preserve"> arrangements </w:t>
      </w:r>
      <w:r w:rsidRPr="00E26D67">
        <w:t xml:space="preserve">for </w:t>
      </w:r>
      <w:r w:rsidR="0097148C" w:rsidRPr="00E26D67">
        <w:t>existing services</w:t>
      </w:r>
    </w:p>
    <w:p w14:paraId="39ACBB74" w14:textId="31760555" w:rsidR="00B92F9D" w:rsidRPr="00E26D67" w:rsidRDefault="00592233" w:rsidP="00F93B2C">
      <w:pPr>
        <w:pStyle w:val="Bulletlevel1last"/>
      </w:pPr>
      <w:r>
        <w:t>explained</w:t>
      </w:r>
      <w:r w:rsidR="00B92F9D" w:rsidRPr="00E26D67">
        <w:t xml:space="preserve"> preliminary views </w:t>
      </w:r>
      <w:r>
        <w:t>about</w:t>
      </w:r>
      <w:r w:rsidR="00B92F9D" w:rsidRPr="00E26D67">
        <w:t xml:space="preserve"> introduc</w:t>
      </w:r>
      <w:r>
        <w:t>ing</w:t>
      </w:r>
      <w:r w:rsidR="00B92F9D" w:rsidRPr="00E26D67">
        <w:t xml:space="preserve"> </w:t>
      </w:r>
      <w:r w:rsidR="00764A90">
        <w:t>WBB</w:t>
      </w:r>
      <w:r w:rsidR="00B92F9D" w:rsidRPr="00E26D67">
        <w:t xml:space="preserve"> services in the 3</w:t>
      </w:r>
      <w:r w:rsidR="00C275FA" w:rsidRPr="00E26D67">
        <w:t>.</w:t>
      </w:r>
      <w:r w:rsidR="00B92F9D" w:rsidRPr="00E26D67">
        <w:t>7</w:t>
      </w:r>
      <w:r w:rsidR="00C275FA" w:rsidRPr="002D72B7">
        <w:t>–</w:t>
      </w:r>
      <w:r w:rsidR="00B92F9D" w:rsidRPr="00E26D67">
        <w:t>4</w:t>
      </w:r>
      <w:r w:rsidR="00C275FA" w:rsidRPr="00E26D67">
        <w:t>.</w:t>
      </w:r>
      <w:r w:rsidR="00B92F9D" w:rsidRPr="00E26D67">
        <w:t>2</w:t>
      </w:r>
      <w:r w:rsidR="00C275FA" w:rsidRPr="00E26D67">
        <w:t xml:space="preserve"> G</w:t>
      </w:r>
      <w:r w:rsidR="00B92F9D" w:rsidRPr="00E26D67">
        <w:t xml:space="preserve">Hz band, using a combination of apparatus and spectrum </w:t>
      </w:r>
      <w:r>
        <w:t>licences.</w:t>
      </w:r>
      <w:r w:rsidR="00B92F9D" w:rsidRPr="00E26D67">
        <w:t xml:space="preserve"> </w:t>
      </w:r>
    </w:p>
    <w:p w14:paraId="32A031B9" w14:textId="41E41BF1" w:rsidR="00B92F9D" w:rsidRDefault="00B92F9D" w:rsidP="00D11147">
      <w:pPr>
        <w:ind w:left="11"/>
        <w:rPr>
          <w:szCs w:val="20"/>
        </w:rPr>
      </w:pPr>
      <w:r>
        <w:t>T</w:t>
      </w:r>
      <w:r w:rsidRPr="00197A32">
        <w:t>he</w:t>
      </w:r>
      <w:r w:rsidR="00886D52">
        <w:t xml:space="preserve"> 2021</w:t>
      </w:r>
      <w:r w:rsidRPr="00197A32">
        <w:t xml:space="preserve"> </w:t>
      </w:r>
      <w:r w:rsidR="00F216C8">
        <w:t>o</w:t>
      </w:r>
      <w:r w:rsidRPr="00197A32">
        <w:t xml:space="preserve">utcomes paper </w:t>
      </w:r>
      <w:r>
        <w:t>also stated that</w:t>
      </w:r>
      <w:r w:rsidRPr="00197A32">
        <w:t xml:space="preserve"> the ACMA would</w:t>
      </w:r>
      <w:r>
        <w:t>,</w:t>
      </w:r>
      <w:r w:rsidRPr="00197A32">
        <w:t xml:space="preserve"> </w:t>
      </w:r>
      <w:r>
        <w:t xml:space="preserve">as far as practical, extend or align frameworks and the timing of their development with similar </w:t>
      </w:r>
      <w:r w:rsidR="00B114F8">
        <w:t>arrangements</w:t>
      </w:r>
      <w:r>
        <w:t xml:space="preserve"> in the </w:t>
      </w:r>
      <w:r w:rsidR="006146AF">
        <w:t>3.4 GHz (</w:t>
      </w:r>
      <w:r>
        <w:t>3</w:t>
      </w:r>
      <w:r w:rsidR="00250F9C">
        <w:t>.</w:t>
      </w:r>
      <w:r>
        <w:t>4</w:t>
      </w:r>
      <w:r w:rsidR="0040451D">
        <w:t>–</w:t>
      </w:r>
      <w:r>
        <w:t>3</w:t>
      </w:r>
      <w:r w:rsidR="00250F9C">
        <w:t>.</w:t>
      </w:r>
      <w:r>
        <w:t xml:space="preserve">7 </w:t>
      </w:r>
      <w:r w:rsidR="00250F9C">
        <w:t>G</w:t>
      </w:r>
      <w:r>
        <w:t>Hz) band. T</w:t>
      </w:r>
      <w:r w:rsidRPr="00197A32">
        <w:rPr>
          <w:szCs w:val="20"/>
        </w:rPr>
        <w:t xml:space="preserve">he paper </w:t>
      </w:r>
      <w:hyperlink r:id="rId23" w:history="1">
        <w:r w:rsidR="0040451D">
          <w:rPr>
            <w:rStyle w:val="Hyperlink"/>
            <w:i/>
            <w:iCs/>
            <w:szCs w:val="20"/>
          </w:rPr>
          <w:t>Optimising arrangements for the 3400–3575 MHz band: Planning decisions and preliminary views</w:t>
        </w:r>
      </w:hyperlink>
      <w:r w:rsidRPr="00197A32">
        <w:rPr>
          <w:i/>
          <w:iCs/>
          <w:szCs w:val="20"/>
        </w:rPr>
        <w:t xml:space="preserve"> </w:t>
      </w:r>
      <w:r>
        <w:rPr>
          <w:szCs w:val="20"/>
        </w:rPr>
        <w:t xml:space="preserve">(the 2019 </w:t>
      </w:r>
      <w:r w:rsidR="00F216C8">
        <w:rPr>
          <w:szCs w:val="20"/>
        </w:rPr>
        <w:t>o</w:t>
      </w:r>
      <w:r>
        <w:rPr>
          <w:szCs w:val="20"/>
        </w:rPr>
        <w:t>utcomes paper) outline</w:t>
      </w:r>
      <w:r w:rsidR="00F216C8">
        <w:rPr>
          <w:szCs w:val="20"/>
        </w:rPr>
        <w:t>d</w:t>
      </w:r>
      <w:r>
        <w:rPr>
          <w:szCs w:val="20"/>
        </w:rPr>
        <w:t xml:space="preserve"> the planning outcomes for the 3.4 GHz band. </w:t>
      </w:r>
    </w:p>
    <w:p w14:paraId="46A06537" w14:textId="6B8CA2C8" w:rsidR="00B92F9D" w:rsidRDefault="00B92F9D" w:rsidP="00D11147">
      <w:pPr>
        <w:ind w:left="11"/>
      </w:pPr>
      <w:r w:rsidRPr="004860FD">
        <w:rPr>
          <w:rFonts w:cs="Arial"/>
          <w:szCs w:val="20"/>
        </w:rPr>
        <w:t xml:space="preserve">The planning arrangements </w:t>
      </w:r>
      <w:r w:rsidR="00C34576">
        <w:rPr>
          <w:rFonts w:cs="Arial"/>
          <w:szCs w:val="20"/>
        </w:rPr>
        <w:t xml:space="preserve">facilitate the </w:t>
      </w:r>
      <w:r w:rsidRPr="004860FD">
        <w:rPr>
          <w:rFonts w:cs="Arial"/>
          <w:szCs w:val="20"/>
        </w:rPr>
        <w:t>introduc</w:t>
      </w:r>
      <w:r w:rsidR="00C34576">
        <w:rPr>
          <w:rFonts w:cs="Arial"/>
          <w:szCs w:val="20"/>
        </w:rPr>
        <w:t>tion of</w:t>
      </w:r>
      <w:r w:rsidRPr="004860FD">
        <w:rPr>
          <w:rFonts w:cs="Arial"/>
          <w:szCs w:val="20"/>
        </w:rPr>
        <w:t xml:space="preserve"> WBB services to the band</w:t>
      </w:r>
      <w:r>
        <w:rPr>
          <w:rFonts w:cs="Arial"/>
          <w:szCs w:val="20"/>
        </w:rPr>
        <w:t xml:space="preserve">, </w:t>
      </w:r>
      <w:r w:rsidR="00C34576">
        <w:rPr>
          <w:rFonts w:cs="Arial"/>
          <w:szCs w:val="20"/>
        </w:rPr>
        <w:t xml:space="preserve">both </w:t>
      </w:r>
      <w:r w:rsidRPr="00533F71">
        <w:rPr>
          <w:rFonts w:cs="Arial"/>
          <w:szCs w:val="20"/>
        </w:rPr>
        <w:t xml:space="preserve">‘wide area’ </w:t>
      </w:r>
      <w:r w:rsidR="0078515A">
        <w:rPr>
          <w:rFonts w:cs="Arial"/>
          <w:szCs w:val="20"/>
        </w:rPr>
        <w:t>WBB</w:t>
      </w:r>
      <w:r w:rsidRPr="00533F71">
        <w:rPr>
          <w:rFonts w:cs="Arial"/>
          <w:szCs w:val="20"/>
        </w:rPr>
        <w:t xml:space="preserve"> (WA WBB</w:t>
      </w:r>
      <w:r>
        <w:rPr>
          <w:rFonts w:cs="Arial"/>
          <w:szCs w:val="20"/>
        </w:rPr>
        <w:t>)</w:t>
      </w:r>
      <w:r w:rsidRPr="00533F71">
        <w:rPr>
          <w:rFonts w:cs="Arial"/>
          <w:szCs w:val="20"/>
        </w:rPr>
        <w:t xml:space="preserve"> and </w:t>
      </w:r>
      <w:r w:rsidR="00AA2A9B">
        <w:rPr>
          <w:rFonts w:cs="Arial"/>
          <w:szCs w:val="20"/>
        </w:rPr>
        <w:t>‘</w:t>
      </w:r>
      <w:r w:rsidRPr="00533F71">
        <w:rPr>
          <w:rFonts w:cs="Arial"/>
          <w:szCs w:val="20"/>
        </w:rPr>
        <w:t>local area</w:t>
      </w:r>
      <w:r w:rsidR="00AA2A9B">
        <w:rPr>
          <w:rFonts w:cs="Arial"/>
          <w:szCs w:val="20"/>
        </w:rPr>
        <w:t>’</w:t>
      </w:r>
      <w:r w:rsidRPr="00533F71">
        <w:rPr>
          <w:rFonts w:cs="Arial"/>
          <w:szCs w:val="20"/>
        </w:rPr>
        <w:t xml:space="preserve"> </w:t>
      </w:r>
      <w:r w:rsidR="0078515A">
        <w:rPr>
          <w:rFonts w:cs="Arial"/>
          <w:szCs w:val="20"/>
        </w:rPr>
        <w:t>WBB</w:t>
      </w:r>
      <w:r w:rsidRPr="00533F71">
        <w:rPr>
          <w:rFonts w:cs="Arial"/>
          <w:szCs w:val="20"/>
        </w:rPr>
        <w:t xml:space="preserve"> (LA WBB</w:t>
      </w:r>
      <w:r>
        <w:rPr>
          <w:rFonts w:cs="Arial"/>
          <w:szCs w:val="20"/>
        </w:rPr>
        <w:t xml:space="preserve">). </w:t>
      </w:r>
      <w:r w:rsidRPr="00533F71">
        <w:rPr>
          <w:rFonts w:cs="Arial"/>
          <w:szCs w:val="20"/>
        </w:rPr>
        <w:t xml:space="preserve">WA WBB </w:t>
      </w:r>
      <w:r w:rsidRPr="00884E59">
        <w:t xml:space="preserve">services generally use network deployments over large, often contiguous, geographical areas, such as those traditionally undertaken by mobile network operators (MNOs) or some fixed telecommunication providers such as </w:t>
      </w:r>
      <w:r w:rsidRPr="00D232BC">
        <w:t>NBN Co</w:t>
      </w:r>
      <w:r w:rsidRPr="00533F71">
        <w:rPr>
          <w:rFonts w:cs="Arial"/>
          <w:szCs w:val="20"/>
        </w:rPr>
        <w:t>. LA WBB arrangements are intended</w:t>
      </w:r>
      <w:r>
        <w:t xml:space="preserve"> to facilitate deployments by wireless internet service providers (WISPs) as well as campus-style and private network deployments by industry vertical and enterprise users.</w:t>
      </w:r>
    </w:p>
    <w:p w14:paraId="4E975CC0" w14:textId="4202CC20" w:rsidR="00B92F9D" w:rsidRDefault="007D6A4D" w:rsidP="00F055FD">
      <w:pPr>
        <w:keepNext/>
        <w:keepLines/>
        <w:spacing w:after="80"/>
        <w:ind w:left="11"/>
        <w:rPr>
          <w:rFonts w:cs="Arial"/>
          <w:bCs/>
          <w:color w:val="000000" w:themeColor="text1"/>
          <w:szCs w:val="20"/>
        </w:rPr>
      </w:pPr>
      <w:r>
        <w:t>P</w:t>
      </w:r>
      <w:r w:rsidR="00B92F9D">
        <w:t xml:space="preserve">lanning arrangements for the development of LA WBB </w:t>
      </w:r>
      <w:r w:rsidR="00B92F9D">
        <w:rPr>
          <w:rFonts w:cs="Arial"/>
          <w:bCs/>
          <w:color w:val="000000" w:themeColor="text1"/>
          <w:szCs w:val="20"/>
        </w:rPr>
        <w:t>include</w:t>
      </w:r>
      <w:r w:rsidR="00F216C8">
        <w:rPr>
          <w:rFonts w:cs="Arial"/>
          <w:bCs/>
          <w:color w:val="000000" w:themeColor="text1"/>
          <w:szCs w:val="20"/>
        </w:rPr>
        <w:t>:</w:t>
      </w:r>
      <w:r w:rsidR="003A46FD">
        <w:rPr>
          <w:rStyle w:val="FootnoteReference"/>
          <w:rFonts w:cs="Arial"/>
          <w:bCs/>
          <w:color w:val="000000" w:themeColor="text1"/>
          <w:szCs w:val="20"/>
        </w:rPr>
        <w:footnoteReference w:id="2"/>
      </w:r>
    </w:p>
    <w:p w14:paraId="1FCE19D4" w14:textId="35D82E5D" w:rsidR="00B92F9D" w:rsidRPr="00D64FD0" w:rsidRDefault="00B92F9D" w:rsidP="00F055FD">
      <w:pPr>
        <w:pStyle w:val="ListBullet"/>
        <w:keepNext/>
        <w:keepLines/>
        <w:numPr>
          <w:ilvl w:val="0"/>
          <w:numId w:val="1"/>
        </w:numPr>
        <w:tabs>
          <w:tab w:val="clear" w:pos="295"/>
          <w:tab w:val="num" w:pos="306"/>
        </w:tabs>
        <w:ind w:left="306"/>
      </w:pPr>
      <w:r w:rsidRPr="00D64FD0">
        <w:t xml:space="preserve">Australia-wide, in the </w:t>
      </w:r>
      <w:r w:rsidRPr="00B42FF8">
        <w:t>3</w:t>
      </w:r>
      <w:r w:rsidR="003A46FD">
        <w:t>.</w:t>
      </w:r>
      <w:r w:rsidRPr="00B42FF8">
        <w:t>8–4</w:t>
      </w:r>
      <w:r w:rsidR="003A46FD">
        <w:t>.</w:t>
      </w:r>
      <w:r w:rsidRPr="00B42FF8">
        <w:t>0</w:t>
      </w:r>
      <w:r w:rsidRPr="00D64FD0">
        <w:t xml:space="preserve"> </w:t>
      </w:r>
      <w:r w:rsidR="003A46FD">
        <w:t>G</w:t>
      </w:r>
      <w:r w:rsidR="003A46FD" w:rsidRPr="00D64FD0">
        <w:t>Hz</w:t>
      </w:r>
      <w:r w:rsidR="003A46FD">
        <w:t xml:space="preserve"> </w:t>
      </w:r>
      <w:r>
        <w:t>frequency</w:t>
      </w:r>
      <w:r w:rsidRPr="00D64FD0">
        <w:t xml:space="preserve"> range, introducing arrangements to </w:t>
      </w:r>
      <w:r>
        <w:t>support</w:t>
      </w:r>
      <w:r w:rsidRPr="00D64FD0">
        <w:t xml:space="preserve"> LA WBB services </w:t>
      </w:r>
      <w:r>
        <w:t xml:space="preserve">on a shared basis </w:t>
      </w:r>
      <w:r w:rsidRPr="00D64FD0">
        <w:t xml:space="preserve">with </w:t>
      </w:r>
      <w:r>
        <w:t xml:space="preserve">existing </w:t>
      </w:r>
      <w:r w:rsidRPr="00D64FD0">
        <w:t>FSS and PTP services.</w:t>
      </w:r>
      <w:r w:rsidRPr="0006250C">
        <w:t xml:space="preserve"> </w:t>
      </w:r>
      <w:r>
        <w:t>New apparatus licences for FSS and PTP services would be issued on a coordinated, shared basis with LA WBB.</w:t>
      </w:r>
    </w:p>
    <w:p w14:paraId="40C198F5" w14:textId="7F4BF032" w:rsidR="00B92F9D" w:rsidRPr="00164E0A" w:rsidRDefault="00F216C8" w:rsidP="00F055FD">
      <w:pPr>
        <w:pStyle w:val="Bulletlevel1"/>
        <w:keepNext/>
        <w:keepLines/>
        <w:numPr>
          <w:ilvl w:val="0"/>
          <w:numId w:val="1"/>
        </w:numPr>
        <w:tabs>
          <w:tab w:val="clear" w:pos="295"/>
          <w:tab w:val="num" w:pos="306"/>
        </w:tabs>
        <w:ind w:left="306"/>
      </w:pPr>
      <w:r>
        <w:t>I</w:t>
      </w:r>
      <w:r w:rsidR="00B92F9D" w:rsidRPr="00D64FD0">
        <w:t>n remote areas in the 3</w:t>
      </w:r>
      <w:r w:rsidR="003A46FD">
        <w:t>.</w:t>
      </w:r>
      <w:r w:rsidR="00B92F9D" w:rsidRPr="00D64FD0">
        <w:t>7–</w:t>
      </w:r>
      <w:r w:rsidR="00B92F9D" w:rsidRPr="00B42FF8">
        <w:t>3</w:t>
      </w:r>
      <w:r w:rsidR="003A46FD">
        <w:t>.</w:t>
      </w:r>
      <w:r w:rsidR="00B92F9D" w:rsidRPr="00B42FF8">
        <w:t>8</w:t>
      </w:r>
      <w:r w:rsidR="00B92F9D" w:rsidRPr="00D64FD0">
        <w:t xml:space="preserve"> </w:t>
      </w:r>
      <w:r w:rsidR="003A46FD">
        <w:t>G</w:t>
      </w:r>
      <w:r w:rsidR="003A46FD" w:rsidRPr="00D64FD0">
        <w:t xml:space="preserve">Hz </w:t>
      </w:r>
      <w:r w:rsidR="00B92F9D" w:rsidRPr="00D64FD0">
        <w:t>range</w:t>
      </w:r>
      <w:r w:rsidR="00B92F9D">
        <w:t>, i</w:t>
      </w:r>
      <w:r w:rsidR="00B92F9D" w:rsidRPr="00D64FD0">
        <w:t xml:space="preserve">ntroducing apparatus licensing arrangements to </w:t>
      </w:r>
      <w:r w:rsidR="00B92F9D">
        <w:t>support</w:t>
      </w:r>
      <w:r w:rsidR="00B92F9D" w:rsidRPr="00D64FD0">
        <w:t xml:space="preserve"> LA WBB services </w:t>
      </w:r>
      <w:r w:rsidR="00B92F9D">
        <w:t>on a</w:t>
      </w:r>
      <w:r w:rsidR="00B92F9D" w:rsidRPr="00D64FD0">
        <w:t xml:space="preserve"> share</w:t>
      </w:r>
      <w:r w:rsidR="00B92F9D">
        <w:t xml:space="preserve">d basis </w:t>
      </w:r>
      <w:r w:rsidR="00B92F9D" w:rsidRPr="00D64FD0">
        <w:t xml:space="preserve">with </w:t>
      </w:r>
      <w:r w:rsidR="00B92F9D">
        <w:t xml:space="preserve">existing </w:t>
      </w:r>
      <w:r w:rsidR="00B92F9D" w:rsidRPr="00D64FD0">
        <w:t>FSS and PTP</w:t>
      </w:r>
      <w:r w:rsidR="00B92F9D">
        <w:t xml:space="preserve"> services</w:t>
      </w:r>
      <w:r w:rsidR="00B92F9D" w:rsidRPr="00D64FD0">
        <w:t>.</w:t>
      </w:r>
      <w:r w:rsidR="00B92F9D">
        <w:t xml:space="preserve"> New apparatus licen</w:t>
      </w:r>
      <w:r w:rsidR="00120577">
        <w:t>ces for</w:t>
      </w:r>
      <w:r w:rsidR="00B92F9D">
        <w:t xml:space="preserve"> FSS </w:t>
      </w:r>
      <w:r w:rsidR="00120577">
        <w:t xml:space="preserve">earth stations </w:t>
      </w:r>
      <w:r w:rsidR="00B92F9D">
        <w:t xml:space="preserve">will be </w:t>
      </w:r>
      <w:r w:rsidR="00120577">
        <w:t xml:space="preserve">issued </w:t>
      </w:r>
      <w:r w:rsidR="00B92F9D">
        <w:t xml:space="preserve">on a coordinated, shared basis with licences for LA WBB services, but new PTP licences should </w:t>
      </w:r>
      <w:r w:rsidR="00120577">
        <w:t xml:space="preserve">generally </w:t>
      </w:r>
      <w:r w:rsidR="00B92F9D">
        <w:t xml:space="preserve">not be issued, to simplify new PTP technical arrangements in the band. Existing licensed PTP services would be allowed </w:t>
      </w:r>
      <w:r>
        <w:br/>
      </w:r>
      <w:r w:rsidR="00B92F9D">
        <w:t>to continue</w:t>
      </w:r>
      <w:r w:rsidR="00B92F9D" w:rsidRPr="00164E0A">
        <w:t xml:space="preserve">. </w:t>
      </w:r>
    </w:p>
    <w:p w14:paraId="5E15B8A8" w14:textId="1374848B" w:rsidR="00B92F9D" w:rsidRDefault="00F216C8" w:rsidP="00F055FD">
      <w:pPr>
        <w:pStyle w:val="Bulletlevel1last"/>
      </w:pPr>
      <w:r>
        <w:t>I</w:t>
      </w:r>
      <w:r w:rsidR="00B92F9D">
        <w:t>n remote areas in the 3</w:t>
      </w:r>
      <w:r w:rsidR="003A46FD">
        <w:t>.</w:t>
      </w:r>
      <w:r w:rsidR="00B92F9D">
        <w:t>4</w:t>
      </w:r>
      <w:r w:rsidR="00B92F9D" w:rsidRPr="00B42FF8">
        <w:t>–</w:t>
      </w:r>
      <w:r w:rsidR="00B92F9D">
        <w:t>3</w:t>
      </w:r>
      <w:r w:rsidR="003A46FD">
        <w:t>.</w:t>
      </w:r>
      <w:r w:rsidR="00B92F9D">
        <w:t>7 </w:t>
      </w:r>
      <w:r w:rsidR="003A46FD">
        <w:t xml:space="preserve">GHz </w:t>
      </w:r>
      <w:r w:rsidR="00B92F9D">
        <w:t>range, i</w:t>
      </w:r>
      <w:r w:rsidR="00B92F9D" w:rsidRPr="00D64FD0">
        <w:t xml:space="preserve">ntroducing apparatus licensing arrangements to </w:t>
      </w:r>
      <w:r w:rsidR="00B92F9D">
        <w:t>support</w:t>
      </w:r>
      <w:r w:rsidR="00B92F9D" w:rsidRPr="00D64FD0">
        <w:t xml:space="preserve"> LA WBB services</w:t>
      </w:r>
      <w:r w:rsidR="00B92F9D">
        <w:t>.</w:t>
      </w:r>
      <w:r w:rsidR="0003507A">
        <w:t xml:space="preserve"> No new PTP or FSS earth stations will generally be issued in this range in remote areas</w:t>
      </w:r>
      <w:r w:rsidR="00B92F9D">
        <w:t>.</w:t>
      </w:r>
    </w:p>
    <w:p w14:paraId="3235F76B" w14:textId="6BE862C8" w:rsidR="00AE4ACB" w:rsidRPr="00D96048" w:rsidRDefault="008B011A" w:rsidP="00D96048">
      <w:pPr>
        <w:ind w:left="11"/>
        <w:rPr>
          <w:rFonts w:cs="Arial"/>
          <w:szCs w:val="20"/>
        </w:rPr>
      </w:pPr>
      <w:r w:rsidRPr="008E28F0">
        <w:rPr>
          <w:rFonts w:cs="Arial"/>
          <w:szCs w:val="20"/>
        </w:rPr>
        <w:t>The</w:t>
      </w:r>
      <w:r w:rsidR="00AE4ACB" w:rsidRPr="00B039C4">
        <w:rPr>
          <w:rFonts w:cs="Arial"/>
          <w:szCs w:val="20"/>
        </w:rPr>
        <w:t xml:space="preserve"> planning arrangements in 3.4–4.0 GHz </w:t>
      </w:r>
      <w:r w:rsidR="00AE4ACB" w:rsidRPr="00D96048">
        <w:rPr>
          <w:rFonts w:cs="Arial"/>
          <w:szCs w:val="20"/>
        </w:rPr>
        <w:t xml:space="preserve">in remote areas are intended to facilitate wide range WBB use-cases </w:t>
      </w:r>
      <w:r w:rsidRPr="00D96048">
        <w:rPr>
          <w:rFonts w:cs="Arial"/>
          <w:szCs w:val="20"/>
        </w:rPr>
        <w:t xml:space="preserve">(both WA WBB and LA WBB) </w:t>
      </w:r>
      <w:r w:rsidR="00AE4ACB" w:rsidRPr="00D96048">
        <w:rPr>
          <w:rFonts w:cs="Arial"/>
          <w:szCs w:val="20"/>
        </w:rPr>
        <w:t xml:space="preserve">and to support a range of existing services. These WBB use-cases include </w:t>
      </w:r>
      <w:r w:rsidR="00BC700B">
        <w:rPr>
          <w:rFonts w:cs="Arial"/>
          <w:szCs w:val="20"/>
        </w:rPr>
        <w:t>wireless internet services providers (</w:t>
      </w:r>
      <w:r w:rsidR="00094397">
        <w:rPr>
          <w:rFonts w:cs="Arial"/>
          <w:szCs w:val="20"/>
        </w:rPr>
        <w:t>WISPs</w:t>
      </w:r>
      <w:r w:rsidR="00BC700B">
        <w:rPr>
          <w:rFonts w:cs="Arial"/>
          <w:szCs w:val="20"/>
        </w:rPr>
        <w:t>)</w:t>
      </w:r>
      <w:r w:rsidR="00AE4ACB" w:rsidRPr="00D96048">
        <w:rPr>
          <w:rFonts w:cs="Arial"/>
          <w:szCs w:val="20"/>
        </w:rPr>
        <w:t xml:space="preserve">, some mobile service use such as for </w:t>
      </w:r>
      <w:r w:rsidR="001406ED">
        <w:rPr>
          <w:rFonts w:cs="Arial"/>
          <w:szCs w:val="20"/>
        </w:rPr>
        <w:t>‘</w:t>
      </w:r>
      <w:r w:rsidR="00AE4ACB" w:rsidRPr="00D96048">
        <w:rPr>
          <w:rFonts w:cs="Arial"/>
          <w:szCs w:val="20"/>
        </w:rPr>
        <w:t>mobile blackspots</w:t>
      </w:r>
      <w:r w:rsidR="001406ED">
        <w:rPr>
          <w:rFonts w:cs="Arial"/>
          <w:szCs w:val="20"/>
        </w:rPr>
        <w:t>’</w:t>
      </w:r>
      <w:r w:rsidR="00AE4ACB" w:rsidRPr="00D96048">
        <w:rPr>
          <w:rFonts w:cs="Arial"/>
          <w:szCs w:val="20"/>
        </w:rPr>
        <w:t>, and enterprise and campus-style private networks, such as for mine sites or industrial uses.</w:t>
      </w:r>
    </w:p>
    <w:p w14:paraId="6ACDD53E" w14:textId="670ECAF0" w:rsidR="00A63C4F" w:rsidRDefault="005F3449" w:rsidP="00B039C4">
      <w:pPr>
        <w:rPr>
          <w:szCs w:val="20"/>
        </w:rPr>
      </w:pPr>
      <w:r w:rsidRPr="00FE0CCA">
        <w:rPr>
          <w:szCs w:val="20"/>
        </w:rPr>
        <w:t xml:space="preserve">The allocation of apparatus licences </w:t>
      </w:r>
      <w:r w:rsidR="00F2382D" w:rsidRPr="00FE0CCA">
        <w:rPr>
          <w:szCs w:val="20"/>
        </w:rPr>
        <w:t xml:space="preserve">in remote areas </w:t>
      </w:r>
      <w:r w:rsidRPr="00D96048">
        <w:rPr>
          <w:szCs w:val="20"/>
        </w:rPr>
        <w:t xml:space="preserve">is one of several ways </w:t>
      </w:r>
      <w:r w:rsidR="001406ED">
        <w:rPr>
          <w:szCs w:val="20"/>
        </w:rPr>
        <w:t>we are</w:t>
      </w:r>
      <w:r w:rsidRPr="00D96048">
        <w:rPr>
          <w:szCs w:val="20"/>
        </w:rPr>
        <w:t xml:space="preserve"> making spectrum available</w:t>
      </w:r>
      <w:r w:rsidRPr="006E2DA3">
        <w:rPr>
          <w:szCs w:val="20"/>
        </w:rPr>
        <w:t xml:space="preserve"> in the 3.4–4.0 GHz band</w:t>
      </w:r>
      <w:r w:rsidR="004A28A9" w:rsidRPr="004A28A9">
        <w:rPr>
          <w:szCs w:val="20"/>
        </w:rPr>
        <w:t xml:space="preserve"> </w:t>
      </w:r>
      <w:r w:rsidR="004A28A9" w:rsidRPr="00B039C4">
        <w:rPr>
          <w:szCs w:val="20"/>
        </w:rPr>
        <w:t>to support WBB services</w:t>
      </w:r>
      <w:r w:rsidRPr="006E2DA3">
        <w:rPr>
          <w:szCs w:val="20"/>
        </w:rPr>
        <w:t xml:space="preserve">. </w:t>
      </w:r>
      <w:r w:rsidR="00055CD2" w:rsidRPr="006E2DA3">
        <w:rPr>
          <w:szCs w:val="20"/>
        </w:rPr>
        <w:t xml:space="preserve">The ACMA will also </w:t>
      </w:r>
      <w:r w:rsidR="00055CD2" w:rsidRPr="00863B7D">
        <w:rPr>
          <w:szCs w:val="20"/>
        </w:rPr>
        <w:t xml:space="preserve">be </w:t>
      </w:r>
      <w:r w:rsidR="00055CD2" w:rsidRPr="00F759A1">
        <w:rPr>
          <w:szCs w:val="20"/>
        </w:rPr>
        <w:t xml:space="preserve">making spectrum </w:t>
      </w:r>
      <w:r w:rsidR="00055CD2" w:rsidRPr="000D6DCE">
        <w:rPr>
          <w:szCs w:val="20"/>
        </w:rPr>
        <w:t>available over the</w:t>
      </w:r>
      <w:r w:rsidR="00055CD2" w:rsidRPr="00E41D08">
        <w:rPr>
          <w:szCs w:val="20"/>
        </w:rPr>
        <w:t xml:space="preserve"> next </w:t>
      </w:r>
      <w:r w:rsidR="00EF421A">
        <w:rPr>
          <w:szCs w:val="20"/>
        </w:rPr>
        <w:t>1</w:t>
      </w:r>
      <w:r w:rsidR="001406ED">
        <w:rPr>
          <w:szCs w:val="20"/>
        </w:rPr>
        <w:t>–</w:t>
      </w:r>
      <w:r w:rsidR="00EF421A">
        <w:rPr>
          <w:szCs w:val="20"/>
        </w:rPr>
        <w:t>2 years</w:t>
      </w:r>
      <w:r w:rsidR="00055CD2" w:rsidRPr="00E41D08">
        <w:rPr>
          <w:szCs w:val="20"/>
        </w:rPr>
        <w:t xml:space="preserve"> </w:t>
      </w:r>
      <w:r w:rsidR="00055CD2" w:rsidRPr="00E12A87">
        <w:rPr>
          <w:szCs w:val="20"/>
        </w:rPr>
        <w:t xml:space="preserve">in the </w:t>
      </w:r>
      <w:r w:rsidR="001406ED">
        <w:rPr>
          <w:szCs w:val="20"/>
        </w:rPr>
        <w:br/>
      </w:r>
      <w:r w:rsidR="00055CD2" w:rsidRPr="00E12A87">
        <w:rPr>
          <w:szCs w:val="20"/>
        </w:rPr>
        <w:t>3.4–4.0</w:t>
      </w:r>
      <w:r w:rsidR="00EF4AA3" w:rsidRPr="00E12A87">
        <w:rPr>
          <w:szCs w:val="20"/>
        </w:rPr>
        <w:t> </w:t>
      </w:r>
      <w:r w:rsidR="00055CD2" w:rsidRPr="00E12A87">
        <w:rPr>
          <w:szCs w:val="20"/>
        </w:rPr>
        <w:t>GHz band for apparatus licences and spectrum licences</w:t>
      </w:r>
      <w:r w:rsidR="000701C0">
        <w:rPr>
          <w:szCs w:val="20"/>
        </w:rPr>
        <w:t xml:space="preserve"> </w:t>
      </w:r>
      <w:r w:rsidR="00EC03E3" w:rsidRPr="006E2DA3">
        <w:rPr>
          <w:szCs w:val="20"/>
        </w:rPr>
        <w:t>in regional and metropolitan areas</w:t>
      </w:r>
      <w:r w:rsidR="009422EC">
        <w:rPr>
          <w:szCs w:val="20"/>
        </w:rPr>
        <w:t xml:space="preserve">. </w:t>
      </w:r>
    </w:p>
    <w:p w14:paraId="251E8F97" w14:textId="48CF2989" w:rsidR="00CA173C" w:rsidRPr="00AA2A9B" w:rsidRDefault="00AA2A9B" w:rsidP="00866B61">
      <w:pPr>
        <w:pStyle w:val="Heading2"/>
        <w:keepNext w:val="0"/>
        <w:ind w:left="11"/>
      </w:pPr>
      <w:bookmarkStart w:id="4" w:name="_Toc137726588"/>
      <w:r>
        <w:t>1.</w:t>
      </w:r>
      <w:r w:rsidRPr="00866B61">
        <w:t>2</w:t>
      </w:r>
      <w:r w:rsidRPr="00866B61">
        <w:tab/>
      </w:r>
      <w:r w:rsidR="006E1FEB">
        <w:t xml:space="preserve">Legislative and </w:t>
      </w:r>
      <w:r w:rsidR="00BC5612">
        <w:t>p</w:t>
      </w:r>
      <w:r w:rsidR="00CA173C" w:rsidRPr="0002003F">
        <w:t>olicy framework</w:t>
      </w:r>
      <w:bookmarkEnd w:id="4"/>
    </w:p>
    <w:p w14:paraId="1203822E" w14:textId="77777777" w:rsidR="00BC5612" w:rsidRDefault="00BC5612" w:rsidP="00BC5612">
      <w:pPr>
        <w:pStyle w:val="Heading3"/>
        <w:rPr>
          <w:rFonts w:ascii="Segoe UI" w:hAnsi="Segoe UI" w:cs="Segoe UI"/>
          <w:sz w:val="18"/>
          <w:szCs w:val="18"/>
        </w:rPr>
      </w:pPr>
      <w:bookmarkStart w:id="5" w:name="_Toc137726589"/>
      <w:r>
        <w:rPr>
          <w:rStyle w:val="normaltextrun"/>
        </w:rPr>
        <w:t>Guiding legislation</w:t>
      </w:r>
      <w:bookmarkEnd w:id="5"/>
      <w:r>
        <w:rPr>
          <w:rStyle w:val="normaltextrun"/>
        </w:rPr>
        <w:t xml:space="preserve"> </w:t>
      </w:r>
      <w:r>
        <w:rPr>
          <w:rStyle w:val="eop"/>
          <w:b w:val="0"/>
          <w:bCs w:val="0"/>
        </w:rPr>
        <w:t> </w:t>
      </w:r>
    </w:p>
    <w:p w14:paraId="2BA5E931" w14:textId="4A97E78E" w:rsidR="00BC5612" w:rsidRDefault="00BC5612" w:rsidP="00F055FD">
      <w:pPr>
        <w:pStyle w:val="Paragraphbeforelist"/>
        <w:rPr>
          <w:rFonts w:eastAsiaTheme="minorHAnsi"/>
          <w:szCs w:val="20"/>
        </w:rPr>
      </w:pPr>
      <w:r>
        <w:rPr>
          <w:rStyle w:val="normaltextrun"/>
        </w:rPr>
        <w:t>The ACMA’s decisions are guided by the object of the</w:t>
      </w:r>
      <w:r w:rsidR="00D72743">
        <w:rPr>
          <w:rStyle w:val="normaltextrun"/>
        </w:rPr>
        <w:t xml:space="preserve"> </w:t>
      </w:r>
      <w:r w:rsidR="00D72743">
        <w:rPr>
          <w:rStyle w:val="normaltextrun"/>
          <w:i/>
          <w:iCs/>
        </w:rPr>
        <w:t xml:space="preserve">Radiocommunications Act 1992 </w:t>
      </w:r>
      <w:r w:rsidR="00D72743">
        <w:rPr>
          <w:rStyle w:val="normaltextrun"/>
        </w:rPr>
        <w:t>(the</w:t>
      </w:r>
      <w:r>
        <w:rPr>
          <w:rStyle w:val="normaltextrun"/>
        </w:rPr>
        <w:t xml:space="preserve"> Act</w:t>
      </w:r>
      <w:r w:rsidR="00D72743">
        <w:rPr>
          <w:rStyle w:val="normaltextrun"/>
        </w:rPr>
        <w:t>)</w:t>
      </w:r>
      <w:r>
        <w:rPr>
          <w:rStyle w:val="normaltextrun"/>
        </w:rPr>
        <w:t xml:space="preserve"> to promote the long-term public interest derived from the use of the spectrum by providing for the management of the spectrum in a manner that:</w:t>
      </w:r>
      <w:r>
        <w:rPr>
          <w:rStyle w:val="eop"/>
        </w:rPr>
        <w:t> </w:t>
      </w:r>
    </w:p>
    <w:p w14:paraId="16EFC569" w14:textId="77777777" w:rsidR="00BC5612" w:rsidRDefault="00BC5612" w:rsidP="00BC5612">
      <w:pPr>
        <w:pStyle w:val="paragraph0"/>
        <w:numPr>
          <w:ilvl w:val="0"/>
          <w:numId w:val="3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facilitates the efficient planning, allocation and use of the spectrum</w:t>
      </w:r>
      <w:r>
        <w:rPr>
          <w:rStyle w:val="eop"/>
          <w:sz w:val="20"/>
          <w:szCs w:val="20"/>
        </w:rPr>
        <w:t> </w:t>
      </w:r>
    </w:p>
    <w:p w14:paraId="07750100" w14:textId="77777777" w:rsidR="00BC5612" w:rsidRDefault="00BC5612" w:rsidP="00BC5612">
      <w:pPr>
        <w:pStyle w:val="paragraph0"/>
        <w:numPr>
          <w:ilvl w:val="0"/>
          <w:numId w:val="3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facilitates the use of the spectrum for:</w:t>
      </w:r>
      <w:r>
        <w:rPr>
          <w:rStyle w:val="eop"/>
          <w:sz w:val="20"/>
          <w:szCs w:val="20"/>
        </w:rPr>
        <w:t> </w:t>
      </w:r>
    </w:p>
    <w:p w14:paraId="2EB404CA" w14:textId="77777777" w:rsidR="00BC5612" w:rsidRDefault="00BC5612" w:rsidP="00BC5612">
      <w:pPr>
        <w:pStyle w:val="paragraph0"/>
        <w:numPr>
          <w:ilvl w:val="1"/>
          <w:numId w:val="3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commercial purposes</w:t>
      </w:r>
      <w:r>
        <w:rPr>
          <w:rStyle w:val="eop"/>
          <w:sz w:val="20"/>
          <w:szCs w:val="20"/>
        </w:rPr>
        <w:t> </w:t>
      </w:r>
    </w:p>
    <w:p w14:paraId="4B287E2B" w14:textId="77777777" w:rsidR="00BC5612" w:rsidRDefault="00BC5612" w:rsidP="00BC5612">
      <w:pPr>
        <w:pStyle w:val="paragraph0"/>
        <w:numPr>
          <w:ilvl w:val="1"/>
          <w:numId w:val="3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defence purposes, national security purposes and other non-commercial purposes (including public safety and community purposes)</w:t>
      </w:r>
      <w:r>
        <w:rPr>
          <w:rStyle w:val="eop"/>
          <w:sz w:val="20"/>
          <w:szCs w:val="20"/>
        </w:rPr>
        <w:t> </w:t>
      </w:r>
    </w:p>
    <w:p w14:paraId="6B7D07B8" w14:textId="77777777" w:rsidR="00BC5612" w:rsidRDefault="00BC5612" w:rsidP="00BC5612">
      <w:pPr>
        <w:pStyle w:val="paragraph0"/>
        <w:numPr>
          <w:ilvl w:val="0"/>
          <w:numId w:val="34"/>
        </w:numPr>
        <w:spacing w:before="0" w:beforeAutospacing="0" w:after="0" w:afterAutospacing="0"/>
        <w:textAlignment w:val="baseline"/>
        <w:rPr>
          <w:rStyle w:val="eop"/>
          <w:rFonts w:eastAsiaTheme="minorHAnsi"/>
        </w:rPr>
      </w:pPr>
      <w:r>
        <w:rPr>
          <w:rStyle w:val="normaltextrun"/>
          <w:rFonts w:ascii="Arial" w:hAnsi="Arial" w:cs="Arial"/>
          <w:sz w:val="20"/>
          <w:szCs w:val="20"/>
        </w:rPr>
        <w:t>supports the communications policy objectives of the Australian Government.</w:t>
      </w:r>
      <w:r>
        <w:rPr>
          <w:rStyle w:val="eop"/>
          <w:sz w:val="20"/>
          <w:szCs w:val="20"/>
        </w:rPr>
        <w:t> </w:t>
      </w:r>
    </w:p>
    <w:p w14:paraId="369DFE5A" w14:textId="77777777" w:rsidR="00BC5612" w:rsidRDefault="00BC5612" w:rsidP="00BC5612">
      <w:pPr>
        <w:pStyle w:val="paragraph0"/>
        <w:spacing w:before="0" w:beforeAutospacing="0" w:after="0" w:afterAutospacing="0"/>
        <w:ind w:left="720"/>
        <w:textAlignment w:val="baseline"/>
      </w:pPr>
    </w:p>
    <w:p w14:paraId="66339ABC" w14:textId="31D08DCE" w:rsidR="00BC5612" w:rsidRDefault="00BC5612" w:rsidP="001D19BA">
      <w:pPr>
        <w:pStyle w:val="Heading3"/>
        <w:rPr>
          <w:rStyle w:val="normaltextrun"/>
          <w:rFonts w:ascii="Times New Roman" w:hAnsi="Times New Roman" w:cs="Times New Roman"/>
          <w:b w:val="0"/>
          <w:bCs w:val="0"/>
          <w:sz w:val="24"/>
          <w:szCs w:val="24"/>
          <w:highlight w:val="green"/>
        </w:rPr>
      </w:pPr>
      <w:bookmarkStart w:id="6" w:name="_Toc137726590"/>
      <w:r>
        <w:rPr>
          <w:rStyle w:val="normaltextrun"/>
        </w:rPr>
        <w:t xml:space="preserve">Ministerial </w:t>
      </w:r>
      <w:r w:rsidR="001406ED">
        <w:rPr>
          <w:rStyle w:val="normaltextrun"/>
        </w:rPr>
        <w:t>p</w:t>
      </w:r>
      <w:r>
        <w:rPr>
          <w:rStyle w:val="normaltextrun"/>
        </w:rPr>
        <w:t xml:space="preserve">olicy </w:t>
      </w:r>
      <w:r w:rsidR="001406ED">
        <w:rPr>
          <w:rStyle w:val="normaltextrun"/>
        </w:rPr>
        <w:t>s</w:t>
      </w:r>
      <w:r>
        <w:rPr>
          <w:rStyle w:val="normaltextrun"/>
        </w:rPr>
        <w:t>tatement</w:t>
      </w:r>
      <w:bookmarkEnd w:id="6"/>
    </w:p>
    <w:p w14:paraId="64C4088B" w14:textId="77777777" w:rsidR="00BC5612" w:rsidRDefault="00BC5612" w:rsidP="00BC5612">
      <w:pPr>
        <w:pStyle w:val="Paragraphbeforelist"/>
        <w:rPr>
          <w:rFonts w:eastAsiaTheme="minorHAnsi"/>
          <w:szCs w:val="20"/>
        </w:rPr>
      </w:pPr>
      <w:r>
        <w:t xml:space="preserve">The former minister responsible for the communications portfolio issued the </w:t>
      </w:r>
      <w:hyperlink r:id="rId24" w:tgtFrame="_blank" w:history="1">
        <w:r>
          <w:rPr>
            <w:rStyle w:val="Hyperlink"/>
          </w:rPr>
          <w:t>Radiocommunications (Ministerial Policy Statement – 3.4–4.0 GHz) Instrument 2022</w:t>
        </w:r>
      </w:hyperlink>
      <w:r>
        <w:t xml:space="preserve"> (MPS) for the allocation of the spectrum in the 3.4–4.0 GHz band, containing the following objectives:</w:t>
      </w:r>
      <w:r>
        <w:rPr>
          <w:rStyle w:val="normaltextrun"/>
        </w:rPr>
        <w:t> </w:t>
      </w:r>
    </w:p>
    <w:p w14:paraId="4F88AC10" w14:textId="77777777" w:rsidR="00BC5612" w:rsidRDefault="00BC5612" w:rsidP="00BC5612">
      <w:pPr>
        <w:pStyle w:val="Bulletlevel1"/>
        <w:numPr>
          <w:ilvl w:val="0"/>
          <w:numId w:val="36"/>
        </w:numPr>
        <w:tabs>
          <w:tab w:val="left" w:pos="720"/>
        </w:tabs>
        <w:ind w:left="426" w:hanging="426"/>
      </w:pPr>
      <w:r>
        <w:rPr>
          <w:rStyle w:val="normaltextrun"/>
        </w:rPr>
        <w:t>supporting the deployment of new and innovative technology, including 5G</w:t>
      </w:r>
    </w:p>
    <w:p w14:paraId="493DCD69" w14:textId="77777777" w:rsidR="00BC5612" w:rsidRDefault="00BC5612" w:rsidP="00BC5612">
      <w:pPr>
        <w:pStyle w:val="Bulletlevel1"/>
        <w:numPr>
          <w:ilvl w:val="0"/>
          <w:numId w:val="36"/>
        </w:numPr>
        <w:tabs>
          <w:tab w:val="left" w:pos="720"/>
        </w:tabs>
        <w:ind w:left="426" w:hanging="426"/>
      </w:pPr>
      <w:r>
        <w:rPr>
          <w:rStyle w:val="normaltextrun"/>
        </w:rPr>
        <w:t>supporting a range of use-cases and users </w:t>
      </w:r>
      <w:r>
        <w:rPr>
          <w:rStyle w:val="eop"/>
        </w:rPr>
        <w:t> </w:t>
      </w:r>
    </w:p>
    <w:p w14:paraId="62FE08B0" w14:textId="77777777" w:rsidR="00BC5612" w:rsidRDefault="00BC5612" w:rsidP="00BC5612">
      <w:pPr>
        <w:pStyle w:val="Bulletlevel1"/>
        <w:numPr>
          <w:ilvl w:val="0"/>
          <w:numId w:val="36"/>
        </w:numPr>
        <w:tabs>
          <w:tab w:val="left" w:pos="720"/>
        </w:tabs>
        <w:ind w:left="426" w:hanging="426"/>
      </w:pPr>
      <w:r>
        <w:rPr>
          <w:rStyle w:val="normaltextrun"/>
        </w:rPr>
        <w:t>supporting digital connectivity and investment in regional Australia </w:t>
      </w:r>
      <w:r>
        <w:rPr>
          <w:rStyle w:val="eop"/>
        </w:rPr>
        <w:t> </w:t>
      </w:r>
    </w:p>
    <w:p w14:paraId="46A03615" w14:textId="77777777" w:rsidR="00BC5612" w:rsidRDefault="00BC5612" w:rsidP="00BC5612">
      <w:pPr>
        <w:pStyle w:val="Bulletlevel1last"/>
        <w:numPr>
          <w:ilvl w:val="0"/>
          <w:numId w:val="37"/>
        </w:numPr>
        <w:tabs>
          <w:tab w:val="left" w:pos="720"/>
        </w:tabs>
        <w:ind w:left="426" w:hanging="426"/>
        <w:rPr>
          <w:rStyle w:val="eop"/>
        </w:rPr>
      </w:pPr>
      <w:r>
        <w:rPr>
          <w:rStyle w:val="normaltextrun"/>
        </w:rPr>
        <w:t>promoting competitive markets. </w:t>
      </w:r>
      <w:r>
        <w:rPr>
          <w:rStyle w:val="eop"/>
        </w:rPr>
        <w:t> </w:t>
      </w:r>
    </w:p>
    <w:p w14:paraId="0B479DEC" w14:textId="3BD1F251" w:rsidR="00BC5612" w:rsidRDefault="00BC5612" w:rsidP="00BC5612">
      <w:pPr>
        <w:pStyle w:val="Paragraph"/>
        <w:rPr>
          <w:rStyle w:val="normaltextrun"/>
          <w:b/>
          <w:bCs/>
        </w:rPr>
      </w:pPr>
      <w:r>
        <w:rPr>
          <w:rStyle w:val="normaltextrun"/>
        </w:rPr>
        <w:t xml:space="preserve">Under section 28C of the Act, </w:t>
      </w:r>
      <w:r w:rsidR="001406ED">
        <w:rPr>
          <w:rStyle w:val="normaltextrun"/>
        </w:rPr>
        <w:t>we</w:t>
      </w:r>
      <w:r>
        <w:rPr>
          <w:rStyle w:val="normaltextrun"/>
        </w:rPr>
        <w:t xml:space="preserve"> must have regard to the MPS in exercising </w:t>
      </w:r>
      <w:r w:rsidR="001406ED">
        <w:rPr>
          <w:rStyle w:val="normaltextrun"/>
        </w:rPr>
        <w:t xml:space="preserve">our </w:t>
      </w:r>
      <w:r>
        <w:rPr>
          <w:rStyle w:val="normaltextrun"/>
        </w:rPr>
        <w:t>powers and performing its functions under the Act.</w:t>
      </w:r>
      <w:r>
        <w:rPr>
          <w:rStyle w:val="eop"/>
        </w:rPr>
        <w:t> </w:t>
      </w:r>
    </w:p>
    <w:p w14:paraId="5582157D" w14:textId="77777777" w:rsidR="00BC5612" w:rsidRDefault="00BC5612" w:rsidP="001D19BA">
      <w:pPr>
        <w:pStyle w:val="Heading3"/>
        <w:rPr>
          <w:rFonts w:ascii="Segoe UI" w:hAnsi="Segoe UI" w:cs="Segoe UI"/>
          <w:sz w:val="18"/>
          <w:szCs w:val="18"/>
        </w:rPr>
      </w:pPr>
      <w:bookmarkStart w:id="7" w:name="_Toc137726591"/>
      <w:r>
        <w:rPr>
          <w:rStyle w:val="normaltextrun"/>
        </w:rPr>
        <w:t>Government communications policy objectives</w:t>
      </w:r>
      <w:bookmarkEnd w:id="7"/>
      <w:r>
        <w:rPr>
          <w:rStyle w:val="eop"/>
        </w:rPr>
        <w:t> </w:t>
      </w:r>
    </w:p>
    <w:p w14:paraId="7A7F436F" w14:textId="716C95CE" w:rsidR="00BC5612" w:rsidRDefault="00BC5612" w:rsidP="00BC5612">
      <w:pPr>
        <w:pStyle w:val="Paragraph"/>
        <w:rPr>
          <w:rStyle w:val="eop"/>
          <w:rFonts w:eastAsiaTheme="minorHAnsi"/>
          <w:b/>
          <w:bCs/>
          <w:szCs w:val="20"/>
        </w:rPr>
      </w:pPr>
      <w:r>
        <w:rPr>
          <w:rStyle w:val="eop"/>
        </w:rPr>
        <w:t xml:space="preserve">As part of the government’s October 2022 Budget announcements, the Minister for Communications (the minister), the Hon Michelle Rowland MP, </w:t>
      </w:r>
      <w:hyperlink r:id="rId25" w:history="1">
        <w:r>
          <w:rPr>
            <w:rStyle w:val="Hyperlink"/>
            <w:rFonts w:eastAsiaTheme="minorHAnsi"/>
          </w:rPr>
          <w:t>restate</w:t>
        </w:r>
        <w:r w:rsidR="001406ED">
          <w:rPr>
            <w:rStyle w:val="Hyperlink"/>
            <w:rFonts w:eastAsiaTheme="minorHAnsi"/>
          </w:rPr>
          <w:t>d the government’s commitment</w:t>
        </w:r>
      </w:hyperlink>
      <w:r>
        <w:rPr>
          <w:rStyle w:val="eop"/>
        </w:rPr>
        <w:t xml:space="preserve"> to deliver better connectivity to Australians</w:t>
      </w:r>
      <w:r w:rsidR="001406ED">
        <w:rPr>
          <w:rStyle w:val="eop"/>
        </w:rPr>
        <w:t>. This includes</w:t>
      </w:r>
      <w:r>
        <w:rPr>
          <w:rStyle w:val="eop"/>
        </w:rPr>
        <w:t xml:space="preserve"> increas</w:t>
      </w:r>
      <w:r w:rsidR="001406ED">
        <w:rPr>
          <w:rStyle w:val="eop"/>
        </w:rPr>
        <w:t>ing</w:t>
      </w:r>
      <w:r>
        <w:rPr>
          <w:rStyle w:val="eop"/>
        </w:rPr>
        <w:t xml:space="preserve"> connectivity for rural, regional, remote and First Nations communities and enabl</w:t>
      </w:r>
      <w:r w:rsidR="001406ED">
        <w:rPr>
          <w:rStyle w:val="eop"/>
        </w:rPr>
        <w:t>ing</w:t>
      </w:r>
      <w:r>
        <w:rPr>
          <w:rStyle w:val="eop"/>
        </w:rPr>
        <w:t xml:space="preserve"> the ACMA to continue to auction high value spectrum.</w:t>
      </w:r>
    </w:p>
    <w:p w14:paraId="7F4AF028" w14:textId="77777777" w:rsidR="00BC5612" w:rsidRDefault="00BC5612" w:rsidP="00BC5612">
      <w:pPr>
        <w:pStyle w:val="Paragraph"/>
        <w:rPr>
          <w:color w:val="000000"/>
        </w:rPr>
      </w:pPr>
      <w:r>
        <w:rPr>
          <w:color w:val="000000"/>
        </w:rPr>
        <w:t xml:space="preserve">In her </w:t>
      </w:r>
      <w:hyperlink r:id="rId26" w:history="1">
        <w:r>
          <w:rPr>
            <w:rStyle w:val="Hyperlink"/>
            <w:rFonts w:eastAsiaTheme="minorHAnsi"/>
          </w:rPr>
          <w:t xml:space="preserve">speech to the </w:t>
        </w:r>
        <w:proofErr w:type="spellStart"/>
        <w:r>
          <w:rPr>
            <w:rStyle w:val="Hyperlink"/>
            <w:rFonts w:eastAsiaTheme="minorHAnsi"/>
          </w:rPr>
          <w:t>Radcomms</w:t>
        </w:r>
        <w:proofErr w:type="spellEnd"/>
        <w:r>
          <w:rPr>
            <w:rStyle w:val="Hyperlink"/>
            <w:rFonts w:eastAsiaTheme="minorHAnsi"/>
          </w:rPr>
          <w:t xml:space="preserve"> conference in November 2022</w:t>
        </w:r>
      </w:hyperlink>
      <w:r>
        <w:rPr>
          <w:color w:val="000000"/>
        </w:rPr>
        <w:t>, the minister noted that the allocation of spectrum in the 3.4–4.0 GHz band will support digital connectivity and investment in regional Australia, as well as its importance for the deployment of new and innovative technology including 5G services.</w:t>
      </w:r>
    </w:p>
    <w:p w14:paraId="78EC3207" w14:textId="5EE78223" w:rsidR="00BC5612" w:rsidRDefault="00BC5612" w:rsidP="00BC5612">
      <w:pPr>
        <w:pStyle w:val="Paragraphbeforelist"/>
        <w:rPr>
          <w:color w:val="000000"/>
        </w:rPr>
      </w:pPr>
      <w:r>
        <w:rPr>
          <w:color w:val="000000"/>
        </w:rPr>
        <w:t xml:space="preserve">In its </w:t>
      </w:r>
      <w:hyperlink r:id="rId27" w:history="1">
        <w:r>
          <w:rPr>
            <w:rStyle w:val="Hyperlink"/>
          </w:rPr>
          <w:t>statement of expectations for the ACMA</w:t>
        </w:r>
      </w:hyperlink>
      <w:r>
        <w:rPr>
          <w:rStyle w:val="Hyperlink"/>
        </w:rPr>
        <w:t xml:space="preserve"> (</w:t>
      </w:r>
      <w:proofErr w:type="spellStart"/>
      <w:r>
        <w:rPr>
          <w:rStyle w:val="Hyperlink"/>
        </w:rPr>
        <w:t>SoE</w:t>
      </w:r>
      <w:proofErr w:type="spellEnd"/>
      <w:r>
        <w:rPr>
          <w:rStyle w:val="Hyperlink"/>
        </w:rPr>
        <w:t>)</w:t>
      </w:r>
      <w:r>
        <w:rPr>
          <w:color w:val="000000"/>
        </w:rPr>
        <w:t xml:space="preserve">, the government articulated its expectation that the ACMA take a proactive regulatory approach. Of particular relevance for </w:t>
      </w:r>
      <w:r w:rsidR="001406ED">
        <w:rPr>
          <w:color w:val="000000"/>
        </w:rPr>
        <w:t>our</w:t>
      </w:r>
      <w:r>
        <w:rPr>
          <w:color w:val="000000"/>
        </w:rPr>
        <w:t xml:space="preserve"> spectrum management functions, the </w:t>
      </w:r>
      <w:proofErr w:type="spellStart"/>
      <w:r>
        <w:rPr>
          <w:color w:val="000000"/>
        </w:rPr>
        <w:t>SoE</w:t>
      </w:r>
      <w:proofErr w:type="spellEnd"/>
      <w:r>
        <w:rPr>
          <w:color w:val="000000"/>
        </w:rPr>
        <w:t xml:space="preserve"> outlined the government’s expectation that </w:t>
      </w:r>
      <w:r w:rsidR="001406ED">
        <w:rPr>
          <w:color w:val="000000"/>
        </w:rPr>
        <w:t>we</w:t>
      </w:r>
      <w:r>
        <w:rPr>
          <w:color w:val="000000"/>
        </w:rPr>
        <w:t xml:space="preserve"> support the government’s communications and media objectives, including: </w:t>
      </w:r>
    </w:p>
    <w:p w14:paraId="18482E5B" w14:textId="77777777" w:rsidR="00BC5612" w:rsidRDefault="00BC5612" w:rsidP="00BC5612">
      <w:pPr>
        <w:pStyle w:val="Bulletlevel1"/>
        <w:numPr>
          <w:ilvl w:val="0"/>
          <w:numId w:val="36"/>
        </w:numPr>
        <w:tabs>
          <w:tab w:val="left" w:pos="720"/>
        </w:tabs>
        <w:ind w:left="426" w:hanging="426"/>
      </w:pPr>
      <w:r>
        <w:t>promoting investment, innovation and the adoption of new and emerging technologies while continuing to safeguard the interests of consumers and small businesses</w:t>
      </w:r>
    </w:p>
    <w:p w14:paraId="24271D9F" w14:textId="77777777" w:rsidR="00BC5612" w:rsidRDefault="00BC5612" w:rsidP="00BC5612">
      <w:pPr>
        <w:pStyle w:val="Bulletlevel1"/>
        <w:numPr>
          <w:ilvl w:val="0"/>
          <w:numId w:val="36"/>
        </w:numPr>
        <w:tabs>
          <w:tab w:val="left" w:pos="720"/>
        </w:tabs>
        <w:ind w:left="426" w:hanging="426"/>
      </w:pPr>
      <w:r>
        <w:t>supporting government policies related to regional, rural and remote Australia including by having regard to relevant ministerial policy statements in the planning and allocation of spectrum to support innovation and competition in these areas</w:t>
      </w:r>
    </w:p>
    <w:p w14:paraId="0BA817F5" w14:textId="77777777" w:rsidR="00BC5612" w:rsidRDefault="00BC5612" w:rsidP="00BC5612">
      <w:pPr>
        <w:pStyle w:val="Bulletlevel1last"/>
        <w:numPr>
          <w:ilvl w:val="0"/>
          <w:numId w:val="37"/>
        </w:numPr>
        <w:tabs>
          <w:tab w:val="left" w:pos="720"/>
        </w:tabs>
        <w:ind w:left="426" w:hanging="426"/>
      </w:pPr>
      <w:r>
        <w:t xml:space="preserve">promoting the long-term public interest derived from spectrum, including the benefits of technological developments that improve spectrum utilisation. </w:t>
      </w:r>
    </w:p>
    <w:p w14:paraId="4AABD883" w14:textId="72785AA5" w:rsidR="00BC5612" w:rsidRDefault="00BC5612" w:rsidP="00BC5612">
      <w:pPr>
        <w:pStyle w:val="Heading3"/>
      </w:pPr>
      <w:bookmarkStart w:id="8" w:name="_Toc137726592"/>
      <w:r>
        <w:t xml:space="preserve">Guiding objectives for the </w:t>
      </w:r>
      <w:r w:rsidR="008C4FF1">
        <w:t>3.4</w:t>
      </w:r>
      <w:r w:rsidR="001406ED">
        <w:t>–</w:t>
      </w:r>
      <w:r w:rsidR="008C4FF1">
        <w:t>4.0</w:t>
      </w:r>
      <w:r>
        <w:t xml:space="preserve"> GHz AWL allocation</w:t>
      </w:r>
      <w:bookmarkEnd w:id="8"/>
      <w:r>
        <w:t xml:space="preserve"> </w:t>
      </w:r>
    </w:p>
    <w:p w14:paraId="3D9DF082" w14:textId="0E3A554B" w:rsidR="00BC5612" w:rsidRDefault="00BC5612" w:rsidP="00BC5612">
      <w:pPr>
        <w:pStyle w:val="Bulletlevel1last"/>
        <w:numPr>
          <w:ilvl w:val="0"/>
          <w:numId w:val="0"/>
        </w:numPr>
        <w:tabs>
          <w:tab w:val="left" w:pos="720"/>
        </w:tabs>
        <w:rPr>
          <w:rFonts w:eastAsiaTheme="minorHAnsi"/>
        </w:rPr>
      </w:pPr>
      <w:r>
        <w:t>Taken together, the suite of allocations across the 3.4</w:t>
      </w:r>
      <w:r w:rsidR="00FF4C6D">
        <w:t>–</w:t>
      </w:r>
      <w:r>
        <w:t xml:space="preserve">4.0 GHz are intended to support the MPS objectives in conjunction with the other relevant policy and legislative objectives listed above. </w:t>
      </w:r>
    </w:p>
    <w:p w14:paraId="6F2079AD" w14:textId="6EE6E0B4" w:rsidR="00BC5612" w:rsidRDefault="00BC5612" w:rsidP="00F055FD">
      <w:pPr>
        <w:pStyle w:val="Paragraphbeforelist"/>
      </w:pPr>
      <w:r>
        <w:t xml:space="preserve">For this allocation of AWLs in the </w:t>
      </w:r>
      <w:r w:rsidR="004F7E07">
        <w:t>3.4</w:t>
      </w:r>
      <w:r w:rsidR="00FF4C6D">
        <w:t>–</w:t>
      </w:r>
      <w:r w:rsidR="004F7E07">
        <w:t>4.0 GHz</w:t>
      </w:r>
      <w:r>
        <w:t xml:space="preserve"> band</w:t>
      </w:r>
      <w:r w:rsidR="004F7E07">
        <w:t xml:space="preserve"> in remote areas</w:t>
      </w:r>
      <w:r>
        <w:t xml:space="preserve">, we consider that the following objectives are of most relevance: </w:t>
      </w:r>
    </w:p>
    <w:p w14:paraId="4BE8C281" w14:textId="7AF8AA60" w:rsidR="00BC5612" w:rsidRDefault="00800E71" w:rsidP="00BC5612">
      <w:pPr>
        <w:pStyle w:val="Bulletlevel1"/>
        <w:numPr>
          <w:ilvl w:val="0"/>
          <w:numId w:val="36"/>
        </w:numPr>
        <w:tabs>
          <w:tab w:val="left" w:pos="720"/>
        </w:tabs>
        <w:ind w:left="426" w:hanging="426"/>
      </w:pPr>
      <w:r>
        <w:t>s</w:t>
      </w:r>
      <w:r w:rsidR="00BC5612">
        <w:t>upporting a range of use cases and users</w:t>
      </w:r>
    </w:p>
    <w:p w14:paraId="3B7AB4FE" w14:textId="7022B655" w:rsidR="00BC5612" w:rsidRDefault="00800E71" w:rsidP="00BC5612">
      <w:pPr>
        <w:pStyle w:val="Bulletlevel1"/>
        <w:numPr>
          <w:ilvl w:val="0"/>
          <w:numId w:val="36"/>
        </w:numPr>
        <w:tabs>
          <w:tab w:val="left" w:pos="720"/>
        </w:tabs>
        <w:ind w:left="426" w:hanging="426"/>
      </w:pPr>
      <w:r>
        <w:t>s</w:t>
      </w:r>
      <w:r w:rsidR="00BC5612">
        <w:t>upporting digital connectivity and investment in regional Australia</w:t>
      </w:r>
    </w:p>
    <w:p w14:paraId="6D7E3DDA" w14:textId="7F16C645" w:rsidR="00BC5612" w:rsidRDefault="00800E71" w:rsidP="00BC5612">
      <w:pPr>
        <w:pStyle w:val="Bulletlevel1"/>
        <w:numPr>
          <w:ilvl w:val="0"/>
          <w:numId w:val="36"/>
        </w:numPr>
        <w:tabs>
          <w:tab w:val="left" w:pos="720"/>
        </w:tabs>
        <w:ind w:left="426" w:hanging="426"/>
      </w:pPr>
      <w:r>
        <w:t>s</w:t>
      </w:r>
      <w:r w:rsidR="00BC5612">
        <w:t>upporting the deployment of new and innovative technology</w:t>
      </w:r>
    </w:p>
    <w:p w14:paraId="1F17BC46" w14:textId="2068407A" w:rsidR="00BC5612" w:rsidRDefault="00800E71" w:rsidP="00BC5612">
      <w:pPr>
        <w:pStyle w:val="Bulletlevel1"/>
        <w:numPr>
          <w:ilvl w:val="0"/>
          <w:numId w:val="36"/>
        </w:numPr>
        <w:tabs>
          <w:tab w:val="left" w:pos="720"/>
        </w:tabs>
        <w:ind w:left="426" w:hanging="426"/>
      </w:pPr>
      <w:r>
        <w:t>s</w:t>
      </w:r>
      <w:r w:rsidR="00BC5612">
        <w:t>upporting the efficient allocation and use of spectrum</w:t>
      </w:r>
      <w:r w:rsidR="00AA2A9B">
        <w:t>.</w:t>
      </w:r>
    </w:p>
    <w:p w14:paraId="71D4602A" w14:textId="77777777" w:rsidR="00FC2FA7" w:rsidRDefault="00FC2FA7" w:rsidP="00B039C4"/>
    <w:p w14:paraId="6171AA3A" w14:textId="77777777" w:rsidR="003E57A7" w:rsidRDefault="003E57A7">
      <w:pPr>
        <w:spacing w:after="0" w:line="240" w:lineRule="auto"/>
        <w:rPr>
          <w:b/>
          <w:bCs/>
          <w:color w:val="323232"/>
          <w:szCs w:val="20"/>
        </w:rPr>
      </w:pPr>
      <w:r>
        <w:br w:type="page"/>
      </w:r>
    </w:p>
    <w:p w14:paraId="0558203B" w14:textId="0A603D4C" w:rsidR="00CE2638" w:rsidRPr="00CE2638" w:rsidRDefault="00DB5AA1" w:rsidP="00DB7D11">
      <w:pPr>
        <w:pStyle w:val="Heading1"/>
        <w:numPr>
          <w:ilvl w:val="0"/>
          <w:numId w:val="32"/>
        </w:numPr>
      </w:pPr>
      <w:bookmarkStart w:id="9" w:name="_Toc137726593"/>
      <w:bookmarkStart w:id="10" w:name="_Toc45872446"/>
      <w:bookmarkStart w:id="11" w:name="_Ref46149209"/>
      <w:r>
        <w:t xml:space="preserve">Product </w:t>
      </w:r>
      <w:r w:rsidR="00F20ED7">
        <w:t>description</w:t>
      </w:r>
      <w:bookmarkEnd w:id="9"/>
    </w:p>
    <w:p w14:paraId="493892DC" w14:textId="79BA90F5" w:rsidR="001E1F4C" w:rsidRPr="001452C5" w:rsidRDefault="00524B98" w:rsidP="001E1F4C">
      <w:pPr>
        <w:pStyle w:val="Heading2"/>
        <w:keepNext w:val="0"/>
        <w:ind w:left="11"/>
      </w:pPr>
      <w:bookmarkStart w:id="12" w:name="_Available_spectrum"/>
      <w:bookmarkStart w:id="13" w:name="_Toc137726594"/>
      <w:bookmarkEnd w:id="12"/>
      <w:r>
        <w:t>2.1</w:t>
      </w:r>
      <w:r>
        <w:tab/>
      </w:r>
      <w:r w:rsidR="001E1F4C">
        <w:t>AWL</w:t>
      </w:r>
      <w:bookmarkEnd w:id="13"/>
    </w:p>
    <w:p w14:paraId="1A66E774" w14:textId="264ADF0B" w:rsidR="001E1F4C" w:rsidRDefault="001E1F4C" w:rsidP="001E1F4C">
      <w:pPr>
        <w:pStyle w:val="Paragraph"/>
        <w:ind w:left="11"/>
      </w:pPr>
      <w:r>
        <w:t>The ACMA is authoris</w:t>
      </w:r>
      <w:r w:rsidR="00BC4446">
        <w:t>ing</w:t>
      </w:r>
      <w:r>
        <w:t xml:space="preserve"> access to remote areas in the 3.4-4 GHz band by means of the AWL</w:t>
      </w:r>
      <w:r w:rsidR="00CB4C80">
        <w:t xml:space="preserve"> type of transmitter licence</w:t>
      </w:r>
      <w:r>
        <w:t xml:space="preserve">. The </w:t>
      </w:r>
      <w:r w:rsidR="00D51B01">
        <w:t xml:space="preserve">AWL </w:t>
      </w:r>
      <w:r>
        <w:t>is intended to provide licensees with ‘building blocks’</w:t>
      </w:r>
      <w:r w:rsidR="00FF4C6D">
        <w:t xml:space="preserve"> – </w:t>
      </w:r>
      <w:r>
        <w:t>aggregate frequency and area blocks in a single licence, which can meet a range of network sizes or topographies</w:t>
      </w:r>
      <w:r w:rsidR="00FF4C6D">
        <w:t>. These</w:t>
      </w:r>
      <w:r w:rsidR="00C12C72">
        <w:t xml:space="preserve"> are</w:t>
      </w:r>
      <w:r>
        <w:t xml:space="preserve"> service or technology</w:t>
      </w:r>
      <w:r w:rsidR="00FF4C6D">
        <w:t>-</w:t>
      </w:r>
      <w:r w:rsidR="002E04F1">
        <w:t xml:space="preserve">flexible </w:t>
      </w:r>
      <w:r w:rsidR="00C12C72">
        <w:t>(provided that</w:t>
      </w:r>
      <w:r>
        <w:t xml:space="preserve"> the </w:t>
      </w:r>
      <w:r w:rsidR="00C12C72">
        <w:t>relevant</w:t>
      </w:r>
      <w:r>
        <w:t xml:space="preserve"> licence conditions</w:t>
      </w:r>
      <w:r w:rsidR="00C12C72">
        <w:t xml:space="preserve"> </w:t>
      </w:r>
      <w:r>
        <w:t>are met</w:t>
      </w:r>
      <w:r w:rsidR="00C12C72">
        <w:t>)</w:t>
      </w:r>
      <w:r>
        <w:t xml:space="preserve">. </w:t>
      </w:r>
      <w:r w:rsidR="00F040D8">
        <w:t>A</w:t>
      </w:r>
      <w:r w:rsidR="00735DD6">
        <w:t>s a technolog</w:t>
      </w:r>
      <w:r w:rsidR="00EE669D">
        <w:t>ically</w:t>
      </w:r>
      <w:r w:rsidR="00735DD6">
        <w:t xml:space="preserve"> flexible </w:t>
      </w:r>
      <w:r w:rsidR="00EE669D">
        <w:t>licensing option, AWLs support the development of new and innovative technology.</w:t>
      </w:r>
    </w:p>
    <w:p w14:paraId="793B96EB" w14:textId="4E6C60C7" w:rsidR="001E1F4C" w:rsidRDefault="00E765DB">
      <w:pPr>
        <w:pStyle w:val="Paragraph"/>
        <w:ind w:left="11"/>
      </w:pPr>
      <w:r>
        <w:t>An AWL</w:t>
      </w:r>
      <w:r w:rsidR="001E1F4C">
        <w:t xml:space="preserve"> can </w:t>
      </w:r>
      <w:r w:rsidR="001E1F4C" w:rsidRPr="00BF0FB4">
        <w:t xml:space="preserve">authorise the operation of one or more radiocommunications devices within a defined geographic area at a frequency or frequencies specified on the licence, subject to the conditions included </w:t>
      </w:r>
      <w:r w:rsidR="001E1F4C">
        <w:t>i</w:t>
      </w:r>
      <w:r w:rsidR="001E1F4C" w:rsidRPr="00BF0FB4">
        <w:t>n the licence.</w:t>
      </w:r>
      <w:r w:rsidR="00D51B01">
        <w:t xml:space="preserve"> </w:t>
      </w:r>
      <w:r w:rsidR="00A471C1">
        <w:t xml:space="preserve">AWLs have </w:t>
      </w:r>
      <w:r w:rsidR="00860916">
        <w:t xml:space="preserve">previously </w:t>
      </w:r>
      <w:r w:rsidR="00A471C1">
        <w:t>been</w:t>
      </w:r>
      <w:r w:rsidR="00D51B01">
        <w:t xml:space="preserve"> </w:t>
      </w:r>
      <w:r w:rsidR="00EB3D75">
        <w:t>issued in</w:t>
      </w:r>
      <w:r w:rsidR="00D51B01">
        <w:t xml:space="preserve"> </w:t>
      </w:r>
      <w:r w:rsidR="007616B5">
        <w:t xml:space="preserve">the frequency ranges </w:t>
      </w:r>
      <w:r w:rsidR="00744273">
        <w:t>25.1</w:t>
      </w:r>
      <w:r w:rsidR="00FF4C6D">
        <w:t>–</w:t>
      </w:r>
      <w:r w:rsidR="00671D6E">
        <w:t>27.5 GHz (the 26 GHz</w:t>
      </w:r>
      <w:r w:rsidR="00D9409E">
        <w:t xml:space="preserve"> non-spectrum licensed areas</w:t>
      </w:r>
      <w:r w:rsidR="00671D6E">
        <w:t xml:space="preserve">) and </w:t>
      </w:r>
      <w:r w:rsidR="00744273">
        <w:t>27.5</w:t>
      </w:r>
      <w:r w:rsidR="00FF4C6D">
        <w:t>–</w:t>
      </w:r>
      <w:r w:rsidR="00744273">
        <w:t xml:space="preserve">30 GHz </w:t>
      </w:r>
      <w:r w:rsidR="00D9409E">
        <w:t>(the</w:t>
      </w:r>
      <w:r w:rsidR="00D51B01">
        <w:t xml:space="preserve"> 28 GHz band</w:t>
      </w:r>
      <w:r w:rsidR="00D9409E">
        <w:t>)</w:t>
      </w:r>
      <w:r w:rsidR="00AA2A9B">
        <w:t>.</w:t>
      </w:r>
    </w:p>
    <w:p w14:paraId="553CF60F" w14:textId="0C24ACB0" w:rsidR="00F406FD" w:rsidRDefault="00524B98" w:rsidP="00D11147">
      <w:pPr>
        <w:pStyle w:val="Heading2"/>
        <w:keepNext w:val="0"/>
        <w:ind w:left="11"/>
      </w:pPr>
      <w:bookmarkStart w:id="14" w:name="_Toc137726595"/>
      <w:r>
        <w:t>2.2</w:t>
      </w:r>
      <w:r>
        <w:tab/>
      </w:r>
      <w:r w:rsidR="00F406FD">
        <w:t>Available spectrum</w:t>
      </w:r>
      <w:bookmarkEnd w:id="14"/>
      <w:r w:rsidR="00F406FD">
        <w:t xml:space="preserve"> </w:t>
      </w:r>
    </w:p>
    <w:p w14:paraId="1EB882FB" w14:textId="2EC983BE" w:rsidR="00F406FD" w:rsidRDefault="00F406FD" w:rsidP="00D11147">
      <w:pPr>
        <w:pStyle w:val="Paragraph"/>
        <w:ind w:left="11"/>
      </w:pPr>
      <w:r>
        <w:rPr>
          <w:szCs w:val="20"/>
        </w:rPr>
        <w:t>A</w:t>
      </w:r>
      <w:r>
        <w:t xml:space="preserve"> total of </w:t>
      </w:r>
      <w:r w:rsidR="002E04F1">
        <w:t xml:space="preserve">up to </w:t>
      </w:r>
      <w:r>
        <w:t xml:space="preserve">600 MHz of spectrum </w:t>
      </w:r>
      <w:r w:rsidRPr="00B40AC9">
        <w:t xml:space="preserve">is being made available for apparatus licensing as 60 x 10 MHz channels (which can be aggregated) across the </w:t>
      </w:r>
      <w:r w:rsidR="00D62060">
        <w:t>3.4–4.0 GHz</w:t>
      </w:r>
      <w:r w:rsidRPr="00B40AC9">
        <w:t xml:space="preserve"> </w:t>
      </w:r>
      <w:r w:rsidR="00EB3D75">
        <w:t>band</w:t>
      </w:r>
      <w:r w:rsidR="00BC39BE">
        <w:t xml:space="preserve">, </w:t>
      </w:r>
      <w:r w:rsidRPr="00B40AC9">
        <w:t xml:space="preserve">in aggregable geographic cells down to </w:t>
      </w:r>
      <w:r w:rsidR="009C5A6E">
        <w:t>Hierarchical</w:t>
      </w:r>
      <w:r w:rsidR="005F7D85">
        <w:t xml:space="preserve"> Cell </w:t>
      </w:r>
      <w:r w:rsidR="003F2A91">
        <w:t>Identification</w:t>
      </w:r>
      <w:r w:rsidR="005F7D85">
        <w:t xml:space="preserve"> Scheme (HCIS) level 0</w:t>
      </w:r>
      <w:r w:rsidR="00AC43D1">
        <w:t xml:space="preserve"> (</w:t>
      </w:r>
      <w:r w:rsidR="005F7D85">
        <w:t xml:space="preserve">an area of </w:t>
      </w:r>
      <w:r w:rsidRPr="00B40AC9">
        <w:t>approximately 1800 x 1800 m in size</w:t>
      </w:r>
      <w:r w:rsidR="00AC43D1">
        <w:t>)</w:t>
      </w:r>
      <w:r w:rsidRPr="00B40AC9">
        <w:t>, for the purpose of apparatus</w:t>
      </w:r>
      <w:r>
        <w:t xml:space="preserve"> licensing.</w:t>
      </w:r>
      <w:r w:rsidR="00A25544">
        <w:rPr>
          <w:rStyle w:val="FootnoteReference"/>
        </w:rPr>
        <w:footnoteReference w:id="3"/>
      </w:r>
      <w:r w:rsidR="008A5663">
        <w:rPr>
          <w:rStyle w:val="FootnoteReference"/>
        </w:rPr>
        <w:t xml:space="preserve"> </w:t>
      </w:r>
      <w:r>
        <w:t>A</w:t>
      </w:r>
      <w:r w:rsidRPr="007F5B21">
        <w:rPr>
          <w:szCs w:val="20"/>
        </w:rPr>
        <w:t xml:space="preserve">n administrative allocation </w:t>
      </w:r>
      <w:r w:rsidR="006F7F3F">
        <w:rPr>
          <w:szCs w:val="20"/>
        </w:rPr>
        <w:t>quantum</w:t>
      </w:r>
      <w:r w:rsidR="00BC39BE">
        <w:rPr>
          <w:szCs w:val="20"/>
        </w:rPr>
        <w:t xml:space="preserve"> policy</w:t>
      </w:r>
      <w:r w:rsidR="006F7F3F" w:rsidRPr="007F5B21">
        <w:rPr>
          <w:szCs w:val="20"/>
        </w:rPr>
        <w:t xml:space="preserve"> </w:t>
      </w:r>
      <w:r w:rsidRPr="007F5B21">
        <w:rPr>
          <w:szCs w:val="20"/>
        </w:rPr>
        <w:t xml:space="preserve">of </w:t>
      </w:r>
      <w:r w:rsidR="0038464D" w:rsidRPr="00A82D1C">
        <w:rPr>
          <w:szCs w:val="20"/>
        </w:rPr>
        <w:t xml:space="preserve">100 </w:t>
      </w:r>
      <w:r w:rsidRPr="00A82D1C">
        <w:rPr>
          <w:szCs w:val="20"/>
        </w:rPr>
        <w:t>MHz</w:t>
      </w:r>
      <w:r w:rsidRPr="007F5B21">
        <w:rPr>
          <w:szCs w:val="20"/>
        </w:rPr>
        <w:t xml:space="preserve"> </w:t>
      </w:r>
      <w:r w:rsidR="00BC39BE">
        <w:rPr>
          <w:szCs w:val="20"/>
        </w:rPr>
        <w:t xml:space="preserve">has been adopted </w:t>
      </w:r>
      <w:r w:rsidRPr="007F5B21">
        <w:rPr>
          <w:szCs w:val="20"/>
        </w:rPr>
        <w:t xml:space="preserve">to AWLs in </w:t>
      </w:r>
      <w:r w:rsidR="00D62060">
        <w:t>3.4–4.0 GHz</w:t>
      </w:r>
      <w:r w:rsidRPr="007F5B21">
        <w:rPr>
          <w:szCs w:val="20"/>
        </w:rPr>
        <w:t xml:space="preserve"> remote</w:t>
      </w:r>
      <w:r>
        <w:rPr>
          <w:szCs w:val="20"/>
        </w:rPr>
        <w:t xml:space="preserve"> </w:t>
      </w:r>
      <w:r w:rsidR="004C7C47">
        <w:rPr>
          <w:szCs w:val="20"/>
        </w:rPr>
        <w:t xml:space="preserve">areas, </w:t>
      </w:r>
      <w:r>
        <w:rPr>
          <w:szCs w:val="20"/>
        </w:rPr>
        <w:t xml:space="preserve">in </w:t>
      </w:r>
      <w:r w:rsidR="004C7C47">
        <w:rPr>
          <w:szCs w:val="20"/>
        </w:rPr>
        <w:t xml:space="preserve">relation to </w:t>
      </w:r>
      <w:r w:rsidR="005F7D85">
        <w:rPr>
          <w:szCs w:val="20"/>
        </w:rPr>
        <w:t>each HCIS level 0 cell</w:t>
      </w:r>
      <w:r w:rsidR="000B24E1">
        <w:t xml:space="preserve"> </w:t>
      </w:r>
      <w:r w:rsidR="008E536F">
        <w:br/>
      </w:r>
      <w:r w:rsidR="000B24E1">
        <w:t xml:space="preserve">(see </w:t>
      </w:r>
      <w:hyperlink w:anchor="_Allocation_limits" w:history="1">
        <w:r w:rsidR="002539E2" w:rsidRPr="00F055FD">
          <w:rPr>
            <w:rStyle w:val="Hyperlink"/>
          </w:rPr>
          <w:t>Allocation process</w:t>
        </w:r>
      </w:hyperlink>
      <w:r w:rsidR="000B24E1">
        <w:t>)</w:t>
      </w:r>
      <w:r>
        <w:t>.</w:t>
      </w:r>
    </w:p>
    <w:p w14:paraId="27858F62" w14:textId="689721A0" w:rsidR="00F406FD" w:rsidRDefault="00F406FD" w:rsidP="00D11147">
      <w:pPr>
        <w:pStyle w:val="Paragraphbeforelist"/>
        <w:ind w:left="11"/>
        <w:rPr>
          <w:szCs w:val="20"/>
        </w:rPr>
      </w:pPr>
      <w:r w:rsidRPr="00BE3EE8">
        <w:t>This amount of spectrum is intended to support a range of spectrum use</w:t>
      </w:r>
      <w:r w:rsidR="00BE3EE8" w:rsidRPr="00BE3EE8">
        <w:t xml:space="preserve"> cases, </w:t>
      </w:r>
      <w:r>
        <w:rPr>
          <w:szCs w:val="20"/>
        </w:rPr>
        <w:t xml:space="preserve">including: </w:t>
      </w:r>
    </w:p>
    <w:p w14:paraId="49DA5EEB" w14:textId="207709FA" w:rsidR="00F406FD" w:rsidRPr="00AD599C" w:rsidRDefault="00F406FD" w:rsidP="00F055FD">
      <w:pPr>
        <w:pStyle w:val="Bulletlevel1"/>
      </w:pPr>
      <w:r w:rsidRPr="00AD599C">
        <w:t xml:space="preserve">wireless </w:t>
      </w:r>
      <w:r w:rsidR="004E75E2" w:rsidRPr="00AD599C">
        <w:t xml:space="preserve">mobile </w:t>
      </w:r>
      <w:r w:rsidRPr="00AD599C">
        <w:t>broadband services</w:t>
      </w:r>
    </w:p>
    <w:p w14:paraId="59783FAD" w14:textId="11C67777" w:rsidR="00F406FD" w:rsidRPr="00AD599C" w:rsidRDefault="00F406FD" w:rsidP="00F055FD">
      <w:pPr>
        <w:pStyle w:val="Bulletlevel1"/>
      </w:pPr>
      <w:r w:rsidRPr="00AD599C">
        <w:t xml:space="preserve">fixed wireless access (FWA) </w:t>
      </w:r>
    </w:p>
    <w:p w14:paraId="752FB5AC" w14:textId="77777777" w:rsidR="00F406FD" w:rsidRPr="00AD599C" w:rsidRDefault="00F406FD" w:rsidP="00F055FD">
      <w:pPr>
        <w:pStyle w:val="Bulletlevel1"/>
      </w:pPr>
      <w:r w:rsidRPr="00AD599C">
        <w:t>private networks operating over limited areas, such as rail corridors, a hospital, an education precinct, mine or an industrial facility, either as an ‘industry vertical’ or as a service by an enterprise provider</w:t>
      </w:r>
    </w:p>
    <w:p w14:paraId="425981EB" w14:textId="639E3877" w:rsidR="00F406FD" w:rsidRPr="00AD599C" w:rsidRDefault="00F406FD" w:rsidP="00F055FD">
      <w:pPr>
        <w:pStyle w:val="Bulletlevel1"/>
      </w:pPr>
      <w:r w:rsidRPr="00AD599C">
        <w:t xml:space="preserve">dedicated (for example, government only) </w:t>
      </w:r>
      <w:r w:rsidR="00AC335D" w:rsidRPr="00AD599C">
        <w:t>WBB</w:t>
      </w:r>
      <w:r w:rsidRPr="00AD599C">
        <w:t xml:space="preserve"> networks</w:t>
      </w:r>
    </w:p>
    <w:p w14:paraId="0874EC3A" w14:textId="77777777" w:rsidR="00F406FD" w:rsidRPr="00AD599C" w:rsidRDefault="00F406FD" w:rsidP="00F055FD">
      <w:pPr>
        <w:pStyle w:val="Bulletlevel1"/>
      </w:pPr>
      <w:r w:rsidRPr="00AD599C">
        <w:t>Internet of Things (IoT)</w:t>
      </w:r>
    </w:p>
    <w:p w14:paraId="0897165C" w14:textId="77777777" w:rsidR="00F406FD" w:rsidRDefault="00F406FD" w:rsidP="00F055FD">
      <w:pPr>
        <w:pStyle w:val="Bulletlevel1last"/>
      </w:pPr>
      <w:r w:rsidRPr="00730E51">
        <w:t>machine-to-machine</w:t>
      </w:r>
      <w:r>
        <w:t xml:space="preserve"> (M2M) communications.</w:t>
      </w:r>
    </w:p>
    <w:p w14:paraId="27417E1F" w14:textId="77777777" w:rsidR="00F406FD" w:rsidRDefault="00F406FD" w:rsidP="00D11147">
      <w:pPr>
        <w:pStyle w:val="Paragraphbeforelist"/>
        <w:ind w:left="11"/>
      </w:pPr>
      <w:r>
        <w:t>This spectrum and associated use cases are likely to be of interest to the following types of spectrum users:</w:t>
      </w:r>
    </w:p>
    <w:p w14:paraId="774B1FD2" w14:textId="571859D0" w:rsidR="000140FE" w:rsidRPr="00AD599C" w:rsidRDefault="00DB3363" w:rsidP="00F055FD">
      <w:pPr>
        <w:pStyle w:val="Bulletlevel1"/>
      </w:pPr>
      <w:r w:rsidRPr="00AD599C">
        <w:t>mobile network operators</w:t>
      </w:r>
      <w:r w:rsidR="0012581A" w:rsidRPr="00AD599C">
        <w:t>,</w:t>
      </w:r>
      <w:r w:rsidR="00F406FD" w:rsidRPr="00AD599C">
        <w:t xml:space="preserve"> </w:t>
      </w:r>
      <w:r w:rsidR="0012581A" w:rsidRPr="00AD599C">
        <w:t xml:space="preserve">including for </w:t>
      </w:r>
      <w:r w:rsidR="008E536F" w:rsidRPr="00AD599C">
        <w:t>‘</w:t>
      </w:r>
      <w:r w:rsidR="0012581A" w:rsidRPr="00AD599C">
        <w:t>mobile blackspots</w:t>
      </w:r>
      <w:r w:rsidR="008E536F" w:rsidRPr="00AD599C">
        <w:t>’</w:t>
      </w:r>
      <w:r w:rsidR="0012581A" w:rsidRPr="00AD599C">
        <w:t xml:space="preserve"> programs</w:t>
      </w:r>
    </w:p>
    <w:p w14:paraId="3567A2C2" w14:textId="5C3A718E" w:rsidR="00F406FD" w:rsidRPr="00AD599C" w:rsidRDefault="008E536F" w:rsidP="00F055FD">
      <w:pPr>
        <w:pStyle w:val="Bulletlevel1"/>
      </w:pPr>
      <w:r w:rsidRPr="00AD599C">
        <w:t>w</w:t>
      </w:r>
      <w:r w:rsidR="00DB3363" w:rsidRPr="00AD599C">
        <w:t>ireless internet service providers</w:t>
      </w:r>
    </w:p>
    <w:p w14:paraId="63DBCACF" w14:textId="77777777" w:rsidR="00F406FD" w:rsidRPr="00AD599C" w:rsidRDefault="00F406FD" w:rsidP="00F055FD">
      <w:pPr>
        <w:pStyle w:val="Bulletlevel1"/>
      </w:pPr>
      <w:r w:rsidRPr="00AD599C">
        <w:t>enterprise providers</w:t>
      </w:r>
    </w:p>
    <w:p w14:paraId="62BCE0E9" w14:textId="61F00A94" w:rsidR="00F406FD" w:rsidRPr="00B6487C" w:rsidRDefault="00F406FD" w:rsidP="00F055FD">
      <w:pPr>
        <w:pStyle w:val="Bulletlevel1last"/>
      </w:pPr>
      <w:r>
        <w:t>wholesale infrastructure providers</w:t>
      </w:r>
      <w:r w:rsidR="00FB2383">
        <w:t>.</w:t>
      </w:r>
    </w:p>
    <w:p w14:paraId="2BDE5EF9" w14:textId="0039D21C" w:rsidR="00F406FD" w:rsidRDefault="00524B98" w:rsidP="00074C37">
      <w:pPr>
        <w:pStyle w:val="Heading2"/>
        <w:ind w:left="11"/>
      </w:pPr>
      <w:bookmarkStart w:id="15" w:name="_Geographical_areas"/>
      <w:bookmarkStart w:id="16" w:name="_Toc137726596"/>
      <w:bookmarkEnd w:id="15"/>
      <w:r>
        <w:t>2.3</w:t>
      </w:r>
      <w:r>
        <w:tab/>
      </w:r>
      <w:r w:rsidR="00F406FD">
        <w:t>Geographical area</w:t>
      </w:r>
      <w:r w:rsidR="00692C26">
        <w:t>s</w:t>
      </w:r>
      <w:bookmarkEnd w:id="16"/>
      <w:r w:rsidR="00F406FD">
        <w:t xml:space="preserve"> </w:t>
      </w:r>
    </w:p>
    <w:p w14:paraId="0CEE30AF" w14:textId="49232B21" w:rsidR="00F406FD" w:rsidRPr="00AA5C19" w:rsidRDefault="00F406FD" w:rsidP="00D11147">
      <w:pPr>
        <w:pStyle w:val="Paragraph"/>
        <w:ind w:left="11"/>
      </w:pPr>
      <w:r w:rsidRPr="00AA5C19">
        <w:t>The ACMA has defined geographical areas</w:t>
      </w:r>
      <w:r w:rsidRPr="00AA5C19">
        <w:rPr>
          <w:vertAlign w:val="superscript"/>
        </w:rPr>
        <w:footnoteReference w:id="4"/>
      </w:r>
      <w:r w:rsidRPr="00AA5C19">
        <w:rPr>
          <w:vertAlign w:val="superscript"/>
        </w:rPr>
        <w:t xml:space="preserve"> </w:t>
      </w:r>
      <w:r w:rsidRPr="00AA5C19">
        <w:t xml:space="preserve">for the </w:t>
      </w:r>
      <w:r w:rsidR="00B324FE">
        <w:t>3.4</w:t>
      </w:r>
      <w:r w:rsidRPr="00AA5C19">
        <w:t>–4</w:t>
      </w:r>
      <w:r w:rsidR="00D74297">
        <w:t>.</w:t>
      </w:r>
      <w:r w:rsidR="00605A1E">
        <w:t>0</w:t>
      </w:r>
      <w:r w:rsidR="00D74297">
        <w:t xml:space="preserve"> G</w:t>
      </w:r>
      <w:r w:rsidRPr="00AA5C19">
        <w:t>Hz band</w:t>
      </w:r>
      <w:r w:rsidR="00FB2E0F">
        <w:t xml:space="preserve"> </w:t>
      </w:r>
      <w:r w:rsidR="008E536F">
        <w:t xml:space="preserve">that </w:t>
      </w:r>
      <w:r w:rsidR="00FB2E0F">
        <w:t xml:space="preserve">were used in the </w:t>
      </w:r>
      <w:r w:rsidR="002F3DE8">
        <w:t>planning decisions process</w:t>
      </w:r>
      <w:r w:rsidRPr="00AA5C19">
        <w:t>. A brief description of each follows:</w:t>
      </w:r>
    </w:p>
    <w:p w14:paraId="28CE52DD" w14:textId="653A62F5" w:rsidR="00F406FD" w:rsidRPr="00F44FD7" w:rsidRDefault="00F406FD" w:rsidP="00F055FD">
      <w:pPr>
        <w:pStyle w:val="Bulletlevel1"/>
      </w:pPr>
      <w:r w:rsidRPr="00F055FD">
        <w:rPr>
          <w:b/>
          <w:bCs/>
        </w:rPr>
        <w:t>Metropolitan</w:t>
      </w:r>
      <w:r w:rsidR="008E536F" w:rsidRPr="00F055FD">
        <w:rPr>
          <w:b/>
          <w:bCs/>
        </w:rPr>
        <w:t>:</w:t>
      </w:r>
      <w:r w:rsidRPr="00F44FD7">
        <w:t xml:space="preserve"> covers all capital cities (except Darwin and Hobart). It mirrors the metropolitan areas </w:t>
      </w:r>
      <w:r w:rsidR="00131B99">
        <w:t>subject to spectrum licensing in</w:t>
      </w:r>
      <w:r w:rsidR="001360B6">
        <w:t xml:space="preserve"> the 3575–3700 MHz band (3.6 GHz band) as</w:t>
      </w:r>
      <w:r w:rsidR="00131B99">
        <w:t xml:space="preserve"> </w:t>
      </w:r>
      <w:r w:rsidRPr="00F44FD7">
        <w:t xml:space="preserve">defined in the </w:t>
      </w:r>
      <w:hyperlink r:id="rId28" w:history="1">
        <w:r w:rsidRPr="00F055FD">
          <w:rPr>
            <w:color w:val="0000FF"/>
            <w:u w:val="single" w:color="0000FF"/>
          </w:rPr>
          <w:t>Radiocommunications (Spectrum Re-allocation—3.6 GHz Band for Adelaide and Eastern Metropolitan Australia) Declaration 2018</w:t>
        </w:r>
      </w:hyperlink>
      <w:r w:rsidRPr="00F44FD7">
        <w:t xml:space="preserve"> and the </w:t>
      </w:r>
      <w:hyperlink r:id="rId29" w:history="1">
        <w:r w:rsidRPr="00F055FD">
          <w:rPr>
            <w:color w:val="0000FF"/>
            <w:u w:val="single" w:color="0000FF"/>
          </w:rPr>
          <w:t>Radiocommunications (Spectrum Re-allocation—3.6</w:t>
        </w:r>
        <w:r w:rsidR="00391A9A" w:rsidRPr="00F055FD">
          <w:rPr>
            <w:color w:val="0000FF"/>
            <w:u w:val="single" w:color="0000FF"/>
          </w:rPr>
          <w:t> </w:t>
        </w:r>
        <w:r w:rsidRPr="00F055FD">
          <w:rPr>
            <w:color w:val="0000FF"/>
            <w:u w:val="single" w:color="0000FF"/>
          </w:rPr>
          <w:t>GHz Band for Perth) Declaration 2018</w:t>
        </w:r>
      </w:hyperlink>
      <w:r w:rsidRPr="00F44FD7">
        <w:rPr>
          <w:i/>
        </w:rPr>
        <w:t>.</w:t>
      </w:r>
    </w:p>
    <w:p w14:paraId="0E4D9EFC" w14:textId="0BF34645" w:rsidR="00F406FD" w:rsidRPr="00F44FD7" w:rsidRDefault="00F406FD" w:rsidP="00F055FD">
      <w:pPr>
        <w:pStyle w:val="Bulletlevel1"/>
      </w:pPr>
      <w:r w:rsidRPr="00F055FD">
        <w:rPr>
          <w:b/>
          <w:bCs/>
        </w:rPr>
        <w:t>Regional</w:t>
      </w:r>
      <w:r w:rsidR="008E536F">
        <w:rPr>
          <w:b/>
          <w:bCs/>
        </w:rPr>
        <w:t>:</w:t>
      </w:r>
      <w:r w:rsidRPr="00F44FD7">
        <w:t xml:space="preserve"> mirrors the regional areas subject to spectrum licensing in the 3.6 GHz band as defined in the </w:t>
      </w:r>
      <w:hyperlink r:id="rId30" w:history="1">
        <w:r w:rsidRPr="00F055FD">
          <w:rPr>
            <w:color w:val="0000FF"/>
            <w:u w:val="single" w:color="0000FF"/>
          </w:rPr>
          <w:t>Radiocommunications (Spectrum Re-allocation—3.6 GHz Band for Regional Areas) Declaration 2018</w:t>
        </w:r>
      </w:hyperlink>
      <w:r w:rsidRPr="00F44FD7">
        <w:t>.</w:t>
      </w:r>
    </w:p>
    <w:p w14:paraId="52D8F3F3" w14:textId="390B1A18" w:rsidR="00F406FD" w:rsidRPr="00F44FD7" w:rsidRDefault="00F406FD" w:rsidP="00F055FD">
      <w:pPr>
        <w:pStyle w:val="Bulletlevel1"/>
      </w:pPr>
      <w:r w:rsidRPr="00F055FD">
        <w:rPr>
          <w:b/>
          <w:bCs/>
        </w:rPr>
        <w:t>Remote</w:t>
      </w:r>
      <w:r w:rsidR="008E536F">
        <w:rPr>
          <w:b/>
          <w:bCs/>
        </w:rPr>
        <w:t>:</w:t>
      </w:r>
      <w:r w:rsidRPr="00F44FD7">
        <w:t xml:space="preserve"> includes those areas of Australia </w:t>
      </w:r>
      <w:r w:rsidR="00AA3795">
        <w:t xml:space="preserve">within the </w:t>
      </w:r>
      <w:hyperlink r:id="rId31" w:history="1">
        <w:r w:rsidR="00AA3795" w:rsidRPr="00F055FD">
          <w:rPr>
            <w:rStyle w:val="Hyperlink"/>
            <w:szCs w:val="22"/>
          </w:rPr>
          <w:t xml:space="preserve">Australian </w:t>
        </w:r>
        <w:r w:rsidR="00F36FAD">
          <w:rPr>
            <w:rStyle w:val="Hyperlink"/>
            <w:szCs w:val="22"/>
          </w:rPr>
          <w:t>s</w:t>
        </w:r>
        <w:r w:rsidR="00AA3795" w:rsidRPr="00F055FD">
          <w:rPr>
            <w:rStyle w:val="Hyperlink"/>
            <w:szCs w:val="22"/>
          </w:rPr>
          <w:t xml:space="preserve">pectrum </w:t>
        </w:r>
        <w:r w:rsidR="00F36FAD">
          <w:rPr>
            <w:rStyle w:val="Hyperlink"/>
            <w:szCs w:val="22"/>
          </w:rPr>
          <w:t>m</w:t>
        </w:r>
        <w:r w:rsidR="00AA3795" w:rsidRPr="00F055FD">
          <w:rPr>
            <w:rStyle w:val="Hyperlink"/>
            <w:szCs w:val="22"/>
          </w:rPr>
          <w:t xml:space="preserve">ap </w:t>
        </w:r>
        <w:r w:rsidR="00F36FAD">
          <w:rPr>
            <w:rStyle w:val="Hyperlink"/>
            <w:szCs w:val="22"/>
          </w:rPr>
          <w:t>g</w:t>
        </w:r>
        <w:r w:rsidR="00AA3795" w:rsidRPr="00F055FD">
          <w:rPr>
            <w:rStyle w:val="Hyperlink"/>
            <w:szCs w:val="22"/>
          </w:rPr>
          <w:t>rid</w:t>
        </w:r>
      </w:hyperlink>
      <w:r w:rsidR="00AA3795" w:rsidRPr="00F41E4E">
        <w:rPr>
          <w:i/>
          <w:iCs/>
        </w:rPr>
        <w:t xml:space="preserve"> </w:t>
      </w:r>
      <w:r w:rsidRPr="00F44FD7">
        <w:t xml:space="preserve">not covered by metropolitan and </w:t>
      </w:r>
      <w:r>
        <w:t>r</w:t>
      </w:r>
      <w:r w:rsidRPr="00F44FD7">
        <w:t>egional areas</w:t>
      </w:r>
      <w:r w:rsidR="003D6B9E">
        <w:t xml:space="preserve"> (see Table 1)</w:t>
      </w:r>
      <w:r w:rsidRPr="00F44FD7">
        <w:t xml:space="preserve">. </w:t>
      </w:r>
    </w:p>
    <w:p w14:paraId="68139947" w14:textId="46493432" w:rsidR="00F406FD" w:rsidRPr="00E94431" w:rsidRDefault="00F406FD" w:rsidP="00F055FD">
      <w:pPr>
        <w:pStyle w:val="Bulletlevel1last"/>
        <w:rPr>
          <w:bCs/>
          <w:iCs/>
          <w:color w:val="000000" w:themeColor="text1"/>
        </w:rPr>
      </w:pPr>
      <w:r w:rsidRPr="00F055FD">
        <w:rPr>
          <w:b/>
          <w:bCs/>
        </w:rPr>
        <w:t>Australia-wide</w:t>
      </w:r>
      <w:r w:rsidR="008E536F">
        <w:rPr>
          <w:b/>
          <w:bCs/>
        </w:rPr>
        <w:t>:</w:t>
      </w:r>
      <w:r w:rsidRPr="00F44FD7">
        <w:t xml:space="preserve"> covers all of Australia but excludes </w:t>
      </w:r>
      <w:r w:rsidR="001360B6">
        <w:t xml:space="preserve">any </w:t>
      </w:r>
      <w:r w:rsidRPr="00F44FD7">
        <w:t>Australian external territories.</w:t>
      </w:r>
    </w:p>
    <w:p w14:paraId="52EC1720" w14:textId="46434D3F" w:rsidR="00F406FD" w:rsidRDefault="00F406FD" w:rsidP="00D11147">
      <w:pPr>
        <w:keepNext/>
        <w:keepLines/>
        <w:ind w:left="11"/>
        <w:rPr>
          <w:b/>
          <w:iCs/>
          <w:color w:val="000000" w:themeColor="text1"/>
        </w:rPr>
      </w:pPr>
      <w:r>
        <w:rPr>
          <w:b/>
          <w:iCs/>
          <w:color w:val="000000" w:themeColor="text1"/>
        </w:rPr>
        <w:t xml:space="preserve">Figure 1: Map of remote </w:t>
      </w:r>
      <w:r w:rsidR="000D1060">
        <w:rPr>
          <w:b/>
          <w:iCs/>
          <w:color w:val="000000" w:themeColor="text1"/>
        </w:rPr>
        <w:t>areas</w:t>
      </w:r>
    </w:p>
    <w:p w14:paraId="46401AC4" w14:textId="397D1BD9" w:rsidR="00F406FD" w:rsidRDefault="00DE5915" w:rsidP="00D11147">
      <w:pPr>
        <w:keepNext/>
        <w:keepLines/>
        <w:ind w:left="11"/>
        <w:rPr>
          <w:b/>
          <w:iCs/>
          <w:color w:val="000000" w:themeColor="text1"/>
        </w:rPr>
      </w:pPr>
      <w:r w:rsidRPr="000E5A91">
        <w:rPr>
          <w:rFonts w:cs="Arial"/>
          <w:noProof/>
        </w:rPr>
        <w:drawing>
          <wp:inline distT="0" distB="0" distL="0" distR="0" wp14:anchorId="70A3EF8B" wp14:editId="2E2E30FC">
            <wp:extent cx="4871085" cy="3678409"/>
            <wp:effectExtent l="0" t="0" r="5715" b="0"/>
            <wp:docPr id="13" name="Picture 13" descr="Figure 1: Map of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Map of remote areas"/>
                    <pic:cNvPicPr/>
                  </pic:nvPicPr>
                  <pic:blipFill>
                    <a:blip r:embed="rId32"/>
                    <a:stretch>
                      <a:fillRect/>
                    </a:stretch>
                  </pic:blipFill>
                  <pic:spPr>
                    <a:xfrm>
                      <a:off x="0" y="0"/>
                      <a:ext cx="4871085" cy="3678409"/>
                    </a:xfrm>
                    <a:prstGeom prst="rect">
                      <a:avLst/>
                    </a:prstGeom>
                  </pic:spPr>
                </pic:pic>
              </a:graphicData>
            </a:graphic>
          </wp:inline>
        </w:drawing>
      </w:r>
    </w:p>
    <w:p w14:paraId="244F9983" w14:textId="45C7BB93" w:rsidR="00F406FD" w:rsidRPr="00682BB0" w:rsidRDefault="00F406FD" w:rsidP="00D11147">
      <w:pPr>
        <w:pStyle w:val="Paragraph"/>
        <w:ind w:left="11"/>
        <w:rPr>
          <w:rFonts w:ascii="Times New Roman" w:hAnsi="Times New Roman"/>
          <w:szCs w:val="20"/>
        </w:rPr>
      </w:pPr>
      <w:r w:rsidRPr="00682BB0">
        <w:rPr>
          <w:szCs w:val="20"/>
        </w:rPr>
        <w:t xml:space="preserve">The Australian </w:t>
      </w:r>
      <w:r w:rsidR="00F36FAD">
        <w:rPr>
          <w:szCs w:val="20"/>
        </w:rPr>
        <w:t>s</w:t>
      </w:r>
      <w:r w:rsidRPr="00682BB0">
        <w:rPr>
          <w:szCs w:val="20"/>
        </w:rPr>
        <w:t xml:space="preserve">pectrum </w:t>
      </w:r>
      <w:r w:rsidR="00F36FAD">
        <w:rPr>
          <w:szCs w:val="20"/>
        </w:rPr>
        <w:t>m</w:t>
      </w:r>
      <w:r w:rsidRPr="00682BB0">
        <w:rPr>
          <w:szCs w:val="20"/>
        </w:rPr>
        <w:t xml:space="preserve">ap </w:t>
      </w:r>
      <w:r w:rsidR="00F36FAD">
        <w:rPr>
          <w:szCs w:val="20"/>
        </w:rPr>
        <w:t>g</w:t>
      </w:r>
      <w:r w:rsidRPr="00682BB0">
        <w:rPr>
          <w:szCs w:val="20"/>
        </w:rPr>
        <w:t xml:space="preserve">rid (ASMG) is used to define geographical areas over which spectrum and area-wide licences are issued. The Hierarchical Cell Identification Scheme (HCIS) is a naming convention developed by the ACMA that applies unique ‘names’ to each of the cells that make up the ASMG. The ASMG and HCIS are described in detail in the </w:t>
      </w:r>
      <w:hyperlink r:id="rId33" w:history="1">
        <w:r w:rsidRPr="00F055FD">
          <w:rPr>
            <w:rStyle w:val="Hyperlink"/>
            <w:szCs w:val="20"/>
          </w:rPr>
          <w:t xml:space="preserve">Australian </w:t>
        </w:r>
        <w:r w:rsidR="00F36FAD">
          <w:rPr>
            <w:rStyle w:val="Hyperlink"/>
            <w:szCs w:val="20"/>
          </w:rPr>
          <w:t>s</w:t>
        </w:r>
        <w:r w:rsidRPr="00F055FD">
          <w:rPr>
            <w:rStyle w:val="Hyperlink"/>
            <w:szCs w:val="20"/>
          </w:rPr>
          <w:t xml:space="preserve">pectrum </w:t>
        </w:r>
        <w:r w:rsidR="00F36FAD">
          <w:rPr>
            <w:rStyle w:val="Hyperlink"/>
            <w:szCs w:val="20"/>
          </w:rPr>
          <w:t>m</w:t>
        </w:r>
        <w:r w:rsidRPr="00F055FD">
          <w:rPr>
            <w:rStyle w:val="Hyperlink"/>
            <w:szCs w:val="20"/>
          </w:rPr>
          <w:t xml:space="preserve">ap </w:t>
        </w:r>
        <w:r w:rsidR="00F36FAD">
          <w:rPr>
            <w:rStyle w:val="Hyperlink"/>
            <w:szCs w:val="20"/>
          </w:rPr>
          <w:t>g</w:t>
        </w:r>
        <w:r w:rsidRPr="00F055FD">
          <w:rPr>
            <w:rStyle w:val="Hyperlink"/>
            <w:szCs w:val="20"/>
          </w:rPr>
          <w:t>rid</w:t>
        </w:r>
      </w:hyperlink>
      <w:r w:rsidRPr="00682BB0">
        <w:rPr>
          <w:szCs w:val="20"/>
        </w:rPr>
        <w:t>.</w:t>
      </w:r>
      <w:r w:rsidRPr="00682BB0">
        <w:rPr>
          <w:rFonts w:ascii="Times New Roman" w:hAnsi="Times New Roman"/>
          <w:szCs w:val="20"/>
        </w:rPr>
        <w:t xml:space="preserve"> </w:t>
      </w:r>
    </w:p>
    <w:p w14:paraId="1CC0F4EF" w14:textId="7852C9E3" w:rsidR="00F406FD" w:rsidRPr="00682BB0" w:rsidRDefault="00F406FD" w:rsidP="00D11147">
      <w:pPr>
        <w:pStyle w:val="Paragraph"/>
        <w:ind w:left="11"/>
        <w:rPr>
          <w:szCs w:val="20"/>
        </w:rPr>
      </w:pPr>
      <w:r w:rsidRPr="00682BB0">
        <w:rPr>
          <w:szCs w:val="20"/>
        </w:rPr>
        <w:t xml:space="preserve">The HCIS coordinates in </w:t>
      </w:r>
      <w:r w:rsidR="00AA2A9B">
        <w:rPr>
          <w:szCs w:val="20"/>
        </w:rPr>
        <w:t xml:space="preserve">the </w:t>
      </w:r>
      <w:r w:rsidRPr="00682BB0">
        <w:rPr>
          <w:szCs w:val="20"/>
        </w:rPr>
        <w:t xml:space="preserve">description of the area </w:t>
      </w:r>
      <w:r w:rsidR="00FA2BB3">
        <w:rPr>
          <w:szCs w:val="20"/>
        </w:rPr>
        <w:t xml:space="preserve">in Table </w:t>
      </w:r>
      <w:r w:rsidR="00AA2A9B">
        <w:rPr>
          <w:szCs w:val="20"/>
        </w:rPr>
        <w:t>1</w:t>
      </w:r>
      <w:r w:rsidR="00FA2BB3" w:rsidRPr="00682BB0">
        <w:rPr>
          <w:szCs w:val="20"/>
        </w:rPr>
        <w:t xml:space="preserve"> </w:t>
      </w:r>
      <w:r w:rsidRPr="00682BB0">
        <w:rPr>
          <w:szCs w:val="20"/>
        </w:rPr>
        <w:t xml:space="preserve">can be converted into a Placemark file (viewable in Google Earth) through a facility on </w:t>
      </w:r>
      <w:r w:rsidRPr="002D6E77">
        <w:rPr>
          <w:szCs w:val="20"/>
        </w:rPr>
        <w:t xml:space="preserve">the </w:t>
      </w:r>
      <w:hyperlink r:id="rId34" w:history="1">
        <w:r w:rsidRPr="00F41E4E">
          <w:rPr>
            <w:rStyle w:val="Hyperlink"/>
            <w:szCs w:val="20"/>
          </w:rPr>
          <w:t>ACMA website</w:t>
        </w:r>
      </w:hyperlink>
      <w:r w:rsidRPr="00682BB0">
        <w:rPr>
          <w:szCs w:val="20"/>
        </w:rPr>
        <w:t xml:space="preserve">. </w:t>
      </w:r>
    </w:p>
    <w:p w14:paraId="1F37374C" w14:textId="6E8BD858" w:rsidR="00BB1E36" w:rsidRPr="00682BB0" w:rsidRDefault="007A7706" w:rsidP="00D11147">
      <w:pPr>
        <w:pStyle w:val="Paragraph"/>
        <w:ind w:left="11"/>
        <w:rPr>
          <w:szCs w:val="20"/>
        </w:rPr>
      </w:pPr>
      <w:r>
        <w:t>D</w:t>
      </w:r>
      <w:r w:rsidR="003C5699">
        <w:t>efin</w:t>
      </w:r>
      <w:r>
        <w:t>ing</w:t>
      </w:r>
      <w:r w:rsidR="003C5699">
        <w:t xml:space="preserve"> </w:t>
      </w:r>
      <w:r>
        <w:t>AWL</w:t>
      </w:r>
      <w:r w:rsidR="002D6E77">
        <w:t>s</w:t>
      </w:r>
      <w:r>
        <w:t xml:space="preserve"> in remote areas </w:t>
      </w:r>
      <w:r w:rsidR="003C5699">
        <w:t>by HCIS area</w:t>
      </w:r>
      <w:r w:rsidR="00BD114E">
        <w:t xml:space="preserve"> </w:t>
      </w:r>
      <w:r w:rsidR="003C5699">
        <w:t xml:space="preserve">has implications </w:t>
      </w:r>
      <w:r w:rsidR="00786E02">
        <w:t>for offshore</w:t>
      </w:r>
      <w:r w:rsidR="003C5699">
        <w:t xml:space="preserve"> areas. The </w:t>
      </w:r>
      <w:r w:rsidR="007C08D9">
        <w:t>ASMG</w:t>
      </w:r>
      <w:r w:rsidR="003C5699">
        <w:t>, which defines the HCIS structure, is only define</w:t>
      </w:r>
      <w:r w:rsidR="00762F6A">
        <w:t>d</w:t>
      </w:r>
      <w:r w:rsidR="003C5699">
        <w:t xml:space="preserve"> for a relatively short distance from the Australian coastline and does not include </w:t>
      </w:r>
      <w:r w:rsidR="00786E02">
        <w:t xml:space="preserve">external </w:t>
      </w:r>
      <w:r w:rsidR="003C5699">
        <w:t xml:space="preserve">Australian </w:t>
      </w:r>
      <w:r w:rsidR="00786E02">
        <w:t>t</w:t>
      </w:r>
      <w:r w:rsidR="003C5699">
        <w:t xml:space="preserve">erritories. </w:t>
      </w:r>
      <w:r w:rsidR="00673578">
        <w:t xml:space="preserve">WBB licensing outside of the ASMG </w:t>
      </w:r>
      <w:r w:rsidR="00FA799F">
        <w:t xml:space="preserve">will </w:t>
      </w:r>
      <w:r w:rsidR="00673578">
        <w:t xml:space="preserve">be conducted by exception, </w:t>
      </w:r>
      <w:r w:rsidR="00FA63A4">
        <w:t>using</w:t>
      </w:r>
      <w:r w:rsidR="00673578">
        <w:t xml:space="preserve"> </w:t>
      </w:r>
      <w:r w:rsidR="00692900">
        <w:t>site-based</w:t>
      </w:r>
      <w:r w:rsidR="00673578">
        <w:t xml:space="preserve"> </w:t>
      </w:r>
      <w:r w:rsidR="00F3271F">
        <w:t>point-to-</w:t>
      </w:r>
      <w:r w:rsidR="00CC335F">
        <w:t>multipoint</w:t>
      </w:r>
      <w:r w:rsidR="00F3271F">
        <w:t xml:space="preserve"> (PMP)</w:t>
      </w:r>
      <w:r w:rsidR="00673578">
        <w:t xml:space="preserve"> </w:t>
      </w:r>
      <w:r w:rsidR="001F0993">
        <w:t>apparatus licences</w:t>
      </w:r>
      <w:r w:rsidR="00156514">
        <w:t>.</w:t>
      </w:r>
    </w:p>
    <w:p w14:paraId="31812D19" w14:textId="59E6E77D" w:rsidR="00F406FD" w:rsidRPr="006A74CC" w:rsidRDefault="006A74CC" w:rsidP="00D11147">
      <w:pPr>
        <w:pStyle w:val="Tableheading"/>
        <w:keepLines/>
        <w:tabs>
          <w:tab w:val="clear" w:pos="964"/>
          <w:tab w:val="num" w:pos="975"/>
        </w:tabs>
        <w:ind w:left="975"/>
        <w:rPr>
          <w:iCs/>
          <w:color w:val="000000" w:themeColor="text1"/>
        </w:rPr>
      </w:pPr>
      <w:r w:rsidRPr="006A74CC">
        <w:rPr>
          <w:iCs/>
          <w:color w:val="000000" w:themeColor="text1"/>
        </w:rPr>
        <w:t xml:space="preserve">HCIS for remote areas </w:t>
      </w:r>
    </w:p>
    <w:tbl>
      <w:tblPr>
        <w:tblStyle w:val="TableGrid"/>
        <w:tblW w:w="0" w:type="auto"/>
        <w:tblLook w:val="04A0" w:firstRow="1" w:lastRow="0" w:firstColumn="1" w:lastColumn="0" w:noHBand="0" w:noVBand="1"/>
      </w:tblPr>
      <w:tblGrid>
        <w:gridCol w:w="1124"/>
        <w:gridCol w:w="6537"/>
      </w:tblGrid>
      <w:tr w:rsidR="00F406FD" w14:paraId="5BBA3A14" w14:textId="77777777" w:rsidTr="00F055FD">
        <w:tc>
          <w:tcPr>
            <w:tcW w:w="1129" w:type="dxa"/>
            <w:shd w:val="clear" w:color="auto" w:fill="262626" w:themeFill="text1" w:themeFillTint="D9"/>
          </w:tcPr>
          <w:p w14:paraId="43ABDB5E" w14:textId="77777777" w:rsidR="00F406FD" w:rsidRPr="00F70E0F" w:rsidRDefault="00F406FD" w:rsidP="00F955F1">
            <w:pPr>
              <w:keepNext/>
              <w:keepLines/>
              <w:rPr>
                <w:b/>
                <w:iCs/>
                <w:szCs w:val="22"/>
              </w:rPr>
            </w:pPr>
            <w:r>
              <w:rPr>
                <w:b/>
                <w:iCs/>
                <w:szCs w:val="22"/>
              </w:rPr>
              <w:t>A</w:t>
            </w:r>
            <w:r w:rsidRPr="00F70E0F">
              <w:rPr>
                <w:b/>
                <w:iCs/>
                <w:szCs w:val="22"/>
              </w:rPr>
              <w:t>rea</w:t>
            </w:r>
          </w:p>
        </w:tc>
        <w:tc>
          <w:tcPr>
            <w:tcW w:w="6679" w:type="dxa"/>
            <w:shd w:val="clear" w:color="auto" w:fill="262626" w:themeFill="text1" w:themeFillTint="D9"/>
          </w:tcPr>
          <w:p w14:paraId="330B8356" w14:textId="77777777" w:rsidR="00F406FD" w:rsidRPr="00F70E0F" w:rsidRDefault="00F406FD" w:rsidP="00F955F1">
            <w:pPr>
              <w:keepNext/>
              <w:keepLines/>
              <w:rPr>
                <w:b/>
                <w:iCs/>
                <w:szCs w:val="22"/>
              </w:rPr>
            </w:pPr>
            <w:r w:rsidRPr="00F70E0F">
              <w:rPr>
                <w:b/>
                <w:iCs/>
                <w:szCs w:val="22"/>
              </w:rPr>
              <w:t xml:space="preserve">HCIS </w:t>
            </w:r>
          </w:p>
        </w:tc>
      </w:tr>
      <w:tr w:rsidR="00F406FD" w14:paraId="035F91A8" w14:textId="77777777" w:rsidTr="00F055FD">
        <w:tc>
          <w:tcPr>
            <w:tcW w:w="1129" w:type="dxa"/>
          </w:tcPr>
          <w:p w14:paraId="1253082E" w14:textId="77777777" w:rsidR="00F406FD" w:rsidRPr="00F70E0F" w:rsidRDefault="00F406FD" w:rsidP="00F955F1">
            <w:pPr>
              <w:keepNext/>
              <w:keepLines/>
              <w:spacing w:before="60" w:afterLines="60" w:after="144"/>
              <w:rPr>
                <w:bCs/>
                <w:iCs/>
                <w:color w:val="000000" w:themeColor="text1"/>
                <w:szCs w:val="22"/>
              </w:rPr>
            </w:pPr>
            <w:r w:rsidRPr="00F70E0F">
              <w:rPr>
                <w:bCs/>
                <w:iCs/>
                <w:color w:val="000000" w:themeColor="text1"/>
                <w:szCs w:val="22"/>
              </w:rPr>
              <w:t>Remote</w:t>
            </w:r>
          </w:p>
        </w:tc>
        <w:tc>
          <w:tcPr>
            <w:tcW w:w="6679" w:type="dxa"/>
          </w:tcPr>
          <w:p w14:paraId="166D8A4E" w14:textId="06B2ADED" w:rsidR="00F406FD" w:rsidRPr="00F70E0F" w:rsidRDefault="00F406FD" w:rsidP="00F955F1">
            <w:pPr>
              <w:keepNext/>
              <w:keepLines/>
              <w:spacing w:before="60" w:afterLines="60" w:after="144"/>
              <w:rPr>
                <w:bCs/>
                <w:iCs/>
                <w:color w:val="000000" w:themeColor="text1"/>
                <w:szCs w:val="22"/>
              </w:rPr>
            </w:pPr>
            <w:r w:rsidRPr="00F70E0F">
              <w:rPr>
                <w:bCs/>
                <w:iCs/>
                <w:color w:val="000000" w:themeColor="text1"/>
                <w:szCs w:val="22"/>
              </w:rPr>
              <w:t>BR, BS, BT, CR, CS, CT, CU, DQ, DR, DS, DT, DU, EP, EQ, ER, ES, ET, EU, FP, FQ, FR, FS, FT, FU, GP, GQ, GR, GS, GT, GU, HO, HP, HQ, HR, HS, HT, HU, IO, IP, IQ, IR, IS, IT, IU, JO, JP, JQ, JR, JS, JT, JU, KR, KS, KT, KU, LS, LT, LU, AR8, AR9, AS2, AS3, AS5, AS6, AS8, AS9, AT1, AT2, AT3, AT5, AT6, AT8, AT9, AU2, AU3, BU1, BU2, BU3, BU6, GO3, GO4, GO5, GO6, GO7, GO8, GO9, AU6A, AU6B, AU6C, AU6D, AU6E, AU6F, AU6G, AU6H, BU4A, BU4B, BU4C, BU4D, BU4E, BU4F, BU4G, BU5A, BU5B, BU5C, BU5D, BU9C, BU9D, BU9G, BU9H, BU9K, BU9L, BU9O, BU9P</w:t>
            </w:r>
            <w:r w:rsidR="00F36FAD">
              <w:rPr>
                <w:bCs/>
                <w:iCs/>
                <w:color w:val="000000" w:themeColor="text1"/>
                <w:szCs w:val="22"/>
              </w:rPr>
              <w:t>.</w:t>
            </w:r>
          </w:p>
        </w:tc>
      </w:tr>
    </w:tbl>
    <w:p w14:paraId="774487E8" w14:textId="778757B2" w:rsidR="00F406FD" w:rsidRPr="00B81E13" w:rsidRDefault="00524B98" w:rsidP="00D11147">
      <w:pPr>
        <w:pStyle w:val="Heading2"/>
        <w:ind w:left="11"/>
      </w:pPr>
      <w:bookmarkStart w:id="17" w:name="_Toc137726597"/>
      <w:r>
        <w:t>2.4</w:t>
      </w:r>
      <w:r>
        <w:tab/>
      </w:r>
      <w:r w:rsidR="003F1B76">
        <w:t>Technical framework</w:t>
      </w:r>
      <w:bookmarkEnd w:id="17"/>
      <w:r w:rsidR="00F406FD">
        <w:t xml:space="preserve">  </w:t>
      </w:r>
    </w:p>
    <w:p w14:paraId="091E1320" w14:textId="47E906B2" w:rsidR="00DD377B" w:rsidRDefault="00DD377B" w:rsidP="00F055FD">
      <w:pPr>
        <w:pStyle w:val="Paragraphbeforelist"/>
      </w:pPr>
      <w:r>
        <w:t xml:space="preserve">The technical framework for AWLs in the frequency range </w:t>
      </w:r>
      <w:r w:rsidR="00D62060">
        <w:t>3.4–4.0</w:t>
      </w:r>
      <w:r w:rsidR="00170AB2">
        <w:t> </w:t>
      </w:r>
      <w:r w:rsidR="00D62060">
        <w:t>GHz</w:t>
      </w:r>
      <w:r>
        <w:t xml:space="preserve"> sets out the </w:t>
      </w:r>
      <w:r w:rsidR="0074556E">
        <w:t xml:space="preserve">licence </w:t>
      </w:r>
      <w:r>
        <w:t xml:space="preserve">conditions and </w:t>
      </w:r>
      <w:r w:rsidR="0074556E">
        <w:t xml:space="preserve">policy </w:t>
      </w:r>
      <w:r>
        <w:t xml:space="preserve">arrangements that allow coexistence with other services operating in and adjacent to the </w:t>
      </w:r>
      <w:r w:rsidR="00D62060">
        <w:t>3.4–4.0 GHz</w:t>
      </w:r>
      <w:r>
        <w:t xml:space="preserve"> range. The </w:t>
      </w:r>
      <w:r w:rsidR="00AC10B5">
        <w:t xml:space="preserve">licence </w:t>
      </w:r>
      <w:r>
        <w:t xml:space="preserve">conditions </w:t>
      </w:r>
      <w:r w:rsidR="00AC10B5">
        <w:t xml:space="preserve">and device coordination </w:t>
      </w:r>
      <w:r>
        <w:t>arrangements are</w:t>
      </w:r>
      <w:r w:rsidR="00667081">
        <w:t xml:space="preserve"> set out in the</w:t>
      </w:r>
      <w:r>
        <w:t>:</w:t>
      </w:r>
    </w:p>
    <w:p w14:paraId="11F2903E" w14:textId="38A1E141" w:rsidR="00DD377B" w:rsidRDefault="00000000" w:rsidP="00F055FD">
      <w:pPr>
        <w:pStyle w:val="Bulletlevel1"/>
      </w:pPr>
      <w:hyperlink r:id="rId35" w:history="1">
        <w:r w:rsidR="00DD377B" w:rsidRPr="00F055FD">
          <w:rPr>
            <w:rStyle w:val="Hyperlink"/>
          </w:rPr>
          <w:t xml:space="preserve">Radiocommunications Licence Conditions (Area-Wide Licence) </w:t>
        </w:r>
        <w:r w:rsidR="00F36FAD">
          <w:rPr>
            <w:rStyle w:val="Hyperlink"/>
          </w:rPr>
          <w:br/>
        </w:r>
        <w:r w:rsidR="00DD377B" w:rsidRPr="00F055FD">
          <w:rPr>
            <w:rStyle w:val="Hyperlink"/>
          </w:rPr>
          <w:t>Determination 2020</w:t>
        </w:r>
      </w:hyperlink>
      <w:r w:rsidR="00F36FAD">
        <w:t xml:space="preserve"> (AW</w:t>
      </w:r>
      <w:r w:rsidR="00DD377B">
        <w:t>L LCD)</w:t>
      </w:r>
    </w:p>
    <w:p w14:paraId="219456B1" w14:textId="354B537B" w:rsidR="00DD377B" w:rsidRDefault="009663D7" w:rsidP="00F055FD">
      <w:pPr>
        <w:pStyle w:val="Bulletlevel1"/>
      </w:pPr>
      <w:r>
        <w:t xml:space="preserve">new </w:t>
      </w:r>
      <w:hyperlink r:id="rId36" w:history="1">
        <w:r w:rsidR="00CB1151" w:rsidRPr="00D210F8">
          <w:rPr>
            <w:rStyle w:val="Hyperlink"/>
          </w:rPr>
          <w:t xml:space="preserve">Radiocommunications Licensing and Assignment Instructions (RALI) </w:t>
        </w:r>
        <w:r w:rsidRPr="00D210F8">
          <w:rPr>
            <w:rStyle w:val="Hyperlink"/>
          </w:rPr>
          <w:t>MS47</w:t>
        </w:r>
      </w:hyperlink>
      <w:r w:rsidR="00BB23FA">
        <w:t xml:space="preserve"> </w:t>
      </w:r>
      <w:r w:rsidR="00EB4E4E">
        <w:t xml:space="preserve">and revised </w:t>
      </w:r>
      <w:hyperlink r:id="rId37" w:history="1">
        <w:r w:rsidR="00EB4E4E" w:rsidRPr="00510CE3">
          <w:rPr>
            <w:rStyle w:val="Hyperlink"/>
          </w:rPr>
          <w:t xml:space="preserve">RALI </w:t>
        </w:r>
        <w:r w:rsidR="00197334" w:rsidRPr="00510CE3">
          <w:rPr>
            <w:rStyle w:val="Hyperlink"/>
          </w:rPr>
          <w:t>FX</w:t>
        </w:r>
        <w:r w:rsidR="003362E2" w:rsidRPr="00510CE3">
          <w:rPr>
            <w:rStyle w:val="Hyperlink"/>
          </w:rPr>
          <w:t>0</w:t>
        </w:r>
        <w:r w:rsidR="00197334" w:rsidRPr="00510CE3">
          <w:rPr>
            <w:rStyle w:val="Hyperlink"/>
          </w:rPr>
          <w:t>3</w:t>
        </w:r>
      </w:hyperlink>
    </w:p>
    <w:p w14:paraId="52CE98AB" w14:textId="784C1F5F" w:rsidR="00DD377B" w:rsidRPr="00FF3245" w:rsidRDefault="00000000" w:rsidP="00F055FD">
      <w:pPr>
        <w:pStyle w:val="Bulletlevel1"/>
        <w:rPr>
          <w:rStyle w:val="Hyperlink"/>
          <w:color w:val="auto"/>
          <w:u w:val="none"/>
        </w:rPr>
      </w:pPr>
      <w:hyperlink r:id="rId38" w:history="1">
        <w:r w:rsidR="00C064CD" w:rsidRPr="00F055FD">
          <w:rPr>
            <w:rStyle w:val="Hyperlink"/>
          </w:rPr>
          <w:t xml:space="preserve">Radiocommunications Licence Conditions (Apparatus Licence) </w:t>
        </w:r>
        <w:r w:rsidR="00F36FAD">
          <w:rPr>
            <w:rStyle w:val="Hyperlink"/>
          </w:rPr>
          <w:br/>
        </w:r>
        <w:r w:rsidR="00C064CD" w:rsidRPr="00F055FD">
          <w:rPr>
            <w:rStyle w:val="Hyperlink"/>
          </w:rPr>
          <w:t>Determination 2015</w:t>
        </w:r>
      </w:hyperlink>
    </w:p>
    <w:p w14:paraId="6486DF5A" w14:textId="07D89CDA" w:rsidR="00FF3245" w:rsidRDefault="00511C3A" w:rsidP="00F055FD">
      <w:pPr>
        <w:pStyle w:val="Bulletlevel1"/>
      </w:pPr>
      <w:hyperlink r:id="rId39" w:history="1">
        <w:r>
          <w:rPr>
            <w:rStyle w:val="Hyperlink"/>
          </w:rPr>
          <w:t>Radiocommunications Licence Conditions (Area-Wide Licence) Amendment Determination 2023 (No. 1)</w:t>
        </w:r>
      </w:hyperlink>
    </w:p>
    <w:p w14:paraId="18267E78" w14:textId="6039CB46" w:rsidR="00667081" w:rsidRDefault="00667081" w:rsidP="00F055FD">
      <w:pPr>
        <w:pStyle w:val="Bulletlevel1last"/>
      </w:pPr>
      <w:r>
        <w:t>individually issued licences</w:t>
      </w:r>
      <w:r w:rsidR="00AC10B5">
        <w:t>.</w:t>
      </w:r>
    </w:p>
    <w:p w14:paraId="1B1ED8B4" w14:textId="63B7F5AB" w:rsidR="00F406FD" w:rsidRDefault="009A2A9C" w:rsidP="00D11147">
      <w:pPr>
        <w:pStyle w:val="ListBullet"/>
        <w:numPr>
          <w:ilvl w:val="0"/>
          <w:numId w:val="0"/>
        </w:numPr>
        <w:ind w:left="11"/>
      </w:pPr>
      <w:r>
        <w:t xml:space="preserve">Technical planning </w:t>
      </w:r>
      <w:r w:rsidR="00A061A3">
        <w:t xml:space="preserve">arrangements </w:t>
      </w:r>
      <w:r>
        <w:t xml:space="preserve">will apply to different segments of the bands to </w:t>
      </w:r>
      <w:r w:rsidRPr="00BE3EE8">
        <w:t xml:space="preserve">support a wide variety of WBB uses. </w:t>
      </w:r>
      <w:r w:rsidR="00F406FD" w:rsidRPr="00BE3EE8">
        <w:t xml:space="preserve">In summary, the revised RALI FX03 </w:t>
      </w:r>
      <w:r w:rsidR="004E406D" w:rsidRPr="00BE3EE8">
        <w:t>(</w:t>
      </w:r>
      <w:r w:rsidR="00F406FD" w:rsidRPr="00BE3EE8">
        <w:t>for</w:t>
      </w:r>
      <w:r w:rsidR="00F406FD">
        <w:t xml:space="preserve"> coordinating </w:t>
      </w:r>
      <w:r w:rsidR="00F406FD" w:rsidRPr="00590448">
        <w:t>frequencies of fixed systems</w:t>
      </w:r>
      <w:r w:rsidR="004E406D">
        <w:t>)</w:t>
      </w:r>
      <w:r w:rsidR="00F406FD">
        <w:t xml:space="preserve">, the </w:t>
      </w:r>
      <w:r w:rsidR="00F406FD" w:rsidRPr="009E49F4">
        <w:rPr>
          <w:rStyle w:val="normaltextrun"/>
        </w:rPr>
        <w:t>AWL LCD</w:t>
      </w:r>
      <w:r w:rsidR="00F406FD">
        <w:rPr>
          <w:rStyle w:val="normaltextrun"/>
        </w:rPr>
        <w:t xml:space="preserve"> </w:t>
      </w:r>
      <w:r w:rsidR="00F406FD">
        <w:t xml:space="preserve">and new RALI MS47 </w:t>
      </w:r>
      <w:r w:rsidR="008E6B2C">
        <w:t>are intended to</w:t>
      </w:r>
      <w:r w:rsidR="00AA5FDD">
        <w:t xml:space="preserve"> </w:t>
      </w:r>
      <w:r w:rsidR="00D35828">
        <w:t>manage</w:t>
      </w:r>
      <w:r w:rsidR="00F406FD">
        <w:t>:</w:t>
      </w:r>
    </w:p>
    <w:p w14:paraId="354B85BF" w14:textId="33E32922" w:rsidR="00F406FD" w:rsidRPr="004675B3" w:rsidRDefault="00E86EBF" w:rsidP="00F055FD">
      <w:pPr>
        <w:pStyle w:val="Bulletlevel1"/>
      </w:pPr>
      <w:r>
        <w:t xml:space="preserve">interference </w:t>
      </w:r>
      <w:r w:rsidR="00837D04">
        <w:t xml:space="preserve">between </w:t>
      </w:r>
      <w:r>
        <w:t xml:space="preserve">devices </w:t>
      </w:r>
      <w:r w:rsidR="00F406FD">
        <w:t xml:space="preserve">operating under </w:t>
      </w:r>
      <w:r w:rsidR="00F406FD" w:rsidRPr="004675B3">
        <w:t>AWL</w:t>
      </w:r>
      <w:r w:rsidR="00F406FD">
        <w:t>s</w:t>
      </w:r>
    </w:p>
    <w:p w14:paraId="2D56B1BA" w14:textId="21AB8417" w:rsidR="00F406FD" w:rsidRPr="004675B3" w:rsidRDefault="00F406FD" w:rsidP="00F055FD">
      <w:pPr>
        <w:pStyle w:val="Bulletlevel1"/>
      </w:pPr>
      <w:r>
        <w:t xml:space="preserve">co-channel interference with </w:t>
      </w:r>
      <w:r w:rsidRPr="004675B3">
        <w:t xml:space="preserve">devices operating </w:t>
      </w:r>
      <w:r>
        <w:t>under s</w:t>
      </w:r>
      <w:r w:rsidRPr="004675B3">
        <w:t>pectrum licen</w:t>
      </w:r>
      <w:r>
        <w:t>c</w:t>
      </w:r>
      <w:r w:rsidRPr="004675B3">
        <w:t>e</w:t>
      </w:r>
      <w:r>
        <w:t xml:space="preserve">s </w:t>
      </w:r>
      <w:r w:rsidRPr="004675B3">
        <w:t xml:space="preserve">in the frequency range </w:t>
      </w:r>
      <w:r w:rsidR="003D5ECA">
        <w:t xml:space="preserve">3.4–3.8 GHz </w:t>
      </w:r>
      <w:r w:rsidRPr="004675B3">
        <w:t xml:space="preserve">in </w:t>
      </w:r>
      <w:r w:rsidR="007620F1">
        <w:t>defined</w:t>
      </w:r>
      <w:r w:rsidRPr="004675B3">
        <w:t xml:space="preserve"> areas </w:t>
      </w:r>
    </w:p>
    <w:p w14:paraId="71ECEF07" w14:textId="40316665" w:rsidR="00F406FD" w:rsidRPr="004675B3" w:rsidRDefault="00972159" w:rsidP="00F055FD">
      <w:pPr>
        <w:pStyle w:val="Bulletlevel1"/>
      </w:pPr>
      <w:r>
        <w:t xml:space="preserve">interference to </w:t>
      </w:r>
      <w:r w:rsidR="00F406FD" w:rsidRPr="004675B3">
        <w:t xml:space="preserve">FSS earth </w:t>
      </w:r>
      <w:r w:rsidR="00686D56">
        <w:t xml:space="preserve">receive </w:t>
      </w:r>
      <w:r w:rsidR="00F406FD" w:rsidRPr="004675B3">
        <w:t xml:space="preserve">stations in </w:t>
      </w:r>
      <w:r w:rsidR="00686D56">
        <w:t xml:space="preserve">parts of </w:t>
      </w:r>
      <w:r w:rsidR="00F406FD" w:rsidRPr="004675B3">
        <w:t xml:space="preserve">the frequency range </w:t>
      </w:r>
      <w:r w:rsidR="00F36FAD">
        <w:br/>
      </w:r>
      <w:r w:rsidR="003D5ECA">
        <w:t>3.4–4.2 GHz</w:t>
      </w:r>
    </w:p>
    <w:p w14:paraId="299AE42B" w14:textId="72147415" w:rsidR="00F406FD" w:rsidRPr="004675B3" w:rsidRDefault="00972159" w:rsidP="00F055FD">
      <w:pPr>
        <w:pStyle w:val="Bulletlevel1"/>
      </w:pPr>
      <w:r>
        <w:t xml:space="preserve">interference to </w:t>
      </w:r>
      <w:r w:rsidR="00F406FD">
        <w:t>i</w:t>
      </w:r>
      <w:r w:rsidR="00F406FD" w:rsidRPr="004675B3">
        <w:t xml:space="preserve">ncumbent PMP services in </w:t>
      </w:r>
      <w:r w:rsidR="00686D56">
        <w:t>parts of</w:t>
      </w:r>
      <w:r w:rsidR="00F406FD" w:rsidRPr="004675B3">
        <w:t xml:space="preserve"> the frequency range </w:t>
      </w:r>
      <w:r w:rsidR="00F36FAD">
        <w:br/>
      </w:r>
      <w:r w:rsidR="003D5ECA">
        <w:t>3.4–3.7 GHz</w:t>
      </w:r>
    </w:p>
    <w:p w14:paraId="36300C94" w14:textId="44266845" w:rsidR="00F406FD" w:rsidRPr="004675B3" w:rsidRDefault="00972159" w:rsidP="00F055FD">
      <w:pPr>
        <w:pStyle w:val="Bulletlevel1"/>
      </w:pPr>
      <w:r>
        <w:t xml:space="preserve">interference to </w:t>
      </w:r>
      <w:r w:rsidR="00F406FD" w:rsidRPr="004675B3">
        <w:t xml:space="preserve">fixed </w:t>
      </w:r>
      <w:r>
        <w:t>PTP</w:t>
      </w:r>
      <w:r w:rsidR="00F406FD" w:rsidRPr="004675B3">
        <w:t xml:space="preserve"> services operating in the frequency range </w:t>
      </w:r>
      <w:r w:rsidR="00F36FAD">
        <w:br/>
      </w:r>
      <w:r w:rsidR="00F406FD" w:rsidRPr="004675B3">
        <w:t>3</w:t>
      </w:r>
      <w:r w:rsidR="003D5ECA">
        <w:t>.</w:t>
      </w:r>
      <w:r w:rsidR="00F406FD" w:rsidRPr="004675B3">
        <w:t>58</w:t>
      </w:r>
      <w:r w:rsidR="00D32D73">
        <w:t>–</w:t>
      </w:r>
      <w:r w:rsidR="00F406FD" w:rsidRPr="004675B3">
        <w:t>4</w:t>
      </w:r>
      <w:r w:rsidR="003D5ECA">
        <w:t>.</w:t>
      </w:r>
      <w:r w:rsidR="00F406FD" w:rsidRPr="004675B3">
        <w:t xml:space="preserve">2 </w:t>
      </w:r>
      <w:r w:rsidR="00D32D73">
        <w:t>G</w:t>
      </w:r>
      <w:r w:rsidR="00F406FD" w:rsidRPr="004675B3">
        <w:t>Hz (3.8 GHz PTP band)</w:t>
      </w:r>
      <w:r w:rsidR="00F406FD">
        <w:t xml:space="preserve"> </w:t>
      </w:r>
    </w:p>
    <w:p w14:paraId="6C5F6420" w14:textId="7AAAE70A" w:rsidR="00F406FD" w:rsidRPr="004675B3" w:rsidRDefault="00D75CF2" w:rsidP="00F055FD">
      <w:pPr>
        <w:pStyle w:val="Bulletlevel1"/>
      </w:pPr>
      <w:r>
        <w:t>coexistence with</w:t>
      </w:r>
      <w:r w:rsidR="00972159">
        <w:t xml:space="preserve"> </w:t>
      </w:r>
      <w:r w:rsidR="00F406FD">
        <w:t>a</w:t>
      </w:r>
      <w:r w:rsidR="00F406FD" w:rsidRPr="004675B3">
        <w:t>eronautical radionavigation (radio altimeter) services operat</w:t>
      </w:r>
      <w:r w:rsidR="00275A9A">
        <w:t>ing</w:t>
      </w:r>
      <w:r w:rsidR="00F406FD" w:rsidRPr="004675B3">
        <w:t xml:space="preserve"> in the </w:t>
      </w:r>
      <w:r w:rsidR="00EF5DDC">
        <w:t xml:space="preserve">frequency range </w:t>
      </w:r>
      <w:r w:rsidR="00F406FD" w:rsidRPr="004675B3">
        <w:t>4</w:t>
      </w:r>
      <w:r w:rsidR="00D32D73">
        <w:t>.</w:t>
      </w:r>
      <w:r w:rsidR="00F406FD" w:rsidRPr="004675B3">
        <w:t>2</w:t>
      </w:r>
      <w:r w:rsidR="00D32D73">
        <w:t>–</w:t>
      </w:r>
      <w:r w:rsidR="00F406FD" w:rsidRPr="004675B3">
        <w:t>4</w:t>
      </w:r>
      <w:r w:rsidR="00D32D73">
        <w:t>.</w:t>
      </w:r>
      <w:r w:rsidR="00F406FD" w:rsidRPr="004675B3">
        <w:t xml:space="preserve">4 </w:t>
      </w:r>
      <w:r w:rsidR="00D32D73">
        <w:t>G</w:t>
      </w:r>
      <w:r w:rsidR="00F406FD" w:rsidRPr="004675B3">
        <w:t>Hz</w:t>
      </w:r>
      <w:r w:rsidR="00F406FD">
        <w:t xml:space="preserve"> </w:t>
      </w:r>
    </w:p>
    <w:p w14:paraId="22912214" w14:textId="2F556D9B" w:rsidR="00F406FD" w:rsidRDefault="009A339E" w:rsidP="00F055FD">
      <w:pPr>
        <w:pStyle w:val="Bulletlevel1"/>
      </w:pPr>
      <w:r>
        <w:t>interference</w:t>
      </w:r>
      <w:r w:rsidR="00CD612D">
        <w:t xml:space="preserve"> </w:t>
      </w:r>
      <w:r w:rsidR="008853A6">
        <w:t xml:space="preserve">in relation to </w:t>
      </w:r>
      <w:r w:rsidR="00F406FD">
        <w:t>r</w:t>
      </w:r>
      <w:r w:rsidR="00F406FD" w:rsidRPr="004675B3">
        <w:t xml:space="preserve">adiolocation services </w:t>
      </w:r>
      <w:r w:rsidR="00F406FD">
        <w:t xml:space="preserve">operating </w:t>
      </w:r>
      <w:r w:rsidR="00EF5DDC">
        <w:t>in the</w:t>
      </w:r>
      <w:r w:rsidR="00EF5DDC" w:rsidRPr="004675B3">
        <w:t xml:space="preserve"> </w:t>
      </w:r>
      <w:r w:rsidR="00EF5DDC">
        <w:t xml:space="preserve">frequency range </w:t>
      </w:r>
      <w:r w:rsidR="00F406FD" w:rsidRPr="004675B3">
        <w:t>3</w:t>
      </w:r>
      <w:r w:rsidR="00D32D73">
        <w:t>.</w:t>
      </w:r>
      <w:r w:rsidR="00F406FD" w:rsidRPr="004675B3">
        <w:t>1</w:t>
      </w:r>
      <w:r w:rsidR="00EF5DDC">
        <w:t>–</w:t>
      </w:r>
      <w:r w:rsidR="00F406FD" w:rsidRPr="004675B3">
        <w:t>3</w:t>
      </w:r>
      <w:r w:rsidR="00D32D73">
        <w:t>.</w:t>
      </w:r>
      <w:r w:rsidR="00F406FD" w:rsidRPr="004675B3">
        <w:t xml:space="preserve">6 </w:t>
      </w:r>
      <w:r w:rsidR="00D32D73">
        <w:t>G</w:t>
      </w:r>
      <w:r w:rsidR="00F406FD" w:rsidRPr="004675B3">
        <w:t>Hz</w:t>
      </w:r>
      <w:r w:rsidR="005F2684">
        <w:t xml:space="preserve"> to AWLs</w:t>
      </w:r>
    </w:p>
    <w:p w14:paraId="34D515E2" w14:textId="7B5A9218" w:rsidR="00F406FD" w:rsidRPr="004675B3" w:rsidRDefault="008853A6" w:rsidP="00F055FD">
      <w:pPr>
        <w:pStyle w:val="Bulletlevel1"/>
      </w:pPr>
      <w:r>
        <w:t xml:space="preserve">interference in relation to </w:t>
      </w:r>
      <w:r w:rsidR="00F406FD">
        <w:t xml:space="preserve">radiolocation services in the Northern Territory in the </w:t>
      </w:r>
      <w:r w:rsidR="00EF5DDC">
        <w:t xml:space="preserve">frequency range </w:t>
      </w:r>
      <w:r w:rsidR="00F406FD">
        <w:t>3</w:t>
      </w:r>
      <w:r w:rsidR="00D32D73">
        <w:t>.</w:t>
      </w:r>
      <w:r w:rsidR="00F406FD">
        <w:t>7</w:t>
      </w:r>
      <w:r w:rsidR="00B244EA">
        <w:t>–</w:t>
      </w:r>
      <w:r w:rsidR="00F406FD">
        <w:t>4</w:t>
      </w:r>
      <w:r w:rsidR="00D32D73">
        <w:t>.</w:t>
      </w:r>
      <w:r w:rsidR="00F406FD">
        <w:t xml:space="preserve">2 </w:t>
      </w:r>
      <w:r w:rsidR="00D32D73">
        <w:t>G</w:t>
      </w:r>
      <w:r w:rsidR="00F406FD">
        <w:t>Hz</w:t>
      </w:r>
    </w:p>
    <w:p w14:paraId="6DB556EA" w14:textId="4469312C" w:rsidR="00F406FD" w:rsidRDefault="008853A6" w:rsidP="00F055FD">
      <w:pPr>
        <w:pStyle w:val="Bulletlevel1"/>
      </w:pPr>
      <w:r>
        <w:t xml:space="preserve">interference in relation to </w:t>
      </w:r>
      <w:r w:rsidR="00F406FD">
        <w:t>a</w:t>
      </w:r>
      <w:r w:rsidR="00F406FD" w:rsidRPr="004675B3">
        <w:t xml:space="preserve">mateur services operating in </w:t>
      </w:r>
      <w:r w:rsidR="00EF5DDC">
        <w:t xml:space="preserve">parts of </w:t>
      </w:r>
      <w:r w:rsidR="00F406FD">
        <w:t xml:space="preserve">the </w:t>
      </w:r>
      <w:r w:rsidR="00F36FAD">
        <w:br/>
      </w:r>
      <w:r w:rsidR="00F406FD">
        <w:t>3</w:t>
      </w:r>
      <w:r w:rsidR="00B244EA">
        <w:t>.</w:t>
      </w:r>
      <w:r w:rsidR="00F406FD">
        <w:t>3</w:t>
      </w:r>
      <w:r w:rsidR="00B244EA">
        <w:t>–</w:t>
      </w:r>
      <w:r w:rsidR="00F406FD" w:rsidRPr="004675B3">
        <w:t>3</w:t>
      </w:r>
      <w:r w:rsidR="00B244EA">
        <w:t>.</w:t>
      </w:r>
      <w:r w:rsidR="00F406FD" w:rsidRPr="004675B3">
        <w:t>4</w:t>
      </w:r>
      <w:r w:rsidR="00005D62">
        <w:t> </w:t>
      </w:r>
      <w:r w:rsidR="00B244EA">
        <w:t>G</w:t>
      </w:r>
      <w:r w:rsidR="00F406FD" w:rsidRPr="004675B3">
        <w:t xml:space="preserve">Hz </w:t>
      </w:r>
      <w:r w:rsidR="00F406FD">
        <w:t>frequency range</w:t>
      </w:r>
      <w:r w:rsidR="005F2684">
        <w:t xml:space="preserve"> to AWLs</w:t>
      </w:r>
    </w:p>
    <w:p w14:paraId="3557AC6C" w14:textId="1F44C473" w:rsidR="002364E2" w:rsidRDefault="001708CA" w:rsidP="00F055FD">
      <w:pPr>
        <w:pStyle w:val="Bulletlevel1"/>
      </w:pPr>
      <w:r>
        <w:t>interference in relation to a</w:t>
      </w:r>
      <w:r w:rsidRPr="004675B3">
        <w:t xml:space="preserve">mateur services operating in </w:t>
      </w:r>
      <w:r>
        <w:t xml:space="preserve">parts of the </w:t>
      </w:r>
      <w:r w:rsidR="00F36FAD">
        <w:br/>
      </w:r>
      <w:r w:rsidRPr="004675B3">
        <w:t>3</w:t>
      </w:r>
      <w:r>
        <w:t>.</w:t>
      </w:r>
      <w:r w:rsidRPr="004675B3">
        <w:t>4</w:t>
      </w:r>
      <w:r>
        <w:t>–</w:t>
      </w:r>
      <w:r w:rsidRPr="004675B3">
        <w:t>3</w:t>
      </w:r>
      <w:r>
        <w:t>.6</w:t>
      </w:r>
      <w:r w:rsidR="00544EB3">
        <w:t> </w:t>
      </w:r>
      <w:r>
        <w:t>G</w:t>
      </w:r>
      <w:r w:rsidRPr="004675B3">
        <w:t>Hz</w:t>
      </w:r>
      <w:r>
        <w:t xml:space="preserve"> frequency ranges to AWLs</w:t>
      </w:r>
    </w:p>
    <w:p w14:paraId="60D44AB6" w14:textId="45799657" w:rsidR="00F406FD" w:rsidRPr="004675B3" w:rsidRDefault="00EF5DDC" w:rsidP="00F055FD">
      <w:pPr>
        <w:pStyle w:val="Bulletlevel1"/>
      </w:pPr>
      <w:r>
        <w:t xml:space="preserve">interference in relation to </w:t>
      </w:r>
      <w:r w:rsidR="00F406FD">
        <w:t>earth station protection zones</w:t>
      </w:r>
    </w:p>
    <w:p w14:paraId="4B432420" w14:textId="2FC01ACD" w:rsidR="00F406FD" w:rsidRDefault="00EF5DDC" w:rsidP="00F055FD">
      <w:pPr>
        <w:pStyle w:val="Bulletlevel1"/>
      </w:pPr>
      <w:r>
        <w:t>interference in relation to the RQZ</w:t>
      </w:r>
    </w:p>
    <w:p w14:paraId="69CDAAB3" w14:textId="0CC65025" w:rsidR="00F406FD" w:rsidRDefault="00EF5DDC" w:rsidP="00F055FD">
      <w:pPr>
        <w:pStyle w:val="Bulletlevel1"/>
      </w:pPr>
      <w:r>
        <w:t xml:space="preserve">interference in relation to the </w:t>
      </w:r>
      <w:r w:rsidR="004E28D8">
        <w:t>Woomera Protected Area (</w:t>
      </w:r>
      <w:r w:rsidR="00F406FD">
        <w:t>WPA</w:t>
      </w:r>
      <w:r w:rsidR="004E28D8">
        <w:t>)</w:t>
      </w:r>
      <w:r w:rsidR="00F406FD">
        <w:t xml:space="preserve"> in </w:t>
      </w:r>
      <w:r w:rsidR="00F36FAD">
        <w:br/>
      </w:r>
      <w:r w:rsidR="00F406FD">
        <w:t>South Australia</w:t>
      </w:r>
    </w:p>
    <w:p w14:paraId="121A9562" w14:textId="798B0384" w:rsidR="00F406FD" w:rsidRDefault="00EF5DDC" w:rsidP="00F055FD">
      <w:pPr>
        <w:pStyle w:val="Bulletlevel1"/>
      </w:pPr>
      <w:r>
        <w:t xml:space="preserve">interference to </w:t>
      </w:r>
      <w:r w:rsidR="00F406FD">
        <w:t xml:space="preserve">services </w:t>
      </w:r>
      <w:r w:rsidR="00E90ABB">
        <w:t xml:space="preserve">deployed </w:t>
      </w:r>
      <w:r>
        <w:t>in and around</w:t>
      </w:r>
      <w:r w:rsidR="00F406FD" w:rsidRPr="00346642">
        <w:t xml:space="preserve"> Darwin and Geraldton</w:t>
      </w:r>
    </w:p>
    <w:p w14:paraId="3D7A06C0" w14:textId="4D9AC803" w:rsidR="00A66BAB" w:rsidRPr="004675B3" w:rsidRDefault="00EF5DDC" w:rsidP="00F055FD">
      <w:pPr>
        <w:pStyle w:val="Bulletlevel1"/>
      </w:pPr>
      <w:r>
        <w:t xml:space="preserve">interference to </w:t>
      </w:r>
      <w:r w:rsidR="00A66BAB">
        <w:t xml:space="preserve">services deployed within </w:t>
      </w:r>
      <w:r w:rsidR="00E95836">
        <w:t>defined area</w:t>
      </w:r>
      <w:r w:rsidR="00061D84">
        <w:t>s</w:t>
      </w:r>
      <w:r w:rsidR="00E95836">
        <w:t xml:space="preserve"> around</w:t>
      </w:r>
      <w:r w:rsidR="00A66BAB" w:rsidRPr="00346642">
        <w:t xml:space="preserve"> </w:t>
      </w:r>
      <w:r w:rsidR="00DD31F3">
        <w:t>Exmouth</w:t>
      </w:r>
    </w:p>
    <w:p w14:paraId="20E189D9" w14:textId="35E736E8" w:rsidR="00F406FD" w:rsidRDefault="008853A6" w:rsidP="00F055FD">
      <w:pPr>
        <w:pStyle w:val="Bulletlevel1last"/>
      </w:pPr>
      <w:r>
        <w:t>interference in relation to</w:t>
      </w:r>
      <w:r w:rsidR="00EE6DDA">
        <w:t xml:space="preserve"> </w:t>
      </w:r>
      <w:r w:rsidR="002C5A91">
        <w:t>specified</w:t>
      </w:r>
      <w:r w:rsidR="00360F99">
        <w:t xml:space="preserve"> </w:t>
      </w:r>
      <w:r w:rsidR="00F406FD" w:rsidRPr="009E2B7C">
        <w:t xml:space="preserve">devices operating under </w:t>
      </w:r>
      <w:r w:rsidR="00F406FD">
        <w:t xml:space="preserve">the </w:t>
      </w:r>
      <w:r w:rsidR="00360F99" w:rsidRPr="00F055FD">
        <w:t>Radiocommunications (Low Interference Potential Devices) Class Licence 2015</w:t>
      </w:r>
      <w:r w:rsidR="00360F99" w:rsidRPr="00F36FAD">
        <w:t>,</w:t>
      </w:r>
      <w:r w:rsidR="00360F99">
        <w:t xml:space="preserve"> such as</w:t>
      </w:r>
      <w:r w:rsidR="00F406FD" w:rsidRPr="009E2B7C">
        <w:t xml:space="preserve"> ground and wall penetrating radar,</w:t>
      </w:r>
      <w:r w:rsidR="00360F99" w:rsidRPr="009E2B7C" w:rsidDel="00360F99">
        <w:t xml:space="preserve"> </w:t>
      </w:r>
      <w:r w:rsidR="00F406FD" w:rsidRPr="009E2B7C">
        <w:t>building material analysis transmitters and</w:t>
      </w:r>
      <w:r w:rsidR="00360F99">
        <w:t xml:space="preserve"> </w:t>
      </w:r>
      <w:r w:rsidR="00F406FD" w:rsidRPr="009E2B7C">
        <w:t>ultra-wideband transmitters</w:t>
      </w:r>
      <w:r w:rsidR="00360F99">
        <w:t>,</w:t>
      </w:r>
      <w:r w:rsidR="00F406FD" w:rsidRPr="009E2B7C">
        <w:t xml:space="preserve"> operating across various ranges </w:t>
      </w:r>
      <w:r w:rsidR="00360F99">
        <w:t>including</w:t>
      </w:r>
      <w:r w:rsidR="00F406FD" w:rsidRPr="009E2B7C">
        <w:t xml:space="preserve"> the</w:t>
      </w:r>
      <w:r w:rsidR="00360F99">
        <w:t xml:space="preserve"> frequency range</w:t>
      </w:r>
      <w:r w:rsidR="00F406FD" w:rsidRPr="009E2B7C">
        <w:t xml:space="preserve"> 3.1</w:t>
      </w:r>
      <w:r w:rsidR="007B29F5">
        <w:t>–</w:t>
      </w:r>
      <w:r w:rsidR="00F406FD" w:rsidRPr="009E2B7C">
        <w:t>4.8</w:t>
      </w:r>
      <w:r w:rsidR="00F406FD">
        <w:t> </w:t>
      </w:r>
      <w:r w:rsidR="00F406FD" w:rsidRPr="009E2B7C">
        <w:t>GHz</w:t>
      </w:r>
      <w:r w:rsidR="00F406FD">
        <w:t>.</w:t>
      </w:r>
    </w:p>
    <w:p w14:paraId="07721AFC" w14:textId="70A1B668" w:rsidR="00F406FD" w:rsidRDefault="00F406FD" w:rsidP="008E52D1">
      <w:pPr>
        <w:pStyle w:val="Paragraph"/>
        <w:ind w:left="11"/>
      </w:pPr>
      <w:r w:rsidRPr="00B41B6C">
        <w:t>In remote areas, site</w:t>
      </w:r>
      <w:r w:rsidR="006E7E4E">
        <w:t>-</w:t>
      </w:r>
      <w:r w:rsidRPr="00B41B6C">
        <w:t xml:space="preserve">based FSS earth </w:t>
      </w:r>
      <w:r w:rsidRPr="008F7080">
        <w:t xml:space="preserve">receive </w:t>
      </w:r>
      <w:r w:rsidR="00E86F6D">
        <w:t xml:space="preserve">apparatus </w:t>
      </w:r>
      <w:r w:rsidRPr="008F7080">
        <w:t>licen</w:t>
      </w:r>
      <w:r w:rsidR="00360F99">
        <w:t>ces</w:t>
      </w:r>
      <w:r w:rsidR="00AF4EA2">
        <w:t xml:space="preserve">, and PTP </w:t>
      </w:r>
      <w:r w:rsidR="00E86F6D">
        <w:t xml:space="preserve">apparatus </w:t>
      </w:r>
      <w:r w:rsidR="00AF4EA2">
        <w:t>licences above 3800 MHz,</w:t>
      </w:r>
      <w:r w:rsidR="00360F99">
        <w:t xml:space="preserve"> will</w:t>
      </w:r>
      <w:r w:rsidRPr="008F7080">
        <w:t xml:space="preserve"> </w:t>
      </w:r>
      <w:r w:rsidR="00360F99">
        <w:t>continue to be issued,</w:t>
      </w:r>
      <w:r w:rsidRPr="008F7080">
        <w:t xml:space="preserve"> </w:t>
      </w:r>
      <w:r w:rsidRPr="00E972A9">
        <w:t xml:space="preserve">and no </w:t>
      </w:r>
      <w:r w:rsidR="007105F7" w:rsidRPr="00E972A9">
        <w:t xml:space="preserve">minimum </w:t>
      </w:r>
      <w:r w:rsidR="005A4249" w:rsidRPr="00E972A9">
        <w:t>contiguous bandwidths</w:t>
      </w:r>
      <w:r w:rsidRPr="00E972A9">
        <w:t xml:space="preserve"> are proposed to apply</w:t>
      </w:r>
      <w:r w:rsidR="00F36FAD">
        <w:t>.</w:t>
      </w:r>
      <w:r w:rsidR="007E1B1C">
        <w:rPr>
          <w:rStyle w:val="FootnoteReference"/>
        </w:rPr>
        <w:footnoteReference w:id="5"/>
      </w:r>
    </w:p>
    <w:p w14:paraId="3F81DE29" w14:textId="17795946" w:rsidR="00F406FD" w:rsidRDefault="00E86DA2" w:rsidP="008E52D1">
      <w:pPr>
        <w:pStyle w:val="Paragraph"/>
        <w:ind w:left="11"/>
      </w:pPr>
      <w:r w:rsidRPr="00BA0DCA">
        <w:t xml:space="preserve">The intended outcome of the </w:t>
      </w:r>
      <w:r w:rsidR="00C9672F" w:rsidRPr="00BA0DCA">
        <w:t xml:space="preserve">licence </w:t>
      </w:r>
      <w:r w:rsidRPr="00BA0DCA">
        <w:t xml:space="preserve">conditions and other elements of the technical framework </w:t>
      </w:r>
      <w:r w:rsidR="00F406FD" w:rsidRPr="00BA0DCA">
        <w:t>is to s</w:t>
      </w:r>
      <w:r w:rsidR="00F406FD" w:rsidRPr="006E2CCC">
        <w:t xml:space="preserve">upport </w:t>
      </w:r>
      <w:r w:rsidR="008B4814" w:rsidRPr="00A142E9">
        <w:t xml:space="preserve">a wide range of </w:t>
      </w:r>
      <w:r w:rsidR="00F406FD" w:rsidRPr="006E2CCC">
        <w:t>new and existing uses of the spectrum,</w:t>
      </w:r>
      <w:r w:rsidR="00F406FD" w:rsidRPr="00BA0DCA">
        <w:t xml:space="preserve"> </w:t>
      </w:r>
      <w:r w:rsidR="00360F99" w:rsidRPr="00BA0DCA">
        <w:t xml:space="preserve">and to </w:t>
      </w:r>
      <w:r w:rsidR="00F406FD" w:rsidRPr="00BA0DCA">
        <w:t>deliver flow-on benefits to consumers in terms of quality and range of services</w:t>
      </w:r>
      <w:r w:rsidR="00966D0A" w:rsidRPr="00BA0DCA">
        <w:t>. The introduction of AWLs into the 3.4</w:t>
      </w:r>
      <w:r w:rsidR="00F36FAD">
        <w:t>–</w:t>
      </w:r>
      <w:r w:rsidR="00966D0A" w:rsidRPr="00BA0DCA">
        <w:t xml:space="preserve">4.0 GHz band </w:t>
      </w:r>
      <w:r w:rsidR="00F406FD" w:rsidRPr="00BA0DCA">
        <w:t>is</w:t>
      </w:r>
      <w:r w:rsidR="00F406FD">
        <w:t xml:space="preserve"> expected to have little or no detriment to existing users of the spectrum.</w:t>
      </w:r>
    </w:p>
    <w:p w14:paraId="091A3396" w14:textId="02E7941A" w:rsidR="00B64542" w:rsidRDefault="005801F1" w:rsidP="008E52D1">
      <w:pPr>
        <w:pStyle w:val="Paragraph"/>
        <w:ind w:left="11"/>
      </w:pPr>
      <w:r>
        <w:t xml:space="preserve">Applicants should engage </w:t>
      </w:r>
      <w:r w:rsidR="0071135B">
        <w:t xml:space="preserve">an </w:t>
      </w:r>
      <w:hyperlink r:id="rId40" w:history="1">
        <w:r w:rsidR="00041715">
          <w:rPr>
            <w:rStyle w:val="Hyperlink"/>
          </w:rPr>
          <w:t>a</w:t>
        </w:r>
        <w:r w:rsidRPr="00357CDE">
          <w:rPr>
            <w:rStyle w:val="Hyperlink"/>
          </w:rPr>
          <w:t xml:space="preserve">ccredited </w:t>
        </w:r>
        <w:r w:rsidR="00041715">
          <w:rPr>
            <w:rStyle w:val="Hyperlink"/>
          </w:rPr>
          <w:t>p</w:t>
        </w:r>
        <w:r w:rsidRPr="00357CDE">
          <w:rPr>
            <w:rStyle w:val="Hyperlink"/>
          </w:rPr>
          <w:t>erson</w:t>
        </w:r>
      </w:hyperlink>
      <w:r w:rsidR="0071135B">
        <w:t xml:space="preserve"> </w:t>
      </w:r>
      <w:r w:rsidR="00B12BF8">
        <w:t xml:space="preserve">to ensure the </w:t>
      </w:r>
      <w:r w:rsidR="00457869">
        <w:t xml:space="preserve">proposed AWL </w:t>
      </w:r>
      <w:r w:rsidR="000D04E8">
        <w:t>satisfies</w:t>
      </w:r>
      <w:r w:rsidR="00F41998">
        <w:t xml:space="preserve"> the technical requirements </w:t>
      </w:r>
      <w:r w:rsidR="000D04E8">
        <w:t xml:space="preserve">needed </w:t>
      </w:r>
      <w:r w:rsidR="00A83EBD">
        <w:t>for the services envisaged</w:t>
      </w:r>
      <w:r w:rsidR="00616A21">
        <w:t xml:space="preserve"> by the applicant</w:t>
      </w:r>
      <w:r w:rsidR="00150557">
        <w:t>.</w:t>
      </w:r>
    </w:p>
    <w:p w14:paraId="5C436CD7" w14:textId="5A6CA5FB" w:rsidR="0002785F" w:rsidRPr="00237620" w:rsidRDefault="0002785F" w:rsidP="00D11147">
      <w:pPr>
        <w:pStyle w:val="Heading3"/>
        <w:ind w:left="11"/>
      </w:pPr>
      <w:bookmarkStart w:id="18" w:name="_Toc137726598"/>
      <w:r>
        <w:t xml:space="preserve">AWL </w:t>
      </w:r>
      <w:r w:rsidR="00960CDE">
        <w:t>Licence Condition Determination (</w:t>
      </w:r>
      <w:r>
        <w:t>LCD</w:t>
      </w:r>
      <w:r w:rsidR="00960CDE">
        <w:t>)</w:t>
      </w:r>
      <w:bookmarkEnd w:id="18"/>
    </w:p>
    <w:p w14:paraId="21B365EC" w14:textId="5247F4E7" w:rsidR="0002785F" w:rsidRDefault="0002785F" w:rsidP="00D11147">
      <w:pPr>
        <w:pStyle w:val="Paragraph"/>
        <w:ind w:left="11"/>
      </w:pPr>
      <w:r>
        <w:t>T</w:t>
      </w:r>
      <w:r w:rsidRPr="00712DE6">
        <w:t>he AWL</w:t>
      </w:r>
      <w:r>
        <w:t xml:space="preserve"> LCD</w:t>
      </w:r>
      <w:r w:rsidRPr="00712DE6">
        <w:t xml:space="preserve"> contains condition</w:t>
      </w:r>
      <w:r w:rsidR="0045168C">
        <w:t>s</w:t>
      </w:r>
      <w:r w:rsidRPr="00712DE6">
        <w:t xml:space="preserve"> </w:t>
      </w:r>
      <w:r w:rsidR="00616A21">
        <w:t xml:space="preserve">that apply </w:t>
      </w:r>
      <w:r w:rsidRPr="00712DE6">
        <w:t xml:space="preserve">to all </w:t>
      </w:r>
      <w:r w:rsidR="009E26D6">
        <w:t>AWLs</w:t>
      </w:r>
      <w:r w:rsidR="003C1EC3">
        <w:t xml:space="preserve">. </w:t>
      </w:r>
    </w:p>
    <w:p w14:paraId="7A59E533" w14:textId="2D8B1191" w:rsidR="0002785F" w:rsidRDefault="0002785F" w:rsidP="00F055FD">
      <w:pPr>
        <w:pStyle w:val="Paragraphbeforelist"/>
        <w:rPr>
          <w:rStyle w:val="normaltextrun"/>
        </w:rPr>
      </w:pPr>
      <w:r w:rsidRPr="0050293C">
        <w:t>Schedule 4</w:t>
      </w:r>
      <w:r>
        <w:t xml:space="preserve"> </w:t>
      </w:r>
      <w:r w:rsidR="004058DD">
        <w:t xml:space="preserve">to </w:t>
      </w:r>
      <w:r>
        <w:t xml:space="preserve">the </w:t>
      </w:r>
      <w:r>
        <w:rPr>
          <w:rStyle w:val="normaltextrun"/>
        </w:rPr>
        <w:t>AWL LCD</w:t>
      </w:r>
      <w:r>
        <w:t xml:space="preserve"> contains c</w:t>
      </w:r>
      <w:r w:rsidRPr="0050293C">
        <w:t>onditions</w:t>
      </w:r>
      <w:r>
        <w:t xml:space="preserve"> specific </w:t>
      </w:r>
      <w:r w:rsidRPr="0050293C">
        <w:t xml:space="preserve">for radiocommunications devices authorised to operate in the </w:t>
      </w:r>
      <w:r w:rsidR="00D62060">
        <w:t>3.4–4.0 GHz</w:t>
      </w:r>
      <w:r>
        <w:t xml:space="preserve"> band, including</w:t>
      </w:r>
      <w:r>
        <w:rPr>
          <w:rStyle w:val="normaltextrun"/>
        </w:rPr>
        <w:t>:</w:t>
      </w:r>
    </w:p>
    <w:p w14:paraId="65BAC6E4" w14:textId="21920B00" w:rsidR="0002785F" w:rsidRPr="00D11147" w:rsidRDefault="0002785F" w:rsidP="00F055FD">
      <w:pPr>
        <w:pStyle w:val="Bulletlevel1"/>
      </w:pPr>
      <w:r w:rsidRPr="00D11147">
        <w:t>maximum permitted total radiated power</w:t>
      </w:r>
      <w:r w:rsidR="00287061">
        <w:t>,</w:t>
      </w:r>
      <w:r w:rsidR="00FB6BBC">
        <w:t xml:space="preserve"> </w:t>
      </w:r>
      <w:r w:rsidR="00424B90">
        <w:t xml:space="preserve">and equivalent </w:t>
      </w:r>
      <w:proofErr w:type="spellStart"/>
      <w:r w:rsidR="00424B90">
        <w:t>isotropic</w:t>
      </w:r>
      <w:r w:rsidR="004058DD">
        <w:t>ally</w:t>
      </w:r>
      <w:proofErr w:type="spellEnd"/>
      <w:r w:rsidR="00424B90">
        <w:t xml:space="preserve"> radiated power</w:t>
      </w:r>
      <w:r w:rsidR="00424B90" w:rsidRPr="00D11147">
        <w:t xml:space="preserve"> </w:t>
      </w:r>
      <w:r w:rsidRPr="00D11147">
        <w:t>limits</w:t>
      </w:r>
      <w:r w:rsidR="00287061">
        <w:t xml:space="preserve"> that apply only above 3700 MHz</w:t>
      </w:r>
    </w:p>
    <w:p w14:paraId="496D1249" w14:textId="3C06EC3E" w:rsidR="0002785F" w:rsidRPr="00D11147" w:rsidRDefault="0002785F" w:rsidP="00F055FD">
      <w:pPr>
        <w:pStyle w:val="Bulletlevel1"/>
      </w:pPr>
      <w:r w:rsidRPr="00D11147">
        <w:t xml:space="preserve">limits on unwanted emissions outside the frequency range authorised by </w:t>
      </w:r>
      <w:r w:rsidR="00F36FAD">
        <w:br/>
      </w:r>
      <w:r w:rsidRPr="00D11147">
        <w:t>the licence</w:t>
      </w:r>
    </w:p>
    <w:p w14:paraId="182EE200" w14:textId="4B2DC4BD" w:rsidR="0002785F" w:rsidRPr="00D11147" w:rsidRDefault="0002785F" w:rsidP="00F055FD">
      <w:pPr>
        <w:pStyle w:val="Bulletlevel1"/>
      </w:pPr>
      <w:r w:rsidRPr="00D11147">
        <w:t xml:space="preserve">deployment restrictions to manage coexistence with other services </w:t>
      </w:r>
    </w:p>
    <w:p w14:paraId="44E2B91A" w14:textId="76068E0A" w:rsidR="00A10419" w:rsidRPr="00D11147" w:rsidRDefault="004058DD" w:rsidP="00F055FD">
      <w:pPr>
        <w:pStyle w:val="Bulletlevel1last"/>
      </w:pPr>
      <w:r>
        <w:t>requirements for all radiocommunications transmitters</w:t>
      </w:r>
      <w:r w:rsidRPr="004058DD">
        <w:t xml:space="preserve"> </w:t>
      </w:r>
      <w:r>
        <w:t xml:space="preserve">to be </w:t>
      </w:r>
      <w:r w:rsidRPr="00D11147">
        <w:t>included in the Register of Radiocommunications Licences (RRL)</w:t>
      </w:r>
      <w:r>
        <w:t xml:space="preserve">, other than those with specified </w:t>
      </w:r>
      <w:r w:rsidR="00A10419">
        <w:t>operating parameters (</w:t>
      </w:r>
      <w:r w:rsidR="00D73E7B">
        <w:t>i.e.</w:t>
      </w:r>
      <w:r w:rsidR="00F36FAD">
        <w:t>,</w:t>
      </w:r>
      <w:r w:rsidR="00A10419">
        <w:t xml:space="preserve"> registration-exempt transmitters)</w:t>
      </w:r>
      <w:r w:rsidR="0071091A">
        <w:t>.</w:t>
      </w:r>
    </w:p>
    <w:p w14:paraId="59A0C695" w14:textId="453E911A" w:rsidR="0002785F" w:rsidRDefault="0037030A" w:rsidP="00D11147">
      <w:pPr>
        <w:pStyle w:val="Paragraph"/>
        <w:ind w:left="11"/>
        <w:rPr>
          <w:rStyle w:val="normaltextrun"/>
        </w:rPr>
      </w:pPr>
      <w:r>
        <w:rPr>
          <w:rStyle w:val="normaltextrun"/>
        </w:rPr>
        <w:t>I</w:t>
      </w:r>
      <w:r w:rsidR="0002785F">
        <w:rPr>
          <w:rStyle w:val="normaltextrun"/>
        </w:rPr>
        <w:t xml:space="preserve">n general, </w:t>
      </w:r>
      <w:r w:rsidR="0002785F" w:rsidRPr="007D16CF">
        <w:rPr>
          <w:rStyle w:val="normaltextrun"/>
        </w:rPr>
        <w:t xml:space="preserve">other apparatus licences can be issued </w:t>
      </w:r>
      <w:r w:rsidR="0002785F">
        <w:rPr>
          <w:rStyle w:val="normaltextrun"/>
        </w:rPr>
        <w:t>for coextensive frequenc</w:t>
      </w:r>
      <w:r w:rsidR="00173B5A">
        <w:rPr>
          <w:rStyle w:val="normaltextrun"/>
        </w:rPr>
        <w:t>y</w:t>
      </w:r>
      <w:r w:rsidR="0002785F">
        <w:rPr>
          <w:rStyle w:val="normaltextrun"/>
        </w:rPr>
        <w:t xml:space="preserve"> ranges and geographic areas.</w:t>
      </w:r>
      <w:r w:rsidR="0002785F" w:rsidRPr="007D16CF">
        <w:rPr>
          <w:rStyle w:val="normaltextrun"/>
        </w:rPr>
        <w:t xml:space="preserve"> </w:t>
      </w:r>
      <w:r w:rsidR="0002785F">
        <w:rPr>
          <w:rStyle w:val="normaltextrun"/>
        </w:rPr>
        <w:t xml:space="preserve">The new RALI </w:t>
      </w:r>
      <w:r w:rsidR="0002785F">
        <w:t>MS47</w:t>
      </w:r>
      <w:r w:rsidR="0002785F">
        <w:rPr>
          <w:rStyle w:val="normaltextrun"/>
        </w:rPr>
        <w:t xml:space="preserve"> explains </w:t>
      </w:r>
      <w:r w:rsidR="008738A2">
        <w:rPr>
          <w:rStyle w:val="normaltextrun"/>
        </w:rPr>
        <w:t xml:space="preserve">the ACMA’s </w:t>
      </w:r>
      <w:r w:rsidR="0002785F">
        <w:rPr>
          <w:rStyle w:val="normaltextrun"/>
        </w:rPr>
        <w:t xml:space="preserve">licensing and assignment policy </w:t>
      </w:r>
      <w:r w:rsidR="008738A2">
        <w:rPr>
          <w:rStyle w:val="normaltextrun"/>
        </w:rPr>
        <w:t xml:space="preserve">and device coordination requirements </w:t>
      </w:r>
      <w:r w:rsidR="0002785F">
        <w:rPr>
          <w:rStyle w:val="normaltextrun"/>
        </w:rPr>
        <w:t>for</w:t>
      </w:r>
      <w:r w:rsidR="0002785F" w:rsidRPr="007D16CF">
        <w:rPr>
          <w:rStyle w:val="normaltextrun"/>
        </w:rPr>
        <w:t xml:space="preserve"> the </w:t>
      </w:r>
      <w:r w:rsidR="0002785F">
        <w:rPr>
          <w:rStyle w:val="normaltextrun"/>
        </w:rPr>
        <w:t>bands.</w:t>
      </w:r>
    </w:p>
    <w:p w14:paraId="7B80E5B8" w14:textId="2B9771C0" w:rsidR="0002785F" w:rsidRPr="007D16CF" w:rsidRDefault="0002785F" w:rsidP="00D11147">
      <w:pPr>
        <w:pStyle w:val="Paragraph"/>
        <w:ind w:left="11"/>
        <w:rPr>
          <w:rStyle w:val="normaltextrun"/>
        </w:rPr>
      </w:pPr>
      <w:r w:rsidRPr="007D16CF">
        <w:rPr>
          <w:rStyle w:val="normaltextrun"/>
        </w:rPr>
        <w:t xml:space="preserve">Licensees may authorise third parties to operate </w:t>
      </w:r>
      <w:r>
        <w:rPr>
          <w:rStyle w:val="normaltextrun"/>
        </w:rPr>
        <w:t xml:space="preserve">radiocommunications </w:t>
      </w:r>
      <w:r w:rsidRPr="007D16CF">
        <w:rPr>
          <w:rStyle w:val="normaltextrun"/>
        </w:rPr>
        <w:t>devices under the licence.</w:t>
      </w:r>
      <w:r w:rsidR="00DA78C1">
        <w:rPr>
          <w:rStyle w:val="normaltextrun"/>
        </w:rPr>
        <w:t xml:space="preserve"> </w:t>
      </w:r>
    </w:p>
    <w:p w14:paraId="1AF9BC55" w14:textId="34B43621" w:rsidR="0002785F" w:rsidRDefault="006360FF" w:rsidP="00D11147">
      <w:pPr>
        <w:pStyle w:val="Heading3"/>
        <w:ind w:left="11"/>
      </w:pPr>
      <w:bookmarkStart w:id="19" w:name="_Toc137726599"/>
      <w:r>
        <w:t>Radiocommunications Assignment and Licensing Instructions</w:t>
      </w:r>
      <w:bookmarkEnd w:id="19"/>
    </w:p>
    <w:p w14:paraId="79BABF59" w14:textId="263B40E6" w:rsidR="0002785F" w:rsidRDefault="00BC035D" w:rsidP="00D11147">
      <w:pPr>
        <w:pStyle w:val="Paragraph"/>
        <w:ind w:left="11"/>
      </w:pPr>
      <w:r w:rsidRPr="00BF3E81">
        <w:t xml:space="preserve">RALIs </w:t>
      </w:r>
      <w:r w:rsidR="00B77914">
        <w:t xml:space="preserve">are administrative </w:t>
      </w:r>
      <w:r w:rsidR="00A86F32">
        <w:t>policy</w:t>
      </w:r>
      <w:r w:rsidR="00B77914">
        <w:t xml:space="preserve"> documents that support </w:t>
      </w:r>
      <w:r w:rsidRPr="00BF3E81">
        <w:t>licen</w:t>
      </w:r>
      <w:r w:rsidR="0069696E">
        <w:t>sing</w:t>
      </w:r>
      <w:r w:rsidRPr="00BF3E81">
        <w:t xml:space="preserve"> and </w:t>
      </w:r>
      <w:r w:rsidR="0069696E">
        <w:t xml:space="preserve">device </w:t>
      </w:r>
      <w:r w:rsidRPr="00BF3E81">
        <w:t>coordinat</w:t>
      </w:r>
      <w:r w:rsidR="0069696E">
        <w:t>ion</w:t>
      </w:r>
      <w:r w:rsidRPr="00BF3E81">
        <w:t xml:space="preserve"> in a band and </w:t>
      </w:r>
      <w:r w:rsidR="00ED701C">
        <w:t>assist</w:t>
      </w:r>
      <w:r w:rsidRPr="00BF3E81">
        <w:t xml:space="preserve"> </w:t>
      </w:r>
      <w:r w:rsidR="0069696E">
        <w:t>A</w:t>
      </w:r>
      <w:r w:rsidR="00B47C62">
        <w:t xml:space="preserve">ccredited </w:t>
      </w:r>
      <w:r w:rsidR="0069696E">
        <w:t>P</w:t>
      </w:r>
      <w:r w:rsidR="00B47C62">
        <w:t>ersons</w:t>
      </w:r>
      <w:r w:rsidRPr="00BF3E81">
        <w:t xml:space="preserve"> </w:t>
      </w:r>
      <w:r w:rsidR="00ED701C">
        <w:t>when assigning frequencies</w:t>
      </w:r>
      <w:r w:rsidR="0069696E">
        <w:t xml:space="preserve"> and coordinating devices</w:t>
      </w:r>
      <w:r w:rsidRPr="00BF3E81">
        <w:t>.</w:t>
      </w:r>
      <w:r w:rsidR="00BF3E81">
        <w:t xml:space="preserve"> </w:t>
      </w:r>
      <w:r w:rsidR="009F3D23">
        <w:t>N</w:t>
      </w:r>
      <w:r w:rsidR="0002785F">
        <w:t xml:space="preserve">ew RALI MS47 for the </w:t>
      </w:r>
      <w:r w:rsidR="00D62060">
        <w:t>3.4–4.0 GHz</w:t>
      </w:r>
      <w:r w:rsidR="0002785F">
        <w:t xml:space="preserve"> band</w:t>
      </w:r>
      <w:r w:rsidR="009F3D23">
        <w:t xml:space="preserve"> </w:t>
      </w:r>
      <w:r w:rsidR="0002785F">
        <w:t xml:space="preserve">details the ACMA’s </w:t>
      </w:r>
      <w:r w:rsidR="00FE3C88">
        <w:t>guidance</w:t>
      </w:r>
      <w:r w:rsidR="0002785F">
        <w:t xml:space="preserve"> on issuing new AWLs and the coordination of devices operating under an AWL with other services. </w:t>
      </w:r>
    </w:p>
    <w:p w14:paraId="012965E0" w14:textId="05B144A1" w:rsidR="00EC321A" w:rsidRDefault="00C65FA2" w:rsidP="00F055FD">
      <w:pPr>
        <w:pStyle w:val="Paragraphbeforelist"/>
      </w:pPr>
      <w:r>
        <w:t>RALI MS47</w:t>
      </w:r>
      <w:r w:rsidR="0002785F">
        <w:t xml:space="preserve"> include</w:t>
      </w:r>
      <w:r>
        <w:t>s</w:t>
      </w:r>
      <w:r w:rsidR="0002785F">
        <w:t xml:space="preserve"> </w:t>
      </w:r>
      <w:r w:rsidR="00B15CFA">
        <w:t xml:space="preserve">a </w:t>
      </w:r>
      <w:r w:rsidR="0002785F">
        <w:t>specified channel raster and limitations on assignments in certain areas.</w:t>
      </w:r>
      <w:r w:rsidR="003065D8">
        <w:t xml:space="preserve"> </w:t>
      </w:r>
      <w:r w:rsidR="00CC38B1">
        <w:t>Ex</w:t>
      </w:r>
      <w:r w:rsidR="00903AD2">
        <w:t>ceptions to this policy will be considered on a case-by-case basis.</w:t>
      </w:r>
      <w:r w:rsidR="007177E6">
        <w:t xml:space="preserve"> </w:t>
      </w:r>
      <w:r w:rsidR="00EC321A">
        <w:t>In general, AWLs are to be assigned using contiguous channels of 10 MHz with the following guidance:</w:t>
      </w:r>
    </w:p>
    <w:p w14:paraId="2C35ED29" w14:textId="131CAD09" w:rsidR="00EC321A" w:rsidRPr="00D11147" w:rsidRDefault="008F3A6D" w:rsidP="00F055FD">
      <w:pPr>
        <w:pStyle w:val="Bulletlevel1"/>
      </w:pPr>
      <w:r>
        <w:t>AWLs issued to e</w:t>
      </w:r>
      <w:r w:rsidR="00EC321A" w:rsidRPr="00D11147">
        <w:t xml:space="preserve">xisting spectrum licence holders in </w:t>
      </w:r>
      <w:r>
        <w:t xml:space="preserve">the </w:t>
      </w:r>
      <w:r w:rsidR="00EC321A" w:rsidRPr="00D11147">
        <w:t>3</w:t>
      </w:r>
      <w:r w:rsidR="002719E5">
        <w:t>.</w:t>
      </w:r>
      <w:r w:rsidR="00EC321A" w:rsidRPr="00D11147">
        <w:t>4</w:t>
      </w:r>
      <w:r>
        <w:t>–</w:t>
      </w:r>
      <w:r w:rsidR="00EC321A" w:rsidRPr="00D11147">
        <w:t>4</w:t>
      </w:r>
      <w:r w:rsidR="002719E5">
        <w:t>.</w:t>
      </w:r>
      <w:r w:rsidR="00EC321A" w:rsidRPr="00D11147">
        <w:t xml:space="preserve">0 </w:t>
      </w:r>
      <w:r w:rsidR="002719E5">
        <w:t>G</w:t>
      </w:r>
      <w:r w:rsidR="00EC321A" w:rsidRPr="00D11147">
        <w:t xml:space="preserve">Hz </w:t>
      </w:r>
      <w:r>
        <w:t xml:space="preserve">band </w:t>
      </w:r>
      <w:r w:rsidR="00EC321A" w:rsidRPr="00D11147">
        <w:t xml:space="preserve">should </w:t>
      </w:r>
      <w:r w:rsidR="005C25F7" w:rsidRPr="00D11147">
        <w:t>preferably</w:t>
      </w:r>
      <w:r w:rsidR="002508C9" w:rsidRPr="00D11147">
        <w:t xml:space="preserve"> </w:t>
      </w:r>
      <w:r w:rsidR="00EC321A" w:rsidRPr="00D11147">
        <w:t>be contiguous with existing spectrum licences</w:t>
      </w:r>
      <w:r>
        <w:t>,</w:t>
      </w:r>
      <w:r w:rsidR="00EC321A" w:rsidRPr="00D11147">
        <w:t xml:space="preserve"> and be below </w:t>
      </w:r>
      <w:r w:rsidR="00EC321A" w:rsidRPr="00AF085D">
        <w:t>3</w:t>
      </w:r>
      <w:r w:rsidR="002719E5" w:rsidRPr="00AF085D">
        <w:t>.</w:t>
      </w:r>
      <w:r w:rsidR="00CF4071" w:rsidRPr="00AF085D">
        <w:t xml:space="preserve">8 </w:t>
      </w:r>
      <w:r w:rsidR="002719E5" w:rsidRPr="00AF085D">
        <w:t>G</w:t>
      </w:r>
      <w:r w:rsidR="00EC321A" w:rsidRPr="00AF085D">
        <w:t>Hz</w:t>
      </w:r>
    </w:p>
    <w:p w14:paraId="2BD80CDF" w14:textId="72A521F2" w:rsidR="00EC321A" w:rsidRPr="00D11147" w:rsidRDefault="008F3A6D" w:rsidP="00F055FD">
      <w:pPr>
        <w:pStyle w:val="Bulletlevel1"/>
      </w:pPr>
      <w:r>
        <w:t xml:space="preserve">AWLs issued to </w:t>
      </w:r>
      <w:r w:rsidR="0071091A">
        <w:t xml:space="preserve">persons </w:t>
      </w:r>
      <w:r>
        <w:t xml:space="preserve">who do not hold </w:t>
      </w:r>
      <w:r w:rsidR="00EC321A" w:rsidRPr="00D11147">
        <w:t>spectrum licence</w:t>
      </w:r>
      <w:r>
        <w:t>s</w:t>
      </w:r>
      <w:r w:rsidR="00EC321A" w:rsidRPr="00D11147">
        <w:t xml:space="preserve"> in </w:t>
      </w:r>
      <w:r>
        <w:t xml:space="preserve">the </w:t>
      </w:r>
      <w:r w:rsidR="002719E5" w:rsidRPr="00D11147">
        <w:t>3</w:t>
      </w:r>
      <w:r w:rsidR="002719E5">
        <w:t>.</w:t>
      </w:r>
      <w:r w:rsidR="002719E5" w:rsidRPr="00D11147">
        <w:t>4</w:t>
      </w:r>
      <w:r>
        <w:t>–</w:t>
      </w:r>
      <w:r w:rsidR="002719E5" w:rsidRPr="00D11147">
        <w:t>4</w:t>
      </w:r>
      <w:r w:rsidR="002719E5">
        <w:t>.</w:t>
      </w:r>
      <w:r w:rsidR="002719E5" w:rsidRPr="00D11147">
        <w:t xml:space="preserve">0 </w:t>
      </w:r>
      <w:r w:rsidR="002719E5">
        <w:t>G</w:t>
      </w:r>
      <w:r w:rsidR="002719E5" w:rsidRPr="00D11147">
        <w:t>Hz</w:t>
      </w:r>
      <w:r>
        <w:t xml:space="preserve"> band</w:t>
      </w:r>
      <w:r w:rsidR="002719E5" w:rsidRPr="00D11147">
        <w:t xml:space="preserve"> </w:t>
      </w:r>
      <w:r w:rsidR="00EC321A" w:rsidRPr="00D11147">
        <w:t xml:space="preserve">should </w:t>
      </w:r>
      <w:r w:rsidR="000E58C6">
        <w:t>preferably</w:t>
      </w:r>
      <w:r w:rsidR="000E58C6" w:rsidRPr="00D11147">
        <w:t xml:space="preserve"> </w:t>
      </w:r>
      <w:r w:rsidR="00EC321A" w:rsidRPr="00D11147">
        <w:t xml:space="preserve">be contiguous with any existing AWL licences </w:t>
      </w:r>
      <w:r>
        <w:t xml:space="preserve">held by them, </w:t>
      </w:r>
      <w:r w:rsidR="00EC321A" w:rsidRPr="00D11147">
        <w:t xml:space="preserve">and be above </w:t>
      </w:r>
      <w:r w:rsidR="00EF2947" w:rsidRPr="00AF085D">
        <w:t>3.</w:t>
      </w:r>
      <w:r w:rsidR="00CF4071" w:rsidRPr="00AF085D">
        <w:t xml:space="preserve">8 </w:t>
      </w:r>
      <w:r w:rsidR="00EF2947" w:rsidRPr="00AF085D">
        <w:t>GHz</w:t>
      </w:r>
    </w:p>
    <w:p w14:paraId="1A72973A" w14:textId="03F740E1" w:rsidR="00EC321A" w:rsidRPr="00D11147" w:rsidRDefault="00EB71E1" w:rsidP="00F055FD">
      <w:pPr>
        <w:pStyle w:val="Bulletlevel1last"/>
      </w:pPr>
      <w:r>
        <w:t>i</w:t>
      </w:r>
      <w:r w:rsidR="00DF564F">
        <w:t>n a</w:t>
      </w:r>
      <w:r w:rsidR="00EC321A" w:rsidRPr="00D11147">
        <w:t xml:space="preserve">scending </w:t>
      </w:r>
      <w:r w:rsidR="00DF564F">
        <w:t>frequency</w:t>
      </w:r>
      <w:r w:rsidR="00EC321A" w:rsidRPr="00D11147">
        <w:t xml:space="preserve"> order, but subject to</w:t>
      </w:r>
      <w:r w:rsidR="00AF085D">
        <w:t xml:space="preserve"> the</w:t>
      </w:r>
      <w:r w:rsidR="00EC321A" w:rsidRPr="00D11147">
        <w:t xml:space="preserve"> above </w:t>
      </w:r>
      <w:r w:rsidR="00825351">
        <w:t>2</w:t>
      </w:r>
      <w:r w:rsidR="00825351" w:rsidRPr="00D11147">
        <w:t xml:space="preserve"> </w:t>
      </w:r>
      <w:r w:rsidR="00EC321A" w:rsidRPr="00D11147">
        <w:t>points</w:t>
      </w:r>
      <w:r w:rsidR="002508C9">
        <w:t>.</w:t>
      </w:r>
    </w:p>
    <w:p w14:paraId="7E364266" w14:textId="754EDD4F" w:rsidR="003065D8" w:rsidRDefault="003065D8" w:rsidP="00170AB2">
      <w:pPr>
        <w:pStyle w:val="Paragraph"/>
        <w:ind w:left="11"/>
      </w:pPr>
      <w:r>
        <w:t xml:space="preserve">These </w:t>
      </w:r>
      <w:r w:rsidR="00B15EF3">
        <w:t xml:space="preserve">arrangements </w:t>
      </w:r>
      <w:r>
        <w:t>are aimed at improving spectral efficiency, maximising spectrum availability for prospective licensees</w:t>
      </w:r>
      <w:r w:rsidR="008F3A6D">
        <w:t>,</w:t>
      </w:r>
      <w:r>
        <w:t xml:space="preserve"> and enabling the prospect of contiguous spectrum holdings across geographic boundaries. </w:t>
      </w:r>
      <w:r w:rsidR="00AD5333">
        <w:t xml:space="preserve">This approach supports the efficient allocation and use of spectrum and a range of use cases and users. </w:t>
      </w:r>
      <w:r>
        <w:t>Alternative ways of assigning spectrum can be considered on a case-by-case basis by the ACMA where it is deemed to improve the efficiency in use and allocation of spectrum.</w:t>
      </w:r>
    </w:p>
    <w:p w14:paraId="3352F3C0" w14:textId="01479CDF" w:rsidR="006F3A03" w:rsidRDefault="0002785F" w:rsidP="00E34D8D">
      <w:pPr>
        <w:spacing w:after="120"/>
        <w:ind w:left="11"/>
      </w:pPr>
      <w:r>
        <w:t xml:space="preserve">An AWL authorises the operation of radiocommunications devices within a frequency range and geographic area specified on the licence. AWLs authorising operation in the </w:t>
      </w:r>
      <w:r w:rsidR="00D62060">
        <w:t>3.4–4.0 GHz</w:t>
      </w:r>
      <w:r>
        <w:t xml:space="preserve"> band will</w:t>
      </w:r>
      <w:r w:rsidR="008F3A6D">
        <w:t xml:space="preserve"> generally</w:t>
      </w:r>
      <w:r>
        <w:t xml:space="preserve"> only be issued in geographic areas that are located outside those embargoed frequencies and areas defined in </w:t>
      </w:r>
      <w:r w:rsidRPr="00590448">
        <w:t>RALI MS</w:t>
      </w:r>
      <w:r w:rsidR="00261428">
        <w:t>0</w:t>
      </w:r>
      <w:r w:rsidRPr="00590448">
        <w:t>3</w:t>
      </w:r>
      <w:r w:rsidR="00261428">
        <w:t xml:space="preserve"> and RALI MS26</w:t>
      </w:r>
      <w:r w:rsidRPr="00F55694">
        <w:t>.</w:t>
      </w:r>
      <w:r w:rsidR="00196BDE" w:rsidRPr="00F55694">
        <w:t xml:space="preserve"> </w:t>
      </w:r>
      <w:r w:rsidR="00815BFB" w:rsidRPr="00F55694">
        <w:t xml:space="preserve">In </w:t>
      </w:r>
      <w:r w:rsidR="002E6197" w:rsidRPr="00F55694">
        <w:t>addition</w:t>
      </w:r>
      <w:r w:rsidR="00AB7DE6" w:rsidRPr="00F55694">
        <w:t xml:space="preserve">, </w:t>
      </w:r>
      <w:r w:rsidR="0007044D" w:rsidRPr="00F55694">
        <w:t xml:space="preserve">RALI </w:t>
      </w:r>
      <w:r w:rsidR="00D41EA2" w:rsidRPr="00F55694">
        <w:t xml:space="preserve">MS47 specifies </w:t>
      </w:r>
      <w:r w:rsidR="00AB7DE6" w:rsidRPr="00F55694">
        <w:t xml:space="preserve">exclusion </w:t>
      </w:r>
      <w:r w:rsidR="00222DD2" w:rsidRPr="00F55694">
        <w:t xml:space="preserve">or coordination </w:t>
      </w:r>
      <w:r w:rsidR="00AB7DE6" w:rsidRPr="00F55694">
        <w:t xml:space="preserve">zones </w:t>
      </w:r>
      <w:r w:rsidR="00DE0026" w:rsidRPr="00F55694">
        <w:t>that</w:t>
      </w:r>
      <w:r w:rsidR="00AB7DE6" w:rsidRPr="00F55694">
        <w:t xml:space="preserve"> </w:t>
      </w:r>
      <w:r w:rsidR="006F3A03" w:rsidRPr="00F55694">
        <w:t>apply to</w:t>
      </w:r>
      <w:r w:rsidR="000A02F1" w:rsidRPr="00F55694">
        <w:t xml:space="preserve"> AWLs </w:t>
      </w:r>
      <w:r w:rsidR="00324AD6" w:rsidRPr="00F55694">
        <w:t xml:space="preserve">in </w:t>
      </w:r>
      <w:r w:rsidR="00DE0026" w:rsidRPr="00F55694">
        <w:t>the vicinity of</w:t>
      </w:r>
      <w:r w:rsidR="006F3A03" w:rsidRPr="00F55694">
        <w:t>:</w:t>
      </w:r>
      <w:r w:rsidR="006F3A03">
        <w:t xml:space="preserve"> </w:t>
      </w:r>
    </w:p>
    <w:p w14:paraId="68317196" w14:textId="17EDACDE" w:rsidR="006F3A03" w:rsidRPr="00D11147" w:rsidRDefault="00EB71E1" w:rsidP="00E14FE1">
      <w:pPr>
        <w:pStyle w:val="Bulletlevel1"/>
      </w:pPr>
      <w:r>
        <w:t>p</w:t>
      </w:r>
      <w:r w:rsidR="008F3A6D">
        <w:t xml:space="preserve">articular </w:t>
      </w:r>
      <w:r w:rsidR="00851AEA">
        <w:t>r</w:t>
      </w:r>
      <w:r w:rsidR="000A02F1">
        <w:t>adiolocation systems</w:t>
      </w:r>
    </w:p>
    <w:p w14:paraId="4BDF6860" w14:textId="2A1A65C1" w:rsidR="006F3A03" w:rsidRPr="00603420" w:rsidRDefault="008456C3" w:rsidP="00E14FE1">
      <w:pPr>
        <w:pStyle w:val="Bulletlevel1"/>
      </w:pPr>
      <w:r w:rsidRPr="00603420">
        <w:t>t</w:t>
      </w:r>
      <w:r w:rsidR="00851AEA" w:rsidRPr="00603420">
        <w:t xml:space="preserve">he </w:t>
      </w:r>
      <w:r w:rsidR="006F3A03" w:rsidRPr="00603420">
        <w:t>Darwin</w:t>
      </w:r>
      <w:r w:rsidR="005D31C4">
        <w:t>,</w:t>
      </w:r>
      <w:r w:rsidR="006F3A03" w:rsidRPr="00603420">
        <w:t xml:space="preserve"> </w:t>
      </w:r>
      <w:r w:rsidR="00507A20" w:rsidRPr="00603420">
        <w:t xml:space="preserve">Geraldton </w:t>
      </w:r>
      <w:r w:rsidR="006F3A03" w:rsidRPr="00603420">
        <w:t xml:space="preserve">&amp; </w:t>
      </w:r>
      <w:r w:rsidR="005D31C4">
        <w:t xml:space="preserve">Exmouth </w:t>
      </w:r>
      <w:r w:rsidR="006F3A03" w:rsidRPr="00603420">
        <w:t>coordination zones</w:t>
      </w:r>
    </w:p>
    <w:p w14:paraId="1C55F53C" w14:textId="713AD283" w:rsidR="00E34D8D" w:rsidRDefault="008456C3" w:rsidP="00E14FE1">
      <w:pPr>
        <w:pStyle w:val="Bulletlevel1last"/>
      </w:pPr>
      <w:r>
        <w:t xml:space="preserve">the </w:t>
      </w:r>
      <w:r w:rsidR="006F3A03" w:rsidRPr="00D11147">
        <w:t>W</w:t>
      </w:r>
      <w:r w:rsidR="008F3A6D">
        <w:t>PA</w:t>
      </w:r>
      <w:r w:rsidR="00EC274A">
        <w:t>.</w:t>
      </w:r>
    </w:p>
    <w:p w14:paraId="20ED493B" w14:textId="29592987" w:rsidR="0002785F" w:rsidRDefault="00B15EF3" w:rsidP="00E14FE1">
      <w:pPr>
        <w:pStyle w:val="Paragraphbeforelist"/>
      </w:pPr>
      <w:r>
        <w:t>I</w:t>
      </w:r>
      <w:r w:rsidR="0002785F">
        <w:t xml:space="preserve">n remote areas: </w:t>
      </w:r>
    </w:p>
    <w:p w14:paraId="4A1F2C88" w14:textId="360112D6" w:rsidR="0002785F" w:rsidRDefault="0002785F" w:rsidP="00E14FE1">
      <w:pPr>
        <w:pStyle w:val="Bulletlevel1"/>
      </w:pPr>
      <w:r>
        <w:t xml:space="preserve">FSS earth </w:t>
      </w:r>
      <w:r w:rsidR="00E1760C">
        <w:t xml:space="preserve">receive </w:t>
      </w:r>
      <w:r>
        <w:t xml:space="preserve">stations will </w:t>
      </w:r>
      <w:r w:rsidR="00CA49B7">
        <w:t xml:space="preserve">generally </w:t>
      </w:r>
      <w:r>
        <w:t xml:space="preserve">continue to </w:t>
      </w:r>
      <w:r w:rsidR="00CB11A0">
        <w:t>be</w:t>
      </w:r>
      <w:r w:rsidR="00E1760C">
        <w:t xml:space="preserve"> authorised by</w:t>
      </w:r>
      <w:r>
        <w:t xml:space="preserve"> earth receive licences</w:t>
      </w:r>
    </w:p>
    <w:p w14:paraId="28FC3DEA" w14:textId="656851E9" w:rsidR="0002785F" w:rsidRDefault="0002785F" w:rsidP="00E14FE1">
      <w:pPr>
        <w:pStyle w:val="Bulletlevel1"/>
      </w:pPr>
      <w:r>
        <w:t xml:space="preserve">no new </w:t>
      </w:r>
      <w:r w:rsidR="00CA49B7">
        <w:t xml:space="preserve">transmitter licences for </w:t>
      </w:r>
      <w:r>
        <w:t xml:space="preserve">PMP </w:t>
      </w:r>
      <w:r w:rsidR="00CA49B7">
        <w:t xml:space="preserve">services, </w:t>
      </w:r>
      <w:r>
        <w:t xml:space="preserve">or </w:t>
      </w:r>
      <w:r w:rsidR="00CA49B7">
        <w:t xml:space="preserve">transmitter </w:t>
      </w:r>
      <w:r>
        <w:t>licences</w:t>
      </w:r>
      <w:r w:rsidR="00CA49B7">
        <w:t xml:space="preserve"> of the PTS type,</w:t>
      </w:r>
      <w:r>
        <w:t xml:space="preserve"> </w:t>
      </w:r>
      <w:r w:rsidR="00CA49B7">
        <w:t>will generally</w:t>
      </w:r>
      <w:r>
        <w:t xml:space="preserve"> be issued in the </w:t>
      </w:r>
      <w:r w:rsidR="00D62060">
        <w:t>3.4–4.0 GHz</w:t>
      </w:r>
      <w:r>
        <w:t xml:space="preserve"> </w:t>
      </w:r>
      <w:r w:rsidR="00CA49B7">
        <w:t>band</w:t>
      </w:r>
    </w:p>
    <w:p w14:paraId="7E352FC3" w14:textId="24987C02" w:rsidR="00CB59B2" w:rsidRDefault="000173F7" w:rsidP="00E14FE1">
      <w:pPr>
        <w:pStyle w:val="Bulletlevel1"/>
      </w:pPr>
      <w:r>
        <w:t>i</w:t>
      </w:r>
      <w:r w:rsidR="0002785F">
        <w:t xml:space="preserve">ncumbent PMP licences would </w:t>
      </w:r>
      <w:r w:rsidR="004D5AFB">
        <w:t xml:space="preserve">generally </w:t>
      </w:r>
      <w:r w:rsidR="0002785F">
        <w:t xml:space="preserve">continue to be protected but would be encouraged to </w:t>
      </w:r>
      <w:r w:rsidR="004D5AFB">
        <w:t xml:space="preserve">apply for </w:t>
      </w:r>
      <w:r w:rsidR="0002785F">
        <w:t>AWL</w:t>
      </w:r>
      <w:r w:rsidR="004D5AFB">
        <w:t>s</w:t>
      </w:r>
      <w:r w:rsidR="004D40DE">
        <w:t xml:space="preserve"> </w:t>
      </w:r>
    </w:p>
    <w:p w14:paraId="6FE0120C" w14:textId="0FC39DFE" w:rsidR="0002785F" w:rsidRDefault="00BB7D4D" w:rsidP="00E14FE1">
      <w:pPr>
        <w:pStyle w:val="Bulletlevel1last"/>
      </w:pPr>
      <w:r>
        <w:t xml:space="preserve">an </w:t>
      </w:r>
      <w:r w:rsidR="00190E8B" w:rsidRPr="008C016D">
        <w:t>AWL</w:t>
      </w:r>
      <w:r w:rsidR="00A4485F">
        <w:t xml:space="preserve"> will</w:t>
      </w:r>
      <w:r w:rsidR="004D5AFB">
        <w:t xml:space="preserve"> generally</w:t>
      </w:r>
      <w:r w:rsidR="00A4485F">
        <w:t xml:space="preserve"> not be </w:t>
      </w:r>
      <w:r w:rsidR="00190E8B" w:rsidRPr="008C016D">
        <w:t xml:space="preserve">issued </w:t>
      </w:r>
      <w:r w:rsidR="004D5AFB">
        <w:t>if it would authorise the operation of devices on a co-frequency</w:t>
      </w:r>
      <w:r w:rsidR="00A06C73">
        <w:t xml:space="preserve"> </w:t>
      </w:r>
      <w:r w:rsidR="00190E8B" w:rsidRPr="008C016D">
        <w:t xml:space="preserve">within 20 km of </w:t>
      </w:r>
      <w:r w:rsidR="0071091A">
        <w:t xml:space="preserve">a </w:t>
      </w:r>
      <w:r w:rsidR="008A08BA">
        <w:t>PMP</w:t>
      </w:r>
      <w:r w:rsidR="00190E8B" w:rsidRPr="008C016D">
        <w:t xml:space="preserve"> service</w:t>
      </w:r>
      <w:r w:rsidR="004D5AFB">
        <w:t xml:space="preserve"> transmitter</w:t>
      </w:r>
      <w:r w:rsidR="00190E8B" w:rsidRPr="008C016D">
        <w:t xml:space="preserve">, or within 5 km if the proposed AWL is adjacent in frequency by 10 MHz or less, unless </w:t>
      </w:r>
      <w:r w:rsidR="004D5AFB">
        <w:t>the licensee of the PMP service transmitter agrees in writing</w:t>
      </w:r>
      <w:r w:rsidR="0071091A">
        <w:t>.</w:t>
      </w:r>
    </w:p>
    <w:p w14:paraId="3E74E053" w14:textId="3ADDBC90" w:rsidR="00E67C1E" w:rsidRPr="004D698C" w:rsidRDefault="00C20028" w:rsidP="00E14FE1">
      <w:pPr>
        <w:pStyle w:val="Heading3"/>
      </w:pPr>
      <w:r w:rsidRPr="004D698C">
        <w:t xml:space="preserve">Radio altimeter </w:t>
      </w:r>
      <w:r w:rsidR="00167766">
        <w:t>coexistence</w:t>
      </w:r>
      <w:r w:rsidR="00167766" w:rsidRPr="004D698C">
        <w:t xml:space="preserve"> </w:t>
      </w:r>
      <w:r w:rsidRPr="004D698C">
        <w:t>measures</w:t>
      </w:r>
    </w:p>
    <w:p w14:paraId="4DF081B8" w14:textId="4A3CB795" w:rsidR="008450E3" w:rsidRDefault="008450E3" w:rsidP="008450E3">
      <w:pPr>
        <w:spacing w:after="160" w:line="259" w:lineRule="auto"/>
      </w:pPr>
      <w:r>
        <w:t xml:space="preserve">RALI MS47 includes several </w:t>
      </w:r>
      <w:r w:rsidR="0074096B">
        <w:t xml:space="preserve">licence special conditions </w:t>
      </w:r>
      <w:r w:rsidR="00D815A6">
        <w:t xml:space="preserve">that apply </w:t>
      </w:r>
      <w:r>
        <w:t>interim mitigations to manage coexistence of AWLs in remote areas with aeronautical radionavigation services (radio altimeters) that operate in the 4200</w:t>
      </w:r>
      <w:r w:rsidR="00511ED0">
        <w:t>–</w:t>
      </w:r>
      <w:r>
        <w:t>4400 MHz band</w:t>
      </w:r>
      <w:r w:rsidR="00FA7394">
        <w:t>.</w:t>
      </w:r>
      <w:r w:rsidR="002C42E7">
        <w:t xml:space="preserve"> Further details on </w:t>
      </w:r>
      <w:r w:rsidR="00A334B7">
        <w:t xml:space="preserve">the basis for these special conditions can be found in the </w:t>
      </w:r>
      <w:hyperlink r:id="rId41" w:history="1">
        <w:r w:rsidR="00A334B7" w:rsidRPr="008279E3">
          <w:rPr>
            <w:rStyle w:val="Hyperlink"/>
          </w:rPr>
          <w:t>Wireless broadband and radio altimeters coexistence outcomes paper</w:t>
        </w:r>
      </w:hyperlink>
      <w:r w:rsidR="00A334B7">
        <w:t>. In summary, they are</w:t>
      </w:r>
      <w:r>
        <w:t>:</w:t>
      </w:r>
    </w:p>
    <w:p w14:paraId="1EAD40FE" w14:textId="0DD8ECD5" w:rsidR="008450E3" w:rsidRPr="009D33B1" w:rsidRDefault="008450E3" w:rsidP="008450E3">
      <w:pPr>
        <w:pStyle w:val="Numberedparagraph"/>
        <w:numPr>
          <w:ilvl w:val="2"/>
          <w:numId w:val="31"/>
        </w:numPr>
        <w:spacing w:after="80"/>
        <w:ind w:left="851" w:hanging="284"/>
      </w:pPr>
      <w:r w:rsidRPr="009D33B1">
        <w:t xml:space="preserve">For deployments above </w:t>
      </w:r>
      <w:r w:rsidR="00557093" w:rsidRPr="0063090F">
        <w:t>3</w:t>
      </w:r>
      <w:r w:rsidR="00557093">
        <w:t>7</w:t>
      </w:r>
      <w:r w:rsidR="00557093" w:rsidRPr="0063090F">
        <w:t>00</w:t>
      </w:r>
      <w:r w:rsidR="00557093" w:rsidRPr="009D33B1">
        <w:t xml:space="preserve"> </w:t>
      </w:r>
      <w:r w:rsidRPr="009D33B1">
        <w:t>MHz around identified runways:</w:t>
      </w:r>
    </w:p>
    <w:p w14:paraId="77A31F3F" w14:textId="1C73E738" w:rsidR="008450E3" w:rsidRPr="009D33B1" w:rsidRDefault="008450E3" w:rsidP="008450E3">
      <w:pPr>
        <w:pStyle w:val="Numberedparagraph"/>
        <w:numPr>
          <w:ilvl w:val="3"/>
          <w:numId w:val="31"/>
        </w:numPr>
        <w:spacing w:after="80"/>
        <w:ind w:left="1276" w:hanging="425"/>
      </w:pPr>
      <w:r>
        <w:t>e</w:t>
      </w:r>
      <w:r w:rsidRPr="009D33B1">
        <w:t xml:space="preserve">xclusion zones, where </w:t>
      </w:r>
      <w:r w:rsidR="00605F2F">
        <w:t>transmitters will not</w:t>
      </w:r>
      <w:r w:rsidRPr="009D33B1">
        <w:t xml:space="preserve"> </w:t>
      </w:r>
      <w:r w:rsidR="00605F2F">
        <w:t>be</w:t>
      </w:r>
      <w:r w:rsidRPr="009D33B1">
        <w:t xml:space="preserve"> permitted</w:t>
      </w:r>
      <w:r w:rsidR="00605F2F">
        <w:t xml:space="preserve"> to be operated to provide WBB services</w:t>
      </w:r>
    </w:p>
    <w:p w14:paraId="47F29EF6" w14:textId="678C221B" w:rsidR="008450E3" w:rsidRPr="009D33B1" w:rsidRDefault="008450E3" w:rsidP="008450E3">
      <w:pPr>
        <w:pStyle w:val="Numberedparagraph"/>
        <w:numPr>
          <w:ilvl w:val="3"/>
          <w:numId w:val="31"/>
        </w:numPr>
        <w:spacing w:after="80"/>
        <w:ind w:left="1276" w:hanging="425"/>
      </w:pPr>
      <w:r>
        <w:t>r</w:t>
      </w:r>
      <w:r w:rsidRPr="00B907B7">
        <w:t>estricted zones, except in the 3950–4000 MHz range in metro</w:t>
      </w:r>
      <w:r w:rsidR="00605F2F">
        <w:t>politan</w:t>
      </w:r>
      <w:r w:rsidRPr="00B907B7">
        <w:t xml:space="preserve"> and regional areas, with a </w:t>
      </w:r>
      <w:r w:rsidR="00A21643">
        <w:t>power flux density (</w:t>
      </w:r>
      <w:r w:rsidRPr="00B907B7">
        <w:t>PFD</w:t>
      </w:r>
      <w:r w:rsidR="00A21643">
        <w:t>)</w:t>
      </w:r>
      <w:r w:rsidRPr="00B907B7">
        <w:t xml:space="preserve"> limit in the restricted zones</w:t>
      </w:r>
      <w:r>
        <w:t>.</w:t>
      </w:r>
    </w:p>
    <w:p w14:paraId="41C90C93" w14:textId="324AA1E8" w:rsidR="008450E3" w:rsidRPr="009D33B1" w:rsidRDefault="008450E3" w:rsidP="008450E3">
      <w:pPr>
        <w:pStyle w:val="Numberedparagraph"/>
        <w:numPr>
          <w:ilvl w:val="2"/>
          <w:numId w:val="31"/>
        </w:numPr>
        <w:spacing w:after="80"/>
        <w:ind w:left="851" w:hanging="284"/>
      </w:pPr>
      <w:r w:rsidRPr="009D33B1">
        <w:t xml:space="preserve">For </w:t>
      </w:r>
      <w:r w:rsidR="00C20028">
        <w:t xml:space="preserve">all </w:t>
      </w:r>
      <w:r w:rsidRPr="009D33B1">
        <w:t xml:space="preserve">deployments above </w:t>
      </w:r>
      <w:r w:rsidR="00724E57" w:rsidRPr="00A21643">
        <w:t>3</w:t>
      </w:r>
      <w:r w:rsidR="00724E57">
        <w:t>7</w:t>
      </w:r>
      <w:r w:rsidR="00724E57" w:rsidRPr="00A21643">
        <w:t>00</w:t>
      </w:r>
      <w:r w:rsidR="00724E57" w:rsidRPr="00257BC6">
        <w:t xml:space="preserve"> </w:t>
      </w:r>
      <w:r w:rsidRPr="00257BC6">
        <w:t>MHz</w:t>
      </w:r>
      <w:r w:rsidRPr="009D33B1">
        <w:t>:</w:t>
      </w:r>
    </w:p>
    <w:p w14:paraId="58F428A3" w14:textId="7BEAC934" w:rsidR="008450E3" w:rsidRDefault="008450E3" w:rsidP="008450E3">
      <w:pPr>
        <w:pStyle w:val="Numberedparagraph"/>
        <w:numPr>
          <w:ilvl w:val="3"/>
          <w:numId w:val="31"/>
        </w:numPr>
        <w:spacing w:after="80"/>
        <w:ind w:left="1276" w:hanging="425"/>
      </w:pPr>
      <w:r>
        <w:t>r</w:t>
      </w:r>
      <w:r w:rsidRPr="00C1772D">
        <w:t>estricting any antenna system</w:t>
      </w:r>
      <w:r w:rsidR="00605F2F">
        <w:t xml:space="preserve"> used for WBB services</w:t>
      </w:r>
      <w:r w:rsidRPr="00C1772D">
        <w:t xml:space="preserve"> to point maximum power</w:t>
      </w:r>
      <w:r>
        <w:t>, using mechanical or fixed electrical tilts, to</w:t>
      </w:r>
      <w:r w:rsidRPr="00C1772D">
        <w:t xml:space="preserve"> below the horizon only</w:t>
      </w:r>
    </w:p>
    <w:p w14:paraId="29C7C8C3" w14:textId="5E42A5A9" w:rsidR="008450E3" w:rsidRPr="00C1772D" w:rsidRDefault="008450E3" w:rsidP="00E14FE1">
      <w:pPr>
        <w:pStyle w:val="Numberedparagraph"/>
        <w:numPr>
          <w:ilvl w:val="3"/>
          <w:numId w:val="31"/>
        </w:numPr>
        <w:ind w:left="1276" w:hanging="425"/>
      </w:pPr>
      <w:r>
        <w:t>grating lobes of antenna systems</w:t>
      </w:r>
      <w:r w:rsidR="00605F2F">
        <w:t xml:space="preserve"> used for WBB services</w:t>
      </w:r>
      <w:r>
        <w:t xml:space="preserve"> </w:t>
      </w:r>
      <w:r w:rsidR="009907D9">
        <w:t>must</w:t>
      </w:r>
      <w:r>
        <w:t xml:space="preserve"> be minimised as much as is practicable.</w:t>
      </w:r>
    </w:p>
    <w:p w14:paraId="706DA89E" w14:textId="02E9D181" w:rsidR="008450E3" w:rsidRDefault="007B2508" w:rsidP="008450E3">
      <w:pPr>
        <w:spacing w:after="160" w:line="259" w:lineRule="auto"/>
      </w:pPr>
      <w:r>
        <w:t>D</w:t>
      </w:r>
      <w:r w:rsidR="008450E3">
        <w:t>etail</w:t>
      </w:r>
      <w:r>
        <w:t>ed information</w:t>
      </w:r>
      <w:r w:rsidR="008450E3">
        <w:t xml:space="preserve"> on these mitigations and the identified runways </w:t>
      </w:r>
      <w:r>
        <w:t xml:space="preserve">is contained </w:t>
      </w:r>
      <w:r w:rsidR="008450E3">
        <w:t xml:space="preserve">in RALI MS47. The ACMA </w:t>
      </w:r>
      <w:r w:rsidR="002C42E7">
        <w:t>will</w:t>
      </w:r>
      <w:r w:rsidR="008450E3">
        <w:t xml:space="preserve"> remove the interim mitigations requirements after </w:t>
      </w:r>
      <w:r w:rsidR="00511ED0">
        <w:br/>
      </w:r>
      <w:r w:rsidR="008450E3">
        <w:t xml:space="preserve">31 March </w:t>
      </w:r>
      <w:r w:rsidR="00924297">
        <w:t>2026.</w:t>
      </w:r>
    </w:p>
    <w:p w14:paraId="2C715FDC" w14:textId="462C0DA6" w:rsidR="00583AC5" w:rsidRPr="004D698C" w:rsidRDefault="00583AC5" w:rsidP="001C04FB">
      <w:pPr>
        <w:pStyle w:val="Paragraph"/>
        <w:ind w:left="11"/>
        <w:rPr>
          <w:b/>
        </w:rPr>
      </w:pPr>
      <w:r w:rsidRPr="004D698C">
        <w:rPr>
          <w:b/>
        </w:rPr>
        <w:t>Other coordination requirements</w:t>
      </w:r>
    </w:p>
    <w:p w14:paraId="6480683E" w14:textId="5B4DCCBA" w:rsidR="00A70D18" w:rsidRDefault="0002785F" w:rsidP="00E14FE1">
      <w:pPr>
        <w:pStyle w:val="Paragraphbeforelist"/>
      </w:pPr>
      <w:r w:rsidRPr="00590448">
        <w:t xml:space="preserve">RALI MS47 also outlines the coordination requirements that must be met before a transmitter </w:t>
      </w:r>
      <w:r w:rsidR="00605F2F">
        <w:t>will</w:t>
      </w:r>
      <w:r w:rsidR="00605F2F" w:rsidRPr="00590448">
        <w:t xml:space="preserve"> </w:t>
      </w:r>
      <w:r w:rsidRPr="00590448">
        <w:t xml:space="preserve">be included in the RRL. This includes coordination arrangements between stations operated under other AWLs, and between stations authorised </w:t>
      </w:r>
      <w:r w:rsidR="00F222F3">
        <w:t>by</w:t>
      </w:r>
      <w:r w:rsidR="00F222F3" w:rsidRPr="00590448">
        <w:t xml:space="preserve"> </w:t>
      </w:r>
      <w:r w:rsidRPr="00590448">
        <w:t xml:space="preserve">an AWL and other radiocommunications devices or services in and adjacent to the </w:t>
      </w:r>
      <w:r w:rsidR="00511ED0">
        <w:br/>
      </w:r>
      <w:r w:rsidR="00C74E29">
        <w:t>3.4</w:t>
      </w:r>
      <w:r w:rsidR="00511ED0">
        <w:t>–</w:t>
      </w:r>
      <w:r w:rsidR="00C74E29">
        <w:t xml:space="preserve">4.0 GHz </w:t>
      </w:r>
      <w:r w:rsidR="004A62E2">
        <w:t>band</w:t>
      </w:r>
      <w:r w:rsidRPr="00590448">
        <w:t xml:space="preserve">. Requirements detailed in other applicable RALIs and </w:t>
      </w:r>
      <w:hyperlink r:id="rId42" w:history="1">
        <w:r w:rsidRPr="00E14FE1">
          <w:rPr>
            <w:rStyle w:val="Hyperlink"/>
          </w:rPr>
          <w:t>business operating procedures</w:t>
        </w:r>
      </w:hyperlink>
      <w:r w:rsidRPr="00590BD2">
        <w:t xml:space="preserve"> </w:t>
      </w:r>
      <w:r w:rsidRPr="00590448">
        <w:t>are also set out in RALI MS47</w:t>
      </w:r>
      <w:r w:rsidR="00FC11A4">
        <w:t xml:space="preserve">, </w:t>
      </w:r>
      <w:r w:rsidR="001A46B7">
        <w:t>including</w:t>
      </w:r>
      <w:r w:rsidR="00256879">
        <w:t xml:space="preserve"> protection and coordination requirements for</w:t>
      </w:r>
      <w:r w:rsidR="00FC11A4">
        <w:t>:</w:t>
      </w:r>
    </w:p>
    <w:p w14:paraId="7D7051CC" w14:textId="2070B7E3" w:rsidR="00371027" w:rsidRDefault="00371027" w:rsidP="00A70D18">
      <w:pPr>
        <w:pStyle w:val="ListParagraph"/>
        <w:numPr>
          <w:ilvl w:val="0"/>
          <w:numId w:val="25"/>
        </w:numPr>
        <w:spacing w:after="160" w:line="259" w:lineRule="auto"/>
      </w:pPr>
      <w:r>
        <w:t>fixed links (revised RALI FX03)</w:t>
      </w:r>
    </w:p>
    <w:p w14:paraId="564148F9" w14:textId="021D60E6" w:rsidR="00A70D18" w:rsidRPr="00D11147" w:rsidRDefault="00A70D18" w:rsidP="00A70D18">
      <w:pPr>
        <w:pStyle w:val="ListParagraph"/>
        <w:numPr>
          <w:ilvl w:val="0"/>
          <w:numId w:val="25"/>
        </w:numPr>
        <w:spacing w:after="160" w:line="259" w:lineRule="auto"/>
      </w:pPr>
      <w:r>
        <w:t>Earth station protection zones (</w:t>
      </w:r>
      <w:r w:rsidRPr="00D11147">
        <w:t>RALI MS44</w:t>
      </w:r>
      <w:r>
        <w:t>)</w:t>
      </w:r>
    </w:p>
    <w:p w14:paraId="37ABE715" w14:textId="71FF208C" w:rsidR="00D52862" w:rsidRDefault="00A70D18" w:rsidP="0002785F">
      <w:pPr>
        <w:pStyle w:val="ListParagraph"/>
        <w:numPr>
          <w:ilvl w:val="0"/>
          <w:numId w:val="25"/>
        </w:numPr>
        <w:spacing w:after="160" w:line="259" w:lineRule="auto"/>
      </w:pPr>
      <w:r>
        <w:t xml:space="preserve">the </w:t>
      </w:r>
      <w:r w:rsidR="00F222F3">
        <w:t>RQZ</w:t>
      </w:r>
      <w:r w:rsidRPr="00D11147">
        <w:t xml:space="preserve"> </w:t>
      </w:r>
      <w:r>
        <w:t>(</w:t>
      </w:r>
      <w:r w:rsidRPr="00D11147">
        <w:t>RALI MS32</w:t>
      </w:r>
      <w:r>
        <w:t>)</w:t>
      </w:r>
    </w:p>
    <w:p w14:paraId="045AAFE0" w14:textId="009FFE39" w:rsidR="00F222F3" w:rsidRDefault="00F222F3" w:rsidP="00F222F3">
      <w:pPr>
        <w:pStyle w:val="ListParagraph"/>
        <w:numPr>
          <w:ilvl w:val="0"/>
          <w:numId w:val="25"/>
        </w:numPr>
        <w:spacing w:after="160" w:line="259" w:lineRule="auto"/>
      </w:pPr>
      <w:r>
        <w:t>t</w:t>
      </w:r>
      <w:r w:rsidR="00D52862">
        <w:t xml:space="preserve">he </w:t>
      </w:r>
      <w:r>
        <w:t>WPA</w:t>
      </w:r>
      <w:r w:rsidR="00D52862">
        <w:t xml:space="preserve"> (</w:t>
      </w:r>
      <w:r w:rsidR="00B0405A">
        <w:t xml:space="preserve">Spectrum </w:t>
      </w:r>
      <w:r>
        <w:t>E</w:t>
      </w:r>
      <w:r w:rsidR="00B0405A">
        <w:t>mbargo 52)</w:t>
      </w:r>
      <w:r w:rsidR="00062707">
        <w:t>.</w:t>
      </w:r>
    </w:p>
    <w:p w14:paraId="08512C82" w14:textId="419DD70E" w:rsidR="00F222F3" w:rsidRPr="00F222F3" w:rsidRDefault="00C5476D" w:rsidP="00F222F3">
      <w:pPr>
        <w:spacing w:after="160" w:line="259" w:lineRule="auto"/>
      </w:pPr>
      <w:r>
        <w:t xml:space="preserve">Unless an exception applies, </w:t>
      </w:r>
      <w:r w:rsidR="00A92E9A">
        <w:t xml:space="preserve">a transmitter </w:t>
      </w:r>
      <w:r w:rsidR="00083B56">
        <w:t xml:space="preserve">must comply with the coordination requirements in </w:t>
      </w:r>
      <w:r w:rsidR="00A92E9A">
        <w:t>RALI</w:t>
      </w:r>
      <w:r w:rsidR="0096151E">
        <w:t xml:space="preserve"> MS47 in order to be registered in the RRL. </w:t>
      </w:r>
    </w:p>
    <w:p w14:paraId="08698194" w14:textId="563210E7" w:rsidR="00EA7AE4" w:rsidRPr="00FA7031" w:rsidRDefault="00EA7AE4" w:rsidP="00EA7AE4">
      <w:pPr>
        <w:pStyle w:val="Paragraph"/>
        <w:ind w:left="11"/>
        <w:rPr>
          <w:b/>
        </w:rPr>
      </w:pPr>
      <w:r>
        <w:rPr>
          <w:b/>
        </w:rPr>
        <w:t>Incumbent services in the 3.4</w:t>
      </w:r>
      <w:r w:rsidR="00590BD2">
        <w:rPr>
          <w:b/>
        </w:rPr>
        <w:t>–</w:t>
      </w:r>
      <w:r>
        <w:rPr>
          <w:b/>
        </w:rPr>
        <w:t>4</w:t>
      </w:r>
      <w:r w:rsidR="00590BD2">
        <w:rPr>
          <w:b/>
        </w:rPr>
        <w:t>.0</w:t>
      </w:r>
      <w:r>
        <w:rPr>
          <w:b/>
        </w:rPr>
        <w:t xml:space="preserve"> GHz range in remote areas</w:t>
      </w:r>
    </w:p>
    <w:p w14:paraId="529CCA9B" w14:textId="494101A1" w:rsidR="00EA7AE4" w:rsidRDefault="00EA7AE4" w:rsidP="00EA7AE4">
      <w:pPr>
        <w:pStyle w:val="Paragraph"/>
        <w:ind w:left="11"/>
      </w:pPr>
      <w:r>
        <w:t>The ACMA is making the AWL technical framework as similar as practicable to the 3.4 GHz spectrum licensing technical framework.</w:t>
      </w:r>
      <w:r w:rsidRPr="000E1FCF">
        <w:t xml:space="preserve"> Incumbent PMP or PTP services in AWL remote areas will </w:t>
      </w:r>
      <w:r w:rsidR="007E1374">
        <w:t xml:space="preserve">generally </w:t>
      </w:r>
      <w:r>
        <w:t xml:space="preserve">be protected but will be </w:t>
      </w:r>
      <w:r w:rsidRPr="000E1FCF">
        <w:t>able to transition to the AWL framework</w:t>
      </w:r>
      <w:r>
        <w:t xml:space="preserve"> if desired</w:t>
      </w:r>
      <w:r w:rsidRPr="000E1FCF">
        <w:t xml:space="preserve">. However, </w:t>
      </w:r>
      <w:r>
        <w:t xml:space="preserve">at the current time it is not intended to facilitate the transition of </w:t>
      </w:r>
      <w:r w:rsidRPr="000E1FCF">
        <w:t>incumbent FSS users in AWL remote areas to the AWL framework.</w:t>
      </w:r>
      <w:r>
        <w:t xml:space="preserve"> Once AWL arrangements are in place, the ACMA does not propose to issue any new PMP or PTS licences in the 3.4–4.0 GHz range. </w:t>
      </w:r>
    </w:p>
    <w:p w14:paraId="64156CDB" w14:textId="77777777" w:rsidR="00EA7AE4" w:rsidRDefault="00EA7AE4" w:rsidP="00EA7AE4">
      <w:pPr>
        <w:pStyle w:val="Paragraph"/>
        <w:ind w:left="11"/>
      </w:pPr>
      <w:r>
        <w:t>A summary of licensing arrangements in the 3.4–4.0 GHz band in remote Australia is at Table 2.</w:t>
      </w:r>
    </w:p>
    <w:p w14:paraId="24FDF184" w14:textId="1F0FD887" w:rsidR="00EA7AE4" w:rsidRPr="00E2612C" w:rsidRDefault="00EA7AE4" w:rsidP="00EA7AE4">
      <w:pPr>
        <w:pStyle w:val="Paragraph"/>
        <w:ind w:left="11"/>
      </w:pPr>
      <w:r w:rsidRPr="005A219D">
        <w:t xml:space="preserve">A range of other non-WBB technologies also </w:t>
      </w:r>
      <w:r w:rsidR="00484C72">
        <w:t>use</w:t>
      </w:r>
      <w:r w:rsidRPr="005A219D">
        <w:t xml:space="preserve"> the </w:t>
      </w:r>
      <w:r>
        <w:t>3.4–4.0 GHz</w:t>
      </w:r>
      <w:r w:rsidRPr="005A219D">
        <w:t xml:space="preserve"> band in remote Australia</w:t>
      </w:r>
      <w:r>
        <w:t xml:space="preserve"> under specific conditions</w:t>
      </w:r>
      <w:r w:rsidRPr="005A219D">
        <w:t xml:space="preserve">, including radiodetermination </w:t>
      </w:r>
      <w:r w:rsidR="00327AE2">
        <w:t xml:space="preserve">services </w:t>
      </w:r>
      <w:r w:rsidRPr="005A219D">
        <w:t xml:space="preserve">and </w:t>
      </w:r>
      <w:r w:rsidR="00327AE2">
        <w:t>FSS</w:t>
      </w:r>
      <w:r>
        <w:t xml:space="preserve"> </w:t>
      </w:r>
      <w:r w:rsidRPr="005A219D">
        <w:t xml:space="preserve">that represent significant public interest to Australia. </w:t>
      </w:r>
      <w:r>
        <w:t xml:space="preserve">There will be an advisory note on AWLs noting </w:t>
      </w:r>
      <w:r w:rsidR="002C5DCA">
        <w:t xml:space="preserve">potential interference from </w:t>
      </w:r>
      <w:r>
        <w:t xml:space="preserve">radiolocation systems </w:t>
      </w:r>
      <w:r w:rsidR="002C5DCA">
        <w:t xml:space="preserve">operated by the Department of Defence </w:t>
      </w:r>
      <w:r>
        <w:t xml:space="preserve">in </w:t>
      </w:r>
      <w:r w:rsidRPr="00594796">
        <w:t>the</w:t>
      </w:r>
      <w:r w:rsidRPr="0036667C">
        <w:t xml:space="preserve"> </w:t>
      </w:r>
      <w:r w:rsidRPr="00594796">
        <w:t>3</w:t>
      </w:r>
      <w:r>
        <w:t>.</w:t>
      </w:r>
      <w:r w:rsidRPr="00594796">
        <w:t>1</w:t>
      </w:r>
      <w:r w:rsidRPr="0036667C">
        <w:t>–3</w:t>
      </w:r>
      <w:r>
        <w:t>.</w:t>
      </w:r>
      <w:r w:rsidRPr="0036667C">
        <w:t>3 </w:t>
      </w:r>
      <w:r>
        <w:t>G</w:t>
      </w:r>
      <w:r w:rsidRPr="0036667C">
        <w:t>Hz and the 3</w:t>
      </w:r>
      <w:r>
        <w:t>.</w:t>
      </w:r>
      <w:r w:rsidRPr="0036667C">
        <w:t>3–3</w:t>
      </w:r>
      <w:r>
        <w:t>.</w:t>
      </w:r>
      <w:r w:rsidRPr="0036667C">
        <w:t>6 </w:t>
      </w:r>
      <w:r>
        <w:t>G</w:t>
      </w:r>
      <w:r w:rsidRPr="0036667C">
        <w:t>Hz bands</w:t>
      </w:r>
      <w:r>
        <w:t>. Satellite</w:t>
      </w:r>
      <w:r w:rsidRPr="005A219D">
        <w:t xml:space="preserve"> use in remote </w:t>
      </w:r>
      <w:r>
        <w:t>areas is</w:t>
      </w:r>
      <w:r w:rsidRPr="005A219D">
        <w:t xml:space="preserve"> not authorised under AWLs and </w:t>
      </w:r>
      <w:r>
        <w:t xml:space="preserve">will </w:t>
      </w:r>
      <w:r w:rsidRPr="005A219D">
        <w:t xml:space="preserve">continue to be </w:t>
      </w:r>
      <w:r>
        <w:t xml:space="preserve">licensed </w:t>
      </w:r>
      <w:r w:rsidR="00062707">
        <w:t>under</w:t>
      </w:r>
      <w:r>
        <w:t xml:space="preserve"> earth receive apparatus licences.</w:t>
      </w:r>
    </w:p>
    <w:p w14:paraId="3D271445" w14:textId="0C6333D1" w:rsidR="00EA7AE4" w:rsidRDefault="00EA7AE4" w:rsidP="00EA7AE4">
      <w:pPr>
        <w:pStyle w:val="Tableheading"/>
        <w:keepLines/>
        <w:tabs>
          <w:tab w:val="clear" w:pos="964"/>
          <w:tab w:val="num" w:pos="975"/>
        </w:tabs>
        <w:ind w:left="975"/>
      </w:pPr>
      <w:r>
        <w:t>Summary of licensing arrangements in 3.4–4.0 GHz remote areas</w:t>
      </w:r>
    </w:p>
    <w:tbl>
      <w:tblPr>
        <w:tblStyle w:val="ACMAtablestyle"/>
        <w:tblW w:w="7366" w:type="dxa"/>
        <w:tblLook w:val="04A0" w:firstRow="1" w:lastRow="0" w:firstColumn="1" w:lastColumn="0" w:noHBand="0" w:noVBand="1"/>
      </w:tblPr>
      <w:tblGrid>
        <w:gridCol w:w="2006"/>
        <w:gridCol w:w="2006"/>
        <w:gridCol w:w="2006"/>
        <w:gridCol w:w="1348"/>
      </w:tblGrid>
      <w:tr w:rsidR="00EA7AE4" w:rsidRPr="00590BD2" w14:paraId="7C90D60E" w14:textId="77777777" w:rsidTr="00E14FE1">
        <w:trPr>
          <w:cnfStyle w:val="100000000000" w:firstRow="1" w:lastRow="0" w:firstColumn="0" w:lastColumn="0" w:oddVBand="0" w:evenVBand="0" w:oddHBand="0" w:evenHBand="0" w:firstRowFirstColumn="0" w:firstRowLastColumn="0" w:lastRowFirstColumn="0" w:lastRowLastColumn="0"/>
        </w:trPr>
        <w:tc>
          <w:tcPr>
            <w:tcW w:w="0" w:type="dxa"/>
          </w:tcPr>
          <w:p w14:paraId="1F416134" w14:textId="475FA1F2" w:rsidR="00EA7AE4" w:rsidRPr="00E14FE1" w:rsidRDefault="00EA7AE4" w:rsidP="009D2D25">
            <w:pPr>
              <w:pStyle w:val="Paragraph"/>
              <w:rPr>
                <w:b/>
                <w:bCs/>
              </w:rPr>
            </w:pPr>
            <w:r w:rsidRPr="00E14FE1">
              <w:rPr>
                <w:b/>
                <w:bCs/>
              </w:rPr>
              <w:t>3400</w:t>
            </w:r>
            <w:r w:rsidR="00590BD2">
              <w:rPr>
                <w:b/>
                <w:bCs/>
              </w:rPr>
              <w:t>–</w:t>
            </w:r>
            <w:r w:rsidRPr="00E14FE1">
              <w:rPr>
                <w:b/>
                <w:bCs/>
              </w:rPr>
              <w:t>3575 MHz</w:t>
            </w:r>
          </w:p>
        </w:tc>
        <w:tc>
          <w:tcPr>
            <w:tcW w:w="0" w:type="dxa"/>
          </w:tcPr>
          <w:p w14:paraId="2A3ABBF8" w14:textId="3675CF85" w:rsidR="00EA7AE4" w:rsidRPr="00E14FE1" w:rsidRDefault="00EA7AE4" w:rsidP="009D2D25">
            <w:pPr>
              <w:pStyle w:val="Paragraph"/>
              <w:rPr>
                <w:b/>
                <w:bCs/>
              </w:rPr>
            </w:pPr>
            <w:r w:rsidRPr="00E14FE1">
              <w:rPr>
                <w:b/>
                <w:bCs/>
              </w:rPr>
              <w:t>3575</w:t>
            </w:r>
            <w:r w:rsidR="00590BD2">
              <w:rPr>
                <w:b/>
                <w:bCs/>
              </w:rPr>
              <w:t>–</w:t>
            </w:r>
            <w:r w:rsidRPr="00E14FE1">
              <w:rPr>
                <w:b/>
                <w:bCs/>
              </w:rPr>
              <w:t>3700 MHz</w:t>
            </w:r>
          </w:p>
        </w:tc>
        <w:tc>
          <w:tcPr>
            <w:tcW w:w="0" w:type="dxa"/>
          </w:tcPr>
          <w:p w14:paraId="2A49D5CA" w14:textId="05AA87F7" w:rsidR="00EA7AE4" w:rsidRPr="00E14FE1" w:rsidRDefault="00EA7AE4" w:rsidP="009D2D25">
            <w:pPr>
              <w:pStyle w:val="Paragraph"/>
              <w:rPr>
                <w:b/>
                <w:bCs/>
              </w:rPr>
            </w:pPr>
            <w:r w:rsidRPr="00E14FE1">
              <w:rPr>
                <w:b/>
                <w:bCs/>
              </w:rPr>
              <w:t>3700</w:t>
            </w:r>
            <w:r w:rsidR="00590BD2">
              <w:rPr>
                <w:b/>
                <w:bCs/>
              </w:rPr>
              <w:t>–</w:t>
            </w:r>
            <w:r w:rsidRPr="00E14FE1">
              <w:rPr>
                <w:b/>
                <w:bCs/>
              </w:rPr>
              <w:t>3800 MHz</w:t>
            </w:r>
          </w:p>
        </w:tc>
        <w:tc>
          <w:tcPr>
            <w:tcW w:w="0" w:type="dxa"/>
          </w:tcPr>
          <w:p w14:paraId="6D9B5ECD" w14:textId="52BEFDA7" w:rsidR="00EA7AE4" w:rsidRPr="00E14FE1" w:rsidRDefault="00EA7AE4" w:rsidP="009D2D25">
            <w:pPr>
              <w:pStyle w:val="Paragraph"/>
              <w:rPr>
                <w:b/>
                <w:bCs/>
              </w:rPr>
            </w:pPr>
            <w:r w:rsidRPr="00E14FE1">
              <w:rPr>
                <w:b/>
                <w:bCs/>
              </w:rPr>
              <w:t>3800</w:t>
            </w:r>
            <w:r w:rsidR="00590BD2">
              <w:rPr>
                <w:b/>
                <w:bCs/>
              </w:rPr>
              <w:t>–</w:t>
            </w:r>
            <w:r w:rsidRPr="00E14FE1">
              <w:rPr>
                <w:b/>
                <w:bCs/>
              </w:rPr>
              <w:t>4000 MHz</w:t>
            </w:r>
          </w:p>
        </w:tc>
      </w:tr>
      <w:tr w:rsidR="00EA7AE4" w14:paraId="5057C83F" w14:textId="77777777" w:rsidTr="00E14FE1">
        <w:trPr>
          <w:cnfStyle w:val="000000100000" w:firstRow="0" w:lastRow="0" w:firstColumn="0" w:lastColumn="0" w:oddVBand="0" w:evenVBand="0" w:oddHBand="1" w:evenHBand="0" w:firstRowFirstColumn="0" w:firstRowLastColumn="0" w:lastRowFirstColumn="0" w:lastRowLastColumn="0"/>
        </w:trPr>
        <w:tc>
          <w:tcPr>
            <w:tcW w:w="0" w:type="dxa"/>
          </w:tcPr>
          <w:p w14:paraId="5B70D364" w14:textId="22901958" w:rsidR="00EA7AE4" w:rsidRDefault="00E47D1F" w:rsidP="009D2D25">
            <w:pPr>
              <w:pStyle w:val="Paragraph"/>
            </w:pPr>
            <w:r>
              <w:t xml:space="preserve">AWL for </w:t>
            </w:r>
            <w:r w:rsidR="00EA7AE4">
              <w:t xml:space="preserve">LA WBB </w:t>
            </w:r>
          </w:p>
          <w:p w14:paraId="126A8A5C" w14:textId="77777777" w:rsidR="00EA7AE4" w:rsidRDefault="00EA7AE4" w:rsidP="009D2D25">
            <w:pPr>
              <w:pStyle w:val="Paragraph"/>
            </w:pPr>
            <w:r>
              <w:t xml:space="preserve">FSS </w:t>
            </w:r>
          </w:p>
          <w:p w14:paraId="1C4A9589" w14:textId="77777777" w:rsidR="00EA7AE4" w:rsidRDefault="00EA7AE4" w:rsidP="009D2D25">
            <w:pPr>
              <w:pStyle w:val="Paragraph"/>
            </w:pPr>
            <w:r>
              <w:t>Incumbent PMP</w:t>
            </w:r>
          </w:p>
          <w:p w14:paraId="74575F64" w14:textId="77777777" w:rsidR="00EA7AE4" w:rsidRDefault="00EA7AE4" w:rsidP="009D2D25">
            <w:pPr>
              <w:pStyle w:val="Paragraph"/>
            </w:pPr>
            <w:r>
              <w:t>Amateur</w:t>
            </w:r>
          </w:p>
        </w:tc>
        <w:tc>
          <w:tcPr>
            <w:tcW w:w="0" w:type="dxa"/>
          </w:tcPr>
          <w:p w14:paraId="56F36920" w14:textId="1BF14BFB" w:rsidR="00EA7AE4" w:rsidRDefault="00E47D1F" w:rsidP="009D2D25">
            <w:pPr>
              <w:pStyle w:val="Paragraph"/>
            </w:pPr>
            <w:r>
              <w:t xml:space="preserve">AWL for </w:t>
            </w:r>
            <w:r w:rsidR="00EA7AE4">
              <w:t xml:space="preserve">LA WBB </w:t>
            </w:r>
          </w:p>
          <w:p w14:paraId="5314DCBF" w14:textId="77777777" w:rsidR="00EA7AE4" w:rsidRDefault="00EA7AE4" w:rsidP="009D2D25">
            <w:pPr>
              <w:pStyle w:val="Paragraph"/>
            </w:pPr>
            <w:r>
              <w:t xml:space="preserve">FSS </w:t>
            </w:r>
          </w:p>
          <w:p w14:paraId="62656958" w14:textId="77777777" w:rsidR="00EA7AE4" w:rsidRDefault="00EA7AE4" w:rsidP="009D2D25">
            <w:pPr>
              <w:pStyle w:val="Paragraph"/>
            </w:pPr>
            <w:r>
              <w:t>Incumbent PMP</w:t>
            </w:r>
          </w:p>
          <w:p w14:paraId="67874CA1" w14:textId="77777777" w:rsidR="00EA7AE4" w:rsidRDefault="00EA7AE4" w:rsidP="009D2D25">
            <w:pPr>
              <w:pStyle w:val="Paragraph"/>
            </w:pPr>
            <w:r>
              <w:t xml:space="preserve">Incumbent PTP </w:t>
            </w:r>
          </w:p>
        </w:tc>
        <w:tc>
          <w:tcPr>
            <w:tcW w:w="0" w:type="dxa"/>
          </w:tcPr>
          <w:p w14:paraId="4C939966" w14:textId="37FA0EFD" w:rsidR="00EA7AE4" w:rsidRDefault="00E47D1F" w:rsidP="009D2D25">
            <w:pPr>
              <w:pStyle w:val="Paragraph"/>
            </w:pPr>
            <w:r>
              <w:t xml:space="preserve">AWL for </w:t>
            </w:r>
            <w:r w:rsidR="00EA7AE4">
              <w:t xml:space="preserve">LA WBB </w:t>
            </w:r>
          </w:p>
          <w:p w14:paraId="5570C0E2" w14:textId="77777777" w:rsidR="00EA7AE4" w:rsidRDefault="00EA7AE4" w:rsidP="009D2D25">
            <w:pPr>
              <w:pStyle w:val="Paragraph"/>
            </w:pPr>
            <w:r>
              <w:t xml:space="preserve">FSS </w:t>
            </w:r>
          </w:p>
          <w:p w14:paraId="61A48E58" w14:textId="77777777" w:rsidR="00EA7AE4" w:rsidRDefault="00EA7AE4" w:rsidP="009D2D25">
            <w:pPr>
              <w:pStyle w:val="Paragraph"/>
            </w:pPr>
            <w:r>
              <w:t xml:space="preserve">Incumbent PTP </w:t>
            </w:r>
          </w:p>
        </w:tc>
        <w:tc>
          <w:tcPr>
            <w:tcW w:w="0" w:type="dxa"/>
          </w:tcPr>
          <w:p w14:paraId="00F5A38F" w14:textId="39250016" w:rsidR="00EA7AE4" w:rsidRDefault="00E47D1F" w:rsidP="009D2D25">
            <w:pPr>
              <w:pStyle w:val="Paragraph"/>
            </w:pPr>
            <w:r>
              <w:t xml:space="preserve">AWL for </w:t>
            </w:r>
            <w:r w:rsidR="00EA7AE4">
              <w:t xml:space="preserve">LA WBB </w:t>
            </w:r>
          </w:p>
          <w:p w14:paraId="6A905367" w14:textId="77777777" w:rsidR="00EA7AE4" w:rsidRDefault="00EA7AE4" w:rsidP="009D2D25">
            <w:pPr>
              <w:pStyle w:val="Paragraph"/>
            </w:pPr>
            <w:r>
              <w:t xml:space="preserve">FSS, PTP </w:t>
            </w:r>
          </w:p>
          <w:p w14:paraId="3DDC87F0" w14:textId="77777777" w:rsidR="00EA7AE4" w:rsidRDefault="00EA7AE4" w:rsidP="009D2D25">
            <w:pPr>
              <w:pStyle w:val="Paragraph"/>
            </w:pPr>
          </w:p>
        </w:tc>
      </w:tr>
    </w:tbl>
    <w:p w14:paraId="52A9EC5B" w14:textId="77777777" w:rsidR="00EA7AE4" w:rsidRPr="00AC2127" w:rsidRDefault="00EA7AE4" w:rsidP="00EA7AE4">
      <w:pPr>
        <w:pStyle w:val="Paragraph"/>
        <w:spacing w:after="0"/>
        <w:ind w:left="11"/>
        <w:rPr>
          <w:sz w:val="16"/>
          <w:szCs w:val="16"/>
        </w:rPr>
      </w:pPr>
    </w:p>
    <w:p w14:paraId="5C93FB49" w14:textId="76B2B465" w:rsidR="00EA7AE4" w:rsidRPr="00BF7B81" w:rsidRDefault="00EA7AE4" w:rsidP="00BF7B81">
      <w:pPr>
        <w:pStyle w:val="Paragraph"/>
        <w:spacing w:after="0"/>
        <w:ind w:left="11"/>
      </w:pPr>
      <w:r>
        <w:rPr>
          <w:sz w:val="16"/>
          <w:szCs w:val="16"/>
        </w:rPr>
        <w:t>AWL – Area wide licence</w:t>
      </w:r>
      <w:r w:rsidR="00590BD2">
        <w:rPr>
          <w:sz w:val="16"/>
          <w:szCs w:val="16"/>
        </w:rPr>
        <w:t>;</w:t>
      </w:r>
      <w:r>
        <w:rPr>
          <w:sz w:val="16"/>
          <w:szCs w:val="16"/>
        </w:rPr>
        <w:t xml:space="preserve"> LA WBB – local area wireless broadband</w:t>
      </w:r>
      <w:r w:rsidR="00825437">
        <w:rPr>
          <w:sz w:val="16"/>
          <w:szCs w:val="16"/>
        </w:rPr>
        <w:t xml:space="preserve"> (AWL licence type)</w:t>
      </w:r>
      <w:r w:rsidR="00590BD2">
        <w:rPr>
          <w:sz w:val="16"/>
          <w:szCs w:val="16"/>
        </w:rPr>
        <w:t>;</w:t>
      </w:r>
      <w:r>
        <w:rPr>
          <w:sz w:val="16"/>
          <w:szCs w:val="16"/>
        </w:rPr>
        <w:t xml:space="preserve"> PMP – point to multipoint</w:t>
      </w:r>
      <w:r w:rsidR="00825437">
        <w:rPr>
          <w:sz w:val="16"/>
          <w:szCs w:val="16"/>
        </w:rPr>
        <w:t xml:space="preserve"> (fixed apparatus licence type)</w:t>
      </w:r>
      <w:r w:rsidR="00590BD2">
        <w:rPr>
          <w:sz w:val="16"/>
          <w:szCs w:val="16"/>
        </w:rPr>
        <w:t>;</w:t>
      </w:r>
      <w:r>
        <w:rPr>
          <w:sz w:val="16"/>
          <w:szCs w:val="16"/>
        </w:rPr>
        <w:t xml:space="preserve"> FSS – fixed satellite service (</w:t>
      </w:r>
      <w:r w:rsidR="00E85E51">
        <w:rPr>
          <w:sz w:val="16"/>
          <w:szCs w:val="16"/>
        </w:rPr>
        <w:t>E</w:t>
      </w:r>
      <w:r>
        <w:rPr>
          <w:sz w:val="16"/>
          <w:szCs w:val="16"/>
        </w:rPr>
        <w:t>arth receive</w:t>
      </w:r>
      <w:r w:rsidR="00E85E51">
        <w:rPr>
          <w:sz w:val="16"/>
          <w:szCs w:val="16"/>
        </w:rPr>
        <w:t xml:space="preserve"> licence type</w:t>
      </w:r>
      <w:r>
        <w:rPr>
          <w:sz w:val="16"/>
          <w:szCs w:val="16"/>
        </w:rPr>
        <w:t>)</w:t>
      </w:r>
      <w:r w:rsidR="00590BD2">
        <w:rPr>
          <w:sz w:val="16"/>
          <w:szCs w:val="16"/>
        </w:rPr>
        <w:t>;</w:t>
      </w:r>
      <w:r>
        <w:rPr>
          <w:sz w:val="16"/>
          <w:szCs w:val="16"/>
        </w:rPr>
        <w:t xml:space="preserve"> </w:t>
      </w:r>
      <w:r w:rsidR="00590BD2">
        <w:rPr>
          <w:sz w:val="16"/>
          <w:szCs w:val="16"/>
        </w:rPr>
        <w:br/>
      </w:r>
      <w:r w:rsidRPr="004044B8">
        <w:rPr>
          <w:sz w:val="16"/>
          <w:szCs w:val="16"/>
        </w:rPr>
        <w:t>PTP</w:t>
      </w:r>
      <w:r>
        <w:rPr>
          <w:sz w:val="16"/>
          <w:szCs w:val="16"/>
        </w:rPr>
        <w:t xml:space="preserve"> –</w:t>
      </w:r>
      <w:r w:rsidRPr="004044B8">
        <w:rPr>
          <w:sz w:val="16"/>
          <w:szCs w:val="16"/>
        </w:rPr>
        <w:t xml:space="preserve"> point to point</w:t>
      </w:r>
      <w:r w:rsidR="00E85E51">
        <w:rPr>
          <w:sz w:val="16"/>
          <w:szCs w:val="16"/>
        </w:rPr>
        <w:t xml:space="preserve"> (fixed apparatus licence type)</w:t>
      </w:r>
      <w:r w:rsidR="00590BD2">
        <w:rPr>
          <w:sz w:val="16"/>
          <w:szCs w:val="16"/>
        </w:rPr>
        <w:t xml:space="preserve">. </w:t>
      </w:r>
    </w:p>
    <w:p w14:paraId="30CAFA18" w14:textId="6570DE6B" w:rsidR="00F406FD" w:rsidRDefault="00C74E25" w:rsidP="00D326B8">
      <w:pPr>
        <w:pStyle w:val="Heading2"/>
      </w:pPr>
      <w:bookmarkStart w:id="20" w:name="_Toc137726600"/>
      <w:r>
        <w:t>2.5</w:t>
      </w:r>
      <w:r>
        <w:tab/>
      </w:r>
      <w:r w:rsidR="0040420E">
        <w:t>Licence t</w:t>
      </w:r>
      <w:r w:rsidR="00F406FD">
        <w:t>enure</w:t>
      </w:r>
      <w:bookmarkEnd w:id="20"/>
    </w:p>
    <w:p w14:paraId="75E9321F" w14:textId="2A601EF8" w:rsidR="00F406FD" w:rsidRPr="00426A1C" w:rsidRDefault="00997E52" w:rsidP="00426A1C">
      <w:pPr>
        <w:pStyle w:val="Heading3"/>
        <w:spacing w:before="120"/>
      </w:pPr>
      <w:bookmarkStart w:id="21" w:name="_Licence_duration"/>
      <w:bookmarkStart w:id="22" w:name="_Toc137726601"/>
      <w:bookmarkEnd w:id="21"/>
      <w:r w:rsidRPr="004D17DD">
        <w:rPr>
          <w:u w:color="0000FF"/>
        </w:rPr>
        <w:t>Licence d</w:t>
      </w:r>
      <w:r w:rsidR="00F406FD" w:rsidRPr="004D17DD">
        <w:rPr>
          <w:u w:color="0000FF"/>
        </w:rPr>
        <w:t>uration</w:t>
      </w:r>
      <w:bookmarkEnd w:id="22"/>
    </w:p>
    <w:p w14:paraId="0E34D370" w14:textId="431B2839" w:rsidR="00F406FD" w:rsidRDefault="00FA4702" w:rsidP="00F406FD">
      <w:pPr>
        <w:pStyle w:val="Paragraph"/>
      </w:pPr>
      <w:r>
        <w:t>T</w:t>
      </w:r>
      <w:r w:rsidR="00F406FD">
        <w:t xml:space="preserve">he </w:t>
      </w:r>
      <w:r w:rsidR="00C81F84">
        <w:rPr>
          <w:i/>
          <w:iCs/>
        </w:rPr>
        <w:t xml:space="preserve">Radiocommunications Act 1992 </w:t>
      </w:r>
      <w:r w:rsidR="00C81F84">
        <w:t xml:space="preserve">(the </w:t>
      </w:r>
      <w:r w:rsidR="00F406FD">
        <w:t>Act</w:t>
      </w:r>
      <w:r w:rsidR="00C81F84">
        <w:t>)</w:t>
      </w:r>
      <w:r w:rsidR="00F406FD">
        <w:t xml:space="preserve"> enable</w:t>
      </w:r>
      <w:r w:rsidR="00497DC7">
        <w:t>s</w:t>
      </w:r>
      <w:r w:rsidR="00F406FD">
        <w:t xml:space="preserve"> the ACMA to issue apparatus licences for a period of up to 20 years. An overview of our approach to </w:t>
      </w:r>
      <w:r w:rsidR="001017D2">
        <w:t>licence duration</w:t>
      </w:r>
      <w:r w:rsidR="00F406FD">
        <w:t xml:space="preserve"> is outlined in the </w:t>
      </w:r>
      <w:hyperlink r:id="rId43" w:history="1">
        <w:r w:rsidR="00F406FD" w:rsidRPr="00E14FE1">
          <w:rPr>
            <w:rStyle w:val="Hyperlink"/>
          </w:rPr>
          <w:t>licensing and allocation information paper</w:t>
        </w:r>
      </w:hyperlink>
      <w:r w:rsidR="00F406FD" w:rsidRPr="00E14FE1">
        <w:t xml:space="preserve"> </w:t>
      </w:r>
      <w:r w:rsidR="00F406FD">
        <w:t>(the information paper). The information paper defines long</w:t>
      </w:r>
      <w:r w:rsidR="00590BD2">
        <w:t>-</w:t>
      </w:r>
      <w:r w:rsidR="00F406FD">
        <w:t>term licence duration (20 years), medium</w:t>
      </w:r>
      <w:r w:rsidR="00590BD2">
        <w:t>-</w:t>
      </w:r>
      <w:r w:rsidR="00F406FD">
        <w:t>term licence duration (up to 10 years) and short</w:t>
      </w:r>
      <w:r w:rsidR="00590BD2">
        <w:t>-</w:t>
      </w:r>
      <w:r w:rsidR="00F406FD">
        <w:t xml:space="preserve">term licence duration (up to </w:t>
      </w:r>
      <w:r w:rsidR="00590BD2">
        <w:t>one</w:t>
      </w:r>
      <w:r w:rsidR="00F406FD">
        <w:t xml:space="preserve"> year). </w:t>
      </w:r>
    </w:p>
    <w:p w14:paraId="1BA0330D" w14:textId="4E176CBC" w:rsidR="00F406FD" w:rsidRDefault="00F406FD" w:rsidP="00F406FD">
      <w:pPr>
        <w:pStyle w:val="Paragraph"/>
      </w:pPr>
      <w:r w:rsidRPr="00846654">
        <w:t xml:space="preserve">AWLs in </w:t>
      </w:r>
      <w:r w:rsidR="00D93650" w:rsidRPr="00846654">
        <w:t xml:space="preserve">the </w:t>
      </w:r>
      <w:r w:rsidR="00D62060" w:rsidRPr="00846654">
        <w:t>3.4–4.0 GHz</w:t>
      </w:r>
      <w:r w:rsidR="00D93650" w:rsidRPr="00846654">
        <w:t xml:space="preserve"> band in</w:t>
      </w:r>
      <w:r w:rsidRPr="00846654">
        <w:t xml:space="preserve"> remote </w:t>
      </w:r>
      <w:r w:rsidR="00200D6C" w:rsidRPr="00846654">
        <w:t xml:space="preserve">areas </w:t>
      </w:r>
      <w:r w:rsidRPr="00846654">
        <w:t xml:space="preserve">best </w:t>
      </w:r>
      <w:r w:rsidR="00C6386C" w:rsidRPr="00846654">
        <w:t xml:space="preserve">satisfy </w:t>
      </w:r>
      <w:r w:rsidRPr="00846654">
        <w:t>the stated criteria for medium term licence duration</w:t>
      </w:r>
      <w:r w:rsidR="00C6386C" w:rsidRPr="00846654">
        <w:t>,</w:t>
      </w:r>
      <w:r w:rsidRPr="00846654">
        <w:t xml:space="preserve"> as a high number of users and mixed-use cases is anticipated in the band.</w:t>
      </w:r>
      <w:r>
        <w:t xml:space="preserve"> </w:t>
      </w:r>
    </w:p>
    <w:p w14:paraId="002E955C" w14:textId="13866695" w:rsidR="0002414E" w:rsidRDefault="009444C6" w:rsidP="00453223">
      <w:r>
        <w:t>As</w:t>
      </w:r>
      <w:r w:rsidR="00F406FD" w:rsidRPr="00145F1C">
        <w:t xml:space="preserve"> potential replanning activity may occur at the expiry of spectrum licences in </w:t>
      </w:r>
      <w:r w:rsidR="00345635">
        <w:br/>
      </w:r>
      <w:r w:rsidR="00F406FD" w:rsidRPr="00145F1C">
        <w:t xml:space="preserve">3.4 GHz and 3.6 GHz bands in 2030, the ACMA has decided </w:t>
      </w:r>
      <w:r w:rsidR="00BE5FA1">
        <w:t xml:space="preserve">generally </w:t>
      </w:r>
      <w:r w:rsidR="008E20C5">
        <w:t xml:space="preserve">to </w:t>
      </w:r>
      <w:r w:rsidR="008E20C5" w:rsidRPr="004D7288">
        <w:t xml:space="preserve">limit the </w:t>
      </w:r>
      <w:r w:rsidR="00200D6C">
        <w:t xml:space="preserve">tenure </w:t>
      </w:r>
      <w:r w:rsidR="002A13F9">
        <w:t>of</w:t>
      </w:r>
      <w:r w:rsidR="008E20C5" w:rsidRPr="004D7288">
        <w:t xml:space="preserve"> </w:t>
      </w:r>
      <w:r w:rsidR="008E20C5">
        <w:t xml:space="preserve">these </w:t>
      </w:r>
      <w:r w:rsidR="008E20C5" w:rsidRPr="004D7288">
        <w:t xml:space="preserve">AWLs to </w:t>
      </w:r>
      <w:r w:rsidR="00C7015A">
        <w:t xml:space="preserve">13 </w:t>
      </w:r>
      <w:r w:rsidR="008E20C5" w:rsidRPr="004D7288">
        <w:t>December 2030</w:t>
      </w:r>
      <w:r w:rsidR="00300603">
        <w:t xml:space="preserve"> to align with the expiry of spectrum licences within the band</w:t>
      </w:r>
      <w:r w:rsidR="00E245E5">
        <w:t xml:space="preserve"> and </w:t>
      </w:r>
      <w:r w:rsidR="00E245E5" w:rsidRPr="00453223">
        <w:t xml:space="preserve">provide greater </w:t>
      </w:r>
      <w:r w:rsidR="00E245E5">
        <w:t>flexibility</w:t>
      </w:r>
      <w:r w:rsidR="00E245E5" w:rsidRPr="00453223">
        <w:t xml:space="preserve"> in</w:t>
      </w:r>
      <w:r w:rsidR="00E245E5">
        <w:t xml:space="preserve"> replanning activities affecting the band</w:t>
      </w:r>
      <w:r w:rsidR="00107B14">
        <w:t xml:space="preserve">. </w:t>
      </w:r>
      <w:r w:rsidR="007D6FFF">
        <w:t xml:space="preserve">Aligning the expiry of AWLs with the expiry of spectrum licences in the same band </w:t>
      </w:r>
      <w:r w:rsidR="00020CB7">
        <w:t xml:space="preserve">supports the efficient </w:t>
      </w:r>
      <w:r w:rsidR="00A142E9">
        <w:t>future</w:t>
      </w:r>
      <w:r w:rsidR="00020CB7">
        <w:t xml:space="preserve"> allocation of spectrum. </w:t>
      </w:r>
      <w:r w:rsidR="00BE5FA1">
        <w:t>Where this policy is applied, t</w:t>
      </w:r>
      <w:r w:rsidR="005B7324" w:rsidRPr="004D7288">
        <w:t>his would limit the maximum duration of licences issued in 202</w:t>
      </w:r>
      <w:r w:rsidR="00BE5FA1">
        <w:t>3</w:t>
      </w:r>
      <w:r w:rsidR="005B7324" w:rsidRPr="004D7288">
        <w:t xml:space="preserve"> to </w:t>
      </w:r>
      <w:r w:rsidR="005B7324">
        <w:t>approx</w:t>
      </w:r>
      <w:r w:rsidR="008B3C36">
        <w:t>imately</w:t>
      </w:r>
      <w:r w:rsidR="005B7324">
        <w:t xml:space="preserve"> </w:t>
      </w:r>
      <w:r w:rsidR="001641C3">
        <w:br/>
      </w:r>
      <w:r w:rsidR="00BE5FA1">
        <w:t>7</w:t>
      </w:r>
      <w:r w:rsidR="005B7324" w:rsidRPr="004D7288">
        <w:t xml:space="preserve"> years</w:t>
      </w:r>
      <w:r w:rsidR="00E67E4F">
        <w:t>.</w:t>
      </w:r>
      <w:r w:rsidR="00453223">
        <w:t xml:space="preserve"> </w:t>
      </w:r>
      <w:r w:rsidR="00E245E5">
        <w:t xml:space="preserve">Applicants </w:t>
      </w:r>
      <w:r w:rsidR="00F374F9">
        <w:t>have the option to</w:t>
      </w:r>
      <w:r w:rsidR="00E245E5">
        <w:t xml:space="preserve"> specify a </w:t>
      </w:r>
      <w:r w:rsidR="005A1F62">
        <w:t>different</w:t>
      </w:r>
      <w:r w:rsidR="00E245E5">
        <w:t xml:space="preserve"> licence period in the application form</w:t>
      </w:r>
      <w:r w:rsidR="00F374F9">
        <w:t xml:space="preserve"> if they choose to do so.</w:t>
      </w:r>
    </w:p>
    <w:p w14:paraId="212BDBAC" w14:textId="10E493E8" w:rsidR="00F406FD" w:rsidRPr="00C522B3" w:rsidRDefault="00997E52" w:rsidP="00F406FD">
      <w:pPr>
        <w:pStyle w:val="Heading3"/>
        <w:rPr>
          <w:b w:val="0"/>
          <w:bCs w:val="0"/>
        </w:rPr>
      </w:pPr>
      <w:bookmarkStart w:id="23" w:name="_Licence_renewal"/>
      <w:bookmarkStart w:id="24" w:name="_Toc137726602"/>
      <w:bookmarkEnd w:id="23"/>
      <w:r>
        <w:t>Licence r</w:t>
      </w:r>
      <w:r w:rsidR="00F406FD" w:rsidRPr="00C522B3">
        <w:t>enewal</w:t>
      </w:r>
      <w:bookmarkEnd w:id="24"/>
    </w:p>
    <w:p w14:paraId="2A97267C" w14:textId="140DB87A" w:rsidR="00F406FD" w:rsidRDefault="00F406FD" w:rsidP="00F406FD">
      <w:pPr>
        <w:pStyle w:val="Paragraph"/>
      </w:pPr>
      <w:r w:rsidRPr="00982124">
        <w:t xml:space="preserve">The Act also </w:t>
      </w:r>
      <w:r w:rsidR="00BE1CA9">
        <w:t>includes</w:t>
      </w:r>
      <w:r w:rsidRPr="00982124">
        <w:t xml:space="preserve"> processes </w:t>
      </w:r>
      <w:r w:rsidR="00BE5FA1">
        <w:t>for</w:t>
      </w:r>
      <w:r w:rsidR="00A43B5C">
        <w:t xml:space="preserve"> </w:t>
      </w:r>
      <w:r w:rsidRPr="00982124">
        <w:t>the renewal of apparatus licences</w:t>
      </w:r>
      <w:r>
        <w:t>, including</w:t>
      </w:r>
      <w:r w:rsidR="00BE5FA1">
        <w:t xml:space="preserve"> the inclusion of</w:t>
      </w:r>
      <w:r>
        <w:t xml:space="preserve"> </w:t>
      </w:r>
      <w:r w:rsidR="000D6449">
        <w:t>public interest statements</w:t>
      </w:r>
      <w:r w:rsidR="00BE5FA1">
        <w:t xml:space="preserve"> on licences</w:t>
      </w:r>
      <w:r>
        <w:t xml:space="preserve">. </w:t>
      </w:r>
      <w:r w:rsidR="00A43B5C">
        <w:t>The</w:t>
      </w:r>
      <w:r>
        <w:t xml:space="preserve"> ACMA does not propose to include renewal</w:t>
      </w:r>
      <w:r w:rsidR="00BE5FA1">
        <w:t xml:space="preserve"> statements</w:t>
      </w:r>
      <w:r>
        <w:t xml:space="preserve"> </w:t>
      </w:r>
      <w:r w:rsidR="000D6449">
        <w:t xml:space="preserve">or public interest statements </w:t>
      </w:r>
      <w:r w:rsidR="00BE5FA1">
        <w:t>on</w:t>
      </w:r>
      <w:r>
        <w:t xml:space="preserve"> AWLs in </w:t>
      </w:r>
      <w:r w:rsidR="00BE5FA1">
        <w:t xml:space="preserve">the </w:t>
      </w:r>
      <w:r w:rsidR="00D62060">
        <w:t>3.4–4.0 GHz</w:t>
      </w:r>
      <w:r w:rsidRPr="00A028B0">
        <w:t xml:space="preserve"> </w:t>
      </w:r>
      <w:r w:rsidR="00BE5FA1">
        <w:t xml:space="preserve">band in </w:t>
      </w:r>
      <w:r>
        <w:t>remote</w:t>
      </w:r>
      <w:r w:rsidR="00BE5FA1">
        <w:t xml:space="preserve"> areas</w:t>
      </w:r>
      <w:r>
        <w:t xml:space="preserve">. </w:t>
      </w:r>
    </w:p>
    <w:p w14:paraId="03AC2417" w14:textId="5D44A1F6" w:rsidR="00F406FD" w:rsidRDefault="00F776FC" w:rsidP="00F406FD">
      <w:pPr>
        <w:pStyle w:val="Paragraph"/>
      </w:pPr>
      <w:r>
        <w:rPr>
          <w:rStyle w:val="charsectno"/>
        </w:rPr>
        <w:t>T</w:t>
      </w:r>
      <w:r w:rsidR="00F406FD">
        <w:rPr>
          <w:rStyle w:val="charsectno"/>
        </w:rPr>
        <w:t>he extent of demand for AWLs in the band remains uncertain at this time,</w:t>
      </w:r>
      <w:r w:rsidR="00F406FD" w:rsidRPr="0B8AD955">
        <w:rPr>
          <w:rStyle w:val="charsectno"/>
        </w:rPr>
        <w:t xml:space="preserve"> reflecting the early </w:t>
      </w:r>
      <w:r w:rsidR="00F406FD" w:rsidRPr="04B71916">
        <w:rPr>
          <w:rStyle w:val="charsectno"/>
        </w:rPr>
        <w:t xml:space="preserve">development of business cases for </w:t>
      </w:r>
      <w:r w:rsidR="00F406FD" w:rsidRPr="3D8193EB">
        <w:rPr>
          <w:rStyle w:val="charsectno"/>
        </w:rPr>
        <w:t>service deployment.</w:t>
      </w:r>
      <w:r w:rsidR="00F406FD">
        <w:rPr>
          <w:rStyle w:val="charsectno"/>
        </w:rPr>
        <w:t xml:space="preserve"> </w:t>
      </w:r>
      <w:r w:rsidR="00F406FD" w:rsidRPr="3D8193EB">
        <w:rPr>
          <w:rStyle w:val="charsectno"/>
        </w:rPr>
        <w:t>To</w:t>
      </w:r>
      <w:r w:rsidR="00F406FD" w:rsidRPr="62CB9572">
        <w:rPr>
          <w:rStyle w:val="charsectno"/>
        </w:rPr>
        <w:t xml:space="preserve"> address the risk that </w:t>
      </w:r>
      <w:r w:rsidR="00F406FD" w:rsidRPr="0599A6B2">
        <w:rPr>
          <w:rStyle w:val="charsectno"/>
        </w:rPr>
        <w:t xml:space="preserve">initial licence allocations may not </w:t>
      </w:r>
      <w:r w:rsidR="00F406FD" w:rsidRPr="2B4A24A6">
        <w:rPr>
          <w:rStyle w:val="charsectno"/>
        </w:rPr>
        <w:t>ultimately be used as planned</w:t>
      </w:r>
      <w:r w:rsidR="00F406FD">
        <w:rPr>
          <w:rStyle w:val="charsectno"/>
        </w:rPr>
        <w:t>,</w:t>
      </w:r>
      <w:r w:rsidR="00F406FD" w:rsidRPr="1FB8CC3A">
        <w:rPr>
          <w:rStyle w:val="charsectno"/>
        </w:rPr>
        <w:t xml:space="preserve"> and the </w:t>
      </w:r>
      <w:r w:rsidR="00F406FD" w:rsidRPr="1B3BF89E">
        <w:rPr>
          <w:rStyle w:val="charsectno"/>
        </w:rPr>
        <w:t xml:space="preserve">potential that licence holders may not have adequate </w:t>
      </w:r>
      <w:r w:rsidR="00F406FD" w:rsidRPr="593C6F30">
        <w:rPr>
          <w:rStyle w:val="charsectno"/>
        </w:rPr>
        <w:t xml:space="preserve">incentive to return unused licences or </w:t>
      </w:r>
      <w:r w:rsidR="00F406FD" w:rsidRPr="5ECBBCC7">
        <w:rPr>
          <w:rStyle w:val="charsectno"/>
        </w:rPr>
        <w:t xml:space="preserve">unused portions of licences to the </w:t>
      </w:r>
      <w:r w:rsidR="00F406FD" w:rsidRPr="0A1BD3A5">
        <w:rPr>
          <w:rStyle w:val="charsectno"/>
        </w:rPr>
        <w:t>market</w:t>
      </w:r>
      <w:r w:rsidR="00F406FD">
        <w:rPr>
          <w:rStyle w:val="charsectno"/>
        </w:rPr>
        <w:t xml:space="preserve">, </w:t>
      </w:r>
      <w:r w:rsidR="00F406FD" w:rsidRPr="002E2C20">
        <w:rPr>
          <w:rStyle w:val="charsectno"/>
        </w:rPr>
        <w:t>we intend to place an advisory note on each AWL. This will outline that the ACMA,</w:t>
      </w:r>
      <w:r w:rsidR="00F406FD">
        <w:rPr>
          <w:rStyle w:val="charsectno"/>
        </w:rPr>
        <w:t xml:space="preserve"> when deciding whether to </w:t>
      </w:r>
      <w:r w:rsidR="00F406FD" w:rsidRPr="00422921">
        <w:rPr>
          <w:rStyle w:val="charsectno"/>
        </w:rPr>
        <w:t>renew</w:t>
      </w:r>
      <w:r w:rsidR="00F406FD">
        <w:rPr>
          <w:rStyle w:val="charsectno"/>
        </w:rPr>
        <w:t xml:space="preserve"> a</w:t>
      </w:r>
      <w:r w:rsidR="00F406FD" w:rsidRPr="00422921">
        <w:rPr>
          <w:rStyle w:val="charsectno"/>
        </w:rPr>
        <w:t xml:space="preserve"> </w:t>
      </w:r>
      <w:r w:rsidR="00F406FD">
        <w:rPr>
          <w:rStyle w:val="charsectno"/>
        </w:rPr>
        <w:t>licence,</w:t>
      </w:r>
      <w:r w:rsidR="00F406FD" w:rsidRPr="00422921">
        <w:rPr>
          <w:rStyle w:val="charsectno"/>
        </w:rPr>
        <w:t xml:space="preserve"> </w:t>
      </w:r>
      <w:r w:rsidR="00BE5FA1">
        <w:rPr>
          <w:rStyle w:val="charsectno"/>
        </w:rPr>
        <w:t xml:space="preserve">may </w:t>
      </w:r>
      <w:r w:rsidR="00F406FD" w:rsidRPr="00422921">
        <w:rPr>
          <w:rStyle w:val="charsectno"/>
        </w:rPr>
        <w:t>have regard to</w:t>
      </w:r>
      <w:r w:rsidR="00F406FD" w:rsidRPr="00C811D8">
        <w:rPr>
          <w:rStyle w:val="charsectno"/>
        </w:rPr>
        <w:t xml:space="preserve"> whether</w:t>
      </w:r>
      <w:r w:rsidR="00F406FD">
        <w:rPr>
          <w:rStyle w:val="charsectno"/>
        </w:rPr>
        <w:t xml:space="preserve"> </w:t>
      </w:r>
      <w:r w:rsidR="00F406FD" w:rsidRPr="00C811D8">
        <w:rPr>
          <w:rStyle w:val="charsectno"/>
        </w:rPr>
        <w:t>the spectrum has been used</w:t>
      </w:r>
      <w:r w:rsidR="00F406FD">
        <w:rPr>
          <w:rStyle w:val="charsectno"/>
        </w:rPr>
        <w:t xml:space="preserve"> and </w:t>
      </w:r>
      <w:r w:rsidR="00BE5FA1">
        <w:rPr>
          <w:rStyle w:val="charsectno"/>
        </w:rPr>
        <w:t>whether</w:t>
      </w:r>
      <w:r w:rsidR="00F406FD">
        <w:rPr>
          <w:rStyle w:val="charsectno"/>
        </w:rPr>
        <w:t xml:space="preserve"> </w:t>
      </w:r>
      <w:r w:rsidR="00F406FD" w:rsidRPr="00A028B0">
        <w:t xml:space="preserve">there is unmet demand </w:t>
      </w:r>
      <w:r w:rsidR="00BE5FA1">
        <w:t xml:space="preserve">for licences </w:t>
      </w:r>
      <w:r w:rsidR="00F406FD" w:rsidRPr="00A028B0">
        <w:t xml:space="preserve">in the </w:t>
      </w:r>
      <w:r w:rsidR="00D62060">
        <w:t>3.4–4.0 GHz</w:t>
      </w:r>
      <w:r w:rsidR="00F406FD" w:rsidRPr="00A028B0">
        <w:t xml:space="preserve"> band</w:t>
      </w:r>
      <w:r w:rsidR="00BE5FA1">
        <w:t xml:space="preserve"> in remote areas</w:t>
      </w:r>
      <w:r w:rsidR="00F406FD">
        <w:t>.</w:t>
      </w:r>
      <w:r w:rsidR="003940BE">
        <w:t xml:space="preserve"> This approach supports the efficient use of spectrum, digital connectivity and investment in regional Australia. </w:t>
      </w:r>
    </w:p>
    <w:p w14:paraId="3060A1A1" w14:textId="0892E5A4" w:rsidR="00F406FD" w:rsidRPr="001D7E51" w:rsidRDefault="00D57C8D" w:rsidP="00F406FD">
      <w:pPr>
        <w:pStyle w:val="Paragraph"/>
      </w:pPr>
      <w:r>
        <w:rPr>
          <w:rStyle w:val="charsectno"/>
        </w:rPr>
        <w:t xml:space="preserve">We </w:t>
      </w:r>
      <w:r w:rsidR="00F406FD" w:rsidRPr="3D33F545">
        <w:rPr>
          <w:rStyle w:val="charsectno"/>
        </w:rPr>
        <w:t>may decide not to renew a licence, or to renew the licence with different conditions</w:t>
      </w:r>
      <w:r w:rsidR="009700FB" w:rsidRPr="3D33F545">
        <w:rPr>
          <w:rStyle w:val="charsectno"/>
        </w:rPr>
        <w:t xml:space="preserve"> (including a reduced quantum of spectrum</w:t>
      </w:r>
      <w:r w:rsidR="00AB72C3" w:rsidRPr="3D33F545">
        <w:rPr>
          <w:rStyle w:val="charsectno"/>
        </w:rPr>
        <w:t xml:space="preserve"> or different geographic areas</w:t>
      </w:r>
      <w:r w:rsidR="009700FB" w:rsidRPr="3D33F545">
        <w:rPr>
          <w:rStyle w:val="charsectno"/>
        </w:rPr>
        <w:t>)</w:t>
      </w:r>
      <w:r w:rsidR="00F406FD" w:rsidRPr="3D33F545">
        <w:rPr>
          <w:rStyle w:val="charsectno"/>
        </w:rPr>
        <w:t>.</w:t>
      </w:r>
      <w:r w:rsidR="00F406FD">
        <w:t xml:space="preserve"> </w:t>
      </w:r>
      <w:r w:rsidR="00F406FD" w:rsidRPr="00F531D5">
        <w:t>The ACMA will generally not renew a</w:t>
      </w:r>
      <w:r w:rsidR="004454E8">
        <w:t>n AWL in the</w:t>
      </w:r>
      <w:r w:rsidR="3936BC21">
        <w:t xml:space="preserve"> </w:t>
      </w:r>
      <w:r w:rsidR="004454E8">
        <w:t>3.4–4.0 GHz</w:t>
      </w:r>
      <w:r w:rsidR="004454E8" w:rsidRPr="00A028B0">
        <w:t xml:space="preserve"> band</w:t>
      </w:r>
      <w:r w:rsidR="004454E8">
        <w:t xml:space="preserve"> in remote areas </w:t>
      </w:r>
      <w:r w:rsidR="00F406FD" w:rsidRPr="00F531D5">
        <w:t xml:space="preserve">for any period that would take the licence term beyond </w:t>
      </w:r>
      <w:r w:rsidR="00715993">
        <w:t xml:space="preserve">13 December </w:t>
      </w:r>
      <w:r w:rsidR="00F406FD" w:rsidRPr="00F531D5">
        <w:t xml:space="preserve">2030. This policy will apply until plans regarding defragmentation </w:t>
      </w:r>
      <w:r w:rsidR="004454E8">
        <w:t xml:space="preserve">of the band </w:t>
      </w:r>
      <w:r w:rsidR="00F406FD" w:rsidRPr="00F531D5">
        <w:t xml:space="preserve">and </w:t>
      </w:r>
      <w:r w:rsidR="004454E8">
        <w:t xml:space="preserve">its </w:t>
      </w:r>
      <w:r w:rsidR="00F406FD" w:rsidRPr="00F531D5">
        <w:t xml:space="preserve">potential impact on </w:t>
      </w:r>
      <w:r w:rsidR="004454E8">
        <w:t>AWLs</w:t>
      </w:r>
      <w:r w:rsidR="004454E8" w:rsidRPr="00F531D5">
        <w:t xml:space="preserve"> </w:t>
      </w:r>
      <w:r w:rsidR="00F406FD" w:rsidRPr="00F531D5">
        <w:t>are known.</w:t>
      </w:r>
    </w:p>
    <w:p w14:paraId="062558E9" w14:textId="279655B6" w:rsidR="00F406FD" w:rsidRDefault="00F406FD" w:rsidP="00F406FD">
      <w:pPr>
        <w:pStyle w:val="Paragraph"/>
      </w:pPr>
      <w:r>
        <w:t xml:space="preserve">If </w:t>
      </w:r>
      <w:r w:rsidR="00D57C8D">
        <w:t>we</w:t>
      </w:r>
      <w:r>
        <w:t xml:space="preserve"> consider that unmet demand in the bands will require a consideration of spectrum use at renewal, </w:t>
      </w:r>
      <w:r w:rsidR="00D57C8D">
        <w:t>we</w:t>
      </w:r>
      <w:r>
        <w:t xml:space="preserve"> </w:t>
      </w:r>
      <w:r w:rsidR="004454E8">
        <w:t xml:space="preserve">intend to </w:t>
      </w:r>
      <w:r>
        <w:t xml:space="preserve">communicate this to licensees no less than </w:t>
      </w:r>
      <w:r w:rsidR="006F52D9">
        <w:br/>
      </w:r>
      <w:r w:rsidR="00D57C8D">
        <w:t xml:space="preserve">6 </w:t>
      </w:r>
      <w:r>
        <w:t xml:space="preserve">months before the expiry date of the </w:t>
      </w:r>
      <w:r w:rsidR="004454E8">
        <w:t>AWL</w:t>
      </w:r>
      <w:r>
        <w:t xml:space="preserve">. </w:t>
      </w:r>
    </w:p>
    <w:p w14:paraId="1A585238" w14:textId="4D62E35C" w:rsidR="00F406FD" w:rsidRDefault="00F406FD" w:rsidP="002D2AB5">
      <w:pPr>
        <w:pStyle w:val="Paragraphbeforelist"/>
        <w:spacing w:after="240"/>
      </w:pPr>
      <w:r>
        <w:t xml:space="preserve">The ACMA may also renew </w:t>
      </w:r>
      <w:r w:rsidR="004454E8">
        <w:t>an AWL with</w:t>
      </w:r>
      <w:r>
        <w:t xml:space="preserve"> different conditions</w:t>
      </w:r>
      <w:r w:rsidR="004454E8">
        <w:t xml:space="preserve"> and renewal statements</w:t>
      </w:r>
      <w:r>
        <w:t xml:space="preserve">, including </w:t>
      </w:r>
      <w:r w:rsidR="000B1368">
        <w:t xml:space="preserve">in relation to </w:t>
      </w:r>
      <w:r w:rsidRPr="000C5CEC">
        <w:t>re-planning decisions</w:t>
      </w:r>
      <w:r>
        <w:t xml:space="preserve"> or </w:t>
      </w:r>
      <w:r w:rsidRPr="00927782">
        <w:t>for other reasons</w:t>
      </w:r>
      <w:r>
        <w:t xml:space="preserve">. More information about </w:t>
      </w:r>
      <w:hyperlink r:id="rId44" w:history="1">
        <w:r w:rsidRPr="00E14FE1">
          <w:rPr>
            <w:rStyle w:val="Hyperlink"/>
          </w:rPr>
          <w:t>apparatus licence renewal</w:t>
        </w:r>
      </w:hyperlink>
      <w:r>
        <w:t xml:space="preserve"> is available on the ACMA website</w:t>
      </w:r>
      <w:r w:rsidR="00DE24B7">
        <w:t>.</w:t>
      </w:r>
    </w:p>
    <w:p w14:paraId="63C1B2C6" w14:textId="33F276A9" w:rsidR="00F147AD" w:rsidRPr="00D326B8" w:rsidRDefault="004454E8" w:rsidP="00D326B8">
      <w:r>
        <w:t xml:space="preserve">Because a renewal statement is not included, </w:t>
      </w:r>
      <w:r w:rsidR="00F147AD" w:rsidRPr="00D326B8">
        <w:t>the default renewal application and decision-making periods</w:t>
      </w:r>
      <w:r w:rsidR="00E050F8">
        <w:t xml:space="preserve"> applicable to apparatus licences</w:t>
      </w:r>
      <w:r>
        <w:t xml:space="preserve"> will apply</w:t>
      </w:r>
      <w:r w:rsidR="00E050F8">
        <w:t>. The d</w:t>
      </w:r>
      <w:r w:rsidR="00F147AD" w:rsidRPr="00D326B8">
        <w:t>efault renewal application period for apparatus licences begins 6 months from expiry and ends 60 days after the licence expires</w:t>
      </w:r>
      <w:r w:rsidR="00CD227B">
        <w:t>. The decision</w:t>
      </w:r>
      <w:r w:rsidR="000C65C6">
        <w:t>-</w:t>
      </w:r>
      <w:r w:rsidR="00CD227B">
        <w:t xml:space="preserve">making period is </w:t>
      </w:r>
      <w:r w:rsidR="00F147AD" w:rsidRPr="00D326B8">
        <w:t>90 day</w:t>
      </w:r>
      <w:r w:rsidR="00CD227B">
        <w:t>s.</w:t>
      </w:r>
    </w:p>
    <w:p w14:paraId="13496575" w14:textId="7939EE67" w:rsidR="006A5D6A" w:rsidRPr="007B5D0D" w:rsidRDefault="006A5D6A" w:rsidP="00C46D43">
      <w:pPr>
        <w:pStyle w:val="Paragraph"/>
      </w:pPr>
      <w:r>
        <w:t>The ACMA</w:t>
      </w:r>
      <w:r w:rsidRPr="000B2F58">
        <w:t xml:space="preserve"> will review the tenure policy </w:t>
      </w:r>
      <w:r>
        <w:t xml:space="preserve">for AWLs </w:t>
      </w:r>
      <w:r w:rsidR="004454E8">
        <w:t>in the 3.4–4.0 GHz</w:t>
      </w:r>
      <w:r w:rsidR="004454E8" w:rsidRPr="00A028B0">
        <w:t xml:space="preserve"> band</w:t>
      </w:r>
      <w:r w:rsidR="004454E8">
        <w:t xml:space="preserve"> </w:t>
      </w:r>
      <w:r>
        <w:t xml:space="preserve">in remote areas </w:t>
      </w:r>
      <w:r w:rsidR="0085582C">
        <w:t>taking into acco</w:t>
      </w:r>
      <w:r w:rsidR="006957BA">
        <w:t>u</w:t>
      </w:r>
      <w:r w:rsidR="0085582C">
        <w:t>nt the</w:t>
      </w:r>
      <w:r w:rsidRPr="000B2F58">
        <w:t xml:space="preserve"> consideration of expiring 3.4 GHz </w:t>
      </w:r>
      <w:r w:rsidR="004454E8">
        <w:t xml:space="preserve">band </w:t>
      </w:r>
      <w:r w:rsidRPr="000B2F58">
        <w:t>spectrum licences</w:t>
      </w:r>
      <w:r>
        <w:t xml:space="preserve">. </w:t>
      </w:r>
      <w:r w:rsidR="006F52D9">
        <w:t xml:space="preserve">On 23 May 2023, we opened a consultation on our </w:t>
      </w:r>
      <w:hyperlink r:id="rId45" w:history="1">
        <w:r w:rsidR="00F3755F">
          <w:rPr>
            <w:rStyle w:val="Hyperlink"/>
          </w:rPr>
          <w:t>proposed approach to expiring spectrum licences</w:t>
        </w:r>
      </w:hyperlink>
      <w:r w:rsidR="00C46D43">
        <w:t xml:space="preserve"> including the </w:t>
      </w:r>
      <w:r w:rsidR="004668BA">
        <w:t>process</w:t>
      </w:r>
      <w:r w:rsidR="003A5B50" w:rsidRPr="00C46D43">
        <w:t>.</w:t>
      </w:r>
      <w:r w:rsidR="003A5B50">
        <w:t xml:space="preserve"> </w:t>
      </w:r>
    </w:p>
    <w:p w14:paraId="031E40B4" w14:textId="7B4894D1" w:rsidR="00F406FD" w:rsidRDefault="000C65C6" w:rsidP="00D326B8">
      <w:pPr>
        <w:pStyle w:val="Heading2"/>
      </w:pPr>
      <w:bookmarkStart w:id="25" w:name="_Toc137726603"/>
      <w:r>
        <w:t>2.</w:t>
      </w:r>
      <w:r w:rsidR="00715993">
        <w:t>6</w:t>
      </w:r>
      <w:r>
        <w:tab/>
      </w:r>
      <w:r w:rsidR="00F406FD">
        <w:t>Pricing</w:t>
      </w:r>
      <w:bookmarkEnd w:id="25"/>
    </w:p>
    <w:p w14:paraId="616711B1" w14:textId="3E7BD476" w:rsidR="003334CA" w:rsidRDefault="003334CA" w:rsidP="003334CA">
      <w:pPr>
        <w:pStyle w:val="Paragraphbeforelist"/>
      </w:pPr>
      <w:r>
        <w:t xml:space="preserve">There are </w:t>
      </w:r>
      <w:r w:rsidR="00825351">
        <w:t xml:space="preserve">2 </w:t>
      </w:r>
      <w:r w:rsidRPr="003C667D">
        <w:t>types</w:t>
      </w:r>
      <w:r>
        <w:t xml:space="preserve"> of fees applicable to apparatus licences:</w:t>
      </w:r>
    </w:p>
    <w:p w14:paraId="68AF7366" w14:textId="2F929433" w:rsidR="006E202C" w:rsidRDefault="006E202C" w:rsidP="00E14FE1">
      <w:pPr>
        <w:pStyle w:val="Bulletlevel1"/>
      </w:pPr>
      <w:r>
        <w:t>annual</w:t>
      </w:r>
      <w:r w:rsidR="004454E8">
        <w:rPr>
          <w:rStyle w:val="FootnoteReference"/>
        </w:rPr>
        <w:footnoteReference w:id="6"/>
      </w:r>
      <w:r>
        <w:t xml:space="preserve"> apparatus licence taxes</w:t>
      </w:r>
      <w:r w:rsidR="004454E8">
        <w:t>, the amounts of which are calculated</w:t>
      </w:r>
      <w:r>
        <w:t xml:space="preserve"> to recover the indirect costs of spectrum management and provide incentives for efficient spectrum use. Indirect costs are those that cannot be directly attributed to individual licensees </w:t>
      </w:r>
    </w:p>
    <w:p w14:paraId="4A1EADCF" w14:textId="15C29C99" w:rsidR="003334CA" w:rsidRPr="006838C6" w:rsidRDefault="003334CA" w:rsidP="00E14FE1">
      <w:pPr>
        <w:pStyle w:val="Bulletlevel1last"/>
      </w:pPr>
      <w:r w:rsidRPr="006838C6">
        <w:t xml:space="preserve">charges to recover the direct costs of </w:t>
      </w:r>
      <w:r w:rsidR="004454E8">
        <w:t>issuing the licences</w:t>
      </w:r>
      <w:r w:rsidR="006E202C">
        <w:t>.</w:t>
      </w:r>
    </w:p>
    <w:p w14:paraId="1CE003F7" w14:textId="77777777" w:rsidR="000110C5" w:rsidRPr="00237620" w:rsidRDefault="000110C5" w:rsidP="00B70880">
      <w:pPr>
        <w:pStyle w:val="Heading3"/>
        <w:spacing w:before="120"/>
      </w:pPr>
      <w:bookmarkStart w:id="26" w:name="_Toc137726604"/>
      <w:r>
        <w:t>Annual apparatus licence tax</w:t>
      </w:r>
      <w:bookmarkEnd w:id="26"/>
    </w:p>
    <w:p w14:paraId="5904E5CF" w14:textId="6862B75C" w:rsidR="000110C5" w:rsidRDefault="004454E8" w:rsidP="000110C5">
      <w:pPr>
        <w:pStyle w:val="Paragraph"/>
      </w:pPr>
      <w:r>
        <w:t>A</w:t>
      </w:r>
      <w:r w:rsidRPr="00FC1F78">
        <w:t xml:space="preserve"> </w:t>
      </w:r>
      <w:r w:rsidR="000110C5" w:rsidRPr="00FC1F78">
        <w:t xml:space="preserve">tax </w:t>
      </w:r>
      <w:r w:rsidR="00B219D2">
        <w:t>rate</w:t>
      </w:r>
      <w:r w:rsidR="000110C5" w:rsidRPr="00FC1F78">
        <w:t xml:space="preserve"> of $</w:t>
      </w:r>
      <w:r w:rsidR="00D73A09" w:rsidRPr="00AA4357">
        <w:t>0.0041</w:t>
      </w:r>
      <w:r w:rsidR="000110C5" w:rsidRPr="00FC1F78">
        <w:t xml:space="preserve">/MHz/pop </w:t>
      </w:r>
      <w:r w:rsidR="00D062E1">
        <w:t>applies to</w:t>
      </w:r>
      <w:r w:rsidR="000110C5" w:rsidRPr="00FC1F78">
        <w:t xml:space="preserve"> </w:t>
      </w:r>
      <w:r>
        <w:t xml:space="preserve">AWLs in </w:t>
      </w:r>
      <w:r w:rsidR="000110C5" w:rsidRPr="00FC1F78">
        <w:t xml:space="preserve">the </w:t>
      </w:r>
      <w:r w:rsidR="00D62060">
        <w:t>3.4–4.0 GHz</w:t>
      </w:r>
      <w:r w:rsidR="000110C5">
        <w:t xml:space="preserve"> </w:t>
      </w:r>
      <w:r w:rsidR="000110C5" w:rsidRPr="00FC1F78">
        <w:t>band</w:t>
      </w:r>
      <w:r w:rsidR="000110C5">
        <w:t xml:space="preserve"> in remote Australia.</w:t>
      </w:r>
    </w:p>
    <w:p w14:paraId="2BF11031" w14:textId="77777777" w:rsidR="000110C5" w:rsidRDefault="000110C5" w:rsidP="000110C5">
      <w:pPr>
        <w:pStyle w:val="Paragraphbeforelist"/>
      </w:pPr>
      <w:r>
        <w:t>Total annual licence tax is calculated as follows:</w:t>
      </w:r>
    </w:p>
    <w:p w14:paraId="5A06E10B" w14:textId="58A6E5F9" w:rsidR="000110C5" w:rsidRDefault="000110C5" w:rsidP="000110C5">
      <w:pPr>
        <w:pStyle w:val="Paragraphbeforelist"/>
        <w:spacing w:before="120" w:after="120"/>
        <w:ind w:left="426"/>
        <w:rPr>
          <w:rStyle w:val="SubtleEmphasis"/>
          <w:rFonts w:cs="Times New Roman"/>
        </w:rPr>
      </w:pPr>
      <w:r w:rsidRPr="00601B62">
        <w:t>AWL tax = $/MHz/pop price</w:t>
      </w:r>
      <w:r w:rsidRPr="00D51509">
        <w:t xml:space="preserve"> </w:t>
      </w:r>
      <w:r w:rsidR="00152E8F" w:rsidRPr="00F743AC">
        <w:rPr>
          <w:iCs/>
        </w:rPr>
        <w:t>×</w:t>
      </w:r>
      <w:r w:rsidR="00152E8F">
        <w:rPr>
          <w:iCs/>
        </w:rPr>
        <w:t xml:space="preserve"> </w:t>
      </w:r>
      <w:r w:rsidRPr="00601B62">
        <w:t>bandwidth (MHz)</w:t>
      </w:r>
      <w:r w:rsidRPr="00D51509">
        <w:t xml:space="preserve"> </w:t>
      </w:r>
      <w:r w:rsidR="00152E8F" w:rsidRPr="00F743AC">
        <w:rPr>
          <w:iCs/>
        </w:rPr>
        <w:t>×</w:t>
      </w:r>
      <w:r w:rsidR="00152E8F">
        <w:rPr>
          <w:iCs/>
        </w:rPr>
        <w:t xml:space="preserve"> </w:t>
      </w:r>
      <w:r w:rsidRPr="00601B62">
        <w:t>population of geographic area</w:t>
      </w:r>
      <w:r w:rsidRPr="00D51509">
        <w:t xml:space="preserve"> </w:t>
      </w:r>
    </w:p>
    <w:p w14:paraId="54F45A81" w14:textId="77777777" w:rsidR="000110C5" w:rsidRDefault="000110C5" w:rsidP="000110C5">
      <w:pPr>
        <w:pStyle w:val="Paragraphbeforelist"/>
        <w:spacing w:before="120"/>
      </w:pPr>
      <w:r>
        <w:t>w</w:t>
      </w:r>
      <w:r w:rsidRPr="00D954AE">
        <w:t>here:</w:t>
      </w:r>
      <w:r w:rsidRPr="00DD5AC7">
        <w:t xml:space="preserve"> </w:t>
      </w:r>
    </w:p>
    <w:p w14:paraId="3D40FC34" w14:textId="77777777" w:rsidR="000110C5" w:rsidRDefault="000110C5" w:rsidP="000110C5">
      <w:pPr>
        <w:pStyle w:val="Bulletlevel1"/>
        <w:rPr>
          <w:rFonts w:eastAsia="Arial"/>
          <w:szCs w:val="20"/>
        </w:rPr>
      </w:pPr>
      <w:r>
        <w:t xml:space="preserve">‘$/MHz/pop’ price is the tax rate for one MHz of spectrum per head of population. </w:t>
      </w:r>
    </w:p>
    <w:p w14:paraId="01181B9B" w14:textId="77777777" w:rsidR="000110C5" w:rsidRDefault="000110C5" w:rsidP="000110C5">
      <w:pPr>
        <w:pStyle w:val="Bulletlevel1"/>
      </w:pPr>
      <w:r>
        <w:t xml:space="preserve">‘bandwidth’ is the total amount of spectrum in MHz authorised by the licence. </w:t>
      </w:r>
    </w:p>
    <w:p w14:paraId="105924AA" w14:textId="427EF5FF" w:rsidR="006564C8" w:rsidRDefault="000110C5" w:rsidP="000110C5">
      <w:pPr>
        <w:pStyle w:val="Bulletlevel1last"/>
      </w:pPr>
      <w:r>
        <w:t>‘p</w:t>
      </w:r>
      <w:r w:rsidRPr="00866F05">
        <w:t>opulation</w:t>
      </w:r>
      <w:r>
        <w:t>’</w:t>
      </w:r>
      <w:r w:rsidRPr="00866F05">
        <w:t xml:space="preserve"> </w:t>
      </w:r>
      <w:r>
        <w:t>(</w:t>
      </w:r>
      <w:r w:rsidRPr="00866F05">
        <w:t xml:space="preserve">based </w:t>
      </w:r>
      <w:r w:rsidRPr="008E51F8">
        <w:t xml:space="preserve">on the </w:t>
      </w:r>
      <w:r w:rsidR="003116AF" w:rsidRPr="001C6B3D">
        <w:t xml:space="preserve">2021 </w:t>
      </w:r>
      <w:r w:rsidRPr="001C6B3D">
        <w:t>Census</w:t>
      </w:r>
      <w:r w:rsidRPr="008E51F8">
        <w:t>)</w:t>
      </w:r>
      <w:r w:rsidRPr="000B2875">
        <w:t xml:space="preserve"> is the population of the geographic </w:t>
      </w:r>
      <w:r w:rsidR="006F52D9">
        <w:br/>
      </w:r>
      <w:r w:rsidRPr="000B2875">
        <w:t xml:space="preserve">area authorised by the licence. The area will be defined </w:t>
      </w:r>
      <w:r w:rsidR="004454E8">
        <w:t xml:space="preserve">by HCIS identifiers in </w:t>
      </w:r>
      <w:r w:rsidR="006F52D9">
        <w:br/>
      </w:r>
      <w:r w:rsidR="004454E8">
        <w:t>the ASMG</w:t>
      </w:r>
      <w:r w:rsidRPr="000B2875">
        <w:t xml:space="preserve">. </w:t>
      </w:r>
    </w:p>
    <w:p w14:paraId="14E7AC14" w14:textId="254C407F" w:rsidR="000110C5" w:rsidRPr="008E51F8" w:rsidRDefault="000110C5" w:rsidP="005351E4">
      <w:pPr>
        <w:pStyle w:val="Paragraph"/>
      </w:pPr>
      <w:r w:rsidRPr="008E51F8">
        <w:t xml:space="preserve">The population is based on the aggregate population of all the geographic cells </w:t>
      </w:r>
      <w:r w:rsidR="004454E8">
        <w:t>in which the AWL authorises operation of radiocommunications transmitters</w:t>
      </w:r>
      <w:r w:rsidRPr="008E51F8">
        <w:t xml:space="preserve">. The effective population of a single HCIS 0 cell (the minimum cell size, which will be referred to as a single ‘AWL cell’) for the purposes of tax calculations will be determined by taking the average population of all </w:t>
      </w:r>
      <w:r w:rsidR="001C39C3" w:rsidRPr="008E51F8">
        <w:t>HCIS 0 cells in the broader HCIS 1 cell that the particular HCIS 0 cell is located within.</w:t>
      </w:r>
      <w:r w:rsidR="004F4453" w:rsidRPr="008E51F8">
        <w:t xml:space="preserve"> There are 25 </w:t>
      </w:r>
      <w:r w:rsidR="002E037D" w:rsidRPr="008E51F8">
        <w:t xml:space="preserve">HCIS 0 </w:t>
      </w:r>
      <w:r w:rsidR="004F4453" w:rsidRPr="008E51F8">
        <w:t>cells within one HCIS 1 cell.</w:t>
      </w:r>
      <w:r w:rsidR="004454E8">
        <w:t xml:space="preserve"> The population of the HCIS level 1 cells are set out in a document published on the </w:t>
      </w:r>
      <w:hyperlink r:id="rId46" w:history="1">
        <w:r w:rsidR="004454E8" w:rsidRPr="00E14FE1">
          <w:rPr>
            <w:rStyle w:val="Hyperlink"/>
          </w:rPr>
          <w:t>ACMA website</w:t>
        </w:r>
      </w:hyperlink>
      <w:r w:rsidR="004454E8">
        <w:t>.</w:t>
      </w:r>
    </w:p>
    <w:p w14:paraId="0DC8F994" w14:textId="7DE75050" w:rsidR="000110C5" w:rsidRDefault="004454E8" w:rsidP="000110C5">
      <w:pPr>
        <w:pStyle w:val="Paragraph"/>
      </w:pPr>
      <w:r>
        <w:t>A</w:t>
      </w:r>
      <w:r w:rsidRPr="008E51F8">
        <w:t xml:space="preserve"> </w:t>
      </w:r>
      <w:r w:rsidR="000110C5" w:rsidRPr="008E51F8">
        <w:t xml:space="preserve">minimum tax </w:t>
      </w:r>
      <w:r>
        <w:t>amount</w:t>
      </w:r>
      <w:r w:rsidRPr="008E51F8">
        <w:t xml:space="preserve"> </w:t>
      </w:r>
      <w:r>
        <w:t>applies for AWLs</w:t>
      </w:r>
      <w:r w:rsidR="000110C5" w:rsidRPr="008E51F8">
        <w:t xml:space="preserve"> (</w:t>
      </w:r>
      <w:r>
        <w:t>which</w:t>
      </w:r>
      <w:r w:rsidR="000110C5" w:rsidRPr="008E51F8">
        <w:t xml:space="preserve"> is currently $41.</w:t>
      </w:r>
      <w:r w:rsidR="00206511" w:rsidRPr="008E51F8">
        <w:t>37</w:t>
      </w:r>
      <w:r w:rsidR="000110C5" w:rsidRPr="008E51F8">
        <w:t>). Where the tax worked out using the method outlined above is less the minimum annual tax, the tax will be the minimum annual tax. Total taxes are rounded to the nearest dollar.</w:t>
      </w:r>
    </w:p>
    <w:p w14:paraId="721B5274" w14:textId="65FEDD3D" w:rsidR="000110C5" w:rsidRPr="005351E4" w:rsidRDefault="000110C5" w:rsidP="00E14FE1">
      <w:pPr>
        <w:pStyle w:val="Heading4"/>
      </w:pPr>
      <w:bookmarkStart w:id="27" w:name="_Toc89092140"/>
      <w:bookmarkStart w:id="28" w:name="_Toc137726605"/>
      <w:r w:rsidRPr="005351E4">
        <w:t>Examples of taxes</w:t>
      </w:r>
      <w:bookmarkEnd w:id="27"/>
      <w:bookmarkEnd w:id="28"/>
    </w:p>
    <w:p w14:paraId="7F1E3FE8" w14:textId="7953050D" w:rsidR="00273596" w:rsidRDefault="00273596" w:rsidP="00273596">
      <w:pPr>
        <w:pStyle w:val="Paragraph"/>
      </w:pPr>
      <w:r>
        <w:t xml:space="preserve">To assist applicants, the following examples are provided using </w:t>
      </w:r>
      <w:r w:rsidR="00825351">
        <w:t xml:space="preserve">3 </w:t>
      </w:r>
      <w:r>
        <w:t xml:space="preserve">location examples, based on 20 MHz of bandwidth and 4 different geographic areas (one AWL cell, </w:t>
      </w:r>
      <w:r w:rsidR="00825351">
        <w:br/>
      </w:r>
      <w:r>
        <w:t xml:space="preserve">4 AWL cells, one HCIS 1 block and one HCIS 2 block). The locations chosen have relatively large populations at the HCIS 1 level to highlight how to calculate the taxes. Other locations will have lower populations and therefore taxes </w:t>
      </w:r>
      <w:r w:rsidR="006F52D9">
        <w:br/>
      </w:r>
      <w:r>
        <w:t>will be lower. To simplify the examples, it is assumed that the HCIS 0 cells to be authorised are all in the one HCIS 1 cell.</w:t>
      </w:r>
    </w:p>
    <w:p w14:paraId="4686B56C" w14:textId="6A5AB0FD" w:rsidR="00273596" w:rsidRDefault="00273596" w:rsidP="00E14FE1">
      <w:pPr>
        <w:pStyle w:val="Paragraphbeforelist"/>
      </w:pPr>
      <w:r>
        <w:t xml:space="preserve">The following examples use the $0.0041/MHz/pop tax rate in several different regions located in remote HCIS </w:t>
      </w:r>
      <w:r w:rsidR="007C4A5B">
        <w:t xml:space="preserve">1 </w:t>
      </w:r>
      <w:r>
        <w:t>cells proposed to be included in this allocation:</w:t>
      </w:r>
    </w:p>
    <w:p w14:paraId="38EAB9BD" w14:textId="00F5B76B" w:rsidR="00273596" w:rsidRDefault="00273596" w:rsidP="00955A40">
      <w:pPr>
        <w:pStyle w:val="Bulletlevel1"/>
      </w:pPr>
      <w:r>
        <w:t>HCIS 1 cell HS4L8 is the most populated cell in Alice Springs, Northern Territory. It has a population of 22,</w:t>
      </w:r>
      <w:r w:rsidR="00B21E39">
        <w:t>965</w:t>
      </w:r>
      <w:r>
        <w:t xml:space="preserve"> (average population per AWL cell is </w:t>
      </w:r>
      <w:r w:rsidR="00B21E39">
        <w:t>918.</w:t>
      </w:r>
      <w:r w:rsidR="00613C95">
        <w:t>6</w:t>
      </w:r>
      <w:r>
        <w:t xml:space="preserve">). It falls within HCIS 2 cell HS4L, which has a population of </w:t>
      </w:r>
      <w:r w:rsidR="007068B5">
        <w:t>24</w:t>
      </w:r>
      <w:r>
        <w:t>,</w:t>
      </w:r>
      <w:r w:rsidR="00A33C39">
        <w:t>220</w:t>
      </w:r>
      <w:r>
        <w:t>.</w:t>
      </w:r>
    </w:p>
    <w:p w14:paraId="1FE468C5" w14:textId="6D8A225D" w:rsidR="00273596" w:rsidRDefault="00273596" w:rsidP="00955A40">
      <w:pPr>
        <w:pStyle w:val="Bulletlevel1"/>
      </w:pPr>
      <w:r>
        <w:t xml:space="preserve">HCIS 1 cell CR4G5 is the most populated cell in Port Hedland, WA. It has a population of </w:t>
      </w:r>
      <w:r w:rsidR="00A33C39">
        <w:t>8,695</w:t>
      </w:r>
      <w:r>
        <w:t xml:space="preserve"> (average population per AWL cell is </w:t>
      </w:r>
      <w:r w:rsidR="00A33C39">
        <w:t>347.8</w:t>
      </w:r>
      <w:r>
        <w:t xml:space="preserve">). It falls within HCIS 2 cell CR4G, which has a population of </w:t>
      </w:r>
      <w:r w:rsidR="00D153F2">
        <w:t>15,283</w:t>
      </w:r>
      <w:r>
        <w:t>.</w:t>
      </w:r>
    </w:p>
    <w:p w14:paraId="3849795C" w14:textId="67554737" w:rsidR="00273596" w:rsidRDefault="00273596" w:rsidP="00955A40">
      <w:pPr>
        <w:pStyle w:val="Bulletlevel1last"/>
      </w:pPr>
      <w:r>
        <w:t>HCIS 1 cell LU7D6 is the most populated cell in Bourke, NSW. It has a population of 1,</w:t>
      </w:r>
      <w:r w:rsidR="00D153F2">
        <w:t>442</w:t>
      </w:r>
      <w:r>
        <w:t xml:space="preserve"> (average population per AWL cell is </w:t>
      </w:r>
      <w:r w:rsidR="00D153F2">
        <w:t>57.</w:t>
      </w:r>
      <w:r w:rsidR="000E7250">
        <w:t>68</w:t>
      </w:r>
      <w:r>
        <w:t xml:space="preserve">). It falls within HCIS 2 cell LU7D, which has a population of </w:t>
      </w:r>
      <w:r w:rsidR="000E7250">
        <w:t>1,555</w:t>
      </w:r>
      <w:r>
        <w:t>.</w:t>
      </w:r>
    </w:p>
    <w:p w14:paraId="4BD95FA0" w14:textId="2AC45F67" w:rsidR="006F52D9" w:rsidRDefault="000110C5" w:rsidP="000110C5">
      <w:pPr>
        <w:pStyle w:val="Paragraph"/>
      </w:pPr>
      <w:r>
        <w:t xml:space="preserve">Table </w:t>
      </w:r>
      <w:r w:rsidR="003F334E">
        <w:t>3</w:t>
      </w:r>
      <w:r>
        <w:t xml:space="preserve"> </w:t>
      </w:r>
      <w:r w:rsidR="006F52D9">
        <w:t xml:space="preserve">below </w:t>
      </w:r>
      <w:r>
        <w:t xml:space="preserve">details the potential annual taxes for the </w:t>
      </w:r>
      <w:r w:rsidR="00E47D89">
        <w:t xml:space="preserve">examples </w:t>
      </w:r>
      <w:r w:rsidR="00F021CF">
        <w:t>above</w:t>
      </w:r>
      <w:r>
        <w:t>, noting that the taxes are rounded to the nearest dollar and the minimum annual tax of $41.</w:t>
      </w:r>
      <w:r w:rsidR="00C21308">
        <w:t xml:space="preserve">37 </w:t>
      </w:r>
      <w:r w:rsidR="006F52D9">
        <w:br/>
      </w:r>
      <w:r>
        <w:t>also applies.</w:t>
      </w:r>
    </w:p>
    <w:p w14:paraId="521D9E77" w14:textId="77777777" w:rsidR="006F52D9" w:rsidRDefault="006F52D9">
      <w:pPr>
        <w:spacing w:after="0" w:line="240" w:lineRule="auto"/>
        <w:rPr>
          <w:rFonts w:cs="Arial"/>
        </w:rPr>
      </w:pPr>
      <w:r>
        <w:br w:type="page"/>
      </w:r>
    </w:p>
    <w:p w14:paraId="706BD282" w14:textId="77777777" w:rsidR="000110C5" w:rsidRDefault="000110C5" w:rsidP="000110C5">
      <w:pPr>
        <w:pStyle w:val="Paragraph"/>
      </w:pPr>
    </w:p>
    <w:p w14:paraId="6D365936" w14:textId="60482C33" w:rsidR="000110C5" w:rsidRDefault="000110C5" w:rsidP="000110C5">
      <w:pPr>
        <w:pStyle w:val="Tableheading"/>
      </w:pPr>
      <w:bookmarkStart w:id="29" w:name="_Ref46926480"/>
      <w:r>
        <w:t xml:space="preserve">$/MHz/pop annual apparatus licence taxes (using </w:t>
      </w:r>
      <w:r w:rsidR="00587354">
        <w:t>2</w:t>
      </w:r>
      <w:r w:rsidR="00A74168">
        <w:t>0</w:t>
      </w:r>
      <w:r w:rsidR="00587354">
        <w:t> </w:t>
      </w:r>
      <w:r>
        <w:t xml:space="preserve">MHz) in </w:t>
      </w:r>
      <w:bookmarkEnd w:id="29"/>
      <w:r w:rsidR="00587354">
        <w:t>various remote locations</w:t>
      </w:r>
    </w:p>
    <w:tbl>
      <w:tblPr>
        <w:tblW w:w="7220" w:type="dxa"/>
        <w:tblLook w:val="04A0" w:firstRow="1" w:lastRow="0" w:firstColumn="1" w:lastColumn="0" w:noHBand="0" w:noVBand="1"/>
      </w:tblPr>
      <w:tblGrid>
        <w:gridCol w:w="2300"/>
        <w:gridCol w:w="1740"/>
        <w:gridCol w:w="1620"/>
        <w:gridCol w:w="1560"/>
      </w:tblGrid>
      <w:tr w:rsidR="00E875D9" w:rsidRPr="0003343D" w14:paraId="6F806A01" w14:textId="77777777" w:rsidTr="009D2D25">
        <w:trPr>
          <w:trHeight w:val="300"/>
        </w:trPr>
        <w:tc>
          <w:tcPr>
            <w:tcW w:w="2300" w:type="dxa"/>
            <w:vMerge w:val="restart"/>
            <w:tcBorders>
              <w:top w:val="single" w:sz="8" w:space="0" w:color="auto"/>
              <w:left w:val="single" w:sz="8" w:space="0" w:color="auto"/>
              <w:bottom w:val="single" w:sz="8" w:space="0" w:color="auto"/>
              <w:right w:val="single" w:sz="8" w:space="0" w:color="auto"/>
            </w:tcBorders>
            <w:shd w:val="clear" w:color="000000" w:fill="404040"/>
            <w:vAlign w:val="center"/>
            <w:hideMark/>
          </w:tcPr>
          <w:p w14:paraId="0027E62A" w14:textId="77777777" w:rsidR="00E875D9" w:rsidRPr="0003343D" w:rsidRDefault="00E875D9" w:rsidP="009D2D25">
            <w:pPr>
              <w:spacing w:after="0" w:line="240" w:lineRule="auto"/>
              <w:rPr>
                <w:rFonts w:cs="Arial"/>
                <w:b/>
                <w:bCs/>
                <w:color w:val="FFFFFF"/>
                <w:szCs w:val="20"/>
              </w:rPr>
            </w:pPr>
            <w:r w:rsidRPr="0003343D">
              <w:rPr>
                <w:rFonts w:cs="Arial"/>
                <w:b/>
                <w:bCs/>
                <w:color w:val="FFFFFF"/>
                <w:szCs w:val="20"/>
              </w:rPr>
              <w:t>Price</w:t>
            </w:r>
            <w:r w:rsidRPr="0003343D">
              <w:rPr>
                <w:rFonts w:cs="Arial"/>
                <w:b/>
                <w:bCs/>
                <w:color w:val="FFFFFF"/>
                <w:szCs w:val="20"/>
              </w:rPr>
              <w:br/>
              <w:t>($0.0041/MHz/pop)</w:t>
            </w:r>
          </w:p>
        </w:tc>
        <w:tc>
          <w:tcPr>
            <w:tcW w:w="4920" w:type="dxa"/>
            <w:gridSpan w:val="3"/>
            <w:tcBorders>
              <w:top w:val="single" w:sz="8" w:space="0" w:color="auto"/>
              <w:left w:val="nil"/>
              <w:bottom w:val="single" w:sz="8" w:space="0" w:color="auto"/>
              <w:right w:val="single" w:sz="8" w:space="0" w:color="auto"/>
            </w:tcBorders>
            <w:shd w:val="clear" w:color="000000" w:fill="404040"/>
            <w:vAlign w:val="center"/>
            <w:hideMark/>
          </w:tcPr>
          <w:p w14:paraId="15B58372" w14:textId="77777777" w:rsidR="00E875D9" w:rsidRPr="0003343D" w:rsidRDefault="00E875D9" w:rsidP="009D2D25">
            <w:pPr>
              <w:spacing w:after="0" w:line="240" w:lineRule="auto"/>
              <w:jc w:val="center"/>
              <w:rPr>
                <w:rFonts w:cs="Arial"/>
                <w:b/>
                <w:bCs/>
                <w:color w:val="FFFFFF"/>
                <w:szCs w:val="20"/>
              </w:rPr>
            </w:pPr>
            <w:r w:rsidRPr="0003343D">
              <w:rPr>
                <w:rFonts w:cs="Arial"/>
                <w:b/>
                <w:bCs/>
                <w:color w:val="FFFFFF"/>
                <w:szCs w:val="20"/>
              </w:rPr>
              <w:t>HCIS 1 cell</w:t>
            </w:r>
          </w:p>
        </w:tc>
      </w:tr>
      <w:tr w:rsidR="00E875D9" w:rsidRPr="0003343D" w14:paraId="7451D881" w14:textId="77777777" w:rsidTr="009D2D25">
        <w:trPr>
          <w:trHeight w:val="790"/>
        </w:trPr>
        <w:tc>
          <w:tcPr>
            <w:tcW w:w="2300" w:type="dxa"/>
            <w:vMerge/>
            <w:tcBorders>
              <w:top w:val="single" w:sz="8" w:space="0" w:color="auto"/>
              <w:left w:val="single" w:sz="8" w:space="0" w:color="auto"/>
              <w:bottom w:val="single" w:sz="8" w:space="0" w:color="auto"/>
              <w:right w:val="single" w:sz="8" w:space="0" w:color="auto"/>
            </w:tcBorders>
            <w:vAlign w:val="center"/>
            <w:hideMark/>
          </w:tcPr>
          <w:p w14:paraId="2C6F9C69" w14:textId="77777777" w:rsidR="00E875D9" w:rsidRPr="0003343D" w:rsidRDefault="00E875D9" w:rsidP="009D2D25">
            <w:pPr>
              <w:spacing w:after="0" w:line="240" w:lineRule="auto"/>
              <w:rPr>
                <w:rFonts w:cs="Arial"/>
                <w:b/>
                <w:bCs/>
                <w:color w:val="FFFFFF"/>
                <w:szCs w:val="20"/>
              </w:rPr>
            </w:pPr>
          </w:p>
        </w:tc>
        <w:tc>
          <w:tcPr>
            <w:tcW w:w="1740" w:type="dxa"/>
            <w:tcBorders>
              <w:top w:val="nil"/>
              <w:left w:val="nil"/>
              <w:bottom w:val="single" w:sz="8" w:space="0" w:color="auto"/>
              <w:right w:val="single" w:sz="8" w:space="0" w:color="auto"/>
            </w:tcBorders>
            <w:shd w:val="clear" w:color="000000" w:fill="404040"/>
            <w:vAlign w:val="center"/>
            <w:hideMark/>
          </w:tcPr>
          <w:p w14:paraId="50D03159" w14:textId="77777777" w:rsidR="00E875D9" w:rsidRPr="0003343D" w:rsidRDefault="00E875D9" w:rsidP="009D2D25">
            <w:pPr>
              <w:spacing w:after="0" w:line="240" w:lineRule="auto"/>
              <w:jc w:val="center"/>
              <w:rPr>
                <w:rFonts w:cs="Arial"/>
                <w:b/>
                <w:bCs/>
                <w:color w:val="FFFFFF"/>
                <w:szCs w:val="20"/>
              </w:rPr>
            </w:pPr>
            <w:r w:rsidRPr="0003343D">
              <w:rPr>
                <w:rFonts w:cs="Arial"/>
                <w:b/>
                <w:bCs/>
                <w:color w:val="FFFFFF"/>
                <w:szCs w:val="20"/>
              </w:rPr>
              <w:t>HS4L8</w:t>
            </w:r>
            <w:r w:rsidRPr="0003343D">
              <w:rPr>
                <w:rFonts w:cs="Arial"/>
                <w:b/>
                <w:bCs/>
                <w:color w:val="FFFFFF"/>
                <w:szCs w:val="20"/>
              </w:rPr>
              <w:br/>
              <w:t>(Alice Springs)</w:t>
            </w:r>
          </w:p>
        </w:tc>
        <w:tc>
          <w:tcPr>
            <w:tcW w:w="1620" w:type="dxa"/>
            <w:tcBorders>
              <w:top w:val="nil"/>
              <w:left w:val="nil"/>
              <w:bottom w:val="single" w:sz="8" w:space="0" w:color="auto"/>
              <w:right w:val="single" w:sz="8" w:space="0" w:color="auto"/>
            </w:tcBorders>
            <w:shd w:val="clear" w:color="000000" w:fill="404040"/>
            <w:vAlign w:val="center"/>
            <w:hideMark/>
          </w:tcPr>
          <w:p w14:paraId="5E020EED" w14:textId="77777777" w:rsidR="00E875D9" w:rsidRPr="0003343D" w:rsidRDefault="00E875D9" w:rsidP="009D2D25">
            <w:pPr>
              <w:spacing w:after="0" w:line="240" w:lineRule="auto"/>
              <w:jc w:val="center"/>
              <w:rPr>
                <w:rFonts w:cs="Arial"/>
                <w:b/>
                <w:bCs/>
                <w:color w:val="FFFFFF"/>
                <w:szCs w:val="20"/>
              </w:rPr>
            </w:pPr>
            <w:r w:rsidRPr="0003343D">
              <w:rPr>
                <w:rFonts w:cs="Arial"/>
                <w:b/>
                <w:bCs/>
                <w:color w:val="FFFFFF"/>
                <w:szCs w:val="20"/>
              </w:rPr>
              <w:t>CR4G5</w:t>
            </w:r>
            <w:r w:rsidRPr="0003343D">
              <w:rPr>
                <w:rFonts w:cs="Arial"/>
                <w:b/>
                <w:bCs/>
                <w:color w:val="FFFFFF"/>
                <w:szCs w:val="20"/>
              </w:rPr>
              <w:br/>
              <w:t>(Port Hedland)</w:t>
            </w:r>
          </w:p>
        </w:tc>
        <w:tc>
          <w:tcPr>
            <w:tcW w:w="1560" w:type="dxa"/>
            <w:tcBorders>
              <w:top w:val="nil"/>
              <w:left w:val="nil"/>
              <w:bottom w:val="single" w:sz="8" w:space="0" w:color="auto"/>
              <w:right w:val="single" w:sz="8" w:space="0" w:color="auto"/>
            </w:tcBorders>
            <w:shd w:val="clear" w:color="000000" w:fill="404040"/>
            <w:vAlign w:val="center"/>
            <w:hideMark/>
          </w:tcPr>
          <w:p w14:paraId="10039402" w14:textId="77777777" w:rsidR="00E875D9" w:rsidRPr="0003343D" w:rsidRDefault="00E875D9" w:rsidP="009D2D25">
            <w:pPr>
              <w:spacing w:after="0" w:line="240" w:lineRule="auto"/>
              <w:jc w:val="center"/>
              <w:rPr>
                <w:rFonts w:cs="Arial"/>
                <w:b/>
                <w:bCs/>
                <w:color w:val="FFFFFF"/>
                <w:szCs w:val="20"/>
              </w:rPr>
            </w:pPr>
            <w:r w:rsidRPr="0003343D">
              <w:rPr>
                <w:rFonts w:cs="Arial"/>
                <w:b/>
                <w:bCs/>
                <w:color w:val="FFFFFF"/>
                <w:szCs w:val="20"/>
              </w:rPr>
              <w:t>LU7D6 (Bourke)</w:t>
            </w:r>
          </w:p>
        </w:tc>
      </w:tr>
      <w:tr w:rsidR="00E875D9" w:rsidRPr="0003343D" w14:paraId="537C654A" w14:textId="77777777" w:rsidTr="009D2D25">
        <w:trPr>
          <w:trHeight w:val="300"/>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02EBCD85" w14:textId="77777777" w:rsidR="00E875D9" w:rsidRPr="0003343D" w:rsidRDefault="00E875D9" w:rsidP="009D2D25">
            <w:pPr>
              <w:spacing w:after="0" w:line="240" w:lineRule="auto"/>
              <w:rPr>
                <w:rFonts w:cs="Arial"/>
                <w:color w:val="000000"/>
                <w:szCs w:val="20"/>
              </w:rPr>
            </w:pPr>
            <w:r w:rsidRPr="0003343D">
              <w:rPr>
                <w:rFonts w:cs="Arial"/>
                <w:color w:val="000000"/>
                <w:szCs w:val="20"/>
                <w:lang w:eastAsia="en-US"/>
              </w:rPr>
              <w:t xml:space="preserve">1 </w:t>
            </w:r>
            <w:r>
              <w:rPr>
                <w:rFonts w:cs="Arial"/>
                <w:color w:val="000000"/>
                <w:szCs w:val="20"/>
                <w:lang w:eastAsia="en-US"/>
              </w:rPr>
              <w:t xml:space="preserve">HCIS 0 </w:t>
            </w:r>
            <w:r w:rsidRPr="0003343D">
              <w:rPr>
                <w:rFonts w:cs="Arial"/>
                <w:color w:val="000000"/>
                <w:szCs w:val="20"/>
                <w:lang w:eastAsia="en-US"/>
              </w:rPr>
              <w:t>cell</w:t>
            </w:r>
          </w:p>
        </w:tc>
        <w:tc>
          <w:tcPr>
            <w:tcW w:w="1740" w:type="dxa"/>
            <w:tcBorders>
              <w:top w:val="nil"/>
              <w:left w:val="nil"/>
              <w:bottom w:val="single" w:sz="8" w:space="0" w:color="auto"/>
              <w:right w:val="single" w:sz="8" w:space="0" w:color="auto"/>
            </w:tcBorders>
            <w:shd w:val="clear" w:color="auto" w:fill="auto"/>
            <w:vAlign w:val="center"/>
            <w:hideMark/>
          </w:tcPr>
          <w:p w14:paraId="2B381626" w14:textId="502B7789" w:rsidR="00E875D9" w:rsidRPr="0003343D" w:rsidRDefault="00E875D9" w:rsidP="009D2D25">
            <w:pPr>
              <w:spacing w:after="0" w:line="240" w:lineRule="auto"/>
              <w:jc w:val="center"/>
              <w:rPr>
                <w:rFonts w:cs="Arial"/>
                <w:color w:val="000000"/>
                <w:szCs w:val="20"/>
              </w:rPr>
            </w:pPr>
            <w:r>
              <w:rPr>
                <w:rFonts w:cs="Arial"/>
                <w:color w:val="000000"/>
                <w:szCs w:val="20"/>
                <w:lang w:eastAsia="en-US"/>
              </w:rPr>
              <w:t>$</w:t>
            </w:r>
            <w:r w:rsidR="00C934BF">
              <w:rPr>
                <w:rFonts w:cs="Arial"/>
                <w:color w:val="000000"/>
                <w:szCs w:val="20"/>
                <w:lang w:eastAsia="en-US"/>
              </w:rPr>
              <w:t>75</w:t>
            </w:r>
          </w:p>
        </w:tc>
        <w:tc>
          <w:tcPr>
            <w:tcW w:w="1620" w:type="dxa"/>
            <w:tcBorders>
              <w:top w:val="nil"/>
              <w:left w:val="nil"/>
              <w:bottom w:val="single" w:sz="8" w:space="0" w:color="auto"/>
              <w:right w:val="single" w:sz="8" w:space="0" w:color="auto"/>
            </w:tcBorders>
            <w:shd w:val="clear" w:color="auto" w:fill="auto"/>
            <w:vAlign w:val="center"/>
            <w:hideMark/>
          </w:tcPr>
          <w:p w14:paraId="21B67771" w14:textId="2E95B423" w:rsidR="00E875D9" w:rsidRPr="0003343D" w:rsidRDefault="00E875D9" w:rsidP="009D2D25">
            <w:pPr>
              <w:spacing w:after="0" w:line="240" w:lineRule="auto"/>
              <w:jc w:val="center"/>
              <w:rPr>
                <w:rFonts w:cs="Arial"/>
                <w:color w:val="000000"/>
                <w:szCs w:val="20"/>
              </w:rPr>
            </w:pPr>
            <w:r>
              <w:rPr>
                <w:rFonts w:cs="Arial"/>
                <w:color w:val="000000"/>
                <w:szCs w:val="20"/>
              </w:rPr>
              <w:t>$41*</w:t>
            </w:r>
          </w:p>
        </w:tc>
        <w:tc>
          <w:tcPr>
            <w:tcW w:w="1560" w:type="dxa"/>
            <w:tcBorders>
              <w:top w:val="nil"/>
              <w:left w:val="nil"/>
              <w:bottom w:val="single" w:sz="8" w:space="0" w:color="auto"/>
              <w:right w:val="single" w:sz="8" w:space="0" w:color="auto"/>
            </w:tcBorders>
            <w:shd w:val="clear" w:color="auto" w:fill="auto"/>
            <w:vAlign w:val="center"/>
            <w:hideMark/>
          </w:tcPr>
          <w:p w14:paraId="7010E70A" w14:textId="402C75BC" w:rsidR="00E875D9" w:rsidRPr="0003343D" w:rsidRDefault="00E875D9" w:rsidP="009D2D25">
            <w:pPr>
              <w:spacing w:after="0" w:line="240" w:lineRule="auto"/>
              <w:jc w:val="center"/>
              <w:rPr>
                <w:rFonts w:cs="Arial"/>
                <w:color w:val="000000"/>
                <w:szCs w:val="20"/>
              </w:rPr>
            </w:pPr>
            <w:r>
              <w:rPr>
                <w:rFonts w:cs="Arial"/>
                <w:color w:val="000000"/>
                <w:szCs w:val="20"/>
              </w:rPr>
              <w:t>$41*</w:t>
            </w:r>
          </w:p>
        </w:tc>
      </w:tr>
      <w:tr w:rsidR="00E875D9" w:rsidRPr="0003343D" w14:paraId="1285856B" w14:textId="77777777" w:rsidTr="00E14FE1">
        <w:trPr>
          <w:trHeight w:val="300"/>
        </w:trPr>
        <w:tc>
          <w:tcPr>
            <w:tcW w:w="230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646AF0F" w14:textId="77777777" w:rsidR="00E875D9" w:rsidRPr="0003343D" w:rsidRDefault="00E875D9" w:rsidP="009D2D25">
            <w:pPr>
              <w:spacing w:after="0" w:line="240" w:lineRule="auto"/>
              <w:rPr>
                <w:rFonts w:cs="Arial"/>
                <w:color w:val="000000"/>
                <w:szCs w:val="20"/>
              </w:rPr>
            </w:pPr>
            <w:r w:rsidRPr="0003343D">
              <w:rPr>
                <w:rFonts w:cs="Arial"/>
                <w:color w:val="000000"/>
                <w:szCs w:val="20"/>
                <w:lang w:eastAsia="en-US"/>
              </w:rPr>
              <w:t xml:space="preserve">4 </w:t>
            </w:r>
            <w:r>
              <w:rPr>
                <w:rFonts w:cs="Arial"/>
                <w:color w:val="000000"/>
                <w:szCs w:val="20"/>
                <w:lang w:eastAsia="en-US"/>
              </w:rPr>
              <w:t xml:space="preserve">HCIS 0 </w:t>
            </w:r>
            <w:r w:rsidRPr="0003343D">
              <w:rPr>
                <w:rFonts w:cs="Arial"/>
                <w:color w:val="000000"/>
                <w:szCs w:val="20"/>
                <w:lang w:eastAsia="en-US"/>
              </w:rPr>
              <w:t>cells</w:t>
            </w:r>
          </w:p>
        </w:tc>
        <w:tc>
          <w:tcPr>
            <w:tcW w:w="1740" w:type="dxa"/>
            <w:tcBorders>
              <w:top w:val="nil"/>
              <w:left w:val="nil"/>
              <w:bottom w:val="single" w:sz="8" w:space="0" w:color="auto"/>
              <w:right w:val="single" w:sz="8" w:space="0" w:color="auto"/>
            </w:tcBorders>
            <w:shd w:val="clear" w:color="auto" w:fill="F2F2F2" w:themeFill="background1" w:themeFillShade="F2"/>
            <w:vAlign w:val="center"/>
            <w:hideMark/>
          </w:tcPr>
          <w:p w14:paraId="40B6B0DC" w14:textId="04AD9108" w:rsidR="00E875D9" w:rsidRPr="0003343D" w:rsidRDefault="00E875D9" w:rsidP="009D2D25">
            <w:pPr>
              <w:spacing w:after="0" w:line="240" w:lineRule="auto"/>
              <w:jc w:val="center"/>
              <w:rPr>
                <w:rFonts w:cs="Arial"/>
                <w:color w:val="000000"/>
                <w:szCs w:val="20"/>
              </w:rPr>
            </w:pPr>
            <w:r>
              <w:rPr>
                <w:rFonts w:cs="Arial"/>
                <w:color w:val="000000"/>
                <w:szCs w:val="20"/>
              </w:rPr>
              <w:t>$</w:t>
            </w:r>
            <w:r w:rsidR="00C934BF">
              <w:rPr>
                <w:rFonts w:cs="Arial"/>
                <w:color w:val="000000"/>
                <w:szCs w:val="20"/>
              </w:rPr>
              <w:t>301</w:t>
            </w:r>
          </w:p>
        </w:tc>
        <w:tc>
          <w:tcPr>
            <w:tcW w:w="1620" w:type="dxa"/>
            <w:tcBorders>
              <w:top w:val="nil"/>
              <w:left w:val="nil"/>
              <w:bottom w:val="single" w:sz="8" w:space="0" w:color="auto"/>
              <w:right w:val="single" w:sz="8" w:space="0" w:color="auto"/>
            </w:tcBorders>
            <w:shd w:val="clear" w:color="auto" w:fill="F2F2F2" w:themeFill="background1" w:themeFillShade="F2"/>
            <w:vAlign w:val="center"/>
            <w:hideMark/>
          </w:tcPr>
          <w:p w14:paraId="3BABBCAB" w14:textId="11A18A52" w:rsidR="00E875D9" w:rsidRPr="0003343D" w:rsidRDefault="00E875D9" w:rsidP="009D2D25">
            <w:pPr>
              <w:spacing w:after="0" w:line="240" w:lineRule="auto"/>
              <w:jc w:val="center"/>
              <w:rPr>
                <w:rFonts w:cs="Arial"/>
                <w:color w:val="000000"/>
                <w:szCs w:val="20"/>
              </w:rPr>
            </w:pPr>
            <w:r>
              <w:rPr>
                <w:rFonts w:cs="Arial"/>
                <w:color w:val="000000"/>
                <w:szCs w:val="20"/>
              </w:rPr>
              <w:t>$</w:t>
            </w:r>
            <w:r w:rsidR="00C934BF">
              <w:rPr>
                <w:rFonts w:cs="Arial"/>
                <w:color w:val="000000"/>
                <w:szCs w:val="20"/>
              </w:rPr>
              <w:t>114</w:t>
            </w:r>
          </w:p>
        </w:tc>
        <w:tc>
          <w:tcPr>
            <w:tcW w:w="1560" w:type="dxa"/>
            <w:tcBorders>
              <w:top w:val="nil"/>
              <w:left w:val="nil"/>
              <w:bottom w:val="single" w:sz="8" w:space="0" w:color="auto"/>
              <w:right w:val="single" w:sz="8" w:space="0" w:color="auto"/>
            </w:tcBorders>
            <w:shd w:val="clear" w:color="auto" w:fill="F2F2F2" w:themeFill="background1" w:themeFillShade="F2"/>
            <w:vAlign w:val="center"/>
            <w:hideMark/>
          </w:tcPr>
          <w:p w14:paraId="4671B04E" w14:textId="7D4417EB" w:rsidR="00E875D9" w:rsidRPr="0003343D" w:rsidRDefault="00E875D9" w:rsidP="009D2D25">
            <w:pPr>
              <w:spacing w:after="0" w:line="240" w:lineRule="auto"/>
              <w:jc w:val="center"/>
              <w:rPr>
                <w:rFonts w:cs="Arial"/>
                <w:color w:val="000000"/>
                <w:szCs w:val="20"/>
              </w:rPr>
            </w:pPr>
            <w:r>
              <w:rPr>
                <w:rFonts w:cs="Arial"/>
                <w:color w:val="000000"/>
                <w:szCs w:val="20"/>
              </w:rPr>
              <w:t>$41*</w:t>
            </w:r>
          </w:p>
        </w:tc>
      </w:tr>
      <w:tr w:rsidR="00E875D9" w:rsidRPr="0003343D" w14:paraId="6C2850A1" w14:textId="77777777" w:rsidTr="009D2D25">
        <w:trPr>
          <w:trHeight w:val="300"/>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14:paraId="275C0E9F" w14:textId="77777777" w:rsidR="00E875D9" w:rsidRPr="0003343D" w:rsidRDefault="00E875D9" w:rsidP="009D2D25">
            <w:pPr>
              <w:spacing w:after="0" w:line="240" w:lineRule="auto"/>
              <w:rPr>
                <w:rFonts w:cs="Arial"/>
                <w:color w:val="000000"/>
                <w:szCs w:val="20"/>
              </w:rPr>
            </w:pPr>
            <w:r w:rsidRPr="0003343D">
              <w:rPr>
                <w:rFonts w:cs="Arial"/>
                <w:color w:val="000000"/>
                <w:szCs w:val="20"/>
                <w:lang w:eastAsia="en-US"/>
              </w:rPr>
              <w:t>1 HCIS 1 block</w:t>
            </w:r>
            <w:r>
              <w:rPr>
                <w:rFonts w:cs="Arial"/>
                <w:color w:val="000000"/>
                <w:szCs w:val="20"/>
                <w:lang w:eastAsia="en-US"/>
              </w:rPr>
              <w:t xml:space="preserve"> (equivalent to 25 AWL cells)</w:t>
            </w:r>
          </w:p>
        </w:tc>
        <w:tc>
          <w:tcPr>
            <w:tcW w:w="1740" w:type="dxa"/>
            <w:tcBorders>
              <w:top w:val="nil"/>
              <w:left w:val="nil"/>
              <w:bottom w:val="single" w:sz="8" w:space="0" w:color="auto"/>
              <w:right w:val="single" w:sz="8" w:space="0" w:color="auto"/>
            </w:tcBorders>
            <w:shd w:val="clear" w:color="auto" w:fill="auto"/>
            <w:vAlign w:val="center"/>
            <w:hideMark/>
          </w:tcPr>
          <w:p w14:paraId="11A9BECF" w14:textId="3856920D" w:rsidR="00E875D9" w:rsidRPr="0003343D" w:rsidRDefault="00E875D9" w:rsidP="009D2D25">
            <w:pPr>
              <w:spacing w:after="0" w:line="240" w:lineRule="auto"/>
              <w:jc w:val="center"/>
              <w:rPr>
                <w:rFonts w:cs="Arial"/>
                <w:color w:val="000000"/>
                <w:szCs w:val="20"/>
              </w:rPr>
            </w:pPr>
            <w:r>
              <w:rPr>
                <w:rFonts w:cs="Arial"/>
                <w:color w:val="000000"/>
                <w:szCs w:val="20"/>
                <w:lang w:eastAsia="en-US"/>
              </w:rPr>
              <w:t>$1,</w:t>
            </w:r>
            <w:r w:rsidR="00C934BF">
              <w:rPr>
                <w:rFonts w:cs="Arial"/>
                <w:color w:val="000000"/>
                <w:szCs w:val="20"/>
                <w:lang w:eastAsia="en-US"/>
              </w:rPr>
              <w:t>883</w:t>
            </w:r>
          </w:p>
        </w:tc>
        <w:tc>
          <w:tcPr>
            <w:tcW w:w="1620" w:type="dxa"/>
            <w:tcBorders>
              <w:top w:val="nil"/>
              <w:left w:val="nil"/>
              <w:bottom w:val="single" w:sz="8" w:space="0" w:color="auto"/>
              <w:right w:val="single" w:sz="8" w:space="0" w:color="auto"/>
            </w:tcBorders>
            <w:shd w:val="clear" w:color="auto" w:fill="auto"/>
            <w:vAlign w:val="center"/>
            <w:hideMark/>
          </w:tcPr>
          <w:p w14:paraId="3809C4E5" w14:textId="6C2DC3FA" w:rsidR="00E875D9" w:rsidRPr="0003343D" w:rsidRDefault="00E875D9" w:rsidP="009D2D25">
            <w:pPr>
              <w:spacing w:after="0" w:line="240" w:lineRule="auto"/>
              <w:jc w:val="center"/>
              <w:rPr>
                <w:rFonts w:cs="Arial"/>
                <w:color w:val="000000"/>
                <w:szCs w:val="20"/>
              </w:rPr>
            </w:pPr>
            <w:r>
              <w:rPr>
                <w:rFonts w:cs="Arial"/>
                <w:color w:val="000000"/>
                <w:szCs w:val="20"/>
              </w:rPr>
              <w:t>$</w:t>
            </w:r>
            <w:r w:rsidR="00C934BF">
              <w:rPr>
                <w:rFonts w:cs="Arial"/>
                <w:color w:val="000000"/>
                <w:szCs w:val="20"/>
              </w:rPr>
              <w:t>713</w:t>
            </w:r>
          </w:p>
        </w:tc>
        <w:tc>
          <w:tcPr>
            <w:tcW w:w="1560" w:type="dxa"/>
            <w:tcBorders>
              <w:top w:val="nil"/>
              <w:left w:val="nil"/>
              <w:bottom w:val="single" w:sz="8" w:space="0" w:color="auto"/>
              <w:right w:val="single" w:sz="8" w:space="0" w:color="auto"/>
            </w:tcBorders>
            <w:shd w:val="clear" w:color="auto" w:fill="auto"/>
            <w:vAlign w:val="center"/>
            <w:hideMark/>
          </w:tcPr>
          <w:p w14:paraId="69D359C9" w14:textId="32C4440F" w:rsidR="00E875D9" w:rsidRPr="0003343D" w:rsidRDefault="00E875D9" w:rsidP="009D2D25">
            <w:pPr>
              <w:spacing w:after="0" w:line="240" w:lineRule="auto"/>
              <w:jc w:val="center"/>
              <w:rPr>
                <w:rFonts w:cs="Arial"/>
                <w:color w:val="000000"/>
                <w:szCs w:val="20"/>
              </w:rPr>
            </w:pPr>
            <w:r>
              <w:rPr>
                <w:rFonts w:cs="Arial"/>
                <w:color w:val="000000"/>
                <w:szCs w:val="20"/>
              </w:rPr>
              <w:t>$</w:t>
            </w:r>
            <w:r w:rsidR="00C934BF">
              <w:rPr>
                <w:rFonts w:cs="Arial"/>
                <w:color w:val="000000"/>
                <w:szCs w:val="20"/>
              </w:rPr>
              <w:t>118</w:t>
            </w:r>
          </w:p>
        </w:tc>
      </w:tr>
      <w:tr w:rsidR="00E875D9" w:rsidRPr="0003343D" w14:paraId="5975956B" w14:textId="77777777" w:rsidTr="00E14FE1">
        <w:trPr>
          <w:trHeight w:val="300"/>
        </w:trPr>
        <w:tc>
          <w:tcPr>
            <w:tcW w:w="230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1AA1DCF" w14:textId="77777777" w:rsidR="00E875D9" w:rsidRPr="0003343D" w:rsidRDefault="00E875D9" w:rsidP="009D2D25">
            <w:pPr>
              <w:spacing w:after="0" w:line="240" w:lineRule="auto"/>
              <w:rPr>
                <w:rFonts w:cs="Arial"/>
                <w:color w:val="000000"/>
                <w:szCs w:val="20"/>
              </w:rPr>
            </w:pPr>
            <w:r w:rsidRPr="0003343D">
              <w:rPr>
                <w:rFonts w:cs="Arial"/>
                <w:color w:val="000000"/>
                <w:szCs w:val="20"/>
                <w:lang w:eastAsia="en-US"/>
              </w:rPr>
              <w:t>1 HCIS 2 block</w:t>
            </w:r>
            <w:r>
              <w:rPr>
                <w:rFonts w:cs="Arial"/>
                <w:color w:val="000000"/>
                <w:szCs w:val="20"/>
                <w:lang w:eastAsia="en-US"/>
              </w:rPr>
              <w:t>** (equivalent to 225 AWL cells)</w:t>
            </w:r>
          </w:p>
        </w:tc>
        <w:tc>
          <w:tcPr>
            <w:tcW w:w="1740" w:type="dxa"/>
            <w:tcBorders>
              <w:top w:val="nil"/>
              <w:left w:val="nil"/>
              <w:bottom w:val="single" w:sz="8" w:space="0" w:color="auto"/>
              <w:right w:val="single" w:sz="8" w:space="0" w:color="auto"/>
            </w:tcBorders>
            <w:shd w:val="clear" w:color="auto" w:fill="F2F2F2" w:themeFill="background1" w:themeFillShade="F2"/>
            <w:vAlign w:val="center"/>
            <w:hideMark/>
          </w:tcPr>
          <w:p w14:paraId="564668A3" w14:textId="2E73BF34" w:rsidR="00E875D9" w:rsidRPr="0003343D" w:rsidRDefault="00E875D9" w:rsidP="009D2D25">
            <w:pPr>
              <w:spacing w:after="0" w:line="240" w:lineRule="auto"/>
              <w:jc w:val="center"/>
              <w:rPr>
                <w:rFonts w:cs="Arial"/>
                <w:color w:val="000000"/>
                <w:szCs w:val="20"/>
              </w:rPr>
            </w:pPr>
            <w:r>
              <w:rPr>
                <w:rFonts w:cs="Arial"/>
                <w:color w:val="000000"/>
                <w:szCs w:val="20"/>
              </w:rPr>
              <w:t>$1,</w:t>
            </w:r>
            <w:r w:rsidR="00C934BF">
              <w:rPr>
                <w:rFonts w:cs="Arial"/>
                <w:color w:val="000000"/>
                <w:szCs w:val="20"/>
              </w:rPr>
              <w:t>986</w:t>
            </w:r>
          </w:p>
        </w:tc>
        <w:tc>
          <w:tcPr>
            <w:tcW w:w="1620" w:type="dxa"/>
            <w:tcBorders>
              <w:top w:val="nil"/>
              <w:left w:val="nil"/>
              <w:bottom w:val="single" w:sz="8" w:space="0" w:color="auto"/>
              <w:right w:val="single" w:sz="8" w:space="0" w:color="auto"/>
            </w:tcBorders>
            <w:shd w:val="clear" w:color="auto" w:fill="F2F2F2" w:themeFill="background1" w:themeFillShade="F2"/>
            <w:vAlign w:val="center"/>
            <w:hideMark/>
          </w:tcPr>
          <w:p w14:paraId="66291845" w14:textId="297AF9DF" w:rsidR="00E875D9" w:rsidRPr="0003343D" w:rsidRDefault="00E875D9" w:rsidP="009D2D25">
            <w:pPr>
              <w:spacing w:after="0" w:line="240" w:lineRule="auto"/>
              <w:jc w:val="center"/>
              <w:rPr>
                <w:rFonts w:cs="Arial"/>
                <w:color w:val="000000"/>
                <w:szCs w:val="20"/>
              </w:rPr>
            </w:pPr>
            <w:r>
              <w:rPr>
                <w:rFonts w:cs="Arial"/>
                <w:color w:val="000000"/>
                <w:szCs w:val="20"/>
                <w:lang w:eastAsia="en-US"/>
              </w:rPr>
              <w:t>$1,</w:t>
            </w:r>
            <w:r w:rsidR="00C934BF">
              <w:rPr>
                <w:rFonts w:cs="Arial"/>
                <w:color w:val="000000"/>
                <w:szCs w:val="20"/>
                <w:lang w:eastAsia="en-US"/>
              </w:rPr>
              <w:t>253</w:t>
            </w:r>
          </w:p>
        </w:tc>
        <w:tc>
          <w:tcPr>
            <w:tcW w:w="1560" w:type="dxa"/>
            <w:tcBorders>
              <w:top w:val="nil"/>
              <w:left w:val="nil"/>
              <w:bottom w:val="single" w:sz="8" w:space="0" w:color="auto"/>
              <w:right w:val="single" w:sz="8" w:space="0" w:color="auto"/>
            </w:tcBorders>
            <w:shd w:val="clear" w:color="auto" w:fill="F2F2F2" w:themeFill="background1" w:themeFillShade="F2"/>
            <w:vAlign w:val="center"/>
            <w:hideMark/>
          </w:tcPr>
          <w:p w14:paraId="5194EDDA" w14:textId="6DD09A87" w:rsidR="00E875D9" w:rsidRPr="0003343D" w:rsidRDefault="00E875D9" w:rsidP="009D2D25">
            <w:pPr>
              <w:spacing w:after="0" w:line="240" w:lineRule="auto"/>
              <w:jc w:val="center"/>
              <w:rPr>
                <w:rFonts w:cs="Arial"/>
                <w:color w:val="000000"/>
                <w:szCs w:val="20"/>
              </w:rPr>
            </w:pPr>
            <w:r>
              <w:rPr>
                <w:rFonts w:cs="Arial"/>
                <w:color w:val="000000"/>
                <w:szCs w:val="20"/>
              </w:rPr>
              <w:t>$</w:t>
            </w:r>
            <w:r w:rsidR="00C934BF">
              <w:rPr>
                <w:rFonts w:cs="Arial"/>
                <w:color w:val="000000"/>
                <w:szCs w:val="20"/>
              </w:rPr>
              <w:t>128</w:t>
            </w:r>
          </w:p>
        </w:tc>
      </w:tr>
    </w:tbl>
    <w:p w14:paraId="6E4E052B" w14:textId="4615DD62" w:rsidR="005723AD" w:rsidRPr="005A2871" w:rsidRDefault="005723AD" w:rsidP="005723AD">
      <w:pPr>
        <w:pStyle w:val="Tableorfigurenote"/>
      </w:pPr>
      <w:r w:rsidRPr="005A2871">
        <w:t>*</w:t>
      </w:r>
      <w:r>
        <w:t xml:space="preserve"> </w:t>
      </w:r>
      <w:r w:rsidRPr="005A2871">
        <w:t xml:space="preserve">Tax amounts </w:t>
      </w:r>
      <w:r>
        <w:t>were lower than $41.37 minimum tax, causing the minimum tax to be applied (rounded to the nearest dollar). The calculated amounts were $</w:t>
      </w:r>
      <w:r w:rsidR="00EC0DD8">
        <w:t>28.52</w:t>
      </w:r>
      <w:r>
        <w:t xml:space="preserve"> </w:t>
      </w:r>
      <w:r w:rsidRPr="005A2871">
        <w:t xml:space="preserve">for </w:t>
      </w:r>
      <w:r>
        <w:t>one cell</w:t>
      </w:r>
      <w:r w:rsidRPr="005A2871">
        <w:t xml:space="preserve"> in </w:t>
      </w:r>
      <w:r>
        <w:t>Port Hedland, $</w:t>
      </w:r>
      <w:r w:rsidR="00EC0DD8">
        <w:t>4.73</w:t>
      </w:r>
      <w:r>
        <w:t xml:space="preserve"> for one cell in Bourke,</w:t>
      </w:r>
      <w:r w:rsidRPr="005A2871">
        <w:t xml:space="preserve"> a</w:t>
      </w:r>
      <w:r>
        <w:t>nd</w:t>
      </w:r>
      <w:r w:rsidRPr="005A2871">
        <w:t xml:space="preserve"> $</w:t>
      </w:r>
      <w:r w:rsidR="00EC0DD8">
        <w:t>18.92</w:t>
      </w:r>
      <w:r>
        <w:t xml:space="preserve"> for 4 cells in Bourke.</w:t>
      </w:r>
      <w:r>
        <w:br/>
        <w:t xml:space="preserve">** Tax amounts based on population of the HCIS 2 cell within which the HCIS 1 cell is located – i.e., HS4L for Alice Springs (pop: </w:t>
      </w:r>
      <w:r w:rsidR="00040F78">
        <w:t>24,</w:t>
      </w:r>
      <w:r w:rsidR="007757B4">
        <w:t>220</w:t>
      </w:r>
      <w:r>
        <w:t xml:space="preserve">), CR4G for Port Hedland (pop: </w:t>
      </w:r>
      <w:r w:rsidR="00FB075E">
        <w:t>15,283</w:t>
      </w:r>
      <w:r>
        <w:t xml:space="preserve">) and LU7D for Bourke (pop: </w:t>
      </w:r>
      <w:r w:rsidR="00FB075E">
        <w:t>1,555</w:t>
      </w:r>
      <w:r>
        <w:t xml:space="preserve">). </w:t>
      </w:r>
    </w:p>
    <w:p w14:paraId="5A044702" w14:textId="453569DC" w:rsidR="000110C5" w:rsidRDefault="000110C5" w:rsidP="000110C5">
      <w:pPr>
        <w:pStyle w:val="Paragraph"/>
      </w:pPr>
      <w:r>
        <w:t xml:space="preserve">Population information for the HCIS system can be found on the </w:t>
      </w:r>
      <w:hyperlink r:id="rId47" w:history="1">
        <w:r w:rsidRPr="00E14FE1">
          <w:rPr>
            <w:rStyle w:val="Hyperlink"/>
          </w:rPr>
          <w:t>ACMA website</w:t>
        </w:r>
      </w:hyperlink>
      <w:r>
        <w:t>.</w:t>
      </w:r>
    </w:p>
    <w:p w14:paraId="71250199" w14:textId="5DF54DAA" w:rsidR="000110C5" w:rsidRDefault="000110C5" w:rsidP="000110C5">
      <w:pPr>
        <w:pStyle w:val="Paragraph"/>
      </w:pPr>
      <w:r>
        <w:t xml:space="preserve">We have </w:t>
      </w:r>
      <w:r w:rsidRPr="007F3E41">
        <w:t xml:space="preserve">developed </w:t>
      </w:r>
      <w:r w:rsidRPr="0027750D">
        <w:t xml:space="preserve">a </w:t>
      </w:r>
      <w:hyperlink r:id="rId48" w:history="1">
        <w:r w:rsidR="00134D53" w:rsidRPr="004F769F">
          <w:rPr>
            <w:rStyle w:val="Hyperlink"/>
          </w:rPr>
          <w:t>fee calculator</w:t>
        </w:r>
      </w:hyperlink>
      <w:r w:rsidR="00134D53">
        <w:t xml:space="preserve"> </w:t>
      </w:r>
      <w:r>
        <w:t>(available alongside this pack on the ACMA website) to help applicants work out how much tax must be paid for the combination of spectrum and geographic area wanted.</w:t>
      </w:r>
      <w:r w:rsidR="00563382" w:rsidRPr="00563382">
        <w:rPr>
          <w:sz w:val="22"/>
          <w:szCs w:val="22"/>
        </w:rPr>
        <w:t xml:space="preserve"> </w:t>
      </w:r>
    </w:p>
    <w:p w14:paraId="33BB3DAC" w14:textId="77777777" w:rsidR="000110C5" w:rsidRPr="005351E4" w:rsidRDefault="000110C5" w:rsidP="00E14FE1">
      <w:pPr>
        <w:pStyle w:val="Heading4"/>
      </w:pPr>
      <w:bookmarkStart w:id="30" w:name="_Toc137726606"/>
      <w:r w:rsidRPr="005351E4">
        <w:t>Payment of tax</w:t>
      </w:r>
      <w:bookmarkEnd w:id="30"/>
    </w:p>
    <w:p w14:paraId="0FB4165F" w14:textId="13828C36" w:rsidR="00DB3ED9" w:rsidRDefault="000110C5" w:rsidP="00DB3ED9">
      <w:r>
        <w:t xml:space="preserve">Apparatus licence tax is payable </w:t>
      </w:r>
      <w:r w:rsidR="009A7B3C">
        <w:t>on issue of a</w:t>
      </w:r>
      <w:r>
        <w:t xml:space="preserve"> licence. If the licence duration is more than one year, the annual amount for each year can be paid upfront</w:t>
      </w:r>
      <w:r w:rsidR="00632F24">
        <w:t xml:space="preserve"> on application for the licence, as a lump sum</w:t>
      </w:r>
      <w:r>
        <w:t xml:space="preserve">. Alternatively, the tax amount can be paid by annual instalments, </w:t>
      </w:r>
      <w:r w:rsidR="00632F24">
        <w:t xml:space="preserve">with the first instalment usually being paid on application for the licence, </w:t>
      </w:r>
      <w:r>
        <w:t>but the instalment amounts may differ each year due to any changes to taxation that may occur due to pricing reviews.</w:t>
      </w:r>
      <w:r w:rsidR="00DB3ED9" w:rsidRPr="00DB3ED9">
        <w:t xml:space="preserve"> </w:t>
      </w:r>
    </w:p>
    <w:p w14:paraId="10ED46D4" w14:textId="77777777" w:rsidR="000110C5" w:rsidRDefault="000110C5" w:rsidP="00626969">
      <w:pPr>
        <w:pStyle w:val="Heading3"/>
      </w:pPr>
      <w:bookmarkStart w:id="31" w:name="_Toc137726607"/>
      <w:r>
        <w:t>Charges</w:t>
      </w:r>
      <w:bookmarkEnd w:id="31"/>
    </w:p>
    <w:p w14:paraId="79C2E60A" w14:textId="7E6E0215" w:rsidR="000110C5" w:rsidRPr="00BD4495" w:rsidRDefault="000110C5" w:rsidP="00DB3ED9">
      <w:r>
        <w:t>A cost-recovery charge is payable for considering an application for the issue of an apparatus licence. This charge is payable whether or not the application results in the issue of a licence. The charge recovers the direct costs of the ACMA spectrum management activities</w:t>
      </w:r>
      <w:r w:rsidR="00382B93">
        <w:t xml:space="preserve"> in considering the application</w:t>
      </w:r>
      <w:r>
        <w:t xml:space="preserve">. Different charges are applicable to different types of apparatus licence. </w:t>
      </w:r>
      <w:r w:rsidR="00382B93">
        <w:t>A base charge of $847 applies for AWLs; an additional amount may apply if the application for the AWL needs to be assessed against one or more other applications (</w:t>
      </w:r>
      <w:r w:rsidR="00B00815">
        <w:t>i.e.</w:t>
      </w:r>
      <w:r w:rsidR="00382B93">
        <w:t>, there are multiple applications for the same spectrum in the same area).</w:t>
      </w:r>
    </w:p>
    <w:p w14:paraId="7D665001" w14:textId="24E4D99D" w:rsidR="00BE5292" w:rsidRDefault="00864C45" w:rsidP="005E2F05">
      <w:pPr>
        <w:pStyle w:val="Heading1"/>
      </w:pPr>
      <w:bookmarkStart w:id="32" w:name="_Allocation_limits"/>
      <w:bookmarkStart w:id="33" w:name="_Toc137726608"/>
      <w:bookmarkEnd w:id="10"/>
      <w:bookmarkEnd w:id="11"/>
      <w:bookmarkEnd w:id="32"/>
      <w:r>
        <w:t>3.</w:t>
      </w:r>
      <w:r>
        <w:tab/>
      </w:r>
      <w:bookmarkStart w:id="34" w:name="_Toc45872450"/>
      <w:r w:rsidR="00ED5BE5">
        <w:t>Allocation process</w:t>
      </w:r>
      <w:bookmarkEnd w:id="33"/>
      <w:bookmarkEnd w:id="34"/>
      <w:r w:rsidR="00BE5292">
        <w:t xml:space="preserve"> </w:t>
      </w:r>
    </w:p>
    <w:p w14:paraId="3DD07748" w14:textId="2DB7D2A7" w:rsidR="00B53C65" w:rsidRDefault="007F13E1" w:rsidP="007F13E1">
      <w:pPr>
        <w:ind w:left="11"/>
      </w:pPr>
      <w:r w:rsidRPr="00E96933">
        <w:rPr>
          <w:rFonts w:cs="Arial"/>
          <w:szCs w:val="20"/>
        </w:rPr>
        <w:t xml:space="preserve">The ACMA </w:t>
      </w:r>
      <w:r>
        <w:rPr>
          <w:rFonts w:cs="Arial"/>
          <w:szCs w:val="20"/>
        </w:rPr>
        <w:t>will</w:t>
      </w:r>
      <w:r w:rsidRPr="00E96933">
        <w:rPr>
          <w:rFonts w:cs="Arial"/>
          <w:szCs w:val="20"/>
        </w:rPr>
        <w:t xml:space="preserve"> </w:t>
      </w:r>
      <w:r w:rsidR="00F76EF8">
        <w:rPr>
          <w:rFonts w:cs="Arial"/>
          <w:szCs w:val="20"/>
        </w:rPr>
        <w:t xml:space="preserve">commence </w:t>
      </w:r>
      <w:r w:rsidR="00192FF1">
        <w:rPr>
          <w:rFonts w:cs="Arial"/>
          <w:szCs w:val="20"/>
        </w:rPr>
        <w:t xml:space="preserve">the </w:t>
      </w:r>
      <w:r w:rsidR="00572041">
        <w:rPr>
          <w:rFonts w:cs="Arial"/>
          <w:szCs w:val="20"/>
        </w:rPr>
        <w:t xml:space="preserve">initial </w:t>
      </w:r>
      <w:r w:rsidR="00192FF1">
        <w:rPr>
          <w:rFonts w:cs="Arial"/>
          <w:szCs w:val="20"/>
        </w:rPr>
        <w:t>allocation process for</w:t>
      </w:r>
      <w:r w:rsidRPr="00E96933">
        <w:rPr>
          <w:rFonts w:cs="Arial"/>
          <w:szCs w:val="20"/>
        </w:rPr>
        <w:t xml:space="preserve"> </w:t>
      </w:r>
      <w:r w:rsidR="00382B93">
        <w:rPr>
          <w:rFonts w:cs="Arial"/>
          <w:szCs w:val="20"/>
        </w:rPr>
        <w:t>AWLs</w:t>
      </w:r>
      <w:r w:rsidRPr="00E96933">
        <w:rPr>
          <w:rFonts w:cs="Arial"/>
          <w:szCs w:val="20"/>
        </w:rPr>
        <w:t xml:space="preserve"> in</w:t>
      </w:r>
      <w:r w:rsidR="00382B93">
        <w:rPr>
          <w:rFonts w:cs="Arial"/>
          <w:szCs w:val="20"/>
        </w:rPr>
        <w:t xml:space="preserve"> the</w:t>
      </w:r>
      <w:r w:rsidRPr="00E96933">
        <w:rPr>
          <w:rFonts w:cs="Arial"/>
          <w:szCs w:val="20"/>
        </w:rPr>
        <w:t xml:space="preserve"> </w:t>
      </w:r>
      <w:r>
        <w:rPr>
          <w:rFonts w:cs="Arial"/>
          <w:szCs w:val="20"/>
        </w:rPr>
        <w:t xml:space="preserve">3.4–4.0 GHz </w:t>
      </w:r>
      <w:r w:rsidR="00382B93">
        <w:rPr>
          <w:rFonts w:cs="Arial"/>
          <w:szCs w:val="20"/>
        </w:rPr>
        <w:t xml:space="preserve">band </w:t>
      </w:r>
      <w:r w:rsidRPr="00E96933">
        <w:rPr>
          <w:rFonts w:cs="Arial"/>
          <w:szCs w:val="20"/>
        </w:rPr>
        <w:t xml:space="preserve">in remote areas </w:t>
      </w:r>
      <w:r w:rsidR="00602775">
        <w:rPr>
          <w:rFonts w:cs="Arial"/>
          <w:szCs w:val="20"/>
        </w:rPr>
        <w:t>at the end of Q</w:t>
      </w:r>
      <w:r w:rsidR="008F3476">
        <w:rPr>
          <w:rFonts w:cs="Arial"/>
          <w:szCs w:val="20"/>
        </w:rPr>
        <w:t>2</w:t>
      </w:r>
      <w:r w:rsidR="00602775">
        <w:rPr>
          <w:rFonts w:cs="Arial"/>
          <w:szCs w:val="20"/>
        </w:rPr>
        <w:t xml:space="preserve"> </w:t>
      </w:r>
      <w:r w:rsidR="008B6281" w:rsidRPr="00E96933">
        <w:rPr>
          <w:rFonts w:cs="Arial"/>
          <w:szCs w:val="20"/>
        </w:rPr>
        <w:t>202</w:t>
      </w:r>
      <w:r w:rsidR="008B6281">
        <w:rPr>
          <w:rFonts w:cs="Arial"/>
          <w:szCs w:val="20"/>
        </w:rPr>
        <w:t>3</w:t>
      </w:r>
      <w:r w:rsidRPr="00E96933">
        <w:rPr>
          <w:rFonts w:cs="Arial"/>
          <w:szCs w:val="20"/>
        </w:rPr>
        <w:t xml:space="preserve">. </w:t>
      </w:r>
      <w:r w:rsidR="00EA3A52">
        <w:rPr>
          <w:rFonts w:cs="Arial"/>
          <w:szCs w:val="20"/>
        </w:rPr>
        <w:t xml:space="preserve">This initial </w:t>
      </w:r>
      <w:r w:rsidR="00B53C65">
        <w:t>process for all applications received during the application window</w:t>
      </w:r>
      <w:r w:rsidR="00EA3A52">
        <w:t xml:space="preserve"> will be completed</w:t>
      </w:r>
      <w:r w:rsidR="00B53C65">
        <w:t xml:space="preserve"> </w:t>
      </w:r>
      <w:r w:rsidR="00EA3A52">
        <w:t xml:space="preserve">once </w:t>
      </w:r>
      <w:r w:rsidR="00B53C65">
        <w:t xml:space="preserve">licences </w:t>
      </w:r>
      <w:r w:rsidR="00EA3A52">
        <w:t xml:space="preserve">are </w:t>
      </w:r>
      <w:r w:rsidR="00B53C65">
        <w:t>issued and listed on the RRL</w:t>
      </w:r>
      <w:r w:rsidR="00EA3A52">
        <w:t>.</w:t>
      </w:r>
      <w:r w:rsidR="00B53C65">
        <w:t xml:space="preserve"> </w:t>
      </w:r>
      <w:r w:rsidR="00EA3A52">
        <w:t xml:space="preserve">If, at this point, there is any vacant spectrum, </w:t>
      </w:r>
      <w:r w:rsidR="00B53C65">
        <w:t xml:space="preserve">the standard process for </w:t>
      </w:r>
      <w:r w:rsidR="001231F8">
        <w:t>applying for</w:t>
      </w:r>
      <w:r w:rsidR="00B53C65">
        <w:t xml:space="preserve"> apparatus licences will apply. That is, </w:t>
      </w:r>
      <w:r w:rsidR="00EA3A52">
        <w:t xml:space="preserve">after the initial process is completed, </w:t>
      </w:r>
      <w:r w:rsidR="00B53C65">
        <w:t xml:space="preserve">applications for AWLs will be accepted on a first-in-time basis for remaining spectrum in the 3.4-4.0 GHz band in remote areas. </w:t>
      </w:r>
    </w:p>
    <w:p w14:paraId="3466777F" w14:textId="6841C286" w:rsidR="007F13E1" w:rsidRPr="00E96933" w:rsidRDefault="007F13E1" w:rsidP="007F13E1">
      <w:pPr>
        <w:ind w:left="11"/>
        <w:rPr>
          <w:rFonts w:cs="Arial"/>
          <w:szCs w:val="20"/>
        </w:rPr>
      </w:pPr>
      <w:r w:rsidRPr="00E96933">
        <w:rPr>
          <w:rFonts w:cs="Arial"/>
          <w:szCs w:val="20"/>
        </w:rPr>
        <w:t xml:space="preserve">It is anticipated that there will be </w:t>
      </w:r>
      <w:r w:rsidR="000734A5">
        <w:rPr>
          <w:rFonts w:cs="Arial"/>
          <w:szCs w:val="20"/>
        </w:rPr>
        <w:t>subsequent</w:t>
      </w:r>
      <w:r w:rsidRPr="00E96933">
        <w:rPr>
          <w:rFonts w:cs="Arial"/>
          <w:szCs w:val="20"/>
        </w:rPr>
        <w:t xml:space="preserve"> allocation processes </w:t>
      </w:r>
      <w:r w:rsidR="00EC3716">
        <w:rPr>
          <w:rFonts w:cs="Arial"/>
          <w:szCs w:val="20"/>
        </w:rPr>
        <w:t xml:space="preserve">for other geographic areas, </w:t>
      </w:r>
      <w:r w:rsidRPr="00E96933">
        <w:rPr>
          <w:rFonts w:cs="Arial"/>
          <w:szCs w:val="20"/>
        </w:rPr>
        <w:t xml:space="preserve">following the </w:t>
      </w:r>
      <w:r w:rsidR="00382B93">
        <w:rPr>
          <w:rFonts w:cs="Arial"/>
          <w:szCs w:val="20"/>
        </w:rPr>
        <w:t xml:space="preserve">initial </w:t>
      </w:r>
      <w:r w:rsidRPr="00E96933">
        <w:rPr>
          <w:rFonts w:cs="Arial"/>
          <w:szCs w:val="20"/>
        </w:rPr>
        <w:t xml:space="preserve">allocation of </w:t>
      </w:r>
      <w:r w:rsidR="00382B93">
        <w:rPr>
          <w:rFonts w:cs="Arial"/>
          <w:szCs w:val="20"/>
        </w:rPr>
        <w:t>AWLs</w:t>
      </w:r>
      <w:r w:rsidRPr="00E96933">
        <w:rPr>
          <w:rFonts w:cs="Arial"/>
          <w:szCs w:val="20"/>
        </w:rPr>
        <w:t xml:space="preserve"> in remote</w:t>
      </w:r>
      <w:r>
        <w:rPr>
          <w:rFonts w:cs="Arial"/>
          <w:szCs w:val="20"/>
        </w:rPr>
        <w:t xml:space="preserve"> areas. </w:t>
      </w:r>
      <w:r w:rsidR="008B011A">
        <w:rPr>
          <w:rFonts w:cs="Arial"/>
          <w:szCs w:val="20"/>
        </w:rPr>
        <w:t>T</w:t>
      </w:r>
      <w:r>
        <w:rPr>
          <w:rFonts w:cs="Arial"/>
          <w:szCs w:val="20"/>
        </w:rPr>
        <w:t>he</w:t>
      </w:r>
      <w:r w:rsidR="008B011A">
        <w:rPr>
          <w:rFonts w:cs="Arial"/>
          <w:szCs w:val="20"/>
        </w:rPr>
        <w:t>se</w:t>
      </w:r>
      <w:r>
        <w:rPr>
          <w:rFonts w:cs="Arial"/>
          <w:szCs w:val="20"/>
        </w:rPr>
        <w:t xml:space="preserve"> allocation process</w:t>
      </w:r>
      <w:r w:rsidR="008B011A">
        <w:rPr>
          <w:rFonts w:cs="Arial"/>
          <w:szCs w:val="20"/>
        </w:rPr>
        <w:t>es</w:t>
      </w:r>
      <w:r>
        <w:rPr>
          <w:rFonts w:cs="Arial"/>
          <w:szCs w:val="20"/>
        </w:rPr>
        <w:t xml:space="preserve"> will</w:t>
      </w:r>
      <w:r w:rsidRPr="00E96933">
        <w:rPr>
          <w:rFonts w:cs="Arial"/>
          <w:szCs w:val="20"/>
        </w:rPr>
        <w:t xml:space="preserve"> prioritis</w:t>
      </w:r>
      <w:r>
        <w:rPr>
          <w:rFonts w:cs="Arial"/>
          <w:szCs w:val="20"/>
        </w:rPr>
        <w:t>e</w:t>
      </w:r>
      <w:r w:rsidRPr="00E96933">
        <w:rPr>
          <w:rFonts w:cs="Arial"/>
          <w:szCs w:val="20"/>
        </w:rPr>
        <w:t xml:space="preserve"> the spectrum licensing allocation</w:t>
      </w:r>
      <w:r w:rsidRPr="004E6177">
        <w:rPr>
          <w:rFonts w:cs="Arial"/>
          <w:szCs w:val="20"/>
        </w:rPr>
        <w:t xml:space="preserve"> </w:t>
      </w:r>
      <w:r>
        <w:rPr>
          <w:rFonts w:cs="Arial"/>
          <w:szCs w:val="20"/>
        </w:rPr>
        <w:t xml:space="preserve">in </w:t>
      </w:r>
      <w:r w:rsidRPr="00E96933">
        <w:rPr>
          <w:rFonts w:cs="Arial"/>
          <w:szCs w:val="20"/>
        </w:rPr>
        <w:t>metropolitan and regional areas, then the remaining apparatus licensing allocations in other metropolitan and regional areas</w:t>
      </w:r>
      <w:r w:rsidR="00382B93">
        <w:rPr>
          <w:rFonts w:cs="Arial"/>
          <w:szCs w:val="20"/>
        </w:rPr>
        <w:t xml:space="preserve"> (described above)</w:t>
      </w:r>
      <w:r w:rsidRPr="00E96933">
        <w:rPr>
          <w:rFonts w:cs="Arial"/>
          <w:szCs w:val="20"/>
        </w:rPr>
        <w:t>.</w:t>
      </w:r>
    </w:p>
    <w:p w14:paraId="42898673" w14:textId="1799A525" w:rsidR="00BE5292" w:rsidRDefault="00635B1A" w:rsidP="00E34DA5">
      <w:pPr>
        <w:pStyle w:val="Heading2"/>
      </w:pPr>
      <w:bookmarkStart w:id="35" w:name="_Toc137726609"/>
      <w:bookmarkStart w:id="36" w:name="_Toc45872452"/>
      <w:r>
        <w:t>3.1</w:t>
      </w:r>
      <w:r>
        <w:tab/>
      </w:r>
      <w:r w:rsidR="00453D44">
        <w:t>L</w:t>
      </w:r>
      <w:r w:rsidR="00BE5292" w:rsidRPr="00364C7C">
        <w:t>icence</w:t>
      </w:r>
      <w:r w:rsidR="00453D44">
        <w:t xml:space="preserve"> application</w:t>
      </w:r>
      <w:bookmarkEnd w:id="35"/>
      <w:r w:rsidR="00BE5292" w:rsidRPr="00364C7C">
        <w:t xml:space="preserve">  </w:t>
      </w:r>
      <w:bookmarkEnd w:id="36"/>
    </w:p>
    <w:p w14:paraId="0FC8B175" w14:textId="194E1013" w:rsidR="00AD3E4E" w:rsidRDefault="006139B2" w:rsidP="00864745">
      <w:pPr>
        <w:pStyle w:val="Paragraphbeforelist"/>
      </w:pPr>
      <w:bookmarkStart w:id="37" w:name="_Toc45872458"/>
      <w:r>
        <w:t xml:space="preserve">Applications for licences </w:t>
      </w:r>
      <w:r w:rsidR="00286453">
        <w:t xml:space="preserve">will </w:t>
      </w:r>
      <w:r w:rsidR="003A256D">
        <w:t xml:space="preserve">initially </w:t>
      </w:r>
      <w:r w:rsidR="00286453">
        <w:t xml:space="preserve">be </w:t>
      </w:r>
      <w:r>
        <w:t xml:space="preserve">invited via </w:t>
      </w:r>
      <w:r w:rsidR="00286453">
        <w:t>an “a</w:t>
      </w:r>
      <w:r w:rsidR="003A256D">
        <w:t>pplication windo</w:t>
      </w:r>
      <w:r w:rsidR="00992070">
        <w:t>w”</w:t>
      </w:r>
      <w:r w:rsidR="00BB0E10">
        <w:t xml:space="preserve"> </w:t>
      </w:r>
      <w:r w:rsidR="00992070">
        <w:t xml:space="preserve">and </w:t>
      </w:r>
      <w:r>
        <w:t xml:space="preserve">considered </w:t>
      </w:r>
      <w:r w:rsidR="00992070">
        <w:t xml:space="preserve">according to the process described below. </w:t>
      </w:r>
    </w:p>
    <w:p w14:paraId="77BE710F" w14:textId="1B7F45F5" w:rsidR="00864745" w:rsidRPr="0050665A" w:rsidRDefault="00864745" w:rsidP="00864745">
      <w:pPr>
        <w:pStyle w:val="Paragraphbeforelist"/>
      </w:pPr>
      <w:r w:rsidRPr="0050665A">
        <w:t xml:space="preserve">To assist the ACMA </w:t>
      </w:r>
      <w:r>
        <w:t>in managing the</w:t>
      </w:r>
      <w:r w:rsidRPr="0050665A">
        <w:t xml:space="preserve"> demand for </w:t>
      </w:r>
      <w:r>
        <w:t xml:space="preserve">AWLs in </w:t>
      </w:r>
      <w:r w:rsidR="00382B93">
        <w:t xml:space="preserve">the </w:t>
      </w:r>
      <w:r w:rsidR="004456F6">
        <w:t xml:space="preserve">3.4–4.0 GHz </w:t>
      </w:r>
      <w:r w:rsidR="00382B93">
        <w:t xml:space="preserve">band in </w:t>
      </w:r>
      <w:r w:rsidR="004456F6">
        <w:t>remote areas</w:t>
      </w:r>
      <w:r>
        <w:t>,</w:t>
      </w:r>
      <w:r w:rsidRPr="0050665A">
        <w:t xml:space="preserve"> we propose to use a </w:t>
      </w:r>
      <w:r w:rsidR="00825351">
        <w:t>2</w:t>
      </w:r>
      <w:r>
        <w:t>-</w:t>
      </w:r>
      <w:r w:rsidRPr="0050665A">
        <w:t xml:space="preserve">staged </w:t>
      </w:r>
      <w:r>
        <w:t xml:space="preserve">administrative </w:t>
      </w:r>
      <w:r w:rsidRPr="0050665A">
        <w:t>allocation for assessing licence applications to</w:t>
      </w:r>
      <w:r>
        <w:t>:</w:t>
      </w:r>
    </w:p>
    <w:p w14:paraId="60043473" w14:textId="77777777" w:rsidR="00864745" w:rsidRDefault="00864745" w:rsidP="00864745">
      <w:pPr>
        <w:pStyle w:val="Bulletlevel1"/>
        <w:numPr>
          <w:ilvl w:val="0"/>
          <w:numId w:val="1"/>
        </w:numPr>
      </w:pPr>
      <w:r>
        <w:t>establish</w:t>
      </w:r>
      <w:r w:rsidRPr="00342F00">
        <w:t xml:space="preserve"> the initial level of demand </w:t>
      </w:r>
    </w:p>
    <w:p w14:paraId="1C5CFE1D" w14:textId="77777777" w:rsidR="00864745" w:rsidRPr="009A107D" w:rsidRDefault="00864745" w:rsidP="00864745">
      <w:pPr>
        <w:pStyle w:val="Bulletlevel1last"/>
        <w:numPr>
          <w:ilvl w:val="0"/>
          <w:numId w:val="1"/>
        </w:numPr>
      </w:pPr>
      <w:r>
        <w:t>manage</w:t>
      </w:r>
      <w:r w:rsidRPr="00342F00">
        <w:t xml:space="preserve"> </w:t>
      </w:r>
      <w:r w:rsidRPr="00B6487C">
        <w:t>any</w:t>
      </w:r>
      <w:r>
        <w:t xml:space="preserve"> </w:t>
      </w:r>
      <w:r w:rsidRPr="00342F00">
        <w:t xml:space="preserve">excess demand in specific </w:t>
      </w:r>
      <w:r>
        <w:t xml:space="preserve">geographical </w:t>
      </w:r>
      <w:r w:rsidRPr="00342F00">
        <w:t xml:space="preserve">locations and </w:t>
      </w:r>
      <w:r>
        <w:t xml:space="preserve">frequency </w:t>
      </w:r>
      <w:r w:rsidRPr="00342F00">
        <w:t>segments</w:t>
      </w:r>
      <w:r w:rsidRPr="005F7609">
        <w:t xml:space="preserve">. </w:t>
      </w:r>
    </w:p>
    <w:p w14:paraId="23F4A1F6" w14:textId="6A791507" w:rsidR="00825351" w:rsidRDefault="006C691E" w:rsidP="006C691E">
      <w:pPr>
        <w:pStyle w:val="Paragraphbeforelist"/>
        <w:rPr>
          <w:b/>
        </w:rPr>
      </w:pPr>
      <w:r>
        <w:t xml:space="preserve">The AWL </w:t>
      </w:r>
      <w:r w:rsidR="00382B93">
        <w:t xml:space="preserve">application </w:t>
      </w:r>
      <w:r>
        <w:t xml:space="preserve">window will </w:t>
      </w:r>
      <w:r w:rsidRPr="00E14FE1">
        <w:rPr>
          <w:b/>
          <w:bCs/>
        </w:rPr>
        <w:t xml:space="preserve">commence at </w:t>
      </w:r>
      <w:r w:rsidR="003D7CCE" w:rsidRPr="00825351">
        <w:rPr>
          <w:b/>
          <w:bCs/>
        </w:rPr>
        <w:t>1</w:t>
      </w:r>
      <w:r w:rsidR="003D7CCE" w:rsidRPr="003D7CCE">
        <w:rPr>
          <w:b/>
        </w:rPr>
        <w:t xml:space="preserve">0 </w:t>
      </w:r>
      <w:r w:rsidR="00825351">
        <w:rPr>
          <w:b/>
        </w:rPr>
        <w:t>am</w:t>
      </w:r>
      <w:r w:rsidR="003D7CCE" w:rsidRPr="003D7CCE">
        <w:rPr>
          <w:b/>
        </w:rPr>
        <w:t xml:space="preserve"> Australian </w:t>
      </w:r>
      <w:r w:rsidR="00635B1A">
        <w:rPr>
          <w:b/>
        </w:rPr>
        <w:t>E</w:t>
      </w:r>
      <w:r w:rsidR="003D7CCE" w:rsidRPr="003D7CCE">
        <w:rPr>
          <w:b/>
        </w:rPr>
        <w:t xml:space="preserve">astern </w:t>
      </w:r>
      <w:r w:rsidR="00635B1A">
        <w:rPr>
          <w:b/>
        </w:rPr>
        <w:t>S</w:t>
      </w:r>
      <w:r w:rsidR="00001044">
        <w:rPr>
          <w:b/>
        </w:rPr>
        <w:t>tandard</w:t>
      </w:r>
      <w:r w:rsidR="00001044" w:rsidRPr="003D7CCE">
        <w:rPr>
          <w:b/>
        </w:rPr>
        <w:t xml:space="preserve"> </w:t>
      </w:r>
      <w:r w:rsidR="003D7CCE" w:rsidRPr="003D7CCE">
        <w:rPr>
          <w:b/>
        </w:rPr>
        <w:t>time (AE</w:t>
      </w:r>
      <w:r w:rsidR="00001044">
        <w:rPr>
          <w:b/>
        </w:rPr>
        <w:t>S</w:t>
      </w:r>
      <w:r w:rsidR="003D7CCE" w:rsidRPr="003D7CCE">
        <w:rPr>
          <w:b/>
        </w:rPr>
        <w:t xml:space="preserve">T) on </w:t>
      </w:r>
      <w:r w:rsidR="00E713A0">
        <w:rPr>
          <w:b/>
        </w:rPr>
        <w:t>Monday 17 July</w:t>
      </w:r>
      <w:r w:rsidR="003D7CCE" w:rsidRPr="003D7CCE">
        <w:rPr>
          <w:b/>
        </w:rPr>
        <w:t xml:space="preserve"> 2023 and close at AE</w:t>
      </w:r>
      <w:r w:rsidR="00001044">
        <w:rPr>
          <w:b/>
        </w:rPr>
        <w:t>S</w:t>
      </w:r>
      <w:r w:rsidR="003D7CCE" w:rsidRPr="003D7CCE">
        <w:rPr>
          <w:b/>
        </w:rPr>
        <w:t xml:space="preserve">T </w:t>
      </w:r>
      <w:r w:rsidR="00B72895">
        <w:rPr>
          <w:b/>
        </w:rPr>
        <w:t>5 PM on</w:t>
      </w:r>
      <w:r w:rsidR="003D7CCE" w:rsidRPr="003D7CCE">
        <w:rPr>
          <w:b/>
        </w:rPr>
        <w:t xml:space="preserve"> </w:t>
      </w:r>
      <w:r w:rsidR="00E713A0">
        <w:rPr>
          <w:b/>
        </w:rPr>
        <w:t>3</w:t>
      </w:r>
      <w:r w:rsidR="00B72895">
        <w:rPr>
          <w:b/>
        </w:rPr>
        <w:t>1</w:t>
      </w:r>
      <w:r w:rsidR="003D7CCE" w:rsidRPr="003D7CCE">
        <w:rPr>
          <w:b/>
        </w:rPr>
        <w:t xml:space="preserve"> July 2023.</w:t>
      </w:r>
      <w:r w:rsidR="00382B93">
        <w:rPr>
          <w:b/>
        </w:rPr>
        <w:t xml:space="preserve"> </w:t>
      </w:r>
    </w:p>
    <w:p w14:paraId="508B371F" w14:textId="09C349D8" w:rsidR="00EC228C" w:rsidRDefault="00001044" w:rsidP="006C691E">
      <w:pPr>
        <w:pStyle w:val="Paragraphbeforelist"/>
      </w:pPr>
      <w:r>
        <w:rPr>
          <w:bCs/>
        </w:rPr>
        <w:t xml:space="preserve">No applications will be accepted prior to the opening of the application window. </w:t>
      </w:r>
    </w:p>
    <w:p w14:paraId="6488A573" w14:textId="6CA1B920" w:rsidR="0015087E" w:rsidRDefault="006C691E" w:rsidP="006C691E">
      <w:pPr>
        <w:pStyle w:val="Paragraphbeforelist"/>
      </w:pPr>
      <w:r>
        <w:t xml:space="preserve">Following the </w:t>
      </w:r>
      <w:r w:rsidR="00635B1A">
        <w:t xml:space="preserve">application </w:t>
      </w:r>
      <w:r>
        <w:t>window, there will be an assessment of whether there are any applications competing for a</w:t>
      </w:r>
      <w:r w:rsidR="008B6A61">
        <w:t xml:space="preserve">n </w:t>
      </w:r>
      <w:r w:rsidR="00382B93">
        <w:t xml:space="preserve">AWL in the same </w:t>
      </w:r>
      <w:r>
        <w:t>area</w:t>
      </w:r>
      <w:r w:rsidR="00382B93">
        <w:t>,</w:t>
      </w:r>
      <w:r>
        <w:t xml:space="preserve"> in the same frequency range. Competing licences will move to the second stage in which the competing spectral demand will be resolved</w:t>
      </w:r>
      <w:r w:rsidR="00382B93">
        <w:t xml:space="preserve"> by the ACMA’s administrative decision-making processes</w:t>
      </w:r>
      <w:r>
        <w:t>.</w:t>
      </w:r>
    </w:p>
    <w:p w14:paraId="368D6C50" w14:textId="69C0183D" w:rsidR="00864745" w:rsidRDefault="008676E3" w:rsidP="00864745">
      <w:pPr>
        <w:pStyle w:val="Paragraphbeforelist"/>
      </w:pPr>
      <w:r>
        <w:t xml:space="preserve">Figure 2 </w:t>
      </w:r>
      <w:r w:rsidR="00825351">
        <w:t xml:space="preserve">below </w:t>
      </w:r>
      <w:r w:rsidR="00864745">
        <w:t>shows a diagram of the allocation stages.</w:t>
      </w:r>
    </w:p>
    <w:p w14:paraId="6A81015E" w14:textId="77777777" w:rsidR="00864745" w:rsidRDefault="00864745" w:rsidP="00864745">
      <w:pPr>
        <w:pStyle w:val="Paragraphbeforelist"/>
      </w:pPr>
    </w:p>
    <w:p w14:paraId="721E57D9" w14:textId="46C788CA" w:rsidR="00864745" w:rsidRPr="008F6760" w:rsidRDefault="006B5C7A" w:rsidP="006B5C7A">
      <w:pPr>
        <w:pStyle w:val="ACMAFigureHeader"/>
        <w:keepNext/>
        <w:numPr>
          <w:ilvl w:val="0"/>
          <w:numId w:val="0"/>
        </w:numPr>
        <w:ind w:left="1021" w:hanging="1021"/>
      </w:pPr>
      <w:r w:rsidRPr="008F6760">
        <w:t xml:space="preserve">Figure </w:t>
      </w:r>
      <w:r w:rsidR="00CA653B" w:rsidRPr="008F6760">
        <w:t>2</w:t>
      </w:r>
      <w:r w:rsidRPr="008F6760">
        <w:t xml:space="preserve">:  </w:t>
      </w:r>
      <w:r w:rsidR="00864745" w:rsidRPr="008F6760">
        <w:t xml:space="preserve">Stages for issuing AWLs </w:t>
      </w:r>
    </w:p>
    <w:p w14:paraId="111D24D5" w14:textId="6DCBAADF" w:rsidR="00864745" w:rsidRDefault="007F672B" w:rsidP="00864745">
      <w:pPr>
        <w:pStyle w:val="Paragraph"/>
        <w:rPr>
          <w:szCs w:val="20"/>
        </w:rPr>
      </w:pPr>
      <w:r>
        <w:rPr>
          <w:noProof/>
        </w:rPr>
        <mc:AlternateContent>
          <mc:Choice Requires="wpc">
            <w:drawing>
              <wp:inline distT="0" distB="0" distL="0" distR="0" wp14:anchorId="40C75603" wp14:editId="1BF67B05">
                <wp:extent cx="6158865" cy="3103920"/>
                <wp:effectExtent l="0" t="0" r="0" b="1270"/>
                <wp:docPr id="2" name="Canvas 2" descr="Shows stages for issuing AWLs. "/>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CCCC">
                            <a:alpha val="5882"/>
                          </a:srgbClr>
                        </a:solidFill>
                      </wpc:bg>
                      <wpc:whole/>
                      <wps:wsp>
                        <wps:cNvPr id="3" name="Text Box 3" descr="Figure 2: Stages for issuing AWLs. Application window. "/>
                        <wps:cNvSpPr txBox="1"/>
                        <wps:spPr>
                          <a:xfrm>
                            <a:off x="0" y="0"/>
                            <a:ext cx="6158865" cy="349856"/>
                          </a:xfrm>
                          <a:prstGeom prst="rect">
                            <a:avLst/>
                          </a:prstGeom>
                          <a:solidFill>
                            <a:srgbClr val="009999">
                              <a:alpha val="10196"/>
                            </a:srgbClr>
                          </a:solidFill>
                          <a:ln w="6350">
                            <a:noFill/>
                          </a:ln>
                        </wps:spPr>
                        <wps:txbx>
                          <w:txbxContent>
                            <w:p w14:paraId="3D17443F" w14:textId="1DDFB9FB" w:rsidR="007F672B" w:rsidRPr="006D4EA8" w:rsidRDefault="00635B1A" w:rsidP="007F672B">
                              <w:pPr>
                                <w:spacing w:before="60" w:after="0"/>
                                <w:jc w:val="center"/>
                                <w:rPr>
                                  <w:rFonts w:cs="Arial"/>
                                  <w:b/>
                                  <w:bCs/>
                                  <w:color w:val="009999"/>
                                  <w:sz w:val="21"/>
                                  <w:szCs w:val="21"/>
                                </w:rPr>
                              </w:pPr>
                              <w:r w:rsidRPr="006D4EA8">
                                <w:rPr>
                                  <w:rFonts w:cs="Arial"/>
                                  <w:b/>
                                  <w:bCs/>
                                  <w:color w:val="009999"/>
                                  <w:sz w:val="21"/>
                                  <w:szCs w:val="21"/>
                                </w:rPr>
                                <w:t>A</w:t>
                              </w:r>
                              <w:r>
                                <w:rPr>
                                  <w:rFonts w:cs="Arial"/>
                                  <w:b/>
                                  <w:bCs/>
                                  <w:color w:val="009999"/>
                                  <w:sz w:val="21"/>
                                  <w:szCs w:val="21"/>
                                </w:rPr>
                                <w:t>pplication</w:t>
                              </w:r>
                              <w:r w:rsidRPr="006D4EA8">
                                <w:rPr>
                                  <w:rFonts w:cs="Arial"/>
                                  <w:b/>
                                  <w:bCs/>
                                  <w:color w:val="009999"/>
                                  <w:sz w:val="21"/>
                                  <w:szCs w:val="21"/>
                                </w:rPr>
                                <w:t xml:space="preserve"> </w:t>
                              </w:r>
                              <w:r w:rsidR="007F672B" w:rsidRPr="006D4EA8">
                                <w:rPr>
                                  <w:rFonts w:cs="Arial"/>
                                  <w:b/>
                                  <w:bCs/>
                                  <w:color w:val="009999"/>
                                  <w:sz w:val="21"/>
                                  <w:szCs w:val="21"/>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descr="Stage 1&#10;No competing applicants and satisfies allocation policy. ACMA issues licences according to RALI.&#10;"/>
                        <wps:cNvSpPr txBox="1"/>
                        <wps:spPr>
                          <a:xfrm>
                            <a:off x="2059222" y="557521"/>
                            <a:ext cx="1931881" cy="731521"/>
                          </a:xfrm>
                          <a:prstGeom prst="rect">
                            <a:avLst/>
                          </a:prstGeom>
                          <a:solidFill>
                            <a:srgbClr val="003399">
                              <a:alpha val="10196"/>
                            </a:srgbClr>
                          </a:solidFill>
                          <a:ln w="6350">
                            <a:noFill/>
                          </a:ln>
                        </wps:spPr>
                        <wps:txbx>
                          <w:txbxContent>
                            <w:p w14:paraId="20A203A9" w14:textId="77777777" w:rsidR="007F672B" w:rsidRPr="00D54D3C" w:rsidRDefault="007F672B" w:rsidP="007F672B">
                              <w:pPr>
                                <w:spacing w:after="0"/>
                                <w:jc w:val="center"/>
                                <w:rPr>
                                  <w:rFonts w:cs="Arial"/>
                                  <w:b/>
                                  <w:bCs/>
                                  <w:color w:val="003399"/>
                                  <w:sz w:val="21"/>
                                  <w:szCs w:val="21"/>
                                </w:rPr>
                              </w:pPr>
                              <w:r w:rsidRPr="00D54D3C">
                                <w:rPr>
                                  <w:rFonts w:cs="Arial"/>
                                  <w:b/>
                                  <w:bCs/>
                                  <w:color w:val="003399"/>
                                  <w:sz w:val="21"/>
                                  <w:szCs w:val="21"/>
                                </w:rPr>
                                <w:t>Stage 1</w:t>
                              </w:r>
                            </w:p>
                            <w:p w14:paraId="0273296A" w14:textId="77777777" w:rsidR="007F672B" w:rsidRPr="009B5CE1" w:rsidRDefault="007F672B" w:rsidP="007F672B">
                              <w:pPr>
                                <w:spacing w:after="0"/>
                                <w:rPr>
                                  <w:rFonts w:cs="Arial"/>
                                  <w:color w:val="000000" w:themeColor="text1"/>
                                  <w:sz w:val="18"/>
                                  <w:szCs w:val="18"/>
                                </w:rPr>
                              </w:pPr>
                              <w:r w:rsidRPr="009B5CE1">
                                <w:rPr>
                                  <w:rFonts w:cs="Arial"/>
                                  <w:color w:val="000000" w:themeColor="text1"/>
                                  <w:sz w:val="18"/>
                                  <w:szCs w:val="18"/>
                                </w:rPr>
                                <w:t>No competing applicants</w:t>
                              </w:r>
                              <w:r>
                                <w:rPr>
                                  <w:rFonts w:cs="Arial"/>
                                  <w:color w:val="000000" w:themeColor="text1"/>
                                  <w:sz w:val="18"/>
                                  <w:szCs w:val="18"/>
                                </w:rPr>
                                <w:t xml:space="preserve"> and </w:t>
                              </w:r>
                              <w:r w:rsidRPr="00BF4A63">
                                <w:rPr>
                                  <w:rFonts w:cs="Arial"/>
                                  <w:color w:val="000000" w:themeColor="text1"/>
                                  <w:sz w:val="18"/>
                                  <w:szCs w:val="18"/>
                                </w:rPr>
                                <w:t>satisfies</w:t>
                              </w:r>
                              <w:r>
                                <w:rPr>
                                  <w:rFonts w:cs="Arial"/>
                                  <w:color w:val="000000" w:themeColor="text1"/>
                                  <w:sz w:val="18"/>
                                  <w:szCs w:val="18"/>
                                </w:rPr>
                                <w:t xml:space="preserve"> allocation policy. ACMA issues licences according to RALI.</w:t>
                              </w:r>
                            </w:p>
                            <w:p w14:paraId="170871C5" w14:textId="77777777" w:rsidR="007F672B" w:rsidRPr="00DA3C98" w:rsidRDefault="007F672B" w:rsidP="007F672B">
                              <w:pPr>
                                <w:jc w:val="center"/>
                                <w:rPr>
                                  <w:b/>
                                  <w:bCs/>
                                  <w:color w:val="003399"/>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descr="Licences issued"/>
                        <wps:cNvSpPr txBox="1"/>
                        <wps:spPr>
                          <a:xfrm>
                            <a:off x="230423" y="1925147"/>
                            <a:ext cx="640800" cy="524786"/>
                          </a:xfrm>
                          <a:prstGeom prst="rect">
                            <a:avLst/>
                          </a:prstGeom>
                          <a:solidFill>
                            <a:srgbClr val="F3A5D3">
                              <a:alpha val="25098"/>
                            </a:srgbClr>
                          </a:solidFill>
                          <a:ln w="6350">
                            <a:noFill/>
                          </a:ln>
                        </wps:spPr>
                        <wps:txbx>
                          <w:txbxContent>
                            <w:p w14:paraId="60785F2F" w14:textId="5F0B3C34" w:rsidR="007F672B" w:rsidRPr="00DD4524" w:rsidRDefault="007F672B" w:rsidP="007F672B">
                              <w:pPr>
                                <w:spacing w:before="120" w:after="0"/>
                                <w:rPr>
                                  <w:rFonts w:cs="Arial"/>
                                  <w:color w:val="000000" w:themeColor="text1"/>
                                  <w:sz w:val="18"/>
                                  <w:szCs w:val="18"/>
                                </w:rPr>
                              </w:pPr>
                              <w:r w:rsidRPr="00DD4524">
                                <w:rPr>
                                  <w:rFonts w:cs="Arial"/>
                                  <w:color w:val="000000" w:themeColor="text1"/>
                                  <w:sz w:val="18"/>
                                  <w:szCs w:val="18"/>
                                </w:rPr>
                                <w:t>Licences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5" descr="Licences issued"/>
                        <wps:cNvSpPr txBox="1"/>
                        <wps:spPr>
                          <a:xfrm>
                            <a:off x="4203195" y="654853"/>
                            <a:ext cx="640715" cy="524510"/>
                          </a:xfrm>
                          <a:prstGeom prst="rect">
                            <a:avLst/>
                          </a:prstGeom>
                          <a:solidFill>
                            <a:srgbClr val="003399">
                              <a:alpha val="10196"/>
                            </a:srgbClr>
                          </a:solidFill>
                          <a:ln w="6350">
                            <a:noFill/>
                          </a:ln>
                        </wps:spPr>
                        <wps:txbx>
                          <w:txbxContent>
                            <w:p w14:paraId="64659C7A" w14:textId="77777777" w:rsidR="007F672B" w:rsidRDefault="007F672B" w:rsidP="007F672B">
                              <w:pPr>
                                <w:spacing w:before="120" w:line="256" w:lineRule="auto"/>
                                <w:rPr>
                                  <w:rFonts w:eastAsia="Calibri"/>
                                  <w:color w:val="000000"/>
                                  <w:sz w:val="18"/>
                                  <w:szCs w:val="18"/>
                                </w:rPr>
                              </w:pPr>
                              <w:r>
                                <w:rPr>
                                  <w:rFonts w:eastAsia="Calibri"/>
                                  <w:color w:val="000000"/>
                                  <w:sz w:val="18"/>
                                  <w:szCs w:val="18"/>
                                </w:rPr>
                                <w:t>Licences issued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5" descr="Licences issued"/>
                        <wps:cNvSpPr txBox="1"/>
                        <wps:spPr>
                          <a:xfrm>
                            <a:off x="5262319" y="1925426"/>
                            <a:ext cx="640715" cy="524510"/>
                          </a:xfrm>
                          <a:prstGeom prst="rect">
                            <a:avLst/>
                          </a:prstGeom>
                          <a:solidFill>
                            <a:srgbClr val="F3A5D3">
                              <a:alpha val="25098"/>
                            </a:srgbClr>
                          </a:solidFill>
                          <a:ln w="6350">
                            <a:noFill/>
                          </a:ln>
                        </wps:spPr>
                        <wps:txbx>
                          <w:txbxContent>
                            <w:p w14:paraId="5469BE23" w14:textId="77777777" w:rsidR="007F672B" w:rsidRDefault="007F672B" w:rsidP="007F672B">
                              <w:pPr>
                                <w:spacing w:before="120" w:after="160" w:line="256" w:lineRule="auto"/>
                                <w:rPr>
                                  <w:rFonts w:eastAsia="Calibri"/>
                                  <w:color w:val="000000"/>
                                  <w:sz w:val="18"/>
                                  <w:szCs w:val="18"/>
                                </w:rPr>
                              </w:pPr>
                              <w:r>
                                <w:rPr>
                                  <w:rFonts w:eastAsia="Calibri"/>
                                  <w:color w:val="000000"/>
                                  <w:sz w:val="18"/>
                                  <w:szCs w:val="18"/>
                                </w:rPr>
                                <w:t>Licences issued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5" descr="Stage 2 (a)&#10;Sufficient spectrum in band, where applicants are competing for spectrum in the same band and geographic location. The ACMA assists applicants with negotiating an outcome.&#10;"/>
                        <wps:cNvSpPr txBox="1"/>
                        <wps:spPr>
                          <a:xfrm>
                            <a:off x="1077994" y="1535553"/>
                            <a:ext cx="1951214" cy="1306895"/>
                          </a:xfrm>
                          <a:prstGeom prst="rect">
                            <a:avLst/>
                          </a:prstGeom>
                          <a:solidFill>
                            <a:srgbClr val="F3A5D3">
                              <a:alpha val="25098"/>
                            </a:srgbClr>
                          </a:solidFill>
                          <a:ln w="6350">
                            <a:noFill/>
                          </a:ln>
                        </wps:spPr>
                        <wps:txbx>
                          <w:txbxContent>
                            <w:p w14:paraId="3D00C332" w14:textId="77777777" w:rsidR="007F672B" w:rsidRPr="00705C37" w:rsidRDefault="007F672B" w:rsidP="007F672B">
                              <w:pPr>
                                <w:spacing w:after="0"/>
                                <w:jc w:val="center"/>
                                <w:rPr>
                                  <w:rFonts w:cs="Arial"/>
                                  <w:b/>
                                  <w:bCs/>
                                  <w:color w:val="990099"/>
                                  <w:sz w:val="21"/>
                                  <w:szCs w:val="21"/>
                                </w:rPr>
                              </w:pPr>
                              <w:r w:rsidRPr="00705C37">
                                <w:rPr>
                                  <w:rFonts w:cs="Arial"/>
                                  <w:b/>
                                  <w:bCs/>
                                  <w:color w:val="990099"/>
                                  <w:sz w:val="21"/>
                                  <w:szCs w:val="21"/>
                                </w:rPr>
                                <w:t>Stage 2 (a)</w:t>
                              </w:r>
                            </w:p>
                            <w:p w14:paraId="614D22B7" w14:textId="77777777" w:rsidR="007F672B" w:rsidRPr="000A2182" w:rsidRDefault="007F672B" w:rsidP="007F672B">
                              <w:pPr>
                                <w:spacing w:after="0" w:line="259" w:lineRule="auto"/>
                                <w:rPr>
                                  <w:rFonts w:asciiTheme="minorHAnsi" w:eastAsiaTheme="minorHAnsi" w:hAnsiTheme="minorHAnsi" w:cs="Arial"/>
                                  <w:b/>
                                  <w:bCs/>
                                  <w:color w:val="3366CC"/>
                                  <w:sz w:val="21"/>
                                  <w:szCs w:val="21"/>
                                </w:rPr>
                              </w:pPr>
                              <w:r>
                                <w:rPr>
                                  <w:rFonts w:cs="Arial"/>
                                  <w:color w:val="000000" w:themeColor="text1"/>
                                  <w:sz w:val="18"/>
                                  <w:szCs w:val="18"/>
                                </w:rPr>
                                <w:t>Sufficient spectrum in band, where applicants are competing for spectrum in the same band and geographic location. The ACMA assists applicants with negotiating an outcome.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Straight Arrow Connector 6"/>
                        <wps:cNvCnPr>
                          <a:stCxn id="9" idx="1"/>
                          <a:endCxn id="5" idx="3"/>
                        </wps:cNvCnPr>
                        <wps:spPr>
                          <a:xfrm flipH="1" flipV="1">
                            <a:off x="871223" y="2187540"/>
                            <a:ext cx="206771" cy="1461"/>
                          </a:xfrm>
                          <a:prstGeom prst="straightConnector1">
                            <a:avLst/>
                          </a:prstGeom>
                          <a:ln>
                            <a:solidFill>
                              <a:srgbClr val="990099"/>
                            </a:solidFill>
                            <a:tailEnd type="triangle"/>
                          </a:ln>
                        </wps:spPr>
                        <wps:style>
                          <a:lnRef idx="2">
                            <a:schemeClr val="accent5"/>
                          </a:lnRef>
                          <a:fillRef idx="0">
                            <a:schemeClr val="accent5"/>
                          </a:fillRef>
                          <a:effectRef idx="1">
                            <a:schemeClr val="accent5"/>
                          </a:effectRef>
                          <a:fontRef idx="minor">
                            <a:schemeClr val="tx1"/>
                          </a:fontRef>
                        </wps:style>
                        <wps:bodyPr/>
                      </wps:wsp>
                      <wps:wsp>
                        <wps:cNvPr id="11" name="Straight Arrow Connector 11"/>
                        <wps:cNvCnPr/>
                        <wps:spPr>
                          <a:xfrm>
                            <a:off x="5077182" y="2205161"/>
                            <a:ext cx="199668" cy="0"/>
                          </a:xfrm>
                          <a:prstGeom prst="straightConnector1">
                            <a:avLst/>
                          </a:prstGeom>
                          <a:ln>
                            <a:solidFill>
                              <a:srgbClr val="990099"/>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 name="Text Box 5" descr="Stage 2 (b)&#10;Insufficient spectrum in band, where applicants are competing for spectrum in the same band and geographic location. ACMA will take into account the allocation principles in considering licence applications.&#10;"/>
                        <wps:cNvSpPr txBox="1"/>
                        <wps:spPr>
                          <a:xfrm>
                            <a:off x="3126462" y="1540603"/>
                            <a:ext cx="1950720" cy="1306895"/>
                          </a:xfrm>
                          <a:prstGeom prst="rect">
                            <a:avLst/>
                          </a:prstGeom>
                          <a:solidFill>
                            <a:srgbClr val="F3A5D3">
                              <a:alpha val="25098"/>
                            </a:srgbClr>
                          </a:solidFill>
                          <a:ln w="6350">
                            <a:noFill/>
                          </a:ln>
                        </wps:spPr>
                        <wps:txbx>
                          <w:txbxContent>
                            <w:p w14:paraId="28C55B98" w14:textId="77777777" w:rsidR="007F672B" w:rsidRDefault="007F672B" w:rsidP="007F672B">
                              <w:pPr>
                                <w:spacing w:after="0" w:line="257" w:lineRule="auto"/>
                                <w:jc w:val="center"/>
                                <w:rPr>
                                  <w:rFonts w:ascii="Calibri" w:eastAsia="Calibri" w:hAnsi="Calibri" w:cs="Arial"/>
                                  <w:b/>
                                  <w:bCs/>
                                  <w:color w:val="990099"/>
                                  <w:sz w:val="21"/>
                                  <w:szCs w:val="21"/>
                                </w:rPr>
                              </w:pPr>
                              <w:r>
                                <w:rPr>
                                  <w:rFonts w:ascii="Calibri" w:eastAsia="Calibri" w:hAnsi="Calibri" w:cs="Arial"/>
                                  <w:b/>
                                  <w:bCs/>
                                  <w:color w:val="990099"/>
                                  <w:sz w:val="21"/>
                                  <w:szCs w:val="21"/>
                                </w:rPr>
                                <w:t>Stage 2 (b)</w:t>
                              </w:r>
                            </w:p>
                            <w:p w14:paraId="36578D5E" w14:textId="3E0FBAD9" w:rsidR="007F672B" w:rsidRPr="00364D5B" w:rsidRDefault="007F672B" w:rsidP="007F672B">
                              <w:pPr>
                                <w:spacing w:after="160" w:line="256" w:lineRule="auto"/>
                                <w:rPr>
                                  <w:rFonts w:ascii="Calibri" w:eastAsia="Calibri" w:hAnsi="Calibri" w:cs="Arial"/>
                                  <w:b/>
                                  <w:bCs/>
                                  <w:color w:val="990099"/>
                                  <w:sz w:val="21"/>
                                  <w:szCs w:val="21"/>
                                </w:rPr>
                              </w:pPr>
                              <w:r>
                                <w:rPr>
                                  <w:rFonts w:eastAsia="Calibri"/>
                                  <w:color w:val="000000"/>
                                  <w:sz w:val="18"/>
                                  <w:szCs w:val="18"/>
                                </w:rPr>
                                <w:t xml:space="preserve">Insufficient spectrum in band, where applicants are competing for spectrum in the same band and geographic location. ACMA will take into account </w:t>
                              </w:r>
                              <w:r w:rsidR="00635B1A">
                                <w:rPr>
                                  <w:rFonts w:eastAsia="Calibri"/>
                                  <w:color w:val="000000"/>
                                  <w:sz w:val="18"/>
                                  <w:szCs w:val="18"/>
                                </w:rPr>
                                <w:t>the allocation</w:t>
                              </w:r>
                              <w:r>
                                <w:rPr>
                                  <w:rFonts w:eastAsia="Calibri"/>
                                  <w:color w:val="000000"/>
                                  <w:sz w:val="18"/>
                                  <w:szCs w:val="18"/>
                                </w:rPr>
                                <w:t xml:space="preserve"> principles in considering licence applications.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2794000" y="1288983"/>
                            <a:ext cx="0" cy="246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a:off x="3352800" y="1288983"/>
                            <a:ext cx="0" cy="24643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a:off x="3991103" y="929590"/>
                            <a:ext cx="21209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3029208" y="349851"/>
                            <a:ext cx="0" cy="207678"/>
                          </a:xfrm>
                          <a:prstGeom prst="straightConnector1">
                            <a:avLst/>
                          </a:prstGeom>
                          <a:ln>
                            <a:solidFill>
                              <a:srgbClr val="009999"/>
                            </a:solidFill>
                            <a:tailEnd type="triangle"/>
                          </a:ln>
                        </wps:spPr>
                        <wps:style>
                          <a:lnRef idx="2">
                            <a:schemeClr val="accent1"/>
                          </a:lnRef>
                          <a:fillRef idx="0">
                            <a:schemeClr val="accent1"/>
                          </a:fillRef>
                          <a:effectRef idx="1">
                            <a:schemeClr val="accent1"/>
                          </a:effectRef>
                          <a:fontRef idx="minor">
                            <a:schemeClr val="tx1"/>
                          </a:fontRef>
                        </wps:style>
                        <wps:bodyPr/>
                      </wps:wsp>
                    </wpc:wpc>
                  </a:graphicData>
                </a:graphic>
              </wp:inline>
            </w:drawing>
          </mc:Choice>
          <mc:Fallback>
            <w:pict>
              <v:group w14:anchorId="40C75603" id="Canvas 2" o:spid="_x0000_s1026" editas="canvas" alt="Shows stages for issuing AWLs. " style="width:484.95pt;height:244.4pt;mso-position-horizontal-relative:char;mso-position-vertical-relative:line" coordsize="61588,3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hows stages for issuing AWLs. " style="position:absolute;width:61588;height:31038;visibility:visible;mso-wrap-style:square" filled="t" fillcolor="#3cc">
                  <v:fill opacity="3855f" o:detectmouseclick="t"/>
                  <v:path o:connecttype="none"/>
                </v:shape>
                <v:shapetype id="_x0000_t202" coordsize="21600,21600" o:spt="202" path="m,l,21600r21600,l21600,xe">
                  <v:stroke joinstyle="miter"/>
                  <v:path gradientshapeok="t" o:connecttype="rect"/>
                </v:shapetype>
                <v:shape id="Text Box 3" o:spid="_x0000_s1028" type="#_x0000_t202" alt="Figure 2: Stages for issuing AWLs. Application window. " style="position:absolute;width:6158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" fillcolor="#099" stroked="f" strokeweight=".5pt">
                  <v:fill opacity="6682f"/>
                  <v:textbox>
                    <w:txbxContent>
                      <w:p w14:paraId="3D17443F" w14:textId="1DDFB9FB" w:rsidR="007F672B" w:rsidRPr="006D4EA8" w:rsidRDefault="00635B1A" w:rsidP="007F672B">
                        <w:pPr>
                          <w:spacing w:before="60" w:after="0"/>
                          <w:jc w:val="center"/>
                          <w:rPr>
                            <w:rFonts w:cs="Arial"/>
                            <w:b/>
                            <w:bCs/>
                            <w:color w:val="009999"/>
                            <w:sz w:val="21"/>
                            <w:szCs w:val="21"/>
                          </w:rPr>
                        </w:pPr>
                        <w:r w:rsidRPr="006D4EA8">
                          <w:rPr>
                            <w:rFonts w:cs="Arial"/>
                            <w:b/>
                            <w:bCs/>
                            <w:color w:val="009999"/>
                            <w:sz w:val="21"/>
                            <w:szCs w:val="21"/>
                          </w:rPr>
                          <w:t>A</w:t>
                        </w:r>
                        <w:r>
                          <w:rPr>
                            <w:rFonts w:cs="Arial"/>
                            <w:b/>
                            <w:bCs/>
                            <w:color w:val="009999"/>
                            <w:sz w:val="21"/>
                            <w:szCs w:val="21"/>
                          </w:rPr>
                          <w:t>pplication</w:t>
                        </w:r>
                        <w:r w:rsidRPr="006D4EA8">
                          <w:rPr>
                            <w:rFonts w:cs="Arial"/>
                            <w:b/>
                            <w:bCs/>
                            <w:color w:val="009999"/>
                            <w:sz w:val="21"/>
                            <w:szCs w:val="21"/>
                          </w:rPr>
                          <w:t xml:space="preserve"> </w:t>
                        </w:r>
                        <w:r w:rsidR="007F672B" w:rsidRPr="006D4EA8">
                          <w:rPr>
                            <w:rFonts w:cs="Arial"/>
                            <w:b/>
                            <w:bCs/>
                            <w:color w:val="009999"/>
                            <w:sz w:val="21"/>
                            <w:szCs w:val="21"/>
                          </w:rPr>
                          <w:t>window</w:t>
                        </w:r>
                      </w:p>
                    </w:txbxContent>
                  </v:textbox>
                </v:shape>
                <v:shape id="Text Box 4" o:spid="_x0000_s1029" type="#_x0000_t202" alt="Stage 1&#10;No competing applicants and satisfies allocation policy. ACMA issues licences according to RALI.&#10;" style="position:absolute;left:20592;top:5575;width:19319;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" fillcolor="#039" stroked="f" strokeweight=".5pt">
                  <v:fill opacity="6682f"/>
                  <v:textbox>
                    <w:txbxContent>
                      <w:p w14:paraId="20A203A9" w14:textId="77777777" w:rsidR="007F672B" w:rsidRPr="00D54D3C" w:rsidRDefault="007F672B" w:rsidP="007F672B">
                        <w:pPr>
                          <w:spacing w:after="0"/>
                          <w:jc w:val="center"/>
                          <w:rPr>
                            <w:rFonts w:cs="Arial"/>
                            <w:b/>
                            <w:bCs/>
                            <w:color w:val="003399"/>
                            <w:sz w:val="21"/>
                            <w:szCs w:val="21"/>
                          </w:rPr>
                        </w:pPr>
                        <w:r w:rsidRPr="00D54D3C">
                          <w:rPr>
                            <w:rFonts w:cs="Arial"/>
                            <w:b/>
                            <w:bCs/>
                            <w:color w:val="003399"/>
                            <w:sz w:val="21"/>
                            <w:szCs w:val="21"/>
                          </w:rPr>
                          <w:t>Stage 1</w:t>
                        </w:r>
                      </w:p>
                      <w:p w14:paraId="0273296A" w14:textId="77777777" w:rsidR="007F672B" w:rsidRPr="009B5CE1" w:rsidRDefault="007F672B" w:rsidP="007F672B">
                        <w:pPr>
                          <w:spacing w:after="0"/>
                          <w:rPr>
                            <w:rFonts w:cs="Arial"/>
                            <w:color w:val="000000" w:themeColor="text1"/>
                            <w:sz w:val="18"/>
                            <w:szCs w:val="18"/>
                          </w:rPr>
                        </w:pPr>
                        <w:r w:rsidRPr="009B5CE1">
                          <w:rPr>
                            <w:rFonts w:cs="Arial"/>
                            <w:color w:val="000000" w:themeColor="text1"/>
                            <w:sz w:val="18"/>
                            <w:szCs w:val="18"/>
                          </w:rPr>
                          <w:t>No competing applicants</w:t>
                        </w:r>
                        <w:r>
                          <w:rPr>
                            <w:rFonts w:cs="Arial"/>
                            <w:color w:val="000000" w:themeColor="text1"/>
                            <w:sz w:val="18"/>
                            <w:szCs w:val="18"/>
                          </w:rPr>
                          <w:t xml:space="preserve"> and </w:t>
                        </w:r>
                        <w:r w:rsidRPr="00BF4A63">
                          <w:rPr>
                            <w:rFonts w:cs="Arial"/>
                            <w:color w:val="000000" w:themeColor="text1"/>
                            <w:sz w:val="18"/>
                            <w:szCs w:val="18"/>
                          </w:rPr>
                          <w:t>satisfies</w:t>
                        </w:r>
                        <w:r>
                          <w:rPr>
                            <w:rFonts w:cs="Arial"/>
                            <w:color w:val="000000" w:themeColor="text1"/>
                            <w:sz w:val="18"/>
                            <w:szCs w:val="18"/>
                          </w:rPr>
                          <w:t xml:space="preserve"> allocation policy. ACMA issues licences according to RALI.</w:t>
                        </w:r>
                      </w:p>
                      <w:p w14:paraId="170871C5" w14:textId="77777777" w:rsidR="007F672B" w:rsidRPr="00DA3C98" w:rsidRDefault="007F672B" w:rsidP="007F672B">
                        <w:pPr>
                          <w:jc w:val="center"/>
                          <w:rPr>
                            <w:b/>
                            <w:bCs/>
                            <w:color w:val="003399"/>
                            <w:sz w:val="21"/>
                            <w:szCs w:val="21"/>
                          </w:rPr>
                        </w:pPr>
                      </w:p>
                    </w:txbxContent>
                  </v:textbox>
                </v:shape>
                <v:shape id="Text Box 5" o:spid="_x0000_s1030" type="#_x0000_t202" alt="Licences issued" style="position:absolute;left:2304;top:19251;width:6408;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" fillcolor="#f3a5d3" stroked="f" strokeweight=".5pt">
                  <v:fill opacity="16448f"/>
                  <v:textbox>
                    <w:txbxContent>
                      <w:p w14:paraId="60785F2F" w14:textId="5F0B3C34" w:rsidR="007F672B" w:rsidRPr="00DD4524" w:rsidRDefault="007F672B" w:rsidP="007F672B">
                        <w:pPr>
                          <w:spacing w:before="120" w:after="0"/>
                          <w:rPr>
                            <w:rFonts w:cs="Arial"/>
                            <w:color w:val="000000" w:themeColor="text1"/>
                            <w:sz w:val="18"/>
                            <w:szCs w:val="18"/>
                          </w:rPr>
                        </w:pPr>
                        <w:r w:rsidRPr="00DD4524">
                          <w:rPr>
                            <w:rFonts w:cs="Arial"/>
                            <w:color w:val="000000" w:themeColor="text1"/>
                            <w:sz w:val="18"/>
                            <w:szCs w:val="18"/>
                          </w:rPr>
                          <w:t>Licences issued</w:t>
                        </w:r>
                      </w:p>
                    </w:txbxContent>
                  </v:textbox>
                </v:shape>
                <v:shape id="Text Box 5" o:spid="_x0000_s1031" type="#_x0000_t202" alt="Licences issued" style="position:absolute;left:42031;top:6548;width:640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" fillcolor="#039" stroked="f" strokeweight=".5pt">
                  <v:fill opacity="6682f"/>
                  <v:textbox>
                    <w:txbxContent>
                      <w:p w14:paraId="64659C7A" w14:textId="77777777" w:rsidR="007F672B" w:rsidRDefault="007F672B" w:rsidP="007F672B">
                        <w:pPr>
                          <w:spacing w:before="120" w:line="256" w:lineRule="auto"/>
                          <w:rPr>
                            <w:rFonts w:eastAsia="Calibri"/>
                            <w:color w:val="000000"/>
                            <w:sz w:val="18"/>
                            <w:szCs w:val="18"/>
                          </w:rPr>
                        </w:pPr>
                        <w:r>
                          <w:rPr>
                            <w:rFonts w:eastAsia="Calibri"/>
                            <w:color w:val="000000"/>
                            <w:sz w:val="18"/>
                            <w:szCs w:val="18"/>
                          </w:rPr>
                          <w:t>Licences issued</w:t>
                        </w:r>
                      </w:p>
                    </w:txbxContent>
                  </v:textbox>
                </v:shape>
                <v:shape id="Text Box 5" o:spid="_x0000_s1032" type="#_x0000_t202" alt="Licences issued" style="position:absolute;left:52623;top:19254;width:6407;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" fillcolor="#f3a5d3" stroked="f" strokeweight=".5pt">
                  <v:fill opacity="16448f"/>
                  <v:textbox>
                    <w:txbxContent>
                      <w:p w14:paraId="5469BE23" w14:textId="77777777" w:rsidR="007F672B" w:rsidRDefault="007F672B" w:rsidP="007F672B">
                        <w:pPr>
                          <w:spacing w:before="120" w:after="160" w:line="256" w:lineRule="auto"/>
                          <w:rPr>
                            <w:rFonts w:eastAsia="Calibri"/>
                            <w:color w:val="000000"/>
                            <w:sz w:val="18"/>
                            <w:szCs w:val="18"/>
                          </w:rPr>
                        </w:pPr>
                        <w:r>
                          <w:rPr>
                            <w:rFonts w:eastAsia="Calibri"/>
                            <w:color w:val="000000"/>
                            <w:sz w:val="18"/>
                            <w:szCs w:val="18"/>
                          </w:rPr>
                          <w:t>Licences issued</w:t>
                        </w:r>
                      </w:p>
                    </w:txbxContent>
                  </v:textbox>
                </v:shape>
                <v:shape id="Text Box 5" o:spid="_x0000_s1033" type="#_x0000_t202" alt="Stage 2 (a)&#10;Sufficient spectrum in band, where applicants are competing for spectrum in the same band and geographic location. The ACMA assists applicants with negotiating an outcome.&#10;" style="position:absolute;left:10779;top:15355;width:19513;height:1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" fillcolor="#f3a5d3" stroked="f" strokeweight=".5pt">
                  <v:fill opacity="16448f"/>
                  <v:textbox>
                    <w:txbxContent>
                      <w:p w14:paraId="3D00C332" w14:textId="77777777" w:rsidR="007F672B" w:rsidRPr="00705C37" w:rsidRDefault="007F672B" w:rsidP="007F672B">
                        <w:pPr>
                          <w:spacing w:after="0"/>
                          <w:jc w:val="center"/>
                          <w:rPr>
                            <w:rFonts w:cs="Arial"/>
                            <w:b/>
                            <w:bCs/>
                            <w:color w:val="990099"/>
                            <w:sz w:val="21"/>
                            <w:szCs w:val="21"/>
                          </w:rPr>
                        </w:pPr>
                        <w:r w:rsidRPr="00705C37">
                          <w:rPr>
                            <w:rFonts w:cs="Arial"/>
                            <w:b/>
                            <w:bCs/>
                            <w:color w:val="990099"/>
                            <w:sz w:val="21"/>
                            <w:szCs w:val="21"/>
                          </w:rPr>
                          <w:t>Stage 2 (a)</w:t>
                        </w:r>
                      </w:p>
                      <w:p w14:paraId="614D22B7" w14:textId="77777777" w:rsidR="007F672B" w:rsidRPr="000A2182" w:rsidRDefault="007F672B" w:rsidP="007F672B">
                        <w:pPr>
                          <w:spacing w:after="0" w:line="259" w:lineRule="auto"/>
                          <w:rPr>
                            <w:rFonts w:asciiTheme="minorHAnsi" w:eastAsiaTheme="minorHAnsi" w:hAnsiTheme="minorHAnsi" w:cs="Arial"/>
                            <w:b/>
                            <w:bCs/>
                            <w:color w:val="3366CC"/>
                            <w:sz w:val="21"/>
                            <w:szCs w:val="21"/>
                          </w:rPr>
                        </w:pPr>
                        <w:r>
                          <w:rPr>
                            <w:rFonts w:cs="Arial"/>
                            <w:color w:val="000000" w:themeColor="text1"/>
                            <w:sz w:val="18"/>
                            <w:szCs w:val="18"/>
                          </w:rPr>
                          <w:t>Sufficient spectrum in band, where applicants are competing for spectrum in the same band and geographic location. The ACMA assists applicants with negotiating an outcome.</w:t>
                        </w:r>
                      </w:p>
                    </w:txbxContent>
                  </v:textbox>
                </v:shape>
                <v:shapetype id="_x0000_t32" coordsize="21600,21600" o:spt="32" o:oned="t" path="m,l21600,21600e" filled="f">
                  <v:path arrowok="t" fillok="f" o:connecttype="none"/>
                  <o:lock v:ext="edit" shapetype="t"/>
                </v:shapetype>
                <v:shape id="Straight Arrow Connector 6" o:spid="_x0000_s1034" type="#_x0000_t32" style="position:absolute;left:8712;top:21875;width:2067;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" strokecolor="#909" strokeweight="2pt">
                  <v:stroke endarrow="block"/>
                  <v:shadow on="t" color="black" opacity="24903f" origin=",.5" offset="0,.55556mm"/>
                </v:shape>
                <v:shape id="Straight Arrow Connector 11" o:spid="_x0000_s1035" type="#_x0000_t32" style="position:absolute;left:50771;top:22051;width:19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" strokecolor="#909" strokeweight="2pt">
                  <v:stroke endarrow="block"/>
                  <v:shadow on="t" color="black" opacity="24903f" origin=",.5" offset="0,.55556mm"/>
                </v:shape>
                <v:shape id="Text Box 5" o:spid="_x0000_s1036" type="#_x0000_t202" alt="Stage 2 (b)&#10;Insufficient spectrum in band, where applicants are competing for spectrum in the same band and geographic location. ACMA will take into account the allocation principles in considering licence applications.&#10;" style="position:absolute;left:31264;top:15406;width:19507;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" fillcolor="#f3a5d3" stroked="f" strokeweight=".5pt">
                  <v:fill opacity="16448f"/>
                  <v:textbox>
                    <w:txbxContent>
                      <w:p w14:paraId="28C55B98" w14:textId="77777777" w:rsidR="007F672B" w:rsidRDefault="007F672B" w:rsidP="007F672B">
                        <w:pPr>
                          <w:spacing w:after="0" w:line="257" w:lineRule="auto"/>
                          <w:jc w:val="center"/>
                          <w:rPr>
                            <w:rFonts w:ascii="Calibri" w:eastAsia="Calibri" w:hAnsi="Calibri" w:cs="Arial"/>
                            <w:b/>
                            <w:bCs/>
                            <w:color w:val="990099"/>
                            <w:sz w:val="21"/>
                            <w:szCs w:val="21"/>
                          </w:rPr>
                        </w:pPr>
                        <w:r>
                          <w:rPr>
                            <w:rFonts w:ascii="Calibri" w:eastAsia="Calibri" w:hAnsi="Calibri" w:cs="Arial"/>
                            <w:b/>
                            <w:bCs/>
                            <w:color w:val="990099"/>
                            <w:sz w:val="21"/>
                            <w:szCs w:val="21"/>
                          </w:rPr>
                          <w:t>Stage 2 (b)</w:t>
                        </w:r>
                      </w:p>
                      <w:p w14:paraId="36578D5E" w14:textId="3E0FBAD9" w:rsidR="007F672B" w:rsidRPr="00364D5B" w:rsidRDefault="007F672B" w:rsidP="007F672B">
                        <w:pPr>
                          <w:spacing w:after="160" w:line="256" w:lineRule="auto"/>
                          <w:rPr>
                            <w:rFonts w:ascii="Calibri" w:eastAsia="Calibri" w:hAnsi="Calibri" w:cs="Arial"/>
                            <w:b/>
                            <w:bCs/>
                            <w:color w:val="990099"/>
                            <w:sz w:val="21"/>
                            <w:szCs w:val="21"/>
                          </w:rPr>
                        </w:pPr>
                        <w:r>
                          <w:rPr>
                            <w:rFonts w:eastAsia="Calibri"/>
                            <w:color w:val="000000"/>
                            <w:sz w:val="18"/>
                            <w:szCs w:val="18"/>
                          </w:rPr>
                          <w:t xml:space="preserve">Insufficient spectrum in band, where applicants are competing for spectrum in the same band and geographic location. ACMA will take into account </w:t>
                        </w:r>
                        <w:r w:rsidR="00635B1A">
                          <w:rPr>
                            <w:rFonts w:eastAsia="Calibri"/>
                            <w:color w:val="000000"/>
                            <w:sz w:val="18"/>
                            <w:szCs w:val="18"/>
                          </w:rPr>
                          <w:t>the allocation</w:t>
                        </w:r>
                        <w:r>
                          <w:rPr>
                            <w:rFonts w:eastAsia="Calibri"/>
                            <w:color w:val="000000"/>
                            <w:sz w:val="18"/>
                            <w:szCs w:val="18"/>
                          </w:rPr>
                          <w:t xml:space="preserve"> principles in considering licence applications.</w:t>
                        </w:r>
                      </w:p>
                    </w:txbxContent>
                  </v:textbox>
                </v:shape>
                <v:shape id="Straight Arrow Connector 14" o:spid="_x0000_s1037" type="#_x0000_t32" style="position:absolute;left:27940;top:12889;width:0;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" strokecolor="#4f81bd [3204]" strokeweight="2pt">
                  <v:stroke endarrow="block"/>
                  <v:shadow on="t" color="black" opacity="24903f" origin=",.5" offset="0,.55556mm"/>
                </v:shape>
                <v:shape id="Straight Arrow Connector 15" o:spid="_x0000_s1038" type="#_x0000_t32" style="position:absolute;left:33528;top:12889;width:0;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" strokecolor="#4f81bd [3204]" strokeweight="2pt">
                  <v:stroke endarrow="block"/>
                  <v:shadow on="t" color="black" opacity="24903f" origin=",.5" offset="0,.55556mm"/>
                </v:shape>
                <v:shape id="Straight Arrow Connector 16" o:spid="_x0000_s1039" type="#_x0000_t32" style="position:absolute;left:39911;top:9295;width:2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" strokecolor="#4f81bd [3204]" strokeweight="2pt">
                  <v:stroke endarrow="block"/>
                  <v:shadow on="t" color="black" opacity="24903f" origin=",.5" offset="0,.55556mm"/>
                </v:shape>
                <v:shape id="Straight Arrow Connector 20" o:spid="_x0000_s1040" type="#_x0000_t32" style="position:absolute;left:30292;top:3498;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" strokecolor="#099" strokeweight="2pt">
                  <v:stroke endarrow="block"/>
                  <v:shadow on="t" color="black" opacity="24903f" origin=",.5" offset="0,.55556mm"/>
                </v:shape>
                <w10:anchorlock/>
              </v:group>
            </w:pict>
          </mc:Fallback>
        </mc:AlternateContent>
      </w:r>
      <w:r w:rsidR="00864745" w:rsidRPr="00851B47">
        <w:t xml:space="preserve"> </w:t>
      </w:r>
    </w:p>
    <w:p w14:paraId="261AC2BE" w14:textId="77777777" w:rsidR="00864745" w:rsidRDefault="00864745" w:rsidP="00864745">
      <w:pPr>
        <w:pStyle w:val="Paragraphbeforelist"/>
      </w:pPr>
    </w:p>
    <w:p w14:paraId="4E3C3B45" w14:textId="0667F7BA" w:rsidR="00864745" w:rsidRPr="0050665A" w:rsidRDefault="00382B93" w:rsidP="00116BFD">
      <w:pPr>
        <w:pStyle w:val="Bulletlevel1"/>
        <w:keepNext/>
        <w:keepLines/>
        <w:numPr>
          <w:ilvl w:val="0"/>
          <w:numId w:val="1"/>
        </w:numPr>
      </w:pPr>
      <w:r>
        <w:rPr>
          <w:b/>
          <w:bCs/>
        </w:rPr>
        <w:t>Application</w:t>
      </w:r>
      <w:r w:rsidRPr="00FA24D7">
        <w:rPr>
          <w:b/>
          <w:bCs/>
        </w:rPr>
        <w:t xml:space="preserve"> </w:t>
      </w:r>
      <w:r w:rsidR="00864745" w:rsidRPr="00FA24D7">
        <w:rPr>
          <w:b/>
          <w:bCs/>
        </w:rPr>
        <w:t>window</w:t>
      </w:r>
      <w:r w:rsidR="00864745" w:rsidRPr="0050665A">
        <w:t>: Timing of application receipt within the window will not be relevant for the consideration of applications.</w:t>
      </w:r>
    </w:p>
    <w:p w14:paraId="77BAACCA" w14:textId="55ABE226" w:rsidR="00864745" w:rsidRPr="002F1F24" w:rsidRDefault="00864745" w:rsidP="00864745">
      <w:pPr>
        <w:pStyle w:val="Bulletlevel1"/>
        <w:numPr>
          <w:ilvl w:val="0"/>
          <w:numId w:val="1"/>
        </w:numPr>
      </w:pPr>
      <w:r w:rsidRPr="00FA24D7">
        <w:rPr>
          <w:b/>
          <w:bCs/>
        </w:rPr>
        <w:t>Stage 1: Initial assessment</w:t>
      </w:r>
      <w:r w:rsidRPr="00DC7DE0">
        <w:t xml:space="preserve">. This </w:t>
      </w:r>
      <w:r w:rsidRPr="007B7467">
        <w:t xml:space="preserve">will identify the number of applicants for spectrum </w:t>
      </w:r>
      <w:r w:rsidRPr="002F1F24">
        <w:t>in the same band</w:t>
      </w:r>
      <w:r w:rsidR="00382B93">
        <w:t xml:space="preserve"> in the same area</w:t>
      </w:r>
      <w:r w:rsidRPr="002F1F24">
        <w:t xml:space="preserve">. If there are no competing applicants for spectrum in a particular band, the ACMA will </w:t>
      </w:r>
      <w:r w:rsidR="00382B93">
        <w:t xml:space="preserve">generally </w:t>
      </w:r>
      <w:r w:rsidRPr="002F1F24">
        <w:t>issue the licences according to the</w:t>
      </w:r>
      <w:r w:rsidRPr="002F1F24">
        <w:rPr>
          <w:i/>
        </w:rPr>
        <w:t xml:space="preserve"> </w:t>
      </w:r>
      <w:r w:rsidRPr="002F1F24">
        <w:t xml:space="preserve">RALI procedures for </w:t>
      </w:r>
      <w:r w:rsidR="00382B93">
        <w:t>AWLs</w:t>
      </w:r>
      <w:r w:rsidRPr="002F1F24">
        <w:t xml:space="preserve"> in the </w:t>
      </w:r>
      <w:r w:rsidR="00D62060" w:rsidRPr="002F1F24">
        <w:t>3.4–4.0</w:t>
      </w:r>
      <w:r w:rsidR="009C16FC" w:rsidRPr="002F1F24">
        <w:t> </w:t>
      </w:r>
      <w:r w:rsidR="00D62060" w:rsidRPr="002F1F24">
        <w:t>GHz</w:t>
      </w:r>
      <w:r w:rsidRPr="002F1F24">
        <w:t xml:space="preserve"> band (RALI </w:t>
      </w:r>
      <w:r w:rsidR="0072736C" w:rsidRPr="002F1F24">
        <w:t>MS</w:t>
      </w:r>
      <w:r w:rsidR="00D10A0E">
        <w:t>4</w:t>
      </w:r>
      <w:r w:rsidR="0072736C" w:rsidRPr="002F1F24">
        <w:t>7</w:t>
      </w:r>
      <w:r w:rsidRPr="002F1F24">
        <w:t>) and any other applicable RALI</w:t>
      </w:r>
      <w:r w:rsidR="00382B93">
        <w:t>.</w:t>
      </w:r>
    </w:p>
    <w:p w14:paraId="4F83C2B5" w14:textId="7A98A8B9" w:rsidR="00864745" w:rsidRPr="00643C13" w:rsidRDefault="00864745" w:rsidP="00E14FE1">
      <w:pPr>
        <w:pStyle w:val="Bulletlevel1last"/>
      </w:pPr>
      <w:r w:rsidRPr="00FA24D7">
        <w:rPr>
          <w:b/>
          <w:bCs/>
        </w:rPr>
        <w:t>Stage 2: Resolving any competing spectral demand</w:t>
      </w:r>
      <w:r>
        <w:t xml:space="preserve">. </w:t>
      </w:r>
      <w:r w:rsidR="00BB2290">
        <w:t>If there are comp</w:t>
      </w:r>
      <w:r w:rsidR="00207A32">
        <w:t xml:space="preserve">eting applicants for spectrum within a band, the ACMA will refer to the </w:t>
      </w:r>
      <w:hyperlink w:anchor="_3.4_Allocation_principles" w:history="1">
        <w:r w:rsidR="00825351" w:rsidRPr="00825351">
          <w:rPr>
            <w:rStyle w:val="Hyperlink"/>
          </w:rPr>
          <w:t>Allocation principles</w:t>
        </w:r>
      </w:hyperlink>
      <w:r w:rsidR="00207A32">
        <w:rPr>
          <w:rStyle w:val="Hyperlink"/>
          <w:i/>
          <w:iCs/>
          <w:u w:val="none"/>
        </w:rPr>
        <w:t xml:space="preserve"> </w:t>
      </w:r>
      <w:r w:rsidR="00207A32">
        <w:rPr>
          <w:rStyle w:val="Hyperlink"/>
          <w:color w:val="auto"/>
          <w:u w:val="none"/>
        </w:rPr>
        <w:t xml:space="preserve">in considering the amount and </w:t>
      </w:r>
      <w:r w:rsidR="00956ECA">
        <w:rPr>
          <w:rStyle w:val="Hyperlink"/>
          <w:color w:val="auto"/>
          <w:u w:val="none"/>
        </w:rPr>
        <w:t xml:space="preserve">location (geographic and frequency) of spectrum to offer each applicant. </w:t>
      </w:r>
      <w:r w:rsidRPr="00207A32">
        <w:t>Additional</w:t>
      </w:r>
      <w:r>
        <w:t xml:space="preserve"> information on this process is </w:t>
      </w:r>
      <w:r w:rsidR="00825351">
        <w:br/>
      </w:r>
      <w:r>
        <w:t xml:space="preserve">outlined </w:t>
      </w:r>
      <w:r w:rsidR="00956ECA">
        <w:t>below</w:t>
      </w:r>
      <w:r w:rsidRPr="00FA24D7">
        <w:rPr>
          <w:i/>
          <w:iCs/>
        </w:rPr>
        <w:t>.</w:t>
      </w:r>
      <w:r>
        <w:t xml:space="preserve"> </w:t>
      </w:r>
    </w:p>
    <w:p w14:paraId="0099BDBD" w14:textId="0A42794D" w:rsidR="00C4177D" w:rsidRDefault="00C4177D" w:rsidP="00864745">
      <w:pPr>
        <w:pStyle w:val="CommentText"/>
      </w:pPr>
      <w:bookmarkStart w:id="38" w:name="_Hlk47007797"/>
      <w:r>
        <w:t xml:space="preserve">This </w:t>
      </w:r>
      <w:r w:rsidR="00825351">
        <w:t>2</w:t>
      </w:r>
      <w:r>
        <w:t>-stage approach supports the efficient allocation of spectrum, in that it manages initial demand for spectrum</w:t>
      </w:r>
      <w:r w:rsidR="00D10A0E">
        <w:t>,</w:t>
      </w:r>
      <w:r>
        <w:t xml:space="preserve"> while </w:t>
      </w:r>
      <w:r w:rsidR="00D10A0E">
        <w:t>making any</w:t>
      </w:r>
      <w:r>
        <w:t xml:space="preserve"> residual spectrum available for allocation at a later stage. </w:t>
      </w:r>
    </w:p>
    <w:p w14:paraId="0CD18761" w14:textId="20A1F752" w:rsidR="00864745" w:rsidRDefault="00864745" w:rsidP="00864745">
      <w:pPr>
        <w:pStyle w:val="CommentText"/>
      </w:pPr>
      <w:r>
        <w:t xml:space="preserve">Once </w:t>
      </w:r>
      <w:r w:rsidR="00956ECA">
        <w:t>the</w:t>
      </w:r>
      <w:r>
        <w:t xml:space="preserve"> allocation </w:t>
      </w:r>
      <w:r w:rsidR="005F15F7">
        <w:t xml:space="preserve">process </w:t>
      </w:r>
      <w:r>
        <w:t xml:space="preserve">is completed, the issue of </w:t>
      </w:r>
      <w:r w:rsidR="00191199">
        <w:t xml:space="preserve">AWLs </w:t>
      </w:r>
      <w:r w:rsidR="008737CA">
        <w:t>in 3.4–4.0 GHz remote</w:t>
      </w:r>
      <w:r>
        <w:t xml:space="preserve"> will revert to our usual first-in-time basis for administrative apparatus licence allocations</w:t>
      </w:r>
      <w:r w:rsidR="008737CA">
        <w:t xml:space="preserve"> (subject to </w:t>
      </w:r>
      <w:r w:rsidR="00382B93">
        <w:t xml:space="preserve">any </w:t>
      </w:r>
      <w:r w:rsidR="008737CA">
        <w:t>allocation limits</w:t>
      </w:r>
      <w:r w:rsidR="00382B93">
        <w:t xml:space="preserve"> imposed under the Act</w:t>
      </w:r>
      <w:r w:rsidR="008737CA">
        <w:t>)</w:t>
      </w:r>
      <w:r>
        <w:t>.</w:t>
      </w:r>
      <w:bookmarkStart w:id="39" w:name="_Toc46323508"/>
      <w:bookmarkStart w:id="40" w:name="_Toc46323571"/>
      <w:bookmarkStart w:id="41" w:name="_Toc46323813"/>
      <w:bookmarkStart w:id="42" w:name="_Toc46323893"/>
      <w:bookmarkStart w:id="43" w:name="_Toc46413493"/>
      <w:bookmarkStart w:id="44" w:name="_Toc46413531"/>
      <w:bookmarkEnd w:id="39"/>
      <w:bookmarkEnd w:id="40"/>
      <w:bookmarkEnd w:id="41"/>
      <w:bookmarkEnd w:id="42"/>
      <w:bookmarkEnd w:id="43"/>
      <w:bookmarkEnd w:id="44"/>
    </w:p>
    <w:p w14:paraId="5D433DBF" w14:textId="77777777" w:rsidR="00864745" w:rsidRDefault="00864745" w:rsidP="00864745">
      <w:pPr>
        <w:pStyle w:val="Heading3"/>
        <w:keepNext w:val="0"/>
      </w:pPr>
      <w:bookmarkStart w:id="45" w:name="_Application_form"/>
      <w:bookmarkStart w:id="46" w:name="_Toc137726610"/>
      <w:bookmarkEnd w:id="45"/>
      <w:r>
        <w:t>Application form</w:t>
      </w:r>
      <w:bookmarkEnd w:id="46"/>
    </w:p>
    <w:p w14:paraId="77A4BA59" w14:textId="52141B86" w:rsidR="00864745" w:rsidRDefault="00864745" w:rsidP="00864745">
      <w:r>
        <w:t xml:space="preserve">An </w:t>
      </w:r>
      <w:r w:rsidR="00A03109">
        <w:t xml:space="preserve">online </w:t>
      </w:r>
      <w:r>
        <w:t xml:space="preserve">application form </w:t>
      </w:r>
      <w:r w:rsidR="00865051">
        <w:t xml:space="preserve">for AWLs </w:t>
      </w:r>
      <w:r w:rsidR="00C936F7">
        <w:t>is</w:t>
      </w:r>
      <w:r>
        <w:t xml:space="preserve"> available </w:t>
      </w:r>
      <w:r w:rsidR="00B103B8">
        <w:t>on</w:t>
      </w:r>
      <w:r w:rsidR="00825351">
        <w:t xml:space="preserve"> the </w:t>
      </w:r>
      <w:r w:rsidR="00825351" w:rsidRPr="008C4851">
        <w:rPr>
          <w:u w:color="0000FF"/>
        </w:rPr>
        <w:t>ACMA website</w:t>
      </w:r>
      <w:r w:rsidR="00825351">
        <w:t>.</w:t>
      </w:r>
      <w:r w:rsidR="00B103B8">
        <w:t xml:space="preserve"> </w:t>
      </w:r>
      <w:r>
        <w:t>This form will capture the information necessary for the ACMA to consider applications, including</w:t>
      </w:r>
      <w:r w:rsidR="00382B93">
        <w:t xml:space="preserve"> information useful for</w:t>
      </w:r>
      <w:r>
        <w:t xml:space="preserve"> resolving any competing spectral demand for applications that progress to stage 2 assessment. Collecting this information at the application stage will allow </w:t>
      </w:r>
      <w:r w:rsidR="00382B93">
        <w:t xml:space="preserve">AWLs </w:t>
      </w:r>
      <w:r>
        <w:t>to be issued expeditiously.</w:t>
      </w:r>
    </w:p>
    <w:p w14:paraId="281611BE" w14:textId="7770BF5A" w:rsidR="00447A72" w:rsidRDefault="007421A8" w:rsidP="00864745">
      <w:r>
        <w:t xml:space="preserve">The online form will be available from the opening of the application window. </w:t>
      </w:r>
      <w:r w:rsidR="00624C96" w:rsidRPr="00CD7E71">
        <w:t xml:space="preserve">To submit an application </w:t>
      </w:r>
      <w:r w:rsidR="00217332">
        <w:t xml:space="preserve">using the </w:t>
      </w:r>
      <w:r w:rsidR="00A35266">
        <w:t>online</w:t>
      </w:r>
      <w:r w:rsidR="00795332">
        <w:t xml:space="preserve"> form </w:t>
      </w:r>
      <w:r w:rsidR="00821DF4">
        <w:t xml:space="preserve">the applicant </w:t>
      </w:r>
      <w:r w:rsidR="00624C96" w:rsidRPr="00CD7E71">
        <w:t xml:space="preserve">must sign in using </w:t>
      </w:r>
      <w:r w:rsidR="00382B93">
        <w:t>the</w:t>
      </w:r>
      <w:r w:rsidR="00821DF4">
        <w:t>ir</w:t>
      </w:r>
      <w:r w:rsidR="00382B93">
        <w:t xml:space="preserve"> </w:t>
      </w:r>
      <w:r w:rsidR="00382B93" w:rsidRPr="00CD7E71">
        <w:t xml:space="preserve"> </w:t>
      </w:r>
      <w:proofErr w:type="spellStart"/>
      <w:r w:rsidR="00624C96" w:rsidRPr="00CD7E71">
        <w:t>myGovID</w:t>
      </w:r>
      <w:proofErr w:type="spellEnd"/>
      <w:r w:rsidR="00624C96" w:rsidRPr="00CD7E71">
        <w:t xml:space="preserve"> account.</w:t>
      </w:r>
      <w:r w:rsidR="00061349">
        <w:t xml:space="preserve"> </w:t>
      </w:r>
    </w:p>
    <w:p w14:paraId="74878536" w14:textId="0B9DFCCA" w:rsidR="00624C96" w:rsidRDefault="0033051A" w:rsidP="00864745">
      <w:r w:rsidRPr="005B2A22">
        <w:t xml:space="preserve">Applicants should seek guidance from an </w:t>
      </w:r>
      <w:hyperlink r:id="rId49" w:history="1">
        <w:r w:rsidR="00382B93">
          <w:t>a</w:t>
        </w:r>
      </w:hyperlink>
      <w:r w:rsidR="00382B93">
        <w:t>ccredited person</w:t>
      </w:r>
      <w:r>
        <w:t xml:space="preserve"> </w:t>
      </w:r>
      <w:r w:rsidRPr="005B2A22">
        <w:t>in determining the frequency/ geographic area for an AWL application.</w:t>
      </w:r>
      <w:r>
        <w:t xml:space="preserve"> AWLs </w:t>
      </w:r>
      <w:r w:rsidRPr="004B3C62">
        <w:t>will</w:t>
      </w:r>
      <w:r w:rsidRPr="004B3C62" w:rsidDel="00B12EB7">
        <w:t xml:space="preserve"> </w:t>
      </w:r>
      <w:r>
        <w:t>not be</w:t>
      </w:r>
      <w:r w:rsidRPr="004B3C62">
        <w:t xml:space="preserve"> </w:t>
      </w:r>
      <w:r w:rsidR="00C924C9">
        <w:t xml:space="preserve">issued </w:t>
      </w:r>
      <w:r>
        <w:t>for</w:t>
      </w:r>
      <w:r w:rsidRPr="005B2A22">
        <w:t xml:space="preserve"> </w:t>
      </w:r>
      <w:r w:rsidR="00C924C9">
        <w:t xml:space="preserve">a </w:t>
      </w:r>
      <w:r w:rsidRPr="005B2A22">
        <w:t xml:space="preserve">geographic area </w:t>
      </w:r>
      <w:r w:rsidR="00C924C9">
        <w:t>outside the defined remote area</w:t>
      </w:r>
      <w:r w:rsidR="004717D2">
        <w:t xml:space="preserve">s. Applications for </w:t>
      </w:r>
      <w:r w:rsidRPr="005B2A22">
        <w:t>an allocation quantum exceeding 100 MHz</w:t>
      </w:r>
      <w:r w:rsidR="004717D2">
        <w:t xml:space="preserve"> should be accompanied by </w:t>
      </w:r>
      <w:r w:rsidRPr="005B2A22">
        <w:t>supporti</w:t>
      </w:r>
      <w:r w:rsidR="004717D2">
        <w:t>ng</w:t>
      </w:r>
      <w:r w:rsidRPr="005B2A22">
        <w:t xml:space="preserve"> documentation. </w:t>
      </w:r>
      <w:r w:rsidR="006045CD">
        <w:t>As mentioned, t</w:t>
      </w:r>
      <w:r w:rsidR="00291992">
        <w:t xml:space="preserve">he ACMA </w:t>
      </w:r>
      <w:r w:rsidR="00365F4E">
        <w:t xml:space="preserve">does not intend to </w:t>
      </w:r>
      <w:r w:rsidR="00291992">
        <w:t xml:space="preserve">issue a </w:t>
      </w:r>
      <w:r w:rsidR="00E65303">
        <w:t>licence</w:t>
      </w:r>
      <w:r w:rsidR="002E5907">
        <w:t xml:space="preserve"> </w:t>
      </w:r>
      <w:r w:rsidR="00365F4E">
        <w:t xml:space="preserve">with an expiry date beyond </w:t>
      </w:r>
      <w:r w:rsidR="00482855" w:rsidRPr="00E80D16">
        <w:t>13</w:t>
      </w:r>
      <w:r w:rsidR="00482855">
        <w:t xml:space="preserve"> </w:t>
      </w:r>
      <w:r w:rsidR="00E54740">
        <w:t>Decemb</w:t>
      </w:r>
      <w:r w:rsidR="00687200">
        <w:t>er 2030</w:t>
      </w:r>
      <w:r w:rsidR="0021005F">
        <w:t>.</w:t>
      </w:r>
      <w:r w:rsidR="0001401B">
        <w:t xml:space="preserve"> </w:t>
      </w:r>
    </w:p>
    <w:bookmarkEnd w:id="38"/>
    <w:p w14:paraId="5B167B3F" w14:textId="77777777" w:rsidR="00395A0C" w:rsidRDefault="00395A0C" w:rsidP="00E14FE1">
      <w:pPr>
        <w:pStyle w:val="Paragraphbeforelist"/>
      </w:pPr>
      <w:r>
        <w:t>Information required on the application form</w:t>
      </w:r>
      <w:r w:rsidR="0081041E" w:rsidRPr="009E3816">
        <w:t xml:space="preserve"> (in addition to the basic information about spectrum and area) include</w:t>
      </w:r>
      <w:r>
        <w:t>s:</w:t>
      </w:r>
    </w:p>
    <w:p w14:paraId="01930769" w14:textId="77777777" w:rsidR="00395A0C" w:rsidRDefault="0081041E" w:rsidP="00B80D33">
      <w:pPr>
        <w:pStyle w:val="Bulletlevel1"/>
      </w:pPr>
      <w:r w:rsidRPr="009E3816">
        <w:t xml:space="preserve">a description of the proposed use-case, </w:t>
      </w:r>
    </w:p>
    <w:p w14:paraId="40B7FCFC" w14:textId="383E5397" w:rsidR="00395A0C" w:rsidRDefault="0081041E" w:rsidP="00B80D33">
      <w:pPr>
        <w:pStyle w:val="Bulletlevel1"/>
      </w:pPr>
      <w:r w:rsidRPr="009E3816">
        <w:t>the nature of the service provision (for example, industry vertical, enterprise, MNO)</w:t>
      </w:r>
    </w:p>
    <w:p w14:paraId="25A0929C" w14:textId="1B296C78" w:rsidR="00395A0C" w:rsidRDefault="0081041E" w:rsidP="00B80D33">
      <w:pPr>
        <w:pStyle w:val="Bulletlevel1last"/>
      </w:pPr>
      <w:r w:rsidRPr="009E3816">
        <w:t>t</w:t>
      </w:r>
      <w:r w:rsidR="00395A0C">
        <w:t>h</w:t>
      </w:r>
      <w:r w:rsidRPr="009E3816">
        <w:t>e proposed timeframe for deployment</w:t>
      </w:r>
      <w:r w:rsidR="006045CD">
        <w:t xml:space="preserve"> of radiocommunications transmitters</w:t>
      </w:r>
      <w:r w:rsidRPr="009E3816">
        <w:t xml:space="preserve">. </w:t>
      </w:r>
    </w:p>
    <w:p w14:paraId="25EBDE33" w14:textId="4975F09E" w:rsidR="0081041E" w:rsidRPr="006045CD" w:rsidRDefault="0081041E" w:rsidP="00395A0C">
      <w:r w:rsidRPr="009E3816">
        <w:t>All information collected on the application form, except that required to be recorded on the RRL, will be treated as commercial-in-confidence.</w:t>
      </w:r>
      <w:r w:rsidR="006045CD">
        <w:t xml:space="preserve"> However, confidential information may sometimes be required or authorised to be disclosed under Commonwealth laws (for example, the </w:t>
      </w:r>
      <w:r w:rsidR="006045CD">
        <w:rPr>
          <w:i/>
          <w:iCs/>
        </w:rPr>
        <w:t>Freedom of Information Act 1982</w:t>
      </w:r>
      <w:r w:rsidR="006045CD">
        <w:t>).</w:t>
      </w:r>
    </w:p>
    <w:p w14:paraId="31B3EF35" w14:textId="55C86A00" w:rsidR="00864745" w:rsidRDefault="00A774A1" w:rsidP="00864745">
      <w:pPr>
        <w:pStyle w:val="Heading2"/>
      </w:pPr>
      <w:bookmarkStart w:id="47" w:name="_Toc45872453"/>
      <w:bookmarkStart w:id="48" w:name="_Toc137726611"/>
      <w:r>
        <w:t>3.</w:t>
      </w:r>
      <w:r w:rsidR="00821DF4">
        <w:t>2</w:t>
      </w:r>
      <w:r>
        <w:tab/>
      </w:r>
      <w:r w:rsidR="009370D2">
        <w:t>M</w:t>
      </w:r>
      <w:r w:rsidR="00864745">
        <w:t xml:space="preserve">inimum </w:t>
      </w:r>
      <w:r w:rsidR="00864745" w:rsidRPr="00237620">
        <w:t>a</w:t>
      </w:r>
      <w:r w:rsidR="00864745">
        <w:t>n</w:t>
      </w:r>
      <w:r w:rsidR="00864745" w:rsidRPr="00237620">
        <w:t xml:space="preserve">d maximum </w:t>
      </w:r>
      <w:r w:rsidR="00864745">
        <w:t xml:space="preserve">amount of spectrum </w:t>
      </w:r>
      <w:r w:rsidR="00864745" w:rsidRPr="00237620">
        <w:t>and geographic area</w:t>
      </w:r>
      <w:bookmarkEnd w:id="47"/>
      <w:bookmarkEnd w:id="48"/>
    </w:p>
    <w:p w14:paraId="6EF1B1A4" w14:textId="170E54D5" w:rsidR="00864745" w:rsidRDefault="00864745" w:rsidP="00864745">
      <w:pPr>
        <w:pStyle w:val="Paragraph"/>
      </w:pPr>
      <w:r w:rsidRPr="00237620">
        <w:t xml:space="preserve">The minimum amount of spectrum </w:t>
      </w:r>
      <w:r>
        <w:t>applicants</w:t>
      </w:r>
      <w:r w:rsidRPr="00237620">
        <w:t xml:space="preserve"> can</w:t>
      </w:r>
      <w:r w:rsidR="006045CD">
        <w:t xml:space="preserve"> generally</w:t>
      </w:r>
      <w:r w:rsidRPr="00237620">
        <w:t xml:space="preserve"> apply for is </w:t>
      </w:r>
      <w:r w:rsidRPr="00421E18">
        <w:t xml:space="preserve">one 10 MHz channel. The minimum geographic area available is </w:t>
      </w:r>
      <w:r w:rsidR="006045CD">
        <w:t xml:space="preserve">generally </w:t>
      </w:r>
      <w:r w:rsidRPr="00421E18">
        <w:t xml:space="preserve">one </w:t>
      </w:r>
      <w:r w:rsidRPr="00B748A4">
        <w:t>HCIS 0</w:t>
      </w:r>
      <w:r w:rsidRPr="00421E18">
        <w:t xml:space="preserve"> cell, which is </w:t>
      </w:r>
      <w:r w:rsidR="00356F07">
        <w:t xml:space="preserve">approximately </w:t>
      </w:r>
      <w:r w:rsidRPr="00421E18">
        <w:t>1800 x 1800 m. Therefo</w:t>
      </w:r>
      <w:r>
        <w:t>re, the minimum cell/channel combination is a 10 MHz channel with a</w:t>
      </w:r>
      <w:r w:rsidR="00B503B9">
        <w:t>n</w:t>
      </w:r>
      <w:r>
        <w:t xml:space="preserve"> 1800 x 1800 m cell</w:t>
      </w:r>
      <w:r w:rsidR="00B835F9">
        <w:t xml:space="preserve"> (see </w:t>
      </w:r>
      <w:hyperlink w:anchor="_Available_spectrum" w:history="1">
        <w:r w:rsidR="00B835F9" w:rsidRPr="00E14FE1">
          <w:rPr>
            <w:rStyle w:val="Hyperlink"/>
          </w:rPr>
          <w:t>Available spectrum</w:t>
        </w:r>
      </w:hyperlink>
      <w:r w:rsidR="00B835F9">
        <w:t>)</w:t>
      </w:r>
      <w:r>
        <w:t xml:space="preserve">. </w:t>
      </w:r>
    </w:p>
    <w:p w14:paraId="720B236E" w14:textId="26D93DA3" w:rsidR="00015685" w:rsidRDefault="00015685" w:rsidP="00015685">
      <w:pPr>
        <w:pStyle w:val="Paragraph"/>
      </w:pPr>
      <w:r w:rsidRPr="00B01DB7">
        <w:t xml:space="preserve">Geographic areas </w:t>
      </w:r>
      <w:r w:rsidR="006045CD">
        <w:t>should</w:t>
      </w:r>
      <w:r w:rsidRPr="00B01DB7">
        <w:t xml:space="preserve"> consist of whole HCIS cells</w:t>
      </w:r>
      <w:r w:rsidR="00AB0D01">
        <w:t xml:space="preserve"> (see </w:t>
      </w:r>
      <w:hyperlink w:anchor="_Geographical_areas" w:history="1">
        <w:r w:rsidR="00AB0D01" w:rsidRPr="00E14FE1">
          <w:rPr>
            <w:rStyle w:val="Hyperlink"/>
          </w:rPr>
          <w:t>Geographic areas</w:t>
        </w:r>
      </w:hyperlink>
      <w:r w:rsidR="00AB0D01">
        <w:t>)</w:t>
      </w:r>
      <w:r w:rsidRPr="00B01DB7">
        <w:t xml:space="preserve">. </w:t>
      </w:r>
      <w:r w:rsidRPr="00C6419C">
        <w:t>The ASMG has be</w:t>
      </w:r>
      <w:r>
        <w:t>e</w:t>
      </w:r>
      <w:r w:rsidRPr="00C6419C">
        <w:t>n updated to include additional HCIS levels</w:t>
      </w:r>
      <w:r w:rsidR="00825351">
        <w:t xml:space="preserve"> – </w:t>
      </w:r>
      <w:r w:rsidRPr="00C6419C">
        <w:t>level 0 cells comprising an area of 1 x 1 minutes</w:t>
      </w:r>
      <w:r w:rsidR="006045CD">
        <w:t>,</w:t>
      </w:r>
      <w:r w:rsidRPr="00C6419C">
        <w:t xml:space="preserve"> and level 00 cells comprising an area of 20 x 15 seconds</w:t>
      </w:r>
      <w:r w:rsidRPr="007E19FC">
        <w:t>.</w:t>
      </w:r>
      <w:r>
        <w:t xml:space="preserve"> </w:t>
      </w:r>
      <w:r w:rsidRPr="00B01DB7">
        <w:t xml:space="preserve">The smallest geographic area </w:t>
      </w:r>
      <w:r w:rsidR="006045CD">
        <w:t xml:space="preserve">generally </w:t>
      </w:r>
      <w:r w:rsidRPr="00B01DB7">
        <w:t xml:space="preserve">authorised by an AWL is a single HCIS level </w:t>
      </w:r>
      <w:r>
        <w:t>0</w:t>
      </w:r>
      <w:r w:rsidRPr="00B01DB7">
        <w:t xml:space="preserve"> cell comprising an area of </w:t>
      </w:r>
      <w:r w:rsidRPr="007E19FC">
        <w:t>1</w:t>
      </w:r>
      <w:r>
        <w:t xml:space="preserve"> </w:t>
      </w:r>
      <w:r w:rsidRPr="007E19FC">
        <w:t>x</w:t>
      </w:r>
      <w:r>
        <w:t xml:space="preserve"> </w:t>
      </w:r>
      <w:r w:rsidRPr="007E19FC">
        <w:t xml:space="preserve">1 minutes </w:t>
      </w:r>
      <w:r w:rsidRPr="00B01DB7">
        <w:t xml:space="preserve">(equating to approximately </w:t>
      </w:r>
      <w:r>
        <w:t>180</w:t>
      </w:r>
      <w:r w:rsidRPr="00B01DB7">
        <w:t>0</w:t>
      </w:r>
      <w:r>
        <w:t xml:space="preserve"> x</w:t>
      </w:r>
      <w:r w:rsidRPr="00B01DB7">
        <w:t xml:space="preserve"> </w:t>
      </w:r>
      <w:r>
        <w:t>18</w:t>
      </w:r>
      <w:r w:rsidRPr="00B01DB7">
        <w:t>00</w:t>
      </w:r>
      <w:r>
        <w:t xml:space="preserve"> m</w:t>
      </w:r>
      <w:r w:rsidRPr="00B01DB7">
        <w:t>).</w:t>
      </w:r>
    </w:p>
    <w:p w14:paraId="4938E367" w14:textId="5D52DD5B" w:rsidR="00864745" w:rsidRDefault="00377DDF" w:rsidP="00864745">
      <w:pPr>
        <w:pStyle w:val="Paragraphbeforelist"/>
      </w:pPr>
      <w:r>
        <w:t xml:space="preserve">Prospective licensees </w:t>
      </w:r>
      <w:r w:rsidR="00864745">
        <w:t xml:space="preserve">may </w:t>
      </w:r>
      <w:r w:rsidR="001F5F95">
        <w:t xml:space="preserve">apply for </w:t>
      </w:r>
      <w:r w:rsidR="00864745" w:rsidRPr="00316198">
        <w:t xml:space="preserve">an AWL for a single </w:t>
      </w:r>
      <w:r w:rsidR="00AC215F">
        <w:t xml:space="preserve">HCIS </w:t>
      </w:r>
      <w:r w:rsidR="008613DB">
        <w:t>0 cell</w:t>
      </w:r>
      <w:r w:rsidR="00864745" w:rsidRPr="00316198">
        <w:t xml:space="preserve"> or combine any number of cells </w:t>
      </w:r>
      <w:r w:rsidR="00864745">
        <w:t>to form a</w:t>
      </w:r>
      <w:r w:rsidR="00864745" w:rsidRPr="00316198">
        <w:t xml:space="preserve"> larger geographic area</w:t>
      </w:r>
      <w:r w:rsidR="00864745">
        <w:t xml:space="preserve">, but large contiguous areas </w:t>
      </w:r>
      <w:r w:rsidR="006045CD">
        <w:t>are</w:t>
      </w:r>
      <w:r w:rsidR="00864745">
        <w:t xml:space="preserve"> not guaranteed</w:t>
      </w:r>
      <w:r w:rsidR="00864745" w:rsidRPr="00316198">
        <w:t xml:space="preserve">. </w:t>
      </w:r>
      <w:r w:rsidR="00864745">
        <w:t>C</w:t>
      </w:r>
      <w:r w:rsidR="00864745" w:rsidRPr="00316198">
        <w:t>ells will be smaller subsets of HCIS cells, using the following model:</w:t>
      </w:r>
    </w:p>
    <w:p w14:paraId="2678C5F4" w14:textId="77777777" w:rsidR="00864745" w:rsidRPr="004A4E00" w:rsidRDefault="00864745" w:rsidP="00B80D33">
      <w:pPr>
        <w:pStyle w:val="Bulletlevel1"/>
      </w:pPr>
      <w:r>
        <w:t>o</w:t>
      </w:r>
      <w:r w:rsidRPr="0014330C">
        <w:t xml:space="preserve">ne AWL cell </w:t>
      </w:r>
      <w:r w:rsidRPr="004A4E00">
        <w:t>is equivalent to one ‘HCIS 0’ level cell.</w:t>
      </w:r>
    </w:p>
    <w:p w14:paraId="024EEBD3" w14:textId="77777777" w:rsidR="00864745" w:rsidRDefault="00864745" w:rsidP="00B80D33">
      <w:pPr>
        <w:pStyle w:val="Bulletlevel1last"/>
      </w:pPr>
      <w:r>
        <w:t>t</w:t>
      </w:r>
      <w:r w:rsidRPr="0014330C">
        <w:t xml:space="preserve">here are 25 </w:t>
      </w:r>
      <w:r w:rsidRPr="004A4E00">
        <w:t>HCIS</w:t>
      </w:r>
      <w:r w:rsidRPr="0014330C">
        <w:t xml:space="preserve"> 0 level cells in one HCIS 1 level cell.</w:t>
      </w:r>
    </w:p>
    <w:p w14:paraId="35B78691" w14:textId="251B5C6B" w:rsidR="00170AB2" w:rsidRPr="007C71FA" w:rsidRDefault="004229C9" w:rsidP="00170AB2">
      <w:pPr>
        <w:pStyle w:val="Heading2"/>
      </w:pPr>
      <w:bookmarkStart w:id="49" w:name="_What_criteria_will"/>
      <w:bookmarkStart w:id="50" w:name="_How_will_the"/>
      <w:bookmarkStart w:id="51" w:name="_Toc137726612"/>
      <w:bookmarkStart w:id="52" w:name="_Toc45872454"/>
      <w:bookmarkEnd w:id="49"/>
      <w:bookmarkEnd w:id="50"/>
      <w:r>
        <w:t>3.</w:t>
      </w:r>
      <w:r w:rsidR="00D5712D">
        <w:t>3</w:t>
      </w:r>
      <w:r>
        <w:tab/>
      </w:r>
      <w:r w:rsidR="00170AB2">
        <w:t xml:space="preserve">Allocation </w:t>
      </w:r>
      <w:r w:rsidR="00D33743">
        <w:t>quantum</w:t>
      </w:r>
      <w:bookmarkEnd w:id="51"/>
      <w:r w:rsidR="00D33743">
        <w:t xml:space="preserve"> </w:t>
      </w:r>
    </w:p>
    <w:p w14:paraId="5CB2474F" w14:textId="34162140" w:rsidR="00170AB2" w:rsidRDefault="00170AB2" w:rsidP="00170AB2">
      <w:pPr>
        <w:pStyle w:val="Paragraph"/>
        <w:rPr>
          <w:szCs w:val="20"/>
        </w:rPr>
      </w:pPr>
      <w:r w:rsidRPr="007F5B21">
        <w:rPr>
          <w:szCs w:val="20"/>
        </w:rPr>
        <w:t xml:space="preserve">To ensure </w:t>
      </w:r>
      <w:r w:rsidR="00FA33AC">
        <w:rPr>
          <w:szCs w:val="20"/>
        </w:rPr>
        <w:t>that the</w:t>
      </w:r>
      <w:r w:rsidRPr="007F5B21">
        <w:rPr>
          <w:szCs w:val="20"/>
        </w:rPr>
        <w:t xml:space="preserve"> allocation promotes long-term public interest derived from use of spectrum, </w:t>
      </w:r>
      <w:r w:rsidR="006045CD">
        <w:rPr>
          <w:szCs w:val="20"/>
        </w:rPr>
        <w:t xml:space="preserve">the ACMA has adopted a policy that, generally, it will not issue an AWL in the 3.4–4.0 GHz band in remote areas that authorises more than </w:t>
      </w:r>
      <w:r w:rsidR="00827622" w:rsidRPr="0066024E">
        <w:rPr>
          <w:szCs w:val="20"/>
        </w:rPr>
        <w:t>100 </w:t>
      </w:r>
      <w:r w:rsidRPr="0066024E">
        <w:rPr>
          <w:szCs w:val="20"/>
        </w:rPr>
        <w:t>MHz in any one HCIS level 0</w:t>
      </w:r>
      <w:r w:rsidR="006045CD">
        <w:rPr>
          <w:szCs w:val="20"/>
        </w:rPr>
        <w:t xml:space="preserve"> (allocation quantum policy)</w:t>
      </w:r>
      <w:r w:rsidR="004229C9">
        <w:rPr>
          <w:szCs w:val="20"/>
        </w:rPr>
        <w:t xml:space="preserve">. Applicants </w:t>
      </w:r>
      <w:r w:rsidR="00E16F6D">
        <w:rPr>
          <w:szCs w:val="20"/>
        </w:rPr>
        <w:t xml:space="preserve">seeking </w:t>
      </w:r>
      <w:r w:rsidR="00782887">
        <w:rPr>
          <w:szCs w:val="20"/>
        </w:rPr>
        <w:t xml:space="preserve">a </w:t>
      </w:r>
      <w:r w:rsidR="00E16F6D">
        <w:rPr>
          <w:szCs w:val="20"/>
        </w:rPr>
        <w:t>quantum in excess of this limit should provide additional documentation to support their application</w:t>
      </w:r>
      <w:r w:rsidRPr="0066024E">
        <w:rPr>
          <w:szCs w:val="20"/>
        </w:rPr>
        <w:t xml:space="preserve">. A </w:t>
      </w:r>
      <w:r w:rsidR="00E729EF">
        <w:rPr>
          <w:szCs w:val="20"/>
        </w:rPr>
        <w:t>quantum</w:t>
      </w:r>
      <w:r w:rsidR="00867430">
        <w:rPr>
          <w:szCs w:val="20"/>
        </w:rPr>
        <w:t xml:space="preserve"> </w:t>
      </w:r>
      <w:r w:rsidRPr="0066024E">
        <w:rPr>
          <w:szCs w:val="20"/>
        </w:rPr>
        <w:t xml:space="preserve">of </w:t>
      </w:r>
      <w:r w:rsidR="00827622" w:rsidRPr="0066024E">
        <w:rPr>
          <w:szCs w:val="20"/>
        </w:rPr>
        <w:t xml:space="preserve">100 </w:t>
      </w:r>
      <w:r w:rsidRPr="0066024E">
        <w:rPr>
          <w:szCs w:val="20"/>
        </w:rPr>
        <w:t>MHz would comfortably accommodate most likely use ca</w:t>
      </w:r>
      <w:r w:rsidRPr="006C614B">
        <w:rPr>
          <w:szCs w:val="20"/>
        </w:rPr>
        <w:t xml:space="preserve">ses, facilitate a minimum of </w:t>
      </w:r>
      <w:r w:rsidR="00827622" w:rsidRPr="006C614B">
        <w:rPr>
          <w:szCs w:val="20"/>
        </w:rPr>
        <w:t xml:space="preserve">6 </w:t>
      </w:r>
      <w:r w:rsidRPr="006C614B">
        <w:rPr>
          <w:szCs w:val="20"/>
        </w:rPr>
        <w:t>licensees</w:t>
      </w:r>
      <w:r w:rsidR="006045CD">
        <w:rPr>
          <w:szCs w:val="20"/>
        </w:rPr>
        <w:t xml:space="preserve"> in any one area</w:t>
      </w:r>
      <w:r w:rsidRPr="007F5B21">
        <w:rPr>
          <w:szCs w:val="20"/>
        </w:rPr>
        <w:t>, while providing an excess that may capture potential edge use cases that require a larger quantum of spectrum.</w:t>
      </w:r>
      <w:r w:rsidR="00DE3ABF">
        <w:rPr>
          <w:szCs w:val="20"/>
        </w:rPr>
        <w:t xml:space="preserve"> This approach supports a range of use cases and users and </w:t>
      </w:r>
      <w:r w:rsidR="004C482E">
        <w:rPr>
          <w:szCs w:val="20"/>
        </w:rPr>
        <w:t>the efficient allocation of spectrum.</w:t>
      </w:r>
    </w:p>
    <w:p w14:paraId="35426A8E" w14:textId="1B1E777B" w:rsidR="00864745" w:rsidRDefault="009C5D52" w:rsidP="00864745">
      <w:pPr>
        <w:pStyle w:val="Heading2"/>
      </w:pPr>
      <w:bookmarkStart w:id="53" w:name="_3.4_Allocation_principles"/>
      <w:bookmarkStart w:id="54" w:name="_Toc137726613"/>
      <w:bookmarkEnd w:id="53"/>
      <w:r>
        <w:t>3.</w:t>
      </w:r>
      <w:r w:rsidR="00D5712D">
        <w:t>4</w:t>
      </w:r>
      <w:r>
        <w:tab/>
      </w:r>
      <w:r w:rsidR="005E2F84">
        <w:t>Allocation principles</w:t>
      </w:r>
      <w:bookmarkEnd w:id="54"/>
    </w:p>
    <w:bookmarkEnd w:id="52"/>
    <w:p w14:paraId="57CAEAEE" w14:textId="3CD5AB97" w:rsidR="0083056E" w:rsidRPr="0060447E" w:rsidRDefault="00864745" w:rsidP="00864745">
      <w:pPr>
        <w:pStyle w:val="Paragraph"/>
        <w:rPr>
          <w:rFonts w:eastAsiaTheme="minorHAnsi"/>
          <w:szCs w:val="20"/>
        </w:rPr>
      </w:pPr>
      <w:r w:rsidRPr="00DF2219">
        <w:rPr>
          <w:szCs w:val="20"/>
        </w:rPr>
        <w:t>The ACMA will take into account a range of matters in considering the issue of an AWL in a particular band.</w:t>
      </w:r>
      <w:r w:rsidRPr="00DF2219">
        <w:rPr>
          <w:rFonts w:eastAsiaTheme="minorHAnsi"/>
          <w:szCs w:val="20"/>
        </w:rPr>
        <w:t xml:space="preserve"> These factors will include the licensing arrangements (if any) that exist in the relevant band, the likely technologies and deployment scenarios that will be employed in the band, the necessary conditions for co-existence of services</w:t>
      </w:r>
      <w:r w:rsidR="006045CD">
        <w:rPr>
          <w:rFonts w:eastAsiaTheme="minorHAnsi"/>
          <w:szCs w:val="20"/>
        </w:rPr>
        <w:t>, and the matters the Act requires the ACMA to have regard to</w:t>
      </w:r>
      <w:r w:rsidRPr="00DF2219">
        <w:rPr>
          <w:rFonts w:eastAsiaTheme="minorHAnsi"/>
          <w:szCs w:val="20"/>
        </w:rPr>
        <w:t xml:space="preserve">. </w:t>
      </w:r>
    </w:p>
    <w:p w14:paraId="74917822" w14:textId="095B9B7C" w:rsidR="00864745" w:rsidRPr="00DF2219" w:rsidRDefault="009126C4" w:rsidP="00864745">
      <w:pPr>
        <w:pStyle w:val="Paragraph"/>
        <w:rPr>
          <w:rFonts w:eastAsiaTheme="minorHAnsi"/>
          <w:szCs w:val="20"/>
        </w:rPr>
      </w:pPr>
      <w:r>
        <w:rPr>
          <w:rFonts w:eastAsiaTheme="minorHAnsi"/>
          <w:szCs w:val="20"/>
        </w:rPr>
        <w:t xml:space="preserve">Figure 2 above shows the stages of the application process. </w:t>
      </w:r>
      <w:r w:rsidR="00864745" w:rsidRPr="00DF2219">
        <w:rPr>
          <w:rFonts w:eastAsiaTheme="minorHAnsi"/>
          <w:szCs w:val="20"/>
        </w:rPr>
        <w:t>If the initial assessment stage (stage 1) identifies that there are competing applicants for the same spectrum</w:t>
      </w:r>
      <w:r w:rsidR="006045CD">
        <w:rPr>
          <w:rFonts w:eastAsiaTheme="minorHAnsi"/>
          <w:szCs w:val="20"/>
        </w:rPr>
        <w:t xml:space="preserve"> in the same area</w:t>
      </w:r>
      <w:r w:rsidR="00864745" w:rsidRPr="00DF2219">
        <w:rPr>
          <w:rFonts w:eastAsiaTheme="minorHAnsi"/>
          <w:szCs w:val="20"/>
        </w:rPr>
        <w:t>, these applications will move to the second stage of the decision-making process</w:t>
      </w:r>
      <w:r w:rsidR="00156450">
        <w:rPr>
          <w:rFonts w:eastAsiaTheme="minorHAnsi"/>
          <w:szCs w:val="20"/>
        </w:rPr>
        <w:t xml:space="preserve">: </w:t>
      </w:r>
      <w:r w:rsidR="00864745" w:rsidRPr="00DF2219">
        <w:rPr>
          <w:rFonts w:eastAsiaTheme="minorHAnsi"/>
          <w:szCs w:val="20"/>
        </w:rPr>
        <w:t>resolving competing spectral demand.</w:t>
      </w:r>
    </w:p>
    <w:p w14:paraId="0BBA9C54" w14:textId="771E5B98" w:rsidR="00864745" w:rsidRPr="0060447E" w:rsidRDefault="00864745" w:rsidP="00864745">
      <w:pPr>
        <w:pStyle w:val="Paragraph"/>
      </w:pPr>
      <w:r w:rsidRPr="00DF2219">
        <w:rPr>
          <w:rFonts w:eastAsiaTheme="minorEastAsia"/>
        </w:rPr>
        <w:t xml:space="preserve">The ACMA will move to stage 2(a) (the negotiation phase), when </w:t>
      </w:r>
      <w:r w:rsidR="00825351">
        <w:rPr>
          <w:rFonts w:eastAsiaTheme="minorEastAsia"/>
        </w:rPr>
        <w:t>2</w:t>
      </w:r>
      <w:r w:rsidR="00825351" w:rsidRPr="00DF2219">
        <w:rPr>
          <w:rFonts w:eastAsiaTheme="minorEastAsia"/>
        </w:rPr>
        <w:t xml:space="preserve"> </w:t>
      </w:r>
      <w:r w:rsidRPr="00DF2219">
        <w:rPr>
          <w:rFonts w:eastAsiaTheme="minorEastAsia"/>
        </w:rPr>
        <w:t xml:space="preserve">or more applicants have applied for spectrum in the same HCIS cell and frequency band, but there is sufficient spectrum across the bands to meet all demand. In these circumstances, we will </w:t>
      </w:r>
      <w:r w:rsidR="006045CD">
        <w:rPr>
          <w:rFonts w:eastAsiaTheme="minorEastAsia"/>
        </w:rPr>
        <w:t xml:space="preserve">generally </w:t>
      </w:r>
      <w:r w:rsidRPr="00DF2219">
        <w:rPr>
          <w:rFonts w:eastAsiaTheme="minorEastAsia"/>
        </w:rPr>
        <w:t>assist the applicants to negotiate an outcome, where one or more of the competing applicants may be offered other spectrum in the same segment or in another segment of the bands.</w:t>
      </w:r>
      <w:r w:rsidR="0060447E">
        <w:rPr>
          <w:rFonts w:eastAsiaTheme="minorEastAsia"/>
        </w:rPr>
        <w:t xml:space="preserve"> </w:t>
      </w:r>
    </w:p>
    <w:p w14:paraId="110BEC41" w14:textId="513A5296" w:rsidR="00864745" w:rsidRPr="00170AC1" w:rsidRDefault="00864745" w:rsidP="00E14FE1">
      <w:pPr>
        <w:pStyle w:val="Paragraphbeforelist"/>
      </w:pPr>
      <w:r w:rsidRPr="00DF2219">
        <w:rPr>
          <w:rFonts w:eastAsiaTheme="minorEastAsia"/>
        </w:rPr>
        <w:t xml:space="preserve">The ACMA will move to stage 2(b) if there is insufficient spectrum for all applicants in the bands </w:t>
      </w:r>
      <w:r w:rsidR="00AE660D">
        <w:rPr>
          <w:rFonts w:eastAsiaTheme="minorEastAsia"/>
        </w:rPr>
        <w:t>at</w:t>
      </w:r>
      <w:r w:rsidRPr="00DF2219">
        <w:rPr>
          <w:rFonts w:eastAsiaTheme="minorEastAsia"/>
        </w:rPr>
        <w:t xml:space="preserve"> the geographic location</w:t>
      </w:r>
      <w:r w:rsidR="00170AC1">
        <w:t xml:space="preserve">. </w:t>
      </w:r>
      <w:r w:rsidRPr="00DF2219">
        <w:rPr>
          <w:rFonts w:eastAsiaTheme="minorEastAsia"/>
        </w:rPr>
        <w:t xml:space="preserve">Under this stage, we will </w:t>
      </w:r>
      <w:r w:rsidR="006045CD">
        <w:rPr>
          <w:rFonts w:eastAsiaTheme="minorEastAsia"/>
        </w:rPr>
        <w:t xml:space="preserve">generally </w:t>
      </w:r>
      <w:r w:rsidRPr="00DF2219">
        <w:rPr>
          <w:rFonts w:eastAsiaTheme="minorEastAsia"/>
        </w:rPr>
        <w:t xml:space="preserve">consider applications in accordance with the following </w:t>
      </w:r>
      <w:r w:rsidR="00DF2219" w:rsidRPr="00DF2219">
        <w:rPr>
          <w:rFonts w:eastAsiaTheme="minorEastAsia"/>
        </w:rPr>
        <w:t xml:space="preserve">allocation </w:t>
      </w:r>
      <w:r w:rsidRPr="00DF2219">
        <w:rPr>
          <w:rFonts w:eastAsiaTheme="minorEastAsia"/>
        </w:rPr>
        <w:t>principles:</w:t>
      </w:r>
    </w:p>
    <w:p w14:paraId="3B282BFE" w14:textId="77777777" w:rsidR="00CF55B2" w:rsidRPr="00267577" w:rsidRDefault="00CF55B2" w:rsidP="007322DE">
      <w:pPr>
        <w:pStyle w:val="Bulletlevel1"/>
        <w:numPr>
          <w:ilvl w:val="0"/>
          <w:numId w:val="1"/>
        </w:numPr>
      </w:pPr>
      <w:r w:rsidRPr="008A0E32">
        <w:t xml:space="preserve">the allocation </w:t>
      </w:r>
      <w:r w:rsidRPr="00267577">
        <w:t>(in geography) will be consistent with the proposed use-cases of the applications received</w:t>
      </w:r>
    </w:p>
    <w:p w14:paraId="0F2C8059" w14:textId="77777777" w:rsidR="00CF55B2" w:rsidRPr="00267577" w:rsidRDefault="00CF55B2" w:rsidP="007322DE">
      <w:pPr>
        <w:pStyle w:val="Bulletlevel1"/>
        <w:numPr>
          <w:ilvl w:val="0"/>
          <w:numId w:val="1"/>
        </w:numPr>
      </w:pPr>
      <w:r w:rsidRPr="00267577">
        <w:t xml:space="preserve">the allocation will promote the efficient use of spectrum in a manner consistent with the technical arrangements supporting planned uses </w:t>
      </w:r>
    </w:p>
    <w:p w14:paraId="39449E57" w14:textId="77777777" w:rsidR="00CF55B2" w:rsidRPr="00267577" w:rsidRDefault="00CF55B2" w:rsidP="007322DE">
      <w:pPr>
        <w:pStyle w:val="Bulletlevel1"/>
        <w:numPr>
          <w:ilvl w:val="0"/>
          <w:numId w:val="1"/>
        </w:numPr>
      </w:pPr>
      <w:r w:rsidRPr="00267577">
        <w:t>the allocation will seek to accommodate all applicants</w:t>
      </w:r>
    </w:p>
    <w:p w14:paraId="74C3FCE6" w14:textId="77777777" w:rsidR="005654CB" w:rsidRPr="00267577" w:rsidRDefault="00CF55B2" w:rsidP="005654CB">
      <w:pPr>
        <w:pStyle w:val="ListBullet"/>
        <w:spacing w:after="240"/>
      </w:pPr>
      <w:r w:rsidRPr="00267577">
        <w:rPr>
          <w:rFonts w:cs="Arial"/>
        </w:rPr>
        <w:t>the allocation will consider, for each applicant, the extent to which a denial of the spectrum in question would affect the ability of the applicant to deploy services.</w:t>
      </w:r>
    </w:p>
    <w:p w14:paraId="4645D9C1" w14:textId="7ADA732F" w:rsidR="005654CB" w:rsidRPr="00267577" w:rsidRDefault="005654CB" w:rsidP="005654CB">
      <w:pPr>
        <w:pStyle w:val="ListBullet"/>
        <w:numPr>
          <w:ilvl w:val="0"/>
          <w:numId w:val="0"/>
        </w:numPr>
        <w:spacing w:after="240"/>
      </w:pPr>
      <w:r w:rsidRPr="00267577">
        <w:t xml:space="preserve">The ACMA may </w:t>
      </w:r>
      <w:r w:rsidR="006045CD" w:rsidRPr="00267577">
        <w:t>refuse to issue</w:t>
      </w:r>
      <w:r w:rsidR="00D5712D">
        <w:t xml:space="preserve"> a</w:t>
      </w:r>
      <w:r w:rsidR="006045CD" w:rsidRPr="00267577">
        <w:t xml:space="preserve"> licence to an applicant following its consideration of these matters</w:t>
      </w:r>
      <w:r w:rsidRPr="00267577">
        <w:t>.</w:t>
      </w:r>
    </w:p>
    <w:p w14:paraId="60C492BD" w14:textId="1F4A851D" w:rsidR="001145DB" w:rsidRPr="001145DB" w:rsidRDefault="00864745" w:rsidP="00864745">
      <w:pPr>
        <w:pStyle w:val="Paragraph"/>
      </w:pPr>
      <w:r w:rsidRPr="00267577">
        <w:t xml:space="preserve">In </w:t>
      </w:r>
      <w:r w:rsidR="006045CD" w:rsidRPr="00267577">
        <w:t xml:space="preserve">adopting </w:t>
      </w:r>
      <w:r w:rsidRPr="00267577">
        <w:t xml:space="preserve">these principles, the ACMA has been guided by </w:t>
      </w:r>
      <w:r w:rsidR="00517E30" w:rsidRPr="00267577">
        <w:t xml:space="preserve">the communications policies specified in the MPS and the </w:t>
      </w:r>
      <w:r w:rsidRPr="00267577">
        <w:t xml:space="preserve">object of the </w:t>
      </w:r>
      <w:r w:rsidR="00596E06" w:rsidRPr="00267577">
        <w:t>Act</w:t>
      </w:r>
      <w:r w:rsidR="00361827">
        <w:t xml:space="preserve"> –</w:t>
      </w:r>
      <w:r w:rsidR="00E223FA" w:rsidRPr="00267577">
        <w:t xml:space="preserve"> </w:t>
      </w:r>
      <w:r w:rsidR="00596E06" w:rsidRPr="00267577">
        <w:t>to facilitate the efficient planning, allocation and use of the spectrum.</w:t>
      </w:r>
      <w:r w:rsidR="005654CB" w:rsidRPr="00267577">
        <w:t xml:space="preserve"> </w:t>
      </w:r>
      <w:r w:rsidRPr="00267577">
        <w:t xml:space="preserve">These principles are intended to </w:t>
      </w:r>
      <w:r w:rsidR="00412C29" w:rsidRPr="00267577">
        <w:t xml:space="preserve">facilitate access to </w:t>
      </w:r>
      <w:r w:rsidR="006045CD" w:rsidRPr="00267577">
        <w:t xml:space="preserve">the </w:t>
      </w:r>
      <w:r w:rsidR="00412C29" w:rsidRPr="00267577">
        <w:t xml:space="preserve">3.4–4.0 GHz </w:t>
      </w:r>
      <w:r w:rsidR="006045CD" w:rsidRPr="00267577">
        <w:t>band</w:t>
      </w:r>
      <w:r w:rsidR="00412C29" w:rsidRPr="00267577">
        <w:t xml:space="preserve"> in remote areas by WBB services, including LA WBB use-cases</w:t>
      </w:r>
      <w:r w:rsidR="00412C29" w:rsidRPr="00267577">
        <w:rPr>
          <w:szCs w:val="20"/>
        </w:rPr>
        <w:t xml:space="preserve"> by smaller and enterprise operators</w:t>
      </w:r>
      <w:r w:rsidR="004A7007" w:rsidRPr="00267577">
        <w:rPr>
          <w:szCs w:val="20"/>
        </w:rPr>
        <w:t>, while providing appropriate protection to incumbent users</w:t>
      </w:r>
      <w:r w:rsidR="00412C29" w:rsidRPr="00267577">
        <w:rPr>
          <w:szCs w:val="20"/>
        </w:rPr>
        <w:t>.</w:t>
      </w:r>
      <w:r w:rsidR="00412C29">
        <w:t xml:space="preserve"> </w:t>
      </w:r>
    </w:p>
    <w:p w14:paraId="182DE7FE" w14:textId="019928F4" w:rsidR="008357E5" w:rsidRDefault="000B0F7E" w:rsidP="00F8108A">
      <w:pPr>
        <w:pStyle w:val="Heading1"/>
      </w:pPr>
      <w:bookmarkStart w:id="55" w:name="_Toc137726614"/>
      <w:bookmarkEnd w:id="37"/>
      <w:r>
        <w:t>4.</w:t>
      </w:r>
      <w:r>
        <w:tab/>
      </w:r>
      <w:r w:rsidR="005654CB">
        <w:t>Other considerations</w:t>
      </w:r>
      <w:bookmarkEnd w:id="55"/>
    </w:p>
    <w:p w14:paraId="7A153CBC" w14:textId="01BF376A" w:rsidR="00A2045D" w:rsidRPr="00016855" w:rsidRDefault="00D02F7B" w:rsidP="00866F05">
      <w:pPr>
        <w:pStyle w:val="Paragraph"/>
      </w:pPr>
      <w:bookmarkStart w:id="56" w:name="_Duration"/>
      <w:bookmarkStart w:id="57" w:name="_Toc45872819"/>
      <w:bookmarkStart w:id="58" w:name="_Toc45872942"/>
      <w:bookmarkStart w:id="59" w:name="_Toc45872998"/>
      <w:bookmarkStart w:id="60" w:name="_Toc45873033"/>
      <w:bookmarkStart w:id="61" w:name="_Toc45880657"/>
      <w:bookmarkStart w:id="62" w:name="_Toc45880695"/>
      <w:bookmarkStart w:id="63" w:name="_Toc46323529"/>
      <w:bookmarkStart w:id="64" w:name="_Toc46323592"/>
      <w:bookmarkStart w:id="65" w:name="_Toc46323834"/>
      <w:bookmarkStart w:id="66" w:name="_Toc46323914"/>
      <w:bookmarkStart w:id="67" w:name="_Toc46323530"/>
      <w:bookmarkStart w:id="68" w:name="_Toc46323593"/>
      <w:bookmarkStart w:id="69" w:name="_Toc46323835"/>
      <w:bookmarkStart w:id="70" w:name="_Toc46323915"/>
      <w:bookmarkStart w:id="71" w:name="_Toc46323531"/>
      <w:bookmarkStart w:id="72" w:name="_Toc46323594"/>
      <w:bookmarkStart w:id="73" w:name="_Toc46323836"/>
      <w:bookmarkStart w:id="74" w:name="_Toc46323916"/>
      <w:bookmarkStart w:id="75" w:name="_Toc46323532"/>
      <w:bookmarkStart w:id="76" w:name="_Toc46323595"/>
      <w:bookmarkStart w:id="77" w:name="_Toc46323837"/>
      <w:bookmarkStart w:id="78" w:name="_Toc46323917"/>
      <w:bookmarkStart w:id="79" w:name="_Toc46323533"/>
      <w:bookmarkStart w:id="80" w:name="_Toc46323596"/>
      <w:bookmarkStart w:id="81" w:name="_Toc46323838"/>
      <w:bookmarkStart w:id="82" w:name="_Toc46323918"/>
      <w:bookmarkStart w:id="83" w:name="_Toc46323534"/>
      <w:bookmarkStart w:id="84" w:name="_Toc46323597"/>
      <w:bookmarkStart w:id="85" w:name="_Toc46323839"/>
      <w:bookmarkStart w:id="86" w:name="_Toc46323919"/>
      <w:bookmarkStart w:id="87" w:name="_Toc46323535"/>
      <w:bookmarkStart w:id="88" w:name="_Toc46323598"/>
      <w:bookmarkStart w:id="89" w:name="_Toc46323840"/>
      <w:bookmarkStart w:id="90" w:name="_Toc46323920"/>
      <w:bookmarkStart w:id="91" w:name="_Toc46323536"/>
      <w:bookmarkStart w:id="92" w:name="_Toc46323599"/>
      <w:bookmarkStart w:id="93" w:name="_Toc46323841"/>
      <w:bookmarkStart w:id="94" w:name="_Toc46323921"/>
      <w:bookmarkStart w:id="95" w:name="_Toc46323537"/>
      <w:bookmarkStart w:id="96" w:name="_Toc46323600"/>
      <w:bookmarkStart w:id="97" w:name="_Toc46323842"/>
      <w:bookmarkStart w:id="98" w:name="_Toc46323922"/>
      <w:bookmarkStart w:id="99" w:name="_Toc46323538"/>
      <w:bookmarkStart w:id="100" w:name="_Toc46323601"/>
      <w:bookmarkStart w:id="101" w:name="_Toc46323843"/>
      <w:bookmarkStart w:id="102" w:name="_Toc46323923"/>
      <w:bookmarkStart w:id="103" w:name="_Toc46323539"/>
      <w:bookmarkStart w:id="104" w:name="_Toc46323602"/>
      <w:bookmarkStart w:id="105" w:name="_Toc46323844"/>
      <w:bookmarkStart w:id="106" w:name="_Toc46323924"/>
      <w:bookmarkStart w:id="107" w:name="_Toc46323540"/>
      <w:bookmarkStart w:id="108" w:name="_Toc46323603"/>
      <w:bookmarkStart w:id="109" w:name="_Toc46323845"/>
      <w:bookmarkStart w:id="110" w:name="_Toc46323925"/>
      <w:bookmarkStart w:id="111" w:name="_Toc46323541"/>
      <w:bookmarkStart w:id="112" w:name="_Toc46323604"/>
      <w:bookmarkStart w:id="113" w:name="_Toc46323846"/>
      <w:bookmarkStart w:id="114" w:name="_Toc46323926"/>
      <w:bookmarkStart w:id="115" w:name="_Toc46323542"/>
      <w:bookmarkStart w:id="116" w:name="_Toc46323605"/>
      <w:bookmarkStart w:id="117" w:name="_Toc46323847"/>
      <w:bookmarkStart w:id="118" w:name="_Toc46323927"/>
      <w:bookmarkStart w:id="119" w:name="_Toc46323543"/>
      <w:bookmarkStart w:id="120" w:name="_Toc46323606"/>
      <w:bookmarkStart w:id="121" w:name="_Toc46323848"/>
      <w:bookmarkStart w:id="122" w:name="_Toc46323928"/>
      <w:bookmarkStart w:id="123" w:name="_Toc46323544"/>
      <w:bookmarkStart w:id="124" w:name="_Toc46323607"/>
      <w:bookmarkStart w:id="125" w:name="_Toc46323849"/>
      <w:bookmarkStart w:id="126" w:name="_Toc46323929"/>
      <w:bookmarkStart w:id="127" w:name="_Toc46323545"/>
      <w:bookmarkStart w:id="128" w:name="_Toc46323608"/>
      <w:bookmarkStart w:id="129" w:name="_Toc46323850"/>
      <w:bookmarkStart w:id="130" w:name="_Toc46323930"/>
      <w:bookmarkStart w:id="131" w:name="_Toc46323546"/>
      <w:bookmarkStart w:id="132" w:name="_Toc46323609"/>
      <w:bookmarkStart w:id="133" w:name="_Toc46323851"/>
      <w:bookmarkStart w:id="134" w:name="_Toc46323931"/>
      <w:bookmarkStart w:id="135" w:name="_Toc46323547"/>
      <w:bookmarkStart w:id="136" w:name="_Toc46323610"/>
      <w:bookmarkStart w:id="137" w:name="_Toc46323852"/>
      <w:bookmarkStart w:id="138" w:name="_Toc4632393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16855">
        <w:t xml:space="preserve">Applicants for </w:t>
      </w:r>
      <w:r w:rsidR="0025140F">
        <w:t>AWLs</w:t>
      </w:r>
      <w:r w:rsidRPr="00016855">
        <w:t xml:space="preserve"> are encouraged to familiarise themselves with all the provisions of the Act, not just those pertaining to licensing, and should be aware</w:t>
      </w:r>
      <w:r w:rsidR="00F85816">
        <w:t xml:space="preserve"> that licence ownership and </w:t>
      </w:r>
      <w:r w:rsidR="00833D98">
        <w:t xml:space="preserve">certain </w:t>
      </w:r>
      <w:r w:rsidR="00F85816">
        <w:t>use</w:t>
      </w:r>
      <w:r w:rsidRPr="00016855">
        <w:t xml:space="preserve"> </w:t>
      </w:r>
      <w:r w:rsidR="00833D98">
        <w:t xml:space="preserve">cases </w:t>
      </w:r>
      <w:r w:rsidRPr="00016855">
        <w:t xml:space="preserve">may also be </w:t>
      </w:r>
      <w:r w:rsidR="00536E65">
        <w:t xml:space="preserve">subject to </w:t>
      </w:r>
      <w:r w:rsidR="008A604D" w:rsidRPr="00016855">
        <w:t xml:space="preserve">the </w:t>
      </w:r>
      <w:r w:rsidR="008A604D" w:rsidRPr="00116FC7">
        <w:rPr>
          <w:i/>
          <w:iCs/>
        </w:rPr>
        <w:t>Competition and Consumer Act 2010</w:t>
      </w:r>
      <w:r w:rsidRPr="00016855">
        <w:t xml:space="preserve">, the </w:t>
      </w:r>
      <w:r w:rsidRPr="00116FC7">
        <w:rPr>
          <w:i/>
          <w:iCs/>
        </w:rPr>
        <w:t>Broadcasting Services Act 1992</w:t>
      </w:r>
      <w:r w:rsidRPr="00016855">
        <w:t xml:space="preserve"> and the </w:t>
      </w:r>
      <w:r w:rsidRPr="00116FC7">
        <w:rPr>
          <w:i/>
          <w:iCs/>
        </w:rPr>
        <w:t>Telecommunications Act 1997</w:t>
      </w:r>
      <w:r w:rsidRPr="00016855">
        <w:t xml:space="preserve">. Depending on the activity undertaken under a radiocommunications licence, other Commonwealth, </w:t>
      </w:r>
      <w:r w:rsidR="006161FB">
        <w:t>s</w:t>
      </w:r>
      <w:r w:rsidRPr="00016855">
        <w:t xml:space="preserve">tate and </w:t>
      </w:r>
      <w:r w:rsidR="006161FB">
        <w:t>t</w:t>
      </w:r>
      <w:r w:rsidRPr="00016855">
        <w:t>erritory laws may apply.</w:t>
      </w:r>
    </w:p>
    <w:p w14:paraId="5F9E0ECD" w14:textId="4FE17076" w:rsidR="00A2045D" w:rsidRPr="00016855" w:rsidRDefault="00D02F7B" w:rsidP="00866F05">
      <w:pPr>
        <w:pStyle w:val="Paragraph"/>
      </w:pPr>
      <w:r w:rsidRPr="00016855">
        <w:t xml:space="preserve">The ACMA is a statutory authority established under the </w:t>
      </w:r>
      <w:r w:rsidRPr="00116FC7">
        <w:rPr>
          <w:i/>
          <w:iCs/>
        </w:rPr>
        <w:t>Australian Communications and Media Authority Act 2005</w:t>
      </w:r>
      <w:r w:rsidRPr="00016855">
        <w:t xml:space="preserve"> to, among other things, administer the </w:t>
      </w:r>
      <w:r w:rsidR="00ED291E">
        <w:t>Act</w:t>
      </w:r>
      <w:r w:rsidRPr="00016855">
        <w:t xml:space="preserve">. </w:t>
      </w:r>
      <w:r w:rsidR="00E87E2F">
        <w:t>I</w:t>
      </w:r>
      <w:r w:rsidRPr="00016855">
        <w:t>n exercising its powers and functions, including those conferred on the ACMA by the Act, the ACMA may be expected to apply its policies, which may change from time to time.</w:t>
      </w:r>
    </w:p>
    <w:p w14:paraId="2B8E429E" w14:textId="61542A52" w:rsidR="00A2045D" w:rsidRPr="00016855" w:rsidRDefault="00D02F7B" w:rsidP="00866F05">
      <w:pPr>
        <w:pStyle w:val="Paragraph"/>
      </w:pPr>
      <w:r w:rsidRPr="00016855">
        <w:t>Nothing in this paper should be taken to bind the ACMA to any particular course of action in relation to the allocation of licences in the spectrum under discussion</w:t>
      </w:r>
      <w:r w:rsidRPr="00016855" w:rsidDel="00AE25D0">
        <w:t>.</w:t>
      </w:r>
      <w:r w:rsidRPr="00016855">
        <w:t xml:space="preserve"> The comments made in this paper about AWLs reflect the current policies of the ACMA. Prospective applicants should be aware that the policies of the ACMA may change from time to time.</w:t>
      </w:r>
    </w:p>
    <w:p w14:paraId="591346E0" w14:textId="4C1FC532" w:rsidR="00A2045D" w:rsidRPr="00016855" w:rsidRDefault="00D02F7B" w:rsidP="00866F05">
      <w:pPr>
        <w:pStyle w:val="Paragraph"/>
      </w:pPr>
      <w:r w:rsidRPr="00016855">
        <w:t xml:space="preserve">Australia is a signatory to the International Telecommunication </w:t>
      </w:r>
      <w:r w:rsidR="000D23CC">
        <w:t xml:space="preserve">Union </w:t>
      </w:r>
      <w:r w:rsidRPr="00016855">
        <w:t xml:space="preserve">Constitution and Convention and to other international treaties relating to communications. The administration of radiocommunications by the ACMA is undertaken </w:t>
      </w:r>
      <w:r w:rsidR="001F4184">
        <w:t xml:space="preserve">with </w:t>
      </w:r>
      <w:r w:rsidR="000D23CC">
        <w:t>regard</w:t>
      </w:r>
      <w:r w:rsidRPr="00016855">
        <w:t xml:space="preserve"> to these conventions and treaties.</w:t>
      </w:r>
    </w:p>
    <w:p w14:paraId="45E44FF0" w14:textId="77777777" w:rsidR="00D02F7B" w:rsidRPr="00016855" w:rsidRDefault="00D02F7B" w:rsidP="00866F05">
      <w:pPr>
        <w:pStyle w:val="Paragraph"/>
      </w:pPr>
      <w:r w:rsidRPr="00016855">
        <w:t>Applicants are also advised to seek advice independently of the ACMA on the treatment of radiocommunications licences and other investments under Australian taxation laws, and on the operation of foreign investment laws and policy on proposed investment in communications in Australia.</w:t>
      </w:r>
    </w:p>
    <w:p w14:paraId="235BC8AC" w14:textId="113CE622" w:rsidR="00FF3C69" w:rsidRDefault="00FF3C69" w:rsidP="00851F3F"/>
    <w:sectPr w:rsidR="00FF3C69" w:rsidSect="00F354F6">
      <w:headerReference w:type="even" r:id="rId50"/>
      <w:headerReference w:type="default" r:id="rId51"/>
      <w:footerReference w:type="even" r:id="rId52"/>
      <w:footerReference w:type="default" r:id="rId53"/>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A3FD" w14:textId="77777777" w:rsidR="003F00A7" w:rsidRDefault="003F00A7">
      <w:r>
        <w:separator/>
      </w:r>
    </w:p>
  </w:endnote>
  <w:endnote w:type="continuationSeparator" w:id="0">
    <w:p w14:paraId="3AE057B9" w14:textId="77777777" w:rsidR="003F00A7" w:rsidRDefault="003F00A7">
      <w:r>
        <w:continuationSeparator/>
      </w:r>
    </w:p>
  </w:endnote>
  <w:endnote w:type="continuationNotice" w:id="1">
    <w:p w14:paraId="3ECCF8C3" w14:textId="77777777" w:rsidR="003F00A7" w:rsidRDefault="003F0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5C5B" w14:textId="77777777" w:rsidR="00B0503F" w:rsidRDefault="00B0503F" w:rsidP="005E250B">
    <w:pPr>
      <w:pStyle w:val="Footer"/>
      <w:jc w:val="right"/>
    </w:pPr>
    <w:r>
      <w:rPr>
        <w:noProof/>
      </w:rPr>
      <w:drawing>
        <wp:inline distT="0" distB="0" distL="0" distR="0" wp14:anchorId="494EE383" wp14:editId="1F7DF829">
          <wp:extent cx="1066800" cy="277368"/>
          <wp:effectExtent l="0" t="0" r="0" b="0"/>
          <wp:docPr id="12" name="Picture 12"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F380" w14:textId="77777777" w:rsidR="00B0503F" w:rsidRDefault="00B05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B27D" w14:textId="77777777" w:rsidR="00B0503F" w:rsidRDefault="00B050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2101" w14:textId="77777777" w:rsidR="00B0503F" w:rsidRPr="00622A3B" w:rsidRDefault="00B0503F"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292E6B21" w14:textId="24CF3065" w:rsidR="00B0503F" w:rsidRDefault="00B0503F" w:rsidP="00D1095D">
    <w:pPr>
      <w:pStyle w:val="Footer"/>
      <w:spacing w:after="0"/>
    </w:pPr>
    <w:r>
      <w:tab/>
    </w:r>
    <w:r>
      <w:tab/>
    </w:r>
    <w:r>
      <w:tab/>
    </w:r>
    <w:r>
      <w:tab/>
    </w:r>
    <w:r>
      <w:tab/>
    </w:r>
    <w:r>
      <w:tab/>
    </w:r>
    <w:r>
      <w:tab/>
    </w:r>
    <w:r>
      <w:tab/>
    </w:r>
    <w:r>
      <w:tab/>
    </w:r>
    <w:r>
      <w:tab/>
    </w:r>
    <w:r>
      <w:tab/>
    </w:r>
    <w:r>
      <w:tab/>
    </w:r>
    <w:r>
      <w:tab/>
    </w:r>
    <w:r w:rsidR="005E6F3B">
      <w:t>A</w:t>
    </w:r>
    <w:r>
      <w:t xml:space="preserve">pplicant information pack </w:t>
    </w:r>
  </w:p>
  <w:p w14:paraId="1962E5D4" w14:textId="74D08C8E" w:rsidR="00B0503F" w:rsidRPr="00A5474E" w:rsidRDefault="00B0503F" w:rsidP="00D1095D">
    <w:pPr>
      <w:pStyle w:val="Footer"/>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1A2D" w14:textId="77777777" w:rsidR="00B0503F" w:rsidRPr="00622A3B" w:rsidRDefault="00B0503F" w:rsidP="00727164">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color w:val="505050"/>
      </w:rPr>
      <w:t>1</w:t>
    </w:r>
    <w:r w:rsidRPr="00575AC5">
      <w:rPr>
        <w:color w:val="505050"/>
      </w:rPr>
      <w:fldChar w:fldCharType="end"/>
    </w:r>
  </w:p>
  <w:p w14:paraId="4ADE4E45" w14:textId="58FBCDE1" w:rsidR="00B0503F" w:rsidRDefault="005E6F3B" w:rsidP="00FB33FC">
    <w:pPr>
      <w:pStyle w:val="Footer"/>
      <w:spacing w:after="0"/>
    </w:pPr>
    <w:r>
      <w:t>A</w:t>
    </w:r>
    <w:r w:rsidR="00B0503F">
      <w:t xml:space="preserve">pplicant information pack </w:t>
    </w:r>
  </w:p>
  <w:p w14:paraId="49804A81" w14:textId="77777777" w:rsidR="00B0503F" w:rsidRPr="00A5474E" w:rsidRDefault="00B0503F"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7378" w14:textId="77777777" w:rsidR="003F00A7" w:rsidRDefault="003F00A7" w:rsidP="001C373F">
      <w:pPr>
        <w:spacing w:after="0"/>
      </w:pPr>
      <w:r>
        <w:separator/>
      </w:r>
    </w:p>
  </w:footnote>
  <w:footnote w:type="continuationSeparator" w:id="0">
    <w:p w14:paraId="6BD8984C" w14:textId="77777777" w:rsidR="003F00A7" w:rsidRDefault="003F00A7">
      <w:r>
        <w:continuationSeparator/>
      </w:r>
    </w:p>
  </w:footnote>
  <w:footnote w:type="continuationNotice" w:id="1">
    <w:p w14:paraId="0F087BF4" w14:textId="77777777" w:rsidR="003F00A7" w:rsidRDefault="003F00A7">
      <w:pPr>
        <w:spacing w:after="0" w:line="240" w:lineRule="auto"/>
      </w:pPr>
    </w:p>
  </w:footnote>
  <w:footnote w:id="2">
    <w:p w14:paraId="638F6E9B" w14:textId="08764282" w:rsidR="003A46FD" w:rsidRDefault="003A46FD">
      <w:pPr>
        <w:pStyle w:val="FootnoteText"/>
      </w:pPr>
      <w:r>
        <w:rPr>
          <w:rStyle w:val="FootnoteReference"/>
        </w:rPr>
        <w:footnoteRef/>
      </w:r>
      <w:r>
        <w:t xml:space="preserve"> Note that </w:t>
      </w:r>
      <w:r w:rsidR="001F0EAD">
        <w:t xml:space="preserve">the </w:t>
      </w:r>
      <w:r w:rsidRPr="001F0EAD">
        <w:t xml:space="preserve">technical framework </w:t>
      </w:r>
      <w:r w:rsidR="001F0EAD">
        <w:t>for AWLs in the 3.4-4.0 GHz band</w:t>
      </w:r>
      <w:r w:rsidRPr="001F0EAD">
        <w:t xml:space="preserve"> does not distinguish between LA WBB and WA WBB.</w:t>
      </w:r>
    </w:p>
  </w:footnote>
  <w:footnote w:id="3">
    <w:p w14:paraId="41CF2A1A" w14:textId="1DFFF1F4" w:rsidR="00A25544" w:rsidRDefault="00A25544">
      <w:pPr>
        <w:pStyle w:val="FootnoteText"/>
      </w:pPr>
      <w:r>
        <w:rPr>
          <w:rStyle w:val="FootnoteReference"/>
        </w:rPr>
        <w:footnoteRef/>
      </w:r>
      <w:r>
        <w:t xml:space="preserve"> </w:t>
      </w:r>
      <w:r w:rsidR="001472F3">
        <w:t xml:space="preserve">The maximum amount of spectrum will not be available in all areas due to incumbent licensees. </w:t>
      </w:r>
    </w:p>
  </w:footnote>
  <w:footnote w:id="4">
    <w:p w14:paraId="5CF45537" w14:textId="596F625D" w:rsidR="00F406FD" w:rsidRDefault="00F406FD" w:rsidP="00F406FD">
      <w:pPr>
        <w:pStyle w:val="FootnoteText"/>
      </w:pPr>
      <w:r>
        <w:rPr>
          <w:rStyle w:val="FootnoteReference"/>
        </w:rPr>
        <w:footnoteRef/>
      </w:r>
      <w:r>
        <w:t xml:space="preserve"> These definitions do not include any areas of appropriate exclusion from licensing</w:t>
      </w:r>
      <w:r w:rsidR="00BB3D6A">
        <w:t>,</w:t>
      </w:r>
      <w:r>
        <w:t xml:space="preserve"> such as the Earth station protection zones or the </w:t>
      </w:r>
      <w:r w:rsidR="00065F4A">
        <w:t>Australian</w:t>
      </w:r>
      <w:r>
        <w:t xml:space="preserve"> radio quiet zone </w:t>
      </w:r>
      <w:r w:rsidR="00065F4A">
        <w:t xml:space="preserve">Western Australia </w:t>
      </w:r>
      <w:r>
        <w:t>(</w:t>
      </w:r>
      <w:hyperlink r:id="rId1" w:history="1">
        <w:r w:rsidRPr="00314E43">
          <w:rPr>
            <w:rStyle w:val="Hyperlink"/>
          </w:rPr>
          <w:t>RQZ</w:t>
        </w:r>
      </w:hyperlink>
      <w:r>
        <w:t>), among others.</w:t>
      </w:r>
    </w:p>
  </w:footnote>
  <w:footnote w:id="5">
    <w:p w14:paraId="1770FC12" w14:textId="32EB0494" w:rsidR="007E1B1C" w:rsidRDefault="007E1B1C">
      <w:pPr>
        <w:pStyle w:val="FootnoteText"/>
      </w:pPr>
      <w:r>
        <w:rPr>
          <w:rStyle w:val="FootnoteReference"/>
        </w:rPr>
        <w:footnoteRef/>
      </w:r>
      <w:r>
        <w:t xml:space="preserve"> Minimum contiguous bandwidth </w:t>
      </w:r>
      <w:r w:rsidR="00E871C9">
        <w:t xml:space="preserve">requirements limit the minimum bandwidth that a licensee may hold </w:t>
      </w:r>
      <w:r w:rsidR="0080057D">
        <w:t xml:space="preserve">as a result of a trade. </w:t>
      </w:r>
    </w:p>
  </w:footnote>
  <w:footnote w:id="6">
    <w:p w14:paraId="3CE9E26C" w14:textId="029E3FFC" w:rsidR="004454E8" w:rsidRDefault="004454E8">
      <w:pPr>
        <w:pStyle w:val="FootnoteText"/>
      </w:pPr>
      <w:r>
        <w:rPr>
          <w:rStyle w:val="FootnoteReference"/>
        </w:rPr>
        <w:footnoteRef/>
      </w:r>
      <w:r>
        <w:t xml:space="preserve"> Licensees may elect to pay the annual amount of tax for a licence that is in force for more than one year in one lump sum at the issue of the licence.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5444" w14:textId="77777777" w:rsidR="00B0503F" w:rsidRPr="00A5474E" w:rsidRDefault="00B0503F" w:rsidP="00A5474E">
    <w:pPr>
      <w:pStyle w:val="Header"/>
    </w:pPr>
    <w:r>
      <w:rPr>
        <w:noProof/>
      </w:rPr>
      <w:drawing>
        <wp:inline distT="0" distB="0" distL="0" distR="0" wp14:anchorId="0FB0BCC4" wp14:editId="557AF2D5">
          <wp:extent cx="6210298" cy="571134"/>
          <wp:effectExtent l="0" t="0" r="0" b="0"/>
          <wp:docPr id="1" name="Picture 1"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10298"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AE32" w14:textId="6DE95789" w:rsidR="00B0503F" w:rsidRPr="00A5474E" w:rsidRDefault="00B0503F" w:rsidP="00D617C8">
    <w:pPr>
      <w:pStyle w:val="TOCHeading"/>
    </w:pPr>
    <w: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4AAC" w14:textId="77777777" w:rsidR="00B0503F" w:rsidRDefault="00B050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EEE5" w14:textId="77777777" w:rsidR="00B0503F" w:rsidRDefault="00B050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0ED5" w14:textId="77777777" w:rsidR="00B0503F" w:rsidRDefault="00B05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AE16" w14:textId="77777777" w:rsidR="00B0503F" w:rsidRDefault="00B05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530423B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95B0AF7"/>
    <w:multiLevelType w:val="hybridMultilevel"/>
    <w:tmpl w:val="999CA626"/>
    <w:lvl w:ilvl="0" w:tplc="0804E3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01379"/>
    <w:multiLevelType w:val="hybridMultilevel"/>
    <w:tmpl w:val="927E64A2"/>
    <w:lvl w:ilvl="0" w:tplc="856E6310">
      <w:start w:val="1"/>
      <w:numFmt w:val="bullet"/>
      <w:lvlText w:val="&gt;"/>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F01B45"/>
    <w:multiLevelType w:val="hybridMultilevel"/>
    <w:tmpl w:val="4A700E32"/>
    <w:lvl w:ilvl="0" w:tplc="0804E31C">
      <w:start w:val="1"/>
      <w:numFmt w:val="bullet"/>
      <w:lvlText w:val=""/>
      <w:lvlJc w:val="left"/>
      <w:pPr>
        <w:ind w:left="720" w:hanging="360"/>
      </w:pPr>
      <w:rPr>
        <w:rFonts w:ascii="Symbol" w:hAnsi="Symbol"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D4215E6">
      <w:start w:val="3"/>
      <w:numFmt w:val="bullet"/>
      <w:lvlText w:val=""/>
      <w:lvlJc w:val="left"/>
      <w:pPr>
        <w:ind w:left="2880" w:hanging="360"/>
      </w:pPr>
      <w:rPr>
        <w:rFonts w:ascii="Wingdings" w:eastAsiaTheme="minorHAnsi" w:hAnsi="Wingdings" w:cstheme="minorBid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E0136"/>
    <w:multiLevelType w:val="hybridMultilevel"/>
    <w:tmpl w:val="0C7897DC"/>
    <w:styleLink w:val="NumberLevel1"/>
    <w:lvl w:ilvl="0" w:tplc="A6546B5E">
      <w:start w:val="1"/>
      <w:numFmt w:val="decimal"/>
      <w:lvlText w:val="%1."/>
      <w:lvlJc w:val="left"/>
      <w:pPr>
        <w:ind w:left="0" w:firstLine="360"/>
      </w:pPr>
      <w:rPr>
        <w:rFonts w:ascii="Arial Bold" w:hAnsi="Arial Bold" w:hint="default"/>
        <w:b/>
        <w:i w:val="0"/>
        <w:color w:val="auto"/>
        <w:sz w:val="24"/>
      </w:rPr>
    </w:lvl>
    <w:lvl w:ilvl="1" w:tplc="7D720152">
      <w:start w:val="1"/>
      <w:numFmt w:val="lowerLetter"/>
      <w:lvlText w:val="%2."/>
      <w:lvlJc w:val="left"/>
      <w:pPr>
        <w:ind w:left="1440" w:hanging="360"/>
      </w:pPr>
      <w:rPr>
        <w:rFonts w:hint="default"/>
      </w:rPr>
    </w:lvl>
    <w:lvl w:ilvl="2" w:tplc="24E00A2A">
      <w:start w:val="1"/>
      <w:numFmt w:val="lowerRoman"/>
      <w:lvlText w:val="%3."/>
      <w:lvlJc w:val="right"/>
      <w:pPr>
        <w:ind w:left="2160" w:hanging="180"/>
      </w:pPr>
      <w:rPr>
        <w:rFonts w:hint="default"/>
      </w:rPr>
    </w:lvl>
    <w:lvl w:ilvl="3" w:tplc="35E853BE">
      <w:start w:val="1"/>
      <w:numFmt w:val="decimal"/>
      <w:lvlText w:val="%4."/>
      <w:lvlJc w:val="left"/>
      <w:pPr>
        <w:ind w:left="2880" w:hanging="360"/>
      </w:pPr>
      <w:rPr>
        <w:rFonts w:hint="default"/>
      </w:rPr>
    </w:lvl>
    <w:lvl w:ilvl="4" w:tplc="0544519E">
      <w:start w:val="1"/>
      <w:numFmt w:val="lowerLetter"/>
      <w:lvlText w:val="%5."/>
      <w:lvlJc w:val="left"/>
      <w:pPr>
        <w:ind w:left="3600" w:hanging="360"/>
      </w:pPr>
      <w:rPr>
        <w:rFonts w:hint="default"/>
      </w:rPr>
    </w:lvl>
    <w:lvl w:ilvl="5" w:tplc="8558243E">
      <w:start w:val="1"/>
      <w:numFmt w:val="lowerRoman"/>
      <w:lvlText w:val="%6."/>
      <w:lvlJc w:val="right"/>
      <w:pPr>
        <w:ind w:left="4320" w:hanging="180"/>
      </w:pPr>
      <w:rPr>
        <w:rFonts w:hint="default"/>
      </w:rPr>
    </w:lvl>
    <w:lvl w:ilvl="6" w:tplc="A234193E">
      <w:start w:val="1"/>
      <w:numFmt w:val="decimal"/>
      <w:lvlText w:val="%7."/>
      <w:lvlJc w:val="left"/>
      <w:pPr>
        <w:ind w:left="5040" w:hanging="360"/>
      </w:pPr>
      <w:rPr>
        <w:rFonts w:hint="default"/>
      </w:rPr>
    </w:lvl>
    <w:lvl w:ilvl="7" w:tplc="D39456B2">
      <w:start w:val="1"/>
      <w:numFmt w:val="lowerLetter"/>
      <w:lvlText w:val="%8."/>
      <w:lvlJc w:val="left"/>
      <w:pPr>
        <w:ind w:left="5760" w:hanging="360"/>
      </w:pPr>
      <w:rPr>
        <w:rFonts w:hint="default"/>
      </w:rPr>
    </w:lvl>
    <w:lvl w:ilvl="8" w:tplc="64FA3FAA">
      <w:start w:val="1"/>
      <w:numFmt w:val="lowerRoman"/>
      <w:lvlText w:val="%9."/>
      <w:lvlJc w:val="right"/>
      <w:pPr>
        <w:ind w:left="6480" w:hanging="180"/>
      </w:pPr>
      <w:rPr>
        <w:rFonts w:hint="default"/>
      </w:rPr>
    </w:lvl>
  </w:abstractNum>
  <w:abstractNum w:abstractNumId="8"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301DD4"/>
    <w:multiLevelType w:val="multilevel"/>
    <w:tmpl w:val="776E25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2981D74"/>
    <w:multiLevelType w:val="hybridMultilevel"/>
    <w:tmpl w:val="348C49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31C760A"/>
    <w:multiLevelType w:val="hybridMultilevel"/>
    <w:tmpl w:val="3986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534B99"/>
    <w:multiLevelType w:val="hybridMultilevel"/>
    <w:tmpl w:val="EA16DEB0"/>
    <w:lvl w:ilvl="0" w:tplc="0804E3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1C24FB"/>
    <w:multiLevelType w:val="multilevel"/>
    <w:tmpl w:val="1DD8318E"/>
    <w:lvl w:ilvl="0">
      <w:start w:val="1"/>
      <w:numFmt w:val="decimal"/>
      <w:lvlText w:val="%1."/>
      <w:lvlJc w:val="left"/>
      <w:pPr>
        <w:ind w:left="731" w:hanging="720"/>
      </w:pPr>
      <w:rPr>
        <w:rFonts w:hint="default"/>
      </w:rPr>
    </w:lvl>
    <w:lvl w:ilvl="1">
      <w:start w:val="1"/>
      <w:numFmt w:val="decimal"/>
      <w:isLgl/>
      <w:lvlText w:val="%1.%2"/>
      <w:lvlJc w:val="left"/>
      <w:pPr>
        <w:ind w:left="731"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451" w:hanging="144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811" w:hanging="180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2171" w:hanging="2160"/>
      </w:pPr>
      <w:rPr>
        <w:rFonts w:hint="default"/>
      </w:rPr>
    </w:lvl>
  </w:abstractNum>
  <w:abstractNum w:abstractNumId="15" w15:restartNumberingAfterBreak="0">
    <w:nsid w:val="497262ED"/>
    <w:multiLevelType w:val="hybridMultilevel"/>
    <w:tmpl w:val="F3BE8B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A003874"/>
    <w:multiLevelType w:val="hybridMultilevel"/>
    <w:tmpl w:val="0CAEB3F2"/>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17" w15:restartNumberingAfterBreak="0">
    <w:nsid w:val="4A432FB2"/>
    <w:multiLevelType w:val="hybridMultilevel"/>
    <w:tmpl w:val="4A2CFA2C"/>
    <w:lvl w:ilvl="0" w:tplc="1706C00E">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18"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F1AD3"/>
    <w:multiLevelType w:val="multilevel"/>
    <w:tmpl w:val="FEA0D362"/>
    <w:lvl w:ilvl="0">
      <w:start w:val="1"/>
      <w:numFmt w:val="decimal"/>
      <w:lvlText w:val="%1."/>
      <w:lvlJc w:val="left"/>
      <w:pPr>
        <w:ind w:left="0" w:hanging="567"/>
      </w:pPr>
      <w:rPr>
        <w:rFonts w:hint="default"/>
      </w:rPr>
    </w:lvl>
    <w:lvl w:ilvl="1">
      <w:start w:val="1"/>
      <w:numFmt w:val="decimal"/>
      <w:lvlText w:val="%1.%2"/>
      <w:lvlJc w:val="left"/>
      <w:pPr>
        <w:tabs>
          <w:tab w:val="num" w:pos="567"/>
        </w:tabs>
        <w:ind w:left="0" w:hanging="567"/>
      </w:pPr>
      <w:rPr>
        <w:rFonts w:hint="default"/>
        <w:b w:val="0"/>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0237EF"/>
    <w:multiLevelType w:val="hybridMultilevel"/>
    <w:tmpl w:val="1C72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71478"/>
    <w:multiLevelType w:val="hybridMultilevel"/>
    <w:tmpl w:val="1DB2B72C"/>
    <w:lvl w:ilvl="0" w:tplc="A654936E">
      <w:start w:val="1"/>
      <w:numFmt w:val="decimal"/>
      <w:pStyle w:val="ACMAFigureHeader"/>
      <w:lvlText w:val="Figure %1: "/>
      <w:lvlJc w:val="left"/>
      <w:pPr>
        <w:tabs>
          <w:tab w:val="num" w:pos="1021"/>
        </w:tabs>
        <w:ind w:left="1021" w:hanging="1021"/>
      </w:pPr>
      <w:rPr>
        <w:rFonts w:hint="default"/>
      </w:rPr>
    </w:lvl>
    <w:lvl w:ilvl="1" w:tplc="5E58DF2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2A13B1"/>
    <w:multiLevelType w:val="hybridMultilevel"/>
    <w:tmpl w:val="1CF690A2"/>
    <w:lvl w:ilvl="0" w:tplc="856E6310">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757AE6"/>
    <w:multiLevelType w:val="hybridMultilevel"/>
    <w:tmpl w:val="0F2C4C1C"/>
    <w:lvl w:ilvl="0" w:tplc="0DA4929C">
      <w:start w:val="1"/>
      <w:numFmt w:val="decimal"/>
      <w:pStyle w:val="Caption"/>
      <w:lvlText w:val="Table %1:"/>
      <w:lvlJc w:val="left"/>
      <w:pPr>
        <w:tabs>
          <w:tab w:val="num" w:pos="964"/>
        </w:tabs>
        <w:ind w:left="964" w:hanging="964"/>
      </w:pPr>
      <w:rPr>
        <w:rFonts w:hint="default"/>
      </w:rPr>
    </w:lvl>
    <w:lvl w:ilvl="1" w:tplc="3C0ACCD4">
      <w:start w:val="2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F72F3D"/>
    <w:multiLevelType w:val="hybridMultilevel"/>
    <w:tmpl w:val="03A4E45E"/>
    <w:lvl w:ilvl="0" w:tplc="A0D6C204">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430030"/>
    <w:multiLevelType w:val="hybridMultilevel"/>
    <w:tmpl w:val="1E3E8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EB4142"/>
    <w:multiLevelType w:val="hybridMultilevel"/>
    <w:tmpl w:val="6C4E773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8" w15:restartNumberingAfterBreak="0">
    <w:nsid w:val="78FE0137"/>
    <w:multiLevelType w:val="hybridMultilevel"/>
    <w:tmpl w:val="9C88AB4C"/>
    <w:lvl w:ilvl="0" w:tplc="55F2986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4F006E"/>
    <w:multiLevelType w:val="hybridMultilevel"/>
    <w:tmpl w:val="A0FC50E0"/>
    <w:lvl w:ilvl="0" w:tplc="3AAEA3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C35618F"/>
    <w:multiLevelType w:val="hybridMultilevel"/>
    <w:tmpl w:val="07BC09D2"/>
    <w:lvl w:ilvl="0" w:tplc="FFFFFFFF">
      <w:start w:val="1"/>
      <w:numFmt w:val="lowerLetter"/>
      <w:lvlText w:val="%1)"/>
      <w:lvlJc w:val="left"/>
      <w:pPr>
        <w:ind w:left="720" w:hanging="360"/>
      </w:pPr>
    </w:lvl>
    <w:lvl w:ilvl="1" w:tplc="2BFE3A0C">
      <w:start w:val="1"/>
      <w:numFmt w:val="lowerRoman"/>
      <w:lvlText w:val="(%2)"/>
      <w:lvlJc w:val="right"/>
      <w:pPr>
        <w:ind w:left="1440" w:hanging="360"/>
      </w:p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E6EA2C1C">
      <w:numFmt w:val="bullet"/>
      <w:lvlText w:val=""/>
      <w:lvlJc w:val="left"/>
      <w:pPr>
        <w:ind w:left="3600" w:hanging="360"/>
      </w:pPr>
      <w:rPr>
        <w:rFonts w:ascii="Wingdings" w:eastAsia="Times New Roman" w:hAnsi="Wingdings" w:cs="Arial" w:hint="default"/>
      </w:rPr>
    </w:lvl>
    <w:lvl w:ilvl="5" w:tplc="2D846CB6">
      <w:start w:val="1"/>
      <w:numFmt w:val="lowerLetter"/>
      <w:lvlText w:val="(%6)"/>
      <w:lvlJc w:val="left"/>
      <w:pPr>
        <w:ind w:left="4500" w:hanging="360"/>
      </w:pPr>
    </w:lvl>
    <w:lvl w:ilvl="6" w:tplc="A5C0627E">
      <w:start w:val="1"/>
      <w:numFmt w:val="decimal"/>
      <w:lvlText w:val="%7)"/>
      <w:lvlJc w:val="left"/>
      <w:pPr>
        <w:ind w:left="5040" w:hanging="360"/>
      </w:pPr>
    </w:lvl>
    <w:lvl w:ilvl="7" w:tplc="11AC50C2">
      <w:start w:val="1"/>
      <w:numFmt w:val="upperLetter"/>
      <w:lvlText w:val="%8."/>
      <w:lvlJc w:val="left"/>
      <w:pPr>
        <w:ind w:left="5760" w:hanging="360"/>
      </w:pPr>
    </w:lvl>
    <w:lvl w:ilvl="8" w:tplc="FFFFFFFF">
      <w:start w:val="1"/>
      <w:numFmt w:val="lowerRoman"/>
      <w:lvlText w:val="%9."/>
      <w:lvlJc w:val="right"/>
      <w:pPr>
        <w:ind w:left="6480" w:hanging="180"/>
      </w:pPr>
    </w:lvl>
  </w:abstractNum>
  <w:num w:numId="1" w16cid:durableId="463159654">
    <w:abstractNumId w:val="3"/>
  </w:num>
  <w:num w:numId="2" w16cid:durableId="1272474988">
    <w:abstractNumId w:val="2"/>
  </w:num>
  <w:num w:numId="3" w16cid:durableId="1939871735">
    <w:abstractNumId w:val="0"/>
  </w:num>
  <w:num w:numId="4" w16cid:durableId="1608198631">
    <w:abstractNumId w:val="9"/>
  </w:num>
  <w:num w:numId="5" w16cid:durableId="2124570869">
    <w:abstractNumId w:val="22"/>
  </w:num>
  <w:num w:numId="6" w16cid:durableId="1786773716">
    <w:abstractNumId w:val="18"/>
  </w:num>
  <w:num w:numId="7" w16cid:durableId="408428702">
    <w:abstractNumId w:val="21"/>
  </w:num>
  <w:num w:numId="8" w16cid:durableId="1510674321">
    <w:abstractNumId w:val="24"/>
  </w:num>
  <w:num w:numId="9" w16cid:durableId="1943370622">
    <w:abstractNumId w:val="10"/>
  </w:num>
  <w:num w:numId="10" w16cid:durableId="95715058">
    <w:abstractNumId w:val="7"/>
  </w:num>
  <w:num w:numId="11" w16cid:durableId="908687864">
    <w:abstractNumId w:val="8"/>
  </w:num>
  <w:num w:numId="12" w16cid:durableId="1871993555">
    <w:abstractNumId w:val="3"/>
  </w:num>
  <w:num w:numId="13" w16cid:durableId="1490828872">
    <w:abstractNumId w:val="1"/>
  </w:num>
  <w:num w:numId="14" w16cid:durableId="1652715148">
    <w:abstractNumId w:val="4"/>
  </w:num>
  <w:num w:numId="15" w16cid:durableId="636185706">
    <w:abstractNumId w:val="23"/>
  </w:num>
  <w:num w:numId="16" w16cid:durableId="1575047666">
    <w:abstractNumId w:val="5"/>
  </w:num>
  <w:num w:numId="17" w16cid:durableId="310796100">
    <w:abstractNumId w:val="13"/>
  </w:num>
  <w:num w:numId="18" w16cid:durableId="1799951333">
    <w:abstractNumId w:val="6"/>
  </w:num>
  <w:num w:numId="19" w16cid:durableId="1053119122">
    <w:abstractNumId w:val="25"/>
  </w:num>
  <w:num w:numId="20" w16cid:durableId="602962481">
    <w:abstractNumId w:val="11"/>
  </w:num>
  <w:num w:numId="21" w16cid:durableId="1145009730">
    <w:abstractNumId w:val="3"/>
  </w:num>
  <w:num w:numId="22" w16cid:durableId="418722829">
    <w:abstractNumId w:val="3"/>
  </w:num>
  <w:num w:numId="23" w16cid:durableId="473761625">
    <w:abstractNumId w:val="3"/>
  </w:num>
  <w:num w:numId="24" w16cid:durableId="1273435010">
    <w:abstractNumId w:val="26"/>
  </w:num>
  <w:num w:numId="25" w16cid:durableId="953900994">
    <w:abstractNumId w:val="28"/>
  </w:num>
  <w:num w:numId="26" w16cid:durableId="577592883">
    <w:abstractNumId w:val="3"/>
  </w:num>
  <w:num w:numId="27" w16cid:durableId="895359343">
    <w:abstractNumId w:val="3"/>
  </w:num>
  <w:num w:numId="28" w16cid:durableId="1898324139">
    <w:abstractNumId w:val="27"/>
  </w:num>
  <w:num w:numId="29" w16cid:durableId="849951595">
    <w:abstractNumId w:val="16"/>
  </w:num>
  <w:num w:numId="30" w16cid:durableId="524711788">
    <w:abstractNumId w:val="12"/>
  </w:num>
  <w:num w:numId="31" w16cid:durableId="475028844">
    <w:abstractNumId w:val="19"/>
  </w:num>
  <w:num w:numId="32" w16cid:durableId="840200954">
    <w:abstractNumId w:val="14"/>
  </w:num>
  <w:num w:numId="33" w16cid:durableId="1057315427">
    <w:abstractNumId w:val="20"/>
  </w:num>
  <w:num w:numId="34" w16cid:durableId="603077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1654607">
    <w:abstractNumId w:val="30"/>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6" w16cid:durableId="1003166404">
    <w:abstractNumId w:val="17"/>
  </w:num>
  <w:num w:numId="37" w16cid:durableId="99498130">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A0"/>
    <w:rsid w:val="00000249"/>
    <w:rsid w:val="00000265"/>
    <w:rsid w:val="00000A7B"/>
    <w:rsid w:val="00001044"/>
    <w:rsid w:val="000010FA"/>
    <w:rsid w:val="0000114B"/>
    <w:rsid w:val="0000115E"/>
    <w:rsid w:val="000011A1"/>
    <w:rsid w:val="0000136E"/>
    <w:rsid w:val="00001B77"/>
    <w:rsid w:val="00001ECA"/>
    <w:rsid w:val="00002710"/>
    <w:rsid w:val="00002A6C"/>
    <w:rsid w:val="00002F82"/>
    <w:rsid w:val="000032E4"/>
    <w:rsid w:val="00003349"/>
    <w:rsid w:val="000034AC"/>
    <w:rsid w:val="00003856"/>
    <w:rsid w:val="00003BC5"/>
    <w:rsid w:val="00003CFF"/>
    <w:rsid w:val="00003D1E"/>
    <w:rsid w:val="0000406D"/>
    <w:rsid w:val="0000425E"/>
    <w:rsid w:val="000042FB"/>
    <w:rsid w:val="000049D7"/>
    <w:rsid w:val="00004A1F"/>
    <w:rsid w:val="00004BDE"/>
    <w:rsid w:val="000051DF"/>
    <w:rsid w:val="0000553A"/>
    <w:rsid w:val="00005631"/>
    <w:rsid w:val="0000596C"/>
    <w:rsid w:val="0000596F"/>
    <w:rsid w:val="00005A7E"/>
    <w:rsid w:val="00005ABC"/>
    <w:rsid w:val="00005D3A"/>
    <w:rsid w:val="00005D62"/>
    <w:rsid w:val="00006221"/>
    <w:rsid w:val="00006664"/>
    <w:rsid w:val="00006682"/>
    <w:rsid w:val="000075D3"/>
    <w:rsid w:val="00007A73"/>
    <w:rsid w:val="00007D00"/>
    <w:rsid w:val="000104E4"/>
    <w:rsid w:val="00010667"/>
    <w:rsid w:val="000106A2"/>
    <w:rsid w:val="00010A4B"/>
    <w:rsid w:val="000110C5"/>
    <w:rsid w:val="00011389"/>
    <w:rsid w:val="000113E1"/>
    <w:rsid w:val="00011C64"/>
    <w:rsid w:val="00012357"/>
    <w:rsid w:val="0001265C"/>
    <w:rsid w:val="000129D5"/>
    <w:rsid w:val="00012A5A"/>
    <w:rsid w:val="0001310C"/>
    <w:rsid w:val="000132DA"/>
    <w:rsid w:val="0001339C"/>
    <w:rsid w:val="00013455"/>
    <w:rsid w:val="00013BF5"/>
    <w:rsid w:val="00013D47"/>
    <w:rsid w:val="0001401B"/>
    <w:rsid w:val="000140FE"/>
    <w:rsid w:val="00014B54"/>
    <w:rsid w:val="00014C31"/>
    <w:rsid w:val="00014F75"/>
    <w:rsid w:val="0001535E"/>
    <w:rsid w:val="00015685"/>
    <w:rsid w:val="00015914"/>
    <w:rsid w:val="00015AE7"/>
    <w:rsid w:val="00015D05"/>
    <w:rsid w:val="0001604E"/>
    <w:rsid w:val="00016768"/>
    <w:rsid w:val="00016855"/>
    <w:rsid w:val="00016B13"/>
    <w:rsid w:val="00016E21"/>
    <w:rsid w:val="0001719C"/>
    <w:rsid w:val="000171D9"/>
    <w:rsid w:val="0001731F"/>
    <w:rsid w:val="00017341"/>
    <w:rsid w:val="000173F7"/>
    <w:rsid w:val="00017670"/>
    <w:rsid w:val="000177F9"/>
    <w:rsid w:val="00017BC7"/>
    <w:rsid w:val="00017DE9"/>
    <w:rsid w:val="00017EBC"/>
    <w:rsid w:val="0002003F"/>
    <w:rsid w:val="000203FD"/>
    <w:rsid w:val="00020607"/>
    <w:rsid w:val="00020CB7"/>
    <w:rsid w:val="00020CFD"/>
    <w:rsid w:val="00020DA3"/>
    <w:rsid w:val="00020DF1"/>
    <w:rsid w:val="000212B5"/>
    <w:rsid w:val="0002139C"/>
    <w:rsid w:val="000214AF"/>
    <w:rsid w:val="00021615"/>
    <w:rsid w:val="000216DB"/>
    <w:rsid w:val="00021793"/>
    <w:rsid w:val="00021B18"/>
    <w:rsid w:val="00021D70"/>
    <w:rsid w:val="0002224E"/>
    <w:rsid w:val="00022888"/>
    <w:rsid w:val="00022A10"/>
    <w:rsid w:val="00022A9D"/>
    <w:rsid w:val="00022FCB"/>
    <w:rsid w:val="000230FD"/>
    <w:rsid w:val="0002327B"/>
    <w:rsid w:val="000236D5"/>
    <w:rsid w:val="0002390A"/>
    <w:rsid w:val="00023ABB"/>
    <w:rsid w:val="0002414E"/>
    <w:rsid w:val="000245E5"/>
    <w:rsid w:val="00024C2B"/>
    <w:rsid w:val="0002507B"/>
    <w:rsid w:val="00025081"/>
    <w:rsid w:val="0002543B"/>
    <w:rsid w:val="000256CD"/>
    <w:rsid w:val="00025B30"/>
    <w:rsid w:val="00026010"/>
    <w:rsid w:val="00026E88"/>
    <w:rsid w:val="00026F91"/>
    <w:rsid w:val="0002715E"/>
    <w:rsid w:val="00027583"/>
    <w:rsid w:val="00027637"/>
    <w:rsid w:val="0002770D"/>
    <w:rsid w:val="0002785F"/>
    <w:rsid w:val="00027D9C"/>
    <w:rsid w:val="00027DB0"/>
    <w:rsid w:val="00030356"/>
    <w:rsid w:val="0003065D"/>
    <w:rsid w:val="0003081B"/>
    <w:rsid w:val="00030831"/>
    <w:rsid w:val="00030B11"/>
    <w:rsid w:val="00030EC0"/>
    <w:rsid w:val="0003108C"/>
    <w:rsid w:val="0003137D"/>
    <w:rsid w:val="00031577"/>
    <w:rsid w:val="00032621"/>
    <w:rsid w:val="00032C9B"/>
    <w:rsid w:val="00032D95"/>
    <w:rsid w:val="00032EE7"/>
    <w:rsid w:val="0003343D"/>
    <w:rsid w:val="000335BC"/>
    <w:rsid w:val="00033683"/>
    <w:rsid w:val="000338C9"/>
    <w:rsid w:val="000338F2"/>
    <w:rsid w:val="00033965"/>
    <w:rsid w:val="00033AAB"/>
    <w:rsid w:val="00033BA8"/>
    <w:rsid w:val="00033CE2"/>
    <w:rsid w:val="0003430F"/>
    <w:rsid w:val="0003432F"/>
    <w:rsid w:val="0003457E"/>
    <w:rsid w:val="000346CE"/>
    <w:rsid w:val="000348B0"/>
    <w:rsid w:val="00034ABD"/>
    <w:rsid w:val="00035078"/>
    <w:rsid w:val="0003507A"/>
    <w:rsid w:val="000351A0"/>
    <w:rsid w:val="00035B29"/>
    <w:rsid w:val="00035BD6"/>
    <w:rsid w:val="00035D91"/>
    <w:rsid w:val="00035E92"/>
    <w:rsid w:val="00036055"/>
    <w:rsid w:val="00036432"/>
    <w:rsid w:val="00036A7F"/>
    <w:rsid w:val="00036D63"/>
    <w:rsid w:val="0003713A"/>
    <w:rsid w:val="000371BD"/>
    <w:rsid w:val="00037402"/>
    <w:rsid w:val="000374B8"/>
    <w:rsid w:val="00037ABD"/>
    <w:rsid w:val="00037B48"/>
    <w:rsid w:val="00037C58"/>
    <w:rsid w:val="00037F88"/>
    <w:rsid w:val="000407D7"/>
    <w:rsid w:val="00040F78"/>
    <w:rsid w:val="00041093"/>
    <w:rsid w:val="000412A5"/>
    <w:rsid w:val="00041314"/>
    <w:rsid w:val="00041715"/>
    <w:rsid w:val="00041ECE"/>
    <w:rsid w:val="00042502"/>
    <w:rsid w:val="0004281A"/>
    <w:rsid w:val="000429A4"/>
    <w:rsid w:val="00042B31"/>
    <w:rsid w:val="00042B50"/>
    <w:rsid w:val="00042BB7"/>
    <w:rsid w:val="0004314F"/>
    <w:rsid w:val="00043525"/>
    <w:rsid w:val="000437F6"/>
    <w:rsid w:val="00043A12"/>
    <w:rsid w:val="00043A3B"/>
    <w:rsid w:val="0004412C"/>
    <w:rsid w:val="0004441B"/>
    <w:rsid w:val="000447BA"/>
    <w:rsid w:val="000449B1"/>
    <w:rsid w:val="00044EEF"/>
    <w:rsid w:val="00045350"/>
    <w:rsid w:val="000455C0"/>
    <w:rsid w:val="00045746"/>
    <w:rsid w:val="00045AA9"/>
    <w:rsid w:val="000460D5"/>
    <w:rsid w:val="000462A3"/>
    <w:rsid w:val="00046B8B"/>
    <w:rsid w:val="00047277"/>
    <w:rsid w:val="000475E1"/>
    <w:rsid w:val="0004764C"/>
    <w:rsid w:val="00047D08"/>
    <w:rsid w:val="0005011A"/>
    <w:rsid w:val="0005045A"/>
    <w:rsid w:val="000504B9"/>
    <w:rsid w:val="00050766"/>
    <w:rsid w:val="000507C8"/>
    <w:rsid w:val="00050C36"/>
    <w:rsid w:val="00051083"/>
    <w:rsid w:val="000513BE"/>
    <w:rsid w:val="000513C1"/>
    <w:rsid w:val="0005151E"/>
    <w:rsid w:val="00051C1E"/>
    <w:rsid w:val="00051D51"/>
    <w:rsid w:val="0005235F"/>
    <w:rsid w:val="00052620"/>
    <w:rsid w:val="00052950"/>
    <w:rsid w:val="000529F7"/>
    <w:rsid w:val="0005303D"/>
    <w:rsid w:val="00053110"/>
    <w:rsid w:val="000531E0"/>
    <w:rsid w:val="000534C1"/>
    <w:rsid w:val="000536EF"/>
    <w:rsid w:val="000539F9"/>
    <w:rsid w:val="00053CEB"/>
    <w:rsid w:val="00053FDE"/>
    <w:rsid w:val="000542B7"/>
    <w:rsid w:val="000546D0"/>
    <w:rsid w:val="00054864"/>
    <w:rsid w:val="000549FC"/>
    <w:rsid w:val="00054C17"/>
    <w:rsid w:val="00054C27"/>
    <w:rsid w:val="00054C9E"/>
    <w:rsid w:val="00054EF8"/>
    <w:rsid w:val="000550B3"/>
    <w:rsid w:val="00055B56"/>
    <w:rsid w:val="00055CD2"/>
    <w:rsid w:val="00055EA5"/>
    <w:rsid w:val="00055EC3"/>
    <w:rsid w:val="000563CE"/>
    <w:rsid w:val="000566E9"/>
    <w:rsid w:val="00056C41"/>
    <w:rsid w:val="00056D21"/>
    <w:rsid w:val="00057179"/>
    <w:rsid w:val="00057506"/>
    <w:rsid w:val="000576AF"/>
    <w:rsid w:val="00057C69"/>
    <w:rsid w:val="00057CA2"/>
    <w:rsid w:val="00057DEB"/>
    <w:rsid w:val="00057FF2"/>
    <w:rsid w:val="00060130"/>
    <w:rsid w:val="0006086D"/>
    <w:rsid w:val="00060D06"/>
    <w:rsid w:val="00060D6F"/>
    <w:rsid w:val="00060DD0"/>
    <w:rsid w:val="00061349"/>
    <w:rsid w:val="0006135B"/>
    <w:rsid w:val="000613B4"/>
    <w:rsid w:val="00061651"/>
    <w:rsid w:val="00061A50"/>
    <w:rsid w:val="00061D62"/>
    <w:rsid w:val="00061D84"/>
    <w:rsid w:val="00061FA5"/>
    <w:rsid w:val="00062707"/>
    <w:rsid w:val="00062FB0"/>
    <w:rsid w:val="0006358F"/>
    <w:rsid w:val="000643FA"/>
    <w:rsid w:val="0006446A"/>
    <w:rsid w:val="0006461E"/>
    <w:rsid w:val="00064B33"/>
    <w:rsid w:val="00064BF0"/>
    <w:rsid w:val="00065420"/>
    <w:rsid w:val="000659B6"/>
    <w:rsid w:val="00065F4A"/>
    <w:rsid w:val="000660B7"/>
    <w:rsid w:val="0006671B"/>
    <w:rsid w:val="0006686F"/>
    <w:rsid w:val="000668AF"/>
    <w:rsid w:val="000669F3"/>
    <w:rsid w:val="00066A2B"/>
    <w:rsid w:val="00066B0E"/>
    <w:rsid w:val="00066D3E"/>
    <w:rsid w:val="000670CC"/>
    <w:rsid w:val="0006722A"/>
    <w:rsid w:val="00067534"/>
    <w:rsid w:val="000675C9"/>
    <w:rsid w:val="00067EAD"/>
    <w:rsid w:val="00070019"/>
    <w:rsid w:val="000701C0"/>
    <w:rsid w:val="0007044D"/>
    <w:rsid w:val="00071068"/>
    <w:rsid w:val="0007140F"/>
    <w:rsid w:val="00071536"/>
    <w:rsid w:val="000715E6"/>
    <w:rsid w:val="00071D21"/>
    <w:rsid w:val="00072530"/>
    <w:rsid w:val="00072547"/>
    <w:rsid w:val="0007255A"/>
    <w:rsid w:val="000725F5"/>
    <w:rsid w:val="0007262E"/>
    <w:rsid w:val="00072CC0"/>
    <w:rsid w:val="000732CF"/>
    <w:rsid w:val="000734A5"/>
    <w:rsid w:val="00073F4F"/>
    <w:rsid w:val="00073FD8"/>
    <w:rsid w:val="00074717"/>
    <w:rsid w:val="00074852"/>
    <w:rsid w:val="00074C37"/>
    <w:rsid w:val="00074D63"/>
    <w:rsid w:val="00074F44"/>
    <w:rsid w:val="000750FF"/>
    <w:rsid w:val="00075435"/>
    <w:rsid w:val="00075613"/>
    <w:rsid w:val="00075772"/>
    <w:rsid w:val="00075795"/>
    <w:rsid w:val="000759DD"/>
    <w:rsid w:val="00075B12"/>
    <w:rsid w:val="00075B96"/>
    <w:rsid w:val="00075C47"/>
    <w:rsid w:val="00075F75"/>
    <w:rsid w:val="00076004"/>
    <w:rsid w:val="0007620F"/>
    <w:rsid w:val="0007622E"/>
    <w:rsid w:val="00076388"/>
    <w:rsid w:val="000764E8"/>
    <w:rsid w:val="0007699E"/>
    <w:rsid w:val="00076FD4"/>
    <w:rsid w:val="000775EB"/>
    <w:rsid w:val="0007776B"/>
    <w:rsid w:val="00077B8A"/>
    <w:rsid w:val="00080518"/>
    <w:rsid w:val="00080586"/>
    <w:rsid w:val="00080863"/>
    <w:rsid w:val="000809F5"/>
    <w:rsid w:val="00080C7D"/>
    <w:rsid w:val="00080E39"/>
    <w:rsid w:val="0008196A"/>
    <w:rsid w:val="00081B98"/>
    <w:rsid w:val="00081FF5"/>
    <w:rsid w:val="00082057"/>
    <w:rsid w:val="00082138"/>
    <w:rsid w:val="00082E5D"/>
    <w:rsid w:val="00082E8A"/>
    <w:rsid w:val="00083130"/>
    <w:rsid w:val="0008313C"/>
    <w:rsid w:val="000836D2"/>
    <w:rsid w:val="00083793"/>
    <w:rsid w:val="00083B16"/>
    <w:rsid w:val="00083B56"/>
    <w:rsid w:val="00083E05"/>
    <w:rsid w:val="00083EC0"/>
    <w:rsid w:val="00083EEE"/>
    <w:rsid w:val="0008404D"/>
    <w:rsid w:val="0008408C"/>
    <w:rsid w:val="0008448F"/>
    <w:rsid w:val="00084787"/>
    <w:rsid w:val="00084EB2"/>
    <w:rsid w:val="000852F6"/>
    <w:rsid w:val="00085621"/>
    <w:rsid w:val="0008583E"/>
    <w:rsid w:val="00085902"/>
    <w:rsid w:val="00085CB4"/>
    <w:rsid w:val="000868D9"/>
    <w:rsid w:val="00086A15"/>
    <w:rsid w:val="00086A2B"/>
    <w:rsid w:val="00086C33"/>
    <w:rsid w:val="00086D98"/>
    <w:rsid w:val="00086EFC"/>
    <w:rsid w:val="00086F79"/>
    <w:rsid w:val="000874FD"/>
    <w:rsid w:val="0008793C"/>
    <w:rsid w:val="00087D0F"/>
    <w:rsid w:val="00087DE9"/>
    <w:rsid w:val="00090335"/>
    <w:rsid w:val="00090908"/>
    <w:rsid w:val="0009099E"/>
    <w:rsid w:val="00090CFE"/>
    <w:rsid w:val="00091015"/>
    <w:rsid w:val="00091096"/>
    <w:rsid w:val="00091178"/>
    <w:rsid w:val="000911B5"/>
    <w:rsid w:val="000911F8"/>
    <w:rsid w:val="0009134B"/>
    <w:rsid w:val="00091370"/>
    <w:rsid w:val="000914AB"/>
    <w:rsid w:val="000915ED"/>
    <w:rsid w:val="00091A5B"/>
    <w:rsid w:val="00091C18"/>
    <w:rsid w:val="0009209D"/>
    <w:rsid w:val="0009219B"/>
    <w:rsid w:val="000924FC"/>
    <w:rsid w:val="0009275D"/>
    <w:rsid w:val="00092B8A"/>
    <w:rsid w:val="00092E71"/>
    <w:rsid w:val="00092FA4"/>
    <w:rsid w:val="00093263"/>
    <w:rsid w:val="00093532"/>
    <w:rsid w:val="00094397"/>
    <w:rsid w:val="000943FA"/>
    <w:rsid w:val="0009463C"/>
    <w:rsid w:val="0009474F"/>
    <w:rsid w:val="00094809"/>
    <w:rsid w:val="00094C3F"/>
    <w:rsid w:val="00095051"/>
    <w:rsid w:val="00095442"/>
    <w:rsid w:val="000959CB"/>
    <w:rsid w:val="000959F4"/>
    <w:rsid w:val="00095AC7"/>
    <w:rsid w:val="00095BEC"/>
    <w:rsid w:val="00095D56"/>
    <w:rsid w:val="00095EB4"/>
    <w:rsid w:val="00095FD2"/>
    <w:rsid w:val="0009615D"/>
    <w:rsid w:val="0009697A"/>
    <w:rsid w:val="000969BD"/>
    <w:rsid w:val="000969BF"/>
    <w:rsid w:val="00096C27"/>
    <w:rsid w:val="00096D74"/>
    <w:rsid w:val="00096DF4"/>
    <w:rsid w:val="0009741E"/>
    <w:rsid w:val="00097675"/>
    <w:rsid w:val="00097ACA"/>
    <w:rsid w:val="00097EE8"/>
    <w:rsid w:val="000A0113"/>
    <w:rsid w:val="000A02F1"/>
    <w:rsid w:val="000A0385"/>
    <w:rsid w:val="000A06C8"/>
    <w:rsid w:val="000A0B26"/>
    <w:rsid w:val="000A0B6F"/>
    <w:rsid w:val="000A0C22"/>
    <w:rsid w:val="000A0DF2"/>
    <w:rsid w:val="000A0EF7"/>
    <w:rsid w:val="000A0F53"/>
    <w:rsid w:val="000A100D"/>
    <w:rsid w:val="000A10D5"/>
    <w:rsid w:val="000A1400"/>
    <w:rsid w:val="000A16CF"/>
    <w:rsid w:val="000A1735"/>
    <w:rsid w:val="000A19F5"/>
    <w:rsid w:val="000A1ABE"/>
    <w:rsid w:val="000A1C44"/>
    <w:rsid w:val="000A1DF3"/>
    <w:rsid w:val="000A26DD"/>
    <w:rsid w:val="000A285E"/>
    <w:rsid w:val="000A2E93"/>
    <w:rsid w:val="000A308D"/>
    <w:rsid w:val="000A3A62"/>
    <w:rsid w:val="000A3AE2"/>
    <w:rsid w:val="000A3C43"/>
    <w:rsid w:val="000A3CFB"/>
    <w:rsid w:val="000A4093"/>
    <w:rsid w:val="000A432C"/>
    <w:rsid w:val="000A4618"/>
    <w:rsid w:val="000A4A51"/>
    <w:rsid w:val="000A4E39"/>
    <w:rsid w:val="000A56B6"/>
    <w:rsid w:val="000A59D6"/>
    <w:rsid w:val="000A5D2B"/>
    <w:rsid w:val="000A6310"/>
    <w:rsid w:val="000A6382"/>
    <w:rsid w:val="000A64C9"/>
    <w:rsid w:val="000A699D"/>
    <w:rsid w:val="000A6C7C"/>
    <w:rsid w:val="000A6D80"/>
    <w:rsid w:val="000A70D2"/>
    <w:rsid w:val="000A7321"/>
    <w:rsid w:val="000A7480"/>
    <w:rsid w:val="000A7B82"/>
    <w:rsid w:val="000A7BB4"/>
    <w:rsid w:val="000B0337"/>
    <w:rsid w:val="000B0831"/>
    <w:rsid w:val="000B0C33"/>
    <w:rsid w:val="000B0D20"/>
    <w:rsid w:val="000B0F7E"/>
    <w:rsid w:val="000B0FAA"/>
    <w:rsid w:val="000B1368"/>
    <w:rsid w:val="000B1521"/>
    <w:rsid w:val="000B1BB0"/>
    <w:rsid w:val="000B1DA1"/>
    <w:rsid w:val="000B1E48"/>
    <w:rsid w:val="000B21A0"/>
    <w:rsid w:val="000B22A7"/>
    <w:rsid w:val="000B24E1"/>
    <w:rsid w:val="000B24F1"/>
    <w:rsid w:val="000B24F2"/>
    <w:rsid w:val="000B2628"/>
    <w:rsid w:val="000B26DE"/>
    <w:rsid w:val="000B2875"/>
    <w:rsid w:val="000B28D5"/>
    <w:rsid w:val="000B2BC4"/>
    <w:rsid w:val="000B2F58"/>
    <w:rsid w:val="000B3132"/>
    <w:rsid w:val="000B343E"/>
    <w:rsid w:val="000B35A4"/>
    <w:rsid w:val="000B3654"/>
    <w:rsid w:val="000B3AD5"/>
    <w:rsid w:val="000B3C78"/>
    <w:rsid w:val="000B4418"/>
    <w:rsid w:val="000B446B"/>
    <w:rsid w:val="000B4664"/>
    <w:rsid w:val="000B48C1"/>
    <w:rsid w:val="000B513A"/>
    <w:rsid w:val="000B568B"/>
    <w:rsid w:val="000B577E"/>
    <w:rsid w:val="000B58B5"/>
    <w:rsid w:val="000B5925"/>
    <w:rsid w:val="000B5D07"/>
    <w:rsid w:val="000B5DE3"/>
    <w:rsid w:val="000B5E8C"/>
    <w:rsid w:val="000B5F48"/>
    <w:rsid w:val="000B5FF9"/>
    <w:rsid w:val="000B6485"/>
    <w:rsid w:val="000B67CB"/>
    <w:rsid w:val="000B6B2F"/>
    <w:rsid w:val="000B6B6F"/>
    <w:rsid w:val="000B6E07"/>
    <w:rsid w:val="000B70FB"/>
    <w:rsid w:val="000B7135"/>
    <w:rsid w:val="000B717A"/>
    <w:rsid w:val="000B71E6"/>
    <w:rsid w:val="000B7846"/>
    <w:rsid w:val="000B78D3"/>
    <w:rsid w:val="000C018F"/>
    <w:rsid w:val="000C05A9"/>
    <w:rsid w:val="000C08A0"/>
    <w:rsid w:val="000C0A57"/>
    <w:rsid w:val="000C0B6A"/>
    <w:rsid w:val="000C0E93"/>
    <w:rsid w:val="000C1386"/>
    <w:rsid w:val="000C13CA"/>
    <w:rsid w:val="000C19BF"/>
    <w:rsid w:val="000C19F5"/>
    <w:rsid w:val="000C1D6B"/>
    <w:rsid w:val="000C230C"/>
    <w:rsid w:val="000C25CB"/>
    <w:rsid w:val="000C2620"/>
    <w:rsid w:val="000C2633"/>
    <w:rsid w:val="000C2B18"/>
    <w:rsid w:val="000C2B3F"/>
    <w:rsid w:val="000C2CB2"/>
    <w:rsid w:val="000C2F7F"/>
    <w:rsid w:val="000C301D"/>
    <w:rsid w:val="000C3139"/>
    <w:rsid w:val="000C3678"/>
    <w:rsid w:val="000C3F04"/>
    <w:rsid w:val="000C40BF"/>
    <w:rsid w:val="000C41F8"/>
    <w:rsid w:val="000C4317"/>
    <w:rsid w:val="000C4756"/>
    <w:rsid w:val="000C47AF"/>
    <w:rsid w:val="000C4AA6"/>
    <w:rsid w:val="000C541A"/>
    <w:rsid w:val="000C548D"/>
    <w:rsid w:val="000C5A43"/>
    <w:rsid w:val="000C5CEC"/>
    <w:rsid w:val="000C5EA1"/>
    <w:rsid w:val="000C5EB7"/>
    <w:rsid w:val="000C6037"/>
    <w:rsid w:val="000C6464"/>
    <w:rsid w:val="000C65C6"/>
    <w:rsid w:val="000C6828"/>
    <w:rsid w:val="000C6AB4"/>
    <w:rsid w:val="000C6BFD"/>
    <w:rsid w:val="000C7486"/>
    <w:rsid w:val="000C76AF"/>
    <w:rsid w:val="000C7D91"/>
    <w:rsid w:val="000C7E7F"/>
    <w:rsid w:val="000C7F0F"/>
    <w:rsid w:val="000D04E8"/>
    <w:rsid w:val="000D0A73"/>
    <w:rsid w:val="000D1001"/>
    <w:rsid w:val="000D1026"/>
    <w:rsid w:val="000D1060"/>
    <w:rsid w:val="000D1096"/>
    <w:rsid w:val="000D12FA"/>
    <w:rsid w:val="000D1519"/>
    <w:rsid w:val="000D1604"/>
    <w:rsid w:val="000D1A51"/>
    <w:rsid w:val="000D1B33"/>
    <w:rsid w:val="000D1FD4"/>
    <w:rsid w:val="000D220F"/>
    <w:rsid w:val="000D23CC"/>
    <w:rsid w:val="000D23D1"/>
    <w:rsid w:val="000D2467"/>
    <w:rsid w:val="000D24A3"/>
    <w:rsid w:val="000D2984"/>
    <w:rsid w:val="000D2A22"/>
    <w:rsid w:val="000D2EA8"/>
    <w:rsid w:val="000D3065"/>
    <w:rsid w:val="000D3612"/>
    <w:rsid w:val="000D3655"/>
    <w:rsid w:val="000D37FE"/>
    <w:rsid w:val="000D3C0B"/>
    <w:rsid w:val="000D4230"/>
    <w:rsid w:val="000D4B14"/>
    <w:rsid w:val="000D5088"/>
    <w:rsid w:val="000D54C3"/>
    <w:rsid w:val="000D5E20"/>
    <w:rsid w:val="000D6449"/>
    <w:rsid w:val="000D6D58"/>
    <w:rsid w:val="000D6DCE"/>
    <w:rsid w:val="000D7047"/>
    <w:rsid w:val="000D71D9"/>
    <w:rsid w:val="000D72EA"/>
    <w:rsid w:val="000D76E0"/>
    <w:rsid w:val="000D7C39"/>
    <w:rsid w:val="000D7CBE"/>
    <w:rsid w:val="000D7CF0"/>
    <w:rsid w:val="000D7D16"/>
    <w:rsid w:val="000D7E08"/>
    <w:rsid w:val="000D7E8B"/>
    <w:rsid w:val="000E048A"/>
    <w:rsid w:val="000E05A4"/>
    <w:rsid w:val="000E07B8"/>
    <w:rsid w:val="000E0995"/>
    <w:rsid w:val="000E0ADF"/>
    <w:rsid w:val="000E0B35"/>
    <w:rsid w:val="000E0DBC"/>
    <w:rsid w:val="000E0F37"/>
    <w:rsid w:val="000E1320"/>
    <w:rsid w:val="000E137F"/>
    <w:rsid w:val="000E13B2"/>
    <w:rsid w:val="000E1640"/>
    <w:rsid w:val="000E1B2A"/>
    <w:rsid w:val="000E1FCF"/>
    <w:rsid w:val="000E251A"/>
    <w:rsid w:val="000E2621"/>
    <w:rsid w:val="000E2663"/>
    <w:rsid w:val="000E2835"/>
    <w:rsid w:val="000E2FED"/>
    <w:rsid w:val="000E376B"/>
    <w:rsid w:val="000E37D7"/>
    <w:rsid w:val="000E3C2A"/>
    <w:rsid w:val="000E3CA8"/>
    <w:rsid w:val="000E4449"/>
    <w:rsid w:val="000E49B6"/>
    <w:rsid w:val="000E4CD1"/>
    <w:rsid w:val="000E4D85"/>
    <w:rsid w:val="000E58C6"/>
    <w:rsid w:val="000E5A9A"/>
    <w:rsid w:val="000E6032"/>
    <w:rsid w:val="000E6097"/>
    <w:rsid w:val="000E637D"/>
    <w:rsid w:val="000E6497"/>
    <w:rsid w:val="000E64B0"/>
    <w:rsid w:val="000E64DB"/>
    <w:rsid w:val="000E6771"/>
    <w:rsid w:val="000E6884"/>
    <w:rsid w:val="000E6B78"/>
    <w:rsid w:val="000E6DEE"/>
    <w:rsid w:val="000E6E1D"/>
    <w:rsid w:val="000E6F15"/>
    <w:rsid w:val="000E7250"/>
    <w:rsid w:val="000E758B"/>
    <w:rsid w:val="000E7614"/>
    <w:rsid w:val="000E7717"/>
    <w:rsid w:val="000E7778"/>
    <w:rsid w:val="000E7874"/>
    <w:rsid w:val="000E78E3"/>
    <w:rsid w:val="000F002F"/>
    <w:rsid w:val="000F020E"/>
    <w:rsid w:val="000F0293"/>
    <w:rsid w:val="000F05D4"/>
    <w:rsid w:val="000F0687"/>
    <w:rsid w:val="000F0BA7"/>
    <w:rsid w:val="000F0F72"/>
    <w:rsid w:val="000F1467"/>
    <w:rsid w:val="000F1CAA"/>
    <w:rsid w:val="000F1CC3"/>
    <w:rsid w:val="000F1E4C"/>
    <w:rsid w:val="000F1FE4"/>
    <w:rsid w:val="000F20A7"/>
    <w:rsid w:val="000F226F"/>
    <w:rsid w:val="000F2DBA"/>
    <w:rsid w:val="000F302E"/>
    <w:rsid w:val="000F31EE"/>
    <w:rsid w:val="000F3529"/>
    <w:rsid w:val="000F3D4B"/>
    <w:rsid w:val="000F3E9D"/>
    <w:rsid w:val="000F483A"/>
    <w:rsid w:val="000F4DE0"/>
    <w:rsid w:val="000F57D5"/>
    <w:rsid w:val="000F5C3A"/>
    <w:rsid w:val="000F5D82"/>
    <w:rsid w:val="000F5DBE"/>
    <w:rsid w:val="000F5EEB"/>
    <w:rsid w:val="000F5FCB"/>
    <w:rsid w:val="000F6144"/>
    <w:rsid w:val="000F616A"/>
    <w:rsid w:val="000F64AB"/>
    <w:rsid w:val="000F6773"/>
    <w:rsid w:val="000F6BE2"/>
    <w:rsid w:val="000F6DCF"/>
    <w:rsid w:val="000F7136"/>
    <w:rsid w:val="000F7354"/>
    <w:rsid w:val="000F7762"/>
    <w:rsid w:val="000F7B83"/>
    <w:rsid w:val="000F7BF0"/>
    <w:rsid w:val="000F7F44"/>
    <w:rsid w:val="001005F8"/>
    <w:rsid w:val="0010077D"/>
    <w:rsid w:val="00100F6C"/>
    <w:rsid w:val="00101038"/>
    <w:rsid w:val="0010110C"/>
    <w:rsid w:val="0010125F"/>
    <w:rsid w:val="00101346"/>
    <w:rsid w:val="00101379"/>
    <w:rsid w:val="00101613"/>
    <w:rsid w:val="001016B9"/>
    <w:rsid w:val="001017D2"/>
    <w:rsid w:val="00101852"/>
    <w:rsid w:val="00101D0B"/>
    <w:rsid w:val="00101D3F"/>
    <w:rsid w:val="00101E73"/>
    <w:rsid w:val="00101FCC"/>
    <w:rsid w:val="00102075"/>
    <w:rsid w:val="001025CB"/>
    <w:rsid w:val="00102784"/>
    <w:rsid w:val="001029EE"/>
    <w:rsid w:val="001033C2"/>
    <w:rsid w:val="00103829"/>
    <w:rsid w:val="001038AF"/>
    <w:rsid w:val="00103D5F"/>
    <w:rsid w:val="00104131"/>
    <w:rsid w:val="001045D3"/>
    <w:rsid w:val="00104757"/>
    <w:rsid w:val="00104871"/>
    <w:rsid w:val="001048B8"/>
    <w:rsid w:val="00104926"/>
    <w:rsid w:val="00104B83"/>
    <w:rsid w:val="00104BED"/>
    <w:rsid w:val="00104EAB"/>
    <w:rsid w:val="00105107"/>
    <w:rsid w:val="00105469"/>
    <w:rsid w:val="00105548"/>
    <w:rsid w:val="00105B31"/>
    <w:rsid w:val="00105CF9"/>
    <w:rsid w:val="00107292"/>
    <w:rsid w:val="001072D6"/>
    <w:rsid w:val="00107407"/>
    <w:rsid w:val="00107689"/>
    <w:rsid w:val="00107A1D"/>
    <w:rsid w:val="00107B14"/>
    <w:rsid w:val="00107DF1"/>
    <w:rsid w:val="00110124"/>
    <w:rsid w:val="00110223"/>
    <w:rsid w:val="001103E8"/>
    <w:rsid w:val="001107E7"/>
    <w:rsid w:val="001109C2"/>
    <w:rsid w:val="00110D49"/>
    <w:rsid w:val="00111275"/>
    <w:rsid w:val="00111714"/>
    <w:rsid w:val="00111941"/>
    <w:rsid w:val="00111D1C"/>
    <w:rsid w:val="00111FCE"/>
    <w:rsid w:val="00112214"/>
    <w:rsid w:val="001124C4"/>
    <w:rsid w:val="00112969"/>
    <w:rsid w:val="001130E1"/>
    <w:rsid w:val="00113616"/>
    <w:rsid w:val="0011390E"/>
    <w:rsid w:val="00113937"/>
    <w:rsid w:val="00113DAA"/>
    <w:rsid w:val="00113E5E"/>
    <w:rsid w:val="00113ED0"/>
    <w:rsid w:val="00113F05"/>
    <w:rsid w:val="00113F6A"/>
    <w:rsid w:val="001145DB"/>
    <w:rsid w:val="001148C0"/>
    <w:rsid w:val="00114A4A"/>
    <w:rsid w:val="00114ADB"/>
    <w:rsid w:val="00114C7C"/>
    <w:rsid w:val="00114D02"/>
    <w:rsid w:val="00114D30"/>
    <w:rsid w:val="0011534B"/>
    <w:rsid w:val="001159D0"/>
    <w:rsid w:val="00115CBE"/>
    <w:rsid w:val="00115DDE"/>
    <w:rsid w:val="001162CE"/>
    <w:rsid w:val="00116451"/>
    <w:rsid w:val="00116508"/>
    <w:rsid w:val="00116654"/>
    <w:rsid w:val="001168B6"/>
    <w:rsid w:val="00116BBF"/>
    <w:rsid w:val="00116BDA"/>
    <w:rsid w:val="00116BFD"/>
    <w:rsid w:val="00116E4A"/>
    <w:rsid w:val="00116FC7"/>
    <w:rsid w:val="001171AC"/>
    <w:rsid w:val="00117236"/>
    <w:rsid w:val="0011725F"/>
    <w:rsid w:val="001175C7"/>
    <w:rsid w:val="00117B9B"/>
    <w:rsid w:val="0012032E"/>
    <w:rsid w:val="00120577"/>
    <w:rsid w:val="001206E7"/>
    <w:rsid w:val="00120783"/>
    <w:rsid w:val="00120B17"/>
    <w:rsid w:val="00120BB3"/>
    <w:rsid w:val="00120D0E"/>
    <w:rsid w:val="00120D94"/>
    <w:rsid w:val="00120E52"/>
    <w:rsid w:val="00120F36"/>
    <w:rsid w:val="00121396"/>
    <w:rsid w:val="0012163B"/>
    <w:rsid w:val="00121C40"/>
    <w:rsid w:val="00122050"/>
    <w:rsid w:val="00122820"/>
    <w:rsid w:val="001229A5"/>
    <w:rsid w:val="001231F8"/>
    <w:rsid w:val="001233D6"/>
    <w:rsid w:val="00123440"/>
    <w:rsid w:val="00123456"/>
    <w:rsid w:val="001234B5"/>
    <w:rsid w:val="00123556"/>
    <w:rsid w:val="0012363B"/>
    <w:rsid w:val="00123C76"/>
    <w:rsid w:val="00124064"/>
    <w:rsid w:val="00124134"/>
    <w:rsid w:val="00124361"/>
    <w:rsid w:val="00124725"/>
    <w:rsid w:val="0012489B"/>
    <w:rsid w:val="00124FDB"/>
    <w:rsid w:val="001250A7"/>
    <w:rsid w:val="001256D6"/>
    <w:rsid w:val="0012581A"/>
    <w:rsid w:val="00125B4B"/>
    <w:rsid w:val="00125D51"/>
    <w:rsid w:val="00125F6C"/>
    <w:rsid w:val="00126355"/>
    <w:rsid w:val="001264DC"/>
    <w:rsid w:val="001264F0"/>
    <w:rsid w:val="001271E5"/>
    <w:rsid w:val="00127AEF"/>
    <w:rsid w:val="00127B62"/>
    <w:rsid w:val="00127CEA"/>
    <w:rsid w:val="00127DCE"/>
    <w:rsid w:val="00127F9F"/>
    <w:rsid w:val="00130017"/>
    <w:rsid w:val="0013054E"/>
    <w:rsid w:val="0013058D"/>
    <w:rsid w:val="0013061B"/>
    <w:rsid w:val="00130F91"/>
    <w:rsid w:val="0013118C"/>
    <w:rsid w:val="0013141B"/>
    <w:rsid w:val="00131598"/>
    <w:rsid w:val="00131846"/>
    <w:rsid w:val="00131B86"/>
    <w:rsid w:val="00131B99"/>
    <w:rsid w:val="00131D80"/>
    <w:rsid w:val="00131DFF"/>
    <w:rsid w:val="00131E78"/>
    <w:rsid w:val="001327E2"/>
    <w:rsid w:val="00132889"/>
    <w:rsid w:val="0013301F"/>
    <w:rsid w:val="001330BC"/>
    <w:rsid w:val="001331A6"/>
    <w:rsid w:val="00133528"/>
    <w:rsid w:val="00133882"/>
    <w:rsid w:val="00133A48"/>
    <w:rsid w:val="00133F8F"/>
    <w:rsid w:val="001340E3"/>
    <w:rsid w:val="001343D2"/>
    <w:rsid w:val="001343DC"/>
    <w:rsid w:val="00134958"/>
    <w:rsid w:val="001349ED"/>
    <w:rsid w:val="00134ABC"/>
    <w:rsid w:val="00134BE0"/>
    <w:rsid w:val="00134D2D"/>
    <w:rsid w:val="00134D53"/>
    <w:rsid w:val="001350E2"/>
    <w:rsid w:val="00135116"/>
    <w:rsid w:val="001353B2"/>
    <w:rsid w:val="00135657"/>
    <w:rsid w:val="00135698"/>
    <w:rsid w:val="001356A9"/>
    <w:rsid w:val="00135EC8"/>
    <w:rsid w:val="001360B6"/>
    <w:rsid w:val="00136180"/>
    <w:rsid w:val="00136346"/>
    <w:rsid w:val="0013687B"/>
    <w:rsid w:val="00136F1A"/>
    <w:rsid w:val="00136F89"/>
    <w:rsid w:val="00137016"/>
    <w:rsid w:val="001371A0"/>
    <w:rsid w:val="00137424"/>
    <w:rsid w:val="001376A3"/>
    <w:rsid w:val="00137D8D"/>
    <w:rsid w:val="001401BB"/>
    <w:rsid w:val="00140318"/>
    <w:rsid w:val="00140457"/>
    <w:rsid w:val="00140485"/>
    <w:rsid w:val="001406AD"/>
    <w:rsid w:val="001406ED"/>
    <w:rsid w:val="00140894"/>
    <w:rsid w:val="00140AF4"/>
    <w:rsid w:val="00140BF1"/>
    <w:rsid w:val="0014116D"/>
    <w:rsid w:val="00141AD9"/>
    <w:rsid w:val="00141B0E"/>
    <w:rsid w:val="00142FF1"/>
    <w:rsid w:val="00143559"/>
    <w:rsid w:val="001437C6"/>
    <w:rsid w:val="00143867"/>
    <w:rsid w:val="001438E3"/>
    <w:rsid w:val="001439CA"/>
    <w:rsid w:val="00143A01"/>
    <w:rsid w:val="00143B5D"/>
    <w:rsid w:val="0014411B"/>
    <w:rsid w:val="0014478F"/>
    <w:rsid w:val="001447C6"/>
    <w:rsid w:val="00144984"/>
    <w:rsid w:val="00144AA6"/>
    <w:rsid w:val="00144E42"/>
    <w:rsid w:val="001452C5"/>
    <w:rsid w:val="00145929"/>
    <w:rsid w:val="00145BCD"/>
    <w:rsid w:val="00145E28"/>
    <w:rsid w:val="00145E94"/>
    <w:rsid w:val="00145EDF"/>
    <w:rsid w:val="00145F1C"/>
    <w:rsid w:val="00146434"/>
    <w:rsid w:val="00146804"/>
    <w:rsid w:val="00146C6C"/>
    <w:rsid w:val="00146CE6"/>
    <w:rsid w:val="00146EC6"/>
    <w:rsid w:val="001472F3"/>
    <w:rsid w:val="001473B6"/>
    <w:rsid w:val="00147925"/>
    <w:rsid w:val="00147C09"/>
    <w:rsid w:val="00150071"/>
    <w:rsid w:val="00150341"/>
    <w:rsid w:val="001503FE"/>
    <w:rsid w:val="00150557"/>
    <w:rsid w:val="00150632"/>
    <w:rsid w:val="0015087E"/>
    <w:rsid w:val="001508C1"/>
    <w:rsid w:val="00150B5A"/>
    <w:rsid w:val="00150FB2"/>
    <w:rsid w:val="00151092"/>
    <w:rsid w:val="00151128"/>
    <w:rsid w:val="001511D9"/>
    <w:rsid w:val="00151245"/>
    <w:rsid w:val="0015165C"/>
    <w:rsid w:val="00151EA4"/>
    <w:rsid w:val="001520EC"/>
    <w:rsid w:val="001527E9"/>
    <w:rsid w:val="00152903"/>
    <w:rsid w:val="00152A67"/>
    <w:rsid w:val="00152E8F"/>
    <w:rsid w:val="001531C4"/>
    <w:rsid w:val="0015329B"/>
    <w:rsid w:val="0015367D"/>
    <w:rsid w:val="00153CFB"/>
    <w:rsid w:val="00153FD5"/>
    <w:rsid w:val="00154EC4"/>
    <w:rsid w:val="0015544A"/>
    <w:rsid w:val="001555BF"/>
    <w:rsid w:val="00155E21"/>
    <w:rsid w:val="00156009"/>
    <w:rsid w:val="00156093"/>
    <w:rsid w:val="001560DD"/>
    <w:rsid w:val="0015614F"/>
    <w:rsid w:val="00156450"/>
    <w:rsid w:val="001564F7"/>
    <w:rsid w:val="00156514"/>
    <w:rsid w:val="00156A25"/>
    <w:rsid w:val="00157560"/>
    <w:rsid w:val="001575F2"/>
    <w:rsid w:val="001577C2"/>
    <w:rsid w:val="00157C20"/>
    <w:rsid w:val="00157E80"/>
    <w:rsid w:val="001606E0"/>
    <w:rsid w:val="00160CE9"/>
    <w:rsid w:val="00160DAA"/>
    <w:rsid w:val="00161175"/>
    <w:rsid w:val="0016128E"/>
    <w:rsid w:val="0016188B"/>
    <w:rsid w:val="001618EC"/>
    <w:rsid w:val="00161DB9"/>
    <w:rsid w:val="00161F4D"/>
    <w:rsid w:val="0016209D"/>
    <w:rsid w:val="001621F1"/>
    <w:rsid w:val="001624C4"/>
    <w:rsid w:val="00162724"/>
    <w:rsid w:val="00162E7A"/>
    <w:rsid w:val="00162F6F"/>
    <w:rsid w:val="001630D0"/>
    <w:rsid w:val="001633C4"/>
    <w:rsid w:val="00163921"/>
    <w:rsid w:val="00163A73"/>
    <w:rsid w:val="00163A97"/>
    <w:rsid w:val="00163AFE"/>
    <w:rsid w:val="00163B70"/>
    <w:rsid w:val="00163C54"/>
    <w:rsid w:val="00164147"/>
    <w:rsid w:val="001641C3"/>
    <w:rsid w:val="0016449F"/>
    <w:rsid w:val="001644A8"/>
    <w:rsid w:val="00164501"/>
    <w:rsid w:val="001645E5"/>
    <w:rsid w:val="0016467D"/>
    <w:rsid w:val="00164941"/>
    <w:rsid w:val="00164F2D"/>
    <w:rsid w:val="001654A4"/>
    <w:rsid w:val="00166084"/>
    <w:rsid w:val="00166415"/>
    <w:rsid w:val="001666ED"/>
    <w:rsid w:val="00166880"/>
    <w:rsid w:val="001668B2"/>
    <w:rsid w:val="00166A02"/>
    <w:rsid w:val="00166C92"/>
    <w:rsid w:val="001675AD"/>
    <w:rsid w:val="00167766"/>
    <w:rsid w:val="00167E29"/>
    <w:rsid w:val="00167F6A"/>
    <w:rsid w:val="0017022F"/>
    <w:rsid w:val="0017026B"/>
    <w:rsid w:val="001702BA"/>
    <w:rsid w:val="001702E9"/>
    <w:rsid w:val="0017037D"/>
    <w:rsid w:val="001704D5"/>
    <w:rsid w:val="00170808"/>
    <w:rsid w:val="001708CA"/>
    <w:rsid w:val="00170957"/>
    <w:rsid w:val="00170AB2"/>
    <w:rsid w:val="00170AC1"/>
    <w:rsid w:val="00170BD8"/>
    <w:rsid w:val="00170C4C"/>
    <w:rsid w:val="001713B4"/>
    <w:rsid w:val="0017141C"/>
    <w:rsid w:val="00171486"/>
    <w:rsid w:val="001714C4"/>
    <w:rsid w:val="00171591"/>
    <w:rsid w:val="00171628"/>
    <w:rsid w:val="00171A3E"/>
    <w:rsid w:val="00171D00"/>
    <w:rsid w:val="00172109"/>
    <w:rsid w:val="001722EB"/>
    <w:rsid w:val="00172DDB"/>
    <w:rsid w:val="00172ED0"/>
    <w:rsid w:val="0017339E"/>
    <w:rsid w:val="001733F5"/>
    <w:rsid w:val="0017357F"/>
    <w:rsid w:val="00173981"/>
    <w:rsid w:val="00173B5A"/>
    <w:rsid w:val="00173FD4"/>
    <w:rsid w:val="001746F0"/>
    <w:rsid w:val="001748C6"/>
    <w:rsid w:val="00174C13"/>
    <w:rsid w:val="00174C54"/>
    <w:rsid w:val="00174E55"/>
    <w:rsid w:val="00174F7B"/>
    <w:rsid w:val="0017511C"/>
    <w:rsid w:val="00175C65"/>
    <w:rsid w:val="00175CD9"/>
    <w:rsid w:val="00175E39"/>
    <w:rsid w:val="00176180"/>
    <w:rsid w:val="0017637C"/>
    <w:rsid w:val="00176887"/>
    <w:rsid w:val="0017719D"/>
    <w:rsid w:val="00177410"/>
    <w:rsid w:val="001775A3"/>
    <w:rsid w:val="00177682"/>
    <w:rsid w:val="00177F2C"/>
    <w:rsid w:val="0018008A"/>
    <w:rsid w:val="0018059F"/>
    <w:rsid w:val="00180692"/>
    <w:rsid w:val="00180975"/>
    <w:rsid w:val="00180A5E"/>
    <w:rsid w:val="00180AF5"/>
    <w:rsid w:val="00180B0B"/>
    <w:rsid w:val="00180BC2"/>
    <w:rsid w:val="00180D58"/>
    <w:rsid w:val="00181684"/>
    <w:rsid w:val="00181738"/>
    <w:rsid w:val="0018178D"/>
    <w:rsid w:val="00181BBF"/>
    <w:rsid w:val="00181D2E"/>
    <w:rsid w:val="00181DD0"/>
    <w:rsid w:val="00181E7A"/>
    <w:rsid w:val="00182041"/>
    <w:rsid w:val="001823BF"/>
    <w:rsid w:val="00182606"/>
    <w:rsid w:val="0018294B"/>
    <w:rsid w:val="00182CEA"/>
    <w:rsid w:val="0018326A"/>
    <w:rsid w:val="00183546"/>
    <w:rsid w:val="00183BEE"/>
    <w:rsid w:val="00183F64"/>
    <w:rsid w:val="00183FD7"/>
    <w:rsid w:val="001840E1"/>
    <w:rsid w:val="0018428F"/>
    <w:rsid w:val="0018443A"/>
    <w:rsid w:val="001845BB"/>
    <w:rsid w:val="00184840"/>
    <w:rsid w:val="00184B24"/>
    <w:rsid w:val="00184C57"/>
    <w:rsid w:val="001852E5"/>
    <w:rsid w:val="001852EA"/>
    <w:rsid w:val="001855EF"/>
    <w:rsid w:val="0018585E"/>
    <w:rsid w:val="001859B8"/>
    <w:rsid w:val="00185CAB"/>
    <w:rsid w:val="00186665"/>
    <w:rsid w:val="001868DA"/>
    <w:rsid w:val="00186EAB"/>
    <w:rsid w:val="00187521"/>
    <w:rsid w:val="001875B7"/>
    <w:rsid w:val="0018785B"/>
    <w:rsid w:val="001879B6"/>
    <w:rsid w:val="00187CB3"/>
    <w:rsid w:val="00187DA7"/>
    <w:rsid w:val="00187E24"/>
    <w:rsid w:val="00190223"/>
    <w:rsid w:val="0019050A"/>
    <w:rsid w:val="001908B1"/>
    <w:rsid w:val="00190BBE"/>
    <w:rsid w:val="00190E8B"/>
    <w:rsid w:val="001910D4"/>
    <w:rsid w:val="00191199"/>
    <w:rsid w:val="001911E6"/>
    <w:rsid w:val="001913D8"/>
    <w:rsid w:val="001916A3"/>
    <w:rsid w:val="001916CB"/>
    <w:rsid w:val="00192016"/>
    <w:rsid w:val="00192F78"/>
    <w:rsid w:val="00192FF1"/>
    <w:rsid w:val="00193214"/>
    <w:rsid w:val="00193B1E"/>
    <w:rsid w:val="00193C3B"/>
    <w:rsid w:val="00193DA1"/>
    <w:rsid w:val="00194133"/>
    <w:rsid w:val="00194E5C"/>
    <w:rsid w:val="0019503F"/>
    <w:rsid w:val="0019533C"/>
    <w:rsid w:val="00195455"/>
    <w:rsid w:val="0019554B"/>
    <w:rsid w:val="0019565E"/>
    <w:rsid w:val="0019567C"/>
    <w:rsid w:val="00195E61"/>
    <w:rsid w:val="00195F2F"/>
    <w:rsid w:val="001963D6"/>
    <w:rsid w:val="001966BE"/>
    <w:rsid w:val="001966DB"/>
    <w:rsid w:val="0019672B"/>
    <w:rsid w:val="00196B8A"/>
    <w:rsid w:val="00196BDE"/>
    <w:rsid w:val="00196C1C"/>
    <w:rsid w:val="00196FCE"/>
    <w:rsid w:val="00197334"/>
    <w:rsid w:val="00197347"/>
    <w:rsid w:val="00197542"/>
    <w:rsid w:val="001976E3"/>
    <w:rsid w:val="00197B5F"/>
    <w:rsid w:val="00197F32"/>
    <w:rsid w:val="001A023C"/>
    <w:rsid w:val="001A03E9"/>
    <w:rsid w:val="001A0423"/>
    <w:rsid w:val="001A0639"/>
    <w:rsid w:val="001A09E8"/>
    <w:rsid w:val="001A0D52"/>
    <w:rsid w:val="001A0F7A"/>
    <w:rsid w:val="001A1057"/>
    <w:rsid w:val="001A12C3"/>
    <w:rsid w:val="001A1591"/>
    <w:rsid w:val="001A17AC"/>
    <w:rsid w:val="001A1A56"/>
    <w:rsid w:val="001A1D15"/>
    <w:rsid w:val="001A292A"/>
    <w:rsid w:val="001A2C99"/>
    <w:rsid w:val="001A2D7A"/>
    <w:rsid w:val="001A2F6E"/>
    <w:rsid w:val="001A3084"/>
    <w:rsid w:val="001A3BE1"/>
    <w:rsid w:val="001A3D2C"/>
    <w:rsid w:val="001A44EC"/>
    <w:rsid w:val="001A46B7"/>
    <w:rsid w:val="001A478E"/>
    <w:rsid w:val="001A4F33"/>
    <w:rsid w:val="001A563B"/>
    <w:rsid w:val="001A59E2"/>
    <w:rsid w:val="001A5B1C"/>
    <w:rsid w:val="001A5EA4"/>
    <w:rsid w:val="001A5EC2"/>
    <w:rsid w:val="001A642D"/>
    <w:rsid w:val="001A65C5"/>
    <w:rsid w:val="001A65E8"/>
    <w:rsid w:val="001A6FCF"/>
    <w:rsid w:val="001A7190"/>
    <w:rsid w:val="001A71A1"/>
    <w:rsid w:val="001A78AD"/>
    <w:rsid w:val="001A7962"/>
    <w:rsid w:val="001B0005"/>
    <w:rsid w:val="001B0362"/>
    <w:rsid w:val="001B0742"/>
    <w:rsid w:val="001B0AF3"/>
    <w:rsid w:val="001B0CDC"/>
    <w:rsid w:val="001B0EC1"/>
    <w:rsid w:val="001B1217"/>
    <w:rsid w:val="001B1570"/>
    <w:rsid w:val="001B185D"/>
    <w:rsid w:val="001B1ECA"/>
    <w:rsid w:val="001B205B"/>
    <w:rsid w:val="001B2135"/>
    <w:rsid w:val="001B281C"/>
    <w:rsid w:val="001B2880"/>
    <w:rsid w:val="001B38E3"/>
    <w:rsid w:val="001B41D9"/>
    <w:rsid w:val="001B4686"/>
    <w:rsid w:val="001B48DB"/>
    <w:rsid w:val="001B4ED4"/>
    <w:rsid w:val="001B5091"/>
    <w:rsid w:val="001B5568"/>
    <w:rsid w:val="001B58AA"/>
    <w:rsid w:val="001B5B0A"/>
    <w:rsid w:val="001B5B6F"/>
    <w:rsid w:val="001B6385"/>
    <w:rsid w:val="001B6620"/>
    <w:rsid w:val="001B669B"/>
    <w:rsid w:val="001B698E"/>
    <w:rsid w:val="001B6CF0"/>
    <w:rsid w:val="001B6DEA"/>
    <w:rsid w:val="001B77E8"/>
    <w:rsid w:val="001B7E48"/>
    <w:rsid w:val="001C04FB"/>
    <w:rsid w:val="001C17CE"/>
    <w:rsid w:val="001C19CB"/>
    <w:rsid w:val="001C1CDB"/>
    <w:rsid w:val="001C25D5"/>
    <w:rsid w:val="001C29B5"/>
    <w:rsid w:val="001C2A54"/>
    <w:rsid w:val="001C2AAF"/>
    <w:rsid w:val="001C2CCB"/>
    <w:rsid w:val="001C2DA9"/>
    <w:rsid w:val="001C3192"/>
    <w:rsid w:val="001C3204"/>
    <w:rsid w:val="001C36CA"/>
    <w:rsid w:val="001C373F"/>
    <w:rsid w:val="001C39C3"/>
    <w:rsid w:val="001C4094"/>
    <w:rsid w:val="001C4420"/>
    <w:rsid w:val="001C44D1"/>
    <w:rsid w:val="001C49BB"/>
    <w:rsid w:val="001C4E2B"/>
    <w:rsid w:val="001C5341"/>
    <w:rsid w:val="001C53B6"/>
    <w:rsid w:val="001C5494"/>
    <w:rsid w:val="001C5A93"/>
    <w:rsid w:val="001C5B1A"/>
    <w:rsid w:val="001C642B"/>
    <w:rsid w:val="001C67C7"/>
    <w:rsid w:val="001C685F"/>
    <w:rsid w:val="001C6AEE"/>
    <w:rsid w:val="001C6B3D"/>
    <w:rsid w:val="001C73F0"/>
    <w:rsid w:val="001C7496"/>
    <w:rsid w:val="001C7630"/>
    <w:rsid w:val="001C77DE"/>
    <w:rsid w:val="001C7B0E"/>
    <w:rsid w:val="001C7E24"/>
    <w:rsid w:val="001C7E51"/>
    <w:rsid w:val="001D0313"/>
    <w:rsid w:val="001D03A0"/>
    <w:rsid w:val="001D044E"/>
    <w:rsid w:val="001D0F21"/>
    <w:rsid w:val="001D16F6"/>
    <w:rsid w:val="001D187B"/>
    <w:rsid w:val="001D19BA"/>
    <w:rsid w:val="001D1A10"/>
    <w:rsid w:val="001D209A"/>
    <w:rsid w:val="001D21B3"/>
    <w:rsid w:val="001D266E"/>
    <w:rsid w:val="001D2922"/>
    <w:rsid w:val="001D2C52"/>
    <w:rsid w:val="001D3500"/>
    <w:rsid w:val="001D3CF0"/>
    <w:rsid w:val="001D3DF4"/>
    <w:rsid w:val="001D40CA"/>
    <w:rsid w:val="001D41B2"/>
    <w:rsid w:val="001D43B4"/>
    <w:rsid w:val="001D459B"/>
    <w:rsid w:val="001D46C6"/>
    <w:rsid w:val="001D473C"/>
    <w:rsid w:val="001D4752"/>
    <w:rsid w:val="001D4FB8"/>
    <w:rsid w:val="001D504F"/>
    <w:rsid w:val="001D50FA"/>
    <w:rsid w:val="001D52FB"/>
    <w:rsid w:val="001D59F0"/>
    <w:rsid w:val="001D5A43"/>
    <w:rsid w:val="001D5AE3"/>
    <w:rsid w:val="001D5C71"/>
    <w:rsid w:val="001D5F78"/>
    <w:rsid w:val="001D5F90"/>
    <w:rsid w:val="001D6517"/>
    <w:rsid w:val="001D6825"/>
    <w:rsid w:val="001D6953"/>
    <w:rsid w:val="001D6D15"/>
    <w:rsid w:val="001D6E73"/>
    <w:rsid w:val="001D731D"/>
    <w:rsid w:val="001D78B6"/>
    <w:rsid w:val="001D7B3F"/>
    <w:rsid w:val="001D7E51"/>
    <w:rsid w:val="001E0239"/>
    <w:rsid w:val="001E0322"/>
    <w:rsid w:val="001E0724"/>
    <w:rsid w:val="001E0A9B"/>
    <w:rsid w:val="001E1611"/>
    <w:rsid w:val="001E1682"/>
    <w:rsid w:val="001E196A"/>
    <w:rsid w:val="001E1A30"/>
    <w:rsid w:val="001E1F26"/>
    <w:rsid w:val="001E1F4C"/>
    <w:rsid w:val="001E20F7"/>
    <w:rsid w:val="001E227A"/>
    <w:rsid w:val="001E2591"/>
    <w:rsid w:val="001E2AC4"/>
    <w:rsid w:val="001E2B02"/>
    <w:rsid w:val="001E3237"/>
    <w:rsid w:val="001E32BA"/>
    <w:rsid w:val="001E36F6"/>
    <w:rsid w:val="001E3722"/>
    <w:rsid w:val="001E4A31"/>
    <w:rsid w:val="001E4F27"/>
    <w:rsid w:val="001E5517"/>
    <w:rsid w:val="001E559D"/>
    <w:rsid w:val="001E55E1"/>
    <w:rsid w:val="001E59F8"/>
    <w:rsid w:val="001E5D9E"/>
    <w:rsid w:val="001E5F54"/>
    <w:rsid w:val="001E6226"/>
    <w:rsid w:val="001E63B3"/>
    <w:rsid w:val="001E6451"/>
    <w:rsid w:val="001E65C5"/>
    <w:rsid w:val="001E6722"/>
    <w:rsid w:val="001E680D"/>
    <w:rsid w:val="001E689E"/>
    <w:rsid w:val="001E78BB"/>
    <w:rsid w:val="001E7936"/>
    <w:rsid w:val="001E7FB0"/>
    <w:rsid w:val="001F0993"/>
    <w:rsid w:val="001F0D71"/>
    <w:rsid w:val="001F0EAD"/>
    <w:rsid w:val="001F0F60"/>
    <w:rsid w:val="001F1485"/>
    <w:rsid w:val="001F1F32"/>
    <w:rsid w:val="001F2026"/>
    <w:rsid w:val="001F213D"/>
    <w:rsid w:val="001F24EB"/>
    <w:rsid w:val="001F26FE"/>
    <w:rsid w:val="001F3346"/>
    <w:rsid w:val="001F391C"/>
    <w:rsid w:val="001F39BE"/>
    <w:rsid w:val="001F4024"/>
    <w:rsid w:val="001F4184"/>
    <w:rsid w:val="001F4CF1"/>
    <w:rsid w:val="001F4E6A"/>
    <w:rsid w:val="001F4EC4"/>
    <w:rsid w:val="001F4F64"/>
    <w:rsid w:val="001F50F7"/>
    <w:rsid w:val="001F53E1"/>
    <w:rsid w:val="001F5458"/>
    <w:rsid w:val="001F55CB"/>
    <w:rsid w:val="001F5975"/>
    <w:rsid w:val="001F5F95"/>
    <w:rsid w:val="001F6102"/>
    <w:rsid w:val="001F61FF"/>
    <w:rsid w:val="001F622E"/>
    <w:rsid w:val="001F6925"/>
    <w:rsid w:val="001F6A69"/>
    <w:rsid w:val="001F6E3C"/>
    <w:rsid w:val="001F7123"/>
    <w:rsid w:val="001F71EB"/>
    <w:rsid w:val="001F7299"/>
    <w:rsid w:val="001F7558"/>
    <w:rsid w:val="001F7963"/>
    <w:rsid w:val="001F7980"/>
    <w:rsid w:val="001F7E43"/>
    <w:rsid w:val="001F7F20"/>
    <w:rsid w:val="002000E6"/>
    <w:rsid w:val="002000F2"/>
    <w:rsid w:val="0020024B"/>
    <w:rsid w:val="0020094A"/>
    <w:rsid w:val="00200D6C"/>
    <w:rsid w:val="00200DF7"/>
    <w:rsid w:val="00201051"/>
    <w:rsid w:val="0020126F"/>
    <w:rsid w:val="002012B2"/>
    <w:rsid w:val="0020185D"/>
    <w:rsid w:val="00201D75"/>
    <w:rsid w:val="00201EE2"/>
    <w:rsid w:val="00201F69"/>
    <w:rsid w:val="00201FAD"/>
    <w:rsid w:val="00202135"/>
    <w:rsid w:val="002023AA"/>
    <w:rsid w:val="002024CC"/>
    <w:rsid w:val="002028E8"/>
    <w:rsid w:val="0020316D"/>
    <w:rsid w:val="0020346B"/>
    <w:rsid w:val="0020394F"/>
    <w:rsid w:val="00203BD2"/>
    <w:rsid w:val="00204002"/>
    <w:rsid w:val="00204017"/>
    <w:rsid w:val="00204277"/>
    <w:rsid w:val="0020448A"/>
    <w:rsid w:val="002047EC"/>
    <w:rsid w:val="00204BBD"/>
    <w:rsid w:val="00204D93"/>
    <w:rsid w:val="00205260"/>
    <w:rsid w:val="002054A8"/>
    <w:rsid w:val="002055F3"/>
    <w:rsid w:val="00205B57"/>
    <w:rsid w:val="00205D2F"/>
    <w:rsid w:val="00205DA0"/>
    <w:rsid w:val="00206511"/>
    <w:rsid w:val="00206737"/>
    <w:rsid w:val="002069B9"/>
    <w:rsid w:val="002069F4"/>
    <w:rsid w:val="00206B16"/>
    <w:rsid w:val="0020712F"/>
    <w:rsid w:val="0020719B"/>
    <w:rsid w:val="0020726D"/>
    <w:rsid w:val="00207309"/>
    <w:rsid w:val="00207A32"/>
    <w:rsid w:val="00207B12"/>
    <w:rsid w:val="00207F35"/>
    <w:rsid w:val="00207FD0"/>
    <w:rsid w:val="0021005F"/>
    <w:rsid w:val="002104F5"/>
    <w:rsid w:val="00210CEC"/>
    <w:rsid w:val="00210DB4"/>
    <w:rsid w:val="00210FCA"/>
    <w:rsid w:val="0021113F"/>
    <w:rsid w:val="0021118E"/>
    <w:rsid w:val="00211401"/>
    <w:rsid w:val="002117C6"/>
    <w:rsid w:val="002119C1"/>
    <w:rsid w:val="00211A89"/>
    <w:rsid w:val="00211ACA"/>
    <w:rsid w:val="00211F9A"/>
    <w:rsid w:val="0021204B"/>
    <w:rsid w:val="002125B6"/>
    <w:rsid w:val="00212A9F"/>
    <w:rsid w:val="00212AA2"/>
    <w:rsid w:val="00212B58"/>
    <w:rsid w:val="00212FD4"/>
    <w:rsid w:val="0021329B"/>
    <w:rsid w:val="00213ACD"/>
    <w:rsid w:val="00213F9E"/>
    <w:rsid w:val="00214058"/>
    <w:rsid w:val="0021426C"/>
    <w:rsid w:val="0021435E"/>
    <w:rsid w:val="00214375"/>
    <w:rsid w:val="00214AA8"/>
    <w:rsid w:val="00214D63"/>
    <w:rsid w:val="00214D73"/>
    <w:rsid w:val="00215432"/>
    <w:rsid w:val="002157A7"/>
    <w:rsid w:val="002157E0"/>
    <w:rsid w:val="002157FE"/>
    <w:rsid w:val="00215D7F"/>
    <w:rsid w:val="0021637A"/>
    <w:rsid w:val="0021643F"/>
    <w:rsid w:val="002164C2"/>
    <w:rsid w:val="00216545"/>
    <w:rsid w:val="002166FA"/>
    <w:rsid w:val="00216A57"/>
    <w:rsid w:val="00216A98"/>
    <w:rsid w:val="00216BCB"/>
    <w:rsid w:val="00217303"/>
    <w:rsid w:val="00217332"/>
    <w:rsid w:val="00217448"/>
    <w:rsid w:val="00220761"/>
    <w:rsid w:val="00220A45"/>
    <w:rsid w:val="00221082"/>
    <w:rsid w:val="0022148D"/>
    <w:rsid w:val="00221952"/>
    <w:rsid w:val="00221AE5"/>
    <w:rsid w:val="0022239B"/>
    <w:rsid w:val="00222A74"/>
    <w:rsid w:val="00222AA3"/>
    <w:rsid w:val="00222DD2"/>
    <w:rsid w:val="0022334F"/>
    <w:rsid w:val="00223632"/>
    <w:rsid w:val="0022367B"/>
    <w:rsid w:val="0022376C"/>
    <w:rsid w:val="00223AA3"/>
    <w:rsid w:val="00223AA9"/>
    <w:rsid w:val="00223AC0"/>
    <w:rsid w:val="00223AFF"/>
    <w:rsid w:val="00223BB0"/>
    <w:rsid w:val="00223E90"/>
    <w:rsid w:val="002243C0"/>
    <w:rsid w:val="002243E0"/>
    <w:rsid w:val="002257E8"/>
    <w:rsid w:val="00225B18"/>
    <w:rsid w:val="00225D8F"/>
    <w:rsid w:val="00226053"/>
    <w:rsid w:val="002267D2"/>
    <w:rsid w:val="00226819"/>
    <w:rsid w:val="00226A75"/>
    <w:rsid w:val="00226CF8"/>
    <w:rsid w:val="00226E39"/>
    <w:rsid w:val="002275C2"/>
    <w:rsid w:val="00227FA4"/>
    <w:rsid w:val="00230BBE"/>
    <w:rsid w:val="00230BFF"/>
    <w:rsid w:val="00230C2C"/>
    <w:rsid w:val="00230E7B"/>
    <w:rsid w:val="00231015"/>
    <w:rsid w:val="00231172"/>
    <w:rsid w:val="002313B8"/>
    <w:rsid w:val="0023148E"/>
    <w:rsid w:val="00232BDF"/>
    <w:rsid w:val="00232D01"/>
    <w:rsid w:val="00233101"/>
    <w:rsid w:val="0023324D"/>
    <w:rsid w:val="00233333"/>
    <w:rsid w:val="00233571"/>
    <w:rsid w:val="00233637"/>
    <w:rsid w:val="00233746"/>
    <w:rsid w:val="00233817"/>
    <w:rsid w:val="00233962"/>
    <w:rsid w:val="00233A4C"/>
    <w:rsid w:val="00233B1F"/>
    <w:rsid w:val="00233FAB"/>
    <w:rsid w:val="00233FC4"/>
    <w:rsid w:val="002344A2"/>
    <w:rsid w:val="00234CEC"/>
    <w:rsid w:val="00234D53"/>
    <w:rsid w:val="00234EC7"/>
    <w:rsid w:val="00235199"/>
    <w:rsid w:val="00235ACB"/>
    <w:rsid w:val="00236175"/>
    <w:rsid w:val="00236237"/>
    <w:rsid w:val="00236243"/>
    <w:rsid w:val="00236329"/>
    <w:rsid w:val="002364E2"/>
    <w:rsid w:val="002364EE"/>
    <w:rsid w:val="00236573"/>
    <w:rsid w:val="002367FF"/>
    <w:rsid w:val="00236B7F"/>
    <w:rsid w:val="00236C9F"/>
    <w:rsid w:val="00236EF4"/>
    <w:rsid w:val="00237406"/>
    <w:rsid w:val="00237620"/>
    <w:rsid w:val="00237A83"/>
    <w:rsid w:val="00237AA7"/>
    <w:rsid w:val="00237B12"/>
    <w:rsid w:val="00237F50"/>
    <w:rsid w:val="0024054C"/>
    <w:rsid w:val="00240CE9"/>
    <w:rsid w:val="00240D1E"/>
    <w:rsid w:val="00240DE2"/>
    <w:rsid w:val="0024105F"/>
    <w:rsid w:val="00241212"/>
    <w:rsid w:val="00241476"/>
    <w:rsid w:val="00241A9E"/>
    <w:rsid w:val="00241B05"/>
    <w:rsid w:val="002421DC"/>
    <w:rsid w:val="00242447"/>
    <w:rsid w:val="0024247C"/>
    <w:rsid w:val="00242DB8"/>
    <w:rsid w:val="00243384"/>
    <w:rsid w:val="002434BA"/>
    <w:rsid w:val="002434E3"/>
    <w:rsid w:val="002437BF"/>
    <w:rsid w:val="002437E8"/>
    <w:rsid w:val="002439E9"/>
    <w:rsid w:val="002440D3"/>
    <w:rsid w:val="00244291"/>
    <w:rsid w:val="00245372"/>
    <w:rsid w:val="00245938"/>
    <w:rsid w:val="00245C32"/>
    <w:rsid w:val="00245CE9"/>
    <w:rsid w:val="00246089"/>
    <w:rsid w:val="00246093"/>
    <w:rsid w:val="00246702"/>
    <w:rsid w:val="00246E64"/>
    <w:rsid w:val="002473B1"/>
    <w:rsid w:val="00247C59"/>
    <w:rsid w:val="00247DFC"/>
    <w:rsid w:val="00247F2E"/>
    <w:rsid w:val="002508C9"/>
    <w:rsid w:val="00250933"/>
    <w:rsid w:val="00250ADC"/>
    <w:rsid w:val="00250B00"/>
    <w:rsid w:val="00250B03"/>
    <w:rsid w:val="00250B07"/>
    <w:rsid w:val="00250CC1"/>
    <w:rsid w:val="00250F9C"/>
    <w:rsid w:val="0025119F"/>
    <w:rsid w:val="00251393"/>
    <w:rsid w:val="0025140F"/>
    <w:rsid w:val="002514F8"/>
    <w:rsid w:val="002519EA"/>
    <w:rsid w:val="00251A25"/>
    <w:rsid w:val="00251A70"/>
    <w:rsid w:val="00251EC8"/>
    <w:rsid w:val="00252294"/>
    <w:rsid w:val="002523AD"/>
    <w:rsid w:val="0025279F"/>
    <w:rsid w:val="00252E00"/>
    <w:rsid w:val="00252EF1"/>
    <w:rsid w:val="0025312C"/>
    <w:rsid w:val="00253131"/>
    <w:rsid w:val="00253176"/>
    <w:rsid w:val="002539E2"/>
    <w:rsid w:val="00254472"/>
    <w:rsid w:val="00254952"/>
    <w:rsid w:val="00254979"/>
    <w:rsid w:val="00254CED"/>
    <w:rsid w:val="00254F54"/>
    <w:rsid w:val="002554C7"/>
    <w:rsid w:val="00255D7A"/>
    <w:rsid w:val="00256013"/>
    <w:rsid w:val="002562FB"/>
    <w:rsid w:val="00256879"/>
    <w:rsid w:val="00256D9B"/>
    <w:rsid w:val="00256E9A"/>
    <w:rsid w:val="00257553"/>
    <w:rsid w:val="00257B46"/>
    <w:rsid w:val="00257DDC"/>
    <w:rsid w:val="00257E2D"/>
    <w:rsid w:val="002600A4"/>
    <w:rsid w:val="00260548"/>
    <w:rsid w:val="002605CB"/>
    <w:rsid w:val="002607DF"/>
    <w:rsid w:val="00260FB2"/>
    <w:rsid w:val="0026130D"/>
    <w:rsid w:val="00261428"/>
    <w:rsid w:val="00261683"/>
    <w:rsid w:val="00261930"/>
    <w:rsid w:val="00261E3C"/>
    <w:rsid w:val="00262128"/>
    <w:rsid w:val="002624B8"/>
    <w:rsid w:val="0026257D"/>
    <w:rsid w:val="002630E1"/>
    <w:rsid w:val="00263683"/>
    <w:rsid w:val="00263684"/>
    <w:rsid w:val="002637D2"/>
    <w:rsid w:val="00263EA6"/>
    <w:rsid w:val="002641D6"/>
    <w:rsid w:val="00264309"/>
    <w:rsid w:val="002650B5"/>
    <w:rsid w:val="002658D9"/>
    <w:rsid w:val="00265B3A"/>
    <w:rsid w:val="00265E1F"/>
    <w:rsid w:val="00265EAC"/>
    <w:rsid w:val="00266577"/>
    <w:rsid w:val="00266D2B"/>
    <w:rsid w:val="002670AB"/>
    <w:rsid w:val="00267169"/>
    <w:rsid w:val="00267577"/>
    <w:rsid w:val="002676A3"/>
    <w:rsid w:val="00267D6D"/>
    <w:rsid w:val="002704DF"/>
    <w:rsid w:val="002708E9"/>
    <w:rsid w:val="0027165D"/>
    <w:rsid w:val="00271807"/>
    <w:rsid w:val="002719E5"/>
    <w:rsid w:val="0027252C"/>
    <w:rsid w:val="002729C4"/>
    <w:rsid w:val="00272B4C"/>
    <w:rsid w:val="00272D7E"/>
    <w:rsid w:val="00273520"/>
    <w:rsid w:val="00273596"/>
    <w:rsid w:val="00273CEB"/>
    <w:rsid w:val="00273CFB"/>
    <w:rsid w:val="00273DFB"/>
    <w:rsid w:val="00273F4C"/>
    <w:rsid w:val="0027406C"/>
    <w:rsid w:val="00274695"/>
    <w:rsid w:val="0027482C"/>
    <w:rsid w:val="002749A8"/>
    <w:rsid w:val="00274C14"/>
    <w:rsid w:val="002751F1"/>
    <w:rsid w:val="002752C7"/>
    <w:rsid w:val="002752F9"/>
    <w:rsid w:val="002756A6"/>
    <w:rsid w:val="00275A0F"/>
    <w:rsid w:val="00275A30"/>
    <w:rsid w:val="00275A9A"/>
    <w:rsid w:val="00275C50"/>
    <w:rsid w:val="00275D86"/>
    <w:rsid w:val="00276040"/>
    <w:rsid w:val="00276096"/>
    <w:rsid w:val="002760F7"/>
    <w:rsid w:val="0027621F"/>
    <w:rsid w:val="0027637E"/>
    <w:rsid w:val="002766BE"/>
    <w:rsid w:val="00276C45"/>
    <w:rsid w:val="00276D5D"/>
    <w:rsid w:val="00276E74"/>
    <w:rsid w:val="00277122"/>
    <w:rsid w:val="0027750D"/>
    <w:rsid w:val="0027764A"/>
    <w:rsid w:val="00280073"/>
    <w:rsid w:val="00280111"/>
    <w:rsid w:val="002803BC"/>
    <w:rsid w:val="0028097B"/>
    <w:rsid w:val="0028098C"/>
    <w:rsid w:val="00280B20"/>
    <w:rsid w:val="002816B5"/>
    <w:rsid w:val="002816DE"/>
    <w:rsid w:val="00281C89"/>
    <w:rsid w:val="0028213C"/>
    <w:rsid w:val="0028234D"/>
    <w:rsid w:val="002825D8"/>
    <w:rsid w:val="0028262B"/>
    <w:rsid w:val="0028282F"/>
    <w:rsid w:val="00282837"/>
    <w:rsid w:val="00282B78"/>
    <w:rsid w:val="00282F75"/>
    <w:rsid w:val="0028300B"/>
    <w:rsid w:val="002830EF"/>
    <w:rsid w:val="002831FB"/>
    <w:rsid w:val="0028354E"/>
    <w:rsid w:val="002837F8"/>
    <w:rsid w:val="00283E28"/>
    <w:rsid w:val="002841C6"/>
    <w:rsid w:val="00284362"/>
    <w:rsid w:val="0028456C"/>
    <w:rsid w:val="00284618"/>
    <w:rsid w:val="002847C2"/>
    <w:rsid w:val="00284A91"/>
    <w:rsid w:val="00284F08"/>
    <w:rsid w:val="00284FEA"/>
    <w:rsid w:val="0028508D"/>
    <w:rsid w:val="00285128"/>
    <w:rsid w:val="002851CA"/>
    <w:rsid w:val="00285632"/>
    <w:rsid w:val="0028572E"/>
    <w:rsid w:val="00285932"/>
    <w:rsid w:val="00285B1D"/>
    <w:rsid w:val="00285CAD"/>
    <w:rsid w:val="00285F21"/>
    <w:rsid w:val="00286389"/>
    <w:rsid w:val="002863AA"/>
    <w:rsid w:val="00286453"/>
    <w:rsid w:val="0028675C"/>
    <w:rsid w:val="00286866"/>
    <w:rsid w:val="00286BE0"/>
    <w:rsid w:val="00286ECC"/>
    <w:rsid w:val="00286FCC"/>
    <w:rsid w:val="00287061"/>
    <w:rsid w:val="00287904"/>
    <w:rsid w:val="00287C8E"/>
    <w:rsid w:val="00287CC6"/>
    <w:rsid w:val="00290060"/>
    <w:rsid w:val="002903A9"/>
    <w:rsid w:val="002904EC"/>
    <w:rsid w:val="00290A7E"/>
    <w:rsid w:val="00290AFB"/>
    <w:rsid w:val="00291098"/>
    <w:rsid w:val="002918C8"/>
    <w:rsid w:val="00291992"/>
    <w:rsid w:val="00291C79"/>
    <w:rsid w:val="00291E53"/>
    <w:rsid w:val="002920AA"/>
    <w:rsid w:val="0029248E"/>
    <w:rsid w:val="00292A11"/>
    <w:rsid w:val="00292BA2"/>
    <w:rsid w:val="00292E9F"/>
    <w:rsid w:val="00293206"/>
    <w:rsid w:val="00293381"/>
    <w:rsid w:val="002937FB"/>
    <w:rsid w:val="00293C76"/>
    <w:rsid w:val="00293F2E"/>
    <w:rsid w:val="0029438B"/>
    <w:rsid w:val="00294C25"/>
    <w:rsid w:val="00294CAB"/>
    <w:rsid w:val="002950D0"/>
    <w:rsid w:val="00295230"/>
    <w:rsid w:val="0029539E"/>
    <w:rsid w:val="00295467"/>
    <w:rsid w:val="00295758"/>
    <w:rsid w:val="0029593B"/>
    <w:rsid w:val="00295A05"/>
    <w:rsid w:val="00295BFA"/>
    <w:rsid w:val="002969B4"/>
    <w:rsid w:val="00297158"/>
    <w:rsid w:val="002971CD"/>
    <w:rsid w:val="00297A85"/>
    <w:rsid w:val="00297FC5"/>
    <w:rsid w:val="002A006F"/>
    <w:rsid w:val="002A00ED"/>
    <w:rsid w:val="002A0417"/>
    <w:rsid w:val="002A04C2"/>
    <w:rsid w:val="002A05D2"/>
    <w:rsid w:val="002A0783"/>
    <w:rsid w:val="002A08F1"/>
    <w:rsid w:val="002A0960"/>
    <w:rsid w:val="002A0C09"/>
    <w:rsid w:val="002A0D06"/>
    <w:rsid w:val="002A13F9"/>
    <w:rsid w:val="002A16D8"/>
    <w:rsid w:val="002A1946"/>
    <w:rsid w:val="002A1BC8"/>
    <w:rsid w:val="002A1C41"/>
    <w:rsid w:val="002A25C8"/>
    <w:rsid w:val="002A264C"/>
    <w:rsid w:val="002A2A84"/>
    <w:rsid w:val="002A3328"/>
    <w:rsid w:val="002A33E4"/>
    <w:rsid w:val="002A3970"/>
    <w:rsid w:val="002A3EF2"/>
    <w:rsid w:val="002A4054"/>
    <w:rsid w:val="002A433D"/>
    <w:rsid w:val="002A4630"/>
    <w:rsid w:val="002A4B01"/>
    <w:rsid w:val="002A4F5A"/>
    <w:rsid w:val="002A5002"/>
    <w:rsid w:val="002A50DD"/>
    <w:rsid w:val="002A5137"/>
    <w:rsid w:val="002A5256"/>
    <w:rsid w:val="002A53E6"/>
    <w:rsid w:val="002A5513"/>
    <w:rsid w:val="002A558E"/>
    <w:rsid w:val="002A5781"/>
    <w:rsid w:val="002A59BA"/>
    <w:rsid w:val="002A5B2A"/>
    <w:rsid w:val="002A5C5A"/>
    <w:rsid w:val="002A607E"/>
    <w:rsid w:val="002A619C"/>
    <w:rsid w:val="002A653F"/>
    <w:rsid w:val="002A6617"/>
    <w:rsid w:val="002A6FC5"/>
    <w:rsid w:val="002A7182"/>
    <w:rsid w:val="002A71CD"/>
    <w:rsid w:val="002A7C28"/>
    <w:rsid w:val="002B0126"/>
    <w:rsid w:val="002B04A9"/>
    <w:rsid w:val="002B050B"/>
    <w:rsid w:val="002B0854"/>
    <w:rsid w:val="002B0B76"/>
    <w:rsid w:val="002B0C28"/>
    <w:rsid w:val="002B0C45"/>
    <w:rsid w:val="002B0CC4"/>
    <w:rsid w:val="002B0DED"/>
    <w:rsid w:val="002B0E14"/>
    <w:rsid w:val="002B0EEC"/>
    <w:rsid w:val="002B106E"/>
    <w:rsid w:val="002B16B3"/>
    <w:rsid w:val="002B179A"/>
    <w:rsid w:val="002B19A2"/>
    <w:rsid w:val="002B1CC7"/>
    <w:rsid w:val="002B1E07"/>
    <w:rsid w:val="002B1FDB"/>
    <w:rsid w:val="002B21F8"/>
    <w:rsid w:val="002B2377"/>
    <w:rsid w:val="002B2630"/>
    <w:rsid w:val="002B27B3"/>
    <w:rsid w:val="002B2982"/>
    <w:rsid w:val="002B299F"/>
    <w:rsid w:val="002B2D5E"/>
    <w:rsid w:val="002B3232"/>
    <w:rsid w:val="002B32EE"/>
    <w:rsid w:val="002B349A"/>
    <w:rsid w:val="002B381A"/>
    <w:rsid w:val="002B3903"/>
    <w:rsid w:val="002B45BE"/>
    <w:rsid w:val="002B45F6"/>
    <w:rsid w:val="002B4701"/>
    <w:rsid w:val="002B490A"/>
    <w:rsid w:val="002B4BCB"/>
    <w:rsid w:val="002B4FCC"/>
    <w:rsid w:val="002B5033"/>
    <w:rsid w:val="002B53B4"/>
    <w:rsid w:val="002B5413"/>
    <w:rsid w:val="002B5981"/>
    <w:rsid w:val="002B599D"/>
    <w:rsid w:val="002B5AEC"/>
    <w:rsid w:val="002B5E2E"/>
    <w:rsid w:val="002B6080"/>
    <w:rsid w:val="002B6804"/>
    <w:rsid w:val="002B6ABE"/>
    <w:rsid w:val="002B714E"/>
    <w:rsid w:val="002B72D9"/>
    <w:rsid w:val="002B7408"/>
    <w:rsid w:val="002B7764"/>
    <w:rsid w:val="002B79D0"/>
    <w:rsid w:val="002B7A14"/>
    <w:rsid w:val="002B7BC8"/>
    <w:rsid w:val="002B7CFD"/>
    <w:rsid w:val="002B7DDB"/>
    <w:rsid w:val="002B7E40"/>
    <w:rsid w:val="002C0237"/>
    <w:rsid w:val="002C0530"/>
    <w:rsid w:val="002C05CF"/>
    <w:rsid w:val="002C07F9"/>
    <w:rsid w:val="002C0936"/>
    <w:rsid w:val="002C1293"/>
    <w:rsid w:val="002C1567"/>
    <w:rsid w:val="002C2078"/>
    <w:rsid w:val="002C210F"/>
    <w:rsid w:val="002C2927"/>
    <w:rsid w:val="002C29AB"/>
    <w:rsid w:val="002C2BAE"/>
    <w:rsid w:val="002C2BDD"/>
    <w:rsid w:val="002C2F0F"/>
    <w:rsid w:val="002C2F53"/>
    <w:rsid w:val="002C2F79"/>
    <w:rsid w:val="002C3764"/>
    <w:rsid w:val="002C3D4B"/>
    <w:rsid w:val="002C4181"/>
    <w:rsid w:val="002C42E7"/>
    <w:rsid w:val="002C4397"/>
    <w:rsid w:val="002C4A41"/>
    <w:rsid w:val="002C4B74"/>
    <w:rsid w:val="002C4D3A"/>
    <w:rsid w:val="002C4F64"/>
    <w:rsid w:val="002C50B5"/>
    <w:rsid w:val="002C540A"/>
    <w:rsid w:val="002C59ED"/>
    <w:rsid w:val="002C5A91"/>
    <w:rsid w:val="002C5ABF"/>
    <w:rsid w:val="002C5CD9"/>
    <w:rsid w:val="002C5DCA"/>
    <w:rsid w:val="002C6236"/>
    <w:rsid w:val="002C62C8"/>
    <w:rsid w:val="002C63A8"/>
    <w:rsid w:val="002C65CB"/>
    <w:rsid w:val="002C66BB"/>
    <w:rsid w:val="002C6A65"/>
    <w:rsid w:val="002C6E97"/>
    <w:rsid w:val="002C6EC6"/>
    <w:rsid w:val="002C73D6"/>
    <w:rsid w:val="002C7BB3"/>
    <w:rsid w:val="002C7CCD"/>
    <w:rsid w:val="002C7D02"/>
    <w:rsid w:val="002D030C"/>
    <w:rsid w:val="002D0650"/>
    <w:rsid w:val="002D0C20"/>
    <w:rsid w:val="002D0EB2"/>
    <w:rsid w:val="002D0EFD"/>
    <w:rsid w:val="002D11FD"/>
    <w:rsid w:val="002D1CAA"/>
    <w:rsid w:val="002D1D7D"/>
    <w:rsid w:val="002D2162"/>
    <w:rsid w:val="002D259A"/>
    <w:rsid w:val="002D2AB5"/>
    <w:rsid w:val="002D2D6F"/>
    <w:rsid w:val="002D2D9F"/>
    <w:rsid w:val="002D2E2B"/>
    <w:rsid w:val="002D33BA"/>
    <w:rsid w:val="002D33D3"/>
    <w:rsid w:val="002D33E0"/>
    <w:rsid w:val="002D3600"/>
    <w:rsid w:val="002D3640"/>
    <w:rsid w:val="002D36E0"/>
    <w:rsid w:val="002D3849"/>
    <w:rsid w:val="002D3B3E"/>
    <w:rsid w:val="002D3D9F"/>
    <w:rsid w:val="002D4102"/>
    <w:rsid w:val="002D416C"/>
    <w:rsid w:val="002D458F"/>
    <w:rsid w:val="002D4851"/>
    <w:rsid w:val="002D4ABA"/>
    <w:rsid w:val="002D4B84"/>
    <w:rsid w:val="002D4D65"/>
    <w:rsid w:val="002D4D9C"/>
    <w:rsid w:val="002D4FAC"/>
    <w:rsid w:val="002D4FB4"/>
    <w:rsid w:val="002D52CC"/>
    <w:rsid w:val="002D56E6"/>
    <w:rsid w:val="002D56F6"/>
    <w:rsid w:val="002D5863"/>
    <w:rsid w:val="002D594E"/>
    <w:rsid w:val="002D5C55"/>
    <w:rsid w:val="002D5CEF"/>
    <w:rsid w:val="002D5D09"/>
    <w:rsid w:val="002D604D"/>
    <w:rsid w:val="002D6155"/>
    <w:rsid w:val="002D6352"/>
    <w:rsid w:val="002D65FF"/>
    <w:rsid w:val="002D695A"/>
    <w:rsid w:val="002D6A64"/>
    <w:rsid w:val="002D6E77"/>
    <w:rsid w:val="002D72B7"/>
    <w:rsid w:val="002D72DC"/>
    <w:rsid w:val="002D75B4"/>
    <w:rsid w:val="002D777B"/>
    <w:rsid w:val="002E00D9"/>
    <w:rsid w:val="002E0149"/>
    <w:rsid w:val="002E037D"/>
    <w:rsid w:val="002E04F1"/>
    <w:rsid w:val="002E0590"/>
    <w:rsid w:val="002E0C2E"/>
    <w:rsid w:val="002E0C8B"/>
    <w:rsid w:val="002E0DBF"/>
    <w:rsid w:val="002E1023"/>
    <w:rsid w:val="002E1091"/>
    <w:rsid w:val="002E13BC"/>
    <w:rsid w:val="002E17B5"/>
    <w:rsid w:val="002E18AD"/>
    <w:rsid w:val="002E1C21"/>
    <w:rsid w:val="002E1D80"/>
    <w:rsid w:val="002E1DFC"/>
    <w:rsid w:val="002E1FEF"/>
    <w:rsid w:val="002E2358"/>
    <w:rsid w:val="002E235B"/>
    <w:rsid w:val="002E2372"/>
    <w:rsid w:val="002E2501"/>
    <w:rsid w:val="002E2562"/>
    <w:rsid w:val="002E2724"/>
    <w:rsid w:val="002E2C02"/>
    <w:rsid w:val="002E2C20"/>
    <w:rsid w:val="002E2CE3"/>
    <w:rsid w:val="002E3ABE"/>
    <w:rsid w:val="002E417D"/>
    <w:rsid w:val="002E4352"/>
    <w:rsid w:val="002E46B8"/>
    <w:rsid w:val="002E46EF"/>
    <w:rsid w:val="002E4BDC"/>
    <w:rsid w:val="002E4DDC"/>
    <w:rsid w:val="002E4ED9"/>
    <w:rsid w:val="002E54C1"/>
    <w:rsid w:val="002E5853"/>
    <w:rsid w:val="002E5907"/>
    <w:rsid w:val="002E5AAD"/>
    <w:rsid w:val="002E5D92"/>
    <w:rsid w:val="002E618E"/>
    <w:rsid w:val="002E6197"/>
    <w:rsid w:val="002E61C3"/>
    <w:rsid w:val="002E61E1"/>
    <w:rsid w:val="002E64A2"/>
    <w:rsid w:val="002E6ACD"/>
    <w:rsid w:val="002E6F74"/>
    <w:rsid w:val="002E78A2"/>
    <w:rsid w:val="002E7F2F"/>
    <w:rsid w:val="002E7FD7"/>
    <w:rsid w:val="002F0064"/>
    <w:rsid w:val="002F011B"/>
    <w:rsid w:val="002F0168"/>
    <w:rsid w:val="002F09CA"/>
    <w:rsid w:val="002F0B29"/>
    <w:rsid w:val="002F0FF1"/>
    <w:rsid w:val="002F1007"/>
    <w:rsid w:val="002F14A7"/>
    <w:rsid w:val="002F16D0"/>
    <w:rsid w:val="002F16D1"/>
    <w:rsid w:val="002F176B"/>
    <w:rsid w:val="002F1DFC"/>
    <w:rsid w:val="002F1F24"/>
    <w:rsid w:val="002F1FA1"/>
    <w:rsid w:val="002F28BC"/>
    <w:rsid w:val="002F296A"/>
    <w:rsid w:val="002F2CB1"/>
    <w:rsid w:val="002F2CC3"/>
    <w:rsid w:val="002F3040"/>
    <w:rsid w:val="002F342A"/>
    <w:rsid w:val="002F3579"/>
    <w:rsid w:val="002F35CA"/>
    <w:rsid w:val="002F380F"/>
    <w:rsid w:val="002F3846"/>
    <w:rsid w:val="002F393E"/>
    <w:rsid w:val="002F3D49"/>
    <w:rsid w:val="002F3DE8"/>
    <w:rsid w:val="002F413D"/>
    <w:rsid w:val="002F4275"/>
    <w:rsid w:val="002F4C60"/>
    <w:rsid w:val="002F4C9A"/>
    <w:rsid w:val="002F5493"/>
    <w:rsid w:val="002F5587"/>
    <w:rsid w:val="002F593C"/>
    <w:rsid w:val="002F5AB1"/>
    <w:rsid w:val="002F5C21"/>
    <w:rsid w:val="002F5F50"/>
    <w:rsid w:val="002F6239"/>
    <w:rsid w:val="002F63F4"/>
    <w:rsid w:val="002F6420"/>
    <w:rsid w:val="002F66B7"/>
    <w:rsid w:val="002F6AE5"/>
    <w:rsid w:val="002F6B93"/>
    <w:rsid w:val="002F6BA3"/>
    <w:rsid w:val="002F7437"/>
    <w:rsid w:val="002F7967"/>
    <w:rsid w:val="002F7C1A"/>
    <w:rsid w:val="00300187"/>
    <w:rsid w:val="00300603"/>
    <w:rsid w:val="00300681"/>
    <w:rsid w:val="00300942"/>
    <w:rsid w:val="00300C13"/>
    <w:rsid w:val="00300DB0"/>
    <w:rsid w:val="00301753"/>
    <w:rsid w:val="00301828"/>
    <w:rsid w:val="003019CF"/>
    <w:rsid w:val="00301C1D"/>
    <w:rsid w:val="00301C5E"/>
    <w:rsid w:val="00301FD6"/>
    <w:rsid w:val="0030225C"/>
    <w:rsid w:val="00302480"/>
    <w:rsid w:val="003024BD"/>
    <w:rsid w:val="00302758"/>
    <w:rsid w:val="00302923"/>
    <w:rsid w:val="00302AB5"/>
    <w:rsid w:val="00303413"/>
    <w:rsid w:val="0030367F"/>
    <w:rsid w:val="0030372B"/>
    <w:rsid w:val="003038D2"/>
    <w:rsid w:val="003039E1"/>
    <w:rsid w:val="00303E09"/>
    <w:rsid w:val="00303FF6"/>
    <w:rsid w:val="00304399"/>
    <w:rsid w:val="00304610"/>
    <w:rsid w:val="00304732"/>
    <w:rsid w:val="00304E83"/>
    <w:rsid w:val="00305042"/>
    <w:rsid w:val="00305454"/>
    <w:rsid w:val="00305723"/>
    <w:rsid w:val="003058E7"/>
    <w:rsid w:val="00305A4A"/>
    <w:rsid w:val="00305E48"/>
    <w:rsid w:val="00305F37"/>
    <w:rsid w:val="00305F7B"/>
    <w:rsid w:val="00305F87"/>
    <w:rsid w:val="003065D8"/>
    <w:rsid w:val="00306A2A"/>
    <w:rsid w:val="00307332"/>
    <w:rsid w:val="0030737A"/>
    <w:rsid w:val="003075F2"/>
    <w:rsid w:val="003078A9"/>
    <w:rsid w:val="00307900"/>
    <w:rsid w:val="00307CAA"/>
    <w:rsid w:val="0031030E"/>
    <w:rsid w:val="00310525"/>
    <w:rsid w:val="003108A7"/>
    <w:rsid w:val="003109AF"/>
    <w:rsid w:val="00310B50"/>
    <w:rsid w:val="00310B74"/>
    <w:rsid w:val="0031109D"/>
    <w:rsid w:val="003113F0"/>
    <w:rsid w:val="003116AF"/>
    <w:rsid w:val="0031188C"/>
    <w:rsid w:val="00311A7D"/>
    <w:rsid w:val="0031262F"/>
    <w:rsid w:val="0031276B"/>
    <w:rsid w:val="00312780"/>
    <w:rsid w:val="00313121"/>
    <w:rsid w:val="003133BC"/>
    <w:rsid w:val="0031350A"/>
    <w:rsid w:val="0031382B"/>
    <w:rsid w:val="00313A92"/>
    <w:rsid w:val="00313AB7"/>
    <w:rsid w:val="00313BDA"/>
    <w:rsid w:val="00313EDB"/>
    <w:rsid w:val="00313F12"/>
    <w:rsid w:val="00314187"/>
    <w:rsid w:val="00314247"/>
    <w:rsid w:val="0031432D"/>
    <w:rsid w:val="00314C18"/>
    <w:rsid w:val="00314E11"/>
    <w:rsid w:val="00315514"/>
    <w:rsid w:val="00316198"/>
    <w:rsid w:val="003162A7"/>
    <w:rsid w:val="003162B1"/>
    <w:rsid w:val="0031644C"/>
    <w:rsid w:val="003165D7"/>
    <w:rsid w:val="003165E6"/>
    <w:rsid w:val="00316687"/>
    <w:rsid w:val="00316925"/>
    <w:rsid w:val="00316951"/>
    <w:rsid w:val="00316A12"/>
    <w:rsid w:val="00316D3C"/>
    <w:rsid w:val="00317439"/>
    <w:rsid w:val="003176D6"/>
    <w:rsid w:val="00317D2D"/>
    <w:rsid w:val="00317E6D"/>
    <w:rsid w:val="0032010B"/>
    <w:rsid w:val="00320247"/>
    <w:rsid w:val="00320415"/>
    <w:rsid w:val="003206C5"/>
    <w:rsid w:val="00320D46"/>
    <w:rsid w:val="00321454"/>
    <w:rsid w:val="003215B5"/>
    <w:rsid w:val="00321C06"/>
    <w:rsid w:val="003220EA"/>
    <w:rsid w:val="00322108"/>
    <w:rsid w:val="003221CF"/>
    <w:rsid w:val="00322472"/>
    <w:rsid w:val="00322AE8"/>
    <w:rsid w:val="00322C54"/>
    <w:rsid w:val="00322D75"/>
    <w:rsid w:val="00322F33"/>
    <w:rsid w:val="003233ED"/>
    <w:rsid w:val="00323632"/>
    <w:rsid w:val="0032383B"/>
    <w:rsid w:val="00323F7E"/>
    <w:rsid w:val="003248EF"/>
    <w:rsid w:val="00324AD6"/>
    <w:rsid w:val="00324D9C"/>
    <w:rsid w:val="00324D9F"/>
    <w:rsid w:val="00324E2C"/>
    <w:rsid w:val="003252AE"/>
    <w:rsid w:val="003261E6"/>
    <w:rsid w:val="0032627B"/>
    <w:rsid w:val="003264FF"/>
    <w:rsid w:val="003269F7"/>
    <w:rsid w:val="00326AEB"/>
    <w:rsid w:val="00326C42"/>
    <w:rsid w:val="00326CBB"/>
    <w:rsid w:val="0032724C"/>
    <w:rsid w:val="0032726B"/>
    <w:rsid w:val="00327593"/>
    <w:rsid w:val="0032767A"/>
    <w:rsid w:val="00327948"/>
    <w:rsid w:val="00327AE2"/>
    <w:rsid w:val="00327B4D"/>
    <w:rsid w:val="00327E09"/>
    <w:rsid w:val="0033000F"/>
    <w:rsid w:val="00330173"/>
    <w:rsid w:val="003303EF"/>
    <w:rsid w:val="0033051A"/>
    <w:rsid w:val="003305DA"/>
    <w:rsid w:val="00330A2E"/>
    <w:rsid w:val="00330A94"/>
    <w:rsid w:val="00330EF4"/>
    <w:rsid w:val="00331138"/>
    <w:rsid w:val="003318E4"/>
    <w:rsid w:val="00331936"/>
    <w:rsid w:val="00331BE7"/>
    <w:rsid w:val="00331ECF"/>
    <w:rsid w:val="00332011"/>
    <w:rsid w:val="003323C9"/>
    <w:rsid w:val="00332518"/>
    <w:rsid w:val="00332925"/>
    <w:rsid w:val="00332C95"/>
    <w:rsid w:val="00332D76"/>
    <w:rsid w:val="00332E3F"/>
    <w:rsid w:val="00332E61"/>
    <w:rsid w:val="003332ED"/>
    <w:rsid w:val="003334CA"/>
    <w:rsid w:val="0033371F"/>
    <w:rsid w:val="003341BD"/>
    <w:rsid w:val="00334378"/>
    <w:rsid w:val="003343BD"/>
    <w:rsid w:val="003347EB"/>
    <w:rsid w:val="00334B16"/>
    <w:rsid w:val="00334B37"/>
    <w:rsid w:val="0033501D"/>
    <w:rsid w:val="00335029"/>
    <w:rsid w:val="003351FA"/>
    <w:rsid w:val="003353BB"/>
    <w:rsid w:val="00335504"/>
    <w:rsid w:val="0033591E"/>
    <w:rsid w:val="00336024"/>
    <w:rsid w:val="003362E2"/>
    <w:rsid w:val="003364DE"/>
    <w:rsid w:val="00336744"/>
    <w:rsid w:val="00336746"/>
    <w:rsid w:val="0033677B"/>
    <w:rsid w:val="003368DC"/>
    <w:rsid w:val="00336BD5"/>
    <w:rsid w:val="00337017"/>
    <w:rsid w:val="00340073"/>
    <w:rsid w:val="00340098"/>
    <w:rsid w:val="0034036F"/>
    <w:rsid w:val="003407B5"/>
    <w:rsid w:val="0034137C"/>
    <w:rsid w:val="003421CA"/>
    <w:rsid w:val="00342695"/>
    <w:rsid w:val="00342CD8"/>
    <w:rsid w:val="00342CFB"/>
    <w:rsid w:val="00342E3C"/>
    <w:rsid w:val="00343325"/>
    <w:rsid w:val="00343E13"/>
    <w:rsid w:val="00344196"/>
    <w:rsid w:val="003441AA"/>
    <w:rsid w:val="00344322"/>
    <w:rsid w:val="00344695"/>
    <w:rsid w:val="00345121"/>
    <w:rsid w:val="0034554F"/>
    <w:rsid w:val="00345635"/>
    <w:rsid w:val="0034564F"/>
    <w:rsid w:val="003456B6"/>
    <w:rsid w:val="00345927"/>
    <w:rsid w:val="00345AA8"/>
    <w:rsid w:val="00346642"/>
    <w:rsid w:val="00346A41"/>
    <w:rsid w:val="00346D18"/>
    <w:rsid w:val="00346E8C"/>
    <w:rsid w:val="0034723C"/>
    <w:rsid w:val="003473C1"/>
    <w:rsid w:val="003473CD"/>
    <w:rsid w:val="00347532"/>
    <w:rsid w:val="003476A1"/>
    <w:rsid w:val="003476B1"/>
    <w:rsid w:val="003479A0"/>
    <w:rsid w:val="00347A3F"/>
    <w:rsid w:val="00347A99"/>
    <w:rsid w:val="00350129"/>
    <w:rsid w:val="00350584"/>
    <w:rsid w:val="00350F08"/>
    <w:rsid w:val="003512E5"/>
    <w:rsid w:val="0035144C"/>
    <w:rsid w:val="00351857"/>
    <w:rsid w:val="003518FD"/>
    <w:rsid w:val="00351C2E"/>
    <w:rsid w:val="003522F9"/>
    <w:rsid w:val="003525A4"/>
    <w:rsid w:val="00352AAC"/>
    <w:rsid w:val="00352DAF"/>
    <w:rsid w:val="0035336A"/>
    <w:rsid w:val="00353491"/>
    <w:rsid w:val="00353AC6"/>
    <w:rsid w:val="003541F8"/>
    <w:rsid w:val="003544AC"/>
    <w:rsid w:val="003545E8"/>
    <w:rsid w:val="00354A8C"/>
    <w:rsid w:val="00354B55"/>
    <w:rsid w:val="00354C10"/>
    <w:rsid w:val="00354CFC"/>
    <w:rsid w:val="00355164"/>
    <w:rsid w:val="003551A9"/>
    <w:rsid w:val="0035562D"/>
    <w:rsid w:val="003556BA"/>
    <w:rsid w:val="00355C54"/>
    <w:rsid w:val="00355DB8"/>
    <w:rsid w:val="00355E7B"/>
    <w:rsid w:val="00356297"/>
    <w:rsid w:val="003562D4"/>
    <w:rsid w:val="0035640A"/>
    <w:rsid w:val="00356590"/>
    <w:rsid w:val="00356C5A"/>
    <w:rsid w:val="00356F07"/>
    <w:rsid w:val="00356F14"/>
    <w:rsid w:val="0035704E"/>
    <w:rsid w:val="00357050"/>
    <w:rsid w:val="0035761E"/>
    <w:rsid w:val="003578AD"/>
    <w:rsid w:val="00357CDE"/>
    <w:rsid w:val="0036004C"/>
    <w:rsid w:val="0036049F"/>
    <w:rsid w:val="00360535"/>
    <w:rsid w:val="00360F99"/>
    <w:rsid w:val="00360FC1"/>
    <w:rsid w:val="003610E1"/>
    <w:rsid w:val="00361171"/>
    <w:rsid w:val="00361827"/>
    <w:rsid w:val="00361C3B"/>
    <w:rsid w:val="00361D61"/>
    <w:rsid w:val="00361D76"/>
    <w:rsid w:val="0036215E"/>
    <w:rsid w:val="00362B6B"/>
    <w:rsid w:val="00362DF9"/>
    <w:rsid w:val="00362F96"/>
    <w:rsid w:val="00362FCA"/>
    <w:rsid w:val="003633A9"/>
    <w:rsid w:val="00363604"/>
    <w:rsid w:val="00363AAC"/>
    <w:rsid w:val="00363CE3"/>
    <w:rsid w:val="00363EC1"/>
    <w:rsid w:val="00364043"/>
    <w:rsid w:val="00364117"/>
    <w:rsid w:val="00364257"/>
    <w:rsid w:val="0036440F"/>
    <w:rsid w:val="003648F7"/>
    <w:rsid w:val="00364C7C"/>
    <w:rsid w:val="00364ECD"/>
    <w:rsid w:val="00365121"/>
    <w:rsid w:val="0036513E"/>
    <w:rsid w:val="00365201"/>
    <w:rsid w:val="003652AC"/>
    <w:rsid w:val="00365903"/>
    <w:rsid w:val="00365A95"/>
    <w:rsid w:val="00365E2E"/>
    <w:rsid w:val="00365EA4"/>
    <w:rsid w:val="00365F4E"/>
    <w:rsid w:val="0036608A"/>
    <w:rsid w:val="00366497"/>
    <w:rsid w:val="00366A67"/>
    <w:rsid w:val="00366ABB"/>
    <w:rsid w:val="00366D5F"/>
    <w:rsid w:val="00366D8E"/>
    <w:rsid w:val="00366DE7"/>
    <w:rsid w:val="003671BE"/>
    <w:rsid w:val="00367206"/>
    <w:rsid w:val="003673E1"/>
    <w:rsid w:val="00367767"/>
    <w:rsid w:val="0036790B"/>
    <w:rsid w:val="00367A41"/>
    <w:rsid w:val="00367A79"/>
    <w:rsid w:val="00367D11"/>
    <w:rsid w:val="003702D8"/>
    <w:rsid w:val="003702E1"/>
    <w:rsid w:val="0037030A"/>
    <w:rsid w:val="00370588"/>
    <w:rsid w:val="00370626"/>
    <w:rsid w:val="00370A1F"/>
    <w:rsid w:val="00370E8A"/>
    <w:rsid w:val="00371027"/>
    <w:rsid w:val="003710B3"/>
    <w:rsid w:val="00371375"/>
    <w:rsid w:val="0037168A"/>
    <w:rsid w:val="003716AD"/>
    <w:rsid w:val="0037203D"/>
    <w:rsid w:val="00372485"/>
    <w:rsid w:val="00372615"/>
    <w:rsid w:val="00372741"/>
    <w:rsid w:val="0037297E"/>
    <w:rsid w:val="00372D65"/>
    <w:rsid w:val="00372FAB"/>
    <w:rsid w:val="00373200"/>
    <w:rsid w:val="00373676"/>
    <w:rsid w:val="003736A5"/>
    <w:rsid w:val="003740B1"/>
    <w:rsid w:val="00374359"/>
    <w:rsid w:val="00374470"/>
    <w:rsid w:val="0037464A"/>
    <w:rsid w:val="003751F1"/>
    <w:rsid w:val="00375415"/>
    <w:rsid w:val="0037574D"/>
    <w:rsid w:val="003758E0"/>
    <w:rsid w:val="00375AEA"/>
    <w:rsid w:val="00375BAF"/>
    <w:rsid w:val="00375BE9"/>
    <w:rsid w:val="00375E67"/>
    <w:rsid w:val="00375EF5"/>
    <w:rsid w:val="00375FCD"/>
    <w:rsid w:val="00375FE4"/>
    <w:rsid w:val="0037608D"/>
    <w:rsid w:val="00376216"/>
    <w:rsid w:val="003767A5"/>
    <w:rsid w:val="00376B7A"/>
    <w:rsid w:val="00376C7C"/>
    <w:rsid w:val="00376D56"/>
    <w:rsid w:val="003776A0"/>
    <w:rsid w:val="00377D26"/>
    <w:rsid w:val="00377DDF"/>
    <w:rsid w:val="00380A81"/>
    <w:rsid w:val="00380AEE"/>
    <w:rsid w:val="00381316"/>
    <w:rsid w:val="003813CC"/>
    <w:rsid w:val="003817F8"/>
    <w:rsid w:val="00381D15"/>
    <w:rsid w:val="003820D9"/>
    <w:rsid w:val="003821C7"/>
    <w:rsid w:val="00382820"/>
    <w:rsid w:val="00382B93"/>
    <w:rsid w:val="00382C61"/>
    <w:rsid w:val="00382D02"/>
    <w:rsid w:val="0038323C"/>
    <w:rsid w:val="003832B0"/>
    <w:rsid w:val="00383433"/>
    <w:rsid w:val="00383469"/>
    <w:rsid w:val="0038392B"/>
    <w:rsid w:val="00384593"/>
    <w:rsid w:val="003845ED"/>
    <w:rsid w:val="0038464D"/>
    <w:rsid w:val="0038477E"/>
    <w:rsid w:val="003848E0"/>
    <w:rsid w:val="00384AC1"/>
    <w:rsid w:val="00385254"/>
    <w:rsid w:val="0038553D"/>
    <w:rsid w:val="00385E1F"/>
    <w:rsid w:val="00385E60"/>
    <w:rsid w:val="00386388"/>
    <w:rsid w:val="003867EF"/>
    <w:rsid w:val="00386A99"/>
    <w:rsid w:val="00386F35"/>
    <w:rsid w:val="00387850"/>
    <w:rsid w:val="00387962"/>
    <w:rsid w:val="00387D4D"/>
    <w:rsid w:val="003906ED"/>
    <w:rsid w:val="00390EFE"/>
    <w:rsid w:val="0039104F"/>
    <w:rsid w:val="003912A1"/>
    <w:rsid w:val="003912AA"/>
    <w:rsid w:val="003912CF"/>
    <w:rsid w:val="003916DE"/>
    <w:rsid w:val="00391A9A"/>
    <w:rsid w:val="00391D3B"/>
    <w:rsid w:val="0039204D"/>
    <w:rsid w:val="0039207D"/>
    <w:rsid w:val="00392536"/>
    <w:rsid w:val="00392D83"/>
    <w:rsid w:val="00392FCF"/>
    <w:rsid w:val="003933E8"/>
    <w:rsid w:val="00393447"/>
    <w:rsid w:val="0039378B"/>
    <w:rsid w:val="00393A45"/>
    <w:rsid w:val="00393F4E"/>
    <w:rsid w:val="00394031"/>
    <w:rsid w:val="003940BE"/>
    <w:rsid w:val="0039457A"/>
    <w:rsid w:val="00394621"/>
    <w:rsid w:val="0039467A"/>
    <w:rsid w:val="00394A4D"/>
    <w:rsid w:val="003953F0"/>
    <w:rsid w:val="00395579"/>
    <w:rsid w:val="003958AB"/>
    <w:rsid w:val="00395A0C"/>
    <w:rsid w:val="00395B13"/>
    <w:rsid w:val="00395BA1"/>
    <w:rsid w:val="00395C5B"/>
    <w:rsid w:val="00396218"/>
    <w:rsid w:val="003965FE"/>
    <w:rsid w:val="00396679"/>
    <w:rsid w:val="003968A9"/>
    <w:rsid w:val="00396B74"/>
    <w:rsid w:val="00396C6D"/>
    <w:rsid w:val="00396DC2"/>
    <w:rsid w:val="003978CF"/>
    <w:rsid w:val="00397967"/>
    <w:rsid w:val="00397ACC"/>
    <w:rsid w:val="00397BD0"/>
    <w:rsid w:val="003A04DB"/>
    <w:rsid w:val="003A0D12"/>
    <w:rsid w:val="003A1601"/>
    <w:rsid w:val="003A169F"/>
    <w:rsid w:val="003A197C"/>
    <w:rsid w:val="003A1D74"/>
    <w:rsid w:val="003A1EED"/>
    <w:rsid w:val="003A1F4F"/>
    <w:rsid w:val="003A22DA"/>
    <w:rsid w:val="003A2354"/>
    <w:rsid w:val="003A2566"/>
    <w:rsid w:val="003A256D"/>
    <w:rsid w:val="003A26E1"/>
    <w:rsid w:val="003A2812"/>
    <w:rsid w:val="003A2972"/>
    <w:rsid w:val="003A2A16"/>
    <w:rsid w:val="003A2DC8"/>
    <w:rsid w:val="003A2EBE"/>
    <w:rsid w:val="003A3618"/>
    <w:rsid w:val="003A37F5"/>
    <w:rsid w:val="003A37FA"/>
    <w:rsid w:val="003A39CE"/>
    <w:rsid w:val="003A39F1"/>
    <w:rsid w:val="003A3D18"/>
    <w:rsid w:val="003A4039"/>
    <w:rsid w:val="003A4217"/>
    <w:rsid w:val="003A46FD"/>
    <w:rsid w:val="003A4A50"/>
    <w:rsid w:val="003A4ABF"/>
    <w:rsid w:val="003A4FC7"/>
    <w:rsid w:val="003A5765"/>
    <w:rsid w:val="003A58BB"/>
    <w:rsid w:val="003A5915"/>
    <w:rsid w:val="003A5B50"/>
    <w:rsid w:val="003A5F5B"/>
    <w:rsid w:val="003A6293"/>
    <w:rsid w:val="003A66A7"/>
    <w:rsid w:val="003A6B37"/>
    <w:rsid w:val="003A6C85"/>
    <w:rsid w:val="003A6EAE"/>
    <w:rsid w:val="003A6FF9"/>
    <w:rsid w:val="003A71AD"/>
    <w:rsid w:val="003A767F"/>
    <w:rsid w:val="003A77F8"/>
    <w:rsid w:val="003A7827"/>
    <w:rsid w:val="003A789A"/>
    <w:rsid w:val="003A7B06"/>
    <w:rsid w:val="003B006A"/>
    <w:rsid w:val="003B09E2"/>
    <w:rsid w:val="003B0CE4"/>
    <w:rsid w:val="003B0D33"/>
    <w:rsid w:val="003B0FE7"/>
    <w:rsid w:val="003B12EC"/>
    <w:rsid w:val="003B154F"/>
    <w:rsid w:val="003B1967"/>
    <w:rsid w:val="003B1C1F"/>
    <w:rsid w:val="003B1CBB"/>
    <w:rsid w:val="003B212D"/>
    <w:rsid w:val="003B2FA3"/>
    <w:rsid w:val="003B310F"/>
    <w:rsid w:val="003B359C"/>
    <w:rsid w:val="003B367F"/>
    <w:rsid w:val="003B3699"/>
    <w:rsid w:val="003B3E2E"/>
    <w:rsid w:val="003B4259"/>
    <w:rsid w:val="003B42AC"/>
    <w:rsid w:val="003B492D"/>
    <w:rsid w:val="003B4C17"/>
    <w:rsid w:val="003B4D0A"/>
    <w:rsid w:val="003B4F57"/>
    <w:rsid w:val="003B611C"/>
    <w:rsid w:val="003B612E"/>
    <w:rsid w:val="003B628F"/>
    <w:rsid w:val="003B6765"/>
    <w:rsid w:val="003B6C90"/>
    <w:rsid w:val="003B6D48"/>
    <w:rsid w:val="003B6E0E"/>
    <w:rsid w:val="003B74E7"/>
    <w:rsid w:val="003B77EE"/>
    <w:rsid w:val="003B7BF9"/>
    <w:rsid w:val="003C03B8"/>
    <w:rsid w:val="003C0954"/>
    <w:rsid w:val="003C0C4F"/>
    <w:rsid w:val="003C0F31"/>
    <w:rsid w:val="003C1249"/>
    <w:rsid w:val="003C179E"/>
    <w:rsid w:val="003C1C9E"/>
    <w:rsid w:val="003C1EC3"/>
    <w:rsid w:val="003C1F17"/>
    <w:rsid w:val="003C2552"/>
    <w:rsid w:val="003C29BA"/>
    <w:rsid w:val="003C2CCF"/>
    <w:rsid w:val="003C2FB2"/>
    <w:rsid w:val="003C2FB6"/>
    <w:rsid w:val="003C2FB7"/>
    <w:rsid w:val="003C2FD8"/>
    <w:rsid w:val="003C378C"/>
    <w:rsid w:val="003C3BA4"/>
    <w:rsid w:val="003C3D20"/>
    <w:rsid w:val="003C3E81"/>
    <w:rsid w:val="003C530A"/>
    <w:rsid w:val="003C54E0"/>
    <w:rsid w:val="003C566F"/>
    <w:rsid w:val="003C5699"/>
    <w:rsid w:val="003C5990"/>
    <w:rsid w:val="003C59F7"/>
    <w:rsid w:val="003C5A09"/>
    <w:rsid w:val="003C5B7A"/>
    <w:rsid w:val="003C5E45"/>
    <w:rsid w:val="003C5FCB"/>
    <w:rsid w:val="003C634D"/>
    <w:rsid w:val="003C667D"/>
    <w:rsid w:val="003C6A75"/>
    <w:rsid w:val="003C6C3B"/>
    <w:rsid w:val="003C6D3C"/>
    <w:rsid w:val="003C75C3"/>
    <w:rsid w:val="003C75DE"/>
    <w:rsid w:val="003C7722"/>
    <w:rsid w:val="003C77E0"/>
    <w:rsid w:val="003C7967"/>
    <w:rsid w:val="003C7BBA"/>
    <w:rsid w:val="003C7BED"/>
    <w:rsid w:val="003D007C"/>
    <w:rsid w:val="003D0336"/>
    <w:rsid w:val="003D14B0"/>
    <w:rsid w:val="003D1592"/>
    <w:rsid w:val="003D1618"/>
    <w:rsid w:val="003D17D7"/>
    <w:rsid w:val="003D18E4"/>
    <w:rsid w:val="003D1900"/>
    <w:rsid w:val="003D19D4"/>
    <w:rsid w:val="003D1C6F"/>
    <w:rsid w:val="003D2373"/>
    <w:rsid w:val="003D2678"/>
    <w:rsid w:val="003D29C3"/>
    <w:rsid w:val="003D31C9"/>
    <w:rsid w:val="003D31F6"/>
    <w:rsid w:val="003D3276"/>
    <w:rsid w:val="003D40D7"/>
    <w:rsid w:val="003D4382"/>
    <w:rsid w:val="003D4AEC"/>
    <w:rsid w:val="003D4AF4"/>
    <w:rsid w:val="003D51C1"/>
    <w:rsid w:val="003D51C2"/>
    <w:rsid w:val="003D550F"/>
    <w:rsid w:val="003D55B2"/>
    <w:rsid w:val="003D5BB6"/>
    <w:rsid w:val="003D5C02"/>
    <w:rsid w:val="003D5ECA"/>
    <w:rsid w:val="003D5F11"/>
    <w:rsid w:val="003D6602"/>
    <w:rsid w:val="003D6A09"/>
    <w:rsid w:val="003D6A0A"/>
    <w:rsid w:val="003D6B9E"/>
    <w:rsid w:val="003D6D18"/>
    <w:rsid w:val="003D71A3"/>
    <w:rsid w:val="003D7983"/>
    <w:rsid w:val="003D7CCE"/>
    <w:rsid w:val="003D7D59"/>
    <w:rsid w:val="003E0100"/>
    <w:rsid w:val="003E0396"/>
    <w:rsid w:val="003E0788"/>
    <w:rsid w:val="003E07B6"/>
    <w:rsid w:val="003E09AC"/>
    <w:rsid w:val="003E0CFC"/>
    <w:rsid w:val="003E0EC8"/>
    <w:rsid w:val="003E1153"/>
    <w:rsid w:val="003E143E"/>
    <w:rsid w:val="003E1626"/>
    <w:rsid w:val="003E1E8C"/>
    <w:rsid w:val="003E2732"/>
    <w:rsid w:val="003E2B8A"/>
    <w:rsid w:val="003E31D7"/>
    <w:rsid w:val="003E3233"/>
    <w:rsid w:val="003E338D"/>
    <w:rsid w:val="003E377A"/>
    <w:rsid w:val="003E3938"/>
    <w:rsid w:val="003E3D29"/>
    <w:rsid w:val="003E3D7D"/>
    <w:rsid w:val="003E3F59"/>
    <w:rsid w:val="003E4026"/>
    <w:rsid w:val="003E42A4"/>
    <w:rsid w:val="003E43ED"/>
    <w:rsid w:val="003E495B"/>
    <w:rsid w:val="003E4E23"/>
    <w:rsid w:val="003E4F1A"/>
    <w:rsid w:val="003E54D3"/>
    <w:rsid w:val="003E5602"/>
    <w:rsid w:val="003E57A7"/>
    <w:rsid w:val="003E5C5C"/>
    <w:rsid w:val="003E5CCE"/>
    <w:rsid w:val="003E5E7C"/>
    <w:rsid w:val="003E5EF1"/>
    <w:rsid w:val="003E5FD7"/>
    <w:rsid w:val="003E6049"/>
    <w:rsid w:val="003E60BB"/>
    <w:rsid w:val="003E6493"/>
    <w:rsid w:val="003E6704"/>
    <w:rsid w:val="003E68BB"/>
    <w:rsid w:val="003E6B1A"/>
    <w:rsid w:val="003E72F6"/>
    <w:rsid w:val="003E79D6"/>
    <w:rsid w:val="003E7D68"/>
    <w:rsid w:val="003F00A7"/>
    <w:rsid w:val="003F02FE"/>
    <w:rsid w:val="003F0417"/>
    <w:rsid w:val="003F04DC"/>
    <w:rsid w:val="003F0889"/>
    <w:rsid w:val="003F0A55"/>
    <w:rsid w:val="003F10EE"/>
    <w:rsid w:val="003F12DA"/>
    <w:rsid w:val="003F13CB"/>
    <w:rsid w:val="003F1593"/>
    <w:rsid w:val="003F16F6"/>
    <w:rsid w:val="003F188F"/>
    <w:rsid w:val="003F19E6"/>
    <w:rsid w:val="003F1A92"/>
    <w:rsid w:val="003F1B76"/>
    <w:rsid w:val="003F1C0D"/>
    <w:rsid w:val="003F1FED"/>
    <w:rsid w:val="003F26C3"/>
    <w:rsid w:val="003F2750"/>
    <w:rsid w:val="003F2A17"/>
    <w:rsid w:val="003F2A91"/>
    <w:rsid w:val="003F334E"/>
    <w:rsid w:val="003F33A1"/>
    <w:rsid w:val="003F3494"/>
    <w:rsid w:val="003F3836"/>
    <w:rsid w:val="003F3CB1"/>
    <w:rsid w:val="003F3E0B"/>
    <w:rsid w:val="003F3E11"/>
    <w:rsid w:val="003F3E1C"/>
    <w:rsid w:val="003F3E4C"/>
    <w:rsid w:val="003F3ED5"/>
    <w:rsid w:val="003F4506"/>
    <w:rsid w:val="003F4584"/>
    <w:rsid w:val="003F477E"/>
    <w:rsid w:val="003F4DC7"/>
    <w:rsid w:val="003F5235"/>
    <w:rsid w:val="003F5834"/>
    <w:rsid w:val="003F5A96"/>
    <w:rsid w:val="003F5D4A"/>
    <w:rsid w:val="003F5F01"/>
    <w:rsid w:val="003F5FC4"/>
    <w:rsid w:val="003F60D4"/>
    <w:rsid w:val="003F6678"/>
    <w:rsid w:val="003F712B"/>
    <w:rsid w:val="003F7432"/>
    <w:rsid w:val="003F74C1"/>
    <w:rsid w:val="003F7767"/>
    <w:rsid w:val="003F7B5A"/>
    <w:rsid w:val="003F7E10"/>
    <w:rsid w:val="00400394"/>
    <w:rsid w:val="004005A3"/>
    <w:rsid w:val="0040081D"/>
    <w:rsid w:val="00400F8C"/>
    <w:rsid w:val="004020E6"/>
    <w:rsid w:val="00402476"/>
    <w:rsid w:val="004026AC"/>
    <w:rsid w:val="004027C8"/>
    <w:rsid w:val="004027E4"/>
    <w:rsid w:val="00402883"/>
    <w:rsid w:val="00402896"/>
    <w:rsid w:val="004028E1"/>
    <w:rsid w:val="00402BF1"/>
    <w:rsid w:val="004030BB"/>
    <w:rsid w:val="0040355C"/>
    <w:rsid w:val="004036A9"/>
    <w:rsid w:val="0040391D"/>
    <w:rsid w:val="0040392C"/>
    <w:rsid w:val="00403A1F"/>
    <w:rsid w:val="00403B52"/>
    <w:rsid w:val="00403CD6"/>
    <w:rsid w:val="00403F33"/>
    <w:rsid w:val="00404110"/>
    <w:rsid w:val="00404141"/>
    <w:rsid w:val="0040420E"/>
    <w:rsid w:val="0040451D"/>
    <w:rsid w:val="00404726"/>
    <w:rsid w:val="00404FED"/>
    <w:rsid w:val="00405133"/>
    <w:rsid w:val="00405250"/>
    <w:rsid w:val="0040584F"/>
    <w:rsid w:val="004058DD"/>
    <w:rsid w:val="00405A82"/>
    <w:rsid w:val="00405E21"/>
    <w:rsid w:val="00406823"/>
    <w:rsid w:val="0040715E"/>
    <w:rsid w:val="0040737F"/>
    <w:rsid w:val="004073BD"/>
    <w:rsid w:val="00407BD7"/>
    <w:rsid w:val="00407E09"/>
    <w:rsid w:val="004100F2"/>
    <w:rsid w:val="00410120"/>
    <w:rsid w:val="004106B3"/>
    <w:rsid w:val="0041071D"/>
    <w:rsid w:val="00410720"/>
    <w:rsid w:val="004113FC"/>
    <w:rsid w:val="00411F99"/>
    <w:rsid w:val="0041231C"/>
    <w:rsid w:val="0041288E"/>
    <w:rsid w:val="00412C29"/>
    <w:rsid w:val="00412D5B"/>
    <w:rsid w:val="00413059"/>
    <w:rsid w:val="0041323C"/>
    <w:rsid w:val="00413482"/>
    <w:rsid w:val="004136A0"/>
    <w:rsid w:val="004136C6"/>
    <w:rsid w:val="00413CE3"/>
    <w:rsid w:val="00413EAF"/>
    <w:rsid w:val="004141F5"/>
    <w:rsid w:val="00414262"/>
    <w:rsid w:val="004143BD"/>
    <w:rsid w:val="00414AFC"/>
    <w:rsid w:val="00414BF7"/>
    <w:rsid w:val="00414CAC"/>
    <w:rsid w:val="00414DD8"/>
    <w:rsid w:val="00414F66"/>
    <w:rsid w:val="00414F7B"/>
    <w:rsid w:val="00415003"/>
    <w:rsid w:val="0041501D"/>
    <w:rsid w:val="004151A7"/>
    <w:rsid w:val="00415310"/>
    <w:rsid w:val="0041532A"/>
    <w:rsid w:val="004161F3"/>
    <w:rsid w:val="0041630B"/>
    <w:rsid w:val="004163ED"/>
    <w:rsid w:val="00416788"/>
    <w:rsid w:val="004167A3"/>
    <w:rsid w:val="004167D9"/>
    <w:rsid w:val="00416862"/>
    <w:rsid w:val="00416974"/>
    <w:rsid w:val="00416BC8"/>
    <w:rsid w:val="0041744A"/>
    <w:rsid w:val="0041756F"/>
    <w:rsid w:val="00417A75"/>
    <w:rsid w:val="00417DA3"/>
    <w:rsid w:val="00417F8E"/>
    <w:rsid w:val="004201E8"/>
    <w:rsid w:val="00420767"/>
    <w:rsid w:val="00420A63"/>
    <w:rsid w:val="00420ADC"/>
    <w:rsid w:val="0042128D"/>
    <w:rsid w:val="00421397"/>
    <w:rsid w:val="00421461"/>
    <w:rsid w:val="00421709"/>
    <w:rsid w:val="00421E18"/>
    <w:rsid w:val="00422332"/>
    <w:rsid w:val="0042236F"/>
    <w:rsid w:val="00422921"/>
    <w:rsid w:val="004229C9"/>
    <w:rsid w:val="004231B4"/>
    <w:rsid w:val="004233F6"/>
    <w:rsid w:val="00423432"/>
    <w:rsid w:val="00423763"/>
    <w:rsid w:val="00423BB9"/>
    <w:rsid w:val="00424034"/>
    <w:rsid w:val="0042405A"/>
    <w:rsid w:val="00424111"/>
    <w:rsid w:val="00424195"/>
    <w:rsid w:val="004248F0"/>
    <w:rsid w:val="00424B90"/>
    <w:rsid w:val="00424C8A"/>
    <w:rsid w:val="00424F9D"/>
    <w:rsid w:val="00425023"/>
    <w:rsid w:val="004251B6"/>
    <w:rsid w:val="00425247"/>
    <w:rsid w:val="00425312"/>
    <w:rsid w:val="004253F5"/>
    <w:rsid w:val="004258A8"/>
    <w:rsid w:val="00425A41"/>
    <w:rsid w:val="00425C49"/>
    <w:rsid w:val="00426000"/>
    <w:rsid w:val="004261D2"/>
    <w:rsid w:val="00426976"/>
    <w:rsid w:val="004269C1"/>
    <w:rsid w:val="00426A1C"/>
    <w:rsid w:val="0042714D"/>
    <w:rsid w:val="0042718D"/>
    <w:rsid w:val="004272FF"/>
    <w:rsid w:val="0042762F"/>
    <w:rsid w:val="0042785F"/>
    <w:rsid w:val="00427A4B"/>
    <w:rsid w:val="00427ACF"/>
    <w:rsid w:val="00427DC7"/>
    <w:rsid w:val="00427E3C"/>
    <w:rsid w:val="0043000A"/>
    <w:rsid w:val="00430176"/>
    <w:rsid w:val="004306DD"/>
    <w:rsid w:val="0043082A"/>
    <w:rsid w:val="00430958"/>
    <w:rsid w:val="00430A94"/>
    <w:rsid w:val="00430CD4"/>
    <w:rsid w:val="00430DB4"/>
    <w:rsid w:val="004310A6"/>
    <w:rsid w:val="00431102"/>
    <w:rsid w:val="00431189"/>
    <w:rsid w:val="004314DF"/>
    <w:rsid w:val="00431613"/>
    <w:rsid w:val="00431792"/>
    <w:rsid w:val="0043203F"/>
    <w:rsid w:val="00432153"/>
    <w:rsid w:val="004321F5"/>
    <w:rsid w:val="00432611"/>
    <w:rsid w:val="0043297A"/>
    <w:rsid w:val="00432C89"/>
    <w:rsid w:val="00432EB2"/>
    <w:rsid w:val="004333C6"/>
    <w:rsid w:val="0043343F"/>
    <w:rsid w:val="0043354F"/>
    <w:rsid w:val="0043367D"/>
    <w:rsid w:val="00433752"/>
    <w:rsid w:val="00433EED"/>
    <w:rsid w:val="00433F4A"/>
    <w:rsid w:val="00434C09"/>
    <w:rsid w:val="00435792"/>
    <w:rsid w:val="004359F9"/>
    <w:rsid w:val="00435A9A"/>
    <w:rsid w:val="0043614C"/>
    <w:rsid w:val="00436569"/>
    <w:rsid w:val="00436652"/>
    <w:rsid w:val="004368B6"/>
    <w:rsid w:val="00436AE2"/>
    <w:rsid w:val="00436C0A"/>
    <w:rsid w:val="00436C62"/>
    <w:rsid w:val="0043714F"/>
    <w:rsid w:val="00437184"/>
    <w:rsid w:val="004371D3"/>
    <w:rsid w:val="00437422"/>
    <w:rsid w:val="00437C87"/>
    <w:rsid w:val="00437FE6"/>
    <w:rsid w:val="004406AC"/>
    <w:rsid w:val="00440A3E"/>
    <w:rsid w:val="00441049"/>
    <w:rsid w:val="00441410"/>
    <w:rsid w:val="00441559"/>
    <w:rsid w:val="00441F90"/>
    <w:rsid w:val="00442335"/>
    <w:rsid w:val="00442BA9"/>
    <w:rsid w:val="004430D3"/>
    <w:rsid w:val="004431DD"/>
    <w:rsid w:val="004438B5"/>
    <w:rsid w:val="00443A7F"/>
    <w:rsid w:val="00443B0B"/>
    <w:rsid w:val="00443BF8"/>
    <w:rsid w:val="00443DF2"/>
    <w:rsid w:val="00443DF8"/>
    <w:rsid w:val="00444102"/>
    <w:rsid w:val="004442B5"/>
    <w:rsid w:val="0044470F"/>
    <w:rsid w:val="0044486C"/>
    <w:rsid w:val="004448A0"/>
    <w:rsid w:val="00444913"/>
    <w:rsid w:val="00444A92"/>
    <w:rsid w:val="00444B36"/>
    <w:rsid w:val="00445223"/>
    <w:rsid w:val="0044522C"/>
    <w:rsid w:val="0044538F"/>
    <w:rsid w:val="004454E8"/>
    <w:rsid w:val="004455D0"/>
    <w:rsid w:val="004456F6"/>
    <w:rsid w:val="00445C80"/>
    <w:rsid w:val="00446311"/>
    <w:rsid w:val="004463F2"/>
    <w:rsid w:val="00446413"/>
    <w:rsid w:val="004464C2"/>
    <w:rsid w:val="00446DFB"/>
    <w:rsid w:val="00447037"/>
    <w:rsid w:val="00447130"/>
    <w:rsid w:val="00447A72"/>
    <w:rsid w:val="00447CB7"/>
    <w:rsid w:val="00447DAD"/>
    <w:rsid w:val="00447F36"/>
    <w:rsid w:val="004510CF"/>
    <w:rsid w:val="0045124D"/>
    <w:rsid w:val="00451402"/>
    <w:rsid w:val="0045168C"/>
    <w:rsid w:val="0045184A"/>
    <w:rsid w:val="00451ABF"/>
    <w:rsid w:val="00451B9E"/>
    <w:rsid w:val="00451BC0"/>
    <w:rsid w:val="00451D3E"/>
    <w:rsid w:val="0045214E"/>
    <w:rsid w:val="00452201"/>
    <w:rsid w:val="004522C3"/>
    <w:rsid w:val="0045245B"/>
    <w:rsid w:val="00452ED4"/>
    <w:rsid w:val="00453223"/>
    <w:rsid w:val="0045330E"/>
    <w:rsid w:val="00453404"/>
    <w:rsid w:val="0045368B"/>
    <w:rsid w:val="00453ADF"/>
    <w:rsid w:val="00453D44"/>
    <w:rsid w:val="00453DE3"/>
    <w:rsid w:val="00453FF3"/>
    <w:rsid w:val="0045450E"/>
    <w:rsid w:val="00454596"/>
    <w:rsid w:val="00454764"/>
    <w:rsid w:val="00454B87"/>
    <w:rsid w:val="0045563E"/>
    <w:rsid w:val="004557FC"/>
    <w:rsid w:val="004558D8"/>
    <w:rsid w:val="0045605D"/>
    <w:rsid w:val="00456330"/>
    <w:rsid w:val="00456A16"/>
    <w:rsid w:val="00456AA7"/>
    <w:rsid w:val="0045732F"/>
    <w:rsid w:val="00457515"/>
    <w:rsid w:val="00457529"/>
    <w:rsid w:val="00457869"/>
    <w:rsid w:val="00457A2F"/>
    <w:rsid w:val="00457AA2"/>
    <w:rsid w:val="00457B7D"/>
    <w:rsid w:val="004601AF"/>
    <w:rsid w:val="00460474"/>
    <w:rsid w:val="00460BA6"/>
    <w:rsid w:val="00460E09"/>
    <w:rsid w:val="0046100A"/>
    <w:rsid w:val="0046131E"/>
    <w:rsid w:val="0046135B"/>
    <w:rsid w:val="00461551"/>
    <w:rsid w:val="00461654"/>
    <w:rsid w:val="00461B31"/>
    <w:rsid w:val="00461D47"/>
    <w:rsid w:val="00461D59"/>
    <w:rsid w:val="00461DB0"/>
    <w:rsid w:val="00461DBD"/>
    <w:rsid w:val="004620E2"/>
    <w:rsid w:val="00462775"/>
    <w:rsid w:val="00462A1A"/>
    <w:rsid w:val="00462C1E"/>
    <w:rsid w:val="00462EFF"/>
    <w:rsid w:val="00463159"/>
    <w:rsid w:val="00463D73"/>
    <w:rsid w:val="0046412B"/>
    <w:rsid w:val="00464890"/>
    <w:rsid w:val="00464C03"/>
    <w:rsid w:val="00464C80"/>
    <w:rsid w:val="00464E9E"/>
    <w:rsid w:val="00464F9E"/>
    <w:rsid w:val="0046541E"/>
    <w:rsid w:val="00465446"/>
    <w:rsid w:val="0046547E"/>
    <w:rsid w:val="004656BE"/>
    <w:rsid w:val="004658A9"/>
    <w:rsid w:val="0046599C"/>
    <w:rsid w:val="00465A6E"/>
    <w:rsid w:val="00466609"/>
    <w:rsid w:val="004666E8"/>
    <w:rsid w:val="00466728"/>
    <w:rsid w:val="004668BA"/>
    <w:rsid w:val="004668F4"/>
    <w:rsid w:val="00466D08"/>
    <w:rsid w:val="004674CE"/>
    <w:rsid w:val="00467DDD"/>
    <w:rsid w:val="00470F06"/>
    <w:rsid w:val="004714C1"/>
    <w:rsid w:val="004714E1"/>
    <w:rsid w:val="004715CB"/>
    <w:rsid w:val="004717D2"/>
    <w:rsid w:val="004718CC"/>
    <w:rsid w:val="00471A99"/>
    <w:rsid w:val="00471D9B"/>
    <w:rsid w:val="00471E21"/>
    <w:rsid w:val="0047213A"/>
    <w:rsid w:val="00472156"/>
    <w:rsid w:val="00472470"/>
    <w:rsid w:val="00472648"/>
    <w:rsid w:val="00472A5B"/>
    <w:rsid w:val="004735BD"/>
    <w:rsid w:val="00474238"/>
    <w:rsid w:val="00474882"/>
    <w:rsid w:val="004759AC"/>
    <w:rsid w:val="00475EBE"/>
    <w:rsid w:val="0047614B"/>
    <w:rsid w:val="004763C4"/>
    <w:rsid w:val="00476423"/>
    <w:rsid w:val="004764B2"/>
    <w:rsid w:val="004767FD"/>
    <w:rsid w:val="00476983"/>
    <w:rsid w:val="00476B29"/>
    <w:rsid w:val="00476DFE"/>
    <w:rsid w:val="00476E87"/>
    <w:rsid w:val="00477691"/>
    <w:rsid w:val="00477974"/>
    <w:rsid w:val="00480A1A"/>
    <w:rsid w:val="004811C8"/>
    <w:rsid w:val="00481695"/>
    <w:rsid w:val="0048182B"/>
    <w:rsid w:val="00481923"/>
    <w:rsid w:val="00481CE7"/>
    <w:rsid w:val="004824BA"/>
    <w:rsid w:val="00482855"/>
    <w:rsid w:val="00482DF2"/>
    <w:rsid w:val="00482EFA"/>
    <w:rsid w:val="00484C72"/>
    <w:rsid w:val="00485B2E"/>
    <w:rsid w:val="00485CBF"/>
    <w:rsid w:val="00485DC4"/>
    <w:rsid w:val="00485EE0"/>
    <w:rsid w:val="004860FD"/>
    <w:rsid w:val="00486161"/>
    <w:rsid w:val="00486248"/>
    <w:rsid w:val="0048669C"/>
    <w:rsid w:val="00486792"/>
    <w:rsid w:val="0048799C"/>
    <w:rsid w:val="00487D33"/>
    <w:rsid w:val="00490081"/>
    <w:rsid w:val="0049035C"/>
    <w:rsid w:val="004907D0"/>
    <w:rsid w:val="004908B8"/>
    <w:rsid w:val="004909BB"/>
    <w:rsid w:val="00491517"/>
    <w:rsid w:val="0049175B"/>
    <w:rsid w:val="004917FD"/>
    <w:rsid w:val="00491D7A"/>
    <w:rsid w:val="00491EA2"/>
    <w:rsid w:val="004922F1"/>
    <w:rsid w:val="0049254D"/>
    <w:rsid w:val="004925B1"/>
    <w:rsid w:val="00492644"/>
    <w:rsid w:val="00492A1F"/>
    <w:rsid w:val="00492CB2"/>
    <w:rsid w:val="00493691"/>
    <w:rsid w:val="00493699"/>
    <w:rsid w:val="004937EE"/>
    <w:rsid w:val="00493967"/>
    <w:rsid w:val="00493A09"/>
    <w:rsid w:val="00493AB6"/>
    <w:rsid w:val="00493E26"/>
    <w:rsid w:val="004942B1"/>
    <w:rsid w:val="0049454E"/>
    <w:rsid w:val="00494C7F"/>
    <w:rsid w:val="0049549D"/>
    <w:rsid w:val="00495571"/>
    <w:rsid w:val="00495A5D"/>
    <w:rsid w:val="00495A96"/>
    <w:rsid w:val="00495B5C"/>
    <w:rsid w:val="00495BB3"/>
    <w:rsid w:val="00495BFF"/>
    <w:rsid w:val="00496045"/>
    <w:rsid w:val="0049605E"/>
    <w:rsid w:val="004973A6"/>
    <w:rsid w:val="00497AA2"/>
    <w:rsid w:val="00497D61"/>
    <w:rsid w:val="00497DC7"/>
    <w:rsid w:val="00497ED6"/>
    <w:rsid w:val="00497F2E"/>
    <w:rsid w:val="004A01C6"/>
    <w:rsid w:val="004A0226"/>
    <w:rsid w:val="004A0614"/>
    <w:rsid w:val="004A061F"/>
    <w:rsid w:val="004A07D5"/>
    <w:rsid w:val="004A0A95"/>
    <w:rsid w:val="004A0E53"/>
    <w:rsid w:val="004A0E86"/>
    <w:rsid w:val="004A0F66"/>
    <w:rsid w:val="004A10AB"/>
    <w:rsid w:val="004A1193"/>
    <w:rsid w:val="004A1469"/>
    <w:rsid w:val="004A1FE1"/>
    <w:rsid w:val="004A22E0"/>
    <w:rsid w:val="004A24CD"/>
    <w:rsid w:val="004A28A9"/>
    <w:rsid w:val="004A2D5F"/>
    <w:rsid w:val="004A341B"/>
    <w:rsid w:val="004A34F9"/>
    <w:rsid w:val="004A3A2F"/>
    <w:rsid w:val="004A3E94"/>
    <w:rsid w:val="004A3FE4"/>
    <w:rsid w:val="004A43FD"/>
    <w:rsid w:val="004A4A0E"/>
    <w:rsid w:val="004A4BC1"/>
    <w:rsid w:val="004A4D4A"/>
    <w:rsid w:val="004A4E00"/>
    <w:rsid w:val="004A52B0"/>
    <w:rsid w:val="004A5410"/>
    <w:rsid w:val="004A5555"/>
    <w:rsid w:val="004A56BB"/>
    <w:rsid w:val="004A5DA2"/>
    <w:rsid w:val="004A5E49"/>
    <w:rsid w:val="004A61DF"/>
    <w:rsid w:val="004A62E2"/>
    <w:rsid w:val="004A67AC"/>
    <w:rsid w:val="004A6880"/>
    <w:rsid w:val="004A6C08"/>
    <w:rsid w:val="004A6DF7"/>
    <w:rsid w:val="004A6FE9"/>
    <w:rsid w:val="004A7007"/>
    <w:rsid w:val="004A70D6"/>
    <w:rsid w:val="004A7466"/>
    <w:rsid w:val="004A7C16"/>
    <w:rsid w:val="004B00F1"/>
    <w:rsid w:val="004B0886"/>
    <w:rsid w:val="004B1187"/>
    <w:rsid w:val="004B16F4"/>
    <w:rsid w:val="004B1751"/>
    <w:rsid w:val="004B1C4A"/>
    <w:rsid w:val="004B1C6B"/>
    <w:rsid w:val="004B1D8D"/>
    <w:rsid w:val="004B2BC0"/>
    <w:rsid w:val="004B34F1"/>
    <w:rsid w:val="004B359D"/>
    <w:rsid w:val="004B39F7"/>
    <w:rsid w:val="004B3B72"/>
    <w:rsid w:val="004B3C62"/>
    <w:rsid w:val="004B3FB8"/>
    <w:rsid w:val="004B42AB"/>
    <w:rsid w:val="004B448F"/>
    <w:rsid w:val="004B4588"/>
    <w:rsid w:val="004B4CE2"/>
    <w:rsid w:val="004B4F9D"/>
    <w:rsid w:val="004B546D"/>
    <w:rsid w:val="004B581A"/>
    <w:rsid w:val="004B58B1"/>
    <w:rsid w:val="004B5FFF"/>
    <w:rsid w:val="004B6113"/>
    <w:rsid w:val="004B61F9"/>
    <w:rsid w:val="004B6569"/>
    <w:rsid w:val="004B6602"/>
    <w:rsid w:val="004B6B70"/>
    <w:rsid w:val="004B740B"/>
    <w:rsid w:val="004B768D"/>
    <w:rsid w:val="004B797A"/>
    <w:rsid w:val="004B79F3"/>
    <w:rsid w:val="004B7B59"/>
    <w:rsid w:val="004B7F88"/>
    <w:rsid w:val="004C0220"/>
    <w:rsid w:val="004C0253"/>
    <w:rsid w:val="004C03F1"/>
    <w:rsid w:val="004C0889"/>
    <w:rsid w:val="004C08D2"/>
    <w:rsid w:val="004C0F11"/>
    <w:rsid w:val="004C126E"/>
    <w:rsid w:val="004C150E"/>
    <w:rsid w:val="004C16A9"/>
    <w:rsid w:val="004C1A3C"/>
    <w:rsid w:val="004C2025"/>
    <w:rsid w:val="004C202B"/>
    <w:rsid w:val="004C217D"/>
    <w:rsid w:val="004C2201"/>
    <w:rsid w:val="004C225C"/>
    <w:rsid w:val="004C2568"/>
    <w:rsid w:val="004C279B"/>
    <w:rsid w:val="004C28DB"/>
    <w:rsid w:val="004C2F0A"/>
    <w:rsid w:val="004C3524"/>
    <w:rsid w:val="004C39E2"/>
    <w:rsid w:val="004C3A9C"/>
    <w:rsid w:val="004C3DF5"/>
    <w:rsid w:val="004C3F54"/>
    <w:rsid w:val="004C429E"/>
    <w:rsid w:val="004C4621"/>
    <w:rsid w:val="004C46BF"/>
    <w:rsid w:val="004C4800"/>
    <w:rsid w:val="004C482E"/>
    <w:rsid w:val="004C4B63"/>
    <w:rsid w:val="004C4B64"/>
    <w:rsid w:val="004C4B7E"/>
    <w:rsid w:val="004C4BF3"/>
    <w:rsid w:val="004C4F3B"/>
    <w:rsid w:val="004C5033"/>
    <w:rsid w:val="004C5206"/>
    <w:rsid w:val="004C535E"/>
    <w:rsid w:val="004C540C"/>
    <w:rsid w:val="004C5B43"/>
    <w:rsid w:val="004C5CD4"/>
    <w:rsid w:val="004C5FBC"/>
    <w:rsid w:val="004C646D"/>
    <w:rsid w:val="004C6563"/>
    <w:rsid w:val="004C68D2"/>
    <w:rsid w:val="004C6BB0"/>
    <w:rsid w:val="004C6FF0"/>
    <w:rsid w:val="004C702B"/>
    <w:rsid w:val="004C7AA5"/>
    <w:rsid w:val="004C7C47"/>
    <w:rsid w:val="004C7E4A"/>
    <w:rsid w:val="004C7EDB"/>
    <w:rsid w:val="004C7EFD"/>
    <w:rsid w:val="004D0082"/>
    <w:rsid w:val="004D0A1B"/>
    <w:rsid w:val="004D106C"/>
    <w:rsid w:val="004D10A6"/>
    <w:rsid w:val="004D10C8"/>
    <w:rsid w:val="004D1164"/>
    <w:rsid w:val="004D12B6"/>
    <w:rsid w:val="004D15DF"/>
    <w:rsid w:val="004D16D1"/>
    <w:rsid w:val="004D16E9"/>
    <w:rsid w:val="004D16EC"/>
    <w:rsid w:val="004D17DD"/>
    <w:rsid w:val="004D1A81"/>
    <w:rsid w:val="004D1D91"/>
    <w:rsid w:val="004D1FDA"/>
    <w:rsid w:val="004D24BD"/>
    <w:rsid w:val="004D24E0"/>
    <w:rsid w:val="004D252B"/>
    <w:rsid w:val="004D2B99"/>
    <w:rsid w:val="004D2BEC"/>
    <w:rsid w:val="004D2CFB"/>
    <w:rsid w:val="004D2F67"/>
    <w:rsid w:val="004D3B48"/>
    <w:rsid w:val="004D3BF7"/>
    <w:rsid w:val="004D3DF1"/>
    <w:rsid w:val="004D3EBC"/>
    <w:rsid w:val="004D3F88"/>
    <w:rsid w:val="004D405F"/>
    <w:rsid w:val="004D40DE"/>
    <w:rsid w:val="004D40DF"/>
    <w:rsid w:val="004D43C4"/>
    <w:rsid w:val="004D474C"/>
    <w:rsid w:val="004D4812"/>
    <w:rsid w:val="004D4C55"/>
    <w:rsid w:val="004D559E"/>
    <w:rsid w:val="004D56FF"/>
    <w:rsid w:val="004D577F"/>
    <w:rsid w:val="004D5831"/>
    <w:rsid w:val="004D5AFB"/>
    <w:rsid w:val="004D5FB8"/>
    <w:rsid w:val="004D604D"/>
    <w:rsid w:val="004D60CC"/>
    <w:rsid w:val="004D6107"/>
    <w:rsid w:val="004D68AC"/>
    <w:rsid w:val="004D698C"/>
    <w:rsid w:val="004D6AC0"/>
    <w:rsid w:val="004D6BA0"/>
    <w:rsid w:val="004D6D11"/>
    <w:rsid w:val="004D75A1"/>
    <w:rsid w:val="004D764C"/>
    <w:rsid w:val="004D7BA5"/>
    <w:rsid w:val="004E0045"/>
    <w:rsid w:val="004E00DA"/>
    <w:rsid w:val="004E03BF"/>
    <w:rsid w:val="004E067C"/>
    <w:rsid w:val="004E0880"/>
    <w:rsid w:val="004E08D6"/>
    <w:rsid w:val="004E0937"/>
    <w:rsid w:val="004E117F"/>
    <w:rsid w:val="004E11C8"/>
    <w:rsid w:val="004E141E"/>
    <w:rsid w:val="004E1533"/>
    <w:rsid w:val="004E1896"/>
    <w:rsid w:val="004E1C15"/>
    <w:rsid w:val="004E2012"/>
    <w:rsid w:val="004E239C"/>
    <w:rsid w:val="004E24DE"/>
    <w:rsid w:val="004E25E8"/>
    <w:rsid w:val="004E273A"/>
    <w:rsid w:val="004E280B"/>
    <w:rsid w:val="004E28D8"/>
    <w:rsid w:val="004E29C6"/>
    <w:rsid w:val="004E2B74"/>
    <w:rsid w:val="004E2CBA"/>
    <w:rsid w:val="004E2EDC"/>
    <w:rsid w:val="004E30C2"/>
    <w:rsid w:val="004E35A9"/>
    <w:rsid w:val="004E363D"/>
    <w:rsid w:val="004E39D3"/>
    <w:rsid w:val="004E3BDA"/>
    <w:rsid w:val="004E406D"/>
    <w:rsid w:val="004E40B7"/>
    <w:rsid w:val="004E420D"/>
    <w:rsid w:val="004E425A"/>
    <w:rsid w:val="004E47DA"/>
    <w:rsid w:val="004E4865"/>
    <w:rsid w:val="004E48F1"/>
    <w:rsid w:val="004E4994"/>
    <w:rsid w:val="004E4BE8"/>
    <w:rsid w:val="004E4CDB"/>
    <w:rsid w:val="004E508A"/>
    <w:rsid w:val="004E545F"/>
    <w:rsid w:val="004E5977"/>
    <w:rsid w:val="004E599B"/>
    <w:rsid w:val="004E5D9E"/>
    <w:rsid w:val="004E5E3B"/>
    <w:rsid w:val="004E616D"/>
    <w:rsid w:val="004E6215"/>
    <w:rsid w:val="004E622A"/>
    <w:rsid w:val="004E64D7"/>
    <w:rsid w:val="004E6CFB"/>
    <w:rsid w:val="004E6DBF"/>
    <w:rsid w:val="004E721D"/>
    <w:rsid w:val="004E759C"/>
    <w:rsid w:val="004E75E2"/>
    <w:rsid w:val="004E7821"/>
    <w:rsid w:val="004F0201"/>
    <w:rsid w:val="004F020D"/>
    <w:rsid w:val="004F079E"/>
    <w:rsid w:val="004F0CA5"/>
    <w:rsid w:val="004F155D"/>
    <w:rsid w:val="004F181E"/>
    <w:rsid w:val="004F19D6"/>
    <w:rsid w:val="004F1BDE"/>
    <w:rsid w:val="004F1F86"/>
    <w:rsid w:val="004F297C"/>
    <w:rsid w:val="004F2B9D"/>
    <w:rsid w:val="004F2CEE"/>
    <w:rsid w:val="004F37A6"/>
    <w:rsid w:val="004F3EE8"/>
    <w:rsid w:val="004F418F"/>
    <w:rsid w:val="004F4453"/>
    <w:rsid w:val="004F4699"/>
    <w:rsid w:val="004F475C"/>
    <w:rsid w:val="004F4A88"/>
    <w:rsid w:val="004F4FCF"/>
    <w:rsid w:val="004F502B"/>
    <w:rsid w:val="004F5166"/>
    <w:rsid w:val="004F5183"/>
    <w:rsid w:val="004F5482"/>
    <w:rsid w:val="004F5526"/>
    <w:rsid w:val="004F556E"/>
    <w:rsid w:val="004F591C"/>
    <w:rsid w:val="004F5A7D"/>
    <w:rsid w:val="004F5AC3"/>
    <w:rsid w:val="004F5B55"/>
    <w:rsid w:val="004F5D93"/>
    <w:rsid w:val="004F5E59"/>
    <w:rsid w:val="004F61C7"/>
    <w:rsid w:val="004F621E"/>
    <w:rsid w:val="004F638A"/>
    <w:rsid w:val="004F6507"/>
    <w:rsid w:val="004F6536"/>
    <w:rsid w:val="004F65A7"/>
    <w:rsid w:val="004F65E1"/>
    <w:rsid w:val="004F6A36"/>
    <w:rsid w:val="004F725D"/>
    <w:rsid w:val="004F7349"/>
    <w:rsid w:val="004F769F"/>
    <w:rsid w:val="004F7BC2"/>
    <w:rsid w:val="004F7E07"/>
    <w:rsid w:val="004F7F44"/>
    <w:rsid w:val="005001D8"/>
    <w:rsid w:val="00500AF5"/>
    <w:rsid w:val="00500B28"/>
    <w:rsid w:val="00500D7D"/>
    <w:rsid w:val="005016CD"/>
    <w:rsid w:val="00501878"/>
    <w:rsid w:val="00501D59"/>
    <w:rsid w:val="00501E96"/>
    <w:rsid w:val="00502762"/>
    <w:rsid w:val="005028DE"/>
    <w:rsid w:val="0050293C"/>
    <w:rsid w:val="00502A98"/>
    <w:rsid w:val="00502D33"/>
    <w:rsid w:val="005034CD"/>
    <w:rsid w:val="005037B4"/>
    <w:rsid w:val="00503E35"/>
    <w:rsid w:val="00504B78"/>
    <w:rsid w:val="0050503D"/>
    <w:rsid w:val="00505684"/>
    <w:rsid w:val="00505926"/>
    <w:rsid w:val="00505DEB"/>
    <w:rsid w:val="00505E50"/>
    <w:rsid w:val="0050614B"/>
    <w:rsid w:val="0050665A"/>
    <w:rsid w:val="00506728"/>
    <w:rsid w:val="00506854"/>
    <w:rsid w:val="00506DCC"/>
    <w:rsid w:val="00506F49"/>
    <w:rsid w:val="00507231"/>
    <w:rsid w:val="00507469"/>
    <w:rsid w:val="00507776"/>
    <w:rsid w:val="0050796A"/>
    <w:rsid w:val="005079BF"/>
    <w:rsid w:val="00507A20"/>
    <w:rsid w:val="00507F93"/>
    <w:rsid w:val="00510244"/>
    <w:rsid w:val="00510317"/>
    <w:rsid w:val="005107D4"/>
    <w:rsid w:val="00510838"/>
    <w:rsid w:val="00510CE3"/>
    <w:rsid w:val="00510E25"/>
    <w:rsid w:val="00511350"/>
    <w:rsid w:val="005118BC"/>
    <w:rsid w:val="00511C3A"/>
    <w:rsid w:val="00511ED0"/>
    <w:rsid w:val="00511FDA"/>
    <w:rsid w:val="005120B5"/>
    <w:rsid w:val="005123A7"/>
    <w:rsid w:val="00512417"/>
    <w:rsid w:val="0051269A"/>
    <w:rsid w:val="0051273A"/>
    <w:rsid w:val="00512763"/>
    <w:rsid w:val="0051278F"/>
    <w:rsid w:val="00512AC8"/>
    <w:rsid w:val="00512AFC"/>
    <w:rsid w:val="00512BA9"/>
    <w:rsid w:val="0051337D"/>
    <w:rsid w:val="005135C3"/>
    <w:rsid w:val="00513614"/>
    <w:rsid w:val="005137D7"/>
    <w:rsid w:val="00513B77"/>
    <w:rsid w:val="00513FF4"/>
    <w:rsid w:val="00514184"/>
    <w:rsid w:val="00514382"/>
    <w:rsid w:val="005143E6"/>
    <w:rsid w:val="00514E0A"/>
    <w:rsid w:val="005154DB"/>
    <w:rsid w:val="0051576F"/>
    <w:rsid w:val="00515775"/>
    <w:rsid w:val="005157E2"/>
    <w:rsid w:val="005158BB"/>
    <w:rsid w:val="005159BF"/>
    <w:rsid w:val="00515DA5"/>
    <w:rsid w:val="00516757"/>
    <w:rsid w:val="00516C62"/>
    <w:rsid w:val="00516F89"/>
    <w:rsid w:val="00517341"/>
    <w:rsid w:val="00517450"/>
    <w:rsid w:val="005174D1"/>
    <w:rsid w:val="005177CA"/>
    <w:rsid w:val="00517826"/>
    <w:rsid w:val="00517895"/>
    <w:rsid w:val="00517AC1"/>
    <w:rsid w:val="00517E30"/>
    <w:rsid w:val="005203AA"/>
    <w:rsid w:val="00520A88"/>
    <w:rsid w:val="00520C7C"/>
    <w:rsid w:val="00520D85"/>
    <w:rsid w:val="0052101A"/>
    <w:rsid w:val="00521138"/>
    <w:rsid w:val="005213D5"/>
    <w:rsid w:val="005219E7"/>
    <w:rsid w:val="00521E02"/>
    <w:rsid w:val="00522340"/>
    <w:rsid w:val="005224A0"/>
    <w:rsid w:val="0052297B"/>
    <w:rsid w:val="005231B5"/>
    <w:rsid w:val="00523277"/>
    <w:rsid w:val="00523B92"/>
    <w:rsid w:val="00523F63"/>
    <w:rsid w:val="00524357"/>
    <w:rsid w:val="00524373"/>
    <w:rsid w:val="0052441F"/>
    <w:rsid w:val="0052486A"/>
    <w:rsid w:val="00524B98"/>
    <w:rsid w:val="00524D6C"/>
    <w:rsid w:val="00524E05"/>
    <w:rsid w:val="0052507E"/>
    <w:rsid w:val="005250C2"/>
    <w:rsid w:val="005255C2"/>
    <w:rsid w:val="00525732"/>
    <w:rsid w:val="00525756"/>
    <w:rsid w:val="00525832"/>
    <w:rsid w:val="0052595C"/>
    <w:rsid w:val="00525998"/>
    <w:rsid w:val="00525B3C"/>
    <w:rsid w:val="00525D66"/>
    <w:rsid w:val="00525F78"/>
    <w:rsid w:val="00526392"/>
    <w:rsid w:val="005268AB"/>
    <w:rsid w:val="00527172"/>
    <w:rsid w:val="0052721B"/>
    <w:rsid w:val="0052793C"/>
    <w:rsid w:val="005302F1"/>
    <w:rsid w:val="00530520"/>
    <w:rsid w:val="00530E1C"/>
    <w:rsid w:val="00530F9C"/>
    <w:rsid w:val="005311E2"/>
    <w:rsid w:val="005313A8"/>
    <w:rsid w:val="0053145E"/>
    <w:rsid w:val="00531765"/>
    <w:rsid w:val="00531794"/>
    <w:rsid w:val="00531B9A"/>
    <w:rsid w:val="00531D09"/>
    <w:rsid w:val="00531D15"/>
    <w:rsid w:val="00532101"/>
    <w:rsid w:val="005321C2"/>
    <w:rsid w:val="00532724"/>
    <w:rsid w:val="00532BEF"/>
    <w:rsid w:val="00532C6C"/>
    <w:rsid w:val="00532F37"/>
    <w:rsid w:val="00533495"/>
    <w:rsid w:val="00533934"/>
    <w:rsid w:val="00533ECD"/>
    <w:rsid w:val="00533F71"/>
    <w:rsid w:val="005340C8"/>
    <w:rsid w:val="00534A8E"/>
    <w:rsid w:val="00534EDE"/>
    <w:rsid w:val="00534F86"/>
    <w:rsid w:val="00535198"/>
    <w:rsid w:val="005351E4"/>
    <w:rsid w:val="00535AE5"/>
    <w:rsid w:val="00535EFE"/>
    <w:rsid w:val="00536174"/>
    <w:rsid w:val="005361D9"/>
    <w:rsid w:val="00536704"/>
    <w:rsid w:val="0053690B"/>
    <w:rsid w:val="00536986"/>
    <w:rsid w:val="00536A41"/>
    <w:rsid w:val="00536B42"/>
    <w:rsid w:val="00536C2C"/>
    <w:rsid w:val="00536E65"/>
    <w:rsid w:val="00537584"/>
    <w:rsid w:val="00537604"/>
    <w:rsid w:val="00537E35"/>
    <w:rsid w:val="00540016"/>
    <w:rsid w:val="005402ED"/>
    <w:rsid w:val="005405BE"/>
    <w:rsid w:val="00540691"/>
    <w:rsid w:val="00540692"/>
    <w:rsid w:val="00540932"/>
    <w:rsid w:val="005411AC"/>
    <w:rsid w:val="00541222"/>
    <w:rsid w:val="00541823"/>
    <w:rsid w:val="00541D1D"/>
    <w:rsid w:val="00541EFF"/>
    <w:rsid w:val="00542109"/>
    <w:rsid w:val="00542159"/>
    <w:rsid w:val="0054228A"/>
    <w:rsid w:val="00542377"/>
    <w:rsid w:val="00542481"/>
    <w:rsid w:val="0054289E"/>
    <w:rsid w:val="00542CAA"/>
    <w:rsid w:val="00542D4F"/>
    <w:rsid w:val="005432C7"/>
    <w:rsid w:val="00543C81"/>
    <w:rsid w:val="00543D16"/>
    <w:rsid w:val="005442F4"/>
    <w:rsid w:val="005446D0"/>
    <w:rsid w:val="005447F8"/>
    <w:rsid w:val="0054489D"/>
    <w:rsid w:val="00544AA3"/>
    <w:rsid w:val="00544EB3"/>
    <w:rsid w:val="0054529A"/>
    <w:rsid w:val="00545306"/>
    <w:rsid w:val="00545815"/>
    <w:rsid w:val="0054582F"/>
    <w:rsid w:val="00545975"/>
    <w:rsid w:val="005459C6"/>
    <w:rsid w:val="00545A8D"/>
    <w:rsid w:val="00545F30"/>
    <w:rsid w:val="005461C5"/>
    <w:rsid w:val="00546740"/>
    <w:rsid w:val="00546BFB"/>
    <w:rsid w:val="00546D1C"/>
    <w:rsid w:val="00546D41"/>
    <w:rsid w:val="005476EB"/>
    <w:rsid w:val="00547728"/>
    <w:rsid w:val="0054777A"/>
    <w:rsid w:val="005477EE"/>
    <w:rsid w:val="00547938"/>
    <w:rsid w:val="0055064B"/>
    <w:rsid w:val="00550C0A"/>
    <w:rsid w:val="00550CB0"/>
    <w:rsid w:val="00550FC5"/>
    <w:rsid w:val="0055126E"/>
    <w:rsid w:val="00551630"/>
    <w:rsid w:val="00551782"/>
    <w:rsid w:val="00551840"/>
    <w:rsid w:val="005518DD"/>
    <w:rsid w:val="0055196A"/>
    <w:rsid w:val="00551BAD"/>
    <w:rsid w:val="00551D7A"/>
    <w:rsid w:val="00551D7C"/>
    <w:rsid w:val="00551D8F"/>
    <w:rsid w:val="00552522"/>
    <w:rsid w:val="00552CA9"/>
    <w:rsid w:val="0055310C"/>
    <w:rsid w:val="00553669"/>
    <w:rsid w:val="005536AC"/>
    <w:rsid w:val="00553818"/>
    <w:rsid w:val="005539BA"/>
    <w:rsid w:val="00553CD0"/>
    <w:rsid w:val="00553F08"/>
    <w:rsid w:val="0055479E"/>
    <w:rsid w:val="005548AE"/>
    <w:rsid w:val="00554CBE"/>
    <w:rsid w:val="00555640"/>
    <w:rsid w:val="005556A0"/>
    <w:rsid w:val="0055591C"/>
    <w:rsid w:val="00555A90"/>
    <w:rsid w:val="00555D14"/>
    <w:rsid w:val="0055631A"/>
    <w:rsid w:val="0055650C"/>
    <w:rsid w:val="00556574"/>
    <w:rsid w:val="005568A3"/>
    <w:rsid w:val="00556977"/>
    <w:rsid w:val="00556CBF"/>
    <w:rsid w:val="00556D8E"/>
    <w:rsid w:val="00556EB3"/>
    <w:rsid w:val="00557093"/>
    <w:rsid w:val="00557AF3"/>
    <w:rsid w:val="00557BAC"/>
    <w:rsid w:val="00557DA0"/>
    <w:rsid w:val="00557FD8"/>
    <w:rsid w:val="005600DA"/>
    <w:rsid w:val="00560D19"/>
    <w:rsid w:val="00560F6A"/>
    <w:rsid w:val="005615A0"/>
    <w:rsid w:val="00561923"/>
    <w:rsid w:val="00561FBA"/>
    <w:rsid w:val="005620CF"/>
    <w:rsid w:val="00562140"/>
    <w:rsid w:val="00562878"/>
    <w:rsid w:val="00562D41"/>
    <w:rsid w:val="00562DF1"/>
    <w:rsid w:val="0056322D"/>
    <w:rsid w:val="0056328F"/>
    <w:rsid w:val="00563382"/>
    <w:rsid w:val="005634AA"/>
    <w:rsid w:val="0056357E"/>
    <w:rsid w:val="005637CB"/>
    <w:rsid w:val="00563836"/>
    <w:rsid w:val="00563B75"/>
    <w:rsid w:val="00563B9F"/>
    <w:rsid w:val="00563DBD"/>
    <w:rsid w:val="00563EF1"/>
    <w:rsid w:val="00564276"/>
    <w:rsid w:val="005642C4"/>
    <w:rsid w:val="0056455E"/>
    <w:rsid w:val="005649DA"/>
    <w:rsid w:val="005649FF"/>
    <w:rsid w:val="00564AE9"/>
    <w:rsid w:val="00564EB3"/>
    <w:rsid w:val="00564F63"/>
    <w:rsid w:val="0056515B"/>
    <w:rsid w:val="005654CB"/>
    <w:rsid w:val="005658DF"/>
    <w:rsid w:val="00565B20"/>
    <w:rsid w:val="00565C67"/>
    <w:rsid w:val="0056637E"/>
    <w:rsid w:val="00566531"/>
    <w:rsid w:val="0056696A"/>
    <w:rsid w:val="00566AB4"/>
    <w:rsid w:val="00566B9F"/>
    <w:rsid w:val="00566BB0"/>
    <w:rsid w:val="00566EB0"/>
    <w:rsid w:val="005672F3"/>
    <w:rsid w:val="00567663"/>
    <w:rsid w:val="005677B5"/>
    <w:rsid w:val="00567D66"/>
    <w:rsid w:val="00567EB2"/>
    <w:rsid w:val="00570176"/>
    <w:rsid w:val="005701AD"/>
    <w:rsid w:val="0057057C"/>
    <w:rsid w:val="00570B99"/>
    <w:rsid w:val="00571640"/>
    <w:rsid w:val="00571643"/>
    <w:rsid w:val="0057173B"/>
    <w:rsid w:val="0057176C"/>
    <w:rsid w:val="005718B3"/>
    <w:rsid w:val="00571AE6"/>
    <w:rsid w:val="00571E56"/>
    <w:rsid w:val="00571EC2"/>
    <w:rsid w:val="00572041"/>
    <w:rsid w:val="00572136"/>
    <w:rsid w:val="005721F3"/>
    <w:rsid w:val="005723AD"/>
    <w:rsid w:val="00572794"/>
    <w:rsid w:val="00572EC7"/>
    <w:rsid w:val="005733F0"/>
    <w:rsid w:val="00573567"/>
    <w:rsid w:val="005737E0"/>
    <w:rsid w:val="00573812"/>
    <w:rsid w:val="00573837"/>
    <w:rsid w:val="00573EB1"/>
    <w:rsid w:val="00574050"/>
    <w:rsid w:val="0057405B"/>
    <w:rsid w:val="005742E3"/>
    <w:rsid w:val="005743B3"/>
    <w:rsid w:val="00574537"/>
    <w:rsid w:val="005746C8"/>
    <w:rsid w:val="005746E0"/>
    <w:rsid w:val="00574715"/>
    <w:rsid w:val="0057471C"/>
    <w:rsid w:val="005749DD"/>
    <w:rsid w:val="005749EA"/>
    <w:rsid w:val="00574FBE"/>
    <w:rsid w:val="00575027"/>
    <w:rsid w:val="0057533A"/>
    <w:rsid w:val="0057540F"/>
    <w:rsid w:val="0057580F"/>
    <w:rsid w:val="00575A93"/>
    <w:rsid w:val="00575AC5"/>
    <w:rsid w:val="00575DD7"/>
    <w:rsid w:val="0057605D"/>
    <w:rsid w:val="0057607B"/>
    <w:rsid w:val="00576975"/>
    <w:rsid w:val="00576AC1"/>
    <w:rsid w:val="00576F48"/>
    <w:rsid w:val="0057726E"/>
    <w:rsid w:val="00577359"/>
    <w:rsid w:val="00577A84"/>
    <w:rsid w:val="00577DCA"/>
    <w:rsid w:val="0058002A"/>
    <w:rsid w:val="005800BA"/>
    <w:rsid w:val="005801F1"/>
    <w:rsid w:val="00580709"/>
    <w:rsid w:val="00580B67"/>
    <w:rsid w:val="00580E78"/>
    <w:rsid w:val="0058127B"/>
    <w:rsid w:val="00581347"/>
    <w:rsid w:val="00581805"/>
    <w:rsid w:val="00581AC9"/>
    <w:rsid w:val="00581B88"/>
    <w:rsid w:val="00582398"/>
    <w:rsid w:val="005823C0"/>
    <w:rsid w:val="005824E2"/>
    <w:rsid w:val="00582521"/>
    <w:rsid w:val="00583576"/>
    <w:rsid w:val="0058384B"/>
    <w:rsid w:val="00583AC5"/>
    <w:rsid w:val="00584878"/>
    <w:rsid w:val="0058499E"/>
    <w:rsid w:val="005849F8"/>
    <w:rsid w:val="00584D7E"/>
    <w:rsid w:val="00584DAD"/>
    <w:rsid w:val="00584F7C"/>
    <w:rsid w:val="005851D9"/>
    <w:rsid w:val="00585242"/>
    <w:rsid w:val="0058580D"/>
    <w:rsid w:val="00585EC4"/>
    <w:rsid w:val="00586183"/>
    <w:rsid w:val="005864FB"/>
    <w:rsid w:val="005868DD"/>
    <w:rsid w:val="00586BB2"/>
    <w:rsid w:val="00586FED"/>
    <w:rsid w:val="00587265"/>
    <w:rsid w:val="00587354"/>
    <w:rsid w:val="00587524"/>
    <w:rsid w:val="005878DD"/>
    <w:rsid w:val="00587B74"/>
    <w:rsid w:val="00587F13"/>
    <w:rsid w:val="00587FE7"/>
    <w:rsid w:val="005900E3"/>
    <w:rsid w:val="00590255"/>
    <w:rsid w:val="0059026D"/>
    <w:rsid w:val="0059037D"/>
    <w:rsid w:val="005903A9"/>
    <w:rsid w:val="005903D9"/>
    <w:rsid w:val="00590448"/>
    <w:rsid w:val="005905F6"/>
    <w:rsid w:val="0059089B"/>
    <w:rsid w:val="00590BD2"/>
    <w:rsid w:val="00591421"/>
    <w:rsid w:val="00591533"/>
    <w:rsid w:val="005920CA"/>
    <w:rsid w:val="00592233"/>
    <w:rsid w:val="00592779"/>
    <w:rsid w:val="00592B0F"/>
    <w:rsid w:val="00592C41"/>
    <w:rsid w:val="005938DF"/>
    <w:rsid w:val="005939B9"/>
    <w:rsid w:val="00593F79"/>
    <w:rsid w:val="00593FF5"/>
    <w:rsid w:val="00594373"/>
    <w:rsid w:val="0059474E"/>
    <w:rsid w:val="005947BD"/>
    <w:rsid w:val="00594E9C"/>
    <w:rsid w:val="00594F8E"/>
    <w:rsid w:val="00595303"/>
    <w:rsid w:val="00595504"/>
    <w:rsid w:val="00595C0A"/>
    <w:rsid w:val="00595EF3"/>
    <w:rsid w:val="00596534"/>
    <w:rsid w:val="00596815"/>
    <w:rsid w:val="00596B86"/>
    <w:rsid w:val="00596E06"/>
    <w:rsid w:val="00596F2C"/>
    <w:rsid w:val="0059703C"/>
    <w:rsid w:val="00597401"/>
    <w:rsid w:val="00597444"/>
    <w:rsid w:val="00597603"/>
    <w:rsid w:val="00597816"/>
    <w:rsid w:val="005A00C1"/>
    <w:rsid w:val="005A0358"/>
    <w:rsid w:val="005A035C"/>
    <w:rsid w:val="005A069F"/>
    <w:rsid w:val="005A0803"/>
    <w:rsid w:val="005A099B"/>
    <w:rsid w:val="005A0DFE"/>
    <w:rsid w:val="005A0EC5"/>
    <w:rsid w:val="005A186D"/>
    <w:rsid w:val="005A1C13"/>
    <w:rsid w:val="005A1F62"/>
    <w:rsid w:val="005A2083"/>
    <w:rsid w:val="005A210C"/>
    <w:rsid w:val="005A219D"/>
    <w:rsid w:val="005A22DC"/>
    <w:rsid w:val="005A259B"/>
    <w:rsid w:val="005A2A0C"/>
    <w:rsid w:val="005A2A34"/>
    <w:rsid w:val="005A2A81"/>
    <w:rsid w:val="005A2D9C"/>
    <w:rsid w:val="005A2EDC"/>
    <w:rsid w:val="005A2F4D"/>
    <w:rsid w:val="005A31DC"/>
    <w:rsid w:val="005A3223"/>
    <w:rsid w:val="005A3C12"/>
    <w:rsid w:val="005A3C9B"/>
    <w:rsid w:val="005A3D84"/>
    <w:rsid w:val="005A3D8E"/>
    <w:rsid w:val="005A40CC"/>
    <w:rsid w:val="005A4249"/>
    <w:rsid w:val="005A43C6"/>
    <w:rsid w:val="005A498E"/>
    <w:rsid w:val="005A4AEE"/>
    <w:rsid w:val="005A500F"/>
    <w:rsid w:val="005A50AC"/>
    <w:rsid w:val="005A53BB"/>
    <w:rsid w:val="005A5438"/>
    <w:rsid w:val="005A55FE"/>
    <w:rsid w:val="005A56D8"/>
    <w:rsid w:val="005A5C33"/>
    <w:rsid w:val="005A62AE"/>
    <w:rsid w:val="005A62DD"/>
    <w:rsid w:val="005A6955"/>
    <w:rsid w:val="005A6A11"/>
    <w:rsid w:val="005A6ADC"/>
    <w:rsid w:val="005A6EA9"/>
    <w:rsid w:val="005A72A9"/>
    <w:rsid w:val="005A7328"/>
    <w:rsid w:val="005A78ED"/>
    <w:rsid w:val="005A79E0"/>
    <w:rsid w:val="005A7ABA"/>
    <w:rsid w:val="005A7B40"/>
    <w:rsid w:val="005A7D20"/>
    <w:rsid w:val="005B03EB"/>
    <w:rsid w:val="005B058E"/>
    <w:rsid w:val="005B098E"/>
    <w:rsid w:val="005B0C5A"/>
    <w:rsid w:val="005B0EAB"/>
    <w:rsid w:val="005B1B0A"/>
    <w:rsid w:val="005B1B4D"/>
    <w:rsid w:val="005B1DCB"/>
    <w:rsid w:val="005B1FBE"/>
    <w:rsid w:val="005B230F"/>
    <w:rsid w:val="005B2339"/>
    <w:rsid w:val="005B27F4"/>
    <w:rsid w:val="005B2A22"/>
    <w:rsid w:val="005B2D18"/>
    <w:rsid w:val="005B2F0D"/>
    <w:rsid w:val="005B2FBD"/>
    <w:rsid w:val="005B31C9"/>
    <w:rsid w:val="005B3235"/>
    <w:rsid w:val="005B32F9"/>
    <w:rsid w:val="005B3576"/>
    <w:rsid w:val="005B36B2"/>
    <w:rsid w:val="005B3E50"/>
    <w:rsid w:val="005B3E87"/>
    <w:rsid w:val="005B414E"/>
    <w:rsid w:val="005B448B"/>
    <w:rsid w:val="005B45A2"/>
    <w:rsid w:val="005B47C3"/>
    <w:rsid w:val="005B4830"/>
    <w:rsid w:val="005B493E"/>
    <w:rsid w:val="005B4BD2"/>
    <w:rsid w:val="005B4CF3"/>
    <w:rsid w:val="005B4D49"/>
    <w:rsid w:val="005B54C4"/>
    <w:rsid w:val="005B571D"/>
    <w:rsid w:val="005B5948"/>
    <w:rsid w:val="005B597E"/>
    <w:rsid w:val="005B5AEF"/>
    <w:rsid w:val="005B5EF4"/>
    <w:rsid w:val="005B5F04"/>
    <w:rsid w:val="005B66DB"/>
    <w:rsid w:val="005B6BA1"/>
    <w:rsid w:val="005B6F5E"/>
    <w:rsid w:val="005B7324"/>
    <w:rsid w:val="005B7516"/>
    <w:rsid w:val="005B761D"/>
    <w:rsid w:val="005B77DA"/>
    <w:rsid w:val="005B77FC"/>
    <w:rsid w:val="005B7DEF"/>
    <w:rsid w:val="005C0021"/>
    <w:rsid w:val="005C04BA"/>
    <w:rsid w:val="005C0A43"/>
    <w:rsid w:val="005C0BC8"/>
    <w:rsid w:val="005C0D5A"/>
    <w:rsid w:val="005C1059"/>
    <w:rsid w:val="005C1CAA"/>
    <w:rsid w:val="005C209A"/>
    <w:rsid w:val="005C25F7"/>
    <w:rsid w:val="005C301F"/>
    <w:rsid w:val="005C339F"/>
    <w:rsid w:val="005C34EF"/>
    <w:rsid w:val="005C35FC"/>
    <w:rsid w:val="005C37D4"/>
    <w:rsid w:val="005C3FD7"/>
    <w:rsid w:val="005C44A1"/>
    <w:rsid w:val="005C44F0"/>
    <w:rsid w:val="005C4C28"/>
    <w:rsid w:val="005C4E00"/>
    <w:rsid w:val="005C4E10"/>
    <w:rsid w:val="005C4EE3"/>
    <w:rsid w:val="005C5554"/>
    <w:rsid w:val="005C5B1D"/>
    <w:rsid w:val="005C5C52"/>
    <w:rsid w:val="005C5DB9"/>
    <w:rsid w:val="005C5E2F"/>
    <w:rsid w:val="005C5EE9"/>
    <w:rsid w:val="005C6388"/>
    <w:rsid w:val="005C6AE2"/>
    <w:rsid w:val="005C6FCC"/>
    <w:rsid w:val="005C7377"/>
    <w:rsid w:val="005C757A"/>
    <w:rsid w:val="005C7AD1"/>
    <w:rsid w:val="005C7D72"/>
    <w:rsid w:val="005C7EBD"/>
    <w:rsid w:val="005D02DC"/>
    <w:rsid w:val="005D0685"/>
    <w:rsid w:val="005D094E"/>
    <w:rsid w:val="005D11D3"/>
    <w:rsid w:val="005D1382"/>
    <w:rsid w:val="005D1743"/>
    <w:rsid w:val="005D187F"/>
    <w:rsid w:val="005D20E3"/>
    <w:rsid w:val="005D2502"/>
    <w:rsid w:val="005D291D"/>
    <w:rsid w:val="005D2988"/>
    <w:rsid w:val="005D2A06"/>
    <w:rsid w:val="005D2AD2"/>
    <w:rsid w:val="005D2B2B"/>
    <w:rsid w:val="005D3023"/>
    <w:rsid w:val="005D31C4"/>
    <w:rsid w:val="005D3635"/>
    <w:rsid w:val="005D3651"/>
    <w:rsid w:val="005D386A"/>
    <w:rsid w:val="005D3C18"/>
    <w:rsid w:val="005D3CC8"/>
    <w:rsid w:val="005D3E47"/>
    <w:rsid w:val="005D3EC1"/>
    <w:rsid w:val="005D40BB"/>
    <w:rsid w:val="005D47F3"/>
    <w:rsid w:val="005D49BF"/>
    <w:rsid w:val="005D4AA5"/>
    <w:rsid w:val="005D4BE4"/>
    <w:rsid w:val="005D50E1"/>
    <w:rsid w:val="005D50F6"/>
    <w:rsid w:val="005D52C9"/>
    <w:rsid w:val="005D5B58"/>
    <w:rsid w:val="005D6280"/>
    <w:rsid w:val="005D62BA"/>
    <w:rsid w:val="005D6383"/>
    <w:rsid w:val="005D64A6"/>
    <w:rsid w:val="005D6627"/>
    <w:rsid w:val="005D68AD"/>
    <w:rsid w:val="005D69EF"/>
    <w:rsid w:val="005D6B79"/>
    <w:rsid w:val="005D6B7B"/>
    <w:rsid w:val="005D6CFB"/>
    <w:rsid w:val="005D6F4E"/>
    <w:rsid w:val="005D7259"/>
    <w:rsid w:val="005D72FE"/>
    <w:rsid w:val="005D779F"/>
    <w:rsid w:val="005D7C73"/>
    <w:rsid w:val="005D7CF2"/>
    <w:rsid w:val="005D7FC3"/>
    <w:rsid w:val="005E0611"/>
    <w:rsid w:val="005E09CA"/>
    <w:rsid w:val="005E120D"/>
    <w:rsid w:val="005E151E"/>
    <w:rsid w:val="005E1622"/>
    <w:rsid w:val="005E173A"/>
    <w:rsid w:val="005E1919"/>
    <w:rsid w:val="005E1FB2"/>
    <w:rsid w:val="005E238F"/>
    <w:rsid w:val="005E250B"/>
    <w:rsid w:val="005E276E"/>
    <w:rsid w:val="005E29C8"/>
    <w:rsid w:val="005E2F05"/>
    <w:rsid w:val="005E2F84"/>
    <w:rsid w:val="005E310D"/>
    <w:rsid w:val="005E3349"/>
    <w:rsid w:val="005E3543"/>
    <w:rsid w:val="005E35E6"/>
    <w:rsid w:val="005E38F2"/>
    <w:rsid w:val="005E3ACD"/>
    <w:rsid w:val="005E44AA"/>
    <w:rsid w:val="005E4561"/>
    <w:rsid w:val="005E469F"/>
    <w:rsid w:val="005E47CC"/>
    <w:rsid w:val="005E48DB"/>
    <w:rsid w:val="005E4BD3"/>
    <w:rsid w:val="005E4CFF"/>
    <w:rsid w:val="005E4E77"/>
    <w:rsid w:val="005E5099"/>
    <w:rsid w:val="005E5450"/>
    <w:rsid w:val="005E5672"/>
    <w:rsid w:val="005E5AAE"/>
    <w:rsid w:val="005E5B79"/>
    <w:rsid w:val="005E5CC2"/>
    <w:rsid w:val="005E5FCD"/>
    <w:rsid w:val="005E5FFF"/>
    <w:rsid w:val="005E6F3B"/>
    <w:rsid w:val="005E713C"/>
    <w:rsid w:val="005E7226"/>
    <w:rsid w:val="005E74C7"/>
    <w:rsid w:val="005E753A"/>
    <w:rsid w:val="005E7A57"/>
    <w:rsid w:val="005E7A9F"/>
    <w:rsid w:val="005E7B5C"/>
    <w:rsid w:val="005E7B91"/>
    <w:rsid w:val="005E7BB2"/>
    <w:rsid w:val="005E7D9B"/>
    <w:rsid w:val="005F079B"/>
    <w:rsid w:val="005F0D62"/>
    <w:rsid w:val="005F0E04"/>
    <w:rsid w:val="005F0E22"/>
    <w:rsid w:val="005F1127"/>
    <w:rsid w:val="005F15F7"/>
    <w:rsid w:val="005F1606"/>
    <w:rsid w:val="005F16C7"/>
    <w:rsid w:val="005F179F"/>
    <w:rsid w:val="005F22F5"/>
    <w:rsid w:val="005F24B0"/>
    <w:rsid w:val="005F25EC"/>
    <w:rsid w:val="005F2684"/>
    <w:rsid w:val="005F2852"/>
    <w:rsid w:val="005F2853"/>
    <w:rsid w:val="005F2B0D"/>
    <w:rsid w:val="005F3185"/>
    <w:rsid w:val="005F32AB"/>
    <w:rsid w:val="005F32DC"/>
    <w:rsid w:val="005F3351"/>
    <w:rsid w:val="005F33C0"/>
    <w:rsid w:val="005F3449"/>
    <w:rsid w:val="005F382F"/>
    <w:rsid w:val="005F3936"/>
    <w:rsid w:val="005F39FD"/>
    <w:rsid w:val="005F3CD5"/>
    <w:rsid w:val="005F483F"/>
    <w:rsid w:val="005F5549"/>
    <w:rsid w:val="005F573E"/>
    <w:rsid w:val="005F5916"/>
    <w:rsid w:val="005F5956"/>
    <w:rsid w:val="005F5B3C"/>
    <w:rsid w:val="005F5D73"/>
    <w:rsid w:val="005F6BF9"/>
    <w:rsid w:val="005F6CEF"/>
    <w:rsid w:val="005F6D7E"/>
    <w:rsid w:val="005F6FF1"/>
    <w:rsid w:val="005F7318"/>
    <w:rsid w:val="005F75B3"/>
    <w:rsid w:val="005F75E1"/>
    <w:rsid w:val="005F7671"/>
    <w:rsid w:val="005F7A3D"/>
    <w:rsid w:val="005F7AAD"/>
    <w:rsid w:val="005F7B57"/>
    <w:rsid w:val="005F7D85"/>
    <w:rsid w:val="006001CF"/>
    <w:rsid w:val="006005C7"/>
    <w:rsid w:val="00601B62"/>
    <w:rsid w:val="00601BBD"/>
    <w:rsid w:val="00602775"/>
    <w:rsid w:val="00602860"/>
    <w:rsid w:val="00602B6B"/>
    <w:rsid w:val="00602C1A"/>
    <w:rsid w:val="00603015"/>
    <w:rsid w:val="00603420"/>
    <w:rsid w:val="00603A69"/>
    <w:rsid w:val="00603EB2"/>
    <w:rsid w:val="00603F87"/>
    <w:rsid w:val="00604239"/>
    <w:rsid w:val="006042DA"/>
    <w:rsid w:val="00604315"/>
    <w:rsid w:val="0060447E"/>
    <w:rsid w:val="006045CD"/>
    <w:rsid w:val="006046DF"/>
    <w:rsid w:val="00604B4B"/>
    <w:rsid w:val="00604C16"/>
    <w:rsid w:val="00604E26"/>
    <w:rsid w:val="00604EAD"/>
    <w:rsid w:val="0060523F"/>
    <w:rsid w:val="00605242"/>
    <w:rsid w:val="006052CF"/>
    <w:rsid w:val="00605911"/>
    <w:rsid w:val="006059CD"/>
    <w:rsid w:val="00605A1E"/>
    <w:rsid w:val="00605E69"/>
    <w:rsid w:val="00605F2F"/>
    <w:rsid w:val="006068ED"/>
    <w:rsid w:val="006069A5"/>
    <w:rsid w:val="00606C5C"/>
    <w:rsid w:val="00606F14"/>
    <w:rsid w:val="006071A4"/>
    <w:rsid w:val="00607384"/>
    <w:rsid w:val="00607441"/>
    <w:rsid w:val="00607B8D"/>
    <w:rsid w:val="00607C99"/>
    <w:rsid w:val="0061026F"/>
    <w:rsid w:val="00610325"/>
    <w:rsid w:val="0061061F"/>
    <w:rsid w:val="00610C97"/>
    <w:rsid w:val="00610CF3"/>
    <w:rsid w:val="00610F22"/>
    <w:rsid w:val="006111B5"/>
    <w:rsid w:val="00611A76"/>
    <w:rsid w:val="00611D81"/>
    <w:rsid w:val="00611F5C"/>
    <w:rsid w:val="00612017"/>
    <w:rsid w:val="0061215B"/>
    <w:rsid w:val="006128D1"/>
    <w:rsid w:val="00612D7E"/>
    <w:rsid w:val="0061321F"/>
    <w:rsid w:val="00613435"/>
    <w:rsid w:val="006135EB"/>
    <w:rsid w:val="0061383C"/>
    <w:rsid w:val="006139B2"/>
    <w:rsid w:val="00613B32"/>
    <w:rsid w:val="00613BFE"/>
    <w:rsid w:val="00613C95"/>
    <w:rsid w:val="00613E11"/>
    <w:rsid w:val="00614691"/>
    <w:rsid w:val="006146AF"/>
    <w:rsid w:val="0061476A"/>
    <w:rsid w:val="00614AC5"/>
    <w:rsid w:val="0061501C"/>
    <w:rsid w:val="00615106"/>
    <w:rsid w:val="006151BC"/>
    <w:rsid w:val="006151CF"/>
    <w:rsid w:val="006153D8"/>
    <w:rsid w:val="006156D8"/>
    <w:rsid w:val="00615929"/>
    <w:rsid w:val="00615F4C"/>
    <w:rsid w:val="006160ED"/>
    <w:rsid w:val="006161FB"/>
    <w:rsid w:val="00616A21"/>
    <w:rsid w:val="00616BBE"/>
    <w:rsid w:val="00616E09"/>
    <w:rsid w:val="00616EF7"/>
    <w:rsid w:val="00617696"/>
    <w:rsid w:val="0061785A"/>
    <w:rsid w:val="006178DA"/>
    <w:rsid w:val="00617A7B"/>
    <w:rsid w:val="00617C1F"/>
    <w:rsid w:val="00620309"/>
    <w:rsid w:val="00620648"/>
    <w:rsid w:val="00620691"/>
    <w:rsid w:val="00620B86"/>
    <w:rsid w:val="00620DB7"/>
    <w:rsid w:val="0062205A"/>
    <w:rsid w:val="00622830"/>
    <w:rsid w:val="00622A3B"/>
    <w:rsid w:val="00622AE0"/>
    <w:rsid w:val="00622EEA"/>
    <w:rsid w:val="00623462"/>
    <w:rsid w:val="006237A4"/>
    <w:rsid w:val="0062396C"/>
    <w:rsid w:val="00623CAB"/>
    <w:rsid w:val="00623DDF"/>
    <w:rsid w:val="00623FA6"/>
    <w:rsid w:val="00623FF9"/>
    <w:rsid w:val="00624A40"/>
    <w:rsid w:val="00624C96"/>
    <w:rsid w:val="00624D4B"/>
    <w:rsid w:val="006252E3"/>
    <w:rsid w:val="0062620E"/>
    <w:rsid w:val="006266C6"/>
    <w:rsid w:val="00626969"/>
    <w:rsid w:val="00626AF8"/>
    <w:rsid w:val="00627289"/>
    <w:rsid w:val="0062738A"/>
    <w:rsid w:val="00627698"/>
    <w:rsid w:val="00627793"/>
    <w:rsid w:val="006278E5"/>
    <w:rsid w:val="00627B4A"/>
    <w:rsid w:val="00627D4E"/>
    <w:rsid w:val="006307C1"/>
    <w:rsid w:val="0063090F"/>
    <w:rsid w:val="00630C4C"/>
    <w:rsid w:val="00631266"/>
    <w:rsid w:val="00631421"/>
    <w:rsid w:val="006317C2"/>
    <w:rsid w:val="00631DDA"/>
    <w:rsid w:val="006325F1"/>
    <w:rsid w:val="006327AF"/>
    <w:rsid w:val="00632B89"/>
    <w:rsid w:val="00632F24"/>
    <w:rsid w:val="00633073"/>
    <w:rsid w:val="0063346D"/>
    <w:rsid w:val="00633759"/>
    <w:rsid w:val="00633802"/>
    <w:rsid w:val="00633CD5"/>
    <w:rsid w:val="00633E1A"/>
    <w:rsid w:val="00634478"/>
    <w:rsid w:val="006347D8"/>
    <w:rsid w:val="00635047"/>
    <w:rsid w:val="00635398"/>
    <w:rsid w:val="006358A8"/>
    <w:rsid w:val="00635B1A"/>
    <w:rsid w:val="00635C01"/>
    <w:rsid w:val="00635D76"/>
    <w:rsid w:val="00635E47"/>
    <w:rsid w:val="006360FF"/>
    <w:rsid w:val="006361D5"/>
    <w:rsid w:val="00636460"/>
    <w:rsid w:val="0063674D"/>
    <w:rsid w:val="006367DC"/>
    <w:rsid w:val="00636D5E"/>
    <w:rsid w:val="00636D73"/>
    <w:rsid w:val="00636D77"/>
    <w:rsid w:val="00637014"/>
    <w:rsid w:val="00637665"/>
    <w:rsid w:val="00637904"/>
    <w:rsid w:val="00637EEC"/>
    <w:rsid w:val="00640090"/>
    <w:rsid w:val="006402B1"/>
    <w:rsid w:val="00640CE1"/>
    <w:rsid w:val="00641414"/>
    <w:rsid w:val="0064157C"/>
    <w:rsid w:val="00641A38"/>
    <w:rsid w:val="00642B00"/>
    <w:rsid w:val="00642E1A"/>
    <w:rsid w:val="00642F19"/>
    <w:rsid w:val="0064330C"/>
    <w:rsid w:val="00643462"/>
    <w:rsid w:val="006436E6"/>
    <w:rsid w:val="00643AEB"/>
    <w:rsid w:val="00643C51"/>
    <w:rsid w:val="00644373"/>
    <w:rsid w:val="006444AB"/>
    <w:rsid w:val="00644867"/>
    <w:rsid w:val="00644905"/>
    <w:rsid w:val="00644E5F"/>
    <w:rsid w:val="00644FDA"/>
    <w:rsid w:val="00645225"/>
    <w:rsid w:val="00645261"/>
    <w:rsid w:val="00645318"/>
    <w:rsid w:val="00645376"/>
    <w:rsid w:val="0064558D"/>
    <w:rsid w:val="00645915"/>
    <w:rsid w:val="00645C37"/>
    <w:rsid w:val="00645EDD"/>
    <w:rsid w:val="006460AE"/>
    <w:rsid w:val="00646231"/>
    <w:rsid w:val="00646261"/>
    <w:rsid w:val="0064673C"/>
    <w:rsid w:val="00646B0D"/>
    <w:rsid w:val="00646B18"/>
    <w:rsid w:val="00646CC4"/>
    <w:rsid w:val="00647408"/>
    <w:rsid w:val="006477D7"/>
    <w:rsid w:val="00647D3B"/>
    <w:rsid w:val="00647D8D"/>
    <w:rsid w:val="00650186"/>
    <w:rsid w:val="0065037A"/>
    <w:rsid w:val="00650A10"/>
    <w:rsid w:val="00650C85"/>
    <w:rsid w:val="00651743"/>
    <w:rsid w:val="006519C3"/>
    <w:rsid w:val="00651DDE"/>
    <w:rsid w:val="00651DEF"/>
    <w:rsid w:val="006522DF"/>
    <w:rsid w:val="006529C1"/>
    <w:rsid w:val="00652A37"/>
    <w:rsid w:val="00652B22"/>
    <w:rsid w:val="00652B30"/>
    <w:rsid w:val="00653716"/>
    <w:rsid w:val="0065384D"/>
    <w:rsid w:val="00653C16"/>
    <w:rsid w:val="00654122"/>
    <w:rsid w:val="0065424A"/>
    <w:rsid w:val="006542E6"/>
    <w:rsid w:val="006543F9"/>
    <w:rsid w:val="00654485"/>
    <w:rsid w:val="00654526"/>
    <w:rsid w:val="0065479F"/>
    <w:rsid w:val="00654862"/>
    <w:rsid w:val="00654BED"/>
    <w:rsid w:val="00656092"/>
    <w:rsid w:val="00656204"/>
    <w:rsid w:val="00656345"/>
    <w:rsid w:val="006564C8"/>
    <w:rsid w:val="006568CD"/>
    <w:rsid w:val="00656DC6"/>
    <w:rsid w:val="0065744D"/>
    <w:rsid w:val="0065781E"/>
    <w:rsid w:val="00657BA3"/>
    <w:rsid w:val="00657D37"/>
    <w:rsid w:val="00657DC2"/>
    <w:rsid w:val="0066024E"/>
    <w:rsid w:val="0066025E"/>
    <w:rsid w:val="006604E3"/>
    <w:rsid w:val="00660EC6"/>
    <w:rsid w:val="00660F98"/>
    <w:rsid w:val="0066100E"/>
    <w:rsid w:val="0066101D"/>
    <w:rsid w:val="00661020"/>
    <w:rsid w:val="006611FF"/>
    <w:rsid w:val="006613C5"/>
    <w:rsid w:val="00661951"/>
    <w:rsid w:val="00661C84"/>
    <w:rsid w:val="00662056"/>
    <w:rsid w:val="006621EB"/>
    <w:rsid w:val="00662B0D"/>
    <w:rsid w:val="00662F8F"/>
    <w:rsid w:val="006631A7"/>
    <w:rsid w:val="00663288"/>
    <w:rsid w:val="00663793"/>
    <w:rsid w:val="006638DC"/>
    <w:rsid w:val="006639CF"/>
    <w:rsid w:val="00663EB2"/>
    <w:rsid w:val="00664110"/>
    <w:rsid w:val="00664176"/>
    <w:rsid w:val="0066450F"/>
    <w:rsid w:val="0066469C"/>
    <w:rsid w:val="0066474D"/>
    <w:rsid w:val="006648E0"/>
    <w:rsid w:val="00664B44"/>
    <w:rsid w:val="00664D17"/>
    <w:rsid w:val="00664ECE"/>
    <w:rsid w:val="00664F4D"/>
    <w:rsid w:val="00665255"/>
    <w:rsid w:val="00665730"/>
    <w:rsid w:val="00665CC2"/>
    <w:rsid w:val="006661E6"/>
    <w:rsid w:val="0066631E"/>
    <w:rsid w:val="00666520"/>
    <w:rsid w:val="006668C8"/>
    <w:rsid w:val="00667081"/>
    <w:rsid w:val="0066711B"/>
    <w:rsid w:val="00667C5B"/>
    <w:rsid w:val="00667C7A"/>
    <w:rsid w:val="00670385"/>
    <w:rsid w:val="00670637"/>
    <w:rsid w:val="00670834"/>
    <w:rsid w:val="006708FF"/>
    <w:rsid w:val="0067094C"/>
    <w:rsid w:val="006709E3"/>
    <w:rsid w:val="00670BCD"/>
    <w:rsid w:val="00670FB6"/>
    <w:rsid w:val="006710D8"/>
    <w:rsid w:val="006718D1"/>
    <w:rsid w:val="00671928"/>
    <w:rsid w:val="00671B3A"/>
    <w:rsid w:val="00671CE6"/>
    <w:rsid w:val="00671D6E"/>
    <w:rsid w:val="006728AF"/>
    <w:rsid w:val="00672B76"/>
    <w:rsid w:val="0067353B"/>
    <w:rsid w:val="00673578"/>
    <w:rsid w:val="0067390A"/>
    <w:rsid w:val="00674649"/>
    <w:rsid w:val="00674B47"/>
    <w:rsid w:val="00674C98"/>
    <w:rsid w:val="00674E01"/>
    <w:rsid w:val="00674E5E"/>
    <w:rsid w:val="006752A3"/>
    <w:rsid w:val="006757A2"/>
    <w:rsid w:val="00675CFD"/>
    <w:rsid w:val="006761E3"/>
    <w:rsid w:val="00676264"/>
    <w:rsid w:val="00676C23"/>
    <w:rsid w:val="00676D98"/>
    <w:rsid w:val="006771AB"/>
    <w:rsid w:val="0067723C"/>
    <w:rsid w:val="0067759E"/>
    <w:rsid w:val="0067782F"/>
    <w:rsid w:val="00677839"/>
    <w:rsid w:val="00677B50"/>
    <w:rsid w:val="0068019A"/>
    <w:rsid w:val="00680224"/>
    <w:rsid w:val="006804A2"/>
    <w:rsid w:val="00680CFE"/>
    <w:rsid w:val="00680D6E"/>
    <w:rsid w:val="00680E5C"/>
    <w:rsid w:val="00680E75"/>
    <w:rsid w:val="00681B46"/>
    <w:rsid w:val="006827CC"/>
    <w:rsid w:val="00682898"/>
    <w:rsid w:val="00682BB0"/>
    <w:rsid w:val="006834C3"/>
    <w:rsid w:val="0068365E"/>
    <w:rsid w:val="006838C6"/>
    <w:rsid w:val="00683BA0"/>
    <w:rsid w:val="00683F2A"/>
    <w:rsid w:val="0068401D"/>
    <w:rsid w:val="006846CC"/>
    <w:rsid w:val="00684700"/>
    <w:rsid w:val="006848A2"/>
    <w:rsid w:val="00684987"/>
    <w:rsid w:val="0068585C"/>
    <w:rsid w:val="006860F3"/>
    <w:rsid w:val="006862C9"/>
    <w:rsid w:val="00686546"/>
    <w:rsid w:val="00686571"/>
    <w:rsid w:val="006866A2"/>
    <w:rsid w:val="0068687D"/>
    <w:rsid w:val="00686D56"/>
    <w:rsid w:val="00686FA3"/>
    <w:rsid w:val="00687087"/>
    <w:rsid w:val="00687200"/>
    <w:rsid w:val="00687292"/>
    <w:rsid w:val="00687A1D"/>
    <w:rsid w:val="00687A53"/>
    <w:rsid w:val="00687A9E"/>
    <w:rsid w:val="00687B3C"/>
    <w:rsid w:val="00687B7D"/>
    <w:rsid w:val="00690D2A"/>
    <w:rsid w:val="0069117B"/>
    <w:rsid w:val="0069123A"/>
    <w:rsid w:val="00691250"/>
    <w:rsid w:val="00691322"/>
    <w:rsid w:val="006914C8"/>
    <w:rsid w:val="00691A1B"/>
    <w:rsid w:val="00691EB8"/>
    <w:rsid w:val="00691F8A"/>
    <w:rsid w:val="006922B2"/>
    <w:rsid w:val="00692460"/>
    <w:rsid w:val="006928E0"/>
    <w:rsid w:val="00692900"/>
    <w:rsid w:val="00692A92"/>
    <w:rsid w:val="00692C26"/>
    <w:rsid w:val="00692CDE"/>
    <w:rsid w:val="00692D3C"/>
    <w:rsid w:val="00692E0B"/>
    <w:rsid w:val="00693007"/>
    <w:rsid w:val="00693073"/>
    <w:rsid w:val="00693113"/>
    <w:rsid w:val="006934D7"/>
    <w:rsid w:val="006935B0"/>
    <w:rsid w:val="00693AC1"/>
    <w:rsid w:val="00693D2B"/>
    <w:rsid w:val="00694B1E"/>
    <w:rsid w:val="00694D17"/>
    <w:rsid w:val="00695016"/>
    <w:rsid w:val="00695478"/>
    <w:rsid w:val="00695567"/>
    <w:rsid w:val="00695647"/>
    <w:rsid w:val="006957BA"/>
    <w:rsid w:val="006957C4"/>
    <w:rsid w:val="00695E2E"/>
    <w:rsid w:val="0069612F"/>
    <w:rsid w:val="006963BE"/>
    <w:rsid w:val="006965FD"/>
    <w:rsid w:val="00696600"/>
    <w:rsid w:val="00696672"/>
    <w:rsid w:val="0069696E"/>
    <w:rsid w:val="00696EF1"/>
    <w:rsid w:val="00697201"/>
    <w:rsid w:val="006977FF"/>
    <w:rsid w:val="00697896"/>
    <w:rsid w:val="00697A37"/>
    <w:rsid w:val="00697F25"/>
    <w:rsid w:val="00697FF2"/>
    <w:rsid w:val="006A0153"/>
    <w:rsid w:val="006A01FA"/>
    <w:rsid w:val="006A0325"/>
    <w:rsid w:val="006A05DA"/>
    <w:rsid w:val="006A07E1"/>
    <w:rsid w:val="006A0921"/>
    <w:rsid w:val="006A0A02"/>
    <w:rsid w:val="006A0E9E"/>
    <w:rsid w:val="006A127F"/>
    <w:rsid w:val="006A12C2"/>
    <w:rsid w:val="006A16D3"/>
    <w:rsid w:val="006A1990"/>
    <w:rsid w:val="006A21FB"/>
    <w:rsid w:val="006A25C7"/>
    <w:rsid w:val="006A292A"/>
    <w:rsid w:val="006A2EBE"/>
    <w:rsid w:val="006A30AD"/>
    <w:rsid w:val="006A315C"/>
    <w:rsid w:val="006A31F1"/>
    <w:rsid w:val="006A3465"/>
    <w:rsid w:val="006A35E8"/>
    <w:rsid w:val="006A397B"/>
    <w:rsid w:val="006A3AE8"/>
    <w:rsid w:val="006A3D19"/>
    <w:rsid w:val="006A4358"/>
    <w:rsid w:val="006A4551"/>
    <w:rsid w:val="006A480D"/>
    <w:rsid w:val="006A4868"/>
    <w:rsid w:val="006A4A44"/>
    <w:rsid w:val="006A4A53"/>
    <w:rsid w:val="006A4A5E"/>
    <w:rsid w:val="006A4AAD"/>
    <w:rsid w:val="006A4CCA"/>
    <w:rsid w:val="006A4D98"/>
    <w:rsid w:val="006A4F46"/>
    <w:rsid w:val="006A5476"/>
    <w:rsid w:val="006A5770"/>
    <w:rsid w:val="006A578F"/>
    <w:rsid w:val="006A5D6A"/>
    <w:rsid w:val="006A5E64"/>
    <w:rsid w:val="006A5E68"/>
    <w:rsid w:val="006A5F72"/>
    <w:rsid w:val="006A634E"/>
    <w:rsid w:val="006A6409"/>
    <w:rsid w:val="006A645C"/>
    <w:rsid w:val="006A654B"/>
    <w:rsid w:val="006A65A1"/>
    <w:rsid w:val="006A6BB4"/>
    <w:rsid w:val="006A6DA2"/>
    <w:rsid w:val="006A6FBB"/>
    <w:rsid w:val="006A7051"/>
    <w:rsid w:val="006A73A4"/>
    <w:rsid w:val="006A74CC"/>
    <w:rsid w:val="006A7557"/>
    <w:rsid w:val="006A79FA"/>
    <w:rsid w:val="006A7AB2"/>
    <w:rsid w:val="006A7DE4"/>
    <w:rsid w:val="006A7E76"/>
    <w:rsid w:val="006A7F25"/>
    <w:rsid w:val="006B0A8C"/>
    <w:rsid w:val="006B0C27"/>
    <w:rsid w:val="006B0F5D"/>
    <w:rsid w:val="006B12C5"/>
    <w:rsid w:val="006B1320"/>
    <w:rsid w:val="006B17A4"/>
    <w:rsid w:val="006B1F85"/>
    <w:rsid w:val="006B219E"/>
    <w:rsid w:val="006B21B7"/>
    <w:rsid w:val="006B234B"/>
    <w:rsid w:val="006B23C1"/>
    <w:rsid w:val="006B2A0B"/>
    <w:rsid w:val="006B32C4"/>
    <w:rsid w:val="006B3513"/>
    <w:rsid w:val="006B3FAA"/>
    <w:rsid w:val="006B424F"/>
    <w:rsid w:val="006B4265"/>
    <w:rsid w:val="006B471E"/>
    <w:rsid w:val="006B48FA"/>
    <w:rsid w:val="006B4961"/>
    <w:rsid w:val="006B4B4D"/>
    <w:rsid w:val="006B4CEA"/>
    <w:rsid w:val="006B4E2A"/>
    <w:rsid w:val="006B4FDF"/>
    <w:rsid w:val="006B501C"/>
    <w:rsid w:val="006B52DE"/>
    <w:rsid w:val="006B54C5"/>
    <w:rsid w:val="006B54DA"/>
    <w:rsid w:val="006B5717"/>
    <w:rsid w:val="006B582F"/>
    <w:rsid w:val="006B5BA3"/>
    <w:rsid w:val="006B5BE7"/>
    <w:rsid w:val="006B5C7A"/>
    <w:rsid w:val="006B5D54"/>
    <w:rsid w:val="006B5EB2"/>
    <w:rsid w:val="006B6423"/>
    <w:rsid w:val="006B679C"/>
    <w:rsid w:val="006B6BB6"/>
    <w:rsid w:val="006B75D9"/>
    <w:rsid w:val="006B778F"/>
    <w:rsid w:val="006B79DB"/>
    <w:rsid w:val="006B7BD0"/>
    <w:rsid w:val="006C00CF"/>
    <w:rsid w:val="006C06B9"/>
    <w:rsid w:val="006C0CEB"/>
    <w:rsid w:val="006C0E8E"/>
    <w:rsid w:val="006C1631"/>
    <w:rsid w:val="006C17E2"/>
    <w:rsid w:val="006C1B2D"/>
    <w:rsid w:val="006C1CA6"/>
    <w:rsid w:val="006C1E96"/>
    <w:rsid w:val="006C1ED7"/>
    <w:rsid w:val="006C2108"/>
    <w:rsid w:val="006C2334"/>
    <w:rsid w:val="006C275E"/>
    <w:rsid w:val="006C2ABB"/>
    <w:rsid w:val="006C2B37"/>
    <w:rsid w:val="006C2C66"/>
    <w:rsid w:val="006C2F5A"/>
    <w:rsid w:val="006C36AE"/>
    <w:rsid w:val="006C37A9"/>
    <w:rsid w:val="006C39B8"/>
    <w:rsid w:val="006C3B1E"/>
    <w:rsid w:val="006C3CA3"/>
    <w:rsid w:val="006C3DBD"/>
    <w:rsid w:val="006C422E"/>
    <w:rsid w:val="006C4302"/>
    <w:rsid w:val="006C44B6"/>
    <w:rsid w:val="006C463B"/>
    <w:rsid w:val="006C47CA"/>
    <w:rsid w:val="006C47FD"/>
    <w:rsid w:val="006C4B37"/>
    <w:rsid w:val="006C4C92"/>
    <w:rsid w:val="006C52F3"/>
    <w:rsid w:val="006C5538"/>
    <w:rsid w:val="006C57E1"/>
    <w:rsid w:val="006C595F"/>
    <w:rsid w:val="006C5BE8"/>
    <w:rsid w:val="006C5C19"/>
    <w:rsid w:val="006C5C98"/>
    <w:rsid w:val="006C5F6B"/>
    <w:rsid w:val="006C614B"/>
    <w:rsid w:val="006C691E"/>
    <w:rsid w:val="006C6A0C"/>
    <w:rsid w:val="006C6E19"/>
    <w:rsid w:val="006C6F35"/>
    <w:rsid w:val="006C70A0"/>
    <w:rsid w:val="006C7C30"/>
    <w:rsid w:val="006C7F80"/>
    <w:rsid w:val="006D054F"/>
    <w:rsid w:val="006D0B78"/>
    <w:rsid w:val="006D0C99"/>
    <w:rsid w:val="006D14B9"/>
    <w:rsid w:val="006D1787"/>
    <w:rsid w:val="006D1EDD"/>
    <w:rsid w:val="006D23CD"/>
    <w:rsid w:val="006D2430"/>
    <w:rsid w:val="006D27CB"/>
    <w:rsid w:val="006D27CD"/>
    <w:rsid w:val="006D288B"/>
    <w:rsid w:val="006D29C6"/>
    <w:rsid w:val="006D2F08"/>
    <w:rsid w:val="006D361C"/>
    <w:rsid w:val="006D37F2"/>
    <w:rsid w:val="006D38F7"/>
    <w:rsid w:val="006D3958"/>
    <w:rsid w:val="006D3AE6"/>
    <w:rsid w:val="006D4082"/>
    <w:rsid w:val="006D40EC"/>
    <w:rsid w:val="006D45EA"/>
    <w:rsid w:val="006D45F4"/>
    <w:rsid w:val="006D48DE"/>
    <w:rsid w:val="006D4B77"/>
    <w:rsid w:val="006D53EA"/>
    <w:rsid w:val="006D576C"/>
    <w:rsid w:val="006D57E4"/>
    <w:rsid w:val="006D5865"/>
    <w:rsid w:val="006D5B3A"/>
    <w:rsid w:val="006D5D0F"/>
    <w:rsid w:val="006D5F11"/>
    <w:rsid w:val="006D603F"/>
    <w:rsid w:val="006D62A7"/>
    <w:rsid w:val="006D6411"/>
    <w:rsid w:val="006D67C2"/>
    <w:rsid w:val="006D686C"/>
    <w:rsid w:val="006D6AE0"/>
    <w:rsid w:val="006D6C96"/>
    <w:rsid w:val="006D6EFC"/>
    <w:rsid w:val="006D7174"/>
    <w:rsid w:val="006E01E2"/>
    <w:rsid w:val="006E0258"/>
    <w:rsid w:val="006E028F"/>
    <w:rsid w:val="006E0A54"/>
    <w:rsid w:val="006E0E15"/>
    <w:rsid w:val="006E1060"/>
    <w:rsid w:val="006E1446"/>
    <w:rsid w:val="006E14B3"/>
    <w:rsid w:val="006E168C"/>
    <w:rsid w:val="006E18A8"/>
    <w:rsid w:val="006E1FEB"/>
    <w:rsid w:val="006E202C"/>
    <w:rsid w:val="006E23B9"/>
    <w:rsid w:val="006E2BA5"/>
    <w:rsid w:val="006E2CCC"/>
    <w:rsid w:val="006E2D25"/>
    <w:rsid w:val="006E2DA3"/>
    <w:rsid w:val="006E2FA8"/>
    <w:rsid w:val="006E2FC1"/>
    <w:rsid w:val="006E30C9"/>
    <w:rsid w:val="006E3ABB"/>
    <w:rsid w:val="006E3E3A"/>
    <w:rsid w:val="006E45A4"/>
    <w:rsid w:val="006E48FD"/>
    <w:rsid w:val="006E4B1B"/>
    <w:rsid w:val="006E4E9E"/>
    <w:rsid w:val="006E51A8"/>
    <w:rsid w:val="006E520A"/>
    <w:rsid w:val="006E5445"/>
    <w:rsid w:val="006E56ED"/>
    <w:rsid w:val="006E5720"/>
    <w:rsid w:val="006E58B2"/>
    <w:rsid w:val="006E5AF1"/>
    <w:rsid w:val="006E5B37"/>
    <w:rsid w:val="006E5F6A"/>
    <w:rsid w:val="006E5F9D"/>
    <w:rsid w:val="006E616A"/>
    <w:rsid w:val="006E64F6"/>
    <w:rsid w:val="006E6C2D"/>
    <w:rsid w:val="006E6F25"/>
    <w:rsid w:val="006E6F75"/>
    <w:rsid w:val="006E7962"/>
    <w:rsid w:val="006E7D92"/>
    <w:rsid w:val="006E7D93"/>
    <w:rsid w:val="006E7E4E"/>
    <w:rsid w:val="006E7E53"/>
    <w:rsid w:val="006F0365"/>
    <w:rsid w:val="006F0E18"/>
    <w:rsid w:val="006F1281"/>
    <w:rsid w:val="006F14A3"/>
    <w:rsid w:val="006F14D7"/>
    <w:rsid w:val="006F17C6"/>
    <w:rsid w:val="006F18D9"/>
    <w:rsid w:val="006F18EA"/>
    <w:rsid w:val="006F1C16"/>
    <w:rsid w:val="006F1EE7"/>
    <w:rsid w:val="006F232B"/>
    <w:rsid w:val="006F2446"/>
    <w:rsid w:val="006F2447"/>
    <w:rsid w:val="006F28DB"/>
    <w:rsid w:val="006F2B59"/>
    <w:rsid w:val="006F2D86"/>
    <w:rsid w:val="006F2E24"/>
    <w:rsid w:val="006F2E7C"/>
    <w:rsid w:val="006F3300"/>
    <w:rsid w:val="006F3358"/>
    <w:rsid w:val="006F3364"/>
    <w:rsid w:val="006F36CD"/>
    <w:rsid w:val="006F3A03"/>
    <w:rsid w:val="006F3B09"/>
    <w:rsid w:val="006F3C36"/>
    <w:rsid w:val="006F4873"/>
    <w:rsid w:val="006F4C43"/>
    <w:rsid w:val="006F508C"/>
    <w:rsid w:val="006F5244"/>
    <w:rsid w:val="006F5271"/>
    <w:rsid w:val="006F52D9"/>
    <w:rsid w:val="006F5B39"/>
    <w:rsid w:val="006F5B91"/>
    <w:rsid w:val="006F5C2E"/>
    <w:rsid w:val="006F5FB4"/>
    <w:rsid w:val="006F6121"/>
    <w:rsid w:val="006F67CE"/>
    <w:rsid w:val="006F687C"/>
    <w:rsid w:val="006F6BA5"/>
    <w:rsid w:val="006F6D08"/>
    <w:rsid w:val="006F6EDD"/>
    <w:rsid w:val="006F7227"/>
    <w:rsid w:val="006F7336"/>
    <w:rsid w:val="006F75B8"/>
    <w:rsid w:val="006F78AE"/>
    <w:rsid w:val="006F7F3F"/>
    <w:rsid w:val="007000C1"/>
    <w:rsid w:val="00700365"/>
    <w:rsid w:val="0070075B"/>
    <w:rsid w:val="007009B5"/>
    <w:rsid w:val="00700B86"/>
    <w:rsid w:val="00700BB5"/>
    <w:rsid w:val="0070133D"/>
    <w:rsid w:val="00701423"/>
    <w:rsid w:val="00701BB7"/>
    <w:rsid w:val="00701BC7"/>
    <w:rsid w:val="00701C69"/>
    <w:rsid w:val="00701F6E"/>
    <w:rsid w:val="007022E4"/>
    <w:rsid w:val="007027EC"/>
    <w:rsid w:val="007029A3"/>
    <w:rsid w:val="00702A68"/>
    <w:rsid w:val="00702D6E"/>
    <w:rsid w:val="0070300C"/>
    <w:rsid w:val="0070376A"/>
    <w:rsid w:val="00703D70"/>
    <w:rsid w:val="0070418C"/>
    <w:rsid w:val="007046B7"/>
    <w:rsid w:val="00704EBD"/>
    <w:rsid w:val="007051F6"/>
    <w:rsid w:val="00705452"/>
    <w:rsid w:val="00705B5D"/>
    <w:rsid w:val="00705C3A"/>
    <w:rsid w:val="00705FB4"/>
    <w:rsid w:val="00706227"/>
    <w:rsid w:val="007068B5"/>
    <w:rsid w:val="00706AF8"/>
    <w:rsid w:val="00706E4E"/>
    <w:rsid w:val="00706F5C"/>
    <w:rsid w:val="00707028"/>
    <w:rsid w:val="0070755D"/>
    <w:rsid w:val="0070764F"/>
    <w:rsid w:val="0070791C"/>
    <w:rsid w:val="00707980"/>
    <w:rsid w:val="00707CB1"/>
    <w:rsid w:val="00710013"/>
    <w:rsid w:val="007105F7"/>
    <w:rsid w:val="0071091A"/>
    <w:rsid w:val="00710FCB"/>
    <w:rsid w:val="00711260"/>
    <w:rsid w:val="0071135B"/>
    <w:rsid w:val="0071145F"/>
    <w:rsid w:val="00711B71"/>
    <w:rsid w:val="00711BE4"/>
    <w:rsid w:val="00711D37"/>
    <w:rsid w:val="007128C7"/>
    <w:rsid w:val="00712A8C"/>
    <w:rsid w:val="00712B90"/>
    <w:rsid w:val="00712CC4"/>
    <w:rsid w:val="00712DD7"/>
    <w:rsid w:val="00713351"/>
    <w:rsid w:val="007134B9"/>
    <w:rsid w:val="0071353D"/>
    <w:rsid w:val="007136FD"/>
    <w:rsid w:val="0071383C"/>
    <w:rsid w:val="007141A7"/>
    <w:rsid w:val="00714596"/>
    <w:rsid w:val="00714A68"/>
    <w:rsid w:val="00714AF5"/>
    <w:rsid w:val="00715722"/>
    <w:rsid w:val="00715993"/>
    <w:rsid w:val="00715B9D"/>
    <w:rsid w:val="00715BAF"/>
    <w:rsid w:val="007161AF"/>
    <w:rsid w:val="007161ED"/>
    <w:rsid w:val="007162D2"/>
    <w:rsid w:val="007163B0"/>
    <w:rsid w:val="00716543"/>
    <w:rsid w:val="00716BB5"/>
    <w:rsid w:val="007170A2"/>
    <w:rsid w:val="007170EA"/>
    <w:rsid w:val="007174E2"/>
    <w:rsid w:val="007177E6"/>
    <w:rsid w:val="00717A22"/>
    <w:rsid w:val="00717AE5"/>
    <w:rsid w:val="00717E77"/>
    <w:rsid w:val="0072023A"/>
    <w:rsid w:val="00720595"/>
    <w:rsid w:val="00720610"/>
    <w:rsid w:val="00720793"/>
    <w:rsid w:val="00720A5F"/>
    <w:rsid w:val="00721032"/>
    <w:rsid w:val="00721086"/>
    <w:rsid w:val="00721189"/>
    <w:rsid w:val="00721310"/>
    <w:rsid w:val="007215BA"/>
    <w:rsid w:val="00721B55"/>
    <w:rsid w:val="00721D7A"/>
    <w:rsid w:val="00721E2E"/>
    <w:rsid w:val="0072240D"/>
    <w:rsid w:val="0072270D"/>
    <w:rsid w:val="0072290F"/>
    <w:rsid w:val="00722BAD"/>
    <w:rsid w:val="00723058"/>
    <w:rsid w:val="007231D2"/>
    <w:rsid w:val="00723238"/>
    <w:rsid w:val="007232F3"/>
    <w:rsid w:val="007236B3"/>
    <w:rsid w:val="007236EB"/>
    <w:rsid w:val="0072398A"/>
    <w:rsid w:val="00723A80"/>
    <w:rsid w:val="0072460E"/>
    <w:rsid w:val="00724E57"/>
    <w:rsid w:val="007251D3"/>
    <w:rsid w:val="00726488"/>
    <w:rsid w:val="00726611"/>
    <w:rsid w:val="00726642"/>
    <w:rsid w:val="00726B5C"/>
    <w:rsid w:val="00726C91"/>
    <w:rsid w:val="00726CE4"/>
    <w:rsid w:val="00726D64"/>
    <w:rsid w:val="0072711A"/>
    <w:rsid w:val="00727164"/>
    <w:rsid w:val="007271B5"/>
    <w:rsid w:val="0072736C"/>
    <w:rsid w:val="007275A4"/>
    <w:rsid w:val="007304B4"/>
    <w:rsid w:val="00730658"/>
    <w:rsid w:val="0073080F"/>
    <w:rsid w:val="00730C4A"/>
    <w:rsid w:val="00730CB2"/>
    <w:rsid w:val="00730E51"/>
    <w:rsid w:val="0073101E"/>
    <w:rsid w:val="007317F8"/>
    <w:rsid w:val="00731FF4"/>
    <w:rsid w:val="007320D2"/>
    <w:rsid w:val="0073219A"/>
    <w:rsid w:val="007321C1"/>
    <w:rsid w:val="007322DE"/>
    <w:rsid w:val="007323CC"/>
    <w:rsid w:val="007329B2"/>
    <w:rsid w:val="00733492"/>
    <w:rsid w:val="0073361F"/>
    <w:rsid w:val="007339AC"/>
    <w:rsid w:val="00733A61"/>
    <w:rsid w:val="00734143"/>
    <w:rsid w:val="00734714"/>
    <w:rsid w:val="0073477A"/>
    <w:rsid w:val="00734D91"/>
    <w:rsid w:val="007354AF"/>
    <w:rsid w:val="00735C5F"/>
    <w:rsid w:val="00735C66"/>
    <w:rsid w:val="00735DD6"/>
    <w:rsid w:val="00736330"/>
    <w:rsid w:val="00736537"/>
    <w:rsid w:val="00736B3F"/>
    <w:rsid w:val="00736B43"/>
    <w:rsid w:val="00736CCA"/>
    <w:rsid w:val="00736FB2"/>
    <w:rsid w:val="00736FDF"/>
    <w:rsid w:val="0073748F"/>
    <w:rsid w:val="0073770E"/>
    <w:rsid w:val="007378AB"/>
    <w:rsid w:val="00737A0B"/>
    <w:rsid w:val="00737C90"/>
    <w:rsid w:val="00737CBE"/>
    <w:rsid w:val="00737E47"/>
    <w:rsid w:val="0074008F"/>
    <w:rsid w:val="007402B6"/>
    <w:rsid w:val="00740466"/>
    <w:rsid w:val="00740855"/>
    <w:rsid w:val="007408D6"/>
    <w:rsid w:val="0074092F"/>
    <w:rsid w:val="0074096B"/>
    <w:rsid w:val="007409AB"/>
    <w:rsid w:val="00740AAB"/>
    <w:rsid w:val="00740EAC"/>
    <w:rsid w:val="00740FC2"/>
    <w:rsid w:val="0074116A"/>
    <w:rsid w:val="007412A6"/>
    <w:rsid w:val="0074137C"/>
    <w:rsid w:val="0074152F"/>
    <w:rsid w:val="0074175A"/>
    <w:rsid w:val="007417A6"/>
    <w:rsid w:val="007417E2"/>
    <w:rsid w:val="007418D9"/>
    <w:rsid w:val="007419EB"/>
    <w:rsid w:val="007419F8"/>
    <w:rsid w:val="0074203A"/>
    <w:rsid w:val="007421A8"/>
    <w:rsid w:val="0074224D"/>
    <w:rsid w:val="00742B7D"/>
    <w:rsid w:val="007434EA"/>
    <w:rsid w:val="007435BE"/>
    <w:rsid w:val="00743A21"/>
    <w:rsid w:val="00743A4F"/>
    <w:rsid w:val="00743E1E"/>
    <w:rsid w:val="0074410F"/>
    <w:rsid w:val="00744273"/>
    <w:rsid w:val="00744654"/>
    <w:rsid w:val="007448CB"/>
    <w:rsid w:val="00744956"/>
    <w:rsid w:val="00745423"/>
    <w:rsid w:val="0074556E"/>
    <w:rsid w:val="0074589D"/>
    <w:rsid w:val="00745A5C"/>
    <w:rsid w:val="00745C8C"/>
    <w:rsid w:val="00745F8E"/>
    <w:rsid w:val="0074605F"/>
    <w:rsid w:val="00746DDF"/>
    <w:rsid w:val="00746E66"/>
    <w:rsid w:val="00746F07"/>
    <w:rsid w:val="0074774A"/>
    <w:rsid w:val="00747E94"/>
    <w:rsid w:val="007502B9"/>
    <w:rsid w:val="00750773"/>
    <w:rsid w:val="00750DE0"/>
    <w:rsid w:val="00751143"/>
    <w:rsid w:val="007511AF"/>
    <w:rsid w:val="00751257"/>
    <w:rsid w:val="0075187D"/>
    <w:rsid w:val="00751AFB"/>
    <w:rsid w:val="00751C43"/>
    <w:rsid w:val="00751CB3"/>
    <w:rsid w:val="00751E2D"/>
    <w:rsid w:val="00751E30"/>
    <w:rsid w:val="00751E45"/>
    <w:rsid w:val="00751E8D"/>
    <w:rsid w:val="0075209D"/>
    <w:rsid w:val="007525EB"/>
    <w:rsid w:val="00752EB0"/>
    <w:rsid w:val="00752F26"/>
    <w:rsid w:val="00753403"/>
    <w:rsid w:val="0075343B"/>
    <w:rsid w:val="00753A4A"/>
    <w:rsid w:val="00753EDE"/>
    <w:rsid w:val="00754017"/>
    <w:rsid w:val="00754044"/>
    <w:rsid w:val="00754236"/>
    <w:rsid w:val="007542A7"/>
    <w:rsid w:val="0075438C"/>
    <w:rsid w:val="007545D7"/>
    <w:rsid w:val="00754999"/>
    <w:rsid w:val="00754C83"/>
    <w:rsid w:val="00754FE3"/>
    <w:rsid w:val="0075510C"/>
    <w:rsid w:val="00755129"/>
    <w:rsid w:val="00755789"/>
    <w:rsid w:val="007561F7"/>
    <w:rsid w:val="00756AA1"/>
    <w:rsid w:val="00756B4C"/>
    <w:rsid w:val="00756C9C"/>
    <w:rsid w:val="00756F55"/>
    <w:rsid w:val="0075718B"/>
    <w:rsid w:val="00757587"/>
    <w:rsid w:val="0075772B"/>
    <w:rsid w:val="00757AE9"/>
    <w:rsid w:val="00757C62"/>
    <w:rsid w:val="00757D43"/>
    <w:rsid w:val="007601DD"/>
    <w:rsid w:val="007606FA"/>
    <w:rsid w:val="0076075C"/>
    <w:rsid w:val="00760AFE"/>
    <w:rsid w:val="00760D0D"/>
    <w:rsid w:val="00760EC4"/>
    <w:rsid w:val="00760FF0"/>
    <w:rsid w:val="007611DE"/>
    <w:rsid w:val="0076130A"/>
    <w:rsid w:val="007616B5"/>
    <w:rsid w:val="00761CB1"/>
    <w:rsid w:val="00761E5C"/>
    <w:rsid w:val="00761FE4"/>
    <w:rsid w:val="00762005"/>
    <w:rsid w:val="007620F1"/>
    <w:rsid w:val="007621C1"/>
    <w:rsid w:val="00762338"/>
    <w:rsid w:val="00762AD5"/>
    <w:rsid w:val="00762C7D"/>
    <w:rsid w:val="00762F6A"/>
    <w:rsid w:val="0076304A"/>
    <w:rsid w:val="007630C7"/>
    <w:rsid w:val="00763284"/>
    <w:rsid w:val="007637BB"/>
    <w:rsid w:val="007638AE"/>
    <w:rsid w:val="007639C2"/>
    <w:rsid w:val="00763B02"/>
    <w:rsid w:val="00763B54"/>
    <w:rsid w:val="00763C65"/>
    <w:rsid w:val="007641A7"/>
    <w:rsid w:val="007647EF"/>
    <w:rsid w:val="007649FC"/>
    <w:rsid w:val="00764A90"/>
    <w:rsid w:val="00764BA6"/>
    <w:rsid w:val="00764C35"/>
    <w:rsid w:val="00764CC1"/>
    <w:rsid w:val="00764E0F"/>
    <w:rsid w:val="007651E0"/>
    <w:rsid w:val="00765248"/>
    <w:rsid w:val="00765835"/>
    <w:rsid w:val="0076588B"/>
    <w:rsid w:val="007659AD"/>
    <w:rsid w:val="00765DF8"/>
    <w:rsid w:val="00765FF2"/>
    <w:rsid w:val="007661FD"/>
    <w:rsid w:val="0076636E"/>
    <w:rsid w:val="007663AE"/>
    <w:rsid w:val="00766651"/>
    <w:rsid w:val="00766749"/>
    <w:rsid w:val="00766D5F"/>
    <w:rsid w:val="00766EB2"/>
    <w:rsid w:val="00766F4A"/>
    <w:rsid w:val="007670F4"/>
    <w:rsid w:val="00767A27"/>
    <w:rsid w:val="00767C1B"/>
    <w:rsid w:val="00767C3D"/>
    <w:rsid w:val="00767EFF"/>
    <w:rsid w:val="007706DA"/>
    <w:rsid w:val="00770825"/>
    <w:rsid w:val="007708B5"/>
    <w:rsid w:val="00770B3F"/>
    <w:rsid w:val="00770C67"/>
    <w:rsid w:val="00770EE9"/>
    <w:rsid w:val="007712C2"/>
    <w:rsid w:val="0077139C"/>
    <w:rsid w:val="007714A9"/>
    <w:rsid w:val="00771671"/>
    <w:rsid w:val="0077171C"/>
    <w:rsid w:val="00771737"/>
    <w:rsid w:val="00772A42"/>
    <w:rsid w:val="00772A58"/>
    <w:rsid w:val="00772DA5"/>
    <w:rsid w:val="00772F9C"/>
    <w:rsid w:val="007730CF"/>
    <w:rsid w:val="0077320E"/>
    <w:rsid w:val="0077370A"/>
    <w:rsid w:val="00773AD3"/>
    <w:rsid w:val="00774110"/>
    <w:rsid w:val="007744C2"/>
    <w:rsid w:val="007745A9"/>
    <w:rsid w:val="00774781"/>
    <w:rsid w:val="007748D0"/>
    <w:rsid w:val="00774F88"/>
    <w:rsid w:val="00774FCA"/>
    <w:rsid w:val="00774FDB"/>
    <w:rsid w:val="00774FE1"/>
    <w:rsid w:val="0077538C"/>
    <w:rsid w:val="0077538D"/>
    <w:rsid w:val="00775703"/>
    <w:rsid w:val="00775710"/>
    <w:rsid w:val="007757B4"/>
    <w:rsid w:val="00775BDB"/>
    <w:rsid w:val="00775D00"/>
    <w:rsid w:val="00775E10"/>
    <w:rsid w:val="00776267"/>
    <w:rsid w:val="007764B8"/>
    <w:rsid w:val="00776569"/>
    <w:rsid w:val="007766AD"/>
    <w:rsid w:val="00776C68"/>
    <w:rsid w:val="00776F2A"/>
    <w:rsid w:val="007771B9"/>
    <w:rsid w:val="007775D5"/>
    <w:rsid w:val="00777BA2"/>
    <w:rsid w:val="00777E10"/>
    <w:rsid w:val="00777E5F"/>
    <w:rsid w:val="007801FD"/>
    <w:rsid w:val="007808AD"/>
    <w:rsid w:val="0078113A"/>
    <w:rsid w:val="00781182"/>
    <w:rsid w:val="00781241"/>
    <w:rsid w:val="00781257"/>
    <w:rsid w:val="0078126F"/>
    <w:rsid w:val="00781408"/>
    <w:rsid w:val="00781505"/>
    <w:rsid w:val="00781B80"/>
    <w:rsid w:val="0078226C"/>
    <w:rsid w:val="00782782"/>
    <w:rsid w:val="00782887"/>
    <w:rsid w:val="00782CA4"/>
    <w:rsid w:val="0078328A"/>
    <w:rsid w:val="00783394"/>
    <w:rsid w:val="00783803"/>
    <w:rsid w:val="00783CE3"/>
    <w:rsid w:val="00783DA4"/>
    <w:rsid w:val="00783F48"/>
    <w:rsid w:val="00784134"/>
    <w:rsid w:val="007842DF"/>
    <w:rsid w:val="00784482"/>
    <w:rsid w:val="0078476C"/>
    <w:rsid w:val="007848F9"/>
    <w:rsid w:val="00784934"/>
    <w:rsid w:val="00784A6C"/>
    <w:rsid w:val="00784F7F"/>
    <w:rsid w:val="0078515A"/>
    <w:rsid w:val="007856EA"/>
    <w:rsid w:val="007857DF"/>
    <w:rsid w:val="00785E11"/>
    <w:rsid w:val="00785E69"/>
    <w:rsid w:val="007862F6"/>
    <w:rsid w:val="007864E9"/>
    <w:rsid w:val="007865C3"/>
    <w:rsid w:val="00786E02"/>
    <w:rsid w:val="00786F4A"/>
    <w:rsid w:val="007870F5"/>
    <w:rsid w:val="00787200"/>
    <w:rsid w:val="007878BD"/>
    <w:rsid w:val="00787D41"/>
    <w:rsid w:val="00787DC9"/>
    <w:rsid w:val="007903BA"/>
    <w:rsid w:val="007905F6"/>
    <w:rsid w:val="007908E8"/>
    <w:rsid w:val="00790C16"/>
    <w:rsid w:val="007911B4"/>
    <w:rsid w:val="007912B7"/>
    <w:rsid w:val="00791B29"/>
    <w:rsid w:val="00791BA5"/>
    <w:rsid w:val="00791EED"/>
    <w:rsid w:val="0079200E"/>
    <w:rsid w:val="007922D9"/>
    <w:rsid w:val="007923DC"/>
    <w:rsid w:val="007924DF"/>
    <w:rsid w:val="007925CA"/>
    <w:rsid w:val="00792CFA"/>
    <w:rsid w:val="00792DBA"/>
    <w:rsid w:val="00792EA1"/>
    <w:rsid w:val="00792ED8"/>
    <w:rsid w:val="00793475"/>
    <w:rsid w:val="0079370C"/>
    <w:rsid w:val="00793A06"/>
    <w:rsid w:val="00793BCD"/>
    <w:rsid w:val="00794045"/>
    <w:rsid w:val="00794112"/>
    <w:rsid w:val="007943B0"/>
    <w:rsid w:val="00794607"/>
    <w:rsid w:val="0079466B"/>
    <w:rsid w:val="00794736"/>
    <w:rsid w:val="00794A09"/>
    <w:rsid w:val="00794CB3"/>
    <w:rsid w:val="0079532C"/>
    <w:rsid w:val="00795332"/>
    <w:rsid w:val="007955A0"/>
    <w:rsid w:val="00795C99"/>
    <w:rsid w:val="00795CFF"/>
    <w:rsid w:val="00795E4F"/>
    <w:rsid w:val="0079639C"/>
    <w:rsid w:val="007963EA"/>
    <w:rsid w:val="00796931"/>
    <w:rsid w:val="00796AF8"/>
    <w:rsid w:val="00796B1A"/>
    <w:rsid w:val="00796F25"/>
    <w:rsid w:val="007975F7"/>
    <w:rsid w:val="00797A64"/>
    <w:rsid w:val="00797DDF"/>
    <w:rsid w:val="007A052B"/>
    <w:rsid w:val="007A08CD"/>
    <w:rsid w:val="007A0A77"/>
    <w:rsid w:val="007A0B72"/>
    <w:rsid w:val="007A0F7E"/>
    <w:rsid w:val="007A1AE8"/>
    <w:rsid w:val="007A24A4"/>
    <w:rsid w:val="007A2CE0"/>
    <w:rsid w:val="007A2E98"/>
    <w:rsid w:val="007A377E"/>
    <w:rsid w:val="007A3BA3"/>
    <w:rsid w:val="007A3D87"/>
    <w:rsid w:val="007A4E70"/>
    <w:rsid w:val="007A5067"/>
    <w:rsid w:val="007A50DC"/>
    <w:rsid w:val="007A5461"/>
    <w:rsid w:val="007A58CB"/>
    <w:rsid w:val="007A5CD9"/>
    <w:rsid w:val="007A5EDF"/>
    <w:rsid w:val="007A5F85"/>
    <w:rsid w:val="007A5F96"/>
    <w:rsid w:val="007A619F"/>
    <w:rsid w:val="007A63BA"/>
    <w:rsid w:val="007A6851"/>
    <w:rsid w:val="007A6A53"/>
    <w:rsid w:val="007A6CC0"/>
    <w:rsid w:val="007A7706"/>
    <w:rsid w:val="007A7B68"/>
    <w:rsid w:val="007A7BEB"/>
    <w:rsid w:val="007A7E52"/>
    <w:rsid w:val="007A7F52"/>
    <w:rsid w:val="007A7FEC"/>
    <w:rsid w:val="007B00B0"/>
    <w:rsid w:val="007B0106"/>
    <w:rsid w:val="007B0192"/>
    <w:rsid w:val="007B02C7"/>
    <w:rsid w:val="007B067C"/>
    <w:rsid w:val="007B0743"/>
    <w:rsid w:val="007B08EE"/>
    <w:rsid w:val="007B0EB4"/>
    <w:rsid w:val="007B0EBF"/>
    <w:rsid w:val="007B1084"/>
    <w:rsid w:val="007B1150"/>
    <w:rsid w:val="007B11FB"/>
    <w:rsid w:val="007B1296"/>
    <w:rsid w:val="007B1499"/>
    <w:rsid w:val="007B14BB"/>
    <w:rsid w:val="007B1547"/>
    <w:rsid w:val="007B187B"/>
    <w:rsid w:val="007B1ABB"/>
    <w:rsid w:val="007B1B4A"/>
    <w:rsid w:val="007B1BBF"/>
    <w:rsid w:val="007B1CA8"/>
    <w:rsid w:val="007B1D82"/>
    <w:rsid w:val="007B2508"/>
    <w:rsid w:val="007B2797"/>
    <w:rsid w:val="007B2897"/>
    <w:rsid w:val="007B2960"/>
    <w:rsid w:val="007B29F5"/>
    <w:rsid w:val="007B2DEF"/>
    <w:rsid w:val="007B2E7C"/>
    <w:rsid w:val="007B2EB9"/>
    <w:rsid w:val="007B2F02"/>
    <w:rsid w:val="007B2FD6"/>
    <w:rsid w:val="007B2FDE"/>
    <w:rsid w:val="007B302A"/>
    <w:rsid w:val="007B3086"/>
    <w:rsid w:val="007B3199"/>
    <w:rsid w:val="007B3306"/>
    <w:rsid w:val="007B355D"/>
    <w:rsid w:val="007B365A"/>
    <w:rsid w:val="007B3754"/>
    <w:rsid w:val="007B37DC"/>
    <w:rsid w:val="007B3C24"/>
    <w:rsid w:val="007B3E58"/>
    <w:rsid w:val="007B3EB6"/>
    <w:rsid w:val="007B4718"/>
    <w:rsid w:val="007B4744"/>
    <w:rsid w:val="007B49DF"/>
    <w:rsid w:val="007B4DED"/>
    <w:rsid w:val="007B50D4"/>
    <w:rsid w:val="007B56B7"/>
    <w:rsid w:val="007B5867"/>
    <w:rsid w:val="007B5B33"/>
    <w:rsid w:val="007B5D0D"/>
    <w:rsid w:val="007B6017"/>
    <w:rsid w:val="007B63AA"/>
    <w:rsid w:val="007B6FA4"/>
    <w:rsid w:val="007B71DD"/>
    <w:rsid w:val="007B736C"/>
    <w:rsid w:val="007B7467"/>
    <w:rsid w:val="007B76E5"/>
    <w:rsid w:val="007B7980"/>
    <w:rsid w:val="007B7AA6"/>
    <w:rsid w:val="007B7C4A"/>
    <w:rsid w:val="007B7E11"/>
    <w:rsid w:val="007C0434"/>
    <w:rsid w:val="007C0475"/>
    <w:rsid w:val="007C08D9"/>
    <w:rsid w:val="007C0D1B"/>
    <w:rsid w:val="007C0DEF"/>
    <w:rsid w:val="007C1195"/>
    <w:rsid w:val="007C15F7"/>
    <w:rsid w:val="007C176F"/>
    <w:rsid w:val="007C17DA"/>
    <w:rsid w:val="007C1D6C"/>
    <w:rsid w:val="007C22DC"/>
    <w:rsid w:val="007C24E9"/>
    <w:rsid w:val="007C266D"/>
    <w:rsid w:val="007C282B"/>
    <w:rsid w:val="007C2941"/>
    <w:rsid w:val="007C2CD4"/>
    <w:rsid w:val="007C30A1"/>
    <w:rsid w:val="007C3216"/>
    <w:rsid w:val="007C37F3"/>
    <w:rsid w:val="007C3D45"/>
    <w:rsid w:val="007C3E05"/>
    <w:rsid w:val="007C3FAE"/>
    <w:rsid w:val="007C47CA"/>
    <w:rsid w:val="007C4A5B"/>
    <w:rsid w:val="007C4AD0"/>
    <w:rsid w:val="007C5267"/>
    <w:rsid w:val="007C52C2"/>
    <w:rsid w:val="007C547E"/>
    <w:rsid w:val="007C59A9"/>
    <w:rsid w:val="007C5C8C"/>
    <w:rsid w:val="007C5D5A"/>
    <w:rsid w:val="007C5EEB"/>
    <w:rsid w:val="007C5F7E"/>
    <w:rsid w:val="007C607F"/>
    <w:rsid w:val="007C6802"/>
    <w:rsid w:val="007C6951"/>
    <w:rsid w:val="007C6BBC"/>
    <w:rsid w:val="007C6FBD"/>
    <w:rsid w:val="007C71F3"/>
    <w:rsid w:val="007C71FA"/>
    <w:rsid w:val="007C754B"/>
    <w:rsid w:val="007C79DD"/>
    <w:rsid w:val="007C7F41"/>
    <w:rsid w:val="007D05DF"/>
    <w:rsid w:val="007D0A23"/>
    <w:rsid w:val="007D0E84"/>
    <w:rsid w:val="007D16CF"/>
    <w:rsid w:val="007D18A0"/>
    <w:rsid w:val="007D1A96"/>
    <w:rsid w:val="007D1A97"/>
    <w:rsid w:val="007D2524"/>
    <w:rsid w:val="007D252B"/>
    <w:rsid w:val="007D2575"/>
    <w:rsid w:val="007D2978"/>
    <w:rsid w:val="007D2C81"/>
    <w:rsid w:val="007D2CAB"/>
    <w:rsid w:val="007D2CD6"/>
    <w:rsid w:val="007D3063"/>
    <w:rsid w:val="007D3473"/>
    <w:rsid w:val="007D3CEB"/>
    <w:rsid w:val="007D40A7"/>
    <w:rsid w:val="007D41FF"/>
    <w:rsid w:val="007D46B9"/>
    <w:rsid w:val="007D47B2"/>
    <w:rsid w:val="007D4802"/>
    <w:rsid w:val="007D4F06"/>
    <w:rsid w:val="007D4F93"/>
    <w:rsid w:val="007D530E"/>
    <w:rsid w:val="007D56DE"/>
    <w:rsid w:val="007D5A2D"/>
    <w:rsid w:val="007D5FDC"/>
    <w:rsid w:val="007D5FF9"/>
    <w:rsid w:val="007D628E"/>
    <w:rsid w:val="007D6328"/>
    <w:rsid w:val="007D652C"/>
    <w:rsid w:val="007D6A4D"/>
    <w:rsid w:val="007D6E75"/>
    <w:rsid w:val="007D6F36"/>
    <w:rsid w:val="007D6F39"/>
    <w:rsid w:val="007D6FFF"/>
    <w:rsid w:val="007D7387"/>
    <w:rsid w:val="007D7561"/>
    <w:rsid w:val="007E004B"/>
    <w:rsid w:val="007E0201"/>
    <w:rsid w:val="007E0521"/>
    <w:rsid w:val="007E1374"/>
    <w:rsid w:val="007E19FC"/>
    <w:rsid w:val="007E1B1C"/>
    <w:rsid w:val="007E1B5F"/>
    <w:rsid w:val="007E1C1D"/>
    <w:rsid w:val="007E1E52"/>
    <w:rsid w:val="007E2198"/>
    <w:rsid w:val="007E2A67"/>
    <w:rsid w:val="007E2B88"/>
    <w:rsid w:val="007E2DEE"/>
    <w:rsid w:val="007E303C"/>
    <w:rsid w:val="007E3628"/>
    <w:rsid w:val="007E3B07"/>
    <w:rsid w:val="007E411F"/>
    <w:rsid w:val="007E43E9"/>
    <w:rsid w:val="007E453E"/>
    <w:rsid w:val="007E4B8C"/>
    <w:rsid w:val="007E4CC4"/>
    <w:rsid w:val="007E4EB7"/>
    <w:rsid w:val="007E5298"/>
    <w:rsid w:val="007E5385"/>
    <w:rsid w:val="007E53B7"/>
    <w:rsid w:val="007E57E6"/>
    <w:rsid w:val="007E5E3E"/>
    <w:rsid w:val="007E5FF8"/>
    <w:rsid w:val="007E6374"/>
    <w:rsid w:val="007E65D3"/>
    <w:rsid w:val="007E66D5"/>
    <w:rsid w:val="007E6B2C"/>
    <w:rsid w:val="007E72B7"/>
    <w:rsid w:val="007E7683"/>
    <w:rsid w:val="007E7821"/>
    <w:rsid w:val="007E7D6D"/>
    <w:rsid w:val="007E7EE8"/>
    <w:rsid w:val="007E7FC4"/>
    <w:rsid w:val="007F00E3"/>
    <w:rsid w:val="007F0203"/>
    <w:rsid w:val="007F02F6"/>
    <w:rsid w:val="007F0403"/>
    <w:rsid w:val="007F0580"/>
    <w:rsid w:val="007F0688"/>
    <w:rsid w:val="007F1080"/>
    <w:rsid w:val="007F1114"/>
    <w:rsid w:val="007F125D"/>
    <w:rsid w:val="007F13E1"/>
    <w:rsid w:val="007F1AC5"/>
    <w:rsid w:val="007F1C4D"/>
    <w:rsid w:val="007F1EB8"/>
    <w:rsid w:val="007F1EF3"/>
    <w:rsid w:val="007F1F26"/>
    <w:rsid w:val="007F1F9E"/>
    <w:rsid w:val="007F20DD"/>
    <w:rsid w:val="007F2BBF"/>
    <w:rsid w:val="007F340D"/>
    <w:rsid w:val="007F3934"/>
    <w:rsid w:val="007F3A47"/>
    <w:rsid w:val="007F3BBE"/>
    <w:rsid w:val="007F3C43"/>
    <w:rsid w:val="007F3E41"/>
    <w:rsid w:val="007F3EA9"/>
    <w:rsid w:val="007F4038"/>
    <w:rsid w:val="007F4266"/>
    <w:rsid w:val="007F43E1"/>
    <w:rsid w:val="007F443A"/>
    <w:rsid w:val="007F449F"/>
    <w:rsid w:val="007F4742"/>
    <w:rsid w:val="007F49E3"/>
    <w:rsid w:val="007F49FA"/>
    <w:rsid w:val="007F4A0A"/>
    <w:rsid w:val="007F4EC6"/>
    <w:rsid w:val="007F54C4"/>
    <w:rsid w:val="007F5A44"/>
    <w:rsid w:val="007F5DC8"/>
    <w:rsid w:val="007F6090"/>
    <w:rsid w:val="007F672B"/>
    <w:rsid w:val="007F67F9"/>
    <w:rsid w:val="007F69EC"/>
    <w:rsid w:val="007F6DBD"/>
    <w:rsid w:val="007F6E9A"/>
    <w:rsid w:val="007F6F09"/>
    <w:rsid w:val="007F705C"/>
    <w:rsid w:val="007F70AB"/>
    <w:rsid w:val="007F746E"/>
    <w:rsid w:val="007F75D8"/>
    <w:rsid w:val="007F7883"/>
    <w:rsid w:val="007F7BB4"/>
    <w:rsid w:val="007F7C82"/>
    <w:rsid w:val="007F7E89"/>
    <w:rsid w:val="007F7F32"/>
    <w:rsid w:val="007F7F87"/>
    <w:rsid w:val="00800229"/>
    <w:rsid w:val="00800429"/>
    <w:rsid w:val="00800522"/>
    <w:rsid w:val="0080057D"/>
    <w:rsid w:val="008006F0"/>
    <w:rsid w:val="00800916"/>
    <w:rsid w:val="00800B73"/>
    <w:rsid w:val="00800CCD"/>
    <w:rsid w:val="00800E71"/>
    <w:rsid w:val="0080147F"/>
    <w:rsid w:val="00801537"/>
    <w:rsid w:val="008017E2"/>
    <w:rsid w:val="00802010"/>
    <w:rsid w:val="00802845"/>
    <w:rsid w:val="00802B94"/>
    <w:rsid w:val="00802EAA"/>
    <w:rsid w:val="00804038"/>
    <w:rsid w:val="0080429F"/>
    <w:rsid w:val="008044D4"/>
    <w:rsid w:val="008044FC"/>
    <w:rsid w:val="008045B4"/>
    <w:rsid w:val="00804D0E"/>
    <w:rsid w:val="0080508B"/>
    <w:rsid w:val="00805298"/>
    <w:rsid w:val="00805304"/>
    <w:rsid w:val="0080570C"/>
    <w:rsid w:val="008059BC"/>
    <w:rsid w:val="00805C26"/>
    <w:rsid w:val="00805C91"/>
    <w:rsid w:val="00805D37"/>
    <w:rsid w:val="0080628B"/>
    <w:rsid w:val="008067B3"/>
    <w:rsid w:val="00807887"/>
    <w:rsid w:val="0081041E"/>
    <w:rsid w:val="00810547"/>
    <w:rsid w:val="008107B4"/>
    <w:rsid w:val="00810AB4"/>
    <w:rsid w:val="00810BEF"/>
    <w:rsid w:val="008110CB"/>
    <w:rsid w:val="00811198"/>
    <w:rsid w:val="0081179D"/>
    <w:rsid w:val="00811917"/>
    <w:rsid w:val="00811BC6"/>
    <w:rsid w:val="00811DB8"/>
    <w:rsid w:val="00811DC9"/>
    <w:rsid w:val="00812301"/>
    <w:rsid w:val="0081238F"/>
    <w:rsid w:val="00812D41"/>
    <w:rsid w:val="00812F01"/>
    <w:rsid w:val="0081330B"/>
    <w:rsid w:val="00813C02"/>
    <w:rsid w:val="00814653"/>
    <w:rsid w:val="0081471B"/>
    <w:rsid w:val="008147E8"/>
    <w:rsid w:val="0081492E"/>
    <w:rsid w:val="00814AAE"/>
    <w:rsid w:val="00814B10"/>
    <w:rsid w:val="00814F61"/>
    <w:rsid w:val="0081526E"/>
    <w:rsid w:val="008156CC"/>
    <w:rsid w:val="00815BFB"/>
    <w:rsid w:val="00815C62"/>
    <w:rsid w:val="00815DF7"/>
    <w:rsid w:val="00815EF8"/>
    <w:rsid w:val="008165A9"/>
    <w:rsid w:val="00816966"/>
    <w:rsid w:val="00816E8A"/>
    <w:rsid w:val="0081739B"/>
    <w:rsid w:val="008178BF"/>
    <w:rsid w:val="00817B56"/>
    <w:rsid w:val="00817C71"/>
    <w:rsid w:val="00820151"/>
    <w:rsid w:val="0082035F"/>
    <w:rsid w:val="008207D7"/>
    <w:rsid w:val="00820D1A"/>
    <w:rsid w:val="00820F7F"/>
    <w:rsid w:val="00821265"/>
    <w:rsid w:val="00821486"/>
    <w:rsid w:val="00821582"/>
    <w:rsid w:val="00821A88"/>
    <w:rsid w:val="00821B1F"/>
    <w:rsid w:val="00821D3E"/>
    <w:rsid w:val="00821DF4"/>
    <w:rsid w:val="00821E0B"/>
    <w:rsid w:val="00821E3F"/>
    <w:rsid w:val="00821E62"/>
    <w:rsid w:val="008221F3"/>
    <w:rsid w:val="00822228"/>
    <w:rsid w:val="008222DA"/>
    <w:rsid w:val="00822370"/>
    <w:rsid w:val="00822CCA"/>
    <w:rsid w:val="00823183"/>
    <w:rsid w:val="0082322E"/>
    <w:rsid w:val="00823983"/>
    <w:rsid w:val="00823A33"/>
    <w:rsid w:val="00823BBB"/>
    <w:rsid w:val="00823ED0"/>
    <w:rsid w:val="008242B5"/>
    <w:rsid w:val="008242C1"/>
    <w:rsid w:val="00824660"/>
    <w:rsid w:val="0082495D"/>
    <w:rsid w:val="0082499B"/>
    <w:rsid w:val="00824B63"/>
    <w:rsid w:val="00824C12"/>
    <w:rsid w:val="00824FB2"/>
    <w:rsid w:val="0082500A"/>
    <w:rsid w:val="0082504A"/>
    <w:rsid w:val="00825219"/>
    <w:rsid w:val="0082531A"/>
    <w:rsid w:val="00825331"/>
    <w:rsid w:val="00825351"/>
    <w:rsid w:val="00825437"/>
    <w:rsid w:val="008254C0"/>
    <w:rsid w:val="00825761"/>
    <w:rsid w:val="008258DB"/>
    <w:rsid w:val="00825A34"/>
    <w:rsid w:val="00825FF2"/>
    <w:rsid w:val="008261F0"/>
    <w:rsid w:val="00826757"/>
    <w:rsid w:val="00827622"/>
    <w:rsid w:val="0082777E"/>
    <w:rsid w:val="00827980"/>
    <w:rsid w:val="0082799C"/>
    <w:rsid w:val="008279E3"/>
    <w:rsid w:val="008300DE"/>
    <w:rsid w:val="008304FA"/>
    <w:rsid w:val="0083056E"/>
    <w:rsid w:val="00830BF5"/>
    <w:rsid w:val="00830DE0"/>
    <w:rsid w:val="00830FA9"/>
    <w:rsid w:val="00830FB3"/>
    <w:rsid w:val="00831075"/>
    <w:rsid w:val="008313F7"/>
    <w:rsid w:val="00831459"/>
    <w:rsid w:val="008315B6"/>
    <w:rsid w:val="00831AC3"/>
    <w:rsid w:val="00831CF1"/>
    <w:rsid w:val="00831DA4"/>
    <w:rsid w:val="00831DC9"/>
    <w:rsid w:val="00831F49"/>
    <w:rsid w:val="00832481"/>
    <w:rsid w:val="0083260E"/>
    <w:rsid w:val="00832B2C"/>
    <w:rsid w:val="00832B67"/>
    <w:rsid w:val="00833543"/>
    <w:rsid w:val="0083372C"/>
    <w:rsid w:val="008337EF"/>
    <w:rsid w:val="00833910"/>
    <w:rsid w:val="00833AFF"/>
    <w:rsid w:val="00833D98"/>
    <w:rsid w:val="00833F7B"/>
    <w:rsid w:val="00834046"/>
    <w:rsid w:val="008349AE"/>
    <w:rsid w:val="00834CB8"/>
    <w:rsid w:val="008351DB"/>
    <w:rsid w:val="0083539B"/>
    <w:rsid w:val="0083542D"/>
    <w:rsid w:val="00835477"/>
    <w:rsid w:val="008357E5"/>
    <w:rsid w:val="00835A25"/>
    <w:rsid w:val="00835B6A"/>
    <w:rsid w:val="00835BF7"/>
    <w:rsid w:val="00835EBD"/>
    <w:rsid w:val="0083648F"/>
    <w:rsid w:val="00836548"/>
    <w:rsid w:val="0083692F"/>
    <w:rsid w:val="00836978"/>
    <w:rsid w:val="00836E26"/>
    <w:rsid w:val="00836FCE"/>
    <w:rsid w:val="00837437"/>
    <w:rsid w:val="00837B95"/>
    <w:rsid w:val="00837C9B"/>
    <w:rsid w:val="00837D04"/>
    <w:rsid w:val="00837F85"/>
    <w:rsid w:val="00840103"/>
    <w:rsid w:val="008408FF"/>
    <w:rsid w:val="00841054"/>
    <w:rsid w:val="00841517"/>
    <w:rsid w:val="008417A6"/>
    <w:rsid w:val="00841FA9"/>
    <w:rsid w:val="00842039"/>
    <w:rsid w:val="008423D4"/>
    <w:rsid w:val="008426BA"/>
    <w:rsid w:val="00842BB6"/>
    <w:rsid w:val="00842C98"/>
    <w:rsid w:val="00842DBC"/>
    <w:rsid w:val="00843569"/>
    <w:rsid w:val="008438DB"/>
    <w:rsid w:val="00843A39"/>
    <w:rsid w:val="00843B46"/>
    <w:rsid w:val="00843CB0"/>
    <w:rsid w:val="00844011"/>
    <w:rsid w:val="00844209"/>
    <w:rsid w:val="0084423A"/>
    <w:rsid w:val="00844460"/>
    <w:rsid w:val="008450E3"/>
    <w:rsid w:val="008452F9"/>
    <w:rsid w:val="008456C3"/>
    <w:rsid w:val="008459FB"/>
    <w:rsid w:val="00845EB8"/>
    <w:rsid w:val="00845EF9"/>
    <w:rsid w:val="00845FF8"/>
    <w:rsid w:val="008461D6"/>
    <w:rsid w:val="00846654"/>
    <w:rsid w:val="0084676A"/>
    <w:rsid w:val="008467BF"/>
    <w:rsid w:val="00847F81"/>
    <w:rsid w:val="008502D0"/>
    <w:rsid w:val="00850356"/>
    <w:rsid w:val="008504A7"/>
    <w:rsid w:val="0085073D"/>
    <w:rsid w:val="00850792"/>
    <w:rsid w:val="008507F8"/>
    <w:rsid w:val="00850AB9"/>
    <w:rsid w:val="00851086"/>
    <w:rsid w:val="00851439"/>
    <w:rsid w:val="00851507"/>
    <w:rsid w:val="0085152C"/>
    <w:rsid w:val="00851595"/>
    <w:rsid w:val="008516FF"/>
    <w:rsid w:val="0085179E"/>
    <w:rsid w:val="008517A0"/>
    <w:rsid w:val="00851AEA"/>
    <w:rsid w:val="00851B47"/>
    <w:rsid w:val="00851F3F"/>
    <w:rsid w:val="008520B8"/>
    <w:rsid w:val="00852D2C"/>
    <w:rsid w:val="00852DCD"/>
    <w:rsid w:val="00853240"/>
    <w:rsid w:val="008534F9"/>
    <w:rsid w:val="00853820"/>
    <w:rsid w:val="00853921"/>
    <w:rsid w:val="00853A15"/>
    <w:rsid w:val="008543F6"/>
    <w:rsid w:val="00854415"/>
    <w:rsid w:val="008544BC"/>
    <w:rsid w:val="00854C52"/>
    <w:rsid w:val="00854C90"/>
    <w:rsid w:val="00854DCC"/>
    <w:rsid w:val="00855161"/>
    <w:rsid w:val="008552FE"/>
    <w:rsid w:val="008556D4"/>
    <w:rsid w:val="00855712"/>
    <w:rsid w:val="0085582C"/>
    <w:rsid w:val="0085584F"/>
    <w:rsid w:val="00855B18"/>
    <w:rsid w:val="008560D0"/>
    <w:rsid w:val="008569DC"/>
    <w:rsid w:val="00856E96"/>
    <w:rsid w:val="00856EDC"/>
    <w:rsid w:val="00856EE9"/>
    <w:rsid w:val="00857168"/>
    <w:rsid w:val="008573AA"/>
    <w:rsid w:val="00857B1A"/>
    <w:rsid w:val="00857B86"/>
    <w:rsid w:val="00857C5C"/>
    <w:rsid w:val="008600B5"/>
    <w:rsid w:val="00860288"/>
    <w:rsid w:val="008603D3"/>
    <w:rsid w:val="00860916"/>
    <w:rsid w:val="008609DF"/>
    <w:rsid w:val="00860D07"/>
    <w:rsid w:val="008610B7"/>
    <w:rsid w:val="008612D0"/>
    <w:rsid w:val="008613DB"/>
    <w:rsid w:val="00861402"/>
    <w:rsid w:val="0086149E"/>
    <w:rsid w:val="00861C8E"/>
    <w:rsid w:val="00861E5E"/>
    <w:rsid w:val="00861EE0"/>
    <w:rsid w:val="00861F34"/>
    <w:rsid w:val="00861F9B"/>
    <w:rsid w:val="00862157"/>
    <w:rsid w:val="0086215C"/>
    <w:rsid w:val="008623B5"/>
    <w:rsid w:val="00862BC7"/>
    <w:rsid w:val="00862FAD"/>
    <w:rsid w:val="0086306E"/>
    <w:rsid w:val="008633C0"/>
    <w:rsid w:val="008635C9"/>
    <w:rsid w:val="00863A7C"/>
    <w:rsid w:val="00863B08"/>
    <w:rsid w:val="00863B50"/>
    <w:rsid w:val="00863B7D"/>
    <w:rsid w:val="00863C0C"/>
    <w:rsid w:val="00863F43"/>
    <w:rsid w:val="00864068"/>
    <w:rsid w:val="00864373"/>
    <w:rsid w:val="0086441D"/>
    <w:rsid w:val="008645F3"/>
    <w:rsid w:val="008646F9"/>
    <w:rsid w:val="00864745"/>
    <w:rsid w:val="00864C45"/>
    <w:rsid w:val="00865051"/>
    <w:rsid w:val="00865112"/>
    <w:rsid w:val="008653C0"/>
    <w:rsid w:val="008656BE"/>
    <w:rsid w:val="00865724"/>
    <w:rsid w:val="00865776"/>
    <w:rsid w:val="00865AE3"/>
    <w:rsid w:val="00865B43"/>
    <w:rsid w:val="00865B60"/>
    <w:rsid w:val="00865E51"/>
    <w:rsid w:val="00866282"/>
    <w:rsid w:val="00866302"/>
    <w:rsid w:val="008668FC"/>
    <w:rsid w:val="00866B61"/>
    <w:rsid w:val="00866F05"/>
    <w:rsid w:val="00866F89"/>
    <w:rsid w:val="00867151"/>
    <w:rsid w:val="00867430"/>
    <w:rsid w:val="008676E3"/>
    <w:rsid w:val="00867B95"/>
    <w:rsid w:val="00867F08"/>
    <w:rsid w:val="0087073A"/>
    <w:rsid w:val="0087082D"/>
    <w:rsid w:val="00870861"/>
    <w:rsid w:val="00870ABA"/>
    <w:rsid w:val="00870B41"/>
    <w:rsid w:val="00870C6A"/>
    <w:rsid w:val="00870CE5"/>
    <w:rsid w:val="00870D93"/>
    <w:rsid w:val="008710E1"/>
    <w:rsid w:val="00871249"/>
    <w:rsid w:val="008714E7"/>
    <w:rsid w:val="008716E5"/>
    <w:rsid w:val="0087175C"/>
    <w:rsid w:val="008719DE"/>
    <w:rsid w:val="00871B06"/>
    <w:rsid w:val="00871D5C"/>
    <w:rsid w:val="00871DE4"/>
    <w:rsid w:val="00871E3B"/>
    <w:rsid w:val="00871E84"/>
    <w:rsid w:val="00872452"/>
    <w:rsid w:val="00872A8C"/>
    <w:rsid w:val="00872BC5"/>
    <w:rsid w:val="00872FA0"/>
    <w:rsid w:val="0087317F"/>
    <w:rsid w:val="00873238"/>
    <w:rsid w:val="008734FE"/>
    <w:rsid w:val="00873609"/>
    <w:rsid w:val="008737CA"/>
    <w:rsid w:val="008738A2"/>
    <w:rsid w:val="00873A89"/>
    <w:rsid w:val="00873AF6"/>
    <w:rsid w:val="00873D1F"/>
    <w:rsid w:val="00873F76"/>
    <w:rsid w:val="00873F96"/>
    <w:rsid w:val="00874511"/>
    <w:rsid w:val="00874581"/>
    <w:rsid w:val="008748C3"/>
    <w:rsid w:val="00874C8F"/>
    <w:rsid w:val="00874CB7"/>
    <w:rsid w:val="00875141"/>
    <w:rsid w:val="0087524B"/>
    <w:rsid w:val="008755E4"/>
    <w:rsid w:val="008759F5"/>
    <w:rsid w:val="00875A94"/>
    <w:rsid w:val="00875B3D"/>
    <w:rsid w:val="00875DEC"/>
    <w:rsid w:val="00875E6A"/>
    <w:rsid w:val="00875EB6"/>
    <w:rsid w:val="008767A4"/>
    <w:rsid w:val="00876A89"/>
    <w:rsid w:val="00876AF2"/>
    <w:rsid w:val="0087714E"/>
    <w:rsid w:val="008777E4"/>
    <w:rsid w:val="008778F5"/>
    <w:rsid w:val="0088007C"/>
    <w:rsid w:val="0088038A"/>
    <w:rsid w:val="008805CF"/>
    <w:rsid w:val="008805E6"/>
    <w:rsid w:val="00880978"/>
    <w:rsid w:val="00880A1D"/>
    <w:rsid w:val="00880B5F"/>
    <w:rsid w:val="00881445"/>
    <w:rsid w:val="0088151A"/>
    <w:rsid w:val="008819C4"/>
    <w:rsid w:val="00881C95"/>
    <w:rsid w:val="00881CA9"/>
    <w:rsid w:val="00881CC1"/>
    <w:rsid w:val="00881E5F"/>
    <w:rsid w:val="008825D1"/>
    <w:rsid w:val="00882C3A"/>
    <w:rsid w:val="00882E35"/>
    <w:rsid w:val="008830CF"/>
    <w:rsid w:val="0088318E"/>
    <w:rsid w:val="00883608"/>
    <w:rsid w:val="00883628"/>
    <w:rsid w:val="008836FB"/>
    <w:rsid w:val="00883735"/>
    <w:rsid w:val="008838EB"/>
    <w:rsid w:val="00883F1F"/>
    <w:rsid w:val="00884111"/>
    <w:rsid w:val="00884818"/>
    <w:rsid w:val="00884A16"/>
    <w:rsid w:val="00884EBF"/>
    <w:rsid w:val="008853A6"/>
    <w:rsid w:val="00885420"/>
    <w:rsid w:val="00885544"/>
    <w:rsid w:val="008856B5"/>
    <w:rsid w:val="00885A47"/>
    <w:rsid w:val="00885B05"/>
    <w:rsid w:val="00885CD0"/>
    <w:rsid w:val="00885F0E"/>
    <w:rsid w:val="008860C3"/>
    <w:rsid w:val="0088634E"/>
    <w:rsid w:val="008863E6"/>
    <w:rsid w:val="00886BDD"/>
    <w:rsid w:val="00886D52"/>
    <w:rsid w:val="00886EDE"/>
    <w:rsid w:val="0088733D"/>
    <w:rsid w:val="0088776B"/>
    <w:rsid w:val="00887CF9"/>
    <w:rsid w:val="00887DB5"/>
    <w:rsid w:val="008903D1"/>
    <w:rsid w:val="008903FC"/>
    <w:rsid w:val="008909E5"/>
    <w:rsid w:val="00890FC9"/>
    <w:rsid w:val="00891125"/>
    <w:rsid w:val="008911A1"/>
    <w:rsid w:val="0089143E"/>
    <w:rsid w:val="008918A2"/>
    <w:rsid w:val="00891B50"/>
    <w:rsid w:val="00891BA7"/>
    <w:rsid w:val="00891D3D"/>
    <w:rsid w:val="008926AF"/>
    <w:rsid w:val="00892D68"/>
    <w:rsid w:val="00893239"/>
    <w:rsid w:val="00893614"/>
    <w:rsid w:val="0089389C"/>
    <w:rsid w:val="00893AB8"/>
    <w:rsid w:val="00893CE8"/>
    <w:rsid w:val="00893D0C"/>
    <w:rsid w:val="00893EF4"/>
    <w:rsid w:val="00893FC8"/>
    <w:rsid w:val="00894223"/>
    <w:rsid w:val="00894627"/>
    <w:rsid w:val="00894653"/>
    <w:rsid w:val="008949CA"/>
    <w:rsid w:val="00894AA3"/>
    <w:rsid w:val="008954D0"/>
    <w:rsid w:val="008954D7"/>
    <w:rsid w:val="00895C2A"/>
    <w:rsid w:val="00895C4C"/>
    <w:rsid w:val="00895DB2"/>
    <w:rsid w:val="00895E3F"/>
    <w:rsid w:val="00896087"/>
    <w:rsid w:val="0089614A"/>
    <w:rsid w:val="00896585"/>
    <w:rsid w:val="008969CF"/>
    <w:rsid w:val="00897072"/>
    <w:rsid w:val="008A04C8"/>
    <w:rsid w:val="008A0786"/>
    <w:rsid w:val="008A07FF"/>
    <w:rsid w:val="008A08BA"/>
    <w:rsid w:val="008A1053"/>
    <w:rsid w:val="008A10F4"/>
    <w:rsid w:val="008A11E1"/>
    <w:rsid w:val="008A16ED"/>
    <w:rsid w:val="008A196A"/>
    <w:rsid w:val="008A1AA5"/>
    <w:rsid w:val="008A1C96"/>
    <w:rsid w:val="008A279C"/>
    <w:rsid w:val="008A2900"/>
    <w:rsid w:val="008A290B"/>
    <w:rsid w:val="008A2B27"/>
    <w:rsid w:val="008A2B5C"/>
    <w:rsid w:val="008A321F"/>
    <w:rsid w:val="008A35BC"/>
    <w:rsid w:val="008A3F0C"/>
    <w:rsid w:val="008A40A3"/>
    <w:rsid w:val="008A4309"/>
    <w:rsid w:val="008A46B4"/>
    <w:rsid w:val="008A47B4"/>
    <w:rsid w:val="008A4B2C"/>
    <w:rsid w:val="008A4CF8"/>
    <w:rsid w:val="008A4D15"/>
    <w:rsid w:val="008A4FE0"/>
    <w:rsid w:val="008A51BF"/>
    <w:rsid w:val="008A5663"/>
    <w:rsid w:val="008A5B2E"/>
    <w:rsid w:val="008A5E5C"/>
    <w:rsid w:val="008A604D"/>
    <w:rsid w:val="008A6112"/>
    <w:rsid w:val="008A62F5"/>
    <w:rsid w:val="008A6317"/>
    <w:rsid w:val="008A6756"/>
    <w:rsid w:val="008A6913"/>
    <w:rsid w:val="008A6979"/>
    <w:rsid w:val="008A698B"/>
    <w:rsid w:val="008A6A93"/>
    <w:rsid w:val="008A73B7"/>
    <w:rsid w:val="008A73FB"/>
    <w:rsid w:val="008A7ADB"/>
    <w:rsid w:val="008A7E74"/>
    <w:rsid w:val="008B011A"/>
    <w:rsid w:val="008B0405"/>
    <w:rsid w:val="008B08EE"/>
    <w:rsid w:val="008B0936"/>
    <w:rsid w:val="008B0DED"/>
    <w:rsid w:val="008B0EBE"/>
    <w:rsid w:val="008B0F8A"/>
    <w:rsid w:val="008B1437"/>
    <w:rsid w:val="008B14D0"/>
    <w:rsid w:val="008B15F2"/>
    <w:rsid w:val="008B17E7"/>
    <w:rsid w:val="008B1827"/>
    <w:rsid w:val="008B1C2D"/>
    <w:rsid w:val="008B1D2F"/>
    <w:rsid w:val="008B1DB8"/>
    <w:rsid w:val="008B1E08"/>
    <w:rsid w:val="008B1F1B"/>
    <w:rsid w:val="008B25D7"/>
    <w:rsid w:val="008B2643"/>
    <w:rsid w:val="008B2D39"/>
    <w:rsid w:val="008B2D6C"/>
    <w:rsid w:val="008B3078"/>
    <w:rsid w:val="008B34E4"/>
    <w:rsid w:val="008B368A"/>
    <w:rsid w:val="008B3C36"/>
    <w:rsid w:val="008B3F96"/>
    <w:rsid w:val="008B425C"/>
    <w:rsid w:val="008B429F"/>
    <w:rsid w:val="008B44C1"/>
    <w:rsid w:val="008B4814"/>
    <w:rsid w:val="008B4BA4"/>
    <w:rsid w:val="008B4F80"/>
    <w:rsid w:val="008B4FF7"/>
    <w:rsid w:val="008B557E"/>
    <w:rsid w:val="008B5655"/>
    <w:rsid w:val="008B5B4B"/>
    <w:rsid w:val="008B60CD"/>
    <w:rsid w:val="008B6281"/>
    <w:rsid w:val="008B6637"/>
    <w:rsid w:val="008B6A56"/>
    <w:rsid w:val="008B6A61"/>
    <w:rsid w:val="008B6AC4"/>
    <w:rsid w:val="008B6AE4"/>
    <w:rsid w:val="008B6C11"/>
    <w:rsid w:val="008B6C64"/>
    <w:rsid w:val="008B70F3"/>
    <w:rsid w:val="008B71C4"/>
    <w:rsid w:val="008B750A"/>
    <w:rsid w:val="008B7553"/>
    <w:rsid w:val="008B76DF"/>
    <w:rsid w:val="008B7B93"/>
    <w:rsid w:val="008B7F96"/>
    <w:rsid w:val="008C0005"/>
    <w:rsid w:val="008C016D"/>
    <w:rsid w:val="008C01AD"/>
    <w:rsid w:val="008C036F"/>
    <w:rsid w:val="008C0640"/>
    <w:rsid w:val="008C0AAD"/>
    <w:rsid w:val="008C0CF8"/>
    <w:rsid w:val="008C1024"/>
    <w:rsid w:val="008C10F4"/>
    <w:rsid w:val="008C165F"/>
    <w:rsid w:val="008C1676"/>
    <w:rsid w:val="008C1737"/>
    <w:rsid w:val="008C18D3"/>
    <w:rsid w:val="008C194F"/>
    <w:rsid w:val="008C26E9"/>
    <w:rsid w:val="008C2A23"/>
    <w:rsid w:val="008C32B9"/>
    <w:rsid w:val="008C333B"/>
    <w:rsid w:val="008C3534"/>
    <w:rsid w:val="008C3B86"/>
    <w:rsid w:val="008C3C3A"/>
    <w:rsid w:val="008C3CAD"/>
    <w:rsid w:val="008C4761"/>
    <w:rsid w:val="008C4851"/>
    <w:rsid w:val="008C4FF1"/>
    <w:rsid w:val="008C51E2"/>
    <w:rsid w:val="008C5D51"/>
    <w:rsid w:val="008C6268"/>
    <w:rsid w:val="008C6495"/>
    <w:rsid w:val="008C6539"/>
    <w:rsid w:val="008C65F7"/>
    <w:rsid w:val="008C69D2"/>
    <w:rsid w:val="008C6F05"/>
    <w:rsid w:val="008C713D"/>
    <w:rsid w:val="008C724B"/>
    <w:rsid w:val="008C72AE"/>
    <w:rsid w:val="008C75AD"/>
    <w:rsid w:val="008C7BFD"/>
    <w:rsid w:val="008C7E29"/>
    <w:rsid w:val="008C7FC5"/>
    <w:rsid w:val="008D0084"/>
    <w:rsid w:val="008D041E"/>
    <w:rsid w:val="008D0891"/>
    <w:rsid w:val="008D089D"/>
    <w:rsid w:val="008D0A53"/>
    <w:rsid w:val="008D0C1C"/>
    <w:rsid w:val="008D0CA7"/>
    <w:rsid w:val="008D121D"/>
    <w:rsid w:val="008D1845"/>
    <w:rsid w:val="008D196C"/>
    <w:rsid w:val="008D2892"/>
    <w:rsid w:val="008D28D3"/>
    <w:rsid w:val="008D28EC"/>
    <w:rsid w:val="008D29A3"/>
    <w:rsid w:val="008D2F85"/>
    <w:rsid w:val="008D3121"/>
    <w:rsid w:val="008D333C"/>
    <w:rsid w:val="008D342D"/>
    <w:rsid w:val="008D3A08"/>
    <w:rsid w:val="008D405E"/>
    <w:rsid w:val="008D45A1"/>
    <w:rsid w:val="008D4AAD"/>
    <w:rsid w:val="008D4C9A"/>
    <w:rsid w:val="008D4DF8"/>
    <w:rsid w:val="008D4E14"/>
    <w:rsid w:val="008D585B"/>
    <w:rsid w:val="008D5887"/>
    <w:rsid w:val="008D5929"/>
    <w:rsid w:val="008D5DB6"/>
    <w:rsid w:val="008D5E6B"/>
    <w:rsid w:val="008D6147"/>
    <w:rsid w:val="008D6363"/>
    <w:rsid w:val="008D6617"/>
    <w:rsid w:val="008D68DD"/>
    <w:rsid w:val="008D6988"/>
    <w:rsid w:val="008D6D4F"/>
    <w:rsid w:val="008D6E44"/>
    <w:rsid w:val="008D749C"/>
    <w:rsid w:val="008D74CC"/>
    <w:rsid w:val="008D77C6"/>
    <w:rsid w:val="008D7842"/>
    <w:rsid w:val="008D7D59"/>
    <w:rsid w:val="008D7F2C"/>
    <w:rsid w:val="008E0428"/>
    <w:rsid w:val="008E05A5"/>
    <w:rsid w:val="008E0761"/>
    <w:rsid w:val="008E08DE"/>
    <w:rsid w:val="008E0B16"/>
    <w:rsid w:val="008E0CC9"/>
    <w:rsid w:val="008E0E90"/>
    <w:rsid w:val="008E1067"/>
    <w:rsid w:val="008E1214"/>
    <w:rsid w:val="008E1C80"/>
    <w:rsid w:val="008E2078"/>
    <w:rsid w:val="008E20C5"/>
    <w:rsid w:val="008E23C0"/>
    <w:rsid w:val="008E249E"/>
    <w:rsid w:val="008E24A6"/>
    <w:rsid w:val="008E24C1"/>
    <w:rsid w:val="008E2534"/>
    <w:rsid w:val="008E25C9"/>
    <w:rsid w:val="008E270D"/>
    <w:rsid w:val="008E2739"/>
    <w:rsid w:val="008E28F0"/>
    <w:rsid w:val="008E297A"/>
    <w:rsid w:val="008E2C63"/>
    <w:rsid w:val="008E2ECB"/>
    <w:rsid w:val="008E316D"/>
    <w:rsid w:val="008E394E"/>
    <w:rsid w:val="008E3D79"/>
    <w:rsid w:val="008E3DED"/>
    <w:rsid w:val="008E4400"/>
    <w:rsid w:val="008E453D"/>
    <w:rsid w:val="008E455B"/>
    <w:rsid w:val="008E4767"/>
    <w:rsid w:val="008E4AC6"/>
    <w:rsid w:val="008E4D92"/>
    <w:rsid w:val="008E51F8"/>
    <w:rsid w:val="008E52D1"/>
    <w:rsid w:val="008E536F"/>
    <w:rsid w:val="008E5492"/>
    <w:rsid w:val="008E5550"/>
    <w:rsid w:val="008E5B40"/>
    <w:rsid w:val="008E5D05"/>
    <w:rsid w:val="008E5DF4"/>
    <w:rsid w:val="008E5F50"/>
    <w:rsid w:val="008E60DD"/>
    <w:rsid w:val="008E6203"/>
    <w:rsid w:val="008E6298"/>
    <w:rsid w:val="008E69A4"/>
    <w:rsid w:val="008E6B2C"/>
    <w:rsid w:val="008E721C"/>
    <w:rsid w:val="008E77A6"/>
    <w:rsid w:val="008E7A77"/>
    <w:rsid w:val="008E7A8C"/>
    <w:rsid w:val="008F04B7"/>
    <w:rsid w:val="008F07B4"/>
    <w:rsid w:val="008F0824"/>
    <w:rsid w:val="008F0E47"/>
    <w:rsid w:val="008F1272"/>
    <w:rsid w:val="008F13C0"/>
    <w:rsid w:val="008F158F"/>
    <w:rsid w:val="008F1AE2"/>
    <w:rsid w:val="008F1FBE"/>
    <w:rsid w:val="008F2067"/>
    <w:rsid w:val="008F2126"/>
    <w:rsid w:val="008F223B"/>
    <w:rsid w:val="008F26CE"/>
    <w:rsid w:val="008F2795"/>
    <w:rsid w:val="008F288B"/>
    <w:rsid w:val="008F2987"/>
    <w:rsid w:val="008F2CAD"/>
    <w:rsid w:val="008F2DB8"/>
    <w:rsid w:val="008F3476"/>
    <w:rsid w:val="008F34AF"/>
    <w:rsid w:val="008F3A6D"/>
    <w:rsid w:val="008F3C2C"/>
    <w:rsid w:val="008F4523"/>
    <w:rsid w:val="008F53B4"/>
    <w:rsid w:val="008F57F9"/>
    <w:rsid w:val="008F5912"/>
    <w:rsid w:val="008F593F"/>
    <w:rsid w:val="008F6760"/>
    <w:rsid w:val="008F68AD"/>
    <w:rsid w:val="008F6BE4"/>
    <w:rsid w:val="008F6FF3"/>
    <w:rsid w:val="008F7080"/>
    <w:rsid w:val="008F72A6"/>
    <w:rsid w:val="008F72E1"/>
    <w:rsid w:val="009006D6"/>
    <w:rsid w:val="00900777"/>
    <w:rsid w:val="00900786"/>
    <w:rsid w:val="00900827"/>
    <w:rsid w:val="00900CD9"/>
    <w:rsid w:val="0090110D"/>
    <w:rsid w:val="00901201"/>
    <w:rsid w:val="009012B7"/>
    <w:rsid w:val="009014F8"/>
    <w:rsid w:val="0090156A"/>
    <w:rsid w:val="009015CD"/>
    <w:rsid w:val="009015EC"/>
    <w:rsid w:val="00901822"/>
    <w:rsid w:val="0090203B"/>
    <w:rsid w:val="00902080"/>
    <w:rsid w:val="009021F6"/>
    <w:rsid w:val="009021F7"/>
    <w:rsid w:val="009022A1"/>
    <w:rsid w:val="00902485"/>
    <w:rsid w:val="009025B7"/>
    <w:rsid w:val="0090263B"/>
    <w:rsid w:val="009029B4"/>
    <w:rsid w:val="009030E8"/>
    <w:rsid w:val="00903269"/>
    <w:rsid w:val="00903285"/>
    <w:rsid w:val="009032BC"/>
    <w:rsid w:val="00903362"/>
    <w:rsid w:val="0090349E"/>
    <w:rsid w:val="009039D8"/>
    <w:rsid w:val="009039E0"/>
    <w:rsid w:val="00903A7E"/>
    <w:rsid w:val="00903AD2"/>
    <w:rsid w:val="00903E9C"/>
    <w:rsid w:val="00904499"/>
    <w:rsid w:val="009044A3"/>
    <w:rsid w:val="00904824"/>
    <w:rsid w:val="00904921"/>
    <w:rsid w:val="00904D0C"/>
    <w:rsid w:val="009052F6"/>
    <w:rsid w:val="00905388"/>
    <w:rsid w:val="0090560D"/>
    <w:rsid w:val="00905F82"/>
    <w:rsid w:val="00906075"/>
    <w:rsid w:val="009068B3"/>
    <w:rsid w:val="00906A11"/>
    <w:rsid w:val="00906AEF"/>
    <w:rsid w:val="00906E68"/>
    <w:rsid w:val="00906F40"/>
    <w:rsid w:val="00907032"/>
    <w:rsid w:val="0090731E"/>
    <w:rsid w:val="009077FA"/>
    <w:rsid w:val="00907EE1"/>
    <w:rsid w:val="00907F72"/>
    <w:rsid w:val="009101D6"/>
    <w:rsid w:val="00910307"/>
    <w:rsid w:val="009104BE"/>
    <w:rsid w:val="009105D5"/>
    <w:rsid w:val="00910703"/>
    <w:rsid w:val="0091083B"/>
    <w:rsid w:val="00910C25"/>
    <w:rsid w:val="00911416"/>
    <w:rsid w:val="00911429"/>
    <w:rsid w:val="009119C7"/>
    <w:rsid w:val="00911B02"/>
    <w:rsid w:val="009120EA"/>
    <w:rsid w:val="00912594"/>
    <w:rsid w:val="0091260F"/>
    <w:rsid w:val="009126C4"/>
    <w:rsid w:val="00912BC9"/>
    <w:rsid w:val="00912F99"/>
    <w:rsid w:val="009135FD"/>
    <w:rsid w:val="00913780"/>
    <w:rsid w:val="009137C5"/>
    <w:rsid w:val="009138AD"/>
    <w:rsid w:val="00913986"/>
    <w:rsid w:val="0091398D"/>
    <w:rsid w:val="00913E43"/>
    <w:rsid w:val="00914109"/>
    <w:rsid w:val="00914118"/>
    <w:rsid w:val="00914419"/>
    <w:rsid w:val="0091446E"/>
    <w:rsid w:val="0091468D"/>
    <w:rsid w:val="009148AC"/>
    <w:rsid w:val="00915126"/>
    <w:rsid w:val="00915272"/>
    <w:rsid w:val="009159BB"/>
    <w:rsid w:val="00915B1C"/>
    <w:rsid w:val="00915FE9"/>
    <w:rsid w:val="00916012"/>
    <w:rsid w:val="00916187"/>
    <w:rsid w:val="009162ED"/>
    <w:rsid w:val="00916470"/>
    <w:rsid w:val="00916763"/>
    <w:rsid w:val="00916903"/>
    <w:rsid w:val="0091690D"/>
    <w:rsid w:val="00916D98"/>
    <w:rsid w:val="009174F3"/>
    <w:rsid w:val="00917623"/>
    <w:rsid w:val="00917761"/>
    <w:rsid w:val="009177E6"/>
    <w:rsid w:val="009177F5"/>
    <w:rsid w:val="0091797D"/>
    <w:rsid w:val="00917A80"/>
    <w:rsid w:val="009204D2"/>
    <w:rsid w:val="00920899"/>
    <w:rsid w:val="00920DE2"/>
    <w:rsid w:val="00920DFB"/>
    <w:rsid w:val="009213F9"/>
    <w:rsid w:val="009216FA"/>
    <w:rsid w:val="0092175F"/>
    <w:rsid w:val="00921D3E"/>
    <w:rsid w:val="009221FA"/>
    <w:rsid w:val="009222DE"/>
    <w:rsid w:val="00922863"/>
    <w:rsid w:val="00923162"/>
    <w:rsid w:val="0092379B"/>
    <w:rsid w:val="0092399D"/>
    <w:rsid w:val="009239D5"/>
    <w:rsid w:val="00923A32"/>
    <w:rsid w:val="00923B4E"/>
    <w:rsid w:val="00923C4D"/>
    <w:rsid w:val="00923CBA"/>
    <w:rsid w:val="00923FA7"/>
    <w:rsid w:val="0092402F"/>
    <w:rsid w:val="009241AB"/>
    <w:rsid w:val="00924297"/>
    <w:rsid w:val="009244ED"/>
    <w:rsid w:val="0092458A"/>
    <w:rsid w:val="009246EE"/>
    <w:rsid w:val="00924FFF"/>
    <w:rsid w:val="009250CF"/>
    <w:rsid w:val="009253BC"/>
    <w:rsid w:val="00925B48"/>
    <w:rsid w:val="00925D06"/>
    <w:rsid w:val="009262D9"/>
    <w:rsid w:val="00926703"/>
    <w:rsid w:val="00926B4D"/>
    <w:rsid w:val="00927086"/>
    <w:rsid w:val="00927691"/>
    <w:rsid w:val="00927782"/>
    <w:rsid w:val="00927A5F"/>
    <w:rsid w:val="00927DA4"/>
    <w:rsid w:val="00930510"/>
    <w:rsid w:val="009309E3"/>
    <w:rsid w:val="00930AFC"/>
    <w:rsid w:val="00930BEE"/>
    <w:rsid w:val="00930E2F"/>
    <w:rsid w:val="0093117B"/>
    <w:rsid w:val="0093203F"/>
    <w:rsid w:val="00932187"/>
    <w:rsid w:val="0093282C"/>
    <w:rsid w:val="00932B09"/>
    <w:rsid w:val="00932EB4"/>
    <w:rsid w:val="00932F0E"/>
    <w:rsid w:val="009332CD"/>
    <w:rsid w:val="0093356B"/>
    <w:rsid w:val="00933A25"/>
    <w:rsid w:val="00933E63"/>
    <w:rsid w:val="00933F2D"/>
    <w:rsid w:val="00934021"/>
    <w:rsid w:val="0093482B"/>
    <w:rsid w:val="00934845"/>
    <w:rsid w:val="00934926"/>
    <w:rsid w:val="00934BE6"/>
    <w:rsid w:val="00934EFE"/>
    <w:rsid w:val="00935B63"/>
    <w:rsid w:val="00935C29"/>
    <w:rsid w:val="00935CA4"/>
    <w:rsid w:val="00935FC8"/>
    <w:rsid w:val="0093606A"/>
    <w:rsid w:val="00936465"/>
    <w:rsid w:val="009365AA"/>
    <w:rsid w:val="00936729"/>
    <w:rsid w:val="00936E95"/>
    <w:rsid w:val="009370D2"/>
    <w:rsid w:val="00937899"/>
    <w:rsid w:val="00937A9D"/>
    <w:rsid w:val="00937D70"/>
    <w:rsid w:val="00940168"/>
    <w:rsid w:val="0094024A"/>
    <w:rsid w:val="0094057A"/>
    <w:rsid w:val="0094078F"/>
    <w:rsid w:val="00940915"/>
    <w:rsid w:val="00940BBD"/>
    <w:rsid w:val="00940FA3"/>
    <w:rsid w:val="009410A0"/>
    <w:rsid w:val="00941342"/>
    <w:rsid w:val="00941384"/>
    <w:rsid w:val="00941586"/>
    <w:rsid w:val="00941B71"/>
    <w:rsid w:val="00941EB9"/>
    <w:rsid w:val="00941FB0"/>
    <w:rsid w:val="009420CD"/>
    <w:rsid w:val="009422EC"/>
    <w:rsid w:val="009426D4"/>
    <w:rsid w:val="00942796"/>
    <w:rsid w:val="00942AB8"/>
    <w:rsid w:val="00943209"/>
    <w:rsid w:val="00943542"/>
    <w:rsid w:val="00943747"/>
    <w:rsid w:val="00943910"/>
    <w:rsid w:val="00943B51"/>
    <w:rsid w:val="0094420F"/>
    <w:rsid w:val="009444C6"/>
    <w:rsid w:val="00944A3E"/>
    <w:rsid w:val="00944C93"/>
    <w:rsid w:val="00945378"/>
    <w:rsid w:val="009454B8"/>
    <w:rsid w:val="009458F2"/>
    <w:rsid w:val="009459D3"/>
    <w:rsid w:val="00945B71"/>
    <w:rsid w:val="00945D72"/>
    <w:rsid w:val="00945EF4"/>
    <w:rsid w:val="00946013"/>
    <w:rsid w:val="00946109"/>
    <w:rsid w:val="009462A9"/>
    <w:rsid w:val="0094638E"/>
    <w:rsid w:val="00946C6E"/>
    <w:rsid w:val="00947275"/>
    <w:rsid w:val="00947289"/>
    <w:rsid w:val="00947606"/>
    <w:rsid w:val="009478BF"/>
    <w:rsid w:val="00947C10"/>
    <w:rsid w:val="00947F25"/>
    <w:rsid w:val="00950159"/>
    <w:rsid w:val="00951470"/>
    <w:rsid w:val="00951589"/>
    <w:rsid w:val="009516C1"/>
    <w:rsid w:val="009516D9"/>
    <w:rsid w:val="00952091"/>
    <w:rsid w:val="009521F9"/>
    <w:rsid w:val="009522C7"/>
    <w:rsid w:val="00952587"/>
    <w:rsid w:val="0095278D"/>
    <w:rsid w:val="00952909"/>
    <w:rsid w:val="009529D2"/>
    <w:rsid w:val="00952A63"/>
    <w:rsid w:val="00952E3C"/>
    <w:rsid w:val="00953469"/>
    <w:rsid w:val="009534DA"/>
    <w:rsid w:val="009540C4"/>
    <w:rsid w:val="009543FD"/>
    <w:rsid w:val="009544C6"/>
    <w:rsid w:val="009545DF"/>
    <w:rsid w:val="00954837"/>
    <w:rsid w:val="0095490B"/>
    <w:rsid w:val="00954AB8"/>
    <w:rsid w:val="00954DB7"/>
    <w:rsid w:val="00954E61"/>
    <w:rsid w:val="00955202"/>
    <w:rsid w:val="00955238"/>
    <w:rsid w:val="0095587F"/>
    <w:rsid w:val="00955A40"/>
    <w:rsid w:val="00955DC8"/>
    <w:rsid w:val="009561D0"/>
    <w:rsid w:val="009562CB"/>
    <w:rsid w:val="00956458"/>
    <w:rsid w:val="009564B8"/>
    <w:rsid w:val="00956A20"/>
    <w:rsid w:val="00956E8E"/>
    <w:rsid w:val="00956ECA"/>
    <w:rsid w:val="00956ED2"/>
    <w:rsid w:val="0095751A"/>
    <w:rsid w:val="009578E2"/>
    <w:rsid w:val="00957905"/>
    <w:rsid w:val="00960899"/>
    <w:rsid w:val="00960A33"/>
    <w:rsid w:val="00960CA6"/>
    <w:rsid w:val="00960CDE"/>
    <w:rsid w:val="00960D1A"/>
    <w:rsid w:val="00960EE6"/>
    <w:rsid w:val="0096151E"/>
    <w:rsid w:val="009615AB"/>
    <w:rsid w:val="00961BC8"/>
    <w:rsid w:val="0096210E"/>
    <w:rsid w:val="009622F1"/>
    <w:rsid w:val="00962BBF"/>
    <w:rsid w:val="00963722"/>
    <w:rsid w:val="00964395"/>
    <w:rsid w:val="00964678"/>
    <w:rsid w:val="0096484D"/>
    <w:rsid w:val="00964BCD"/>
    <w:rsid w:val="00964E4B"/>
    <w:rsid w:val="00964F89"/>
    <w:rsid w:val="009653C3"/>
    <w:rsid w:val="0096586F"/>
    <w:rsid w:val="00965E2E"/>
    <w:rsid w:val="00965E7B"/>
    <w:rsid w:val="00965EAB"/>
    <w:rsid w:val="0096639E"/>
    <w:rsid w:val="009663D7"/>
    <w:rsid w:val="009669A6"/>
    <w:rsid w:val="00966A18"/>
    <w:rsid w:val="00966D0A"/>
    <w:rsid w:val="0096725A"/>
    <w:rsid w:val="009673AF"/>
    <w:rsid w:val="00967FB8"/>
    <w:rsid w:val="009700FB"/>
    <w:rsid w:val="0097051C"/>
    <w:rsid w:val="00970C08"/>
    <w:rsid w:val="00970C54"/>
    <w:rsid w:val="00970D23"/>
    <w:rsid w:val="00970FC7"/>
    <w:rsid w:val="0097125F"/>
    <w:rsid w:val="0097148C"/>
    <w:rsid w:val="00971914"/>
    <w:rsid w:val="00971C5F"/>
    <w:rsid w:val="009720E6"/>
    <w:rsid w:val="0097214B"/>
    <w:rsid w:val="00972159"/>
    <w:rsid w:val="00972696"/>
    <w:rsid w:val="009728CA"/>
    <w:rsid w:val="0097337C"/>
    <w:rsid w:val="00973B79"/>
    <w:rsid w:val="00973F36"/>
    <w:rsid w:val="009741A6"/>
    <w:rsid w:val="00974363"/>
    <w:rsid w:val="009745AB"/>
    <w:rsid w:val="009748F1"/>
    <w:rsid w:val="0097491D"/>
    <w:rsid w:val="00974B99"/>
    <w:rsid w:val="00974E89"/>
    <w:rsid w:val="009756E9"/>
    <w:rsid w:val="009759B2"/>
    <w:rsid w:val="009759EF"/>
    <w:rsid w:val="00975E52"/>
    <w:rsid w:val="00975EA9"/>
    <w:rsid w:val="00975F8D"/>
    <w:rsid w:val="0097625F"/>
    <w:rsid w:val="009763C8"/>
    <w:rsid w:val="00976631"/>
    <w:rsid w:val="0097677A"/>
    <w:rsid w:val="00976DC9"/>
    <w:rsid w:val="00976F95"/>
    <w:rsid w:val="00977649"/>
    <w:rsid w:val="00977DB2"/>
    <w:rsid w:val="00977E9E"/>
    <w:rsid w:val="00977F12"/>
    <w:rsid w:val="0098053B"/>
    <w:rsid w:val="00980741"/>
    <w:rsid w:val="00980ADB"/>
    <w:rsid w:val="0098172F"/>
    <w:rsid w:val="009817C8"/>
    <w:rsid w:val="009817E3"/>
    <w:rsid w:val="00981898"/>
    <w:rsid w:val="009820B7"/>
    <w:rsid w:val="009824A3"/>
    <w:rsid w:val="009824FB"/>
    <w:rsid w:val="009825AE"/>
    <w:rsid w:val="00982E2E"/>
    <w:rsid w:val="00982F86"/>
    <w:rsid w:val="00983619"/>
    <w:rsid w:val="00983779"/>
    <w:rsid w:val="00983915"/>
    <w:rsid w:val="00983F37"/>
    <w:rsid w:val="00983FE6"/>
    <w:rsid w:val="00984128"/>
    <w:rsid w:val="00984E41"/>
    <w:rsid w:val="009855D0"/>
    <w:rsid w:val="009856BA"/>
    <w:rsid w:val="00985988"/>
    <w:rsid w:val="00985ABA"/>
    <w:rsid w:val="0098625D"/>
    <w:rsid w:val="009866CE"/>
    <w:rsid w:val="00986B02"/>
    <w:rsid w:val="00986B3D"/>
    <w:rsid w:val="00986CFC"/>
    <w:rsid w:val="00986D9C"/>
    <w:rsid w:val="00987520"/>
    <w:rsid w:val="00987AB2"/>
    <w:rsid w:val="00990288"/>
    <w:rsid w:val="0099072E"/>
    <w:rsid w:val="009907D9"/>
    <w:rsid w:val="00990E77"/>
    <w:rsid w:val="00990E8E"/>
    <w:rsid w:val="00991484"/>
    <w:rsid w:val="009915BF"/>
    <w:rsid w:val="00991DCD"/>
    <w:rsid w:val="00991E01"/>
    <w:rsid w:val="00991EF5"/>
    <w:rsid w:val="00992070"/>
    <w:rsid w:val="00992247"/>
    <w:rsid w:val="00992C3F"/>
    <w:rsid w:val="00992FE1"/>
    <w:rsid w:val="00993227"/>
    <w:rsid w:val="00993519"/>
    <w:rsid w:val="009936E1"/>
    <w:rsid w:val="00993A78"/>
    <w:rsid w:val="00993D2C"/>
    <w:rsid w:val="00993D5A"/>
    <w:rsid w:val="00993FE6"/>
    <w:rsid w:val="0099440D"/>
    <w:rsid w:val="0099472F"/>
    <w:rsid w:val="0099483E"/>
    <w:rsid w:val="0099494B"/>
    <w:rsid w:val="00994CA1"/>
    <w:rsid w:val="00995039"/>
    <w:rsid w:val="0099577C"/>
    <w:rsid w:val="00995800"/>
    <w:rsid w:val="0099580D"/>
    <w:rsid w:val="009959BD"/>
    <w:rsid w:val="009959E8"/>
    <w:rsid w:val="00995D72"/>
    <w:rsid w:val="00995FC7"/>
    <w:rsid w:val="0099601D"/>
    <w:rsid w:val="009964BE"/>
    <w:rsid w:val="0099657E"/>
    <w:rsid w:val="00996B18"/>
    <w:rsid w:val="00997373"/>
    <w:rsid w:val="009974E2"/>
    <w:rsid w:val="0099762B"/>
    <w:rsid w:val="00997E1A"/>
    <w:rsid w:val="00997E52"/>
    <w:rsid w:val="009A01A9"/>
    <w:rsid w:val="009A021C"/>
    <w:rsid w:val="009A04DA"/>
    <w:rsid w:val="009A069E"/>
    <w:rsid w:val="009A0722"/>
    <w:rsid w:val="009A0C0F"/>
    <w:rsid w:val="009A0C6B"/>
    <w:rsid w:val="009A0D52"/>
    <w:rsid w:val="009A11C4"/>
    <w:rsid w:val="009A13AE"/>
    <w:rsid w:val="009A157E"/>
    <w:rsid w:val="009A19B6"/>
    <w:rsid w:val="009A1D83"/>
    <w:rsid w:val="009A21D2"/>
    <w:rsid w:val="009A226D"/>
    <w:rsid w:val="009A23F7"/>
    <w:rsid w:val="009A25CC"/>
    <w:rsid w:val="009A2919"/>
    <w:rsid w:val="009A2A9C"/>
    <w:rsid w:val="009A30AE"/>
    <w:rsid w:val="009A339E"/>
    <w:rsid w:val="009A342F"/>
    <w:rsid w:val="009A3709"/>
    <w:rsid w:val="009A39B8"/>
    <w:rsid w:val="009A3E0D"/>
    <w:rsid w:val="009A3E80"/>
    <w:rsid w:val="009A40CA"/>
    <w:rsid w:val="009A4859"/>
    <w:rsid w:val="009A48CB"/>
    <w:rsid w:val="009A50C4"/>
    <w:rsid w:val="009A512F"/>
    <w:rsid w:val="009A524F"/>
    <w:rsid w:val="009A58E1"/>
    <w:rsid w:val="009A623E"/>
    <w:rsid w:val="009A62EE"/>
    <w:rsid w:val="009A6617"/>
    <w:rsid w:val="009A6877"/>
    <w:rsid w:val="009A6AA9"/>
    <w:rsid w:val="009A6AD5"/>
    <w:rsid w:val="009A6C52"/>
    <w:rsid w:val="009A705B"/>
    <w:rsid w:val="009A7B3C"/>
    <w:rsid w:val="009A7B3F"/>
    <w:rsid w:val="009A7C17"/>
    <w:rsid w:val="009A7EA4"/>
    <w:rsid w:val="009B02E0"/>
    <w:rsid w:val="009B03A8"/>
    <w:rsid w:val="009B0400"/>
    <w:rsid w:val="009B04A1"/>
    <w:rsid w:val="009B04AA"/>
    <w:rsid w:val="009B0634"/>
    <w:rsid w:val="009B0844"/>
    <w:rsid w:val="009B0A54"/>
    <w:rsid w:val="009B11AD"/>
    <w:rsid w:val="009B124F"/>
    <w:rsid w:val="009B14DE"/>
    <w:rsid w:val="009B1858"/>
    <w:rsid w:val="009B1976"/>
    <w:rsid w:val="009B1E5F"/>
    <w:rsid w:val="009B2098"/>
    <w:rsid w:val="009B2227"/>
    <w:rsid w:val="009B2485"/>
    <w:rsid w:val="009B24A5"/>
    <w:rsid w:val="009B2601"/>
    <w:rsid w:val="009B29BD"/>
    <w:rsid w:val="009B2B3C"/>
    <w:rsid w:val="009B3116"/>
    <w:rsid w:val="009B342B"/>
    <w:rsid w:val="009B3AA2"/>
    <w:rsid w:val="009B3B8B"/>
    <w:rsid w:val="009B3EC1"/>
    <w:rsid w:val="009B3F82"/>
    <w:rsid w:val="009B3FE0"/>
    <w:rsid w:val="009B41A4"/>
    <w:rsid w:val="009B4325"/>
    <w:rsid w:val="009B4351"/>
    <w:rsid w:val="009B4CD9"/>
    <w:rsid w:val="009B4E9E"/>
    <w:rsid w:val="009B503B"/>
    <w:rsid w:val="009B5228"/>
    <w:rsid w:val="009B53B5"/>
    <w:rsid w:val="009B5640"/>
    <w:rsid w:val="009B5745"/>
    <w:rsid w:val="009B58BD"/>
    <w:rsid w:val="009B5BBD"/>
    <w:rsid w:val="009B5BDF"/>
    <w:rsid w:val="009B5CFF"/>
    <w:rsid w:val="009B5F1F"/>
    <w:rsid w:val="009B67DF"/>
    <w:rsid w:val="009B68B8"/>
    <w:rsid w:val="009B6B0A"/>
    <w:rsid w:val="009B6D04"/>
    <w:rsid w:val="009B6DA0"/>
    <w:rsid w:val="009B6DA6"/>
    <w:rsid w:val="009B787F"/>
    <w:rsid w:val="009B7952"/>
    <w:rsid w:val="009B7AD5"/>
    <w:rsid w:val="009B7CEC"/>
    <w:rsid w:val="009B7D77"/>
    <w:rsid w:val="009C01AC"/>
    <w:rsid w:val="009C0296"/>
    <w:rsid w:val="009C03E0"/>
    <w:rsid w:val="009C0BB8"/>
    <w:rsid w:val="009C0F12"/>
    <w:rsid w:val="009C10AE"/>
    <w:rsid w:val="009C121D"/>
    <w:rsid w:val="009C124C"/>
    <w:rsid w:val="009C135C"/>
    <w:rsid w:val="009C1591"/>
    <w:rsid w:val="009C1690"/>
    <w:rsid w:val="009C16FC"/>
    <w:rsid w:val="009C1E15"/>
    <w:rsid w:val="009C2077"/>
    <w:rsid w:val="009C20FA"/>
    <w:rsid w:val="009C222F"/>
    <w:rsid w:val="009C2397"/>
    <w:rsid w:val="009C309A"/>
    <w:rsid w:val="009C327B"/>
    <w:rsid w:val="009C3802"/>
    <w:rsid w:val="009C3820"/>
    <w:rsid w:val="009C3B1A"/>
    <w:rsid w:val="009C4729"/>
    <w:rsid w:val="009C4893"/>
    <w:rsid w:val="009C4B6C"/>
    <w:rsid w:val="009C4CAE"/>
    <w:rsid w:val="009C4F7E"/>
    <w:rsid w:val="009C552E"/>
    <w:rsid w:val="009C5A26"/>
    <w:rsid w:val="009C5A6E"/>
    <w:rsid w:val="009C5B00"/>
    <w:rsid w:val="009C5D52"/>
    <w:rsid w:val="009C6157"/>
    <w:rsid w:val="009C6612"/>
    <w:rsid w:val="009C681A"/>
    <w:rsid w:val="009C6881"/>
    <w:rsid w:val="009C69D8"/>
    <w:rsid w:val="009C6D8D"/>
    <w:rsid w:val="009C6EC7"/>
    <w:rsid w:val="009C7759"/>
    <w:rsid w:val="009C77F3"/>
    <w:rsid w:val="009C7864"/>
    <w:rsid w:val="009C7EEB"/>
    <w:rsid w:val="009D0105"/>
    <w:rsid w:val="009D043D"/>
    <w:rsid w:val="009D04DF"/>
    <w:rsid w:val="009D05E7"/>
    <w:rsid w:val="009D07C8"/>
    <w:rsid w:val="009D0A86"/>
    <w:rsid w:val="009D0C03"/>
    <w:rsid w:val="009D0C53"/>
    <w:rsid w:val="009D1BE2"/>
    <w:rsid w:val="009D1BE3"/>
    <w:rsid w:val="009D1DC1"/>
    <w:rsid w:val="009D2530"/>
    <w:rsid w:val="009D2B89"/>
    <w:rsid w:val="009D2D25"/>
    <w:rsid w:val="009D2DE9"/>
    <w:rsid w:val="009D2E70"/>
    <w:rsid w:val="009D345F"/>
    <w:rsid w:val="009D397A"/>
    <w:rsid w:val="009D39F8"/>
    <w:rsid w:val="009D3A59"/>
    <w:rsid w:val="009D3DE8"/>
    <w:rsid w:val="009D4473"/>
    <w:rsid w:val="009D44AF"/>
    <w:rsid w:val="009D4A1D"/>
    <w:rsid w:val="009D4C85"/>
    <w:rsid w:val="009D4F06"/>
    <w:rsid w:val="009D5123"/>
    <w:rsid w:val="009D5344"/>
    <w:rsid w:val="009D548C"/>
    <w:rsid w:val="009D54CD"/>
    <w:rsid w:val="009D623C"/>
    <w:rsid w:val="009D64ED"/>
    <w:rsid w:val="009D6573"/>
    <w:rsid w:val="009D69D8"/>
    <w:rsid w:val="009D6BAA"/>
    <w:rsid w:val="009D6C71"/>
    <w:rsid w:val="009D7093"/>
    <w:rsid w:val="009D73A2"/>
    <w:rsid w:val="009D746E"/>
    <w:rsid w:val="009D7871"/>
    <w:rsid w:val="009D7D04"/>
    <w:rsid w:val="009D7D64"/>
    <w:rsid w:val="009D7D6E"/>
    <w:rsid w:val="009E0115"/>
    <w:rsid w:val="009E01A7"/>
    <w:rsid w:val="009E05F1"/>
    <w:rsid w:val="009E0631"/>
    <w:rsid w:val="009E091A"/>
    <w:rsid w:val="009E0DD8"/>
    <w:rsid w:val="009E13A6"/>
    <w:rsid w:val="009E16D0"/>
    <w:rsid w:val="009E16FD"/>
    <w:rsid w:val="009E1816"/>
    <w:rsid w:val="009E1ACF"/>
    <w:rsid w:val="009E1B39"/>
    <w:rsid w:val="009E2051"/>
    <w:rsid w:val="009E20FA"/>
    <w:rsid w:val="009E2277"/>
    <w:rsid w:val="009E26D6"/>
    <w:rsid w:val="009E2D3B"/>
    <w:rsid w:val="009E32F0"/>
    <w:rsid w:val="009E38FD"/>
    <w:rsid w:val="009E3B2F"/>
    <w:rsid w:val="009E3C3D"/>
    <w:rsid w:val="009E4BDA"/>
    <w:rsid w:val="009E4D26"/>
    <w:rsid w:val="009E4EBB"/>
    <w:rsid w:val="009E55FC"/>
    <w:rsid w:val="009E5601"/>
    <w:rsid w:val="009E5C35"/>
    <w:rsid w:val="009E5D90"/>
    <w:rsid w:val="009E6197"/>
    <w:rsid w:val="009E6882"/>
    <w:rsid w:val="009E6A7A"/>
    <w:rsid w:val="009E6BCD"/>
    <w:rsid w:val="009E6CBA"/>
    <w:rsid w:val="009E744E"/>
    <w:rsid w:val="009E75BF"/>
    <w:rsid w:val="009E7BD9"/>
    <w:rsid w:val="009F074E"/>
    <w:rsid w:val="009F13C7"/>
    <w:rsid w:val="009F13D6"/>
    <w:rsid w:val="009F1A65"/>
    <w:rsid w:val="009F1D8F"/>
    <w:rsid w:val="009F1DD1"/>
    <w:rsid w:val="009F204F"/>
    <w:rsid w:val="009F232B"/>
    <w:rsid w:val="009F2396"/>
    <w:rsid w:val="009F29FC"/>
    <w:rsid w:val="009F2A88"/>
    <w:rsid w:val="009F2DE0"/>
    <w:rsid w:val="009F2FA0"/>
    <w:rsid w:val="009F3033"/>
    <w:rsid w:val="009F306F"/>
    <w:rsid w:val="009F3390"/>
    <w:rsid w:val="009F3BD1"/>
    <w:rsid w:val="009F3D23"/>
    <w:rsid w:val="009F3FD2"/>
    <w:rsid w:val="009F3FD7"/>
    <w:rsid w:val="009F4AC4"/>
    <w:rsid w:val="009F4C6B"/>
    <w:rsid w:val="009F4CA3"/>
    <w:rsid w:val="009F54C6"/>
    <w:rsid w:val="009F5B28"/>
    <w:rsid w:val="009F60A4"/>
    <w:rsid w:val="009F60B1"/>
    <w:rsid w:val="009F617B"/>
    <w:rsid w:val="009F6271"/>
    <w:rsid w:val="009F6B73"/>
    <w:rsid w:val="009F6E4D"/>
    <w:rsid w:val="009F70F5"/>
    <w:rsid w:val="009F72D8"/>
    <w:rsid w:val="009F749D"/>
    <w:rsid w:val="009F78A8"/>
    <w:rsid w:val="009F7A12"/>
    <w:rsid w:val="009F7E54"/>
    <w:rsid w:val="009F7E5B"/>
    <w:rsid w:val="00A0055F"/>
    <w:rsid w:val="00A007AC"/>
    <w:rsid w:val="00A007BE"/>
    <w:rsid w:val="00A007CD"/>
    <w:rsid w:val="00A00AD0"/>
    <w:rsid w:val="00A00B34"/>
    <w:rsid w:val="00A00D89"/>
    <w:rsid w:val="00A01B0D"/>
    <w:rsid w:val="00A01C63"/>
    <w:rsid w:val="00A01C81"/>
    <w:rsid w:val="00A0218D"/>
    <w:rsid w:val="00A025B9"/>
    <w:rsid w:val="00A02653"/>
    <w:rsid w:val="00A028B0"/>
    <w:rsid w:val="00A02AD6"/>
    <w:rsid w:val="00A02ADC"/>
    <w:rsid w:val="00A02E29"/>
    <w:rsid w:val="00A03109"/>
    <w:rsid w:val="00A0344E"/>
    <w:rsid w:val="00A03484"/>
    <w:rsid w:val="00A034A4"/>
    <w:rsid w:val="00A03928"/>
    <w:rsid w:val="00A03FE4"/>
    <w:rsid w:val="00A04008"/>
    <w:rsid w:val="00A04DB2"/>
    <w:rsid w:val="00A04E33"/>
    <w:rsid w:val="00A04F7C"/>
    <w:rsid w:val="00A050E5"/>
    <w:rsid w:val="00A05400"/>
    <w:rsid w:val="00A0589B"/>
    <w:rsid w:val="00A05CC4"/>
    <w:rsid w:val="00A05ED1"/>
    <w:rsid w:val="00A05F52"/>
    <w:rsid w:val="00A061A3"/>
    <w:rsid w:val="00A06402"/>
    <w:rsid w:val="00A06C73"/>
    <w:rsid w:val="00A06D34"/>
    <w:rsid w:val="00A07096"/>
    <w:rsid w:val="00A07318"/>
    <w:rsid w:val="00A07A15"/>
    <w:rsid w:val="00A07AD0"/>
    <w:rsid w:val="00A07AF8"/>
    <w:rsid w:val="00A07E22"/>
    <w:rsid w:val="00A100B6"/>
    <w:rsid w:val="00A1021F"/>
    <w:rsid w:val="00A10419"/>
    <w:rsid w:val="00A107FD"/>
    <w:rsid w:val="00A1086D"/>
    <w:rsid w:val="00A11367"/>
    <w:rsid w:val="00A11370"/>
    <w:rsid w:val="00A11671"/>
    <w:rsid w:val="00A11A84"/>
    <w:rsid w:val="00A11F0E"/>
    <w:rsid w:val="00A12382"/>
    <w:rsid w:val="00A12AC0"/>
    <w:rsid w:val="00A12F4C"/>
    <w:rsid w:val="00A13615"/>
    <w:rsid w:val="00A13FB7"/>
    <w:rsid w:val="00A14231"/>
    <w:rsid w:val="00A142E9"/>
    <w:rsid w:val="00A14AF3"/>
    <w:rsid w:val="00A14B3E"/>
    <w:rsid w:val="00A14C19"/>
    <w:rsid w:val="00A14C54"/>
    <w:rsid w:val="00A14E89"/>
    <w:rsid w:val="00A1527F"/>
    <w:rsid w:val="00A152D6"/>
    <w:rsid w:val="00A155FF"/>
    <w:rsid w:val="00A158E9"/>
    <w:rsid w:val="00A15B0B"/>
    <w:rsid w:val="00A15EA8"/>
    <w:rsid w:val="00A16100"/>
    <w:rsid w:val="00A1672D"/>
    <w:rsid w:val="00A1690A"/>
    <w:rsid w:val="00A16D1C"/>
    <w:rsid w:val="00A16E7A"/>
    <w:rsid w:val="00A16E9F"/>
    <w:rsid w:val="00A17311"/>
    <w:rsid w:val="00A17CDE"/>
    <w:rsid w:val="00A2045D"/>
    <w:rsid w:val="00A20CF9"/>
    <w:rsid w:val="00A20DB6"/>
    <w:rsid w:val="00A210D2"/>
    <w:rsid w:val="00A211BC"/>
    <w:rsid w:val="00A21359"/>
    <w:rsid w:val="00A21643"/>
    <w:rsid w:val="00A21820"/>
    <w:rsid w:val="00A2198F"/>
    <w:rsid w:val="00A21999"/>
    <w:rsid w:val="00A21F2E"/>
    <w:rsid w:val="00A21F88"/>
    <w:rsid w:val="00A22081"/>
    <w:rsid w:val="00A2213F"/>
    <w:rsid w:val="00A224CE"/>
    <w:rsid w:val="00A22522"/>
    <w:rsid w:val="00A226BC"/>
    <w:rsid w:val="00A228E3"/>
    <w:rsid w:val="00A22B93"/>
    <w:rsid w:val="00A2313B"/>
    <w:rsid w:val="00A23A8E"/>
    <w:rsid w:val="00A24240"/>
    <w:rsid w:val="00A242D9"/>
    <w:rsid w:val="00A24AFD"/>
    <w:rsid w:val="00A24C53"/>
    <w:rsid w:val="00A24EDC"/>
    <w:rsid w:val="00A24F55"/>
    <w:rsid w:val="00A24F5C"/>
    <w:rsid w:val="00A253F4"/>
    <w:rsid w:val="00A25544"/>
    <w:rsid w:val="00A255FD"/>
    <w:rsid w:val="00A25685"/>
    <w:rsid w:val="00A25B14"/>
    <w:rsid w:val="00A26153"/>
    <w:rsid w:val="00A26735"/>
    <w:rsid w:val="00A26789"/>
    <w:rsid w:val="00A26D1D"/>
    <w:rsid w:val="00A277F3"/>
    <w:rsid w:val="00A27F07"/>
    <w:rsid w:val="00A27FE9"/>
    <w:rsid w:val="00A3002E"/>
    <w:rsid w:val="00A3042E"/>
    <w:rsid w:val="00A304BE"/>
    <w:rsid w:val="00A30811"/>
    <w:rsid w:val="00A31CCA"/>
    <w:rsid w:val="00A32260"/>
    <w:rsid w:val="00A32366"/>
    <w:rsid w:val="00A3276E"/>
    <w:rsid w:val="00A32A1C"/>
    <w:rsid w:val="00A32F96"/>
    <w:rsid w:val="00A3308F"/>
    <w:rsid w:val="00A33200"/>
    <w:rsid w:val="00A334B7"/>
    <w:rsid w:val="00A33C39"/>
    <w:rsid w:val="00A33D2F"/>
    <w:rsid w:val="00A340AB"/>
    <w:rsid w:val="00A34F74"/>
    <w:rsid w:val="00A35266"/>
    <w:rsid w:val="00A353A2"/>
    <w:rsid w:val="00A355E5"/>
    <w:rsid w:val="00A36D0E"/>
    <w:rsid w:val="00A36FC1"/>
    <w:rsid w:val="00A37090"/>
    <w:rsid w:val="00A371FB"/>
    <w:rsid w:val="00A37364"/>
    <w:rsid w:val="00A3751A"/>
    <w:rsid w:val="00A377E3"/>
    <w:rsid w:val="00A3785F"/>
    <w:rsid w:val="00A37B0E"/>
    <w:rsid w:val="00A37E67"/>
    <w:rsid w:val="00A40188"/>
    <w:rsid w:val="00A401D1"/>
    <w:rsid w:val="00A405D8"/>
    <w:rsid w:val="00A40871"/>
    <w:rsid w:val="00A40BCA"/>
    <w:rsid w:val="00A40C02"/>
    <w:rsid w:val="00A412AB"/>
    <w:rsid w:val="00A415DF"/>
    <w:rsid w:val="00A4193E"/>
    <w:rsid w:val="00A41D6C"/>
    <w:rsid w:val="00A41F9D"/>
    <w:rsid w:val="00A4214E"/>
    <w:rsid w:val="00A42460"/>
    <w:rsid w:val="00A42711"/>
    <w:rsid w:val="00A4273A"/>
    <w:rsid w:val="00A42795"/>
    <w:rsid w:val="00A42DAE"/>
    <w:rsid w:val="00A42E61"/>
    <w:rsid w:val="00A43003"/>
    <w:rsid w:val="00A43355"/>
    <w:rsid w:val="00A4343D"/>
    <w:rsid w:val="00A43598"/>
    <w:rsid w:val="00A4360E"/>
    <w:rsid w:val="00A43B5C"/>
    <w:rsid w:val="00A43E52"/>
    <w:rsid w:val="00A43F54"/>
    <w:rsid w:val="00A4401A"/>
    <w:rsid w:val="00A440C7"/>
    <w:rsid w:val="00A440E0"/>
    <w:rsid w:val="00A4416D"/>
    <w:rsid w:val="00A442A4"/>
    <w:rsid w:val="00A442EF"/>
    <w:rsid w:val="00A4485F"/>
    <w:rsid w:val="00A44DCE"/>
    <w:rsid w:val="00A44DEF"/>
    <w:rsid w:val="00A44E9D"/>
    <w:rsid w:val="00A44EE4"/>
    <w:rsid w:val="00A453E0"/>
    <w:rsid w:val="00A4540A"/>
    <w:rsid w:val="00A45445"/>
    <w:rsid w:val="00A457A3"/>
    <w:rsid w:val="00A462E2"/>
    <w:rsid w:val="00A466D8"/>
    <w:rsid w:val="00A4699D"/>
    <w:rsid w:val="00A46BE1"/>
    <w:rsid w:val="00A46E93"/>
    <w:rsid w:val="00A46E99"/>
    <w:rsid w:val="00A471C1"/>
    <w:rsid w:val="00A473B2"/>
    <w:rsid w:val="00A47469"/>
    <w:rsid w:val="00A4767A"/>
    <w:rsid w:val="00A47891"/>
    <w:rsid w:val="00A5049F"/>
    <w:rsid w:val="00A504F7"/>
    <w:rsid w:val="00A50C46"/>
    <w:rsid w:val="00A50E80"/>
    <w:rsid w:val="00A514B5"/>
    <w:rsid w:val="00A51BB9"/>
    <w:rsid w:val="00A51D1A"/>
    <w:rsid w:val="00A51DED"/>
    <w:rsid w:val="00A51F7B"/>
    <w:rsid w:val="00A527C8"/>
    <w:rsid w:val="00A52940"/>
    <w:rsid w:val="00A53094"/>
    <w:rsid w:val="00A5393E"/>
    <w:rsid w:val="00A53B83"/>
    <w:rsid w:val="00A5408A"/>
    <w:rsid w:val="00A5418D"/>
    <w:rsid w:val="00A5474E"/>
    <w:rsid w:val="00A548C3"/>
    <w:rsid w:val="00A549C0"/>
    <w:rsid w:val="00A54A84"/>
    <w:rsid w:val="00A55299"/>
    <w:rsid w:val="00A5561D"/>
    <w:rsid w:val="00A55B54"/>
    <w:rsid w:val="00A55D73"/>
    <w:rsid w:val="00A563E2"/>
    <w:rsid w:val="00A5675B"/>
    <w:rsid w:val="00A56802"/>
    <w:rsid w:val="00A56F0A"/>
    <w:rsid w:val="00A570B1"/>
    <w:rsid w:val="00A570CD"/>
    <w:rsid w:val="00A577EE"/>
    <w:rsid w:val="00A57C76"/>
    <w:rsid w:val="00A57E82"/>
    <w:rsid w:val="00A57F97"/>
    <w:rsid w:val="00A57F9B"/>
    <w:rsid w:val="00A605C8"/>
    <w:rsid w:val="00A61902"/>
    <w:rsid w:val="00A61B8B"/>
    <w:rsid w:val="00A61BCC"/>
    <w:rsid w:val="00A6220D"/>
    <w:rsid w:val="00A625D5"/>
    <w:rsid w:val="00A6268C"/>
    <w:rsid w:val="00A62E75"/>
    <w:rsid w:val="00A62F0D"/>
    <w:rsid w:val="00A631E4"/>
    <w:rsid w:val="00A63C4F"/>
    <w:rsid w:val="00A64167"/>
    <w:rsid w:val="00A64234"/>
    <w:rsid w:val="00A6471F"/>
    <w:rsid w:val="00A64F84"/>
    <w:rsid w:val="00A6519F"/>
    <w:rsid w:val="00A652E3"/>
    <w:rsid w:val="00A6583C"/>
    <w:rsid w:val="00A65D53"/>
    <w:rsid w:val="00A65E6A"/>
    <w:rsid w:val="00A66073"/>
    <w:rsid w:val="00A66081"/>
    <w:rsid w:val="00A6626A"/>
    <w:rsid w:val="00A66427"/>
    <w:rsid w:val="00A6655F"/>
    <w:rsid w:val="00A665F1"/>
    <w:rsid w:val="00A66BAB"/>
    <w:rsid w:val="00A66BD6"/>
    <w:rsid w:val="00A66C46"/>
    <w:rsid w:val="00A66DEE"/>
    <w:rsid w:val="00A66F92"/>
    <w:rsid w:val="00A6712E"/>
    <w:rsid w:val="00A6761D"/>
    <w:rsid w:val="00A67C19"/>
    <w:rsid w:val="00A67ECD"/>
    <w:rsid w:val="00A67ECF"/>
    <w:rsid w:val="00A7016A"/>
    <w:rsid w:val="00A70490"/>
    <w:rsid w:val="00A70498"/>
    <w:rsid w:val="00A70A57"/>
    <w:rsid w:val="00A70ADF"/>
    <w:rsid w:val="00A70B5C"/>
    <w:rsid w:val="00A70D18"/>
    <w:rsid w:val="00A710EC"/>
    <w:rsid w:val="00A7131D"/>
    <w:rsid w:val="00A71466"/>
    <w:rsid w:val="00A714E5"/>
    <w:rsid w:val="00A7150B"/>
    <w:rsid w:val="00A718CF"/>
    <w:rsid w:val="00A71C16"/>
    <w:rsid w:val="00A71C94"/>
    <w:rsid w:val="00A725AF"/>
    <w:rsid w:val="00A728CE"/>
    <w:rsid w:val="00A72D5B"/>
    <w:rsid w:val="00A72DC5"/>
    <w:rsid w:val="00A72F60"/>
    <w:rsid w:val="00A730E9"/>
    <w:rsid w:val="00A7358F"/>
    <w:rsid w:val="00A73864"/>
    <w:rsid w:val="00A739E4"/>
    <w:rsid w:val="00A73F51"/>
    <w:rsid w:val="00A740DC"/>
    <w:rsid w:val="00A74168"/>
    <w:rsid w:val="00A7418B"/>
    <w:rsid w:val="00A741EE"/>
    <w:rsid w:val="00A7460A"/>
    <w:rsid w:val="00A7462E"/>
    <w:rsid w:val="00A7468B"/>
    <w:rsid w:val="00A74B11"/>
    <w:rsid w:val="00A74B5E"/>
    <w:rsid w:val="00A74D62"/>
    <w:rsid w:val="00A7502F"/>
    <w:rsid w:val="00A75749"/>
    <w:rsid w:val="00A7593A"/>
    <w:rsid w:val="00A75A52"/>
    <w:rsid w:val="00A75B67"/>
    <w:rsid w:val="00A75BC7"/>
    <w:rsid w:val="00A75DB3"/>
    <w:rsid w:val="00A75E1D"/>
    <w:rsid w:val="00A760C6"/>
    <w:rsid w:val="00A764AA"/>
    <w:rsid w:val="00A769F9"/>
    <w:rsid w:val="00A76AF5"/>
    <w:rsid w:val="00A77235"/>
    <w:rsid w:val="00A77419"/>
    <w:rsid w:val="00A7745C"/>
    <w:rsid w:val="00A77476"/>
    <w:rsid w:val="00A774A1"/>
    <w:rsid w:val="00A77883"/>
    <w:rsid w:val="00A77C83"/>
    <w:rsid w:val="00A77CD2"/>
    <w:rsid w:val="00A77E9B"/>
    <w:rsid w:val="00A801CE"/>
    <w:rsid w:val="00A80342"/>
    <w:rsid w:val="00A8050D"/>
    <w:rsid w:val="00A807F1"/>
    <w:rsid w:val="00A80855"/>
    <w:rsid w:val="00A80903"/>
    <w:rsid w:val="00A80CE5"/>
    <w:rsid w:val="00A819C5"/>
    <w:rsid w:val="00A81A6F"/>
    <w:rsid w:val="00A81AAF"/>
    <w:rsid w:val="00A81BED"/>
    <w:rsid w:val="00A81CA6"/>
    <w:rsid w:val="00A81E41"/>
    <w:rsid w:val="00A81EC4"/>
    <w:rsid w:val="00A8213C"/>
    <w:rsid w:val="00A822D1"/>
    <w:rsid w:val="00A8238F"/>
    <w:rsid w:val="00A824E8"/>
    <w:rsid w:val="00A82661"/>
    <w:rsid w:val="00A826E8"/>
    <w:rsid w:val="00A82A28"/>
    <w:rsid w:val="00A82D1C"/>
    <w:rsid w:val="00A833D7"/>
    <w:rsid w:val="00A83525"/>
    <w:rsid w:val="00A836A5"/>
    <w:rsid w:val="00A83702"/>
    <w:rsid w:val="00A837EA"/>
    <w:rsid w:val="00A83906"/>
    <w:rsid w:val="00A83BB6"/>
    <w:rsid w:val="00A83EBD"/>
    <w:rsid w:val="00A83EC0"/>
    <w:rsid w:val="00A840E4"/>
    <w:rsid w:val="00A846AB"/>
    <w:rsid w:val="00A846B2"/>
    <w:rsid w:val="00A85128"/>
    <w:rsid w:val="00A85266"/>
    <w:rsid w:val="00A8575D"/>
    <w:rsid w:val="00A85964"/>
    <w:rsid w:val="00A8597A"/>
    <w:rsid w:val="00A85A39"/>
    <w:rsid w:val="00A85C3C"/>
    <w:rsid w:val="00A85ED9"/>
    <w:rsid w:val="00A860C1"/>
    <w:rsid w:val="00A861A7"/>
    <w:rsid w:val="00A865E9"/>
    <w:rsid w:val="00A86830"/>
    <w:rsid w:val="00A86E86"/>
    <w:rsid w:val="00A86F32"/>
    <w:rsid w:val="00A878B6"/>
    <w:rsid w:val="00A90801"/>
    <w:rsid w:val="00A90987"/>
    <w:rsid w:val="00A90EC7"/>
    <w:rsid w:val="00A9103C"/>
    <w:rsid w:val="00A91140"/>
    <w:rsid w:val="00A91306"/>
    <w:rsid w:val="00A91572"/>
    <w:rsid w:val="00A920EF"/>
    <w:rsid w:val="00A92374"/>
    <w:rsid w:val="00A923FD"/>
    <w:rsid w:val="00A9292F"/>
    <w:rsid w:val="00A92E9A"/>
    <w:rsid w:val="00A934C0"/>
    <w:rsid w:val="00A93A35"/>
    <w:rsid w:val="00A93D3C"/>
    <w:rsid w:val="00A9413B"/>
    <w:rsid w:val="00A9499A"/>
    <w:rsid w:val="00A9515E"/>
    <w:rsid w:val="00A95393"/>
    <w:rsid w:val="00A9618E"/>
    <w:rsid w:val="00A962C9"/>
    <w:rsid w:val="00A9658C"/>
    <w:rsid w:val="00A9668A"/>
    <w:rsid w:val="00A967FD"/>
    <w:rsid w:val="00A967FF"/>
    <w:rsid w:val="00A968B7"/>
    <w:rsid w:val="00A96AB4"/>
    <w:rsid w:val="00A96BFA"/>
    <w:rsid w:val="00A96E7C"/>
    <w:rsid w:val="00A96E81"/>
    <w:rsid w:val="00A9744B"/>
    <w:rsid w:val="00A974EF"/>
    <w:rsid w:val="00A97756"/>
    <w:rsid w:val="00A97A55"/>
    <w:rsid w:val="00A97C2B"/>
    <w:rsid w:val="00A97F04"/>
    <w:rsid w:val="00AA0137"/>
    <w:rsid w:val="00AA0226"/>
    <w:rsid w:val="00AA0376"/>
    <w:rsid w:val="00AA054D"/>
    <w:rsid w:val="00AA08C3"/>
    <w:rsid w:val="00AA08E8"/>
    <w:rsid w:val="00AA1068"/>
    <w:rsid w:val="00AA1C59"/>
    <w:rsid w:val="00AA1E51"/>
    <w:rsid w:val="00AA251B"/>
    <w:rsid w:val="00AA2525"/>
    <w:rsid w:val="00AA2904"/>
    <w:rsid w:val="00AA2A9B"/>
    <w:rsid w:val="00AA2DE5"/>
    <w:rsid w:val="00AA2E61"/>
    <w:rsid w:val="00AA2EAA"/>
    <w:rsid w:val="00AA327C"/>
    <w:rsid w:val="00AA3357"/>
    <w:rsid w:val="00AA340D"/>
    <w:rsid w:val="00AA34A4"/>
    <w:rsid w:val="00AA36AD"/>
    <w:rsid w:val="00AA3795"/>
    <w:rsid w:val="00AA39B5"/>
    <w:rsid w:val="00AA3ADA"/>
    <w:rsid w:val="00AA3E04"/>
    <w:rsid w:val="00AA4357"/>
    <w:rsid w:val="00AA43EC"/>
    <w:rsid w:val="00AA45A7"/>
    <w:rsid w:val="00AA4BEF"/>
    <w:rsid w:val="00AA52F5"/>
    <w:rsid w:val="00AA547B"/>
    <w:rsid w:val="00AA5C19"/>
    <w:rsid w:val="00AA5FDD"/>
    <w:rsid w:val="00AA60F2"/>
    <w:rsid w:val="00AA668D"/>
    <w:rsid w:val="00AA69DA"/>
    <w:rsid w:val="00AA6A56"/>
    <w:rsid w:val="00AA6B14"/>
    <w:rsid w:val="00AA720C"/>
    <w:rsid w:val="00AA72AD"/>
    <w:rsid w:val="00AA74F0"/>
    <w:rsid w:val="00AA7801"/>
    <w:rsid w:val="00AA7A63"/>
    <w:rsid w:val="00AA7DB1"/>
    <w:rsid w:val="00AA7E67"/>
    <w:rsid w:val="00AB00D6"/>
    <w:rsid w:val="00AB05C5"/>
    <w:rsid w:val="00AB0AB5"/>
    <w:rsid w:val="00AB0D01"/>
    <w:rsid w:val="00AB0F54"/>
    <w:rsid w:val="00AB1154"/>
    <w:rsid w:val="00AB147D"/>
    <w:rsid w:val="00AB156C"/>
    <w:rsid w:val="00AB1677"/>
    <w:rsid w:val="00AB17C3"/>
    <w:rsid w:val="00AB1A30"/>
    <w:rsid w:val="00AB1BB7"/>
    <w:rsid w:val="00AB1DA9"/>
    <w:rsid w:val="00AB205F"/>
    <w:rsid w:val="00AB20A9"/>
    <w:rsid w:val="00AB210A"/>
    <w:rsid w:val="00AB229D"/>
    <w:rsid w:val="00AB25C3"/>
    <w:rsid w:val="00AB263A"/>
    <w:rsid w:val="00AB28CA"/>
    <w:rsid w:val="00AB2B85"/>
    <w:rsid w:val="00AB3520"/>
    <w:rsid w:val="00AB39A4"/>
    <w:rsid w:val="00AB3A16"/>
    <w:rsid w:val="00AB3E89"/>
    <w:rsid w:val="00AB42C4"/>
    <w:rsid w:val="00AB4750"/>
    <w:rsid w:val="00AB6399"/>
    <w:rsid w:val="00AB63EB"/>
    <w:rsid w:val="00AB6814"/>
    <w:rsid w:val="00AB69DE"/>
    <w:rsid w:val="00AB72C3"/>
    <w:rsid w:val="00AB74B8"/>
    <w:rsid w:val="00AB78D7"/>
    <w:rsid w:val="00AB7DE6"/>
    <w:rsid w:val="00AC03BC"/>
    <w:rsid w:val="00AC03DD"/>
    <w:rsid w:val="00AC04BA"/>
    <w:rsid w:val="00AC0B52"/>
    <w:rsid w:val="00AC0DE2"/>
    <w:rsid w:val="00AC0E39"/>
    <w:rsid w:val="00AC0F0C"/>
    <w:rsid w:val="00AC10B5"/>
    <w:rsid w:val="00AC126E"/>
    <w:rsid w:val="00AC19B1"/>
    <w:rsid w:val="00AC2127"/>
    <w:rsid w:val="00AC215F"/>
    <w:rsid w:val="00AC237F"/>
    <w:rsid w:val="00AC2403"/>
    <w:rsid w:val="00AC273C"/>
    <w:rsid w:val="00AC311A"/>
    <w:rsid w:val="00AC324E"/>
    <w:rsid w:val="00AC335D"/>
    <w:rsid w:val="00AC3374"/>
    <w:rsid w:val="00AC3662"/>
    <w:rsid w:val="00AC3839"/>
    <w:rsid w:val="00AC3D4C"/>
    <w:rsid w:val="00AC3EC5"/>
    <w:rsid w:val="00AC40B4"/>
    <w:rsid w:val="00AC40CC"/>
    <w:rsid w:val="00AC43D1"/>
    <w:rsid w:val="00AC47A0"/>
    <w:rsid w:val="00AC48DA"/>
    <w:rsid w:val="00AC4939"/>
    <w:rsid w:val="00AC4A4A"/>
    <w:rsid w:val="00AC4A83"/>
    <w:rsid w:val="00AC4CD1"/>
    <w:rsid w:val="00AC5533"/>
    <w:rsid w:val="00AC5828"/>
    <w:rsid w:val="00AC59CD"/>
    <w:rsid w:val="00AC5F0B"/>
    <w:rsid w:val="00AC6206"/>
    <w:rsid w:val="00AC63A0"/>
    <w:rsid w:val="00AC645B"/>
    <w:rsid w:val="00AC6547"/>
    <w:rsid w:val="00AC66B9"/>
    <w:rsid w:val="00AC6FD1"/>
    <w:rsid w:val="00AC7071"/>
    <w:rsid w:val="00AC7236"/>
    <w:rsid w:val="00AC73A5"/>
    <w:rsid w:val="00AC7B10"/>
    <w:rsid w:val="00AC7B1C"/>
    <w:rsid w:val="00AC7CE1"/>
    <w:rsid w:val="00AC7EAF"/>
    <w:rsid w:val="00AC7EC9"/>
    <w:rsid w:val="00AD01EE"/>
    <w:rsid w:val="00AD0C1E"/>
    <w:rsid w:val="00AD0F4F"/>
    <w:rsid w:val="00AD1894"/>
    <w:rsid w:val="00AD18BC"/>
    <w:rsid w:val="00AD1984"/>
    <w:rsid w:val="00AD1A8F"/>
    <w:rsid w:val="00AD1C4C"/>
    <w:rsid w:val="00AD2013"/>
    <w:rsid w:val="00AD23C3"/>
    <w:rsid w:val="00AD249C"/>
    <w:rsid w:val="00AD2718"/>
    <w:rsid w:val="00AD27AE"/>
    <w:rsid w:val="00AD2995"/>
    <w:rsid w:val="00AD2A8B"/>
    <w:rsid w:val="00AD2F77"/>
    <w:rsid w:val="00AD3082"/>
    <w:rsid w:val="00AD308F"/>
    <w:rsid w:val="00AD32B4"/>
    <w:rsid w:val="00AD397E"/>
    <w:rsid w:val="00AD3BA5"/>
    <w:rsid w:val="00AD3E4E"/>
    <w:rsid w:val="00AD47D7"/>
    <w:rsid w:val="00AD47DB"/>
    <w:rsid w:val="00AD48DC"/>
    <w:rsid w:val="00AD4AD0"/>
    <w:rsid w:val="00AD4CD8"/>
    <w:rsid w:val="00AD4D71"/>
    <w:rsid w:val="00AD51EA"/>
    <w:rsid w:val="00AD5333"/>
    <w:rsid w:val="00AD5436"/>
    <w:rsid w:val="00AD544E"/>
    <w:rsid w:val="00AD5557"/>
    <w:rsid w:val="00AD599C"/>
    <w:rsid w:val="00AD5B7A"/>
    <w:rsid w:val="00AD5C14"/>
    <w:rsid w:val="00AD5CC0"/>
    <w:rsid w:val="00AD60CD"/>
    <w:rsid w:val="00AD636D"/>
    <w:rsid w:val="00AD63DB"/>
    <w:rsid w:val="00AD67DA"/>
    <w:rsid w:val="00AD6C8C"/>
    <w:rsid w:val="00AD7058"/>
    <w:rsid w:val="00AD707B"/>
    <w:rsid w:val="00AD77CC"/>
    <w:rsid w:val="00AD79A8"/>
    <w:rsid w:val="00AD7B95"/>
    <w:rsid w:val="00AD7CD4"/>
    <w:rsid w:val="00AE01AC"/>
    <w:rsid w:val="00AE01E7"/>
    <w:rsid w:val="00AE04B0"/>
    <w:rsid w:val="00AE04F5"/>
    <w:rsid w:val="00AE0660"/>
    <w:rsid w:val="00AE091D"/>
    <w:rsid w:val="00AE0E5A"/>
    <w:rsid w:val="00AE1293"/>
    <w:rsid w:val="00AE14B1"/>
    <w:rsid w:val="00AE1CE9"/>
    <w:rsid w:val="00AE1E9C"/>
    <w:rsid w:val="00AE1EE6"/>
    <w:rsid w:val="00AE2212"/>
    <w:rsid w:val="00AE25D0"/>
    <w:rsid w:val="00AE27A6"/>
    <w:rsid w:val="00AE2D67"/>
    <w:rsid w:val="00AE2F3E"/>
    <w:rsid w:val="00AE339B"/>
    <w:rsid w:val="00AE3489"/>
    <w:rsid w:val="00AE36AC"/>
    <w:rsid w:val="00AE37C3"/>
    <w:rsid w:val="00AE3806"/>
    <w:rsid w:val="00AE3B60"/>
    <w:rsid w:val="00AE4044"/>
    <w:rsid w:val="00AE4418"/>
    <w:rsid w:val="00AE46B1"/>
    <w:rsid w:val="00AE49A2"/>
    <w:rsid w:val="00AE4ACB"/>
    <w:rsid w:val="00AE4ADD"/>
    <w:rsid w:val="00AE4B17"/>
    <w:rsid w:val="00AE4DC4"/>
    <w:rsid w:val="00AE50D8"/>
    <w:rsid w:val="00AE5122"/>
    <w:rsid w:val="00AE5195"/>
    <w:rsid w:val="00AE53A1"/>
    <w:rsid w:val="00AE5993"/>
    <w:rsid w:val="00AE5A7E"/>
    <w:rsid w:val="00AE5F9F"/>
    <w:rsid w:val="00AE6253"/>
    <w:rsid w:val="00AE6329"/>
    <w:rsid w:val="00AE64B7"/>
    <w:rsid w:val="00AE654B"/>
    <w:rsid w:val="00AE660D"/>
    <w:rsid w:val="00AE67D8"/>
    <w:rsid w:val="00AE6B66"/>
    <w:rsid w:val="00AE6E69"/>
    <w:rsid w:val="00AE6EA1"/>
    <w:rsid w:val="00AE6FB9"/>
    <w:rsid w:val="00AE6FFD"/>
    <w:rsid w:val="00AE7361"/>
    <w:rsid w:val="00AE772E"/>
    <w:rsid w:val="00AE78BC"/>
    <w:rsid w:val="00AE7C93"/>
    <w:rsid w:val="00AE7ECF"/>
    <w:rsid w:val="00AE7ED9"/>
    <w:rsid w:val="00AE7FB5"/>
    <w:rsid w:val="00AF085D"/>
    <w:rsid w:val="00AF1113"/>
    <w:rsid w:val="00AF1A9F"/>
    <w:rsid w:val="00AF1E15"/>
    <w:rsid w:val="00AF220E"/>
    <w:rsid w:val="00AF2337"/>
    <w:rsid w:val="00AF2484"/>
    <w:rsid w:val="00AF25A2"/>
    <w:rsid w:val="00AF2A14"/>
    <w:rsid w:val="00AF2E0F"/>
    <w:rsid w:val="00AF3321"/>
    <w:rsid w:val="00AF3E31"/>
    <w:rsid w:val="00AF4430"/>
    <w:rsid w:val="00AF46D7"/>
    <w:rsid w:val="00AF4709"/>
    <w:rsid w:val="00AF48FE"/>
    <w:rsid w:val="00AF4C6D"/>
    <w:rsid w:val="00AF4EA2"/>
    <w:rsid w:val="00AF5074"/>
    <w:rsid w:val="00AF53ED"/>
    <w:rsid w:val="00AF63E7"/>
    <w:rsid w:val="00AF674E"/>
    <w:rsid w:val="00AF68AF"/>
    <w:rsid w:val="00AF6B1E"/>
    <w:rsid w:val="00AF6CD8"/>
    <w:rsid w:val="00AF6E17"/>
    <w:rsid w:val="00AF72FE"/>
    <w:rsid w:val="00AF73A6"/>
    <w:rsid w:val="00AF75F4"/>
    <w:rsid w:val="00AF77FF"/>
    <w:rsid w:val="00AF7D23"/>
    <w:rsid w:val="00B00168"/>
    <w:rsid w:val="00B002B2"/>
    <w:rsid w:val="00B00745"/>
    <w:rsid w:val="00B00815"/>
    <w:rsid w:val="00B00884"/>
    <w:rsid w:val="00B00CDA"/>
    <w:rsid w:val="00B00F69"/>
    <w:rsid w:val="00B010D3"/>
    <w:rsid w:val="00B0165D"/>
    <w:rsid w:val="00B01877"/>
    <w:rsid w:val="00B01981"/>
    <w:rsid w:val="00B01B60"/>
    <w:rsid w:val="00B01CB7"/>
    <w:rsid w:val="00B01CDA"/>
    <w:rsid w:val="00B01DB7"/>
    <w:rsid w:val="00B02A02"/>
    <w:rsid w:val="00B02F24"/>
    <w:rsid w:val="00B02FCF"/>
    <w:rsid w:val="00B031F3"/>
    <w:rsid w:val="00B03489"/>
    <w:rsid w:val="00B039C4"/>
    <w:rsid w:val="00B039E8"/>
    <w:rsid w:val="00B03F44"/>
    <w:rsid w:val="00B03F8C"/>
    <w:rsid w:val="00B0405A"/>
    <w:rsid w:val="00B045FD"/>
    <w:rsid w:val="00B04789"/>
    <w:rsid w:val="00B0479C"/>
    <w:rsid w:val="00B04A94"/>
    <w:rsid w:val="00B04AB4"/>
    <w:rsid w:val="00B04B2A"/>
    <w:rsid w:val="00B04E29"/>
    <w:rsid w:val="00B0503F"/>
    <w:rsid w:val="00B051FF"/>
    <w:rsid w:val="00B052A4"/>
    <w:rsid w:val="00B054F5"/>
    <w:rsid w:val="00B0582D"/>
    <w:rsid w:val="00B05892"/>
    <w:rsid w:val="00B0592A"/>
    <w:rsid w:val="00B05ED8"/>
    <w:rsid w:val="00B05EEE"/>
    <w:rsid w:val="00B05FA0"/>
    <w:rsid w:val="00B05FA3"/>
    <w:rsid w:val="00B0634A"/>
    <w:rsid w:val="00B064D8"/>
    <w:rsid w:val="00B06526"/>
    <w:rsid w:val="00B06B75"/>
    <w:rsid w:val="00B0763B"/>
    <w:rsid w:val="00B07931"/>
    <w:rsid w:val="00B103B8"/>
    <w:rsid w:val="00B10A69"/>
    <w:rsid w:val="00B10B05"/>
    <w:rsid w:val="00B10B77"/>
    <w:rsid w:val="00B10F91"/>
    <w:rsid w:val="00B11046"/>
    <w:rsid w:val="00B114F8"/>
    <w:rsid w:val="00B117C8"/>
    <w:rsid w:val="00B11D5F"/>
    <w:rsid w:val="00B11D74"/>
    <w:rsid w:val="00B12358"/>
    <w:rsid w:val="00B125DE"/>
    <w:rsid w:val="00B126CC"/>
    <w:rsid w:val="00B12BEB"/>
    <w:rsid w:val="00B12BF8"/>
    <w:rsid w:val="00B12EB7"/>
    <w:rsid w:val="00B12EC0"/>
    <w:rsid w:val="00B12F74"/>
    <w:rsid w:val="00B130A1"/>
    <w:rsid w:val="00B13288"/>
    <w:rsid w:val="00B1328A"/>
    <w:rsid w:val="00B13413"/>
    <w:rsid w:val="00B13532"/>
    <w:rsid w:val="00B1357C"/>
    <w:rsid w:val="00B13A03"/>
    <w:rsid w:val="00B13B0B"/>
    <w:rsid w:val="00B13EC4"/>
    <w:rsid w:val="00B13FDD"/>
    <w:rsid w:val="00B1412E"/>
    <w:rsid w:val="00B14378"/>
    <w:rsid w:val="00B145A9"/>
    <w:rsid w:val="00B1466F"/>
    <w:rsid w:val="00B14791"/>
    <w:rsid w:val="00B14CD8"/>
    <w:rsid w:val="00B14E5E"/>
    <w:rsid w:val="00B15489"/>
    <w:rsid w:val="00B1552E"/>
    <w:rsid w:val="00B15863"/>
    <w:rsid w:val="00B15BB9"/>
    <w:rsid w:val="00B15CFA"/>
    <w:rsid w:val="00B15EF3"/>
    <w:rsid w:val="00B162EA"/>
    <w:rsid w:val="00B16662"/>
    <w:rsid w:val="00B166DA"/>
    <w:rsid w:val="00B16B13"/>
    <w:rsid w:val="00B16BF4"/>
    <w:rsid w:val="00B16DF5"/>
    <w:rsid w:val="00B1756C"/>
    <w:rsid w:val="00B1782E"/>
    <w:rsid w:val="00B17D74"/>
    <w:rsid w:val="00B17E3E"/>
    <w:rsid w:val="00B20080"/>
    <w:rsid w:val="00B20911"/>
    <w:rsid w:val="00B20AAC"/>
    <w:rsid w:val="00B20AC6"/>
    <w:rsid w:val="00B20D74"/>
    <w:rsid w:val="00B21132"/>
    <w:rsid w:val="00B218DC"/>
    <w:rsid w:val="00B219D2"/>
    <w:rsid w:val="00B21E39"/>
    <w:rsid w:val="00B2240C"/>
    <w:rsid w:val="00B227EC"/>
    <w:rsid w:val="00B22BAA"/>
    <w:rsid w:val="00B22C2F"/>
    <w:rsid w:val="00B22C8A"/>
    <w:rsid w:val="00B22CD5"/>
    <w:rsid w:val="00B22EB2"/>
    <w:rsid w:val="00B231B9"/>
    <w:rsid w:val="00B23472"/>
    <w:rsid w:val="00B24392"/>
    <w:rsid w:val="00B244EA"/>
    <w:rsid w:val="00B24645"/>
    <w:rsid w:val="00B24A81"/>
    <w:rsid w:val="00B2511F"/>
    <w:rsid w:val="00B252BE"/>
    <w:rsid w:val="00B254D8"/>
    <w:rsid w:val="00B256CD"/>
    <w:rsid w:val="00B256CE"/>
    <w:rsid w:val="00B25895"/>
    <w:rsid w:val="00B258FF"/>
    <w:rsid w:val="00B25BAC"/>
    <w:rsid w:val="00B25C6F"/>
    <w:rsid w:val="00B25DB4"/>
    <w:rsid w:val="00B26703"/>
    <w:rsid w:val="00B2740D"/>
    <w:rsid w:val="00B27442"/>
    <w:rsid w:val="00B27F66"/>
    <w:rsid w:val="00B302C7"/>
    <w:rsid w:val="00B308D4"/>
    <w:rsid w:val="00B30C30"/>
    <w:rsid w:val="00B30E44"/>
    <w:rsid w:val="00B31053"/>
    <w:rsid w:val="00B31167"/>
    <w:rsid w:val="00B31323"/>
    <w:rsid w:val="00B3151A"/>
    <w:rsid w:val="00B3169A"/>
    <w:rsid w:val="00B31B87"/>
    <w:rsid w:val="00B31F6E"/>
    <w:rsid w:val="00B31F7F"/>
    <w:rsid w:val="00B323A3"/>
    <w:rsid w:val="00B324FE"/>
    <w:rsid w:val="00B32774"/>
    <w:rsid w:val="00B329D8"/>
    <w:rsid w:val="00B32A33"/>
    <w:rsid w:val="00B32BB9"/>
    <w:rsid w:val="00B33381"/>
    <w:rsid w:val="00B336E1"/>
    <w:rsid w:val="00B33845"/>
    <w:rsid w:val="00B33905"/>
    <w:rsid w:val="00B3390B"/>
    <w:rsid w:val="00B33AE1"/>
    <w:rsid w:val="00B33B52"/>
    <w:rsid w:val="00B33D82"/>
    <w:rsid w:val="00B34164"/>
    <w:rsid w:val="00B3463B"/>
    <w:rsid w:val="00B347D7"/>
    <w:rsid w:val="00B34818"/>
    <w:rsid w:val="00B34930"/>
    <w:rsid w:val="00B34AEC"/>
    <w:rsid w:val="00B34DAC"/>
    <w:rsid w:val="00B34E60"/>
    <w:rsid w:val="00B35277"/>
    <w:rsid w:val="00B353DA"/>
    <w:rsid w:val="00B35415"/>
    <w:rsid w:val="00B35494"/>
    <w:rsid w:val="00B35803"/>
    <w:rsid w:val="00B3590D"/>
    <w:rsid w:val="00B35DED"/>
    <w:rsid w:val="00B36242"/>
    <w:rsid w:val="00B3631D"/>
    <w:rsid w:val="00B3650B"/>
    <w:rsid w:val="00B36A35"/>
    <w:rsid w:val="00B36E28"/>
    <w:rsid w:val="00B371BD"/>
    <w:rsid w:val="00B37531"/>
    <w:rsid w:val="00B376EC"/>
    <w:rsid w:val="00B379B4"/>
    <w:rsid w:val="00B37B92"/>
    <w:rsid w:val="00B37C38"/>
    <w:rsid w:val="00B40548"/>
    <w:rsid w:val="00B40AC9"/>
    <w:rsid w:val="00B40E03"/>
    <w:rsid w:val="00B40E27"/>
    <w:rsid w:val="00B40FD2"/>
    <w:rsid w:val="00B41701"/>
    <w:rsid w:val="00B418C8"/>
    <w:rsid w:val="00B418D1"/>
    <w:rsid w:val="00B4197C"/>
    <w:rsid w:val="00B41B6C"/>
    <w:rsid w:val="00B41F21"/>
    <w:rsid w:val="00B4200F"/>
    <w:rsid w:val="00B4220F"/>
    <w:rsid w:val="00B4261F"/>
    <w:rsid w:val="00B4286A"/>
    <w:rsid w:val="00B4288C"/>
    <w:rsid w:val="00B42AAC"/>
    <w:rsid w:val="00B43262"/>
    <w:rsid w:val="00B433F7"/>
    <w:rsid w:val="00B43A04"/>
    <w:rsid w:val="00B43A8F"/>
    <w:rsid w:val="00B44100"/>
    <w:rsid w:val="00B443AD"/>
    <w:rsid w:val="00B44634"/>
    <w:rsid w:val="00B44C4F"/>
    <w:rsid w:val="00B452B1"/>
    <w:rsid w:val="00B45337"/>
    <w:rsid w:val="00B45434"/>
    <w:rsid w:val="00B454B5"/>
    <w:rsid w:val="00B4580E"/>
    <w:rsid w:val="00B4585F"/>
    <w:rsid w:val="00B459E2"/>
    <w:rsid w:val="00B45C53"/>
    <w:rsid w:val="00B45DDF"/>
    <w:rsid w:val="00B45E9E"/>
    <w:rsid w:val="00B46305"/>
    <w:rsid w:val="00B463F8"/>
    <w:rsid w:val="00B46CBA"/>
    <w:rsid w:val="00B46E4F"/>
    <w:rsid w:val="00B46F94"/>
    <w:rsid w:val="00B47210"/>
    <w:rsid w:val="00B474C0"/>
    <w:rsid w:val="00B47972"/>
    <w:rsid w:val="00B4799E"/>
    <w:rsid w:val="00B47A97"/>
    <w:rsid w:val="00B47C62"/>
    <w:rsid w:val="00B47C8D"/>
    <w:rsid w:val="00B47D0A"/>
    <w:rsid w:val="00B47EA2"/>
    <w:rsid w:val="00B502DC"/>
    <w:rsid w:val="00B5030A"/>
    <w:rsid w:val="00B503B9"/>
    <w:rsid w:val="00B506EC"/>
    <w:rsid w:val="00B508FD"/>
    <w:rsid w:val="00B50BD8"/>
    <w:rsid w:val="00B50D1E"/>
    <w:rsid w:val="00B51267"/>
    <w:rsid w:val="00B5162E"/>
    <w:rsid w:val="00B51E90"/>
    <w:rsid w:val="00B52782"/>
    <w:rsid w:val="00B528A5"/>
    <w:rsid w:val="00B52BA8"/>
    <w:rsid w:val="00B5300A"/>
    <w:rsid w:val="00B53043"/>
    <w:rsid w:val="00B5308F"/>
    <w:rsid w:val="00B53110"/>
    <w:rsid w:val="00B532E7"/>
    <w:rsid w:val="00B53A55"/>
    <w:rsid w:val="00B53AC5"/>
    <w:rsid w:val="00B53AF9"/>
    <w:rsid w:val="00B53C3E"/>
    <w:rsid w:val="00B53C65"/>
    <w:rsid w:val="00B53E11"/>
    <w:rsid w:val="00B53F67"/>
    <w:rsid w:val="00B54543"/>
    <w:rsid w:val="00B54635"/>
    <w:rsid w:val="00B54882"/>
    <w:rsid w:val="00B549BE"/>
    <w:rsid w:val="00B54E13"/>
    <w:rsid w:val="00B5512B"/>
    <w:rsid w:val="00B553B2"/>
    <w:rsid w:val="00B553ED"/>
    <w:rsid w:val="00B55B02"/>
    <w:rsid w:val="00B55D02"/>
    <w:rsid w:val="00B55D27"/>
    <w:rsid w:val="00B56149"/>
    <w:rsid w:val="00B561AA"/>
    <w:rsid w:val="00B566DF"/>
    <w:rsid w:val="00B56851"/>
    <w:rsid w:val="00B568DA"/>
    <w:rsid w:val="00B56ACE"/>
    <w:rsid w:val="00B56AEF"/>
    <w:rsid w:val="00B572D2"/>
    <w:rsid w:val="00B575E6"/>
    <w:rsid w:val="00B6003C"/>
    <w:rsid w:val="00B60245"/>
    <w:rsid w:val="00B60341"/>
    <w:rsid w:val="00B60AB6"/>
    <w:rsid w:val="00B60B2D"/>
    <w:rsid w:val="00B60BF9"/>
    <w:rsid w:val="00B60C7D"/>
    <w:rsid w:val="00B60EB4"/>
    <w:rsid w:val="00B60F21"/>
    <w:rsid w:val="00B610BA"/>
    <w:rsid w:val="00B615B7"/>
    <w:rsid w:val="00B6178A"/>
    <w:rsid w:val="00B61A3E"/>
    <w:rsid w:val="00B61ED2"/>
    <w:rsid w:val="00B61F03"/>
    <w:rsid w:val="00B626E4"/>
    <w:rsid w:val="00B62765"/>
    <w:rsid w:val="00B62881"/>
    <w:rsid w:val="00B6299B"/>
    <w:rsid w:val="00B630A5"/>
    <w:rsid w:val="00B63276"/>
    <w:rsid w:val="00B634D3"/>
    <w:rsid w:val="00B63582"/>
    <w:rsid w:val="00B635EA"/>
    <w:rsid w:val="00B63AE1"/>
    <w:rsid w:val="00B63CE3"/>
    <w:rsid w:val="00B63F75"/>
    <w:rsid w:val="00B64542"/>
    <w:rsid w:val="00B6487C"/>
    <w:rsid w:val="00B64B45"/>
    <w:rsid w:val="00B650C4"/>
    <w:rsid w:val="00B651F1"/>
    <w:rsid w:val="00B65947"/>
    <w:rsid w:val="00B66B4F"/>
    <w:rsid w:val="00B675A0"/>
    <w:rsid w:val="00B67A19"/>
    <w:rsid w:val="00B67BF7"/>
    <w:rsid w:val="00B703A0"/>
    <w:rsid w:val="00B706B0"/>
    <w:rsid w:val="00B70880"/>
    <w:rsid w:val="00B70C34"/>
    <w:rsid w:val="00B70C73"/>
    <w:rsid w:val="00B70E08"/>
    <w:rsid w:val="00B71069"/>
    <w:rsid w:val="00B713F5"/>
    <w:rsid w:val="00B71787"/>
    <w:rsid w:val="00B717AC"/>
    <w:rsid w:val="00B717BD"/>
    <w:rsid w:val="00B724A7"/>
    <w:rsid w:val="00B72895"/>
    <w:rsid w:val="00B72DDA"/>
    <w:rsid w:val="00B72F4A"/>
    <w:rsid w:val="00B736AF"/>
    <w:rsid w:val="00B73870"/>
    <w:rsid w:val="00B73A33"/>
    <w:rsid w:val="00B73ED7"/>
    <w:rsid w:val="00B7421A"/>
    <w:rsid w:val="00B74638"/>
    <w:rsid w:val="00B747AB"/>
    <w:rsid w:val="00B747B1"/>
    <w:rsid w:val="00B748A4"/>
    <w:rsid w:val="00B74F73"/>
    <w:rsid w:val="00B74FF8"/>
    <w:rsid w:val="00B7547D"/>
    <w:rsid w:val="00B75958"/>
    <w:rsid w:val="00B759B0"/>
    <w:rsid w:val="00B75B4F"/>
    <w:rsid w:val="00B75CD2"/>
    <w:rsid w:val="00B75FDC"/>
    <w:rsid w:val="00B76314"/>
    <w:rsid w:val="00B7640B"/>
    <w:rsid w:val="00B768D2"/>
    <w:rsid w:val="00B768F4"/>
    <w:rsid w:val="00B76AE4"/>
    <w:rsid w:val="00B76D36"/>
    <w:rsid w:val="00B770D4"/>
    <w:rsid w:val="00B77601"/>
    <w:rsid w:val="00B776D4"/>
    <w:rsid w:val="00B7773F"/>
    <w:rsid w:val="00B77914"/>
    <w:rsid w:val="00B77920"/>
    <w:rsid w:val="00B77B32"/>
    <w:rsid w:val="00B77B9D"/>
    <w:rsid w:val="00B77F2E"/>
    <w:rsid w:val="00B77F63"/>
    <w:rsid w:val="00B77FD5"/>
    <w:rsid w:val="00B8017C"/>
    <w:rsid w:val="00B803D8"/>
    <w:rsid w:val="00B808E0"/>
    <w:rsid w:val="00B80D33"/>
    <w:rsid w:val="00B80D53"/>
    <w:rsid w:val="00B80EAE"/>
    <w:rsid w:val="00B81071"/>
    <w:rsid w:val="00B81585"/>
    <w:rsid w:val="00B81720"/>
    <w:rsid w:val="00B8182E"/>
    <w:rsid w:val="00B81D91"/>
    <w:rsid w:val="00B81E04"/>
    <w:rsid w:val="00B81E13"/>
    <w:rsid w:val="00B81EFA"/>
    <w:rsid w:val="00B820DC"/>
    <w:rsid w:val="00B82241"/>
    <w:rsid w:val="00B82358"/>
    <w:rsid w:val="00B824F3"/>
    <w:rsid w:val="00B828F5"/>
    <w:rsid w:val="00B82931"/>
    <w:rsid w:val="00B82C2E"/>
    <w:rsid w:val="00B82C46"/>
    <w:rsid w:val="00B82C89"/>
    <w:rsid w:val="00B82F03"/>
    <w:rsid w:val="00B8321F"/>
    <w:rsid w:val="00B8333D"/>
    <w:rsid w:val="00B8334F"/>
    <w:rsid w:val="00B835F9"/>
    <w:rsid w:val="00B83C27"/>
    <w:rsid w:val="00B83E17"/>
    <w:rsid w:val="00B8405E"/>
    <w:rsid w:val="00B84311"/>
    <w:rsid w:val="00B843BB"/>
    <w:rsid w:val="00B84616"/>
    <w:rsid w:val="00B848BA"/>
    <w:rsid w:val="00B84BC3"/>
    <w:rsid w:val="00B84BDD"/>
    <w:rsid w:val="00B85574"/>
    <w:rsid w:val="00B85990"/>
    <w:rsid w:val="00B85C07"/>
    <w:rsid w:val="00B85C61"/>
    <w:rsid w:val="00B85CBC"/>
    <w:rsid w:val="00B85FB0"/>
    <w:rsid w:val="00B86297"/>
    <w:rsid w:val="00B862D6"/>
    <w:rsid w:val="00B8666E"/>
    <w:rsid w:val="00B869FC"/>
    <w:rsid w:val="00B86AAF"/>
    <w:rsid w:val="00B8725F"/>
    <w:rsid w:val="00B878EA"/>
    <w:rsid w:val="00B87E77"/>
    <w:rsid w:val="00B904ED"/>
    <w:rsid w:val="00B90B9D"/>
    <w:rsid w:val="00B913F8"/>
    <w:rsid w:val="00B91487"/>
    <w:rsid w:val="00B917E4"/>
    <w:rsid w:val="00B91BD8"/>
    <w:rsid w:val="00B91E82"/>
    <w:rsid w:val="00B9237A"/>
    <w:rsid w:val="00B92511"/>
    <w:rsid w:val="00B92812"/>
    <w:rsid w:val="00B929FA"/>
    <w:rsid w:val="00B92CF1"/>
    <w:rsid w:val="00B92DC0"/>
    <w:rsid w:val="00B92F9D"/>
    <w:rsid w:val="00B93924"/>
    <w:rsid w:val="00B93A91"/>
    <w:rsid w:val="00B93D2B"/>
    <w:rsid w:val="00B94025"/>
    <w:rsid w:val="00B941E4"/>
    <w:rsid w:val="00B944DA"/>
    <w:rsid w:val="00B94845"/>
    <w:rsid w:val="00B952E0"/>
    <w:rsid w:val="00B95578"/>
    <w:rsid w:val="00B95F44"/>
    <w:rsid w:val="00B95FB6"/>
    <w:rsid w:val="00B96554"/>
    <w:rsid w:val="00B966DE"/>
    <w:rsid w:val="00B9696B"/>
    <w:rsid w:val="00B96A1B"/>
    <w:rsid w:val="00B96BB3"/>
    <w:rsid w:val="00B97F61"/>
    <w:rsid w:val="00BA0214"/>
    <w:rsid w:val="00BA02CF"/>
    <w:rsid w:val="00BA04C5"/>
    <w:rsid w:val="00BA0DCA"/>
    <w:rsid w:val="00BA18ED"/>
    <w:rsid w:val="00BA1929"/>
    <w:rsid w:val="00BA1B3A"/>
    <w:rsid w:val="00BA1E05"/>
    <w:rsid w:val="00BA1F33"/>
    <w:rsid w:val="00BA2060"/>
    <w:rsid w:val="00BA208A"/>
    <w:rsid w:val="00BA2162"/>
    <w:rsid w:val="00BA232C"/>
    <w:rsid w:val="00BA24EF"/>
    <w:rsid w:val="00BA26AF"/>
    <w:rsid w:val="00BA2B42"/>
    <w:rsid w:val="00BA2D29"/>
    <w:rsid w:val="00BA2F82"/>
    <w:rsid w:val="00BA36D3"/>
    <w:rsid w:val="00BA388C"/>
    <w:rsid w:val="00BA38EE"/>
    <w:rsid w:val="00BA3B3F"/>
    <w:rsid w:val="00BA3C86"/>
    <w:rsid w:val="00BA3D1E"/>
    <w:rsid w:val="00BA4464"/>
    <w:rsid w:val="00BA49F4"/>
    <w:rsid w:val="00BA4BCC"/>
    <w:rsid w:val="00BA597B"/>
    <w:rsid w:val="00BA5A81"/>
    <w:rsid w:val="00BA5C56"/>
    <w:rsid w:val="00BA5D84"/>
    <w:rsid w:val="00BA6325"/>
    <w:rsid w:val="00BA6DEB"/>
    <w:rsid w:val="00BA7082"/>
    <w:rsid w:val="00BA76A3"/>
    <w:rsid w:val="00BA7A87"/>
    <w:rsid w:val="00BA7B06"/>
    <w:rsid w:val="00BB0964"/>
    <w:rsid w:val="00BB099A"/>
    <w:rsid w:val="00BB0B84"/>
    <w:rsid w:val="00BB0E10"/>
    <w:rsid w:val="00BB103E"/>
    <w:rsid w:val="00BB1242"/>
    <w:rsid w:val="00BB161F"/>
    <w:rsid w:val="00BB1627"/>
    <w:rsid w:val="00BB181A"/>
    <w:rsid w:val="00BB1985"/>
    <w:rsid w:val="00BB1E36"/>
    <w:rsid w:val="00BB20AA"/>
    <w:rsid w:val="00BB21CA"/>
    <w:rsid w:val="00BB2290"/>
    <w:rsid w:val="00BB23FA"/>
    <w:rsid w:val="00BB2A29"/>
    <w:rsid w:val="00BB2A8D"/>
    <w:rsid w:val="00BB31A1"/>
    <w:rsid w:val="00BB32C5"/>
    <w:rsid w:val="00BB35C0"/>
    <w:rsid w:val="00BB394C"/>
    <w:rsid w:val="00BB39CD"/>
    <w:rsid w:val="00BB3A4E"/>
    <w:rsid w:val="00BB3D6A"/>
    <w:rsid w:val="00BB400B"/>
    <w:rsid w:val="00BB45A1"/>
    <w:rsid w:val="00BB4909"/>
    <w:rsid w:val="00BB4986"/>
    <w:rsid w:val="00BB4BBE"/>
    <w:rsid w:val="00BB510B"/>
    <w:rsid w:val="00BB5637"/>
    <w:rsid w:val="00BB62C0"/>
    <w:rsid w:val="00BB6335"/>
    <w:rsid w:val="00BB6654"/>
    <w:rsid w:val="00BB67CC"/>
    <w:rsid w:val="00BB67E0"/>
    <w:rsid w:val="00BB6D44"/>
    <w:rsid w:val="00BB73BB"/>
    <w:rsid w:val="00BB7686"/>
    <w:rsid w:val="00BB7802"/>
    <w:rsid w:val="00BB7D4D"/>
    <w:rsid w:val="00BC015B"/>
    <w:rsid w:val="00BC035D"/>
    <w:rsid w:val="00BC0731"/>
    <w:rsid w:val="00BC09F8"/>
    <w:rsid w:val="00BC0BB1"/>
    <w:rsid w:val="00BC0BC8"/>
    <w:rsid w:val="00BC0CDB"/>
    <w:rsid w:val="00BC1057"/>
    <w:rsid w:val="00BC1841"/>
    <w:rsid w:val="00BC20B3"/>
    <w:rsid w:val="00BC20C7"/>
    <w:rsid w:val="00BC2162"/>
    <w:rsid w:val="00BC23F9"/>
    <w:rsid w:val="00BC27A1"/>
    <w:rsid w:val="00BC28AA"/>
    <w:rsid w:val="00BC2A4D"/>
    <w:rsid w:val="00BC3028"/>
    <w:rsid w:val="00BC3421"/>
    <w:rsid w:val="00BC3704"/>
    <w:rsid w:val="00BC3784"/>
    <w:rsid w:val="00BC381E"/>
    <w:rsid w:val="00BC39BE"/>
    <w:rsid w:val="00BC3C3A"/>
    <w:rsid w:val="00BC4446"/>
    <w:rsid w:val="00BC45A0"/>
    <w:rsid w:val="00BC4B31"/>
    <w:rsid w:val="00BC5612"/>
    <w:rsid w:val="00BC5CE9"/>
    <w:rsid w:val="00BC5E22"/>
    <w:rsid w:val="00BC5F2C"/>
    <w:rsid w:val="00BC6339"/>
    <w:rsid w:val="00BC649F"/>
    <w:rsid w:val="00BC700B"/>
    <w:rsid w:val="00BC709B"/>
    <w:rsid w:val="00BC732C"/>
    <w:rsid w:val="00BC7731"/>
    <w:rsid w:val="00BC77F7"/>
    <w:rsid w:val="00BC797F"/>
    <w:rsid w:val="00BC7BD0"/>
    <w:rsid w:val="00BC7CAA"/>
    <w:rsid w:val="00BC7F43"/>
    <w:rsid w:val="00BD0102"/>
    <w:rsid w:val="00BD0295"/>
    <w:rsid w:val="00BD0CDB"/>
    <w:rsid w:val="00BD0CF6"/>
    <w:rsid w:val="00BD10EE"/>
    <w:rsid w:val="00BD114E"/>
    <w:rsid w:val="00BD19D2"/>
    <w:rsid w:val="00BD1F52"/>
    <w:rsid w:val="00BD2168"/>
    <w:rsid w:val="00BD21B5"/>
    <w:rsid w:val="00BD2519"/>
    <w:rsid w:val="00BD2608"/>
    <w:rsid w:val="00BD26A2"/>
    <w:rsid w:val="00BD2700"/>
    <w:rsid w:val="00BD2C25"/>
    <w:rsid w:val="00BD2E79"/>
    <w:rsid w:val="00BD307C"/>
    <w:rsid w:val="00BD308B"/>
    <w:rsid w:val="00BD3388"/>
    <w:rsid w:val="00BD36DA"/>
    <w:rsid w:val="00BD376C"/>
    <w:rsid w:val="00BD3966"/>
    <w:rsid w:val="00BD3C64"/>
    <w:rsid w:val="00BD406D"/>
    <w:rsid w:val="00BD41C8"/>
    <w:rsid w:val="00BD4421"/>
    <w:rsid w:val="00BD4495"/>
    <w:rsid w:val="00BD44DE"/>
    <w:rsid w:val="00BD48AD"/>
    <w:rsid w:val="00BD4996"/>
    <w:rsid w:val="00BD4B7D"/>
    <w:rsid w:val="00BD5562"/>
    <w:rsid w:val="00BD55AC"/>
    <w:rsid w:val="00BD55D8"/>
    <w:rsid w:val="00BD568A"/>
    <w:rsid w:val="00BD594B"/>
    <w:rsid w:val="00BD5A6A"/>
    <w:rsid w:val="00BD5A84"/>
    <w:rsid w:val="00BD5E94"/>
    <w:rsid w:val="00BD61EA"/>
    <w:rsid w:val="00BD634E"/>
    <w:rsid w:val="00BD63E0"/>
    <w:rsid w:val="00BD6437"/>
    <w:rsid w:val="00BD664F"/>
    <w:rsid w:val="00BD68CF"/>
    <w:rsid w:val="00BD69F0"/>
    <w:rsid w:val="00BD6B09"/>
    <w:rsid w:val="00BD6E5C"/>
    <w:rsid w:val="00BD7030"/>
    <w:rsid w:val="00BD7102"/>
    <w:rsid w:val="00BD723D"/>
    <w:rsid w:val="00BD7297"/>
    <w:rsid w:val="00BD746E"/>
    <w:rsid w:val="00BD75C1"/>
    <w:rsid w:val="00BD7636"/>
    <w:rsid w:val="00BD765F"/>
    <w:rsid w:val="00BD7C27"/>
    <w:rsid w:val="00BD7E35"/>
    <w:rsid w:val="00BD7F2F"/>
    <w:rsid w:val="00BE005B"/>
    <w:rsid w:val="00BE01B4"/>
    <w:rsid w:val="00BE035C"/>
    <w:rsid w:val="00BE049E"/>
    <w:rsid w:val="00BE0559"/>
    <w:rsid w:val="00BE172C"/>
    <w:rsid w:val="00BE1954"/>
    <w:rsid w:val="00BE1C3E"/>
    <w:rsid w:val="00BE1CA9"/>
    <w:rsid w:val="00BE206E"/>
    <w:rsid w:val="00BE22C0"/>
    <w:rsid w:val="00BE2580"/>
    <w:rsid w:val="00BE266D"/>
    <w:rsid w:val="00BE29A2"/>
    <w:rsid w:val="00BE31E0"/>
    <w:rsid w:val="00BE3435"/>
    <w:rsid w:val="00BE35EA"/>
    <w:rsid w:val="00BE3938"/>
    <w:rsid w:val="00BE3EE8"/>
    <w:rsid w:val="00BE426B"/>
    <w:rsid w:val="00BE42AA"/>
    <w:rsid w:val="00BE42D0"/>
    <w:rsid w:val="00BE4367"/>
    <w:rsid w:val="00BE44B5"/>
    <w:rsid w:val="00BE45B8"/>
    <w:rsid w:val="00BE4760"/>
    <w:rsid w:val="00BE47F2"/>
    <w:rsid w:val="00BE48FB"/>
    <w:rsid w:val="00BE490D"/>
    <w:rsid w:val="00BE4C11"/>
    <w:rsid w:val="00BE4FCF"/>
    <w:rsid w:val="00BE4FFD"/>
    <w:rsid w:val="00BE5118"/>
    <w:rsid w:val="00BE5143"/>
    <w:rsid w:val="00BE5292"/>
    <w:rsid w:val="00BE5378"/>
    <w:rsid w:val="00BE54D5"/>
    <w:rsid w:val="00BE5C22"/>
    <w:rsid w:val="00BE5D6D"/>
    <w:rsid w:val="00BE5FA1"/>
    <w:rsid w:val="00BE6438"/>
    <w:rsid w:val="00BE65D9"/>
    <w:rsid w:val="00BE6A69"/>
    <w:rsid w:val="00BE7066"/>
    <w:rsid w:val="00BE71C0"/>
    <w:rsid w:val="00BE772C"/>
    <w:rsid w:val="00BE777A"/>
    <w:rsid w:val="00BE7935"/>
    <w:rsid w:val="00BE7EF3"/>
    <w:rsid w:val="00BF0105"/>
    <w:rsid w:val="00BF03A1"/>
    <w:rsid w:val="00BF05FB"/>
    <w:rsid w:val="00BF0A9C"/>
    <w:rsid w:val="00BF0B01"/>
    <w:rsid w:val="00BF0BD6"/>
    <w:rsid w:val="00BF0ED6"/>
    <w:rsid w:val="00BF0FB4"/>
    <w:rsid w:val="00BF103D"/>
    <w:rsid w:val="00BF10E0"/>
    <w:rsid w:val="00BF114E"/>
    <w:rsid w:val="00BF12EF"/>
    <w:rsid w:val="00BF1400"/>
    <w:rsid w:val="00BF151A"/>
    <w:rsid w:val="00BF15D7"/>
    <w:rsid w:val="00BF182A"/>
    <w:rsid w:val="00BF1AA5"/>
    <w:rsid w:val="00BF1FA2"/>
    <w:rsid w:val="00BF20FD"/>
    <w:rsid w:val="00BF21AE"/>
    <w:rsid w:val="00BF2343"/>
    <w:rsid w:val="00BF25DD"/>
    <w:rsid w:val="00BF26CC"/>
    <w:rsid w:val="00BF284F"/>
    <w:rsid w:val="00BF2ADA"/>
    <w:rsid w:val="00BF3166"/>
    <w:rsid w:val="00BF3460"/>
    <w:rsid w:val="00BF3E81"/>
    <w:rsid w:val="00BF3F81"/>
    <w:rsid w:val="00BF40CF"/>
    <w:rsid w:val="00BF41E5"/>
    <w:rsid w:val="00BF44BB"/>
    <w:rsid w:val="00BF467C"/>
    <w:rsid w:val="00BF4743"/>
    <w:rsid w:val="00BF477F"/>
    <w:rsid w:val="00BF47C9"/>
    <w:rsid w:val="00BF4961"/>
    <w:rsid w:val="00BF4D0B"/>
    <w:rsid w:val="00BF4D10"/>
    <w:rsid w:val="00BF4F90"/>
    <w:rsid w:val="00BF5063"/>
    <w:rsid w:val="00BF5216"/>
    <w:rsid w:val="00BF52A5"/>
    <w:rsid w:val="00BF55B6"/>
    <w:rsid w:val="00BF56B6"/>
    <w:rsid w:val="00BF58F9"/>
    <w:rsid w:val="00BF5B6C"/>
    <w:rsid w:val="00BF5B78"/>
    <w:rsid w:val="00BF6039"/>
    <w:rsid w:val="00BF610C"/>
    <w:rsid w:val="00BF64DA"/>
    <w:rsid w:val="00BF6D46"/>
    <w:rsid w:val="00BF73A5"/>
    <w:rsid w:val="00BF789C"/>
    <w:rsid w:val="00BF7A8E"/>
    <w:rsid w:val="00BF7B2E"/>
    <w:rsid w:val="00BF7B81"/>
    <w:rsid w:val="00BF7E79"/>
    <w:rsid w:val="00BF7FE8"/>
    <w:rsid w:val="00BF7FFC"/>
    <w:rsid w:val="00C005BA"/>
    <w:rsid w:val="00C0060B"/>
    <w:rsid w:val="00C00B93"/>
    <w:rsid w:val="00C00BA2"/>
    <w:rsid w:val="00C01662"/>
    <w:rsid w:val="00C01676"/>
    <w:rsid w:val="00C017C6"/>
    <w:rsid w:val="00C01979"/>
    <w:rsid w:val="00C019CE"/>
    <w:rsid w:val="00C01A6C"/>
    <w:rsid w:val="00C01F1A"/>
    <w:rsid w:val="00C021E3"/>
    <w:rsid w:val="00C0225E"/>
    <w:rsid w:val="00C026FC"/>
    <w:rsid w:val="00C0277D"/>
    <w:rsid w:val="00C02CCA"/>
    <w:rsid w:val="00C02D1A"/>
    <w:rsid w:val="00C02E91"/>
    <w:rsid w:val="00C02F26"/>
    <w:rsid w:val="00C02F8C"/>
    <w:rsid w:val="00C02FFF"/>
    <w:rsid w:val="00C03370"/>
    <w:rsid w:val="00C0346E"/>
    <w:rsid w:val="00C03699"/>
    <w:rsid w:val="00C03D4F"/>
    <w:rsid w:val="00C03ECF"/>
    <w:rsid w:val="00C047FC"/>
    <w:rsid w:val="00C048AD"/>
    <w:rsid w:val="00C04C0A"/>
    <w:rsid w:val="00C04DA3"/>
    <w:rsid w:val="00C04F12"/>
    <w:rsid w:val="00C053A1"/>
    <w:rsid w:val="00C0573B"/>
    <w:rsid w:val="00C05AF7"/>
    <w:rsid w:val="00C05B93"/>
    <w:rsid w:val="00C0602E"/>
    <w:rsid w:val="00C064CD"/>
    <w:rsid w:val="00C06B70"/>
    <w:rsid w:val="00C06FC4"/>
    <w:rsid w:val="00C0717B"/>
    <w:rsid w:val="00C07271"/>
    <w:rsid w:val="00C07798"/>
    <w:rsid w:val="00C07AA0"/>
    <w:rsid w:val="00C07DA1"/>
    <w:rsid w:val="00C100F3"/>
    <w:rsid w:val="00C102FD"/>
    <w:rsid w:val="00C10308"/>
    <w:rsid w:val="00C1034F"/>
    <w:rsid w:val="00C10416"/>
    <w:rsid w:val="00C104CF"/>
    <w:rsid w:val="00C1072C"/>
    <w:rsid w:val="00C1076A"/>
    <w:rsid w:val="00C1128D"/>
    <w:rsid w:val="00C112AA"/>
    <w:rsid w:val="00C112F2"/>
    <w:rsid w:val="00C11BC0"/>
    <w:rsid w:val="00C11FBA"/>
    <w:rsid w:val="00C1232E"/>
    <w:rsid w:val="00C12534"/>
    <w:rsid w:val="00C1258B"/>
    <w:rsid w:val="00C125C1"/>
    <w:rsid w:val="00C127DC"/>
    <w:rsid w:val="00C129F8"/>
    <w:rsid w:val="00C12A49"/>
    <w:rsid w:val="00C12B6D"/>
    <w:rsid w:val="00C12C72"/>
    <w:rsid w:val="00C130A7"/>
    <w:rsid w:val="00C13108"/>
    <w:rsid w:val="00C13390"/>
    <w:rsid w:val="00C139E6"/>
    <w:rsid w:val="00C141BD"/>
    <w:rsid w:val="00C14273"/>
    <w:rsid w:val="00C14401"/>
    <w:rsid w:val="00C14863"/>
    <w:rsid w:val="00C14973"/>
    <w:rsid w:val="00C14B3B"/>
    <w:rsid w:val="00C14C26"/>
    <w:rsid w:val="00C14E77"/>
    <w:rsid w:val="00C15369"/>
    <w:rsid w:val="00C15BBB"/>
    <w:rsid w:val="00C15DBD"/>
    <w:rsid w:val="00C15F82"/>
    <w:rsid w:val="00C16198"/>
    <w:rsid w:val="00C162AC"/>
    <w:rsid w:val="00C16373"/>
    <w:rsid w:val="00C16506"/>
    <w:rsid w:val="00C16B3C"/>
    <w:rsid w:val="00C16BD5"/>
    <w:rsid w:val="00C177F7"/>
    <w:rsid w:val="00C1785C"/>
    <w:rsid w:val="00C1795B"/>
    <w:rsid w:val="00C17FF6"/>
    <w:rsid w:val="00C20028"/>
    <w:rsid w:val="00C20188"/>
    <w:rsid w:val="00C20430"/>
    <w:rsid w:val="00C2083D"/>
    <w:rsid w:val="00C20873"/>
    <w:rsid w:val="00C20D73"/>
    <w:rsid w:val="00C20F94"/>
    <w:rsid w:val="00C21210"/>
    <w:rsid w:val="00C21237"/>
    <w:rsid w:val="00C21308"/>
    <w:rsid w:val="00C2181A"/>
    <w:rsid w:val="00C2192C"/>
    <w:rsid w:val="00C21D84"/>
    <w:rsid w:val="00C220CC"/>
    <w:rsid w:val="00C22635"/>
    <w:rsid w:val="00C22C12"/>
    <w:rsid w:val="00C22FD6"/>
    <w:rsid w:val="00C2352F"/>
    <w:rsid w:val="00C23639"/>
    <w:rsid w:val="00C237EC"/>
    <w:rsid w:val="00C238DC"/>
    <w:rsid w:val="00C23F27"/>
    <w:rsid w:val="00C24827"/>
    <w:rsid w:val="00C249C8"/>
    <w:rsid w:val="00C24A53"/>
    <w:rsid w:val="00C24B9C"/>
    <w:rsid w:val="00C24C9C"/>
    <w:rsid w:val="00C24E3C"/>
    <w:rsid w:val="00C2535E"/>
    <w:rsid w:val="00C2544D"/>
    <w:rsid w:val="00C256D3"/>
    <w:rsid w:val="00C2575B"/>
    <w:rsid w:val="00C25D7C"/>
    <w:rsid w:val="00C25DE3"/>
    <w:rsid w:val="00C27305"/>
    <w:rsid w:val="00C275E2"/>
    <w:rsid w:val="00C275FA"/>
    <w:rsid w:val="00C27692"/>
    <w:rsid w:val="00C27B1F"/>
    <w:rsid w:val="00C30498"/>
    <w:rsid w:val="00C30A3D"/>
    <w:rsid w:val="00C30BC1"/>
    <w:rsid w:val="00C3146A"/>
    <w:rsid w:val="00C31951"/>
    <w:rsid w:val="00C31D96"/>
    <w:rsid w:val="00C32411"/>
    <w:rsid w:val="00C32B1A"/>
    <w:rsid w:val="00C3388D"/>
    <w:rsid w:val="00C338A4"/>
    <w:rsid w:val="00C339B0"/>
    <w:rsid w:val="00C33CDE"/>
    <w:rsid w:val="00C33DC4"/>
    <w:rsid w:val="00C33FBB"/>
    <w:rsid w:val="00C34176"/>
    <w:rsid w:val="00C341E0"/>
    <w:rsid w:val="00C34477"/>
    <w:rsid w:val="00C34576"/>
    <w:rsid w:val="00C34685"/>
    <w:rsid w:val="00C34A05"/>
    <w:rsid w:val="00C34B2C"/>
    <w:rsid w:val="00C34B51"/>
    <w:rsid w:val="00C34B99"/>
    <w:rsid w:val="00C34D76"/>
    <w:rsid w:val="00C3511D"/>
    <w:rsid w:val="00C3515D"/>
    <w:rsid w:val="00C3547F"/>
    <w:rsid w:val="00C3590E"/>
    <w:rsid w:val="00C35A5D"/>
    <w:rsid w:val="00C35B90"/>
    <w:rsid w:val="00C35CCE"/>
    <w:rsid w:val="00C35D09"/>
    <w:rsid w:val="00C35E63"/>
    <w:rsid w:val="00C35ECB"/>
    <w:rsid w:val="00C3605E"/>
    <w:rsid w:val="00C3662F"/>
    <w:rsid w:val="00C36ECE"/>
    <w:rsid w:val="00C3701F"/>
    <w:rsid w:val="00C373FA"/>
    <w:rsid w:val="00C378EF"/>
    <w:rsid w:val="00C37AAD"/>
    <w:rsid w:val="00C37C72"/>
    <w:rsid w:val="00C4032F"/>
    <w:rsid w:val="00C40774"/>
    <w:rsid w:val="00C40897"/>
    <w:rsid w:val="00C409EC"/>
    <w:rsid w:val="00C40C66"/>
    <w:rsid w:val="00C4100E"/>
    <w:rsid w:val="00C411CD"/>
    <w:rsid w:val="00C41405"/>
    <w:rsid w:val="00C415B5"/>
    <w:rsid w:val="00C4177D"/>
    <w:rsid w:val="00C41836"/>
    <w:rsid w:val="00C41959"/>
    <w:rsid w:val="00C41DEE"/>
    <w:rsid w:val="00C41DF3"/>
    <w:rsid w:val="00C41DFE"/>
    <w:rsid w:val="00C41F21"/>
    <w:rsid w:val="00C42574"/>
    <w:rsid w:val="00C4268F"/>
    <w:rsid w:val="00C426E6"/>
    <w:rsid w:val="00C42703"/>
    <w:rsid w:val="00C42720"/>
    <w:rsid w:val="00C42721"/>
    <w:rsid w:val="00C42ABE"/>
    <w:rsid w:val="00C42AC7"/>
    <w:rsid w:val="00C434FE"/>
    <w:rsid w:val="00C43844"/>
    <w:rsid w:val="00C4399C"/>
    <w:rsid w:val="00C439B9"/>
    <w:rsid w:val="00C439EE"/>
    <w:rsid w:val="00C43B2D"/>
    <w:rsid w:val="00C43EEC"/>
    <w:rsid w:val="00C44047"/>
    <w:rsid w:val="00C44218"/>
    <w:rsid w:val="00C44651"/>
    <w:rsid w:val="00C44723"/>
    <w:rsid w:val="00C4501E"/>
    <w:rsid w:val="00C45155"/>
    <w:rsid w:val="00C45356"/>
    <w:rsid w:val="00C45445"/>
    <w:rsid w:val="00C45454"/>
    <w:rsid w:val="00C454B4"/>
    <w:rsid w:val="00C455FD"/>
    <w:rsid w:val="00C45D7B"/>
    <w:rsid w:val="00C45E58"/>
    <w:rsid w:val="00C4609F"/>
    <w:rsid w:val="00C463A3"/>
    <w:rsid w:val="00C465F3"/>
    <w:rsid w:val="00C46D43"/>
    <w:rsid w:val="00C46F56"/>
    <w:rsid w:val="00C47029"/>
    <w:rsid w:val="00C4742E"/>
    <w:rsid w:val="00C47466"/>
    <w:rsid w:val="00C47660"/>
    <w:rsid w:val="00C47B36"/>
    <w:rsid w:val="00C47E85"/>
    <w:rsid w:val="00C47F01"/>
    <w:rsid w:val="00C500B2"/>
    <w:rsid w:val="00C5018B"/>
    <w:rsid w:val="00C5031E"/>
    <w:rsid w:val="00C50423"/>
    <w:rsid w:val="00C505CF"/>
    <w:rsid w:val="00C508E7"/>
    <w:rsid w:val="00C509EE"/>
    <w:rsid w:val="00C50DCB"/>
    <w:rsid w:val="00C50E96"/>
    <w:rsid w:val="00C50F35"/>
    <w:rsid w:val="00C50FAE"/>
    <w:rsid w:val="00C51E75"/>
    <w:rsid w:val="00C5217D"/>
    <w:rsid w:val="00C52264"/>
    <w:rsid w:val="00C52799"/>
    <w:rsid w:val="00C53059"/>
    <w:rsid w:val="00C53DC4"/>
    <w:rsid w:val="00C5414E"/>
    <w:rsid w:val="00C54256"/>
    <w:rsid w:val="00C5460B"/>
    <w:rsid w:val="00C54625"/>
    <w:rsid w:val="00C5476D"/>
    <w:rsid w:val="00C5488F"/>
    <w:rsid w:val="00C5494E"/>
    <w:rsid w:val="00C54965"/>
    <w:rsid w:val="00C5498F"/>
    <w:rsid w:val="00C54A5C"/>
    <w:rsid w:val="00C54C2E"/>
    <w:rsid w:val="00C54CF0"/>
    <w:rsid w:val="00C55235"/>
    <w:rsid w:val="00C552E1"/>
    <w:rsid w:val="00C55606"/>
    <w:rsid w:val="00C55887"/>
    <w:rsid w:val="00C558BA"/>
    <w:rsid w:val="00C558D7"/>
    <w:rsid w:val="00C55AFD"/>
    <w:rsid w:val="00C55EB1"/>
    <w:rsid w:val="00C55FAA"/>
    <w:rsid w:val="00C56142"/>
    <w:rsid w:val="00C564E9"/>
    <w:rsid w:val="00C568F4"/>
    <w:rsid w:val="00C56C6A"/>
    <w:rsid w:val="00C56D72"/>
    <w:rsid w:val="00C57E8C"/>
    <w:rsid w:val="00C57FD8"/>
    <w:rsid w:val="00C60561"/>
    <w:rsid w:val="00C60592"/>
    <w:rsid w:val="00C605EB"/>
    <w:rsid w:val="00C60654"/>
    <w:rsid w:val="00C60F34"/>
    <w:rsid w:val="00C61A12"/>
    <w:rsid w:val="00C61FAE"/>
    <w:rsid w:val="00C620BD"/>
    <w:rsid w:val="00C6240B"/>
    <w:rsid w:val="00C63320"/>
    <w:rsid w:val="00C6384E"/>
    <w:rsid w:val="00C6385B"/>
    <w:rsid w:val="00C6386C"/>
    <w:rsid w:val="00C63ED2"/>
    <w:rsid w:val="00C6419C"/>
    <w:rsid w:val="00C641BC"/>
    <w:rsid w:val="00C6483F"/>
    <w:rsid w:val="00C64CD0"/>
    <w:rsid w:val="00C64D52"/>
    <w:rsid w:val="00C64DE6"/>
    <w:rsid w:val="00C64E40"/>
    <w:rsid w:val="00C6563D"/>
    <w:rsid w:val="00C65800"/>
    <w:rsid w:val="00C65F61"/>
    <w:rsid w:val="00C65FA2"/>
    <w:rsid w:val="00C66071"/>
    <w:rsid w:val="00C661DD"/>
    <w:rsid w:val="00C66535"/>
    <w:rsid w:val="00C6678F"/>
    <w:rsid w:val="00C6684F"/>
    <w:rsid w:val="00C66CE2"/>
    <w:rsid w:val="00C66DFB"/>
    <w:rsid w:val="00C67073"/>
    <w:rsid w:val="00C6743E"/>
    <w:rsid w:val="00C6760A"/>
    <w:rsid w:val="00C67C7E"/>
    <w:rsid w:val="00C67C98"/>
    <w:rsid w:val="00C7015A"/>
    <w:rsid w:val="00C70B83"/>
    <w:rsid w:val="00C70C92"/>
    <w:rsid w:val="00C70CB8"/>
    <w:rsid w:val="00C70E70"/>
    <w:rsid w:val="00C70F94"/>
    <w:rsid w:val="00C710C8"/>
    <w:rsid w:val="00C7120E"/>
    <w:rsid w:val="00C712AF"/>
    <w:rsid w:val="00C7149F"/>
    <w:rsid w:val="00C7157C"/>
    <w:rsid w:val="00C71995"/>
    <w:rsid w:val="00C71D00"/>
    <w:rsid w:val="00C723A1"/>
    <w:rsid w:val="00C72A6C"/>
    <w:rsid w:val="00C72CE3"/>
    <w:rsid w:val="00C72D82"/>
    <w:rsid w:val="00C73B6A"/>
    <w:rsid w:val="00C74143"/>
    <w:rsid w:val="00C74391"/>
    <w:rsid w:val="00C74B4C"/>
    <w:rsid w:val="00C74C79"/>
    <w:rsid w:val="00C74C86"/>
    <w:rsid w:val="00C74E25"/>
    <w:rsid w:val="00C74E29"/>
    <w:rsid w:val="00C757A1"/>
    <w:rsid w:val="00C75842"/>
    <w:rsid w:val="00C75B1C"/>
    <w:rsid w:val="00C75BF4"/>
    <w:rsid w:val="00C75F8D"/>
    <w:rsid w:val="00C760B7"/>
    <w:rsid w:val="00C762DF"/>
    <w:rsid w:val="00C764F3"/>
    <w:rsid w:val="00C76B9A"/>
    <w:rsid w:val="00C77380"/>
    <w:rsid w:val="00C77417"/>
    <w:rsid w:val="00C77981"/>
    <w:rsid w:val="00C77AEE"/>
    <w:rsid w:val="00C77EB8"/>
    <w:rsid w:val="00C80086"/>
    <w:rsid w:val="00C8048A"/>
    <w:rsid w:val="00C8066A"/>
    <w:rsid w:val="00C80696"/>
    <w:rsid w:val="00C80845"/>
    <w:rsid w:val="00C80DF2"/>
    <w:rsid w:val="00C811D8"/>
    <w:rsid w:val="00C817C1"/>
    <w:rsid w:val="00C81841"/>
    <w:rsid w:val="00C81C13"/>
    <w:rsid w:val="00C81F84"/>
    <w:rsid w:val="00C8206A"/>
    <w:rsid w:val="00C8214A"/>
    <w:rsid w:val="00C8226F"/>
    <w:rsid w:val="00C82290"/>
    <w:rsid w:val="00C822ED"/>
    <w:rsid w:val="00C8230A"/>
    <w:rsid w:val="00C823F6"/>
    <w:rsid w:val="00C82786"/>
    <w:rsid w:val="00C8295B"/>
    <w:rsid w:val="00C82BAF"/>
    <w:rsid w:val="00C82C62"/>
    <w:rsid w:val="00C82D6F"/>
    <w:rsid w:val="00C82E43"/>
    <w:rsid w:val="00C83B1E"/>
    <w:rsid w:val="00C83E46"/>
    <w:rsid w:val="00C8404F"/>
    <w:rsid w:val="00C842C3"/>
    <w:rsid w:val="00C845E4"/>
    <w:rsid w:val="00C84B35"/>
    <w:rsid w:val="00C84D59"/>
    <w:rsid w:val="00C8553E"/>
    <w:rsid w:val="00C85BF3"/>
    <w:rsid w:val="00C86553"/>
    <w:rsid w:val="00C865A7"/>
    <w:rsid w:val="00C86AFC"/>
    <w:rsid w:val="00C86D62"/>
    <w:rsid w:val="00C86ED1"/>
    <w:rsid w:val="00C87001"/>
    <w:rsid w:val="00C870EA"/>
    <w:rsid w:val="00C877F1"/>
    <w:rsid w:val="00C87E8A"/>
    <w:rsid w:val="00C87FFA"/>
    <w:rsid w:val="00C9004C"/>
    <w:rsid w:val="00C90200"/>
    <w:rsid w:val="00C90324"/>
    <w:rsid w:val="00C90617"/>
    <w:rsid w:val="00C90744"/>
    <w:rsid w:val="00C90868"/>
    <w:rsid w:val="00C90BA8"/>
    <w:rsid w:val="00C91182"/>
    <w:rsid w:val="00C91232"/>
    <w:rsid w:val="00C913D6"/>
    <w:rsid w:val="00C91401"/>
    <w:rsid w:val="00C916EE"/>
    <w:rsid w:val="00C9226E"/>
    <w:rsid w:val="00C9227C"/>
    <w:rsid w:val="00C924C9"/>
    <w:rsid w:val="00C92547"/>
    <w:rsid w:val="00C925B6"/>
    <w:rsid w:val="00C926C7"/>
    <w:rsid w:val="00C9279C"/>
    <w:rsid w:val="00C92FEF"/>
    <w:rsid w:val="00C9308E"/>
    <w:rsid w:val="00C934BF"/>
    <w:rsid w:val="00C935DE"/>
    <w:rsid w:val="00C93624"/>
    <w:rsid w:val="00C936F7"/>
    <w:rsid w:val="00C93912"/>
    <w:rsid w:val="00C93967"/>
    <w:rsid w:val="00C939D9"/>
    <w:rsid w:val="00C93D26"/>
    <w:rsid w:val="00C94048"/>
    <w:rsid w:val="00C9404A"/>
    <w:rsid w:val="00C942BF"/>
    <w:rsid w:val="00C9480D"/>
    <w:rsid w:val="00C94BF3"/>
    <w:rsid w:val="00C94C68"/>
    <w:rsid w:val="00C954C5"/>
    <w:rsid w:val="00C95950"/>
    <w:rsid w:val="00C95C73"/>
    <w:rsid w:val="00C95F4F"/>
    <w:rsid w:val="00C9602F"/>
    <w:rsid w:val="00C9672F"/>
    <w:rsid w:val="00C96D79"/>
    <w:rsid w:val="00C97736"/>
    <w:rsid w:val="00C97CF9"/>
    <w:rsid w:val="00C97E95"/>
    <w:rsid w:val="00CA03A2"/>
    <w:rsid w:val="00CA06B9"/>
    <w:rsid w:val="00CA0CCC"/>
    <w:rsid w:val="00CA0EC9"/>
    <w:rsid w:val="00CA13F0"/>
    <w:rsid w:val="00CA1675"/>
    <w:rsid w:val="00CA173C"/>
    <w:rsid w:val="00CA1D44"/>
    <w:rsid w:val="00CA2159"/>
    <w:rsid w:val="00CA2336"/>
    <w:rsid w:val="00CA262D"/>
    <w:rsid w:val="00CA2753"/>
    <w:rsid w:val="00CA29A8"/>
    <w:rsid w:val="00CA310C"/>
    <w:rsid w:val="00CA3371"/>
    <w:rsid w:val="00CA345A"/>
    <w:rsid w:val="00CA3480"/>
    <w:rsid w:val="00CA3855"/>
    <w:rsid w:val="00CA388D"/>
    <w:rsid w:val="00CA3F7A"/>
    <w:rsid w:val="00CA4257"/>
    <w:rsid w:val="00CA4531"/>
    <w:rsid w:val="00CA46CF"/>
    <w:rsid w:val="00CA49B7"/>
    <w:rsid w:val="00CA4B33"/>
    <w:rsid w:val="00CA51CE"/>
    <w:rsid w:val="00CA570D"/>
    <w:rsid w:val="00CA57DE"/>
    <w:rsid w:val="00CA626C"/>
    <w:rsid w:val="00CA64FB"/>
    <w:rsid w:val="00CA653B"/>
    <w:rsid w:val="00CA7613"/>
    <w:rsid w:val="00CA76A2"/>
    <w:rsid w:val="00CA779E"/>
    <w:rsid w:val="00CA77F2"/>
    <w:rsid w:val="00CA7FD2"/>
    <w:rsid w:val="00CB039A"/>
    <w:rsid w:val="00CB066D"/>
    <w:rsid w:val="00CB0FC1"/>
    <w:rsid w:val="00CB1151"/>
    <w:rsid w:val="00CB1181"/>
    <w:rsid w:val="00CB11A0"/>
    <w:rsid w:val="00CB12C0"/>
    <w:rsid w:val="00CB1385"/>
    <w:rsid w:val="00CB14FD"/>
    <w:rsid w:val="00CB16B9"/>
    <w:rsid w:val="00CB1E82"/>
    <w:rsid w:val="00CB205D"/>
    <w:rsid w:val="00CB2088"/>
    <w:rsid w:val="00CB26C6"/>
    <w:rsid w:val="00CB2FBA"/>
    <w:rsid w:val="00CB375C"/>
    <w:rsid w:val="00CB3852"/>
    <w:rsid w:val="00CB39E7"/>
    <w:rsid w:val="00CB3A63"/>
    <w:rsid w:val="00CB3A8A"/>
    <w:rsid w:val="00CB3E41"/>
    <w:rsid w:val="00CB461B"/>
    <w:rsid w:val="00CB495C"/>
    <w:rsid w:val="00CB4BA8"/>
    <w:rsid w:val="00CB4C80"/>
    <w:rsid w:val="00CB52D7"/>
    <w:rsid w:val="00CB5500"/>
    <w:rsid w:val="00CB59B2"/>
    <w:rsid w:val="00CB6914"/>
    <w:rsid w:val="00CB6997"/>
    <w:rsid w:val="00CB709E"/>
    <w:rsid w:val="00CB7611"/>
    <w:rsid w:val="00CB797B"/>
    <w:rsid w:val="00CB7B68"/>
    <w:rsid w:val="00CB7C60"/>
    <w:rsid w:val="00CB7C98"/>
    <w:rsid w:val="00CB7D60"/>
    <w:rsid w:val="00CC008E"/>
    <w:rsid w:val="00CC0159"/>
    <w:rsid w:val="00CC040C"/>
    <w:rsid w:val="00CC1283"/>
    <w:rsid w:val="00CC18D2"/>
    <w:rsid w:val="00CC1A38"/>
    <w:rsid w:val="00CC1E73"/>
    <w:rsid w:val="00CC2151"/>
    <w:rsid w:val="00CC23AF"/>
    <w:rsid w:val="00CC2417"/>
    <w:rsid w:val="00CC25A5"/>
    <w:rsid w:val="00CC2B88"/>
    <w:rsid w:val="00CC335F"/>
    <w:rsid w:val="00CC34B3"/>
    <w:rsid w:val="00CC3657"/>
    <w:rsid w:val="00CC3875"/>
    <w:rsid w:val="00CC38B1"/>
    <w:rsid w:val="00CC39CF"/>
    <w:rsid w:val="00CC3AE4"/>
    <w:rsid w:val="00CC3E60"/>
    <w:rsid w:val="00CC43CA"/>
    <w:rsid w:val="00CC44D4"/>
    <w:rsid w:val="00CC5198"/>
    <w:rsid w:val="00CC5222"/>
    <w:rsid w:val="00CC53E9"/>
    <w:rsid w:val="00CC5C93"/>
    <w:rsid w:val="00CC5F74"/>
    <w:rsid w:val="00CC6389"/>
    <w:rsid w:val="00CC64F2"/>
    <w:rsid w:val="00CC6732"/>
    <w:rsid w:val="00CC67ED"/>
    <w:rsid w:val="00CC71A8"/>
    <w:rsid w:val="00CC7228"/>
    <w:rsid w:val="00CC7742"/>
    <w:rsid w:val="00CC7818"/>
    <w:rsid w:val="00CC7961"/>
    <w:rsid w:val="00CC7B62"/>
    <w:rsid w:val="00CC7C11"/>
    <w:rsid w:val="00CC7D75"/>
    <w:rsid w:val="00CC7DD0"/>
    <w:rsid w:val="00CC7F0C"/>
    <w:rsid w:val="00CD0451"/>
    <w:rsid w:val="00CD0D30"/>
    <w:rsid w:val="00CD0DB7"/>
    <w:rsid w:val="00CD1238"/>
    <w:rsid w:val="00CD1241"/>
    <w:rsid w:val="00CD1553"/>
    <w:rsid w:val="00CD18E3"/>
    <w:rsid w:val="00CD1956"/>
    <w:rsid w:val="00CD210D"/>
    <w:rsid w:val="00CD2154"/>
    <w:rsid w:val="00CD227B"/>
    <w:rsid w:val="00CD2422"/>
    <w:rsid w:val="00CD270A"/>
    <w:rsid w:val="00CD299D"/>
    <w:rsid w:val="00CD29EC"/>
    <w:rsid w:val="00CD2EB2"/>
    <w:rsid w:val="00CD31E6"/>
    <w:rsid w:val="00CD3388"/>
    <w:rsid w:val="00CD34B3"/>
    <w:rsid w:val="00CD3701"/>
    <w:rsid w:val="00CD3AB2"/>
    <w:rsid w:val="00CD3BA5"/>
    <w:rsid w:val="00CD3BCA"/>
    <w:rsid w:val="00CD4106"/>
    <w:rsid w:val="00CD449E"/>
    <w:rsid w:val="00CD470B"/>
    <w:rsid w:val="00CD4914"/>
    <w:rsid w:val="00CD494A"/>
    <w:rsid w:val="00CD4BCC"/>
    <w:rsid w:val="00CD4D40"/>
    <w:rsid w:val="00CD4E40"/>
    <w:rsid w:val="00CD4E6C"/>
    <w:rsid w:val="00CD5020"/>
    <w:rsid w:val="00CD50EB"/>
    <w:rsid w:val="00CD57B3"/>
    <w:rsid w:val="00CD5C19"/>
    <w:rsid w:val="00CD609C"/>
    <w:rsid w:val="00CD612D"/>
    <w:rsid w:val="00CD6366"/>
    <w:rsid w:val="00CD63A2"/>
    <w:rsid w:val="00CD6510"/>
    <w:rsid w:val="00CD655F"/>
    <w:rsid w:val="00CD698D"/>
    <w:rsid w:val="00CD6ACF"/>
    <w:rsid w:val="00CD6B80"/>
    <w:rsid w:val="00CD6C25"/>
    <w:rsid w:val="00CD7094"/>
    <w:rsid w:val="00CD75AC"/>
    <w:rsid w:val="00CD76EC"/>
    <w:rsid w:val="00CD7724"/>
    <w:rsid w:val="00CD79A8"/>
    <w:rsid w:val="00CD79DD"/>
    <w:rsid w:val="00CD7C5E"/>
    <w:rsid w:val="00CD7D02"/>
    <w:rsid w:val="00CD7E71"/>
    <w:rsid w:val="00CD7EFF"/>
    <w:rsid w:val="00CE0175"/>
    <w:rsid w:val="00CE01FF"/>
    <w:rsid w:val="00CE0551"/>
    <w:rsid w:val="00CE0B14"/>
    <w:rsid w:val="00CE0C39"/>
    <w:rsid w:val="00CE1AF8"/>
    <w:rsid w:val="00CE2638"/>
    <w:rsid w:val="00CE292E"/>
    <w:rsid w:val="00CE2C19"/>
    <w:rsid w:val="00CE314C"/>
    <w:rsid w:val="00CE3471"/>
    <w:rsid w:val="00CE363F"/>
    <w:rsid w:val="00CE3AFF"/>
    <w:rsid w:val="00CE3C96"/>
    <w:rsid w:val="00CE3EC6"/>
    <w:rsid w:val="00CE3EF2"/>
    <w:rsid w:val="00CE421D"/>
    <w:rsid w:val="00CE472D"/>
    <w:rsid w:val="00CE47D2"/>
    <w:rsid w:val="00CE4BF5"/>
    <w:rsid w:val="00CE4E40"/>
    <w:rsid w:val="00CE4F74"/>
    <w:rsid w:val="00CE51A8"/>
    <w:rsid w:val="00CE5443"/>
    <w:rsid w:val="00CE5572"/>
    <w:rsid w:val="00CE5ACE"/>
    <w:rsid w:val="00CE5F17"/>
    <w:rsid w:val="00CE6404"/>
    <w:rsid w:val="00CE6437"/>
    <w:rsid w:val="00CE64EE"/>
    <w:rsid w:val="00CE652D"/>
    <w:rsid w:val="00CE6A0C"/>
    <w:rsid w:val="00CE6B9B"/>
    <w:rsid w:val="00CE6D81"/>
    <w:rsid w:val="00CE7690"/>
    <w:rsid w:val="00CE798B"/>
    <w:rsid w:val="00CE79A2"/>
    <w:rsid w:val="00CE7B06"/>
    <w:rsid w:val="00CE7F54"/>
    <w:rsid w:val="00CF01B9"/>
    <w:rsid w:val="00CF0231"/>
    <w:rsid w:val="00CF0785"/>
    <w:rsid w:val="00CF0A1F"/>
    <w:rsid w:val="00CF0BFE"/>
    <w:rsid w:val="00CF17DD"/>
    <w:rsid w:val="00CF197F"/>
    <w:rsid w:val="00CF1A92"/>
    <w:rsid w:val="00CF1C3B"/>
    <w:rsid w:val="00CF1DCB"/>
    <w:rsid w:val="00CF1DEC"/>
    <w:rsid w:val="00CF205D"/>
    <w:rsid w:val="00CF2AB8"/>
    <w:rsid w:val="00CF2DD2"/>
    <w:rsid w:val="00CF369B"/>
    <w:rsid w:val="00CF3711"/>
    <w:rsid w:val="00CF3DDF"/>
    <w:rsid w:val="00CF3F07"/>
    <w:rsid w:val="00CF4071"/>
    <w:rsid w:val="00CF4855"/>
    <w:rsid w:val="00CF4A1A"/>
    <w:rsid w:val="00CF4C9C"/>
    <w:rsid w:val="00CF4D3A"/>
    <w:rsid w:val="00CF4ED8"/>
    <w:rsid w:val="00CF50F4"/>
    <w:rsid w:val="00CF55B2"/>
    <w:rsid w:val="00CF59E1"/>
    <w:rsid w:val="00CF613E"/>
    <w:rsid w:val="00CF6C59"/>
    <w:rsid w:val="00CF6EAB"/>
    <w:rsid w:val="00CF761E"/>
    <w:rsid w:val="00CF7652"/>
    <w:rsid w:val="00CF778B"/>
    <w:rsid w:val="00CF7EE1"/>
    <w:rsid w:val="00CF7FFE"/>
    <w:rsid w:val="00D001C2"/>
    <w:rsid w:val="00D006C1"/>
    <w:rsid w:val="00D00972"/>
    <w:rsid w:val="00D00BD9"/>
    <w:rsid w:val="00D00C5A"/>
    <w:rsid w:val="00D00E28"/>
    <w:rsid w:val="00D012A7"/>
    <w:rsid w:val="00D012C1"/>
    <w:rsid w:val="00D016B7"/>
    <w:rsid w:val="00D016CC"/>
    <w:rsid w:val="00D01970"/>
    <w:rsid w:val="00D0269E"/>
    <w:rsid w:val="00D026BC"/>
    <w:rsid w:val="00D02A07"/>
    <w:rsid w:val="00D02A69"/>
    <w:rsid w:val="00D02F7B"/>
    <w:rsid w:val="00D030DA"/>
    <w:rsid w:val="00D03536"/>
    <w:rsid w:val="00D03547"/>
    <w:rsid w:val="00D03BA7"/>
    <w:rsid w:val="00D04375"/>
    <w:rsid w:val="00D046F9"/>
    <w:rsid w:val="00D0470B"/>
    <w:rsid w:val="00D04901"/>
    <w:rsid w:val="00D04BAD"/>
    <w:rsid w:val="00D04D82"/>
    <w:rsid w:val="00D05331"/>
    <w:rsid w:val="00D056F6"/>
    <w:rsid w:val="00D057DC"/>
    <w:rsid w:val="00D05968"/>
    <w:rsid w:val="00D05BF0"/>
    <w:rsid w:val="00D05C54"/>
    <w:rsid w:val="00D05D6C"/>
    <w:rsid w:val="00D05E09"/>
    <w:rsid w:val="00D0601F"/>
    <w:rsid w:val="00D062A3"/>
    <w:rsid w:val="00D062E1"/>
    <w:rsid w:val="00D0664A"/>
    <w:rsid w:val="00D06D24"/>
    <w:rsid w:val="00D0705E"/>
    <w:rsid w:val="00D074BC"/>
    <w:rsid w:val="00D07765"/>
    <w:rsid w:val="00D077B1"/>
    <w:rsid w:val="00D07985"/>
    <w:rsid w:val="00D07EEA"/>
    <w:rsid w:val="00D1095D"/>
    <w:rsid w:val="00D10A0E"/>
    <w:rsid w:val="00D10B6D"/>
    <w:rsid w:val="00D10F50"/>
    <w:rsid w:val="00D10F77"/>
    <w:rsid w:val="00D11147"/>
    <w:rsid w:val="00D11319"/>
    <w:rsid w:val="00D11557"/>
    <w:rsid w:val="00D119D7"/>
    <w:rsid w:val="00D11BD8"/>
    <w:rsid w:val="00D1206A"/>
    <w:rsid w:val="00D121BC"/>
    <w:rsid w:val="00D1257B"/>
    <w:rsid w:val="00D12A7B"/>
    <w:rsid w:val="00D12ACC"/>
    <w:rsid w:val="00D12FDA"/>
    <w:rsid w:val="00D1311A"/>
    <w:rsid w:val="00D13248"/>
    <w:rsid w:val="00D13325"/>
    <w:rsid w:val="00D133A8"/>
    <w:rsid w:val="00D13897"/>
    <w:rsid w:val="00D13AC8"/>
    <w:rsid w:val="00D14666"/>
    <w:rsid w:val="00D149E1"/>
    <w:rsid w:val="00D14AF8"/>
    <w:rsid w:val="00D14DE7"/>
    <w:rsid w:val="00D14F1F"/>
    <w:rsid w:val="00D14FE4"/>
    <w:rsid w:val="00D153F2"/>
    <w:rsid w:val="00D15551"/>
    <w:rsid w:val="00D15810"/>
    <w:rsid w:val="00D15D97"/>
    <w:rsid w:val="00D15E43"/>
    <w:rsid w:val="00D1618E"/>
    <w:rsid w:val="00D166A6"/>
    <w:rsid w:val="00D1681F"/>
    <w:rsid w:val="00D16A85"/>
    <w:rsid w:val="00D16D4E"/>
    <w:rsid w:val="00D16ED5"/>
    <w:rsid w:val="00D16FE3"/>
    <w:rsid w:val="00D17129"/>
    <w:rsid w:val="00D17424"/>
    <w:rsid w:val="00D17DDB"/>
    <w:rsid w:val="00D17E9D"/>
    <w:rsid w:val="00D17ED8"/>
    <w:rsid w:val="00D17FA3"/>
    <w:rsid w:val="00D204A0"/>
    <w:rsid w:val="00D206E4"/>
    <w:rsid w:val="00D208EC"/>
    <w:rsid w:val="00D20AD9"/>
    <w:rsid w:val="00D20AEF"/>
    <w:rsid w:val="00D20BAD"/>
    <w:rsid w:val="00D20C89"/>
    <w:rsid w:val="00D20D35"/>
    <w:rsid w:val="00D20E7A"/>
    <w:rsid w:val="00D20E9B"/>
    <w:rsid w:val="00D20EBC"/>
    <w:rsid w:val="00D20F52"/>
    <w:rsid w:val="00D210F8"/>
    <w:rsid w:val="00D212D5"/>
    <w:rsid w:val="00D21F20"/>
    <w:rsid w:val="00D2222F"/>
    <w:rsid w:val="00D22687"/>
    <w:rsid w:val="00D22740"/>
    <w:rsid w:val="00D2284B"/>
    <w:rsid w:val="00D22AC6"/>
    <w:rsid w:val="00D22ADD"/>
    <w:rsid w:val="00D22FC7"/>
    <w:rsid w:val="00D233B6"/>
    <w:rsid w:val="00D23C5F"/>
    <w:rsid w:val="00D24112"/>
    <w:rsid w:val="00D2411A"/>
    <w:rsid w:val="00D242ED"/>
    <w:rsid w:val="00D24A3A"/>
    <w:rsid w:val="00D24A4F"/>
    <w:rsid w:val="00D24EE0"/>
    <w:rsid w:val="00D25090"/>
    <w:rsid w:val="00D25364"/>
    <w:rsid w:val="00D25618"/>
    <w:rsid w:val="00D25804"/>
    <w:rsid w:val="00D2594A"/>
    <w:rsid w:val="00D25A65"/>
    <w:rsid w:val="00D25B74"/>
    <w:rsid w:val="00D25BEF"/>
    <w:rsid w:val="00D25C5B"/>
    <w:rsid w:val="00D260FF"/>
    <w:rsid w:val="00D2610B"/>
    <w:rsid w:val="00D26175"/>
    <w:rsid w:val="00D262DA"/>
    <w:rsid w:val="00D264DD"/>
    <w:rsid w:val="00D269D3"/>
    <w:rsid w:val="00D26C86"/>
    <w:rsid w:val="00D27004"/>
    <w:rsid w:val="00D27212"/>
    <w:rsid w:val="00D2733D"/>
    <w:rsid w:val="00D27438"/>
    <w:rsid w:val="00D27825"/>
    <w:rsid w:val="00D27CAF"/>
    <w:rsid w:val="00D27F41"/>
    <w:rsid w:val="00D306D7"/>
    <w:rsid w:val="00D30901"/>
    <w:rsid w:val="00D30C74"/>
    <w:rsid w:val="00D31497"/>
    <w:rsid w:val="00D31B01"/>
    <w:rsid w:val="00D31C7F"/>
    <w:rsid w:val="00D31E70"/>
    <w:rsid w:val="00D323DA"/>
    <w:rsid w:val="00D326B2"/>
    <w:rsid w:val="00D326B8"/>
    <w:rsid w:val="00D32BB2"/>
    <w:rsid w:val="00D32D73"/>
    <w:rsid w:val="00D33743"/>
    <w:rsid w:val="00D33818"/>
    <w:rsid w:val="00D33D18"/>
    <w:rsid w:val="00D33E3D"/>
    <w:rsid w:val="00D34282"/>
    <w:rsid w:val="00D342F8"/>
    <w:rsid w:val="00D349F3"/>
    <w:rsid w:val="00D34A4F"/>
    <w:rsid w:val="00D34AE2"/>
    <w:rsid w:val="00D35275"/>
    <w:rsid w:val="00D35828"/>
    <w:rsid w:val="00D359C9"/>
    <w:rsid w:val="00D36100"/>
    <w:rsid w:val="00D3640C"/>
    <w:rsid w:val="00D36441"/>
    <w:rsid w:val="00D36AF6"/>
    <w:rsid w:val="00D36C05"/>
    <w:rsid w:val="00D37174"/>
    <w:rsid w:val="00D37351"/>
    <w:rsid w:val="00D37920"/>
    <w:rsid w:val="00D37AF0"/>
    <w:rsid w:val="00D37E91"/>
    <w:rsid w:val="00D40362"/>
    <w:rsid w:val="00D4064E"/>
    <w:rsid w:val="00D40657"/>
    <w:rsid w:val="00D409DA"/>
    <w:rsid w:val="00D40E2E"/>
    <w:rsid w:val="00D40F15"/>
    <w:rsid w:val="00D411B2"/>
    <w:rsid w:val="00D41A44"/>
    <w:rsid w:val="00D41B72"/>
    <w:rsid w:val="00D41EA2"/>
    <w:rsid w:val="00D42383"/>
    <w:rsid w:val="00D4295C"/>
    <w:rsid w:val="00D42FA2"/>
    <w:rsid w:val="00D43073"/>
    <w:rsid w:val="00D434B8"/>
    <w:rsid w:val="00D43824"/>
    <w:rsid w:val="00D43854"/>
    <w:rsid w:val="00D43965"/>
    <w:rsid w:val="00D43A20"/>
    <w:rsid w:val="00D43DAB"/>
    <w:rsid w:val="00D44468"/>
    <w:rsid w:val="00D4478F"/>
    <w:rsid w:val="00D44D62"/>
    <w:rsid w:val="00D44E4A"/>
    <w:rsid w:val="00D44E9B"/>
    <w:rsid w:val="00D45118"/>
    <w:rsid w:val="00D4516D"/>
    <w:rsid w:val="00D45AFB"/>
    <w:rsid w:val="00D45D3F"/>
    <w:rsid w:val="00D46178"/>
    <w:rsid w:val="00D463D5"/>
    <w:rsid w:val="00D469E8"/>
    <w:rsid w:val="00D46A3C"/>
    <w:rsid w:val="00D4715F"/>
    <w:rsid w:val="00D474AA"/>
    <w:rsid w:val="00D476C1"/>
    <w:rsid w:val="00D47939"/>
    <w:rsid w:val="00D47AEB"/>
    <w:rsid w:val="00D47CEC"/>
    <w:rsid w:val="00D5033C"/>
    <w:rsid w:val="00D503D7"/>
    <w:rsid w:val="00D50823"/>
    <w:rsid w:val="00D50897"/>
    <w:rsid w:val="00D50BC5"/>
    <w:rsid w:val="00D50DB9"/>
    <w:rsid w:val="00D50FC2"/>
    <w:rsid w:val="00D51302"/>
    <w:rsid w:val="00D513D6"/>
    <w:rsid w:val="00D51509"/>
    <w:rsid w:val="00D515DC"/>
    <w:rsid w:val="00D51B01"/>
    <w:rsid w:val="00D52138"/>
    <w:rsid w:val="00D52436"/>
    <w:rsid w:val="00D52862"/>
    <w:rsid w:val="00D529E3"/>
    <w:rsid w:val="00D52C43"/>
    <w:rsid w:val="00D52D2A"/>
    <w:rsid w:val="00D52E07"/>
    <w:rsid w:val="00D52E83"/>
    <w:rsid w:val="00D53355"/>
    <w:rsid w:val="00D53B6F"/>
    <w:rsid w:val="00D53BED"/>
    <w:rsid w:val="00D540C8"/>
    <w:rsid w:val="00D540FC"/>
    <w:rsid w:val="00D545EC"/>
    <w:rsid w:val="00D5484C"/>
    <w:rsid w:val="00D5569B"/>
    <w:rsid w:val="00D55955"/>
    <w:rsid w:val="00D55EF0"/>
    <w:rsid w:val="00D56047"/>
    <w:rsid w:val="00D56189"/>
    <w:rsid w:val="00D561F9"/>
    <w:rsid w:val="00D562EC"/>
    <w:rsid w:val="00D56535"/>
    <w:rsid w:val="00D56669"/>
    <w:rsid w:val="00D5712D"/>
    <w:rsid w:val="00D5739F"/>
    <w:rsid w:val="00D57713"/>
    <w:rsid w:val="00D57C8D"/>
    <w:rsid w:val="00D57D4C"/>
    <w:rsid w:val="00D57E8D"/>
    <w:rsid w:val="00D604D1"/>
    <w:rsid w:val="00D60729"/>
    <w:rsid w:val="00D60CA5"/>
    <w:rsid w:val="00D60CB3"/>
    <w:rsid w:val="00D610BA"/>
    <w:rsid w:val="00D61243"/>
    <w:rsid w:val="00D617C8"/>
    <w:rsid w:val="00D61958"/>
    <w:rsid w:val="00D62060"/>
    <w:rsid w:val="00D622C8"/>
    <w:rsid w:val="00D62330"/>
    <w:rsid w:val="00D623D7"/>
    <w:rsid w:val="00D623DF"/>
    <w:rsid w:val="00D625D2"/>
    <w:rsid w:val="00D62647"/>
    <w:rsid w:val="00D62736"/>
    <w:rsid w:val="00D62991"/>
    <w:rsid w:val="00D62C37"/>
    <w:rsid w:val="00D62FF6"/>
    <w:rsid w:val="00D631B9"/>
    <w:rsid w:val="00D632A7"/>
    <w:rsid w:val="00D63886"/>
    <w:rsid w:val="00D63B55"/>
    <w:rsid w:val="00D63D4A"/>
    <w:rsid w:val="00D641D0"/>
    <w:rsid w:val="00D64B2E"/>
    <w:rsid w:val="00D64C8A"/>
    <w:rsid w:val="00D64E51"/>
    <w:rsid w:val="00D6507F"/>
    <w:rsid w:val="00D659FE"/>
    <w:rsid w:val="00D65B09"/>
    <w:rsid w:val="00D65E04"/>
    <w:rsid w:val="00D65E55"/>
    <w:rsid w:val="00D65EF7"/>
    <w:rsid w:val="00D66146"/>
    <w:rsid w:val="00D661E1"/>
    <w:rsid w:val="00D666C9"/>
    <w:rsid w:val="00D6678A"/>
    <w:rsid w:val="00D668A0"/>
    <w:rsid w:val="00D66A17"/>
    <w:rsid w:val="00D67205"/>
    <w:rsid w:val="00D67A33"/>
    <w:rsid w:val="00D67B4B"/>
    <w:rsid w:val="00D67E65"/>
    <w:rsid w:val="00D70957"/>
    <w:rsid w:val="00D70A0B"/>
    <w:rsid w:val="00D711CA"/>
    <w:rsid w:val="00D713B0"/>
    <w:rsid w:val="00D714B6"/>
    <w:rsid w:val="00D717D5"/>
    <w:rsid w:val="00D71CFA"/>
    <w:rsid w:val="00D721EB"/>
    <w:rsid w:val="00D726E0"/>
    <w:rsid w:val="00D72743"/>
    <w:rsid w:val="00D728D8"/>
    <w:rsid w:val="00D72A9F"/>
    <w:rsid w:val="00D72E3C"/>
    <w:rsid w:val="00D73026"/>
    <w:rsid w:val="00D730BC"/>
    <w:rsid w:val="00D737B2"/>
    <w:rsid w:val="00D737D0"/>
    <w:rsid w:val="00D73912"/>
    <w:rsid w:val="00D73A09"/>
    <w:rsid w:val="00D73E7B"/>
    <w:rsid w:val="00D73FCD"/>
    <w:rsid w:val="00D74297"/>
    <w:rsid w:val="00D748EC"/>
    <w:rsid w:val="00D751A0"/>
    <w:rsid w:val="00D7523B"/>
    <w:rsid w:val="00D75725"/>
    <w:rsid w:val="00D757D1"/>
    <w:rsid w:val="00D75CF2"/>
    <w:rsid w:val="00D75E42"/>
    <w:rsid w:val="00D7648F"/>
    <w:rsid w:val="00D76522"/>
    <w:rsid w:val="00D76D34"/>
    <w:rsid w:val="00D77193"/>
    <w:rsid w:val="00D772AF"/>
    <w:rsid w:val="00D77954"/>
    <w:rsid w:val="00D77D7B"/>
    <w:rsid w:val="00D802AF"/>
    <w:rsid w:val="00D80646"/>
    <w:rsid w:val="00D813EE"/>
    <w:rsid w:val="00D8145E"/>
    <w:rsid w:val="00D815A6"/>
    <w:rsid w:val="00D816CA"/>
    <w:rsid w:val="00D818F7"/>
    <w:rsid w:val="00D8205E"/>
    <w:rsid w:val="00D8297A"/>
    <w:rsid w:val="00D82A05"/>
    <w:rsid w:val="00D82D7A"/>
    <w:rsid w:val="00D82F7A"/>
    <w:rsid w:val="00D83172"/>
    <w:rsid w:val="00D837E7"/>
    <w:rsid w:val="00D84167"/>
    <w:rsid w:val="00D84271"/>
    <w:rsid w:val="00D8439B"/>
    <w:rsid w:val="00D84E8D"/>
    <w:rsid w:val="00D84ED7"/>
    <w:rsid w:val="00D85226"/>
    <w:rsid w:val="00D85565"/>
    <w:rsid w:val="00D85662"/>
    <w:rsid w:val="00D85885"/>
    <w:rsid w:val="00D85D22"/>
    <w:rsid w:val="00D860BE"/>
    <w:rsid w:val="00D864A9"/>
    <w:rsid w:val="00D86581"/>
    <w:rsid w:val="00D868B2"/>
    <w:rsid w:val="00D86E25"/>
    <w:rsid w:val="00D87233"/>
    <w:rsid w:val="00D87285"/>
    <w:rsid w:val="00D873B5"/>
    <w:rsid w:val="00D877BD"/>
    <w:rsid w:val="00D87948"/>
    <w:rsid w:val="00D87A85"/>
    <w:rsid w:val="00D87B94"/>
    <w:rsid w:val="00D87D76"/>
    <w:rsid w:val="00D900D1"/>
    <w:rsid w:val="00D90318"/>
    <w:rsid w:val="00D903A3"/>
    <w:rsid w:val="00D903C5"/>
    <w:rsid w:val="00D907EE"/>
    <w:rsid w:val="00D90878"/>
    <w:rsid w:val="00D90EC5"/>
    <w:rsid w:val="00D90F99"/>
    <w:rsid w:val="00D913B0"/>
    <w:rsid w:val="00D9151A"/>
    <w:rsid w:val="00D91837"/>
    <w:rsid w:val="00D91B09"/>
    <w:rsid w:val="00D91B85"/>
    <w:rsid w:val="00D91DA9"/>
    <w:rsid w:val="00D925EE"/>
    <w:rsid w:val="00D928F0"/>
    <w:rsid w:val="00D9298B"/>
    <w:rsid w:val="00D92B75"/>
    <w:rsid w:val="00D92C69"/>
    <w:rsid w:val="00D92D49"/>
    <w:rsid w:val="00D92EA4"/>
    <w:rsid w:val="00D92EC1"/>
    <w:rsid w:val="00D93650"/>
    <w:rsid w:val="00D93A28"/>
    <w:rsid w:val="00D93BE2"/>
    <w:rsid w:val="00D9409E"/>
    <w:rsid w:val="00D94427"/>
    <w:rsid w:val="00D94A93"/>
    <w:rsid w:val="00D94AD5"/>
    <w:rsid w:val="00D94C81"/>
    <w:rsid w:val="00D94EAA"/>
    <w:rsid w:val="00D954AE"/>
    <w:rsid w:val="00D956A6"/>
    <w:rsid w:val="00D957E7"/>
    <w:rsid w:val="00D9594A"/>
    <w:rsid w:val="00D95D03"/>
    <w:rsid w:val="00D96048"/>
    <w:rsid w:val="00D96103"/>
    <w:rsid w:val="00D9618B"/>
    <w:rsid w:val="00D969CF"/>
    <w:rsid w:val="00D96C92"/>
    <w:rsid w:val="00D96DEA"/>
    <w:rsid w:val="00D97360"/>
    <w:rsid w:val="00D97872"/>
    <w:rsid w:val="00D97A7D"/>
    <w:rsid w:val="00DA0B5F"/>
    <w:rsid w:val="00DA11FC"/>
    <w:rsid w:val="00DA13DB"/>
    <w:rsid w:val="00DA162D"/>
    <w:rsid w:val="00DA1853"/>
    <w:rsid w:val="00DA1A37"/>
    <w:rsid w:val="00DA1D46"/>
    <w:rsid w:val="00DA1D93"/>
    <w:rsid w:val="00DA2652"/>
    <w:rsid w:val="00DA2E0F"/>
    <w:rsid w:val="00DA3260"/>
    <w:rsid w:val="00DA35BB"/>
    <w:rsid w:val="00DA3745"/>
    <w:rsid w:val="00DA3DE4"/>
    <w:rsid w:val="00DA3E44"/>
    <w:rsid w:val="00DA444F"/>
    <w:rsid w:val="00DA45EF"/>
    <w:rsid w:val="00DA45FD"/>
    <w:rsid w:val="00DA4B32"/>
    <w:rsid w:val="00DA4E41"/>
    <w:rsid w:val="00DA50A4"/>
    <w:rsid w:val="00DA53DD"/>
    <w:rsid w:val="00DA5461"/>
    <w:rsid w:val="00DA5E81"/>
    <w:rsid w:val="00DA60C5"/>
    <w:rsid w:val="00DA61E1"/>
    <w:rsid w:val="00DA63EA"/>
    <w:rsid w:val="00DA65A4"/>
    <w:rsid w:val="00DA6979"/>
    <w:rsid w:val="00DA6C9E"/>
    <w:rsid w:val="00DA6E62"/>
    <w:rsid w:val="00DA7335"/>
    <w:rsid w:val="00DA78C1"/>
    <w:rsid w:val="00DA797E"/>
    <w:rsid w:val="00DA7CAB"/>
    <w:rsid w:val="00DB0712"/>
    <w:rsid w:val="00DB08DB"/>
    <w:rsid w:val="00DB0B52"/>
    <w:rsid w:val="00DB117A"/>
    <w:rsid w:val="00DB12C3"/>
    <w:rsid w:val="00DB13CC"/>
    <w:rsid w:val="00DB1BC6"/>
    <w:rsid w:val="00DB1C3A"/>
    <w:rsid w:val="00DB1F0F"/>
    <w:rsid w:val="00DB1F5E"/>
    <w:rsid w:val="00DB2098"/>
    <w:rsid w:val="00DB264B"/>
    <w:rsid w:val="00DB2FD5"/>
    <w:rsid w:val="00DB307C"/>
    <w:rsid w:val="00DB329E"/>
    <w:rsid w:val="00DB3363"/>
    <w:rsid w:val="00DB3374"/>
    <w:rsid w:val="00DB34D1"/>
    <w:rsid w:val="00DB3913"/>
    <w:rsid w:val="00DB3ED9"/>
    <w:rsid w:val="00DB4893"/>
    <w:rsid w:val="00DB5173"/>
    <w:rsid w:val="00DB520F"/>
    <w:rsid w:val="00DB55FF"/>
    <w:rsid w:val="00DB5693"/>
    <w:rsid w:val="00DB585C"/>
    <w:rsid w:val="00DB5910"/>
    <w:rsid w:val="00DB5AA1"/>
    <w:rsid w:val="00DB5AA7"/>
    <w:rsid w:val="00DB5F05"/>
    <w:rsid w:val="00DB6109"/>
    <w:rsid w:val="00DB67DE"/>
    <w:rsid w:val="00DB6838"/>
    <w:rsid w:val="00DB69FC"/>
    <w:rsid w:val="00DB6DCB"/>
    <w:rsid w:val="00DB702F"/>
    <w:rsid w:val="00DB7873"/>
    <w:rsid w:val="00DB7D11"/>
    <w:rsid w:val="00DC0175"/>
    <w:rsid w:val="00DC063B"/>
    <w:rsid w:val="00DC09FD"/>
    <w:rsid w:val="00DC0A66"/>
    <w:rsid w:val="00DC0F47"/>
    <w:rsid w:val="00DC106B"/>
    <w:rsid w:val="00DC106C"/>
    <w:rsid w:val="00DC12BD"/>
    <w:rsid w:val="00DC1440"/>
    <w:rsid w:val="00DC187B"/>
    <w:rsid w:val="00DC1C51"/>
    <w:rsid w:val="00DC219E"/>
    <w:rsid w:val="00DC260B"/>
    <w:rsid w:val="00DC2657"/>
    <w:rsid w:val="00DC2BDC"/>
    <w:rsid w:val="00DC2FD5"/>
    <w:rsid w:val="00DC3031"/>
    <w:rsid w:val="00DC30A2"/>
    <w:rsid w:val="00DC35CF"/>
    <w:rsid w:val="00DC3683"/>
    <w:rsid w:val="00DC3731"/>
    <w:rsid w:val="00DC459B"/>
    <w:rsid w:val="00DC475E"/>
    <w:rsid w:val="00DC47E1"/>
    <w:rsid w:val="00DC60B6"/>
    <w:rsid w:val="00DC6E7D"/>
    <w:rsid w:val="00DC6EA8"/>
    <w:rsid w:val="00DC720A"/>
    <w:rsid w:val="00DC724C"/>
    <w:rsid w:val="00DC7451"/>
    <w:rsid w:val="00DC78EF"/>
    <w:rsid w:val="00DC7DE0"/>
    <w:rsid w:val="00DC7EF8"/>
    <w:rsid w:val="00DD0385"/>
    <w:rsid w:val="00DD040D"/>
    <w:rsid w:val="00DD0582"/>
    <w:rsid w:val="00DD06A3"/>
    <w:rsid w:val="00DD0CB7"/>
    <w:rsid w:val="00DD0E1D"/>
    <w:rsid w:val="00DD12A4"/>
    <w:rsid w:val="00DD164F"/>
    <w:rsid w:val="00DD1A43"/>
    <w:rsid w:val="00DD249D"/>
    <w:rsid w:val="00DD279F"/>
    <w:rsid w:val="00DD2835"/>
    <w:rsid w:val="00DD2D4C"/>
    <w:rsid w:val="00DD31F3"/>
    <w:rsid w:val="00DD363D"/>
    <w:rsid w:val="00DD36CB"/>
    <w:rsid w:val="00DD36D6"/>
    <w:rsid w:val="00DD377B"/>
    <w:rsid w:val="00DD39AF"/>
    <w:rsid w:val="00DD3CC4"/>
    <w:rsid w:val="00DD3F87"/>
    <w:rsid w:val="00DD439D"/>
    <w:rsid w:val="00DD47AD"/>
    <w:rsid w:val="00DD494A"/>
    <w:rsid w:val="00DD497B"/>
    <w:rsid w:val="00DD4A08"/>
    <w:rsid w:val="00DD515E"/>
    <w:rsid w:val="00DD5194"/>
    <w:rsid w:val="00DD52BD"/>
    <w:rsid w:val="00DD5383"/>
    <w:rsid w:val="00DD5843"/>
    <w:rsid w:val="00DD5A36"/>
    <w:rsid w:val="00DD5AC7"/>
    <w:rsid w:val="00DD5FF6"/>
    <w:rsid w:val="00DD619E"/>
    <w:rsid w:val="00DD6386"/>
    <w:rsid w:val="00DD6AB4"/>
    <w:rsid w:val="00DD6F60"/>
    <w:rsid w:val="00DD7351"/>
    <w:rsid w:val="00DD73C2"/>
    <w:rsid w:val="00DD7450"/>
    <w:rsid w:val="00DD7A54"/>
    <w:rsid w:val="00DD7AA7"/>
    <w:rsid w:val="00DD7BA3"/>
    <w:rsid w:val="00DE0026"/>
    <w:rsid w:val="00DE00AB"/>
    <w:rsid w:val="00DE00D7"/>
    <w:rsid w:val="00DE0563"/>
    <w:rsid w:val="00DE0A33"/>
    <w:rsid w:val="00DE0BB0"/>
    <w:rsid w:val="00DE0F36"/>
    <w:rsid w:val="00DE109F"/>
    <w:rsid w:val="00DE13F1"/>
    <w:rsid w:val="00DE1D2F"/>
    <w:rsid w:val="00DE1D90"/>
    <w:rsid w:val="00DE1FC6"/>
    <w:rsid w:val="00DE2034"/>
    <w:rsid w:val="00DE24B7"/>
    <w:rsid w:val="00DE2641"/>
    <w:rsid w:val="00DE319B"/>
    <w:rsid w:val="00DE346C"/>
    <w:rsid w:val="00DE35D8"/>
    <w:rsid w:val="00DE35E1"/>
    <w:rsid w:val="00DE363C"/>
    <w:rsid w:val="00DE3917"/>
    <w:rsid w:val="00DE3A8A"/>
    <w:rsid w:val="00DE3ABF"/>
    <w:rsid w:val="00DE3C4B"/>
    <w:rsid w:val="00DE404B"/>
    <w:rsid w:val="00DE4951"/>
    <w:rsid w:val="00DE5249"/>
    <w:rsid w:val="00DE5406"/>
    <w:rsid w:val="00DE5495"/>
    <w:rsid w:val="00DE562A"/>
    <w:rsid w:val="00DE569B"/>
    <w:rsid w:val="00DE581C"/>
    <w:rsid w:val="00DE5915"/>
    <w:rsid w:val="00DE59C2"/>
    <w:rsid w:val="00DE5CFE"/>
    <w:rsid w:val="00DE5E0A"/>
    <w:rsid w:val="00DE61DD"/>
    <w:rsid w:val="00DE63A1"/>
    <w:rsid w:val="00DE654C"/>
    <w:rsid w:val="00DE66DE"/>
    <w:rsid w:val="00DE67A7"/>
    <w:rsid w:val="00DE6B36"/>
    <w:rsid w:val="00DE6F4A"/>
    <w:rsid w:val="00DE7093"/>
    <w:rsid w:val="00DE72BD"/>
    <w:rsid w:val="00DE73D6"/>
    <w:rsid w:val="00DE749E"/>
    <w:rsid w:val="00DE75CA"/>
    <w:rsid w:val="00DE7AE2"/>
    <w:rsid w:val="00DE7D31"/>
    <w:rsid w:val="00DF0608"/>
    <w:rsid w:val="00DF0818"/>
    <w:rsid w:val="00DF0CB3"/>
    <w:rsid w:val="00DF160A"/>
    <w:rsid w:val="00DF1DC2"/>
    <w:rsid w:val="00DF2082"/>
    <w:rsid w:val="00DF2111"/>
    <w:rsid w:val="00DF2219"/>
    <w:rsid w:val="00DF2464"/>
    <w:rsid w:val="00DF2BA8"/>
    <w:rsid w:val="00DF2BFF"/>
    <w:rsid w:val="00DF2EDE"/>
    <w:rsid w:val="00DF34FE"/>
    <w:rsid w:val="00DF35F7"/>
    <w:rsid w:val="00DF3A82"/>
    <w:rsid w:val="00DF3BA1"/>
    <w:rsid w:val="00DF44AB"/>
    <w:rsid w:val="00DF4691"/>
    <w:rsid w:val="00DF4D2E"/>
    <w:rsid w:val="00DF4EBB"/>
    <w:rsid w:val="00DF564F"/>
    <w:rsid w:val="00DF56AA"/>
    <w:rsid w:val="00DF56AF"/>
    <w:rsid w:val="00DF5720"/>
    <w:rsid w:val="00DF5860"/>
    <w:rsid w:val="00DF63E1"/>
    <w:rsid w:val="00DF69FE"/>
    <w:rsid w:val="00DF6B13"/>
    <w:rsid w:val="00DF702B"/>
    <w:rsid w:val="00DF75C0"/>
    <w:rsid w:val="00DF78E1"/>
    <w:rsid w:val="00DF78E7"/>
    <w:rsid w:val="00DF7E85"/>
    <w:rsid w:val="00E000A0"/>
    <w:rsid w:val="00E00713"/>
    <w:rsid w:val="00E0093E"/>
    <w:rsid w:val="00E00A8E"/>
    <w:rsid w:val="00E00D6F"/>
    <w:rsid w:val="00E0194E"/>
    <w:rsid w:val="00E01AED"/>
    <w:rsid w:val="00E024BF"/>
    <w:rsid w:val="00E02C3E"/>
    <w:rsid w:val="00E03831"/>
    <w:rsid w:val="00E03D62"/>
    <w:rsid w:val="00E0454A"/>
    <w:rsid w:val="00E04889"/>
    <w:rsid w:val="00E04C2C"/>
    <w:rsid w:val="00E04D91"/>
    <w:rsid w:val="00E0508F"/>
    <w:rsid w:val="00E050F8"/>
    <w:rsid w:val="00E05566"/>
    <w:rsid w:val="00E05AA5"/>
    <w:rsid w:val="00E05E2B"/>
    <w:rsid w:val="00E06B3E"/>
    <w:rsid w:val="00E06BB4"/>
    <w:rsid w:val="00E06D29"/>
    <w:rsid w:val="00E06FF3"/>
    <w:rsid w:val="00E07D63"/>
    <w:rsid w:val="00E07E07"/>
    <w:rsid w:val="00E07ED4"/>
    <w:rsid w:val="00E1014F"/>
    <w:rsid w:val="00E10262"/>
    <w:rsid w:val="00E109F0"/>
    <w:rsid w:val="00E10CE9"/>
    <w:rsid w:val="00E11002"/>
    <w:rsid w:val="00E110E0"/>
    <w:rsid w:val="00E1158C"/>
    <w:rsid w:val="00E118CD"/>
    <w:rsid w:val="00E11CC3"/>
    <w:rsid w:val="00E11D0E"/>
    <w:rsid w:val="00E11EDC"/>
    <w:rsid w:val="00E126F0"/>
    <w:rsid w:val="00E127A0"/>
    <w:rsid w:val="00E129C2"/>
    <w:rsid w:val="00E12A87"/>
    <w:rsid w:val="00E12C5E"/>
    <w:rsid w:val="00E13033"/>
    <w:rsid w:val="00E13167"/>
    <w:rsid w:val="00E1347C"/>
    <w:rsid w:val="00E134D1"/>
    <w:rsid w:val="00E1360F"/>
    <w:rsid w:val="00E13736"/>
    <w:rsid w:val="00E13A59"/>
    <w:rsid w:val="00E13CCE"/>
    <w:rsid w:val="00E14047"/>
    <w:rsid w:val="00E142FF"/>
    <w:rsid w:val="00E14B30"/>
    <w:rsid w:val="00E14F3A"/>
    <w:rsid w:val="00E14FE1"/>
    <w:rsid w:val="00E15371"/>
    <w:rsid w:val="00E15476"/>
    <w:rsid w:val="00E15507"/>
    <w:rsid w:val="00E155CA"/>
    <w:rsid w:val="00E158E3"/>
    <w:rsid w:val="00E15967"/>
    <w:rsid w:val="00E15B9A"/>
    <w:rsid w:val="00E16018"/>
    <w:rsid w:val="00E161C7"/>
    <w:rsid w:val="00E164A9"/>
    <w:rsid w:val="00E16513"/>
    <w:rsid w:val="00E16F6D"/>
    <w:rsid w:val="00E17252"/>
    <w:rsid w:val="00E172B0"/>
    <w:rsid w:val="00E17434"/>
    <w:rsid w:val="00E1760C"/>
    <w:rsid w:val="00E176BC"/>
    <w:rsid w:val="00E1788C"/>
    <w:rsid w:val="00E17A4C"/>
    <w:rsid w:val="00E17B0A"/>
    <w:rsid w:val="00E17D03"/>
    <w:rsid w:val="00E17D97"/>
    <w:rsid w:val="00E17F68"/>
    <w:rsid w:val="00E17F9B"/>
    <w:rsid w:val="00E20145"/>
    <w:rsid w:val="00E203FD"/>
    <w:rsid w:val="00E207A7"/>
    <w:rsid w:val="00E208AC"/>
    <w:rsid w:val="00E20FE5"/>
    <w:rsid w:val="00E21056"/>
    <w:rsid w:val="00E210F0"/>
    <w:rsid w:val="00E2113F"/>
    <w:rsid w:val="00E2126D"/>
    <w:rsid w:val="00E21475"/>
    <w:rsid w:val="00E214A8"/>
    <w:rsid w:val="00E2167E"/>
    <w:rsid w:val="00E217A6"/>
    <w:rsid w:val="00E223FA"/>
    <w:rsid w:val="00E22409"/>
    <w:rsid w:val="00E22788"/>
    <w:rsid w:val="00E22844"/>
    <w:rsid w:val="00E22A54"/>
    <w:rsid w:val="00E22E64"/>
    <w:rsid w:val="00E22EDE"/>
    <w:rsid w:val="00E22F32"/>
    <w:rsid w:val="00E22F39"/>
    <w:rsid w:val="00E230A8"/>
    <w:rsid w:val="00E237BD"/>
    <w:rsid w:val="00E238B7"/>
    <w:rsid w:val="00E23E3D"/>
    <w:rsid w:val="00E24104"/>
    <w:rsid w:val="00E2432C"/>
    <w:rsid w:val="00E245C1"/>
    <w:rsid w:val="00E245E5"/>
    <w:rsid w:val="00E246E9"/>
    <w:rsid w:val="00E247F1"/>
    <w:rsid w:val="00E24982"/>
    <w:rsid w:val="00E25A1D"/>
    <w:rsid w:val="00E260A9"/>
    <w:rsid w:val="00E2612C"/>
    <w:rsid w:val="00E261F3"/>
    <w:rsid w:val="00E263F1"/>
    <w:rsid w:val="00E2676C"/>
    <w:rsid w:val="00E267CE"/>
    <w:rsid w:val="00E26807"/>
    <w:rsid w:val="00E26A77"/>
    <w:rsid w:val="00E26D67"/>
    <w:rsid w:val="00E274EF"/>
    <w:rsid w:val="00E27911"/>
    <w:rsid w:val="00E27F1B"/>
    <w:rsid w:val="00E3003D"/>
    <w:rsid w:val="00E300B1"/>
    <w:rsid w:val="00E300C0"/>
    <w:rsid w:val="00E3013B"/>
    <w:rsid w:val="00E302D0"/>
    <w:rsid w:val="00E302F0"/>
    <w:rsid w:val="00E307C2"/>
    <w:rsid w:val="00E3088D"/>
    <w:rsid w:val="00E309BD"/>
    <w:rsid w:val="00E30A13"/>
    <w:rsid w:val="00E31059"/>
    <w:rsid w:val="00E31856"/>
    <w:rsid w:val="00E31C55"/>
    <w:rsid w:val="00E31F33"/>
    <w:rsid w:val="00E31F36"/>
    <w:rsid w:val="00E3257A"/>
    <w:rsid w:val="00E32816"/>
    <w:rsid w:val="00E33122"/>
    <w:rsid w:val="00E33249"/>
    <w:rsid w:val="00E3385C"/>
    <w:rsid w:val="00E34432"/>
    <w:rsid w:val="00E344FA"/>
    <w:rsid w:val="00E34745"/>
    <w:rsid w:val="00E347C4"/>
    <w:rsid w:val="00E3485F"/>
    <w:rsid w:val="00E348A0"/>
    <w:rsid w:val="00E34B0D"/>
    <w:rsid w:val="00E34D8D"/>
    <w:rsid w:val="00E34DA5"/>
    <w:rsid w:val="00E35437"/>
    <w:rsid w:val="00E35495"/>
    <w:rsid w:val="00E35707"/>
    <w:rsid w:val="00E35FFE"/>
    <w:rsid w:val="00E36351"/>
    <w:rsid w:val="00E36728"/>
    <w:rsid w:val="00E36AA1"/>
    <w:rsid w:val="00E36EEA"/>
    <w:rsid w:val="00E370FE"/>
    <w:rsid w:val="00E371C5"/>
    <w:rsid w:val="00E374D8"/>
    <w:rsid w:val="00E377E0"/>
    <w:rsid w:val="00E37AAE"/>
    <w:rsid w:val="00E400DD"/>
    <w:rsid w:val="00E40428"/>
    <w:rsid w:val="00E4043A"/>
    <w:rsid w:val="00E4067F"/>
    <w:rsid w:val="00E40A96"/>
    <w:rsid w:val="00E40E6F"/>
    <w:rsid w:val="00E410F8"/>
    <w:rsid w:val="00E410F9"/>
    <w:rsid w:val="00E41630"/>
    <w:rsid w:val="00E41653"/>
    <w:rsid w:val="00E41A2A"/>
    <w:rsid w:val="00E41D08"/>
    <w:rsid w:val="00E41ECB"/>
    <w:rsid w:val="00E421AE"/>
    <w:rsid w:val="00E4221B"/>
    <w:rsid w:val="00E42676"/>
    <w:rsid w:val="00E42AC5"/>
    <w:rsid w:val="00E42B08"/>
    <w:rsid w:val="00E42C49"/>
    <w:rsid w:val="00E4344F"/>
    <w:rsid w:val="00E43CDE"/>
    <w:rsid w:val="00E43D06"/>
    <w:rsid w:val="00E43D53"/>
    <w:rsid w:val="00E4505A"/>
    <w:rsid w:val="00E45155"/>
    <w:rsid w:val="00E45669"/>
    <w:rsid w:val="00E45E25"/>
    <w:rsid w:val="00E4609A"/>
    <w:rsid w:val="00E468BC"/>
    <w:rsid w:val="00E46C48"/>
    <w:rsid w:val="00E46F29"/>
    <w:rsid w:val="00E4720F"/>
    <w:rsid w:val="00E475E6"/>
    <w:rsid w:val="00E47D0D"/>
    <w:rsid w:val="00E47D1F"/>
    <w:rsid w:val="00E47D89"/>
    <w:rsid w:val="00E50267"/>
    <w:rsid w:val="00E50A5D"/>
    <w:rsid w:val="00E50E10"/>
    <w:rsid w:val="00E516B0"/>
    <w:rsid w:val="00E51DBF"/>
    <w:rsid w:val="00E52186"/>
    <w:rsid w:val="00E5230E"/>
    <w:rsid w:val="00E52416"/>
    <w:rsid w:val="00E525AD"/>
    <w:rsid w:val="00E527D9"/>
    <w:rsid w:val="00E528F5"/>
    <w:rsid w:val="00E52B29"/>
    <w:rsid w:val="00E52E8A"/>
    <w:rsid w:val="00E533D5"/>
    <w:rsid w:val="00E53F18"/>
    <w:rsid w:val="00E53F50"/>
    <w:rsid w:val="00E5450D"/>
    <w:rsid w:val="00E54740"/>
    <w:rsid w:val="00E547DD"/>
    <w:rsid w:val="00E54FDB"/>
    <w:rsid w:val="00E5513A"/>
    <w:rsid w:val="00E557BC"/>
    <w:rsid w:val="00E558F4"/>
    <w:rsid w:val="00E5595A"/>
    <w:rsid w:val="00E56056"/>
    <w:rsid w:val="00E5617D"/>
    <w:rsid w:val="00E562D4"/>
    <w:rsid w:val="00E563D7"/>
    <w:rsid w:val="00E565C9"/>
    <w:rsid w:val="00E569C5"/>
    <w:rsid w:val="00E56A05"/>
    <w:rsid w:val="00E56D75"/>
    <w:rsid w:val="00E56F0D"/>
    <w:rsid w:val="00E56F76"/>
    <w:rsid w:val="00E57270"/>
    <w:rsid w:val="00E6010E"/>
    <w:rsid w:val="00E60711"/>
    <w:rsid w:val="00E60A0D"/>
    <w:rsid w:val="00E60A62"/>
    <w:rsid w:val="00E60AE6"/>
    <w:rsid w:val="00E61156"/>
    <w:rsid w:val="00E61B51"/>
    <w:rsid w:val="00E61E53"/>
    <w:rsid w:val="00E620D7"/>
    <w:rsid w:val="00E6229D"/>
    <w:rsid w:val="00E6235B"/>
    <w:rsid w:val="00E6244D"/>
    <w:rsid w:val="00E624A2"/>
    <w:rsid w:val="00E62717"/>
    <w:rsid w:val="00E629E1"/>
    <w:rsid w:val="00E62B95"/>
    <w:rsid w:val="00E62C79"/>
    <w:rsid w:val="00E62D0C"/>
    <w:rsid w:val="00E62D0F"/>
    <w:rsid w:val="00E638B6"/>
    <w:rsid w:val="00E64259"/>
    <w:rsid w:val="00E64299"/>
    <w:rsid w:val="00E64465"/>
    <w:rsid w:val="00E64586"/>
    <w:rsid w:val="00E647F2"/>
    <w:rsid w:val="00E64857"/>
    <w:rsid w:val="00E64A58"/>
    <w:rsid w:val="00E64E6A"/>
    <w:rsid w:val="00E64FCF"/>
    <w:rsid w:val="00E651A2"/>
    <w:rsid w:val="00E65229"/>
    <w:rsid w:val="00E65303"/>
    <w:rsid w:val="00E6575E"/>
    <w:rsid w:val="00E663F4"/>
    <w:rsid w:val="00E6642C"/>
    <w:rsid w:val="00E666E7"/>
    <w:rsid w:val="00E666F2"/>
    <w:rsid w:val="00E667CB"/>
    <w:rsid w:val="00E6681C"/>
    <w:rsid w:val="00E66DD4"/>
    <w:rsid w:val="00E6762B"/>
    <w:rsid w:val="00E67C1E"/>
    <w:rsid w:val="00E67C79"/>
    <w:rsid w:val="00E67C88"/>
    <w:rsid w:val="00E67CE9"/>
    <w:rsid w:val="00E67E4F"/>
    <w:rsid w:val="00E67EE9"/>
    <w:rsid w:val="00E701B6"/>
    <w:rsid w:val="00E70406"/>
    <w:rsid w:val="00E705A8"/>
    <w:rsid w:val="00E70A43"/>
    <w:rsid w:val="00E70A5D"/>
    <w:rsid w:val="00E70A5F"/>
    <w:rsid w:val="00E711F0"/>
    <w:rsid w:val="00E71228"/>
    <w:rsid w:val="00E713A0"/>
    <w:rsid w:val="00E716B8"/>
    <w:rsid w:val="00E71872"/>
    <w:rsid w:val="00E7193E"/>
    <w:rsid w:val="00E719DD"/>
    <w:rsid w:val="00E71F5E"/>
    <w:rsid w:val="00E71F95"/>
    <w:rsid w:val="00E72025"/>
    <w:rsid w:val="00E722E4"/>
    <w:rsid w:val="00E729EF"/>
    <w:rsid w:val="00E72B80"/>
    <w:rsid w:val="00E72C37"/>
    <w:rsid w:val="00E72C3B"/>
    <w:rsid w:val="00E72F6A"/>
    <w:rsid w:val="00E73041"/>
    <w:rsid w:val="00E73458"/>
    <w:rsid w:val="00E741E2"/>
    <w:rsid w:val="00E742C3"/>
    <w:rsid w:val="00E74362"/>
    <w:rsid w:val="00E746CA"/>
    <w:rsid w:val="00E746DE"/>
    <w:rsid w:val="00E748CC"/>
    <w:rsid w:val="00E74AEB"/>
    <w:rsid w:val="00E75415"/>
    <w:rsid w:val="00E75437"/>
    <w:rsid w:val="00E757A1"/>
    <w:rsid w:val="00E75A4C"/>
    <w:rsid w:val="00E75A4E"/>
    <w:rsid w:val="00E7610C"/>
    <w:rsid w:val="00E765DB"/>
    <w:rsid w:val="00E76688"/>
    <w:rsid w:val="00E76969"/>
    <w:rsid w:val="00E7696F"/>
    <w:rsid w:val="00E769A6"/>
    <w:rsid w:val="00E76EE2"/>
    <w:rsid w:val="00E7721C"/>
    <w:rsid w:val="00E775B1"/>
    <w:rsid w:val="00E77760"/>
    <w:rsid w:val="00E77835"/>
    <w:rsid w:val="00E77D58"/>
    <w:rsid w:val="00E803F3"/>
    <w:rsid w:val="00E8058C"/>
    <w:rsid w:val="00E80654"/>
    <w:rsid w:val="00E80679"/>
    <w:rsid w:val="00E808AD"/>
    <w:rsid w:val="00E80D16"/>
    <w:rsid w:val="00E810A7"/>
    <w:rsid w:val="00E8112C"/>
    <w:rsid w:val="00E814FC"/>
    <w:rsid w:val="00E8152A"/>
    <w:rsid w:val="00E81666"/>
    <w:rsid w:val="00E8195B"/>
    <w:rsid w:val="00E81FD3"/>
    <w:rsid w:val="00E820C9"/>
    <w:rsid w:val="00E8246C"/>
    <w:rsid w:val="00E82560"/>
    <w:rsid w:val="00E82588"/>
    <w:rsid w:val="00E8378F"/>
    <w:rsid w:val="00E84265"/>
    <w:rsid w:val="00E84672"/>
    <w:rsid w:val="00E84A82"/>
    <w:rsid w:val="00E84CA0"/>
    <w:rsid w:val="00E85BD8"/>
    <w:rsid w:val="00E85E51"/>
    <w:rsid w:val="00E85ED0"/>
    <w:rsid w:val="00E86162"/>
    <w:rsid w:val="00E8631C"/>
    <w:rsid w:val="00E86525"/>
    <w:rsid w:val="00E86AB6"/>
    <w:rsid w:val="00E86ACC"/>
    <w:rsid w:val="00E86D1E"/>
    <w:rsid w:val="00E86DA2"/>
    <w:rsid w:val="00E86E41"/>
    <w:rsid w:val="00E86EBF"/>
    <w:rsid w:val="00E86F6D"/>
    <w:rsid w:val="00E871C9"/>
    <w:rsid w:val="00E87352"/>
    <w:rsid w:val="00E874F5"/>
    <w:rsid w:val="00E875D9"/>
    <w:rsid w:val="00E87614"/>
    <w:rsid w:val="00E87817"/>
    <w:rsid w:val="00E87A22"/>
    <w:rsid w:val="00E87A5D"/>
    <w:rsid w:val="00E87B8F"/>
    <w:rsid w:val="00E87DBD"/>
    <w:rsid w:val="00E87E2F"/>
    <w:rsid w:val="00E87E94"/>
    <w:rsid w:val="00E900FB"/>
    <w:rsid w:val="00E90428"/>
    <w:rsid w:val="00E909A8"/>
    <w:rsid w:val="00E90ABB"/>
    <w:rsid w:val="00E90C20"/>
    <w:rsid w:val="00E90C41"/>
    <w:rsid w:val="00E917A3"/>
    <w:rsid w:val="00E91F9D"/>
    <w:rsid w:val="00E9224D"/>
    <w:rsid w:val="00E9261B"/>
    <w:rsid w:val="00E92642"/>
    <w:rsid w:val="00E92A8B"/>
    <w:rsid w:val="00E92DC2"/>
    <w:rsid w:val="00E9303B"/>
    <w:rsid w:val="00E93629"/>
    <w:rsid w:val="00E93B5C"/>
    <w:rsid w:val="00E93F15"/>
    <w:rsid w:val="00E93F8C"/>
    <w:rsid w:val="00E93F91"/>
    <w:rsid w:val="00E94835"/>
    <w:rsid w:val="00E94BFA"/>
    <w:rsid w:val="00E94CEC"/>
    <w:rsid w:val="00E94EF4"/>
    <w:rsid w:val="00E954B8"/>
    <w:rsid w:val="00E95760"/>
    <w:rsid w:val="00E95836"/>
    <w:rsid w:val="00E95924"/>
    <w:rsid w:val="00E96201"/>
    <w:rsid w:val="00E96D23"/>
    <w:rsid w:val="00E96E0D"/>
    <w:rsid w:val="00E96E85"/>
    <w:rsid w:val="00E972A9"/>
    <w:rsid w:val="00E972C1"/>
    <w:rsid w:val="00E9772D"/>
    <w:rsid w:val="00E977E1"/>
    <w:rsid w:val="00E97C59"/>
    <w:rsid w:val="00E97DBB"/>
    <w:rsid w:val="00E97E5F"/>
    <w:rsid w:val="00EA01FC"/>
    <w:rsid w:val="00EA04EF"/>
    <w:rsid w:val="00EA06DD"/>
    <w:rsid w:val="00EA0779"/>
    <w:rsid w:val="00EA077A"/>
    <w:rsid w:val="00EA08F9"/>
    <w:rsid w:val="00EA0AC5"/>
    <w:rsid w:val="00EA15D6"/>
    <w:rsid w:val="00EA1669"/>
    <w:rsid w:val="00EA1A9F"/>
    <w:rsid w:val="00EA1CEC"/>
    <w:rsid w:val="00EA1E39"/>
    <w:rsid w:val="00EA20C6"/>
    <w:rsid w:val="00EA28DE"/>
    <w:rsid w:val="00EA2A59"/>
    <w:rsid w:val="00EA2BB7"/>
    <w:rsid w:val="00EA2FA0"/>
    <w:rsid w:val="00EA31B5"/>
    <w:rsid w:val="00EA3234"/>
    <w:rsid w:val="00EA37ED"/>
    <w:rsid w:val="00EA3A52"/>
    <w:rsid w:val="00EA43E5"/>
    <w:rsid w:val="00EA44B8"/>
    <w:rsid w:val="00EA4555"/>
    <w:rsid w:val="00EA497A"/>
    <w:rsid w:val="00EA4AC8"/>
    <w:rsid w:val="00EA4BD1"/>
    <w:rsid w:val="00EA4E0C"/>
    <w:rsid w:val="00EA5049"/>
    <w:rsid w:val="00EA5087"/>
    <w:rsid w:val="00EA57AE"/>
    <w:rsid w:val="00EA5A7F"/>
    <w:rsid w:val="00EA5B6C"/>
    <w:rsid w:val="00EA5E57"/>
    <w:rsid w:val="00EA5F4B"/>
    <w:rsid w:val="00EA60D9"/>
    <w:rsid w:val="00EA6447"/>
    <w:rsid w:val="00EA6477"/>
    <w:rsid w:val="00EA6632"/>
    <w:rsid w:val="00EA6729"/>
    <w:rsid w:val="00EA6742"/>
    <w:rsid w:val="00EA6A21"/>
    <w:rsid w:val="00EA6C79"/>
    <w:rsid w:val="00EA6E8F"/>
    <w:rsid w:val="00EA6F19"/>
    <w:rsid w:val="00EA6F3C"/>
    <w:rsid w:val="00EA6F83"/>
    <w:rsid w:val="00EA79F3"/>
    <w:rsid w:val="00EA79F8"/>
    <w:rsid w:val="00EA7A14"/>
    <w:rsid w:val="00EA7A88"/>
    <w:rsid w:val="00EA7AE4"/>
    <w:rsid w:val="00EA7B33"/>
    <w:rsid w:val="00EB04A9"/>
    <w:rsid w:val="00EB05A3"/>
    <w:rsid w:val="00EB0A19"/>
    <w:rsid w:val="00EB1007"/>
    <w:rsid w:val="00EB1651"/>
    <w:rsid w:val="00EB21F2"/>
    <w:rsid w:val="00EB260F"/>
    <w:rsid w:val="00EB26B6"/>
    <w:rsid w:val="00EB2D9F"/>
    <w:rsid w:val="00EB2FD9"/>
    <w:rsid w:val="00EB31DC"/>
    <w:rsid w:val="00EB3626"/>
    <w:rsid w:val="00EB3635"/>
    <w:rsid w:val="00EB39B7"/>
    <w:rsid w:val="00EB3D75"/>
    <w:rsid w:val="00EB3DBA"/>
    <w:rsid w:val="00EB3EA7"/>
    <w:rsid w:val="00EB422E"/>
    <w:rsid w:val="00EB44F1"/>
    <w:rsid w:val="00EB4570"/>
    <w:rsid w:val="00EB48DE"/>
    <w:rsid w:val="00EB4AED"/>
    <w:rsid w:val="00EB4B78"/>
    <w:rsid w:val="00EB4C47"/>
    <w:rsid w:val="00EB4E4E"/>
    <w:rsid w:val="00EB4F8F"/>
    <w:rsid w:val="00EB50F8"/>
    <w:rsid w:val="00EB53EA"/>
    <w:rsid w:val="00EB54AD"/>
    <w:rsid w:val="00EB55F9"/>
    <w:rsid w:val="00EB5C03"/>
    <w:rsid w:val="00EB5D8C"/>
    <w:rsid w:val="00EB609C"/>
    <w:rsid w:val="00EB60A7"/>
    <w:rsid w:val="00EB6393"/>
    <w:rsid w:val="00EB6D0B"/>
    <w:rsid w:val="00EB7036"/>
    <w:rsid w:val="00EB7090"/>
    <w:rsid w:val="00EB718A"/>
    <w:rsid w:val="00EB71E1"/>
    <w:rsid w:val="00EB754C"/>
    <w:rsid w:val="00EB7875"/>
    <w:rsid w:val="00EB7C68"/>
    <w:rsid w:val="00EC0055"/>
    <w:rsid w:val="00EC0085"/>
    <w:rsid w:val="00EC0340"/>
    <w:rsid w:val="00EC03E3"/>
    <w:rsid w:val="00EC045F"/>
    <w:rsid w:val="00EC064C"/>
    <w:rsid w:val="00EC0821"/>
    <w:rsid w:val="00EC0934"/>
    <w:rsid w:val="00EC0DBA"/>
    <w:rsid w:val="00EC0DD8"/>
    <w:rsid w:val="00EC0F06"/>
    <w:rsid w:val="00EC0FF5"/>
    <w:rsid w:val="00EC1782"/>
    <w:rsid w:val="00EC1BBE"/>
    <w:rsid w:val="00EC1CC9"/>
    <w:rsid w:val="00EC1D4C"/>
    <w:rsid w:val="00EC1DCE"/>
    <w:rsid w:val="00EC1F28"/>
    <w:rsid w:val="00EC228C"/>
    <w:rsid w:val="00EC22FD"/>
    <w:rsid w:val="00EC237C"/>
    <w:rsid w:val="00EC274A"/>
    <w:rsid w:val="00EC2869"/>
    <w:rsid w:val="00EC2A42"/>
    <w:rsid w:val="00EC2B5D"/>
    <w:rsid w:val="00EC2B68"/>
    <w:rsid w:val="00EC3061"/>
    <w:rsid w:val="00EC321A"/>
    <w:rsid w:val="00EC32E4"/>
    <w:rsid w:val="00EC3716"/>
    <w:rsid w:val="00EC3897"/>
    <w:rsid w:val="00EC3AEF"/>
    <w:rsid w:val="00EC41DB"/>
    <w:rsid w:val="00EC443D"/>
    <w:rsid w:val="00EC4B60"/>
    <w:rsid w:val="00EC4D32"/>
    <w:rsid w:val="00EC4D52"/>
    <w:rsid w:val="00EC4D66"/>
    <w:rsid w:val="00EC5CD7"/>
    <w:rsid w:val="00EC616B"/>
    <w:rsid w:val="00EC62FC"/>
    <w:rsid w:val="00EC66A4"/>
    <w:rsid w:val="00EC6944"/>
    <w:rsid w:val="00EC70C6"/>
    <w:rsid w:val="00EC72D7"/>
    <w:rsid w:val="00EC79D2"/>
    <w:rsid w:val="00EC7ADF"/>
    <w:rsid w:val="00EC7B30"/>
    <w:rsid w:val="00EC7D08"/>
    <w:rsid w:val="00ED0095"/>
    <w:rsid w:val="00ED05E6"/>
    <w:rsid w:val="00ED125E"/>
    <w:rsid w:val="00ED1469"/>
    <w:rsid w:val="00ED1CD1"/>
    <w:rsid w:val="00ED291E"/>
    <w:rsid w:val="00ED30FF"/>
    <w:rsid w:val="00ED343B"/>
    <w:rsid w:val="00ED3706"/>
    <w:rsid w:val="00ED3CCB"/>
    <w:rsid w:val="00ED402B"/>
    <w:rsid w:val="00ED4127"/>
    <w:rsid w:val="00ED4359"/>
    <w:rsid w:val="00ED455A"/>
    <w:rsid w:val="00ED45AC"/>
    <w:rsid w:val="00ED5304"/>
    <w:rsid w:val="00ED532A"/>
    <w:rsid w:val="00ED5A8D"/>
    <w:rsid w:val="00ED5BE5"/>
    <w:rsid w:val="00ED66CD"/>
    <w:rsid w:val="00ED701C"/>
    <w:rsid w:val="00ED73CF"/>
    <w:rsid w:val="00ED7943"/>
    <w:rsid w:val="00ED794A"/>
    <w:rsid w:val="00EE005D"/>
    <w:rsid w:val="00EE040F"/>
    <w:rsid w:val="00EE07D2"/>
    <w:rsid w:val="00EE0930"/>
    <w:rsid w:val="00EE0A02"/>
    <w:rsid w:val="00EE0FD1"/>
    <w:rsid w:val="00EE1067"/>
    <w:rsid w:val="00EE1178"/>
    <w:rsid w:val="00EE1A31"/>
    <w:rsid w:val="00EE1A5F"/>
    <w:rsid w:val="00EE1A9E"/>
    <w:rsid w:val="00EE1B14"/>
    <w:rsid w:val="00EE1E72"/>
    <w:rsid w:val="00EE1EE7"/>
    <w:rsid w:val="00EE2009"/>
    <w:rsid w:val="00EE2103"/>
    <w:rsid w:val="00EE2343"/>
    <w:rsid w:val="00EE27F1"/>
    <w:rsid w:val="00EE2E09"/>
    <w:rsid w:val="00EE2E7A"/>
    <w:rsid w:val="00EE3198"/>
    <w:rsid w:val="00EE3450"/>
    <w:rsid w:val="00EE3876"/>
    <w:rsid w:val="00EE3A06"/>
    <w:rsid w:val="00EE3BE4"/>
    <w:rsid w:val="00EE3E69"/>
    <w:rsid w:val="00EE494C"/>
    <w:rsid w:val="00EE4EA8"/>
    <w:rsid w:val="00EE501C"/>
    <w:rsid w:val="00EE5519"/>
    <w:rsid w:val="00EE5BD7"/>
    <w:rsid w:val="00EE5CCB"/>
    <w:rsid w:val="00EE5FB3"/>
    <w:rsid w:val="00EE64A3"/>
    <w:rsid w:val="00EE669D"/>
    <w:rsid w:val="00EE6766"/>
    <w:rsid w:val="00EE6A95"/>
    <w:rsid w:val="00EE6AC3"/>
    <w:rsid w:val="00EE6DDA"/>
    <w:rsid w:val="00EE7016"/>
    <w:rsid w:val="00EE706A"/>
    <w:rsid w:val="00EE71EB"/>
    <w:rsid w:val="00EE72F1"/>
    <w:rsid w:val="00EE74F1"/>
    <w:rsid w:val="00EE7F79"/>
    <w:rsid w:val="00EF026D"/>
    <w:rsid w:val="00EF0943"/>
    <w:rsid w:val="00EF09B3"/>
    <w:rsid w:val="00EF0B67"/>
    <w:rsid w:val="00EF0D10"/>
    <w:rsid w:val="00EF1188"/>
    <w:rsid w:val="00EF172E"/>
    <w:rsid w:val="00EF18B0"/>
    <w:rsid w:val="00EF19C4"/>
    <w:rsid w:val="00EF1AAE"/>
    <w:rsid w:val="00EF1F14"/>
    <w:rsid w:val="00EF1FD5"/>
    <w:rsid w:val="00EF2146"/>
    <w:rsid w:val="00EF263B"/>
    <w:rsid w:val="00EF26B6"/>
    <w:rsid w:val="00EF2947"/>
    <w:rsid w:val="00EF2A07"/>
    <w:rsid w:val="00EF2D93"/>
    <w:rsid w:val="00EF3203"/>
    <w:rsid w:val="00EF3224"/>
    <w:rsid w:val="00EF34C2"/>
    <w:rsid w:val="00EF372B"/>
    <w:rsid w:val="00EF379A"/>
    <w:rsid w:val="00EF421A"/>
    <w:rsid w:val="00EF42EB"/>
    <w:rsid w:val="00EF456D"/>
    <w:rsid w:val="00EF4665"/>
    <w:rsid w:val="00EF472E"/>
    <w:rsid w:val="00EF4AA3"/>
    <w:rsid w:val="00EF4B74"/>
    <w:rsid w:val="00EF5118"/>
    <w:rsid w:val="00EF5344"/>
    <w:rsid w:val="00EF5547"/>
    <w:rsid w:val="00EF5567"/>
    <w:rsid w:val="00EF58CC"/>
    <w:rsid w:val="00EF5B72"/>
    <w:rsid w:val="00EF5DDC"/>
    <w:rsid w:val="00EF5E15"/>
    <w:rsid w:val="00EF5F65"/>
    <w:rsid w:val="00EF60DE"/>
    <w:rsid w:val="00EF6132"/>
    <w:rsid w:val="00EF6356"/>
    <w:rsid w:val="00EF65DD"/>
    <w:rsid w:val="00EF67E0"/>
    <w:rsid w:val="00EF6E9A"/>
    <w:rsid w:val="00EF715A"/>
    <w:rsid w:val="00EF7196"/>
    <w:rsid w:val="00EF72BE"/>
    <w:rsid w:val="00EF7534"/>
    <w:rsid w:val="00EF792C"/>
    <w:rsid w:val="00EF7C08"/>
    <w:rsid w:val="00F007DB"/>
    <w:rsid w:val="00F009E0"/>
    <w:rsid w:val="00F00CB5"/>
    <w:rsid w:val="00F00EFD"/>
    <w:rsid w:val="00F0108B"/>
    <w:rsid w:val="00F011F1"/>
    <w:rsid w:val="00F01711"/>
    <w:rsid w:val="00F01D4F"/>
    <w:rsid w:val="00F01EB4"/>
    <w:rsid w:val="00F021CF"/>
    <w:rsid w:val="00F0222E"/>
    <w:rsid w:val="00F0228F"/>
    <w:rsid w:val="00F02293"/>
    <w:rsid w:val="00F023B4"/>
    <w:rsid w:val="00F02B70"/>
    <w:rsid w:val="00F02BB6"/>
    <w:rsid w:val="00F02DE5"/>
    <w:rsid w:val="00F032CB"/>
    <w:rsid w:val="00F03576"/>
    <w:rsid w:val="00F0365B"/>
    <w:rsid w:val="00F040D8"/>
    <w:rsid w:val="00F04649"/>
    <w:rsid w:val="00F0476C"/>
    <w:rsid w:val="00F0501D"/>
    <w:rsid w:val="00F05102"/>
    <w:rsid w:val="00F051DA"/>
    <w:rsid w:val="00F055FD"/>
    <w:rsid w:val="00F05B9B"/>
    <w:rsid w:val="00F06AFD"/>
    <w:rsid w:val="00F06C5A"/>
    <w:rsid w:val="00F06E14"/>
    <w:rsid w:val="00F0700C"/>
    <w:rsid w:val="00F071E7"/>
    <w:rsid w:val="00F0727D"/>
    <w:rsid w:val="00F07351"/>
    <w:rsid w:val="00F074AA"/>
    <w:rsid w:val="00F07758"/>
    <w:rsid w:val="00F0792D"/>
    <w:rsid w:val="00F0798B"/>
    <w:rsid w:val="00F07AA2"/>
    <w:rsid w:val="00F07C88"/>
    <w:rsid w:val="00F07F19"/>
    <w:rsid w:val="00F1002D"/>
    <w:rsid w:val="00F102C9"/>
    <w:rsid w:val="00F10695"/>
    <w:rsid w:val="00F106EE"/>
    <w:rsid w:val="00F10F72"/>
    <w:rsid w:val="00F114D3"/>
    <w:rsid w:val="00F11B6E"/>
    <w:rsid w:val="00F11CB0"/>
    <w:rsid w:val="00F12925"/>
    <w:rsid w:val="00F12E1D"/>
    <w:rsid w:val="00F131BD"/>
    <w:rsid w:val="00F133B2"/>
    <w:rsid w:val="00F136ED"/>
    <w:rsid w:val="00F13A19"/>
    <w:rsid w:val="00F14172"/>
    <w:rsid w:val="00F144B2"/>
    <w:rsid w:val="00F147AD"/>
    <w:rsid w:val="00F14802"/>
    <w:rsid w:val="00F14B33"/>
    <w:rsid w:val="00F14F6B"/>
    <w:rsid w:val="00F157F8"/>
    <w:rsid w:val="00F15801"/>
    <w:rsid w:val="00F1587D"/>
    <w:rsid w:val="00F158A5"/>
    <w:rsid w:val="00F15A62"/>
    <w:rsid w:val="00F15C16"/>
    <w:rsid w:val="00F15DFE"/>
    <w:rsid w:val="00F15FC4"/>
    <w:rsid w:val="00F16044"/>
    <w:rsid w:val="00F1675F"/>
    <w:rsid w:val="00F16AB4"/>
    <w:rsid w:val="00F16BC6"/>
    <w:rsid w:val="00F1768C"/>
    <w:rsid w:val="00F1781F"/>
    <w:rsid w:val="00F179D4"/>
    <w:rsid w:val="00F17BB8"/>
    <w:rsid w:val="00F17CE6"/>
    <w:rsid w:val="00F17D4A"/>
    <w:rsid w:val="00F203E6"/>
    <w:rsid w:val="00F20784"/>
    <w:rsid w:val="00F207DA"/>
    <w:rsid w:val="00F2081C"/>
    <w:rsid w:val="00F20843"/>
    <w:rsid w:val="00F20894"/>
    <w:rsid w:val="00F20ED7"/>
    <w:rsid w:val="00F210C1"/>
    <w:rsid w:val="00F213E1"/>
    <w:rsid w:val="00F2145D"/>
    <w:rsid w:val="00F2154D"/>
    <w:rsid w:val="00F216C8"/>
    <w:rsid w:val="00F21D4E"/>
    <w:rsid w:val="00F221F1"/>
    <w:rsid w:val="00F222F3"/>
    <w:rsid w:val="00F2245D"/>
    <w:rsid w:val="00F22561"/>
    <w:rsid w:val="00F227AA"/>
    <w:rsid w:val="00F22A23"/>
    <w:rsid w:val="00F22C72"/>
    <w:rsid w:val="00F230A0"/>
    <w:rsid w:val="00F23363"/>
    <w:rsid w:val="00F233A5"/>
    <w:rsid w:val="00F233B0"/>
    <w:rsid w:val="00F2342E"/>
    <w:rsid w:val="00F2382D"/>
    <w:rsid w:val="00F24250"/>
    <w:rsid w:val="00F24A24"/>
    <w:rsid w:val="00F24D35"/>
    <w:rsid w:val="00F2510D"/>
    <w:rsid w:val="00F25B01"/>
    <w:rsid w:val="00F25B9C"/>
    <w:rsid w:val="00F26209"/>
    <w:rsid w:val="00F263C1"/>
    <w:rsid w:val="00F26520"/>
    <w:rsid w:val="00F26653"/>
    <w:rsid w:val="00F267C2"/>
    <w:rsid w:val="00F26A81"/>
    <w:rsid w:val="00F26F44"/>
    <w:rsid w:val="00F26F54"/>
    <w:rsid w:val="00F272AA"/>
    <w:rsid w:val="00F279F9"/>
    <w:rsid w:val="00F27C3A"/>
    <w:rsid w:val="00F27EED"/>
    <w:rsid w:val="00F302FB"/>
    <w:rsid w:val="00F304D5"/>
    <w:rsid w:val="00F3062F"/>
    <w:rsid w:val="00F3094E"/>
    <w:rsid w:val="00F30FDA"/>
    <w:rsid w:val="00F318BC"/>
    <w:rsid w:val="00F32110"/>
    <w:rsid w:val="00F32133"/>
    <w:rsid w:val="00F32270"/>
    <w:rsid w:val="00F3271F"/>
    <w:rsid w:val="00F32975"/>
    <w:rsid w:val="00F32B88"/>
    <w:rsid w:val="00F33200"/>
    <w:rsid w:val="00F3355D"/>
    <w:rsid w:val="00F3393B"/>
    <w:rsid w:val="00F33BEC"/>
    <w:rsid w:val="00F33C56"/>
    <w:rsid w:val="00F33E7D"/>
    <w:rsid w:val="00F33F38"/>
    <w:rsid w:val="00F33FE1"/>
    <w:rsid w:val="00F34295"/>
    <w:rsid w:val="00F345A6"/>
    <w:rsid w:val="00F347C7"/>
    <w:rsid w:val="00F34848"/>
    <w:rsid w:val="00F34CFB"/>
    <w:rsid w:val="00F35194"/>
    <w:rsid w:val="00F354B3"/>
    <w:rsid w:val="00F354F6"/>
    <w:rsid w:val="00F358E5"/>
    <w:rsid w:val="00F35C3C"/>
    <w:rsid w:val="00F35CB8"/>
    <w:rsid w:val="00F35F52"/>
    <w:rsid w:val="00F364E5"/>
    <w:rsid w:val="00F3689D"/>
    <w:rsid w:val="00F36AA9"/>
    <w:rsid w:val="00F36AFF"/>
    <w:rsid w:val="00F36B7C"/>
    <w:rsid w:val="00F36FAD"/>
    <w:rsid w:val="00F374F9"/>
    <w:rsid w:val="00F3755F"/>
    <w:rsid w:val="00F3772D"/>
    <w:rsid w:val="00F3781B"/>
    <w:rsid w:val="00F379AC"/>
    <w:rsid w:val="00F37B96"/>
    <w:rsid w:val="00F37DE0"/>
    <w:rsid w:val="00F37F45"/>
    <w:rsid w:val="00F37F49"/>
    <w:rsid w:val="00F401D0"/>
    <w:rsid w:val="00F4026A"/>
    <w:rsid w:val="00F40325"/>
    <w:rsid w:val="00F406FD"/>
    <w:rsid w:val="00F41067"/>
    <w:rsid w:val="00F410AA"/>
    <w:rsid w:val="00F41460"/>
    <w:rsid w:val="00F41506"/>
    <w:rsid w:val="00F41938"/>
    <w:rsid w:val="00F41998"/>
    <w:rsid w:val="00F41CDA"/>
    <w:rsid w:val="00F41E4E"/>
    <w:rsid w:val="00F42233"/>
    <w:rsid w:val="00F4234C"/>
    <w:rsid w:val="00F4254B"/>
    <w:rsid w:val="00F42939"/>
    <w:rsid w:val="00F42C7B"/>
    <w:rsid w:val="00F42D46"/>
    <w:rsid w:val="00F42D73"/>
    <w:rsid w:val="00F42DAC"/>
    <w:rsid w:val="00F42FE4"/>
    <w:rsid w:val="00F43073"/>
    <w:rsid w:val="00F433C9"/>
    <w:rsid w:val="00F433DB"/>
    <w:rsid w:val="00F43965"/>
    <w:rsid w:val="00F440F0"/>
    <w:rsid w:val="00F4496C"/>
    <w:rsid w:val="00F44A5E"/>
    <w:rsid w:val="00F44B3B"/>
    <w:rsid w:val="00F44F3A"/>
    <w:rsid w:val="00F452C8"/>
    <w:rsid w:val="00F458FB"/>
    <w:rsid w:val="00F45A98"/>
    <w:rsid w:val="00F45D9C"/>
    <w:rsid w:val="00F45DAC"/>
    <w:rsid w:val="00F45ED1"/>
    <w:rsid w:val="00F467B5"/>
    <w:rsid w:val="00F46AED"/>
    <w:rsid w:val="00F46BC5"/>
    <w:rsid w:val="00F46DAD"/>
    <w:rsid w:val="00F46E38"/>
    <w:rsid w:val="00F47132"/>
    <w:rsid w:val="00F47372"/>
    <w:rsid w:val="00F47D52"/>
    <w:rsid w:val="00F47D82"/>
    <w:rsid w:val="00F47ED5"/>
    <w:rsid w:val="00F47FF8"/>
    <w:rsid w:val="00F502F4"/>
    <w:rsid w:val="00F503AE"/>
    <w:rsid w:val="00F5084F"/>
    <w:rsid w:val="00F51205"/>
    <w:rsid w:val="00F5126C"/>
    <w:rsid w:val="00F512A0"/>
    <w:rsid w:val="00F51BA3"/>
    <w:rsid w:val="00F51F10"/>
    <w:rsid w:val="00F529A5"/>
    <w:rsid w:val="00F52A10"/>
    <w:rsid w:val="00F52B04"/>
    <w:rsid w:val="00F52DC1"/>
    <w:rsid w:val="00F53006"/>
    <w:rsid w:val="00F5310D"/>
    <w:rsid w:val="00F531D5"/>
    <w:rsid w:val="00F532A8"/>
    <w:rsid w:val="00F54032"/>
    <w:rsid w:val="00F540B5"/>
    <w:rsid w:val="00F54183"/>
    <w:rsid w:val="00F5430D"/>
    <w:rsid w:val="00F54789"/>
    <w:rsid w:val="00F54916"/>
    <w:rsid w:val="00F54E60"/>
    <w:rsid w:val="00F5543A"/>
    <w:rsid w:val="00F55508"/>
    <w:rsid w:val="00F55547"/>
    <w:rsid w:val="00F55682"/>
    <w:rsid w:val="00F55694"/>
    <w:rsid w:val="00F55B35"/>
    <w:rsid w:val="00F55EC6"/>
    <w:rsid w:val="00F55ED6"/>
    <w:rsid w:val="00F5622B"/>
    <w:rsid w:val="00F5639E"/>
    <w:rsid w:val="00F565BB"/>
    <w:rsid w:val="00F567E2"/>
    <w:rsid w:val="00F56873"/>
    <w:rsid w:val="00F56933"/>
    <w:rsid w:val="00F56953"/>
    <w:rsid w:val="00F56989"/>
    <w:rsid w:val="00F569B0"/>
    <w:rsid w:val="00F56A3E"/>
    <w:rsid w:val="00F57BCB"/>
    <w:rsid w:val="00F57C14"/>
    <w:rsid w:val="00F57FD3"/>
    <w:rsid w:val="00F60017"/>
    <w:rsid w:val="00F602AC"/>
    <w:rsid w:val="00F6040D"/>
    <w:rsid w:val="00F608F7"/>
    <w:rsid w:val="00F609FB"/>
    <w:rsid w:val="00F60A6C"/>
    <w:rsid w:val="00F60BDD"/>
    <w:rsid w:val="00F60D44"/>
    <w:rsid w:val="00F60F00"/>
    <w:rsid w:val="00F614C0"/>
    <w:rsid w:val="00F61572"/>
    <w:rsid w:val="00F618C7"/>
    <w:rsid w:val="00F61AE4"/>
    <w:rsid w:val="00F62ACC"/>
    <w:rsid w:val="00F633A7"/>
    <w:rsid w:val="00F634D3"/>
    <w:rsid w:val="00F636DB"/>
    <w:rsid w:val="00F637C5"/>
    <w:rsid w:val="00F638AD"/>
    <w:rsid w:val="00F63BD0"/>
    <w:rsid w:val="00F63E88"/>
    <w:rsid w:val="00F63FAD"/>
    <w:rsid w:val="00F642B7"/>
    <w:rsid w:val="00F64571"/>
    <w:rsid w:val="00F645FB"/>
    <w:rsid w:val="00F6460C"/>
    <w:rsid w:val="00F648DD"/>
    <w:rsid w:val="00F64971"/>
    <w:rsid w:val="00F64ED2"/>
    <w:rsid w:val="00F653FA"/>
    <w:rsid w:val="00F65AA4"/>
    <w:rsid w:val="00F65E56"/>
    <w:rsid w:val="00F65E7D"/>
    <w:rsid w:val="00F66886"/>
    <w:rsid w:val="00F66AB9"/>
    <w:rsid w:val="00F67104"/>
    <w:rsid w:val="00F67344"/>
    <w:rsid w:val="00F67675"/>
    <w:rsid w:val="00F676FD"/>
    <w:rsid w:val="00F67851"/>
    <w:rsid w:val="00F67C2E"/>
    <w:rsid w:val="00F67DF7"/>
    <w:rsid w:val="00F70040"/>
    <w:rsid w:val="00F70D1C"/>
    <w:rsid w:val="00F70D2C"/>
    <w:rsid w:val="00F70FBA"/>
    <w:rsid w:val="00F71109"/>
    <w:rsid w:val="00F71794"/>
    <w:rsid w:val="00F71D73"/>
    <w:rsid w:val="00F71FF2"/>
    <w:rsid w:val="00F7202A"/>
    <w:rsid w:val="00F720B7"/>
    <w:rsid w:val="00F721D1"/>
    <w:rsid w:val="00F722FC"/>
    <w:rsid w:val="00F72486"/>
    <w:rsid w:val="00F726E8"/>
    <w:rsid w:val="00F7284B"/>
    <w:rsid w:val="00F7285A"/>
    <w:rsid w:val="00F72BD1"/>
    <w:rsid w:val="00F72CEE"/>
    <w:rsid w:val="00F72EAA"/>
    <w:rsid w:val="00F72F85"/>
    <w:rsid w:val="00F73666"/>
    <w:rsid w:val="00F73E2E"/>
    <w:rsid w:val="00F73ECD"/>
    <w:rsid w:val="00F743AC"/>
    <w:rsid w:val="00F748B3"/>
    <w:rsid w:val="00F74AF8"/>
    <w:rsid w:val="00F74B26"/>
    <w:rsid w:val="00F74EBD"/>
    <w:rsid w:val="00F750C5"/>
    <w:rsid w:val="00F753EB"/>
    <w:rsid w:val="00F755E6"/>
    <w:rsid w:val="00F7575F"/>
    <w:rsid w:val="00F75793"/>
    <w:rsid w:val="00F757A6"/>
    <w:rsid w:val="00F759A1"/>
    <w:rsid w:val="00F75F84"/>
    <w:rsid w:val="00F769ED"/>
    <w:rsid w:val="00F76CB3"/>
    <w:rsid w:val="00F76E1F"/>
    <w:rsid w:val="00F76EF8"/>
    <w:rsid w:val="00F77331"/>
    <w:rsid w:val="00F773E5"/>
    <w:rsid w:val="00F776A0"/>
    <w:rsid w:val="00F776A9"/>
    <w:rsid w:val="00F776FC"/>
    <w:rsid w:val="00F77777"/>
    <w:rsid w:val="00F77C56"/>
    <w:rsid w:val="00F77D5F"/>
    <w:rsid w:val="00F80427"/>
    <w:rsid w:val="00F8108A"/>
    <w:rsid w:val="00F810E3"/>
    <w:rsid w:val="00F81375"/>
    <w:rsid w:val="00F81930"/>
    <w:rsid w:val="00F81DFC"/>
    <w:rsid w:val="00F81EDC"/>
    <w:rsid w:val="00F81FEB"/>
    <w:rsid w:val="00F8203B"/>
    <w:rsid w:val="00F826DB"/>
    <w:rsid w:val="00F826DC"/>
    <w:rsid w:val="00F827E3"/>
    <w:rsid w:val="00F82B9C"/>
    <w:rsid w:val="00F833BE"/>
    <w:rsid w:val="00F8366F"/>
    <w:rsid w:val="00F83848"/>
    <w:rsid w:val="00F83D61"/>
    <w:rsid w:val="00F8452B"/>
    <w:rsid w:val="00F84A62"/>
    <w:rsid w:val="00F84AB7"/>
    <w:rsid w:val="00F84CDC"/>
    <w:rsid w:val="00F85132"/>
    <w:rsid w:val="00F8534B"/>
    <w:rsid w:val="00F85816"/>
    <w:rsid w:val="00F86141"/>
    <w:rsid w:val="00F86DED"/>
    <w:rsid w:val="00F872C0"/>
    <w:rsid w:val="00F87322"/>
    <w:rsid w:val="00F8757D"/>
    <w:rsid w:val="00F87594"/>
    <w:rsid w:val="00F87645"/>
    <w:rsid w:val="00F876BB"/>
    <w:rsid w:val="00F8794A"/>
    <w:rsid w:val="00F87C7D"/>
    <w:rsid w:val="00F90009"/>
    <w:rsid w:val="00F90015"/>
    <w:rsid w:val="00F900BC"/>
    <w:rsid w:val="00F9011D"/>
    <w:rsid w:val="00F906AB"/>
    <w:rsid w:val="00F908E4"/>
    <w:rsid w:val="00F90E93"/>
    <w:rsid w:val="00F91416"/>
    <w:rsid w:val="00F91917"/>
    <w:rsid w:val="00F91ACC"/>
    <w:rsid w:val="00F91CEC"/>
    <w:rsid w:val="00F920F3"/>
    <w:rsid w:val="00F9224C"/>
    <w:rsid w:val="00F9226F"/>
    <w:rsid w:val="00F924B8"/>
    <w:rsid w:val="00F924D1"/>
    <w:rsid w:val="00F92637"/>
    <w:rsid w:val="00F9269A"/>
    <w:rsid w:val="00F927F1"/>
    <w:rsid w:val="00F92D6D"/>
    <w:rsid w:val="00F930A2"/>
    <w:rsid w:val="00F930B6"/>
    <w:rsid w:val="00F931CD"/>
    <w:rsid w:val="00F93471"/>
    <w:rsid w:val="00F93B2C"/>
    <w:rsid w:val="00F93C45"/>
    <w:rsid w:val="00F943D4"/>
    <w:rsid w:val="00F9494A"/>
    <w:rsid w:val="00F94B26"/>
    <w:rsid w:val="00F94CA8"/>
    <w:rsid w:val="00F94F1A"/>
    <w:rsid w:val="00F95212"/>
    <w:rsid w:val="00F954D1"/>
    <w:rsid w:val="00F955F1"/>
    <w:rsid w:val="00F955F2"/>
    <w:rsid w:val="00F95652"/>
    <w:rsid w:val="00F95FC4"/>
    <w:rsid w:val="00F96182"/>
    <w:rsid w:val="00F969C2"/>
    <w:rsid w:val="00F96C12"/>
    <w:rsid w:val="00F96F35"/>
    <w:rsid w:val="00F9740A"/>
    <w:rsid w:val="00F975E9"/>
    <w:rsid w:val="00F9792C"/>
    <w:rsid w:val="00FA0067"/>
    <w:rsid w:val="00FA01DC"/>
    <w:rsid w:val="00FA01E3"/>
    <w:rsid w:val="00FA025C"/>
    <w:rsid w:val="00FA04A0"/>
    <w:rsid w:val="00FA09C3"/>
    <w:rsid w:val="00FA0BC7"/>
    <w:rsid w:val="00FA0C25"/>
    <w:rsid w:val="00FA0FEF"/>
    <w:rsid w:val="00FA1871"/>
    <w:rsid w:val="00FA1B7D"/>
    <w:rsid w:val="00FA1F82"/>
    <w:rsid w:val="00FA2263"/>
    <w:rsid w:val="00FA24D7"/>
    <w:rsid w:val="00FA2591"/>
    <w:rsid w:val="00FA2BB3"/>
    <w:rsid w:val="00FA2C9E"/>
    <w:rsid w:val="00FA2E85"/>
    <w:rsid w:val="00FA3082"/>
    <w:rsid w:val="00FA33AC"/>
    <w:rsid w:val="00FA33B1"/>
    <w:rsid w:val="00FA34EB"/>
    <w:rsid w:val="00FA36DC"/>
    <w:rsid w:val="00FA386D"/>
    <w:rsid w:val="00FA3C43"/>
    <w:rsid w:val="00FA3F05"/>
    <w:rsid w:val="00FA3F6B"/>
    <w:rsid w:val="00FA43A0"/>
    <w:rsid w:val="00FA4556"/>
    <w:rsid w:val="00FA45C6"/>
    <w:rsid w:val="00FA45C7"/>
    <w:rsid w:val="00FA46E8"/>
    <w:rsid w:val="00FA4702"/>
    <w:rsid w:val="00FA49AA"/>
    <w:rsid w:val="00FA4A55"/>
    <w:rsid w:val="00FA4AF4"/>
    <w:rsid w:val="00FA4D85"/>
    <w:rsid w:val="00FA57B3"/>
    <w:rsid w:val="00FA5932"/>
    <w:rsid w:val="00FA59F6"/>
    <w:rsid w:val="00FA5D44"/>
    <w:rsid w:val="00FA5EC5"/>
    <w:rsid w:val="00FA639D"/>
    <w:rsid w:val="00FA63A4"/>
    <w:rsid w:val="00FA65B3"/>
    <w:rsid w:val="00FA6991"/>
    <w:rsid w:val="00FA6A41"/>
    <w:rsid w:val="00FA6F57"/>
    <w:rsid w:val="00FA6FA8"/>
    <w:rsid w:val="00FA7031"/>
    <w:rsid w:val="00FA7039"/>
    <w:rsid w:val="00FA7394"/>
    <w:rsid w:val="00FA799F"/>
    <w:rsid w:val="00FA7E2B"/>
    <w:rsid w:val="00FA7FBD"/>
    <w:rsid w:val="00FB0176"/>
    <w:rsid w:val="00FB05BD"/>
    <w:rsid w:val="00FB06C2"/>
    <w:rsid w:val="00FB072F"/>
    <w:rsid w:val="00FB075E"/>
    <w:rsid w:val="00FB07AD"/>
    <w:rsid w:val="00FB0908"/>
    <w:rsid w:val="00FB1AD4"/>
    <w:rsid w:val="00FB1E41"/>
    <w:rsid w:val="00FB212A"/>
    <w:rsid w:val="00FB2383"/>
    <w:rsid w:val="00FB2469"/>
    <w:rsid w:val="00FB25C7"/>
    <w:rsid w:val="00FB282A"/>
    <w:rsid w:val="00FB2858"/>
    <w:rsid w:val="00FB2DDB"/>
    <w:rsid w:val="00FB2E0F"/>
    <w:rsid w:val="00FB326A"/>
    <w:rsid w:val="00FB33FC"/>
    <w:rsid w:val="00FB4608"/>
    <w:rsid w:val="00FB4D3D"/>
    <w:rsid w:val="00FB5625"/>
    <w:rsid w:val="00FB56D4"/>
    <w:rsid w:val="00FB59E3"/>
    <w:rsid w:val="00FB6A72"/>
    <w:rsid w:val="00FB6BBC"/>
    <w:rsid w:val="00FB6D3E"/>
    <w:rsid w:val="00FB736D"/>
    <w:rsid w:val="00FB7458"/>
    <w:rsid w:val="00FB7887"/>
    <w:rsid w:val="00FB7EB8"/>
    <w:rsid w:val="00FC0362"/>
    <w:rsid w:val="00FC065B"/>
    <w:rsid w:val="00FC07B9"/>
    <w:rsid w:val="00FC0CCA"/>
    <w:rsid w:val="00FC0D40"/>
    <w:rsid w:val="00FC0EFC"/>
    <w:rsid w:val="00FC10FF"/>
    <w:rsid w:val="00FC1114"/>
    <w:rsid w:val="00FC11A4"/>
    <w:rsid w:val="00FC133E"/>
    <w:rsid w:val="00FC1F78"/>
    <w:rsid w:val="00FC25E3"/>
    <w:rsid w:val="00FC2C2B"/>
    <w:rsid w:val="00FC2CD4"/>
    <w:rsid w:val="00FC2D11"/>
    <w:rsid w:val="00FC2E7A"/>
    <w:rsid w:val="00FC2FA7"/>
    <w:rsid w:val="00FC33A2"/>
    <w:rsid w:val="00FC37E6"/>
    <w:rsid w:val="00FC3839"/>
    <w:rsid w:val="00FC387A"/>
    <w:rsid w:val="00FC38EB"/>
    <w:rsid w:val="00FC38FD"/>
    <w:rsid w:val="00FC39F0"/>
    <w:rsid w:val="00FC3A26"/>
    <w:rsid w:val="00FC3BFB"/>
    <w:rsid w:val="00FC4076"/>
    <w:rsid w:val="00FC420F"/>
    <w:rsid w:val="00FC49DE"/>
    <w:rsid w:val="00FC4A36"/>
    <w:rsid w:val="00FC4A3E"/>
    <w:rsid w:val="00FC4BE1"/>
    <w:rsid w:val="00FC4E21"/>
    <w:rsid w:val="00FC5059"/>
    <w:rsid w:val="00FC5272"/>
    <w:rsid w:val="00FC5B2F"/>
    <w:rsid w:val="00FC5BD1"/>
    <w:rsid w:val="00FC5D00"/>
    <w:rsid w:val="00FC5F6D"/>
    <w:rsid w:val="00FC63AE"/>
    <w:rsid w:val="00FC63B7"/>
    <w:rsid w:val="00FC65D4"/>
    <w:rsid w:val="00FC662A"/>
    <w:rsid w:val="00FC6C4E"/>
    <w:rsid w:val="00FC6EF5"/>
    <w:rsid w:val="00FC75B1"/>
    <w:rsid w:val="00FC7709"/>
    <w:rsid w:val="00FC77A9"/>
    <w:rsid w:val="00FC7858"/>
    <w:rsid w:val="00FC79E6"/>
    <w:rsid w:val="00FD0107"/>
    <w:rsid w:val="00FD0168"/>
    <w:rsid w:val="00FD01D9"/>
    <w:rsid w:val="00FD0245"/>
    <w:rsid w:val="00FD031D"/>
    <w:rsid w:val="00FD0550"/>
    <w:rsid w:val="00FD0709"/>
    <w:rsid w:val="00FD07BB"/>
    <w:rsid w:val="00FD07CA"/>
    <w:rsid w:val="00FD07D6"/>
    <w:rsid w:val="00FD0B2A"/>
    <w:rsid w:val="00FD0C6C"/>
    <w:rsid w:val="00FD0CA0"/>
    <w:rsid w:val="00FD13F1"/>
    <w:rsid w:val="00FD16EB"/>
    <w:rsid w:val="00FD196E"/>
    <w:rsid w:val="00FD1E62"/>
    <w:rsid w:val="00FD254D"/>
    <w:rsid w:val="00FD2C2D"/>
    <w:rsid w:val="00FD2C2F"/>
    <w:rsid w:val="00FD30E1"/>
    <w:rsid w:val="00FD3B31"/>
    <w:rsid w:val="00FD470F"/>
    <w:rsid w:val="00FD47FE"/>
    <w:rsid w:val="00FD484E"/>
    <w:rsid w:val="00FD49C9"/>
    <w:rsid w:val="00FD5A8C"/>
    <w:rsid w:val="00FD5BC1"/>
    <w:rsid w:val="00FD5C02"/>
    <w:rsid w:val="00FD6237"/>
    <w:rsid w:val="00FD64EF"/>
    <w:rsid w:val="00FD6C5E"/>
    <w:rsid w:val="00FD6D24"/>
    <w:rsid w:val="00FD7242"/>
    <w:rsid w:val="00FD769F"/>
    <w:rsid w:val="00FE03A6"/>
    <w:rsid w:val="00FE0855"/>
    <w:rsid w:val="00FE0A93"/>
    <w:rsid w:val="00FE0AE4"/>
    <w:rsid w:val="00FE0CCA"/>
    <w:rsid w:val="00FE0CE3"/>
    <w:rsid w:val="00FE0E2C"/>
    <w:rsid w:val="00FE17F8"/>
    <w:rsid w:val="00FE1823"/>
    <w:rsid w:val="00FE18FC"/>
    <w:rsid w:val="00FE2668"/>
    <w:rsid w:val="00FE28CF"/>
    <w:rsid w:val="00FE2AE7"/>
    <w:rsid w:val="00FE311C"/>
    <w:rsid w:val="00FE3128"/>
    <w:rsid w:val="00FE33CF"/>
    <w:rsid w:val="00FE3569"/>
    <w:rsid w:val="00FE3A2C"/>
    <w:rsid w:val="00FE3A66"/>
    <w:rsid w:val="00FE3B49"/>
    <w:rsid w:val="00FE3C88"/>
    <w:rsid w:val="00FE4445"/>
    <w:rsid w:val="00FE4849"/>
    <w:rsid w:val="00FE487A"/>
    <w:rsid w:val="00FE4B1E"/>
    <w:rsid w:val="00FE4DCE"/>
    <w:rsid w:val="00FE5205"/>
    <w:rsid w:val="00FE528D"/>
    <w:rsid w:val="00FE657D"/>
    <w:rsid w:val="00FE6803"/>
    <w:rsid w:val="00FE72D1"/>
    <w:rsid w:val="00FE77A1"/>
    <w:rsid w:val="00FE7B57"/>
    <w:rsid w:val="00FE7BD4"/>
    <w:rsid w:val="00FE7D59"/>
    <w:rsid w:val="00FF0065"/>
    <w:rsid w:val="00FF0142"/>
    <w:rsid w:val="00FF01F4"/>
    <w:rsid w:val="00FF0393"/>
    <w:rsid w:val="00FF0569"/>
    <w:rsid w:val="00FF08A3"/>
    <w:rsid w:val="00FF0C8E"/>
    <w:rsid w:val="00FF0E3E"/>
    <w:rsid w:val="00FF17B3"/>
    <w:rsid w:val="00FF1C3C"/>
    <w:rsid w:val="00FF1E1F"/>
    <w:rsid w:val="00FF206E"/>
    <w:rsid w:val="00FF2882"/>
    <w:rsid w:val="00FF29FE"/>
    <w:rsid w:val="00FF2A39"/>
    <w:rsid w:val="00FF2C2E"/>
    <w:rsid w:val="00FF2E70"/>
    <w:rsid w:val="00FF320E"/>
    <w:rsid w:val="00FF3245"/>
    <w:rsid w:val="00FF3586"/>
    <w:rsid w:val="00FF3AC3"/>
    <w:rsid w:val="00FF3B42"/>
    <w:rsid w:val="00FF3C69"/>
    <w:rsid w:val="00FF3C95"/>
    <w:rsid w:val="00FF3EE4"/>
    <w:rsid w:val="00FF40B3"/>
    <w:rsid w:val="00FF46B5"/>
    <w:rsid w:val="00FF476A"/>
    <w:rsid w:val="00FF4972"/>
    <w:rsid w:val="00FF4A46"/>
    <w:rsid w:val="00FF4C6D"/>
    <w:rsid w:val="00FF52A4"/>
    <w:rsid w:val="00FF5603"/>
    <w:rsid w:val="00FF5643"/>
    <w:rsid w:val="00FF5709"/>
    <w:rsid w:val="00FF59C4"/>
    <w:rsid w:val="00FF64A0"/>
    <w:rsid w:val="00FF6A3B"/>
    <w:rsid w:val="00FF6E0A"/>
    <w:rsid w:val="00FF6E1A"/>
    <w:rsid w:val="00FF7063"/>
    <w:rsid w:val="00FF7093"/>
    <w:rsid w:val="00FF7122"/>
    <w:rsid w:val="00FF731E"/>
    <w:rsid w:val="00FF77E3"/>
    <w:rsid w:val="00FF7956"/>
    <w:rsid w:val="00FF7981"/>
    <w:rsid w:val="00FF7B3F"/>
    <w:rsid w:val="00FF7C3C"/>
    <w:rsid w:val="00FF7CC5"/>
    <w:rsid w:val="0112F3A6"/>
    <w:rsid w:val="01AE5CAA"/>
    <w:rsid w:val="022C9739"/>
    <w:rsid w:val="024A4DAA"/>
    <w:rsid w:val="027CD15A"/>
    <w:rsid w:val="02B4E8C7"/>
    <w:rsid w:val="02F013E0"/>
    <w:rsid w:val="02F7EAE5"/>
    <w:rsid w:val="031E1D0D"/>
    <w:rsid w:val="03A84353"/>
    <w:rsid w:val="03D1082B"/>
    <w:rsid w:val="03ED6715"/>
    <w:rsid w:val="0419A74F"/>
    <w:rsid w:val="043C3C4A"/>
    <w:rsid w:val="04AC1485"/>
    <w:rsid w:val="04B71916"/>
    <w:rsid w:val="04D8B02C"/>
    <w:rsid w:val="04E950B2"/>
    <w:rsid w:val="0516FFAA"/>
    <w:rsid w:val="0599A6B2"/>
    <w:rsid w:val="05D2D59D"/>
    <w:rsid w:val="0633C453"/>
    <w:rsid w:val="06CDAFEE"/>
    <w:rsid w:val="06FC5CC3"/>
    <w:rsid w:val="08BEE2D2"/>
    <w:rsid w:val="0926CEBB"/>
    <w:rsid w:val="096109FF"/>
    <w:rsid w:val="09B282DA"/>
    <w:rsid w:val="0A1BD3A5"/>
    <w:rsid w:val="0A53E5C2"/>
    <w:rsid w:val="0A58AACC"/>
    <w:rsid w:val="0A61900B"/>
    <w:rsid w:val="0AA3CA08"/>
    <w:rsid w:val="0AF82F64"/>
    <w:rsid w:val="0B7A0E5C"/>
    <w:rsid w:val="0B8AD955"/>
    <w:rsid w:val="0BA3A015"/>
    <w:rsid w:val="0BEC5D79"/>
    <w:rsid w:val="0CE933AD"/>
    <w:rsid w:val="0D6F3712"/>
    <w:rsid w:val="0D720E35"/>
    <w:rsid w:val="0D896C65"/>
    <w:rsid w:val="0E364E7F"/>
    <w:rsid w:val="0E4C19FC"/>
    <w:rsid w:val="0EC34CC7"/>
    <w:rsid w:val="0F7C7E31"/>
    <w:rsid w:val="0FDFC2B1"/>
    <w:rsid w:val="0FE38BAC"/>
    <w:rsid w:val="0FEB33F1"/>
    <w:rsid w:val="0FF10389"/>
    <w:rsid w:val="106C0762"/>
    <w:rsid w:val="1097A672"/>
    <w:rsid w:val="109BBB34"/>
    <w:rsid w:val="10BBB1CA"/>
    <w:rsid w:val="11B80DD9"/>
    <w:rsid w:val="11EF269E"/>
    <w:rsid w:val="127E4EFF"/>
    <w:rsid w:val="12AA0F53"/>
    <w:rsid w:val="12D4689C"/>
    <w:rsid w:val="12EEC4A0"/>
    <w:rsid w:val="1376CC5D"/>
    <w:rsid w:val="1396194A"/>
    <w:rsid w:val="13A36299"/>
    <w:rsid w:val="13BEDF47"/>
    <w:rsid w:val="146171CD"/>
    <w:rsid w:val="157BB00E"/>
    <w:rsid w:val="157EF90E"/>
    <w:rsid w:val="16015E2C"/>
    <w:rsid w:val="162D0D7E"/>
    <w:rsid w:val="1674AA39"/>
    <w:rsid w:val="16B61005"/>
    <w:rsid w:val="16BFB3BF"/>
    <w:rsid w:val="16C6901F"/>
    <w:rsid w:val="16EE483E"/>
    <w:rsid w:val="171CBF7E"/>
    <w:rsid w:val="1728940B"/>
    <w:rsid w:val="178F0555"/>
    <w:rsid w:val="17A74AA4"/>
    <w:rsid w:val="17CA14BE"/>
    <w:rsid w:val="180CD6ED"/>
    <w:rsid w:val="18361E1B"/>
    <w:rsid w:val="183DFE08"/>
    <w:rsid w:val="185D94FE"/>
    <w:rsid w:val="190E1726"/>
    <w:rsid w:val="1928EB13"/>
    <w:rsid w:val="1997D38B"/>
    <w:rsid w:val="19A2CB69"/>
    <w:rsid w:val="1B3BF89E"/>
    <w:rsid w:val="1BB6D3A1"/>
    <w:rsid w:val="1BD3111E"/>
    <w:rsid w:val="1C1670DE"/>
    <w:rsid w:val="1C49CC64"/>
    <w:rsid w:val="1C4AA2F9"/>
    <w:rsid w:val="1C54F327"/>
    <w:rsid w:val="1C5F787B"/>
    <w:rsid w:val="1C83EC24"/>
    <w:rsid w:val="1CA8483D"/>
    <w:rsid w:val="1CAF5E09"/>
    <w:rsid w:val="1D1F20B2"/>
    <w:rsid w:val="1D82C87C"/>
    <w:rsid w:val="1D87892C"/>
    <w:rsid w:val="1DD92B3F"/>
    <w:rsid w:val="1DDF5838"/>
    <w:rsid w:val="1E17EBEB"/>
    <w:rsid w:val="1E602585"/>
    <w:rsid w:val="1EAB6DB8"/>
    <w:rsid w:val="1EFCAC16"/>
    <w:rsid w:val="1F08E590"/>
    <w:rsid w:val="1F758D67"/>
    <w:rsid w:val="1FB8CC3A"/>
    <w:rsid w:val="2035E27F"/>
    <w:rsid w:val="205345D3"/>
    <w:rsid w:val="20A50BD9"/>
    <w:rsid w:val="2116C47E"/>
    <w:rsid w:val="214636D9"/>
    <w:rsid w:val="21D84BE9"/>
    <w:rsid w:val="227BA11E"/>
    <w:rsid w:val="22DE7925"/>
    <w:rsid w:val="22E2F025"/>
    <w:rsid w:val="22EB001A"/>
    <w:rsid w:val="2334D4C9"/>
    <w:rsid w:val="23868477"/>
    <w:rsid w:val="23EAE87D"/>
    <w:rsid w:val="24679827"/>
    <w:rsid w:val="249D866C"/>
    <w:rsid w:val="256365E3"/>
    <w:rsid w:val="2579863D"/>
    <w:rsid w:val="257E72B1"/>
    <w:rsid w:val="25C2D903"/>
    <w:rsid w:val="262689EB"/>
    <w:rsid w:val="26704A8E"/>
    <w:rsid w:val="26E6D243"/>
    <w:rsid w:val="26FB76FC"/>
    <w:rsid w:val="271D3352"/>
    <w:rsid w:val="2809686A"/>
    <w:rsid w:val="29685650"/>
    <w:rsid w:val="298E679B"/>
    <w:rsid w:val="2A6E1E97"/>
    <w:rsid w:val="2ABE2AB9"/>
    <w:rsid w:val="2AF306B0"/>
    <w:rsid w:val="2AFFAA5B"/>
    <w:rsid w:val="2B3B7C32"/>
    <w:rsid w:val="2B4A24A6"/>
    <w:rsid w:val="2BDA6FF5"/>
    <w:rsid w:val="2C1BC00B"/>
    <w:rsid w:val="2C4CE3DA"/>
    <w:rsid w:val="2C998536"/>
    <w:rsid w:val="2CB8A746"/>
    <w:rsid w:val="2CE9C0E9"/>
    <w:rsid w:val="2D401320"/>
    <w:rsid w:val="2D41932C"/>
    <w:rsid w:val="2D7CC79E"/>
    <w:rsid w:val="2D8BD2A0"/>
    <w:rsid w:val="2DA5E824"/>
    <w:rsid w:val="2FC4CCA8"/>
    <w:rsid w:val="2FCC7161"/>
    <w:rsid w:val="302F2514"/>
    <w:rsid w:val="3064E372"/>
    <w:rsid w:val="3086BFDF"/>
    <w:rsid w:val="30EA5B5B"/>
    <w:rsid w:val="314C152E"/>
    <w:rsid w:val="31CD1B2B"/>
    <w:rsid w:val="31F63ECF"/>
    <w:rsid w:val="3235B84A"/>
    <w:rsid w:val="32A72A9A"/>
    <w:rsid w:val="3310A239"/>
    <w:rsid w:val="332BCEE2"/>
    <w:rsid w:val="340CFE65"/>
    <w:rsid w:val="3424931B"/>
    <w:rsid w:val="3446453F"/>
    <w:rsid w:val="34A4EAD5"/>
    <w:rsid w:val="34AB68E8"/>
    <w:rsid w:val="34E52A26"/>
    <w:rsid w:val="34EEFDD0"/>
    <w:rsid w:val="3549EA46"/>
    <w:rsid w:val="35B52B79"/>
    <w:rsid w:val="35DB4EBA"/>
    <w:rsid w:val="361FE6DE"/>
    <w:rsid w:val="3637FC4B"/>
    <w:rsid w:val="3698C32C"/>
    <w:rsid w:val="36E3DF73"/>
    <w:rsid w:val="37331222"/>
    <w:rsid w:val="380420AF"/>
    <w:rsid w:val="382EEC43"/>
    <w:rsid w:val="38F47938"/>
    <w:rsid w:val="3936BC21"/>
    <w:rsid w:val="39735ABA"/>
    <w:rsid w:val="397D9B01"/>
    <w:rsid w:val="3A81C251"/>
    <w:rsid w:val="3AC312FB"/>
    <w:rsid w:val="3B7BEC9F"/>
    <w:rsid w:val="3BB88377"/>
    <w:rsid w:val="3BF02044"/>
    <w:rsid w:val="3C3D0C02"/>
    <w:rsid w:val="3C4A2491"/>
    <w:rsid w:val="3C6B98C9"/>
    <w:rsid w:val="3CBC1F69"/>
    <w:rsid w:val="3CDEC438"/>
    <w:rsid w:val="3D33F545"/>
    <w:rsid w:val="3D8193EB"/>
    <w:rsid w:val="3E2520C0"/>
    <w:rsid w:val="3E558C91"/>
    <w:rsid w:val="3E7D5136"/>
    <w:rsid w:val="3F7BA9F0"/>
    <w:rsid w:val="3FF5A061"/>
    <w:rsid w:val="400CFA9E"/>
    <w:rsid w:val="401AC91E"/>
    <w:rsid w:val="403A9A0B"/>
    <w:rsid w:val="408762C8"/>
    <w:rsid w:val="40A1358D"/>
    <w:rsid w:val="413D18B7"/>
    <w:rsid w:val="419BC66C"/>
    <w:rsid w:val="420EBCDA"/>
    <w:rsid w:val="4222EE9C"/>
    <w:rsid w:val="427BE491"/>
    <w:rsid w:val="434BAA9B"/>
    <w:rsid w:val="434E1903"/>
    <w:rsid w:val="43E5E9D4"/>
    <w:rsid w:val="44115382"/>
    <w:rsid w:val="445AAC2D"/>
    <w:rsid w:val="4494FDBF"/>
    <w:rsid w:val="44F3816D"/>
    <w:rsid w:val="44F53934"/>
    <w:rsid w:val="45554279"/>
    <w:rsid w:val="45727762"/>
    <w:rsid w:val="460F179E"/>
    <w:rsid w:val="462FAD18"/>
    <w:rsid w:val="46628CBB"/>
    <w:rsid w:val="4724097E"/>
    <w:rsid w:val="478F8DA8"/>
    <w:rsid w:val="4814E5BA"/>
    <w:rsid w:val="482BE07A"/>
    <w:rsid w:val="48CB1BF6"/>
    <w:rsid w:val="48D3C2E5"/>
    <w:rsid w:val="4A268E12"/>
    <w:rsid w:val="4A382104"/>
    <w:rsid w:val="4A4CB6EB"/>
    <w:rsid w:val="4B056AF9"/>
    <w:rsid w:val="4BC0E805"/>
    <w:rsid w:val="4CB735CB"/>
    <w:rsid w:val="4D251BEB"/>
    <w:rsid w:val="4E0D0B22"/>
    <w:rsid w:val="4E6696F0"/>
    <w:rsid w:val="4E75EB5C"/>
    <w:rsid w:val="4F0EAB99"/>
    <w:rsid w:val="4FA6FFD2"/>
    <w:rsid w:val="4FA86398"/>
    <w:rsid w:val="4FF37EA5"/>
    <w:rsid w:val="5001CE1A"/>
    <w:rsid w:val="50277A34"/>
    <w:rsid w:val="5047BA86"/>
    <w:rsid w:val="512CA8CC"/>
    <w:rsid w:val="5148D9D8"/>
    <w:rsid w:val="51EF417D"/>
    <w:rsid w:val="5280033B"/>
    <w:rsid w:val="52E33CC6"/>
    <w:rsid w:val="52E51BE2"/>
    <w:rsid w:val="5372E765"/>
    <w:rsid w:val="53A10A3A"/>
    <w:rsid w:val="53B730DB"/>
    <w:rsid w:val="5416C734"/>
    <w:rsid w:val="5471DD5B"/>
    <w:rsid w:val="5480E354"/>
    <w:rsid w:val="54B94793"/>
    <w:rsid w:val="55C028FB"/>
    <w:rsid w:val="55CBB902"/>
    <w:rsid w:val="56D6A292"/>
    <w:rsid w:val="573303C4"/>
    <w:rsid w:val="5740FCA1"/>
    <w:rsid w:val="575C65FA"/>
    <w:rsid w:val="593C6F30"/>
    <w:rsid w:val="59B7EE72"/>
    <w:rsid w:val="59C89D37"/>
    <w:rsid w:val="59E5D882"/>
    <w:rsid w:val="5B3F2534"/>
    <w:rsid w:val="5B5E6062"/>
    <w:rsid w:val="5B78E3C6"/>
    <w:rsid w:val="5C50EF51"/>
    <w:rsid w:val="5C6CE35B"/>
    <w:rsid w:val="5D104FDC"/>
    <w:rsid w:val="5D4A2A75"/>
    <w:rsid w:val="5D57FCC1"/>
    <w:rsid w:val="5DE8F044"/>
    <w:rsid w:val="5E7111DE"/>
    <w:rsid w:val="5EC2D0E4"/>
    <w:rsid w:val="5ECBBCC7"/>
    <w:rsid w:val="5FF70B8E"/>
    <w:rsid w:val="60431E35"/>
    <w:rsid w:val="60568146"/>
    <w:rsid w:val="60589BAF"/>
    <w:rsid w:val="607777EF"/>
    <w:rsid w:val="60C98692"/>
    <w:rsid w:val="617FC521"/>
    <w:rsid w:val="62CB9572"/>
    <w:rsid w:val="62F4DC40"/>
    <w:rsid w:val="63088033"/>
    <w:rsid w:val="63430F8E"/>
    <w:rsid w:val="6360A617"/>
    <w:rsid w:val="63A6F313"/>
    <w:rsid w:val="63EB6188"/>
    <w:rsid w:val="64333BB8"/>
    <w:rsid w:val="646A5647"/>
    <w:rsid w:val="65893216"/>
    <w:rsid w:val="65D69313"/>
    <w:rsid w:val="66108A1C"/>
    <w:rsid w:val="66905B80"/>
    <w:rsid w:val="672BC88B"/>
    <w:rsid w:val="6794B215"/>
    <w:rsid w:val="685696F7"/>
    <w:rsid w:val="69446E31"/>
    <w:rsid w:val="696E6628"/>
    <w:rsid w:val="69B39D15"/>
    <w:rsid w:val="69C6EC83"/>
    <w:rsid w:val="69F2C00D"/>
    <w:rsid w:val="6A349B2F"/>
    <w:rsid w:val="6AB72622"/>
    <w:rsid w:val="6B76D268"/>
    <w:rsid w:val="6BD8DDD8"/>
    <w:rsid w:val="6C22FB1A"/>
    <w:rsid w:val="6DC44F3E"/>
    <w:rsid w:val="6E226422"/>
    <w:rsid w:val="6E5E2D75"/>
    <w:rsid w:val="6EF53EAD"/>
    <w:rsid w:val="6F3447BC"/>
    <w:rsid w:val="6F4418E7"/>
    <w:rsid w:val="6F680ABE"/>
    <w:rsid w:val="6F708653"/>
    <w:rsid w:val="6FA97609"/>
    <w:rsid w:val="714C0914"/>
    <w:rsid w:val="714FDF18"/>
    <w:rsid w:val="718D4B03"/>
    <w:rsid w:val="71AC8744"/>
    <w:rsid w:val="71F2795A"/>
    <w:rsid w:val="72328252"/>
    <w:rsid w:val="72E834E5"/>
    <w:rsid w:val="7415E396"/>
    <w:rsid w:val="74379EA2"/>
    <w:rsid w:val="743E72DD"/>
    <w:rsid w:val="74544741"/>
    <w:rsid w:val="74F09693"/>
    <w:rsid w:val="75179149"/>
    <w:rsid w:val="7548A142"/>
    <w:rsid w:val="75A9D5A1"/>
    <w:rsid w:val="75E47DC0"/>
    <w:rsid w:val="7657B416"/>
    <w:rsid w:val="765F24EF"/>
    <w:rsid w:val="76FA5767"/>
    <w:rsid w:val="7731792B"/>
    <w:rsid w:val="776D61AE"/>
    <w:rsid w:val="77867A88"/>
    <w:rsid w:val="77E43446"/>
    <w:rsid w:val="788E0981"/>
    <w:rsid w:val="790D5C13"/>
    <w:rsid w:val="79219415"/>
    <w:rsid w:val="795FDD98"/>
    <w:rsid w:val="79B2A847"/>
    <w:rsid w:val="7A0C26FD"/>
    <w:rsid w:val="7A17EA6A"/>
    <w:rsid w:val="7A31310D"/>
    <w:rsid w:val="7A4B8F1B"/>
    <w:rsid w:val="7A91E4BF"/>
    <w:rsid w:val="7AA19385"/>
    <w:rsid w:val="7B3E69D9"/>
    <w:rsid w:val="7B42D22C"/>
    <w:rsid w:val="7BC4B6F8"/>
    <w:rsid w:val="7C0A12D9"/>
    <w:rsid w:val="7C946716"/>
    <w:rsid w:val="7CFC9DBA"/>
    <w:rsid w:val="7D4BDC77"/>
    <w:rsid w:val="7D89F06B"/>
    <w:rsid w:val="7D95811F"/>
    <w:rsid w:val="7F07E14D"/>
    <w:rsid w:val="7F5CAACA"/>
    <w:rsid w:val="7FE6AEB3"/>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DB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9"/>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4"/>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4"/>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8"/>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uiPriority w:val="99"/>
    <w:qFormat/>
    <w:rsid w:val="001C6AEE"/>
    <w:pPr>
      <w:numPr>
        <w:numId w:val="12"/>
      </w:numPr>
      <w:spacing w:after="80"/>
    </w:pPr>
  </w:style>
  <w:style w:type="paragraph" w:styleId="ListBullet2">
    <w:name w:val="List Bullet 2"/>
    <w:basedOn w:val="Normal"/>
    <w:semiHidden/>
    <w:qFormat/>
    <w:rsid w:val="001C6AEE"/>
    <w:pPr>
      <w:numPr>
        <w:numId w:val="13"/>
      </w:numPr>
      <w:spacing w:after="80"/>
    </w:pPr>
  </w:style>
  <w:style w:type="paragraph" w:styleId="ListNumber">
    <w:name w:val="List Number"/>
    <w:basedOn w:val="Normal"/>
    <w:qFormat/>
    <w:rsid w:val="00C24A53"/>
    <w:pPr>
      <w:numPr>
        <w:numId w:val="2"/>
      </w:numPr>
      <w:spacing w:after="80"/>
    </w:pPr>
  </w:style>
  <w:style w:type="paragraph" w:styleId="ListNumber2">
    <w:name w:val="List Number 2"/>
    <w:basedOn w:val="Normal"/>
    <w:semiHidden/>
    <w:qFormat/>
    <w:rsid w:val="004A70D6"/>
    <w:pPr>
      <w:numPr>
        <w:numId w:val="3"/>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
    <w:basedOn w:val="Normal"/>
    <w:link w:val="FootnoteTextChar"/>
    <w:uiPriority w:val="99"/>
    <w:qFormat/>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rsid w:val="00EE7F79"/>
    <w:rPr>
      <w:sz w:val="16"/>
      <w:szCs w:val="16"/>
    </w:rPr>
  </w:style>
  <w:style w:type="paragraph" w:styleId="CommentText">
    <w:name w:val="annotation text"/>
    <w:basedOn w:val="Normal"/>
    <w:link w:val="CommentTextChar"/>
    <w:qFormat/>
    <w:rsid w:val="00EE7F79"/>
    <w:pPr>
      <w:spacing w:line="240" w:lineRule="auto"/>
    </w:pPr>
    <w:rPr>
      <w:szCs w:val="20"/>
    </w:rPr>
  </w:style>
  <w:style w:type="character" w:customStyle="1" w:styleId="CommentTextChar">
    <w:name w:val="Comment Text Char"/>
    <w:basedOn w:val="DefaultParagraphFont"/>
    <w:link w:val="CommentText"/>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9D2530"/>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6"/>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7"/>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9"/>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link w:val="ParagraphChar"/>
    <w:qFormat/>
    <w:rsid w:val="00A824E8"/>
    <w:rPr>
      <w:rFonts w:cs="Arial"/>
    </w:rPr>
  </w:style>
  <w:style w:type="paragraph" w:customStyle="1" w:styleId="Bulletlevel2">
    <w:name w:val="Bullet level 2"/>
    <w:basedOn w:val="ListBullet2"/>
    <w:uiPriority w:val="7"/>
    <w:qFormat/>
    <w:rsid w:val="009D2530"/>
    <w:rPr>
      <w:rFonts w:cs="Arial"/>
    </w:rPr>
  </w:style>
  <w:style w:type="paragraph" w:customStyle="1" w:styleId="Bulletlevel1last">
    <w:name w:val="Bullet level 1 last"/>
    <w:basedOn w:val="ListBulletLast"/>
    <w:uiPriority w:val="6"/>
    <w:qFormat/>
    <w:rsid w:val="009D2530"/>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9D2530"/>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9"/>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paragraph" w:customStyle="1" w:styleId="paragraph0">
    <w:name w:val="paragraph"/>
    <w:basedOn w:val="Normal"/>
    <w:rsid w:val="00D05331"/>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D05331"/>
  </w:style>
  <w:style w:type="character" w:customStyle="1" w:styleId="spellingerror">
    <w:name w:val="spellingerror"/>
    <w:basedOn w:val="DefaultParagraphFont"/>
    <w:rsid w:val="00D05331"/>
  </w:style>
  <w:style w:type="character" w:customStyle="1" w:styleId="eop">
    <w:name w:val="eop"/>
    <w:basedOn w:val="DefaultParagraphFont"/>
    <w:rsid w:val="00D05331"/>
  </w:style>
  <w:style w:type="character" w:customStyle="1" w:styleId="contextualspellingandgrammarerror">
    <w:name w:val="contextualspellingandgrammarerror"/>
    <w:basedOn w:val="DefaultParagraphFont"/>
    <w:rsid w:val="00D05331"/>
  </w:style>
  <w:style w:type="paragraph" w:styleId="NormalWeb">
    <w:name w:val="Normal (Web)"/>
    <w:basedOn w:val="Normal"/>
    <w:uiPriority w:val="99"/>
    <w:unhideWhenUsed/>
    <w:rsid w:val="006C5538"/>
    <w:pPr>
      <w:spacing w:before="100" w:beforeAutospacing="1" w:after="100" w:afterAutospacing="1" w:line="240" w:lineRule="auto"/>
    </w:pPr>
    <w:rPr>
      <w:rFonts w:ascii="Times New Roman" w:hAnsi="Times New Roman"/>
      <w:sz w:val="24"/>
    </w:rPr>
  </w:style>
  <w:style w:type="paragraph" w:styleId="ListParagraph">
    <w:name w:val="List Paragraph"/>
    <w:aliases w:val="List Paragraph1,Recommendation"/>
    <w:basedOn w:val="Normal"/>
    <w:link w:val="ListParagraphChar"/>
    <w:uiPriority w:val="34"/>
    <w:qFormat/>
    <w:rsid w:val="00C23639"/>
    <w:pPr>
      <w:ind w:left="720"/>
      <w:contextualSpacing/>
    </w:pPr>
  </w:style>
  <w:style w:type="numbering" w:customStyle="1" w:styleId="NumberLevel1">
    <w:name w:val="Number Level 1"/>
    <w:uiPriority w:val="99"/>
    <w:rsid w:val="00941586"/>
    <w:pPr>
      <w:numPr>
        <w:numId w:val="10"/>
      </w:numPr>
    </w:p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uiPriority w:val="99"/>
    <w:qFormat/>
    <w:rsid w:val="00941586"/>
    <w:rPr>
      <w:rFonts w:ascii="Arial" w:hAnsi="Arial"/>
      <w:sz w:val="16"/>
      <w:szCs w:val="16"/>
    </w:rPr>
  </w:style>
  <w:style w:type="paragraph" w:customStyle="1" w:styleId="Default">
    <w:name w:val="Default"/>
    <w:rsid w:val="00941586"/>
    <w:pPr>
      <w:autoSpaceDE w:val="0"/>
      <w:autoSpaceDN w:val="0"/>
      <w:adjustRightInd w:val="0"/>
    </w:pPr>
    <w:rPr>
      <w:rFonts w:ascii="Arial" w:eastAsiaTheme="minorHAnsi" w:hAnsi="Arial" w:cs="Arial"/>
      <w:color w:val="000000"/>
      <w:lang w:eastAsia="en-US"/>
    </w:rPr>
  </w:style>
  <w:style w:type="character" w:customStyle="1" w:styleId="ListBulletChar">
    <w:name w:val="List Bullet Char"/>
    <w:aliases w:val="List Bullet 1 Char"/>
    <w:basedOn w:val="DefaultParagraphFont"/>
    <w:link w:val="ListBullet"/>
    <w:rsid w:val="00941586"/>
    <w:rPr>
      <w:rFonts w:ascii="Arial" w:hAnsi="Arial"/>
      <w:sz w:val="20"/>
    </w:rPr>
  </w:style>
  <w:style w:type="paragraph" w:customStyle="1" w:styleId="ACMANumberedList">
    <w:name w:val="ACMA Numbered List"/>
    <w:rsid w:val="00941586"/>
    <w:pPr>
      <w:numPr>
        <w:numId w:val="11"/>
      </w:numPr>
      <w:tabs>
        <w:tab w:val="clear" w:pos="720"/>
        <w:tab w:val="num" w:pos="360"/>
      </w:tabs>
      <w:spacing w:before="20" w:after="20"/>
    </w:pPr>
    <w:rPr>
      <w:szCs w:val="20"/>
      <w:lang w:eastAsia="en-US"/>
    </w:rPr>
  </w:style>
  <w:style w:type="table" w:styleId="ListTable3-Accent1">
    <w:name w:val="List Table 3 Accent 1"/>
    <w:basedOn w:val="TableNormal"/>
    <w:uiPriority w:val="48"/>
    <w:rsid w:val="00941586"/>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ListParagraphChar">
    <w:name w:val="List Paragraph Char"/>
    <w:aliases w:val="List Paragraph1 Char,Recommendation Char"/>
    <w:basedOn w:val="DefaultParagraphFont"/>
    <w:link w:val="ListParagraph"/>
    <w:uiPriority w:val="34"/>
    <w:rsid w:val="00941586"/>
    <w:rPr>
      <w:rFonts w:ascii="Arial" w:hAnsi="Arial"/>
      <w:sz w:val="20"/>
    </w:rPr>
  </w:style>
  <w:style w:type="paragraph" w:styleId="Revision">
    <w:name w:val="Revision"/>
    <w:hidden/>
    <w:semiHidden/>
    <w:rsid w:val="00E87A5D"/>
    <w:rPr>
      <w:rFonts w:ascii="Arial" w:hAnsi="Arial"/>
      <w:sz w:val="20"/>
    </w:rPr>
  </w:style>
  <w:style w:type="character" w:styleId="SubtleEmphasis">
    <w:name w:val="Subtle Emphasis"/>
    <w:basedOn w:val="DefaultParagraphFont"/>
    <w:uiPriority w:val="19"/>
    <w:qFormat/>
    <w:rsid w:val="00637EEC"/>
    <w:rPr>
      <w:i/>
      <w:iCs/>
      <w:color w:val="404040" w:themeColor="text1" w:themeTint="BF"/>
    </w:rPr>
  </w:style>
  <w:style w:type="paragraph" w:customStyle="1" w:styleId="acthead5">
    <w:name w:val="acthead5"/>
    <w:basedOn w:val="Normal"/>
    <w:rsid w:val="004161F3"/>
    <w:pPr>
      <w:spacing w:before="100" w:beforeAutospacing="1" w:after="100" w:afterAutospacing="1" w:line="240" w:lineRule="auto"/>
    </w:pPr>
    <w:rPr>
      <w:rFonts w:ascii="Times New Roman" w:hAnsi="Times New Roman"/>
      <w:sz w:val="24"/>
    </w:rPr>
  </w:style>
  <w:style w:type="character" w:customStyle="1" w:styleId="charsectno">
    <w:name w:val="charsectno"/>
    <w:basedOn w:val="DefaultParagraphFont"/>
    <w:rsid w:val="004161F3"/>
  </w:style>
  <w:style w:type="paragraph" w:customStyle="1" w:styleId="sub-heading">
    <w:name w:val="sub-heading"/>
    <w:basedOn w:val="Heading2"/>
    <w:link w:val="sub-headingChar"/>
    <w:qFormat/>
    <w:rsid w:val="001C5494"/>
    <w:pPr>
      <w:tabs>
        <w:tab w:val="center" w:pos="4153"/>
        <w:tab w:val="right" w:pos="8306"/>
      </w:tabs>
      <w:spacing w:before="360" w:line="240" w:lineRule="auto"/>
    </w:pPr>
  </w:style>
  <w:style w:type="character" w:customStyle="1" w:styleId="sub-headingChar">
    <w:name w:val="sub-heading Char"/>
    <w:basedOn w:val="DefaultParagraphFont"/>
    <w:link w:val="sub-heading"/>
    <w:rsid w:val="001C5494"/>
    <w:rPr>
      <w:rFonts w:ascii="Arial" w:hAnsi="Arial" w:cs="Arial"/>
      <w:b/>
      <w:bCs/>
      <w:iCs/>
      <w:sz w:val="28"/>
      <w:szCs w:val="28"/>
    </w:rPr>
  </w:style>
  <w:style w:type="paragraph" w:customStyle="1" w:styleId="ACMABodyText">
    <w:name w:val="ACMA Body Text"/>
    <w:rsid w:val="001A2F6E"/>
    <w:pPr>
      <w:suppressAutoHyphens/>
      <w:spacing w:before="80" w:after="120" w:line="260" w:lineRule="atLeast"/>
    </w:pPr>
    <w:rPr>
      <w:rFonts w:ascii="Arial" w:hAnsi="Arial"/>
      <w:snapToGrid w:val="0"/>
      <w:sz w:val="22"/>
      <w:szCs w:val="20"/>
      <w:lang w:eastAsia="en-US"/>
    </w:rPr>
  </w:style>
  <w:style w:type="paragraph" w:customStyle="1" w:styleId="subsection">
    <w:name w:val="subsection"/>
    <w:basedOn w:val="Normal"/>
    <w:rsid w:val="00541823"/>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541823"/>
    <w:pPr>
      <w:spacing w:before="100" w:beforeAutospacing="1" w:after="100" w:afterAutospacing="1" w:line="240" w:lineRule="auto"/>
    </w:pPr>
    <w:rPr>
      <w:rFonts w:ascii="Times New Roman" w:hAnsi="Times New Roman"/>
      <w:sz w:val="24"/>
    </w:rPr>
  </w:style>
  <w:style w:type="paragraph" w:customStyle="1" w:styleId="Style1">
    <w:name w:val="Style1"/>
    <w:basedOn w:val="ListParagraph"/>
    <w:qFormat/>
    <w:rsid w:val="003473CD"/>
    <w:pPr>
      <w:numPr>
        <w:numId w:val="19"/>
      </w:numPr>
      <w:spacing w:after="160" w:line="259" w:lineRule="auto"/>
    </w:pPr>
    <w:rPr>
      <w:color w:val="000000" w:themeColor="text1"/>
      <w:sz w:val="21"/>
    </w:rPr>
  </w:style>
  <w:style w:type="character" w:styleId="Mention">
    <w:name w:val="Mention"/>
    <w:basedOn w:val="DefaultParagraphFont"/>
    <w:uiPriority w:val="99"/>
    <w:unhideWhenUsed/>
    <w:rsid w:val="00AC3662"/>
    <w:rPr>
      <w:color w:val="2B579A"/>
      <w:shd w:val="clear" w:color="auto" w:fill="E1DFDD"/>
    </w:rPr>
  </w:style>
  <w:style w:type="paragraph" w:customStyle="1" w:styleId="Numberedparagraph">
    <w:name w:val="Numbered paragraph"/>
    <w:basedOn w:val="Normal"/>
    <w:qFormat/>
    <w:rsid w:val="001376A3"/>
    <w:pPr>
      <w:tabs>
        <w:tab w:val="num" w:pos="567"/>
      </w:tabs>
      <w:ind w:hanging="567"/>
    </w:pPr>
    <w:rPr>
      <w:rFonts w:cs="Arial"/>
    </w:rPr>
  </w:style>
  <w:style w:type="character" w:customStyle="1" w:styleId="ParagraphChar">
    <w:name w:val="Paragraph Char"/>
    <w:basedOn w:val="DefaultParagraphFont"/>
    <w:link w:val="Paragraph"/>
    <w:locked/>
    <w:rsid w:val="00DB13CC"/>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058">
      <w:bodyDiv w:val="1"/>
      <w:marLeft w:val="0"/>
      <w:marRight w:val="0"/>
      <w:marTop w:val="0"/>
      <w:marBottom w:val="0"/>
      <w:divBdr>
        <w:top w:val="none" w:sz="0" w:space="0" w:color="auto"/>
        <w:left w:val="none" w:sz="0" w:space="0" w:color="auto"/>
        <w:bottom w:val="none" w:sz="0" w:space="0" w:color="auto"/>
        <w:right w:val="none" w:sz="0" w:space="0" w:color="auto"/>
      </w:divBdr>
    </w:div>
    <w:div w:id="80445185">
      <w:bodyDiv w:val="1"/>
      <w:marLeft w:val="0"/>
      <w:marRight w:val="0"/>
      <w:marTop w:val="0"/>
      <w:marBottom w:val="0"/>
      <w:divBdr>
        <w:top w:val="none" w:sz="0" w:space="0" w:color="auto"/>
        <w:left w:val="none" w:sz="0" w:space="0" w:color="auto"/>
        <w:bottom w:val="none" w:sz="0" w:space="0" w:color="auto"/>
        <w:right w:val="none" w:sz="0" w:space="0" w:color="auto"/>
      </w:divBdr>
    </w:div>
    <w:div w:id="85687844">
      <w:bodyDiv w:val="1"/>
      <w:marLeft w:val="0"/>
      <w:marRight w:val="0"/>
      <w:marTop w:val="0"/>
      <w:marBottom w:val="0"/>
      <w:divBdr>
        <w:top w:val="none" w:sz="0" w:space="0" w:color="auto"/>
        <w:left w:val="none" w:sz="0" w:space="0" w:color="auto"/>
        <w:bottom w:val="none" w:sz="0" w:space="0" w:color="auto"/>
        <w:right w:val="none" w:sz="0" w:space="0" w:color="auto"/>
      </w:divBdr>
    </w:div>
    <w:div w:id="137840443">
      <w:bodyDiv w:val="1"/>
      <w:marLeft w:val="0"/>
      <w:marRight w:val="0"/>
      <w:marTop w:val="0"/>
      <w:marBottom w:val="0"/>
      <w:divBdr>
        <w:top w:val="none" w:sz="0" w:space="0" w:color="auto"/>
        <w:left w:val="none" w:sz="0" w:space="0" w:color="auto"/>
        <w:bottom w:val="none" w:sz="0" w:space="0" w:color="auto"/>
        <w:right w:val="none" w:sz="0" w:space="0" w:color="auto"/>
      </w:divBdr>
    </w:div>
    <w:div w:id="158812804">
      <w:bodyDiv w:val="1"/>
      <w:marLeft w:val="0"/>
      <w:marRight w:val="0"/>
      <w:marTop w:val="0"/>
      <w:marBottom w:val="0"/>
      <w:divBdr>
        <w:top w:val="none" w:sz="0" w:space="0" w:color="auto"/>
        <w:left w:val="none" w:sz="0" w:space="0" w:color="auto"/>
        <w:bottom w:val="none" w:sz="0" w:space="0" w:color="auto"/>
        <w:right w:val="none" w:sz="0" w:space="0" w:color="auto"/>
      </w:divBdr>
    </w:div>
    <w:div w:id="164102534">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381371550">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94480409">
      <w:bodyDiv w:val="1"/>
      <w:marLeft w:val="0"/>
      <w:marRight w:val="0"/>
      <w:marTop w:val="0"/>
      <w:marBottom w:val="0"/>
      <w:divBdr>
        <w:top w:val="none" w:sz="0" w:space="0" w:color="auto"/>
        <w:left w:val="none" w:sz="0" w:space="0" w:color="auto"/>
        <w:bottom w:val="none" w:sz="0" w:space="0" w:color="auto"/>
        <w:right w:val="none" w:sz="0" w:space="0" w:color="auto"/>
      </w:divBdr>
    </w:div>
    <w:div w:id="789204703">
      <w:bodyDiv w:val="1"/>
      <w:marLeft w:val="0"/>
      <w:marRight w:val="0"/>
      <w:marTop w:val="0"/>
      <w:marBottom w:val="0"/>
      <w:divBdr>
        <w:top w:val="none" w:sz="0" w:space="0" w:color="auto"/>
        <w:left w:val="none" w:sz="0" w:space="0" w:color="auto"/>
        <w:bottom w:val="none" w:sz="0" w:space="0" w:color="auto"/>
        <w:right w:val="none" w:sz="0" w:space="0" w:color="auto"/>
      </w:divBdr>
    </w:div>
    <w:div w:id="800223356">
      <w:bodyDiv w:val="1"/>
      <w:marLeft w:val="0"/>
      <w:marRight w:val="0"/>
      <w:marTop w:val="0"/>
      <w:marBottom w:val="0"/>
      <w:divBdr>
        <w:top w:val="none" w:sz="0" w:space="0" w:color="auto"/>
        <w:left w:val="none" w:sz="0" w:space="0" w:color="auto"/>
        <w:bottom w:val="none" w:sz="0" w:space="0" w:color="auto"/>
        <w:right w:val="none" w:sz="0" w:space="0" w:color="auto"/>
      </w:divBdr>
    </w:div>
    <w:div w:id="816603330">
      <w:bodyDiv w:val="1"/>
      <w:marLeft w:val="0"/>
      <w:marRight w:val="0"/>
      <w:marTop w:val="0"/>
      <w:marBottom w:val="0"/>
      <w:divBdr>
        <w:top w:val="none" w:sz="0" w:space="0" w:color="auto"/>
        <w:left w:val="none" w:sz="0" w:space="0" w:color="auto"/>
        <w:bottom w:val="none" w:sz="0" w:space="0" w:color="auto"/>
        <w:right w:val="none" w:sz="0" w:space="0" w:color="auto"/>
      </w:divBdr>
      <w:divsChild>
        <w:div w:id="892740855">
          <w:marLeft w:val="850"/>
          <w:marRight w:val="0"/>
          <w:marTop w:val="0"/>
          <w:marBottom w:val="240"/>
          <w:divBdr>
            <w:top w:val="none" w:sz="0" w:space="0" w:color="auto"/>
            <w:left w:val="none" w:sz="0" w:space="0" w:color="auto"/>
            <w:bottom w:val="none" w:sz="0" w:space="0" w:color="auto"/>
            <w:right w:val="none" w:sz="0" w:space="0" w:color="auto"/>
          </w:divBdr>
        </w:div>
      </w:divsChild>
    </w:div>
    <w:div w:id="818500510">
      <w:bodyDiv w:val="1"/>
      <w:marLeft w:val="0"/>
      <w:marRight w:val="0"/>
      <w:marTop w:val="0"/>
      <w:marBottom w:val="0"/>
      <w:divBdr>
        <w:top w:val="none" w:sz="0" w:space="0" w:color="auto"/>
        <w:left w:val="none" w:sz="0" w:space="0" w:color="auto"/>
        <w:bottom w:val="none" w:sz="0" w:space="0" w:color="auto"/>
        <w:right w:val="none" w:sz="0" w:space="0" w:color="auto"/>
      </w:divBdr>
    </w:div>
    <w:div w:id="820460753">
      <w:bodyDiv w:val="1"/>
      <w:marLeft w:val="0"/>
      <w:marRight w:val="0"/>
      <w:marTop w:val="0"/>
      <w:marBottom w:val="0"/>
      <w:divBdr>
        <w:top w:val="none" w:sz="0" w:space="0" w:color="auto"/>
        <w:left w:val="none" w:sz="0" w:space="0" w:color="auto"/>
        <w:bottom w:val="none" w:sz="0" w:space="0" w:color="auto"/>
        <w:right w:val="none" w:sz="0" w:space="0" w:color="auto"/>
      </w:divBdr>
    </w:div>
    <w:div w:id="856043526">
      <w:bodyDiv w:val="1"/>
      <w:marLeft w:val="0"/>
      <w:marRight w:val="0"/>
      <w:marTop w:val="0"/>
      <w:marBottom w:val="0"/>
      <w:divBdr>
        <w:top w:val="none" w:sz="0" w:space="0" w:color="auto"/>
        <w:left w:val="none" w:sz="0" w:space="0" w:color="auto"/>
        <w:bottom w:val="none" w:sz="0" w:space="0" w:color="auto"/>
        <w:right w:val="none" w:sz="0" w:space="0" w:color="auto"/>
      </w:divBdr>
    </w:div>
    <w:div w:id="967474508">
      <w:bodyDiv w:val="1"/>
      <w:marLeft w:val="0"/>
      <w:marRight w:val="0"/>
      <w:marTop w:val="0"/>
      <w:marBottom w:val="0"/>
      <w:divBdr>
        <w:top w:val="none" w:sz="0" w:space="0" w:color="auto"/>
        <w:left w:val="none" w:sz="0" w:space="0" w:color="auto"/>
        <w:bottom w:val="none" w:sz="0" w:space="0" w:color="auto"/>
        <w:right w:val="none" w:sz="0" w:space="0" w:color="auto"/>
      </w:divBdr>
    </w:div>
    <w:div w:id="1000236655">
      <w:bodyDiv w:val="1"/>
      <w:marLeft w:val="0"/>
      <w:marRight w:val="0"/>
      <w:marTop w:val="0"/>
      <w:marBottom w:val="0"/>
      <w:divBdr>
        <w:top w:val="none" w:sz="0" w:space="0" w:color="auto"/>
        <w:left w:val="none" w:sz="0" w:space="0" w:color="auto"/>
        <w:bottom w:val="none" w:sz="0" w:space="0" w:color="auto"/>
        <w:right w:val="none" w:sz="0" w:space="0" w:color="auto"/>
      </w:divBdr>
    </w:div>
    <w:div w:id="1018506103">
      <w:bodyDiv w:val="1"/>
      <w:marLeft w:val="0"/>
      <w:marRight w:val="0"/>
      <w:marTop w:val="0"/>
      <w:marBottom w:val="0"/>
      <w:divBdr>
        <w:top w:val="none" w:sz="0" w:space="0" w:color="auto"/>
        <w:left w:val="none" w:sz="0" w:space="0" w:color="auto"/>
        <w:bottom w:val="none" w:sz="0" w:space="0" w:color="auto"/>
        <w:right w:val="none" w:sz="0" w:space="0" w:color="auto"/>
      </w:divBdr>
    </w:div>
    <w:div w:id="1090587904">
      <w:bodyDiv w:val="1"/>
      <w:marLeft w:val="0"/>
      <w:marRight w:val="0"/>
      <w:marTop w:val="0"/>
      <w:marBottom w:val="0"/>
      <w:divBdr>
        <w:top w:val="none" w:sz="0" w:space="0" w:color="auto"/>
        <w:left w:val="none" w:sz="0" w:space="0" w:color="auto"/>
        <w:bottom w:val="none" w:sz="0" w:space="0" w:color="auto"/>
        <w:right w:val="none" w:sz="0" w:space="0" w:color="auto"/>
      </w:divBdr>
    </w:div>
    <w:div w:id="1091774693">
      <w:bodyDiv w:val="1"/>
      <w:marLeft w:val="0"/>
      <w:marRight w:val="0"/>
      <w:marTop w:val="0"/>
      <w:marBottom w:val="0"/>
      <w:divBdr>
        <w:top w:val="none" w:sz="0" w:space="0" w:color="auto"/>
        <w:left w:val="none" w:sz="0" w:space="0" w:color="auto"/>
        <w:bottom w:val="none" w:sz="0" w:space="0" w:color="auto"/>
        <w:right w:val="none" w:sz="0" w:space="0" w:color="auto"/>
      </w:divBdr>
    </w:div>
    <w:div w:id="1158690155">
      <w:bodyDiv w:val="1"/>
      <w:marLeft w:val="0"/>
      <w:marRight w:val="0"/>
      <w:marTop w:val="0"/>
      <w:marBottom w:val="0"/>
      <w:divBdr>
        <w:top w:val="none" w:sz="0" w:space="0" w:color="auto"/>
        <w:left w:val="none" w:sz="0" w:space="0" w:color="auto"/>
        <w:bottom w:val="none" w:sz="0" w:space="0" w:color="auto"/>
        <w:right w:val="none" w:sz="0" w:space="0" w:color="auto"/>
      </w:divBdr>
    </w:div>
    <w:div w:id="1164858489">
      <w:bodyDiv w:val="1"/>
      <w:marLeft w:val="0"/>
      <w:marRight w:val="0"/>
      <w:marTop w:val="0"/>
      <w:marBottom w:val="0"/>
      <w:divBdr>
        <w:top w:val="none" w:sz="0" w:space="0" w:color="auto"/>
        <w:left w:val="none" w:sz="0" w:space="0" w:color="auto"/>
        <w:bottom w:val="none" w:sz="0" w:space="0" w:color="auto"/>
        <w:right w:val="none" w:sz="0" w:space="0" w:color="auto"/>
      </w:divBdr>
    </w:div>
    <w:div w:id="1172061008">
      <w:bodyDiv w:val="1"/>
      <w:marLeft w:val="0"/>
      <w:marRight w:val="0"/>
      <w:marTop w:val="0"/>
      <w:marBottom w:val="0"/>
      <w:divBdr>
        <w:top w:val="none" w:sz="0" w:space="0" w:color="auto"/>
        <w:left w:val="none" w:sz="0" w:space="0" w:color="auto"/>
        <w:bottom w:val="none" w:sz="0" w:space="0" w:color="auto"/>
        <w:right w:val="none" w:sz="0" w:space="0" w:color="auto"/>
      </w:divBdr>
    </w:div>
    <w:div w:id="1258367439">
      <w:bodyDiv w:val="1"/>
      <w:marLeft w:val="0"/>
      <w:marRight w:val="0"/>
      <w:marTop w:val="0"/>
      <w:marBottom w:val="0"/>
      <w:divBdr>
        <w:top w:val="none" w:sz="0" w:space="0" w:color="auto"/>
        <w:left w:val="none" w:sz="0" w:space="0" w:color="auto"/>
        <w:bottom w:val="none" w:sz="0" w:space="0" w:color="auto"/>
        <w:right w:val="none" w:sz="0" w:space="0" w:color="auto"/>
      </w:divBdr>
    </w:div>
    <w:div w:id="1272399043">
      <w:bodyDiv w:val="1"/>
      <w:marLeft w:val="0"/>
      <w:marRight w:val="0"/>
      <w:marTop w:val="0"/>
      <w:marBottom w:val="0"/>
      <w:divBdr>
        <w:top w:val="none" w:sz="0" w:space="0" w:color="auto"/>
        <w:left w:val="none" w:sz="0" w:space="0" w:color="auto"/>
        <w:bottom w:val="none" w:sz="0" w:space="0" w:color="auto"/>
        <w:right w:val="none" w:sz="0" w:space="0" w:color="auto"/>
      </w:divBdr>
    </w:div>
    <w:div w:id="1334912662">
      <w:bodyDiv w:val="1"/>
      <w:marLeft w:val="0"/>
      <w:marRight w:val="0"/>
      <w:marTop w:val="0"/>
      <w:marBottom w:val="0"/>
      <w:divBdr>
        <w:top w:val="none" w:sz="0" w:space="0" w:color="auto"/>
        <w:left w:val="none" w:sz="0" w:space="0" w:color="auto"/>
        <w:bottom w:val="none" w:sz="0" w:space="0" w:color="auto"/>
        <w:right w:val="none" w:sz="0" w:space="0" w:color="auto"/>
      </w:divBdr>
    </w:div>
    <w:div w:id="1367488890">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10929895">
      <w:bodyDiv w:val="1"/>
      <w:marLeft w:val="0"/>
      <w:marRight w:val="0"/>
      <w:marTop w:val="0"/>
      <w:marBottom w:val="0"/>
      <w:divBdr>
        <w:top w:val="none" w:sz="0" w:space="0" w:color="auto"/>
        <w:left w:val="none" w:sz="0" w:space="0" w:color="auto"/>
        <w:bottom w:val="none" w:sz="0" w:space="0" w:color="auto"/>
        <w:right w:val="none" w:sz="0" w:space="0" w:color="auto"/>
      </w:divBdr>
    </w:div>
    <w:div w:id="1416899239">
      <w:bodyDiv w:val="1"/>
      <w:marLeft w:val="0"/>
      <w:marRight w:val="0"/>
      <w:marTop w:val="0"/>
      <w:marBottom w:val="0"/>
      <w:divBdr>
        <w:top w:val="none" w:sz="0" w:space="0" w:color="auto"/>
        <w:left w:val="none" w:sz="0" w:space="0" w:color="auto"/>
        <w:bottom w:val="none" w:sz="0" w:space="0" w:color="auto"/>
        <w:right w:val="none" w:sz="0" w:space="0" w:color="auto"/>
      </w:divBdr>
    </w:div>
    <w:div w:id="1484347182">
      <w:bodyDiv w:val="1"/>
      <w:marLeft w:val="0"/>
      <w:marRight w:val="0"/>
      <w:marTop w:val="0"/>
      <w:marBottom w:val="0"/>
      <w:divBdr>
        <w:top w:val="none" w:sz="0" w:space="0" w:color="auto"/>
        <w:left w:val="none" w:sz="0" w:space="0" w:color="auto"/>
        <w:bottom w:val="none" w:sz="0" w:space="0" w:color="auto"/>
        <w:right w:val="none" w:sz="0" w:space="0" w:color="auto"/>
      </w:divBdr>
    </w:div>
    <w:div w:id="1491369020">
      <w:bodyDiv w:val="1"/>
      <w:marLeft w:val="0"/>
      <w:marRight w:val="0"/>
      <w:marTop w:val="0"/>
      <w:marBottom w:val="0"/>
      <w:divBdr>
        <w:top w:val="none" w:sz="0" w:space="0" w:color="auto"/>
        <w:left w:val="none" w:sz="0" w:space="0" w:color="auto"/>
        <w:bottom w:val="none" w:sz="0" w:space="0" w:color="auto"/>
        <w:right w:val="none" w:sz="0" w:space="0" w:color="auto"/>
      </w:divBdr>
    </w:div>
    <w:div w:id="1532719249">
      <w:bodyDiv w:val="1"/>
      <w:marLeft w:val="0"/>
      <w:marRight w:val="0"/>
      <w:marTop w:val="0"/>
      <w:marBottom w:val="0"/>
      <w:divBdr>
        <w:top w:val="none" w:sz="0" w:space="0" w:color="auto"/>
        <w:left w:val="none" w:sz="0" w:space="0" w:color="auto"/>
        <w:bottom w:val="none" w:sz="0" w:space="0" w:color="auto"/>
        <w:right w:val="none" w:sz="0" w:space="0" w:color="auto"/>
      </w:divBdr>
    </w:div>
    <w:div w:id="1544946443">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91087367">
      <w:bodyDiv w:val="1"/>
      <w:marLeft w:val="0"/>
      <w:marRight w:val="0"/>
      <w:marTop w:val="0"/>
      <w:marBottom w:val="0"/>
      <w:divBdr>
        <w:top w:val="none" w:sz="0" w:space="0" w:color="auto"/>
        <w:left w:val="none" w:sz="0" w:space="0" w:color="auto"/>
        <w:bottom w:val="none" w:sz="0" w:space="0" w:color="auto"/>
        <w:right w:val="none" w:sz="0" w:space="0" w:color="auto"/>
      </w:divBdr>
    </w:div>
    <w:div w:id="1633166972">
      <w:bodyDiv w:val="1"/>
      <w:marLeft w:val="0"/>
      <w:marRight w:val="0"/>
      <w:marTop w:val="0"/>
      <w:marBottom w:val="0"/>
      <w:divBdr>
        <w:top w:val="none" w:sz="0" w:space="0" w:color="auto"/>
        <w:left w:val="none" w:sz="0" w:space="0" w:color="auto"/>
        <w:bottom w:val="none" w:sz="0" w:space="0" w:color="auto"/>
        <w:right w:val="none" w:sz="0" w:space="0" w:color="auto"/>
      </w:divBdr>
    </w:div>
    <w:div w:id="1644503349">
      <w:bodyDiv w:val="1"/>
      <w:marLeft w:val="0"/>
      <w:marRight w:val="0"/>
      <w:marTop w:val="0"/>
      <w:marBottom w:val="0"/>
      <w:divBdr>
        <w:top w:val="none" w:sz="0" w:space="0" w:color="auto"/>
        <w:left w:val="none" w:sz="0" w:space="0" w:color="auto"/>
        <w:bottom w:val="none" w:sz="0" w:space="0" w:color="auto"/>
        <w:right w:val="none" w:sz="0" w:space="0" w:color="auto"/>
      </w:divBdr>
      <w:divsChild>
        <w:div w:id="1430853412">
          <w:marLeft w:val="547"/>
          <w:marRight w:val="0"/>
          <w:marTop w:val="0"/>
          <w:marBottom w:val="120"/>
          <w:divBdr>
            <w:top w:val="none" w:sz="0" w:space="0" w:color="auto"/>
            <w:left w:val="none" w:sz="0" w:space="0" w:color="auto"/>
            <w:bottom w:val="none" w:sz="0" w:space="0" w:color="auto"/>
            <w:right w:val="none" w:sz="0" w:space="0" w:color="auto"/>
          </w:divBdr>
        </w:div>
        <w:div w:id="1616672114">
          <w:marLeft w:val="547"/>
          <w:marRight w:val="0"/>
          <w:marTop w:val="0"/>
          <w:marBottom w:val="120"/>
          <w:divBdr>
            <w:top w:val="none" w:sz="0" w:space="0" w:color="auto"/>
            <w:left w:val="none" w:sz="0" w:space="0" w:color="auto"/>
            <w:bottom w:val="none" w:sz="0" w:space="0" w:color="auto"/>
            <w:right w:val="none" w:sz="0" w:space="0" w:color="auto"/>
          </w:divBdr>
        </w:div>
      </w:divsChild>
    </w:div>
    <w:div w:id="1713847147">
      <w:bodyDiv w:val="1"/>
      <w:marLeft w:val="0"/>
      <w:marRight w:val="0"/>
      <w:marTop w:val="0"/>
      <w:marBottom w:val="0"/>
      <w:divBdr>
        <w:top w:val="none" w:sz="0" w:space="0" w:color="auto"/>
        <w:left w:val="none" w:sz="0" w:space="0" w:color="auto"/>
        <w:bottom w:val="none" w:sz="0" w:space="0" w:color="auto"/>
        <w:right w:val="none" w:sz="0" w:space="0" w:color="auto"/>
      </w:divBdr>
    </w:div>
    <w:div w:id="1835029859">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2004234411">
      <w:bodyDiv w:val="1"/>
      <w:marLeft w:val="0"/>
      <w:marRight w:val="0"/>
      <w:marTop w:val="0"/>
      <w:marBottom w:val="0"/>
      <w:divBdr>
        <w:top w:val="none" w:sz="0" w:space="0" w:color="auto"/>
        <w:left w:val="none" w:sz="0" w:space="0" w:color="auto"/>
        <w:bottom w:val="none" w:sz="0" w:space="0" w:color="auto"/>
        <w:right w:val="none" w:sz="0" w:space="0" w:color="auto"/>
      </w:divBdr>
      <w:divsChild>
        <w:div w:id="1272469236">
          <w:marLeft w:val="0"/>
          <w:marRight w:val="0"/>
          <w:marTop w:val="0"/>
          <w:marBottom w:val="0"/>
          <w:divBdr>
            <w:top w:val="none" w:sz="0" w:space="0" w:color="auto"/>
            <w:left w:val="none" w:sz="0" w:space="0" w:color="auto"/>
            <w:bottom w:val="none" w:sz="0" w:space="0" w:color="auto"/>
            <w:right w:val="none" w:sz="0" w:space="0" w:color="auto"/>
          </w:divBdr>
        </w:div>
        <w:div w:id="1369259619">
          <w:marLeft w:val="0"/>
          <w:marRight w:val="0"/>
          <w:marTop w:val="0"/>
          <w:marBottom w:val="0"/>
          <w:divBdr>
            <w:top w:val="none" w:sz="0" w:space="0" w:color="auto"/>
            <w:left w:val="none" w:sz="0" w:space="0" w:color="auto"/>
            <w:bottom w:val="none" w:sz="0" w:space="0" w:color="auto"/>
            <w:right w:val="none" w:sz="0" w:space="0" w:color="auto"/>
          </w:divBdr>
          <w:divsChild>
            <w:div w:id="507907135">
              <w:marLeft w:val="0"/>
              <w:marRight w:val="0"/>
              <w:marTop w:val="0"/>
              <w:marBottom w:val="0"/>
              <w:divBdr>
                <w:top w:val="none" w:sz="0" w:space="0" w:color="auto"/>
                <w:left w:val="none" w:sz="0" w:space="0" w:color="auto"/>
                <w:bottom w:val="none" w:sz="0" w:space="0" w:color="auto"/>
                <w:right w:val="none" w:sz="0" w:space="0" w:color="auto"/>
              </w:divBdr>
            </w:div>
            <w:div w:id="978536699">
              <w:marLeft w:val="0"/>
              <w:marRight w:val="0"/>
              <w:marTop w:val="0"/>
              <w:marBottom w:val="0"/>
              <w:divBdr>
                <w:top w:val="none" w:sz="0" w:space="0" w:color="auto"/>
                <w:left w:val="none" w:sz="0" w:space="0" w:color="auto"/>
                <w:bottom w:val="none" w:sz="0" w:space="0" w:color="auto"/>
                <w:right w:val="none" w:sz="0" w:space="0" w:color="auto"/>
              </w:divBdr>
            </w:div>
            <w:div w:id="1002509364">
              <w:marLeft w:val="0"/>
              <w:marRight w:val="0"/>
              <w:marTop w:val="0"/>
              <w:marBottom w:val="0"/>
              <w:divBdr>
                <w:top w:val="none" w:sz="0" w:space="0" w:color="auto"/>
                <w:left w:val="none" w:sz="0" w:space="0" w:color="auto"/>
                <w:bottom w:val="none" w:sz="0" w:space="0" w:color="auto"/>
                <w:right w:val="none" w:sz="0" w:space="0" w:color="auto"/>
              </w:divBdr>
            </w:div>
            <w:div w:id="1608735993">
              <w:marLeft w:val="0"/>
              <w:marRight w:val="0"/>
              <w:marTop w:val="0"/>
              <w:marBottom w:val="0"/>
              <w:divBdr>
                <w:top w:val="none" w:sz="0" w:space="0" w:color="auto"/>
                <w:left w:val="none" w:sz="0" w:space="0" w:color="auto"/>
                <w:bottom w:val="none" w:sz="0" w:space="0" w:color="auto"/>
                <w:right w:val="none" w:sz="0" w:space="0" w:color="auto"/>
              </w:divBdr>
            </w:div>
          </w:divsChild>
        </w:div>
        <w:div w:id="2039308449">
          <w:marLeft w:val="0"/>
          <w:marRight w:val="0"/>
          <w:marTop w:val="0"/>
          <w:marBottom w:val="0"/>
          <w:divBdr>
            <w:top w:val="none" w:sz="0" w:space="0" w:color="auto"/>
            <w:left w:val="none" w:sz="0" w:space="0" w:color="auto"/>
            <w:bottom w:val="none" w:sz="0" w:space="0" w:color="auto"/>
            <w:right w:val="none" w:sz="0" w:space="0" w:color="auto"/>
          </w:divBdr>
          <w:divsChild>
            <w:div w:id="797652025">
              <w:marLeft w:val="0"/>
              <w:marRight w:val="0"/>
              <w:marTop w:val="0"/>
              <w:marBottom w:val="0"/>
              <w:divBdr>
                <w:top w:val="none" w:sz="0" w:space="0" w:color="auto"/>
                <w:left w:val="none" w:sz="0" w:space="0" w:color="auto"/>
                <w:bottom w:val="none" w:sz="0" w:space="0" w:color="auto"/>
                <w:right w:val="none" w:sz="0" w:space="0" w:color="auto"/>
              </w:divBdr>
            </w:div>
            <w:div w:id="16325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89851">
      <w:bodyDiv w:val="1"/>
      <w:marLeft w:val="0"/>
      <w:marRight w:val="0"/>
      <w:marTop w:val="0"/>
      <w:marBottom w:val="0"/>
      <w:divBdr>
        <w:top w:val="none" w:sz="0" w:space="0" w:color="auto"/>
        <w:left w:val="none" w:sz="0" w:space="0" w:color="auto"/>
        <w:bottom w:val="none" w:sz="0" w:space="0" w:color="auto"/>
        <w:right w:val="none" w:sz="0" w:space="0" w:color="auto"/>
      </w:divBdr>
    </w:div>
    <w:div w:id="211937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minister.infrastructure.gov.au/rowland/speech/address-radcomms-2022-conference" TargetMode="External"/><Relationship Id="rId39" Type="http://schemas.openxmlformats.org/officeDocument/2006/relationships/hyperlink" Target="https://www.legislation.gov.au/Details/F2023L00802" TargetMode="External"/><Relationship Id="rId21" Type="http://schemas.openxmlformats.org/officeDocument/2006/relationships/hyperlink" Target="https://www.accc.gov.au/by-industry/telecommunications-and-internet/mobile-services-regulation/spectrum-competition-limits/request-for-advice-34-40-ghz-remote-allocation" TargetMode="External"/><Relationship Id="rId34" Type="http://schemas.openxmlformats.org/officeDocument/2006/relationships/hyperlink" Target="https://www.acma.gov.au/convert-hcis-area-description-placemark" TargetMode="External"/><Relationship Id="rId42" Type="http://schemas.openxmlformats.org/officeDocument/2006/relationships/hyperlink" Target="https://www.acma.gov.au/business-operating-procedures-spectrum" TargetMode="External"/><Relationship Id="rId47" Type="http://schemas.openxmlformats.org/officeDocument/2006/relationships/hyperlink" Target="https://www.acma.gov.au/convert-hcis-area-description-placemark"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legislation.gov.au/Details/F2018L00221"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Series/F2022N00015" TargetMode="External"/><Relationship Id="rId32" Type="http://schemas.openxmlformats.org/officeDocument/2006/relationships/image" Target="media/image4.png"/><Relationship Id="rId37" Type="http://schemas.openxmlformats.org/officeDocument/2006/relationships/hyperlink" Target="https://www.acma.gov.au/publications/2019-09/instruction/rali-fx3-microwave-fixed-services" TargetMode="External"/><Relationship Id="rId40" Type="http://schemas.openxmlformats.org/officeDocument/2006/relationships/hyperlink" Target="https://www.acma.gov.au/what-accredited-person-does" TargetMode="External"/><Relationship Id="rId45" Type="http://schemas.openxmlformats.org/officeDocument/2006/relationships/hyperlink" Target="https://www.acma.gov.au/consultations/2023-05/proposed-approach-expiring-spectrum-licences" TargetMode="Externa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acma.gov.au/allocating-34-40-ghz-band" TargetMode="External"/><Relationship Id="rId31" Type="http://schemas.openxmlformats.org/officeDocument/2006/relationships/hyperlink" Target="https://www.acma.gov.au/australian-spectrum-map-grid" TargetMode="External"/><Relationship Id="rId44" Type="http://schemas.openxmlformats.org/officeDocument/2006/relationships/hyperlink" Target="https://www.acma.gov.au/policy-apparatus-licence-renewals"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hyperlink" Target="https://www.acma.gov.au/consultations/2020-07/planning-options-3700-4200-mhz-band-consultation-222020" TargetMode="External"/><Relationship Id="rId27" Type="http://schemas.openxmlformats.org/officeDocument/2006/relationships/hyperlink" Target="https://minister.infrastructure.gov.au/rowland/media-release/albanese-government-sets-expectations-two-key-communications-regulators" TargetMode="External"/><Relationship Id="rId30" Type="http://schemas.openxmlformats.org/officeDocument/2006/relationships/hyperlink" Target="https://www.legislation.gov.au/Details/F2018L00222" TargetMode="External"/><Relationship Id="rId35" Type="http://schemas.openxmlformats.org/officeDocument/2006/relationships/hyperlink" Target="https://www.legislation.gov.au/Details/F2020C01124" TargetMode="External"/><Relationship Id="rId43" Type="http://schemas.openxmlformats.org/officeDocument/2006/relationships/hyperlink" Target="https://www.acma.gov.au/publications/2021-03/rules/our-approach-radcomms-licensing-and-allocation" TargetMode="External"/><Relationship Id="rId48" Type="http://schemas.openxmlformats.org/officeDocument/2006/relationships/hyperlink" Target="https://www.acma.gov.au/publications/2023-06/guide/area-wide-licence-awl-calculators" TargetMode="Externa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minister.infrastructure.gov.au/rowland/media-release/albanese-government-better-connect-inform-and-empower-australians" TargetMode="External"/><Relationship Id="rId33" Type="http://schemas.openxmlformats.org/officeDocument/2006/relationships/hyperlink" Target="https://www.acma.gov.au/australian-spectrum-map-grid" TargetMode="External"/><Relationship Id="rId38" Type="http://schemas.openxmlformats.org/officeDocument/2006/relationships/hyperlink" Target="https://www.legislation.gov.au/Details/F2021C01209" TargetMode="External"/><Relationship Id="rId46" Type="http://schemas.openxmlformats.org/officeDocument/2006/relationships/hyperlink" Target="https://www.acma.gov.au/convert-hcis-area-description-placemark" TargetMode="External"/><Relationship Id="rId20" Type="http://schemas.openxmlformats.org/officeDocument/2006/relationships/hyperlink" Target="https://www.acma.gov.au/publications/2021-09/plan/five-year-spectrum-outlook-2021-26" TargetMode="External"/><Relationship Id="rId41" Type="http://schemas.openxmlformats.org/officeDocument/2006/relationships/hyperlink" Target="https://www.acma.gov.au/5g-and-aviation-services-australi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acma.gov.au/consultations/2019-08/optimising-3400-3575-mhz-band-consultation-122019" TargetMode="External"/><Relationship Id="rId28" Type="http://schemas.openxmlformats.org/officeDocument/2006/relationships/hyperlink" Target="https://www.legislation.gov.au/Details/F2018L00225/Html/Text" TargetMode="External"/><Relationship Id="rId36" Type="http://schemas.openxmlformats.org/officeDocument/2006/relationships/hyperlink" Target="https://www.acma.gov.au/ralis-frequency-coordination" TargetMode="External"/><Relationship Id="rId49" Type="http://schemas.openxmlformats.org/officeDocument/2006/relationships/hyperlink" Target="https://www.acma.gov.au/what-accredited-person-do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ma.gov.au/publications/2019-08/instruction/rali-ms32-mid-west-radio-quiet-z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600C9-CC3C-4E89-ADD3-3F8B6E3A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8405</Words>
  <Characters>44632</Characters>
  <Application>Microsoft Office Word</Application>
  <DocSecurity>0</DocSecurity>
  <Lines>1088</Lines>
  <Paragraphs>525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2023-06-20T00:59:00Z</dcterms:created>
  <dcterms:modified xsi:type="dcterms:W3CDTF">2023-06-20T00:59:00Z</dcterms:modified>
  <cp:category/>
</cp:coreProperties>
</file>