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77A85" w14:textId="18BC347C" w:rsidR="00F06E14" w:rsidRPr="00A17B1B" w:rsidRDefault="00DF42BD" w:rsidP="00E40CBB">
      <w:pPr>
        <w:pStyle w:val="Reporttitle"/>
      </w:pPr>
      <w:r>
        <w:t>Know your obligations</w:t>
      </w:r>
    </w:p>
    <w:p w14:paraId="03041297" w14:textId="63E8F191" w:rsidR="00F06E14" w:rsidRPr="00A17B1B" w:rsidRDefault="00DF42BD" w:rsidP="00E40CBB">
      <w:pPr>
        <w:pStyle w:val="Reportsubtitle"/>
      </w:pPr>
      <w:r>
        <w:t>Spectrum licensees</w:t>
      </w:r>
    </w:p>
    <w:p w14:paraId="4E49EF44" w14:textId="29C112A9" w:rsidR="00DF42BD" w:rsidRPr="00DF42BD" w:rsidRDefault="00DF42BD" w:rsidP="004B2B62">
      <w:pPr>
        <w:pStyle w:val="Reportdate"/>
        <w:spacing w:before="40" w:after="720"/>
        <w:sectPr w:rsidR="00DF42BD" w:rsidRPr="00DF42BD"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December 2012</w:t>
      </w:r>
      <w:r>
        <w:br/>
      </w:r>
      <w:r w:rsidRPr="000758C4">
        <w:t xml:space="preserve">updated </w:t>
      </w:r>
      <w:r w:rsidR="00A731BC">
        <w:t xml:space="preserve">APRIL </w:t>
      </w:r>
      <w:r w:rsidR="0092229A">
        <w:t>2023</w:t>
      </w:r>
    </w:p>
    <w:p w14:paraId="056CD754" w14:textId="77777777" w:rsidR="00284A74" w:rsidRPr="00A17B1B" w:rsidRDefault="00284A74" w:rsidP="00E40CBB">
      <w:pPr>
        <w:pStyle w:val="ACMACorporateAddressHeader"/>
      </w:pPr>
      <w:r w:rsidRPr="00A17B1B">
        <w:lastRenderedPageBreak/>
        <w:t>Canberra</w:t>
      </w:r>
    </w:p>
    <w:p w14:paraId="3B8D70E8" w14:textId="676C65DA" w:rsidR="00284A74" w:rsidRPr="00A17B1B" w:rsidRDefault="00284A74" w:rsidP="00E40CBB">
      <w:pPr>
        <w:pStyle w:val="ACMACorporateAddresses"/>
      </w:pPr>
      <w:r w:rsidRPr="00A17B1B">
        <w:t xml:space="preserve">Red Building </w:t>
      </w:r>
      <w:r w:rsidRPr="00A17B1B">
        <w:br/>
        <w:t>Benjamin Offices</w:t>
      </w:r>
      <w:r w:rsidRPr="00A17B1B">
        <w:br/>
        <w:t xml:space="preserve">Chan Street </w:t>
      </w:r>
      <w:r w:rsidRPr="00A17B1B">
        <w:br/>
        <w:t>Belconnen ACT</w:t>
      </w:r>
      <w:r w:rsidR="00AE412B">
        <w:t xml:space="preserve"> </w:t>
      </w:r>
      <w:r w:rsidR="00BC4A8C">
        <w:t>2617</w:t>
      </w:r>
    </w:p>
    <w:p w14:paraId="3C314162" w14:textId="77777777" w:rsidR="00284A74" w:rsidRPr="00A17B1B" w:rsidRDefault="00284A74" w:rsidP="00E40CBB">
      <w:pPr>
        <w:pStyle w:val="ACMACorporateAddresses"/>
      </w:pPr>
      <w:r w:rsidRPr="00A17B1B">
        <w:t>PO Box 78</w:t>
      </w:r>
      <w:r w:rsidRPr="00A17B1B">
        <w:br/>
        <w:t>Belconnen ACT 2616</w:t>
      </w:r>
    </w:p>
    <w:p w14:paraId="48A622EB" w14:textId="77777777" w:rsidR="00284A74" w:rsidRPr="00A17B1B" w:rsidRDefault="00284A74" w:rsidP="00E40CBB">
      <w:pPr>
        <w:pStyle w:val="ACMACorporateAddresses"/>
      </w:pPr>
      <w:r w:rsidRPr="00A17B1B">
        <w:t>T</w:t>
      </w:r>
      <w:r w:rsidRPr="00A17B1B">
        <w:tab/>
        <w:t>+61 2 6219 5555</w:t>
      </w:r>
      <w:r w:rsidRPr="00A17B1B">
        <w:br/>
        <w:t>F</w:t>
      </w:r>
      <w:r w:rsidRPr="00A17B1B">
        <w:tab/>
        <w:t>+61 2 6219 5353</w:t>
      </w:r>
    </w:p>
    <w:p w14:paraId="289674CD" w14:textId="77777777" w:rsidR="00284A74" w:rsidRPr="00A17B1B" w:rsidRDefault="00284A74" w:rsidP="00E40CBB">
      <w:pPr>
        <w:pStyle w:val="ACMACorporateAddressHeader"/>
      </w:pPr>
      <w:r w:rsidRPr="00A17B1B">
        <w:t>Melbourne</w:t>
      </w:r>
    </w:p>
    <w:p w14:paraId="2F0BB7BD" w14:textId="67A4EE39" w:rsidR="00284A74" w:rsidRPr="00A17B1B" w:rsidRDefault="00284A74" w:rsidP="00E40CBB">
      <w:pPr>
        <w:pStyle w:val="ACMACorporateAddresses"/>
      </w:pPr>
      <w:r w:rsidRPr="00A17B1B">
        <w:t xml:space="preserve">Level 32 </w:t>
      </w:r>
      <w:r w:rsidRPr="00A17B1B">
        <w:br/>
        <w:t>Melbourne Central Tower</w:t>
      </w:r>
      <w:r w:rsidRPr="00A17B1B">
        <w:br/>
        <w:t xml:space="preserve">360 Elizabeth Street </w:t>
      </w:r>
      <w:r w:rsidRPr="00A17B1B">
        <w:br/>
        <w:t>Melbourne VIC</w:t>
      </w:r>
      <w:r w:rsidR="00BC4A8C">
        <w:t xml:space="preserve"> </w:t>
      </w:r>
      <w:r w:rsidR="00376BEB">
        <w:t>3000</w:t>
      </w:r>
    </w:p>
    <w:p w14:paraId="6F948A46" w14:textId="77777777" w:rsidR="00284A74" w:rsidRPr="00A17B1B" w:rsidRDefault="00284A74" w:rsidP="00E40CBB">
      <w:pPr>
        <w:pStyle w:val="ACMACorporateAddresses"/>
      </w:pPr>
      <w:r w:rsidRPr="00A17B1B">
        <w:t>PO Box 13112</w:t>
      </w:r>
      <w:r w:rsidRPr="00A17B1B">
        <w:br/>
        <w:t xml:space="preserve">Law Courts </w:t>
      </w:r>
      <w:r w:rsidRPr="00A17B1B">
        <w:br/>
        <w:t>Melbourne VIC 8010</w:t>
      </w:r>
    </w:p>
    <w:p w14:paraId="30899D9C" w14:textId="77777777" w:rsidR="00284A74" w:rsidRPr="00A17B1B" w:rsidRDefault="00284A74" w:rsidP="00E40CBB">
      <w:pPr>
        <w:pStyle w:val="ACMACorporateAddresses"/>
      </w:pPr>
      <w:r w:rsidRPr="00A17B1B">
        <w:t>T</w:t>
      </w:r>
      <w:r w:rsidRPr="00A17B1B">
        <w:tab/>
        <w:t>+61 3 9963 6800</w:t>
      </w:r>
      <w:r w:rsidRPr="00A17B1B">
        <w:br/>
        <w:t>F</w:t>
      </w:r>
      <w:r w:rsidRPr="00A17B1B">
        <w:tab/>
        <w:t>+61 3 9963 6899</w:t>
      </w:r>
    </w:p>
    <w:p w14:paraId="2A703F04" w14:textId="77777777" w:rsidR="00284A74" w:rsidRPr="00A17B1B" w:rsidRDefault="00284A74" w:rsidP="00E40CBB">
      <w:pPr>
        <w:pStyle w:val="ACMACorporateAddressHeader"/>
      </w:pPr>
      <w:r w:rsidRPr="00A17B1B">
        <w:t>Sydney</w:t>
      </w:r>
    </w:p>
    <w:p w14:paraId="2F2E5206" w14:textId="6EA00A1B" w:rsidR="00284A74" w:rsidRPr="00A17B1B" w:rsidRDefault="00284A74" w:rsidP="00E40CBB">
      <w:pPr>
        <w:pStyle w:val="ACMACorporateAddresses"/>
      </w:pPr>
      <w:r w:rsidRPr="00A17B1B">
        <w:t xml:space="preserve">Level 5 </w:t>
      </w:r>
      <w:r w:rsidRPr="00A17B1B">
        <w:br/>
        <w:t>The Bay Centre</w:t>
      </w:r>
      <w:r w:rsidRPr="00A17B1B">
        <w:br/>
        <w:t xml:space="preserve">65 Pirrama Road </w:t>
      </w:r>
      <w:r w:rsidRPr="00A17B1B">
        <w:br/>
        <w:t>Pyrmont NSW</w:t>
      </w:r>
      <w:r w:rsidR="00376BEB">
        <w:t xml:space="preserve"> </w:t>
      </w:r>
      <w:r w:rsidR="00976E7E">
        <w:t>2009</w:t>
      </w:r>
    </w:p>
    <w:p w14:paraId="1F0D744B" w14:textId="77777777" w:rsidR="00284A74" w:rsidRPr="00A17B1B" w:rsidRDefault="00284A74" w:rsidP="00E40CBB">
      <w:pPr>
        <w:pStyle w:val="ACMACorporateAddresses"/>
      </w:pPr>
      <w:r w:rsidRPr="00A17B1B">
        <w:t>PO Box Q500</w:t>
      </w:r>
      <w:r w:rsidRPr="00A17B1B">
        <w:br/>
        <w:t xml:space="preserve">Queen Victoria Building </w:t>
      </w:r>
      <w:r w:rsidRPr="00A17B1B">
        <w:br/>
        <w:t>NSW 1230</w:t>
      </w:r>
    </w:p>
    <w:p w14:paraId="623318FE" w14:textId="77777777" w:rsidR="00284A74" w:rsidRPr="00A17B1B" w:rsidRDefault="00284A74" w:rsidP="00E40CBB">
      <w:pPr>
        <w:pStyle w:val="ACMACorporateAddresses"/>
      </w:pPr>
      <w:r w:rsidRPr="00A17B1B">
        <w:t>T</w:t>
      </w:r>
      <w:r w:rsidRPr="00A17B1B">
        <w:tab/>
        <w:t>+61 2 9334 7700</w:t>
      </w:r>
      <w:r w:rsidRPr="00A17B1B">
        <w:br/>
        <w:t>F</w:t>
      </w:r>
      <w:r w:rsidRPr="00A17B1B">
        <w:tab/>
        <w:t>+61 2 9334 7799</w:t>
      </w:r>
    </w:p>
    <w:p w14:paraId="5D52A781" w14:textId="77777777" w:rsidR="00284A74" w:rsidRPr="00A17B1B" w:rsidRDefault="00284A74" w:rsidP="00E40CBB">
      <w:pPr>
        <w:pStyle w:val="ACMACopyrightHeader"/>
      </w:pPr>
      <w:r w:rsidRPr="00A17B1B">
        <w:t>Copyright notice</w:t>
      </w:r>
    </w:p>
    <w:p w14:paraId="46F0FAE5" w14:textId="77777777" w:rsidR="00284A74" w:rsidRPr="00A17B1B" w:rsidRDefault="00284A74" w:rsidP="00E40CBB">
      <w:pPr>
        <w:pStyle w:val="ACMACClogo"/>
      </w:pPr>
      <w:r w:rsidRPr="00A17B1B">
        <w:rPr>
          <w:noProof/>
        </w:rPr>
        <w:drawing>
          <wp:inline distT="0" distB="0" distL="0" distR="0" wp14:anchorId="21739214" wp14:editId="69B7BB9D">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25D606C6" w14:textId="77777777" w:rsidR="00284A74" w:rsidRPr="00A17B1B" w:rsidRDefault="0070702D" w:rsidP="00E40CBB">
      <w:pPr>
        <w:pStyle w:val="ACMACorporateAddresses"/>
        <w:rPr>
          <w:rStyle w:val="Hyperlink"/>
        </w:rPr>
      </w:pPr>
      <w:hyperlink r:id="rId13" w:history="1">
        <w:r w:rsidR="00284A74" w:rsidRPr="00A17B1B">
          <w:rPr>
            <w:rStyle w:val="Hyperlink"/>
          </w:rPr>
          <w:t>https://creativecommons.org/licenses/by/4.0/</w:t>
        </w:r>
      </w:hyperlink>
    </w:p>
    <w:p w14:paraId="1ECE9CC5" w14:textId="77777777" w:rsidR="00284A74" w:rsidRPr="00A17B1B" w:rsidRDefault="00284A74" w:rsidP="00E40CBB">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7760E5F0" w14:textId="5D85DB0C" w:rsidR="00284A74" w:rsidRPr="00A17B1B" w:rsidRDefault="00284A74" w:rsidP="00E40CBB">
      <w:pPr>
        <w:pStyle w:val="ACMACorporateAddresses"/>
      </w:pPr>
      <w:r w:rsidRPr="00A17B1B">
        <w:t>We request attribution as © Commonwealth of Australia (Australian Communications and Media Authority) 202</w:t>
      </w:r>
      <w:r w:rsidR="00DE76CA">
        <w:t>3</w:t>
      </w:r>
      <w:r w:rsidRPr="00A17B1B">
        <w:t>.</w:t>
      </w:r>
    </w:p>
    <w:p w14:paraId="5B62271D" w14:textId="77777777" w:rsidR="00284A74" w:rsidRPr="00A17B1B" w:rsidRDefault="00284A74" w:rsidP="00E40CBB">
      <w:pPr>
        <w:pStyle w:val="ACMACorporateAddresses"/>
      </w:pPr>
      <w:r w:rsidRPr="00A17B1B">
        <w:t>All other rights are reserved.</w:t>
      </w:r>
    </w:p>
    <w:p w14:paraId="5F837859" w14:textId="77777777" w:rsidR="00284A74" w:rsidRPr="00A17B1B" w:rsidRDefault="00284A74" w:rsidP="00E40CBB">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1ACCEFD" w14:textId="77777777" w:rsidR="00284A74" w:rsidRPr="00A17B1B" w:rsidRDefault="00284A74" w:rsidP="00E40CBB">
      <w:pPr>
        <w:pStyle w:val="ACMACorporateAddresses"/>
      </w:pPr>
      <w:r w:rsidRPr="00A17B1B">
        <w:t>Written enquiries may be sent to:</w:t>
      </w:r>
    </w:p>
    <w:p w14:paraId="6D8DA5E3" w14:textId="77777777" w:rsidR="00284A74" w:rsidRPr="00A17B1B" w:rsidRDefault="00284A74" w:rsidP="00E40CBB">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6E21D778" w14:textId="77777777" w:rsidR="00D16FE3" w:rsidRPr="00A17B1B" w:rsidRDefault="00D16FE3" w:rsidP="00E40CBB">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157141C" w14:textId="32A4FA06" w:rsidR="00413C41" w:rsidRDefault="00DF0799">
      <w:pPr>
        <w:pStyle w:val="TOC1"/>
        <w:rPr>
          <w:rFonts w:asciiTheme="minorHAnsi" w:eastAsiaTheme="minorEastAsia" w:hAnsiTheme="minorHAnsi" w:cstheme="minorBidi"/>
          <w:b w:val="0"/>
          <w:spacing w:val="0"/>
          <w:sz w:val="22"/>
          <w:szCs w:val="22"/>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31603564" w:history="1">
        <w:r w:rsidR="00413C41" w:rsidRPr="00D82DE0">
          <w:rPr>
            <w:rStyle w:val="Hyperlink"/>
          </w:rPr>
          <w:t>Introduction</w:t>
        </w:r>
        <w:r w:rsidR="00413C41">
          <w:rPr>
            <w:webHidden/>
          </w:rPr>
          <w:tab/>
        </w:r>
        <w:r w:rsidR="00413C41">
          <w:rPr>
            <w:webHidden/>
          </w:rPr>
          <w:fldChar w:fldCharType="begin"/>
        </w:r>
        <w:r w:rsidR="00413C41">
          <w:rPr>
            <w:webHidden/>
          </w:rPr>
          <w:instrText xml:space="preserve"> PAGEREF _Toc131603564 \h </w:instrText>
        </w:r>
        <w:r w:rsidR="00413C41">
          <w:rPr>
            <w:webHidden/>
          </w:rPr>
        </w:r>
        <w:r w:rsidR="00413C41">
          <w:rPr>
            <w:webHidden/>
          </w:rPr>
          <w:fldChar w:fldCharType="separate"/>
        </w:r>
        <w:r w:rsidR="00413C41">
          <w:rPr>
            <w:webHidden/>
          </w:rPr>
          <w:t>1</w:t>
        </w:r>
        <w:r w:rsidR="00413C41">
          <w:rPr>
            <w:webHidden/>
          </w:rPr>
          <w:fldChar w:fldCharType="end"/>
        </w:r>
      </w:hyperlink>
    </w:p>
    <w:p w14:paraId="64AB4F69" w14:textId="4892EC3F" w:rsidR="00413C41" w:rsidRDefault="0070702D">
      <w:pPr>
        <w:pStyle w:val="TOC2"/>
        <w:rPr>
          <w:rFonts w:asciiTheme="minorHAnsi" w:eastAsiaTheme="minorEastAsia" w:hAnsiTheme="minorHAnsi" w:cstheme="minorBidi"/>
          <w:spacing w:val="0"/>
          <w:sz w:val="22"/>
          <w:szCs w:val="22"/>
        </w:rPr>
      </w:pPr>
      <w:hyperlink w:anchor="_Toc131603565" w:history="1">
        <w:r w:rsidR="00413C41" w:rsidRPr="00D82DE0">
          <w:rPr>
            <w:rStyle w:val="Hyperlink"/>
          </w:rPr>
          <w:t>About spectrum space</w:t>
        </w:r>
        <w:r w:rsidR="00413C41">
          <w:rPr>
            <w:webHidden/>
          </w:rPr>
          <w:tab/>
        </w:r>
        <w:r w:rsidR="00413C41">
          <w:rPr>
            <w:webHidden/>
          </w:rPr>
          <w:fldChar w:fldCharType="begin"/>
        </w:r>
        <w:r w:rsidR="00413C41">
          <w:rPr>
            <w:webHidden/>
          </w:rPr>
          <w:instrText xml:space="preserve"> PAGEREF _Toc131603565 \h </w:instrText>
        </w:r>
        <w:r w:rsidR="00413C41">
          <w:rPr>
            <w:webHidden/>
          </w:rPr>
        </w:r>
        <w:r w:rsidR="00413C41">
          <w:rPr>
            <w:webHidden/>
          </w:rPr>
          <w:fldChar w:fldCharType="separate"/>
        </w:r>
        <w:r w:rsidR="00413C41">
          <w:rPr>
            <w:webHidden/>
          </w:rPr>
          <w:t>1</w:t>
        </w:r>
        <w:r w:rsidR="00413C41">
          <w:rPr>
            <w:webHidden/>
          </w:rPr>
          <w:fldChar w:fldCharType="end"/>
        </w:r>
      </w:hyperlink>
    </w:p>
    <w:p w14:paraId="1B1255CD" w14:textId="2E392927" w:rsidR="00413C41" w:rsidRDefault="0070702D">
      <w:pPr>
        <w:pStyle w:val="TOC2"/>
        <w:rPr>
          <w:rFonts w:asciiTheme="minorHAnsi" w:eastAsiaTheme="minorEastAsia" w:hAnsiTheme="minorHAnsi" w:cstheme="minorBidi"/>
          <w:spacing w:val="0"/>
          <w:sz w:val="22"/>
          <w:szCs w:val="22"/>
        </w:rPr>
      </w:pPr>
      <w:hyperlink w:anchor="_Toc131603566" w:history="1">
        <w:r w:rsidR="00413C41" w:rsidRPr="00D82DE0">
          <w:rPr>
            <w:rStyle w:val="Hyperlink"/>
          </w:rPr>
          <w:t>How to access the radiofrequency spectrum</w:t>
        </w:r>
        <w:r w:rsidR="00413C41">
          <w:rPr>
            <w:webHidden/>
          </w:rPr>
          <w:tab/>
        </w:r>
        <w:r w:rsidR="00413C41">
          <w:rPr>
            <w:webHidden/>
          </w:rPr>
          <w:fldChar w:fldCharType="begin"/>
        </w:r>
        <w:r w:rsidR="00413C41">
          <w:rPr>
            <w:webHidden/>
          </w:rPr>
          <w:instrText xml:space="preserve"> PAGEREF _Toc131603566 \h </w:instrText>
        </w:r>
        <w:r w:rsidR="00413C41">
          <w:rPr>
            <w:webHidden/>
          </w:rPr>
        </w:r>
        <w:r w:rsidR="00413C41">
          <w:rPr>
            <w:webHidden/>
          </w:rPr>
          <w:fldChar w:fldCharType="separate"/>
        </w:r>
        <w:r w:rsidR="00413C41">
          <w:rPr>
            <w:webHidden/>
          </w:rPr>
          <w:t>2</w:t>
        </w:r>
        <w:r w:rsidR="00413C41">
          <w:rPr>
            <w:webHidden/>
          </w:rPr>
          <w:fldChar w:fldCharType="end"/>
        </w:r>
      </w:hyperlink>
    </w:p>
    <w:p w14:paraId="2972471B" w14:textId="3BE616D3" w:rsidR="00413C41" w:rsidRDefault="0070702D">
      <w:pPr>
        <w:pStyle w:val="TOC3"/>
        <w:rPr>
          <w:rFonts w:asciiTheme="minorHAnsi" w:eastAsiaTheme="minorEastAsia" w:hAnsiTheme="minorHAnsi" w:cstheme="minorBidi"/>
        </w:rPr>
      </w:pPr>
      <w:hyperlink w:anchor="_Toc131603567" w:history="1">
        <w:r w:rsidR="00413C41" w:rsidRPr="00D82DE0">
          <w:rPr>
            <w:rStyle w:val="Hyperlink"/>
          </w:rPr>
          <w:t>Apparatus licences</w:t>
        </w:r>
        <w:r w:rsidR="00413C41">
          <w:rPr>
            <w:webHidden/>
          </w:rPr>
          <w:tab/>
        </w:r>
        <w:r w:rsidR="00413C41">
          <w:rPr>
            <w:webHidden/>
          </w:rPr>
          <w:fldChar w:fldCharType="begin"/>
        </w:r>
        <w:r w:rsidR="00413C41">
          <w:rPr>
            <w:webHidden/>
          </w:rPr>
          <w:instrText xml:space="preserve"> PAGEREF _Toc131603567 \h </w:instrText>
        </w:r>
        <w:r w:rsidR="00413C41">
          <w:rPr>
            <w:webHidden/>
          </w:rPr>
        </w:r>
        <w:r w:rsidR="00413C41">
          <w:rPr>
            <w:webHidden/>
          </w:rPr>
          <w:fldChar w:fldCharType="separate"/>
        </w:r>
        <w:r w:rsidR="00413C41">
          <w:rPr>
            <w:webHidden/>
          </w:rPr>
          <w:t>2</w:t>
        </w:r>
        <w:r w:rsidR="00413C41">
          <w:rPr>
            <w:webHidden/>
          </w:rPr>
          <w:fldChar w:fldCharType="end"/>
        </w:r>
      </w:hyperlink>
    </w:p>
    <w:p w14:paraId="201EA20A" w14:textId="27D612D1" w:rsidR="00413C41" w:rsidRDefault="0070702D">
      <w:pPr>
        <w:pStyle w:val="TOC3"/>
        <w:rPr>
          <w:rFonts w:asciiTheme="minorHAnsi" w:eastAsiaTheme="minorEastAsia" w:hAnsiTheme="minorHAnsi" w:cstheme="minorBidi"/>
        </w:rPr>
      </w:pPr>
      <w:hyperlink w:anchor="_Toc131603568" w:history="1">
        <w:r w:rsidR="00413C41" w:rsidRPr="00D82DE0">
          <w:rPr>
            <w:rStyle w:val="Hyperlink"/>
          </w:rPr>
          <w:t>Class licences</w:t>
        </w:r>
        <w:r w:rsidR="00413C41">
          <w:rPr>
            <w:webHidden/>
          </w:rPr>
          <w:tab/>
        </w:r>
        <w:r w:rsidR="00413C41">
          <w:rPr>
            <w:webHidden/>
          </w:rPr>
          <w:fldChar w:fldCharType="begin"/>
        </w:r>
        <w:r w:rsidR="00413C41">
          <w:rPr>
            <w:webHidden/>
          </w:rPr>
          <w:instrText xml:space="preserve"> PAGEREF _Toc131603568 \h </w:instrText>
        </w:r>
        <w:r w:rsidR="00413C41">
          <w:rPr>
            <w:webHidden/>
          </w:rPr>
        </w:r>
        <w:r w:rsidR="00413C41">
          <w:rPr>
            <w:webHidden/>
          </w:rPr>
          <w:fldChar w:fldCharType="separate"/>
        </w:r>
        <w:r w:rsidR="00413C41">
          <w:rPr>
            <w:webHidden/>
          </w:rPr>
          <w:t>3</w:t>
        </w:r>
        <w:r w:rsidR="00413C41">
          <w:rPr>
            <w:webHidden/>
          </w:rPr>
          <w:fldChar w:fldCharType="end"/>
        </w:r>
      </w:hyperlink>
    </w:p>
    <w:p w14:paraId="523B1B32" w14:textId="0B833A38" w:rsidR="00413C41" w:rsidRDefault="0070702D">
      <w:pPr>
        <w:pStyle w:val="TOC3"/>
        <w:rPr>
          <w:rFonts w:asciiTheme="minorHAnsi" w:eastAsiaTheme="minorEastAsia" w:hAnsiTheme="minorHAnsi" w:cstheme="minorBidi"/>
        </w:rPr>
      </w:pPr>
      <w:hyperlink w:anchor="_Toc131603569" w:history="1">
        <w:r w:rsidR="00413C41" w:rsidRPr="00D82DE0">
          <w:rPr>
            <w:rStyle w:val="Hyperlink"/>
          </w:rPr>
          <w:t>Spectrum licences</w:t>
        </w:r>
        <w:r w:rsidR="00413C41">
          <w:rPr>
            <w:webHidden/>
          </w:rPr>
          <w:tab/>
        </w:r>
        <w:r w:rsidR="00413C41">
          <w:rPr>
            <w:webHidden/>
          </w:rPr>
          <w:fldChar w:fldCharType="begin"/>
        </w:r>
        <w:r w:rsidR="00413C41">
          <w:rPr>
            <w:webHidden/>
          </w:rPr>
          <w:instrText xml:space="preserve"> PAGEREF _Toc131603569 \h </w:instrText>
        </w:r>
        <w:r w:rsidR="00413C41">
          <w:rPr>
            <w:webHidden/>
          </w:rPr>
        </w:r>
        <w:r w:rsidR="00413C41">
          <w:rPr>
            <w:webHidden/>
          </w:rPr>
          <w:fldChar w:fldCharType="separate"/>
        </w:r>
        <w:r w:rsidR="00413C41">
          <w:rPr>
            <w:webHidden/>
          </w:rPr>
          <w:t>3</w:t>
        </w:r>
        <w:r w:rsidR="00413C41">
          <w:rPr>
            <w:webHidden/>
          </w:rPr>
          <w:fldChar w:fldCharType="end"/>
        </w:r>
      </w:hyperlink>
    </w:p>
    <w:p w14:paraId="408F2488" w14:textId="638CC0C7" w:rsidR="00413C41" w:rsidRDefault="0070702D">
      <w:pPr>
        <w:pStyle w:val="TOC2"/>
        <w:rPr>
          <w:rFonts w:asciiTheme="minorHAnsi" w:eastAsiaTheme="minorEastAsia" w:hAnsiTheme="minorHAnsi" w:cstheme="minorBidi"/>
          <w:spacing w:val="0"/>
          <w:sz w:val="22"/>
          <w:szCs w:val="22"/>
        </w:rPr>
      </w:pPr>
      <w:hyperlink w:anchor="_Toc131603570" w:history="1">
        <w:r w:rsidR="00413C41" w:rsidRPr="00D82DE0">
          <w:rPr>
            <w:rStyle w:val="Hyperlink"/>
          </w:rPr>
          <w:t>How the ACMA issues spectrum licences</w:t>
        </w:r>
        <w:r w:rsidR="00413C41">
          <w:rPr>
            <w:webHidden/>
          </w:rPr>
          <w:tab/>
        </w:r>
        <w:r w:rsidR="00413C41">
          <w:rPr>
            <w:webHidden/>
          </w:rPr>
          <w:fldChar w:fldCharType="begin"/>
        </w:r>
        <w:r w:rsidR="00413C41">
          <w:rPr>
            <w:webHidden/>
          </w:rPr>
          <w:instrText xml:space="preserve"> PAGEREF _Toc131603570 \h </w:instrText>
        </w:r>
        <w:r w:rsidR="00413C41">
          <w:rPr>
            <w:webHidden/>
          </w:rPr>
        </w:r>
        <w:r w:rsidR="00413C41">
          <w:rPr>
            <w:webHidden/>
          </w:rPr>
          <w:fldChar w:fldCharType="separate"/>
        </w:r>
        <w:r w:rsidR="00413C41">
          <w:rPr>
            <w:webHidden/>
          </w:rPr>
          <w:t>3</w:t>
        </w:r>
        <w:r w:rsidR="00413C41">
          <w:rPr>
            <w:webHidden/>
          </w:rPr>
          <w:fldChar w:fldCharType="end"/>
        </w:r>
      </w:hyperlink>
    </w:p>
    <w:p w14:paraId="4E79474D" w14:textId="1589E8B6" w:rsidR="00413C41" w:rsidRDefault="0070702D">
      <w:pPr>
        <w:pStyle w:val="TOC2"/>
        <w:rPr>
          <w:rFonts w:asciiTheme="minorHAnsi" w:eastAsiaTheme="minorEastAsia" w:hAnsiTheme="minorHAnsi" w:cstheme="minorBidi"/>
          <w:spacing w:val="0"/>
          <w:sz w:val="22"/>
          <w:szCs w:val="22"/>
        </w:rPr>
      </w:pPr>
      <w:hyperlink w:anchor="_Toc131603571" w:history="1">
        <w:r w:rsidR="00413C41" w:rsidRPr="00D82DE0">
          <w:rPr>
            <w:rStyle w:val="Hyperlink"/>
          </w:rPr>
          <w:t>Register of Radiocommunications Licences</w:t>
        </w:r>
        <w:r w:rsidR="00413C41">
          <w:rPr>
            <w:webHidden/>
          </w:rPr>
          <w:tab/>
        </w:r>
        <w:r w:rsidR="00413C41">
          <w:rPr>
            <w:webHidden/>
          </w:rPr>
          <w:fldChar w:fldCharType="begin"/>
        </w:r>
        <w:r w:rsidR="00413C41">
          <w:rPr>
            <w:webHidden/>
          </w:rPr>
          <w:instrText xml:space="preserve"> PAGEREF _Toc131603571 \h </w:instrText>
        </w:r>
        <w:r w:rsidR="00413C41">
          <w:rPr>
            <w:webHidden/>
          </w:rPr>
        </w:r>
        <w:r w:rsidR="00413C41">
          <w:rPr>
            <w:webHidden/>
          </w:rPr>
          <w:fldChar w:fldCharType="separate"/>
        </w:r>
        <w:r w:rsidR="00413C41">
          <w:rPr>
            <w:webHidden/>
          </w:rPr>
          <w:t>3</w:t>
        </w:r>
        <w:r w:rsidR="00413C41">
          <w:rPr>
            <w:webHidden/>
          </w:rPr>
          <w:fldChar w:fldCharType="end"/>
        </w:r>
      </w:hyperlink>
    </w:p>
    <w:p w14:paraId="1DB14345" w14:textId="7E4D5D08" w:rsidR="00413C41" w:rsidRDefault="0070702D">
      <w:pPr>
        <w:pStyle w:val="TOC1"/>
        <w:rPr>
          <w:rFonts w:asciiTheme="minorHAnsi" w:eastAsiaTheme="minorEastAsia" w:hAnsiTheme="minorHAnsi" w:cstheme="minorBidi"/>
          <w:b w:val="0"/>
          <w:spacing w:val="0"/>
          <w:sz w:val="22"/>
          <w:szCs w:val="22"/>
        </w:rPr>
      </w:pPr>
      <w:hyperlink w:anchor="_Toc131603572" w:history="1">
        <w:r w:rsidR="00413C41" w:rsidRPr="00D82DE0">
          <w:rPr>
            <w:rStyle w:val="Hyperlink"/>
          </w:rPr>
          <w:t>Technical frameworks</w:t>
        </w:r>
        <w:r w:rsidR="00413C41">
          <w:rPr>
            <w:webHidden/>
          </w:rPr>
          <w:tab/>
        </w:r>
        <w:r w:rsidR="00413C41">
          <w:rPr>
            <w:webHidden/>
          </w:rPr>
          <w:fldChar w:fldCharType="begin"/>
        </w:r>
        <w:r w:rsidR="00413C41">
          <w:rPr>
            <w:webHidden/>
          </w:rPr>
          <w:instrText xml:space="preserve"> PAGEREF _Toc131603572 \h </w:instrText>
        </w:r>
        <w:r w:rsidR="00413C41">
          <w:rPr>
            <w:webHidden/>
          </w:rPr>
        </w:r>
        <w:r w:rsidR="00413C41">
          <w:rPr>
            <w:webHidden/>
          </w:rPr>
          <w:fldChar w:fldCharType="separate"/>
        </w:r>
        <w:r w:rsidR="00413C41">
          <w:rPr>
            <w:webHidden/>
          </w:rPr>
          <w:t>4</w:t>
        </w:r>
        <w:r w:rsidR="00413C41">
          <w:rPr>
            <w:webHidden/>
          </w:rPr>
          <w:fldChar w:fldCharType="end"/>
        </w:r>
      </w:hyperlink>
    </w:p>
    <w:p w14:paraId="346E6FEE" w14:textId="3742A941" w:rsidR="00413C41" w:rsidRDefault="0070702D">
      <w:pPr>
        <w:pStyle w:val="TOC2"/>
        <w:rPr>
          <w:rFonts w:asciiTheme="minorHAnsi" w:eastAsiaTheme="minorEastAsia" w:hAnsiTheme="minorHAnsi" w:cstheme="minorBidi"/>
          <w:spacing w:val="0"/>
          <w:sz w:val="22"/>
          <w:szCs w:val="22"/>
        </w:rPr>
      </w:pPr>
      <w:hyperlink w:anchor="_Toc131603573" w:history="1">
        <w:r w:rsidR="00413C41" w:rsidRPr="00D82DE0">
          <w:rPr>
            <w:rStyle w:val="Hyperlink"/>
          </w:rPr>
          <w:t>How a spectrum licence technical framework is developed</w:t>
        </w:r>
        <w:r w:rsidR="00413C41">
          <w:rPr>
            <w:webHidden/>
          </w:rPr>
          <w:tab/>
        </w:r>
        <w:r w:rsidR="00413C41">
          <w:rPr>
            <w:webHidden/>
          </w:rPr>
          <w:fldChar w:fldCharType="begin"/>
        </w:r>
        <w:r w:rsidR="00413C41">
          <w:rPr>
            <w:webHidden/>
          </w:rPr>
          <w:instrText xml:space="preserve"> PAGEREF _Toc131603573 \h </w:instrText>
        </w:r>
        <w:r w:rsidR="00413C41">
          <w:rPr>
            <w:webHidden/>
          </w:rPr>
        </w:r>
        <w:r w:rsidR="00413C41">
          <w:rPr>
            <w:webHidden/>
          </w:rPr>
          <w:fldChar w:fldCharType="separate"/>
        </w:r>
        <w:r w:rsidR="00413C41">
          <w:rPr>
            <w:webHidden/>
          </w:rPr>
          <w:t>5</w:t>
        </w:r>
        <w:r w:rsidR="00413C41">
          <w:rPr>
            <w:webHidden/>
          </w:rPr>
          <w:fldChar w:fldCharType="end"/>
        </w:r>
      </w:hyperlink>
    </w:p>
    <w:p w14:paraId="0BC8CA57" w14:textId="0A1D3590" w:rsidR="00413C41" w:rsidRDefault="0070702D">
      <w:pPr>
        <w:pStyle w:val="TOC2"/>
        <w:rPr>
          <w:rFonts w:asciiTheme="minorHAnsi" w:eastAsiaTheme="minorEastAsia" w:hAnsiTheme="minorHAnsi" w:cstheme="minorBidi"/>
          <w:spacing w:val="0"/>
          <w:sz w:val="22"/>
          <w:szCs w:val="22"/>
        </w:rPr>
      </w:pPr>
      <w:hyperlink w:anchor="_Toc131603574" w:history="1">
        <w:r w:rsidR="00413C41" w:rsidRPr="00D82DE0">
          <w:rPr>
            <w:rStyle w:val="Hyperlink"/>
          </w:rPr>
          <w:t>Core licence conditions</w:t>
        </w:r>
        <w:r w:rsidR="00413C41">
          <w:rPr>
            <w:webHidden/>
          </w:rPr>
          <w:tab/>
        </w:r>
        <w:r w:rsidR="00413C41">
          <w:rPr>
            <w:webHidden/>
          </w:rPr>
          <w:fldChar w:fldCharType="begin"/>
        </w:r>
        <w:r w:rsidR="00413C41">
          <w:rPr>
            <w:webHidden/>
          </w:rPr>
          <w:instrText xml:space="preserve"> PAGEREF _Toc131603574 \h </w:instrText>
        </w:r>
        <w:r w:rsidR="00413C41">
          <w:rPr>
            <w:webHidden/>
          </w:rPr>
        </w:r>
        <w:r w:rsidR="00413C41">
          <w:rPr>
            <w:webHidden/>
          </w:rPr>
          <w:fldChar w:fldCharType="separate"/>
        </w:r>
        <w:r w:rsidR="00413C41">
          <w:rPr>
            <w:webHidden/>
          </w:rPr>
          <w:t>5</w:t>
        </w:r>
        <w:r w:rsidR="00413C41">
          <w:rPr>
            <w:webHidden/>
          </w:rPr>
          <w:fldChar w:fldCharType="end"/>
        </w:r>
      </w:hyperlink>
    </w:p>
    <w:p w14:paraId="31072D05" w14:textId="10676302" w:rsidR="00413C41" w:rsidRDefault="0070702D">
      <w:pPr>
        <w:pStyle w:val="TOC2"/>
        <w:rPr>
          <w:rFonts w:asciiTheme="minorHAnsi" w:eastAsiaTheme="minorEastAsia" w:hAnsiTheme="minorHAnsi" w:cstheme="minorBidi"/>
          <w:spacing w:val="0"/>
          <w:sz w:val="22"/>
          <w:szCs w:val="22"/>
        </w:rPr>
      </w:pPr>
      <w:hyperlink w:anchor="_Toc131603575" w:history="1">
        <w:r w:rsidR="00413C41" w:rsidRPr="00D82DE0">
          <w:rPr>
            <w:rStyle w:val="Hyperlink"/>
          </w:rPr>
          <w:t>Unacceptable levels of interference</w:t>
        </w:r>
        <w:r w:rsidR="00413C41">
          <w:rPr>
            <w:webHidden/>
          </w:rPr>
          <w:tab/>
        </w:r>
        <w:r w:rsidR="00413C41">
          <w:rPr>
            <w:webHidden/>
          </w:rPr>
          <w:fldChar w:fldCharType="begin"/>
        </w:r>
        <w:r w:rsidR="00413C41">
          <w:rPr>
            <w:webHidden/>
          </w:rPr>
          <w:instrText xml:space="preserve"> PAGEREF _Toc131603575 \h </w:instrText>
        </w:r>
        <w:r w:rsidR="00413C41">
          <w:rPr>
            <w:webHidden/>
          </w:rPr>
        </w:r>
        <w:r w:rsidR="00413C41">
          <w:rPr>
            <w:webHidden/>
          </w:rPr>
          <w:fldChar w:fldCharType="separate"/>
        </w:r>
        <w:r w:rsidR="00413C41">
          <w:rPr>
            <w:webHidden/>
          </w:rPr>
          <w:t>6</w:t>
        </w:r>
        <w:r w:rsidR="00413C41">
          <w:rPr>
            <w:webHidden/>
          </w:rPr>
          <w:fldChar w:fldCharType="end"/>
        </w:r>
      </w:hyperlink>
    </w:p>
    <w:p w14:paraId="7B56E23E" w14:textId="25212A15" w:rsidR="00413C41" w:rsidRDefault="0070702D">
      <w:pPr>
        <w:pStyle w:val="TOC3"/>
        <w:rPr>
          <w:rFonts w:asciiTheme="minorHAnsi" w:eastAsiaTheme="minorEastAsia" w:hAnsiTheme="minorHAnsi" w:cstheme="minorBidi"/>
        </w:rPr>
      </w:pPr>
      <w:hyperlink w:anchor="_Toc131603576" w:history="1">
        <w:r w:rsidR="00413C41" w:rsidRPr="00D82DE0">
          <w:rPr>
            <w:rStyle w:val="Hyperlink"/>
          </w:rPr>
          <w:t>Deployment constraints</w:t>
        </w:r>
        <w:r w:rsidR="00413C41">
          <w:rPr>
            <w:webHidden/>
          </w:rPr>
          <w:tab/>
        </w:r>
        <w:r w:rsidR="00413C41">
          <w:rPr>
            <w:webHidden/>
          </w:rPr>
          <w:fldChar w:fldCharType="begin"/>
        </w:r>
        <w:r w:rsidR="00413C41">
          <w:rPr>
            <w:webHidden/>
          </w:rPr>
          <w:instrText xml:space="preserve"> PAGEREF _Toc131603576 \h </w:instrText>
        </w:r>
        <w:r w:rsidR="00413C41">
          <w:rPr>
            <w:webHidden/>
          </w:rPr>
        </w:r>
        <w:r w:rsidR="00413C41">
          <w:rPr>
            <w:webHidden/>
          </w:rPr>
          <w:fldChar w:fldCharType="separate"/>
        </w:r>
        <w:r w:rsidR="00413C41">
          <w:rPr>
            <w:webHidden/>
          </w:rPr>
          <w:t>6</w:t>
        </w:r>
        <w:r w:rsidR="00413C41">
          <w:rPr>
            <w:webHidden/>
          </w:rPr>
          <w:fldChar w:fldCharType="end"/>
        </w:r>
      </w:hyperlink>
    </w:p>
    <w:p w14:paraId="4F326506" w14:textId="72D97A5C" w:rsidR="00413C41" w:rsidRDefault="0070702D">
      <w:pPr>
        <w:pStyle w:val="TOC3"/>
        <w:rPr>
          <w:rFonts w:asciiTheme="minorHAnsi" w:eastAsiaTheme="minorEastAsia" w:hAnsiTheme="minorHAnsi" w:cstheme="minorBidi"/>
        </w:rPr>
      </w:pPr>
      <w:hyperlink w:anchor="_Toc131603577" w:history="1">
        <w:r w:rsidR="00413C41" w:rsidRPr="00D82DE0">
          <w:rPr>
            <w:rStyle w:val="Hyperlink"/>
          </w:rPr>
          <w:t>Device boundary criterion</w:t>
        </w:r>
        <w:r w:rsidR="00413C41">
          <w:rPr>
            <w:webHidden/>
          </w:rPr>
          <w:tab/>
        </w:r>
        <w:r w:rsidR="00413C41">
          <w:rPr>
            <w:webHidden/>
          </w:rPr>
          <w:fldChar w:fldCharType="begin"/>
        </w:r>
        <w:r w:rsidR="00413C41">
          <w:rPr>
            <w:webHidden/>
          </w:rPr>
          <w:instrText xml:space="preserve"> PAGEREF _Toc131603577 \h </w:instrText>
        </w:r>
        <w:r w:rsidR="00413C41">
          <w:rPr>
            <w:webHidden/>
          </w:rPr>
        </w:r>
        <w:r w:rsidR="00413C41">
          <w:rPr>
            <w:webHidden/>
          </w:rPr>
          <w:fldChar w:fldCharType="separate"/>
        </w:r>
        <w:r w:rsidR="00413C41">
          <w:rPr>
            <w:webHidden/>
          </w:rPr>
          <w:t>7</w:t>
        </w:r>
        <w:r w:rsidR="00413C41">
          <w:rPr>
            <w:webHidden/>
          </w:rPr>
          <w:fldChar w:fldCharType="end"/>
        </w:r>
      </w:hyperlink>
    </w:p>
    <w:p w14:paraId="5B5A84CC" w14:textId="5FAB3C14" w:rsidR="00413C41" w:rsidRDefault="0070702D">
      <w:pPr>
        <w:pStyle w:val="TOC2"/>
        <w:rPr>
          <w:rFonts w:asciiTheme="minorHAnsi" w:eastAsiaTheme="minorEastAsia" w:hAnsiTheme="minorHAnsi" w:cstheme="minorBidi"/>
          <w:spacing w:val="0"/>
          <w:sz w:val="22"/>
          <w:szCs w:val="22"/>
        </w:rPr>
      </w:pPr>
      <w:hyperlink w:anchor="_Toc131603578" w:history="1">
        <w:r w:rsidR="00413C41" w:rsidRPr="00D82DE0">
          <w:rPr>
            <w:rStyle w:val="Hyperlink"/>
          </w:rPr>
          <w:t>Radiocommunications advisory guidelines</w:t>
        </w:r>
        <w:r w:rsidR="00413C41">
          <w:rPr>
            <w:webHidden/>
          </w:rPr>
          <w:tab/>
        </w:r>
        <w:r w:rsidR="00413C41">
          <w:rPr>
            <w:webHidden/>
          </w:rPr>
          <w:fldChar w:fldCharType="begin"/>
        </w:r>
        <w:r w:rsidR="00413C41">
          <w:rPr>
            <w:webHidden/>
          </w:rPr>
          <w:instrText xml:space="preserve"> PAGEREF _Toc131603578 \h </w:instrText>
        </w:r>
        <w:r w:rsidR="00413C41">
          <w:rPr>
            <w:webHidden/>
          </w:rPr>
        </w:r>
        <w:r w:rsidR="00413C41">
          <w:rPr>
            <w:webHidden/>
          </w:rPr>
          <w:fldChar w:fldCharType="separate"/>
        </w:r>
        <w:r w:rsidR="00413C41">
          <w:rPr>
            <w:webHidden/>
          </w:rPr>
          <w:t>7</w:t>
        </w:r>
        <w:r w:rsidR="00413C41">
          <w:rPr>
            <w:webHidden/>
          </w:rPr>
          <w:fldChar w:fldCharType="end"/>
        </w:r>
      </w:hyperlink>
    </w:p>
    <w:p w14:paraId="3AA57C59" w14:textId="6D95C621" w:rsidR="00413C41" w:rsidRDefault="0070702D">
      <w:pPr>
        <w:pStyle w:val="TOC2"/>
        <w:rPr>
          <w:rFonts w:asciiTheme="minorHAnsi" w:eastAsiaTheme="minorEastAsia" w:hAnsiTheme="minorHAnsi" w:cstheme="minorBidi"/>
          <w:spacing w:val="0"/>
          <w:sz w:val="22"/>
          <w:szCs w:val="22"/>
        </w:rPr>
      </w:pPr>
      <w:hyperlink w:anchor="_Toc131603579" w:history="1">
        <w:r w:rsidR="00413C41" w:rsidRPr="00D82DE0">
          <w:rPr>
            <w:rStyle w:val="Hyperlink"/>
          </w:rPr>
          <w:t>Other considerations</w:t>
        </w:r>
        <w:r w:rsidR="00413C41">
          <w:rPr>
            <w:webHidden/>
          </w:rPr>
          <w:tab/>
        </w:r>
        <w:r w:rsidR="00413C41">
          <w:rPr>
            <w:webHidden/>
          </w:rPr>
          <w:fldChar w:fldCharType="begin"/>
        </w:r>
        <w:r w:rsidR="00413C41">
          <w:rPr>
            <w:webHidden/>
          </w:rPr>
          <w:instrText xml:space="preserve"> PAGEREF _Toc131603579 \h </w:instrText>
        </w:r>
        <w:r w:rsidR="00413C41">
          <w:rPr>
            <w:webHidden/>
          </w:rPr>
        </w:r>
        <w:r w:rsidR="00413C41">
          <w:rPr>
            <w:webHidden/>
          </w:rPr>
          <w:fldChar w:fldCharType="separate"/>
        </w:r>
        <w:r w:rsidR="00413C41">
          <w:rPr>
            <w:webHidden/>
          </w:rPr>
          <w:t>7</w:t>
        </w:r>
        <w:r w:rsidR="00413C41">
          <w:rPr>
            <w:webHidden/>
          </w:rPr>
          <w:fldChar w:fldCharType="end"/>
        </w:r>
      </w:hyperlink>
    </w:p>
    <w:p w14:paraId="79A02DEE" w14:textId="676BE015" w:rsidR="00413C41" w:rsidRDefault="0070702D">
      <w:pPr>
        <w:pStyle w:val="TOC3"/>
        <w:rPr>
          <w:rFonts w:asciiTheme="minorHAnsi" w:eastAsiaTheme="minorEastAsia" w:hAnsiTheme="minorHAnsi" w:cstheme="minorBidi"/>
        </w:rPr>
      </w:pPr>
      <w:hyperlink w:anchor="_Toc131603580" w:history="1">
        <w:r w:rsidR="00413C41" w:rsidRPr="00D82DE0">
          <w:rPr>
            <w:rStyle w:val="Hyperlink"/>
          </w:rPr>
          <w:t>Existing radiocommunications services</w:t>
        </w:r>
        <w:r w:rsidR="00413C41">
          <w:rPr>
            <w:webHidden/>
          </w:rPr>
          <w:tab/>
        </w:r>
        <w:r w:rsidR="00413C41">
          <w:rPr>
            <w:webHidden/>
          </w:rPr>
          <w:fldChar w:fldCharType="begin"/>
        </w:r>
        <w:r w:rsidR="00413C41">
          <w:rPr>
            <w:webHidden/>
          </w:rPr>
          <w:instrText xml:space="preserve"> PAGEREF _Toc131603580 \h </w:instrText>
        </w:r>
        <w:r w:rsidR="00413C41">
          <w:rPr>
            <w:webHidden/>
          </w:rPr>
        </w:r>
        <w:r w:rsidR="00413C41">
          <w:rPr>
            <w:webHidden/>
          </w:rPr>
          <w:fldChar w:fldCharType="separate"/>
        </w:r>
        <w:r w:rsidR="00413C41">
          <w:rPr>
            <w:webHidden/>
          </w:rPr>
          <w:t>7</w:t>
        </w:r>
        <w:r w:rsidR="00413C41">
          <w:rPr>
            <w:webHidden/>
          </w:rPr>
          <w:fldChar w:fldCharType="end"/>
        </w:r>
      </w:hyperlink>
    </w:p>
    <w:p w14:paraId="110F0E3B" w14:textId="657FB0B1" w:rsidR="00413C41" w:rsidRDefault="0070702D">
      <w:pPr>
        <w:pStyle w:val="TOC3"/>
        <w:rPr>
          <w:rFonts w:asciiTheme="minorHAnsi" w:eastAsiaTheme="minorEastAsia" w:hAnsiTheme="minorHAnsi" w:cstheme="minorBidi"/>
        </w:rPr>
      </w:pPr>
      <w:hyperlink w:anchor="_Toc131603581" w:history="1">
        <w:r w:rsidR="00413C41" w:rsidRPr="00D82DE0">
          <w:rPr>
            <w:rStyle w:val="Hyperlink"/>
          </w:rPr>
          <w:t>Interference that the technical framework does not prevent</w:t>
        </w:r>
        <w:r w:rsidR="00413C41">
          <w:rPr>
            <w:webHidden/>
          </w:rPr>
          <w:tab/>
        </w:r>
        <w:r w:rsidR="00413C41">
          <w:rPr>
            <w:webHidden/>
          </w:rPr>
          <w:fldChar w:fldCharType="begin"/>
        </w:r>
        <w:r w:rsidR="00413C41">
          <w:rPr>
            <w:webHidden/>
          </w:rPr>
          <w:instrText xml:space="preserve"> PAGEREF _Toc131603581 \h </w:instrText>
        </w:r>
        <w:r w:rsidR="00413C41">
          <w:rPr>
            <w:webHidden/>
          </w:rPr>
        </w:r>
        <w:r w:rsidR="00413C41">
          <w:rPr>
            <w:webHidden/>
          </w:rPr>
          <w:fldChar w:fldCharType="separate"/>
        </w:r>
        <w:r w:rsidR="00413C41">
          <w:rPr>
            <w:webHidden/>
          </w:rPr>
          <w:t>7</w:t>
        </w:r>
        <w:r w:rsidR="00413C41">
          <w:rPr>
            <w:webHidden/>
          </w:rPr>
          <w:fldChar w:fldCharType="end"/>
        </w:r>
      </w:hyperlink>
    </w:p>
    <w:p w14:paraId="09A1B033" w14:textId="2FF2A773" w:rsidR="00413C41" w:rsidRDefault="0070702D">
      <w:pPr>
        <w:pStyle w:val="TOC3"/>
        <w:rPr>
          <w:rFonts w:asciiTheme="minorHAnsi" w:eastAsiaTheme="minorEastAsia" w:hAnsiTheme="minorHAnsi" w:cstheme="minorBidi"/>
        </w:rPr>
      </w:pPr>
      <w:hyperlink w:anchor="_Toc131603582" w:history="1">
        <w:r w:rsidR="00413C41" w:rsidRPr="00D82DE0">
          <w:rPr>
            <w:rStyle w:val="Hyperlink"/>
          </w:rPr>
          <w:t>Defence use of the spectrum</w:t>
        </w:r>
        <w:r w:rsidR="00413C41">
          <w:rPr>
            <w:webHidden/>
          </w:rPr>
          <w:tab/>
        </w:r>
        <w:r w:rsidR="00413C41">
          <w:rPr>
            <w:webHidden/>
          </w:rPr>
          <w:fldChar w:fldCharType="begin"/>
        </w:r>
        <w:r w:rsidR="00413C41">
          <w:rPr>
            <w:webHidden/>
          </w:rPr>
          <w:instrText xml:space="preserve"> PAGEREF _Toc131603582 \h </w:instrText>
        </w:r>
        <w:r w:rsidR="00413C41">
          <w:rPr>
            <w:webHidden/>
          </w:rPr>
        </w:r>
        <w:r w:rsidR="00413C41">
          <w:rPr>
            <w:webHidden/>
          </w:rPr>
          <w:fldChar w:fldCharType="separate"/>
        </w:r>
        <w:r w:rsidR="00413C41">
          <w:rPr>
            <w:webHidden/>
          </w:rPr>
          <w:t>8</w:t>
        </w:r>
        <w:r w:rsidR="00413C41">
          <w:rPr>
            <w:webHidden/>
          </w:rPr>
          <w:fldChar w:fldCharType="end"/>
        </w:r>
      </w:hyperlink>
    </w:p>
    <w:p w14:paraId="1AF141F0" w14:textId="02551939" w:rsidR="00413C41" w:rsidRDefault="0070702D">
      <w:pPr>
        <w:pStyle w:val="TOC3"/>
        <w:rPr>
          <w:rFonts w:asciiTheme="minorHAnsi" w:eastAsiaTheme="minorEastAsia" w:hAnsiTheme="minorHAnsi" w:cstheme="minorBidi"/>
        </w:rPr>
      </w:pPr>
      <w:hyperlink w:anchor="_Toc131603583" w:history="1">
        <w:r w:rsidR="00413C41" w:rsidRPr="00D82DE0">
          <w:rPr>
            <w:rStyle w:val="Hyperlink"/>
          </w:rPr>
          <w:t>Coexistence of spectrum licences with class licences or apparatus licences</w:t>
        </w:r>
        <w:r w:rsidR="00413C41">
          <w:rPr>
            <w:webHidden/>
          </w:rPr>
          <w:tab/>
        </w:r>
        <w:r w:rsidR="00413C41">
          <w:rPr>
            <w:webHidden/>
          </w:rPr>
          <w:fldChar w:fldCharType="begin"/>
        </w:r>
        <w:r w:rsidR="00413C41">
          <w:rPr>
            <w:webHidden/>
          </w:rPr>
          <w:instrText xml:space="preserve"> PAGEREF _Toc131603583 \h </w:instrText>
        </w:r>
        <w:r w:rsidR="00413C41">
          <w:rPr>
            <w:webHidden/>
          </w:rPr>
        </w:r>
        <w:r w:rsidR="00413C41">
          <w:rPr>
            <w:webHidden/>
          </w:rPr>
          <w:fldChar w:fldCharType="separate"/>
        </w:r>
        <w:r w:rsidR="00413C41">
          <w:rPr>
            <w:webHidden/>
          </w:rPr>
          <w:t>8</w:t>
        </w:r>
        <w:r w:rsidR="00413C41">
          <w:rPr>
            <w:webHidden/>
          </w:rPr>
          <w:fldChar w:fldCharType="end"/>
        </w:r>
      </w:hyperlink>
    </w:p>
    <w:p w14:paraId="347B4A83" w14:textId="2CDCE46C" w:rsidR="00413C41" w:rsidRDefault="0070702D">
      <w:pPr>
        <w:pStyle w:val="TOC1"/>
        <w:rPr>
          <w:rFonts w:asciiTheme="minorHAnsi" w:eastAsiaTheme="minorEastAsia" w:hAnsiTheme="minorHAnsi" w:cstheme="minorBidi"/>
          <w:b w:val="0"/>
          <w:spacing w:val="0"/>
          <w:sz w:val="22"/>
          <w:szCs w:val="22"/>
        </w:rPr>
      </w:pPr>
      <w:hyperlink w:anchor="_Toc131603584" w:history="1">
        <w:r w:rsidR="00413C41" w:rsidRPr="00D82DE0">
          <w:rPr>
            <w:rStyle w:val="Hyperlink"/>
          </w:rPr>
          <w:t>Statutory licence conditions</w:t>
        </w:r>
        <w:r w:rsidR="00413C41">
          <w:rPr>
            <w:webHidden/>
          </w:rPr>
          <w:tab/>
        </w:r>
        <w:r w:rsidR="00413C41">
          <w:rPr>
            <w:webHidden/>
          </w:rPr>
          <w:fldChar w:fldCharType="begin"/>
        </w:r>
        <w:r w:rsidR="00413C41">
          <w:rPr>
            <w:webHidden/>
          </w:rPr>
          <w:instrText xml:space="preserve"> PAGEREF _Toc131603584 \h </w:instrText>
        </w:r>
        <w:r w:rsidR="00413C41">
          <w:rPr>
            <w:webHidden/>
          </w:rPr>
        </w:r>
        <w:r w:rsidR="00413C41">
          <w:rPr>
            <w:webHidden/>
          </w:rPr>
          <w:fldChar w:fldCharType="separate"/>
        </w:r>
        <w:r w:rsidR="00413C41">
          <w:rPr>
            <w:webHidden/>
          </w:rPr>
          <w:t>9</w:t>
        </w:r>
        <w:r w:rsidR="00413C41">
          <w:rPr>
            <w:webHidden/>
          </w:rPr>
          <w:fldChar w:fldCharType="end"/>
        </w:r>
      </w:hyperlink>
    </w:p>
    <w:p w14:paraId="78E65183" w14:textId="050B16BA" w:rsidR="00413C41" w:rsidRDefault="0070702D">
      <w:pPr>
        <w:pStyle w:val="TOC2"/>
        <w:rPr>
          <w:rFonts w:asciiTheme="minorHAnsi" w:eastAsiaTheme="minorEastAsia" w:hAnsiTheme="minorHAnsi" w:cstheme="minorBidi"/>
          <w:spacing w:val="0"/>
          <w:sz w:val="22"/>
          <w:szCs w:val="22"/>
        </w:rPr>
      </w:pPr>
      <w:hyperlink w:anchor="_Toc131603585" w:history="1">
        <w:r w:rsidR="00413C41" w:rsidRPr="00D82DE0">
          <w:rPr>
            <w:rStyle w:val="Hyperlink"/>
          </w:rPr>
          <w:t>Spectrum licence taxes and charges</w:t>
        </w:r>
        <w:r w:rsidR="00413C41">
          <w:rPr>
            <w:webHidden/>
          </w:rPr>
          <w:tab/>
        </w:r>
        <w:r w:rsidR="00413C41">
          <w:rPr>
            <w:webHidden/>
          </w:rPr>
          <w:fldChar w:fldCharType="begin"/>
        </w:r>
        <w:r w:rsidR="00413C41">
          <w:rPr>
            <w:webHidden/>
          </w:rPr>
          <w:instrText xml:space="preserve"> PAGEREF _Toc131603585 \h </w:instrText>
        </w:r>
        <w:r w:rsidR="00413C41">
          <w:rPr>
            <w:webHidden/>
          </w:rPr>
        </w:r>
        <w:r w:rsidR="00413C41">
          <w:rPr>
            <w:webHidden/>
          </w:rPr>
          <w:fldChar w:fldCharType="separate"/>
        </w:r>
        <w:r w:rsidR="00413C41">
          <w:rPr>
            <w:webHidden/>
          </w:rPr>
          <w:t>9</w:t>
        </w:r>
        <w:r w:rsidR="00413C41">
          <w:rPr>
            <w:webHidden/>
          </w:rPr>
          <w:fldChar w:fldCharType="end"/>
        </w:r>
      </w:hyperlink>
    </w:p>
    <w:p w14:paraId="36D20B32" w14:textId="50063005" w:rsidR="00413C41" w:rsidRDefault="0070702D">
      <w:pPr>
        <w:pStyle w:val="TOC2"/>
        <w:rPr>
          <w:rFonts w:asciiTheme="minorHAnsi" w:eastAsiaTheme="minorEastAsia" w:hAnsiTheme="minorHAnsi" w:cstheme="minorBidi"/>
          <w:spacing w:val="0"/>
          <w:sz w:val="22"/>
          <w:szCs w:val="22"/>
        </w:rPr>
      </w:pPr>
      <w:hyperlink w:anchor="_Toc131603586" w:history="1">
        <w:r w:rsidR="00413C41" w:rsidRPr="00D82DE0">
          <w:rPr>
            <w:rStyle w:val="Hyperlink"/>
          </w:rPr>
          <w:t>Authorisation of third parties</w:t>
        </w:r>
        <w:r w:rsidR="00413C41">
          <w:rPr>
            <w:webHidden/>
          </w:rPr>
          <w:tab/>
        </w:r>
        <w:r w:rsidR="00413C41">
          <w:rPr>
            <w:webHidden/>
          </w:rPr>
          <w:fldChar w:fldCharType="begin"/>
        </w:r>
        <w:r w:rsidR="00413C41">
          <w:rPr>
            <w:webHidden/>
          </w:rPr>
          <w:instrText xml:space="preserve"> PAGEREF _Toc131603586 \h </w:instrText>
        </w:r>
        <w:r w:rsidR="00413C41">
          <w:rPr>
            <w:webHidden/>
          </w:rPr>
        </w:r>
        <w:r w:rsidR="00413C41">
          <w:rPr>
            <w:webHidden/>
          </w:rPr>
          <w:fldChar w:fldCharType="separate"/>
        </w:r>
        <w:r w:rsidR="00413C41">
          <w:rPr>
            <w:webHidden/>
          </w:rPr>
          <w:t>9</w:t>
        </w:r>
        <w:r w:rsidR="00413C41">
          <w:rPr>
            <w:webHidden/>
          </w:rPr>
          <w:fldChar w:fldCharType="end"/>
        </w:r>
      </w:hyperlink>
    </w:p>
    <w:p w14:paraId="330459B4" w14:textId="66C015A2" w:rsidR="00413C41" w:rsidRDefault="0070702D">
      <w:pPr>
        <w:pStyle w:val="TOC2"/>
        <w:rPr>
          <w:rFonts w:asciiTheme="minorHAnsi" w:eastAsiaTheme="minorEastAsia" w:hAnsiTheme="minorHAnsi" w:cstheme="minorBidi"/>
          <w:spacing w:val="0"/>
          <w:sz w:val="22"/>
          <w:szCs w:val="22"/>
        </w:rPr>
      </w:pPr>
      <w:hyperlink w:anchor="_Toc131603587" w:history="1">
        <w:r w:rsidR="00413C41" w:rsidRPr="00D82DE0">
          <w:rPr>
            <w:rStyle w:val="Hyperlink"/>
          </w:rPr>
          <w:t>Registration requirements for radiocommunications devices</w:t>
        </w:r>
        <w:r w:rsidR="00413C41">
          <w:rPr>
            <w:webHidden/>
          </w:rPr>
          <w:tab/>
        </w:r>
        <w:r w:rsidR="00413C41">
          <w:rPr>
            <w:webHidden/>
          </w:rPr>
          <w:fldChar w:fldCharType="begin"/>
        </w:r>
        <w:r w:rsidR="00413C41">
          <w:rPr>
            <w:webHidden/>
          </w:rPr>
          <w:instrText xml:space="preserve"> PAGEREF _Toc131603587 \h </w:instrText>
        </w:r>
        <w:r w:rsidR="00413C41">
          <w:rPr>
            <w:webHidden/>
          </w:rPr>
        </w:r>
        <w:r w:rsidR="00413C41">
          <w:rPr>
            <w:webHidden/>
          </w:rPr>
          <w:fldChar w:fldCharType="separate"/>
        </w:r>
        <w:r w:rsidR="00413C41">
          <w:rPr>
            <w:webHidden/>
          </w:rPr>
          <w:t>10</w:t>
        </w:r>
        <w:r w:rsidR="00413C41">
          <w:rPr>
            <w:webHidden/>
          </w:rPr>
          <w:fldChar w:fldCharType="end"/>
        </w:r>
      </w:hyperlink>
    </w:p>
    <w:p w14:paraId="48F20E61" w14:textId="0E883E69" w:rsidR="00413C41" w:rsidRDefault="0070702D">
      <w:pPr>
        <w:pStyle w:val="TOC3"/>
        <w:rPr>
          <w:rFonts w:asciiTheme="minorHAnsi" w:eastAsiaTheme="minorEastAsia" w:hAnsiTheme="minorHAnsi" w:cstheme="minorBidi"/>
        </w:rPr>
      </w:pPr>
      <w:hyperlink w:anchor="_Toc131603588" w:history="1">
        <w:r w:rsidR="00413C41" w:rsidRPr="00D82DE0">
          <w:rPr>
            <w:rStyle w:val="Hyperlink"/>
          </w:rPr>
          <w:t>Devices exempt from registration</w:t>
        </w:r>
        <w:r w:rsidR="00413C41">
          <w:rPr>
            <w:webHidden/>
          </w:rPr>
          <w:tab/>
        </w:r>
        <w:r w:rsidR="00413C41">
          <w:rPr>
            <w:webHidden/>
          </w:rPr>
          <w:fldChar w:fldCharType="begin"/>
        </w:r>
        <w:r w:rsidR="00413C41">
          <w:rPr>
            <w:webHidden/>
          </w:rPr>
          <w:instrText xml:space="preserve"> PAGEREF _Toc131603588 \h </w:instrText>
        </w:r>
        <w:r w:rsidR="00413C41">
          <w:rPr>
            <w:webHidden/>
          </w:rPr>
        </w:r>
        <w:r w:rsidR="00413C41">
          <w:rPr>
            <w:webHidden/>
          </w:rPr>
          <w:fldChar w:fldCharType="separate"/>
        </w:r>
        <w:r w:rsidR="00413C41">
          <w:rPr>
            <w:webHidden/>
          </w:rPr>
          <w:t>10</w:t>
        </w:r>
        <w:r w:rsidR="00413C41">
          <w:rPr>
            <w:webHidden/>
          </w:rPr>
          <w:fldChar w:fldCharType="end"/>
        </w:r>
      </w:hyperlink>
    </w:p>
    <w:p w14:paraId="091E7DBA" w14:textId="494CC767" w:rsidR="00413C41" w:rsidRDefault="0070702D">
      <w:pPr>
        <w:pStyle w:val="TOC2"/>
        <w:rPr>
          <w:rFonts w:asciiTheme="minorHAnsi" w:eastAsiaTheme="minorEastAsia" w:hAnsiTheme="minorHAnsi" w:cstheme="minorBidi"/>
          <w:spacing w:val="0"/>
          <w:sz w:val="22"/>
          <w:szCs w:val="22"/>
        </w:rPr>
      </w:pPr>
      <w:hyperlink w:anchor="_Toc131603589" w:history="1">
        <w:r w:rsidR="00413C41" w:rsidRPr="00D82DE0">
          <w:rPr>
            <w:rStyle w:val="Hyperlink"/>
          </w:rPr>
          <w:t>Residency or permanent establishment requirements</w:t>
        </w:r>
        <w:r w:rsidR="00413C41">
          <w:rPr>
            <w:webHidden/>
          </w:rPr>
          <w:tab/>
        </w:r>
        <w:r w:rsidR="00413C41">
          <w:rPr>
            <w:webHidden/>
          </w:rPr>
          <w:fldChar w:fldCharType="begin"/>
        </w:r>
        <w:r w:rsidR="00413C41">
          <w:rPr>
            <w:webHidden/>
          </w:rPr>
          <w:instrText xml:space="preserve"> PAGEREF _Toc131603589 \h </w:instrText>
        </w:r>
        <w:r w:rsidR="00413C41">
          <w:rPr>
            <w:webHidden/>
          </w:rPr>
        </w:r>
        <w:r w:rsidR="00413C41">
          <w:rPr>
            <w:webHidden/>
          </w:rPr>
          <w:fldChar w:fldCharType="separate"/>
        </w:r>
        <w:r w:rsidR="00413C41">
          <w:rPr>
            <w:webHidden/>
          </w:rPr>
          <w:t>10</w:t>
        </w:r>
        <w:r w:rsidR="00413C41">
          <w:rPr>
            <w:webHidden/>
          </w:rPr>
          <w:fldChar w:fldCharType="end"/>
        </w:r>
      </w:hyperlink>
    </w:p>
    <w:p w14:paraId="71C9FDEB" w14:textId="6BB991D2" w:rsidR="00413C41" w:rsidRDefault="0070702D">
      <w:pPr>
        <w:pStyle w:val="TOC1"/>
        <w:rPr>
          <w:rFonts w:asciiTheme="minorHAnsi" w:eastAsiaTheme="minorEastAsia" w:hAnsiTheme="minorHAnsi" w:cstheme="minorBidi"/>
          <w:b w:val="0"/>
          <w:spacing w:val="0"/>
          <w:sz w:val="22"/>
          <w:szCs w:val="22"/>
        </w:rPr>
      </w:pPr>
      <w:hyperlink w:anchor="_Toc131603590" w:history="1">
        <w:r w:rsidR="00413C41" w:rsidRPr="00D82DE0">
          <w:rPr>
            <w:rStyle w:val="Hyperlink"/>
          </w:rPr>
          <w:t>Other conditions on a spectrum licence</w:t>
        </w:r>
        <w:r w:rsidR="00413C41">
          <w:rPr>
            <w:webHidden/>
          </w:rPr>
          <w:tab/>
        </w:r>
        <w:r w:rsidR="00413C41">
          <w:rPr>
            <w:webHidden/>
          </w:rPr>
          <w:fldChar w:fldCharType="begin"/>
        </w:r>
        <w:r w:rsidR="00413C41">
          <w:rPr>
            <w:webHidden/>
          </w:rPr>
          <w:instrText xml:space="preserve"> PAGEREF _Toc131603590 \h </w:instrText>
        </w:r>
        <w:r w:rsidR="00413C41">
          <w:rPr>
            <w:webHidden/>
          </w:rPr>
        </w:r>
        <w:r w:rsidR="00413C41">
          <w:rPr>
            <w:webHidden/>
          </w:rPr>
          <w:fldChar w:fldCharType="separate"/>
        </w:r>
        <w:r w:rsidR="00413C41">
          <w:rPr>
            <w:webHidden/>
          </w:rPr>
          <w:t>11</w:t>
        </w:r>
        <w:r w:rsidR="00413C41">
          <w:rPr>
            <w:webHidden/>
          </w:rPr>
          <w:fldChar w:fldCharType="end"/>
        </w:r>
      </w:hyperlink>
    </w:p>
    <w:p w14:paraId="6D1F06CC" w14:textId="40EA51BB" w:rsidR="00413C41" w:rsidRDefault="0070702D">
      <w:pPr>
        <w:pStyle w:val="TOC2"/>
        <w:rPr>
          <w:rFonts w:asciiTheme="minorHAnsi" w:eastAsiaTheme="minorEastAsia" w:hAnsiTheme="minorHAnsi" w:cstheme="minorBidi"/>
          <w:spacing w:val="0"/>
          <w:sz w:val="22"/>
          <w:szCs w:val="22"/>
        </w:rPr>
      </w:pPr>
      <w:hyperlink w:anchor="_Toc131603591" w:history="1">
        <w:r w:rsidR="00413C41" w:rsidRPr="00D82DE0">
          <w:rPr>
            <w:rStyle w:val="Hyperlink"/>
          </w:rPr>
          <w:t>Managing interference between co-sited devices</w:t>
        </w:r>
        <w:r w:rsidR="00413C41">
          <w:rPr>
            <w:webHidden/>
          </w:rPr>
          <w:tab/>
        </w:r>
        <w:r w:rsidR="00413C41">
          <w:rPr>
            <w:webHidden/>
          </w:rPr>
          <w:fldChar w:fldCharType="begin"/>
        </w:r>
        <w:r w:rsidR="00413C41">
          <w:rPr>
            <w:webHidden/>
          </w:rPr>
          <w:instrText xml:space="preserve"> PAGEREF _Toc131603591 \h </w:instrText>
        </w:r>
        <w:r w:rsidR="00413C41">
          <w:rPr>
            <w:webHidden/>
          </w:rPr>
        </w:r>
        <w:r w:rsidR="00413C41">
          <w:rPr>
            <w:webHidden/>
          </w:rPr>
          <w:fldChar w:fldCharType="separate"/>
        </w:r>
        <w:r w:rsidR="00413C41">
          <w:rPr>
            <w:webHidden/>
          </w:rPr>
          <w:t>11</w:t>
        </w:r>
        <w:r w:rsidR="00413C41">
          <w:rPr>
            <w:webHidden/>
          </w:rPr>
          <w:fldChar w:fldCharType="end"/>
        </w:r>
      </w:hyperlink>
    </w:p>
    <w:p w14:paraId="5A54A5A3" w14:textId="6B964095" w:rsidR="00413C41" w:rsidRDefault="0070702D">
      <w:pPr>
        <w:pStyle w:val="TOC2"/>
        <w:rPr>
          <w:rFonts w:asciiTheme="minorHAnsi" w:eastAsiaTheme="minorEastAsia" w:hAnsiTheme="minorHAnsi" w:cstheme="minorBidi"/>
          <w:spacing w:val="0"/>
          <w:sz w:val="22"/>
          <w:szCs w:val="22"/>
        </w:rPr>
      </w:pPr>
      <w:hyperlink w:anchor="_Toc131603592" w:history="1">
        <w:r w:rsidR="00413C41" w:rsidRPr="00D82DE0">
          <w:rPr>
            <w:rStyle w:val="Hyperlink"/>
          </w:rPr>
          <w:t>Electromagnetic energy (EME) requirements</w:t>
        </w:r>
        <w:r w:rsidR="00413C41">
          <w:rPr>
            <w:webHidden/>
          </w:rPr>
          <w:tab/>
        </w:r>
        <w:r w:rsidR="00413C41">
          <w:rPr>
            <w:webHidden/>
          </w:rPr>
          <w:fldChar w:fldCharType="begin"/>
        </w:r>
        <w:r w:rsidR="00413C41">
          <w:rPr>
            <w:webHidden/>
          </w:rPr>
          <w:instrText xml:space="preserve"> PAGEREF _Toc131603592 \h </w:instrText>
        </w:r>
        <w:r w:rsidR="00413C41">
          <w:rPr>
            <w:webHidden/>
          </w:rPr>
        </w:r>
        <w:r w:rsidR="00413C41">
          <w:rPr>
            <w:webHidden/>
          </w:rPr>
          <w:fldChar w:fldCharType="separate"/>
        </w:r>
        <w:r w:rsidR="00413C41">
          <w:rPr>
            <w:webHidden/>
          </w:rPr>
          <w:t>11</w:t>
        </w:r>
        <w:r w:rsidR="00413C41">
          <w:rPr>
            <w:webHidden/>
          </w:rPr>
          <w:fldChar w:fldCharType="end"/>
        </w:r>
      </w:hyperlink>
    </w:p>
    <w:p w14:paraId="7C633CD9" w14:textId="690D57F0" w:rsidR="00413C41" w:rsidRDefault="0070702D">
      <w:pPr>
        <w:pStyle w:val="TOC2"/>
        <w:rPr>
          <w:rFonts w:asciiTheme="minorHAnsi" w:eastAsiaTheme="minorEastAsia" w:hAnsiTheme="minorHAnsi" w:cstheme="minorBidi"/>
          <w:spacing w:val="0"/>
          <w:sz w:val="22"/>
          <w:szCs w:val="22"/>
        </w:rPr>
      </w:pPr>
      <w:hyperlink w:anchor="_Toc131603593" w:history="1">
        <w:r w:rsidR="00413C41" w:rsidRPr="00D82DE0">
          <w:rPr>
            <w:rStyle w:val="Hyperlink"/>
          </w:rPr>
          <w:t>Protection of the Australian Radio Quiet Zone Western Australia</w:t>
        </w:r>
        <w:r w:rsidR="00413C41">
          <w:rPr>
            <w:webHidden/>
          </w:rPr>
          <w:tab/>
        </w:r>
        <w:r w:rsidR="00413C41">
          <w:rPr>
            <w:webHidden/>
          </w:rPr>
          <w:fldChar w:fldCharType="begin"/>
        </w:r>
        <w:r w:rsidR="00413C41">
          <w:rPr>
            <w:webHidden/>
          </w:rPr>
          <w:instrText xml:space="preserve"> PAGEREF _Toc131603593 \h </w:instrText>
        </w:r>
        <w:r w:rsidR="00413C41">
          <w:rPr>
            <w:webHidden/>
          </w:rPr>
        </w:r>
        <w:r w:rsidR="00413C41">
          <w:rPr>
            <w:webHidden/>
          </w:rPr>
          <w:fldChar w:fldCharType="separate"/>
        </w:r>
        <w:r w:rsidR="00413C41">
          <w:rPr>
            <w:webHidden/>
          </w:rPr>
          <w:t>12</w:t>
        </w:r>
        <w:r w:rsidR="00413C41">
          <w:rPr>
            <w:webHidden/>
          </w:rPr>
          <w:fldChar w:fldCharType="end"/>
        </w:r>
      </w:hyperlink>
    </w:p>
    <w:p w14:paraId="06223A7C" w14:textId="0EE0061E" w:rsidR="00413C41" w:rsidRDefault="0070702D">
      <w:pPr>
        <w:pStyle w:val="TOC2"/>
        <w:rPr>
          <w:rFonts w:asciiTheme="minorHAnsi" w:eastAsiaTheme="minorEastAsia" w:hAnsiTheme="minorHAnsi" w:cstheme="minorBidi"/>
          <w:spacing w:val="0"/>
          <w:sz w:val="22"/>
          <w:szCs w:val="22"/>
        </w:rPr>
      </w:pPr>
      <w:hyperlink w:anchor="_Toc131603594" w:history="1">
        <w:r w:rsidR="00413C41" w:rsidRPr="00D82DE0">
          <w:rPr>
            <w:rStyle w:val="Hyperlink"/>
          </w:rPr>
          <w:t>International coordination</w:t>
        </w:r>
        <w:r w:rsidR="00413C41">
          <w:rPr>
            <w:webHidden/>
          </w:rPr>
          <w:tab/>
        </w:r>
        <w:r w:rsidR="00413C41">
          <w:rPr>
            <w:webHidden/>
          </w:rPr>
          <w:fldChar w:fldCharType="begin"/>
        </w:r>
        <w:r w:rsidR="00413C41">
          <w:rPr>
            <w:webHidden/>
          </w:rPr>
          <w:instrText xml:space="preserve"> PAGEREF _Toc131603594 \h </w:instrText>
        </w:r>
        <w:r w:rsidR="00413C41">
          <w:rPr>
            <w:webHidden/>
          </w:rPr>
        </w:r>
        <w:r w:rsidR="00413C41">
          <w:rPr>
            <w:webHidden/>
          </w:rPr>
          <w:fldChar w:fldCharType="separate"/>
        </w:r>
        <w:r w:rsidR="00413C41">
          <w:rPr>
            <w:webHidden/>
          </w:rPr>
          <w:t>12</w:t>
        </w:r>
        <w:r w:rsidR="00413C41">
          <w:rPr>
            <w:webHidden/>
          </w:rPr>
          <w:fldChar w:fldCharType="end"/>
        </w:r>
      </w:hyperlink>
    </w:p>
    <w:p w14:paraId="6A2A5F04" w14:textId="5FCD379E" w:rsidR="00413C41" w:rsidRDefault="0070702D">
      <w:pPr>
        <w:pStyle w:val="TOC1"/>
        <w:rPr>
          <w:rFonts w:asciiTheme="minorHAnsi" w:eastAsiaTheme="minorEastAsia" w:hAnsiTheme="minorHAnsi" w:cstheme="minorBidi"/>
          <w:b w:val="0"/>
          <w:spacing w:val="0"/>
          <w:sz w:val="22"/>
          <w:szCs w:val="22"/>
        </w:rPr>
      </w:pPr>
      <w:hyperlink w:anchor="_Toc131603595" w:history="1">
        <w:r w:rsidR="00413C41" w:rsidRPr="00D82DE0">
          <w:rPr>
            <w:rStyle w:val="Hyperlink"/>
          </w:rPr>
          <w:t>Deploying devices using your spectrum licence</w:t>
        </w:r>
        <w:r w:rsidR="00413C41">
          <w:rPr>
            <w:webHidden/>
          </w:rPr>
          <w:tab/>
        </w:r>
        <w:r w:rsidR="00413C41">
          <w:rPr>
            <w:webHidden/>
          </w:rPr>
          <w:fldChar w:fldCharType="begin"/>
        </w:r>
        <w:r w:rsidR="00413C41">
          <w:rPr>
            <w:webHidden/>
          </w:rPr>
          <w:instrText xml:space="preserve"> PAGEREF _Toc131603595 \h </w:instrText>
        </w:r>
        <w:r w:rsidR="00413C41">
          <w:rPr>
            <w:webHidden/>
          </w:rPr>
        </w:r>
        <w:r w:rsidR="00413C41">
          <w:rPr>
            <w:webHidden/>
          </w:rPr>
          <w:fldChar w:fldCharType="separate"/>
        </w:r>
        <w:r w:rsidR="00413C41">
          <w:rPr>
            <w:webHidden/>
          </w:rPr>
          <w:t>13</w:t>
        </w:r>
        <w:r w:rsidR="00413C41">
          <w:rPr>
            <w:webHidden/>
          </w:rPr>
          <w:fldChar w:fldCharType="end"/>
        </w:r>
      </w:hyperlink>
    </w:p>
    <w:p w14:paraId="768C1097" w14:textId="00528BB8" w:rsidR="00413C41" w:rsidRDefault="0070702D">
      <w:pPr>
        <w:pStyle w:val="TOC2"/>
        <w:rPr>
          <w:rFonts w:asciiTheme="minorHAnsi" w:eastAsiaTheme="minorEastAsia" w:hAnsiTheme="minorHAnsi" w:cstheme="minorBidi"/>
          <w:spacing w:val="0"/>
          <w:sz w:val="22"/>
          <w:szCs w:val="22"/>
        </w:rPr>
      </w:pPr>
      <w:hyperlink w:anchor="_Toc131603596" w:history="1">
        <w:r w:rsidR="00413C41" w:rsidRPr="00D82DE0">
          <w:rPr>
            <w:rStyle w:val="Hyperlink"/>
          </w:rPr>
          <w:t>Registering your radiocommunications devices</w:t>
        </w:r>
        <w:r w:rsidR="00413C41">
          <w:rPr>
            <w:webHidden/>
          </w:rPr>
          <w:tab/>
        </w:r>
        <w:r w:rsidR="00413C41">
          <w:rPr>
            <w:webHidden/>
          </w:rPr>
          <w:fldChar w:fldCharType="begin"/>
        </w:r>
        <w:r w:rsidR="00413C41">
          <w:rPr>
            <w:webHidden/>
          </w:rPr>
          <w:instrText xml:space="preserve"> PAGEREF _Toc131603596 \h </w:instrText>
        </w:r>
        <w:r w:rsidR="00413C41">
          <w:rPr>
            <w:webHidden/>
          </w:rPr>
        </w:r>
        <w:r w:rsidR="00413C41">
          <w:rPr>
            <w:webHidden/>
          </w:rPr>
          <w:fldChar w:fldCharType="separate"/>
        </w:r>
        <w:r w:rsidR="00413C41">
          <w:rPr>
            <w:webHidden/>
          </w:rPr>
          <w:t>13</w:t>
        </w:r>
        <w:r w:rsidR="00413C41">
          <w:rPr>
            <w:webHidden/>
          </w:rPr>
          <w:fldChar w:fldCharType="end"/>
        </w:r>
      </w:hyperlink>
    </w:p>
    <w:p w14:paraId="76655F86" w14:textId="6D84B738" w:rsidR="00413C41" w:rsidRDefault="0070702D">
      <w:pPr>
        <w:pStyle w:val="TOC3"/>
        <w:rPr>
          <w:rFonts w:asciiTheme="minorHAnsi" w:eastAsiaTheme="minorEastAsia" w:hAnsiTheme="minorHAnsi" w:cstheme="minorBidi"/>
        </w:rPr>
      </w:pPr>
      <w:hyperlink w:anchor="_Toc131603597" w:history="1">
        <w:r w:rsidR="00413C41" w:rsidRPr="00D82DE0">
          <w:rPr>
            <w:rStyle w:val="Hyperlink"/>
          </w:rPr>
          <w:t>Interference impact certificates</w:t>
        </w:r>
        <w:r w:rsidR="00413C41">
          <w:rPr>
            <w:webHidden/>
          </w:rPr>
          <w:tab/>
        </w:r>
        <w:r w:rsidR="00413C41">
          <w:rPr>
            <w:webHidden/>
          </w:rPr>
          <w:fldChar w:fldCharType="begin"/>
        </w:r>
        <w:r w:rsidR="00413C41">
          <w:rPr>
            <w:webHidden/>
          </w:rPr>
          <w:instrText xml:space="preserve"> PAGEREF _Toc131603597 \h </w:instrText>
        </w:r>
        <w:r w:rsidR="00413C41">
          <w:rPr>
            <w:webHidden/>
          </w:rPr>
        </w:r>
        <w:r w:rsidR="00413C41">
          <w:rPr>
            <w:webHidden/>
          </w:rPr>
          <w:fldChar w:fldCharType="separate"/>
        </w:r>
        <w:r w:rsidR="00413C41">
          <w:rPr>
            <w:webHidden/>
          </w:rPr>
          <w:t>13</w:t>
        </w:r>
        <w:r w:rsidR="00413C41">
          <w:rPr>
            <w:webHidden/>
          </w:rPr>
          <w:fldChar w:fldCharType="end"/>
        </w:r>
      </w:hyperlink>
    </w:p>
    <w:p w14:paraId="2A0E7C76" w14:textId="076819A8" w:rsidR="00413C41" w:rsidRDefault="0070702D">
      <w:pPr>
        <w:pStyle w:val="TOC3"/>
        <w:rPr>
          <w:rFonts w:asciiTheme="minorHAnsi" w:eastAsiaTheme="minorEastAsia" w:hAnsiTheme="minorHAnsi" w:cstheme="minorBidi"/>
        </w:rPr>
      </w:pPr>
      <w:hyperlink w:anchor="_Toc131603598" w:history="1">
        <w:r w:rsidR="00413C41" w:rsidRPr="00D82DE0">
          <w:rPr>
            <w:rStyle w:val="Hyperlink"/>
          </w:rPr>
          <w:t>Registration for groups of transmitters and receivers</w:t>
        </w:r>
        <w:r w:rsidR="00413C41">
          <w:rPr>
            <w:webHidden/>
          </w:rPr>
          <w:tab/>
        </w:r>
        <w:r w:rsidR="00413C41">
          <w:rPr>
            <w:webHidden/>
          </w:rPr>
          <w:fldChar w:fldCharType="begin"/>
        </w:r>
        <w:r w:rsidR="00413C41">
          <w:rPr>
            <w:webHidden/>
          </w:rPr>
          <w:instrText xml:space="preserve"> PAGEREF _Toc131603598 \h </w:instrText>
        </w:r>
        <w:r w:rsidR="00413C41">
          <w:rPr>
            <w:webHidden/>
          </w:rPr>
        </w:r>
        <w:r w:rsidR="00413C41">
          <w:rPr>
            <w:webHidden/>
          </w:rPr>
          <w:fldChar w:fldCharType="separate"/>
        </w:r>
        <w:r w:rsidR="00413C41">
          <w:rPr>
            <w:webHidden/>
          </w:rPr>
          <w:t>14</w:t>
        </w:r>
        <w:r w:rsidR="00413C41">
          <w:rPr>
            <w:webHidden/>
          </w:rPr>
          <w:fldChar w:fldCharType="end"/>
        </w:r>
      </w:hyperlink>
    </w:p>
    <w:p w14:paraId="08C97A2F" w14:textId="4F1DA1A6" w:rsidR="00413C41" w:rsidRDefault="0070702D">
      <w:pPr>
        <w:pStyle w:val="TOC3"/>
        <w:rPr>
          <w:rFonts w:asciiTheme="minorHAnsi" w:eastAsiaTheme="minorEastAsia" w:hAnsiTheme="minorHAnsi" w:cstheme="minorBidi"/>
        </w:rPr>
      </w:pPr>
      <w:hyperlink w:anchor="_Toc131603599" w:history="1">
        <w:r w:rsidR="00413C41" w:rsidRPr="00D82DE0">
          <w:rPr>
            <w:rStyle w:val="Hyperlink"/>
          </w:rPr>
          <w:t>Core conditions agreements</w:t>
        </w:r>
        <w:r w:rsidR="00413C41">
          <w:rPr>
            <w:webHidden/>
          </w:rPr>
          <w:tab/>
        </w:r>
        <w:r w:rsidR="00413C41">
          <w:rPr>
            <w:webHidden/>
          </w:rPr>
          <w:fldChar w:fldCharType="begin"/>
        </w:r>
        <w:r w:rsidR="00413C41">
          <w:rPr>
            <w:webHidden/>
          </w:rPr>
          <w:instrText xml:space="preserve"> PAGEREF _Toc131603599 \h </w:instrText>
        </w:r>
        <w:r w:rsidR="00413C41">
          <w:rPr>
            <w:webHidden/>
          </w:rPr>
        </w:r>
        <w:r w:rsidR="00413C41">
          <w:rPr>
            <w:webHidden/>
          </w:rPr>
          <w:fldChar w:fldCharType="separate"/>
        </w:r>
        <w:r w:rsidR="00413C41">
          <w:rPr>
            <w:webHidden/>
          </w:rPr>
          <w:t>14</w:t>
        </w:r>
        <w:r w:rsidR="00413C41">
          <w:rPr>
            <w:webHidden/>
          </w:rPr>
          <w:fldChar w:fldCharType="end"/>
        </w:r>
      </w:hyperlink>
    </w:p>
    <w:p w14:paraId="34612335" w14:textId="0AA8C480" w:rsidR="00413C41" w:rsidRDefault="0070702D">
      <w:pPr>
        <w:pStyle w:val="TOC2"/>
        <w:rPr>
          <w:rFonts w:asciiTheme="minorHAnsi" w:eastAsiaTheme="minorEastAsia" w:hAnsiTheme="minorHAnsi" w:cstheme="minorBidi"/>
          <w:spacing w:val="0"/>
          <w:sz w:val="22"/>
          <w:szCs w:val="22"/>
        </w:rPr>
      </w:pPr>
      <w:hyperlink w:anchor="_Toc131603600" w:history="1">
        <w:r w:rsidR="00413C41" w:rsidRPr="00D82DE0">
          <w:rPr>
            <w:rStyle w:val="Hyperlink"/>
          </w:rPr>
          <w:t>Radiocommunications devices and emissions</w:t>
        </w:r>
        <w:r w:rsidR="00413C41">
          <w:rPr>
            <w:webHidden/>
          </w:rPr>
          <w:tab/>
        </w:r>
        <w:r w:rsidR="00413C41">
          <w:rPr>
            <w:webHidden/>
          </w:rPr>
          <w:fldChar w:fldCharType="begin"/>
        </w:r>
        <w:r w:rsidR="00413C41">
          <w:rPr>
            <w:webHidden/>
          </w:rPr>
          <w:instrText xml:space="preserve"> PAGEREF _Toc131603600 \h </w:instrText>
        </w:r>
        <w:r w:rsidR="00413C41">
          <w:rPr>
            <w:webHidden/>
          </w:rPr>
        </w:r>
        <w:r w:rsidR="00413C41">
          <w:rPr>
            <w:webHidden/>
          </w:rPr>
          <w:fldChar w:fldCharType="separate"/>
        </w:r>
        <w:r w:rsidR="00413C41">
          <w:rPr>
            <w:webHidden/>
          </w:rPr>
          <w:t>15</w:t>
        </w:r>
        <w:r w:rsidR="00413C41">
          <w:rPr>
            <w:webHidden/>
          </w:rPr>
          <w:fldChar w:fldCharType="end"/>
        </w:r>
      </w:hyperlink>
    </w:p>
    <w:p w14:paraId="0D9082B2" w14:textId="4C25A133" w:rsidR="00413C41" w:rsidRDefault="0070702D">
      <w:pPr>
        <w:pStyle w:val="TOC2"/>
        <w:rPr>
          <w:rFonts w:asciiTheme="minorHAnsi" w:eastAsiaTheme="minorEastAsia" w:hAnsiTheme="minorHAnsi" w:cstheme="minorBidi"/>
          <w:spacing w:val="0"/>
          <w:sz w:val="22"/>
          <w:szCs w:val="22"/>
        </w:rPr>
      </w:pPr>
      <w:hyperlink w:anchor="_Toc131603601" w:history="1">
        <w:r w:rsidR="00413C41" w:rsidRPr="00D82DE0">
          <w:rPr>
            <w:rStyle w:val="Hyperlink"/>
          </w:rPr>
          <w:t>Accredited persons</w:t>
        </w:r>
        <w:r w:rsidR="00413C41">
          <w:rPr>
            <w:webHidden/>
          </w:rPr>
          <w:tab/>
        </w:r>
        <w:r w:rsidR="00413C41">
          <w:rPr>
            <w:webHidden/>
          </w:rPr>
          <w:fldChar w:fldCharType="begin"/>
        </w:r>
        <w:r w:rsidR="00413C41">
          <w:rPr>
            <w:webHidden/>
          </w:rPr>
          <w:instrText xml:space="preserve"> PAGEREF _Toc131603601 \h </w:instrText>
        </w:r>
        <w:r w:rsidR="00413C41">
          <w:rPr>
            <w:webHidden/>
          </w:rPr>
        </w:r>
        <w:r w:rsidR="00413C41">
          <w:rPr>
            <w:webHidden/>
          </w:rPr>
          <w:fldChar w:fldCharType="separate"/>
        </w:r>
        <w:r w:rsidR="00413C41">
          <w:rPr>
            <w:webHidden/>
          </w:rPr>
          <w:t>16</w:t>
        </w:r>
        <w:r w:rsidR="00413C41">
          <w:rPr>
            <w:webHidden/>
          </w:rPr>
          <w:fldChar w:fldCharType="end"/>
        </w:r>
      </w:hyperlink>
    </w:p>
    <w:p w14:paraId="7BF2A35A" w14:textId="472AD352" w:rsidR="00413C41" w:rsidRDefault="0070702D">
      <w:pPr>
        <w:pStyle w:val="TOC1"/>
        <w:rPr>
          <w:rFonts w:asciiTheme="minorHAnsi" w:eastAsiaTheme="minorEastAsia" w:hAnsiTheme="minorHAnsi" w:cstheme="minorBidi"/>
          <w:b w:val="0"/>
          <w:spacing w:val="0"/>
          <w:sz w:val="22"/>
          <w:szCs w:val="22"/>
        </w:rPr>
      </w:pPr>
      <w:hyperlink w:anchor="_Toc131603602" w:history="1">
        <w:r w:rsidR="00413C41" w:rsidRPr="00D82DE0">
          <w:rPr>
            <w:rStyle w:val="Hyperlink"/>
          </w:rPr>
          <w:t>Managing your licence</w:t>
        </w:r>
        <w:r w:rsidR="00413C41">
          <w:rPr>
            <w:webHidden/>
          </w:rPr>
          <w:tab/>
        </w:r>
        <w:r w:rsidR="00413C41">
          <w:rPr>
            <w:webHidden/>
          </w:rPr>
          <w:fldChar w:fldCharType="begin"/>
        </w:r>
        <w:r w:rsidR="00413C41">
          <w:rPr>
            <w:webHidden/>
          </w:rPr>
          <w:instrText xml:space="preserve"> PAGEREF _Toc131603602 \h </w:instrText>
        </w:r>
        <w:r w:rsidR="00413C41">
          <w:rPr>
            <w:webHidden/>
          </w:rPr>
        </w:r>
        <w:r w:rsidR="00413C41">
          <w:rPr>
            <w:webHidden/>
          </w:rPr>
          <w:fldChar w:fldCharType="separate"/>
        </w:r>
        <w:r w:rsidR="00413C41">
          <w:rPr>
            <w:webHidden/>
          </w:rPr>
          <w:t>17</w:t>
        </w:r>
        <w:r w:rsidR="00413C41">
          <w:rPr>
            <w:webHidden/>
          </w:rPr>
          <w:fldChar w:fldCharType="end"/>
        </w:r>
      </w:hyperlink>
    </w:p>
    <w:p w14:paraId="2671B8D8" w14:textId="20BDC3F4" w:rsidR="00413C41" w:rsidRDefault="0070702D">
      <w:pPr>
        <w:pStyle w:val="TOC2"/>
        <w:rPr>
          <w:rFonts w:asciiTheme="minorHAnsi" w:eastAsiaTheme="minorEastAsia" w:hAnsiTheme="minorHAnsi" w:cstheme="minorBidi"/>
          <w:spacing w:val="0"/>
          <w:sz w:val="22"/>
          <w:szCs w:val="22"/>
        </w:rPr>
      </w:pPr>
      <w:hyperlink w:anchor="_Toc131603603" w:history="1">
        <w:r w:rsidR="00413C41" w:rsidRPr="00D82DE0">
          <w:rPr>
            <w:rStyle w:val="Hyperlink"/>
          </w:rPr>
          <w:t>Licence expiry and renewal</w:t>
        </w:r>
        <w:r w:rsidR="00413C41">
          <w:rPr>
            <w:webHidden/>
          </w:rPr>
          <w:tab/>
        </w:r>
        <w:r w:rsidR="00413C41">
          <w:rPr>
            <w:webHidden/>
          </w:rPr>
          <w:fldChar w:fldCharType="begin"/>
        </w:r>
        <w:r w:rsidR="00413C41">
          <w:rPr>
            <w:webHidden/>
          </w:rPr>
          <w:instrText xml:space="preserve"> PAGEREF _Toc131603603 \h </w:instrText>
        </w:r>
        <w:r w:rsidR="00413C41">
          <w:rPr>
            <w:webHidden/>
          </w:rPr>
        </w:r>
        <w:r w:rsidR="00413C41">
          <w:rPr>
            <w:webHidden/>
          </w:rPr>
          <w:fldChar w:fldCharType="separate"/>
        </w:r>
        <w:r w:rsidR="00413C41">
          <w:rPr>
            <w:webHidden/>
          </w:rPr>
          <w:t>17</w:t>
        </w:r>
        <w:r w:rsidR="00413C41">
          <w:rPr>
            <w:webHidden/>
          </w:rPr>
          <w:fldChar w:fldCharType="end"/>
        </w:r>
      </w:hyperlink>
    </w:p>
    <w:p w14:paraId="73CD07C3" w14:textId="4D0C2BF0" w:rsidR="00413C41" w:rsidRDefault="0070702D">
      <w:pPr>
        <w:pStyle w:val="TOC2"/>
        <w:rPr>
          <w:rFonts w:asciiTheme="minorHAnsi" w:eastAsiaTheme="minorEastAsia" w:hAnsiTheme="minorHAnsi" w:cstheme="minorBidi"/>
          <w:spacing w:val="0"/>
          <w:sz w:val="22"/>
          <w:szCs w:val="22"/>
        </w:rPr>
      </w:pPr>
      <w:hyperlink w:anchor="_Toc131603604" w:history="1">
        <w:r w:rsidR="00413C41" w:rsidRPr="00D82DE0">
          <w:rPr>
            <w:rStyle w:val="Hyperlink"/>
          </w:rPr>
          <w:t>Licence sanctions</w:t>
        </w:r>
        <w:r w:rsidR="00413C41">
          <w:rPr>
            <w:webHidden/>
          </w:rPr>
          <w:tab/>
        </w:r>
        <w:r w:rsidR="00413C41">
          <w:rPr>
            <w:webHidden/>
          </w:rPr>
          <w:fldChar w:fldCharType="begin"/>
        </w:r>
        <w:r w:rsidR="00413C41">
          <w:rPr>
            <w:webHidden/>
          </w:rPr>
          <w:instrText xml:space="preserve"> PAGEREF _Toc131603604 \h </w:instrText>
        </w:r>
        <w:r w:rsidR="00413C41">
          <w:rPr>
            <w:webHidden/>
          </w:rPr>
        </w:r>
        <w:r w:rsidR="00413C41">
          <w:rPr>
            <w:webHidden/>
          </w:rPr>
          <w:fldChar w:fldCharType="separate"/>
        </w:r>
        <w:r w:rsidR="00413C41">
          <w:rPr>
            <w:webHidden/>
          </w:rPr>
          <w:t>17</w:t>
        </w:r>
        <w:r w:rsidR="00413C41">
          <w:rPr>
            <w:webHidden/>
          </w:rPr>
          <w:fldChar w:fldCharType="end"/>
        </w:r>
      </w:hyperlink>
    </w:p>
    <w:p w14:paraId="1BAFC71E" w14:textId="240B9D25" w:rsidR="00413C41" w:rsidRDefault="0070702D">
      <w:pPr>
        <w:pStyle w:val="TOC2"/>
        <w:rPr>
          <w:rFonts w:asciiTheme="minorHAnsi" w:eastAsiaTheme="minorEastAsia" w:hAnsiTheme="minorHAnsi" w:cstheme="minorBidi"/>
          <w:spacing w:val="0"/>
          <w:sz w:val="22"/>
          <w:szCs w:val="22"/>
        </w:rPr>
      </w:pPr>
      <w:hyperlink w:anchor="_Toc131603605" w:history="1">
        <w:r w:rsidR="00413C41" w:rsidRPr="00D82DE0">
          <w:rPr>
            <w:rStyle w:val="Hyperlink"/>
          </w:rPr>
          <w:t>Licence resumption</w:t>
        </w:r>
        <w:r w:rsidR="00413C41">
          <w:rPr>
            <w:webHidden/>
          </w:rPr>
          <w:tab/>
        </w:r>
        <w:r w:rsidR="00413C41">
          <w:rPr>
            <w:webHidden/>
          </w:rPr>
          <w:fldChar w:fldCharType="begin"/>
        </w:r>
        <w:r w:rsidR="00413C41">
          <w:rPr>
            <w:webHidden/>
          </w:rPr>
          <w:instrText xml:space="preserve"> PAGEREF _Toc131603605 \h </w:instrText>
        </w:r>
        <w:r w:rsidR="00413C41">
          <w:rPr>
            <w:webHidden/>
          </w:rPr>
        </w:r>
        <w:r w:rsidR="00413C41">
          <w:rPr>
            <w:webHidden/>
          </w:rPr>
          <w:fldChar w:fldCharType="separate"/>
        </w:r>
        <w:r w:rsidR="00413C41">
          <w:rPr>
            <w:webHidden/>
          </w:rPr>
          <w:t>18</w:t>
        </w:r>
        <w:r w:rsidR="00413C41">
          <w:rPr>
            <w:webHidden/>
          </w:rPr>
          <w:fldChar w:fldCharType="end"/>
        </w:r>
      </w:hyperlink>
    </w:p>
    <w:p w14:paraId="4176865E" w14:textId="33830699" w:rsidR="00413C41" w:rsidRDefault="0070702D">
      <w:pPr>
        <w:pStyle w:val="TOC2"/>
        <w:rPr>
          <w:rFonts w:asciiTheme="minorHAnsi" w:eastAsiaTheme="minorEastAsia" w:hAnsiTheme="minorHAnsi" w:cstheme="minorBidi"/>
          <w:spacing w:val="0"/>
          <w:sz w:val="22"/>
          <w:szCs w:val="22"/>
        </w:rPr>
      </w:pPr>
      <w:hyperlink w:anchor="_Toc131603606" w:history="1">
        <w:r w:rsidR="00413C41" w:rsidRPr="00D82DE0">
          <w:rPr>
            <w:rStyle w:val="Hyperlink"/>
          </w:rPr>
          <w:t>Spectrum trading</w:t>
        </w:r>
        <w:r w:rsidR="00413C41">
          <w:rPr>
            <w:webHidden/>
          </w:rPr>
          <w:tab/>
        </w:r>
        <w:r w:rsidR="00413C41">
          <w:rPr>
            <w:webHidden/>
          </w:rPr>
          <w:fldChar w:fldCharType="begin"/>
        </w:r>
        <w:r w:rsidR="00413C41">
          <w:rPr>
            <w:webHidden/>
          </w:rPr>
          <w:instrText xml:space="preserve"> PAGEREF _Toc131603606 \h </w:instrText>
        </w:r>
        <w:r w:rsidR="00413C41">
          <w:rPr>
            <w:webHidden/>
          </w:rPr>
        </w:r>
        <w:r w:rsidR="00413C41">
          <w:rPr>
            <w:webHidden/>
          </w:rPr>
          <w:fldChar w:fldCharType="separate"/>
        </w:r>
        <w:r w:rsidR="00413C41">
          <w:rPr>
            <w:webHidden/>
          </w:rPr>
          <w:t>18</w:t>
        </w:r>
        <w:r w:rsidR="00413C41">
          <w:rPr>
            <w:webHidden/>
          </w:rPr>
          <w:fldChar w:fldCharType="end"/>
        </w:r>
      </w:hyperlink>
    </w:p>
    <w:p w14:paraId="7B0D8E06" w14:textId="6F2F4CCB" w:rsidR="00413C41" w:rsidRDefault="0070702D">
      <w:pPr>
        <w:pStyle w:val="TOC1"/>
        <w:rPr>
          <w:rFonts w:asciiTheme="minorHAnsi" w:eastAsiaTheme="minorEastAsia" w:hAnsiTheme="minorHAnsi" w:cstheme="minorBidi"/>
          <w:b w:val="0"/>
          <w:spacing w:val="0"/>
          <w:sz w:val="22"/>
          <w:szCs w:val="22"/>
        </w:rPr>
      </w:pPr>
      <w:hyperlink w:anchor="_Toc131603607" w:history="1">
        <w:r w:rsidR="00413C41" w:rsidRPr="00D82DE0">
          <w:rPr>
            <w:rStyle w:val="Hyperlink"/>
          </w:rPr>
          <w:t>Glossary</w:t>
        </w:r>
        <w:r w:rsidR="00413C41">
          <w:rPr>
            <w:webHidden/>
          </w:rPr>
          <w:tab/>
        </w:r>
        <w:r w:rsidR="00413C41">
          <w:rPr>
            <w:webHidden/>
          </w:rPr>
          <w:fldChar w:fldCharType="begin"/>
        </w:r>
        <w:r w:rsidR="00413C41">
          <w:rPr>
            <w:webHidden/>
          </w:rPr>
          <w:instrText xml:space="preserve"> PAGEREF _Toc131603607 \h </w:instrText>
        </w:r>
        <w:r w:rsidR="00413C41">
          <w:rPr>
            <w:webHidden/>
          </w:rPr>
        </w:r>
        <w:r w:rsidR="00413C41">
          <w:rPr>
            <w:webHidden/>
          </w:rPr>
          <w:fldChar w:fldCharType="separate"/>
        </w:r>
        <w:r w:rsidR="00413C41">
          <w:rPr>
            <w:webHidden/>
          </w:rPr>
          <w:t>19</w:t>
        </w:r>
        <w:r w:rsidR="00413C41">
          <w:rPr>
            <w:webHidden/>
          </w:rPr>
          <w:fldChar w:fldCharType="end"/>
        </w:r>
      </w:hyperlink>
    </w:p>
    <w:p w14:paraId="71FAFA77" w14:textId="520E8021" w:rsidR="004D56FF" w:rsidRPr="00A17B1B" w:rsidRDefault="00DF0799" w:rsidP="00E40CBB">
      <w:pPr>
        <w:rPr>
          <w:rFonts w:cs="Arial"/>
        </w:rPr>
        <w:sectPr w:rsidR="004D56FF" w:rsidRPr="00A17B1B" w:rsidSect="00536F21">
          <w:headerReference w:type="even" r:id="rId19"/>
          <w:headerReference w:type="default" r:id="rId20"/>
          <w:footerReference w:type="even" r:id="rId21"/>
          <w:footerReference w:type="default" r:id="rId22"/>
          <w:footerReference w:type="first" r:id="rId23"/>
          <w:pgSz w:w="11906" w:h="16838" w:code="9"/>
          <w:pgMar w:top="3646" w:right="3101" w:bottom="993" w:left="1134" w:header="709" w:footer="119" w:gutter="0"/>
          <w:cols w:space="708"/>
          <w:titlePg/>
          <w:docGrid w:linePitch="360"/>
        </w:sectPr>
      </w:pPr>
      <w:r w:rsidRPr="00A17B1B">
        <w:rPr>
          <w:rFonts w:cs="Arial"/>
        </w:rPr>
        <w:fldChar w:fldCharType="end"/>
      </w:r>
    </w:p>
    <w:p w14:paraId="44679E24" w14:textId="77777777" w:rsidR="009D6C71" w:rsidRPr="00A17B1B" w:rsidRDefault="00DF42BD" w:rsidP="00E40CBB">
      <w:pPr>
        <w:pStyle w:val="Heading1"/>
      </w:pPr>
      <w:bookmarkStart w:id="0" w:name="_Toc101444613"/>
      <w:bookmarkStart w:id="1" w:name="_Toc131603564"/>
      <w:r>
        <w:lastRenderedPageBreak/>
        <w:t>Introduction</w:t>
      </w:r>
      <w:bookmarkEnd w:id="0"/>
      <w:bookmarkEnd w:id="1"/>
    </w:p>
    <w:p w14:paraId="0DEACFC8" w14:textId="2F72EF1C" w:rsidR="00AC2ACB" w:rsidRDefault="00A92736" w:rsidP="00E40CBB">
      <w:pPr>
        <w:pStyle w:val="Numberedparagraph"/>
      </w:pPr>
      <w:r>
        <w:tab/>
      </w:r>
      <w:r w:rsidR="00DF42BD" w:rsidRPr="00E3715A">
        <w:t>Th</w:t>
      </w:r>
      <w:r w:rsidR="003A18B8">
        <w:t xml:space="preserve">is </w:t>
      </w:r>
      <w:r w:rsidR="00536F21">
        <w:t xml:space="preserve">document </w:t>
      </w:r>
      <w:r w:rsidR="003A18B8">
        <w:t xml:space="preserve">outlines </w:t>
      </w:r>
      <w:r w:rsidR="00A16FC2">
        <w:t xml:space="preserve">a spectrum licensee’s </w:t>
      </w:r>
      <w:r w:rsidR="003A18B8">
        <w:t>obligations</w:t>
      </w:r>
      <w:r w:rsidR="00CE15D6">
        <w:t xml:space="preserve"> once a spectrum licence has been issued</w:t>
      </w:r>
      <w:r w:rsidR="00536F21">
        <w:t xml:space="preserve">. It </w:t>
      </w:r>
      <w:r w:rsidR="001F57B7">
        <w:t xml:space="preserve">is </w:t>
      </w:r>
      <w:r w:rsidR="001F57B7" w:rsidRPr="00E3715A">
        <w:t>a general guide</w:t>
      </w:r>
      <w:r w:rsidR="001177A1" w:rsidRPr="001177A1">
        <w:t xml:space="preserve"> </w:t>
      </w:r>
      <w:r w:rsidR="001177A1" w:rsidRPr="00E3715A">
        <w:t>to the key obligations placed on spectrum licensees under the</w:t>
      </w:r>
      <w:r w:rsidR="001177A1">
        <w:t xml:space="preserve"> </w:t>
      </w:r>
      <w:hyperlink r:id="rId24" w:history="1">
        <w:r w:rsidR="00DF42BD" w:rsidRPr="006815BB">
          <w:rPr>
            <w:rStyle w:val="Hyperlink"/>
            <w:i/>
            <w:iCs/>
          </w:rPr>
          <w:t>Radiocommunications Act 1992</w:t>
        </w:r>
      </w:hyperlink>
      <w:r w:rsidR="001177A1" w:rsidRPr="00DF42BD">
        <w:t>.</w:t>
      </w:r>
      <w:r w:rsidR="001F57B7" w:rsidRPr="00E3715A">
        <w:t xml:space="preserve"> It covers a range of regulatory arrangements of gener</w:t>
      </w:r>
      <w:r w:rsidR="008A5AEF">
        <w:t>al</w:t>
      </w:r>
      <w:r w:rsidR="001F57B7" w:rsidRPr="00E3715A">
        <w:t xml:space="preserve"> application to spectrum licensees</w:t>
      </w:r>
      <w:r w:rsidR="00AC2ACB">
        <w:t xml:space="preserve">. </w:t>
      </w:r>
    </w:p>
    <w:p w14:paraId="33CAFDAD" w14:textId="4FD20AC7" w:rsidR="0000434A" w:rsidRPr="004B2B62" w:rsidRDefault="00AC2ACB" w:rsidP="004B2B62">
      <w:pPr>
        <w:pStyle w:val="Numberedparagraph"/>
        <w:ind w:firstLine="0"/>
      </w:pPr>
      <w:r>
        <w:t>It gives you</w:t>
      </w:r>
      <w:r w:rsidR="001F57B7" w:rsidRPr="00E3715A">
        <w:t xml:space="preserve"> further information about arrangements specific to various frequency bands </w:t>
      </w:r>
      <w:r w:rsidR="00EC1B8B">
        <w:t>and geographic areas</w:t>
      </w:r>
      <w:r w:rsidR="001F57B7" w:rsidRPr="00E3715A">
        <w:t>. Information in this publication should not be regarded as a substitute for the relevant legislation and regulatory documents</w:t>
      </w:r>
      <w:r>
        <w:t xml:space="preserve">. </w:t>
      </w:r>
      <w:r w:rsidR="0000434A" w:rsidRPr="004B2B62">
        <w:t>The information provided in this paper is intended as a guide only and should not be relied on as legal advice or replace detailed analysis by licensees. Licensees may wish to seek their own legal and engineering advice to determine what the current regulatory framework is and how it applies to their situation.</w:t>
      </w:r>
    </w:p>
    <w:p w14:paraId="51CD8624" w14:textId="07883A1D" w:rsidR="00DF42BD" w:rsidRPr="00E3715A" w:rsidRDefault="00447DBC" w:rsidP="00B94CA0">
      <w:pPr>
        <w:pStyle w:val="Numberedparagraph"/>
        <w:ind w:firstLine="0"/>
      </w:pPr>
      <w:r>
        <w:t xml:space="preserve">This publication does not outline </w:t>
      </w:r>
      <w:r w:rsidR="002A3B21">
        <w:t xml:space="preserve">obligations </w:t>
      </w:r>
      <w:r w:rsidR="00B413DD">
        <w:t>for apparatus licensees or class licensees.</w:t>
      </w:r>
    </w:p>
    <w:p w14:paraId="770FE3CF" w14:textId="0771D421" w:rsidR="001F57B7" w:rsidRDefault="00DF42BD" w:rsidP="00E40CBB">
      <w:pPr>
        <w:pStyle w:val="Paragraph"/>
      </w:pPr>
      <w:r w:rsidRPr="00E3715A">
        <w:t>As the Australian regulator of</w:t>
      </w:r>
      <w:r w:rsidR="001F57B7">
        <w:t xml:space="preserve"> </w:t>
      </w:r>
      <w:r w:rsidRPr="00E3715A">
        <w:t>radiocommunications</w:t>
      </w:r>
      <w:r w:rsidR="001F57B7">
        <w:t xml:space="preserve">, </w:t>
      </w:r>
      <w:r w:rsidRPr="00E3715A">
        <w:t>telecommunications, broadcasting and the internet, the</w:t>
      </w:r>
      <w:r w:rsidR="001177A1">
        <w:t xml:space="preserve"> </w:t>
      </w:r>
      <w:r w:rsidRPr="00E3715A">
        <w:t xml:space="preserve">ACMA is responsible for ensuring compliance with the </w:t>
      </w:r>
      <w:r w:rsidR="00FF4C6C">
        <w:t xml:space="preserve">Radiocommunications </w:t>
      </w:r>
      <w:r w:rsidRPr="00E3715A">
        <w:t>Act. It is important that licensees are aware of any changes to legislation and regulatory arrangements affecting spectrum licen</w:t>
      </w:r>
      <w:r w:rsidR="001F57B7">
        <w:t>ce</w:t>
      </w:r>
      <w:r w:rsidRPr="00E3715A">
        <w:t>s.</w:t>
      </w:r>
      <w:r>
        <w:t xml:space="preserve"> </w:t>
      </w:r>
    </w:p>
    <w:p w14:paraId="6B9A079E" w14:textId="615927CF" w:rsidR="00DF42BD" w:rsidRPr="00E3715A" w:rsidRDefault="005B0505" w:rsidP="00E40CBB">
      <w:pPr>
        <w:pStyle w:val="Paragraph"/>
      </w:pPr>
      <w:r>
        <w:t>Details on</w:t>
      </w:r>
      <w:r w:rsidR="007A6599">
        <w:t xml:space="preserve"> the </w:t>
      </w:r>
      <w:r w:rsidR="00E408D0">
        <w:t xml:space="preserve">planning, licensing and allocation of spectrum can be found in </w:t>
      </w:r>
      <w:r w:rsidR="006971E5">
        <w:t xml:space="preserve">the </w:t>
      </w:r>
      <w:r w:rsidR="006A1BD7">
        <w:t xml:space="preserve">information </w:t>
      </w:r>
      <w:r w:rsidR="006971E5">
        <w:t xml:space="preserve">paper, </w:t>
      </w:r>
      <w:hyperlink r:id="rId25" w:history="1">
        <w:r w:rsidR="006971E5" w:rsidRPr="006971E5">
          <w:rPr>
            <w:rStyle w:val="Hyperlink"/>
            <w:i/>
            <w:iCs/>
          </w:rPr>
          <w:t xml:space="preserve">Our approach to </w:t>
        </w:r>
        <w:proofErr w:type="spellStart"/>
        <w:r w:rsidR="006971E5" w:rsidRPr="006971E5">
          <w:rPr>
            <w:rStyle w:val="Hyperlink"/>
            <w:i/>
            <w:iCs/>
          </w:rPr>
          <w:t>radcomms</w:t>
        </w:r>
        <w:proofErr w:type="spellEnd"/>
        <w:r w:rsidR="006971E5" w:rsidRPr="006971E5">
          <w:rPr>
            <w:rStyle w:val="Hyperlink"/>
            <w:i/>
            <w:iCs/>
          </w:rPr>
          <w:t xml:space="preserve"> licensing and allocation</w:t>
        </w:r>
      </w:hyperlink>
      <w:r w:rsidR="001319B1">
        <w:rPr>
          <w:i/>
          <w:iCs/>
        </w:rPr>
        <w:t xml:space="preserve"> </w:t>
      </w:r>
      <w:r w:rsidR="001319B1">
        <w:t xml:space="preserve">(the </w:t>
      </w:r>
      <w:r w:rsidR="009A639E">
        <w:t xml:space="preserve">licensing and allocation information </w:t>
      </w:r>
      <w:r w:rsidR="001319B1">
        <w:t>paper)</w:t>
      </w:r>
      <w:r w:rsidR="006971E5">
        <w:t>.</w:t>
      </w:r>
    </w:p>
    <w:p w14:paraId="5DA66AC1" w14:textId="0DD69D3C" w:rsidR="009A6E53" w:rsidRDefault="009A6E53" w:rsidP="00E40CBB">
      <w:pPr>
        <w:pStyle w:val="Heading2"/>
      </w:pPr>
      <w:bookmarkStart w:id="2" w:name="_Toc101444614"/>
      <w:bookmarkStart w:id="3" w:name="_Toc131603565"/>
      <w:r>
        <w:t>About spectrum space</w:t>
      </w:r>
      <w:bookmarkEnd w:id="2"/>
      <w:bookmarkEnd w:id="3"/>
    </w:p>
    <w:p w14:paraId="1DEA8621" w14:textId="1190EF2F" w:rsidR="00F062B9" w:rsidRDefault="00F062B9" w:rsidP="00E40CBB">
      <w:pPr>
        <w:pStyle w:val="Paragraph"/>
      </w:pPr>
      <w:r w:rsidRPr="00E3715A">
        <w:t>The radiofrequency spectrum is the portion of the electromagnetic spectrum that can be used for wireless communications such as radio, radar</w:t>
      </w:r>
      <w:r>
        <w:t>,</w:t>
      </w:r>
      <w:r w:rsidRPr="00E3715A">
        <w:t xml:space="preserve"> </w:t>
      </w:r>
      <w:r w:rsidR="002F06AA">
        <w:t xml:space="preserve">satellite, </w:t>
      </w:r>
      <w:r w:rsidRPr="00E3715A">
        <w:t>television</w:t>
      </w:r>
      <w:r>
        <w:t xml:space="preserve"> or mobile telecommunication</w:t>
      </w:r>
      <w:r w:rsidR="007D7ACD">
        <w:t>s</w:t>
      </w:r>
      <w:r w:rsidRPr="00E3715A">
        <w:t>.</w:t>
      </w:r>
      <w:r w:rsidRPr="00E3715A">
        <w:rPr>
          <w:rStyle w:val="FootnoteReference"/>
        </w:rPr>
        <w:footnoteReference w:id="2"/>
      </w:r>
    </w:p>
    <w:p w14:paraId="1FEE81C4" w14:textId="416F0C67" w:rsidR="009A6E53" w:rsidRPr="00E3715A" w:rsidRDefault="009A6E53" w:rsidP="00E40CBB">
      <w:pPr>
        <w:pStyle w:val="Paragraph"/>
      </w:pPr>
      <w:r w:rsidRPr="00E3715A">
        <w:t>The concept of spectrum space is fundamental to the ACMA's approach to spectrum licences. Spectrum space is tradeable and may be aggregated with other spectrum space</w:t>
      </w:r>
      <w:r w:rsidR="004B4162">
        <w:t>s</w:t>
      </w:r>
      <w:r w:rsidRPr="00E3715A">
        <w:t xml:space="preserve"> or divided into smaller </w:t>
      </w:r>
      <w:r w:rsidR="007665D0">
        <w:t xml:space="preserve">spectrum </w:t>
      </w:r>
      <w:r w:rsidRPr="00E3715A">
        <w:t xml:space="preserve">spaces. This allows the possibility of combining or subdividing spectrum </w:t>
      </w:r>
      <w:r>
        <w:t>space according to market needs.</w:t>
      </w:r>
    </w:p>
    <w:p w14:paraId="2144F93C" w14:textId="482D73A8" w:rsidR="009A6E53" w:rsidRDefault="009A6E53" w:rsidP="00E40CBB">
      <w:pPr>
        <w:pStyle w:val="Paragraph"/>
      </w:pPr>
      <w:r>
        <w:t xml:space="preserve">Spectrum space is considered to exist in </w:t>
      </w:r>
      <w:r w:rsidR="005B0505">
        <w:t xml:space="preserve">3 </w:t>
      </w:r>
      <w:r>
        <w:t xml:space="preserve">dimensions, represented in </w:t>
      </w:r>
      <w:r w:rsidR="00FF7C6C">
        <w:t>Figure 1</w:t>
      </w:r>
      <w:r>
        <w:t xml:space="preserve">. The </w:t>
      </w:r>
      <w:r w:rsidRPr="1D08B5F1">
        <w:rPr>
          <w:b/>
          <w:bCs/>
        </w:rPr>
        <w:t>x</w:t>
      </w:r>
      <w:r w:rsidR="005B0505">
        <w:rPr>
          <w:b/>
          <w:bCs/>
        </w:rPr>
        <w:t>/</w:t>
      </w:r>
      <w:r w:rsidRPr="1D08B5F1">
        <w:rPr>
          <w:b/>
          <w:bCs/>
        </w:rPr>
        <w:t>y</w:t>
      </w:r>
      <w:r>
        <w:t xml:space="preserve"> </w:t>
      </w:r>
      <w:r w:rsidR="0097642F" w:rsidRPr="00C75DF7">
        <w:rPr>
          <w:b/>
          <w:bCs/>
        </w:rPr>
        <w:t>axes</w:t>
      </w:r>
      <w:r w:rsidR="0097642F">
        <w:t xml:space="preserve"> </w:t>
      </w:r>
      <w:r>
        <w:t>represent a geographical area (</w:t>
      </w:r>
      <w:r w:rsidR="007306A7">
        <w:t>e</w:t>
      </w:r>
      <w:r w:rsidR="009C72AC">
        <w:t>.g.</w:t>
      </w:r>
      <w:r w:rsidR="00C14823">
        <w:t>,</w:t>
      </w:r>
      <w:r w:rsidR="009C72AC">
        <w:t xml:space="preserve"> using </w:t>
      </w:r>
      <w:r>
        <w:t xml:space="preserve">latitude and longitude), which is based on cells in the </w:t>
      </w:r>
      <w:hyperlink r:id="rId26" w:history="1">
        <w:r w:rsidRPr="1D08B5F1">
          <w:rPr>
            <w:rStyle w:val="Hyperlink"/>
          </w:rPr>
          <w:t xml:space="preserve">Australian </w:t>
        </w:r>
        <w:r w:rsidR="00494430" w:rsidDel="000F503A">
          <w:rPr>
            <w:rStyle w:val="Hyperlink"/>
          </w:rPr>
          <w:t>S</w:t>
        </w:r>
        <w:r w:rsidRPr="1D08B5F1" w:rsidDel="000F503A">
          <w:rPr>
            <w:rStyle w:val="Hyperlink"/>
          </w:rPr>
          <w:t xml:space="preserve">pectrum </w:t>
        </w:r>
        <w:r w:rsidR="00494430" w:rsidDel="000F503A">
          <w:rPr>
            <w:rStyle w:val="Hyperlink"/>
          </w:rPr>
          <w:t>M</w:t>
        </w:r>
        <w:r w:rsidRPr="1D08B5F1" w:rsidDel="000F503A">
          <w:rPr>
            <w:rStyle w:val="Hyperlink"/>
          </w:rPr>
          <w:t xml:space="preserve">ap </w:t>
        </w:r>
        <w:r w:rsidR="00494430" w:rsidDel="000F503A">
          <w:rPr>
            <w:rStyle w:val="Hyperlink"/>
          </w:rPr>
          <w:t>G</w:t>
        </w:r>
        <w:r w:rsidRPr="1D08B5F1" w:rsidDel="000F503A">
          <w:rPr>
            <w:rStyle w:val="Hyperlink"/>
          </w:rPr>
          <w:t>rid</w:t>
        </w:r>
        <w:r w:rsidRPr="1D08B5F1">
          <w:rPr>
            <w:rStyle w:val="Hyperlink"/>
          </w:rPr>
          <w:t xml:space="preserve"> 2012</w:t>
        </w:r>
      </w:hyperlink>
      <w:r>
        <w:t xml:space="preserve"> (ASMG). The </w:t>
      </w:r>
      <w:r w:rsidRPr="1D08B5F1">
        <w:rPr>
          <w:b/>
          <w:bCs/>
        </w:rPr>
        <w:t xml:space="preserve">z </w:t>
      </w:r>
      <w:r w:rsidR="005B0505">
        <w:rPr>
          <w:b/>
          <w:bCs/>
        </w:rPr>
        <w:t>(</w:t>
      </w:r>
      <w:r w:rsidRPr="1D08B5F1">
        <w:rPr>
          <w:b/>
          <w:bCs/>
        </w:rPr>
        <w:t>vertical</w:t>
      </w:r>
      <w:r w:rsidR="005B0505">
        <w:rPr>
          <w:b/>
          <w:bCs/>
        </w:rPr>
        <w:t>)</w:t>
      </w:r>
      <w:r>
        <w:t xml:space="preserve"> </w:t>
      </w:r>
      <w:r w:rsidR="0097642F" w:rsidRPr="00C75DF7">
        <w:rPr>
          <w:b/>
          <w:bCs/>
        </w:rPr>
        <w:t>axis</w:t>
      </w:r>
      <w:r w:rsidR="0097642F">
        <w:t xml:space="preserve"> </w:t>
      </w:r>
      <w:r>
        <w:t>represents the upper and lower frequency boundar</w:t>
      </w:r>
      <w:r w:rsidR="00755890">
        <w:t>ies</w:t>
      </w:r>
      <w:r>
        <w:t xml:space="preserve"> of the licence.</w:t>
      </w:r>
    </w:p>
    <w:p w14:paraId="6E1A3A93" w14:textId="2E7E5D50" w:rsidR="00FA56D9" w:rsidRDefault="009A6E53" w:rsidP="00E40CBB">
      <w:pPr>
        <w:pStyle w:val="Paragraph"/>
      </w:pPr>
      <w:r w:rsidRPr="00E3715A">
        <w:t>In</w:t>
      </w:r>
      <w:r w:rsidR="00FF7C6C" w:rsidRPr="00FF7C6C">
        <w:t xml:space="preserve"> </w:t>
      </w:r>
      <w:r w:rsidR="00FF7C6C">
        <w:t>Figure 1</w:t>
      </w:r>
      <w:r w:rsidRPr="00E3715A">
        <w:t>, the outer cubes represent the</w:t>
      </w:r>
      <w:r w:rsidR="006F27D6">
        <w:t xml:space="preserve"> area and frequ</w:t>
      </w:r>
      <w:r w:rsidR="006C4E1B">
        <w:t>e</w:t>
      </w:r>
      <w:r w:rsidR="006F27D6">
        <w:t>ncy</w:t>
      </w:r>
      <w:r w:rsidRPr="00E3715A">
        <w:t xml:space="preserve"> licence boundaries</w:t>
      </w:r>
      <w:r w:rsidR="006C4E1B">
        <w:t>. The</w:t>
      </w:r>
      <w:r w:rsidRPr="00E3715A" w:rsidDel="006C4E1B">
        <w:t xml:space="preserve"> </w:t>
      </w:r>
      <w:r w:rsidRPr="00E3715A">
        <w:t xml:space="preserve">inner cubes </w:t>
      </w:r>
      <w:r w:rsidR="006C4E1B">
        <w:t xml:space="preserve">show </w:t>
      </w:r>
      <w:r w:rsidR="002A07A6">
        <w:t xml:space="preserve">that there may be some </w:t>
      </w:r>
      <w:r w:rsidR="00563C7C">
        <w:t xml:space="preserve">buffer zone </w:t>
      </w:r>
      <w:r w:rsidR="00CF4935">
        <w:t xml:space="preserve">near these boundaries </w:t>
      </w:r>
      <w:r w:rsidR="00884E47">
        <w:t xml:space="preserve">where </w:t>
      </w:r>
      <w:r w:rsidR="00687C62">
        <w:t>there may be greater restrictions on utility of the spectrum. This</w:t>
      </w:r>
      <w:r w:rsidR="00981CE5">
        <w:t>,</w:t>
      </w:r>
      <w:r w:rsidR="00687C62">
        <w:t xml:space="preserve"> for example</w:t>
      </w:r>
      <w:r w:rsidR="00981CE5">
        <w:t>,</w:t>
      </w:r>
      <w:r w:rsidR="00687C62">
        <w:t xml:space="preserve"> accounts for </w:t>
      </w:r>
      <w:r w:rsidR="00522C6D">
        <w:t xml:space="preserve">managing </w:t>
      </w:r>
      <w:r w:rsidR="00321C5E">
        <w:t>interference</w:t>
      </w:r>
      <w:r w:rsidR="00522C6D">
        <w:t xml:space="preserve"> with other services</w:t>
      </w:r>
      <w:r w:rsidR="00321C5E">
        <w:t xml:space="preserve"> and</w:t>
      </w:r>
      <w:r w:rsidR="00447A8B">
        <w:t xml:space="preserve"> the</w:t>
      </w:r>
      <w:r w:rsidR="00321C5E">
        <w:t xml:space="preserve"> </w:t>
      </w:r>
      <w:r w:rsidRPr="00E3715A">
        <w:t xml:space="preserve">device boundary criterion. </w:t>
      </w:r>
      <w:r w:rsidR="00424F04">
        <w:t>In general</w:t>
      </w:r>
      <w:r w:rsidR="004C2943">
        <w:t>,</w:t>
      </w:r>
      <w:r w:rsidR="00424F04">
        <w:t xml:space="preserve"> the larger the </w:t>
      </w:r>
      <w:r w:rsidR="007325EF">
        <w:t xml:space="preserve">spectrum space the </w:t>
      </w:r>
      <w:r w:rsidR="00F3334A">
        <w:t xml:space="preserve">more </w:t>
      </w:r>
      <w:r w:rsidR="007D713C">
        <w:t>flexibility</w:t>
      </w:r>
      <w:r w:rsidR="00F3334A">
        <w:t xml:space="preserve"> a licensee has in the </w:t>
      </w:r>
      <w:r w:rsidR="007D713C">
        <w:t>utilisation</w:t>
      </w:r>
      <w:r w:rsidR="00F3334A">
        <w:t xml:space="preserve"> of the</w:t>
      </w:r>
      <w:r w:rsidR="007D713C">
        <w:t xml:space="preserve">ir spectrum. </w:t>
      </w:r>
    </w:p>
    <w:p w14:paraId="7F461A0D" w14:textId="165D98B2" w:rsidR="009A6E53" w:rsidRPr="00E3715A" w:rsidRDefault="009A6E53" w:rsidP="00E40CBB">
      <w:pPr>
        <w:pStyle w:val="Figureheading"/>
        <w:rPr>
          <w:rFonts w:cs="Arial"/>
        </w:rPr>
      </w:pPr>
      <w:r w:rsidRPr="00E3715A">
        <w:lastRenderedPageBreak/>
        <w:t>Spectrum space</w:t>
      </w:r>
    </w:p>
    <w:p w14:paraId="46CF6397" w14:textId="1432047A" w:rsidR="00275EB9" w:rsidRDefault="009A6E53" w:rsidP="00E40CBB">
      <w:pPr>
        <w:rPr>
          <w:rFonts w:cs="Arial"/>
        </w:rPr>
      </w:pPr>
      <w:r w:rsidRPr="00E3715A">
        <w:rPr>
          <w:rFonts w:cs="Arial"/>
          <w:noProof/>
        </w:rPr>
        <w:drawing>
          <wp:inline distT="0" distB="0" distL="0" distR="0" wp14:anchorId="48A921C8" wp14:editId="11DCB394">
            <wp:extent cx="4374603" cy="3731013"/>
            <wp:effectExtent l="0" t="0" r="6985" b="3175"/>
            <wp:docPr id="4" name="Picture 4" descr="Authorised spectrum licence 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uthorised spectrum licence space"/>
                    <pic:cNvPicPr>
                      <a:picLocks noChangeAspect="1" noChangeArrowheads="1"/>
                    </pic:cNvPicPr>
                  </pic:nvPicPr>
                  <pic:blipFill>
                    <a:blip r:embed="rId27" cstate="print"/>
                    <a:srcRect l="3820" t="11060" r="19882"/>
                    <a:stretch>
                      <a:fillRect/>
                    </a:stretch>
                  </pic:blipFill>
                  <pic:spPr bwMode="auto">
                    <a:xfrm>
                      <a:off x="0" y="0"/>
                      <a:ext cx="4374603" cy="3731013"/>
                    </a:xfrm>
                    <a:prstGeom prst="rect">
                      <a:avLst/>
                    </a:prstGeom>
                    <a:noFill/>
                    <a:ln w="9525">
                      <a:noFill/>
                      <a:miter lim="800000"/>
                      <a:headEnd/>
                      <a:tailEnd/>
                    </a:ln>
                  </pic:spPr>
                </pic:pic>
              </a:graphicData>
            </a:graphic>
          </wp:inline>
        </w:drawing>
      </w:r>
    </w:p>
    <w:p w14:paraId="7531AE8B" w14:textId="3B32A7DE" w:rsidR="00E211CD" w:rsidRPr="00E3715A" w:rsidRDefault="00E211CD" w:rsidP="00E40CBB">
      <w:pPr>
        <w:spacing w:before="360"/>
        <w:rPr>
          <w:rFonts w:cs="Arial"/>
        </w:rPr>
      </w:pPr>
      <w:r w:rsidRPr="3F185811">
        <w:rPr>
          <w:rFonts w:cs="Arial"/>
        </w:rPr>
        <w:t xml:space="preserve">The ASMG is defined </w:t>
      </w:r>
      <w:r w:rsidR="009D37B0" w:rsidRPr="3F185811">
        <w:rPr>
          <w:rFonts w:cs="Arial"/>
        </w:rPr>
        <w:t xml:space="preserve">for the </w:t>
      </w:r>
      <w:r w:rsidRPr="3F185811">
        <w:rPr>
          <w:rFonts w:cs="Arial"/>
        </w:rPr>
        <w:t>Australian Geodetic Datum 1966 (AGD66)</w:t>
      </w:r>
      <w:r w:rsidR="002408DA" w:rsidRPr="3F185811">
        <w:rPr>
          <w:rFonts w:cs="Arial"/>
        </w:rPr>
        <w:t>,</w:t>
      </w:r>
      <w:r w:rsidRPr="3F185811">
        <w:rPr>
          <w:rFonts w:cs="Arial"/>
        </w:rPr>
        <w:t xml:space="preserve"> Geocentric Datum of Australia 1994 (</w:t>
      </w:r>
      <w:r w:rsidR="00081316">
        <w:t>GDA94</w:t>
      </w:r>
      <w:r w:rsidRPr="3F185811">
        <w:rPr>
          <w:rFonts w:cs="Arial"/>
        </w:rPr>
        <w:t xml:space="preserve">) </w:t>
      </w:r>
      <w:r w:rsidR="002408DA" w:rsidRPr="3F185811">
        <w:rPr>
          <w:rFonts w:cs="Arial"/>
        </w:rPr>
        <w:t xml:space="preserve">and </w:t>
      </w:r>
      <w:r w:rsidR="002D1A82" w:rsidRPr="3F185811">
        <w:rPr>
          <w:rFonts w:cs="Arial"/>
        </w:rPr>
        <w:t xml:space="preserve">Geocentric Datum of Australia </w:t>
      </w:r>
      <w:r w:rsidR="002D1A82">
        <w:rPr>
          <w:rFonts w:cs="Arial"/>
        </w:rPr>
        <w:t>2020</w:t>
      </w:r>
      <w:r w:rsidR="002D1A82" w:rsidRPr="3F185811">
        <w:rPr>
          <w:rFonts w:cs="Arial"/>
        </w:rPr>
        <w:t xml:space="preserve"> </w:t>
      </w:r>
      <w:r w:rsidR="002D1A82">
        <w:rPr>
          <w:rFonts w:cs="Arial"/>
        </w:rPr>
        <w:t>(</w:t>
      </w:r>
      <w:r w:rsidR="0020403D" w:rsidRPr="3F185811">
        <w:rPr>
          <w:rFonts w:cs="Arial"/>
        </w:rPr>
        <w:t>GDA2020</w:t>
      </w:r>
      <w:r w:rsidR="002D1A82">
        <w:rPr>
          <w:rFonts w:cs="Arial"/>
        </w:rPr>
        <w:t>)</w:t>
      </w:r>
      <w:r w:rsidR="005B0505">
        <w:rPr>
          <w:rFonts w:cs="Arial"/>
        </w:rPr>
        <w:t>,</w:t>
      </w:r>
      <w:r w:rsidR="0020403D" w:rsidRPr="3F185811">
        <w:rPr>
          <w:rFonts w:cs="Arial"/>
        </w:rPr>
        <w:t xml:space="preserve"> </w:t>
      </w:r>
      <w:r w:rsidR="00213DDF">
        <w:rPr>
          <w:rFonts w:cs="Arial"/>
        </w:rPr>
        <w:t>which</w:t>
      </w:r>
      <w:r w:rsidRPr="3F185811">
        <w:rPr>
          <w:rFonts w:cs="Arial"/>
        </w:rPr>
        <w:t xml:space="preserve"> allow</w:t>
      </w:r>
      <w:r w:rsidR="00213DDF">
        <w:rPr>
          <w:rFonts w:cs="Arial"/>
        </w:rPr>
        <w:t>s for</w:t>
      </w:r>
      <w:r w:rsidRPr="3F185811">
        <w:rPr>
          <w:rFonts w:cs="Arial"/>
        </w:rPr>
        <w:t xml:space="preserve"> backward compatibility between existing and future spectrum licences. The ASMG cells can also be described using the hierarchical cell identification scheme (HCIS)</w:t>
      </w:r>
      <w:r w:rsidR="005B0505">
        <w:rPr>
          <w:rFonts w:cs="Arial"/>
        </w:rPr>
        <w:t xml:space="preserve">. This </w:t>
      </w:r>
      <w:r w:rsidRPr="3F185811">
        <w:rPr>
          <w:rFonts w:cs="Arial"/>
        </w:rPr>
        <w:t xml:space="preserve">is intended to provide greater clarity, flexibility and certainty in identifying </w:t>
      </w:r>
      <w:r w:rsidR="00F06019">
        <w:rPr>
          <w:rFonts w:cs="Arial"/>
        </w:rPr>
        <w:t>a</w:t>
      </w:r>
      <w:r w:rsidRPr="3F185811">
        <w:rPr>
          <w:rFonts w:cs="Arial"/>
        </w:rPr>
        <w:t xml:space="preserve"> geographic area of </w:t>
      </w:r>
      <w:r w:rsidR="0017456C">
        <w:rPr>
          <w:rFonts w:cs="Arial"/>
        </w:rPr>
        <w:t xml:space="preserve">a </w:t>
      </w:r>
      <w:r w:rsidRPr="3F185811">
        <w:rPr>
          <w:rFonts w:cs="Arial"/>
        </w:rPr>
        <w:t>spectrum licence for the purposes of issue or trading</w:t>
      </w:r>
      <w:r w:rsidR="006B0175" w:rsidRPr="3F185811">
        <w:rPr>
          <w:rFonts w:cs="Arial"/>
        </w:rPr>
        <w:t xml:space="preserve">. </w:t>
      </w:r>
      <w:r w:rsidR="00704331" w:rsidRPr="3F185811">
        <w:rPr>
          <w:rFonts w:cs="Arial"/>
        </w:rPr>
        <w:t xml:space="preserve">Spatial data for the ASMG </w:t>
      </w:r>
      <w:r w:rsidR="006237F0" w:rsidRPr="3F185811">
        <w:rPr>
          <w:rFonts w:cs="Arial"/>
        </w:rPr>
        <w:t xml:space="preserve">(including HCIS) </w:t>
      </w:r>
      <w:r w:rsidR="00137AA4" w:rsidRPr="3F185811">
        <w:rPr>
          <w:rFonts w:cs="Arial"/>
        </w:rPr>
        <w:t xml:space="preserve">is available in </w:t>
      </w:r>
      <w:r w:rsidR="00D31F73" w:rsidRPr="3F185811">
        <w:rPr>
          <w:rFonts w:cs="Arial"/>
        </w:rPr>
        <w:t>GIS</w:t>
      </w:r>
      <w:r w:rsidR="00494D55" w:rsidRPr="3F185811">
        <w:rPr>
          <w:rFonts w:cs="Arial"/>
        </w:rPr>
        <w:t xml:space="preserve"> (</w:t>
      </w:r>
      <w:r w:rsidR="002B6D99" w:rsidRPr="3F185811">
        <w:rPr>
          <w:rFonts w:cs="Arial"/>
        </w:rPr>
        <w:t>g</w:t>
      </w:r>
      <w:r w:rsidR="00494D55" w:rsidRPr="3F185811">
        <w:rPr>
          <w:rFonts w:cs="Arial"/>
        </w:rPr>
        <w:t>eographical information system)</w:t>
      </w:r>
      <w:r w:rsidR="00D31F73" w:rsidRPr="3F185811">
        <w:rPr>
          <w:rFonts w:cs="Arial"/>
        </w:rPr>
        <w:t xml:space="preserve"> formats from the </w:t>
      </w:r>
      <w:hyperlink r:id="rId28" w:history="1">
        <w:r w:rsidR="00D31F73" w:rsidRPr="3F185811">
          <w:rPr>
            <w:rStyle w:val="Hyperlink"/>
            <w:rFonts w:cs="Arial"/>
          </w:rPr>
          <w:t>ACMA website</w:t>
        </w:r>
      </w:hyperlink>
      <w:r w:rsidRPr="3F185811">
        <w:rPr>
          <w:rFonts w:cs="Arial"/>
        </w:rPr>
        <w:t xml:space="preserve">. </w:t>
      </w:r>
      <w:r>
        <w:t xml:space="preserve">HCIS coordinates can </w:t>
      </w:r>
      <w:r w:rsidR="00971E33">
        <w:t xml:space="preserve">also </w:t>
      </w:r>
      <w:r>
        <w:t xml:space="preserve">be converted into a Placemark file (viewable in Google Earth) via the </w:t>
      </w:r>
      <w:r w:rsidR="001C636B">
        <w:br/>
      </w:r>
      <w:hyperlink r:id="rId29">
        <w:r w:rsidRPr="3F185811">
          <w:rPr>
            <w:rStyle w:val="Hyperlink"/>
          </w:rPr>
          <w:t>ACMA website</w:t>
        </w:r>
      </w:hyperlink>
      <w:r>
        <w:t>.</w:t>
      </w:r>
    </w:p>
    <w:p w14:paraId="4E99AA36" w14:textId="7C737F07" w:rsidR="00DF42BD" w:rsidRPr="002431AF" w:rsidRDefault="007A1C4B" w:rsidP="00E40CBB">
      <w:pPr>
        <w:pStyle w:val="Heading2"/>
      </w:pPr>
      <w:bookmarkStart w:id="4" w:name="_Toc101444615"/>
      <w:bookmarkStart w:id="5" w:name="_Toc131603566"/>
      <w:bookmarkStart w:id="6" w:name="_Hlk101345729"/>
      <w:bookmarkStart w:id="7" w:name="_Hlk26868779"/>
      <w:bookmarkStart w:id="8" w:name="_Hlk26868934"/>
      <w:r>
        <w:t>H</w:t>
      </w:r>
      <w:r w:rsidR="00DF42BD" w:rsidRPr="002431AF">
        <w:t>ow</w:t>
      </w:r>
      <w:r w:rsidR="00DF42BD" w:rsidRPr="00D06A0F">
        <w:t xml:space="preserve"> to access </w:t>
      </w:r>
      <w:r w:rsidR="00674D8E">
        <w:t xml:space="preserve">the </w:t>
      </w:r>
      <w:r w:rsidR="00DF42BD" w:rsidRPr="00D06A0F">
        <w:t>radiofrequency spectrum</w:t>
      </w:r>
      <w:bookmarkEnd w:id="4"/>
      <w:bookmarkEnd w:id="5"/>
    </w:p>
    <w:p w14:paraId="731C9869" w14:textId="5320F39F" w:rsidR="00E8763C" w:rsidRPr="00E3715A" w:rsidRDefault="00DF42BD" w:rsidP="00E40CBB">
      <w:pPr>
        <w:rPr>
          <w:rFonts w:cs="Arial"/>
        </w:rPr>
      </w:pPr>
      <w:r>
        <w:t xml:space="preserve">Subject to certain exceptions, a person must not operate a radiocommunications device except as authorised by a licence. Three kinds of licences are available to be issued under the </w:t>
      </w:r>
      <w:r w:rsidR="755243D9">
        <w:t>Act</w:t>
      </w:r>
      <w:r w:rsidR="00C44DEB">
        <w:t>:</w:t>
      </w:r>
      <w:r>
        <w:t xml:space="preserve"> an apparatus licence</w:t>
      </w:r>
      <w:r w:rsidR="007F2684">
        <w:t>, a</w:t>
      </w:r>
      <w:r>
        <w:t xml:space="preserve"> </w:t>
      </w:r>
      <w:r w:rsidR="007F2684">
        <w:t xml:space="preserve">class licence </w:t>
      </w:r>
      <w:r>
        <w:t xml:space="preserve">or </w:t>
      </w:r>
      <w:r w:rsidR="00C522EA">
        <w:t>a spectrum licence</w:t>
      </w:r>
      <w:r>
        <w:t>. The ACMA is the regulatory body responsible for issuing those licences within Australia.</w:t>
      </w:r>
    </w:p>
    <w:p w14:paraId="654F2177" w14:textId="314853C9" w:rsidR="00DF42BD" w:rsidRPr="00E3715A" w:rsidRDefault="00E8763C" w:rsidP="00E40CBB">
      <w:pPr>
        <w:rPr>
          <w:rFonts w:cs="Arial"/>
        </w:rPr>
      </w:pPr>
      <w:r>
        <w:rPr>
          <w:rFonts w:cs="Arial"/>
        </w:rPr>
        <w:t xml:space="preserve">More information about the </w:t>
      </w:r>
      <w:r w:rsidR="001C636B">
        <w:rPr>
          <w:rFonts w:cs="Arial"/>
        </w:rPr>
        <w:t xml:space="preserve">3 </w:t>
      </w:r>
      <w:r>
        <w:rPr>
          <w:rFonts w:cs="Arial"/>
        </w:rPr>
        <w:t xml:space="preserve">categories of licences </w:t>
      </w:r>
      <w:r w:rsidR="00E12B52">
        <w:rPr>
          <w:rFonts w:cs="Arial"/>
        </w:rPr>
        <w:t>i</w:t>
      </w:r>
      <w:r w:rsidR="00AC311A">
        <w:rPr>
          <w:rFonts w:cs="Arial"/>
        </w:rPr>
        <w:t>s</w:t>
      </w:r>
      <w:r>
        <w:rPr>
          <w:rFonts w:cs="Arial"/>
        </w:rPr>
        <w:t xml:space="preserve"> available on</w:t>
      </w:r>
      <w:r w:rsidR="001C636B">
        <w:rPr>
          <w:rFonts w:cs="Arial"/>
        </w:rPr>
        <w:t xml:space="preserve"> the</w:t>
      </w:r>
      <w:r>
        <w:rPr>
          <w:rFonts w:cs="Arial"/>
        </w:rPr>
        <w:t xml:space="preserve"> </w:t>
      </w:r>
      <w:hyperlink r:id="rId30" w:history="1">
        <w:r w:rsidR="001C636B">
          <w:rPr>
            <w:rStyle w:val="Hyperlink"/>
            <w:rFonts w:cs="Arial"/>
          </w:rPr>
          <w:br/>
        </w:r>
        <w:r w:rsidRPr="00E8763C">
          <w:rPr>
            <w:rStyle w:val="Hyperlink"/>
            <w:rFonts w:cs="Arial"/>
          </w:rPr>
          <w:t>ACMA website</w:t>
        </w:r>
      </w:hyperlink>
      <w:r>
        <w:rPr>
          <w:rFonts w:cs="Arial"/>
        </w:rPr>
        <w:t>.</w:t>
      </w:r>
    </w:p>
    <w:p w14:paraId="37F3B4BB" w14:textId="73292A4B" w:rsidR="00DF42BD" w:rsidRPr="00365FCF" w:rsidRDefault="00DF42BD" w:rsidP="00E40CBB">
      <w:pPr>
        <w:pStyle w:val="Heading3"/>
      </w:pPr>
      <w:bookmarkStart w:id="9" w:name="_Toc131603567"/>
      <w:r w:rsidRPr="00365FCF">
        <w:t>Apparatus licences</w:t>
      </w:r>
      <w:bookmarkEnd w:id="9"/>
    </w:p>
    <w:p w14:paraId="0C423104" w14:textId="4C8DD461" w:rsidR="00DF42BD" w:rsidRPr="00E3715A" w:rsidRDefault="0070702D" w:rsidP="00E40CBB">
      <w:pPr>
        <w:pStyle w:val="Paragraph"/>
        <w:keepNext/>
      </w:pPr>
      <w:hyperlink r:id="rId31" w:history="1">
        <w:r w:rsidR="00DF42BD" w:rsidRPr="00DF42BD">
          <w:rPr>
            <w:rStyle w:val="Hyperlink"/>
          </w:rPr>
          <w:t>Apparatus licences</w:t>
        </w:r>
      </w:hyperlink>
      <w:r w:rsidR="00DF42BD" w:rsidRPr="00E3715A">
        <w:t xml:space="preserve"> are issued under Part 3.3 of the </w:t>
      </w:r>
      <w:r w:rsidR="001C636B">
        <w:t xml:space="preserve">Radiocommunications </w:t>
      </w:r>
      <w:r w:rsidR="00DF42BD" w:rsidRPr="00E3715A">
        <w:t xml:space="preserve">Act. They are issued to a person and authorise the operation of specified radiocommunications devices (transmitters or receivers) under </w:t>
      </w:r>
      <w:r w:rsidR="00886A37">
        <w:t>a transmitter licence or a receiver licence</w:t>
      </w:r>
      <w:r w:rsidR="00DF42BD" w:rsidRPr="00E3715A">
        <w:t>. This approach uses different licence categories to specify the operational conditions for various types of services; for example, broadcast</w:t>
      </w:r>
      <w:r w:rsidR="00CC0B70">
        <w:t>ing</w:t>
      </w:r>
      <w:r w:rsidR="00DF42BD" w:rsidRPr="00E3715A">
        <w:t>, fixed</w:t>
      </w:r>
      <w:r w:rsidR="00DF42BD">
        <w:t>,</w:t>
      </w:r>
      <w:r w:rsidR="00DF42BD" w:rsidRPr="00E3715A">
        <w:t xml:space="preserve"> </w:t>
      </w:r>
      <w:r w:rsidR="009E2D7B">
        <w:t>land</w:t>
      </w:r>
      <w:r w:rsidR="00DF42BD" w:rsidRPr="00E3715A">
        <w:t xml:space="preserve"> mobile</w:t>
      </w:r>
      <w:r w:rsidR="009E2D7B">
        <w:t xml:space="preserve"> or </w:t>
      </w:r>
      <w:proofErr w:type="gramStart"/>
      <w:r w:rsidR="009E2D7B">
        <w:t>area</w:t>
      </w:r>
      <w:r w:rsidR="000F226B">
        <w:t>-wide</w:t>
      </w:r>
      <w:proofErr w:type="gramEnd"/>
      <w:r w:rsidR="00DF42BD" w:rsidRPr="00E3715A">
        <w:t xml:space="preserve">. </w:t>
      </w:r>
      <w:r w:rsidR="008C4F33">
        <w:t xml:space="preserve">As outlined in the licensing and allocation information paper, </w:t>
      </w:r>
      <w:r w:rsidR="001165D1">
        <w:t xml:space="preserve">the duration of </w:t>
      </w:r>
      <w:r w:rsidR="00F836D3">
        <w:t xml:space="preserve">apparatus licences </w:t>
      </w:r>
      <w:r w:rsidR="00532A3A">
        <w:t>take</w:t>
      </w:r>
      <w:r w:rsidR="00E4445A">
        <w:t>s</w:t>
      </w:r>
      <w:r w:rsidR="00532A3A">
        <w:t xml:space="preserve"> into </w:t>
      </w:r>
      <w:r w:rsidR="00544B5B">
        <w:t>consideration</w:t>
      </w:r>
      <w:r w:rsidR="00532A3A">
        <w:t xml:space="preserve"> </w:t>
      </w:r>
      <w:r w:rsidR="00F836D3">
        <w:t xml:space="preserve">licensee requirements, and current and </w:t>
      </w:r>
      <w:r w:rsidR="00F836D3">
        <w:lastRenderedPageBreak/>
        <w:t xml:space="preserve">planned uses of the band. This balances providing licensees with </w:t>
      </w:r>
      <w:r w:rsidR="002D65D3">
        <w:t>(</w:t>
      </w:r>
      <w:proofErr w:type="spellStart"/>
      <w:r w:rsidR="002D65D3">
        <w:t>i</w:t>
      </w:r>
      <w:proofErr w:type="spellEnd"/>
      <w:r w:rsidR="002D65D3">
        <w:t xml:space="preserve">) </w:t>
      </w:r>
      <w:r w:rsidR="00F836D3">
        <w:t xml:space="preserve">investment predictability matched to their business needs and </w:t>
      </w:r>
      <w:r w:rsidR="002D65D3">
        <w:t>(ii)</w:t>
      </w:r>
      <w:r w:rsidR="00F836D3">
        <w:t xml:space="preserve"> appropriate planning flexibility.</w:t>
      </w:r>
      <w:r w:rsidR="009F23DE">
        <w:t xml:space="preserve"> </w:t>
      </w:r>
      <w:r w:rsidR="00045997">
        <w:t>In practice,</w:t>
      </w:r>
      <w:r w:rsidR="00CB3A3A">
        <w:t xml:space="preserve"> most apparatus licence</w:t>
      </w:r>
      <w:r w:rsidR="0038043D">
        <w:t>s are issu</w:t>
      </w:r>
      <w:r w:rsidR="003664A3">
        <w:t xml:space="preserve">ed for a duration of </w:t>
      </w:r>
      <w:r w:rsidR="008F3483">
        <w:t>one</w:t>
      </w:r>
      <w:r w:rsidR="003664A3">
        <w:t xml:space="preserve"> year</w:t>
      </w:r>
      <w:r w:rsidR="007D0247">
        <w:t xml:space="preserve">, </w:t>
      </w:r>
      <w:r w:rsidR="007A09D7">
        <w:t>with</w:t>
      </w:r>
      <w:r w:rsidR="007D0247">
        <w:t xml:space="preserve"> the maximum </w:t>
      </w:r>
      <w:r w:rsidR="00EF3DCE">
        <w:t xml:space="preserve">possible duration </w:t>
      </w:r>
      <w:r w:rsidR="007A09D7">
        <w:t xml:space="preserve">set at </w:t>
      </w:r>
      <w:r w:rsidR="00EF3DCE">
        <w:t>20 years.</w:t>
      </w:r>
    </w:p>
    <w:p w14:paraId="157E8077" w14:textId="1EE88F33" w:rsidR="00E8763C" w:rsidRPr="00365FCF" w:rsidRDefault="00E8763C" w:rsidP="00E40CBB">
      <w:pPr>
        <w:pStyle w:val="Heading3"/>
      </w:pPr>
      <w:bookmarkStart w:id="10" w:name="_Toc131603568"/>
      <w:r w:rsidRPr="00365FCF">
        <w:t>Class licences</w:t>
      </w:r>
      <w:bookmarkEnd w:id="10"/>
    </w:p>
    <w:p w14:paraId="639E64AA" w14:textId="04603D38" w:rsidR="00DF42BD" w:rsidRPr="00E3715A" w:rsidRDefault="0070702D" w:rsidP="00E40CBB">
      <w:pPr>
        <w:pStyle w:val="Paragraph"/>
      </w:pPr>
      <w:hyperlink r:id="rId32" w:history="1">
        <w:r w:rsidR="00DF42BD" w:rsidRPr="00E8763C">
          <w:rPr>
            <w:rStyle w:val="Hyperlink"/>
          </w:rPr>
          <w:t>Class licences</w:t>
        </w:r>
      </w:hyperlink>
      <w:r w:rsidR="00DF42BD" w:rsidRPr="00E3715A">
        <w:t xml:space="preserve"> are issued under Part 3.4 of the </w:t>
      </w:r>
      <w:r w:rsidR="00E3261A">
        <w:t xml:space="preserve">Radiocommunications </w:t>
      </w:r>
      <w:r w:rsidR="00DF42BD" w:rsidRPr="00E3715A">
        <w:t>Act. They are not issued to a single licensee</w:t>
      </w:r>
      <w:r w:rsidR="00E8763C">
        <w:t xml:space="preserve"> on an exclusive basis</w:t>
      </w:r>
      <w:r w:rsidR="00E3261A">
        <w:t>. T</w:t>
      </w:r>
      <w:r w:rsidR="00E8763C">
        <w:t>hey are issued</w:t>
      </w:r>
      <w:r w:rsidR="00DF42BD" w:rsidRPr="00E3715A">
        <w:t xml:space="preserve"> on a shared basis, and do not incur licence fees. Any person may operate a radiocommunications device under a class licence, as long as the operation </w:t>
      </w:r>
      <w:r w:rsidR="00E8763C">
        <w:t xml:space="preserve">of the device </w:t>
      </w:r>
      <w:r w:rsidR="00DF42BD" w:rsidRPr="00E3715A">
        <w:t>complies with</w:t>
      </w:r>
      <w:r w:rsidR="00DF42BD">
        <w:t xml:space="preserve"> the conditions of the licence.</w:t>
      </w:r>
    </w:p>
    <w:p w14:paraId="6F2C1A5F" w14:textId="1DA6D295" w:rsidR="00E8763C" w:rsidRPr="00365FCF" w:rsidRDefault="00E8763C" w:rsidP="00E40CBB">
      <w:pPr>
        <w:pStyle w:val="Heading3"/>
      </w:pPr>
      <w:bookmarkStart w:id="11" w:name="_Toc131603569"/>
      <w:r w:rsidRPr="00365FCF">
        <w:t>Spectrum licences</w:t>
      </w:r>
      <w:bookmarkEnd w:id="11"/>
    </w:p>
    <w:p w14:paraId="0EE322E7" w14:textId="045D2844" w:rsidR="00DF42BD" w:rsidRPr="00E3715A" w:rsidRDefault="0070702D" w:rsidP="00E40CBB">
      <w:pPr>
        <w:pStyle w:val="Paragraph"/>
      </w:pPr>
      <w:hyperlink r:id="rId33" w:history="1">
        <w:r w:rsidR="00DF42BD" w:rsidRPr="00E8763C">
          <w:rPr>
            <w:rStyle w:val="Hyperlink"/>
          </w:rPr>
          <w:t>Spectrum licences</w:t>
        </w:r>
      </w:hyperlink>
      <w:r w:rsidR="00DF42BD" w:rsidRPr="00E3715A">
        <w:t xml:space="preserve"> are issued under Part 3.2 of the</w:t>
      </w:r>
      <w:r w:rsidR="002B2247">
        <w:t xml:space="preserve"> </w:t>
      </w:r>
      <w:r w:rsidR="00E3261A">
        <w:t xml:space="preserve">Radiocommunications </w:t>
      </w:r>
      <w:r w:rsidR="002B2247">
        <w:t>Act</w:t>
      </w:r>
      <w:r w:rsidR="00DF42BD" w:rsidRPr="00E3715A">
        <w:t>. They authorise the holder of the licence to operate radiocommunications devices within a specified ‘spectrum space’</w:t>
      </w:r>
      <w:r w:rsidR="00E3261A">
        <w:t xml:space="preserve">. This </w:t>
      </w:r>
      <w:r w:rsidR="00DF42BD" w:rsidRPr="00E3715A">
        <w:t>is defined by frequency bandwidth and geographic area.</w:t>
      </w:r>
      <w:r w:rsidR="00DF42BD">
        <w:t xml:space="preserve"> </w:t>
      </w:r>
      <w:r w:rsidR="00DF42BD" w:rsidRPr="00E3715A">
        <w:t xml:space="preserve">Licensees can operate any type of radiocommunications device for any purpose, provided they comply with the licence conditions and technical frameworks relevant to the licence. The technical framework is designed to manage interference </w:t>
      </w:r>
      <w:r w:rsidR="00756EE8">
        <w:t>with</w:t>
      </w:r>
      <w:r w:rsidR="00DF42BD" w:rsidRPr="00E3715A">
        <w:t xml:space="preserve"> other spectrum users.</w:t>
      </w:r>
      <w:r w:rsidR="00B33F27">
        <w:t xml:space="preserve"> </w:t>
      </w:r>
      <w:r w:rsidR="00745031" w:rsidRPr="00365FCF">
        <w:t>Spectrum licences may be issued for a period of up to 20 years.</w:t>
      </w:r>
    </w:p>
    <w:p w14:paraId="50BFE77B" w14:textId="341AAEC3" w:rsidR="007A1C4B" w:rsidRPr="00E3715A" w:rsidRDefault="00E211CD" w:rsidP="00E40CBB">
      <w:pPr>
        <w:pStyle w:val="Heading2"/>
      </w:pPr>
      <w:bookmarkStart w:id="12" w:name="_Toc101444616"/>
      <w:bookmarkStart w:id="13" w:name="_Toc131603570"/>
      <w:bookmarkEnd w:id="6"/>
      <w:r>
        <w:t>How the ACMA issues spectrum licences</w:t>
      </w:r>
      <w:bookmarkEnd w:id="12"/>
      <w:bookmarkEnd w:id="13"/>
    </w:p>
    <w:p w14:paraId="7313773A" w14:textId="2456B8E6" w:rsidR="00D36854" w:rsidRPr="00E3715A" w:rsidRDefault="003129BD" w:rsidP="00E40CBB">
      <w:pPr>
        <w:pStyle w:val="Paragraph"/>
      </w:pPr>
      <w:bookmarkStart w:id="14" w:name="_Toc325970680"/>
      <w:bookmarkStart w:id="15" w:name="_Toc327278915"/>
      <w:bookmarkStart w:id="16" w:name="_Toc341966556"/>
      <w:r w:rsidRPr="003C4089">
        <w:t xml:space="preserve">The ACMA issues spectrum licences in accordance with Part 3.2 of the </w:t>
      </w:r>
      <w:r w:rsidR="000654F2">
        <w:t xml:space="preserve">Radiocommunications </w:t>
      </w:r>
      <w:r w:rsidRPr="003C4089">
        <w:t xml:space="preserve">Act. </w:t>
      </w:r>
      <w:bookmarkEnd w:id="14"/>
      <w:bookmarkEnd w:id="15"/>
      <w:bookmarkEnd w:id="16"/>
      <w:r w:rsidR="001319B1">
        <w:t xml:space="preserve">Procedures </w:t>
      </w:r>
      <w:r w:rsidR="0078279E">
        <w:t>that</w:t>
      </w:r>
      <w:r w:rsidR="001319B1">
        <w:t xml:space="preserve"> we follow </w:t>
      </w:r>
      <w:r w:rsidR="0036579D">
        <w:t>to</w:t>
      </w:r>
      <w:r w:rsidR="0057200F">
        <w:t xml:space="preserve"> allocate </w:t>
      </w:r>
      <w:r w:rsidR="00752983">
        <w:t xml:space="preserve">the </w:t>
      </w:r>
      <w:r w:rsidR="0057200F">
        <w:t xml:space="preserve">spectrum and issue </w:t>
      </w:r>
      <w:r w:rsidR="001319B1">
        <w:t xml:space="preserve">spectrum licences </w:t>
      </w:r>
      <w:r w:rsidR="0057200F">
        <w:t>are</w:t>
      </w:r>
      <w:r w:rsidR="001319B1">
        <w:t xml:space="preserve"> outlined in the ‘Allocation and re-allocation’ section of the </w:t>
      </w:r>
      <w:r w:rsidR="00014275">
        <w:t xml:space="preserve">licensing and allocation </w:t>
      </w:r>
      <w:r w:rsidR="001319B1">
        <w:t>information paper.</w:t>
      </w:r>
    </w:p>
    <w:p w14:paraId="4603828F" w14:textId="3D532079" w:rsidR="007A1C4B" w:rsidRPr="00E3715A" w:rsidRDefault="007A1C4B" w:rsidP="00E40CBB">
      <w:pPr>
        <w:pStyle w:val="Paragraphbeforelist"/>
      </w:pPr>
      <w:r w:rsidRPr="00E3715A">
        <w:t xml:space="preserve">An interested party can obtain access to </w:t>
      </w:r>
      <w:r w:rsidR="004B7D9A">
        <w:t>the</w:t>
      </w:r>
      <w:r w:rsidRPr="00E3715A">
        <w:t xml:space="preserve"> spectrum under a spectrum licence by</w:t>
      </w:r>
      <w:r>
        <w:t>:</w:t>
      </w:r>
    </w:p>
    <w:p w14:paraId="0FB47667" w14:textId="149E5CE0" w:rsidR="007A1C4B" w:rsidRPr="00E3715A" w:rsidRDefault="007A1C4B" w:rsidP="00E40CBB">
      <w:pPr>
        <w:pStyle w:val="ListBullet"/>
      </w:pPr>
      <w:r w:rsidRPr="00E3715A">
        <w:t xml:space="preserve">participating in </w:t>
      </w:r>
      <w:r>
        <w:t xml:space="preserve">an </w:t>
      </w:r>
      <w:r w:rsidRPr="0047565F">
        <w:t>allocation</w:t>
      </w:r>
      <w:r>
        <w:t xml:space="preserve"> </w:t>
      </w:r>
      <w:r w:rsidRPr="00E3715A">
        <w:t xml:space="preserve">of </w:t>
      </w:r>
      <w:r w:rsidR="004B7D9A">
        <w:t>the</w:t>
      </w:r>
      <w:r w:rsidRPr="00E3715A">
        <w:t xml:space="preserve"> spectrum conducted by the ACMA</w:t>
      </w:r>
    </w:p>
    <w:p w14:paraId="192F07B7" w14:textId="787C8242" w:rsidR="007A1C4B" w:rsidRPr="00E3715A" w:rsidRDefault="007A1C4B" w:rsidP="00E40CBB">
      <w:pPr>
        <w:pStyle w:val="ListBullet"/>
        <w:rPr>
          <w:rFonts w:cs="Arial"/>
        </w:rPr>
      </w:pPr>
      <w:r w:rsidRPr="00E3715A">
        <w:rPr>
          <w:rFonts w:cs="Arial"/>
        </w:rPr>
        <w:t>trading with or acquiring a licence from an existing spectrum licence</w:t>
      </w:r>
      <w:r w:rsidR="00062CE7" w:rsidRPr="00432814">
        <w:rPr>
          <w:rFonts w:cs="Arial"/>
        </w:rPr>
        <w:t xml:space="preserve"> </w:t>
      </w:r>
      <w:r w:rsidRPr="00E3715A">
        <w:rPr>
          <w:rFonts w:cs="Arial"/>
        </w:rPr>
        <w:t xml:space="preserve">holder </w:t>
      </w:r>
    </w:p>
    <w:p w14:paraId="3C47B718" w14:textId="69FCEF48" w:rsidR="007A1C4B" w:rsidRDefault="007A1C4B" w:rsidP="00E40CBB">
      <w:pPr>
        <w:pStyle w:val="Bulletlevel1last"/>
      </w:pPr>
      <w:r w:rsidRPr="00E3715A">
        <w:t>obtaining a third-party authorisation from an existing licence-holder to use the whole or part of their spectrum.</w:t>
      </w:r>
    </w:p>
    <w:p w14:paraId="00252212" w14:textId="0491DB7C" w:rsidR="00991BF3" w:rsidRPr="002431AF" w:rsidRDefault="00790043" w:rsidP="00E40CBB">
      <w:pPr>
        <w:pStyle w:val="Paragraph"/>
      </w:pPr>
      <w:r w:rsidRPr="00EB359F">
        <w:t>You can view information about previous spectrum licence allocation processes on</w:t>
      </w:r>
      <w:r w:rsidR="000654F2">
        <w:t xml:space="preserve"> the</w:t>
      </w:r>
      <w:r w:rsidRPr="00EB359F">
        <w:t xml:space="preserve"> </w:t>
      </w:r>
      <w:hyperlink r:id="rId34" w:history="1">
        <w:r w:rsidRPr="00EB359F">
          <w:rPr>
            <w:rStyle w:val="Hyperlink"/>
          </w:rPr>
          <w:t>ACMA website</w:t>
        </w:r>
      </w:hyperlink>
      <w:r w:rsidRPr="00EB359F">
        <w:t>.</w:t>
      </w:r>
    </w:p>
    <w:p w14:paraId="02508474" w14:textId="11C2F295" w:rsidR="00CE291D" w:rsidRPr="00E3715A" w:rsidRDefault="00CE291D" w:rsidP="00E40CBB">
      <w:pPr>
        <w:pStyle w:val="Heading2"/>
      </w:pPr>
      <w:bookmarkStart w:id="17" w:name="_Toc131603571"/>
      <w:bookmarkStart w:id="18" w:name="_Toc341966571"/>
      <w:bookmarkStart w:id="19" w:name="_Toc101444625"/>
      <w:r w:rsidRPr="00E3715A">
        <w:t xml:space="preserve">Register of </w:t>
      </w:r>
      <w:r w:rsidR="00CC783A">
        <w:t>R</w:t>
      </w:r>
      <w:r w:rsidRPr="00AC3138">
        <w:t>adiocommunications</w:t>
      </w:r>
      <w:r w:rsidRPr="00E3715A">
        <w:t xml:space="preserve"> </w:t>
      </w:r>
      <w:r w:rsidR="00CC783A">
        <w:t>L</w:t>
      </w:r>
      <w:r w:rsidRPr="00E3715A">
        <w:t>icences</w:t>
      </w:r>
      <w:bookmarkEnd w:id="17"/>
    </w:p>
    <w:p w14:paraId="054CBBC2" w14:textId="519F0D3A" w:rsidR="00021AD2" w:rsidRDefault="00CE291D" w:rsidP="00E40CBB">
      <w:pPr>
        <w:rPr>
          <w:rFonts w:cs="Arial"/>
        </w:rPr>
      </w:pPr>
      <w:r w:rsidRPr="00E3715A">
        <w:rPr>
          <w:rFonts w:cs="Arial"/>
        </w:rPr>
        <w:t xml:space="preserve">Details of current licences in each of the spectrum-licensed bands are available in the </w:t>
      </w:r>
      <w:hyperlink r:id="rId35" w:history="1">
        <w:r w:rsidR="0015002E" w:rsidRPr="00F558E2">
          <w:rPr>
            <w:rStyle w:val="Hyperlink"/>
            <w:rFonts w:cs="Arial"/>
          </w:rPr>
          <w:t>Register of Radiocommunications Licences</w:t>
        </w:r>
      </w:hyperlink>
      <w:r w:rsidR="0015002E">
        <w:rPr>
          <w:rFonts w:cs="Arial"/>
        </w:rPr>
        <w:t xml:space="preserve"> (</w:t>
      </w:r>
      <w:r w:rsidRPr="00E3715A">
        <w:rPr>
          <w:rFonts w:cs="Arial"/>
        </w:rPr>
        <w:t>RRL</w:t>
      </w:r>
      <w:r w:rsidR="0015002E">
        <w:rPr>
          <w:rFonts w:cs="Arial"/>
        </w:rPr>
        <w:t>)</w:t>
      </w:r>
      <w:r w:rsidRPr="00E3715A">
        <w:rPr>
          <w:rFonts w:cs="Arial"/>
        </w:rPr>
        <w:t xml:space="preserve">. The RRL is a public reference source published on the ACMA website containing information about spectrum and apparatus licences issued under the </w:t>
      </w:r>
      <w:r w:rsidR="00E93485">
        <w:rPr>
          <w:rFonts w:cs="Arial"/>
        </w:rPr>
        <w:t xml:space="preserve">Radiocommunications </w:t>
      </w:r>
      <w:r>
        <w:rPr>
          <w:rFonts w:cs="Arial"/>
        </w:rPr>
        <w:t>Act</w:t>
      </w:r>
      <w:r w:rsidRPr="00E3715A">
        <w:rPr>
          <w:rFonts w:cs="Arial"/>
        </w:rPr>
        <w:t>, and the transmitters (and some receivers) that operate under spectrum licences</w:t>
      </w:r>
      <w:r w:rsidR="00044CA9">
        <w:rPr>
          <w:rFonts w:cs="Arial"/>
        </w:rPr>
        <w:t xml:space="preserve"> </w:t>
      </w:r>
      <w:r w:rsidR="004C2EB8">
        <w:rPr>
          <w:rFonts w:cs="Arial"/>
        </w:rPr>
        <w:t>or apparatus licences</w:t>
      </w:r>
      <w:r w:rsidRPr="00E3715A">
        <w:rPr>
          <w:rFonts w:cs="Arial"/>
        </w:rPr>
        <w:t xml:space="preserve">. </w:t>
      </w:r>
    </w:p>
    <w:p w14:paraId="65F60A10" w14:textId="731C54E9" w:rsidR="00CE291D" w:rsidRDefault="00021AD2" w:rsidP="00E40CBB">
      <w:pPr>
        <w:rPr>
          <w:rFonts w:cs="Arial"/>
        </w:rPr>
      </w:pPr>
      <w:r>
        <w:rPr>
          <w:rFonts w:cs="Arial"/>
        </w:rPr>
        <w:t xml:space="preserve">The RRL is maintained by the ACMA in accordance with </w:t>
      </w:r>
      <w:r w:rsidR="009C2FEE">
        <w:rPr>
          <w:rFonts w:cs="Arial"/>
        </w:rPr>
        <w:t xml:space="preserve">Part 3.5 </w:t>
      </w:r>
      <w:r>
        <w:rPr>
          <w:rFonts w:cs="Arial"/>
        </w:rPr>
        <w:t xml:space="preserve">of the </w:t>
      </w:r>
      <w:r w:rsidR="00E93485">
        <w:rPr>
          <w:rFonts w:cs="Arial"/>
        </w:rPr>
        <w:t xml:space="preserve">Radiocommunications </w:t>
      </w:r>
      <w:r>
        <w:rPr>
          <w:rFonts w:cs="Arial"/>
        </w:rPr>
        <w:t>Act.</w:t>
      </w:r>
      <w:r w:rsidR="00E93485">
        <w:rPr>
          <w:rFonts w:cs="Arial"/>
        </w:rPr>
        <w:t xml:space="preserve"> We </w:t>
      </w:r>
      <w:r w:rsidR="00CE291D" w:rsidRPr="00E3715A">
        <w:rPr>
          <w:rFonts w:cs="Arial"/>
        </w:rPr>
        <w:t>update details about spectrum licences and device registrations in the RRL when a spectrum licence is issued, varied, suspended, cancelled or surrendered</w:t>
      </w:r>
      <w:r w:rsidR="00E93485">
        <w:rPr>
          <w:rFonts w:cs="Arial"/>
        </w:rPr>
        <w:t xml:space="preserve"> –</w:t>
      </w:r>
      <w:r w:rsidR="00CE291D" w:rsidRPr="00E3715A">
        <w:rPr>
          <w:rFonts w:cs="Arial"/>
        </w:rPr>
        <w:t xml:space="preserve"> or if the licence or part of the licence is assigned to another </w:t>
      </w:r>
      <w:r w:rsidR="00CE291D">
        <w:rPr>
          <w:rFonts w:cs="Arial"/>
        </w:rPr>
        <w:t>person, or resumed by the ACMA.</w:t>
      </w:r>
      <w:r w:rsidR="00104EDB">
        <w:rPr>
          <w:rFonts w:cs="Arial"/>
        </w:rPr>
        <w:t xml:space="preserve"> </w:t>
      </w:r>
    </w:p>
    <w:p w14:paraId="67110B1D" w14:textId="57F3C9CC" w:rsidR="00B87B95" w:rsidRPr="00E3715A" w:rsidRDefault="00B87B95" w:rsidP="00E40CBB">
      <w:pPr>
        <w:pStyle w:val="Heading1"/>
      </w:pPr>
      <w:bookmarkStart w:id="20" w:name="_Toc131603572"/>
      <w:r w:rsidRPr="00E3715A">
        <w:lastRenderedPageBreak/>
        <w:t xml:space="preserve">Technical </w:t>
      </w:r>
      <w:bookmarkEnd w:id="18"/>
      <w:r w:rsidR="00E93485">
        <w:t>f</w:t>
      </w:r>
      <w:r w:rsidR="00DB6B53">
        <w:t>ramework</w:t>
      </w:r>
      <w:r w:rsidR="00E22485">
        <w:t>s</w:t>
      </w:r>
      <w:bookmarkEnd w:id="20"/>
      <w:r w:rsidR="00DB6B53">
        <w:t xml:space="preserve"> </w:t>
      </w:r>
      <w:bookmarkEnd w:id="19"/>
    </w:p>
    <w:p w14:paraId="228DBFDB" w14:textId="23B3B9C9" w:rsidR="00A04560" w:rsidRDefault="00E93485" w:rsidP="00E40CBB">
      <w:pPr>
        <w:rPr>
          <w:rFonts w:cs="Arial"/>
        </w:rPr>
      </w:pPr>
      <w:r>
        <w:rPr>
          <w:rFonts w:cs="Arial"/>
        </w:rPr>
        <w:t>We</w:t>
      </w:r>
      <w:r w:rsidR="006C6C6D" w:rsidRPr="007D04B2">
        <w:rPr>
          <w:rFonts w:cs="Arial"/>
        </w:rPr>
        <w:t xml:space="preserve"> develop a technical framework for every </w:t>
      </w:r>
      <w:r w:rsidR="00C65C3A">
        <w:rPr>
          <w:rFonts w:cs="Arial"/>
        </w:rPr>
        <w:t xml:space="preserve">frequency </w:t>
      </w:r>
      <w:r w:rsidR="006C6C6D" w:rsidRPr="007D04B2">
        <w:rPr>
          <w:rFonts w:cs="Arial"/>
        </w:rPr>
        <w:t xml:space="preserve">band subject to spectrum licensing. Each </w:t>
      </w:r>
      <w:r w:rsidR="00756EAB">
        <w:rPr>
          <w:rFonts w:cs="Arial"/>
        </w:rPr>
        <w:t>spectrum licence technical</w:t>
      </w:r>
      <w:r w:rsidR="006C6C6D" w:rsidRPr="007D04B2">
        <w:rPr>
          <w:rFonts w:cs="Arial"/>
        </w:rPr>
        <w:t xml:space="preserve"> framework is a collection of technical and regulatory conditions applicable to the use of radiocommunications devices in the band. The purpose</w:t>
      </w:r>
      <w:r w:rsidR="006C6C6D" w:rsidRPr="007D04B2" w:rsidDel="00F774CE">
        <w:rPr>
          <w:rFonts w:cs="Arial"/>
        </w:rPr>
        <w:t xml:space="preserve"> </w:t>
      </w:r>
      <w:r w:rsidR="006C6C6D" w:rsidRPr="007D04B2">
        <w:rPr>
          <w:rFonts w:cs="Arial"/>
        </w:rPr>
        <w:t xml:space="preserve">of the technical framework is to define the technical conditions and constraints under which a </w:t>
      </w:r>
      <w:r w:rsidR="002A7553">
        <w:rPr>
          <w:rFonts w:cs="Arial"/>
        </w:rPr>
        <w:t xml:space="preserve">radiocommunications </w:t>
      </w:r>
      <w:r w:rsidR="006C6C6D" w:rsidRPr="007D04B2">
        <w:rPr>
          <w:rFonts w:cs="Arial"/>
        </w:rPr>
        <w:t xml:space="preserve">device may be </w:t>
      </w:r>
      <w:r w:rsidR="001D7267">
        <w:rPr>
          <w:rFonts w:cs="Arial"/>
        </w:rPr>
        <w:t xml:space="preserve">registered (and subsequently </w:t>
      </w:r>
      <w:r w:rsidR="006C6C6D" w:rsidRPr="007D04B2">
        <w:rPr>
          <w:rFonts w:cs="Arial"/>
        </w:rPr>
        <w:t>deployed and operated</w:t>
      </w:r>
      <w:r w:rsidR="001D7267">
        <w:rPr>
          <w:rFonts w:cs="Arial"/>
        </w:rPr>
        <w:t>)</w:t>
      </w:r>
      <w:r w:rsidR="006C6C6D" w:rsidRPr="007D04B2">
        <w:rPr>
          <w:rFonts w:cs="Arial"/>
        </w:rPr>
        <w:t xml:space="preserve"> within the specified geographic area and frequency band of the licence.</w:t>
      </w:r>
      <w:r w:rsidR="00CE3134">
        <w:rPr>
          <w:rFonts w:cs="Arial"/>
        </w:rPr>
        <w:t xml:space="preserve"> </w:t>
      </w:r>
      <w:r w:rsidR="00A04560">
        <w:rPr>
          <w:rFonts w:cs="Arial"/>
        </w:rPr>
        <w:t>Some radiocommunications transmitters may be exempt from registration.</w:t>
      </w:r>
    </w:p>
    <w:p w14:paraId="5D2FA824" w14:textId="399EE20E" w:rsidR="006C6C6D" w:rsidRPr="007D04B2" w:rsidRDefault="00756EAB" w:rsidP="00E40CBB">
      <w:pPr>
        <w:rPr>
          <w:rFonts w:cs="Arial"/>
        </w:rPr>
      </w:pPr>
      <w:r>
        <w:rPr>
          <w:rFonts w:cs="Arial"/>
        </w:rPr>
        <w:t xml:space="preserve">Technical frameworks </w:t>
      </w:r>
      <w:r w:rsidR="004554B9">
        <w:rPr>
          <w:rFonts w:cs="Arial"/>
        </w:rPr>
        <w:t>establish the coexistence</w:t>
      </w:r>
      <w:r w:rsidR="00604E1D">
        <w:rPr>
          <w:rFonts w:cs="Arial"/>
        </w:rPr>
        <w:t xml:space="preserve"> and interference management</w:t>
      </w:r>
      <w:r w:rsidR="004554B9">
        <w:rPr>
          <w:rFonts w:cs="Arial"/>
        </w:rPr>
        <w:t xml:space="preserve"> framework between spectrum licensed uses</w:t>
      </w:r>
      <w:r w:rsidR="00F25A93">
        <w:rPr>
          <w:rFonts w:cs="Arial"/>
        </w:rPr>
        <w:t xml:space="preserve">. They </w:t>
      </w:r>
      <w:r w:rsidR="004554B9">
        <w:rPr>
          <w:rFonts w:cs="Arial"/>
        </w:rPr>
        <w:t xml:space="preserve">also </w:t>
      </w:r>
      <w:r>
        <w:rPr>
          <w:rFonts w:cs="Arial"/>
        </w:rPr>
        <w:t>contribute to the broader coexistence</w:t>
      </w:r>
      <w:r w:rsidR="00604E1D">
        <w:rPr>
          <w:rFonts w:cs="Arial"/>
        </w:rPr>
        <w:t xml:space="preserve"> and interference management</w:t>
      </w:r>
      <w:r>
        <w:rPr>
          <w:rFonts w:cs="Arial"/>
        </w:rPr>
        <w:t xml:space="preserve"> framework</w:t>
      </w:r>
      <w:r w:rsidR="00A32275">
        <w:rPr>
          <w:rFonts w:cs="Arial"/>
        </w:rPr>
        <w:t xml:space="preserve"> with</w:t>
      </w:r>
      <w:r>
        <w:rPr>
          <w:rFonts w:cs="Arial"/>
        </w:rPr>
        <w:t xml:space="preserve"> </w:t>
      </w:r>
      <w:r w:rsidR="00B1240D">
        <w:rPr>
          <w:rFonts w:cs="Arial"/>
        </w:rPr>
        <w:t>apparatus and class licence</w:t>
      </w:r>
      <w:r w:rsidR="00A32275">
        <w:rPr>
          <w:rFonts w:cs="Arial"/>
        </w:rPr>
        <w:t>d</w:t>
      </w:r>
      <w:r w:rsidR="00E248FC">
        <w:rPr>
          <w:rFonts w:cs="Arial"/>
        </w:rPr>
        <w:t xml:space="preserve"> </w:t>
      </w:r>
      <w:r>
        <w:rPr>
          <w:rFonts w:cs="Arial"/>
        </w:rPr>
        <w:t xml:space="preserve">spectrum uses (often in nearby bands). Accordingly, technical frameworks are developed considering the </w:t>
      </w:r>
      <w:r w:rsidR="0057262B">
        <w:rPr>
          <w:rFonts w:cs="Arial"/>
        </w:rPr>
        <w:t>interests</w:t>
      </w:r>
      <w:r>
        <w:rPr>
          <w:rFonts w:cs="Arial"/>
        </w:rPr>
        <w:t xml:space="preserve"> of </w:t>
      </w:r>
      <w:r w:rsidR="0057262B">
        <w:rPr>
          <w:rFonts w:cs="Arial"/>
        </w:rPr>
        <w:t xml:space="preserve">both </w:t>
      </w:r>
      <w:r>
        <w:rPr>
          <w:rFonts w:cs="Arial"/>
        </w:rPr>
        <w:t>spectrum</w:t>
      </w:r>
      <w:r w:rsidR="0057262B">
        <w:rPr>
          <w:rFonts w:cs="Arial"/>
        </w:rPr>
        <w:t xml:space="preserve"> licensees and other spectrum users. </w:t>
      </w:r>
    </w:p>
    <w:p w14:paraId="08525E00" w14:textId="64348037" w:rsidR="006C6C6D" w:rsidRPr="007D04B2" w:rsidRDefault="006C6C6D" w:rsidP="00E40CBB">
      <w:pPr>
        <w:rPr>
          <w:rFonts w:cs="Arial"/>
        </w:rPr>
      </w:pPr>
      <w:r w:rsidRPr="007D04B2">
        <w:rPr>
          <w:rFonts w:cs="Arial"/>
        </w:rPr>
        <w:t xml:space="preserve">Although </w:t>
      </w:r>
      <w:r w:rsidR="00D330FE">
        <w:rPr>
          <w:rFonts w:cs="Arial"/>
        </w:rPr>
        <w:t>a</w:t>
      </w:r>
      <w:r w:rsidRPr="007D04B2">
        <w:rPr>
          <w:rFonts w:cs="Arial"/>
        </w:rPr>
        <w:t xml:space="preserve"> technical framework </w:t>
      </w:r>
      <w:r w:rsidR="00DF404E">
        <w:rPr>
          <w:rFonts w:cs="Arial"/>
        </w:rPr>
        <w:t>may be</w:t>
      </w:r>
      <w:r w:rsidRPr="007D04B2">
        <w:rPr>
          <w:rFonts w:cs="Arial"/>
        </w:rPr>
        <w:t xml:space="preserve"> optimised for technologies or services most likely to be deployed in the band, it is intended to be technology</w:t>
      </w:r>
      <w:r>
        <w:rPr>
          <w:rFonts w:cs="Arial"/>
        </w:rPr>
        <w:t>-</w:t>
      </w:r>
      <w:r w:rsidRPr="007D04B2">
        <w:rPr>
          <w:rFonts w:cs="Arial"/>
        </w:rPr>
        <w:t xml:space="preserve">flexible. This means licensees can operate any type of radiocommunications device for any purpose, provided they comply with the technical framework relevant to the </w:t>
      </w:r>
      <w:r w:rsidR="00A71C30">
        <w:rPr>
          <w:rFonts w:cs="Arial"/>
        </w:rPr>
        <w:t>band</w:t>
      </w:r>
      <w:r w:rsidRPr="007D04B2">
        <w:rPr>
          <w:rFonts w:cs="Arial"/>
        </w:rPr>
        <w:t xml:space="preserve">. </w:t>
      </w:r>
    </w:p>
    <w:p w14:paraId="09BC6191" w14:textId="10EB1749" w:rsidR="00EC0DD7" w:rsidRPr="007D04B2" w:rsidRDefault="00EC0DD7" w:rsidP="00E40CBB">
      <w:pPr>
        <w:pStyle w:val="Paragraphbeforelist"/>
      </w:pPr>
      <w:r w:rsidRPr="007D04B2">
        <w:t xml:space="preserve">A technical framework consists of </w:t>
      </w:r>
      <w:r w:rsidR="00AC655A">
        <w:t>3</w:t>
      </w:r>
      <w:r w:rsidR="00AC655A" w:rsidRPr="007D04B2">
        <w:t xml:space="preserve"> </w:t>
      </w:r>
      <w:r w:rsidRPr="007D04B2">
        <w:t xml:space="preserve">interlocking regulatory elements provided for under the </w:t>
      </w:r>
      <w:r>
        <w:t>Act</w:t>
      </w:r>
      <w:r w:rsidRPr="007D04B2">
        <w:t>:</w:t>
      </w:r>
    </w:p>
    <w:p w14:paraId="35D92B9C" w14:textId="2D8FA657" w:rsidR="000A7E46" w:rsidRDefault="00EC0DD7" w:rsidP="003C2651">
      <w:pPr>
        <w:pStyle w:val="Numberlistlevel1"/>
      </w:pPr>
      <w:r w:rsidRPr="007D04B2">
        <w:t xml:space="preserve">The conditions specified on </w:t>
      </w:r>
      <w:r w:rsidR="00020195">
        <w:t>a</w:t>
      </w:r>
      <w:r w:rsidRPr="007D04B2">
        <w:t xml:space="preserve"> spectrum licence</w:t>
      </w:r>
      <w:r w:rsidR="002B2D18">
        <w:t>, which</w:t>
      </w:r>
      <w:r>
        <w:t xml:space="preserve"> </w:t>
      </w:r>
      <w:r w:rsidR="004B34CD">
        <w:t>include:</w:t>
      </w:r>
    </w:p>
    <w:p w14:paraId="1AF7A383" w14:textId="7A8A28AE" w:rsidR="00EC0DD7" w:rsidRDefault="00F25A93" w:rsidP="00E40CBB">
      <w:pPr>
        <w:pStyle w:val="Bulletlevel1"/>
        <w:tabs>
          <w:tab w:val="clear" w:pos="295"/>
          <w:tab w:val="num" w:pos="579"/>
        </w:tabs>
        <w:ind w:left="579"/>
      </w:pPr>
      <w:r w:rsidRPr="007D56CA">
        <w:rPr>
          <w:b/>
          <w:bCs/>
        </w:rPr>
        <w:t>C</w:t>
      </w:r>
      <w:r w:rsidR="00EC0DD7" w:rsidRPr="007D56CA">
        <w:rPr>
          <w:b/>
          <w:bCs/>
        </w:rPr>
        <w:t>ore conditions</w:t>
      </w:r>
      <w:r>
        <w:t xml:space="preserve">: </w:t>
      </w:r>
      <w:r w:rsidR="001260A7">
        <w:t xml:space="preserve">required under section 66 of the Act, </w:t>
      </w:r>
      <w:r w:rsidR="00213ACB">
        <w:t>these</w:t>
      </w:r>
      <w:r w:rsidR="00EC0DD7" w:rsidRPr="007D04B2">
        <w:t xml:space="preserve"> define the spectrum space (both frequency and geographical area) and the level of </w:t>
      </w:r>
      <w:r w:rsidR="000F5B19">
        <w:t>radio</w:t>
      </w:r>
      <w:r w:rsidR="004827AC">
        <w:t xml:space="preserve"> </w:t>
      </w:r>
      <w:r w:rsidR="00EC0DD7" w:rsidRPr="007D04B2">
        <w:t>emissions permitted inside and across the frequency boundaries of the licence</w:t>
      </w:r>
      <w:r w:rsidR="000D4932">
        <w:t xml:space="preserve">. </w:t>
      </w:r>
    </w:p>
    <w:p w14:paraId="4CF99569" w14:textId="22B99D08" w:rsidR="002F0D04" w:rsidRDefault="00F25A93" w:rsidP="00E40CBB">
      <w:pPr>
        <w:pStyle w:val="Bulletlevel1"/>
        <w:tabs>
          <w:tab w:val="clear" w:pos="295"/>
          <w:tab w:val="num" w:pos="579"/>
        </w:tabs>
        <w:ind w:left="579"/>
      </w:pPr>
      <w:r w:rsidRPr="007D56CA">
        <w:rPr>
          <w:b/>
          <w:bCs/>
        </w:rPr>
        <w:t>S</w:t>
      </w:r>
      <w:r w:rsidR="002F0D04" w:rsidRPr="007D56CA">
        <w:rPr>
          <w:b/>
          <w:bCs/>
        </w:rPr>
        <w:t>tatutory licence conditions</w:t>
      </w:r>
      <w:r>
        <w:t>:</w:t>
      </w:r>
      <w:r w:rsidR="00DA79E8">
        <w:t xml:space="preserve"> </w:t>
      </w:r>
      <w:r w:rsidR="001A7D16" w:rsidRPr="007D04B2">
        <w:t>required under sections 67 to 69A</w:t>
      </w:r>
      <w:r w:rsidR="001A7D16">
        <w:t xml:space="preserve"> of the Act</w:t>
      </w:r>
      <w:r w:rsidR="001A7D16" w:rsidRPr="007D04B2">
        <w:t xml:space="preserve">, these conditions include information about payment of charges, use by third parties, residency, registration of </w:t>
      </w:r>
      <w:r w:rsidR="00C74C14">
        <w:t xml:space="preserve">radiocommunications </w:t>
      </w:r>
      <w:r w:rsidR="001A7D16" w:rsidRPr="007D04B2">
        <w:t xml:space="preserve">devices </w:t>
      </w:r>
      <w:r w:rsidR="00C74C14">
        <w:t>and radiocommunications</w:t>
      </w:r>
      <w:r w:rsidR="00C74C14" w:rsidRPr="007D04B2">
        <w:t xml:space="preserve"> </w:t>
      </w:r>
      <w:r w:rsidR="001A7D16" w:rsidRPr="007D04B2">
        <w:t>transmitters exempt from registration.</w:t>
      </w:r>
    </w:p>
    <w:p w14:paraId="3FCABB25" w14:textId="354AE1E7" w:rsidR="007909BD" w:rsidRPr="007D04B2" w:rsidRDefault="00F25A93" w:rsidP="00E40CBB">
      <w:pPr>
        <w:pStyle w:val="Bulletlevel1"/>
        <w:tabs>
          <w:tab w:val="clear" w:pos="295"/>
          <w:tab w:val="num" w:pos="579"/>
        </w:tabs>
        <w:ind w:left="579"/>
      </w:pPr>
      <w:r>
        <w:rPr>
          <w:b/>
          <w:bCs/>
        </w:rPr>
        <w:t>O</w:t>
      </w:r>
      <w:r w:rsidR="00494C58" w:rsidRPr="007D56CA">
        <w:rPr>
          <w:b/>
          <w:bCs/>
        </w:rPr>
        <w:t>ther conditions</w:t>
      </w:r>
      <w:r>
        <w:t>:</w:t>
      </w:r>
      <w:r w:rsidR="00DA79E8">
        <w:t xml:space="preserve"> </w:t>
      </w:r>
      <w:r w:rsidR="00183C08">
        <w:t xml:space="preserve">other </w:t>
      </w:r>
      <w:r w:rsidR="00183C08" w:rsidRPr="007D04B2">
        <w:t xml:space="preserve">conditions </w:t>
      </w:r>
      <w:r w:rsidR="00183C08">
        <w:t xml:space="preserve">can be </w:t>
      </w:r>
      <w:r w:rsidR="00183C08" w:rsidRPr="007D04B2">
        <w:t>placed on licences</w:t>
      </w:r>
      <w:r w:rsidR="009478E0">
        <w:t xml:space="preserve"> in accordance with</w:t>
      </w:r>
      <w:r w:rsidR="00183C08" w:rsidRPr="007D04B2">
        <w:t xml:space="preserve"> section 71</w:t>
      </w:r>
      <w:r w:rsidR="009478E0">
        <w:t xml:space="preserve"> of the Act</w:t>
      </w:r>
      <w:r w:rsidR="00583163">
        <w:t>. These</w:t>
      </w:r>
      <w:r w:rsidR="00183C08" w:rsidRPr="007D04B2">
        <w:t xml:space="preserve"> generally provide for the efficient management of the spectrum and administration of the Act. </w:t>
      </w:r>
      <w:r w:rsidR="00F63A72">
        <w:t>They</w:t>
      </w:r>
      <w:r w:rsidR="00183C08" w:rsidRPr="007D04B2">
        <w:t xml:space="preserve"> may vary from one band or licence to another.</w:t>
      </w:r>
    </w:p>
    <w:p w14:paraId="29489608" w14:textId="5EA6C73E" w:rsidR="00EC0DD7" w:rsidRPr="007D04B2" w:rsidRDefault="00EC0DD7" w:rsidP="003C2651">
      <w:pPr>
        <w:pStyle w:val="Numberlistlevel1"/>
      </w:pPr>
      <w:r w:rsidRPr="007D04B2">
        <w:t xml:space="preserve">A determination of unacceptable </w:t>
      </w:r>
      <w:r w:rsidR="008E7FA9">
        <w:t xml:space="preserve">levels of </w:t>
      </w:r>
      <w:r w:rsidRPr="007D04B2">
        <w:t>interference for the purpose of device registration in each band (</w:t>
      </w:r>
      <w:r w:rsidR="00C83AE9">
        <w:t>sub</w:t>
      </w:r>
      <w:r w:rsidRPr="007D04B2">
        <w:t>section 145</w:t>
      </w:r>
      <w:r w:rsidR="00A111F5">
        <w:t>(4)</w:t>
      </w:r>
      <w:r w:rsidRPr="007D04B2">
        <w:t xml:space="preserve"> of the Act). This defines permissible levels of emissions across geographical licence boundaries and can also define various deployment constraints.</w:t>
      </w:r>
    </w:p>
    <w:p w14:paraId="60B088A5" w14:textId="00DA94C0" w:rsidR="00EC0DD7" w:rsidRDefault="00EC0DD7" w:rsidP="003C2651">
      <w:pPr>
        <w:pStyle w:val="Numberlistlast"/>
      </w:pPr>
      <w:r w:rsidRPr="007D04B2">
        <w:t>Radiocommunications advisory guidelines that provide assistance and advice for coordination with stations in other services when and where required (section 262 of the Act). This includes detailing interference management criteria with incumbent apparatus</w:t>
      </w:r>
      <w:r w:rsidR="00D75B78">
        <w:t xml:space="preserve"> and class licence</w:t>
      </w:r>
      <w:r w:rsidR="00350E84">
        <w:t>s</w:t>
      </w:r>
      <w:r w:rsidR="00D75B78">
        <w:t xml:space="preserve"> as well as</w:t>
      </w:r>
      <w:r w:rsidRPr="007D04B2">
        <w:t xml:space="preserve"> other spectrum licences. </w:t>
      </w:r>
    </w:p>
    <w:p w14:paraId="0F9FC0BD" w14:textId="753F7AB0" w:rsidR="005158B0" w:rsidRPr="003800EB" w:rsidRDefault="005158B0" w:rsidP="00E40CBB">
      <w:r w:rsidRPr="003800EB">
        <w:rPr>
          <w:rFonts w:cs="Arial"/>
        </w:rPr>
        <w:t>Details on the technical frameworks for existing spectrum licen</w:t>
      </w:r>
      <w:r w:rsidR="00070231">
        <w:rPr>
          <w:rFonts w:cs="Arial"/>
        </w:rPr>
        <w:t>s</w:t>
      </w:r>
      <w:r w:rsidRPr="003800EB">
        <w:rPr>
          <w:rFonts w:cs="Arial"/>
        </w:rPr>
        <w:t>e</w:t>
      </w:r>
      <w:r w:rsidR="003800EB" w:rsidRPr="003800EB">
        <w:rPr>
          <w:rFonts w:cs="Arial"/>
        </w:rPr>
        <w:t xml:space="preserve">d bands are available on the </w:t>
      </w:r>
      <w:hyperlink r:id="rId36" w:history="1">
        <w:r w:rsidR="003800EB" w:rsidRPr="003800EB">
          <w:rPr>
            <w:rStyle w:val="Hyperlink"/>
            <w:rFonts w:cs="Arial"/>
          </w:rPr>
          <w:t>ACMA website</w:t>
        </w:r>
      </w:hyperlink>
      <w:r w:rsidR="003800EB" w:rsidRPr="003800EB">
        <w:rPr>
          <w:rFonts w:cs="Arial"/>
        </w:rPr>
        <w:t xml:space="preserve">. </w:t>
      </w:r>
    </w:p>
    <w:p w14:paraId="2617DE56" w14:textId="43C7F512" w:rsidR="009B1D5B" w:rsidRPr="00E3715A" w:rsidRDefault="009B1D5B" w:rsidP="00E40CBB">
      <w:pPr>
        <w:pStyle w:val="Heading2"/>
      </w:pPr>
      <w:bookmarkStart w:id="21" w:name="_Toc101444626"/>
      <w:bookmarkStart w:id="22" w:name="_Toc131603573"/>
      <w:r>
        <w:lastRenderedPageBreak/>
        <w:t xml:space="preserve">How </w:t>
      </w:r>
      <w:r w:rsidR="00AC7A96">
        <w:t>a</w:t>
      </w:r>
      <w:r w:rsidR="00FD65A1">
        <w:t xml:space="preserve"> spectrum licence</w:t>
      </w:r>
      <w:r>
        <w:t xml:space="preserve"> technical framework is developed</w:t>
      </w:r>
      <w:bookmarkEnd w:id="21"/>
      <w:bookmarkEnd w:id="22"/>
    </w:p>
    <w:p w14:paraId="0F6173A9" w14:textId="4EB21BDB" w:rsidR="00B87B95" w:rsidRPr="00E3715A" w:rsidRDefault="00B87B95" w:rsidP="0032114C">
      <w:pPr>
        <w:pStyle w:val="Paragraphbeforelist"/>
      </w:pPr>
      <w:r w:rsidRPr="00E3715A">
        <w:t xml:space="preserve">The development of </w:t>
      </w:r>
      <w:r w:rsidR="00C35EED">
        <w:t>a</w:t>
      </w:r>
      <w:r w:rsidRPr="00E3715A">
        <w:t xml:space="preserve"> </w:t>
      </w:r>
      <w:r w:rsidR="00FD65A1">
        <w:t xml:space="preserve">spectrum licence </w:t>
      </w:r>
      <w:r w:rsidRPr="00E3715A">
        <w:t>technical framework is predicated on the assumptions that:</w:t>
      </w:r>
    </w:p>
    <w:p w14:paraId="289EDEBB" w14:textId="009D42E2" w:rsidR="00B87B95" w:rsidRPr="00E3715A" w:rsidRDefault="00B87B95" w:rsidP="00E40CBB">
      <w:pPr>
        <w:pStyle w:val="ListBullet"/>
        <w:rPr>
          <w:rFonts w:cs="Arial"/>
        </w:rPr>
      </w:pPr>
      <w:r w:rsidRPr="00E3715A">
        <w:rPr>
          <w:rFonts w:cs="Arial"/>
        </w:rPr>
        <w:t xml:space="preserve">good engineering practices are employed in establishing and maintaining </w:t>
      </w:r>
      <w:r w:rsidR="00654EB5">
        <w:rPr>
          <w:rFonts w:cs="Arial"/>
        </w:rPr>
        <w:t>radiocommuni</w:t>
      </w:r>
      <w:r w:rsidR="00670046">
        <w:rPr>
          <w:rFonts w:cs="Arial"/>
        </w:rPr>
        <w:t>ca</w:t>
      </w:r>
      <w:r w:rsidR="00654EB5">
        <w:rPr>
          <w:rFonts w:cs="Arial"/>
        </w:rPr>
        <w:t xml:space="preserve">tions </w:t>
      </w:r>
      <w:r w:rsidRPr="00E3715A">
        <w:rPr>
          <w:rFonts w:cs="Arial"/>
        </w:rPr>
        <w:t>services</w:t>
      </w:r>
    </w:p>
    <w:p w14:paraId="71D37895" w14:textId="77777777" w:rsidR="00B87B95" w:rsidRPr="00E3715A" w:rsidRDefault="00B87B95" w:rsidP="00E40CBB">
      <w:pPr>
        <w:pStyle w:val="ListBullet"/>
        <w:rPr>
          <w:rFonts w:cs="Arial"/>
        </w:rPr>
      </w:pPr>
      <w:r w:rsidRPr="00E3715A">
        <w:rPr>
          <w:rFonts w:cs="Arial"/>
        </w:rPr>
        <w:t>receivers employed by spectrum licensees will meet minimum receiver performance levels for protection from interference</w:t>
      </w:r>
      <w:r w:rsidRPr="00E3715A">
        <w:rPr>
          <w:rStyle w:val="FootnoteReference"/>
          <w:rFonts w:cs="Arial"/>
          <w:sz w:val="22"/>
          <w:szCs w:val="22"/>
        </w:rPr>
        <w:footnoteReference w:id="3"/>
      </w:r>
    </w:p>
    <w:p w14:paraId="58C5E55D" w14:textId="6CC96622" w:rsidR="00B87B95" w:rsidRPr="00E3715A" w:rsidRDefault="00B87B95" w:rsidP="00E40CBB">
      <w:pPr>
        <w:pStyle w:val="ListBullet"/>
        <w:rPr>
          <w:rFonts w:cs="Arial"/>
        </w:rPr>
      </w:pPr>
      <w:r w:rsidRPr="00E3715A">
        <w:rPr>
          <w:rFonts w:cs="Arial"/>
        </w:rPr>
        <w:t xml:space="preserve">receivers employed by apparatus licensees </w:t>
      </w:r>
      <w:r w:rsidR="000A29B4">
        <w:rPr>
          <w:rFonts w:cs="Arial"/>
        </w:rPr>
        <w:t>adjacent or near to a spectrum licensee</w:t>
      </w:r>
      <w:r w:rsidR="000A29B4" w:rsidRPr="00E3715A">
        <w:rPr>
          <w:rFonts w:cs="Arial"/>
        </w:rPr>
        <w:t xml:space="preserve"> </w:t>
      </w:r>
      <w:r w:rsidRPr="00E3715A">
        <w:rPr>
          <w:rFonts w:cs="Arial"/>
        </w:rPr>
        <w:t xml:space="preserve">will meet the relevant level of performance referred to in the advisory guideline that applies to the </w:t>
      </w:r>
      <w:r w:rsidR="004A10E3">
        <w:rPr>
          <w:rFonts w:cs="Arial"/>
        </w:rPr>
        <w:t xml:space="preserve">receivers of the </w:t>
      </w:r>
      <w:r w:rsidRPr="00E3715A">
        <w:rPr>
          <w:rFonts w:cs="Arial"/>
        </w:rPr>
        <w:t>licensed service in question</w:t>
      </w:r>
    </w:p>
    <w:p w14:paraId="3AFCF6BB" w14:textId="3A9E1A8C" w:rsidR="00B87B95" w:rsidRPr="00E3715A" w:rsidRDefault="00B87B95" w:rsidP="00E40CBB">
      <w:pPr>
        <w:pStyle w:val="ListBullet"/>
        <w:spacing w:after="240"/>
        <w:rPr>
          <w:rFonts w:cs="Arial"/>
        </w:rPr>
      </w:pPr>
      <w:r w:rsidRPr="00E3715A">
        <w:rPr>
          <w:rFonts w:cs="Arial"/>
        </w:rPr>
        <w:t xml:space="preserve">spectrum licensees will be responsible for managing interference that they, or authorised third parties, cause to their own </w:t>
      </w:r>
      <w:r w:rsidR="009849FD">
        <w:rPr>
          <w:rFonts w:cs="Arial"/>
        </w:rPr>
        <w:t xml:space="preserve">licensed </w:t>
      </w:r>
      <w:r w:rsidRPr="00E3715A">
        <w:rPr>
          <w:rFonts w:cs="Arial"/>
        </w:rPr>
        <w:t xml:space="preserve">services by operating </w:t>
      </w:r>
      <w:r w:rsidR="001553FE">
        <w:rPr>
          <w:rFonts w:cs="Arial"/>
        </w:rPr>
        <w:t>radiocommunications</w:t>
      </w:r>
      <w:r w:rsidRPr="00E3715A">
        <w:rPr>
          <w:rFonts w:cs="Arial"/>
        </w:rPr>
        <w:t xml:space="preserve"> devices under any spectrum licence or apparatus licence</w:t>
      </w:r>
      <w:r w:rsidR="009D3D95">
        <w:rPr>
          <w:rFonts w:cs="Arial"/>
        </w:rPr>
        <w:t xml:space="preserve"> they hold</w:t>
      </w:r>
      <w:r w:rsidRPr="00E3715A">
        <w:rPr>
          <w:rFonts w:cs="Arial"/>
        </w:rPr>
        <w:t>.</w:t>
      </w:r>
    </w:p>
    <w:p w14:paraId="22D4E12D" w14:textId="4F6C7057" w:rsidR="00AC28AC" w:rsidRPr="0069127A" w:rsidRDefault="00AC28AC" w:rsidP="00E40CBB">
      <w:pPr>
        <w:pStyle w:val="Paragraph"/>
      </w:pPr>
      <w:r>
        <w:t>T</w:t>
      </w:r>
      <w:r w:rsidRPr="0069127A">
        <w:t xml:space="preserve">he ACMA </w:t>
      </w:r>
      <w:r w:rsidR="00F95362">
        <w:t>may</w:t>
      </w:r>
      <w:r w:rsidRPr="0069127A">
        <w:t xml:space="preserve"> review or develop a </w:t>
      </w:r>
      <w:r w:rsidR="00755591">
        <w:t xml:space="preserve">new </w:t>
      </w:r>
      <w:r w:rsidR="00A60519">
        <w:t xml:space="preserve">spectrum licence </w:t>
      </w:r>
      <w:r w:rsidRPr="0069127A">
        <w:t>technical framework through the formation of a T</w:t>
      </w:r>
      <w:r>
        <w:t>echnical Liaison Group (TLG)</w:t>
      </w:r>
      <w:r w:rsidRPr="0069127A">
        <w:t>. A TLG is a short-term</w:t>
      </w:r>
      <w:r>
        <w:t>, informal</w:t>
      </w:r>
      <w:r w:rsidRPr="0069127A">
        <w:t xml:space="preserve"> advisory body convened by the ACMA</w:t>
      </w:r>
      <w:r w:rsidR="00F25A93">
        <w:t xml:space="preserve">. It </w:t>
      </w:r>
      <w:r w:rsidRPr="0069127A">
        <w:t xml:space="preserve">provides a discussion forum between the ACMA, industry and other stakeholders with an interest in the </w:t>
      </w:r>
      <w:r w:rsidR="00AF5996">
        <w:t xml:space="preserve">development of </w:t>
      </w:r>
      <w:r w:rsidRPr="0069127A">
        <w:t xml:space="preserve">technical </w:t>
      </w:r>
      <w:r w:rsidR="00AF5996">
        <w:t xml:space="preserve">frameworks </w:t>
      </w:r>
      <w:r w:rsidR="00C04764">
        <w:t>associated</w:t>
      </w:r>
      <w:r w:rsidR="00D5568A">
        <w:t xml:space="preserve"> with different </w:t>
      </w:r>
      <w:r w:rsidR="00A732A0">
        <w:t xml:space="preserve">services and/or </w:t>
      </w:r>
      <w:r w:rsidR="00D5568A">
        <w:t>licence types</w:t>
      </w:r>
      <w:r w:rsidR="00A732A0">
        <w:t>,</w:t>
      </w:r>
      <w:r w:rsidR="00D5568A">
        <w:t xml:space="preserve"> </w:t>
      </w:r>
      <w:r w:rsidR="00C04764">
        <w:t xml:space="preserve">including </w:t>
      </w:r>
      <w:r w:rsidRPr="0069127A">
        <w:t>spectrum licences.</w:t>
      </w:r>
      <w:r>
        <w:t xml:space="preserve"> </w:t>
      </w:r>
    </w:p>
    <w:p w14:paraId="0699BEB5" w14:textId="29D6BFF9" w:rsidR="00274352" w:rsidRDefault="00274352" w:rsidP="00E40CBB">
      <w:pPr>
        <w:rPr>
          <w:rFonts w:cs="Arial"/>
        </w:rPr>
      </w:pPr>
      <w:r w:rsidRPr="00274352">
        <w:rPr>
          <w:rFonts w:cs="Arial"/>
        </w:rPr>
        <w:t xml:space="preserve">TLGs aim to identify and propose solutions to technical issues. </w:t>
      </w:r>
      <w:r w:rsidR="00E044CA">
        <w:t xml:space="preserve">While TLGs are useful in harmonising views (to the extent possible) on draft technical settings, agreement is not always </w:t>
      </w:r>
      <w:proofErr w:type="gramStart"/>
      <w:r w:rsidR="00E044CA">
        <w:t>possible</w:t>
      </w:r>
      <w:proofErr w:type="gramEnd"/>
      <w:r w:rsidR="00E044CA">
        <w:t xml:space="preserve"> and no formal decisions are made by the group. </w:t>
      </w:r>
      <w:r w:rsidRPr="00274352">
        <w:rPr>
          <w:rFonts w:cs="Arial"/>
        </w:rPr>
        <w:t xml:space="preserve">If consensus on a proposal is not achieved within a TLG, the identification of issues with divergent views still assists </w:t>
      </w:r>
      <w:r w:rsidR="00E50BF9">
        <w:rPr>
          <w:rFonts w:cs="Arial"/>
        </w:rPr>
        <w:t>us</w:t>
      </w:r>
      <w:r w:rsidRPr="00274352">
        <w:rPr>
          <w:rFonts w:cs="Arial"/>
        </w:rPr>
        <w:t xml:space="preserve"> in taking the next steps.</w:t>
      </w:r>
    </w:p>
    <w:p w14:paraId="1918C897" w14:textId="66E11CE4" w:rsidR="00B0225C" w:rsidRDefault="00E50BF9" w:rsidP="00E40CBB">
      <w:pPr>
        <w:rPr>
          <w:rFonts w:cs="Arial"/>
        </w:rPr>
      </w:pPr>
      <w:r>
        <w:t>We</w:t>
      </w:r>
      <w:r w:rsidR="00B0225C" w:rsidRPr="00473557">
        <w:t xml:space="preserve"> use the outcomes of </w:t>
      </w:r>
      <w:r w:rsidR="00CE21C0">
        <w:t xml:space="preserve">a </w:t>
      </w:r>
      <w:r w:rsidR="00B0225C" w:rsidRPr="00473557">
        <w:t xml:space="preserve">TLG to </w:t>
      </w:r>
      <w:r w:rsidR="00371F6B">
        <w:t xml:space="preserve">inform </w:t>
      </w:r>
      <w:r>
        <w:t>our</w:t>
      </w:r>
      <w:r w:rsidR="00371F6B">
        <w:t xml:space="preserve"> </w:t>
      </w:r>
      <w:r w:rsidR="00B0225C" w:rsidRPr="00473557">
        <w:t>public consult</w:t>
      </w:r>
      <w:r w:rsidR="00371F6B">
        <w:t>ation process</w:t>
      </w:r>
      <w:r w:rsidR="00B0225C" w:rsidRPr="00473557">
        <w:t xml:space="preserve"> on </w:t>
      </w:r>
      <w:r w:rsidR="00B0225C">
        <w:t>changes to</w:t>
      </w:r>
      <w:r>
        <w:t>,</w:t>
      </w:r>
      <w:r w:rsidR="00B0225C">
        <w:t xml:space="preserve"> </w:t>
      </w:r>
      <w:r w:rsidR="000D6E8E">
        <w:t xml:space="preserve">or </w:t>
      </w:r>
      <w:r w:rsidR="00F1130D">
        <w:t>creation</w:t>
      </w:r>
      <w:r w:rsidR="000D6E8E">
        <w:t xml:space="preserve"> of</w:t>
      </w:r>
      <w:r>
        <w:t>,</w:t>
      </w:r>
      <w:r w:rsidR="000D6E8E">
        <w:t xml:space="preserve"> </w:t>
      </w:r>
      <w:r w:rsidR="00F1130D">
        <w:t xml:space="preserve">new </w:t>
      </w:r>
      <w:r w:rsidR="00B0225C" w:rsidRPr="00473557">
        <w:t xml:space="preserve">instruments that form </w:t>
      </w:r>
      <w:r w:rsidR="00B0225C">
        <w:t>a</w:t>
      </w:r>
      <w:r w:rsidR="00B0225C" w:rsidRPr="00473557">
        <w:t xml:space="preserve"> technical framework. This means TLG members </w:t>
      </w:r>
      <w:r w:rsidR="00B0225C">
        <w:t>are</w:t>
      </w:r>
      <w:r w:rsidR="00B0225C" w:rsidRPr="00473557">
        <w:t xml:space="preserve"> able to provide comment</w:t>
      </w:r>
      <w:r w:rsidR="00B0225C" w:rsidRPr="005438AE">
        <w:t xml:space="preserve">s on the technical framework both as part </w:t>
      </w:r>
      <w:r w:rsidR="003B2CFE">
        <w:t>any</w:t>
      </w:r>
      <w:r w:rsidR="00B0225C" w:rsidRPr="005438AE">
        <w:t xml:space="preserve"> informal TLG and subsequent formal public consultation processes</w:t>
      </w:r>
      <w:r w:rsidR="00B0225C">
        <w:t>.</w:t>
      </w:r>
    </w:p>
    <w:p w14:paraId="117FD1DF" w14:textId="627BD785" w:rsidR="00B87B95" w:rsidRPr="009B1D5B" w:rsidRDefault="005C3B38" w:rsidP="00E40CBB">
      <w:pPr>
        <w:rPr>
          <w:rFonts w:cs="Arial"/>
        </w:rPr>
      </w:pPr>
      <w:r>
        <w:rPr>
          <w:rFonts w:cs="Arial"/>
        </w:rPr>
        <w:t xml:space="preserve">Further information on TLGs, including </w:t>
      </w:r>
      <w:r w:rsidR="00B0225C">
        <w:rPr>
          <w:rFonts w:cs="Arial"/>
        </w:rPr>
        <w:t xml:space="preserve">the </w:t>
      </w:r>
      <w:r>
        <w:rPr>
          <w:rFonts w:cs="Arial"/>
        </w:rPr>
        <w:t>outcomes of previous TLG</w:t>
      </w:r>
      <w:r w:rsidR="00B0225C">
        <w:rPr>
          <w:rFonts w:cs="Arial"/>
        </w:rPr>
        <w:t xml:space="preserve">s, is available on the </w:t>
      </w:r>
      <w:hyperlink r:id="rId37" w:history="1">
        <w:r w:rsidR="00B0225C" w:rsidRPr="00805C1B">
          <w:rPr>
            <w:rStyle w:val="Hyperlink"/>
            <w:rFonts w:cs="Arial"/>
          </w:rPr>
          <w:t>ACMA website</w:t>
        </w:r>
      </w:hyperlink>
      <w:r w:rsidR="00B0225C">
        <w:rPr>
          <w:rFonts w:cs="Arial"/>
        </w:rPr>
        <w:t xml:space="preserve">.  </w:t>
      </w:r>
    </w:p>
    <w:p w14:paraId="6FA31740" w14:textId="77777777" w:rsidR="00B87B95" w:rsidRPr="009B1D5B" w:rsidRDefault="00B87B95" w:rsidP="00E40CBB">
      <w:pPr>
        <w:pStyle w:val="Heading2"/>
      </w:pPr>
      <w:bookmarkStart w:id="23" w:name="_Ref323737753"/>
      <w:bookmarkStart w:id="24" w:name="_Ref323738774"/>
      <w:bookmarkStart w:id="25" w:name="_Ref323739861"/>
      <w:bookmarkStart w:id="26" w:name="_Toc325970684"/>
      <w:bookmarkStart w:id="27" w:name="_Toc327278919"/>
      <w:bookmarkStart w:id="28" w:name="_Toc341966572"/>
      <w:bookmarkStart w:id="29" w:name="_Toc101444627"/>
      <w:bookmarkStart w:id="30" w:name="_Toc131603574"/>
      <w:bookmarkStart w:id="31" w:name="_Ref322079931"/>
      <w:bookmarkStart w:id="32" w:name="_Toc303000277"/>
      <w:r w:rsidRPr="00E3715A">
        <w:t>Core licence conditions</w:t>
      </w:r>
      <w:bookmarkEnd w:id="23"/>
      <w:bookmarkEnd w:id="24"/>
      <w:bookmarkEnd w:id="25"/>
      <w:bookmarkEnd w:id="26"/>
      <w:bookmarkEnd w:id="27"/>
      <w:bookmarkEnd w:id="28"/>
      <w:bookmarkEnd w:id="29"/>
      <w:bookmarkEnd w:id="30"/>
    </w:p>
    <w:p w14:paraId="2EE3E0D8" w14:textId="6E8DBCDE" w:rsidR="00DD68A7" w:rsidRPr="007D04B2" w:rsidRDefault="00DD68A7" w:rsidP="00E40CBB">
      <w:pPr>
        <w:pStyle w:val="Paragraphbeforelist"/>
      </w:pPr>
      <w:bookmarkStart w:id="33" w:name="9"/>
      <w:bookmarkEnd w:id="33"/>
      <w:r w:rsidRPr="007D04B2">
        <w:t xml:space="preserve">The core conditions of a spectrum licence form the fundamental building blocks for operation of a spectrum-licensed device, and for managing interference with adjacent frequency bands and geographic areas. Section 66 of the </w:t>
      </w:r>
      <w:r w:rsidR="00E50BF9">
        <w:t xml:space="preserve">Radiocommunications </w:t>
      </w:r>
      <w:r w:rsidRPr="007D04B2">
        <w:t>Act states spectrum licences must specify the following core conditions:</w:t>
      </w:r>
    </w:p>
    <w:p w14:paraId="5F77BEDB" w14:textId="0563E9BF" w:rsidR="006230C3" w:rsidRDefault="006230C3" w:rsidP="00E40CBB">
      <w:pPr>
        <w:pStyle w:val="Bulletlevel1"/>
      </w:pPr>
      <w:r>
        <w:t>T</w:t>
      </w:r>
      <w:r w:rsidRPr="007D04B2">
        <w:t>he area within which operation of radiocommunications devices is authorised under the licence (geographic area of operation)</w:t>
      </w:r>
      <w:r w:rsidR="004F779A">
        <w:t xml:space="preserve">. </w:t>
      </w:r>
      <w:r w:rsidR="004F779A" w:rsidRPr="00E3715A">
        <w:t>This area is defined by reference to the ASMG and described in the form of HCIS identifiers</w:t>
      </w:r>
      <w:r w:rsidR="00D679B1">
        <w:t>.</w:t>
      </w:r>
    </w:p>
    <w:p w14:paraId="77357A55" w14:textId="221D3D4C" w:rsidR="00DD68A7" w:rsidRPr="007D04B2" w:rsidRDefault="00DD68A7" w:rsidP="00E40CBB">
      <w:pPr>
        <w:pStyle w:val="Bulletlevel1"/>
      </w:pPr>
      <w:r>
        <w:t>T</w:t>
      </w:r>
      <w:r w:rsidRPr="007D04B2">
        <w:t>he part or parts of the spectrum in which operation of radiocommunications devices is authorised under the licence (</w:t>
      </w:r>
      <w:r w:rsidR="000E2CAA">
        <w:t xml:space="preserve">the </w:t>
      </w:r>
      <w:r w:rsidRPr="007D04B2">
        <w:t>frequency range of operation)</w:t>
      </w:r>
      <w:r w:rsidR="009260FC">
        <w:t xml:space="preserve">. </w:t>
      </w:r>
      <w:r w:rsidR="009260FC" w:rsidRPr="00E3715A">
        <w:t xml:space="preserve">This is specified </w:t>
      </w:r>
      <w:r w:rsidR="002A5314">
        <w:t>by</w:t>
      </w:r>
      <w:r w:rsidR="009260FC">
        <w:t xml:space="preserve"> </w:t>
      </w:r>
      <w:r w:rsidR="009260FC" w:rsidRPr="00E3715A">
        <w:t>upper and lowe</w:t>
      </w:r>
      <w:r w:rsidR="009260FC">
        <w:t>r frequency limits</w:t>
      </w:r>
      <w:r w:rsidR="00D679B1">
        <w:t>.</w:t>
      </w:r>
    </w:p>
    <w:p w14:paraId="59A3141A" w14:textId="69DEEAA7" w:rsidR="00DD68A7" w:rsidRDefault="00DD68A7" w:rsidP="00E40CBB">
      <w:pPr>
        <w:pStyle w:val="Bulletlevel1"/>
      </w:pPr>
      <w:r>
        <w:t>T</w:t>
      </w:r>
      <w:r w:rsidRPr="007D04B2">
        <w:t>he maximum permitted level of radio emission</w:t>
      </w:r>
      <w:r w:rsidR="00377675">
        <w:t>s</w:t>
      </w:r>
      <w:r w:rsidRPr="007D04B2">
        <w:t xml:space="preserve">, in parts of the spectrum outside the frequency range specified on the licence, that may be caused by operation of </w:t>
      </w:r>
      <w:r w:rsidRPr="007D04B2">
        <w:lastRenderedPageBreak/>
        <w:t>radiocommunications devices under the licence (outside-the-band emission)</w:t>
      </w:r>
      <w:r w:rsidR="00EB6C96">
        <w:t>.</w:t>
      </w:r>
      <w:r w:rsidR="00EA09AE">
        <w:t xml:space="preserve"> These are typically defined as </w:t>
      </w:r>
      <w:r w:rsidR="00A95824">
        <w:t>‘</w:t>
      </w:r>
      <w:r w:rsidR="00CB4638">
        <w:t>unwanted</w:t>
      </w:r>
      <w:r w:rsidR="00A95824">
        <w:t xml:space="preserve"> emissions’ on a licence</w:t>
      </w:r>
      <w:r w:rsidR="00D679B1">
        <w:t>.</w:t>
      </w:r>
    </w:p>
    <w:p w14:paraId="75409361" w14:textId="3EC554A5" w:rsidR="005B181A" w:rsidRPr="007D04B2" w:rsidRDefault="005B181A" w:rsidP="00E40CBB">
      <w:pPr>
        <w:pStyle w:val="Bulletlevel1"/>
      </w:pPr>
      <w:r>
        <w:t>T</w:t>
      </w:r>
      <w:r w:rsidRPr="007D04B2">
        <w:t>he maximum permitted level of radio emission</w:t>
      </w:r>
      <w:r w:rsidR="009F5E9E">
        <w:t>s</w:t>
      </w:r>
      <w:r w:rsidRPr="007D04B2">
        <w:t xml:space="preserve"> that may be caused by the operation of radiocommunications devices under the licence (outside-the-area emission</w:t>
      </w:r>
      <w:r>
        <w:t>).</w:t>
      </w:r>
      <w:r w:rsidR="00B8135C">
        <w:t xml:space="preserve"> This is usually linked to the maximum in-band power a radiocommunications device may </w:t>
      </w:r>
      <w:r w:rsidR="004217D2">
        <w:t>use</w:t>
      </w:r>
      <w:r w:rsidR="00B8135C">
        <w:t xml:space="preserve">. </w:t>
      </w:r>
      <w:r w:rsidR="00B8135C" w:rsidRPr="00E3715A">
        <w:t xml:space="preserve">An additional layer of out-of-area emission management is imposed at the point of registration of devices by a determination </w:t>
      </w:r>
      <w:r w:rsidR="00B939EC">
        <w:t xml:space="preserve">made </w:t>
      </w:r>
      <w:r w:rsidR="00B8135C" w:rsidRPr="00E3715A">
        <w:t xml:space="preserve">under </w:t>
      </w:r>
      <w:r w:rsidR="00B939EC">
        <w:t>sub</w:t>
      </w:r>
      <w:r w:rsidR="00B8135C" w:rsidRPr="00E3715A">
        <w:t>section 145</w:t>
      </w:r>
      <w:r w:rsidR="00B8135C">
        <w:t>(4)</w:t>
      </w:r>
      <w:r w:rsidR="00B8135C" w:rsidRPr="00E3715A">
        <w:t xml:space="preserve"> of the </w:t>
      </w:r>
      <w:r w:rsidR="00B8135C">
        <w:t>Act</w:t>
      </w:r>
      <w:r w:rsidR="00B8135C" w:rsidRPr="00E3715A">
        <w:t xml:space="preserve"> (see </w:t>
      </w:r>
      <w:r w:rsidR="00B8135C">
        <w:t xml:space="preserve">the </w:t>
      </w:r>
      <w:hyperlink w:anchor="_Unacceptable_levels_of" w:history="1">
        <w:r w:rsidR="00B8135C" w:rsidRPr="00E50BF9">
          <w:rPr>
            <w:rStyle w:val="Hyperlink"/>
          </w:rPr>
          <w:t>Unacceptable levels of interference</w:t>
        </w:r>
      </w:hyperlink>
      <w:r w:rsidR="00B8135C">
        <w:rPr>
          <w:i/>
          <w:iCs/>
        </w:rPr>
        <w:t xml:space="preserve"> </w:t>
      </w:r>
      <w:r w:rsidR="00B8135C" w:rsidRPr="00E3715A">
        <w:t>section)</w:t>
      </w:r>
      <w:r w:rsidR="008E2822">
        <w:t>.</w:t>
      </w:r>
    </w:p>
    <w:p w14:paraId="366ADB42" w14:textId="76ECB955" w:rsidR="00B87B95" w:rsidRPr="00E3715A" w:rsidRDefault="00F623A4" w:rsidP="00E40CBB">
      <w:pPr>
        <w:spacing w:before="240"/>
        <w:rPr>
          <w:rFonts w:cs="Arial"/>
        </w:rPr>
      </w:pPr>
      <w:r w:rsidRPr="00A51AB6">
        <w:t xml:space="preserve">A </w:t>
      </w:r>
      <w:r w:rsidR="00B87B95" w:rsidRPr="00DD68A7" w:rsidDel="00DD68A7">
        <w:t xml:space="preserve">spectrum licence </w:t>
      </w:r>
      <w:r w:rsidRPr="00A51AB6">
        <w:t xml:space="preserve">may </w:t>
      </w:r>
      <w:r w:rsidR="00164DC6" w:rsidRPr="00A51AB6">
        <w:t xml:space="preserve">also include a core condition </w:t>
      </w:r>
      <w:r w:rsidR="00A51AB6" w:rsidRPr="00A51AB6">
        <w:t>specifying</w:t>
      </w:r>
      <w:r w:rsidR="007E133D" w:rsidRPr="00A51AB6">
        <w:t xml:space="preserve"> the </w:t>
      </w:r>
      <w:r w:rsidR="00A51AB6" w:rsidRPr="00A51AB6">
        <w:t xml:space="preserve">periods during which operation of </w:t>
      </w:r>
      <w:r w:rsidR="0001529C">
        <w:t xml:space="preserve">radiocommunications </w:t>
      </w:r>
      <w:r w:rsidR="00A51AB6" w:rsidRPr="00A51AB6">
        <w:t>devices is authorised</w:t>
      </w:r>
      <w:r w:rsidR="00A51AB6">
        <w:t xml:space="preserve"> (time of operation)</w:t>
      </w:r>
      <w:r w:rsidR="00A51AB6" w:rsidRPr="00A51AB6">
        <w:t xml:space="preserve">. </w:t>
      </w:r>
    </w:p>
    <w:p w14:paraId="3C6A54E9" w14:textId="77777777" w:rsidR="00B87B95" w:rsidRPr="00E3715A" w:rsidRDefault="00B87B95" w:rsidP="00E40CBB">
      <w:pPr>
        <w:pStyle w:val="Heading2"/>
      </w:pPr>
      <w:bookmarkStart w:id="34" w:name="_Unacceptable_levels_of"/>
      <w:bookmarkStart w:id="35" w:name="_Ref323911697"/>
      <w:bookmarkStart w:id="36" w:name="_Toc325970689"/>
      <w:bookmarkStart w:id="37" w:name="_Toc327278924"/>
      <w:bookmarkStart w:id="38" w:name="_Toc341966577"/>
      <w:bookmarkStart w:id="39" w:name="_Toc101444632"/>
      <w:bookmarkStart w:id="40" w:name="_Toc131603575"/>
      <w:bookmarkEnd w:id="34"/>
      <w:r w:rsidRPr="00E3715A">
        <w:t xml:space="preserve">Unacceptable levels of </w:t>
      </w:r>
      <w:r w:rsidRPr="009B1D5B">
        <w:t>interference</w:t>
      </w:r>
      <w:bookmarkEnd w:id="31"/>
      <w:bookmarkEnd w:id="35"/>
      <w:bookmarkEnd w:id="36"/>
      <w:bookmarkEnd w:id="37"/>
      <w:bookmarkEnd w:id="38"/>
      <w:bookmarkEnd w:id="39"/>
      <w:bookmarkEnd w:id="40"/>
    </w:p>
    <w:p w14:paraId="555DD757" w14:textId="04D5C295" w:rsidR="00360A85" w:rsidRPr="007D04B2" w:rsidRDefault="00360A85" w:rsidP="00E40CBB">
      <w:pPr>
        <w:keepNext/>
        <w:keepLines/>
      </w:pPr>
      <w:r w:rsidRPr="007D04B2">
        <w:t xml:space="preserve">Spectrum licensees are required to register a radiocommunications transmitter in the </w:t>
      </w:r>
      <w:r w:rsidR="00675679">
        <w:t>RRL</w:t>
      </w:r>
      <w:r w:rsidRPr="007D04B2">
        <w:t xml:space="preserve"> before they may be operated under the licence. The only exception to this is if there is a condition on licences that exempts certain types of transmitters</w:t>
      </w:r>
      <w:r w:rsidR="00AB59F9">
        <w:t xml:space="preserve"> (for example</w:t>
      </w:r>
      <w:r w:rsidR="00E50BF9">
        <w:t>,</w:t>
      </w:r>
      <w:r w:rsidR="00AB59F9">
        <w:t xml:space="preserve"> </w:t>
      </w:r>
      <w:r w:rsidR="002E2DB7">
        <w:t>low</w:t>
      </w:r>
      <w:r w:rsidR="00E50BF9">
        <w:t>-</w:t>
      </w:r>
      <w:r w:rsidR="002E2DB7">
        <w:t>power and mobile devices</w:t>
      </w:r>
      <w:r w:rsidR="00AB59F9">
        <w:t>)</w:t>
      </w:r>
      <w:r w:rsidRPr="007D04B2">
        <w:t>.</w:t>
      </w:r>
    </w:p>
    <w:p w14:paraId="0C1B1560" w14:textId="036947DB" w:rsidR="00360A85" w:rsidRPr="007D04B2" w:rsidRDefault="00360A85" w:rsidP="00E40CBB">
      <w:pPr>
        <w:keepLines/>
      </w:pPr>
      <w:r w:rsidRPr="007D04B2">
        <w:t xml:space="preserve">Subsection 145(1) of the Act gives </w:t>
      </w:r>
      <w:r w:rsidR="00A71D49">
        <w:t>the ACMA</w:t>
      </w:r>
      <w:r w:rsidRPr="007D04B2">
        <w:t xml:space="preserve"> the power to refuse to register a radiocommunications transmitter</w:t>
      </w:r>
      <w:r w:rsidR="006D504D">
        <w:t xml:space="preserve"> </w:t>
      </w:r>
      <w:r w:rsidR="006D504D" w:rsidRPr="00E3715A">
        <w:rPr>
          <w:rFonts w:cs="Arial"/>
        </w:rPr>
        <w:t xml:space="preserve">where it is deemed to cause unacceptable interference </w:t>
      </w:r>
      <w:r w:rsidR="004957F5">
        <w:rPr>
          <w:rFonts w:cs="Arial"/>
        </w:rPr>
        <w:t>if</w:t>
      </w:r>
      <w:r w:rsidR="006D504D" w:rsidRPr="00E3715A">
        <w:rPr>
          <w:rFonts w:cs="Arial"/>
        </w:rPr>
        <w:t xml:space="preserve"> operated. </w:t>
      </w:r>
      <w:r w:rsidRPr="007D04B2">
        <w:t xml:space="preserve">Under subsection 145(4) of the </w:t>
      </w:r>
      <w:r w:rsidR="00E50BF9">
        <w:t xml:space="preserve">Radiocommunications </w:t>
      </w:r>
      <w:r w:rsidRPr="007D04B2">
        <w:t xml:space="preserve">Act, </w:t>
      </w:r>
      <w:r w:rsidR="00E50BF9">
        <w:t>we</w:t>
      </w:r>
      <w:r w:rsidRPr="007D04B2">
        <w:t xml:space="preserve"> can make a determination (referred to as a section 145</w:t>
      </w:r>
      <w:r w:rsidR="00412A5E">
        <w:t>(4)</w:t>
      </w:r>
      <w:r w:rsidRPr="007D04B2">
        <w:t xml:space="preserve"> determination) that sets out</w:t>
      </w:r>
      <w:r w:rsidR="00E50BF9">
        <w:t> </w:t>
      </w:r>
      <w:r w:rsidRPr="007D04B2">
        <w:t xml:space="preserve">what is considered unacceptable levels of interference for each </w:t>
      </w:r>
      <w:r w:rsidR="00E50BF9">
        <w:br/>
      </w:r>
      <w:r w:rsidRPr="007D04B2">
        <w:t>spectrum-licensed band.</w:t>
      </w:r>
    </w:p>
    <w:p w14:paraId="10B8D996" w14:textId="44F4E6A0" w:rsidR="00B87B95" w:rsidRPr="00E3715A" w:rsidRDefault="00B87B95" w:rsidP="00E40CBB">
      <w:pPr>
        <w:spacing w:after="80"/>
        <w:rPr>
          <w:rFonts w:cs="Arial"/>
        </w:rPr>
      </w:pPr>
      <w:r w:rsidRPr="00E3715A">
        <w:rPr>
          <w:rFonts w:cs="Arial"/>
        </w:rPr>
        <w:t xml:space="preserve">A section 145(4) determination for </w:t>
      </w:r>
      <w:r w:rsidR="00AD7508">
        <w:rPr>
          <w:rFonts w:cs="Arial"/>
        </w:rPr>
        <w:t>a</w:t>
      </w:r>
      <w:r w:rsidR="00AD7508" w:rsidRPr="00E3715A">
        <w:rPr>
          <w:rFonts w:cs="Arial"/>
        </w:rPr>
        <w:t xml:space="preserve"> </w:t>
      </w:r>
      <w:r w:rsidRPr="00E3715A">
        <w:rPr>
          <w:rFonts w:cs="Arial"/>
        </w:rPr>
        <w:t xml:space="preserve">band sets out the following basic requirements to manage unacceptable levels of interference. </w:t>
      </w:r>
      <w:r w:rsidR="008D74E0">
        <w:rPr>
          <w:rFonts w:cs="Arial"/>
        </w:rPr>
        <w:t>These</w:t>
      </w:r>
      <w:r w:rsidR="00EB2FD1">
        <w:rPr>
          <w:rFonts w:cs="Arial"/>
        </w:rPr>
        <w:t xml:space="preserve"> typically require that</w:t>
      </w:r>
      <w:r w:rsidRPr="00E3715A">
        <w:rPr>
          <w:rFonts w:cs="Arial"/>
        </w:rPr>
        <w:t>:</w:t>
      </w:r>
    </w:p>
    <w:p w14:paraId="1E7FF82E" w14:textId="308E5F35" w:rsidR="00B87B95" w:rsidRPr="00E3715A" w:rsidRDefault="00B87B95" w:rsidP="00E40CBB">
      <w:pPr>
        <w:pStyle w:val="ListBullet"/>
        <w:rPr>
          <w:rFonts w:cs="Arial"/>
        </w:rPr>
      </w:pPr>
      <w:r w:rsidRPr="00E3715A">
        <w:rPr>
          <w:rFonts w:cs="Arial"/>
        </w:rPr>
        <w:t>the core conditions of the licence are met</w:t>
      </w:r>
    </w:p>
    <w:p w14:paraId="2E60C864" w14:textId="393B7313" w:rsidR="00B87B95" w:rsidRPr="00E3715A" w:rsidRDefault="00B87B95" w:rsidP="00E40CBB">
      <w:pPr>
        <w:pStyle w:val="ListBullet"/>
        <w:rPr>
          <w:rFonts w:cs="Arial"/>
        </w:rPr>
      </w:pPr>
      <w:r w:rsidRPr="00E3715A">
        <w:rPr>
          <w:rFonts w:cs="Arial"/>
        </w:rPr>
        <w:t>specified deployment constraints are met</w:t>
      </w:r>
    </w:p>
    <w:p w14:paraId="51F46956" w14:textId="27514DD8" w:rsidR="00B87B95" w:rsidRPr="00E3715A" w:rsidRDefault="00B87B95" w:rsidP="00E40CBB">
      <w:pPr>
        <w:pStyle w:val="ListBullet"/>
        <w:rPr>
          <w:rFonts w:cs="Arial"/>
        </w:rPr>
      </w:pPr>
      <w:r w:rsidRPr="00E3715A">
        <w:rPr>
          <w:rFonts w:cs="Arial"/>
        </w:rPr>
        <w:t>the specified device boundary criteria are met</w:t>
      </w:r>
    </w:p>
    <w:p w14:paraId="688F5E07" w14:textId="69F07717" w:rsidR="00B87B95" w:rsidRDefault="00B87B95" w:rsidP="00E40CBB">
      <w:pPr>
        <w:pStyle w:val="Bulletlevel1last"/>
      </w:pPr>
      <w:r w:rsidRPr="00E3715A">
        <w:t xml:space="preserve">full details of transmitters are provided for inclusion in the </w:t>
      </w:r>
      <w:r w:rsidR="00E25D98">
        <w:t>RRL</w:t>
      </w:r>
      <w:r w:rsidRPr="00E3715A">
        <w:t>.</w:t>
      </w:r>
    </w:p>
    <w:p w14:paraId="264536F5" w14:textId="393435EE" w:rsidR="00B819E1" w:rsidRPr="009B1D5B" w:rsidRDefault="00B819E1" w:rsidP="00E40CBB">
      <w:pPr>
        <w:keepLines/>
      </w:pPr>
      <w:r w:rsidRPr="00B819E1">
        <w:t>If</w:t>
      </w:r>
      <w:r>
        <w:t xml:space="preserve"> a proposed</w:t>
      </w:r>
      <w:r w:rsidRPr="00B819E1">
        <w:t xml:space="preserve"> </w:t>
      </w:r>
      <w:r>
        <w:t xml:space="preserve">transmitter does not </w:t>
      </w:r>
      <w:r w:rsidR="00A51112">
        <w:t>meet</w:t>
      </w:r>
      <w:r>
        <w:t xml:space="preserve"> these requirements</w:t>
      </w:r>
      <w:r w:rsidRPr="00B819E1">
        <w:t xml:space="preserve">, </w:t>
      </w:r>
      <w:r w:rsidR="00E50BF9">
        <w:t>we</w:t>
      </w:r>
      <w:r w:rsidRPr="00B819E1">
        <w:t xml:space="preserve"> will generally refuse to register </w:t>
      </w:r>
      <w:r>
        <w:t>it</w:t>
      </w:r>
      <w:r w:rsidRPr="00B819E1">
        <w:t>. Permitted exceptions to this are detailed in the</w:t>
      </w:r>
      <w:r w:rsidRPr="00EB359F">
        <w:t xml:space="preserve"> </w:t>
      </w:r>
      <w:hyperlink w:anchor="_Registering_your_radiocommunication" w:history="1">
        <w:r w:rsidR="00A67FA7" w:rsidRPr="00E50BF9">
          <w:rPr>
            <w:rStyle w:val="Hyperlink"/>
          </w:rPr>
          <w:t>R</w:t>
        </w:r>
        <w:r w:rsidRPr="00E50BF9">
          <w:rPr>
            <w:rStyle w:val="Hyperlink"/>
          </w:rPr>
          <w:t>egistering your radiocommunications devices</w:t>
        </w:r>
      </w:hyperlink>
      <w:r w:rsidRPr="00EB359F">
        <w:t xml:space="preserve"> </w:t>
      </w:r>
      <w:r w:rsidRPr="00B819E1">
        <w:t>section</w:t>
      </w:r>
      <w:r w:rsidR="00A67FA7">
        <w:t xml:space="preserve"> of this guide</w:t>
      </w:r>
      <w:r w:rsidRPr="00B819E1">
        <w:t>.</w:t>
      </w:r>
    </w:p>
    <w:p w14:paraId="5F173212" w14:textId="77777777" w:rsidR="00B87B95" w:rsidRPr="00E3715A" w:rsidRDefault="00B87B95" w:rsidP="00E40CBB">
      <w:pPr>
        <w:pStyle w:val="Heading3"/>
      </w:pPr>
      <w:bookmarkStart w:id="41" w:name="_Toc325970690"/>
      <w:bookmarkStart w:id="42" w:name="_Toc327278925"/>
      <w:bookmarkStart w:id="43" w:name="_Toc341966578"/>
      <w:bookmarkStart w:id="44" w:name="_Toc101444633"/>
      <w:bookmarkStart w:id="45" w:name="_Toc131603576"/>
      <w:r w:rsidRPr="00E3715A">
        <w:t xml:space="preserve">Deployment </w:t>
      </w:r>
      <w:r w:rsidRPr="009B1D5B">
        <w:t>constraints</w:t>
      </w:r>
      <w:bookmarkEnd w:id="41"/>
      <w:bookmarkEnd w:id="42"/>
      <w:bookmarkEnd w:id="43"/>
      <w:bookmarkEnd w:id="44"/>
      <w:bookmarkEnd w:id="45"/>
    </w:p>
    <w:p w14:paraId="17E8BC3A" w14:textId="295B663C" w:rsidR="00B87B95" w:rsidRPr="00E3715A" w:rsidRDefault="00B87B95" w:rsidP="00E40CBB">
      <w:pPr>
        <w:spacing w:after="80"/>
        <w:rPr>
          <w:rFonts w:cs="Arial"/>
        </w:rPr>
      </w:pPr>
      <w:r w:rsidRPr="00E3715A">
        <w:rPr>
          <w:rFonts w:cs="Arial"/>
        </w:rPr>
        <w:t xml:space="preserve">Deployment constraints refer to restrictions (other than the device boundary criterion) for the deployment of </w:t>
      </w:r>
      <w:r w:rsidR="002F1EAA">
        <w:rPr>
          <w:rFonts w:cs="Arial"/>
        </w:rPr>
        <w:t xml:space="preserve">radiocommunications </w:t>
      </w:r>
      <w:r w:rsidRPr="00E3715A">
        <w:rPr>
          <w:rFonts w:cs="Arial"/>
        </w:rPr>
        <w:t>devices that are defined in the relevant section 145(4) determination. These constraints are designed to help manage interference in spectrum-licensed bands and can include:</w:t>
      </w:r>
      <w:r w:rsidR="002F1EAA">
        <w:rPr>
          <w:rFonts w:cs="Arial"/>
        </w:rPr>
        <w:t xml:space="preserve"> </w:t>
      </w:r>
    </w:p>
    <w:p w14:paraId="5689AED2" w14:textId="349AF3A6" w:rsidR="00B87B95" w:rsidRPr="00E3715A" w:rsidRDefault="00B87B95" w:rsidP="00E40CBB">
      <w:pPr>
        <w:pStyle w:val="ListBullet"/>
        <w:rPr>
          <w:rFonts w:cs="Arial"/>
        </w:rPr>
      </w:pPr>
      <w:r w:rsidRPr="00E3715A">
        <w:rPr>
          <w:rFonts w:cs="Arial"/>
        </w:rPr>
        <w:t>effective antenna height</w:t>
      </w:r>
      <w:r w:rsidR="00FC057E">
        <w:rPr>
          <w:rFonts w:cs="Arial"/>
        </w:rPr>
        <w:t xml:space="preserve"> limits</w:t>
      </w:r>
    </w:p>
    <w:p w14:paraId="7B049F81" w14:textId="7ED18AB7" w:rsidR="00B87B95" w:rsidRPr="00E3715A" w:rsidRDefault="00B87B95" w:rsidP="00E40CBB">
      <w:pPr>
        <w:pStyle w:val="ListBullet"/>
        <w:rPr>
          <w:rFonts w:cs="Arial"/>
        </w:rPr>
      </w:pPr>
      <w:r w:rsidRPr="00E3715A">
        <w:rPr>
          <w:rFonts w:cs="Arial"/>
        </w:rPr>
        <w:t>antenna beamwidth</w:t>
      </w:r>
      <w:r w:rsidR="00FC057E">
        <w:rPr>
          <w:rFonts w:cs="Arial"/>
        </w:rPr>
        <w:t xml:space="preserve"> limits</w:t>
      </w:r>
    </w:p>
    <w:p w14:paraId="7B68034F" w14:textId="093DF37D" w:rsidR="00B87B95" w:rsidRPr="00E3715A" w:rsidRDefault="0016245A" w:rsidP="00E40CBB">
      <w:pPr>
        <w:pStyle w:val="ListBullet"/>
        <w:spacing w:after="240"/>
        <w:rPr>
          <w:rFonts w:cs="Arial"/>
        </w:rPr>
      </w:pPr>
      <w:r>
        <w:rPr>
          <w:rFonts w:cs="Arial"/>
        </w:rPr>
        <w:t xml:space="preserve">equivalent </w:t>
      </w:r>
      <w:r w:rsidR="00B87B95" w:rsidRPr="00E3715A">
        <w:rPr>
          <w:rFonts w:cs="Arial"/>
        </w:rPr>
        <w:t>isotropic radiated power</w:t>
      </w:r>
      <w:r w:rsidR="00FD5927">
        <w:rPr>
          <w:rFonts w:cs="Arial"/>
        </w:rPr>
        <w:t xml:space="preserve"> (EIRP)</w:t>
      </w:r>
      <w:r w:rsidR="009C2373">
        <w:rPr>
          <w:rFonts w:cs="Arial"/>
        </w:rPr>
        <w:t xml:space="preserve"> limits</w:t>
      </w:r>
      <w:r w:rsidR="00337017">
        <w:rPr>
          <w:rFonts w:cs="Arial"/>
        </w:rPr>
        <w:t xml:space="preserve"> in </w:t>
      </w:r>
      <w:r w:rsidR="005F7BCB">
        <w:rPr>
          <w:rFonts w:cs="Arial"/>
        </w:rPr>
        <w:t>defined areas or frequency ranges</w:t>
      </w:r>
      <w:r w:rsidR="00B87B95" w:rsidRPr="00E3715A">
        <w:rPr>
          <w:rFonts w:cs="Arial"/>
        </w:rPr>
        <w:t>.</w:t>
      </w:r>
    </w:p>
    <w:p w14:paraId="0BD82B54" w14:textId="6D77E666" w:rsidR="00B87B95" w:rsidRPr="00E3715A" w:rsidRDefault="00B87B95" w:rsidP="00E40CBB">
      <w:pPr>
        <w:rPr>
          <w:rFonts w:cs="Arial"/>
        </w:rPr>
      </w:pPr>
      <w:r w:rsidRPr="00E3715A">
        <w:rPr>
          <w:rFonts w:cs="Arial"/>
        </w:rPr>
        <w:t xml:space="preserve">Deployment constraints typically apply to specific portions of a </w:t>
      </w:r>
      <w:r w:rsidR="00773175">
        <w:rPr>
          <w:rFonts w:cs="Arial"/>
        </w:rPr>
        <w:t xml:space="preserve">frequency </w:t>
      </w:r>
      <w:r w:rsidRPr="00E3715A">
        <w:rPr>
          <w:rFonts w:cs="Arial"/>
        </w:rPr>
        <w:t>band but can also apply to specific geographical areas.</w:t>
      </w:r>
    </w:p>
    <w:p w14:paraId="7F02E76A" w14:textId="77777777" w:rsidR="00B87B95" w:rsidRPr="00E3715A" w:rsidRDefault="00B87B95" w:rsidP="00733E0C">
      <w:pPr>
        <w:pStyle w:val="Heading3"/>
        <w:keepLines/>
      </w:pPr>
      <w:bookmarkStart w:id="46" w:name="_Toc320095652"/>
      <w:bookmarkStart w:id="47" w:name="_Toc325970691"/>
      <w:bookmarkStart w:id="48" w:name="_Toc327278926"/>
      <w:bookmarkStart w:id="49" w:name="_Toc341966579"/>
      <w:bookmarkStart w:id="50" w:name="_Toc101444634"/>
      <w:bookmarkStart w:id="51" w:name="_Toc131603577"/>
      <w:r w:rsidRPr="00E3715A">
        <w:lastRenderedPageBreak/>
        <w:t xml:space="preserve">Device boundary </w:t>
      </w:r>
      <w:r w:rsidRPr="009B1D5B">
        <w:t>criterion</w:t>
      </w:r>
      <w:bookmarkEnd w:id="46"/>
      <w:bookmarkEnd w:id="47"/>
      <w:bookmarkEnd w:id="48"/>
      <w:bookmarkEnd w:id="49"/>
      <w:bookmarkEnd w:id="50"/>
      <w:bookmarkEnd w:id="51"/>
    </w:p>
    <w:p w14:paraId="2389FF15" w14:textId="3806F28A" w:rsidR="00167DBA" w:rsidRDefault="00A3311F" w:rsidP="00733E0C">
      <w:pPr>
        <w:keepNext/>
        <w:keepLines/>
        <w:rPr>
          <w:rFonts w:cs="Arial"/>
        </w:rPr>
      </w:pPr>
      <w:r>
        <w:rPr>
          <w:rFonts w:cs="Arial"/>
        </w:rPr>
        <w:t>The d</w:t>
      </w:r>
      <w:r w:rsidR="00167DBA">
        <w:rPr>
          <w:rFonts w:cs="Arial"/>
        </w:rPr>
        <w:t>e</w:t>
      </w:r>
      <w:r>
        <w:rPr>
          <w:rFonts w:cs="Arial"/>
        </w:rPr>
        <w:t>vice boundary criterion</w:t>
      </w:r>
      <w:r w:rsidR="0052776C">
        <w:rPr>
          <w:rFonts w:cs="Arial"/>
        </w:rPr>
        <w:t xml:space="preserve"> (DBC)</w:t>
      </w:r>
      <w:r>
        <w:rPr>
          <w:rFonts w:cs="Arial"/>
        </w:rPr>
        <w:t xml:space="preserve"> </w:t>
      </w:r>
      <w:r w:rsidR="00C6696F">
        <w:rPr>
          <w:rFonts w:cs="Arial"/>
        </w:rPr>
        <w:t>manage</w:t>
      </w:r>
      <w:r w:rsidR="00B346F7">
        <w:rPr>
          <w:rFonts w:cs="Arial"/>
        </w:rPr>
        <w:t>s</w:t>
      </w:r>
      <w:r w:rsidR="00C6696F">
        <w:rPr>
          <w:rFonts w:cs="Arial"/>
        </w:rPr>
        <w:t xml:space="preserve"> the strength of emissions </w:t>
      </w:r>
      <w:r w:rsidR="00A900C4">
        <w:rPr>
          <w:rFonts w:cs="Arial"/>
        </w:rPr>
        <w:t xml:space="preserve">from a transmitter </w:t>
      </w:r>
      <w:r w:rsidR="00CA74D1">
        <w:rPr>
          <w:rFonts w:cs="Arial"/>
        </w:rPr>
        <w:t xml:space="preserve">that </w:t>
      </w:r>
      <w:r w:rsidR="00B703DF">
        <w:rPr>
          <w:rFonts w:cs="Arial"/>
        </w:rPr>
        <w:t>leav</w:t>
      </w:r>
      <w:r w:rsidR="00CA74D1">
        <w:rPr>
          <w:rFonts w:cs="Arial"/>
        </w:rPr>
        <w:t>e</w:t>
      </w:r>
      <w:r w:rsidR="00404243">
        <w:rPr>
          <w:rFonts w:cs="Arial"/>
        </w:rPr>
        <w:t>s</w:t>
      </w:r>
      <w:r w:rsidR="00B703DF">
        <w:rPr>
          <w:rFonts w:cs="Arial"/>
        </w:rPr>
        <w:t xml:space="preserve"> </w:t>
      </w:r>
      <w:r w:rsidR="00A900C4">
        <w:rPr>
          <w:rFonts w:cs="Arial"/>
        </w:rPr>
        <w:t xml:space="preserve">the geographical bounds of a spectrum licence. </w:t>
      </w:r>
    </w:p>
    <w:p w14:paraId="26CC0F94" w14:textId="37A3478E" w:rsidR="00B87B95" w:rsidRPr="006F19C1" w:rsidRDefault="00B87B95" w:rsidP="00733E0C">
      <w:pPr>
        <w:keepNext/>
        <w:keepLines/>
        <w:rPr>
          <w:rFonts w:cs="Arial"/>
        </w:rPr>
      </w:pPr>
      <w:r w:rsidRPr="00E3715A">
        <w:rPr>
          <w:rFonts w:cs="Arial"/>
        </w:rPr>
        <w:t xml:space="preserve">Calculating a device boundary </w:t>
      </w:r>
      <w:r w:rsidR="00B5057E">
        <w:rPr>
          <w:rFonts w:cs="Arial"/>
        </w:rPr>
        <w:t>(</w:t>
      </w:r>
      <w:r w:rsidR="00D0380C">
        <w:rPr>
          <w:rFonts w:cs="Arial"/>
        </w:rPr>
        <w:t xml:space="preserve">and </w:t>
      </w:r>
      <w:r w:rsidR="00161C60">
        <w:rPr>
          <w:rFonts w:cs="Arial"/>
        </w:rPr>
        <w:t>whether it meets the crite</w:t>
      </w:r>
      <w:r w:rsidR="00B5057E">
        <w:rPr>
          <w:rFonts w:cs="Arial"/>
        </w:rPr>
        <w:t>rion)</w:t>
      </w:r>
      <w:r w:rsidRPr="00E3715A">
        <w:rPr>
          <w:rFonts w:cs="Arial"/>
        </w:rPr>
        <w:t xml:space="preserve"> involves establishing the distance along radials from the transmitter at which the emission level must drop below a level that is likely to cause interference to co-channel receivers in adjacent geographic areas. The distance along each radial is </w:t>
      </w:r>
      <w:r w:rsidR="00A47C5A">
        <w:rPr>
          <w:rFonts w:cs="Arial"/>
        </w:rPr>
        <w:t>determine</w:t>
      </w:r>
      <w:r w:rsidR="00E424D9">
        <w:rPr>
          <w:rFonts w:cs="Arial"/>
        </w:rPr>
        <w:t>d</w:t>
      </w:r>
      <w:r w:rsidR="00A47C5A">
        <w:rPr>
          <w:rFonts w:cs="Arial"/>
        </w:rPr>
        <w:t xml:space="preserve"> </w:t>
      </w:r>
      <w:r w:rsidR="001275AB">
        <w:rPr>
          <w:rFonts w:cs="Arial"/>
        </w:rPr>
        <w:t xml:space="preserve">by calculations </w:t>
      </w:r>
      <w:r w:rsidR="00D7785F">
        <w:rPr>
          <w:rFonts w:cs="Arial"/>
        </w:rPr>
        <w:t>using</w:t>
      </w:r>
      <w:r w:rsidRPr="00E3715A">
        <w:rPr>
          <w:rFonts w:cs="Arial"/>
        </w:rPr>
        <w:t xml:space="preserve"> a </w:t>
      </w:r>
      <w:r>
        <w:rPr>
          <w:rFonts w:cs="Arial"/>
        </w:rPr>
        <w:t>mathematical propagation model.</w:t>
      </w:r>
      <w:r w:rsidR="00F05203">
        <w:rPr>
          <w:rFonts w:cs="Arial"/>
        </w:rPr>
        <w:t xml:space="preserve"> </w:t>
      </w:r>
      <w:r w:rsidRPr="00E3715A">
        <w:rPr>
          <w:rFonts w:cs="Arial"/>
        </w:rPr>
        <w:t>The</w:t>
      </w:r>
      <w:r w:rsidR="00F05203">
        <w:rPr>
          <w:rFonts w:cs="Arial"/>
        </w:rPr>
        <w:t>se</w:t>
      </w:r>
      <w:r w:rsidRPr="00E3715A">
        <w:rPr>
          <w:rFonts w:cs="Arial"/>
        </w:rPr>
        <w:t xml:space="preserve"> </w:t>
      </w:r>
      <w:r w:rsidR="00E424D9">
        <w:rPr>
          <w:rFonts w:cs="Arial"/>
        </w:rPr>
        <w:t>calculations</w:t>
      </w:r>
      <w:r w:rsidRPr="00E3715A">
        <w:rPr>
          <w:rFonts w:cs="Arial"/>
        </w:rPr>
        <w:t xml:space="preserve"> make use of ground height data from </w:t>
      </w:r>
      <w:r w:rsidR="006F19C1">
        <w:rPr>
          <w:rFonts w:cs="Arial"/>
        </w:rPr>
        <w:t>a defined</w:t>
      </w:r>
      <w:r w:rsidR="000451F3" w:rsidRPr="000451F3">
        <w:rPr>
          <w:rFonts w:cs="Arial"/>
        </w:rPr>
        <w:t xml:space="preserve"> Digital Elevation Model (DEM)</w:t>
      </w:r>
      <w:r w:rsidR="009E5B2B">
        <w:rPr>
          <w:rFonts w:cs="Arial"/>
        </w:rPr>
        <w:t>.</w:t>
      </w:r>
    </w:p>
    <w:p w14:paraId="7D7E7728" w14:textId="77777777" w:rsidR="00B87B95" w:rsidRPr="00E3715A" w:rsidRDefault="00B87B95" w:rsidP="00E40CBB">
      <w:pPr>
        <w:pStyle w:val="Heading2"/>
      </w:pPr>
      <w:bookmarkStart w:id="52" w:name="_Toc325970692"/>
      <w:bookmarkStart w:id="53" w:name="_Ref325970802"/>
      <w:bookmarkStart w:id="54" w:name="_Toc327278927"/>
      <w:bookmarkStart w:id="55" w:name="_Toc341966580"/>
      <w:bookmarkStart w:id="56" w:name="_Toc101444635"/>
      <w:bookmarkStart w:id="57" w:name="_Toc131603578"/>
      <w:r w:rsidRPr="009B1D5B">
        <w:t>Radiocommunications</w:t>
      </w:r>
      <w:r w:rsidRPr="00E3715A">
        <w:t xml:space="preserve"> advisory guidelines</w:t>
      </w:r>
      <w:bookmarkEnd w:id="32"/>
      <w:bookmarkEnd w:id="52"/>
      <w:bookmarkEnd w:id="53"/>
      <w:bookmarkEnd w:id="54"/>
      <w:bookmarkEnd w:id="55"/>
      <w:bookmarkEnd w:id="56"/>
      <w:bookmarkEnd w:id="57"/>
    </w:p>
    <w:p w14:paraId="6EA5389A" w14:textId="49638EAF" w:rsidR="00B87B95" w:rsidRPr="00E3715A" w:rsidRDefault="00876F4F" w:rsidP="00E40CBB">
      <w:pPr>
        <w:rPr>
          <w:rFonts w:cs="Arial"/>
        </w:rPr>
      </w:pPr>
      <w:r>
        <w:rPr>
          <w:rFonts w:cs="Arial"/>
        </w:rPr>
        <w:t>In accordance with section 262 of the Act, t</w:t>
      </w:r>
      <w:r w:rsidR="00B87B95" w:rsidRPr="00E3715A">
        <w:rPr>
          <w:rFonts w:cs="Arial"/>
        </w:rPr>
        <w:t xml:space="preserve">he ACMA may publish radiocommunications advisory guidelines on any aspect of radiocommunications or radio emissions. </w:t>
      </w:r>
      <w:r w:rsidR="00482C49">
        <w:rPr>
          <w:rFonts w:cs="Arial"/>
        </w:rPr>
        <w:t>We</w:t>
      </w:r>
      <w:r w:rsidR="00B87B95" w:rsidRPr="00E3715A">
        <w:rPr>
          <w:rFonts w:cs="Arial"/>
        </w:rPr>
        <w:t xml:space="preserve"> issue guidelines to assist spectrum licensees to </w:t>
      </w:r>
      <w:r w:rsidR="004E2960">
        <w:rPr>
          <w:rFonts w:cs="Arial"/>
        </w:rPr>
        <w:t>manage interference with</w:t>
      </w:r>
      <w:r w:rsidR="004E2960" w:rsidRPr="00E3715A">
        <w:rPr>
          <w:rFonts w:cs="Arial"/>
        </w:rPr>
        <w:t xml:space="preserve"> </w:t>
      </w:r>
      <w:r w:rsidR="00B87B95" w:rsidRPr="00E3715A">
        <w:rPr>
          <w:rFonts w:cs="Arial"/>
        </w:rPr>
        <w:t>radiocommunications devices operated under their spectrum licence</w:t>
      </w:r>
      <w:r w:rsidR="00482C49">
        <w:rPr>
          <w:rFonts w:cs="Arial"/>
        </w:rPr>
        <w:t>,</w:t>
      </w:r>
      <w:r w:rsidR="00B87B95" w:rsidRPr="00E3715A">
        <w:rPr>
          <w:rFonts w:cs="Arial"/>
        </w:rPr>
        <w:t xml:space="preserve"> and those operating in surrounding spectrum</w:t>
      </w:r>
      <w:r w:rsidR="00482C49">
        <w:rPr>
          <w:rFonts w:cs="Arial"/>
        </w:rPr>
        <w:t xml:space="preserve">. This </w:t>
      </w:r>
      <w:r w:rsidR="00B87B95" w:rsidRPr="00E3715A">
        <w:rPr>
          <w:rFonts w:cs="Arial"/>
        </w:rPr>
        <w:t>includ</w:t>
      </w:r>
      <w:r w:rsidR="00482C49">
        <w:rPr>
          <w:rFonts w:cs="Arial"/>
        </w:rPr>
        <w:t>es</w:t>
      </w:r>
      <w:r w:rsidR="00B87B95" w:rsidRPr="00E3715A">
        <w:rPr>
          <w:rFonts w:cs="Arial"/>
        </w:rPr>
        <w:t xml:space="preserve"> services operating under apparatus or class licences. The guidelines may also be used to assess interference between different spectrum-licensed bands.</w:t>
      </w:r>
    </w:p>
    <w:p w14:paraId="6FE6F136" w14:textId="18A218FE" w:rsidR="00B87B95" w:rsidRPr="00E3715A" w:rsidRDefault="00B87B95" w:rsidP="00E40CBB">
      <w:pPr>
        <w:rPr>
          <w:rFonts w:cs="Arial"/>
        </w:rPr>
      </w:pPr>
      <w:r w:rsidRPr="00E3715A">
        <w:rPr>
          <w:rFonts w:cs="Arial"/>
        </w:rPr>
        <w:t xml:space="preserve">The ACMA will generally consider the guidelines when dealing with interference disputes between licensees. A spectrum licence may include a condition that makes it mandatory to employ methods contained in the guidelines. </w:t>
      </w:r>
      <w:r w:rsidR="00482C49">
        <w:rPr>
          <w:rFonts w:cs="Arial"/>
        </w:rPr>
        <w:t>We</w:t>
      </w:r>
      <w:r w:rsidRPr="00E3715A">
        <w:rPr>
          <w:rFonts w:cs="Arial"/>
        </w:rPr>
        <w:t xml:space="preserve"> will otherwise consider alternative interference management arrangements agreed between licensees where all affected and potentially affected licensees have agreed to those arrangements.</w:t>
      </w:r>
    </w:p>
    <w:p w14:paraId="079EEFCA" w14:textId="6C1B80EF" w:rsidR="003517B0" w:rsidRDefault="00B87B95" w:rsidP="00E40CBB">
      <w:pPr>
        <w:spacing w:after="80"/>
        <w:rPr>
          <w:rFonts w:cs="Arial"/>
        </w:rPr>
      </w:pPr>
      <w:r w:rsidRPr="00E3715A">
        <w:rPr>
          <w:rFonts w:cs="Arial"/>
        </w:rPr>
        <w:t xml:space="preserve">Each spectrum-licensed band may have more than one </w:t>
      </w:r>
      <w:r w:rsidR="006E7FF8">
        <w:rPr>
          <w:rFonts w:cs="Arial"/>
        </w:rPr>
        <w:t xml:space="preserve">set of </w:t>
      </w:r>
      <w:r w:rsidRPr="00E3715A">
        <w:rPr>
          <w:rFonts w:cs="Arial"/>
        </w:rPr>
        <w:t>guideline</w:t>
      </w:r>
      <w:r w:rsidR="006E7FF8">
        <w:rPr>
          <w:rFonts w:cs="Arial"/>
        </w:rPr>
        <w:t>s</w:t>
      </w:r>
      <w:r w:rsidRPr="00E3715A">
        <w:rPr>
          <w:rFonts w:cs="Arial"/>
        </w:rPr>
        <w:t xml:space="preserve">. Typically, </w:t>
      </w:r>
      <w:r w:rsidR="00027EE9">
        <w:rPr>
          <w:rFonts w:cs="Arial"/>
        </w:rPr>
        <w:t xml:space="preserve">a spectrum </w:t>
      </w:r>
      <w:r w:rsidR="003517B0">
        <w:rPr>
          <w:rFonts w:cs="Arial"/>
        </w:rPr>
        <w:t>licence</w:t>
      </w:r>
      <w:r w:rsidR="00027EE9">
        <w:rPr>
          <w:rFonts w:cs="Arial"/>
        </w:rPr>
        <w:t xml:space="preserve"> technical </w:t>
      </w:r>
      <w:r w:rsidR="003517B0">
        <w:rPr>
          <w:rFonts w:cs="Arial"/>
        </w:rPr>
        <w:t>framework</w:t>
      </w:r>
      <w:r w:rsidR="00027EE9">
        <w:rPr>
          <w:rFonts w:cs="Arial"/>
        </w:rPr>
        <w:t xml:space="preserve"> </w:t>
      </w:r>
      <w:r w:rsidR="003517B0">
        <w:rPr>
          <w:rFonts w:cs="Arial"/>
        </w:rPr>
        <w:t xml:space="preserve">includes </w:t>
      </w:r>
      <w:r w:rsidR="00F307A7">
        <w:rPr>
          <w:rFonts w:cs="Arial"/>
        </w:rPr>
        <w:t xml:space="preserve">guidelines </w:t>
      </w:r>
      <w:r w:rsidR="003517B0">
        <w:rPr>
          <w:rFonts w:cs="Arial"/>
        </w:rPr>
        <w:t xml:space="preserve">on the following: </w:t>
      </w:r>
    </w:p>
    <w:p w14:paraId="62128058" w14:textId="4E9B6BF1" w:rsidR="003E7325" w:rsidRDefault="003517B0" w:rsidP="00E40CBB">
      <w:pPr>
        <w:pStyle w:val="ListBullet"/>
        <w:rPr>
          <w:rFonts w:cs="Arial"/>
        </w:rPr>
      </w:pPr>
      <w:r w:rsidRPr="00733E0C">
        <w:rPr>
          <w:rFonts w:cs="Arial"/>
          <w:b/>
        </w:rPr>
        <w:t>Man</w:t>
      </w:r>
      <w:r w:rsidR="00B10C6E" w:rsidRPr="00733E0C">
        <w:rPr>
          <w:rFonts w:cs="Arial"/>
          <w:b/>
        </w:rPr>
        <w:t>ag</w:t>
      </w:r>
      <w:r w:rsidRPr="00733E0C">
        <w:rPr>
          <w:rFonts w:cs="Arial"/>
          <w:b/>
        </w:rPr>
        <w:t xml:space="preserve">ing </w:t>
      </w:r>
      <w:r w:rsidR="00DD6459" w:rsidRPr="00733E0C">
        <w:rPr>
          <w:rFonts w:cs="Arial"/>
          <w:b/>
        </w:rPr>
        <w:t>interference</w:t>
      </w:r>
      <w:r w:rsidRPr="00733E0C">
        <w:rPr>
          <w:rFonts w:cs="Arial"/>
          <w:b/>
        </w:rPr>
        <w:t xml:space="preserve"> from spectrum licence transmitters</w:t>
      </w:r>
      <w:r w:rsidR="00482C49">
        <w:rPr>
          <w:rFonts w:cs="Arial"/>
          <w:bCs/>
        </w:rPr>
        <w:t>:</w:t>
      </w:r>
      <w:r w:rsidR="00DD6459">
        <w:rPr>
          <w:rFonts w:cs="Arial"/>
          <w:bCs/>
        </w:rPr>
        <w:t xml:space="preserve"> </w:t>
      </w:r>
      <w:r w:rsidR="00851BC9">
        <w:rPr>
          <w:rFonts w:cs="Arial"/>
          <w:bCs/>
        </w:rPr>
        <w:t>t</w:t>
      </w:r>
      <w:r w:rsidR="00066B5C">
        <w:rPr>
          <w:rFonts w:cs="Arial"/>
          <w:bCs/>
        </w:rPr>
        <w:t>h</w:t>
      </w:r>
      <w:r w:rsidR="00484CD6">
        <w:rPr>
          <w:rFonts w:cs="Arial"/>
          <w:bCs/>
        </w:rPr>
        <w:t>is</w:t>
      </w:r>
      <w:r w:rsidR="00851BC9">
        <w:rPr>
          <w:rFonts w:cs="Arial"/>
          <w:bCs/>
        </w:rPr>
        <w:t xml:space="preserve"> </w:t>
      </w:r>
      <w:r w:rsidR="00851BC9" w:rsidRPr="007D04B2">
        <w:rPr>
          <w:rFonts w:cs="Arial"/>
        </w:rPr>
        <w:t>provide</w:t>
      </w:r>
      <w:r w:rsidR="00484CD6">
        <w:rPr>
          <w:rFonts w:cs="Arial"/>
        </w:rPr>
        <w:t>s</w:t>
      </w:r>
      <w:r w:rsidR="00851BC9" w:rsidRPr="007D04B2">
        <w:rPr>
          <w:rFonts w:cs="Arial"/>
        </w:rPr>
        <w:t xml:space="preserve"> guidance on the protection of </w:t>
      </w:r>
      <w:r w:rsidR="007100FD">
        <w:rPr>
          <w:rFonts w:cs="Arial"/>
        </w:rPr>
        <w:t xml:space="preserve">receivers operating under </w:t>
      </w:r>
      <w:r w:rsidR="00851BC9" w:rsidRPr="007D04B2">
        <w:rPr>
          <w:rFonts w:cs="Arial"/>
        </w:rPr>
        <w:t xml:space="preserve">apparatus </w:t>
      </w:r>
      <w:r w:rsidR="007100FD">
        <w:rPr>
          <w:rFonts w:cs="Arial"/>
        </w:rPr>
        <w:t xml:space="preserve">or </w:t>
      </w:r>
      <w:r w:rsidR="00851BC9" w:rsidRPr="007D04B2">
        <w:rPr>
          <w:rFonts w:cs="Arial"/>
        </w:rPr>
        <w:t>class-licen</w:t>
      </w:r>
      <w:r w:rsidR="003E7325">
        <w:rPr>
          <w:rFonts w:cs="Arial"/>
        </w:rPr>
        <w:t>ces</w:t>
      </w:r>
      <w:r w:rsidR="00851BC9" w:rsidRPr="007D04B2">
        <w:rPr>
          <w:rFonts w:cs="Arial"/>
        </w:rPr>
        <w:t xml:space="preserve"> from transmitters</w:t>
      </w:r>
      <w:r w:rsidR="003E7325">
        <w:rPr>
          <w:rFonts w:cs="Arial"/>
        </w:rPr>
        <w:t xml:space="preserve"> operating under a spectrum licence</w:t>
      </w:r>
      <w:r w:rsidR="00C47AF9">
        <w:rPr>
          <w:rFonts w:cs="Arial"/>
        </w:rPr>
        <w:t>.</w:t>
      </w:r>
    </w:p>
    <w:p w14:paraId="2C8BF2BC" w14:textId="6227E268" w:rsidR="003517B0" w:rsidRPr="003517B0" w:rsidRDefault="00B052BD" w:rsidP="00E40CBB">
      <w:pPr>
        <w:pStyle w:val="ListBullet"/>
        <w:rPr>
          <w:rFonts w:cs="Arial"/>
        </w:rPr>
      </w:pPr>
      <w:r w:rsidRPr="00733E0C">
        <w:rPr>
          <w:rFonts w:cs="Arial"/>
          <w:b/>
          <w:bCs/>
        </w:rPr>
        <w:t>Managing</w:t>
      </w:r>
      <w:r w:rsidR="003E7325" w:rsidRPr="00733E0C">
        <w:rPr>
          <w:rFonts w:cs="Arial"/>
          <w:b/>
          <w:bCs/>
        </w:rPr>
        <w:t xml:space="preserve"> </w:t>
      </w:r>
      <w:r w:rsidRPr="00733E0C">
        <w:rPr>
          <w:rFonts w:cs="Arial"/>
          <w:b/>
          <w:bCs/>
        </w:rPr>
        <w:t>interference</w:t>
      </w:r>
      <w:r w:rsidR="003E7325" w:rsidRPr="00733E0C">
        <w:rPr>
          <w:rFonts w:cs="Arial"/>
          <w:b/>
          <w:bCs/>
        </w:rPr>
        <w:t xml:space="preserve"> into spectrum licensed receivers</w:t>
      </w:r>
      <w:r w:rsidR="00482C49">
        <w:rPr>
          <w:rFonts w:cs="Arial"/>
        </w:rPr>
        <w:t>:</w:t>
      </w:r>
      <w:r>
        <w:rPr>
          <w:rFonts w:cs="Arial"/>
        </w:rPr>
        <w:t xml:space="preserve"> </w:t>
      </w:r>
      <w:r w:rsidR="00AB2A5A">
        <w:rPr>
          <w:rFonts w:cs="Arial"/>
        </w:rPr>
        <w:t>th</w:t>
      </w:r>
      <w:r w:rsidR="00484CD6">
        <w:rPr>
          <w:rFonts w:cs="Arial"/>
        </w:rPr>
        <w:t xml:space="preserve">is provides </w:t>
      </w:r>
      <w:r w:rsidR="00D937D5" w:rsidRPr="007D04B2">
        <w:rPr>
          <w:rFonts w:cs="Arial"/>
        </w:rPr>
        <w:t>guidance on the management of interference to receivers operating under a spectrum licence</w:t>
      </w:r>
      <w:r w:rsidR="00175BFD">
        <w:rPr>
          <w:rFonts w:cs="Arial"/>
        </w:rPr>
        <w:t xml:space="preserve"> from transmitters operating under a spectrum, apparatus or class licence. </w:t>
      </w:r>
      <w:r w:rsidR="00717296" w:rsidRPr="007D04B2">
        <w:rPr>
          <w:lang w:eastAsia="ja-JP"/>
        </w:rPr>
        <w:t xml:space="preserve">A key part of the management of this type of interference is the specification of a notional receiver performance level and a compatibility requirement. This provides a base for the operators of radiocommunications transmitters to coordinate their services against. While </w:t>
      </w:r>
      <w:r w:rsidR="00C95943">
        <w:rPr>
          <w:lang w:eastAsia="ja-JP"/>
        </w:rPr>
        <w:t>compliance</w:t>
      </w:r>
      <w:r w:rsidR="006C6DC6">
        <w:rPr>
          <w:lang w:eastAsia="ja-JP"/>
        </w:rPr>
        <w:t xml:space="preserve"> with</w:t>
      </w:r>
      <w:r w:rsidR="00717296" w:rsidRPr="007D04B2">
        <w:rPr>
          <w:lang w:eastAsia="ja-JP"/>
        </w:rPr>
        <w:t xml:space="preserve"> the notional receiver is optional, the ACMA will have regard to it when settling interference disputes. For this reason, it is</w:t>
      </w:r>
      <w:r w:rsidR="00717296" w:rsidRPr="007D04B2">
        <w:t xml:space="preserve"> recommended that all receivers operating under a spectrum licence have a performance level at least equal to the defined notional receiver.</w:t>
      </w:r>
      <w:r w:rsidR="00D937D5">
        <w:rPr>
          <w:rFonts w:cs="Arial"/>
        </w:rPr>
        <w:t xml:space="preserve"> </w:t>
      </w:r>
    </w:p>
    <w:p w14:paraId="0D751C39" w14:textId="053A37A4" w:rsidR="006D6434" w:rsidRPr="00E3715A" w:rsidRDefault="006D6434" w:rsidP="00E40CBB">
      <w:pPr>
        <w:pStyle w:val="Heading2"/>
      </w:pPr>
      <w:bookmarkStart w:id="58" w:name="_Toc131603579"/>
      <w:bookmarkStart w:id="59" w:name="_Toc325970713"/>
      <w:bookmarkStart w:id="60" w:name="_Toc327278948"/>
      <w:bookmarkStart w:id="61" w:name="_Toc341966590"/>
      <w:bookmarkStart w:id="62" w:name="_Toc101444637"/>
      <w:r>
        <w:t>Other considerations</w:t>
      </w:r>
      <w:bookmarkEnd w:id="58"/>
    </w:p>
    <w:p w14:paraId="4B7968FE" w14:textId="7FB900CF" w:rsidR="004A7A2E" w:rsidRPr="00A9144E" w:rsidRDefault="004A7A2E" w:rsidP="00E40CBB">
      <w:pPr>
        <w:pStyle w:val="Heading3"/>
      </w:pPr>
      <w:bookmarkStart w:id="63" w:name="_Toc131603580"/>
      <w:r w:rsidRPr="00A9144E">
        <w:t>Existing radiocommunications services</w:t>
      </w:r>
      <w:bookmarkEnd w:id="59"/>
      <w:bookmarkEnd w:id="60"/>
      <w:bookmarkEnd w:id="61"/>
      <w:bookmarkEnd w:id="62"/>
      <w:bookmarkEnd w:id="63"/>
    </w:p>
    <w:p w14:paraId="052ACDF2" w14:textId="35ED9ED3" w:rsidR="004A7A2E" w:rsidRPr="00A9144E" w:rsidRDefault="004A7A2E" w:rsidP="00E40CBB">
      <w:pPr>
        <w:rPr>
          <w:rFonts w:cs="Arial"/>
        </w:rPr>
      </w:pPr>
      <w:r w:rsidRPr="00A9144E">
        <w:rPr>
          <w:rFonts w:cs="Arial"/>
        </w:rPr>
        <w:t xml:space="preserve">Spectrum licensees may need to liaise with the owners of existing and future radiocommunications services deployed in adjacent spectrum. </w:t>
      </w:r>
      <w:r w:rsidR="00482C49">
        <w:rPr>
          <w:rFonts w:cs="Arial"/>
        </w:rPr>
        <w:t>We</w:t>
      </w:r>
      <w:r w:rsidRPr="00A9144E">
        <w:rPr>
          <w:rFonts w:cs="Arial"/>
        </w:rPr>
        <w:t xml:space="preserve"> recommend that prospective licensees </w:t>
      </w:r>
      <w:r w:rsidR="00F558E2">
        <w:rPr>
          <w:rFonts w:cs="Arial"/>
        </w:rPr>
        <w:t>review the RRL to</w:t>
      </w:r>
      <w:r w:rsidRPr="00A9144E">
        <w:rPr>
          <w:rFonts w:cs="Arial"/>
        </w:rPr>
        <w:t xml:space="preserve"> inform themselves of existing spectrum and apparatus licences adjacent to spectrum space prior to obtaining access to the</w:t>
      </w:r>
      <w:r w:rsidR="00482C49">
        <w:rPr>
          <w:rFonts w:cs="Arial"/>
        </w:rPr>
        <w:t> </w:t>
      </w:r>
      <w:r w:rsidRPr="00A9144E">
        <w:rPr>
          <w:rFonts w:cs="Arial"/>
        </w:rPr>
        <w:t>spectrum.</w:t>
      </w:r>
    </w:p>
    <w:p w14:paraId="6BF4F8F1" w14:textId="77777777" w:rsidR="004A7A2E" w:rsidRPr="00A9144E" w:rsidRDefault="004A7A2E" w:rsidP="00E40CBB">
      <w:pPr>
        <w:pStyle w:val="Heading3"/>
      </w:pPr>
      <w:bookmarkStart w:id="64" w:name="_Ref325098853"/>
      <w:bookmarkStart w:id="65" w:name="_Toc325970714"/>
      <w:bookmarkStart w:id="66" w:name="_Toc327278949"/>
      <w:bookmarkStart w:id="67" w:name="_Toc341966591"/>
      <w:bookmarkStart w:id="68" w:name="_Toc101444638"/>
      <w:bookmarkStart w:id="69" w:name="_Toc131603581"/>
      <w:r w:rsidRPr="00A9144E">
        <w:t>Interference that the technical framework does not prevent</w:t>
      </w:r>
      <w:bookmarkEnd w:id="64"/>
      <w:bookmarkEnd w:id="65"/>
      <w:bookmarkEnd w:id="66"/>
      <w:bookmarkEnd w:id="67"/>
      <w:bookmarkEnd w:id="68"/>
      <w:bookmarkEnd w:id="69"/>
    </w:p>
    <w:p w14:paraId="6A009E6A" w14:textId="05398C3C" w:rsidR="004A7A2E" w:rsidRPr="00A9144E" w:rsidRDefault="004A7A2E" w:rsidP="00E40CBB">
      <w:pPr>
        <w:rPr>
          <w:rFonts w:cs="Arial"/>
        </w:rPr>
      </w:pPr>
      <w:r w:rsidRPr="00A9144E">
        <w:rPr>
          <w:rFonts w:cs="Arial"/>
        </w:rPr>
        <w:t xml:space="preserve">While the technical framework is designed around certain levels of acceptable interference probability, interference can still occur in the field once a </w:t>
      </w:r>
      <w:r w:rsidR="00840B50">
        <w:rPr>
          <w:rFonts w:cs="Arial"/>
        </w:rPr>
        <w:lastRenderedPageBreak/>
        <w:t xml:space="preserve">radiocommunications </w:t>
      </w:r>
      <w:r w:rsidRPr="00A9144E">
        <w:rPr>
          <w:rFonts w:cs="Arial"/>
        </w:rPr>
        <w:t xml:space="preserve">device is deployed. Interference may be caused by </w:t>
      </w:r>
      <w:r w:rsidR="001B2B98">
        <w:rPr>
          <w:rFonts w:cs="Arial"/>
        </w:rPr>
        <w:t xml:space="preserve">radio </w:t>
      </w:r>
      <w:r w:rsidRPr="00A9144E">
        <w:rPr>
          <w:rFonts w:cs="Arial"/>
        </w:rPr>
        <w:t>emissions at frequencies either inside or outside the spectrum space of a licensee.</w:t>
      </w:r>
    </w:p>
    <w:p w14:paraId="4BC508C9" w14:textId="0C8EE509" w:rsidR="004A7A2E" w:rsidRPr="00A9144E" w:rsidRDefault="004A7A2E" w:rsidP="00E40CBB">
      <w:pPr>
        <w:rPr>
          <w:rFonts w:cs="Arial"/>
        </w:rPr>
      </w:pPr>
      <w:r w:rsidRPr="00A9144E">
        <w:rPr>
          <w:rFonts w:cs="Arial"/>
        </w:rPr>
        <w:t xml:space="preserve">Before considering an interference complaint, licensees are strongly advised to attempt to locate the source of any interference by </w:t>
      </w:r>
      <w:r w:rsidR="00443074">
        <w:rPr>
          <w:rFonts w:cs="Arial"/>
        </w:rPr>
        <w:t>using</w:t>
      </w:r>
      <w:r w:rsidR="00443074" w:rsidRPr="00A9144E">
        <w:rPr>
          <w:rFonts w:cs="Arial"/>
        </w:rPr>
        <w:t xml:space="preserve"> </w:t>
      </w:r>
      <w:r w:rsidRPr="00A9144E">
        <w:rPr>
          <w:rFonts w:cs="Arial"/>
        </w:rPr>
        <w:t xml:space="preserve">the RRL. An investigation may indicate the likely cause of the interference and it may be possible to settle the problem without the ACMA’s intervention. If </w:t>
      </w:r>
      <w:r w:rsidR="00B47501">
        <w:rPr>
          <w:rFonts w:cs="Arial"/>
        </w:rPr>
        <w:t>we</w:t>
      </w:r>
      <w:r w:rsidRPr="00A9144E">
        <w:rPr>
          <w:rFonts w:cs="Arial"/>
        </w:rPr>
        <w:t xml:space="preserve"> become involved in resolving a dispute, licensees may be charged for any work undertaken. The applicable charges are specified in the </w:t>
      </w:r>
      <w:hyperlink r:id="rId38" w:history="1">
        <w:r w:rsidR="0024605E" w:rsidRPr="009057DD">
          <w:rPr>
            <w:rStyle w:val="Hyperlink"/>
            <w:rFonts w:cs="Arial"/>
          </w:rPr>
          <w:t>Radiocommunications (Charges) De</w:t>
        </w:r>
        <w:r w:rsidR="009057DD" w:rsidRPr="009057DD">
          <w:rPr>
            <w:rStyle w:val="Hyperlink"/>
            <w:rFonts w:cs="Arial"/>
          </w:rPr>
          <w:t>termination (2022)</w:t>
        </w:r>
      </w:hyperlink>
      <w:r w:rsidR="009057DD">
        <w:rPr>
          <w:rFonts w:cs="Arial"/>
        </w:rPr>
        <w:t xml:space="preserve"> (the charges determination).</w:t>
      </w:r>
      <w:r w:rsidRPr="00A9144E">
        <w:rPr>
          <w:rFonts w:cs="Arial"/>
        </w:rPr>
        <w:t xml:space="preserve"> </w:t>
      </w:r>
    </w:p>
    <w:p w14:paraId="60EEE26E" w14:textId="77777777" w:rsidR="004A7A2E" w:rsidRPr="00A9144E" w:rsidRDefault="004A7A2E" w:rsidP="00E40CBB">
      <w:pPr>
        <w:pStyle w:val="Heading3"/>
      </w:pPr>
      <w:bookmarkStart w:id="70" w:name="_Toc325970715"/>
      <w:bookmarkStart w:id="71" w:name="_Toc327278950"/>
      <w:bookmarkStart w:id="72" w:name="_Toc341966592"/>
      <w:bookmarkStart w:id="73" w:name="_Toc101444639"/>
      <w:bookmarkStart w:id="74" w:name="_Toc131603582"/>
      <w:r w:rsidRPr="00A9144E">
        <w:t>Defence use of the spectrum</w:t>
      </w:r>
      <w:bookmarkEnd w:id="70"/>
      <w:bookmarkEnd w:id="71"/>
      <w:bookmarkEnd w:id="72"/>
      <w:bookmarkEnd w:id="73"/>
      <w:bookmarkEnd w:id="74"/>
    </w:p>
    <w:p w14:paraId="6950354F" w14:textId="31B93EB6" w:rsidR="004A7A2E" w:rsidRPr="00A9144E" w:rsidRDefault="004A7A2E" w:rsidP="00E40CBB">
      <w:pPr>
        <w:rPr>
          <w:rFonts w:cs="Arial"/>
        </w:rPr>
      </w:pPr>
      <w:r w:rsidRPr="00A9144E">
        <w:rPr>
          <w:rFonts w:cs="Arial"/>
        </w:rPr>
        <w:t xml:space="preserve">The Australian Defence Force and the Department of Defence </w:t>
      </w:r>
      <w:r w:rsidR="00A016A1">
        <w:rPr>
          <w:rFonts w:cs="Arial"/>
        </w:rPr>
        <w:t xml:space="preserve">are </w:t>
      </w:r>
      <w:r w:rsidRPr="00A9144E">
        <w:rPr>
          <w:rFonts w:cs="Arial"/>
        </w:rPr>
        <w:t xml:space="preserve">significant </w:t>
      </w:r>
      <w:r w:rsidR="00A016A1">
        <w:rPr>
          <w:rFonts w:cs="Arial"/>
        </w:rPr>
        <w:t>user</w:t>
      </w:r>
      <w:r w:rsidR="00B47501">
        <w:rPr>
          <w:rFonts w:cs="Arial"/>
        </w:rPr>
        <w:t>s</w:t>
      </w:r>
      <w:r w:rsidR="00A016A1">
        <w:rPr>
          <w:rFonts w:cs="Arial"/>
        </w:rPr>
        <w:t xml:space="preserve"> </w:t>
      </w:r>
      <w:r w:rsidRPr="00A9144E">
        <w:rPr>
          <w:rFonts w:cs="Arial"/>
        </w:rPr>
        <w:t xml:space="preserve">of the radiofrequency spectrum. </w:t>
      </w:r>
      <w:r w:rsidR="00963C95">
        <w:rPr>
          <w:rFonts w:cs="Arial"/>
        </w:rPr>
        <w:t>A</w:t>
      </w:r>
      <w:r w:rsidRPr="00A9144E">
        <w:rPr>
          <w:rFonts w:cs="Arial"/>
        </w:rPr>
        <w:t xml:space="preserve">ll spectrum users may, from time to time, share use of the spectrum with agencies engaged in the defence of Australia and national security activities. In some circumstances, Defence use of spectrum is not subject to the operation of the </w:t>
      </w:r>
      <w:r w:rsidR="00B47501">
        <w:rPr>
          <w:rFonts w:cs="Arial"/>
        </w:rPr>
        <w:t xml:space="preserve">Radiocommunications </w:t>
      </w:r>
      <w:r w:rsidR="002B2247" w:rsidRPr="00A9144E">
        <w:rPr>
          <w:rFonts w:cs="Arial"/>
        </w:rPr>
        <w:t>Act</w:t>
      </w:r>
      <w:r w:rsidRPr="00A9144E">
        <w:rPr>
          <w:rFonts w:cs="Arial"/>
        </w:rPr>
        <w:t>.</w:t>
      </w:r>
    </w:p>
    <w:p w14:paraId="451A1428" w14:textId="77777777" w:rsidR="004A7A2E" w:rsidRPr="00A9144E" w:rsidRDefault="004A7A2E" w:rsidP="00E40CBB">
      <w:pPr>
        <w:pStyle w:val="Heading3"/>
      </w:pPr>
      <w:bookmarkStart w:id="75" w:name="_Toc327278951"/>
      <w:bookmarkStart w:id="76" w:name="_Toc341966593"/>
      <w:bookmarkStart w:id="77" w:name="_Toc101444640"/>
      <w:bookmarkStart w:id="78" w:name="_Toc131603583"/>
      <w:r w:rsidRPr="00A9144E">
        <w:t>Coexistence of spectrum licences with class licences or apparatus licences</w:t>
      </w:r>
      <w:bookmarkEnd w:id="75"/>
      <w:bookmarkEnd w:id="76"/>
      <w:bookmarkEnd w:id="77"/>
      <w:bookmarkEnd w:id="78"/>
    </w:p>
    <w:p w14:paraId="1484110F" w14:textId="3BF57A53" w:rsidR="004A7A2E" w:rsidRPr="00A9144E" w:rsidRDefault="004A7A2E" w:rsidP="00E40CBB">
      <w:pPr>
        <w:spacing w:after="80"/>
        <w:rPr>
          <w:rFonts w:cs="Arial"/>
        </w:rPr>
      </w:pPr>
      <w:r w:rsidRPr="00A9144E">
        <w:rPr>
          <w:rFonts w:cs="Arial"/>
        </w:rPr>
        <w:t xml:space="preserve">Subsection 138(2) </w:t>
      </w:r>
      <w:r w:rsidR="00B952F7">
        <w:rPr>
          <w:rFonts w:cs="Arial"/>
        </w:rPr>
        <w:t>of the Act</w:t>
      </w:r>
      <w:r w:rsidRPr="00A9144E">
        <w:rPr>
          <w:rFonts w:cs="Arial"/>
        </w:rPr>
        <w:t xml:space="preserve"> provides that the ACMA may issue a class licence permitting the operation of radiocommunications devices within </w:t>
      </w:r>
      <w:r w:rsidR="00C97FE3">
        <w:rPr>
          <w:rFonts w:cs="Arial"/>
        </w:rPr>
        <w:t xml:space="preserve">the </w:t>
      </w:r>
      <w:r w:rsidRPr="00A9144E">
        <w:rPr>
          <w:rFonts w:cs="Arial"/>
        </w:rPr>
        <w:t xml:space="preserve">spectrum space </w:t>
      </w:r>
      <w:r w:rsidR="00493105">
        <w:rPr>
          <w:rFonts w:cs="Arial"/>
        </w:rPr>
        <w:t>of</w:t>
      </w:r>
      <w:r w:rsidRPr="00A9144E">
        <w:rPr>
          <w:rFonts w:cs="Arial"/>
        </w:rPr>
        <w:t xml:space="preserve"> spectrum licens</w:t>
      </w:r>
      <w:r w:rsidR="00493105">
        <w:rPr>
          <w:rFonts w:cs="Arial"/>
        </w:rPr>
        <w:t>es,</w:t>
      </w:r>
      <w:r w:rsidRPr="00A9144E">
        <w:rPr>
          <w:rFonts w:cs="Arial"/>
        </w:rPr>
        <w:t xml:space="preserve"> where the ACMA is satisfied that:</w:t>
      </w:r>
    </w:p>
    <w:p w14:paraId="298F2DB7" w14:textId="1FBFBBAF" w:rsidR="004A7A2E" w:rsidRPr="00A9144E" w:rsidRDefault="004A7A2E" w:rsidP="00E40CBB">
      <w:pPr>
        <w:pStyle w:val="ListBullet"/>
        <w:rPr>
          <w:rFonts w:cs="Arial"/>
        </w:rPr>
      </w:pPr>
      <w:r w:rsidRPr="00A9144E">
        <w:rPr>
          <w:rFonts w:cs="Arial"/>
        </w:rPr>
        <w:t>unacceptable levels of interference will not occur to the operation of radiocommunications devices operated, or likely to be operated, under spectrum licences</w:t>
      </w:r>
      <w:r w:rsidR="00B15264">
        <w:rPr>
          <w:rFonts w:cs="Arial"/>
        </w:rPr>
        <w:t xml:space="preserve"> </w:t>
      </w:r>
    </w:p>
    <w:p w14:paraId="74D980F8" w14:textId="77777777" w:rsidR="004A7A2E" w:rsidRPr="00A9144E" w:rsidRDefault="004A7A2E" w:rsidP="00E40CBB">
      <w:pPr>
        <w:pStyle w:val="ListBullet"/>
        <w:spacing w:after="240"/>
        <w:rPr>
          <w:rFonts w:cs="Arial"/>
        </w:rPr>
      </w:pPr>
      <w:r w:rsidRPr="00A9144E">
        <w:rPr>
          <w:rFonts w:cs="Arial"/>
        </w:rPr>
        <w:t>it is in the public interest to issue the class licence.</w:t>
      </w:r>
    </w:p>
    <w:p w14:paraId="421AA89D" w14:textId="046C52BC" w:rsidR="004A7A2E" w:rsidRPr="00A9144E" w:rsidRDefault="004A7A2E" w:rsidP="00E40CBB">
      <w:pPr>
        <w:rPr>
          <w:rFonts w:cs="Arial"/>
        </w:rPr>
      </w:pPr>
      <w:r w:rsidRPr="00A9144E">
        <w:rPr>
          <w:rFonts w:cs="Arial"/>
        </w:rPr>
        <w:t xml:space="preserve">Before issuing the class licence, </w:t>
      </w:r>
      <w:r w:rsidR="00B47501">
        <w:rPr>
          <w:rFonts w:cs="Arial"/>
        </w:rPr>
        <w:t>we</w:t>
      </w:r>
      <w:r w:rsidRPr="00A9144E">
        <w:rPr>
          <w:rFonts w:cs="Arial"/>
        </w:rPr>
        <w:t xml:space="preserve"> must consult with all potentially affected spectrum</w:t>
      </w:r>
      <w:r w:rsidR="00B47501">
        <w:rPr>
          <w:rFonts w:cs="Arial"/>
        </w:rPr>
        <w:t> </w:t>
      </w:r>
      <w:r w:rsidRPr="00A9144E">
        <w:rPr>
          <w:rFonts w:cs="Arial"/>
        </w:rPr>
        <w:t>licensees.</w:t>
      </w:r>
    </w:p>
    <w:p w14:paraId="13C365F4" w14:textId="65DAC080" w:rsidR="004A7A2E" w:rsidRPr="00A9144E" w:rsidRDefault="00E63AD1" w:rsidP="00E40CBB">
      <w:pPr>
        <w:spacing w:after="80"/>
        <w:rPr>
          <w:rFonts w:cs="Arial"/>
        </w:rPr>
      </w:pPr>
      <w:r>
        <w:rPr>
          <w:rFonts w:cs="Arial"/>
        </w:rPr>
        <w:t>Under subsection 105(3) of the Act</w:t>
      </w:r>
      <w:r w:rsidR="00B47501">
        <w:rPr>
          <w:rFonts w:cs="Arial"/>
        </w:rPr>
        <w:t>,</w:t>
      </w:r>
      <w:r>
        <w:rPr>
          <w:rFonts w:cs="Arial"/>
        </w:rPr>
        <w:t xml:space="preserve"> </w:t>
      </w:r>
      <w:r w:rsidR="0084668F">
        <w:rPr>
          <w:rFonts w:cs="Arial"/>
        </w:rPr>
        <w:t>t</w:t>
      </w:r>
      <w:r w:rsidR="004A7A2E" w:rsidRPr="00A9144E">
        <w:rPr>
          <w:rFonts w:cs="Arial"/>
        </w:rPr>
        <w:t xml:space="preserve">he ACMA may issue an apparatus licence </w:t>
      </w:r>
      <w:r w:rsidR="008E191D">
        <w:rPr>
          <w:rFonts w:cs="Arial"/>
        </w:rPr>
        <w:t>with</w:t>
      </w:r>
      <w:r w:rsidR="004A7A2E" w:rsidRPr="00A9144E">
        <w:rPr>
          <w:rFonts w:cs="Arial"/>
        </w:rPr>
        <w:t xml:space="preserve">in </w:t>
      </w:r>
      <w:r w:rsidR="00E21004">
        <w:rPr>
          <w:rFonts w:cs="Arial"/>
        </w:rPr>
        <w:t xml:space="preserve">the </w:t>
      </w:r>
      <w:r w:rsidR="004A7A2E" w:rsidRPr="00A9144E">
        <w:rPr>
          <w:rFonts w:cs="Arial"/>
        </w:rPr>
        <w:t xml:space="preserve">spectrum space </w:t>
      </w:r>
      <w:r w:rsidR="008E191D">
        <w:rPr>
          <w:rFonts w:cs="Arial"/>
        </w:rPr>
        <w:t xml:space="preserve">of a </w:t>
      </w:r>
      <w:r w:rsidR="00E21004">
        <w:rPr>
          <w:rFonts w:cs="Arial"/>
        </w:rPr>
        <w:t xml:space="preserve">spectrum </w:t>
      </w:r>
      <w:r w:rsidR="008E191D">
        <w:rPr>
          <w:rFonts w:cs="Arial"/>
        </w:rPr>
        <w:t>licence</w:t>
      </w:r>
      <w:r w:rsidR="00E21004">
        <w:rPr>
          <w:rFonts w:cs="Arial"/>
        </w:rPr>
        <w:t xml:space="preserve"> either</w:t>
      </w:r>
      <w:r w:rsidR="004A7A2E" w:rsidRPr="00A9144E">
        <w:rPr>
          <w:rFonts w:cs="Arial"/>
        </w:rPr>
        <w:t>:</w:t>
      </w:r>
    </w:p>
    <w:p w14:paraId="4A2B1017" w14:textId="3EC6B033" w:rsidR="004A7A2E" w:rsidRPr="00A9144E" w:rsidRDefault="004A7A2E" w:rsidP="00E40CBB">
      <w:pPr>
        <w:pStyle w:val="ListBullet"/>
        <w:rPr>
          <w:rFonts w:cs="Arial"/>
        </w:rPr>
      </w:pPr>
      <w:r w:rsidRPr="00A9144E">
        <w:rPr>
          <w:rFonts w:cs="Arial"/>
        </w:rPr>
        <w:t xml:space="preserve">where it is satisfied that the special circumstances of the </w:t>
      </w:r>
      <w:r w:rsidR="001B0E79" w:rsidRPr="00A9144E">
        <w:rPr>
          <w:rFonts w:cs="Arial"/>
        </w:rPr>
        <w:t>case</w:t>
      </w:r>
      <w:r w:rsidRPr="00A9144E">
        <w:rPr>
          <w:rFonts w:cs="Arial"/>
        </w:rPr>
        <w:t xml:space="preserve"> justify the issuing of the </w:t>
      </w:r>
      <w:r w:rsidR="00A57F76" w:rsidRPr="00A9144E">
        <w:rPr>
          <w:rFonts w:cs="Arial"/>
        </w:rPr>
        <w:t>licence</w:t>
      </w:r>
    </w:p>
    <w:p w14:paraId="1380E65F" w14:textId="0C49A782" w:rsidR="005D4B79" w:rsidRDefault="004A7A2E" w:rsidP="00AF6A36">
      <w:pPr>
        <w:pStyle w:val="Bulletlevel1last"/>
        <w:spacing w:after="80"/>
      </w:pPr>
      <w:r w:rsidRPr="00A9144E">
        <w:t xml:space="preserve">to a law enforcement agency, as defined </w:t>
      </w:r>
      <w:r w:rsidR="00B145D3">
        <w:t>in</w:t>
      </w:r>
      <w:r w:rsidR="00172938">
        <w:t xml:space="preserve"> </w:t>
      </w:r>
      <w:r w:rsidRPr="00A9144E">
        <w:t xml:space="preserve">the </w:t>
      </w:r>
      <w:r w:rsidR="00B47501">
        <w:t xml:space="preserve">Radiocommunications </w:t>
      </w:r>
      <w:r w:rsidR="002B2247" w:rsidRPr="00A9144E">
        <w:t>Act</w:t>
      </w:r>
      <w:r w:rsidRPr="00A9144E">
        <w:t xml:space="preserve">, for the purpose of investigations or operations </w:t>
      </w:r>
      <w:r w:rsidR="000A2F5D">
        <w:t xml:space="preserve">conducted by the </w:t>
      </w:r>
      <w:r w:rsidRPr="00A9144E">
        <w:t>agency</w:t>
      </w:r>
      <w:r w:rsidR="006D5625">
        <w:t>.</w:t>
      </w:r>
    </w:p>
    <w:p w14:paraId="55C60C9F" w14:textId="77777777" w:rsidR="004A7A2E" w:rsidRPr="00E3715A" w:rsidRDefault="004A7A2E" w:rsidP="00E40CBB">
      <w:pPr>
        <w:pStyle w:val="ListBullet"/>
        <w:numPr>
          <w:ilvl w:val="0"/>
          <w:numId w:val="0"/>
        </w:numPr>
        <w:ind w:left="295" w:hanging="295"/>
        <w:rPr>
          <w:rFonts w:cs="Arial"/>
          <w:noProof/>
        </w:rPr>
      </w:pPr>
    </w:p>
    <w:p w14:paraId="55483A6A" w14:textId="77777777" w:rsidR="006672E3" w:rsidRPr="00E3715A" w:rsidRDefault="006672E3" w:rsidP="00E40CBB">
      <w:pPr>
        <w:pStyle w:val="Heading1"/>
      </w:pPr>
      <w:bookmarkStart w:id="79" w:name="_Toc131603584"/>
      <w:bookmarkStart w:id="80" w:name="_Toc101444619"/>
      <w:bookmarkStart w:id="81" w:name="_Toc101444643"/>
      <w:r>
        <w:lastRenderedPageBreak/>
        <w:t>Statutory licence conditions</w:t>
      </w:r>
      <w:bookmarkEnd w:id="79"/>
      <w:r>
        <w:t xml:space="preserve"> </w:t>
      </w:r>
      <w:bookmarkEnd w:id="80"/>
    </w:p>
    <w:p w14:paraId="46984267" w14:textId="1E67B543" w:rsidR="006672E3" w:rsidRPr="005970B6" w:rsidRDefault="006672E3" w:rsidP="00E40CBB">
      <w:pPr>
        <w:pStyle w:val="Paragraph"/>
      </w:pPr>
      <w:r w:rsidRPr="005970B6">
        <w:t xml:space="preserve">Statutory conditions imposed </w:t>
      </w:r>
      <w:r w:rsidR="00DC0575">
        <w:t xml:space="preserve">on spectrum licences </w:t>
      </w:r>
      <w:r w:rsidRPr="005970B6">
        <w:t xml:space="preserve">under sections 67 to 69A of the </w:t>
      </w:r>
      <w:r w:rsidR="00B47501">
        <w:t xml:space="preserve">Radiocommunications </w:t>
      </w:r>
      <w:r>
        <w:t>Act</w:t>
      </w:r>
      <w:r w:rsidRPr="005970B6">
        <w:t xml:space="preserve"> include conditions about payment of charges, use by third parties, residency, registration of </w:t>
      </w:r>
      <w:r w:rsidR="00761CCD">
        <w:t>radiocommunications</w:t>
      </w:r>
      <w:r w:rsidR="00984515">
        <w:t xml:space="preserve"> </w:t>
      </w:r>
      <w:r w:rsidRPr="005970B6">
        <w:t xml:space="preserve">devices </w:t>
      </w:r>
      <w:r w:rsidR="00984515">
        <w:t>and radiocommunications transmitters</w:t>
      </w:r>
      <w:r w:rsidRPr="005970B6">
        <w:t xml:space="preserve"> exempt from registration. These conditions are </w:t>
      </w:r>
      <w:r>
        <w:t xml:space="preserve">applicable </w:t>
      </w:r>
      <w:r w:rsidRPr="00432814">
        <w:t>to all</w:t>
      </w:r>
      <w:r w:rsidRPr="005970B6">
        <w:t xml:space="preserve"> spectrum licences.</w:t>
      </w:r>
    </w:p>
    <w:p w14:paraId="39682472" w14:textId="77777777" w:rsidR="006672E3" w:rsidRPr="00E3715A" w:rsidRDefault="006672E3" w:rsidP="00E40CBB">
      <w:pPr>
        <w:pStyle w:val="Heading2"/>
      </w:pPr>
      <w:bookmarkStart w:id="82" w:name="_Toc341966562"/>
      <w:bookmarkStart w:id="83" w:name="_Toc101444621"/>
      <w:bookmarkStart w:id="84" w:name="_Toc131603585"/>
      <w:r w:rsidRPr="00E3715A">
        <w:t>Spectrum licence taxes and charges</w:t>
      </w:r>
      <w:bookmarkEnd w:id="82"/>
      <w:bookmarkEnd w:id="83"/>
      <w:bookmarkEnd w:id="84"/>
    </w:p>
    <w:p w14:paraId="6B4AF9CF" w14:textId="77777777" w:rsidR="006672E3" w:rsidRPr="00E3715A" w:rsidRDefault="006672E3" w:rsidP="00E40CBB">
      <w:pPr>
        <w:spacing w:after="80"/>
        <w:rPr>
          <w:rFonts w:cs="Arial"/>
        </w:rPr>
      </w:pPr>
      <w:r w:rsidRPr="00E3715A">
        <w:rPr>
          <w:rFonts w:cs="Arial"/>
        </w:rPr>
        <w:t xml:space="preserve">Section 67 of the </w:t>
      </w:r>
      <w:r>
        <w:rPr>
          <w:rFonts w:cs="Arial"/>
        </w:rPr>
        <w:t>Act</w:t>
      </w:r>
      <w:r w:rsidRPr="00E3715A">
        <w:rPr>
          <w:rFonts w:cs="Arial"/>
        </w:rPr>
        <w:t xml:space="preserve"> requires the ACMA to include a condition on a spectrum licence that the licensee meets all obligations to pay:</w:t>
      </w:r>
    </w:p>
    <w:p w14:paraId="365E7695" w14:textId="5B91B8AA" w:rsidR="006672E3" w:rsidRPr="00E3715A" w:rsidRDefault="006672E3" w:rsidP="00E40CBB">
      <w:pPr>
        <w:pStyle w:val="ListBullet"/>
        <w:rPr>
          <w:rFonts w:cs="Arial"/>
        </w:rPr>
      </w:pPr>
      <w:r w:rsidRPr="00E3715A">
        <w:rPr>
          <w:rFonts w:cs="Arial"/>
        </w:rPr>
        <w:t>charges fixed by the ACMA under section 60</w:t>
      </w:r>
      <w:r>
        <w:rPr>
          <w:rFonts w:cs="Arial"/>
        </w:rPr>
        <w:t xml:space="preserve"> of</w:t>
      </w:r>
      <w:r w:rsidR="0009671E">
        <w:rPr>
          <w:rFonts w:cs="Arial"/>
        </w:rPr>
        <w:t xml:space="preserve"> the</w:t>
      </w:r>
      <w:r>
        <w:rPr>
          <w:rFonts w:cs="Arial"/>
        </w:rPr>
        <w:t xml:space="preserve"> </w:t>
      </w:r>
      <w:hyperlink r:id="rId39" w:history="1">
        <w:r w:rsidRPr="00770745">
          <w:rPr>
            <w:rStyle w:val="Hyperlink"/>
            <w:rFonts w:cs="Arial"/>
            <w:i/>
          </w:rPr>
          <w:t>Australian Communications and Media Authority Act 2005</w:t>
        </w:r>
      </w:hyperlink>
      <w:r w:rsidR="00CF0879">
        <w:rPr>
          <w:rStyle w:val="Hyperlink"/>
          <w:rFonts w:cs="Arial"/>
          <w:iCs/>
          <w:color w:val="auto"/>
          <w:u w:val="none"/>
        </w:rPr>
        <w:t xml:space="preserve"> (the ACMA Act)</w:t>
      </w:r>
    </w:p>
    <w:p w14:paraId="60F7F9AF" w14:textId="2831BDE1" w:rsidR="006672E3" w:rsidRPr="00E3715A" w:rsidRDefault="006672E3" w:rsidP="00E40CBB">
      <w:pPr>
        <w:pStyle w:val="ListBullet"/>
        <w:rPr>
          <w:rFonts w:cs="Arial"/>
        </w:rPr>
      </w:pPr>
      <w:r w:rsidRPr="00E3715A">
        <w:rPr>
          <w:rFonts w:cs="Arial"/>
        </w:rPr>
        <w:t>spectrum access charges fixed by a determination made under section 294</w:t>
      </w:r>
      <w:r>
        <w:rPr>
          <w:rFonts w:cs="Arial"/>
        </w:rPr>
        <w:t xml:space="preserve"> of the </w:t>
      </w:r>
      <w:r w:rsidR="00B47501">
        <w:rPr>
          <w:rFonts w:cs="Arial"/>
        </w:rPr>
        <w:t xml:space="preserve">Radiocommunications </w:t>
      </w:r>
      <w:r>
        <w:rPr>
          <w:rFonts w:cs="Arial"/>
        </w:rPr>
        <w:t>Act</w:t>
      </w:r>
    </w:p>
    <w:p w14:paraId="24329A53" w14:textId="77777777" w:rsidR="006672E3" w:rsidRPr="00E3715A" w:rsidRDefault="006672E3" w:rsidP="00E40CBB">
      <w:pPr>
        <w:pStyle w:val="ListBullet"/>
        <w:spacing w:after="240"/>
        <w:rPr>
          <w:rFonts w:cs="Arial"/>
        </w:rPr>
      </w:pPr>
      <w:r w:rsidRPr="00E3715A">
        <w:rPr>
          <w:rFonts w:cs="Arial"/>
        </w:rPr>
        <w:t>amounts of spectrum licence tax.</w:t>
      </w:r>
    </w:p>
    <w:p w14:paraId="44571D45" w14:textId="277203C3" w:rsidR="006672E3" w:rsidRDefault="006672E3" w:rsidP="00E40CBB">
      <w:pPr>
        <w:pStyle w:val="Paragraph"/>
      </w:pPr>
      <w:r>
        <w:t xml:space="preserve">The ACMA may also recover its costs for services provided in relation to licences or for any matter in which expenses are incurred. In many instances, the ACMA has set a standard charge for services offered through the making of a charges determination under section 60 of </w:t>
      </w:r>
      <w:r w:rsidR="00CF0879">
        <w:rPr>
          <w:rStyle w:val="Hyperlink"/>
          <w:iCs/>
          <w:color w:val="auto"/>
          <w:u w:val="none"/>
        </w:rPr>
        <w:t>the ACMA Act</w:t>
      </w:r>
      <w:r>
        <w:t xml:space="preserve">. Payment of relevant charges is a condition of each spectrum licence. At </w:t>
      </w:r>
      <w:r w:rsidR="00552C9C">
        <w:t>the</w:t>
      </w:r>
      <w:r>
        <w:t xml:space="preserve"> time of publication</w:t>
      </w:r>
      <w:r w:rsidR="00552C9C">
        <w:t xml:space="preserve"> of</w:t>
      </w:r>
      <w:r w:rsidR="004668C7">
        <w:t xml:space="preserve"> this document</w:t>
      </w:r>
      <w:r w:rsidR="00BF025D">
        <w:t xml:space="preserve">, </w:t>
      </w:r>
      <w:r>
        <w:t xml:space="preserve">Part </w:t>
      </w:r>
      <w:r w:rsidR="64800E00">
        <w:t>5</w:t>
      </w:r>
      <w:r>
        <w:t xml:space="preserve"> of Schedule </w:t>
      </w:r>
      <w:r w:rsidR="75EE7BE4">
        <w:t>1</w:t>
      </w:r>
      <w:r>
        <w:t xml:space="preserve"> to the </w:t>
      </w:r>
      <w:r w:rsidR="003F0982">
        <w:t>charges determination</w:t>
      </w:r>
      <w:r>
        <w:t xml:space="preserve"> outlines the charges relevant to spectrum licences.</w:t>
      </w:r>
    </w:p>
    <w:p w14:paraId="56890D56" w14:textId="1ED5FEDF" w:rsidR="0085754E" w:rsidRPr="00E3715A" w:rsidRDefault="0085754E" w:rsidP="0085754E">
      <w:pPr>
        <w:rPr>
          <w:rFonts w:cs="Arial"/>
        </w:rPr>
      </w:pPr>
      <w:r w:rsidRPr="00E3715A">
        <w:rPr>
          <w:rFonts w:cs="Arial"/>
        </w:rPr>
        <w:t>When a spectrum licence is issued as a result of a</w:t>
      </w:r>
      <w:r>
        <w:rPr>
          <w:rFonts w:cs="Arial"/>
        </w:rPr>
        <w:t xml:space="preserve">n </w:t>
      </w:r>
      <w:r w:rsidRPr="00E3715A">
        <w:rPr>
          <w:rFonts w:cs="Arial"/>
        </w:rPr>
        <w:t xml:space="preserve">allocation process undertaken in accordance with </w:t>
      </w:r>
      <w:r>
        <w:rPr>
          <w:rFonts w:cs="Arial"/>
        </w:rPr>
        <w:t>section 60 of the Act,</w:t>
      </w:r>
      <w:r w:rsidRPr="00E3715A">
        <w:rPr>
          <w:rFonts w:cs="Arial"/>
        </w:rPr>
        <w:t xml:space="preserve"> or re</w:t>
      </w:r>
      <w:r>
        <w:rPr>
          <w:rFonts w:cs="Arial"/>
        </w:rPr>
        <w:t xml:space="preserve">newed </w:t>
      </w:r>
      <w:r w:rsidRPr="00E3715A">
        <w:rPr>
          <w:rFonts w:cs="Arial"/>
        </w:rPr>
        <w:t>at the expiry of a licence</w:t>
      </w:r>
      <w:r>
        <w:rPr>
          <w:rFonts w:cs="Arial"/>
        </w:rPr>
        <w:t xml:space="preserve"> in accordance with sections 77A to 77C of the Act</w:t>
      </w:r>
      <w:r w:rsidRPr="00E3715A">
        <w:rPr>
          <w:rFonts w:cs="Arial"/>
        </w:rPr>
        <w:t xml:space="preserve">, the ACMA </w:t>
      </w:r>
      <w:r>
        <w:rPr>
          <w:rFonts w:cs="Arial"/>
        </w:rPr>
        <w:t>may</w:t>
      </w:r>
      <w:r w:rsidRPr="00E3715A">
        <w:rPr>
          <w:rFonts w:cs="Arial"/>
        </w:rPr>
        <w:t xml:space="preserve"> make a determination under section 294 of the </w:t>
      </w:r>
      <w:r>
        <w:rPr>
          <w:rFonts w:cs="Arial"/>
        </w:rPr>
        <w:t>Act</w:t>
      </w:r>
      <w:r w:rsidRPr="00E3715A">
        <w:rPr>
          <w:rFonts w:cs="Arial"/>
        </w:rPr>
        <w:t xml:space="preserve"> specifying the spectrum access charge payable by </w:t>
      </w:r>
      <w:r>
        <w:rPr>
          <w:rFonts w:cs="Arial"/>
        </w:rPr>
        <w:t xml:space="preserve">a </w:t>
      </w:r>
      <w:r w:rsidRPr="00E3715A">
        <w:rPr>
          <w:rFonts w:cs="Arial"/>
        </w:rPr>
        <w:t xml:space="preserve">licensee for the licence. </w:t>
      </w:r>
      <w:r w:rsidR="007647E2">
        <w:rPr>
          <w:rFonts w:cs="Arial"/>
        </w:rPr>
        <w:t>We</w:t>
      </w:r>
      <w:r w:rsidRPr="00E3715A">
        <w:rPr>
          <w:rFonts w:cs="Arial"/>
        </w:rPr>
        <w:t xml:space="preserve"> may exercise this power </w:t>
      </w:r>
      <w:r>
        <w:rPr>
          <w:rFonts w:cs="Arial"/>
        </w:rPr>
        <w:t xml:space="preserve">of its own volition, or </w:t>
      </w:r>
      <w:r w:rsidRPr="00E3715A">
        <w:rPr>
          <w:rFonts w:cs="Arial"/>
        </w:rPr>
        <w:t xml:space="preserve">under a direction from the </w:t>
      </w:r>
      <w:r w:rsidR="007647E2">
        <w:rPr>
          <w:rFonts w:cs="Arial"/>
        </w:rPr>
        <w:t>M</w:t>
      </w:r>
      <w:r w:rsidRPr="00E3715A">
        <w:rPr>
          <w:rFonts w:cs="Arial"/>
        </w:rPr>
        <w:t>inister</w:t>
      </w:r>
      <w:r w:rsidR="007647E2">
        <w:rPr>
          <w:rFonts w:cs="Arial"/>
        </w:rPr>
        <w:t xml:space="preserve"> of Communications</w:t>
      </w:r>
      <w:r w:rsidRPr="00E3715A">
        <w:rPr>
          <w:rFonts w:cs="Arial"/>
        </w:rPr>
        <w:t xml:space="preserve">. The ACMA will </w:t>
      </w:r>
      <w:r>
        <w:rPr>
          <w:rFonts w:cs="Arial"/>
        </w:rPr>
        <w:t xml:space="preserve">generally </w:t>
      </w:r>
      <w:r w:rsidRPr="00E3715A">
        <w:rPr>
          <w:rFonts w:cs="Arial"/>
        </w:rPr>
        <w:t>not issue a spectrum licence until the spectrum access charge is paid.</w:t>
      </w:r>
    </w:p>
    <w:p w14:paraId="01599623" w14:textId="0A50A83B" w:rsidR="006672E3" w:rsidRPr="00E3715A" w:rsidRDefault="008A6E68" w:rsidP="00E40CBB">
      <w:pPr>
        <w:rPr>
          <w:rFonts w:cs="Arial"/>
        </w:rPr>
      </w:pPr>
      <w:r>
        <w:rPr>
          <w:rFonts w:cs="Arial"/>
        </w:rPr>
        <w:t>Via an annual spectrum licence tax</w:t>
      </w:r>
      <w:r w:rsidR="005F524F">
        <w:rPr>
          <w:rFonts w:cs="Arial"/>
        </w:rPr>
        <w:t>,</w:t>
      </w:r>
      <w:r w:rsidR="00C42863">
        <w:rPr>
          <w:rFonts w:cs="Arial"/>
        </w:rPr>
        <w:t xml:space="preserve"> t</w:t>
      </w:r>
      <w:r w:rsidR="006672E3" w:rsidRPr="00E3715A">
        <w:rPr>
          <w:rFonts w:cs="Arial"/>
        </w:rPr>
        <w:t xml:space="preserve">he ACMA recovers from spectrum licensees a proportion of the indirect costs of managing the radiofrequency spectrum </w:t>
      </w:r>
      <w:r w:rsidR="007E46B8">
        <w:rPr>
          <w:rFonts w:cs="Arial"/>
        </w:rPr>
        <w:t xml:space="preserve">and </w:t>
      </w:r>
      <w:r w:rsidR="00AA78AB">
        <w:rPr>
          <w:rFonts w:cs="Arial"/>
        </w:rPr>
        <w:t>a</w:t>
      </w:r>
      <w:r w:rsidR="002B3410">
        <w:rPr>
          <w:rFonts w:cs="Arial"/>
        </w:rPr>
        <w:t xml:space="preserve"> </w:t>
      </w:r>
      <w:r w:rsidR="00AA78AB">
        <w:rPr>
          <w:rFonts w:cs="Arial"/>
        </w:rPr>
        <w:t>proportion</w:t>
      </w:r>
      <w:r w:rsidR="00DE0266">
        <w:rPr>
          <w:rFonts w:cs="Arial"/>
        </w:rPr>
        <w:t xml:space="preserve"> of</w:t>
      </w:r>
      <w:r w:rsidR="002B3410">
        <w:rPr>
          <w:rFonts w:cs="Arial"/>
        </w:rPr>
        <w:t xml:space="preserve"> </w:t>
      </w:r>
      <w:r w:rsidR="007A1BCB">
        <w:rPr>
          <w:rFonts w:cs="Arial"/>
        </w:rPr>
        <w:t xml:space="preserve">the expenditure </w:t>
      </w:r>
      <w:r w:rsidR="00CD47B3">
        <w:rPr>
          <w:color w:val="000000"/>
          <w:shd w:val="clear" w:color="auto" w:fill="FFFFFF"/>
        </w:rPr>
        <w:t>by the Australian Government for research, information provision and engagement activities into the health effects of electromagnetic energy</w:t>
      </w:r>
      <w:r w:rsidR="00BF3107">
        <w:rPr>
          <w:color w:val="000000"/>
          <w:shd w:val="clear" w:color="auto" w:fill="FFFFFF"/>
        </w:rPr>
        <w:t>.</w:t>
      </w:r>
      <w:r w:rsidR="006672E3" w:rsidRPr="00E3715A">
        <w:rPr>
          <w:rFonts w:cs="Arial"/>
        </w:rPr>
        <w:t xml:space="preserve"> The </w:t>
      </w:r>
      <w:r w:rsidR="001454D6">
        <w:rPr>
          <w:rFonts w:cs="Arial"/>
        </w:rPr>
        <w:t>details of the</w:t>
      </w:r>
      <w:r w:rsidR="006672E3" w:rsidRPr="00E3715A">
        <w:rPr>
          <w:rFonts w:cs="Arial"/>
        </w:rPr>
        <w:t xml:space="preserve"> taxation arrangements are contained in the</w:t>
      </w:r>
      <w:r w:rsidR="006672E3">
        <w:rPr>
          <w:rFonts w:cs="Arial"/>
        </w:rPr>
        <w:t xml:space="preserve"> </w:t>
      </w:r>
      <w:hyperlink r:id="rId40" w:history="1">
        <w:r w:rsidR="006672E3" w:rsidRPr="00EA4D92">
          <w:rPr>
            <w:rStyle w:val="Hyperlink"/>
            <w:rFonts w:cs="Arial"/>
          </w:rPr>
          <w:t>Radiocommunications (Spectrum Licence Tax) Determination 2021</w:t>
        </w:r>
      </w:hyperlink>
      <w:r w:rsidR="006672E3" w:rsidRPr="00E3715A">
        <w:rPr>
          <w:rFonts w:cs="Arial"/>
        </w:rPr>
        <w:t xml:space="preserve">. </w:t>
      </w:r>
      <w:r w:rsidR="009A3B66">
        <w:rPr>
          <w:rFonts w:cs="Arial"/>
        </w:rPr>
        <w:t>Additional information about spectrum licence</w:t>
      </w:r>
      <w:r w:rsidR="00706335">
        <w:rPr>
          <w:rFonts w:cs="Arial"/>
        </w:rPr>
        <w:t xml:space="preserve"> taxes is also available on </w:t>
      </w:r>
      <w:r w:rsidR="007647E2">
        <w:rPr>
          <w:rFonts w:cs="Arial"/>
        </w:rPr>
        <w:t>the</w:t>
      </w:r>
      <w:r w:rsidR="00706335">
        <w:rPr>
          <w:rFonts w:cs="Arial"/>
        </w:rPr>
        <w:t xml:space="preserve"> </w:t>
      </w:r>
      <w:hyperlink r:id="rId41" w:anchor=":~:text=The%20EME%20component%20will%20collect,EME%20component%20of%20the%20SLT" w:history="1">
        <w:r w:rsidR="007647E2">
          <w:rPr>
            <w:rStyle w:val="Hyperlink"/>
            <w:rFonts w:cs="Arial"/>
          </w:rPr>
          <w:t>ACMA w</w:t>
        </w:r>
        <w:r w:rsidR="009005E3">
          <w:rPr>
            <w:rStyle w:val="Hyperlink"/>
            <w:rFonts w:cs="Arial"/>
          </w:rPr>
          <w:t>ebsite</w:t>
        </w:r>
      </w:hyperlink>
      <w:r w:rsidR="00706335" w:rsidRPr="00706335">
        <w:rPr>
          <w:rFonts w:cs="Arial"/>
        </w:rPr>
        <w:t>.</w:t>
      </w:r>
      <w:r w:rsidR="00DC2EDF">
        <w:rPr>
          <w:rFonts w:cs="Arial"/>
        </w:rPr>
        <w:t xml:space="preserve"> </w:t>
      </w:r>
      <w:r w:rsidR="006672E3" w:rsidRPr="00E3715A">
        <w:rPr>
          <w:rFonts w:cs="Arial"/>
        </w:rPr>
        <w:t>Payment of the applicable annual spectrum licence tax is a condition of each spectrum licence.</w:t>
      </w:r>
    </w:p>
    <w:p w14:paraId="35D68DC7" w14:textId="77777777" w:rsidR="006672E3" w:rsidRPr="00E3715A" w:rsidRDefault="006672E3" w:rsidP="00E40CBB">
      <w:pPr>
        <w:pStyle w:val="Heading2"/>
      </w:pPr>
      <w:bookmarkStart w:id="85" w:name="_Toc341966563"/>
      <w:bookmarkStart w:id="86" w:name="_Toc101444622"/>
      <w:bookmarkStart w:id="87" w:name="_Toc131603586"/>
      <w:r w:rsidRPr="00E3715A">
        <w:t xml:space="preserve">Authorisation of third </w:t>
      </w:r>
      <w:r w:rsidRPr="00B43F57">
        <w:t>parties</w:t>
      </w:r>
      <w:bookmarkEnd w:id="85"/>
      <w:bookmarkEnd w:id="86"/>
      <w:bookmarkEnd w:id="87"/>
    </w:p>
    <w:p w14:paraId="2E8850F0" w14:textId="209BDC5D" w:rsidR="006672E3" w:rsidRPr="00E3715A" w:rsidRDefault="006672E3" w:rsidP="00E40CBB">
      <w:pPr>
        <w:pStyle w:val="Paragraph"/>
      </w:pPr>
      <w:r w:rsidRPr="00E3715A">
        <w:t xml:space="preserve">Section 68 of the </w:t>
      </w:r>
      <w:r w:rsidR="007647E2">
        <w:t xml:space="preserve">Radiocommunications </w:t>
      </w:r>
      <w:r w:rsidRPr="00E3715A">
        <w:t>Act requires the ACMA to include a condition on a spectrum licence about third-party use of the licence. Spectrum licensees may authorise third parties to use the licensed spectrum by negotiation of a private agreement that allows a third-party user to operate a radiocommunications devic</w:t>
      </w:r>
      <w:r>
        <w:t>e under the licensee’s licence.</w:t>
      </w:r>
    </w:p>
    <w:p w14:paraId="3E95D20B" w14:textId="56C9EA81" w:rsidR="006672E3" w:rsidRDefault="006672E3" w:rsidP="00E40CBB">
      <w:pPr>
        <w:pStyle w:val="Paragraph"/>
      </w:pPr>
      <w:r w:rsidRPr="00E3715A">
        <w:t xml:space="preserve">A licensee does not have to seek the ACMA’s approval before granting a third-party authorisation, nor does either party have to register the third-party agreement with </w:t>
      </w:r>
      <w:r w:rsidR="007647E2">
        <w:t>us</w:t>
      </w:r>
      <w:r w:rsidRPr="00432814">
        <w:t>.</w:t>
      </w:r>
      <w:r>
        <w:t xml:space="preserve"> It is up to the licensee if they let someone else use their spectrum licence</w:t>
      </w:r>
      <w:r w:rsidR="007647E2">
        <w:t>. H</w:t>
      </w:r>
      <w:r>
        <w:t>owever</w:t>
      </w:r>
      <w:r w:rsidR="007647E2">
        <w:t>,</w:t>
      </w:r>
      <w:r>
        <w:t xml:space="preserve"> </w:t>
      </w:r>
      <w:r w:rsidR="007647E2">
        <w:t>we</w:t>
      </w:r>
      <w:r>
        <w:t xml:space="preserve"> may request details of any third parties using the licence. </w:t>
      </w:r>
    </w:p>
    <w:p w14:paraId="14A7CC16" w14:textId="1C792061" w:rsidR="006672E3" w:rsidRDefault="006672E3" w:rsidP="00E40CBB">
      <w:pPr>
        <w:rPr>
          <w:rFonts w:cs="Arial"/>
        </w:rPr>
      </w:pPr>
      <w:r>
        <w:rPr>
          <w:rFonts w:cs="Arial"/>
        </w:rPr>
        <w:lastRenderedPageBreak/>
        <w:t xml:space="preserve">The licensee is </w:t>
      </w:r>
      <w:r w:rsidRPr="00E3715A">
        <w:rPr>
          <w:rFonts w:cs="Arial"/>
        </w:rPr>
        <w:t>responsib</w:t>
      </w:r>
      <w:r>
        <w:rPr>
          <w:rFonts w:cs="Arial"/>
        </w:rPr>
        <w:t>le</w:t>
      </w:r>
      <w:r w:rsidRPr="00E3715A">
        <w:rPr>
          <w:rFonts w:cs="Arial"/>
        </w:rPr>
        <w:t xml:space="preserve"> for ensuring that operation of </w:t>
      </w:r>
      <w:r>
        <w:rPr>
          <w:rFonts w:cs="Arial"/>
        </w:rPr>
        <w:t xml:space="preserve">any </w:t>
      </w:r>
      <w:r w:rsidR="000B23CF" w:rsidRPr="000B23CF">
        <w:rPr>
          <w:rFonts w:cs="Arial"/>
        </w:rPr>
        <w:t>radiocommunications</w:t>
      </w:r>
      <w:r>
        <w:rPr>
          <w:rFonts w:cs="Arial"/>
        </w:rPr>
        <w:t xml:space="preserve"> </w:t>
      </w:r>
      <w:r w:rsidRPr="00E3715A">
        <w:rPr>
          <w:rFonts w:cs="Arial"/>
        </w:rPr>
        <w:t>devices</w:t>
      </w:r>
      <w:r w:rsidR="00891075">
        <w:rPr>
          <w:rFonts w:cs="Arial"/>
        </w:rPr>
        <w:t>,</w:t>
      </w:r>
      <w:r w:rsidRPr="00E3715A">
        <w:rPr>
          <w:rFonts w:cs="Arial"/>
        </w:rPr>
        <w:t xml:space="preserve"> </w:t>
      </w:r>
      <w:r>
        <w:rPr>
          <w:rFonts w:cs="Arial"/>
        </w:rPr>
        <w:t>including those operated by a third</w:t>
      </w:r>
      <w:r w:rsidR="00857627">
        <w:rPr>
          <w:rFonts w:cs="Arial"/>
        </w:rPr>
        <w:t>-</w:t>
      </w:r>
      <w:r>
        <w:rPr>
          <w:rFonts w:cs="Arial"/>
        </w:rPr>
        <w:t xml:space="preserve">party </w:t>
      </w:r>
      <w:r w:rsidRPr="00E3715A">
        <w:rPr>
          <w:rFonts w:cs="Arial"/>
        </w:rPr>
        <w:t>comply with the conditions of the l</w:t>
      </w:r>
      <w:r>
        <w:rPr>
          <w:rFonts w:cs="Arial"/>
        </w:rPr>
        <w:t>icence. The authorised third</w:t>
      </w:r>
      <w:r w:rsidR="00B80786">
        <w:rPr>
          <w:rFonts w:cs="Arial"/>
        </w:rPr>
        <w:t>-</w:t>
      </w:r>
      <w:r>
        <w:rPr>
          <w:rFonts w:cs="Arial"/>
        </w:rPr>
        <w:t xml:space="preserve">party that uses the licensee’s spectrum licence must follow the </w:t>
      </w:r>
      <w:r w:rsidR="00567591">
        <w:rPr>
          <w:rFonts w:cs="Arial"/>
        </w:rPr>
        <w:t>technical framework</w:t>
      </w:r>
      <w:r>
        <w:rPr>
          <w:rFonts w:cs="Arial"/>
        </w:rPr>
        <w:t xml:space="preserve"> and conditions of the spectrum licence and agree to follow any rules that the ACMA </w:t>
      </w:r>
      <w:r w:rsidR="004F4F36">
        <w:rPr>
          <w:rFonts w:cs="Arial"/>
        </w:rPr>
        <w:t>makes regarding third-party use of a</w:t>
      </w:r>
      <w:r>
        <w:rPr>
          <w:rFonts w:cs="Arial"/>
        </w:rPr>
        <w:t xml:space="preserve"> spectrum licence. </w:t>
      </w:r>
    </w:p>
    <w:p w14:paraId="044D248A" w14:textId="3EEB0548" w:rsidR="006672E3" w:rsidRPr="00E3715A" w:rsidRDefault="006672E3" w:rsidP="00E40CBB">
      <w:r w:rsidRPr="00E3715A">
        <w:rPr>
          <w:rFonts w:cs="Arial"/>
        </w:rPr>
        <w:t>Any contravention by either the licensee or the third-party user of a licence condition</w:t>
      </w:r>
      <w:r w:rsidR="00D67BAF">
        <w:rPr>
          <w:rFonts w:cs="Arial"/>
        </w:rPr>
        <w:t>,</w:t>
      </w:r>
      <w:r w:rsidRPr="00E3715A">
        <w:rPr>
          <w:rFonts w:cs="Arial"/>
        </w:rPr>
        <w:t xml:space="preserve"> the </w:t>
      </w:r>
      <w:r w:rsidR="00891075">
        <w:rPr>
          <w:rFonts w:cs="Arial"/>
        </w:rPr>
        <w:t xml:space="preserve">Radiocommunications </w:t>
      </w:r>
      <w:r>
        <w:rPr>
          <w:rFonts w:cs="Arial"/>
        </w:rPr>
        <w:t>Act</w:t>
      </w:r>
      <w:r w:rsidR="00D67BAF">
        <w:rPr>
          <w:rFonts w:cs="Arial"/>
        </w:rPr>
        <w:t>,</w:t>
      </w:r>
      <w:r w:rsidRPr="00E3715A">
        <w:rPr>
          <w:rFonts w:cs="Arial"/>
        </w:rPr>
        <w:t xml:space="preserve"> or any other Commonwealth, state or territory law may result in suspension </w:t>
      </w:r>
      <w:r>
        <w:rPr>
          <w:rFonts w:cs="Arial"/>
        </w:rPr>
        <w:t>or cancellation of the licence.</w:t>
      </w:r>
    </w:p>
    <w:p w14:paraId="1E7F6C9F" w14:textId="75CD148A" w:rsidR="006672E3" w:rsidRPr="00E3715A" w:rsidRDefault="00806B0B" w:rsidP="00E40CBB">
      <w:pPr>
        <w:rPr>
          <w:rFonts w:cs="Arial"/>
        </w:rPr>
      </w:pPr>
      <w:r>
        <w:rPr>
          <w:rFonts w:cs="Arial"/>
        </w:rPr>
        <w:t xml:space="preserve">Under section 68A of the </w:t>
      </w:r>
      <w:r w:rsidR="00891075">
        <w:rPr>
          <w:rFonts w:cs="Arial"/>
        </w:rPr>
        <w:t xml:space="preserve">Radiocommunications </w:t>
      </w:r>
      <w:r>
        <w:rPr>
          <w:rFonts w:cs="Arial"/>
        </w:rPr>
        <w:t>Act, t</w:t>
      </w:r>
      <w:r w:rsidR="006672E3">
        <w:rPr>
          <w:rFonts w:cs="Arial"/>
        </w:rPr>
        <w:t>hird</w:t>
      </w:r>
      <w:r>
        <w:rPr>
          <w:rFonts w:cs="Arial"/>
        </w:rPr>
        <w:t>-</w:t>
      </w:r>
      <w:r w:rsidR="006672E3">
        <w:rPr>
          <w:rFonts w:cs="Arial"/>
        </w:rPr>
        <w:t xml:space="preserve">party authorisations </w:t>
      </w:r>
      <w:r w:rsidR="006672E3" w:rsidRPr="004A7A2E">
        <w:rPr>
          <w:szCs w:val="20"/>
        </w:rPr>
        <w:t xml:space="preserve">are considered to be an acquisition by a person of an asset of another person, for the purposes of section 50 of the </w:t>
      </w:r>
      <w:hyperlink r:id="rId42" w:history="1">
        <w:r w:rsidR="006672E3" w:rsidRPr="004A7A2E">
          <w:rPr>
            <w:rStyle w:val="Hyperlink"/>
            <w:i/>
            <w:iCs/>
            <w:szCs w:val="20"/>
          </w:rPr>
          <w:t>Competition and Consumer Act 2010</w:t>
        </w:r>
      </w:hyperlink>
      <w:r w:rsidR="006672E3" w:rsidRPr="004A7A2E">
        <w:t>. They are subject to that Act’s prohibition of acquisitions that would result</w:t>
      </w:r>
      <w:r w:rsidR="006672E3" w:rsidRPr="004A7A2E">
        <w:rPr>
          <w:szCs w:val="20"/>
        </w:rPr>
        <w:t xml:space="preserve"> in a substantial lessening of competition, which is enforced by the Australian Competition and Consumer Commission.</w:t>
      </w:r>
    </w:p>
    <w:p w14:paraId="7C1E6D7A" w14:textId="0BFD0F2A" w:rsidR="006672E3" w:rsidRPr="00E3715A" w:rsidRDefault="006672E3" w:rsidP="00E40CBB">
      <w:pPr>
        <w:pStyle w:val="Heading2"/>
      </w:pPr>
      <w:bookmarkStart w:id="88" w:name="_Toc341966564"/>
      <w:bookmarkStart w:id="89" w:name="_Toc101444623"/>
      <w:bookmarkStart w:id="90" w:name="_Toc131603587"/>
      <w:r w:rsidRPr="00E3715A">
        <w:t xml:space="preserve">Registration requirements for </w:t>
      </w:r>
      <w:bookmarkEnd w:id="88"/>
      <w:bookmarkEnd w:id="89"/>
      <w:r w:rsidR="00E318D2">
        <w:t>radiocommunications devices</w:t>
      </w:r>
      <w:bookmarkEnd w:id="90"/>
    </w:p>
    <w:p w14:paraId="365ACF51" w14:textId="391C8C5D" w:rsidR="006672E3" w:rsidRPr="00E3715A" w:rsidRDefault="006672E3" w:rsidP="00E40CBB">
      <w:pPr>
        <w:rPr>
          <w:rFonts w:cs="Arial"/>
        </w:rPr>
      </w:pPr>
      <w:r w:rsidRPr="00E3715A">
        <w:rPr>
          <w:rFonts w:cs="Arial"/>
        </w:rPr>
        <w:t xml:space="preserve">Under section 69 of the </w:t>
      </w:r>
      <w:r w:rsidR="00891075">
        <w:rPr>
          <w:rFonts w:cs="Arial"/>
        </w:rPr>
        <w:t xml:space="preserve">Radiocommunications </w:t>
      </w:r>
      <w:r>
        <w:rPr>
          <w:rFonts w:cs="Arial"/>
        </w:rPr>
        <w:t>Act</w:t>
      </w:r>
      <w:r w:rsidRPr="00E3715A">
        <w:rPr>
          <w:rFonts w:cs="Arial"/>
        </w:rPr>
        <w:t>, spectrum licensees are required to register the radiocommunications transmitters they intend to operate under their licences in the</w:t>
      </w:r>
      <w:r>
        <w:rPr>
          <w:rFonts w:cs="Arial"/>
        </w:rPr>
        <w:t xml:space="preserve"> </w:t>
      </w:r>
      <w:r w:rsidRPr="00E3715A">
        <w:rPr>
          <w:rFonts w:cs="Arial"/>
        </w:rPr>
        <w:t>RRL</w:t>
      </w:r>
      <w:r w:rsidR="003D74DF">
        <w:t>.</w:t>
      </w:r>
      <w:r w:rsidRPr="00E3715A">
        <w:rPr>
          <w:rFonts w:cs="Arial"/>
        </w:rPr>
        <w:t xml:space="preserve"> This does not include a transmitter type that is specifically exempted in a licence condition. Licensees must not operate transmitters unless the transmitters are </w:t>
      </w:r>
      <w:r w:rsidR="00404C48">
        <w:rPr>
          <w:rFonts w:cs="Arial"/>
        </w:rPr>
        <w:t xml:space="preserve">either </w:t>
      </w:r>
      <w:r w:rsidRPr="00E3715A">
        <w:rPr>
          <w:rFonts w:cs="Arial"/>
        </w:rPr>
        <w:t xml:space="preserve">registered or </w:t>
      </w:r>
      <w:r w:rsidR="00404C48">
        <w:rPr>
          <w:rFonts w:cs="Arial"/>
        </w:rPr>
        <w:t xml:space="preserve">are </w:t>
      </w:r>
      <w:r w:rsidRPr="00E3715A">
        <w:rPr>
          <w:rFonts w:cs="Arial"/>
        </w:rPr>
        <w:t>exempt from registration.</w:t>
      </w:r>
    </w:p>
    <w:p w14:paraId="54D022C7" w14:textId="77777777" w:rsidR="006672E3" w:rsidRPr="00E3715A" w:rsidRDefault="006672E3" w:rsidP="00E40CBB">
      <w:pPr>
        <w:rPr>
          <w:rFonts w:cs="Arial"/>
        </w:rPr>
      </w:pPr>
      <w:r w:rsidRPr="00E3715A">
        <w:rPr>
          <w:rFonts w:cs="Arial"/>
        </w:rPr>
        <w:t>Although not mandatory, the registration of receivers is advised as it helps other licensees to manage interference and because the date of registration of the receiver is one of the matters that the ACMA will consider when settling interference disputes. Registered receivers will receive protection from out-of-band emissions on a first-in-time coordination basis. Receivers that are not registered will not be afforded protection.</w:t>
      </w:r>
    </w:p>
    <w:p w14:paraId="4FD309A7" w14:textId="77777777" w:rsidR="006672E3" w:rsidRPr="00E3715A" w:rsidRDefault="006672E3" w:rsidP="00E40CBB">
      <w:pPr>
        <w:pStyle w:val="Heading3"/>
      </w:pPr>
      <w:bookmarkStart w:id="91" w:name="_Toc341966565"/>
      <w:bookmarkStart w:id="92" w:name="_Toc131603588"/>
      <w:r w:rsidRPr="00E3715A">
        <w:t>Devices exempt from registration</w:t>
      </w:r>
      <w:bookmarkEnd w:id="91"/>
      <w:bookmarkEnd w:id="92"/>
    </w:p>
    <w:p w14:paraId="6E2631F1" w14:textId="0D3782BF" w:rsidR="006672E3" w:rsidRPr="00E3715A" w:rsidRDefault="006672E3" w:rsidP="00E40CBB">
      <w:pPr>
        <w:rPr>
          <w:rFonts w:cs="Arial"/>
        </w:rPr>
      </w:pPr>
      <w:r w:rsidRPr="00E3715A">
        <w:rPr>
          <w:rFonts w:cs="Arial"/>
        </w:rPr>
        <w:t xml:space="preserve">Not all radiocommunications transmitters operated under a spectrum licence are required to be registered before they are operated. The spectrum licence will define the conditions that must be met before such radiocommunications </w:t>
      </w:r>
      <w:r w:rsidR="00255656">
        <w:rPr>
          <w:rFonts w:cs="Arial"/>
        </w:rPr>
        <w:t>transmitters</w:t>
      </w:r>
      <w:r w:rsidRPr="00E3715A">
        <w:rPr>
          <w:rFonts w:cs="Arial"/>
        </w:rPr>
        <w:t xml:space="preserve"> are exempt from registration. Typically, this includes low-powered devices such as mobile handsets or devices and femtocells.</w:t>
      </w:r>
    </w:p>
    <w:p w14:paraId="4A56E86E" w14:textId="5EB1A0F0" w:rsidR="006672E3" w:rsidRPr="00E3715A" w:rsidRDefault="006672E3" w:rsidP="00E40CBB">
      <w:pPr>
        <w:pStyle w:val="Heading2"/>
      </w:pPr>
      <w:bookmarkStart w:id="93" w:name="_Toc341966566"/>
      <w:bookmarkStart w:id="94" w:name="_Toc101444624"/>
      <w:bookmarkStart w:id="95" w:name="_Toc131603589"/>
      <w:r w:rsidRPr="00E3715A">
        <w:t xml:space="preserve">Residency </w:t>
      </w:r>
      <w:r w:rsidR="005E312F">
        <w:t xml:space="preserve">or permanent establishment </w:t>
      </w:r>
      <w:r w:rsidRPr="00E83DE0">
        <w:t>requirements</w:t>
      </w:r>
      <w:bookmarkEnd w:id="93"/>
      <w:bookmarkEnd w:id="94"/>
      <w:bookmarkEnd w:id="95"/>
    </w:p>
    <w:p w14:paraId="031FA3CC" w14:textId="77777777" w:rsidR="006672E3" w:rsidRPr="00E3715A" w:rsidRDefault="006672E3" w:rsidP="00E40CBB">
      <w:pPr>
        <w:spacing w:after="80"/>
        <w:rPr>
          <w:rFonts w:cs="Arial"/>
        </w:rPr>
      </w:pPr>
      <w:r w:rsidRPr="00E3715A">
        <w:rPr>
          <w:rFonts w:cs="Arial"/>
        </w:rPr>
        <w:t>Under section 69A, all spectrum licences must include a condition about residency requiring that, at all times when the licensee derives income, profits or gains from operating radiocommunications devices under the licence, either:</w:t>
      </w:r>
    </w:p>
    <w:p w14:paraId="6FDB88CC" w14:textId="32AEF459" w:rsidR="006672E3" w:rsidRPr="00E3715A" w:rsidRDefault="006672E3" w:rsidP="00E40CBB">
      <w:pPr>
        <w:pStyle w:val="ListBullet"/>
        <w:rPr>
          <w:rFonts w:cs="Arial"/>
        </w:rPr>
      </w:pPr>
      <w:r w:rsidRPr="00E3715A">
        <w:rPr>
          <w:rFonts w:cs="Arial"/>
        </w:rPr>
        <w:t>the licensee is to be an Australian resident</w:t>
      </w:r>
    </w:p>
    <w:p w14:paraId="541BE316" w14:textId="77777777" w:rsidR="006672E3" w:rsidRPr="00E3715A" w:rsidRDefault="006672E3" w:rsidP="00E40CBB">
      <w:pPr>
        <w:pStyle w:val="ListBullet"/>
        <w:spacing w:after="240"/>
        <w:rPr>
          <w:rFonts w:cs="Arial"/>
        </w:rPr>
      </w:pPr>
      <w:r w:rsidRPr="00E3715A">
        <w:rPr>
          <w:rFonts w:cs="Arial"/>
        </w:rPr>
        <w:t>the income, profits or gains are to be attributable to a permanent establishment in Australia through which the licensee carries on business.</w:t>
      </w:r>
    </w:p>
    <w:p w14:paraId="4CE39FD4" w14:textId="722E8CF7" w:rsidR="006672E3" w:rsidRDefault="006672E3" w:rsidP="00E40CBB">
      <w:pPr>
        <w:rPr>
          <w:rFonts w:cs="Arial"/>
        </w:rPr>
      </w:pPr>
      <w:r w:rsidRPr="00E3715A">
        <w:rPr>
          <w:rFonts w:cs="Arial"/>
        </w:rPr>
        <w:t xml:space="preserve">This requirement also applies in situations where a third-party authorisation is in place, in relation to the residency </w:t>
      </w:r>
      <w:r w:rsidR="00663496">
        <w:rPr>
          <w:rFonts w:cs="Arial"/>
        </w:rPr>
        <w:t xml:space="preserve">or permanent establishment </w:t>
      </w:r>
      <w:r w:rsidRPr="00E3715A">
        <w:rPr>
          <w:rFonts w:cs="Arial"/>
        </w:rPr>
        <w:t>of the authorised third</w:t>
      </w:r>
      <w:r w:rsidR="00663496">
        <w:rPr>
          <w:rFonts w:cs="Arial"/>
        </w:rPr>
        <w:t>-</w:t>
      </w:r>
      <w:r w:rsidRPr="00E3715A">
        <w:rPr>
          <w:rFonts w:cs="Arial"/>
        </w:rPr>
        <w:t xml:space="preserve">party. </w:t>
      </w:r>
    </w:p>
    <w:p w14:paraId="33A52D93" w14:textId="77777777" w:rsidR="00F162D2" w:rsidRDefault="00F162D2" w:rsidP="00E40CBB">
      <w:pPr>
        <w:rPr>
          <w:rFonts w:cs="Arial"/>
        </w:rPr>
      </w:pPr>
    </w:p>
    <w:p w14:paraId="065F71E3" w14:textId="6016D3BC" w:rsidR="00F162D2" w:rsidRPr="00E3715A" w:rsidRDefault="00F162D2" w:rsidP="00E40CBB">
      <w:pPr>
        <w:pStyle w:val="Heading1"/>
      </w:pPr>
      <w:bookmarkStart w:id="96" w:name="_Toc131603590"/>
      <w:r>
        <w:lastRenderedPageBreak/>
        <w:t>Other</w:t>
      </w:r>
      <w:r w:rsidR="00BD3607">
        <w:t xml:space="preserve"> conditions on </w:t>
      </w:r>
      <w:r w:rsidR="0088337C">
        <w:t xml:space="preserve">a </w:t>
      </w:r>
      <w:r w:rsidR="00BD3607">
        <w:t>spectrum</w:t>
      </w:r>
      <w:r>
        <w:t xml:space="preserve"> licence</w:t>
      </w:r>
      <w:bookmarkEnd w:id="96"/>
      <w:r>
        <w:t xml:space="preserve"> </w:t>
      </w:r>
    </w:p>
    <w:p w14:paraId="601A6C56" w14:textId="482F6B57" w:rsidR="00BD3607" w:rsidRPr="00EB359F" w:rsidRDefault="00BD3607" w:rsidP="00E40CBB">
      <w:pPr>
        <w:spacing w:after="80"/>
        <w:rPr>
          <w:b/>
          <w:color w:val="000000"/>
          <w:shd w:val="clear" w:color="auto" w:fill="FFFFFF"/>
        </w:rPr>
      </w:pPr>
      <w:r w:rsidRPr="00EB359F">
        <w:rPr>
          <w:color w:val="000000"/>
          <w:shd w:val="clear" w:color="auto" w:fill="FFFFFF"/>
        </w:rPr>
        <w:t xml:space="preserve">Under section 71 of the </w:t>
      </w:r>
      <w:r w:rsidR="00891075">
        <w:rPr>
          <w:rFonts w:cs="Arial"/>
        </w:rPr>
        <w:t xml:space="preserve">Radiocommunications </w:t>
      </w:r>
      <w:r w:rsidRPr="00EB359F">
        <w:rPr>
          <w:color w:val="000000"/>
          <w:shd w:val="clear" w:color="auto" w:fill="FFFFFF"/>
        </w:rPr>
        <w:t xml:space="preserve">Act, </w:t>
      </w:r>
      <w:r w:rsidR="00891075">
        <w:rPr>
          <w:color w:val="000000"/>
          <w:shd w:val="clear" w:color="auto" w:fill="FFFFFF"/>
        </w:rPr>
        <w:t>we</w:t>
      </w:r>
      <w:r w:rsidRPr="00EB359F">
        <w:rPr>
          <w:color w:val="000000"/>
          <w:shd w:val="clear" w:color="auto" w:fill="FFFFFF"/>
        </w:rPr>
        <w:t xml:space="preserve"> may include such other conditions on a spectrum licence as it thinks fit. Such conditions generally provide for the efficient management of the spectrum and administration of the </w:t>
      </w:r>
      <w:r w:rsidR="00891075">
        <w:rPr>
          <w:rFonts w:cs="Arial"/>
        </w:rPr>
        <w:t xml:space="preserve">Radiocommunications  </w:t>
      </w:r>
      <w:r w:rsidRPr="00EB359F">
        <w:rPr>
          <w:color w:val="000000"/>
          <w:shd w:val="clear" w:color="auto" w:fill="FFFFFF"/>
        </w:rPr>
        <w:t xml:space="preserve">Act. </w:t>
      </w:r>
      <w:r w:rsidR="009D2E7F">
        <w:rPr>
          <w:color w:val="000000"/>
          <w:shd w:val="clear" w:color="auto" w:fill="FFFFFF"/>
        </w:rPr>
        <w:t>C</w:t>
      </w:r>
      <w:r w:rsidRPr="00EB359F">
        <w:rPr>
          <w:color w:val="000000"/>
          <w:shd w:val="clear" w:color="auto" w:fill="FFFFFF"/>
        </w:rPr>
        <w:t xml:space="preserve">onditions may vary from one band or licence to </w:t>
      </w:r>
      <w:r w:rsidRPr="000D368F">
        <w:rPr>
          <w:color w:val="000000"/>
          <w:shd w:val="clear" w:color="auto" w:fill="FFFFFF"/>
        </w:rPr>
        <w:t>another</w:t>
      </w:r>
      <w:r w:rsidR="000D368F" w:rsidRPr="000D368F">
        <w:rPr>
          <w:color w:val="000000"/>
          <w:shd w:val="clear" w:color="auto" w:fill="FFFFFF"/>
        </w:rPr>
        <w:t>;</w:t>
      </w:r>
      <w:r w:rsidRPr="00EB359F">
        <w:rPr>
          <w:color w:val="000000"/>
          <w:shd w:val="clear" w:color="auto" w:fill="FFFFFF"/>
        </w:rPr>
        <w:t xml:space="preserve"> </w:t>
      </w:r>
      <w:r w:rsidR="009D2E7F">
        <w:rPr>
          <w:color w:val="000000"/>
          <w:shd w:val="clear" w:color="auto" w:fill="FFFFFF"/>
        </w:rPr>
        <w:t xml:space="preserve">however, </w:t>
      </w:r>
      <w:r w:rsidR="00F73F1A">
        <w:rPr>
          <w:color w:val="000000"/>
          <w:shd w:val="clear" w:color="auto" w:fill="FFFFFF"/>
        </w:rPr>
        <w:t xml:space="preserve">some common </w:t>
      </w:r>
      <w:r w:rsidR="009D2E7F">
        <w:rPr>
          <w:color w:val="000000"/>
          <w:shd w:val="clear" w:color="auto" w:fill="FFFFFF"/>
        </w:rPr>
        <w:t>conditions</w:t>
      </w:r>
      <w:r w:rsidR="00F73F1A">
        <w:rPr>
          <w:color w:val="000000"/>
          <w:shd w:val="clear" w:color="auto" w:fill="FFFFFF"/>
        </w:rPr>
        <w:t xml:space="preserve"> include</w:t>
      </w:r>
      <w:r w:rsidRPr="00EB359F">
        <w:rPr>
          <w:color w:val="000000"/>
          <w:shd w:val="clear" w:color="auto" w:fill="FFFFFF"/>
        </w:rPr>
        <w:t>:</w:t>
      </w:r>
    </w:p>
    <w:p w14:paraId="70BB1A56" w14:textId="49F8B8C8" w:rsidR="00BD3607" w:rsidRDefault="00BD3607" w:rsidP="00E40CBB">
      <w:pPr>
        <w:pStyle w:val="ListBullet"/>
        <w:rPr>
          <w:rFonts w:cs="Arial"/>
        </w:rPr>
      </w:pPr>
      <w:r>
        <w:rPr>
          <w:rFonts w:cs="Arial"/>
        </w:rPr>
        <w:t>managing interference between co-sited devi</w:t>
      </w:r>
      <w:r w:rsidR="000D368F">
        <w:rPr>
          <w:rFonts w:cs="Arial"/>
        </w:rPr>
        <w:t>ces</w:t>
      </w:r>
    </w:p>
    <w:p w14:paraId="54EE56DE" w14:textId="77777777" w:rsidR="00BD3607" w:rsidRDefault="00BD3607" w:rsidP="00E40CBB">
      <w:pPr>
        <w:pStyle w:val="ListBullet"/>
        <w:rPr>
          <w:rFonts w:cs="Arial"/>
        </w:rPr>
      </w:pPr>
      <w:r>
        <w:rPr>
          <w:rFonts w:cs="Arial"/>
        </w:rPr>
        <w:t>electromagnetic energy (EME) requirements</w:t>
      </w:r>
    </w:p>
    <w:p w14:paraId="568765C7" w14:textId="201FB776" w:rsidR="00BD3607" w:rsidRDefault="00BD3607" w:rsidP="00E40CBB">
      <w:pPr>
        <w:pStyle w:val="ListBullet"/>
        <w:rPr>
          <w:rFonts w:cs="Arial"/>
        </w:rPr>
      </w:pPr>
      <w:r>
        <w:rPr>
          <w:rFonts w:cs="Arial"/>
        </w:rPr>
        <w:t>p</w:t>
      </w:r>
      <w:r w:rsidRPr="00926C09">
        <w:rPr>
          <w:rFonts w:cs="Arial"/>
        </w:rPr>
        <w:t xml:space="preserve">rotection of the </w:t>
      </w:r>
      <w:r w:rsidR="00D05E36" w:rsidRPr="00AE14B5">
        <w:t>Australian Radio Quiet Zone Western Australia</w:t>
      </w:r>
    </w:p>
    <w:p w14:paraId="2358690C" w14:textId="77777777" w:rsidR="00BD3607" w:rsidRDefault="00BD3607" w:rsidP="00E40CBB">
      <w:pPr>
        <w:pStyle w:val="ListBullet"/>
        <w:spacing w:after="240"/>
        <w:rPr>
          <w:rFonts w:cs="Arial"/>
        </w:rPr>
      </w:pPr>
      <w:r>
        <w:rPr>
          <w:rFonts w:cs="Arial"/>
        </w:rPr>
        <w:t>international coordination requirements</w:t>
      </w:r>
    </w:p>
    <w:p w14:paraId="15620196" w14:textId="65D5BA14" w:rsidR="00F73F1A" w:rsidRPr="00EB359F" w:rsidRDefault="00F73F1A" w:rsidP="00E40CBB">
      <w:pPr>
        <w:rPr>
          <w:color w:val="000000"/>
          <w:shd w:val="clear" w:color="auto" w:fill="FFFFFF"/>
        </w:rPr>
      </w:pPr>
      <w:r w:rsidRPr="00EB359F">
        <w:rPr>
          <w:color w:val="000000"/>
          <w:shd w:val="clear" w:color="auto" w:fill="FFFFFF"/>
        </w:rPr>
        <w:t xml:space="preserve">The ACMA considers the </w:t>
      </w:r>
      <w:r w:rsidR="00C56CD3">
        <w:rPr>
          <w:color w:val="000000"/>
          <w:shd w:val="clear" w:color="auto" w:fill="FFFFFF"/>
        </w:rPr>
        <w:t xml:space="preserve">need for </w:t>
      </w:r>
      <w:r w:rsidR="00216606" w:rsidRPr="00EB359F">
        <w:rPr>
          <w:color w:val="000000"/>
          <w:shd w:val="clear" w:color="auto" w:fill="FFFFFF"/>
        </w:rPr>
        <w:t xml:space="preserve">any additional </w:t>
      </w:r>
      <w:r w:rsidRPr="00EB359F">
        <w:rPr>
          <w:color w:val="000000"/>
          <w:shd w:val="clear" w:color="auto" w:fill="FFFFFF"/>
        </w:rPr>
        <w:t xml:space="preserve">conditions on a band-by-band </w:t>
      </w:r>
      <w:r w:rsidR="00216606" w:rsidRPr="00EB359F">
        <w:rPr>
          <w:color w:val="000000"/>
          <w:shd w:val="clear" w:color="auto" w:fill="FFFFFF"/>
        </w:rPr>
        <w:t>basis as required. Th</w:t>
      </w:r>
      <w:r w:rsidR="00236376">
        <w:rPr>
          <w:color w:val="000000"/>
          <w:shd w:val="clear" w:color="auto" w:fill="FFFFFF"/>
        </w:rPr>
        <w:t>e</w:t>
      </w:r>
      <w:r w:rsidR="00216606" w:rsidRPr="00EB359F">
        <w:rPr>
          <w:color w:val="000000"/>
          <w:shd w:val="clear" w:color="auto" w:fill="FFFFFF"/>
        </w:rPr>
        <w:t xml:space="preserve"> </w:t>
      </w:r>
      <w:r w:rsidR="00236376">
        <w:rPr>
          <w:color w:val="000000"/>
          <w:shd w:val="clear" w:color="auto" w:fill="FFFFFF"/>
        </w:rPr>
        <w:t xml:space="preserve">need for </w:t>
      </w:r>
      <w:r w:rsidR="004455A9">
        <w:rPr>
          <w:color w:val="000000"/>
          <w:shd w:val="clear" w:color="auto" w:fill="FFFFFF"/>
        </w:rPr>
        <w:t xml:space="preserve">other conditions </w:t>
      </w:r>
      <w:r w:rsidR="00F72013">
        <w:rPr>
          <w:color w:val="000000"/>
          <w:shd w:val="clear" w:color="auto" w:fill="FFFFFF"/>
        </w:rPr>
        <w:t>may</w:t>
      </w:r>
      <w:r w:rsidR="004455A9">
        <w:rPr>
          <w:color w:val="000000"/>
          <w:shd w:val="clear" w:color="auto" w:fill="FFFFFF"/>
        </w:rPr>
        <w:t xml:space="preserve"> </w:t>
      </w:r>
      <w:r w:rsidR="00216606" w:rsidRPr="00EB359F">
        <w:rPr>
          <w:color w:val="000000"/>
          <w:shd w:val="clear" w:color="auto" w:fill="FFFFFF"/>
        </w:rPr>
        <w:t xml:space="preserve">be informed by </w:t>
      </w:r>
      <w:r w:rsidR="00C56CD3" w:rsidRPr="00EB359F">
        <w:rPr>
          <w:color w:val="000000"/>
          <w:shd w:val="clear" w:color="auto" w:fill="FFFFFF"/>
        </w:rPr>
        <w:t xml:space="preserve">a TLG. </w:t>
      </w:r>
      <w:r w:rsidR="00216606" w:rsidRPr="00EB359F">
        <w:rPr>
          <w:color w:val="000000"/>
          <w:shd w:val="clear" w:color="auto" w:fill="FFFFFF"/>
        </w:rPr>
        <w:t xml:space="preserve"> </w:t>
      </w:r>
    </w:p>
    <w:p w14:paraId="11C2BE77" w14:textId="77777777" w:rsidR="00BD3607" w:rsidRPr="00E3715A" w:rsidRDefault="00BD3607" w:rsidP="00E40CBB">
      <w:pPr>
        <w:pStyle w:val="Heading2"/>
      </w:pPr>
      <w:bookmarkStart w:id="97" w:name="_Toc131603591"/>
      <w:r>
        <w:t>Managing interference between co-sited devices</w:t>
      </w:r>
      <w:bookmarkEnd w:id="97"/>
    </w:p>
    <w:p w14:paraId="77118B2E" w14:textId="7052B156" w:rsidR="00BD3607" w:rsidRDefault="00BD3607" w:rsidP="00E40CBB">
      <w:pPr>
        <w:rPr>
          <w:color w:val="000000"/>
          <w:shd w:val="clear" w:color="auto" w:fill="FFFFFF"/>
        </w:rPr>
      </w:pPr>
      <w:r>
        <w:rPr>
          <w:color w:val="000000"/>
          <w:shd w:val="clear" w:color="auto" w:fill="FFFFFF"/>
        </w:rPr>
        <w:t xml:space="preserve">Out-of-band interference can be difficult to predict because the levels and frequencies of unwanted emissions depend on both the </w:t>
      </w:r>
      <w:r w:rsidR="00490B25">
        <w:rPr>
          <w:color w:val="000000"/>
          <w:shd w:val="clear" w:color="auto" w:fill="FFFFFF"/>
        </w:rPr>
        <w:t>proximity</w:t>
      </w:r>
      <w:r>
        <w:rPr>
          <w:color w:val="000000"/>
          <w:shd w:val="clear" w:color="auto" w:fill="FFFFFF"/>
        </w:rPr>
        <w:t xml:space="preserve">, and the operating frequencies of, radiocommunications transmitters and radiocommunications receivers. While the core conditions and radiocommunications advisory guidelines help to manage this, the risk of interference typically increases the closer </w:t>
      </w:r>
      <w:r w:rsidR="005770B1">
        <w:rPr>
          <w:color w:val="000000"/>
          <w:shd w:val="clear" w:color="auto" w:fill="FFFFFF"/>
        </w:rPr>
        <w:t xml:space="preserve">2 </w:t>
      </w:r>
      <w:r>
        <w:rPr>
          <w:color w:val="000000"/>
          <w:shd w:val="clear" w:color="auto" w:fill="FFFFFF"/>
        </w:rPr>
        <w:t xml:space="preserve">devices are geographically. </w:t>
      </w:r>
    </w:p>
    <w:p w14:paraId="77156D80" w14:textId="62980B56" w:rsidR="00BD3607" w:rsidRDefault="00BD3607" w:rsidP="00E40CBB">
      <w:pPr>
        <w:rPr>
          <w:color w:val="000000"/>
          <w:shd w:val="clear" w:color="auto" w:fill="FFFFFF"/>
        </w:rPr>
      </w:pPr>
      <w:r>
        <w:rPr>
          <w:color w:val="000000"/>
          <w:shd w:val="clear" w:color="auto" w:fill="FFFFFF"/>
        </w:rPr>
        <w:t>In a spectrum licence technical framework, devices that are within a specific distance of each other are referred to as ‘co-sited’ devices. Depending on the band, co-sited devices can be any devices within 200</w:t>
      </w:r>
      <w:r w:rsidR="00BB6AB5">
        <w:rPr>
          <w:color w:val="000000"/>
          <w:shd w:val="clear" w:color="auto" w:fill="FFFFFF"/>
        </w:rPr>
        <w:t xml:space="preserve"> </w:t>
      </w:r>
      <w:r>
        <w:rPr>
          <w:color w:val="000000"/>
          <w:shd w:val="clear" w:color="auto" w:fill="FFFFFF"/>
        </w:rPr>
        <w:t>m or 500</w:t>
      </w:r>
      <w:r w:rsidR="00BB6AB5">
        <w:rPr>
          <w:color w:val="000000"/>
          <w:shd w:val="clear" w:color="auto" w:fill="FFFFFF"/>
        </w:rPr>
        <w:t xml:space="preserve"> </w:t>
      </w:r>
      <w:r>
        <w:rPr>
          <w:color w:val="000000"/>
          <w:shd w:val="clear" w:color="auto" w:fill="FFFFFF"/>
        </w:rPr>
        <w:t xml:space="preserve">m of each other. </w:t>
      </w:r>
    </w:p>
    <w:p w14:paraId="0C16C934" w14:textId="72C1FCCE" w:rsidR="00BD3607" w:rsidRDefault="00BD3607" w:rsidP="00E40CBB">
      <w:pPr>
        <w:rPr>
          <w:color w:val="000000"/>
          <w:shd w:val="clear" w:color="auto" w:fill="FFFFFF"/>
        </w:rPr>
      </w:pPr>
      <w:r>
        <w:rPr>
          <w:color w:val="000000"/>
          <w:shd w:val="clear" w:color="auto" w:fill="FFFFFF"/>
        </w:rPr>
        <w:t xml:space="preserve">If emission limits were used to manage out-of-band interference for </w:t>
      </w:r>
      <w:r w:rsidR="00C93C7D">
        <w:rPr>
          <w:color w:val="000000"/>
          <w:shd w:val="clear" w:color="auto" w:fill="FFFFFF"/>
        </w:rPr>
        <w:t xml:space="preserve">radiocommunications </w:t>
      </w:r>
      <w:r>
        <w:rPr>
          <w:color w:val="000000"/>
          <w:shd w:val="clear" w:color="auto" w:fill="FFFFFF"/>
        </w:rPr>
        <w:t xml:space="preserve">devices in close proximity, they would be overly burdensome. </w:t>
      </w:r>
      <w:r w:rsidR="001A2405">
        <w:rPr>
          <w:color w:val="000000"/>
          <w:shd w:val="clear" w:color="auto" w:fill="FFFFFF"/>
        </w:rPr>
        <w:t>S</w:t>
      </w:r>
      <w:r>
        <w:rPr>
          <w:color w:val="000000"/>
          <w:shd w:val="clear" w:color="auto" w:fill="FFFFFF"/>
        </w:rPr>
        <w:t xml:space="preserve">uch limits would </w:t>
      </w:r>
      <w:r w:rsidR="0090400C">
        <w:rPr>
          <w:color w:val="000000"/>
          <w:shd w:val="clear" w:color="auto" w:fill="FFFFFF"/>
        </w:rPr>
        <w:t xml:space="preserve">not be </w:t>
      </w:r>
      <w:r w:rsidR="00BB6072">
        <w:rPr>
          <w:color w:val="000000"/>
          <w:shd w:val="clear" w:color="auto" w:fill="FFFFFF"/>
        </w:rPr>
        <w:t>required</w:t>
      </w:r>
      <w:r w:rsidR="004E6DA8">
        <w:rPr>
          <w:color w:val="000000"/>
          <w:shd w:val="clear" w:color="auto" w:fill="FFFFFF"/>
        </w:rPr>
        <w:t xml:space="preserve"> to manage </w:t>
      </w:r>
      <w:r w:rsidR="00116FA4">
        <w:rPr>
          <w:color w:val="000000"/>
          <w:shd w:val="clear" w:color="auto" w:fill="FFFFFF"/>
        </w:rPr>
        <w:t xml:space="preserve">this type of </w:t>
      </w:r>
      <w:r w:rsidR="004E6DA8">
        <w:rPr>
          <w:color w:val="000000"/>
          <w:shd w:val="clear" w:color="auto" w:fill="FFFFFF"/>
        </w:rPr>
        <w:t>interference</w:t>
      </w:r>
      <w:r w:rsidR="0090400C">
        <w:rPr>
          <w:color w:val="000000"/>
          <w:shd w:val="clear" w:color="auto" w:fill="FFFFFF"/>
        </w:rPr>
        <w:t xml:space="preserve"> in many</w:t>
      </w:r>
      <w:r w:rsidR="00BB6072">
        <w:rPr>
          <w:color w:val="000000"/>
          <w:shd w:val="clear" w:color="auto" w:fill="FFFFFF"/>
        </w:rPr>
        <w:t xml:space="preserve"> or all cases</w:t>
      </w:r>
      <w:r w:rsidR="004E6DA8">
        <w:rPr>
          <w:color w:val="000000"/>
          <w:shd w:val="clear" w:color="auto" w:fill="FFFFFF"/>
        </w:rPr>
        <w:t xml:space="preserve">. </w:t>
      </w:r>
      <w:r w:rsidR="00C4649C">
        <w:rPr>
          <w:color w:val="000000"/>
          <w:shd w:val="clear" w:color="auto" w:fill="FFFFFF"/>
        </w:rPr>
        <w:t>Instead</w:t>
      </w:r>
      <w:r w:rsidR="004E6DA8">
        <w:rPr>
          <w:color w:val="000000"/>
          <w:shd w:val="clear" w:color="auto" w:fill="FFFFFF"/>
        </w:rPr>
        <w:t>, their application</w:t>
      </w:r>
      <w:r w:rsidR="00BB6072">
        <w:rPr>
          <w:color w:val="000000"/>
          <w:shd w:val="clear" w:color="auto" w:fill="FFFFFF"/>
        </w:rPr>
        <w:t xml:space="preserve"> would </w:t>
      </w:r>
      <w:r>
        <w:rPr>
          <w:color w:val="000000"/>
          <w:shd w:val="clear" w:color="auto" w:fill="FFFFFF"/>
        </w:rPr>
        <w:t>place additional</w:t>
      </w:r>
      <w:r w:rsidR="004E1CEE">
        <w:rPr>
          <w:color w:val="000000"/>
          <w:shd w:val="clear" w:color="auto" w:fill="FFFFFF"/>
        </w:rPr>
        <w:t xml:space="preserve"> (and mostly unnecessary)</w:t>
      </w:r>
      <w:r>
        <w:rPr>
          <w:color w:val="000000"/>
          <w:shd w:val="clear" w:color="auto" w:fill="FFFFFF"/>
        </w:rPr>
        <w:t xml:space="preserve"> constraints and costs on </w:t>
      </w:r>
      <w:r w:rsidR="00333DAD">
        <w:rPr>
          <w:color w:val="000000"/>
          <w:shd w:val="clear" w:color="auto" w:fill="FFFFFF"/>
        </w:rPr>
        <w:t>the</w:t>
      </w:r>
      <w:r>
        <w:rPr>
          <w:color w:val="000000"/>
          <w:shd w:val="clear" w:color="auto" w:fill="FFFFFF"/>
        </w:rPr>
        <w:t xml:space="preserve"> licensees’ use of the spectrum because the frequency boundaries of a licence extend throughout the entire geographic area of a licence. </w:t>
      </w:r>
      <w:r w:rsidR="00BB6072">
        <w:rPr>
          <w:color w:val="000000"/>
          <w:shd w:val="clear" w:color="auto" w:fill="FFFFFF"/>
        </w:rPr>
        <w:t>Th</w:t>
      </w:r>
      <w:r>
        <w:rPr>
          <w:color w:val="000000"/>
          <w:shd w:val="clear" w:color="auto" w:fill="FFFFFF"/>
        </w:rPr>
        <w:t xml:space="preserve">is is not considered </w:t>
      </w:r>
      <w:r w:rsidR="00E4549C">
        <w:rPr>
          <w:color w:val="000000"/>
          <w:shd w:val="clear" w:color="auto" w:fill="FFFFFF"/>
        </w:rPr>
        <w:t>to be</w:t>
      </w:r>
      <w:r w:rsidR="00333DAD">
        <w:rPr>
          <w:color w:val="000000"/>
          <w:shd w:val="clear" w:color="auto" w:fill="FFFFFF"/>
        </w:rPr>
        <w:t xml:space="preserve"> an</w:t>
      </w:r>
      <w:r>
        <w:rPr>
          <w:color w:val="000000"/>
          <w:shd w:val="clear" w:color="auto" w:fill="FFFFFF"/>
        </w:rPr>
        <w:t xml:space="preserve"> efficient </w:t>
      </w:r>
      <w:r w:rsidR="00952C4E">
        <w:rPr>
          <w:color w:val="000000"/>
          <w:shd w:val="clear" w:color="auto" w:fill="FFFFFF"/>
        </w:rPr>
        <w:t>means</w:t>
      </w:r>
      <w:r>
        <w:rPr>
          <w:color w:val="000000"/>
          <w:shd w:val="clear" w:color="auto" w:fill="FFFFFF"/>
        </w:rPr>
        <w:t xml:space="preserve"> to manage interference. In addition, it is possible </w:t>
      </w:r>
      <w:r w:rsidR="00E4549C">
        <w:rPr>
          <w:color w:val="000000"/>
          <w:shd w:val="clear" w:color="auto" w:fill="FFFFFF"/>
        </w:rPr>
        <w:t>that</w:t>
      </w:r>
      <w:r>
        <w:rPr>
          <w:color w:val="000000"/>
          <w:shd w:val="clear" w:color="auto" w:fill="FFFFFF"/>
        </w:rPr>
        <w:t xml:space="preserve"> alternative </w:t>
      </w:r>
      <w:r w:rsidR="00C23542">
        <w:rPr>
          <w:color w:val="000000"/>
          <w:shd w:val="clear" w:color="auto" w:fill="FFFFFF"/>
        </w:rPr>
        <w:t xml:space="preserve">and less costly </w:t>
      </w:r>
      <w:r>
        <w:rPr>
          <w:color w:val="000000"/>
          <w:shd w:val="clear" w:color="auto" w:fill="FFFFFF"/>
        </w:rPr>
        <w:t>mitigation measures may be more suitable for different cases.</w:t>
      </w:r>
    </w:p>
    <w:p w14:paraId="6131938D" w14:textId="7E6D92FD" w:rsidR="00BD3607" w:rsidRDefault="00BD3607" w:rsidP="00E40CBB">
      <w:pPr>
        <w:rPr>
          <w:color w:val="000000"/>
          <w:shd w:val="clear" w:color="auto" w:fill="FFFFFF"/>
        </w:rPr>
      </w:pPr>
      <w:r>
        <w:rPr>
          <w:color w:val="000000"/>
          <w:shd w:val="clear" w:color="auto" w:fill="FFFFFF"/>
        </w:rPr>
        <w:t xml:space="preserve">To manage </w:t>
      </w:r>
      <w:r w:rsidR="00C86B49">
        <w:rPr>
          <w:color w:val="000000"/>
          <w:shd w:val="clear" w:color="auto" w:fill="FFFFFF"/>
        </w:rPr>
        <w:t>out-of-band</w:t>
      </w:r>
      <w:r>
        <w:rPr>
          <w:color w:val="000000"/>
          <w:shd w:val="clear" w:color="auto" w:fill="FFFFFF"/>
        </w:rPr>
        <w:t xml:space="preserve"> interference, the ACMA instead </w:t>
      </w:r>
      <w:r w:rsidR="00C23542">
        <w:rPr>
          <w:color w:val="000000"/>
          <w:shd w:val="clear" w:color="auto" w:fill="FFFFFF"/>
        </w:rPr>
        <w:t>applies</w:t>
      </w:r>
      <w:r>
        <w:rPr>
          <w:color w:val="000000"/>
          <w:shd w:val="clear" w:color="auto" w:fill="FFFFFF"/>
        </w:rPr>
        <w:t xml:space="preserve"> a co-sited devices </w:t>
      </w:r>
      <w:r w:rsidR="00B529E9">
        <w:rPr>
          <w:color w:val="000000"/>
          <w:shd w:val="clear" w:color="auto" w:fill="FFFFFF"/>
        </w:rPr>
        <w:t xml:space="preserve">condition </w:t>
      </w:r>
      <w:r>
        <w:rPr>
          <w:color w:val="000000"/>
          <w:shd w:val="clear" w:color="auto" w:fill="FFFFFF"/>
        </w:rPr>
        <w:t xml:space="preserve">on spectrum licences. This </w:t>
      </w:r>
      <w:r w:rsidR="00B529E9">
        <w:rPr>
          <w:color w:val="000000"/>
          <w:shd w:val="clear" w:color="auto" w:fill="FFFFFF"/>
        </w:rPr>
        <w:t xml:space="preserve">condition </w:t>
      </w:r>
      <w:r>
        <w:rPr>
          <w:color w:val="000000"/>
          <w:shd w:val="clear" w:color="auto" w:fill="FFFFFF"/>
        </w:rPr>
        <w:t>requires licensees to take practical steps to resolve interference between co-sited devices, if and when it arises</w:t>
      </w:r>
      <w:r w:rsidR="00B529E9">
        <w:rPr>
          <w:color w:val="000000"/>
          <w:shd w:val="clear" w:color="auto" w:fill="FFFFFF"/>
        </w:rPr>
        <w:t xml:space="preserve"> – </w:t>
      </w:r>
      <w:r>
        <w:rPr>
          <w:color w:val="000000"/>
          <w:shd w:val="clear" w:color="auto" w:fill="FFFFFF"/>
        </w:rPr>
        <w:t xml:space="preserve">irrespective of who was first-in-time. </w:t>
      </w:r>
    </w:p>
    <w:p w14:paraId="45F662E3" w14:textId="59D2FAAE" w:rsidR="00BD3607" w:rsidRDefault="00BD3607" w:rsidP="00E40CBB">
      <w:pPr>
        <w:rPr>
          <w:rFonts w:cs="Arial"/>
        </w:rPr>
      </w:pPr>
      <w:r>
        <w:rPr>
          <w:color w:val="000000"/>
          <w:shd w:val="clear" w:color="auto" w:fill="FFFFFF"/>
        </w:rPr>
        <w:t xml:space="preserve">The co-sited </w:t>
      </w:r>
      <w:r w:rsidR="00BD57AD">
        <w:rPr>
          <w:color w:val="000000"/>
          <w:shd w:val="clear" w:color="auto" w:fill="FFFFFF"/>
        </w:rPr>
        <w:t xml:space="preserve">devices </w:t>
      </w:r>
      <w:r>
        <w:rPr>
          <w:color w:val="000000"/>
          <w:shd w:val="clear" w:color="auto" w:fill="FFFFFF"/>
        </w:rPr>
        <w:t>condition removes the need for overly burdensome unwanted emission limits</w:t>
      </w:r>
      <w:r w:rsidR="003323C1">
        <w:rPr>
          <w:color w:val="000000"/>
          <w:shd w:val="clear" w:color="auto" w:fill="FFFFFF"/>
        </w:rPr>
        <w:t xml:space="preserve">. </w:t>
      </w:r>
      <w:r w:rsidR="00841130">
        <w:rPr>
          <w:color w:val="000000"/>
          <w:shd w:val="clear" w:color="auto" w:fill="FFFFFF"/>
        </w:rPr>
        <w:t>It means m</w:t>
      </w:r>
      <w:r w:rsidR="00B441AB">
        <w:rPr>
          <w:color w:val="000000"/>
          <w:shd w:val="clear" w:color="auto" w:fill="FFFFFF"/>
        </w:rPr>
        <w:t>easures</w:t>
      </w:r>
      <w:r w:rsidR="003323C1">
        <w:rPr>
          <w:color w:val="000000"/>
          <w:shd w:val="clear" w:color="auto" w:fill="FFFFFF"/>
        </w:rPr>
        <w:t xml:space="preserve"> only need to be implemented when required</w:t>
      </w:r>
      <w:r>
        <w:rPr>
          <w:color w:val="000000"/>
          <w:shd w:val="clear" w:color="auto" w:fill="FFFFFF"/>
        </w:rPr>
        <w:t xml:space="preserve"> and </w:t>
      </w:r>
      <w:r w:rsidR="00801B87">
        <w:rPr>
          <w:color w:val="000000"/>
          <w:shd w:val="clear" w:color="auto" w:fill="FFFFFF"/>
        </w:rPr>
        <w:t xml:space="preserve">flexibility </w:t>
      </w:r>
      <w:r w:rsidR="00B441AB">
        <w:rPr>
          <w:color w:val="000000"/>
          <w:shd w:val="clear" w:color="auto" w:fill="FFFFFF"/>
        </w:rPr>
        <w:t xml:space="preserve">is provided for </w:t>
      </w:r>
      <w:r>
        <w:rPr>
          <w:color w:val="000000"/>
          <w:shd w:val="clear" w:color="auto" w:fill="FFFFFF"/>
        </w:rPr>
        <w:t xml:space="preserve">licensees to consider the most appropriate solution on a case-by-case basis. </w:t>
      </w:r>
    </w:p>
    <w:p w14:paraId="183C7011" w14:textId="77777777" w:rsidR="00BD3607" w:rsidRPr="00E3715A" w:rsidRDefault="00BD3607" w:rsidP="00E40CBB">
      <w:pPr>
        <w:pStyle w:val="Heading2"/>
      </w:pPr>
      <w:bookmarkStart w:id="98" w:name="_Toc131603592"/>
      <w:r>
        <w:t>Electromagnetic energy (EME) requirements</w:t>
      </w:r>
      <w:bookmarkEnd w:id="98"/>
      <w:r>
        <w:t xml:space="preserve"> </w:t>
      </w:r>
    </w:p>
    <w:p w14:paraId="61A3E83B" w14:textId="1A3BCD9C" w:rsidR="00BD3607" w:rsidRDefault="00BD3607" w:rsidP="00E40CBB">
      <w:r>
        <w:rPr>
          <w:rFonts w:cs="Arial"/>
        </w:rPr>
        <w:t xml:space="preserve">Every spectrum licence contains a condition that requires licensees to ensure the operation of radiocommunications devices under their licence adhere to the </w:t>
      </w:r>
      <w:hyperlink r:id="rId43" w:history="1">
        <w:r w:rsidRPr="00EB359F">
          <w:rPr>
            <w:rStyle w:val="Hyperlink"/>
          </w:rPr>
          <w:t>Radiocommunications Licence Conditions (Apparatus Licence) Determination 2015</w:t>
        </w:r>
      </w:hyperlink>
      <w:r>
        <w:t xml:space="preserve"> </w:t>
      </w:r>
      <w:r>
        <w:lastRenderedPageBreak/>
        <w:t xml:space="preserve">(Apparatus licence LCD), or any instrument that replaces that determination, as in force from time to time. In this case the Apparatus </w:t>
      </w:r>
      <w:r w:rsidR="003317A8">
        <w:t xml:space="preserve">licence </w:t>
      </w:r>
      <w:r>
        <w:t xml:space="preserve">LCD is to be read as if it refers to a spectrum licence. </w:t>
      </w:r>
    </w:p>
    <w:p w14:paraId="566A7597" w14:textId="287C1685" w:rsidR="00864E4D" w:rsidRPr="005026E2" w:rsidRDefault="00BD3607" w:rsidP="00E40CBB">
      <w:r>
        <w:t>A key part of the Apparatus licence LCD</w:t>
      </w:r>
      <w:r w:rsidR="00650B67">
        <w:t xml:space="preserve">, and therefore also for spectrum licences, </w:t>
      </w:r>
      <w:r>
        <w:t xml:space="preserve">is </w:t>
      </w:r>
      <w:r w:rsidR="00934CD1">
        <w:t xml:space="preserve">that operation of a radiocommunications transmitter must </w:t>
      </w:r>
      <w:r>
        <w:t xml:space="preserve">adhere to the EME requirements defined in the </w:t>
      </w:r>
      <w:hyperlink r:id="rId44" w:history="1">
        <w:r w:rsidRPr="00EA4D92">
          <w:rPr>
            <w:rStyle w:val="Hyperlink"/>
            <w:shd w:val="clear" w:color="auto" w:fill="FFFFFF"/>
          </w:rPr>
          <w:t>Radiation Protection Standard for Limiting Exposure to Radiofrequency Fields – 100 kHz to 300 GHz (2021)</w:t>
        </w:r>
      </w:hyperlink>
      <w:r>
        <w:rPr>
          <w:color w:val="000000"/>
          <w:shd w:val="clear" w:color="auto" w:fill="FFFFFF"/>
        </w:rPr>
        <w:t>, or any standard published as a replacement of that standard by the Australian Radiation Protection and Nuclear Safety Agency</w:t>
      </w:r>
      <w:r w:rsidR="006132E8">
        <w:rPr>
          <w:color w:val="000000"/>
          <w:shd w:val="clear" w:color="auto" w:fill="FFFFFF"/>
        </w:rPr>
        <w:t xml:space="preserve"> (ARPANSA)</w:t>
      </w:r>
      <w:r>
        <w:rPr>
          <w:color w:val="000000"/>
          <w:shd w:val="clear" w:color="auto" w:fill="FFFFFF"/>
        </w:rPr>
        <w:t>.</w:t>
      </w:r>
      <w:r>
        <w:t xml:space="preserve"> </w:t>
      </w:r>
    </w:p>
    <w:p w14:paraId="72D80ED1" w14:textId="3B8F7438" w:rsidR="00BD3607" w:rsidRPr="00E3715A" w:rsidRDefault="00BD3607" w:rsidP="00E40CBB">
      <w:pPr>
        <w:pStyle w:val="Heading2"/>
      </w:pPr>
      <w:bookmarkStart w:id="99" w:name="_Toc131603593"/>
      <w:r w:rsidRPr="004A7A2E">
        <w:t>Protection</w:t>
      </w:r>
      <w:r w:rsidRPr="00E3715A">
        <w:t xml:space="preserve"> of the </w:t>
      </w:r>
      <w:r w:rsidR="00FE7932" w:rsidRPr="00FE7932">
        <w:t>Australian Radio Quiet Zone Western Australia</w:t>
      </w:r>
      <w:bookmarkEnd w:id="99"/>
    </w:p>
    <w:p w14:paraId="040817FC" w14:textId="2DF1A71F" w:rsidR="00316C90" w:rsidRDefault="00BD3607" w:rsidP="00E40CBB">
      <w:pPr>
        <w:shd w:val="clear" w:color="auto" w:fill="FFFFFF" w:themeFill="background1"/>
        <w:rPr>
          <w:rFonts w:cs="Arial"/>
        </w:rPr>
      </w:pPr>
      <w:r w:rsidRPr="003C4089">
        <w:rPr>
          <w:rFonts w:cs="Arial"/>
        </w:rPr>
        <w:t xml:space="preserve">The radio astronomy service uses extremely sensitive radio receiving systems to detect very weak signals of cosmic origin. This </w:t>
      </w:r>
      <w:r w:rsidR="00993355">
        <w:rPr>
          <w:rFonts w:cs="Arial"/>
        </w:rPr>
        <w:t>means</w:t>
      </w:r>
      <w:r w:rsidRPr="003C4089">
        <w:rPr>
          <w:rFonts w:cs="Arial"/>
        </w:rPr>
        <w:t xml:space="preserve"> </w:t>
      </w:r>
      <w:r w:rsidR="007970F5">
        <w:rPr>
          <w:rFonts w:cs="Arial"/>
        </w:rPr>
        <w:t>radio</w:t>
      </w:r>
      <w:r w:rsidR="0090106B">
        <w:rPr>
          <w:rFonts w:cs="Arial"/>
        </w:rPr>
        <w:t xml:space="preserve"> astronomy</w:t>
      </w:r>
      <w:r w:rsidRPr="003C4089">
        <w:rPr>
          <w:rFonts w:cs="Arial"/>
        </w:rPr>
        <w:t xml:space="preserve"> services </w:t>
      </w:r>
      <w:r w:rsidR="00377C08">
        <w:rPr>
          <w:rFonts w:cs="Arial"/>
        </w:rPr>
        <w:t xml:space="preserve">are </w:t>
      </w:r>
      <w:r w:rsidRPr="003C4089">
        <w:rPr>
          <w:rFonts w:cs="Arial"/>
        </w:rPr>
        <w:t xml:space="preserve">susceptible to interference from emissions by other radiocommunications services. </w:t>
      </w:r>
    </w:p>
    <w:p w14:paraId="0A9ADF38" w14:textId="195D0403" w:rsidR="00316C90" w:rsidRPr="003C4089" w:rsidRDefault="00316C90" w:rsidP="00316C90">
      <w:pPr>
        <w:shd w:val="clear" w:color="auto" w:fill="FFFFFF" w:themeFill="background1"/>
        <w:rPr>
          <w:rFonts w:cs="Arial"/>
        </w:rPr>
      </w:pPr>
      <w:r>
        <w:rPr>
          <w:rFonts w:cs="Arial"/>
        </w:rPr>
        <w:t>T</w:t>
      </w:r>
      <w:r w:rsidRPr="003C4089">
        <w:rPr>
          <w:rFonts w:cs="Arial"/>
        </w:rPr>
        <w:t>o facilitate the development and use of radioastronomy technologies</w:t>
      </w:r>
      <w:r>
        <w:rPr>
          <w:rFonts w:cs="Arial"/>
        </w:rPr>
        <w:t xml:space="preserve"> </w:t>
      </w:r>
      <w:r w:rsidR="008F7405">
        <w:rPr>
          <w:rFonts w:cs="Arial"/>
        </w:rPr>
        <w:t xml:space="preserve">(including the </w:t>
      </w:r>
      <w:hyperlink r:id="rId45" w:history="1">
        <w:r w:rsidR="003E76AD" w:rsidRPr="00F12220">
          <w:rPr>
            <w:rStyle w:val="Hyperlink"/>
            <w:rFonts w:cs="Arial"/>
          </w:rPr>
          <w:t>square kilometre array</w:t>
        </w:r>
        <w:r w:rsidR="00F12220" w:rsidRPr="00F12220">
          <w:rPr>
            <w:rStyle w:val="Hyperlink"/>
            <w:rFonts w:cs="Arial"/>
          </w:rPr>
          <w:t xml:space="preserve"> project</w:t>
        </w:r>
      </w:hyperlink>
      <w:r w:rsidR="003E76AD">
        <w:rPr>
          <w:rFonts w:cs="Arial"/>
        </w:rPr>
        <w:t xml:space="preserve">) </w:t>
      </w:r>
      <w:r>
        <w:rPr>
          <w:rFonts w:cs="Arial"/>
        </w:rPr>
        <w:t>wh</w:t>
      </w:r>
      <w:r w:rsidR="00A852BC">
        <w:rPr>
          <w:rFonts w:cs="Arial"/>
        </w:rPr>
        <w:t>i</w:t>
      </w:r>
      <w:r>
        <w:rPr>
          <w:rFonts w:cs="Arial"/>
        </w:rPr>
        <w:t xml:space="preserve">le managing interference, the ACMA has made the </w:t>
      </w:r>
      <w:hyperlink r:id="rId46" w:history="1">
        <w:r w:rsidRPr="00BC47D0">
          <w:rPr>
            <w:rStyle w:val="Hyperlink"/>
            <w:rFonts w:cs="Arial"/>
          </w:rPr>
          <w:t>Radiocommunications (Australian Radio Quiet Zone Western Australia) Frequency Band Plan 2023</w:t>
        </w:r>
      </w:hyperlink>
      <w:r>
        <w:rPr>
          <w:rFonts w:cs="Arial"/>
        </w:rPr>
        <w:t xml:space="preserve">. This band plan </w:t>
      </w:r>
      <w:r w:rsidRPr="003C4089">
        <w:rPr>
          <w:rFonts w:cs="Arial"/>
        </w:rPr>
        <w:t>aims</w:t>
      </w:r>
      <w:r>
        <w:rPr>
          <w:rFonts w:cs="Arial"/>
        </w:rPr>
        <w:t xml:space="preserve"> </w:t>
      </w:r>
      <w:r w:rsidRPr="003C4089">
        <w:rPr>
          <w:rFonts w:cs="Arial"/>
        </w:rPr>
        <w:t>to preserve the low level of radiofrequency noise</w:t>
      </w:r>
      <w:r>
        <w:rPr>
          <w:rFonts w:cs="Arial"/>
        </w:rPr>
        <w:t xml:space="preserve"> (or radio quietness)</w:t>
      </w:r>
      <w:r w:rsidRPr="003C4089">
        <w:rPr>
          <w:rFonts w:cs="Arial"/>
        </w:rPr>
        <w:t xml:space="preserve"> </w:t>
      </w:r>
      <w:r>
        <w:rPr>
          <w:rFonts w:cs="Arial"/>
        </w:rPr>
        <w:t>within a defined area</w:t>
      </w:r>
      <w:r w:rsidRPr="003C4089">
        <w:rPr>
          <w:rFonts w:cs="Arial"/>
        </w:rPr>
        <w:t xml:space="preserve"> in remote Western Australia</w:t>
      </w:r>
      <w:r>
        <w:rPr>
          <w:rFonts w:cs="Arial"/>
        </w:rPr>
        <w:t xml:space="preserve">, referred to as the Australian Radio Quiet Zone Western Australia (ARQZWA), by restricting the deployment of non-radio astronomy services. </w:t>
      </w:r>
    </w:p>
    <w:p w14:paraId="711876BE" w14:textId="6226A240" w:rsidR="00BD3607" w:rsidRPr="00C92FBA" w:rsidRDefault="00BD3607" w:rsidP="00E40CBB">
      <w:pPr>
        <w:rPr>
          <w:rFonts w:cs="Arial"/>
        </w:rPr>
      </w:pPr>
      <w:r w:rsidRPr="00E3715A">
        <w:rPr>
          <w:rFonts w:cs="Arial"/>
        </w:rPr>
        <w:t xml:space="preserve">Before seeking to register a radiocommunications transmitter for use in or around the </w:t>
      </w:r>
      <w:r w:rsidR="00081B2F">
        <w:rPr>
          <w:rFonts w:cs="Arial"/>
        </w:rPr>
        <w:t>A</w:t>
      </w:r>
      <w:r w:rsidRPr="00E3715A">
        <w:rPr>
          <w:rFonts w:cs="Arial"/>
        </w:rPr>
        <w:t>RQZ</w:t>
      </w:r>
      <w:r w:rsidR="00081B2F">
        <w:rPr>
          <w:rFonts w:cs="Arial"/>
        </w:rPr>
        <w:t>WA</w:t>
      </w:r>
      <w:r w:rsidRPr="00E3715A">
        <w:rPr>
          <w:rFonts w:cs="Arial"/>
        </w:rPr>
        <w:t xml:space="preserve">, licensees should follow the procedures set out in </w:t>
      </w:r>
      <w:hyperlink r:id="rId47" w:history="1">
        <w:r w:rsidRPr="008629E3">
          <w:rPr>
            <w:rStyle w:val="Hyperlink"/>
            <w:rFonts w:cs="Arial"/>
          </w:rPr>
          <w:t xml:space="preserve">Radiocommunications Assignment and Licensing Instruction (RALI MS </w:t>
        </w:r>
        <w:r w:rsidRPr="00116D31">
          <w:rPr>
            <w:rStyle w:val="Hyperlink"/>
            <w:rFonts w:cs="Arial"/>
          </w:rPr>
          <w:t>32</w:t>
        </w:r>
        <w:r w:rsidR="00433B74">
          <w:rPr>
            <w:rStyle w:val="Hyperlink"/>
            <w:rFonts w:cs="Arial"/>
          </w:rPr>
          <w:t>)</w:t>
        </w:r>
      </w:hyperlink>
      <w:r w:rsidRPr="00E3715A">
        <w:rPr>
          <w:rFonts w:cs="Arial"/>
        </w:rPr>
        <w:t>,</w:t>
      </w:r>
      <w:r>
        <w:rPr>
          <w:rFonts w:cs="Arial"/>
        </w:rPr>
        <w:t xml:space="preserve"> as </w:t>
      </w:r>
      <w:r w:rsidR="00841D5B">
        <w:rPr>
          <w:rFonts w:cs="Arial"/>
        </w:rPr>
        <w:t>existing</w:t>
      </w:r>
      <w:r>
        <w:rPr>
          <w:rFonts w:cs="Arial"/>
        </w:rPr>
        <w:t xml:space="preserve"> from time to time. </w:t>
      </w:r>
      <w:r w:rsidRPr="00E3715A">
        <w:rPr>
          <w:rFonts w:cs="Arial"/>
        </w:rPr>
        <w:t>While RALI MS 32 applies directly to apparatus-licensed devices, the methods and procedures it contains are also applied to spectrum licences through a licence condition</w:t>
      </w:r>
      <w:r>
        <w:rPr>
          <w:rFonts w:cs="Arial"/>
        </w:rPr>
        <w:t>.</w:t>
      </w:r>
    </w:p>
    <w:p w14:paraId="52903A27" w14:textId="77777777" w:rsidR="00BD3607" w:rsidRPr="00E3715A" w:rsidRDefault="00BD3607" w:rsidP="00E40CBB">
      <w:pPr>
        <w:pStyle w:val="Heading2"/>
      </w:pPr>
      <w:bookmarkStart w:id="100" w:name="_Toc131603594"/>
      <w:r w:rsidRPr="004A7A2E">
        <w:t>International</w:t>
      </w:r>
      <w:r w:rsidRPr="00E3715A">
        <w:t xml:space="preserve"> </w:t>
      </w:r>
      <w:r w:rsidRPr="004A7A2E">
        <w:t>coordination</w:t>
      </w:r>
      <w:bookmarkEnd w:id="100"/>
    </w:p>
    <w:p w14:paraId="0213D000" w14:textId="51D1E026" w:rsidR="00BD3607" w:rsidRPr="00E3715A" w:rsidRDefault="00BD3607" w:rsidP="00E40CBB">
      <w:pPr>
        <w:rPr>
          <w:rFonts w:cs="Arial"/>
        </w:rPr>
      </w:pPr>
      <w:r w:rsidRPr="00E3715A">
        <w:rPr>
          <w:rFonts w:cs="Arial"/>
        </w:rPr>
        <w:t xml:space="preserve">The International Telecommunication Union (ITU) </w:t>
      </w:r>
      <w:hyperlink r:id="rId48" w:history="1">
        <w:r w:rsidRPr="00E3715A">
          <w:rPr>
            <w:rStyle w:val="Hyperlink"/>
            <w:rFonts w:cs="Arial"/>
          </w:rPr>
          <w:t>Radio Regulations</w:t>
        </w:r>
      </w:hyperlink>
      <w:r w:rsidRPr="00E3715A">
        <w:rPr>
          <w:rFonts w:cs="Arial"/>
        </w:rPr>
        <w:t xml:space="preserve"> are a set of international rules that Australia is required to comply with as a signatory to the ITU </w:t>
      </w:r>
      <w:r w:rsidR="000E28A5">
        <w:rPr>
          <w:rFonts w:cs="Arial"/>
        </w:rPr>
        <w:t xml:space="preserve">Constitution and </w:t>
      </w:r>
      <w:r w:rsidRPr="00E3715A">
        <w:rPr>
          <w:rFonts w:cs="Arial"/>
        </w:rPr>
        <w:t>Convention. Transmitters operated under a spectrum licence, other than in accordance with the ITU Radio Regulations, must not cause interference to any services of any other country (for example, Papua New Guinea or Indonesia) that are operating in accordance with ITU Radio Regulations. A requirement of spectrum licences is that the licensee must ensure that if operation of a transmitter causes harmful interference to overseas services operating in accordance with ITU Radio Regulation</w:t>
      </w:r>
      <w:r>
        <w:rPr>
          <w:rFonts w:cs="Arial"/>
        </w:rPr>
        <w:t>s, the transmission must cease.</w:t>
      </w:r>
    </w:p>
    <w:p w14:paraId="2617BDB9" w14:textId="2BCBC0DD" w:rsidR="00F162D2" w:rsidRDefault="00BD3607" w:rsidP="00E460A3">
      <w:pPr>
        <w:pStyle w:val="Paragraph"/>
      </w:pPr>
      <w:r w:rsidRPr="00E3715A">
        <w:t xml:space="preserve">Spectrum licensees must also accept interference from any overseas service operating in accordance with </w:t>
      </w:r>
      <w:r w:rsidR="00AA39AB">
        <w:t xml:space="preserve">the </w:t>
      </w:r>
      <w:r w:rsidRPr="00E3715A">
        <w:t xml:space="preserve">ITU </w:t>
      </w:r>
      <w:r w:rsidR="00AA39AB">
        <w:t xml:space="preserve">Radio </w:t>
      </w:r>
      <w:r w:rsidR="00490B25">
        <w:t>Regulations</w:t>
      </w:r>
      <w:r w:rsidRPr="00E3715A">
        <w:t>. Potential spectrum licensees should note that the ACMA will impose such additional licence conditions on spectrum licences as may be necessary to meet its international obligations.</w:t>
      </w:r>
    </w:p>
    <w:p w14:paraId="00B8EE3F" w14:textId="32AB4410" w:rsidR="006B68AD" w:rsidRDefault="007B78DD" w:rsidP="00E40CBB">
      <w:pPr>
        <w:pStyle w:val="Heading1"/>
      </w:pPr>
      <w:bookmarkStart w:id="101" w:name="_Toc131603595"/>
      <w:r>
        <w:lastRenderedPageBreak/>
        <w:t>Deploying devices using your spectrum licence</w:t>
      </w:r>
      <w:bookmarkEnd w:id="81"/>
      <w:bookmarkEnd w:id="101"/>
    </w:p>
    <w:p w14:paraId="1BA38921" w14:textId="1D9FE325" w:rsidR="00CD50F3" w:rsidRDefault="00CD50F3" w:rsidP="00E40CBB">
      <w:r>
        <w:t xml:space="preserve">The </w:t>
      </w:r>
      <w:r w:rsidR="002B2247">
        <w:t>Act</w:t>
      </w:r>
      <w:r>
        <w:t xml:space="preserve"> sets out the</w:t>
      </w:r>
      <w:r w:rsidR="00FF5080">
        <w:t xml:space="preserve"> requirements that spectrum licensees </w:t>
      </w:r>
      <w:r w:rsidR="00770068">
        <w:t xml:space="preserve">should follow </w:t>
      </w:r>
      <w:r w:rsidR="006E14A0">
        <w:t>to</w:t>
      </w:r>
      <w:r w:rsidR="00FF5080">
        <w:t xml:space="preserve"> deploy </w:t>
      </w:r>
      <w:r w:rsidR="00ED5803">
        <w:rPr>
          <w:rFonts w:cs="Arial"/>
        </w:rPr>
        <w:t xml:space="preserve">radiocommunications </w:t>
      </w:r>
      <w:r w:rsidR="00FF5080">
        <w:t>devices under their spectrum licence</w:t>
      </w:r>
      <w:r w:rsidR="00DA24E4">
        <w:t>s</w:t>
      </w:r>
      <w:r w:rsidR="007B78DD">
        <w:t>.</w:t>
      </w:r>
    </w:p>
    <w:p w14:paraId="5C27FA3F" w14:textId="77777777" w:rsidR="006E5AEA" w:rsidRPr="00E3715A" w:rsidRDefault="006E5AEA" w:rsidP="00E40CBB">
      <w:pPr>
        <w:pStyle w:val="Heading2"/>
      </w:pPr>
      <w:bookmarkStart w:id="102" w:name="_Registering_your_radiocommunication"/>
      <w:bookmarkStart w:id="103" w:name="_Toc101444644"/>
      <w:bookmarkStart w:id="104" w:name="_Toc131603596"/>
      <w:bookmarkEnd w:id="102"/>
      <w:r>
        <w:t>Registering your radiocommunications devices</w:t>
      </w:r>
      <w:bookmarkEnd w:id="103"/>
      <w:bookmarkEnd w:id="104"/>
    </w:p>
    <w:p w14:paraId="271BB2C5" w14:textId="5261BA29" w:rsidR="006E5AEA" w:rsidRPr="00E3715A" w:rsidRDefault="006E5AEA" w:rsidP="00E40CBB">
      <w:pPr>
        <w:rPr>
          <w:rFonts w:cs="Arial"/>
        </w:rPr>
      </w:pPr>
      <w:bookmarkStart w:id="105" w:name="_Ref324520530"/>
      <w:bookmarkStart w:id="106" w:name="_Toc325970706"/>
      <w:bookmarkStart w:id="107" w:name="_Toc327278941"/>
      <w:r w:rsidRPr="00E3715A">
        <w:rPr>
          <w:rFonts w:cs="Arial"/>
        </w:rPr>
        <w:t xml:space="preserve">Section 69 of the </w:t>
      </w:r>
      <w:r w:rsidR="002B2247">
        <w:rPr>
          <w:rFonts w:cs="Arial"/>
        </w:rPr>
        <w:t>Act</w:t>
      </w:r>
      <w:r w:rsidRPr="00E3715A">
        <w:rPr>
          <w:rFonts w:cs="Arial"/>
        </w:rPr>
        <w:t xml:space="preserve"> requires the ACMA to include a condition on all spectrum licences that radiocommunications transmitters must not be operated under the licence unless the relevant requirements under Part 3.5 of the Act for registration of transmitters are met.</w:t>
      </w:r>
    </w:p>
    <w:p w14:paraId="719B36EB" w14:textId="02586453" w:rsidR="00E443AC" w:rsidRPr="00E3715A" w:rsidRDefault="00E443AC" w:rsidP="00E40CBB">
      <w:pPr>
        <w:rPr>
          <w:rFonts w:cs="Arial"/>
        </w:rPr>
      </w:pPr>
      <w:r w:rsidRPr="657DAFA3">
        <w:rPr>
          <w:rFonts w:cs="Arial"/>
        </w:rPr>
        <w:t>Spectrum licensees are required to register the radiocommunications transmitters they intend to operate under their licences in the RRL, unless the transmitter type is specifically exempt from registration under their licence. Licensees must not operate transmitters unless they are registered or exempt from registration. It is a condition of spectrum licences that registered devices must be operated in a manner that is consistent with the details in the RRL. To recover its costs, the ACMA charges a fee for device registrations. The applicable charges are specified in the</w:t>
      </w:r>
      <w:r w:rsidR="0008557F">
        <w:rPr>
          <w:rFonts w:cs="Arial"/>
        </w:rPr>
        <w:t xml:space="preserve"> charges</w:t>
      </w:r>
      <w:r w:rsidR="00EA22B0">
        <w:rPr>
          <w:rFonts w:cs="Arial"/>
        </w:rPr>
        <w:t>’</w:t>
      </w:r>
      <w:r w:rsidR="0008557F">
        <w:rPr>
          <w:rFonts w:cs="Arial"/>
        </w:rPr>
        <w:t xml:space="preserve"> determination.</w:t>
      </w:r>
    </w:p>
    <w:p w14:paraId="388C0E91" w14:textId="21C9DBAB" w:rsidR="00E443AC" w:rsidRPr="00E3715A" w:rsidRDefault="00E443AC" w:rsidP="00E40CBB">
      <w:pPr>
        <w:rPr>
          <w:rFonts w:cs="Arial"/>
        </w:rPr>
      </w:pPr>
      <w:r w:rsidRPr="00E3715A">
        <w:rPr>
          <w:rFonts w:cs="Arial"/>
        </w:rPr>
        <w:t xml:space="preserve">The ACMA provides </w:t>
      </w:r>
      <w:r w:rsidR="00CF352C">
        <w:rPr>
          <w:rFonts w:cs="Arial"/>
        </w:rPr>
        <w:t xml:space="preserve">an </w:t>
      </w:r>
      <w:r w:rsidRPr="00E3715A">
        <w:rPr>
          <w:rFonts w:cs="Arial"/>
        </w:rPr>
        <w:t xml:space="preserve">online </w:t>
      </w:r>
      <w:r w:rsidR="00CF352C">
        <w:rPr>
          <w:rFonts w:cs="Arial"/>
        </w:rPr>
        <w:t xml:space="preserve">facility </w:t>
      </w:r>
      <w:r w:rsidRPr="00E3715A">
        <w:rPr>
          <w:rFonts w:cs="Arial"/>
        </w:rPr>
        <w:t>for accredited persons</w:t>
      </w:r>
      <w:r w:rsidR="00CF352C">
        <w:rPr>
          <w:rFonts w:cs="Arial"/>
        </w:rPr>
        <w:t xml:space="preserve"> to register devices on behalf of licensees</w:t>
      </w:r>
      <w:r w:rsidRPr="00E3715A">
        <w:rPr>
          <w:rFonts w:cs="Arial"/>
        </w:rPr>
        <w:t xml:space="preserve">. </w:t>
      </w:r>
    </w:p>
    <w:p w14:paraId="34AA7BA8" w14:textId="794D4939" w:rsidR="006E5AEA" w:rsidRPr="00E3715A" w:rsidRDefault="006E5AEA" w:rsidP="00E40CBB">
      <w:pPr>
        <w:rPr>
          <w:rFonts w:cs="Arial"/>
        </w:rPr>
      </w:pPr>
      <w:r w:rsidRPr="00E3715A">
        <w:rPr>
          <w:rFonts w:cs="Arial"/>
        </w:rPr>
        <w:t xml:space="preserve">The ACMA recommends that radiocommunications transmitters are registered at the </w:t>
      </w:r>
      <w:r w:rsidR="00EC7704">
        <w:rPr>
          <w:rFonts w:cs="Arial"/>
        </w:rPr>
        <w:t>network</w:t>
      </w:r>
      <w:r w:rsidR="00EC7704" w:rsidRPr="00E3715A">
        <w:rPr>
          <w:rFonts w:cs="Arial"/>
        </w:rPr>
        <w:t xml:space="preserve"> </w:t>
      </w:r>
      <w:r w:rsidRPr="00E3715A">
        <w:rPr>
          <w:rFonts w:cs="Arial"/>
        </w:rPr>
        <w:t>design stage. This will enable other licensees to re-check the coordination and, if an error is detected, negotiate directly with the spectrum licensee to avoid further costs associated with transmitters that cannot be operated due to interference.</w:t>
      </w:r>
    </w:p>
    <w:p w14:paraId="19B1307F" w14:textId="5281606A" w:rsidR="006E5AEA" w:rsidRDefault="006E5AEA" w:rsidP="00E40CBB">
      <w:pPr>
        <w:rPr>
          <w:rFonts w:cs="Arial"/>
        </w:rPr>
      </w:pPr>
      <w:r w:rsidRPr="00E3715A">
        <w:rPr>
          <w:rFonts w:cs="Arial"/>
        </w:rPr>
        <w:t xml:space="preserve">Once details of a transmitter have been registered, the licensee (or person authorised by the licensee) will need to comply with those details in operating the </w:t>
      </w:r>
      <w:r w:rsidR="002B1F05" w:rsidRPr="00E3715A">
        <w:rPr>
          <w:rFonts w:cs="Arial"/>
        </w:rPr>
        <w:t>transmitter</w:t>
      </w:r>
      <w:r w:rsidRPr="00E3715A">
        <w:rPr>
          <w:rFonts w:cs="Arial"/>
        </w:rPr>
        <w:t xml:space="preserve"> until such time as the registration is varied. Operation of a </w:t>
      </w:r>
      <w:r w:rsidR="002B1F05" w:rsidRPr="00E3715A">
        <w:rPr>
          <w:rFonts w:cs="Arial"/>
        </w:rPr>
        <w:t>transmitter</w:t>
      </w:r>
      <w:r w:rsidRPr="00E3715A">
        <w:rPr>
          <w:rFonts w:cs="Arial"/>
        </w:rPr>
        <w:t xml:space="preserve"> will not be authorised under a licence if it is operated in a manner that is not in accordance with the details in the RRL.</w:t>
      </w:r>
    </w:p>
    <w:p w14:paraId="5CDF16A9" w14:textId="24FF1801" w:rsidR="0068678E" w:rsidRPr="00E3715A" w:rsidRDefault="00136FFB" w:rsidP="00E40CBB">
      <w:pPr>
        <w:rPr>
          <w:rFonts w:cs="Arial"/>
        </w:rPr>
      </w:pPr>
      <w:r>
        <w:rPr>
          <w:rFonts w:cs="Arial"/>
        </w:rPr>
        <w:t>We recommend</w:t>
      </w:r>
      <w:r w:rsidR="0068678E">
        <w:rPr>
          <w:rFonts w:cs="Arial"/>
        </w:rPr>
        <w:t xml:space="preserve"> that licensees affix identification labels containing their names and address on all fixed transmitters operated under their licence. </w:t>
      </w:r>
    </w:p>
    <w:p w14:paraId="35BD6B6C" w14:textId="58213F43" w:rsidR="007E4661" w:rsidRPr="00E3715A" w:rsidRDefault="007E4661" w:rsidP="00E40CBB">
      <w:pPr>
        <w:rPr>
          <w:rFonts w:cs="Arial"/>
        </w:rPr>
      </w:pPr>
      <w:r w:rsidRPr="00E3715A">
        <w:rPr>
          <w:rFonts w:cs="Arial"/>
        </w:rPr>
        <w:t xml:space="preserve">Although not mandatory, the registration of receivers is also advised, since one of the matters the ACMA will </w:t>
      </w:r>
      <w:r w:rsidR="00981F87" w:rsidRPr="00E3715A">
        <w:rPr>
          <w:rFonts w:cs="Arial"/>
        </w:rPr>
        <w:t>consider</w:t>
      </w:r>
      <w:r w:rsidRPr="00E3715A">
        <w:rPr>
          <w:rFonts w:cs="Arial"/>
        </w:rPr>
        <w:t xml:space="preserve"> in settling interference disputes is the time of registration of the receiver involved in the interference</w:t>
      </w:r>
      <w:r w:rsidRPr="00432814">
        <w:rPr>
          <w:rFonts w:cs="Arial"/>
        </w:rPr>
        <w:t>.</w:t>
      </w:r>
    </w:p>
    <w:p w14:paraId="1F6C748A" w14:textId="4179BFDE" w:rsidR="006E5AEA" w:rsidRPr="00E3715A" w:rsidRDefault="006E5AEA" w:rsidP="00E40CBB">
      <w:pPr>
        <w:pStyle w:val="Heading3"/>
      </w:pPr>
      <w:bookmarkStart w:id="108" w:name="_Ref325107980"/>
      <w:bookmarkStart w:id="109" w:name="_Toc325970709"/>
      <w:bookmarkStart w:id="110" w:name="_Toc327278944"/>
      <w:bookmarkStart w:id="111" w:name="_Toc341966586"/>
      <w:bookmarkStart w:id="112" w:name="_Toc101444647"/>
      <w:bookmarkStart w:id="113" w:name="_Toc131603597"/>
      <w:bookmarkEnd w:id="105"/>
      <w:bookmarkEnd w:id="106"/>
      <w:bookmarkEnd w:id="107"/>
      <w:r w:rsidRPr="00E3715A">
        <w:t xml:space="preserve">Interference impact </w:t>
      </w:r>
      <w:r w:rsidRPr="004A7A2E">
        <w:t>certificates</w:t>
      </w:r>
      <w:bookmarkEnd w:id="108"/>
      <w:bookmarkEnd w:id="109"/>
      <w:bookmarkEnd w:id="110"/>
      <w:bookmarkEnd w:id="111"/>
      <w:bookmarkEnd w:id="112"/>
      <w:bookmarkEnd w:id="113"/>
    </w:p>
    <w:p w14:paraId="3489A271" w14:textId="592E8CA0" w:rsidR="006E5AEA" w:rsidRPr="00E3715A" w:rsidRDefault="00981F87" w:rsidP="00E40CBB">
      <w:pPr>
        <w:rPr>
          <w:rFonts w:cs="Arial"/>
        </w:rPr>
      </w:pPr>
      <w:r w:rsidRPr="00E3715A">
        <w:rPr>
          <w:rFonts w:cs="Arial"/>
        </w:rPr>
        <w:t>To</w:t>
      </w:r>
      <w:r w:rsidR="006E5AEA" w:rsidRPr="00E3715A">
        <w:rPr>
          <w:rFonts w:cs="Arial"/>
        </w:rPr>
        <w:t xml:space="preserve"> register a </w:t>
      </w:r>
      <w:r w:rsidR="00D12D36">
        <w:rPr>
          <w:rFonts w:cs="Arial"/>
        </w:rPr>
        <w:t>radiocommunications</w:t>
      </w:r>
      <w:r w:rsidR="006E5AEA" w:rsidRPr="00E3715A">
        <w:rPr>
          <w:rFonts w:cs="Arial"/>
        </w:rPr>
        <w:t xml:space="preserve"> transmitter intended for operation under a spectrum licence on the RRL, the ACMA requires an interference impact certificate (IIC) to be issued by an accredited person.</w:t>
      </w:r>
    </w:p>
    <w:p w14:paraId="1F298598" w14:textId="2FD2ED18" w:rsidR="006E5AEA" w:rsidRPr="00E3715A" w:rsidRDefault="006E5AEA" w:rsidP="00E40CBB">
      <w:pPr>
        <w:spacing w:after="80"/>
        <w:rPr>
          <w:rFonts w:cs="Arial"/>
        </w:rPr>
      </w:pPr>
      <w:r w:rsidRPr="00432814">
        <w:rPr>
          <w:rFonts w:cs="Arial"/>
        </w:rPr>
        <w:t xml:space="preserve">The </w:t>
      </w:r>
      <w:hyperlink r:id="rId49" w:history="1">
        <w:r w:rsidR="009B515F" w:rsidRPr="00B93EA1">
          <w:rPr>
            <w:rStyle w:val="Hyperlink"/>
          </w:rPr>
          <w:t>Radiocommunications (Conditions of Interference Impact Certificates) Determination 2021</w:t>
        </w:r>
      </w:hyperlink>
      <w:r w:rsidRPr="00E3715A">
        <w:rPr>
          <w:rFonts w:cs="Arial"/>
        </w:rPr>
        <w:t xml:space="preserve"> sets out the conditions that apply to accredited persons when issuing an IIC. The conditions require that the accredited person is satisfied that one of the following is met:</w:t>
      </w:r>
    </w:p>
    <w:p w14:paraId="16F6E912" w14:textId="7D496CE5" w:rsidR="006E5AEA" w:rsidRPr="00E3715A" w:rsidRDefault="006E5AEA" w:rsidP="00E40CBB">
      <w:pPr>
        <w:pStyle w:val="ListBullet"/>
        <w:rPr>
          <w:rFonts w:cs="Arial"/>
        </w:rPr>
      </w:pPr>
      <w:r w:rsidRPr="00E3715A">
        <w:rPr>
          <w:rFonts w:cs="Arial"/>
        </w:rPr>
        <w:lastRenderedPageBreak/>
        <w:t xml:space="preserve">the operation of the </w:t>
      </w:r>
      <w:r w:rsidR="00EF626B">
        <w:rPr>
          <w:rFonts w:cs="Arial"/>
        </w:rPr>
        <w:t>transmitter</w:t>
      </w:r>
      <w:r w:rsidRPr="00E3715A">
        <w:rPr>
          <w:rFonts w:cs="Arial"/>
        </w:rPr>
        <w:t xml:space="preserve"> will not cause an unacceptable level of interference, as </w:t>
      </w:r>
      <w:r w:rsidR="00A2171A">
        <w:rPr>
          <w:rFonts w:cs="Arial"/>
        </w:rPr>
        <w:t>determined</w:t>
      </w:r>
      <w:r w:rsidRPr="00E3715A">
        <w:rPr>
          <w:rFonts w:cs="Arial"/>
        </w:rPr>
        <w:t xml:space="preserve"> </w:t>
      </w:r>
      <w:r w:rsidR="00A2171A">
        <w:rPr>
          <w:rFonts w:cs="Arial"/>
        </w:rPr>
        <w:t>under</w:t>
      </w:r>
      <w:r w:rsidRPr="00E3715A">
        <w:rPr>
          <w:rFonts w:cs="Arial"/>
        </w:rPr>
        <w:t xml:space="preserve"> section 145</w:t>
      </w:r>
      <w:r w:rsidR="000A61ED">
        <w:rPr>
          <w:rFonts w:cs="Arial"/>
        </w:rPr>
        <w:t>(4)</w:t>
      </w:r>
      <w:r w:rsidR="005122EC">
        <w:rPr>
          <w:rFonts w:cs="Arial"/>
        </w:rPr>
        <w:t xml:space="preserve"> of the Act</w:t>
      </w:r>
      <w:r w:rsidR="00DE3A08">
        <w:rPr>
          <w:rFonts w:cs="Arial"/>
        </w:rPr>
        <w:t>;</w:t>
      </w:r>
    </w:p>
    <w:p w14:paraId="19580AA5" w14:textId="1650A4B0" w:rsidR="006E5AEA" w:rsidRPr="00E3715A" w:rsidRDefault="006E5AEA" w:rsidP="00E40CBB">
      <w:pPr>
        <w:pStyle w:val="ListBullet"/>
        <w:rPr>
          <w:rFonts w:cs="Arial"/>
        </w:rPr>
      </w:pPr>
      <w:r w:rsidRPr="00E3715A">
        <w:rPr>
          <w:rFonts w:cs="Arial"/>
        </w:rPr>
        <w:t>sufficient internal guard space has been allocated to mitigate potential interference from the transmitter</w:t>
      </w:r>
      <w:r w:rsidR="00DE3A08">
        <w:rPr>
          <w:rFonts w:cs="Arial"/>
        </w:rPr>
        <w:t xml:space="preserve">; </w:t>
      </w:r>
    </w:p>
    <w:p w14:paraId="619D0AC5" w14:textId="77777777" w:rsidR="006E5AEA" w:rsidRPr="00E3715A" w:rsidRDefault="006E5AEA" w:rsidP="00E40CBB">
      <w:pPr>
        <w:pStyle w:val="ListBullet"/>
        <w:spacing w:after="240"/>
        <w:rPr>
          <w:rFonts w:cs="Arial"/>
        </w:rPr>
      </w:pPr>
      <w:r w:rsidRPr="00E3715A">
        <w:rPr>
          <w:rFonts w:cs="Arial"/>
        </w:rPr>
        <w:t>all licensees who, in the opinion of the accredited person, may be affected by the interference have given consent in writing to interference from the transmitter.</w:t>
      </w:r>
    </w:p>
    <w:p w14:paraId="514F01AA" w14:textId="17A09298" w:rsidR="006E5AEA" w:rsidRPr="00E3715A" w:rsidRDefault="006E5AEA" w:rsidP="00E40CBB">
      <w:pPr>
        <w:rPr>
          <w:rFonts w:cs="Arial"/>
        </w:rPr>
      </w:pPr>
      <w:r w:rsidRPr="00E3715A">
        <w:rPr>
          <w:rFonts w:cs="Arial"/>
        </w:rPr>
        <w:t>By issuing an IIC, an accredited person is certifying that the levels of emission radiated from a transmitter operating at a particular site, on a given carrier frequency and within specific technical parameters are consistent with the spectrum licence under which it operates and are contained in a manner that is in accordance with the technical framework.</w:t>
      </w:r>
    </w:p>
    <w:p w14:paraId="0BFE4E83" w14:textId="3B46C428" w:rsidR="0068678E" w:rsidRDefault="006E5AEA" w:rsidP="00E40CBB">
      <w:pPr>
        <w:rPr>
          <w:rFonts w:cs="Arial"/>
        </w:rPr>
      </w:pPr>
      <w:r w:rsidRPr="00E3715A">
        <w:rPr>
          <w:rFonts w:cs="Arial"/>
        </w:rPr>
        <w:t xml:space="preserve">Guidance </w:t>
      </w:r>
      <w:r>
        <w:rPr>
          <w:rFonts w:cs="Arial"/>
        </w:rPr>
        <w:t xml:space="preserve">about how to register </w:t>
      </w:r>
      <w:r w:rsidRPr="00E3715A">
        <w:rPr>
          <w:rFonts w:cs="Arial"/>
        </w:rPr>
        <w:t xml:space="preserve">radiocommunications </w:t>
      </w:r>
      <w:r w:rsidR="00CB480D">
        <w:rPr>
          <w:rFonts w:cs="Arial"/>
        </w:rPr>
        <w:t>transmitters</w:t>
      </w:r>
      <w:r>
        <w:rPr>
          <w:rFonts w:cs="Arial"/>
        </w:rPr>
        <w:t xml:space="preserve"> </w:t>
      </w:r>
      <w:r w:rsidRPr="00E3715A">
        <w:rPr>
          <w:rFonts w:cs="Arial"/>
        </w:rPr>
        <w:t>under the guard space and agreement certification options is provided</w:t>
      </w:r>
      <w:r>
        <w:rPr>
          <w:rFonts w:cs="Arial"/>
        </w:rPr>
        <w:t xml:space="preserve"> on </w:t>
      </w:r>
      <w:hyperlink r:id="rId50" w:history="1">
        <w:r w:rsidRPr="00EC7565">
          <w:rPr>
            <w:rStyle w:val="Hyperlink"/>
            <w:rFonts w:cs="Arial"/>
          </w:rPr>
          <w:t>the ACMA website</w:t>
        </w:r>
      </w:hyperlink>
      <w:r>
        <w:rPr>
          <w:rFonts w:cs="Arial"/>
        </w:rPr>
        <w:t xml:space="preserve">. </w:t>
      </w:r>
      <w:r w:rsidRPr="00E3715A">
        <w:rPr>
          <w:rFonts w:cs="Arial"/>
        </w:rPr>
        <w:t xml:space="preserve"> </w:t>
      </w:r>
    </w:p>
    <w:p w14:paraId="3729ACA2" w14:textId="007B1F7A" w:rsidR="00845C61" w:rsidRPr="00E3715A" w:rsidRDefault="00845C61" w:rsidP="00E40CBB">
      <w:pPr>
        <w:rPr>
          <w:rFonts w:cs="Arial"/>
        </w:rPr>
      </w:pPr>
      <w:r>
        <w:rPr>
          <w:rFonts w:cs="Arial"/>
        </w:rPr>
        <w:t xml:space="preserve">An IIC is not required to register a </w:t>
      </w:r>
      <w:r w:rsidR="00110AD1" w:rsidRPr="00E3715A">
        <w:rPr>
          <w:rFonts w:cs="Arial"/>
        </w:rPr>
        <w:t xml:space="preserve">radiocommunications </w:t>
      </w:r>
      <w:r>
        <w:rPr>
          <w:rFonts w:cs="Arial"/>
        </w:rPr>
        <w:t xml:space="preserve">receiver on the RRL. However, it is recommended that licensees perform checks to determine the risk of any </w:t>
      </w:r>
      <w:r w:rsidR="00B4093C">
        <w:rPr>
          <w:rFonts w:cs="Arial"/>
        </w:rPr>
        <w:t>interference</w:t>
      </w:r>
      <w:r>
        <w:rPr>
          <w:rFonts w:cs="Arial"/>
        </w:rPr>
        <w:t xml:space="preserve"> to </w:t>
      </w:r>
      <w:r w:rsidR="00CE24FE">
        <w:rPr>
          <w:rFonts w:cs="Arial"/>
        </w:rPr>
        <w:t>receivers</w:t>
      </w:r>
      <w:r>
        <w:rPr>
          <w:rFonts w:cs="Arial"/>
        </w:rPr>
        <w:t xml:space="preserve"> before </w:t>
      </w:r>
      <w:r w:rsidR="008F6A1C">
        <w:rPr>
          <w:rFonts w:cs="Arial"/>
        </w:rPr>
        <w:t xml:space="preserve">their </w:t>
      </w:r>
      <w:r w:rsidR="00B4093C">
        <w:rPr>
          <w:rFonts w:cs="Arial"/>
        </w:rPr>
        <w:t xml:space="preserve">registration. </w:t>
      </w:r>
    </w:p>
    <w:p w14:paraId="7693DE85" w14:textId="209D96AF" w:rsidR="006E5AEA" w:rsidRPr="00E3715A" w:rsidRDefault="006E5AEA" w:rsidP="00E40CBB">
      <w:pPr>
        <w:pStyle w:val="Heading3"/>
      </w:pPr>
      <w:bookmarkStart w:id="114" w:name="_Toc325970710"/>
      <w:bookmarkStart w:id="115" w:name="_Toc327278945"/>
      <w:bookmarkStart w:id="116" w:name="_Toc341966587"/>
      <w:bookmarkStart w:id="117" w:name="_Toc101444648"/>
      <w:bookmarkStart w:id="118" w:name="_Toc131603598"/>
      <w:r w:rsidRPr="00E3715A">
        <w:t xml:space="preserve">Registration </w:t>
      </w:r>
      <w:r w:rsidRPr="004A7A2E">
        <w:t>for</w:t>
      </w:r>
      <w:r w:rsidRPr="00E3715A">
        <w:t xml:space="preserve"> groups of transmitters and receivers</w:t>
      </w:r>
      <w:bookmarkEnd w:id="114"/>
      <w:bookmarkEnd w:id="115"/>
      <w:bookmarkEnd w:id="116"/>
      <w:bookmarkEnd w:id="117"/>
      <w:bookmarkEnd w:id="118"/>
    </w:p>
    <w:p w14:paraId="3D5F8709" w14:textId="063E4B52" w:rsidR="006E5AEA" w:rsidRPr="00E3715A" w:rsidRDefault="006E5AEA" w:rsidP="00E40CBB">
      <w:pPr>
        <w:rPr>
          <w:rFonts w:cs="Arial"/>
        </w:rPr>
      </w:pPr>
      <w:r w:rsidRPr="00E3715A">
        <w:rPr>
          <w:rFonts w:cs="Arial"/>
        </w:rPr>
        <w:t xml:space="preserve">The ACMA allows group registrations of transmitters and </w:t>
      </w:r>
      <w:r w:rsidR="00563C53" w:rsidRPr="00E3715A">
        <w:rPr>
          <w:rFonts w:cs="Arial"/>
        </w:rPr>
        <w:t xml:space="preserve">group registrations of </w:t>
      </w:r>
      <w:r w:rsidRPr="00E3715A">
        <w:rPr>
          <w:rFonts w:cs="Arial"/>
        </w:rPr>
        <w:t xml:space="preserve">receivers in specified circumstances. If </w:t>
      </w:r>
      <w:r w:rsidR="005770B1">
        <w:rPr>
          <w:rFonts w:cs="Arial"/>
        </w:rPr>
        <w:t>2</w:t>
      </w:r>
      <w:r w:rsidR="005770B1" w:rsidRPr="00E3715A">
        <w:rPr>
          <w:rFonts w:cs="Arial"/>
        </w:rPr>
        <w:t xml:space="preserve"> </w:t>
      </w:r>
      <w:r w:rsidRPr="00E3715A">
        <w:rPr>
          <w:rFonts w:cs="Arial"/>
        </w:rPr>
        <w:t xml:space="preserve">or more transmitters are </w:t>
      </w:r>
      <w:r w:rsidR="0069498E">
        <w:rPr>
          <w:rFonts w:cs="Arial"/>
        </w:rPr>
        <w:t xml:space="preserve">within 20 </w:t>
      </w:r>
      <w:r w:rsidR="00F03756">
        <w:rPr>
          <w:rFonts w:cs="Arial"/>
        </w:rPr>
        <w:t>m</w:t>
      </w:r>
      <w:r w:rsidR="0069498E">
        <w:rPr>
          <w:rFonts w:cs="Arial"/>
        </w:rPr>
        <w:t xml:space="preserve"> of each other, </w:t>
      </w:r>
      <w:r w:rsidR="001E5CBE">
        <w:rPr>
          <w:rFonts w:cs="Arial"/>
        </w:rPr>
        <w:t xml:space="preserve">are </w:t>
      </w:r>
      <w:r w:rsidRPr="00E3715A">
        <w:rPr>
          <w:rFonts w:cs="Arial"/>
        </w:rPr>
        <w:t xml:space="preserve">operated for the purpose of communicating with the same receiver or same group of receivers, and they have identical </w:t>
      </w:r>
      <w:r w:rsidR="00D81F0E">
        <w:rPr>
          <w:rFonts w:cs="Arial"/>
        </w:rPr>
        <w:t>antennas</w:t>
      </w:r>
      <w:r w:rsidRPr="00E3715A">
        <w:rPr>
          <w:rFonts w:cs="Arial"/>
        </w:rPr>
        <w:t xml:space="preserve">, then they may be treated as a group </w:t>
      </w:r>
      <w:r w:rsidR="009A74C6">
        <w:rPr>
          <w:rFonts w:cs="Arial"/>
        </w:rPr>
        <w:t>of transmitters</w:t>
      </w:r>
      <w:r w:rsidRPr="00E3715A">
        <w:rPr>
          <w:rFonts w:cs="Arial"/>
        </w:rPr>
        <w:t xml:space="preserve"> </w:t>
      </w:r>
      <w:r w:rsidR="00CE5C21">
        <w:rPr>
          <w:rFonts w:cs="Arial"/>
        </w:rPr>
        <w:t xml:space="preserve">or receivers </w:t>
      </w:r>
      <w:r w:rsidR="00E96D9D" w:rsidRPr="00E3715A">
        <w:rPr>
          <w:rFonts w:cs="Arial"/>
        </w:rPr>
        <w:t>to</w:t>
      </w:r>
      <w:r w:rsidRPr="00E3715A">
        <w:rPr>
          <w:rFonts w:cs="Arial"/>
        </w:rPr>
        <w:t xml:space="preserve"> sim</w:t>
      </w:r>
      <w:r>
        <w:rPr>
          <w:rFonts w:cs="Arial"/>
        </w:rPr>
        <w:t>plify the registration process.</w:t>
      </w:r>
      <w:bookmarkStart w:id="119" w:name="_Ref302571603"/>
    </w:p>
    <w:p w14:paraId="14CC41EF" w14:textId="77777777" w:rsidR="006E5AEA" w:rsidRPr="00E3715A" w:rsidRDefault="006E5AEA" w:rsidP="00E40CBB">
      <w:pPr>
        <w:pStyle w:val="Heading3"/>
      </w:pPr>
      <w:bookmarkStart w:id="120" w:name="_Ref323739787"/>
      <w:bookmarkStart w:id="121" w:name="_Ref323739800"/>
      <w:bookmarkStart w:id="122" w:name="_Toc325970711"/>
      <w:bookmarkStart w:id="123" w:name="_Toc327278946"/>
      <w:bookmarkStart w:id="124" w:name="_Toc341966588"/>
      <w:bookmarkStart w:id="125" w:name="_Toc101444649"/>
      <w:bookmarkStart w:id="126" w:name="_Toc131603599"/>
      <w:r w:rsidRPr="00E3715A">
        <w:t>Core conditions agreements</w:t>
      </w:r>
      <w:bookmarkEnd w:id="119"/>
      <w:bookmarkEnd w:id="120"/>
      <w:bookmarkEnd w:id="121"/>
      <w:bookmarkEnd w:id="122"/>
      <w:bookmarkEnd w:id="123"/>
      <w:bookmarkEnd w:id="124"/>
      <w:bookmarkEnd w:id="125"/>
      <w:bookmarkEnd w:id="126"/>
    </w:p>
    <w:p w14:paraId="3DCF3D55" w14:textId="15A89A54" w:rsidR="00803918" w:rsidRDefault="006E5AEA" w:rsidP="00E40CBB">
      <w:pPr>
        <w:rPr>
          <w:rFonts w:cs="Arial"/>
        </w:rPr>
      </w:pPr>
      <w:r w:rsidRPr="00E3715A">
        <w:rPr>
          <w:rFonts w:cs="Arial"/>
        </w:rPr>
        <w:t xml:space="preserve">A core conditions agreement is an agreement between spectrum licensees to allow for the registration of </w:t>
      </w:r>
      <w:r w:rsidR="00454C4E" w:rsidRPr="00454C4E">
        <w:rPr>
          <w:rFonts w:cs="Arial"/>
        </w:rPr>
        <w:t>radiocommunications</w:t>
      </w:r>
      <w:r w:rsidR="00454C4E">
        <w:rPr>
          <w:rFonts w:cs="Arial"/>
        </w:rPr>
        <w:t xml:space="preserve"> </w:t>
      </w:r>
      <w:r w:rsidRPr="00E3715A">
        <w:rPr>
          <w:rFonts w:cs="Arial"/>
        </w:rPr>
        <w:t xml:space="preserve">devices even though the emissions from those devices exceed the relevant core licence conditions. </w:t>
      </w:r>
      <w:r w:rsidR="00983494">
        <w:rPr>
          <w:rFonts w:cs="Arial"/>
        </w:rPr>
        <w:t xml:space="preserve">Such agreements can only be applied to the </w:t>
      </w:r>
      <w:r w:rsidR="00BA3455">
        <w:rPr>
          <w:rFonts w:cs="Arial"/>
        </w:rPr>
        <w:t xml:space="preserve">core conditions related to </w:t>
      </w:r>
      <w:r w:rsidR="00983494">
        <w:rPr>
          <w:rFonts w:cs="Arial"/>
        </w:rPr>
        <w:t>out</w:t>
      </w:r>
      <w:r w:rsidR="00CF6C54">
        <w:rPr>
          <w:rFonts w:cs="Arial"/>
        </w:rPr>
        <w:t>side the area and outside the band emission limits.</w:t>
      </w:r>
      <w:r w:rsidR="00983494">
        <w:rPr>
          <w:rFonts w:cs="Arial"/>
        </w:rPr>
        <w:t xml:space="preserve"> </w:t>
      </w:r>
      <w:r w:rsidR="00E82473">
        <w:rPr>
          <w:rFonts w:cs="Arial"/>
        </w:rPr>
        <w:t>As an example,</w:t>
      </w:r>
      <w:r w:rsidR="00E20E71">
        <w:rPr>
          <w:rFonts w:cs="Arial"/>
        </w:rPr>
        <w:t xml:space="preserve"> such an agreement</w:t>
      </w:r>
      <w:r w:rsidR="00803918">
        <w:rPr>
          <w:rFonts w:cs="Arial"/>
        </w:rPr>
        <w:t xml:space="preserve"> c</w:t>
      </w:r>
      <w:r w:rsidR="00E82473">
        <w:rPr>
          <w:rFonts w:cs="Arial"/>
        </w:rPr>
        <w:t>ould</w:t>
      </w:r>
      <w:r w:rsidR="00803918">
        <w:rPr>
          <w:rFonts w:cs="Arial"/>
        </w:rPr>
        <w:t xml:space="preserve"> allow </w:t>
      </w:r>
      <w:r w:rsidR="00E20E71">
        <w:rPr>
          <w:rFonts w:cs="Arial"/>
        </w:rPr>
        <w:t xml:space="preserve">one </w:t>
      </w:r>
      <w:r w:rsidR="0024123A">
        <w:rPr>
          <w:rFonts w:cs="Arial"/>
        </w:rPr>
        <w:t xml:space="preserve">or </w:t>
      </w:r>
      <w:r w:rsidR="00E20E71">
        <w:rPr>
          <w:rFonts w:cs="Arial"/>
        </w:rPr>
        <w:t xml:space="preserve">more </w:t>
      </w:r>
      <w:r w:rsidR="009B252D">
        <w:rPr>
          <w:rFonts w:cs="Arial"/>
        </w:rPr>
        <w:t>devices</w:t>
      </w:r>
      <w:r w:rsidR="00803918">
        <w:rPr>
          <w:rFonts w:cs="Arial"/>
        </w:rPr>
        <w:t xml:space="preserve"> to operate with </w:t>
      </w:r>
      <w:r w:rsidR="00E82473">
        <w:rPr>
          <w:rFonts w:cs="Arial"/>
        </w:rPr>
        <w:t>an occupied bandwidth that cross</w:t>
      </w:r>
      <w:r w:rsidR="00CA6AEF">
        <w:rPr>
          <w:rFonts w:cs="Arial"/>
        </w:rPr>
        <w:t>es</w:t>
      </w:r>
      <w:r w:rsidR="00E82473">
        <w:rPr>
          <w:rFonts w:cs="Arial"/>
        </w:rPr>
        <w:t xml:space="preserve"> </w:t>
      </w:r>
      <w:r w:rsidR="005770B1">
        <w:rPr>
          <w:rFonts w:cs="Arial"/>
        </w:rPr>
        <w:t xml:space="preserve">2 </w:t>
      </w:r>
      <w:r w:rsidR="00E82473">
        <w:rPr>
          <w:rFonts w:cs="Arial"/>
        </w:rPr>
        <w:t xml:space="preserve">or more different spectrum licences. </w:t>
      </w:r>
      <w:r w:rsidR="009B252D">
        <w:rPr>
          <w:rFonts w:cs="Arial"/>
        </w:rPr>
        <w:t>Alternatively,</w:t>
      </w:r>
      <w:r w:rsidR="00930152">
        <w:rPr>
          <w:rFonts w:cs="Arial"/>
        </w:rPr>
        <w:t xml:space="preserve"> it can be used to allow </w:t>
      </w:r>
      <w:r w:rsidR="009B252D">
        <w:rPr>
          <w:rFonts w:cs="Arial"/>
        </w:rPr>
        <w:t>one or more</w:t>
      </w:r>
      <w:r w:rsidR="00930152">
        <w:rPr>
          <w:rFonts w:cs="Arial"/>
        </w:rPr>
        <w:t xml:space="preserve"> device</w:t>
      </w:r>
      <w:r w:rsidR="009B252D">
        <w:rPr>
          <w:rFonts w:cs="Arial"/>
        </w:rPr>
        <w:t>s</w:t>
      </w:r>
      <w:r w:rsidR="00930152">
        <w:rPr>
          <w:rFonts w:cs="Arial"/>
        </w:rPr>
        <w:t xml:space="preserve"> to operate with higher </w:t>
      </w:r>
      <w:r w:rsidR="00AD7F9B">
        <w:rPr>
          <w:rFonts w:cs="Arial"/>
        </w:rPr>
        <w:t>unwanted</w:t>
      </w:r>
      <w:r w:rsidR="00930152">
        <w:rPr>
          <w:rFonts w:cs="Arial"/>
        </w:rPr>
        <w:t xml:space="preserve"> emission</w:t>
      </w:r>
      <w:r w:rsidR="0006590A">
        <w:rPr>
          <w:rFonts w:cs="Arial"/>
        </w:rPr>
        <w:t>s</w:t>
      </w:r>
      <w:r w:rsidR="00930152">
        <w:rPr>
          <w:rFonts w:cs="Arial"/>
        </w:rPr>
        <w:t xml:space="preserve"> limits within the spectrum space of </w:t>
      </w:r>
      <w:r w:rsidR="00BE7F26">
        <w:rPr>
          <w:rFonts w:cs="Arial"/>
        </w:rPr>
        <w:t>a frequency adjacent spectrum licence</w:t>
      </w:r>
      <w:r w:rsidR="00AD7F9B">
        <w:rPr>
          <w:rFonts w:cs="Arial"/>
        </w:rPr>
        <w:t xml:space="preserve">. </w:t>
      </w:r>
    </w:p>
    <w:p w14:paraId="0B9B2F61" w14:textId="2C115A2E" w:rsidR="006E5AEA" w:rsidRPr="00E3715A" w:rsidRDefault="00930152" w:rsidP="00E40CBB">
      <w:pPr>
        <w:rPr>
          <w:rFonts w:cs="Arial"/>
        </w:rPr>
      </w:pPr>
      <w:r>
        <w:rPr>
          <w:rFonts w:cs="Arial"/>
        </w:rPr>
        <w:t>Core condition a</w:t>
      </w:r>
      <w:r w:rsidR="006E5AEA" w:rsidRPr="00E3715A">
        <w:rPr>
          <w:rFonts w:cs="Arial"/>
        </w:rPr>
        <w:t xml:space="preserve">greements </w:t>
      </w:r>
      <w:r w:rsidR="009B252D">
        <w:rPr>
          <w:rFonts w:cs="Arial"/>
        </w:rPr>
        <w:t xml:space="preserve">can </w:t>
      </w:r>
      <w:r w:rsidR="004117A7">
        <w:rPr>
          <w:rFonts w:cs="Arial"/>
        </w:rPr>
        <w:t xml:space="preserve">only </w:t>
      </w:r>
      <w:r w:rsidR="009B252D">
        <w:rPr>
          <w:rFonts w:cs="Arial"/>
        </w:rPr>
        <w:t xml:space="preserve">be </w:t>
      </w:r>
      <w:r w:rsidR="004117A7">
        <w:rPr>
          <w:rFonts w:cs="Arial"/>
        </w:rPr>
        <w:t>appl</w:t>
      </w:r>
      <w:r w:rsidR="009B252D">
        <w:rPr>
          <w:rFonts w:cs="Arial"/>
        </w:rPr>
        <w:t>ied</w:t>
      </w:r>
      <w:r w:rsidR="004117A7">
        <w:rPr>
          <w:rFonts w:cs="Arial"/>
        </w:rPr>
        <w:t xml:space="preserve"> within the spectrum space of </w:t>
      </w:r>
      <w:r w:rsidR="009F056C">
        <w:rPr>
          <w:rFonts w:cs="Arial"/>
        </w:rPr>
        <w:t xml:space="preserve">one or more </w:t>
      </w:r>
      <w:r w:rsidR="008B5E93">
        <w:rPr>
          <w:rFonts w:cs="Arial"/>
        </w:rPr>
        <w:t xml:space="preserve">spectrum licences. They </w:t>
      </w:r>
      <w:r w:rsidR="006E5AEA" w:rsidRPr="00E3715A">
        <w:rPr>
          <w:rFonts w:cs="Arial"/>
        </w:rPr>
        <w:t xml:space="preserve">cannot be used to authorise the operation of </w:t>
      </w:r>
      <w:r w:rsidR="00094A3C" w:rsidRPr="00094A3C">
        <w:rPr>
          <w:rFonts w:cs="Arial"/>
        </w:rPr>
        <w:t>radiocommunications</w:t>
      </w:r>
      <w:r w:rsidR="00094A3C">
        <w:rPr>
          <w:rFonts w:cs="Arial"/>
        </w:rPr>
        <w:t xml:space="preserve"> </w:t>
      </w:r>
      <w:r w:rsidR="006E5AEA" w:rsidRPr="00E3715A">
        <w:rPr>
          <w:rFonts w:cs="Arial"/>
        </w:rPr>
        <w:t>devices</w:t>
      </w:r>
      <w:r w:rsidR="008B5E93">
        <w:rPr>
          <w:rFonts w:cs="Arial"/>
        </w:rPr>
        <w:t xml:space="preserve"> or</w:t>
      </w:r>
      <w:r w:rsidR="005A47F9">
        <w:rPr>
          <w:rFonts w:cs="Arial"/>
        </w:rPr>
        <w:t xml:space="preserve"> amend</w:t>
      </w:r>
      <w:r w:rsidR="00ED039E">
        <w:rPr>
          <w:rFonts w:cs="Arial"/>
        </w:rPr>
        <w:t xml:space="preserve"> core conditions with a spectrum space that is not subject to spectrum licensing. </w:t>
      </w:r>
    </w:p>
    <w:p w14:paraId="3FEFE099" w14:textId="503AC751" w:rsidR="006E5AEA" w:rsidRPr="00220105" w:rsidRDefault="006E5AEA" w:rsidP="00E40CBB">
      <w:pPr>
        <w:rPr>
          <w:rStyle w:val="Emphasis"/>
          <w:rFonts w:cs="Arial"/>
          <w:i w:val="0"/>
          <w:iCs w:val="0"/>
        </w:rPr>
      </w:pPr>
      <w:r w:rsidRPr="00E3715A">
        <w:rPr>
          <w:rFonts w:cs="Arial"/>
        </w:rPr>
        <w:t xml:space="preserve">Guidance on </w:t>
      </w:r>
      <w:r>
        <w:rPr>
          <w:rFonts w:cs="Arial"/>
        </w:rPr>
        <w:t xml:space="preserve">how to </w:t>
      </w:r>
      <w:r w:rsidRPr="00E3715A">
        <w:rPr>
          <w:rFonts w:cs="Arial"/>
        </w:rPr>
        <w:t>regist</w:t>
      </w:r>
      <w:r>
        <w:rPr>
          <w:rFonts w:cs="Arial"/>
        </w:rPr>
        <w:t>er</w:t>
      </w:r>
      <w:r w:rsidRPr="00E3715A">
        <w:rPr>
          <w:rFonts w:cs="Arial"/>
        </w:rPr>
        <w:t xml:space="preserve"> </w:t>
      </w:r>
      <w:r>
        <w:rPr>
          <w:rFonts w:cs="Arial"/>
        </w:rPr>
        <w:t xml:space="preserve">a </w:t>
      </w:r>
      <w:r w:rsidRPr="00E3715A">
        <w:rPr>
          <w:rFonts w:cs="Arial"/>
        </w:rPr>
        <w:t xml:space="preserve">radiocommunications device </w:t>
      </w:r>
      <w:r>
        <w:rPr>
          <w:rFonts w:cs="Arial"/>
        </w:rPr>
        <w:t xml:space="preserve">under a spectrum licence is available on the </w:t>
      </w:r>
      <w:hyperlink r:id="rId51" w:history="1">
        <w:r w:rsidRPr="00104364">
          <w:rPr>
            <w:rStyle w:val="Hyperlink"/>
            <w:rFonts w:cs="Arial"/>
          </w:rPr>
          <w:t>ACMA website</w:t>
        </w:r>
      </w:hyperlink>
      <w:r>
        <w:rPr>
          <w:rFonts w:cs="Arial"/>
        </w:rPr>
        <w:t xml:space="preserve">. </w:t>
      </w:r>
    </w:p>
    <w:p w14:paraId="4ADE8C06" w14:textId="5E1ACB9E" w:rsidR="006E5AEA" w:rsidRDefault="006E5AEA" w:rsidP="00E40CBB">
      <w:pPr>
        <w:rPr>
          <w:rFonts w:cs="Arial"/>
        </w:rPr>
      </w:pPr>
      <w:r w:rsidRPr="00E3715A">
        <w:rPr>
          <w:rFonts w:cs="Arial"/>
        </w:rPr>
        <w:t xml:space="preserve">Agreements between licensees only continue to apply while the licence </w:t>
      </w:r>
      <w:r w:rsidR="00443834">
        <w:rPr>
          <w:rFonts w:cs="Arial"/>
        </w:rPr>
        <w:t>is in effect</w:t>
      </w:r>
      <w:r w:rsidRPr="00E3715A">
        <w:rPr>
          <w:rFonts w:cs="Arial"/>
        </w:rPr>
        <w:t xml:space="preserve"> </w:t>
      </w:r>
      <w:r w:rsidR="00E44A3A">
        <w:rPr>
          <w:rFonts w:cs="Arial"/>
        </w:rPr>
        <w:t xml:space="preserve">and </w:t>
      </w:r>
      <w:r w:rsidR="00A44991">
        <w:rPr>
          <w:rFonts w:cs="Arial"/>
        </w:rPr>
        <w:t xml:space="preserve">the </w:t>
      </w:r>
      <w:r w:rsidR="00E44A3A">
        <w:rPr>
          <w:rFonts w:cs="Arial"/>
        </w:rPr>
        <w:t xml:space="preserve">spectrum space </w:t>
      </w:r>
      <w:r w:rsidRPr="00E3715A">
        <w:rPr>
          <w:rFonts w:cs="Arial"/>
        </w:rPr>
        <w:t>covered by the agreement remain</w:t>
      </w:r>
      <w:r w:rsidR="00DE2D9A">
        <w:rPr>
          <w:rFonts w:cs="Arial"/>
        </w:rPr>
        <w:t>s</w:t>
      </w:r>
      <w:r w:rsidRPr="00E3715A">
        <w:rPr>
          <w:rFonts w:cs="Arial"/>
        </w:rPr>
        <w:t xml:space="preserve"> unchanged. Where trading of licences takes place and new boundaries are formed, </w:t>
      </w:r>
      <w:r w:rsidR="001F4519">
        <w:rPr>
          <w:rFonts w:cs="Arial"/>
        </w:rPr>
        <w:t xml:space="preserve">or a </w:t>
      </w:r>
      <w:r w:rsidR="008B5F24">
        <w:rPr>
          <w:rFonts w:cs="Arial"/>
        </w:rPr>
        <w:t>change in</w:t>
      </w:r>
      <w:r w:rsidR="001F4519">
        <w:rPr>
          <w:rFonts w:cs="Arial"/>
        </w:rPr>
        <w:t xml:space="preserve"> licensee </w:t>
      </w:r>
      <w:r w:rsidR="002E3967">
        <w:rPr>
          <w:rFonts w:cs="Arial"/>
        </w:rPr>
        <w:t>occurs</w:t>
      </w:r>
      <w:r w:rsidR="001F4519">
        <w:rPr>
          <w:rFonts w:cs="Arial"/>
        </w:rPr>
        <w:t xml:space="preserve">, </w:t>
      </w:r>
      <w:r w:rsidRPr="00E3715A">
        <w:rPr>
          <w:rFonts w:cs="Arial"/>
        </w:rPr>
        <w:t xml:space="preserve">these agreements must be renegotiated. When trading occurs and post-trade agreements are not in place, </w:t>
      </w:r>
      <w:r w:rsidR="006D1013" w:rsidRPr="006D1013">
        <w:rPr>
          <w:rFonts w:cs="Arial"/>
        </w:rPr>
        <w:t>radiocommunications</w:t>
      </w:r>
      <w:r w:rsidR="006D1013">
        <w:rPr>
          <w:rFonts w:cs="Arial"/>
        </w:rPr>
        <w:t xml:space="preserve"> </w:t>
      </w:r>
      <w:r w:rsidRPr="00E3715A">
        <w:rPr>
          <w:rFonts w:cs="Arial"/>
        </w:rPr>
        <w:t>devices that remain in operation as part of the trade must be re-registered and meet the requirements of the new licence within the changed spectrum space.</w:t>
      </w:r>
      <w:r w:rsidR="009945AF">
        <w:rPr>
          <w:rFonts w:cs="Arial"/>
        </w:rPr>
        <w:t xml:space="preserve"> </w:t>
      </w:r>
    </w:p>
    <w:p w14:paraId="2B64CB5B" w14:textId="32F9A920" w:rsidR="00F43517" w:rsidRPr="003C4089" w:rsidRDefault="00F43517" w:rsidP="00E40CBB">
      <w:pPr>
        <w:rPr>
          <w:rFonts w:cs="Arial"/>
        </w:rPr>
      </w:pPr>
      <w:r>
        <w:rPr>
          <w:rFonts w:cs="Arial"/>
        </w:rPr>
        <w:t>Licensees should also review any agreements in place if and when an existing licence is varied</w:t>
      </w:r>
      <w:r w:rsidR="00AC407B">
        <w:rPr>
          <w:rFonts w:cs="Arial"/>
        </w:rPr>
        <w:t xml:space="preserve"> to determine if there would be any impact.</w:t>
      </w:r>
      <w:r>
        <w:rPr>
          <w:rFonts w:cs="Arial"/>
        </w:rPr>
        <w:t xml:space="preserve"> </w:t>
      </w:r>
    </w:p>
    <w:p w14:paraId="06250200" w14:textId="77777777" w:rsidR="007B78DD" w:rsidRPr="00E3715A" w:rsidRDefault="007B78DD" w:rsidP="00E40CBB">
      <w:pPr>
        <w:pStyle w:val="Heading2"/>
      </w:pPr>
      <w:bookmarkStart w:id="127" w:name="_Toc325970722"/>
      <w:bookmarkStart w:id="128" w:name="_Toc327278958"/>
      <w:bookmarkStart w:id="129" w:name="_Toc341966600"/>
      <w:bookmarkStart w:id="130" w:name="_Toc101444650"/>
      <w:bookmarkStart w:id="131" w:name="_Toc131603600"/>
      <w:r w:rsidRPr="007B78DD">
        <w:lastRenderedPageBreak/>
        <w:t>Radiocommunications</w:t>
      </w:r>
      <w:r w:rsidRPr="00E3715A">
        <w:t xml:space="preserve"> devices and emissions</w:t>
      </w:r>
      <w:bookmarkEnd w:id="127"/>
      <w:bookmarkEnd w:id="128"/>
      <w:bookmarkEnd w:id="129"/>
      <w:bookmarkEnd w:id="130"/>
      <w:bookmarkEnd w:id="131"/>
    </w:p>
    <w:p w14:paraId="54CA5C77" w14:textId="77777777" w:rsidR="007B78DD" w:rsidRPr="00E3715A" w:rsidRDefault="007B78DD" w:rsidP="00E40CBB">
      <w:pPr>
        <w:rPr>
          <w:rFonts w:cs="Arial"/>
        </w:rPr>
      </w:pPr>
      <w:r w:rsidRPr="00E3715A">
        <w:rPr>
          <w:rFonts w:cs="Arial"/>
        </w:rPr>
        <w:t>Certain aspects of the operation of radiocommunications devices, such as the antenna location, height and construction, may be regulated by state, territory or local government legislation. Before planning to operate a device in a certain location, licensees should investigate the local rules for the erection of towers and antennas.</w:t>
      </w:r>
    </w:p>
    <w:p w14:paraId="2A8B911B" w14:textId="190A1B01" w:rsidR="007B78DD" w:rsidRPr="00E3715A" w:rsidRDefault="007B78DD" w:rsidP="00904BBC">
      <w:pPr>
        <w:rPr>
          <w:rFonts w:cs="Arial"/>
        </w:rPr>
      </w:pPr>
      <w:r w:rsidRPr="00E3715A">
        <w:rPr>
          <w:rFonts w:cs="Arial"/>
        </w:rPr>
        <w:t xml:space="preserve">Every spectrum licensee will need to </w:t>
      </w:r>
      <w:r w:rsidR="00D51E79" w:rsidRPr="00E3715A">
        <w:rPr>
          <w:rFonts w:cs="Arial"/>
        </w:rPr>
        <w:t>consider</w:t>
      </w:r>
      <w:r w:rsidRPr="00E3715A">
        <w:rPr>
          <w:rFonts w:cs="Arial"/>
        </w:rPr>
        <w:t xml:space="preserve"> occupational health and safety requirements for radiocommunications devices. Such requirements are the responsibility of the relevant state or territory government.</w:t>
      </w:r>
      <w:r w:rsidR="00904BBC">
        <w:rPr>
          <w:rFonts w:cs="Arial"/>
        </w:rPr>
        <w:t xml:space="preserve"> </w:t>
      </w:r>
      <w:r w:rsidRPr="00E3715A">
        <w:rPr>
          <w:rFonts w:cs="Arial"/>
        </w:rPr>
        <w:t xml:space="preserve">In addition, </w:t>
      </w:r>
      <w:r w:rsidR="004B784D">
        <w:rPr>
          <w:rFonts w:cs="Arial"/>
        </w:rPr>
        <w:t>the equipment of</w:t>
      </w:r>
      <w:r w:rsidRPr="00E3715A">
        <w:rPr>
          <w:rFonts w:cs="Arial"/>
        </w:rPr>
        <w:t xml:space="preserve"> licensees </w:t>
      </w:r>
      <w:r w:rsidR="00DC7976">
        <w:rPr>
          <w:rFonts w:cs="Arial"/>
        </w:rPr>
        <w:t>is</w:t>
      </w:r>
      <w:r w:rsidRPr="00E3715A">
        <w:rPr>
          <w:rFonts w:cs="Arial"/>
        </w:rPr>
        <w:t xml:space="preserve"> required to comply with any health exposure standards that the ACMA may make for the health and safety of people who operate, work on or use radiocommunications transmitters and receivers. </w:t>
      </w:r>
    </w:p>
    <w:p w14:paraId="14772E3F" w14:textId="133458F4" w:rsidR="009B2BC6" w:rsidRDefault="007B78DD" w:rsidP="00E40CBB">
      <w:pPr>
        <w:rPr>
          <w:rFonts w:cs="Arial"/>
        </w:rPr>
      </w:pPr>
      <w:r w:rsidRPr="00E3715A">
        <w:rPr>
          <w:rFonts w:cs="Arial"/>
        </w:rPr>
        <w:t xml:space="preserve">The supply of customer equipment connected to a </w:t>
      </w:r>
      <w:r w:rsidR="008918D8">
        <w:rPr>
          <w:rFonts w:cs="Arial"/>
        </w:rPr>
        <w:t xml:space="preserve">carriage </w:t>
      </w:r>
      <w:r w:rsidRPr="00E3715A">
        <w:rPr>
          <w:rFonts w:cs="Arial"/>
        </w:rPr>
        <w:t>service supplied using spectrum-licensed space may be subject to ACMA technical standards, labelling and record-keeping requirements</w:t>
      </w:r>
      <w:r w:rsidR="00414022">
        <w:rPr>
          <w:rFonts w:cs="Arial"/>
        </w:rPr>
        <w:t>. These are</w:t>
      </w:r>
      <w:r w:rsidR="00847FD0" w:rsidRPr="001C24B0">
        <w:rPr>
          <w:rFonts w:cs="Arial"/>
        </w:rPr>
        <w:t xml:space="preserve"> </w:t>
      </w:r>
      <w:r w:rsidR="003D30B4">
        <w:rPr>
          <w:rFonts w:cs="Arial"/>
        </w:rPr>
        <w:t>set out</w:t>
      </w:r>
      <w:r w:rsidR="00847FD0" w:rsidRPr="001C24B0">
        <w:rPr>
          <w:rFonts w:cs="Arial"/>
        </w:rPr>
        <w:t xml:space="preserve"> in the </w:t>
      </w:r>
      <w:hyperlink r:id="rId52">
        <w:r w:rsidR="00FE12AB" w:rsidRPr="2A19AF9F">
          <w:rPr>
            <w:rStyle w:val="Hyperlink"/>
            <w:rFonts w:cs="Arial"/>
          </w:rPr>
          <w:t xml:space="preserve">Radiocommunications Equipment </w:t>
        </w:r>
        <w:r w:rsidR="001C24B0" w:rsidRPr="2A19AF9F">
          <w:rPr>
            <w:rStyle w:val="Hyperlink"/>
            <w:rFonts w:cs="Arial"/>
          </w:rPr>
          <w:t xml:space="preserve">(General) </w:t>
        </w:r>
        <w:r w:rsidR="00FE12AB" w:rsidRPr="2A19AF9F">
          <w:rPr>
            <w:rStyle w:val="Hyperlink"/>
            <w:rFonts w:cs="Arial"/>
          </w:rPr>
          <w:t>Rules 2021</w:t>
        </w:r>
      </w:hyperlink>
      <w:r w:rsidR="00FE12AB">
        <w:rPr>
          <w:rFonts w:cs="Arial"/>
        </w:rPr>
        <w:t xml:space="preserve"> (the General Equipment Rules)</w:t>
      </w:r>
      <w:r w:rsidR="00FE12AB" w:rsidRPr="00E3715A">
        <w:rPr>
          <w:rFonts w:cs="Arial"/>
        </w:rPr>
        <w:t>.</w:t>
      </w:r>
      <w:r w:rsidRPr="00E3715A">
        <w:rPr>
          <w:rFonts w:cs="Arial"/>
        </w:rPr>
        <w:t xml:space="preserve"> </w:t>
      </w:r>
      <w:r w:rsidR="00FD543A">
        <w:rPr>
          <w:rFonts w:cs="Arial"/>
        </w:rPr>
        <w:t>Mobile stations (including h</w:t>
      </w:r>
      <w:r w:rsidRPr="00E3715A">
        <w:rPr>
          <w:rFonts w:cs="Arial"/>
        </w:rPr>
        <w:t>and-held and portable equipment</w:t>
      </w:r>
      <w:r w:rsidR="6B680490" w:rsidRPr="4F66A789">
        <w:rPr>
          <w:rFonts w:cs="Arial"/>
        </w:rPr>
        <w:t>)</w:t>
      </w:r>
      <w:r w:rsidRPr="00E3715A">
        <w:rPr>
          <w:rFonts w:cs="Arial"/>
        </w:rPr>
        <w:t xml:space="preserve"> with an integral antenna will need to comply with </w:t>
      </w:r>
      <w:r w:rsidR="00804E40">
        <w:rPr>
          <w:rFonts w:cs="Arial"/>
        </w:rPr>
        <w:t>ARPANSA</w:t>
      </w:r>
      <w:r w:rsidR="001C24B0">
        <w:rPr>
          <w:rFonts w:cs="Arial"/>
        </w:rPr>
        <w:t>’s</w:t>
      </w:r>
      <w:r w:rsidRPr="2A19AF9F">
        <w:rPr>
          <w:rFonts w:cs="Arial"/>
        </w:rPr>
        <w:t xml:space="preserve"> </w:t>
      </w:r>
      <w:r w:rsidRPr="00E3715A">
        <w:rPr>
          <w:rFonts w:cs="Arial"/>
        </w:rPr>
        <w:t>electromagnetic energy (EME) exposure limits</w:t>
      </w:r>
      <w:r w:rsidR="00414022">
        <w:rPr>
          <w:rFonts w:cs="Arial"/>
        </w:rPr>
        <w:t>.</w:t>
      </w:r>
      <w:r w:rsidR="003469D6">
        <w:rPr>
          <w:rStyle w:val="FootnoteReference"/>
          <w:rFonts w:cs="Arial"/>
        </w:rPr>
        <w:footnoteReference w:id="4"/>
      </w:r>
      <w:r w:rsidRPr="00E3715A">
        <w:rPr>
          <w:rFonts w:cs="Arial"/>
        </w:rPr>
        <w:t xml:space="preserve"> </w:t>
      </w:r>
      <w:r w:rsidR="00414022">
        <w:rPr>
          <w:rFonts w:cs="Arial"/>
        </w:rPr>
        <w:t xml:space="preserve">These are </w:t>
      </w:r>
      <w:r w:rsidRPr="00E3715A">
        <w:rPr>
          <w:rFonts w:cs="Arial"/>
        </w:rPr>
        <w:t>mandated by the ACMA</w:t>
      </w:r>
      <w:r w:rsidR="00474C8B">
        <w:rPr>
          <w:rFonts w:cs="Arial"/>
        </w:rPr>
        <w:t xml:space="preserve"> in the </w:t>
      </w:r>
      <w:r w:rsidR="00FE12AB">
        <w:rPr>
          <w:rFonts w:cs="Arial"/>
        </w:rPr>
        <w:t xml:space="preserve">General </w:t>
      </w:r>
      <w:r w:rsidR="00BE658B">
        <w:rPr>
          <w:rFonts w:cs="Arial"/>
        </w:rPr>
        <w:t>Equipment Rules</w:t>
      </w:r>
      <w:r w:rsidR="001C24B0">
        <w:rPr>
          <w:rFonts w:cs="Arial"/>
        </w:rPr>
        <w:t xml:space="preserve">. </w:t>
      </w:r>
    </w:p>
    <w:p w14:paraId="11F466F9" w14:textId="7EE3E046" w:rsidR="007B78DD" w:rsidRPr="00E3715A" w:rsidRDefault="007B78DD" w:rsidP="00E40CBB">
      <w:pPr>
        <w:rPr>
          <w:rFonts w:cs="Arial"/>
        </w:rPr>
      </w:pPr>
      <w:r w:rsidRPr="00E3715A">
        <w:rPr>
          <w:rFonts w:cs="Arial"/>
        </w:rPr>
        <w:t xml:space="preserve">The operation of equipment used under </w:t>
      </w:r>
      <w:r w:rsidR="00B74842">
        <w:rPr>
          <w:rFonts w:cs="Arial"/>
        </w:rPr>
        <w:t xml:space="preserve">a </w:t>
      </w:r>
      <w:r w:rsidRPr="00E3715A">
        <w:rPr>
          <w:rFonts w:cs="Arial"/>
        </w:rPr>
        <w:t>spectrum licence (including end user equipment operated via third-party authorisation) is subject to the ARPANSA exposure limits as a condition on a</w:t>
      </w:r>
      <w:r>
        <w:rPr>
          <w:rFonts w:cs="Arial"/>
        </w:rPr>
        <w:t xml:space="preserve"> spectrum licence.</w:t>
      </w:r>
      <w:r w:rsidR="009B2BC6">
        <w:rPr>
          <w:rFonts w:cs="Arial"/>
        </w:rPr>
        <w:t xml:space="preserve"> </w:t>
      </w:r>
      <w:r w:rsidR="00CE16CC">
        <w:rPr>
          <w:rFonts w:cs="Arial"/>
        </w:rPr>
        <w:t>We</w:t>
      </w:r>
      <w:r w:rsidR="009B2BC6" w:rsidRPr="00E3715A">
        <w:rPr>
          <w:rFonts w:cs="Arial"/>
        </w:rPr>
        <w:t xml:space="preserve"> issue spectrum licences subject to conditions</w:t>
      </w:r>
      <w:r w:rsidR="001328FA">
        <w:rPr>
          <w:rFonts w:cs="Arial"/>
        </w:rPr>
        <w:t xml:space="preserve"> relating to</w:t>
      </w:r>
      <w:r w:rsidR="009B2BC6" w:rsidRPr="00E3715A">
        <w:rPr>
          <w:rFonts w:cs="Arial"/>
        </w:rPr>
        <w:t xml:space="preserve"> electromagnetic radiation requirem</w:t>
      </w:r>
      <w:r w:rsidR="009B2BC6">
        <w:rPr>
          <w:rFonts w:cs="Arial"/>
        </w:rPr>
        <w:t xml:space="preserve">ents for operation of </w:t>
      </w:r>
      <w:r w:rsidR="00804968" w:rsidRPr="00804968">
        <w:rPr>
          <w:rFonts w:cs="Arial"/>
        </w:rPr>
        <w:t>radiocommunications</w:t>
      </w:r>
      <w:r w:rsidR="00804968">
        <w:rPr>
          <w:rFonts w:cs="Arial"/>
        </w:rPr>
        <w:t xml:space="preserve"> </w:t>
      </w:r>
      <w:r w:rsidR="009B2BC6">
        <w:rPr>
          <w:rFonts w:cs="Arial"/>
        </w:rPr>
        <w:t xml:space="preserve">transmitters. </w:t>
      </w:r>
      <w:r w:rsidR="00CE4FAA">
        <w:rPr>
          <w:rFonts w:cs="Arial"/>
        </w:rPr>
        <w:t>These requirements are set out in Parts 2, 3 and 4 of</w:t>
      </w:r>
      <w:r w:rsidR="009B2BC6" w:rsidRPr="23617B20">
        <w:rPr>
          <w:rFonts w:cs="Arial"/>
        </w:rPr>
        <w:t xml:space="preserve"> the </w:t>
      </w:r>
      <w:r w:rsidR="009B2BC6">
        <w:t>Apparatus Licence LCD.</w:t>
      </w:r>
      <w:r w:rsidR="009B2BC6" w:rsidRPr="23617B20">
        <w:rPr>
          <w:rFonts w:cs="Arial"/>
        </w:rPr>
        <w:t xml:space="preserve"> For this condition, the reference to transmitter licence in the definition of ‘licence’ in subsection 4(1) of the determination should be read as a reference to a </w:t>
      </w:r>
      <w:r w:rsidR="009B2BC6">
        <w:rPr>
          <w:rFonts w:cs="Arial"/>
        </w:rPr>
        <w:t>spectrum</w:t>
      </w:r>
      <w:r w:rsidR="009B2BC6" w:rsidRPr="23617B20">
        <w:rPr>
          <w:rFonts w:cs="Arial"/>
        </w:rPr>
        <w:t xml:space="preserve"> licence.</w:t>
      </w:r>
    </w:p>
    <w:p w14:paraId="0BAF279C" w14:textId="2D8785D5" w:rsidR="007B78DD" w:rsidRPr="00E3715A" w:rsidRDefault="007B78DD" w:rsidP="00E40CBB">
      <w:pPr>
        <w:rPr>
          <w:rFonts w:cs="Arial"/>
        </w:rPr>
      </w:pPr>
      <w:r w:rsidRPr="00E3715A">
        <w:rPr>
          <w:rFonts w:cs="Arial"/>
        </w:rPr>
        <w:t>If the equipment has functionality independent of radio transmission (for example, a smartphone that can operate with the transmission function disabled), it must meet electromagnetic compatibility (EMC) technical standards</w:t>
      </w:r>
      <w:r w:rsidR="00E669A9">
        <w:rPr>
          <w:rFonts w:cs="Arial"/>
        </w:rPr>
        <w:t xml:space="preserve"> </w:t>
      </w:r>
      <w:r w:rsidRPr="00E3715A">
        <w:rPr>
          <w:rFonts w:cs="Arial"/>
        </w:rPr>
        <w:t>and associated labelling and record-keeping requirements prior to</w:t>
      </w:r>
      <w:r>
        <w:rPr>
          <w:rFonts w:cs="Arial"/>
        </w:rPr>
        <w:t xml:space="preserve"> being supplied to the market.</w:t>
      </w:r>
      <w:r w:rsidR="00A633D5">
        <w:rPr>
          <w:rFonts w:cs="Arial"/>
        </w:rPr>
        <w:t xml:space="preserve"> Currently, the equipment is subject to the </w:t>
      </w:r>
      <w:hyperlink r:id="rId53" w:history="1">
        <w:r w:rsidR="00A633D5" w:rsidRPr="008345D3">
          <w:rPr>
            <w:rStyle w:val="Hyperlink"/>
          </w:rPr>
          <w:t>Radiocommunications (Electromagnetic Compatibility) Standard 2017</w:t>
        </w:r>
      </w:hyperlink>
      <w:r w:rsidR="00A633D5" w:rsidRPr="00DA6FBF">
        <w:rPr>
          <w:rFonts w:cs="Arial"/>
        </w:rPr>
        <w:t>.</w:t>
      </w:r>
    </w:p>
    <w:p w14:paraId="69F769A2" w14:textId="5389E917" w:rsidR="007B78DD" w:rsidRPr="00E3715A" w:rsidRDefault="007B78DD" w:rsidP="00E40CBB">
      <w:pPr>
        <w:rPr>
          <w:rFonts w:cs="Arial"/>
        </w:rPr>
      </w:pPr>
      <w:r w:rsidRPr="500BBC95">
        <w:rPr>
          <w:rFonts w:cs="Arial"/>
        </w:rPr>
        <w:t xml:space="preserve">The supply of the end user device may also be subject to customer equipment technical standards, labelling and record-keeping requirements, depending on the interface technology used. Currently, equipment used in connection with a public mobile telecommunications service is subject to the </w:t>
      </w:r>
      <w:hyperlink r:id="rId54" w:history="1">
        <w:r w:rsidR="00F87DC4" w:rsidRPr="000F07D9">
          <w:rPr>
            <w:rStyle w:val="Hyperlink"/>
            <w:rFonts w:cs="Arial"/>
          </w:rPr>
          <w:t>Telecommunications (Mobile Equipment Air Interface) Technical Standard 2022</w:t>
        </w:r>
      </w:hyperlink>
      <w:r w:rsidR="005E18FE">
        <w:rPr>
          <w:rFonts w:cs="Arial"/>
        </w:rPr>
        <w:t>. This</w:t>
      </w:r>
      <w:r w:rsidR="00DC7046">
        <w:t xml:space="preserve"> specifies the requirements for connection to an air interface of a telecommunications network</w:t>
      </w:r>
      <w:r w:rsidR="00B24B4D">
        <w:t>.</w:t>
      </w:r>
      <w:r w:rsidRPr="500BBC95">
        <w:rPr>
          <w:rFonts w:cs="Arial"/>
        </w:rPr>
        <w:t xml:space="preserve"> </w:t>
      </w:r>
      <w:r w:rsidR="005E18FE">
        <w:rPr>
          <w:rFonts w:cs="Arial"/>
        </w:rPr>
        <w:t xml:space="preserve">The device </w:t>
      </w:r>
      <w:r w:rsidRPr="500BBC95">
        <w:rPr>
          <w:rFonts w:cs="Arial"/>
        </w:rPr>
        <w:t xml:space="preserve">will </w:t>
      </w:r>
      <w:r w:rsidR="00285BE2">
        <w:rPr>
          <w:rFonts w:cs="Arial"/>
        </w:rPr>
        <w:t xml:space="preserve">also </w:t>
      </w:r>
      <w:r w:rsidRPr="500BBC95">
        <w:rPr>
          <w:rFonts w:cs="Arial"/>
        </w:rPr>
        <w:t xml:space="preserve">be subject to the </w:t>
      </w:r>
      <w:r w:rsidR="00DD515C">
        <w:rPr>
          <w:rFonts w:cs="Arial"/>
        </w:rPr>
        <w:t xml:space="preserve">requirements of the </w:t>
      </w:r>
      <w:r w:rsidRPr="500BBC95">
        <w:rPr>
          <w:rFonts w:cs="Arial"/>
        </w:rPr>
        <w:t>ACMA</w:t>
      </w:r>
      <w:r w:rsidR="00285BE2">
        <w:rPr>
          <w:rFonts w:cs="Arial"/>
        </w:rPr>
        <w:t xml:space="preserve">’s </w:t>
      </w:r>
      <w:hyperlink r:id="rId55" w:history="1">
        <w:r w:rsidR="00DD515C" w:rsidRPr="00BB5ACF">
          <w:rPr>
            <w:rStyle w:val="Hyperlink"/>
          </w:rPr>
          <w:t>Telecommunications (Customer Equipment Safety) Technical Standard 2018</w:t>
        </w:r>
      </w:hyperlink>
      <w:r w:rsidRPr="500BBC95">
        <w:rPr>
          <w:rFonts w:cs="Arial"/>
        </w:rPr>
        <w:t>.</w:t>
      </w:r>
    </w:p>
    <w:p w14:paraId="2E8AC202" w14:textId="4498A807" w:rsidR="007B78DD" w:rsidRPr="007B78DD" w:rsidRDefault="007B78DD" w:rsidP="00E40CBB">
      <w:pPr>
        <w:rPr>
          <w:rFonts w:cs="Arial"/>
        </w:rPr>
      </w:pPr>
      <w:r w:rsidRPr="47BC630F">
        <w:rPr>
          <w:rFonts w:cs="Arial"/>
        </w:rPr>
        <w:t xml:space="preserve">A licensee who wishes to operate a </w:t>
      </w:r>
      <w:r w:rsidR="00A81413">
        <w:rPr>
          <w:rFonts w:cs="Arial"/>
        </w:rPr>
        <w:t xml:space="preserve">device </w:t>
      </w:r>
      <w:r w:rsidR="005E18FE">
        <w:rPr>
          <w:rFonts w:cs="Arial"/>
        </w:rPr>
        <w:t xml:space="preserve">that </w:t>
      </w:r>
      <w:r w:rsidR="00B76449">
        <w:rPr>
          <w:rFonts w:cs="Arial"/>
        </w:rPr>
        <w:t xml:space="preserve">does not comply with </w:t>
      </w:r>
      <w:r w:rsidR="001411DA">
        <w:rPr>
          <w:rFonts w:cs="Arial"/>
        </w:rPr>
        <w:t xml:space="preserve">an applicable radiocommunications </w:t>
      </w:r>
      <w:r w:rsidRPr="47BC630F">
        <w:rPr>
          <w:rFonts w:cs="Arial"/>
        </w:rPr>
        <w:t xml:space="preserve">standard under a spectrum licence must seek permission from </w:t>
      </w:r>
      <w:r w:rsidR="005E18FE">
        <w:rPr>
          <w:rFonts w:cs="Arial"/>
        </w:rPr>
        <w:t>us</w:t>
      </w:r>
      <w:r w:rsidRPr="47BC630F">
        <w:rPr>
          <w:rFonts w:cs="Arial"/>
        </w:rPr>
        <w:t xml:space="preserve">. These permits may be issued by the ACMA under </w:t>
      </w:r>
      <w:r w:rsidR="006E776E">
        <w:rPr>
          <w:rFonts w:cs="Arial"/>
        </w:rPr>
        <w:t>the provisions</w:t>
      </w:r>
      <w:r w:rsidRPr="47BC630F">
        <w:rPr>
          <w:rFonts w:cs="Arial"/>
        </w:rPr>
        <w:t xml:space="preserve"> of the </w:t>
      </w:r>
      <w:r w:rsidR="006E776E">
        <w:rPr>
          <w:rFonts w:cs="Arial"/>
        </w:rPr>
        <w:t>General Equipment Rules</w:t>
      </w:r>
      <w:r w:rsidRPr="47BC630F">
        <w:rPr>
          <w:rFonts w:cs="Arial"/>
        </w:rPr>
        <w:t>.</w:t>
      </w:r>
    </w:p>
    <w:p w14:paraId="416EE057" w14:textId="77777777" w:rsidR="007B78DD" w:rsidRPr="00E3715A" w:rsidRDefault="007B78DD" w:rsidP="00E40CBB">
      <w:pPr>
        <w:pStyle w:val="Heading2"/>
      </w:pPr>
      <w:bookmarkStart w:id="132" w:name="_Ref323305670"/>
      <w:bookmarkStart w:id="133" w:name="_Toc325970723"/>
      <w:bookmarkStart w:id="134" w:name="_Toc327278959"/>
      <w:bookmarkStart w:id="135" w:name="_Ref341792899"/>
      <w:bookmarkStart w:id="136" w:name="_Toc341966601"/>
      <w:bookmarkStart w:id="137" w:name="_Toc101444651"/>
      <w:bookmarkStart w:id="138" w:name="_Toc131603601"/>
      <w:r w:rsidRPr="00E3715A">
        <w:lastRenderedPageBreak/>
        <w:t>Accred</w:t>
      </w:r>
      <w:bookmarkStart w:id="139" w:name="spectrum_ap"/>
      <w:bookmarkEnd w:id="139"/>
      <w:r w:rsidRPr="00E3715A">
        <w:t xml:space="preserve">ited </w:t>
      </w:r>
      <w:r w:rsidRPr="007B78DD">
        <w:t>persons</w:t>
      </w:r>
      <w:bookmarkEnd w:id="132"/>
      <w:bookmarkEnd w:id="133"/>
      <w:bookmarkEnd w:id="134"/>
      <w:bookmarkEnd w:id="135"/>
      <w:bookmarkEnd w:id="136"/>
      <w:bookmarkEnd w:id="137"/>
      <w:bookmarkEnd w:id="138"/>
    </w:p>
    <w:p w14:paraId="24C253D1" w14:textId="6F24A71C" w:rsidR="007B78DD" w:rsidRPr="00E3715A" w:rsidRDefault="007B78DD" w:rsidP="00E40CBB">
      <w:pPr>
        <w:rPr>
          <w:rFonts w:cs="Arial"/>
        </w:rPr>
      </w:pPr>
      <w:r w:rsidRPr="00E3715A">
        <w:rPr>
          <w:rFonts w:cs="Arial"/>
        </w:rPr>
        <w:t xml:space="preserve">An accredited person is someone whom the ACMA has accredited to perform </w:t>
      </w:r>
      <w:r w:rsidR="00812D64">
        <w:rPr>
          <w:rFonts w:cs="Arial"/>
        </w:rPr>
        <w:t xml:space="preserve">frequency </w:t>
      </w:r>
      <w:r w:rsidR="00274387">
        <w:rPr>
          <w:rFonts w:cs="Arial"/>
        </w:rPr>
        <w:t xml:space="preserve">coordination and </w:t>
      </w:r>
      <w:r w:rsidR="00812D64">
        <w:rPr>
          <w:rFonts w:cs="Arial"/>
        </w:rPr>
        <w:t xml:space="preserve">assignment work </w:t>
      </w:r>
      <w:r w:rsidR="00274387" w:rsidRPr="00E3715A">
        <w:rPr>
          <w:rFonts w:cs="Arial"/>
        </w:rPr>
        <w:t xml:space="preserve">and emission level management </w:t>
      </w:r>
      <w:r w:rsidR="00974A4F">
        <w:rPr>
          <w:rFonts w:cs="Arial"/>
        </w:rPr>
        <w:t xml:space="preserve">activities in relation to </w:t>
      </w:r>
      <w:r w:rsidRPr="00E3715A">
        <w:rPr>
          <w:rFonts w:cs="Arial"/>
        </w:rPr>
        <w:t>radiocommunications licensing. Only an accredited person can issue the interference impact certificate or other certification that may be required before a transmitter can be registered for operation under a spectrum licence.</w:t>
      </w:r>
      <w:r w:rsidR="00F37D6F">
        <w:rPr>
          <w:rFonts w:cs="Arial"/>
        </w:rPr>
        <w:t xml:space="preserve"> </w:t>
      </w:r>
    </w:p>
    <w:p w14:paraId="4E162DC0" w14:textId="6BE3B574" w:rsidR="007B78DD" w:rsidRPr="00E3715A" w:rsidRDefault="007B78DD" w:rsidP="00E40CBB">
      <w:pPr>
        <w:spacing w:after="80"/>
        <w:rPr>
          <w:rFonts w:cs="Arial"/>
        </w:rPr>
      </w:pPr>
      <w:r w:rsidRPr="00E3715A">
        <w:rPr>
          <w:rFonts w:cs="Arial"/>
        </w:rPr>
        <w:t>The ACMA currently accredits persons to i</w:t>
      </w:r>
      <w:r>
        <w:rPr>
          <w:rFonts w:cs="Arial"/>
        </w:rPr>
        <w:t xml:space="preserve">ssue </w:t>
      </w:r>
      <w:r w:rsidR="005770B1">
        <w:rPr>
          <w:rFonts w:cs="Arial"/>
        </w:rPr>
        <w:t xml:space="preserve">2 </w:t>
      </w:r>
      <w:r>
        <w:rPr>
          <w:rFonts w:cs="Arial"/>
        </w:rPr>
        <w:t>kinds of certificates:</w:t>
      </w:r>
    </w:p>
    <w:p w14:paraId="43E5FAC3" w14:textId="2F15A0A1" w:rsidR="007B78DD" w:rsidRPr="00E3715A" w:rsidRDefault="007B78DD" w:rsidP="00E40CBB">
      <w:pPr>
        <w:pStyle w:val="ListBullet"/>
        <w:rPr>
          <w:rFonts w:cs="Arial"/>
        </w:rPr>
      </w:pPr>
      <w:r w:rsidRPr="00E3715A">
        <w:rPr>
          <w:rFonts w:cs="Arial"/>
        </w:rPr>
        <w:t xml:space="preserve">frequency assignment certificates under subsection 100(4A) of the </w:t>
      </w:r>
      <w:r w:rsidR="002B2247">
        <w:rPr>
          <w:rFonts w:cs="Arial"/>
        </w:rPr>
        <w:t>Act</w:t>
      </w:r>
      <w:r w:rsidRPr="00E3715A">
        <w:rPr>
          <w:rFonts w:cs="Arial"/>
        </w:rPr>
        <w:t>, relating to the operation of radiocommunications transmitters and receivers covered under apparatus licensing arrangements</w:t>
      </w:r>
    </w:p>
    <w:p w14:paraId="68D1E6C6" w14:textId="696A586E" w:rsidR="007B78DD" w:rsidRPr="00E3715A" w:rsidRDefault="007B78DD" w:rsidP="00E40CBB">
      <w:pPr>
        <w:pStyle w:val="ListBullet"/>
        <w:spacing w:after="240"/>
        <w:rPr>
          <w:rFonts w:cs="Arial"/>
        </w:rPr>
      </w:pPr>
      <w:r w:rsidRPr="00E3715A">
        <w:rPr>
          <w:rFonts w:cs="Arial"/>
        </w:rPr>
        <w:t xml:space="preserve">interference impact certificates (IIC) under </w:t>
      </w:r>
      <w:r w:rsidR="00002FB3">
        <w:rPr>
          <w:rFonts w:cs="Arial"/>
        </w:rPr>
        <w:t>sub</w:t>
      </w:r>
      <w:r w:rsidRPr="00E3715A">
        <w:rPr>
          <w:rFonts w:cs="Arial"/>
        </w:rPr>
        <w:t xml:space="preserve">section 145(3) of the </w:t>
      </w:r>
      <w:r w:rsidR="002B2247">
        <w:rPr>
          <w:rFonts w:cs="Arial"/>
        </w:rPr>
        <w:t>Act</w:t>
      </w:r>
      <w:r w:rsidRPr="00E3715A">
        <w:rPr>
          <w:rFonts w:cs="Arial"/>
        </w:rPr>
        <w:t>, relating to the operation of radiocommunications transmitters in spectrum</w:t>
      </w:r>
      <w:r>
        <w:rPr>
          <w:rFonts w:cs="Arial"/>
        </w:rPr>
        <w:t xml:space="preserve"> subject to spectrum licensing.</w:t>
      </w:r>
    </w:p>
    <w:p w14:paraId="669CB1E0" w14:textId="3DD85733" w:rsidR="00164E60" w:rsidRDefault="00164E60" w:rsidP="00E40CBB">
      <w:pPr>
        <w:rPr>
          <w:rFonts w:cs="Arial"/>
        </w:rPr>
      </w:pPr>
      <w:r>
        <w:rPr>
          <w:rFonts w:cs="Arial"/>
        </w:rPr>
        <w:t xml:space="preserve">Further </w:t>
      </w:r>
      <w:r w:rsidR="00DE15DB">
        <w:rPr>
          <w:rFonts w:cs="Arial"/>
        </w:rPr>
        <w:t>information</w:t>
      </w:r>
      <w:r>
        <w:rPr>
          <w:rFonts w:cs="Arial"/>
        </w:rPr>
        <w:t xml:space="preserve"> on accredited persons, including a list of accredited persons </w:t>
      </w:r>
      <w:r w:rsidR="000D0799">
        <w:rPr>
          <w:rFonts w:cs="Arial"/>
        </w:rPr>
        <w:t xml:space="preserve">that </w:t>
      </w:r>
      <w:r>
        <w:rPr>
          <w:rFonts w:cs="Arial"/>
        </w:rPr>
        <w:t xml:space="preserve">licensees can seek the services of, is </w:t>
      </w:r>
      <w:r w:rsidR="00DE15DB">
        <w:rPr>
          <w:rFonts w:cs="Arial"/>
        </w:rPr>
        <w:t>available</w:t>
      </w:r>
      <w:r>
        <w:rPr>
          <w:rFonts w:cs="Arial"/>
        </w:rPr>
        <w:t xml:space="preserve"> on the </w:t>
      </w:r>
      <w:hyperlink r:id="rId56" w:history="1">
        <w:r w:rsidRPr="00DE15DB">
          <w:rPr>
            <w:rStyle w:val="Hyperlink"/>
            <w:rFonts w:cs="Arial"/>
          </w:rPr>
          <w:t>ACMA website</w:t>
        </w:r>
      </w:hyperlink>
      <w:r>
        <w:rPr>
          <w:rFonts w:cs="Arial"/>
        </w:rPr>
        <w:t xml:space="preserve">. </w:t>
      </w:r>
    </w:p>
    <w:p w14:paraId="578F3543" w14:textId="11A3469C" w:rsidR="007B78DD" w:rsidRDefault="007B78DD" w:rsidP="00E40CBB">
      <w:pPr>
        <w:rPr>
          <w:rFonts w:cs="Arial"/>
        </w:rPr>
      </w:pPr>
      <w:r w:rsidRPr="00E3715A">
        <w:rPr>
          <w:rFonts w:cs="Arial"/>
        </w:rPr>
        <w:t xml:space="preserve">Anyone with the appropriate qualifications and experience </w:t>
      </w:r>
      <w:r w:rsidR="001D1015">
        <w:rPr>
          <w:rFonts w:cs="Arial"/>
        </w:rPr>
        <w:t>may also</w:t>
      </w:r>
      <w:r w:rsidRPr="00E3715A">
        <w:rPr>
          <w:rFonts w:cs="Arial"/>
        </w:rPr>
        <w:t xml:space="preserve"> apply to the ACMA for accreditation. </w:t>
      </w:r>
      <w:r w:rsidR="005E18FE">
        <w:rPr>
          <w:rFonts w:cs="Arial"/>
        </w:rPr>
        <w:t>We</w:t>
      </w:r>
      <w:r w:rsidRPr="00E3715A">
        <w:rPr>
          <w:rFonts w:cs="Arial"/>
        </w:rPr>
        <w:t xml:space="preserve"> provide</w:t>
      </w:r>
      <w:r>
        <w:rPr>
          <w:rFonts w:cs="Arial"/>
        </w:rPr>
        <w:t xml:space="preserve"> </w:t>
      </w:r>
      <w:hyperlink r:id="rId57" w:history="1">
        <w:r w:rsidRPr="00515763">
          <w:rPr>
            <w:rStyle w:val="Hyperlink"/>
            <w:rFonts w:cs="Arial"/>
          </w:rPr>
          <w:t xml:space="preserve">information for accredited persons </w:t>
        </w:r>
      </w:hyperlink>
      <w:r>
        <w:rPr>
          <w:rFonts w:cs="Arial"/>
        </w:rPr>
        <w:t xml:space="preserve">on </w:t>
      </w:r>
      <w:r w:rsidR="005E18FE">
        <w:rPr>
          <w:rFonts w:cs="Arial"/>
        </w:rPr>
        <w:t xml:space="preserve">our </w:t>
      </w:r>
      <w:r>
        <w:rPr>
          <w:rFonts w:cs="Arial"/>
        </w:rPr>
        <w:t>website.</w:t>
      </w:r>
      <w:r w:rsidR="00E3566B">
        <w:rPr>
          <w:rFonts w:cs="Arial"/>
        </w:rPr>
        <w:t xml:space="preserve"> </w:t>
      </w:r>
    </w:p>
    <w:p w14:paraId="40B04E29" w14:textId="13BAB165" w:rsidR="00327469" w:rsidRDefault="00F1456A" w:rsidP="00E40CBB">
      <w:pPr>
        <w:pStyle w:val="Heading1"/>
      </w:pPr>
      <w:bookmarkStart w:id="140" w:name="_Toc131603602"/>
      <w:r>
        <w:lastRenderedPageBreak/>
        <w:t>Managing</w:t>
      </w:r>
      <w:r w:rsidR="00DF5FDC">
        <w:t xml:space="preserve"> your licence</w:t>
      </w:r>
      <w:bookmarkEnd w:id="140"/>
    </w:p>
    <w:p w14:paraId="76C226ED" w14:textId="0F3A4D73" w:rsidR="00C151F7" w:rsidRDefault="00C151F7" w:rsidP="00E40CBB">
      <w:r>
        <w:t xml:space="preserve">The </w:t>
      </w:r>
      <w:r w:rsidR="005E18FE">
        <w:rPr>
          <w:rFonts w:cs="Arial"/>
        </w:rPr>
        <w:t xml:space="preserve">Radiocommunications </w:t>
      </w:r>
      <w:r w:rsidR="002B2247">
        <w:t>Act</w:t>
      </w:r>
      <w:r>
        <w:t xml:space="preserve"> </w:t>
      </w:r>
      <w:r w:rsidR="000B7D20">
        <w:t xml:space="preserve">outlines </w:t>
      </w:r>
      <w:r>
        <w:t xml:space="preserve">arrangements for the renewal, resumption, suspension, and trading of spectrum licences. </w:t>
      </w:r>
    </w:p>
    <w:p w14:paraId="44C459F4" w14:textId="5D6DEEF4" w:rsidR="001777F5" w:rsidRPr="00E65FCF" w:rsidRDefault="00220105" w:rsidP="00E40CBB">
      <w:pPr>
        <w:pStyle w:val="Heading2"/>
      </w:pPr>
      <w:bookmarkStart w:id="141" w:name="_Toc101444653"/>
      <w:bookmarkStart w:id="142" w:name="_Toc131603603"/>
      <w:r>
        <w:t xml:space="preserve">Licence </w:t>
      </w:r>
      <w:r w:rsidR="00F75246">
        <w:t xml:space="preserve">expiry and </w:t>
      </w:r>
      <w:r>
        <w:t>r</w:t>
      </w:r>
      <w:r w:rsidR="001777F5" w:rsidRPr="00E65FCF">
        <w:t>enewal</w:t>
      </w:r>
      <w:bookmarkEnd w:id="141"/>
      <w:bookmarkEnd w:id="142"/>
    </w:p>
    <w:p w14:paraId="332378D6" w14:textId="27496FB3" w:rsidR="00A43833" w:rsidRDefault="001777F5" w:rsidP="00E40CBB">
      <w:r w:rsidRPr="0038640E">
        <w:t xml:space="preserve">Unlike apparatus licences, </w:t>
      </w:r>
      <w:r w:rsidR="00C67E0B">
        <w:t>spectrum licences</w:t>
      </w:r>
      <w:r w:rsidRPr="0038640E">
        <w:t xml:space="preserve"> are not issued with a presumption of renewal. </w:t>
      </w:r>
    </w:p>
    <w:p w14:paraId="475F526D" w14:textId="7EDADDE9" w:rsidR="001777F5" w:rsidRPr="0038640E" w:rsidRDefault="00BD2EF1" w:rsidP="00E40CBB">
      <w:pPr>
        <w:pStyle w:val="Paragraph"/>
      </w:pPr>
      <w:r>
        <w:t xml:space="preserve">Spectrum licences issued after </w:t>
      </w:r>
      <w:r w:rsidR="008D43A6">
        <w:t>June 2021</w:t>
      </w:r>
      <w:r w:rsidR="007944D4">
        <w:t xml:space="preserve"> </w:t>
      </w:r>
      <w:r w:rsidR="00FD0CC3">
        <w:t>include a renewal statement in accordance with</w:t>
      </w:r>
      <w:r w:rsidR="001777F5" w:rsidRPr="0038640E">
        <w:t xml:space="preserve"> </w:t>
      </w:r>
      <w:r w:rsidR="009235BE">
        <w:t>s</w:t>
      </w:r>
      <w:r w:rsidR="001777F5" w:rsidRPr="0038640E">
        <w:t xml:space="preserve">ection 65A of the </w:t>
      </w:r>
      <w:r w:rsidR="005E18FE">
        <w:t xml:space="preserve">Radiocommunications </w:t>
      </w:r>
      <w:r w:rsidR="001777F5" w:rsidRPr="0038640E">
        <w:t>Act</w:t>
      </w:r>
      <w:r w:rsidR="00C15B42">
        <w:t xml:space="preserve">. </w:t>
      </w:r>
      <w:r w:rsidR="002F1820">
        <w:t>The</w:t>
      </w:r>
      <w:r w:rsidR="00C15B42">
        <w:t xml:space="preserve"> section on renewal statements in</w:t>
      </w:r>
      <w:r w:rsidR="005E18FE">
        <w:t xml:space="preserve"> the</w:t>
      </w:r>
      <w:r w:rsidR="00C15B42">
        <w:t xml:space="preserve"> </w:t>
      </w:r>
      <w:hyperlink r:id="rId58" w:history="1">
        <w:r w:rsidR="00E168BE">
          <w:rPr>
            <w:rStyle w:val="Hyperlink"/>
          </w:rPr>
          <w:t xml:space="preserve">licensing and allocation </w:t>
        </w:r>
        <w:r w:rsidR="00C15B42" w:rsidRPr="00792248">
          <w:rPr>
            <w:rStyle w:val="Hyperlink"/>
          </w:rPr>
          <w:t>information paper</w:t>
        </w:r>
      </w:hyperlink>
      <w:r w:rsidR="00C15B42">
        <w:t xml:space="preserve"> </w:t>
      </w:r>
      <w:r w:rsidR="002F1820">
        <w:t xml:space="preserve">includes </w:t>
      </w:r>
      <w:r w:rsidR="005E18FE">
        <w:t>our</w:t>
      </w:r>
      <w:r w:rsidR="00B6554D">
        <w:t xml:space="preserve"> policy</w:t>
      </w:r>
      <w:r w:rsidR="00C15B42">
        <w:t xml:space="preserve"> on how we </w:t>
      </w:r>
      <w:r w:rsidR="001F6194">
        <w:t>intend to</w:t>
      </w:r>
      <w:r w:rsidR="00C15B42">
        <w:t xml:space="preserve"> use renewal statements for spectrum licences.</w:t>
      </w:r>
    </w:p>
    <w:p w14:paraId="320D0968" w14:textId="5A62CF9C" w:rsidR="00813832" w:rsidRDefault="0041596A" w:rsidP="00E40CBB">
      <w:pPr>
        <w:pStyle w:val="Paragraph"/>
      </w:pPr>
      <w:r>
        <w:t>A</w:t>
      </w:r>
      <w:r w:rsidR="00BE031C">
        <w:t xml:space="preserve">ll </w:t>
      </w:r>
      <w:r>
        <w:t xml:space="preserve">expiring </w:t>
      </w:r>
      <w:r w:rsidR="00BE031C">
        <w:t xml:space="preserve">spectrum licences (regardless of when they were issued) are dealt with in accordance with Division 3A of Part 3.2 of the </w:t>
      </w:r>
      <w:r w:rsidR="005E18FE">
        <w:t xml:space="preserve">Radiocommunications </w:t>
      </w:r>
      <w:r w:rsidR="00BE031C">
        <w:t>Act.</w:t>
      </w:r>
      <w:r w:rsidR="001777F5" w:rsidRPr="0038640E">
        <w:t xml:space="preserve"> </w:t>
      </w:r>
      <w:r w:rsidR="00AF3C8F">
        <w:t>That is, the ACMA will make a decision on whether to renew a spectrum licence based on applications for renewal made by licensees.</w:t>
      </w:r>
      <w:r w:rsidR="009557F2">
        <w:t xml:space="preserve"> Licensees are responsible for applying to have their expiring licences renewed within the applicable application period. </w:t>
      </w:r>
    </w:p>
    <w:p w14:paraId="2EE9F910" w14:textId="137CDE33" w:rsidR="001777F5" w:rsidRPr="0038640E" w:rsidRDefault="008F48D7" w:rsidP="00E40CBB">
      <w:pPr>
        <w:pStyle w:val="Paragraph"/>
      </w:pPr>
      <w:r>
        <w:t xml:space="preserve">If </w:t>
      </w:r>
      <w:r w:rsidR="005E18FE">
        <w:t>we</w:t>
      </w:r>
      <w:r>
        <w:t xml:space="preserve"> decide not to renew a licence, we will further consider appropriate arrangements for the spectrum in accordance with our statutory </w:t>
      </w:r>
      <w:r w:rsidR="0043515C">
        <w:t xml:space="preserve">obligations </w:t>
      </w:r>
      <w:r>
        <w:t>and broader government policy considerations</w:t>
      </w:r>
      <w:r w:rsidR="005E18FE">
        <w:t>. S</w:t>
      </w:r>
      <w:r w:rsidR="00F333F4">
        <w:t xml:space="preserve">ee also the section on our ‘Approach to decision making’ in </w:t>
      </w:r>
      <w:r w:rsidR="004B2B62">
        <w:br/>
      </w:r>
      <w:r w:rsidR="00F333F4">
        <w:t xml:space="preserve">the </w:t>
      </w:r>
      <w:r w:rsidR="00AF40F4">
        <w:t xml:space="preserve">licensing and allocation </w:t>
      </w:r>
      <w:r w:rsidR="00F333F4">
        <w:t>information paper</w:t>
      </w:r>
      <w:r>
        <w:t xml:space="preserve">. This may lead to re-planning or </w:t>
      </w:r>
      <w:r w:rsidR="004B2B62">
        <w:br/>
      </w:r>
      <w:r>
        <w:t>re-allocating the spectrum.</w:t>
      </w:r>
    </w:p>
    <w:p w14:paraId="4B1FA8A8" w14:textId="6A34A7DD" w:rsidR="006B68AD" w:rsidRPr="006E5AEA" w:rsidRDefault="006B68AD" w:rsidP="00E40CBB">
      <w:pPr>
        <w:pStyle w:val="Heading2"/>
      </w:pPr>
      <w:bookmarkStart w:id="143" w:name="_Toc101444654"/>
      <w:bookmarkStart w:id="144" w:name="_Toc131603604"/>
      <w:r w:rsidRPr="006E5AEA">
        <w:t>Licence sanctions</w:t>
      </w:r>
      <w:bookmarkEnd w:id="143"/>
      <w:bookmarkEnd w:id="144"/>
    </w:p>
    <w:p w14:paraId="690A7E45" w14:textId="7A0A5973" w:rsidR="00007245" w:rsidRDefault="007C13B2" w:rsidP="00E40CBB">
      <w:pPr>
        <w:pStyle w:val="Paragraph"/>
      </w:pPr>
      <w:r>
        <w:t xml:space="preserve">Division 3 of Part 3.2 of the </w:t>
      </w:r>
      <w:r w:rsidR="005E18FE">
        <w:t xml:space="preserve">Radiocommunications </w:t>
      </w:r>
      <w:r>
        <w:t>Act provides for the suspension and/or cancellation of spectrum licences.</w:t>
      </w:r>
    </w:p>
    <w:p w14:paraId="189618E0" w14:textId="0DED6455" w:rsidR="006B68AD" w:rsidRPr="006E5AEA" w:rsidRDefault="006B68AD" w:rsidP="00E40CBB">
      <w:pPr>
        <w:spacing w:after="80"/>
        <w:rPr>
          <w:rFonts w:cs="Arial"/>
        </w:rPr>
      </w:pPr>
      <w:r w:rsidRPr="006E5AEA">
        <w:rPr>
          <w:rFonts w:cs="Arial"/>
        </w:rPr>
        <w:t xml:space="preserve">The ACMA may suspend or cancel a spectrum licence if </w:t>
      </w:r>
      <w:r w:rsidR="005E18FE">
        <w:rPr>
          <w:rFonts w:cs="Arial"/>
        </w:rPr>
        <w:t xml:space="preserve">we are </w:t>
      </w:r>
      <w:r w:rsidRPr="006E5AEA">
        <w:rPr>
          <w:rFonts w:cs="Arial"/>
        </w:rPr>
        <w:t>satisfied that a licensee or an authorised third</w:t>
      </w:r>
      <w:r w:rsidR="006A40A5">
        <w:rPr>
          <w:rFonts w:cs="Arial"/>
        </w:rPr>
        <w:t>-</w:t>
      </w:r>
      <w:r w:rsidRPr="006E5AEA">
        <w:rPr>
          <w:rFonts w:cs="Arial"/>
        </w:rPr>
        <w:t>party has either:</w:t>
      </w:r>
    </w:p>
    <w:p w14:paraId="51451175" w14:textId="4A5F4DAC" w:rsidR="006B68AD" w:rsidRPr="006E5AEA" w:rsidRDefault="00CE57C0" w:rsidP="00E40CBB">
      <w:pPr>
        <w:pStyle w:val="ListBullet"/>
        <w:rPr>
          <w:rFonts w:cs="Arial"/>
        </w:rPr>
      </w:pPr>
      <w:r>
        <w:rPr>
          <w:rFonts w:cs="Arial"/>
        </w:rPr>
        <w:t>contravened</w:t>
      </w:r>
      <w:r w:rsidR="006B68AD" w:rsidRPr="006E5AEA">
        <w:rPr>
          <w:rFonts w:cs="Arial"/>
        </w:rPr>
        <w:t xml:space="preserve"> a licence condition or the </w:t>
      </w:r>
      <w:r w:rsidR="002B2247">
        <w:rPr>
          <w:rFonts w:cs="Arial"/>
        </w:rPr>
        <w:t>Act</w:t>
      </w:r>
    </w:p>
    <w:p w14:paraId="27D43C18" w14:textId="77777777" w:rsidR="005E18FE" w:rsidRDefault="006B68AD" w:rsidP="007F7F1D">
      <w:pPr>
        <w:pStyle w:val="ListBullet"/>
        <w:rPr>
          <w:rFonts w:cs="Arial"/>
        </w:rPr>
      </w:pPr>
      <w:r w:rsidRPr="006E5AEA">
        <w:rPr>
          <w:rFonts w:cs="Arial"/>
        </w:rPr>
        <w:t>operated a radiocommunications device under the licence, or purportedly under the licence, in breach of any other Commonwealth, state or territory law, whether written or unwritten</w:t>
      </w:r>
    </w:p>
    <w:p w14:paraId="61BB854D" w14:textId="61A8DECC" w:rsidR="006B68AD" w:rsidRPr="006E5AEA" w:rsidRDefault="006B68AD" w:rsidP="00E40CBB">
      <w:pPr>
        <w:pStyle w:val="ListBullet"/>
        <w:spacing w:after="240"/>
        <w:rPr>
          <w:rFonts w:cs="Arial"/>
        </w:rPr>
      </w:pPr>
      <w:r w:rsidRPr="006E5AEA">
        <w:rPr>
          <w:rFonts w:cs="Arial"/>
        </w:rPr>
        <w:t xml:space="preserve">has operated a radiocommunications device in the course of contravening such </w:t>
      </w:r>
      <w:r w:rsidR="005E18FE">
        <w:rPr>
          <w:rFonts w:cs="Arial"/>
        </w:rPr>
        <w:br/>
      </w:r>
      <w:r w:rsidRPr="006E5AEA">
        <w:rPr>
          <w:rFonts w:cs="Arial"/>
        </w:rPr>
        <w:t>a law.</w:t>
      </w:r>
    </w:p>
    <w:p w14:paraId="7CB8A39E" w14:textId="13973108" w:rsidR="006B68AD" w:rsidRPr="006E5AEA" w:rsidRDefault="00D50438" w:rsidP="00E40CBB">
      <w:pPr>
        <w:rPr>
          <w:rFonts w:cs="Arial"/>
        </w:rPr>
      </w:pPr>
      <w:r>
        <w:rPr>
          <w:rFonts w:cs="Arial"/>
        </w:rPr>
        <w:t>A spectrum licence will be suspended for a maximum of 28 days,</w:t>
      </w:r>
      <w:r w:rsidR="006B68AD" w:rsidRPr="006E5AEA">
        <w:rPr>
          <w:rFonts w:cs="Arial"/>
        </w:rPr>
        <w:t xml:space="preserve"> unless proceedings for an offence against the </w:t>
      </w:r>
      <w:r w:rsidR="005E18FE">
        <w:rPr>
          <w:rFonts w:cs="Arial"/>
        </w:rPr>
        <w:t xml:space="preserve">Radiocommunications </w:t>
      </w:r>
      <w:r w:rsidR="002B2247">
        <w:rPr>
          <w:rFonts w:cs="Arial"/>
        </w:rPr>
        <w:t>Act</w:t>
      </w:r>
      <w:r w:rsidR="006B68AD" w:rsidRPr="006E5AEA">
        <w:rPr>
          <w:rFonts w:cs="Arial"/>
        </w:rPr>
        <w:t xml:space="preserve"> are instituted.</w:t>
      </w:r>
    </w:p>
    <w:p w14:paraId="3FF2E20B" w14:textId="1D37D058" w:rsidR="006B68AD" w:rsidRPr="006E5AEA" w:rsidRDefault="006B68AD" w:rsidP="00E40CBB">
      <w:pPr>
        <w:rPr>
          <w:rFonts w:cs="Arial"/>
        </w:rPr>
      </w:pPr>
      <w:r w:rsidRPr="006E5AEA">
        <w:rPr>
          <w:rFonts w:cs="Arial"/>
        </w:rPr>
        <w:t xml:space="preserve">An affected licensee may apply to the ACMA under section 285 of the </w:t>
      </w:r>
      <w:r w:rsidR="002B2247">
        <w:rPr>
          <w:rFonts w:cs="Arial"/>
        </w:rPr>
        <w:t>Act</w:t>
      </w:r>
      <w:r w:rsidRPr="006E5AEA">
        <w:rPr>
          <w:rFonts w:cs="Arial"/>
        </w:rPr>
        <w:t xml:space="preserve"> for reconsideration of a decision to suspend or cancel a spectrum licence.</w:t>
      </w:r>
    </w:p>
    <w:p w14:paraId="3909AD3C" w14:textId="57ABE1A2" w:rsidR="006B68AD" w:rsidRPr="006E5AEA" w:rsidRDefault="006B68AD" w:rsidP="00E40CBB">
      <w:pPr>
        <w:rPr>
          <w:rFonts w:cs="Arial"/>
        </w:rPr>
      </w:pPr>
      <w:r w:rsidRPr="006E5AEA">
        <w:rPr>
          <w:rFonts w:cs="Arial"/>
        </w:rPr>
        <w:t>In the event that a licence condition of any licence</w:t>
      </w:r>
      <w:r w:rsidR="003A0BDF">
        <w:rPr>
          <w:rFonts w:cs="Arial"/>
        </w:rPr>
        <w:t>,</w:t>
      </w:r>
      <w:r w:rsidRPr="006E5AEA">
        <w:rPr>
          <w:rFonts w:cs="Arial"/>
        </w:rPr>
        <w:t xml:space="preserve"> </w:t>
      </w:r>
      <w:r w:rsidR="003A0BDF">
        <w:rPr>
          <w:rFonts w:cs="Arial"/>
        </w:rPr>
        <w:t>whether</w:t>
      </w:r>
      <w:r w:rsidRPr="006E5AEA">
        <w:rPr>
          <w:rFonts w:cs="Arial"/>
        </w:rPr>
        <w:t xml:space="preserve"> apparatus, class or spectrum licence</w:t>
      </w:r>
      <w:r w:rsidR="0049018B">
        <w:rPr>
          <w:rFonts w:cs="Arial"/>
        </w:rPr>
        <w:t>,</w:t>
      </w:r>
      <w:r w:rsidRPr="006E5AEA">
        <w:rPr>
          <w:rFonts w:cs="Arial"/>
        </w:rPr>
        <w:t xml:space="preserve"> is </w:t>
      </w:r>
      <w:r w:rsidR="00E2145D">
        <w:rPr>
          <w:rFonts w:cs="Arial"/>
        </w:rPr>
        <w:t>contravened</w:t>
      </w:r>
      <w:r w:rsidRPr="006E5AEA">
        <w:rPr>
          <w:rFonts w:cs="Arial"/>
        </w:rPr>
        <w:t xml:space="preserve"> by a licensee or an authorised third</w:t>
      </w:r>
      <w:r w:rsidR="00CB7F1D">
        <w:rPr>
          <w:rFonts w:cs="Arial"/>
        </w:rPr>
        <w:t>-</w:t>
      </w:r>
      <w:r w:rsidRPr="006E5AEA">
        <w:rPr>
          <w:rFonts w:cs="Arial"/>
        </w:rPr>
        <w:t>party, licensees who suffer interference as a result may also be able to pursue a remedy through the courts</w:t>
      </w:r>
      <w:r w:rsidR="005E18FE">
        <w:rPr>
          <w:rFonts w:cs="Arial"/>
        </w:rPr>
        <w:t>. This is</w:t>
      </w:r>
      <w:r w:rsidRPr="006E5AEA">
        <w:rPr>
          <w:rFonts w:cs="Arial"/>
        </w:rPr>
        <w:t xml:space="preserve"> by undertaking civil proceedings </w:t>
      </w:r>
      <w:r w:rsidR="009C2C6F">
        <w:rPr>
          <w:rFonts w:cs="Arial"/>
        </w:rPr>
        <w:t>in accordance with</w:t>
      </w:r>
      <w:r w:rsidR="007B79FB">
        <w:rPr>
          <w:rFonts w:cs="Arial"/>
        </w:rPr>
        <w:t xml:space="preserve"> </w:t>
      </w:r>
      <w:r w:rsidRPr="006E5AEA">
        <w:rPr>
          <w:rFonts w:cs="Arial"/>
        </w:rPr>
        <w:t xml:space="preserve">section 50 of </w:t>
      </w:r>
      <w:r w:rsidR="005E18FE">
        <w:rPr>
          <w:rFonts w:cs="Arial"/>
        </w:rPr>
        <w:br/>
      </w:r>
      <w:r w:rsidRPr="006E5AEA">
        <w:rPr>
          <w:rFonts w:cs="Arial"/>
        </w:rPr>
        <w:t xml:space="preserve">the </w:t>
      </w:r>
      <w:r w:rsidR="005E18FE">
        <w:rPr>
          <w:rFonts w:cs="Arial"/>
        </w:rPr>
        <w:t xml:space="preserve">Radiocommunications </w:t>
      </w:r>
      <w:r w:rsidR="002B2247">
        <w:rPr>
          <w:rFonts w:cs="Arial"/>
        </w:rPr>
        <w:t>Act</w:t>
      </w:r>
      <w:r w:rsidRPr="006E5AEA">
        <w:rPr>
          <w:rFonts w:cs="Arial"/>
        </w:rPr>
        <w:t>.</w:t>
      </w:r>
    </w:p>
    <w:p w14:paraId="4347BB80" w14:textId="77777777" w:rsidR="006B68AD" w:rsidRPr="006E5AEA" w:rsidRDefault="006B68AD" w:rsidP="00E40CBB">
      <w:pPr>
        <w:pStyle w:val="Heading2"/>
      </w:pPr>
      <w:bookmarkStart w:id="145" w:name="_Toc101444655"/>
      <w:bookmarkStart w:id="146" w:name="_Toc131603605"/>
      <w:r w:rsidRPr="006E5AEA">
        <w:lastRenderedPageBreak/>
        <w:t>Licence resumption</w:t>
      </w:r>
      <w:bookmarkEnd w:id="145"/>
      <w:bookmarkEnd w:id="146"/>
    </w:p>
    <w:p w14:paraId="34188DD5" w14:textId="69057E2F" w:rsidR="00EC7508" w:rsidRDefault="00D02BBC" w:rsidP="00E40CBB">
      <w:pPr>
        <w:pStyle w:val="Paragraphbeforelist"/>
      </w:pPr>
      <w:r>
        <w:t xml:space="preserve">The ACMA may resume </w:t>
      </w:r>
      <w:r w:rsidR="00144D34">
        <w:t xml:space="preserve">spectrum </w:t>
      </w:r>
      <w:r>
        <w:t>licen</w:t>
      </w:r>
      <w:r w:rsidR="009C2875">
        <w:t xml:space="preserve">ces, causing the licences </w:t>
      </w:r>
      <w:r w:rsidR="00144D34">
        <w:t xml:space="preserve">to cease </w:t>
      </w:r>
      <w:r w:rsidR="00774639">
        <w:t xml:space="preserve">having </w:t>
      </w:r>
      <w:r w:rsidR="00144D34">
        <w:t xml:space="preserve">effect, in accordance with Division 6 of Part 3.2 of the </w:t>
      </w:r>
      <w:r w:rsidR="005E18FE">
        <w:t xml:space="preserve">Radiocommunications </w:t>
      </w:r>
      <w:r w:rsidR="00144D34">
        <w:t>Act.</w:t>
      </w:r>
      <w:r w:rsidR="006B68AD" w:rsidRPr="006E5AEA">
        <w:t xml:space="preserve"> </w:t>
      </w:r>
      <w:r w:rsidR="00144D34">
        <w:t>We</w:t>
      </w:r>
      <w:r w:rsidR="006B68AD" w:rsidRPr="006E5AEA">
        <w:t xml:space="preserve"> can </w:t>
      </w:r>
      <w:r w:rsidR="00EC7508">
        <w:t>either:</w:t>
      </w:r>
    </w:p>
    <w:p w14:paraId="4B6AEB44" w14:textId="2E533D5C" w:rsidR="00DA1AA6" w:rsidRDefault="006B68AD" w:rsidP="00E40CBB">
      <w:pPr>
        <w:pStyle w:val="Bulletlevel1"/>
      </w:pPr>
      <w:r w:rsidRPr="006E5AEA">
        <w:t xml:space="preserve">resume spectrum licences by agreement </w:t>
      </w:r>
      <w:r w:rsidR="00EC7508">
        <w:t>with the licensee</w:t>
      </w:r>
    </w:p>
    <w:p w14:paraId="799ECBFD" w14:textId="259455B3" w:rsidR="00144D34" w:rsidRPr="006E5AEA" w:rsidRDefault="006B68AD" w:rsidP="00E40CBB">
      <w:pPr>
        <w:pStyle w:val="Bulletlevel1last"/>
      </w:pPr>
      <w:r>
        <w:t>with the minister’s approval, by compulsory process subject to payment of just compensation by the Commonwealth</w:t>
      </w:r>
      <w:r w:rsidR="00E25C4E">
        <w:t>.</w:t>
      </w:r>
    </w:p>
    <w:p w14:paraId="3A831050" w14:textId="77777777" w:rsidR="00B87B95" w:rsidRPr="00E3715A" w:rsidRDefault="00B87B95" w:rsidP="00E40CBB">
      <w:pPr>
        <w:pStyle w:val="Heading2"/>
      </w:pPr>
      <w:bookmarkStart w:id="147" w:name="_Ref302481547"/>
      <w:bookmarkStart w:id="148" w:name="_Ref302481558"/>
      <w:bookmarkStart w:id="149" w:name="_Toc303000272"/>
      <w:bookmarkStart w:id="150" w:name="_Ref325108041"/>
      <w:bookmarkStart w:id="151" w:name="_Ref325108475"/>
      <w:bookmarkStart w:id="152" w:name="_Toc325970719"/>
      <w:bookmarkStart w:id="153" w:name="_Toc327278955"/>
      <w:bookmarkStart w:id="154" w:name="_Toc341966597"/>
      <w:bookmarkStart w:id="155" w:name="_Toc101444656"/>
      <w:bookmarkStart w:id="156" w:name="_Toc131603606"/>
      <w:r w:rsidRPr="00E3715A">
        <w:t xml:space="preserve">Spectrum </w:t>
      </w:r>
      <w:r w:rsidRPr="004A7A2E">
        <w:t>trading</w:t>
      </w:r>
      <w:bookmarkEnd w:id="147"/>
      <w:bookmarkEnd w:id="148"/>
      <w:bookmarkEnd w:id="149"/>
      <w:bookmarkEnd w:id="150"/>
      <w:bookmarkEnd w:id="151"/>
      <w:bookmarkEnd w:id="152"/>
      <w:bookmarkEnd w:id="153"/>
      <w:bookmarkEnd w:id="154"/>
      <w:bookmarkEnd w:id="155"/>
      <w:bookmarkEnd w:id="156"/>
    </w:p>
    <w:p w14:paraId="2542BC03" w14:textId="15E050A8" w:rsidR="004A7A2E" w:rsidRPr="004A7A2E" w:rsidRDefault="004A7A2E" w:rsidP="00E40CBB">
      <w:pPr>
        <w:pStyle w:val="Paragraph"/>
        <w:rPr>
          <w:szCs w:val="20"/>
        </w:rPr>
      </w:pPr>
      <w:r w:rsidRPr="004A7A2E">
        <w:t xml:space="preserve">Division 5 of Part 3.2 of the </w:t>
      </w:r>
      <w:r w:rsidR="00CE34B9">
        <w:t xml:space="preserve">Radiocommunications </w:t>
      </w:r>
      <w:r w:rsidR="002B2247">
        <w:t>Act</w:t>
      </w:r>
      <w:r w:rsidRPr="004A7A2E">
        <w:t xml:space="preserve"> provides the legislative framework for trading of spectrum licences. Spectrum licence trades are private commercial agreements</w:t>
      </w:r>
      <w:r w:rsidR="00CE34B9">
        <w:t xml:space="preserve"> that</w:t>
      </w:r>
      <w:r w:rsidRPr="004A7A2E">
        <w:t xml:space="preserve"> </w:t>
      </w:r>
      <w:r w:rsidRPr="004A7A2E">
        <w:rPr>
          <w:szCs w:val="20"/>
        </w:rPr>
        <w:t xml:space="preserve">are considered to be an acquisition by a person of an asset of another person for the purposes of section 50 of the </w:t>
      </w:r>
      <w:hyperlink r:id="rId59" w:history="1">
        <w:r w:rsidRPr="004A7A2E">
          <w:rPr>
            <w:rStyle w:val="Hyperlink"/>
            <w:i/>
            <w:iCs/>
            <w:szCs w:val="20"/>
          </w:rPr>
          <w:t>Competition and Consumer Act 2010</w:t>
        </w:r>
      </w:hyperlink>
      <w:r w:rsidRPr="004A7A2E">
        <w:t>. They are subject to prohibition of acquisitions that would result</w:t>
      </w:r>
      <w:r w:rsidRPr="004A7A2E">
        <w:rPr>
          <w:szCs w:val="20"/>
        </w:rPr>
        <w:t xml:space="preserve"> in a substantial lessening of competition</w:t>
      </w:r>
      <w:r w:rsidR="00CE34B9">
        <w:rPr>
          <w:szCs w:val="20"/>
        </w:rPr>
        <w:t xml:space="preserve"> that</w:t>
      </w:r>
      <w:r w:rsidRPr="004A7A2E">
        <w:rPr>
          <w:szCs w:val="20"/>
        </w:rPr>
        <w:t xml:space="preserve"> is enforced by the Australian Competition and Consumer Commission.</w:t>
      </w:r>
    </w:p>
    <w:p w14:paraId="46466260" w14:textId="6FE1B269" w:rsidR="00B87B95" w:rsidRPr="00E3715A" w:rsidRDefault="00B87B95" w:rsidP="00E40CBB">
      <w:pPr>
        <w:rPr>
          <w:rFonts w:cs="Arial"/>
        </w:rPr>
      </w:pPr>
      <w:r w:rsidRPr="00E3715A">
        <w:rPr>
          <w:rFonts w:cs="Arial"/>
        </w:rPr>
        <w:t xml:space="preserve">Spectrum licences are regarded as assets due to their defined spectrum space and long licence period (up to </w:t>
      </w:r>
      <w:r>
        <w:rPr>
          <w:rFonts w:cs="Arial"/>
        </w:rPr>
        <w:t>20</w:t>
      </w:r>
      <w:r w:rsidRPr="00E3715A">
        <w:rPr>
          <w:rFonts w:cs="Arial"/>
        </w:rPr>
        <w:t xml:space="preserve"> years). Spectrum licensees are permitted to negotiate the </w:t>
      </w:r>
      <w:r w:rsidR="00F84ADE">
        <w:rPr>
          <w:rFonts w:cs="Arial"/>
        </w:rPr>
        <w:t>acquisition</w:t>
      </w:r>
      <w:r w:rsidRPr="00E3715A">
        <w:rPr>
          <w:rFonts w:cs="Arial"/>
        </w:rPr>
        <w:t xml:space="preserve"> of additional spectrum space </w:t>
      </w:r>
      <w:r w:rsidR="0081026F">
        <w:rPr>
          <w:rFonts w:cs="Arial"/>
        </w:rPr>
        <w:t>from other spectrum licensees</w:t>
      </w:r>
      <w:r w:rsidRPr="00E3715A">
        <w:rPr>
          <w:rFonts w:cs="Arial"/>
        </w:rPr>
        <w:t xml:space="preserve"> to cover larger areas and/or more bandwidth. Subject to rules determined by the ACMA, licensees may subdivide their licences and sell parts of </w:t>
      </w:r>
      <w:r w:rsidR="00867A7D">
        <w:rPr>
          <w:rFonts w:cs="Arial"/>
        </w:rPr>
        <w:t>their</w:t>
      </w:r>
      <w:r w:rsidRPr="00E3715A">
        <w:rPr>
          <w:rFonts w:cs="Arial"/>
        </w:rPr>
        <w:t xml:space="preserve"> licences. To support spectrum trading, </w:t>
      </w:r>
      <w:r w:rsidR="00CE34B9">
        <w:rPr>
          <w:rFonts w:cs="Arial"/>
        </w:rPr>
        <w:t>we</w:t>
      </w:r>
      <w:r w:rsidRPr="00E3715A">
        <w:rPr>
          <w:rFonts w:cs="Arial"/>
        </w:rPr>
        <w:t xml:space="preserve"> make contact details of spectrum licen</w:t>
      </w:r>
      <w:r>
        <w:rPr>
          <w:rFonts w:cs="Arial"/>
        </w:rPr>
        <w:t xml:space="preserve">sees available through </w:t>
      </w:r>
      <w:r w:rsidR="00CE34B9">
        <w:rPr>
          <w:rFonts w:cs="Arial"/>
        </w:rPr>
        <w:br/>
      </w:r>
      <w:r>
        <w:rPr>
          <w:rFonts w:cs="Arial"/>
        </w:rPr>
        <w:t>the RRL.</w:t>
      </w:r>
    </w:p>
    <w:p w14:paraId="405B5E9C" w14:textId="5E743C5B" w:rsidR="00B87B95" w:rsidRPr="00E3715A" w:rsidRDefault="00B87B95" w:rsidP="00E40CBB">
      <w:pPr>
        <w:rPr>
          <w:rFonts w:cs="Arial"/>
        </w:rPr>
      </w:pPr>
      <w:r w:rsidRPr="00E3715A">
        <w:rPr>
          <w:rFonts w:cs="Arial"/>
        </w:rPr>
        <w:t xml:space="preserve">As specified in the </w:t>
      </w:r>
      <w:hyperlink r:id="rId60" w:history="1">
        <w:r w:rsidR="00D64963" w:rsidRPr="007F7F1D">
          <w:rPr>
            <w:rStyle w:val="Hyperlink"/>
          </w:rPr>
          <w:t>Radiocommunications (Trading Rules for Spectrum Licences) Determination 2023</w:t>
        </w:r>
      </w:hyperlink>
      <w:r w:rsidR="00D64963" w:rsidRPr="00D64963">
        <w:rPr>
          <w:rFonts w:cs="Arial"/>
        </w:rPr>
        <w:t xml:space="preserve"> (</w:t>
      </w:r>
      <w:r w:rsidRPr="00D64963">
        <w:rPr>
          <w:rFonts w:cs="Arial"/>
        </w:rPr>
        <w:t xml:space="preserve">the </w:t>
      </w:r>
      <w:r w:rsidRPr="00D64963">
        <w:rPr>
          <w:rFonts w:cs="Arial"/>
          <w:u w:color="0000FF"/>
        </w:rPr>
        <w:t>trading rules determination</w:t>
      </w:r>
      <w:r w:rsidR="00D64963" w:rsidRPr="00D64963">
        <w:rPr>
          <w:rFonts w:cs="Arial"/>
          <w:u w:color="0000FF"/>
        </w:rPr>
        <w:t>)</w:t>
      </w:r>
      <w:r w:rsidRPr="00E3715A">
        <w:rPr>
          <w:rFonts w:cs="Arial"/>
        </w:rPr>
        <w:t xml:space="preserve"> made by the ACMA, spectrum licences may be traded in whole or in part, but they may not be traded in parcels smaller than a standard trading unit (STU</w:t>
      </w:r>
      <w:r>
        <w:rPr>
          <w:rFonts w:cs="Arial"/>
        </w:rPr>
        <w:t>).</w:t>
      </w:r>
    </w:p>
    <w:p w14:paraId="76337152" w14:textId="750A753E" w:rsidR="00B87B95" w:rsidRPr="00E3715A" w:rsidRDefault="00B87B95" w:rsidP="00E40CBB">
      <w:pPr>
        <w:rPr>
          <w:rFonts w:cs="Arial"/>
        </w:rPr>
      </w:pPr>
      <w:r w:rsidRPr="3F185811">
        <w:rPr>
          <w:rFonts w:cs="Arial"/>
        </w:rPr>
        <w:t xml:space="preserve">The frequency component of an STU is 1 Hz, while the geographic component is defined as a single cell of the </w:t>
      </w:r>
      <w:r w:rsidR="00622F70">
        <w:rPr>
          <w:rFonts w:cs="Arial"/>
        </w:rPr>
        <w:t>ASMG</w:t>
      </w:r>
      <w:r w:rsidRPr="3F185811">
        <w:rPr>
          <w:rFonts w:cs="Arial"/>
        </w:rPr>
        <w:t xml:space="preserve">. Cells in the ASMG are </w:t>
      </w:r>
      <w:r w:rsidR="00B93554" w:rsidRPr="3F185811">
        <w:rPr>
          <w:rFonts w:cs="Arial"/>
        </w:rPr>
        <w:t>mapped in approximately</w:t>
      </w:r>
      <w:r w:rsidRPr="3F185811">
        <w:rPr>
          <w:rFonts w:cs="Arial"/>
        </w:rPr>
        <w:t xml:space="preserve"> </w:t>
      </w:r>
      <w:r w:rsidR="00CE34B9">
        <w:rPr>
          <w:rFonts w:cs="Arial"/>
        </w:rPr>
        <w:t>5</w:t>
      </w:r>
      <w:r w:rsidRPr="3F185811">
        <w:rPr>
          <w:rFonts w:cs="Arial"/>
        </w:rPr>
        <w:t>-minute (5’) increments, by longitude and latitude. In addition, a minimum contiguous bandwidth (MCB) is set for each band in the trading rules determination, which limits the contiguous bandwidth that can generally be licensed (as opposed to traded), reducing the potential for fragmentation.</w:t>
      </w:r>
    </w:p>
    <w:p w14:paraId="2E8F3F17" w14:textId="30C0B100" w:rsidR="00B87B95" w:rsidRPr="00E3715A" w:rsidRDefault="60077487" w:rsidP="00E40CBB">
      <w:pPr>
        <w:rPr>
          <w:rFonts w:cs="Arial"/>
        </w:rPr>
      </w:pPr>
      <w:r w:rsidRPr="327FE9E6">
        <w:rPr>
          <w:rFonts w:cs="Arial"/>
        </w:rPr>
        <w:t xml:space="preserve">Once a commercial agreement is reached on a particular trade, </w:t>
      </w:r>
      <w:r w:rsidR="5E78461D" w:rsidRPr="327FE9E6">
        <w:rPr>
          <w:rFonts w:cs="Arial"/>
        </w:rPr>
        <w:t xml:space="preserve">a licensee </w:t>
      </w:r>
      <w:r w:rsidR="3BB1ABFD" w:rsidRPr="327FE9E6">
        <w:rPr>
          <w:rFonts w:cs="Arial"/>
        </w:rPr>
        <w:t xml:space="preserve">must notify </w:t>
      </w:r>
      <w:r w:rsidR="7831EF49" w:rsidRPr="327FE9E6">
        <w:rPr>
          <w:rFonts w:cs="Arial"/>
        </w:rPr>
        <w:t xml:space="preserve">the ACMA about </w:t>
      </w:r>
      <w:r w:rsidRPr="327FE9E6">
        <w:rPr>
          <w:rFonts w:cs="Arial"/>
        </w:rPr>
        <w:t>the transaction</w:t>
      </w:r>
      <w:r w:rsidR="056734C9" w:rsidRPr="327FE9E6">
        <w:rPr>
          <w:rFonts w:cs="Arial"/>
        </w:rPr>
        <w:t xml:space="preserve">. </w:t>
      </w:r>
      <w:r w:rsidR="313F84D4" w:rsidRPr="327FE9E6">
        <w:rPr>
          <w:rFonts w:cs="Arial"/>
        </w:rPr>
        <w:t>Further i</w:t>
      </w:r>
      <w:r w:rsidR="4A89B89D" w:rsidRPr="327FE9E6">
        <w:rPr>
          <w:rFonts w:cs="Arial"/>
        </w:rPr>
        <w:t xml:space="preserve">nformation </w:t>
      </w:r>
      <w:r w:rsidR="6B10B62D" w:rsidRPr="327FE9E6">
        <w:rPr>
          <w:rFonts w:cs="Arial"/>
        </w:rPr>
        <w:t xml:space="preserve">on </w:t>
      </w:r>
      <w:hyperlink r:id="rId61" w:history="1">
        <w:r w:rsidR="313F84D4" w:rsidRPr="003430D1">
          <w:rPr>
            <w:rStyle w:val="Hyperlink"/>
            <w:rFonts w:cs="Arial"/>
          </w:rPr>
          <w:t>spectrum licence trades</w:t>
        </w:r>
      </w:hyperlink>
      <w:r w:rsidR="313F84D4" w:rsidRPr="00B231EF">
        <w:rPr>
          <w:rFonts w:cs="Arial"/>
        </w:rPr>
        <w:t xml:space="preserve"> </w:t>
      </w:r>
      <w:r w:rsidR="3360B3D6" w:rsidRPr="00B231EF">
        <w:rPr>
          <w:rFonts w:cs="Arial"/>
        </w:rPr>
        <w:t xml:space="preserve">is </w:t>
      </w:r>
      <w:r w:rsidR="3360B3D6" w:rsidRPr="327FE9E6">
        <w:rPr>
          <w:rFonts w:cs="Arial"/>
        </w:rPr>
        <w:t xml:space="preserve">available on </w:t>
      </w:r>
      <w:r w:rsidR="00CE34B9">
        <w:rPr>
          <w:rFonts w:cs="Arial"/>
        </w:rPr>
        <w:t xml:space="preserve">our </w:t>
      </w:r>
      <w:r w:rsidR="3360B3D6" w:rsidRPr="327FE9E6">
        <w:rPr>
          <w:rFonts w:cs="Arial"/>
        </w:rPr>
        <w:t>website</w:t>
      </w:r>
      <w:r w:rsidRPr="327FE9E6">
        <w:rPr>
          <w:rFonts w:cs="Arial"/>
        </w:rPr>
        <w:t>. The trade becomes effective only after the new lic</w:t>
      </w:r>
      <w:bookmarkStart w:id="157" w:name="_Ref323803775"/>
      <w:bookmarkStart w:id="158" w:name="_Ref324521587"/>
      <w:bookmarkStart w:id="159" w:name="_Toc325970720"/>
      <w:r w:rsidRPr="327FE9E6">
        <w:rPr>
          <w:rFonts w:cs="Arial"/>
        </w:rPr>
        <w:t>ence details appear in the RRL.</w:t>
      </w:r>
    </w:p>
    <w:p w14:paraId="5C54B960" w14:textId="169B6683" w:rsidR="00B87B95" w:rsidRPr="00E3715A" w:rsidRDefault="00B87B95" w:rsidP="00E40CBB">
      <w:pPr>
        <w:pStyle w:val="Heading1"/>
        <w:spacing w:after="280"/>
        <w:ind w:left="432" w:hanging="432"/>
      </w:pPr>
      <w:bookmarkStart w:id="160" w:name="_Toc327278960"/>
      <w:bookmarkStart w:id="161" w:name="_Toc341966602"/>
      <w:bookmarkStart w:id="162" w:name="_Toc101444658"/>
      <w:bookmarkStart w:id="163" w:name="_Toc131603607"/>
      <w:bookmarkEnd w:id="157"/>
      <w:bookmarkEnd w:id="158"/>
      <w:bookmarkEnd w:id="159"/>
      <w:r w:rsidRPr="00E3715A">
        <w:lastRenderedPageBreak/>
        <w:t>Glossary</w:t>
      </w:r>
      <w:bookmarkEnd w:id="160"/>
      <w:bookmarkEnd w:id="161"/>
      <w:bookmarkEnd w:id="162"/>
      <w:bookmarkEnd w:id="163"/>
    </w:p>
    <w:tbl>
      <w:tblPr>
        <w:tblStyle w:val="ACMAtablestyle"/>
        <w:tblW w:w="9918" w:type="dxa"/>
        <w:tblLayout w:type="fixed"/>
        <w:tblLook w:val="04A0" w:firstRow="1" w:lastRow="0" w:firstColumn="1" w:lastColumn="0" w:noHBand="0" w:noVBand="1"/>
      </w:tblPr>
      <w:tblGrid>
        <w:gridCol w:w="2263"/>
        <w:gridCol w:w="7655"/>
      </w:tblGrid>
      <w:tr w:rsidR="000C5B47" w:rsidRPr="00E3715A" w14:paraId="4FB87427" w14:textId="77777777" w:rsidTr="005F7159">
        <w:trPr>
          <w:cnfStyle w:val="100000000000" w:firstRow="1" w:lastRow="0" w:firstColumn="0" w:lastColumn="0" w:oddVBand="0" w:evenVBand="0" w:oddHBand="0" w:evenHBand="0" w:firstRowFirstColumn="0" w:firstRowLastColumn="0" w:lastRowFirstColumn="0" w:lastRowLastColumn="0"/>
        </w:trPr>
        <w:tc>
          <w:tcPr>
            <w:tcW w:w="2263" w:type="dxa"/>
          </w:tcPr>
          <w:p w14:paraId="524E43E2" w14:textId="34C0FAE2" w:rsidR="000C5B47" w:rsidRPr="00E3715A" w:rsidRDefault="000C5B47" w:rsidP="00E40CBB">
            <w:pPr>
              <w:pStyle w:val="Tableheaderrow"/>
            </w:pPr>
            <w:r>
              <w:t>Term</w:t>
            </w:r>
          </w:p>
        </w:tc>
        <w:tc>
          <w:tcPr>
            <w:tcW w:w="7655" w:type="dxa"/>
          </w:tcPr>
          <w:p w14:paraId="1F8F18D5" w14:textId="047FCBDD" w:rsidR="000C5B47" w:rsidRPr="00E3715A" w:rsidRDefault="000C5B47" w:rsidP="00E40CBB">
            <w:pPr>
              <w:pStyle w:val="Tableheaderrow"/>
            </w:pPr>
            <w:r>
              <w:t>Definition</w:t>
            </w:r>
          </w:p>
        </w:tc>
      </w:tr>
      <w:tr w:rsidR="003426C7" w:rsidRPr="00E3715A" w14:paraId="09B32717"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63C04D83" w14:textId="0CC3C736" w:rsidR="003426C7" w:rsidRPr="00E3715A" w:rsidRDefault="003426C7" w:rsidP="003426C7">
            <w:pPr>
              <w:spacing w:after="40"/>
              <w:rPr>
                <w:rFonts w:cs="Arial"/>
                <w:b/>
              </w:rPr>
            </w:pPr>
            <w:r>
              <w:rPr>
                <w:rFonts w:cs="Arial"/>
                <w:b/>
              </w:rPr>
              <w:t>a</w:t>
            </w:r>
            <w:r w:rsidRPr="00E3715A">
              <w:rPr>
                <w:rFonts w:cs="Arial"/>
                <w:b/>
              </w:rPr>
              <w:t>ccredited person</w:t>
            </w:r>
          </w:p>
        </w:tc>
        <w:tc>
          <w:tcPr>
            <w:tcW w:w="7655" w:type="dxa"/>
          </w:tcPr>
          <w:p w14:paraId="636A8D14" w14:textId="4DDC1380" w:rsidR="003426C7" w:rsidRPr="00E3715A" w:rsidRDefault="003426C7" w:rsidP="003426C7">
            <w:pPr>
              <w:spacing w:after="40"/>
              <w:rPr>
                <w:rFonts w:cs="Arial"/>
              </w:rPr>
            </w:pPr>
            <w:r w:rsidRPr="00E3715A">
              <w:rPr>
                <w:rFonts w:cs="Arial"/>
              </w:rPr>
              <w:t>An individual accredited by the ACMA to perform engineering work for radiocommunications licensing</w:t>
            </w:r>
            <w:r>
              <w:rPr>
                <w:rFonts w:cs="Arial"/>
              </w:rPr>
              <w:t>.</w:t>
            </w:r>
            <w:r w:rsidRPr="00E3715A">
              <w:rPr>
                <w:rFonts w:cs="Arial"/>
              </w:rPr>
              <w:t xml:space="preserve"> </w:t>
            </w:r>
            <w:r>
              <w:rPr>
                <w:rFonts w:cs="Arial"/>
              </w:rPr>
              <w:t>More information about accredited persons, and a list of accredit persons can be found</w:t>
            </w:r>
            <w:r w:rsidR="00CE34B9">
              <w:rPr>
                <w:rFonts w:cs="Arial"/>
              </w:rPr>
              <w:t xml:space="preserve"> on the</w:t>
            </w:r>
            <w:r>
              <w:rPr>
                <w:rFonts w:cs="Arial"/>
              </w:rPr>
              <w:t xml:space="preserve"> </w:t>
            </w:r>
            <w:hyperlink r:id="rId62" w:history="1">
              <w:r w:rsidRPr="009C6832">
                <w:rPr>
                  <w:rStyle w:val="Hyperlink"/>
                  <w:rFonts w:cs="Arial"/>
                </w:rPr>
                <w:t>ACMA website</w:t>
              </w:r>
            </w:hyperlink>
            <w:r>
              <w:rPr>
                <w:rFonts w:cs="Arial"/>
              </w:rPr>
              <w:t>.</w:t>
            </w:r>
          </w:p>
        </w:tc>
      </w:tr>
      <w:tr w:rsidR="00D27FEC" w:rsidRPr="00E3715A" w14:paraId="6B49609A"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1674DD24" w14:textId="525C8728" w:rsidR="00D27FEC" w:rsidRDefault="00D27FEC" w:rsidP="00E40CBB">
            <w:pPr>
              <w:spacing w:after="40"/>
              <w:rPr>
                <w:rFonts w:cs="Arial"/>
                <w:b/>
              </w:rPr>
            </w:pPr>
            <w:r w:rsidRPr="00E3715A">
              <w:rPr>
                <w:rFonts w:cs="Arial"/>
                <w:b/>
              </w:rPr>
              <w:t>ACMA</w:t>
            </w:r>
          </w:p>
        </w:tc>
        <w:tc>
          <w:tcPr>
            <w:tcW w:w="7655" w:type="dxa"/>
          </w:tcPr>
          <w:p w14:paraId="1C545B90" w14:textId="3D5DF0C5" w:rsidR="00D27FEC" w:rsidRDefault="00D27FEC" w:rsidP="00E40CBB">
            <w:pPr>
              <w:spacing w:after="40"/>
              <w:rPr>
                <w:rFonts w:cs="Arial"/>
              </w:rPr>
            </w:pPr>
            <w:r w:rsidRPr="00E3715A">
              <w:rPr>
                <w:rFonts w:cs="Arial"/>
              </w:rPr>
              <w:t>Australian Communications and Media Authority</w:t>
            </w:r>
            <w:r w:rsidR="00AE44FA">
              <w:rPr>
                <w:rFonts w:cs="Arial"/>
              </w:rPr>
              <w:t>.</w:t>
            </w:r>
          </w:p>
        </w:tc>
      </w:tr>
      <w:tr w:rsidR="00D27FEC" w:rsidRPr="00E3715A" w14:paraId="50FE1DC7"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39F6EEB6" w14:textId="4844CC4F" w:rsidR="00D27FEC" w:rsidRDefault="00D27FEC" w:rsidP="00E40CBB">
            <w:pPr>
              <w:spacing w:after="40"/>
              <w:rPr>
                <w:rFonts w:cs="Arial"/>
                <w:b/>
              </w:rPr>
            </w:pPr>
            <w:r w:rsidRPr="00E3715A">
              <w:rPr>
                <w:rFonts w:cs="Arial"/>
                <w:b/>
              </w:rPr>
              <w:t>AGD66</w:t>
            </w:r>
          </w:p>
        </w:tc>
        <w:tc>
          <w:tcPr>
            <w:tcW w:w="7655" w:type="dxa"/>
          </w:tcPr>
          <w:p w14:paraId="51309CD9" w14:textId="125ED8D4" w:rsidR="00D27FEC" w:rsidRDefault="00D27FEC" w:rsidP="00E40CBB">
            <w:pPr>
              <w:spacing w:after="40"/>
              <w:rPr>
                <w:rFonts w:cs="Arial"/>
              </w:rPr>
            </w:pPr>
            <w:r w:rsidRPr="00E3715A">
              <w:rPr>
                <w:rFonts w:cs="Arial"/>
              </w:rPr>
              <w:t>Australian Geodetic Datum of Australia 1966</w:t>
            </w:r>
            <w:r>
              <w:rPr>
                <w:rFonts w:cs="Arial"/>
              </w:rPr>
              <w:t xml:space="preserve">. </w:t>
            </w:r>
          </w:p>
        </w:tc>
      </w:tr>
      <w:tr w:rsidR="00D27FEC" w:rsidRPr="00E3715A" w14:paraId="0841B4AB"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3FC9392E" w14:textId="018D6F6E" w:rsidR="00D27FEC" w:rsidRDefault="001600FF" w:rsidP="00E40CBB">
            <w:pPr>
              <w:spacing w:after="40"/>
              <w:rPr>
                <w:rFonts w:cs="Arial"/>
                <w:b/>
              </w:rPr>
            </w:pPr>
            <w:r>
              <w:rPr>
                <w:rFonts w:cs="Arial"/>
                <w:b/>
              </w:rPr>
              <w:t>a</w:t>
            </w:r>
            <w:r w:rsidR="00D27FEC" w:rsidRPr="00E3715A">
              <w:rPr>
                <w:rFonts w:cs="Arial"/>
                <w:b/>
              </w:rPr>
              <w:t>pparatus licence</w:t>
            </w:r>
          </w:p>
        </w:tc>
        <w:tc>
          <w:tcPr>
            <w:tcW w:w="7655" w:type="dxa"/>
          </w:tcPr>
          <w:p w14:paraId="25A3640B" w14:textId="25C18456" w:rsidR="00D27FEC" w:rsidRDefault="00D27FEC" w:rsidP="00E40CBB">
            <w:pPr>
              <w:spacing w:after="40"/>
              <w:rPr>
                <w:rFonts w:cs="Arial"/>
              </w:rPr>
            </w:pPr>
            <w:r>
              <w:rPr>
                <w:rFonts w:cs="Arial"/>
              </w:rPr>
              <w:t>A</w:t>
            </w:r>
            <w:r w:rsidRPr="00E3715A">
              <w:rPr>
                <w:rFonts w:cs="Arial"/>
              </w:rPr>
              <w:t xml:space="preserve">n apparatus licence issued under Part 3.3 of the </w:t>
            </w:r>
            <w:r>
              <w:rPr>
                <w:rFonts w:cs="Arial"/>
              </w:rPr>
              <w:t>Act</w:t>
            </w:r>
            <w:r w:rsidR="00AE44FA">
              <w:rPr>
                <w:rFonts w:cs="Arial"/>
              </w:rPr>
              <w:t>.</w:t>
            </w:r>
          </w:p>
        </w:tc>
      </w:tr>
      <w:tr w:rsidR="00EB0BA9" w:rsidRPr="00E3715A" w14:paraId="29B365D7"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7C992567" w14:textId="14EE1C1F" w:rsidR="00EB0BA9" w:rsidRDefault="00EB0BA9" w:rsidP="00EB0BA9">
            <w:pPr>
              <w:spacing w:after="40"/>
              <w:rPr>
                <w:rFonts w:cs="Arial"/>
                <w:b/>
              </w:rPr>
            </w:pPr>
            <w:r>
              <w:rPr>
                <w:rFonts w:cs="Arial"/>
                <w:b/>
              </w:rPr>
              <w:t>ARQZWA</w:t>
            </w:r>
          </w:p>
        </w:tc>
        <w:tc>
          <w:tcPr>
            <w:tcW w:w="7655" w:type="dxa"/>
          </w:tcPr>
          <w:p w14:paraId="1A3CCDE4" w14:textId="65583B68" w:rsidR="00EB0BA9" w:rsidRDefault="00EB0BA9" w:rsidP="00EB0BA9">
            <w:pPr>
              <w:spacing w:after="40"/>
              <w:rPr>
                <w:rFonts w:cs="Arial"/>
              </w:rPr>
            </w:pPr>
            <w:r>
              <w:rPr>
                <w:rFonts w:cs="Arial"/>
              </w:rPr>
              <w:t>Australian Radio Quiet Zone Western Australia. A</w:t>
            </w:r>
            <w:r w:rsidRPr="00E3715A">
              <w:rPr>
                <w:rFonts w:cs="Arial"/>
              </w:rPr>
              <w:t xml:space="preserve"> site in remote Western Australia, at which restrictions are placed on use of radiocommunications transmitters in order to preserve the low level of radiofrequency noise and thereby protect radio</w:t>
            </w:r>
            <w:r>
              <w:rPr>
                <w:rFonts w:cs="Arial"/>
              </w:rPr>
              <w:t xml:space="preserve"> </w:t>
            </w:r>
            <w:r w:rsidRPr="00E3715A">
              <w:rPr>
                <w:rFonts w:cs="Arial"/>
              </w:rPr>
              <w:t>astronomy activities</w:t>
            </w:r>
            <w:r>
              <w:rPr>
                <w:rFonts w:cs="Arial"/>
              </w:rPr>
              <w:t xml:space="preserve">. Restrictions in the radio quiet zone, as well as a definition of the area, can be found in the </w:t>
            </w:r>
            <w:hyperlink r:id="rId63" w:history="1">
              <w:r w:rsidRPr="00A95AB5">
                <w:rPr>
                  <w:rStyle w:val="Hyperlink"/>
                  <w:rFonts w:cs="Arial"/>
                </w:rPr>
                <w:t>Radiocommunications (Australian Radio Quiet Zone Western Australia) Frequency Band Plan 2023</w:t>
              </w:r>
            </w:hyperlink>
            <w:r>
              <w:rPr>
                <w:rFonts w:cs="Arial"/>
              </w:rPr>
              <w:t xml:space="preserve">. </w:t>
            </w:r>
          </w:p>
        </w:tc>
      </w:tr>
      <w:tr w:rsidR="00D27FEC" w:rsidRPr="00E3715A" w14:paraId="32553A6E"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5BBCC036" w14:textId="6C746B8C" w:rsidR="00D27FEC" w:rsidRDefault="00D27FEC" w:rsidP="00E40CBB">
            <w:pPr>
              <w:spacing w:after="40"/>
              <w:rPr>
                <w:rFonts w:cs="Arial"/>
                <w:b/>
              </w:rPr>
            </w:pPr>
            <w:r w:rsidRPr="00E3715A">
              <w:rPr>
                <w:rFonts w:cs="Arial"/>
                <w:b/>
              </w:rPr>
              <w:t>ASMG</w:t>
            </w:r>
          </w:p>
        </w:tc>
        <w:tc>
          <w:tcPr>
            <w:tcW w:w="7655" w:type="dxa"/>
          </w:tcPr>
          <w:p w14:paraId="7326CB61" w14:textId="24ABA6C8" w:rsidR="00D27FEC" w:rsidRDefault="0070702D" w:rsidP="00E40CBB">
            <w:pPr>
              <w:spacing w:after="40"/>
              <w:rPr>
                <w:rFonts w:cs="Arial"/>
              </w:rPr>
            </w:pPr>
            <w:hyperlink r:id="rId64" w:history="1">
              <w:r w:rsidR="00D27FEC" w:rsidRPr="00E459A6">
                <w:rPr>
                  <w:rStyle w:val="Hyperlink"/>
                  <w:rFonts w:cs="Arial"/>
                </w:rPr>
                <w:t xml:space="preserve">Australian </w:t>
              </w:r>
              <w:r w:rsidR="00BA0CAF" w:rsidRPr="00E459A6">
                <w:rPr>
                  <w:rStyle w:val="Hyperlink"/>
                  <w:rFonts w:cs="Arial"/>
                </w:rPr>
                <w:t>S</w:t>
              </w:r>
              <w:r w:rsidR="00D27FEC" w:rsidRPr="00E459A6">
                <w:rPr>
                  <w:rStyle w:val="Hyperlink"/>
                  <w:rFonts w:cs="Arial"/>
                </w:rPr>
                <w:t xml:space="preserve">pectrum </w:t>
              </w:r>
              <w:r w:rsidR="00BA0CAF" w:rsidRPr="00E459A6">
                <w:rPr>
                  <w:rStyle w:val="Hyperlink"/>
                  <w:rFonts w:cs="Arial"/>
                </w:rPr>
                <w:t>M</w:t>
              </w:r>
              <w:r w:rsidR="00D27FEC" w:rsidRPr="00E459A6">
                <w:rPr>
                  <w:rStyle w:val="Hyperlink"/>
                  <w:rFonts w:cs="Arial"/>
                </w:rPr>
                <w:t xml:space="preserve">ap </w:t>
              </w:r>
              <w:r w:rsidR="00BA0CAF" w:rsidRPr="00E459A6">
                <w:rPr>
                  <w:rStyle w:val="Hyperlink"/>
                  <w:rFonts w:cs="Arial"/>
                </w:rPr>
                <w:t>G</w:t>
              </w:r>
              <w:r w:rsidR="00D27FEC" w:rsidRPr="00E459A6">
                <w:rPr>
                  <w:rStyle w:val="Hyperlink"/>
                  <w:rFonts w:cs="Arial"/>
                </w:rPr>
                <w:t>rid 2012</w:t>
              </w:r>
            </w:hyperlink>
            <w:r w:rsidR="00D27FEC">
              <w:rPr>
                <w:rFonts w:cs="Arial"/>
              </w:rPr>
              <w:t>, published by the ACMA</w:t>
            </w:r>
            <w:r w:rsidR="00AE44FA">
              <w:rPr>
                <w:rFonts w:cs="Arial"/>
              </w:rPr>
              <w:t>.</w:t>
            </w:r>
          </w:p>
        </w:tc>
      </w:tr>
      <w:tr w:rsidR="00D27FEC" w:rsidRPr="00E3715A" w14:paraId="0AD457E5"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0AAF60E9" w14:textId="348A4FD9" w:rsidR="00D27FEC" w:rsidRDefault="008338CC" w:rsidP="00E40CBB">
            <w:pPr>
              <w:spacing w:after="40"/>
              <w:rPr>
                <w:rFonts w:cs="Arial"/>
                <w:b/>
              </w:rPr>
            </w:pPr>
            <w:r>
              <w:rPr>
                <w:rFonts w:cs="Arial"/>
                <w:b/>
              </w:rPr>
              <w:t>c</w:t>
            </w:r>
            <w:r w:rsidR="00D27FEC" w:rsidRPr="00E3715A">
              <w:rPr>
                <w:rFonts w:cs="Arial"/>
                <w:b/>
              </w:rPr>
              <w:t>lass licence</w:t>
            </w:r>
          </w:p>
        </w:tc>
        <w:tc>
          <w:tcPr>
            <w:tcW w:w="7655" w:type="dxa"/>
          </w:tcPr>
          <w:p w14:paraId="0525810C" w14:textId="5EA83A00" w:rsidR="00D27FEC" w:rsidRDefault="00D27FEC" w:rsidP="00E40CBB">
            <w:pPr>
              <w:spacing w:after="40"/>
              <w:rPr>
                <w:rFonts w:cs="Arial"/>
              </w:rPr>
            </w:pPr>
            <w:r>
              <w:rPr>
                <w:rFonts w:cs="Arial"/>
              </w:rPr>
              <w:t>A</w:t>
            </w:r>
            <w:r w:rsidRPr="00E3715A">
              <w:rPr>
                <w:rFonts w:cs="Arial"/>
              </w:rPr>
              <w:t xml:space="preserve"> class licence issued under Part 3.4 of the </w:t>
            </w:r>
            <w:r>
              <w:rPr>
                <w:rFonts w:cs="Arial"/>
              </w:rPr>
              <w:t>Act</w:t>
            </w:r>
            <w:r w:rsidR="00AE44FA">
              <w:rPr>
                <w:rFonts w:cs="Arial"/>
              </w:rPr>
              <w:t>.</w:t>
            </w:r>
          </w:p>
        </w:tc>
      </w:tr>
      <w:tr w:rsidR="00D27FEC" w:rsidRPr="00E3715A" w14:paraId="278F8E66"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0F3C97F4" w14:textId="068A3660" w:rsidR="00D27FEC" w:rsidRDefault="008338CC" w:rsidP="00E40CBB">
            <w:pPr>
              <w:spacing w:after="40"/>
              <w:rPr>
                <w:rFonts w:cs="Arial"/>
                <w:b/>
              </w:rPr>
            </w:pPr>
            <w:r>
              <w:rPr>
                <w:rFonts w:cs="Arial"/>
                <w:b/>
              </w:rPr>
              <w:t>c</w:t>
            </w:r>
            <w:r w:rsidR="00D27FEC" w:rsidRPr="00E3715A">
              <w:rPr>
                <w:rFonts w:cs="Arial"/>
                <w:b/>
              </w:rPr>
              <w:t>ore condition</w:t>
            </w:r>
          </w:p>
        </w:tc>
        <w:tc>
          <w:tcPr>
            <w:tcW w:w="7655" w:type="dxa"/>
          </w:tcPr>
          <w:p w14:paraId="229E221E" w14:textId="7E041B4C" w:rsidR="00D27FEC" w:rsidRDefault="00D27FEC" w:rsidP="00E40CBB">
            <w:pPr>
              <w:spacing w:after="40"/>
              <w:rPr>
                <w:rFonts w:cs="Arial"/>
              </w:rPr>
            </w:pPr>
            <w:r>
              <w:rPr>
                <w:rFonts w:cs="Arial"/>
              </w:rPr>
              <w:t>A</w:t>
            </w:r>
            <w:r w:rsidRPr="00E3715A">
              <w:rPr>
                <w:rFonts w:cs="Arial"/>
              </w:rPr>
              <w:t xml:space="preserve"> condition included in a spectrum licence under section 66 of the </w:t>
            </w:r>
            <w:r>
              <w:rPr>
                <w:rFonts w:cs="Arial"/>
              </w:rPr>
              <w:t>Act</w:t>
            </w:r>
            <w:r w:rsidR="000C6815">
              <w:rPr>
                <w:rFonts w:cs="Arial"/>
              </w:rPr>
              <w:t>.</w:t>
            </w:r>
          </w:p>
        </w:tc>
      </w:tr>
      <w:tr w:rsidR="00D27FEC" w:rsidRPr="00E3715A" w14:paraId="4DD26EF3"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4956AD0E" w14:textId="55C975D0" w:rsidR="00D27FEC" w:rsidRDefault="008338CC" w:rsidP="00E40CBB">
            <w:pPr>
              <w:spacing w:after="40"/>
              <w:rPr>
                <w:rFonts w:cs="Arial"/>
                <w:b/>
              </w:rPr>
            </w:pPr>
            <w:r>
              <w:rPr>
                <w:rFonts w:cs="Arial"/>
                <w:b/>
              </w:rPr>
              <w:t>c</w:t>
            </w:r>
            <w:r w:rsidR="00D27FEC" w:rsidRPr="00E3715A">
              <w:rPr>
                <w:rFonts w:cs="Arial"/>
                <w:b/>
              </w:rPr>
              <w:t>ore conditions agreement</w:t>
            </w:r>
          </w:p>
        </w:tc>
        <w:tc>
          <w:tcPr>
            <w:tcW w:w="7655" w:type="dxa"/>
          </w:tcPr>
          <w:p w14:paraId="1D39CF4D" w14:textId="470ABF97" w:rsidR="00D27FEC" w:rsidRDefault="00D27FEC" w:rsidP="00E40CBB">
            <w:pPr>
              <w:spacing w:after="40"/>
              <w:rPr>
                <w:rFonts w:cs="Arial"/>
              </w:rPr>
            </w:pPr>
            <w:r>
              <w:rPr>
                <w:rFonts w:cs="Arial"/>
              </w:rPr>
              <w:t>A</w:t>
            </w:r>
            <w:r w:rsidRPr="00E3715A">
              <w:rPr>
                <w:rFonts w:cs="Arial"/>
              </w:rPr>
              <w:t xml:space="preserve">n agreement between </w:t>
            </w:r>
            <w:r>
              <w:rPr>
                <w:rFonts w:cs="Arial"/>
              </w:rPr>
              <w:t xml:space="preserve">affected </w:t>
            </w:r>
            <w:r w:rsidRPr="00E3715A">
              <w:rPr>
                <w:rFonts w:cs="Arial"/>
              </w:rPr>
              <w:t xml:space="preserve">spectrum licensees to permit the registration of </w:t>
            </w:r>
            <w:r w:rsidR="00F034BB">
              <w:rPr>
                <w:rFonts w:cs="Arial"/>
              </w:rPr>
              <w:t xml:space="preserve">radiocommunications </w:t>
            </w:r>
            <w:r w:rsidRPr="00E3715A">
              <w:rPr>
                <w:rFonts w:cs="Arial"/>
              </w:rPr>
              <w:t xml:space="preserve">devices whose emissions exceed </w:t>
            </w:r>
            <w:r>
              <w:rPr>
                <w:rFonts w:cs="Arial"/>
              </w:rPr>
              <w:t xml:space="preserve">specific </w:t>
            </w:r>
            <w:r w:rsidRPr="00E3715A">
              <w:rPr>
                <w:rFonts w:cs="Arial"/>
              </w:rPr>
              <w:t>core conditions of a spectrum licence</w:t>
            </w:r>
            <w:r w:rsidR="000C6815">
              <w:rPr>
                <w:rFonts w:cs="Arial"/>
              </w:rPr>
              <w:t>.</w:t>
            </w:r>
          </w:p>
        </w:tc>
      </w:tr>
      <w:tr w:rsidR="00D27FEC" w:rsidRPr="00E3715A" w14:paraId="081CAABB"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08E8FCD1" w14:textId="686D3AB3" w:rsidR="00D27FEC" w:rsidRDefault="00D27FEC" w:rsidP="00E40CBB">
            <w:pPr>
              <w:spacing w:after="40"/>
              <w:rPr>
                <w:rFonts w:cs="Arial"/>
                <w:b/>
              </w:rPr>
            </w:pPr>
            <w:r>
              <w:rPr>
                <w:rFonts w:cs="Arial"/>
                <w:b/>
              </w:rPr>
              <w:t>EME</w:t>
            </w:r>
          </w:p>
        </w:tc>
        <w:tc>
          <w:tcPr>
            <w:tcW w:w="7655" w:type="dxa"/>
          </w:tcPr>
          <w:p w14:paraId="6D379359" w14:textId="5DA1C847" w:rsidR="00D27FEC" w:rsidRDefault="00D27FEC" w:rsidP="00E40CBB">
            <w:pPr>
              <w:spacing w:after="40"/>
              <w:rPr>
                <w:rFonts w:cs="Arial"/>
              </w:rPr>
            </w:pPr>
            <w:r>
              <w:rPr>
                <w:rFonts w:cs="Arial"/>
              </w:rPr>
              <w:t>Electromagnetic energy</w:t>
            </w:r>
            <w:r w:rsidR="000C6815">
              <w:rPr>
                <w:rFonts w:cs="Arial"/>
              </w:rPr>
              <w:t>.</w:t>
            </w:r>
          </w:p>
        </w:tc>
      </w:tr>
      <w:tr w:rsidR="00D27FEC" w:rsidRPr="00E3715A" w14:paraId="111AE18A"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3B3A7D4F" w14:textId="61DDB5AE" w:rsidR="00D27FEC" w:rsidRPr="00E3715A" w:rsidRDefault="007A561F" w:rsidP="00E40CBB">
            <w:pPr>
              <w:spacing w:after="40"/>
              <w:rPr>
                <w:rFonts w:cs="Arial"/>
                <w:b/>
              </w:rPr>
            </w:pPr>
            <w:r>
              <w:rPr>
                <w:rFonts w:cs="Arial"/>
                <w:b/>
              </w:rPr>
              <w:t>f</w:t>
            </w:r>
            <w:r w:rsidR="00D27FEC" w:rsidRPr="00E3715A">
              <w:rPr>
                <w:rFonts w:cs="Arial"/>
                <w:b/>
              </w:rPr>
              <w:t>requency band</w:t>
            </w:r>
          </w:p>
        </w:tc>
        <w:tc>
          <w:tcPr>
            <w:tcW w:w="7655" w:type="dxa"/>
          </w:tcPr>
          <w:p w14:paraId="4DE624B4" w14:textId="184F1AA8" w:rsidR="00D27FEC" w:rsidRPr="00E3715A" w:rsidRDefault="00D27FEC" w:rsidP="00E40CBB">
            <w:pPr>
              <w:spacing w:after="40"/>
              <w:rPr>
                <w:rFonts w:cs="Arial"/>
                <w:b/>
              </w:rPr>
            </w:pPr>
            <w:r>
              <w:rPr>
                <w:rFonts w:cs="Arial"/>
              </w:rPr>
              <w:t>A</w:t>
            </w:r>
            <w:r w:rsidRPr="00E3715A">
              <w:rPr>
                <w:rFonts w:cs="Arial"/>
              </w:rPr>
              <w:t>ny contiguous range of radio frequencies</w:t>
            </w:r>
            <w:r w:rsidR="00242B32">
              <w:rPr>
                <w:rFonts w:cs="Arial"/>
              </w:rPr>
              <w:t>.</w:t>
            </w:r>
          </w:p>
        </w:tc>
      </w:tr>
      <w:tr w:rsidR="00D27FEC" w:rsidRPr="00E3715A" w14:paraId="0F530858"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4F4B1DEF" w14:textId="60D73A82" w:rsidR="00D27FEC" w:rsidRPr="00E3715A" w:rsidRDefault="00D27FEC" w:rsidP="00E40CBB">
            <w:pPr>
              <w:spacing w:after="40"/>
              <w:rPr>
                <w:rFonts w:cs="Arial"/>
                <w:b/>
              </w:rPr>
            </w:pPr>
            <w:r w:rsidRPr="00E3715A">
              <w:rPr>
                <w:rFonts w:cs="Arial"/>
                <w:b/>
                <w:szCs w:val="22"/>
              </w:rPr>
              <w:t>GDA94</w:t>
            </w:r>
            <w:r>
              <w:rPr>
                <w:rFonts w:cs="Arial"/>
                <w:b/>
                <w:szCs w:val="22"/>
              </w:rPr>
              <w:t xml:space="preserve"> </w:t>
            </w:r>
          </w:p>
        </w:tc>
        <w:tc>
          <w:tcPr>
            <w:tcW w:w="7655" w:type="dxa"/>
          </w:tcPr>
          <w:p w14:paraId="0FC83983" w14:textId="4F57CD86" w:rsidR="00D27FEC" w:rsidRPr="00E3715A" w:rsidRDefault="00D27FEC" w:rsidP="00E40CBB">
            <w:pPr>
              <w:spacing w:after="40"/>
              <w:rPr>
                <w:rFonts w:cs="Arial"/>
                <w:b/>
              </w:rPr>
            </w:pPr>
            <w:r w:rsidRPr="00E3715A">
              <w:rPr>
                <w:rFonts w:cs="Arial"/>
                <w:szCs w:val="22"/>
              </w:rPr>
              <w:t xml:space="preserve">Geocentric Datum of Australia </w:t>
            </w:r>
            <w:r>
              <w:rPr>
                <w:rFonts w:cs="Arial"/>
                <w:szCs w:val="22"/>
              </w:rPr>
              <w:t>1994</w:t>
            </w:r>
            <w:r w:rsidR="00242B32">
              <w:rPr>
                <w:rFonts w:cs="Arial"/>
                <w:szCs w:val="22"/>
              </w:rPr>
              <w:t>.</w:t>
            </w:r>
          </w:p>
        </w:tc>
      </w:tr>
      <w:tr w:rsidR="00D27FEC" w:rsidRPr="00E3715A" w14:paraId="137246D7"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2D59FFF2" w14:textId="3CFEB5A3" w:rsidR="00D27FEC" w:rsidRDefault="00D27FEC" w:rsidP="00E40CBB">
            <w:pPr>
              <w:spacing w:after="40"/>
              <w:rPr>
                <w:rFonts w:cs="Arial"/>
                <w:b/>
              </w:rPr>
            </w:pPr>
            <w:r>
              <w:rPr>
                <w:rFonts w:cs="Arial"/>
                <w:b/>
              </w:rPr>
              <w:t>GDA2020</w:t>
            </w:r>
          </w:p>
        </w:tc>
        <w:tc>
          <w:tcPr>
            <w:tcW w:w="7655" w:type="dxa"/>
          </w:tcPr>
          <w:p w14:paraId="70BCBB81" w14:textId="2E1F55D5" w:rsidR="00D27FEC" w:rsidRDefault="00D27FEC" w:rsidP="00E40CBB">
            <w:pPr>
              <w:spacing w:after="40"/>
            </w:pPr>
            <w:r w:rsidRPr="00E3715A">
              <w:rPr>
                <w:rFonts w:cs="Arial"/>
                <w:szCs w:val="22"/>
              </w:rPr>
              <w:t>Geocentric Datum of Australia</w:t>
            </w:r>
            <w:r>
              <w:rPr>
                <w:rFonts w:cs="Arial"/>
                <w:szCs w:val="22"/>
              </w:rPr>
              <w:t xml:space="preserve"> 2020</w:t>
            </w:r>
            <w:r w:rsidR="00242B32">
              <w:rPr>
                <w:rFonts w:cs="Arial"/>
                <w:szCs w:val="22"/>
              </w:rPr>
              <w:t>.</w:t>
            </w:r>
          </w:p>
        </w:tc>
      </w:tr>
      <w:tr w:rsidR="00D27FEC" w:rsidRPr="00E3715A" w14:paraId="559BF862"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1A9E8EFA" w14:textId="58A8F2F9" w:rsidR="00D27FEC" w:rsidRPr="00E3715A" w:rsidRDefault="00D27FEC" w:rsidP="00E40CBB">
            <w:pPr>
              <w:spacing w:after="40"/>
              <w:rPr>
                <w:rFonts w:cs="Arial"/>
                <w:b/>
              </w:rPr>
            </w:pPr>
            <w:r>
              <w:rPr>
                <w:rFonts w:cs="Arial"/>
                <w:b/>
              </w:rPr>
              <w:t>HCIS</w:t>
            </w:r>
          </w:p>
        </w:tc>
        <w:tc>
          <w:tcPr>
            <w:tcW w:w="7655" w:type="dxa"/>
          </w:tcPr>
          <w:p w14:paraId="4FDFBE7F" w14:textId="0304C32C" w:rsidR="00D27FEC" w:rsidRDefault="00D27FEC" w:rsidP="00E40CBB">
            <w:pPr>
              <w:spacing w:after="40"/>
              <w:rPr>
                <w:rFonts w:cs="Arial"/>
              </w:rPr>
            </w:pPr>
            <w:r>
              <w:t>Hierarchical Cell Identification Scheme</w:t>
            </w:r>
            <w:r w:rsidR="00CE34B9">
              <w:t>:</w:t>
            </w:r>
            <w:r>
              <w:t xml:space="preserve"> </w:t>
            </w:r>
            <w:r w:rsidR="00574262">
              <w:t>t</w:t>
            </w:r>
            <w:r>
              <w:t>he cell grouping hierarchy scheme used to describe geographic areas in the Australian Spectrum Map Grid 2012 published by the ACMA, as existing from time to time</w:t>
            </w:r>
            <w:r w:rsidR="00242B32">
              <w:t>.</w:t>
            </w:r>
          </w:p>
        </w:tc>
      </w:tr>
      <w:tr w:rsidR="00D27FEC" w:rsidRPr="00E3715A" w14:paraId="4ED1816B"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7F73E2D2" w14:textId="77777777" w:rsidR="00D27FEC" w:rsidRPr="00E3715A" w:rsidRDefault="00D27FEC" w:rsidP="00E40CBB">
            <w:pPr>
              <w:spacing w:after="40"/>
              <w:rPr>
                <w:rFonts w:cs="Arial"/>
                <w:b/>
              </w:rPr>
            </w:pPr>
            <w:r w:rsidRPr="00E3715A">
              <w:rPr>
                <w:rFonts w:cs="Arial"/>
                <w:b/>
              </w:rPr>
              <w:t>IIC</w:t>
            </w:r>
          </w:p>
        </w:tc>
        <w:tc>
          <w:tcPr>
            <w:tcW w:w="7655" w:type="dxa"/>
          </w:tcPr>
          <w:p w14:paraId="1BD17DBD" w14:textId="218EE0DA" w:rsidR="00D27FEC" w:rsidRPr="00E3715A" w:rsidRDefault="00D27FEC" w:rsidP="00E40CBB">
            <w:pPr>
              <w:spacing w:after="40"/>
              <w:rPr>
                <w:rFonts w:cs="Arial"/>
                <w:b/>
              </w:rPr>
            </w:pPr>
            <w:r>
              <w:rPr>
                <w:rFonts w:cs="Arial"/>
              </w:rPr>
              <w:t>I</w:t>
            </w:r>
            <w:r w:rsidRPr="00E3715A">
              <w:rPr>
                <w:rFonts w:cs="Arial"/>
              </w:rPr>
              <w:t>nterference impact certificate</w:t>
            </w:r>
            <w:r>
              <w:rPr>
                <w:rFonts w:cs="Arial"/>
              </w:rPr>
              <w:t xml:space="preserve">. An IIC is required for any </w:t>
            </w:r>
            <w:r w:rsidR="00FF391D" w:rsidRPr="00FF391D">
              <w:rPr>
                <w:rFonts w:cs="Arial"/>
              </w:rPr>
              <w:t>radiocommunications</w:t>
            </w:r>
            <w:r w:rsidR="00FF391D">
              <w:rPr>
                <w:rFonts w:cs="Arial"/>
              </w:rPr>
              <w:t xml:space="preserve"> transmitter </w:t>
            </w:r>
            <w:r>
              <w:rPr>
                <w:rFonts w:cs="Arial"/>
              </w:rPr>
              <w:t>under a spectrum licence</w:t>
            </w:r>
            <w:r w:rsidR="00CE34B9">
              <w:rPr>
                <w:rFonts w:cs="Arial"/>
              </w:rPr>
              <w:t>,</w:t>
            </w:r>
            <w:r>
              <w:rPr>
                <w:rFonts w:cs="Arial"/>
              </w:rPr>
              <w:t xml:space="preserve"> unless it is exempt. More information about IICs is on</w:t>
            </w:r>
            <w:r w:rsidR="00CE34B9">
              <w:rPr>
                <w:rFonts w:cs="Arial"/>
              </w:rPr>
              <w:t xml:space="preserve"> the</w:t>
            </w:r>
            <w:r>
              <w:rPr>
                <w:rFonts w:cs="Arial"/>
              </w:rPr>
              <w:t xml:space="preserve"> </w:t>
            </w:r>
            <w:hyperlink r:id="rId65" w:history="1">
              <w:r w:rsidRPr="00F82FB5">
                <w:rPr>
                  <w:rStyle w:val="Hyperlink"/>
                  <w:rFonts w:cs="Arial"/>
                </w:rPr>
                <w:t>ACMA website</w:t>
              </w:r>
            </w:hyperlink>
            <w:r>
              <w:rPr>
                <w:rFonts w:cs="Arial"/>
              </w:rPr>
              <w:t>.</w:t>
            </w:r>
          </w:p>
        </w:tc>
      </w:tr>
      <w:tr w:rsidR="00D27FEC" w:rsidRPr="00E3715A" w14:paraId="61AD30C2"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565EC3D5" w14:textId="77777777" w:rsidR="00D27FEC" w:rsidRPr="00E3715A" w:rsidRDefault="00D27FEC" w:rsidP="00E40CBB">
            <w:pPr>
              <w:spacing w:after="40"/>
              <w:rPr>
                <w:rFonts w:cs="Arial"/>
                <w:b/>
              </w:rPr>
            </w:pPr>
            <w:r w:rsidRPr="00E3715A">
              <w:rPr>
                <w:rFonts w:cs="Arial"/>
                <w:b/>
              </w:rPr>
              <w:t>ITU</w:t>
            </w:r>
          </w:p>
        </w:tc>
        <w:tc>
          <w:tcPr>
            <w:tcW w:w="7655" w:type="dxa"/>
          </w:tcPr>
          <w:p w14:paraId="0C8B93AE" w14:textId="1A9DDA62" w:rsidR="00D27FEC" w:rsidRPr="00E3715A" w:rsidRDefault="0070702D" w:rsidP="00E40CBB">
            <w:pPr>
              <w:spacing w:after="40"/>
              <w:rPr>
                <w:rFonts w:cs="Arial"/>
                <w:b/>
                <w:szCs w:val="20"/>
              </w:rPr>
            </w:pPr>
            <w:hyperlink r:id="rId66" w:history="1">
              <w:r w:rsidR="00D27FEC" w:rsidRPr="00E3715A">
                <w:rPr>
                  <w:rStyle w:val="Hyperlink"/>
                  <w:rFonts w:cs="Arial"/>
                  <w:szCs w:val="20"/>
                </w:rPr>
                <w:t>International Telecommunication Union</w:t>
              </w:r>
            </w:hyperlink>
            <w:r w:rsidR="00242B32">
              <w:rPr>
                <w:rFonts w:cs="Arial"/>
              </w:rPr>
              <w:t>.</w:t>
            </w:r>
          </w:p>
        </w:tc>
      </w:tr>
      <w:tr w:rsidR="00363640" w:rsidRPr="00E3715A" w14:paraId="64E1EBD4"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62E8E15D" w14:textId="7F465865" w:rsidR="00363640" w:rsidRPr="00E3715A" w:rsidRDefault="00363640" w:rsidP="00363640">
            <w:pPr>
              <w:spacing w:after="40"/>
              <w:rPr>
                <w:rFonts w:cs="Arial"/>
                <w:b/>
              </w:rPr>
            </w:pPr>
            <w:r w:rsidRPr="00E3715A">
              <w:rPr>
                <w:rFonts w:cs="Arial"/>
                <w:b/>
              </w:rPr>
              <w:t xml:space="preserve">ITU </w:t>
            </w:r>
            <w:r w:rsidR="00AD4B3E">
              <w:rPr>
                <w:rFonts w:cs="Arial"/>
                <w:b/>
              </w:rPr>
              <w:t xml:space="preserve">Constitution and </w:t>
            </w:r>
            <w:r w:rsidRPr="00E3715A">
              <w:rPr>
                <w:rFonts w:cs="Arial"/>
                <w:b/>
              </w:rPr>
              <w:t>Convention</w:t>
            </w:r>
          </w:p>
        </w:tc>
        <w:tc>
          <w:tcPr>
            <w:tcW w:w="7655" w:type="dxa"/>
          </w:tcPr>
          <w:p w14:paraId="1B1A8EB8" w14:textId="74251DC0" w:rsidR="00363640" w:rsidRDefault="00363640" w:rsidP="00363640">
            <w:pPr>
              <w:spacing w:after="40"/>
            </w:pPr>
            <w:r w:rsidRPr="00E3715A">
              <w:rPr>
                <w:rFonts w:cs="Arial"/>
              </w:rPr>
              <w:t>Constitution and Convention of the International Telecommunication Union, to which Australia became a signatory in 1922</w:t>
            </w:r>
            <w:r>
              <w:rPr>
                <w:rFonts w:cs="Arial"/>
              </w:rPr>
              <w:t>.</w:t>
            </w:r>
          </w:p>
        </w:tc>
      </w:tr>
      <w:tr w:rsidR="00D27FEC" w:rsidRPr="00E3715A" w14:paraId="79897859"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4C34654E" w14:textId="77777777" w:rsidR="00D27FEC" w:rsidRPr="00E3715A" w:rsidRDefault="00D27FEC" w:rsidP="00E40CBB">
            <w:pPr>
              <w:spacing w:after="40"/>
              <w:rPr>
                <w:rFonts w:cs="Arial"/>
                <w:b/>
              </w:rPr>
            </w:pPr>
            <w:r w:rsidRPr="00E3715A">
              <w:rPr>
                <w:rFonts w:cs="Arial"/>
                <w:b/>
              </w:rPr>
              <w:t>ITU Radio Regulations</w:t>
            </w:r>
          </w:p>
        </w:tc>
        <w:tc>
          <w:tcPr>
            <w:tcW w:w="7655" w:type="dxa"/>
          </w:tcPr>
          <w:p w14:paraId="111F5195" w14:textId="4E44FC76" w:rsidR="00D27FEC" w:rsidRPr="00E3715A" w:rsidRDefault="0070702D" w:rsidP="00E40CBB">
            <w:pPr>
              <w:spacing w:after="40"/>
              <w:rPr>
                <w:rFonts w:cs="Arial"/>
                <w:b/>
              </w:rPr>
            </w:pPr>
            <w:hyperlink r:id="rId67" w:history="1">
              <w:r w:rsidR="00D27FEC">
                <w:rPr>
                  <w:rStyle w:val="Hyperlink"/>
                  <w:rFonts w:cs="Arial"/>
                </w:rPr>
                <w:t>A</w:t>
              </w:r>
              <w:r w:rsidR="00D27FEC" w:rsidRPr="00FE6FD0">
                <w:rPr>
                  <w:rStyle w:val="Hyperlink"/>
                  <w:rFonts w:cs="Arial"/>
                </w:rPr>
                <w:t xml:space="preserve"> document in </w:t>
              </w:r>
              <w:r w:rsidR="00CE34B9">
                <w:rPr>
                  <w:rStyle w:val="Hyperlink"/>
                  <w:rFonts w:cs="Arial"/>
                </w:rPr>
                <w:t>4</w:t>
              </w:r>
              <w:r w:rsidR="00CE34B9" w:rsidRPr="00FE6FD0">
                <w:rPr>
                  <w:rStyle w:val="Hyperlink"/>
                  <w:rFonts w:cs="Arial"/>
                </w:rPr>
                <w:t xml:space="preserve"> </w:t>
              </w:r>
              <w:r w:rsidR="00D27FEC" w:rsidRPr="00FE6FD0">
                <w:rPr>
                  <w:rStyle w:val="Hyperlink"/>
                  <w:rFonts w:cs="Arial"/>
                </w:rPr>
                <w:t>volumes</w:t>
              </w:r>
            </w:hyperlink>
            <w:r w:rsidR="00D27FEC" w:rsidRPr="00E3715A">
              <w:rPr>
                <w:rFonts w:cs="Arial"/>
              </w:rPr>
              <w:t xml:space="preserve"> that contains articles, appendices, resolutions and recommendations of the ITU relating to international radiocommunications coordination</w:t>
            </w:r>
            <w:r w:rsidR="00242B32">
              <w:rPr>
                <w:rFonts w:cs="Arial"/>
              </w:rPr>
              <w:t>.</w:t>
            </w:r>
          </w:p>
        </w:tc>
      </w:tr>
      <w:tr w:rsidR="00D27FEC" w:rsidRPr="00E3715A" w14:paraId="402FDFE5"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60C2A1B7" w14:textId="77777777" w:rsidR="00D27FEC" w:rsidRPr="00E3715A" w:rsidRDefault="00D27FEC" w:rsidP="00E40CBB">
            <w:pPr>
              <w:spacing w:after="40"/>
              <w:rPr>
                <w:rFonts w:cs="Arial"/>
                <w:b/>
              </w:rPr>
            </w:pPr>
            <w:r w:rsidRPr="00E3715A">
              <w:rPr>
                <w:rFonts w:cs="Arial"/>
                <w:b/>
              </w:rPr>
              <w:lastRenderedPageBreak/>
              <w:t>MCB</w:t>
            </w:r>
          </w:p>
        </w:tc>
        <w:tc>
          <w:tcPr>
            <w:tcW w:w="7655" w:type="dxa"/>
          </w:tcPr>
          <w:p w14:paraId="25C2E09E" w14:textId="4E938D3A" w:rsidR="00D27FEC" w:rsidRPr="00B26559" w:rsidRDefault="00D27FEC" w:rsidP="00E40CBB">
            <w:pPr>
              <w:spacing w:after="40"/>
              <w:rPr>
                <w:rFonts w:cs="Arial"/>
                <w:i/>
                <w:iCs/>
              </w:rPr>
            </w:pPr>
            <w:r>
              <w:rPr>
                <w:rFonts w:cs="Arial"/>
              </w:rPr>
              <w:t>M</w:t>
            </w:r>
            <w:r w:rsidRPr="00E3715A">
              <w:rPr>
                <w:rFonts w:cs="Arial"/>
              </w:rPr>
              <w:t>inimum contiguous bandwidth</w:t>
            </w:r>
            <w:r w:rsidR="00242B32">
              <w:rPr>
                <w:rFonts w:cs="Arial"/>
              </w:rPr>
              <w:t>.</w:t>
            </w:r>
            <w:r w:rsidR="00DE397A">
              <w:rPr>
                <w:rFonts w:cs="Arial"/>
              </w:rPr>
              <w:t xml:space="preserve"> The MCB for each band is detailed in the </w:t>
            </w:r>
            <w:hyperlink r:id="rId68" w:history="1">
              <w:r w:rsidR="00DE397A" w:rsidRPr="00236BE2">
                <w:rPr>
                  <w:rStyle w:val="Hyperlink"/>
                  <w:rFonts w:cs="Arial"/>
                </w:rPr>
                <w:t>Radiocommunications (Trading Rules for Spectrum Licences) Determination 2023</w:t>
              </w:r>
            </w:hyperlink>
            <w:r w:rsidR="00DE397A">
              <w:rPr>
                <w:rFonts w:cs="Arial"/>
                <w:i/>
                <w:iCs/>
              </w:rPr>
              <w:t>.</w:t>
            </w:r>
          </w:p>
        </w:tc>
      </w:tr>
      <w:tr w:rsidR="007D7139" w:rsidRPr="00E3715A" w14:paraId="606ADA7B"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5B98F05F" w14:textId="462C0F03" w:rsidR="007D7139" w:rsidRDefault="007D7139" w:rsidP="007D7139">
            <w:pPr>
              <w:spacing w:after="40"/>
              <w:rPr>
                <w:rFonts w:cs="Arial"/>
                <w:b/>
              </w:rPr>
            </w:pPr>
            <w:r w:rsidRPr="00E3715A">
              <w:rPr>
                <w:rFonts w:cs="Arial"/>
                <w:b/>
              </w:rPr>
              <w:t>Radiocommunications Act</w:t>
            </w:r>
          </w:p>
        </w:tc>
        <w:tc>
          <w:tcPr>
            <w:tcW w:w="7655" w:type="dxa"/>
          </w:tcPr>
          <w:p w14:paraId="154A59FC" w14:textId="2348BCB6" w:rsidR="007D7139" w:rsidRDefault="0070702D" w:rsidP="007D7139">
            <w:pPr>
              <w:spacing w:after="40"/>
              <w:rPr>
                <w:rFonts w:cs="Arial"/>
              </w:rPr>
            </w:pPr>
            <w:hyperlink r:id="rId69" w:history="1">
              <w:r w:rsidR="007D7139" w:rsidRPr="00616CA1">
                <w:rPr>
                  <w:rStyle w:val="Hyperlink"/>
                  <w:rFonts w:cs="Arial"/>
                  <w:i/>
                </w:rPr>
                <w:t>Radiocommunications Act 1992</w:t>
              </w:r>
            </w:hyperlink>
            <w:r w:rsidR="007D7139">
              <w:rPr>
                <w:rFonts w:cs="Arial"/>
                <w:i/>
              </w:rPr>
              <w:t>,</w:t>
            </w:r>
            <w:r w:rsidR="007D7139" w:rsidRPr="00E3715A">
              <w:rPr>
                <w:rFonts w:cs="Arial"/>
              </w:rPr>
              <w:t xml:space="preserve"> </w:t>
            </w:r>
            <w:r w:rsidR="007D7139">
              <w:rPr>
                <w:rFonts w:cs="Arial"/>
              </w:rPr>
              <w:t xml:space="preserve">as registered on the Federal Register of Legislation. </w:t>
            </w:r>
          </w:p>
        </w:tc>
      </w:tr>
      <w:tr w:rsidR="00D27FEC" w:rsidRPr="00E3715A" w14:paraId="7D219E11"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02073057" w14:textId="4E9733D9" w:rsidR="00D27FEC" w:rsidRPr="00E3715A" w:rsidRDefault="00340CE4" w:rsidP="00E40CBB">
            <w:pPr>
              <w:spacing w:after="40"/>
              <w:rPr>
                <w:rFonts w:cs="Arial"/>
                <w:b/>
              </w:rPr>
            </w:pPr>
            <w:r>
              <w:rPr>
                <w:rFonts w:cs="Arial"/>
                <w:b/>
              </w:rPr>
              <w:t>r</w:t>
            </w:r>
            <w:r w:rsidR="00D27FEC" w:rsidRPr="00E3715A">
              <w:rPr>
                <w:rFonts w:cs="Arial"/>
                <w:b/>
              </w:rPr>
              <w:t>adiocommunications advisory guidelines</w:t>
            </w:r>
          </w:p>
        </w:tc>
        <w:tc>
          <w:tcPr>
            <w:tcW w:w="7655" w:type="dxa"/>
          </w:tcPr>
          <w:p w14:paraId="68D637A5" w14:textId="299D9BEA" w:rsidR="00D27FEC" w:rsidRPr="00E3715A" w:rsidRDefault="00D27FEC" w:rsidP="00E40CBB">
            <w:pPr>
              <w:spacing w:after="40"/>
              <w:rPr>
                <w:rFonts w:cs="Arial"/>
              </w:rPr>
            </w:pPr>
            <w:r>
              <w:rPr>
                <w:rFonts w:cs="Arial"/>
              </w:rPr>
              <w:t>G</w:t>
            </w:r>
            <w:r w:rsidRPr="00E3715A">
              <w:rPr>
                <w:rFonts w:cs="Arial"/>
              </w:rPr>
              <w:t xml:space="preserve">uidelines made under section 262 of the </w:t>
            </w:r>
            <w:r>
              <w:rPr>
                <w:rFonts w:cs="Arial"/>
              </w:rPr>
              <w:t>Act</w:t>
            </w:r>
            <w:r w:rsidRPr="00E3715A">
              <w:rPr>
                <w:rFonts w:cs="Arial"/>
              </w:rPr>
              <w:t xml:space="preserve"> that provide assistance and advice for coordinating with </w:t>
            </w:r>
            <w:r w:rsidR="00992AFF" w:rsidRPr="00992AFF">
              <w:rPr>
                <w:rFonts w:cs="Arial"/>
              </w:rPr>
              <w:t>radiocommunications</w:t>
            </w:r>
            <w:r w:rsidR="00992AFF">
              <w:rPr>
                <w:rFonts w:cs="Arial"/>
              </w:rPr>
              <w:t xml:space="preserve"> devices </w:t>
            </w:r>
            <w:r w:rsidRPr="00E3715A">
              <w:rPr>
                <w:rFonts w:cs="Arial"/>
              </w:rPr>
              <w:t xml:space="preserve">or </w:t>
            </w:r>
            <w:r w:rsidR="00992AFF" w:rsidRPr="00992AFF">
              <w:rPr>
                <w:rFonts w:cs="Arial"/>
              </w:rPr>
              <w:t>radiocommunications</w:t>
            </w:r>
            <w:r w:rsidR="00992AFF">
              <w:rPr>
                <w:rFonts w:cs="Arial"/>
              </w:rPr>
              <w:t xml:space="preserve"> </w:t>
            </w:r>
            <w:r w:rsidRPr="00E3715A">
              <w:rPr>
                <w:rFonts w:cs="Arial"/>
              </w:rPr>
              <w:t xml:space="preserve">services </w:t>
            </w:r>
            <w:r w:rsidR="00CE34B9">
              <w:rPr>
                <w:rFonts w:cs="Arial"/>
              </w:rPr>
              <w:br/>
            </w:r>
            <w:r w:rsidRPr="00E3715A">
              <w:rPr>
                <w:rFonts w:cs="Arial"/>
              </w:rPr>
              <w:t>as required</w:t>
            </w:r>
            <w:r w:rsidR="0090748D">
              <w:rPr>
                <w:rFonts w:cs="Arial"/>
              </w:rPr>
              <w:t>.</w:t>
            </w:r>
          </w:p>
        </w:tc>
      </w:tr>
      <w:tr w:rsidR="00D27FEC" w:rsidRPr="00E3715A" w14:paraId="23D38CE1"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71228F64" w14:textId="77777777" w:rsidR="00D27FEC" w:rsidRPr="00E3715A" w:rsidRDefault="00D27FEC" w:rsidP="00E40CBB">
            <w:pPr>
              <w:spacing w:after="40"/>
              <w:rPr>
                <w:rFonts w:cs="Arial"/>
                <w:b/>
              </w:rPr>
            </w:pPr>
            <w:r w:rsidRPr="00E3715A">
              <w:rPr>
                <w:rFonts w:cs="Arial"/>
                <w:b/>
              </w:rPr>
              <w:t>RALI</w:t>
            </w:r>
          </w:p>
        </w:tc>
        <w:tc>
          <w:tcPr>
            <w:tcW w:w="7655" w:type="dxa"/>
          </w:tcPr>
          <w:p w14:paraId="55E3EBA2" w14:textId="152EEEA5" w:rsidR="00D27FEC" w:rsidRPr="00E3715A" w:rsidRDefault="00D27FEC" w:rsidP="00E40CBB">
            <w:pPr>
              <w:spacing w:after="40"/>
              <w:rPr>
                <w:rFonts w:cs="Arial"/>
                <w:b/>
              </w:rPr>
            </w:pPr>
            <w:r w:rsidRPr="00E3715A">
              <w:rPr>
                <w:rFonts w:cs="Arial"/>
              </w:rPr>
              <w:t>Radiocommunications Assignment and Licensing Instruction</w:t>
            </w:r>
            <w:r>
              <w:rPr>
                <w:rFonts w:cs="Arial"/>
              </w:rPr>
              <w:t>. RALIs contain the rules to licence and coordinate frequenc</w:t>
            </w:r>
            <w:r w:rsidR="00EC2051">
              <w:rPr>
                <w:rFonts w:cs="Arial"/>
              </w:rPr>
              <w:t>ies</w:t>
            </w:r>
            <w:r>
              <w:rPr>
                <w:rFonts w:cs="Arial"/>
              </w:rPr>
              <w:t xml:space="preserve"> between </w:t>
            </w:r>
            <w:r w:rsidR="00FB1DDF" w:rsidRPr="00FB1DDF">
              <w:rPr>
                <w:rFonts w:cs="Arial"/>
              </w:rPr>
              <w:t>radiocommunications</w:t>
            </w:r>
            <w:r w:rsidR="00FB1DDF">
              <w:rPr>
                <w:rFonts w:cs="Arial"/>
              </w:rPr>
              <w:t xml:space="preserve"> </w:t>
            </w:r>
            <w:r>
              <w:rPr>
                <w:rFonts w:cs="Arial"/>
              </w:rPr>
              <w:t xml:space="preserve">services in a </w:t>
            </w:r>
            <w:r w:rsidR="007A3044">
              <w:rPr>
                <w:rFonts w:cs="Arial"/>
              </w:rPr>
              <w:t xml:space="preserve">frequency </w:t>
            </w:r>
            <w:r>
              <w:rPr>
                <w:rFonts w:cs="Arial"/>
              </w:rPr>
              <w:t>band. More information about RALIs, as well as a list of RALIs, can be found on</w:t>
            </w:r>
            <w:r w:rsidR="00CE34B9">
              <w:rPr>
                <w:rFonts w:cs="Arial"/>
              </w:rPr>
              <w:t xml:space="preserve"> the</w:t>
            </w:r>
            <w:r>
              <w:rPr>
                <w:rFonts w:cs="Arial"/>
              </w:rPr>
              <w:t xml:space="preserve"> </w:t>
            </w:r>
            <w:hyperlink r:id="rId70" w:anchor=":~:text=Radiocommunications%20assignment%20and%20licensing%20instructions,interference%20when%20they%20assign%20frequency." w:history="1">
              <w:r w:rsidRPr="008E30E2">
                <w:rPr>
                  <w:rStyle w:val="Hyperlink"/>
                  <w:rFonts w:cs="Arial"/>
                </w:rPr>
                <w:t>ACMA website</w:t>
              </w:r>
            </w:hyperlink>
            <w:r>
              <w:rPr>
                <w:rFonts w:cs="Arial"/>
              </w:rPr>
              <w:t>.</w:t>
            </w:r>
          </w:p>
        </w:tc>
      </w:tr>
      <w:tr w:rsidR="00D27FEC" w:rsidRPr="00E3715A" w14:paraId="146B25BF"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05D06437" w14:textId="77777777" w:rsidR="00D27FEC" w:rsidRPr="00E3715A" w:rsidRDefault="00D27FEC" w:rsidP="00E40CBB">
            <w:pPr>
              <w:spacing w:after="40"/>
              <w:rPr>
                <w:rFonts w:cs="Arial"/>
                <w:b/>
              </w:rPr>
            </w:pPr>
            <w:r w:rsidRPr="00E3715A">
              <w:rPr>
                <w:rFonts w:cs="Arial"/>
                <w:b/>
              </w:rPr>
              <w:t>RQZ</w:t>
            </w:r>
          </w:p>
        </w:tc>
        <w:tc>
          <w:tcPr>
            <w:tcW w:w="7655" w:type="dxa"/>
          </w:tcPr>
          <w:p w14:paraId="26A1489B" w14:textId="5394DE8A" w:rsidR="00D27FEC" w:rsidRPr="00E3715A" w:rsidRDefault="00D27FEC" w:rsidP="00E40CBB">
            <w:pPr>
              <w:spacing w:after="40"/>
              <w:rPr>
                <w:rFonts w:cs="Arial"/>
                <w:b/>
              </w:rPr>
            </w:pPr>
            <w:r>
              <w:rPr>
                <w:rFonts w:cs="Arial"/>
              </w:rPr>
              <w:t>R</w:t>
            </w:r>
            <w:r w:rsidRPr="00E3715A">
              <w:rPr>
                <w:rFonts w:cs="Arial"/>
              </w:rPr>
              <w:t>adio quiet zone</w:t>
            </w:r>
            <w:r w:rsidR="00DF4EE7">
              <w:rPr>
                <w:rFonts w:cs="Arial"/>
              </w:rPr>
              <w:t>.</w:t>
            </w:r>
          </w:p>
        </w:tc>
      </w:tr>
      <w:tr w:rsidR="00D27FEC" w:rsidRPr="00E3715A" w14:paraId="04736BDE"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6D93D624" w14:textId="77777777" w:rsidR="00D27FEC" w:rsidRPr="00E3715A" w:rsidRDefault="00D27FEC" w:rsidP="00E40CBB">
            <w:pPr>
              <w:spacing w:after="40"/>
              <w:rPr>
                <w:rFonts w:cs="Arial"/>
                <w:b/>
              </w:rPr>
            </w:pPr>
            <w:r w:rsidRPr="00E3715A">
              <w:rPr>
                <w:rFonts w:cs="Arial"/>
                <w:b/>
              </w:rPr>
              <w:t>RRL</w:t>
            </w:r>
          </w:p>
        </w:tc>
        <w:tc>
          <w:tcPr>
            <w:tcW w:w="7655" w:type="dxa"/>
          </w:tcPr>
          <w:p w14:paraId="5B8B2766" w14:textId="0C98C566" w:rsidR="00D27FEC" w:rsidRPr="00E3715A" w:rsidRDefault="00D27FEC" w:rsidP="00E40CBB">
            <w:pPr>
              <w:spacing w:after="40"/>
              <w:rPr>
                <w:rFonts w:cs="Arial"/>
                <w:b/>
              </w:rPr>
            </w:pPr>
            <w:r>
              <w:rPr>
                <w:rFonts w:cs="Arial"/>
              </w:rPr>
              <w:t>R</w:t>
            </w:r>
            <w:r w:rsidRPr="00E3715A">
              <w:rPr>
                <w:rFonts w:cs="Arial"/>
              </w:rPr>
              <w:t xml:space="preserve">egister of </w:t>
            </w:r>
            <w:r w:rsidR="00CC783A">
              <w:rPr>
                <w:rFonts w:cs="Arial"/>
              </w:rPr>
              <w:t>R</w:t>
            </w:r>
            <w:r w:rsidRPr="00E3715A">
              <w:rPr>
                <w:rFonts w:cs="Arial"/>
              </w:rPr>
              <w:t xml:space="preserve">adiocommunications </w:t>
            </w:r>
            <w:r w:rsidR="00CC783A">
              <w:rPr>
                <w:rFonts w:cs="Arial"/>
              </w:rPr>
              <w:t>L</w:t>
            </w:r>
            <w:r w:rsidRPr="00E3715A">
              <w:rPr>
                <w:rFonts w:cs="Arial"/>
              </w:rPr>
              <w:t>icences</w:t>
            </w:r>
            <w:r>
              <w:rPr>
                <w:rFonts w:cs="Arial"/>
              </w:rPr>
              <w:t xml:space="preserve">. The </w:t>
            </w:r>
            <w:hyperlink r:id="rId71" w:history="1">
              <w:r w:rsidRPr="006245CB">
                <w:rPr>
                  <w:rStyle w:val="Hyperlink"/>
                  <w:rFonts w:cs="Arial"/>
                </w:rPr>
                <w:t>RRL</w:t>
              </w:r>
            </w:hyperlink>
            <w:r>
              <w:rPr>
                <w:rFonts w:cs="Arial"/>
              </w:rPr>
              <w:t xml:space="preserve"> contains the details of all licensed radio services in Australia, and is maintained by the ACMA in accordance with Part 3.5 of the Act. </w:t>
            </w:r>
          </w:p>
        </w:tc>
      </w:tr>
      <w:tr w:rsidR="00D27FEC" w:rsidRPr="00E3715A" w14:paraId="1844FA2F"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5AFDE822" w14:textId="4E7380D7" w:rsidR="00D27FEC" w:rsidRPr="00E3715A" w:rsidRDefault="00906B9B" w:rsidP="00E40CBB">
            <w:pPr>
              <w:spacing w:after="40"/>
              <w:rPr>
                <w:rFonts w:cs="Arial"/>
                <w:b/>
              </w:rPr>
            </w:pPr>
            <w:r>
              <w:rPr>
                <w:rFonts w:cs="Arial"/>
                <w:b/>
              </w:rPr>
              <w:t>s</w:t>
            </w:r>
            <w:r w:rsidR="00D27FEC" w:rsidRPr="00E3715A">
              <w:rPr>
                <w:rFonts w:cs="Arial"/>
                <w:b/>
              </w:rPr>
              <w:t>pectrum licence</w:t>
            </w:r>
          </w:p>
        </w:tc>
        <w:tc>
          <w:tcPr>
            <w:tcW w:w="7655" w:type="dxa"/>
          </w:tcPr>
          <w:p w14:paraId="59BF3AF0" w14:textId="60F3ACD0" w:rsidR="00D27FEC" w:rsidRPr="00E3715A" w:rsidRDefault="00D27FEC" w:rsidP="00E40CBB">
            <w:pPr>
              <w:spacing w:after="40"/>
              <w:rPr>
                <w:rFonts w:cs="Arial"/>
                <w:b/>
              </w:rPr>
            </w:pPr>
            <w:r>
              <w:rPr>
                <w:rFonts w:cs="Arial"/>
              </w:rPr>
              <w:t>A</w:t>
            </w:r>
            <w:r w:rsidRPr="00E3715A">
              <w:rPr>
                <w:rFonts w:cs="Arial"/>
              </w:rPr>
              <w:t xml:space="preserve"> spectrum licence issued under Part 3.2 of the </w:t>
            </w:r>
            <w:r>
              <w:rPr>
                <w:rFonts w:cs="Arial"/>
              </w:rPr>
              <w:t>Act</w:t>
            </w:r>
            <w:r w:rsidR="00853BA4">
              <w:rPr>
                <w:rFonts w:cs="Arial"/>
              </w:rPr>
              <w:t>.</w:t>
            </w:r>
          </w:p>
        </w:tc>
      </w:tr>
      <w:tr w:rsidR="00D27FEC" w:rsidRPr="00E3715A" w14:paraId="6272BE82"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64C16D50" w14:textId="5D1E6294" w:rsidR="00D27FEC" w:rsidRPr="00E3715A" w:rsidRDefault="00906B9B" w:rsidP="00E40CBB">
            <w:pPr>
              <w:spacing w:after="40"/>
              <w:rPr>
                <w:rFonts w:cs="Arial"/>
                <w:b/>
              </w:rPr>
            </w:pPr>
            <w:r>
              <w:rPr>
                <w:rFonts w:cs="Arial"/>
                <w:b/>
              </w:rPr>
              <w:t>s</w:t>
            </w:r>
            <w:r w:rsidR="00D27FEC">
              <w:rPr>
                <w:rFonts w:cs="Arial"/>
                <w:b/>
              </w:rPr>
              <w:t>pectrum space</w:t>
            </w:r>
          </w:p>
        </w:tc>
        <w:tc>
          <w:tcPr>
            <w:tcW w:w="7655" w:type="dxa"/>
          </w:tcPr>
          <w:p w14:paraId="6B8B84CE" w14:textId="0D7480F0" w:rsidR="00D27FEC" w:rsidRDefault="00D27FEC" w:rsidP="00E40CBB">
            <w:pPr>
              <w:spacing w:after="40"/>
              <w:rPr>
                <w:rFonts w:cs="Arial"/>
              </w:rPr>
            </w:pPr>
            <w:r>
              <w:rPr>
                <w:rFonts w:cs="Arial"/>
              </w:rPr>
              <w:t xml:space="preserve">A </w:t>
            </w:r>
            <w:r w:rsidR="00CE34B9">
              <w:rPr>
                <w:rFonts w:cs="Arial"/>
              </w:rPr>
              <w:t>3</w:t>
            </w:r>
            <w:r w:rsidR="00903C78">
              <w:rPr>
                <w:rFonts w:cs="Arial"/>
              </w:rPr>
              <w:t>-dimensional</w:t>
            </w:r>
            <w:r>
              <w:rPr>
                <w:rFonts w:cs="Arial"/>
              </w:rPr>
              <w:t xml:space="preserve"> space consisting of a specified frequency range in a defined geographic area. </w:t>
            </w:r>
            <w:r w:rsidR="004D3B44">
              <w:rPr>
                <w:rFonts w:cs="Arial"/>
              </w:rPr>
              <w:t xml:space="preserve">It is commonly used to define a frequency and area subject to spectrum licensing. </w:t>
            </w:r>
          </w:p>
        </w:tc>
      </w:tr>
      <w:tr w:rsidR="00D27FEC" w:rsidRPr="00E3715A" w14:paraId="0EC4F165"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293E8D41" w14:textId="77777777" w:rsidR="00D27FEC" w:rsidRPr="00E3715A" w:rsidRDefault="00D27FEC" w:rsidP="00E40CBB">
            <w:pPr>
              <w:spacing w:after="40"/>
              <w:rPr>
                <w:rFonts w:cs="Arial"/>
                <w:b/>
              </w:rPr>
            </w:pPr>
            <w:r w:rsidRPr="00E3715A">
              <w:rPr>
                <w:rFonts w:cs="Arial"/>
                <w:b/>
              </w:rPr>
              <w:t>STU</w:t>
            </w:r>
          </w:p>
        </w:tc>
        <w:tc>
          <w:tcPr>
            <w:tcW w:w="7655" w:type="dxa"/>
          </w:tcPr>
          <w:p w14:paraId="5FBDC895" w14:textId="320825E6" w:rsidR="00D27FEC" w:rsidRPr="00E3715A" w:rsidRDefault="00D27FEC" w:rsidP="0056186B">
            <w:pPr>
              <w:spacing w:after="40"/>
              <w:rPr>
                <w:rFonts w:cs="Arial"/>
              </w:rPr>
            </w:pPr>
            <w:r>
              <w:rPr>
                <w:rFonts w:cs="Arial"/>
              </w:rPr>
              <w:t>S</w:t>
            </w:r>
            <w:r w:rsidRPr="00E3715A">
              <w:rPr>
                <w:rFonts w:cs="Arial"/>
              </w:rPr>
              <w:t>tandard trading unit</w:t>
            </w:r>
            <w:r w:rsidR="00E0787F">
              <w:rPr>
                <w:rFonts w:cs="Arial"/>
              </w:rPr>
              <w:t>.</w:t>
            </w:r>
            <w:r w:rsidRPr="00E3715A">
              <w:rPr>
                <w:rFonts w:cs="Arial"/>
              </w:rPr>
              <w:t xml:space="preserve"> </w:t>
            </w:r>
          </w:p>
        </w:tc>
      </w:tr>
      <w:tr w:rsidR="00D27FEC" w:rsidRPr="00E3715A" w14:paraId="19B1D3A9"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346D6D6F" w14:textId="1BD3A4EC" w:rsidR="00D27FEC" w:rsidRPr="00E3715A" w:rsidRDefault="00AA4DF4" w:rsidP="00E40CBB">
            <w:pPr>
              <w:spacing w:after="40"/>
              <w:rPr>
                <w:rFonts w:cs="Arial"/>
                <w:b/>
              </w:rPr>
            </w:pPr>
            <w:r>
              <w:rPr>
                <w:rFonts w:cs="Arial"/>
                <w:b/>
              </w:rPr>
              <w:t>t</w:t>
            </w:r>
            <w:r w:rsidR="00D27FEC" w:rsidRPr="00E3715A">
              <w:rPr>
                <w:rFonts w:cs="Arial"/>
                <w:b/>
              </w:rPr>
              <w:t>echnical framework</w:t>
            </w:r>
          </w:p>
        </w:tc>
        <w:tc>
          <w:tcPr>
            <w:tcW w:w="7655" w:type="dxa"/>
          </w:tcPr>
          <w:p w14:paraId="650C0893" w14:textId="7023BF63" w:rsidR="00D27FEC" w:rsidRPr="00E3715A" w:rsidRDefault="00D27FEC" w:rsidP="00E40CBB">
            <w:pPr>
              <w:spacing w:after="40"/>
              <w:rPr>
                <w:rFonts w:cs="Arial"/>
                <w:b/>
              </w:rPr>
            </w:pPr>
            <w:r>
              <w:rPr>
                <w:rFonts w:cs="Arial"/>
              </w:rPr>
              <w:t>S</w:t>
            </w:r>
            <w:r w:rsidRPr="00E3715A">
              <w:rPr>
                <w:rFonts w:cs="Arial"/>
              </w:rPr>
              <w:t xml:space="preserve">pecifies the technical requirements for operating </w:t>
            </w:r>
            <w:r w:rsidR="00245322" w:rsidRPr="00245322">
              <w:rPr>
                <w:rFonts w:cs="Arial"/>
              </w:rPr>
              <w:t>radiocommunications</w:t>
            </w:r>
            <w:r w:rsidRPr="00E3715A">
              <w:rPr>
                <w:rFonts w:cs="Arial"/>
              </w:rPr>
              <w:t xml:space="preserve"> devices under a spectrum licence for the purpose of managing interference between users</w:t>
            </w:r>
            <w:r>
              <w:rPr>
                <w:rFonts w:cs="Arial"/>
              </w:rPr>
              <w:t>.</w:t>
            </w:r>
          </w:p>
        </w:tc>
      </w:tr>
      <w:tr w:rsidR="00D27FEC" w:rsidRPr="00E3715A" w14:paraId="4C6825FF" w14:textId="77777777" w:rsidTr="005F7159">
        <w:trPr>
          <w:cnfStyle w:val="000000100000" w:firstRow="0" w:lastRow="0" w:firstColumn="0" w:lastColumn="0" w:oddVBand="0" w:evenVBand="0" w:oddHBand="1" w:evenHBand="0" w:firstRowFirstColumn="0" w:firstRowLastColumn="0" w:lastRowFirstColumn="0" w:lastRowLastColumn="0"/>
        </w:trPr>
        <w:tc>
          <w:tcPr>
            <w:tcW w:w="2263" w:type="dxa"/>
          </w:tcPr>
          <w:p w14:paraId="5611AF38" w14:textId="2ECFD1B9" w:rsidR="00D27FEC" w:rsidRPr="00E3715A" w:rsidRDefault="00AA4DF4" w:rsidP="00E40CBB">
            <w:pPr>
              <w:spacing w:after="40"/>
              <w:rPr>
                <w:rFonts w:cs="Arial"/>
                <w:b/>
              </w:rPr>
            </w:pPr>
            <w:r>
              <w:rPr>
                <w:rFonts w:cs="Arial"/>
                <w:b/>
              </w:rPr>
              <w:t>t</w:t>
            </w:r>
            <w:r w:rsidR="00D27FEC" w:rsidRPr="00E3715A">
              <w:rPr>
                <w:rFonts w:cs="Arial"/>
                <w:b/>
              </w:rPr>
              <w:t>hird-party authorisation</w:t>
            </w:r>
          </w:p>
        </w:tc>
        <w:tc>
          <w:tcPr>
            <w:tcW w:w="7655" w:type="dxa"/>
          </w:tcPr>
          <w:p w14:paraId="7F7BD35A" w14:textId="1939EF2B" w:rsidR="00D27FEC" w:rsidRPr="00E3715A" w:rsidRDefault="00D27FEC" w:rsidP="00E40CBB">
            <w:pPr>
              <w:spacing w:after="40"/>
              <w:rPr>
                <w:rFonts w:cs="Arial"/>
                <w:b/>
              </w:rPr>
            </w:pPr>
            <w:r>
              <w:rPr>
                <w:rFonts w:cs="Arial"/>
              </w:rPr>
              <w:t>A</w:t>
            </w:r>
            <w:r w:rsidRPr="00E3715A">
              <w:rPr>
                <w:rFonts w:cs="Arial"/>
                <w:b/>
              </w:rPr>
              <w:t xml:space="preserve"> </w:t>
            </w:r>
            <w:r w:rsidRPr="00E3715A">
              <w:rPr>
                <w:rFonts w:cs="Arial"/>
              </w:rPr>
              <w:t>private agreement</w:t>
            </w:r>
            <w:r>
              <w:rPr>
                <w:rFonts w:cs="Arial"/>
              </w:rPr>
              <w:t xml:space="preserve"> </w:t>
            </w:r>
            <w:r w:rsidRPr="00E3715A">
              <w:rPr>
                <w:rFonts w:cs="Arial"/>
              </w:rPr>
              <w:t>that allows a spectrum or apparatus licensee to authorise another person or organisation (known as a third-party user) to operate a radiocommunications device under the licensee’s licence</w:t>
            </w:r>
            <w:r>
              <w:rPr>
                <w:rFonts w:cs="Arial"/>
              </w:rPr>
              <w:t>.</w:t>
            </w:r>
            <w:r w:rsidRPr="00E3715A">
              <w:rPr>
                <w:rFonts w:cs="Arial"/>
              </w:rPr>
              <w:t xml:space="preserve"> </w:t>
            </w:r>
            <w:r w:rsidR="00E41E1D">
              <w:rPr>
                <w:rFonts w:cs="Arial"/>
              </w:rPr>
              <w:t>Third</w:t>
            </w:r>
            <w:r w:rsidR="00CE34B9">
              <w:rPr>
                <w:rFonts w:cs="Arial"/>
              </w:rPr>
              <w:t>-</w:t>
            </w:r>
            <w:r w:rsidR="00E41E1D">
              <w:rPr>
                <w:rFonts w:cs="Arial"/>
              </w:rPr>
              <w:t>party authorisations for spectrum licences must be made in accordance with section 68 of the Act</w:t>
            </w:r>
            <w:r w:rsidR="00CE34B9">
              <w:rPr>
                <w:rFonts w:cs="Arial"/>
              </w:rPr>
              <w:t>. T</w:t>
            </w:r>
            <w:r w:rsidR="00E41E1D">
              <w:rPr>
                <w:rFonts w:cs="Arial"/>
              </w:rPr>
              <w:t>hird</w:t>
            </w:r>
            <w:r w:rsidR="00CE34B9">
              <w:rPr>
                <w:rFonts w:cs="Arial"/>
              </w:rPr>
              <w:t>-</w:t>
            </w:r>
            <w:r w:rsidR="00E41E1D">
              <w:rPr>
                <w:rFonts w:cs="Arial"/>
              </w:rPr>
              <w:t xml:space="preserve">party authorisations for apparatus licences must be made in accordance with </w:t>
            </w:r>
            <w:r w:rsidR="00282707">
              <w:rPr>
                <w:rFonts w:cs="Arial"/>
              </w:rPr>
              <w:t xml:space="preserve">Division 4 of Part 3.3 of the Act. </w:t>
            </w:r>
          </w:p>
        </w:tc>
      </w:tr>
      <w:tr w:rsidR="00D27FEC" w:rsidRPr="00E3715A" w14:paraId="458F9266" w14:textId="77777777" w:rsidTr="005F7159">
        <w:trPr>
          <w:cnfStyle w:val="000000010000" w:firstRow="0" w:lastRow="0" w:firstColumn="0" w:lastColumn="0" w:oddVBand="0" w:evenVBand="0" w:oddHBand="0" w:evenHBand="1" w:firstRowFirstColumn="0" w:firstRowLastColumn="0" w:lastRowFirstColumn="0" w:lastRowLastColumn="0"/>
        </w:trPr>
        <w:tc>
          <w:tcPr>
            <w:tcW w:w="2263" w:type="dxa"/>
          </w:tcPr>
          <w:p w14:paraId="1DFC3D77" w14:textId="6C10DB92" w:rsidR="00D27FEC" w:rsidRDefault="00D27FEC" w:rsidP="00E40CBB">
            <w:pPr>
              <w:spacing w:after="40"/>
              <w:rPr>
                <w:rFonts w:cs="Arial"/>
                <w:b/>
              </w:rPr>
            </w:pPr>
            <w:r>
              <w:rPr>
                <w:rFonts w:cs="Arial"/>
                <w:b/>
              </w:rPr>
              <w:t>TLG</w:t>
            </w:r>
          </w:p>
        </w:tc>
        <w:tc>
          <w:tcPr>
            <w:tcW w:w="7655" w:type="dxa"/>
          </w:tcPr>
          <w:p w14:paraId="70CEB8AC" w14:textId="587EAD0E" w:rsidR="00D27FEC" w:rsidRDefault="0070702D" w:rsidP="00E40CBB">
            <w:pPr>
              <w:spacing w:after="40"/>
              <w:rPr>
                <w:rFonts w:cs="Arial"/>
              </w:rPr>
            </w:pPr>
            <w:hyperlink r:id="rId72" w:history="1">
              <w:r w:rsidR="00D27FEC" w:rsidRPr="00DD0FBF">
                <w:rPr>
                  <w:rStyle w:val="Hyperlink"/>
                  <w:rFonts w:cs="Arial"/>
                </w:rPr>
                <w:t>Technical liaison group</w:t>
              </w:r>
            </w:hyperlink>
            <w:r w:rsidR="00D27FEC">
              <w:rPr>
                <w:rFonts w:cs="Arial"/>
              </w:rPr>
              <w:t xml:space="preserve">. </w:t>
            </w:r>
          </w:p>
        </w:tc>
      </w:tr>
      <w:bookmarkEnd w:id="7"/>
      <w:bookmarkEnd w:id="8"/>
    </w:tbl>
    <w:p w14:paraId="093971D3" w14:textId="6EA485DE" w:rsidR="007177FE" w:rsidRPr="00327469" w:rsidRDefault="007177FE" w:rsidP="00E40CBB">
      <w:pPr>
        <w:spacing w:line="240" w:lineRule="auto"/>
        <w:rPr>
          <w:rFonts w:cs="Arial"/>
          <w:b/>
          <w:i/>
        </w:rPr>
      </w:pPr>
    </w:p>
    <w:sectPr w:rsidR="007177FE" w:rsidRPr="00327469" w:rsidSect="00C77380">
      <w:headerReference w:type="even" r:id="rId73"/>
      <w:headerReference w:type="default" r:id="rId74"/>
      <w:footerReference w:type="even" r:id="rId75"/>
      <w:footerReference w:type="default" r:id="rId7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66153" w14:textId="77777777" w:rsidR="00A62B3A" w:rsidRDefault="00A62B3A">
      <w:r>
        <w:separator/>
      </w:r>
    </w:p>
  </w:endnote>
  <w:endnote w:type="continuationSeparator" w:id="0">
    <w:p w14:paraId="56F201DD" w14:textId="77777777" w:rsidR="00A62B3A" w:rsidRDefault="00A62B3A">
      <w:r>
        <w:continuationSeparator/>
      </w:r>
    </w:p>
  </w:endnote>
  <w:endnote w:type="continuationNotice" w:id="1">
    <w:p w14:paraId="7DEF604A" w14:textId="77777777" w:rsidR="00A62B3A" w:rsidRDefault="00A62B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55CCB" w14:textId="77777777" w:rsidR="005E250B" w:rsidRDefault="005E250B" w:rsidP="005E250B">
    <w:pPr>
      <w:pStyle w:val="Footer"/>
      <w:jc w:val="right"/>
    </w:pPr>
    <w:r w:rsidRPr="005E250B">
      <w:rPr>
        <w:noProof/>
        <w:vertAlign w:val="subscript"/>
      </w:rPr>
      <w:drawing>
        <wp:inline distT="0" distB="0" distL="0" distR="0" wp14:anchorId="6BE4D342" wp14:editId="448985EF">
          <wp:extent cx="1066800" cy="277368"/>
          <wp:effectExtent l="0" t="0" r="0" b="0"/>
          <wp:docPr id="6" name="Picture 6"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940B7"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FB8BE"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F515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FC1AB82"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4B5E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4D252E2"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44EA4"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BF9B94D"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3B8D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BF709B6"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747AC"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9A5731D"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3FD7F9" w14:textId="77777777" w:rsidR="00A62B3A" w:rsidRDefault="00A62B3A" w:rsidP="00DB3A64">
      <w:pPr>
        <w:spacing w:after="0"/>
      </w:pPr>
      <w:r>
        <w:separator/>
      </w:r>
    </w:p>
  </w:footnote>
  <w:footnote w:type="continuationSeparator" w:id="0">
    <w:p w14:paraId="36E46340" w14:textId="77777777" w:rsidR="00A62B3A" w:rsidRDefault="00A62B3A">
      <w:r>
        <w:continuationSeparator/>
      </w:r>
    </w:p>
  </w:footnote>
  <w:footnote w:type="continuationNotice" w:id="1">
    <w:p w14:paraId="5AB0C8AA" w14:textId="77777777" w:rsidR="00A62B3A" w:rsidRDefault="00A62B3A">
      <w:pPr>
        <w:spacing w:after="0" w:line="240" w:lineRule="auto"/>
      </w:pPr>
    </w:p>
  </w:footnote>
  <w:footnote w:id="2">
    <w:p w14:paraId="2FEDB62A" w14:textId="389482EC" w:rsidR="00F062B9" w:rsidRPr="004B740F" w:rsidRDefault="00F062B9" w:rsidP="00F062B9">
      <w:pPr>
        <w:pStyle w:val="FootnoteText"/>
        <w:rPr>
          <w:rFonts w:cs="Arial"/>
        </w:rPr>
      </w:pPr>
      <w:r w:rsidRPr="004B740F">
        <w:rPr>
          <w:rStyle w:val="FootnoteReference"/>
          <w:rFonts w:cs="Arial"/>
        </w:rPr>
        <w:footnoteRef/>
      </w:r>
      <w:r w:rsidRPr="004B740F">
        <w:rPr>
          <w:rFonts w:cs="Arial"/>
        </w:rPr>
        <w:t xml:space="preserve"> Volume 1 (Article 5) of the ITU Radio Regulations allocates frequencies within the range </w:t>
      </w:r>
      <w:r w:rsidR="00106E35">
        <w:rPr>
          <w:rFonts w:cs="Arial"/>
        </w:rPr>
        <w:t>8.3</w:t>
      </w:r>
      <w:r w:rsidRPr="004B740F">
        <w:rPr>
          <w:rFonts w:cs="Arial"/>
        </w:rPr>
        <w:t xml:space="preserve"> kHz to 275 GHz and, for the purposes of this paper, is considered the range of the radiofrequency spectrum.</w:t>
      </w:r>
    </w:p>
  </w:footnote>
  <w:footnote w:id="3">
    <w:p w14:paraId="699D6EC0" w14:textId="77777777" w:rsidR="00B87B95" w:rsidRPr="004B740F" w:rsidRDefault="00B87B95" w:rsidP="00A12F0D">
      <w:pPr>
        <w:pStyle w:val="FootnoteText"/>
        <w:tabs>
          <w:tab w:val="left" w:pos="142"/>
        </w:tabs>
        <w:rPr>
          <w:rFonts w:cs="Arial"/>
        </w:rPr>
      </w:pPr>
      <w:r w:rsidRPr="004B740F">
        <w:rPr>
          <w:rStyle w:val="FootnoteReference"/>
          <w:rFonts w:cs="Arial"/>
        </w:rPr>
        <w:footnoteRef/>
      </w:r>
      <w:r w:rsidRPr="004B740F">
        <w:rPr>
          <w:rFonts w:cs="Arial"/>
        </w:rPr>
        <w:t xml:space="preserve"> Receivers with poorer interference susceptibility performance can be used, but in those cases licensees may have to use more of their own</w:t>
      </w:r>
      <w:r>
        <w:rPr>
          <w:rFonts w:cs="Arial"/>
        </w:rPr>
        <w:t xml:space="preserve"> spectrum space as guard space.</w:t>
      </w:r>
    </w:p>
  </w:footnote>
  <w:footnote w:id="4">
    <w:p w14:paraId="56E63E32" w14:textId="713F4DEB" w:rsidR="003469D6" w:rsidRPr="00762FB1" w:rsidRDefault="003469D6">
      <w:pPr>
        <w:pStyle w:val="FootnoteText"/>
      </w:pPr>
      <w:r>
        <w:rPr>
          <w:rStyle w:val="FootnoteReference"/>
        </w:rPr>
        <w:footnoteRef/>
      </w:r>
      <w:r>
        <w:t xml:space="preserve"> </w:t>
      </w:r>
      <w:r w:rsidR="00140AE5">
        <w:t xml:space="preserve">ARPANSA has published </w:t>
      </w:r>
      <w:r w:rsidR="00C57621">
        <w:t xml:space="preserve">a </w:t>
      </w:r>
      <w:hyperlink r:id="rId1" w:history="1">
        <w:r w:rsidR="00C57621" w:rsidRPr="00C57621">
          <w:rPr>
            <w:rStyle w:val="Hyperlink"/>
          </w:rPr>
          <w:t>standard setting limits of exposure to radiofrequency electromagnetic energy for the public and workers</w:t>
        </w:r>
      </w:hyperlink>
      <w:r w:rsidR="00140AE5">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17FCA" w14:textId="77777777" w:rsidR="00C053A1" w:rsidRPr="00A5474E" w:rsidRDefault="00C053A1" w:rsidP="00A5474E">
    <w:pPr>
      <w:pStyle w:val="Header"/>
    </w:pPr>
    <w:r>
      <w:rPr>
        <w:noProof/>
      </w:rPr>
      <w:drawing>
        <wp:inline distT="0" distB="0" distL="0" distR="0" wp14:anchorId="22B0810D" wp14:editId="6853A4C4">
          <wp:extent cx="6283434" cy="578076"/>
          <wp:effectExtent l="0" t="0" r="3175" b="0"/>
          <wp:docPr id="5" name="Picture 5"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53AD8"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8D0E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E1F1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36D4073" w14:textId="77777777" w:rsidTr="00A12F0D">
      <w:trPr>
        <w:trHeight w:hRule="exact" w:val="988"/>
      </w:trPr>
      <w:tc>
        <w:tcPr>
          <w:tcW w:w="7678" w:type="dxa"/>
          <w:shd w:val="clear" w:color="auto" w:fill="auto"/>
        </w:tcPr>
        <w:p w14:paraId="014DDEE9" w14:textId="77777777" w:rsidR="00971914" w:rsidRDefault="00971914" w:rsidP="00971914">
          <w:pPr>
            <w:pStyle w:val="Header"/>
          </w:pPr>
        </w:p>
      </w:tc>
    </w:tr>
    <w:tr w:rsidR="00971914" w14:paraId="2490B313" w14:textId="77777777" w:rsidTr="00A12F0D">
      <w:tc>
        <w:tcPr>
          <w:tcW w:w="7678" w:type="dxa"/>
          <w:shd w:val="clear" w:color="auto" w:fill="auto"/>
        </w:tcPr>
        <w:p w14:paraId="314E5146" w14:textId="77777777" w:rsidR="00971914" w:rsidRDefault="00971914" w:rsidP="00971914">
          <w:pPr>
            <w:pStyle w:val="GridTable31"/>
          </w:pPr>
          <w:r>
            <w:t xml:space="preserve">Contents </w:t>
          </w:r>
          <w:r w:rsidRPr="00915B1C">
            <w:rPr>
              <w:b w:val="0"/>
              <w:spacing w:val="0"/>
              <w:sz w:val="28"/>
              <w:szCs w:val="28"/>
            </w:rPr>
            <w:t>(Continued)</w:t>
          </w:r>
        </w:p>
      </w:tc>
    </w:tr>
    <w:tr w:rsidR="00971914" w14:paraId="58C0AA24" w14:textId="77777777" w:rsidTr="00A12F0D">
      <w:trPr>
        <w:trHeight w:val="1220"/>
      </w:trPr>
      <w:tc>
        <w:tcPr>
          <w:tcW w:w="7678" w:type="dxa"/>
          <w:shd w:val="clear" w:color="auto" w:fill="auto"/>
        </w:tcPr>
        <w:p w14:paraId="5E32AA6B" w14:textId="77777777" w:rsidR="00971914" w:rsidRDefault="00971914" w:rsidP="00971914"/>
      </w:tc>
    </w:tr>
  </w:tbl>
  <w:p w14:paraId="724C125F"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889B762" w14:textId="77777777" w:rsidTr="00A12F0D">
      <w:trPr>
        <w:trHeight w:hRule="exact" w:val="988"/>
      </w:trPr>
      <w:tc>
        <w:tcPr>
          <w:tcW w:w="7678" w:type="dxa"/>
          <w:shd w:val="clear" w:color="auto" w:fill="auto"/>
        </w:tcPr>
        <w:p w14:paraId="549A24FC" w14:textId="77777777" w:rsidR="00971914" w:rsidRDefault="00971914" w:rsidP="00971914">
          <w:pPr>
            <w:pStyle w:val="Header"/>
          </w:pPr>
        </w:p>
      </w:tc>
    </w:tr>
    <w:tr w:rsidR="00971914" w14:paraId="1FC501DC" w14:textId="77777777" w:rsidTr="00A12F0D">
      <w:tc>
        <w:tcPr>
          <w:tcW w:w="7678" w:type="dxa"/>
          <w:shd w:val="clear" w:color="auto" w:fill="auto"/>
        </w:tcPr>
        <w:p w14:paraId="164CEA4B" w14:textId="77777777" w:rsidR="00971914" w:rsidRDefault="00971914" w:rsidP="00971914">
          <w:pPr>
            <w:pStyle w:val="GridTable31"/>
          </w:pPr>
          <w:r>
            <w:t xml:space="preserve">Contents </w:t>
          </w:r>
          <w:r w:rsidRPr="00915B1C">
            <w:rPr>
              <w:b w:val="0"/>
              <w:spacing w:val="0"/>
              <w:sz w:val="28"/>
              <w:szCs w:val="28"/>
            </w:rPr>
            <w:t>(Continued)</w:t>
          </w:r>
        </w:p>
      </w:tc>
    </w:tr>
    <w:tr w:rsidR="00971914" w14:paraId="6740430A" w14:textId="77777777" w:rsidTr="00A12F0D">
      <w:trPr>
        <w:trHeight w:val="1220"/>
      </w:trPr>
      <w:tc>
        <w:tcPr>
          <w:tcW w:w="7678" w:type="dxa"/>
          <w:shd w:val="clear" w:color="auto" w:fill="auto"/>
        </w:tcPr>
        <w:p w14:paraId="63E51AC1" w14:textId="77777777" w:rsidR="00971914" w:rsidRDefault="00971914" w:rsidP="00971914"/>
      </w:tc>
    </w:tr>
  </w:tbl>
  <w:p w14:paraId="2758CA2D"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823A6"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B533D"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BC0A65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195FA4"/>
    <w:multiLevelType w:val="hybridMultilevel"/>
    <w:tmpl w:val="BFE08B2C"/>
    <w:lvl w:ilvl="0" w:tplc="4CC8E2E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F3603E"/>
    <w:multiLevelType w:val="singleLevel"/>
    <w:tmpl w:val="44E69990"/>
    <w:lvl w:ilvl="0">
      <w:start w:val="1"/>
      <w:numFmt w:val="decimal"/>
      <w:lvlText w:val="%1/"/>
      <w:lvlJc w:val="left"/>
      <w:pPr>
        <w:tabs>
          <w:tab w:val="num" w:pos="295"/>
        </w:tabs>
        <w:ind w:left="295" w:hanging="295"/>
      </w:pPr>
      <w:rPr>
        <w:rFonts w:hint="default"/>
      </w:rPr>
    </w:lvl>
  </w:abstractNum>
  <w:abstractNum w:abstractNumId="7" w15:restartNumberingAfterBreak="0">
    <w:nsid w:val="15E23EC3"/>
    <w:multiLevelType w:val="hybridMultilevel"/>
    <w:tmpl w:val="3AAAF1C8"/>
    <w:lvl w:ilvl="0" w:tplc="B928BA4A">
      <w:start w:val="1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40A07BF8"/>
    <w:multiLevelType w:val="hybridMultilevel"/>
    <w:tmpl w:val="7BA866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6F1AD3"/>
    <w:multiLevelType w:val="multilevel"/>
    <w:tmpl w:val="FEA0D362"/>
    <w:lvl w:ilvl="0">
      <w:start w:val="1"/>
      <w:numFmt w:val="decimal"/>
      <w:lvlText w:val="%1."/>
      <w:lvlJc w:val="left"/>
      <w:pPr>
        <w:ind w:left="0" w:hanging="567"/>
      </w:pPr>
      <w:rPr>
        <w:rFonts w:hint="default"/>
      </w:rPr>
    </w:lvl>
    <w:lvl w:ilvl="1">
      <w:start w:val="1"/>
      <w:numFmt w:val="decimal"/>
      <w:lvlText w:val="%1.%2"/>
      <w:lvlJc w:val="left"/>
      <w:pPr>
        <w:tabs>
          <w:tab w:val="num" w:pos="567"/>
        </w:tabs>
        <w:ind w:left="0" w:hanging="567"/>
      </w:pPr>
      <w:rPr>
        <w:rFonts w:hint="default"/>
        <w:b w:val="0"/>
        <w:bCs/>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78D6648"/>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15:restartNumberingAfterBreak="0">
    <w:nsid w:val="6B073720"/>
    <w:multiLevelType w:val="hybridMultilevel"/>
    <w:tmpl w:val="DB3E5524"/>
    <w:lvl w:ilvl="0" w:tplc="0C090001">
      <w:start w:val="7"/>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0504594">
    <w:abstractNumId w:val="3"/>
  </w:num>
  <w:num w:numId="2" w16cid:durableId="707335801">
    <w:abstractNumId w:val="1"/>
  </w:num>
  <w:num w:numId="3" w16cid:durableId="1443306480">
    <w:abstractNumId w:val="2"/>
  </w:num>
  <w:num w:numId="4" w16cid:durableId="2087142712">
    <w:abstractNumId w:val="0"/>
  </w:num>
  <w:num w:numId="5" w16cid:durableId="878707902">
    <w:abstractNumId w:val="8"/>
  </w:num>
  <w:num w:numId="6" w16cid:durableId="395200265">
    <w:abstractNumId w:val="13"/>
  </w:num>
  <w:num w:numId="7" w16cid:durableId="1912080976">
    <w:abstractNumId w:val="10"/>
  </w:num>
  <w:num w:numId="8" w16cid:durableId="1509438900">
    <w:abstractNumId w:val="12"/>
  </w:num>
  <w:num w:numId="9" w16cid:durableId="174806903">
    <w:abstractNumId w:val="16"/>
  </w:num>
  <w:num w:numId="10" w16cid:durableId="913245599">
    <w:abstractNumId w:val="4"/>
  </w:num>
  <w:num w:numId="11" w16cid:durableId="1483622451">
    <w:abstractNumId w:val="2"/>
    <w:lvlOverride w:ilvl="0">
      <w:startOverride w:val="1"/>
    </w:lvlOverride>
  </w:num>
  <w:num w:numId="12" w16cid:durableId="2102871241">
    <w:abstractNumId w:val="2"/>
    <w:lvlOverride w:ilvl="0">
      <w:startOverride w:val="1"/>
    </w:lvlOverride>
  </w:num>
  <w:num w:numId="13" w16cid:durableId="415175400">
    <w:abstractNumId w:val="14"/>
  </w:num>
  <w:num w:numId="14" w16cid:durableId="40059768">
    <w:abstractNumId w:val="6"/>
  </w:num>
  <w:num w:numId="15" w16cid:durableId="160976285">
    <w:abstractNumId w:val="5"/>
  </w:num>
  <w:num w:numId="16" w16cid:durableId="1085765987">
    <w:abstractNumId w:val="9"/>
  </w:num>
  <w:num w:numId="17" w16cid:durableId="356783945">
    <w:abstractNumId w:val="7"/>
  </w:num>
  <w:num w:numId="18" w16cid:durableId="358362436">
    <w:abstractNumId w:val="11"/>
  </w:num>
  <w:num w:numId="19" w16cid:durableId="736316816">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42BD"/>
    <w:rsid w:val="00001941"/>
    <w:rsid w:val="00001BCF"/>
    <w:rsid w:val="0000289E"/>
    <w:rsid w:val="00002952"/>
    <w:rsid w:val="00002B6D"/>
    <w:rsid w:val="00002FB3"/>
    <w:rsid w:val="0000307E"/>
    <w:rsid w:val="0000434A"/>
    <w:rsid w:val="0000530D"/>
    <w:rsid w:val="00007245"/>
    <w:rsid w:val="00007773"/>
    <w:rsid w:val="00007C87"/>
    <w:rsid w:val="00010667"/>
    <w:rsid w:val="00010678"/>
    <w:rsid w:val="00010A1B"/>
    <w:rsid w:val="000129D5"/>
    <w:rsid w:val="00014275"/>
    <w:rsid w:val="0001489F"/>
    <w:rsid w:val="0001529C"/>
    <w:rsid w:val="000153B6"/>
    <w:rsid w:val="00015AE7"/>
    <w:rsid w:val="000162AF"/>
    <w:rsid w:val="000168E2"/>
    <w:rsid w:val="00016E21"/>
    <w:rsid w:val="0001719C"/>
    <w:rsid w:val="00020195"/>
    <w:rsid w:val="00021AD2"/>
    <w:rsid w:val="00021EA5"/>
    <w:rsid w:val="0002224E"/>
    <w:rsid w:val="00023737"/>
    <w:rsid w:val="00023F1E"/>
    <w:rsid w:val="000245E5"/>
    <w:rsid w:val="00025268"/>
    <w:rsid w:val="00025F53"/>
    <w:rsid w:val="00026F91"/>
    <w:rsid w:val="0002766F"/>
    <w:rsid w:val="00027CB7"/>
    <w:rsid w:val="00027EE9"/>
    <w:rsid w:val="000305D0"/>
    <w:rsid w:val="00030B98"/>
    <w:rsid w:val="000322B3"/>
    <w:rsid w:val="00032C22"/>
    <w:rsid w:val="00032C9D"/>
    <w:rsid w:val="0003552A"/>
    <w:rsid w:val="0003794D"/>
    <w:rsid w:val="00037FB3"/>
    <w:rsid w:val="00040DCF"/>
    <w:rsid w:val="00041263"/>
    <w:rsid w:val="00043D21"/>
    <w:rsid w:val="00044CA9"/>
    <w:rsid w:val="000451F3"/>
    <w:rsid w:val="00045997"/>
    <w:rsid w:val="00045A54"/>
    <w:rsid w:val="0004764C"/>
    <w:rsid w:val="00050052"/>
    <w:rsid w:val="0005011A"/>
    <w:rsid w:val="0005040F"/>
    <w:rsid w:val="0005045A"/>
    <w:rsid w:val="00051C1E"/>
    <w:rsid w:val="00053069"/>
    <w:rsid w:val="000539F9"/>
    <w:rsid w:val="00054C27"/>
    <w:rsid w:val="00055859"/>
    <w:rsid w:val="00055EC3"/>
    <w:rsid w:val="000563CE"/>
    <w:rsid w:val="00056803"/>
    <w:rsid w:val="0006051F"/>
    <w:rsid w:val="0006155E"/>
    <w:rsid w:val="00061B17"/>
    <w:rsid w:val="00062882"/>
    <w:rsid w:val="00062CE7"/>
    <w:rsid w:val="00063921"/>
    <w:rsid w:val="00063AE3"/>
    <w:rsid w:val="000640E1"/>
    <w:rsid w:val="000654F2"/>
    <w:rsid w:val="00065862"/>
    <w:rsid w:val="0006590A"/>
    <w:rsid w:val="000659B6"/>
    <w:rsid w:val="00065AD0"/>
    <w:rsid w:val="0006686F"/>
    <w:rsid w:val="00066B5C"/>
    <w:rsid w:val="0006722A"/>
    <w:rsid w:val="00070231"/>
    <w:rsid w:val="00071252"/>
    <w:rsid w:val="00071FBA"/>
    <w:rsid w:val="00072CC2"/>
    <w:rsid w:val="0007308B"/>
    <w:rsid w:val="000732CF"/>
    <w:rsid w:val="00073D8A"/>
    <w:rsid w:val="000758C4"/>
    <w:rsid w:val="00075A24"/>
    <w:rsid w:val="00075B96"/>
    <w:rsid w:val="0007603E"/>
    <w:rsid w:val="00076B51"/>
    <w:rsid w:val="0007727A"/>
    <w:rsid w:val="00081316"/>
    <w:rsid w:val="0008196A"/>
    <w:rsid w:val="00081B2F"/>
    <w:rsid w:val="000822A3"/>
    <w:rsid w:val="00083662"/>
    <w:rsid w:val="00083AAB"/>
    <w:rsid w:val="00084265"/>
    <w:rsid w:val="0008557F"/>
    <w:rsid w:val="00086446"/>
    <w:rsid w:val="000871F7"/>
    <w:rsid w:val="00091282"/>
    <w:rsid w:val="000912D1"/>
    <w:rsid w:val="000915ED"/>
    <w:rsid w:val="0009209D"/>
    <w:rsid w:val="00092185"/>
    <w:rsid w:val="00093BA9"/>
    <w:rsid w:val="00093E53"/>
    <w:rsid w:val="00093FC6"/>
    <w:rsid w:val="0009463C"/>
    <w:rsid w:val="00094A3C"/>
    <w:rsid w:val="0009502A"/>
    <w:rsid w:val="00095B1C"/>
    <w:rsid w:val="0009620A"/>
    <w:rsid w:val="0009671E"/>
    <w:rsid w:val="000969BD"/>
    <w:rsid w:val="000969BF"/>
    <w:rsid w:val="000971BD"/>
    <w:rsid w:val="000A0C22"/>
    <w:rsid w:val="000A13DA"/>
    <w:rsid w:val="000A1400"/>
    <w:rsid w:val="000A14E6"/>
    <w:rsid w:val="000A29B4"/>
    <w:rsid w:val="000A2F5D"/>
    <w:rsid w:val="000A3C43"/>
    <w:rsid w:val="000A4A51"/>
    <w:rsid w:val="000A5D2B"/>
    <w:rsid w:val="000A5E79"/>
    <w:rsid w:val="000A6190"/>
    <w:rsid w:val="000A61ED"/>
    <w:rsid w:val="000A68C5"/>
    <w:rsid w:val="000A7C62"/>
    <w:rsid w:val="000A7E46"/>
    <w:rsid w:val="000B041A"/>
    <w:rsid w:val="000B044C"/>
    <w:rsid w:val="000B0859"/>
    <w:rsid w:val="000B1DA0"/>
    <w:rsid w:val="000B211F"/>
    <w:rsid w:val="000B23CF"/>
    <w:rsid w:val="000B2694"/>
    <w:rsid w:val="000B36A9"/>
    <w:rsid w:val="000B4507"/>
    <w:rsid w:val="000B4664"/>
    <w:rsid w:val="000B4DFE"/>
    <w:rsid w:val="000B5DE3"/>
    <w:rsid w:val="000B76CC"/>
    <w:rsid w:val="000B79B8"/>
    <w:rsid w:val="000B7D20"/>
    <w:rsid w:val="000C0A57"/>
    <w:rsid w:val="000C179B"/>
    <w:rsid w:val="000C230C"/>
    <w:rsid w:val="000C35BC"/>
    <w:rsid w:val="000C432D"/>
    <w:rsid w:val="000C46C9"/>
    <w:rsid w:val="000C5A98"/>
    <w:rsid w:val="000C5B47"/>
    <w:rsid w:val="000C5E1C"/>
    <w:rsid w:val="000C61A6"/>
    <w:rsid w:val="000C6815"/>
    <w:rsid w:val="000C6AB4"/>
    <w:rsid w:val="000D0799"/>
    <w:rsid w:val="000D0BF2"/>
    <w:rsid w:val="000D1285"/>
    <w:rsid w:val="000D12F9"/>
    <w:rsid w:val="000D17D3"/>
    <w:rsid w:val="000D19C3"/>
    <w:rsid w:val="000D2264"/>
    <w:rsid w:val="000D3214"/>
    <w:rsid w:val="000D357C"/>
    <w:rsid w:val="000D368F"/>
    <w:rsid w:val="000D4932"/>
    <w:rsid w:val="000D4C97"/>
    <w:rsid w:val="000D4CB0"/>
    <w:rsid w:val="000D4D1E"/>
    <w:rsid w:val="000D53DE"/>
    <w:rsid w:val="000D6E8E"/>
    <w:rsid w:val="000D71D9"/>
    <w:rsid w:val="000D7401"/>
    <w:rsid w:val="000D76E0"/>
    <w:rsid w:val="000D7E8B"/>
    <w:rsid w:val="000E1A97"/>
    <w:rsid w:val="000E28A5"/>
    <w:rsid w:val="000E2CAA"/>
    <w:rsid w:val="000E4449"/>
    <w:rsid w:val="000E459E"/>
    <w:rsid w:val="000E48AF"/>
    <w:rsid w:val="000E4BC3"/>
    <w:rsid w:val="000E5606"/>
    <w:rsid w:val="000E5B1E"/>
    <w:rsid w:val="000E6089"/>
    <w:rsid w:val="000E6097"/>
    <w:rsid w:val="000E7192"/>
    <w:rsid w:val="000F07D9"/>
    <w:rsid w:val="000F0A8C"/>
    <w:rsid w:val="000F226B"/>
    <w:rsid w:val="000F503A"/>
    <w:rsid w:val="000F55B9"/>
    <w:rsid w:val="000F5B19"/>
    <w:rsid w:val="000F7682"/>
    <w:rsid w:val="0010008D"/>
    <w:rsid w:val="00101FF9"/>
    <w:rsid w:val="001024F5"/>
    <w:rsid w:val="0010267F"/>
    <w:rsid w:val="001035D4"/>
    <w:rsid w:val="00103829"/>
    <w:rsid w:val="00103B90"/>
    <w:rsid w:val="00104EDB"/>
    <w:rsid w:val="001051A7"/>
    <w:rsid w:val="00105210"/>
    <w:rsid w:val="00105399"/>
    <w:rsid w:val="001054C6"/>
    <w:rsid w:val="00106E35"/>
    <w:rsid w:val="00107A2C"/>
    <w:rsid w:val="00110AD1"/>
    <w:rsid w:val="00110BC6"/>
    <w:rsid w:val="00111FCE"/>
    <w:rsid w:val="001122DC"/>
    <w:rsid w:val="001124DB"/>
    <w:rsid w:val="00112E01"/>
    <w:rsid w:val="00113EB6"/>
    <w:rsid w:val="00113F81"/>
    <w:rsid w:val="00113F84"/>
    <w:rsid w:val="001143C2"/>
    <w:rsid w:val="00114412"/>
    <w:rsid w:val="00115D99"/>
    <w:rsid w:val="001165D1"/>
    <w:rsid w:val="00116889"/>
    <w:rsid w:val="00116FA4"/>
    <w:rsid w:val="001177A1"/>
    <w:rsid w:val="00117B66"/>
    <w:rsid w:val="0012033C"/>
    <w:rsid w:val="001229A5"/>
    <w:rsid w:val="00123BCE"/>
    <w:rsid w:val="00124093"/>
    <w:rsid w:val="0012489B"/>
    <w:rsid w:val="00124F52"/>
    <w:rsid w:val="001251B0"/>
    <w:rsid w:val="001253DA"/>
    <w:rsid w:val="00125B02"/>
    <w:rsid w:val="00125F26"/>
    <w:rsid w:val="001260A7"/>
    <w:rsid w:val="00126998"/>
    <w:rsid w:val="00126A12"/>
    <w:rsid w:val="00126A50"/>
    <w:rsid w:val="001275AB"/>
    <w:rsid w:val="00130017"/>
    <w:rsid w:val="001306D9"/>
    <w:rsid w:val="00130F91"/>
    <w:rsid w:val="001317BC"/>
    <w:rsid w:val="001319B1"/>
    <w:rsid w:val="0013216E"/>
    <w:rsid w:val="001328FA"/>
    <w:rsid w:val="001334A6"/>
    <w:rsid w:val="0013480D"/>
    <w:rsid w:val="001349ED"/>
    <w:rsid w:val="00136FFB"/>
    <w:rsid w:val="00137424"/>
    <w:rsid w:val="00137AA4"/>
    <w:rsid w:val="00140318"/>
    <w:rsid w:val="00140AE5"/>
    <w:rsid w:val="001411DA"/>
    <w:rsid w:val="00141AD9"/>
    <w:rsid w:val="0014317A"/>
    <w:rsid w:val="00144D34"/>
    <w:rsid w:val="001454D6"/>
    <w:rsid w:val="00146901"/>
    <w:rsid w:val="001469AC"/>
    <w:rsid w:val="00146C23"/>
    <w:rsid w:val="00146CE6"/>
    <w:rsid w:val="001471F0"/>
    <w:rsid w:val="0015002E"/>
    <w:rsid w:val="0015232F"/>
    <w:rsid w:val="00152903"/>
    <w:rsid w:val="00152A1D"/>
    <w:rsid w:val="0015383E"/>
    <w:rsid w:val="00153B1F"/>
    <w:rsid w:val="00153FD5"/>
    <w:rsid w:val="00154C90"/>
    <w:rsid w:val="00154FF9"/>
    <w:rsid w:val="001550A3"/>
    <w:rsid w:val="001553FE"/>
    <w:rsid w:val="0015614F"/>
    <w:rsid w:val="00156D06"/>
    <w:rsid w:val="00156D83"/>
    <w:rsid w:val="0015726D"/>
    <w:rsid w:val="001577C2"/>
    <w:rsid w:val="00157924"/>
    <w:rsid w:val="0015796E"/>
    <w:rsid w:val="001600FF"/>
    <w:rsid w:val="00160C77"/>
    <w:rsid w:val="00161A1D"/>
    <w:rsid w:val="00161C60"/>
    <w:rsid w:val="0016245A"/>
    <w:rsid w:val="0016285E"/>
    <w:rsid w:val="001633C4"/>
    <w:rsid w:val="0016367F"/>
    <w:rsid w:val="0016461D"/>
    <w:rsid w:val="00164723"/>
    <w:rsid w:val="00164DC6"/>
    <w:rsid w:val="00164E60"/>
    <w:rsid w:val="00165420"/>
    <w:rsid w:val="00166B28"/>
    <w:rsid w:val="00167227"/>
    <w:rsid w:val="001676C1"/>
    <w:rsid w:val="00167DBA"/>
    <w:rsid w:val="00167F76"/>
    <w:rsid w:val="001704D5"/>
    <w:rsid w:val="00171375"/>
    <w:rsid w:val="00171591"/>
    <w:rsid w:val="00171E7B"/>
    <w:rsid w:val="00172938"/>
    <w:rsid w:val="00173981"/>
    <w:rsid w:val="00173E92"/>
    <w:rsid w:val="0017456C"/>
    <w:rsid w:val="001747A1"/>
    <w:rsid w:val="00175BFD"/>
    <w:rsid w:val="0017719D"/>
    <w:rsid w:val="001777F5"/>
    <w:rsid w:val="001813B4"/>
    <w:rsid w:val="00181CB3"/>
    <w:rsid w:val="00183C08"/>
    <w:rsid w:val="00183DE7"/>
    <w:rsid w:val="00183FD7"/>
    <w:rsid w:val="00184B37"/>
    <w:rsid w:val="00184DEB"/>
    <w:rsid w:val="00184F0E"/>
    <w:rsid w:val="00185792"/>
    <w:rsid w:val="00185CAB"/>
    <w:rsid w:val="001860E0"/>
    <w:rsid w:val="001875B7"/>
    <w:rsid w:val="00187CB3"/>
    <w:rsid w:val="0019050A"/>
    <w:rsid w:val="00190D16"/>
    <w:rsid w:val="001910D4"/>
    <w:rsid w:val="00191C99"/>
    <w:rsid w:val="00191DAF"/>
    <w:rsid w:val="00193AF6"/>
    <w:rsid w:val="00194240"/>
    <w:rsid w:val="0019437B"/>
    <w:rsid w:val="00195193"/>
    <w:rsid w:val="00196403"/>
    <w:rsid w:val="0019754D"/>
    <w:rsid w:val="001976E3"/>
    <w:rsid w:val="00197920"/>
    <w:rsid w:val="00197A39"/>
    <w:rsid w:val="001A12AE"/>
    <w:rsid w:val="001A1644"/>
    <w:rsid w:val="001A23B0"/>
    <w:rsid w:val="001A2405"/>
    <w:rsid w:val="001A412E"/>
    <w:rsid w:val="001A44EC"/>
    <w:rsid w:val="001A4F57"/>
    <w:rsid w:val="001A6CCE"/>
    <w:rsid w:val="001A6CFA"/>
    <w:rsid w:val="001A7D16"/>
    <w:rsid w:val="001B0E79"/>
    <w:rsid w:val="001B27B5"/>
    <w:rsid w:val="001B28D9"/>
    <w:rsid w:val="001B2B98"/>
    <w:rsid w:val="001B3653"/>
    <w:rsid w:val="001B3800"/>
    <w:rsid w:val="001B3F42"/>
    <w:rsid w:val="001B4718"/>
    <w:rsid w:val="001B58AA"/>
    <w:rsid w:val="001B5D7C"/>
    <w:rsid w:val="001B6D15"/>
    <w:rsid w:val="001B6EB7"/>
    <w:rsid w:val="001B7E48"/>
    <w:rsid w:val="001B7EC0"/>
    <w:rsid w:val="001C074C"/>
    <w:rsid w:val="001C0B2A"/>
    <w:rsid w:val="001C17CE"/>
    <w:rsid w:val="001C180D"/>
    <w:rsid w:val="001C23F1"/>
    <w:rsid w:val="001C24B0"/>
    <w:rsid w:val="001C36CA"/>
    <w:rsid w:val="001C43D0"/>
    <w:rsid w:val="001C44D1"/>
    <w:rsid w:val="001C6209"/>
    <w:rsid w:val="001C636B"/>
    <w:rsid w:val="001C6AEE"/>
    <w:rsid w:val="001C6D5C"/>
    <w:rsid w:val="001C7630"/>
    <w:rsid w:val="001D09EC"/>
    <w:rsid w:val="001D0DB0"/>
    <w:rsid w:val="001D1015"/>
    <w:rsid w:val="001D2138"/>
    <w:rsid w:val="001D2E70"/>
    <w:rsid w:val="001D3269"/>
    <w:rsid w:val="001D35F7"/>
    <w:rsid w:val="001D3C7D"/>
    <w:rsid w:val="001D43F0"/>
    <w:rsid w:val="001D4DD0"/>
    <w:rsid w:val="001D6471"/>
    <w:rsid w:val="001D6567"/>
    <w:rsid w:val="001D6D15"/>
    <w:rsid w:val="001D7267"/>
    <w:rsid w:val="001D7AB0"/>
    <w:rsid w:val="001E06A5"/>
    <w:rsid w:val="001E08C2"/>
    <w:rsid w:val="001E2567"/>
    <w:rsid w:val="001E3141"/>
    <w:rsid w:val="001E3684"/>
    <w:rsid w:val="001E5CBE"/>
    <w:rsid w:val="001F0A27"/>
    <w:rsid w:val="001F0ED2"/>
    <w:rsid w:val="001F3737"/>
    <w:rsid w:val="001F4459"/>
    <w:rsid w:val="001F4519"/>
    <w:rsid w:val="001F57B7"/>
    <w:rsid w:val="001F6194"/>
    <w:rsid w:val="001F7558"/>
    <w:rsid w:val="002011D4"/>
    <w:rsid w:val="0020403D"/>
    <w:rsid w:val="0020483F"/>
    <w:rsid w:val="0020497B"/>
    <w:rsid w:val="00205B57"/>
    <w:rsid w:val="00206244"/>
    <w:rsid w:val="002077AB"/>
    <w:rsid w:val="00207C30"/>
    <w:rsid w:val="002122D7"/>
    <w:rsid w:val="00213224"/>
    <w:rsid w:val="002133E1"/>
    <w:rsid w:val="00213ACB"/>
    <w:rsid w:val="00213DDF"/>
    <w:rsid w:val="002157E0"/>
    <w:rsid w:val="00216606"/>
    <w:rsid w:val="00216A57"/>
    <w:rsid w:val="00217448"/>
    <w:rsid w:val="002177AB"/>
    <w:rsid w:val="00220105"/>
    <w:rsid w:val="002209E5"/>
    <w:rsid w:val="0022196D"/>
    <w:rsid w:val="00221AC8"/>
    <w:rsid w:val="00221C05"/>
    <w:rsid w:val="0022334F"/>
    <w:rsid w:val="00224509"/>
    <w:rsid w:val="00226819"/>
    <w:rsid w:val="00226AC7"/>
    <w:rsid w:val="00232982"/>
    <w:rsid w:val="00232AC3"/>
    <w:rsid w:val="00232BB6"/>
    <w:rsid w:val="00232CCB"/>
    <w:rsid w:val="00233101"/>
    <w:rsid w:val="002335D0"/>
    <w:rsid w:val="00233817"/>
    <w:rsid w:val="00234497"/>
    <w:rsid w:val="00234773"/>
    <w:rsid w:val="00234D60"/>
    <w:rsid w:val="00235AE0"/>
    <w:rsid w:val="00236376"/>
    <w:rsid w:val="002367FF"/>
    <w:rsid w:val="00236BE2"/>
    <w:rsid w:val="00237417"/>
    <w:rsid w:val="0024011F"/>
    <w:rsid w:val="0024049F"/>
    <w:rsid w:val="002405F2"/>
    <w:rsid w:val="002408DA"/>
    <w:rsid w:val="00240CE9"/>
    <w:rsid w:val="0024123A"/>
    <w:rsid w:val="00241E82"/>
    <w:rsid w:val="00242B32"/>
    <w:rsid w:val="002431AF"/>
    <w:rsid w:val="002434BA"/>
    <w:rsid w:val="002434E2"/>
    <w:rsid w:val="00243A06"/>
    <w:rsid w:val="00243D19"/>
    <w:rsid w:val="00244B42"/>
    <w:rsid w:val="00245322"/>
    <w:rsid w:val="0024605E"/>
    <w:rsid w:val="00246089"/>
    <w:rsid w:val="00246093"/>
    <w:rsid w:val="002461EE"/>
    <w:rsid w:val="00246339"/>
    <w:rsid w:val="00246702"/>
    <w:rsid w:val="00247C36"/>
    <w:rsid w:val="00247C59"/>
    <w:rsid w:val="00247F2E"/>
    <w:rsid w:val="00250ADC"/>
    <w:rsid w:val="00250B07"/>
    <w:rsid w:val="00250F03"/>
    <w:rsid w:val="002518C9"/>
    <w:rsid w:val="00252438"/>
    <w:rsid w:val="00253880"/>
    <w:rsid w:val="00253A1C"/>
    <w:rsid w:val="0025485D"/>
    <w:rsid w:val="00255656"/>
    <w:rsid w:val="00257553"/>
    <w:rsid w:val="00257ED6"/>
    <w:rsid w:val="0026091E"/>
    <w:rsid w:val="00260FB2"/>
    <w:rsid w:val="00261F0E"/>
    <w:rsid w:val="00262128"/>
    <w:rsid w:val="0026389C"/>
    <w:rsid w:val="002652FD"/>
    <w:rsid w:val="00265854"/>
    <w:rsid w:val="00265A38"/>
    <w:rsid w:val="002665A5"/>
    <w:rsid w:val="00266CC1"/>
    <w:rsid w:val="00267127"/>
    <w:rsid w:val="00271269"/>
    <w:rsid w:val="0027165D"/>
    <w:rsid w:val="00272B74"/>
    <w:rsid w:val="00273B24"/>
    <w:rsid w:val="00273CEB"/>
    <w:rsid w:val="00274352"/>
    <w:rsid w:val="00274387"/>
    <w:rsid w:val="002757B9"/>
    <w:rsid w:val="002757F1"/>
    <w:rsid w:val="00275E7A"/>
    <w:rsid w:val="00275EB9"/>
    <w:rsid w:val="002760DA"/>
    <w:rsid w:val="00277C84"/>
    <w:rsid w:val="00281C7F"/>
    <w:rsid w:val="00281C89"/>
    <w:rsid w:val="002824F2"/>
    <w:rsid w:val="00282707"/>
    <w:rsid w:val="0028282F"/>
    <w:rsid w:val="00282FD2"/>
    <w:rsid w:val="0028324A"/>
    <w:rsid w:val="00284A74"/>
    <w:rsid w:val="00284F74"/>
    <w:rsid w:val="00285BE2"/>
    <w:rsid w:val="00286C37"/>
    <w:rsid w:val="00290C3F"/>
    <w:rsid w:val="00292834"/>
    <w:rsid w:val="00292A15"/>
    <w:rsid w:val="00293513"/>
    <w:rsid w:val="00295241"/>
    <w:rsid w:val="0029593B"/>
    <w:rsid w:val="0029678F"/>
    <w:rsid w:val="00297AAB"/>
    <w:rsid w:val="00297FC5"/>
    <w:rsid w:val="002A0417"/>
    <w:rsid w:val="002A07A6"/>
    <w:rsid w:val="002A0E3B"/>
    <w:rsid w:val="002A0E58"/>
    <w:rsid w:val="002A16D8"/>
    <w:rsid w:val="002A1BC8"/>
    <w:rsid w:val="002A2F2A"/>
    <w:rsid w:val="002A3B21"/>
    <w:rsid w:val="002A3EF2"/>
    <w:rsid w:val="002A5314"/>
    <w:rsid w:val="002A650E"/>
    <w:rsid w:val="002A7553"/>
    <w:rsid w:val="002A7826"/>
    <w:rsid w:val="002B031A"/>
    <w:rsid w:val="002B0DED"/>
    <w:rsid w:val="002B10A9"/>
    <w:rsid w:val="002B11C9"/>
    <w:rsid w:val="002B19A2"/>
    <w:rsid w:val="002B1F05"/>
    <w:rsid w:val="002B2247"/>
    <w:rsid w:val="002B2D18"/>
    <w:rsid w:val="002B3410"/>
    <w:rsid w:val="002B381A"/>
    <w:rsid w:val="002B3A0D"/>
    <w:rsid w:val="002B4FCC"/>
    <w:rsid w:val="002B6570"/>
    <w:rsid w:val="002B684C"/>
    <w:rsid w:val="002B6B9A"/>
    <w:rsid w:val="002B6D99"/>
    <w:rsid w:val="002B7408"/>
    <w:rsid w:val="002B7CFD"/>
    <w:rsid w:val="002C1267"/>
    <w:rsid w:val="002C1293"/>
    <w:rsid w:val="002C1678"/>
    <w:rsid w:val="002C1EFD"/>
    <w:rsid w:val="002C210F"/>
    <w:rsid w:val="002C28C0"/>
    <w:rsid w:val="002C36BB"/>
    <w:rsid w:val="002C3E87"/>
    <w:rsid w:val="002C4F9C"/>
    <w:rsid w:val="002C51B0"/>
    <w:rsid w:val="002C56AE"/>
    <w:rsid w:val="002C6F5E"/>
    <w:rsid w:val="002D08D3"/>
    <w:rsid w:val="002D1A82"/>
    <w:rsid w:val="002D3600"/>
    <w:rsid w:val="002D481F"/>
    <w:rsid w:val="002D4C78"/>
    <w:rsid w:val="002D650B"/>
    <w:rsid w:val="002D650D"/>
    <w:rsid w:val="002D65D3"/>
    <w:rsid w:val="002D6E24"/>
    <w:rsid w:val="002D7B2D"/>
    <w:rsid w:val="002E04C9"/>
    <w:rsid w:val="002E0801"/>
    <w:rsid w:val="002E0A19"/>
    <w:rsid w:val="002E1264"/>
    <w:rsid w:val="002E129A"/>
    <w:rsid w:val="002E16F6"/>
    <w:rsid w:val="002E2A5B"/>
    <w:rsid w:val="002E2DB7"/>
    <w:rsid w:val="002E3578"/>
    <w:rsid w:val="002E3967"/>
    <w:rsid w:val="002E4A78"/>
    <w:rsid w:val="002E4DDC"/>
    <w:rsid w:val="002E7CAD"/>
    <w:rsid w:val="002F06AA"/>
    <w:rsid w:val="002F08F3"/>
    <w:rsid w:val="002F0D04"/>
    <w:rsid w:val="002F1820"/>
    <w:rsid w:val="002F1D23"/>
    <w:rsid w:val="002F1EAA"/>
    <w:rsid w:val="002F1EF4"/>
    <w:rsid w:val="002F23F9"/>
    <w:rsid w:val="002F5D7A"/>
    <w:rsid w:val="002F5E9A"/>
    <w:rsid w:val="002F635D"/>
    <w:rsid w:val="002F733B"/>
    <w:rsid w:val="00301C88"/>
    <w:rsid w:val="00302480"/>
    <w:rsid w:val="00302758"/>
    <w:rsid w:val="00303469"/>
    <w:rsid w:val="0030392D"/>
    <w:rsid w:val="00303B05"/>
    <w:rsid w:val="0030527F"/>
    <w:rsid w:val="00305819"/>
    <w:rsid w:val="00305B13"/>
    <w:rsid w:val="00306523"/>
    <w:rsid w:val="00306B13"/>
    <w:rsid w:val="0030735C"/>
    <w:rsid w:val="00307AAF"/>
    <w:rsid w:val="003125DD"/>
    <w:rsid w:val="003129BD"/>
    <w:rsid w:val="00313EBD"/>
    <w:rsid w:val="00314BEB"/>
    <w:rsid w:val="003165E6"/>
    <w:rsid w:val="00316C90"/>
    <w:rsid w:val="00317548"/>
    <w:rsid w:val="00317E34"/>
    <w:rsid w:val="00320D84"/>
    <w:rsid w:val="0032114C"/>
    <w:rsid w:val="003215B5"/>
    <w:rsid w:val="00321C5E"/>
    <w:rsid w:val="003221CF"/>
    <w:rsid w:val="003233ED"/>
    <w:rsid w:val="00324D9F"/>
    <w:rsid w:val="00325F30"/>
    <w:rsid w:val="00327469"/>
    <w:rsid w:val="00327948"/>
    <w:rsid w:val="00327A67"/>
    <w:rsid w:val="00327F6A"/>
    <w:rsid w:val="0033000F"/>
    <w:rsid w:val="003301BE"/>
    <w:rsid w:val="003301EF"/>
    <w:rsid w:val="003308C8"/>
    <w:rsid w:val="003317A8"/>
    <w:rsid w:val="00331D60"/>
    <w:rsid w:val="00332011"/>
    <w:rsid w:val="003323C1"/>
    <w:rsid w:val="00332518"/>
    <w:rsid w:val="00332925"/>
    <w:rsid w:val="00332B44"/>
    <w:rsid w:val="00332B6F"/>
    <w:rsid w:val="003332ED"/>
    <w:rsid w:val="00333DAD"/>
    <w:rsid w:val="003368DC"/>
    <w:rsid w:val="00336B6A"/>
    <w:rsid w:val="00337017"/>
    <w:rsid w:val="0034025E"/>
    <w:rsid w:val="00340CE4"/>
    <w:rsid w:val="00340E24"/>
    <w:rsid w:val="003417D7"/>
    <w:rsid w:val="00341D82"/>
    <w:rsid w:val="00342260"/>
    <w:rsid w:val="003426C7"/>
    <w:rsid w:val="003430D1"/>
    <w:rsid w:val="00344D2B"/>
    <w:rsid w:val="00345927"/>
    <w:rsid w:val="0034633C"/>
    <w:rsid w:val="003469D6"/>
    <w:rsid w:val="00346AB8"/>
    <w:rsid w:val="00346D1D"/>
    <w:rsid w:val="003471D3"/>
    <w:rsid w:val="0034727B"/>
    <w:rsid w:val="00347AD4"/>
    <w:rsid w:val="00350584"/>
    <w:rsid w:val="00350E84"/>
    <w:rsid w:val="003517B0"/>
    <w:rsid w:val="00351857"/>
    <w:rsid w:val="00351DB1"/>
    <w:rsid w:val="00352717"/>
    <w:rsid w:val="00352937"/>
    <w:rsid w:val="00353B41"/>
    <w:rsid w:val="00353D21"/>
    <w:rsid w:val="00354570"/>
    <w:rsid w:val="003545E8"/>
    <w:rsid w:val="003548CB"/>
    <w:rsid w:val="0035496A"/>
    <w:rsid w:val="003604ED"/>
    <w:rsid w:val="003609CC"/>
    <w:rsid w:val="00360A85"/>
    <w:rsid w:val="00360BD7"/>
    <w:rsid w:val="003610E1"/>
    <w:rsid w:val="003632F3"/>
    <w:rsid w:val="00363640"/>
    <w:rsid w:val="00363890"/>
    <w:rsid w:val="0036579D"/>
    <w:rsid w:val="00365BD9"/>
    <w:rsid w:val="00365E28"/>
    <w:rsid w:val="00365FCF"/>
    <w:rsid w:val="003664A3"/>
    <w:rsid w:val="003665C9"/>
    <w:rsid w:val="00366D9A"/>
    <w:rsid w:val="003671BE"/>
    <w:rsid w:val="003674FD"/>
    <w:rsid w:val="003677B8"/>
    <w:rsid w:val="00367EED"/>
    <w:rsid w:val="00370BB9"/>
    <w:rsid w:val="00371F6B"/>
    <w:rsid w:val="00372485"/>
    <w:rsid w:val="00372D0D"/>
    <w:rsid w:val="00373200"/>
    <w:rsid w:val="00374317"/>
    <w:rsid w:val="00375608"/>
    <w:rsid w:val="00375EAB"/>
    <w:rsid w:val="00375EF5"/>
    <w:rsid w:val="003767A5"/>
    <w:rsid w:val="00376BEB"/>
    <w:rsid w:val="00377675"/>
    <w:rsid w:val="00377C08"/>
    <w:rsid w:val="00377F6A"/>
    <w:rsid w:val="003800EB"/>
    <w:rsid w:val="0038043D"/>
    <w:rsid w:val="003814E6"/>
    <w:rsid w:val="00381D15"/>
    <w:rsid w:val="00381F80"/>
    <w:rsid w:val="00382946"/>
    <w:rsid w:val="00383C0B"/>
    <w:rsid w:val="00384F6C"/>
    <w:rsid w:val="00385254"/>
    <w:rsid w:val="00385827"/>
    <w:rsid w:val="00385DE8"/>
    <w:rsid w:val="00387C5A"/>
    <w:rsid w:val="0039052A"/>
    <w:rsid w:val="0039100B"/>
    <w:rsid w:val="003923FE"/>
    <w:rsid w:val="00392952"/>
    <w:rsid w:val="0039340D"/>
    <w:rsid w:val="003945BA"/>
    <w:rsid w:val="00394C62"/>
    <w:rsid w:val="00394F16"/>
    <w:rsid w:val="00397773"/>
    <w:rsid w:val="00397CA5"/>
    <w:rsid w:val="003A04DB"/>
    <w:rsid w:val="003A0BDF"/>
    <w:rsid w:val="003A10A9"/>
    <w:rsid w:val="003A18B8"/>
    <w:rsid w:val="003A28F1"/>
    <w:rsid w:val="003A2E80"/>
    <w:rsid w:val="003A31AB"/>
    <w:rsid w:val="003A56A1"/>
    <w:rsid w:val="003A5F5B"/>
    <w:rsid w:val="003A6C81"/>
    <w:rsid w:val="003A789A"/>
    <w:rsid w:val="003A7B17"/>
    <w:rsid w:val="003A7B70"/>
    <w:rsid w:val="003B061E"/>
    <w:rsid w:val="003B12EC"/>
    <w:rsid w:val="003B19DB"/>
    <w:rsid w:val="003B28B9"/>
    <w:rsid w:val="003B2CFE"/>
    <w:rsid w:val="003B2DB0"/>
    <w:rsid w:val="003B54EC"/>
    <w:rsid w:val="003B670D"/>
    <w:rsid w:val="003B6C4F"/>
    <w:rsid w:val="003B76FE"/>
    <w:rsid w:val="003C0597"/>
    <w:rsid w:val="003C1FF8"/>
    <w:rsid w:val="003C250B"/>
    <w:rsid w:val="003C2651"/>
    <w:rsid w:val="003C4089"/>
    <w:rsid w:val="003C77E0"/>
    <w:rsid w:val="003D0AE1"/>
    <w:rsid w:val="003D17D7"/>
    <w:rsid w:val="003D1C30"/>
    <w:rsid w:val="003D2678"/>
    <w:rsid w:val="003D2829"/>
    <w:rsid w:val="003D2BA6"/>
    <w:rsid w:val="003D30B4"/>
    <w:rsid w:val="003D30E6"/>
    <w:rsid w:val="003D551C"/>
    <w:rsid w:val="003D6E26"/>
    <w:rsid w:val="003D7125"/>
    <w:rsid w:val="003D71A3"/>
    <w:rsid w:val="003D7428"/>
    <w:rsid w:val="003D74DF"/>
    <w:rsid w:val="003E0D73"/>
    <w:rsid w:val="003E2725"/>
    <w:rsid w:val="003E2B8A"/>
    <w:rsid w:val="003E3651"/>
    <w:rsid w:val="003E6656"/>
    <w:rsid w:val="003E6D85"/>
    <w:rsid w:val="003E7325"/>
    <w:rsid w:val="003E76AD"/>
    <w:rsid w:val="003E7CB5"/>
    <w:rsid w:val="003F0982"/>
    <w:rsid w:val="003F10EE"/>
    <w:rsid w:val="003F16F6"/>
    <w:rsid w:val="003F185F"/>
    <w:rsid w:val="003F2056"/>
    <w:rsid w:val="003F2534"/>
    <w:rsid w:val="003F4DC7"/>
    <w:rsid w:val="003F5235"/>
    <w:rsid w:val="003F54C7"/>
    <w:rsid w:val="003F684C"/>
    <w:rsid w:val="00400117"/>
    <w:rsid w:val="004027E4"/>
    <w:rsid w:val="004037E1"/>
    <w:rsid w:val="00403D23"/>
    <w:rsid w:val="00404243"/>
    <w:rsid w:val="00404953"/>
    <w:rsid w:val="00404C48"/>
    <w:rsid w:val="004050B7"/>
    <w:rsid w:val="00405548"/>
    <w:rsid w:val="00405F63"/>
    <w:rsid w:val="00406521"/>
    <w:rsid w:val="00406D8D"/>
    <w:rsid w:val="00407042"/>
    <w:rsid w:val="0041071D"/>
    <w:rsid w:val="004117A7"/>
    <w:rsid w:val="0041291C"/>
    <w:rsid w:val="00412A5E"/>
    <w:rsid w:val="00413C41"/>
    <w:rsid w:val="00414022"/>
    <w:rsid w:val="004142F7"/>
    <w:rsid w:val="00414AFC"/>
    <w:rsid w:val="004151A7"/>
    <w:rsid w:val="00415310"/>
    <w:rsid w:val="0041596A"/>
    <w:rsid w:val="00421709"/>
    <w:rsid w:val="004217D2"/>
    <w:rsid w:val="00421811"/>
    <w:rsid w:val="00422C56"/>
    <w:rsid w:val="00423763"/>
    <w:rsid w:val="004237B0"/>
    <w:rsid w:val="004237E6"/>
    <w:rsid w:val="00423DC0"/>
    <w:rsid w:val="00424F04"/>
    <w:rsid w:val="00425EB9"/>
    <w:rsid w:val="0042634C"/>
    <w:rsid w:val="00427629"/>
    <w:rsid w:val="0042762F"/>
    <w:rsid w:val="00427C52"/>
    <w:rsid w:val="00427DC7"/>
    <w:rsid w:val="004304ED"/>
    <w:rsid w:val="00430B29"/>
    <w:rsid w:val="004310BB"/>
    <w:rsid w:val="00431613"/>
    <w:rsid w:val="0043163D"/>
    <w:rsid w:val="00431792"/>
    <w:rsid w:val="00432814"/>
    <w:rsid w:val="0043297A"/>
    <w:rsid w:val="00432EB2"/>
    <w:rsid w:val="00433599"/>
    <w:rsid w:val="00433B74"/>
    <w:rsid w:val="0043515C"/>
    <w:rsid w:val="0043587A"/>
    <w:rsid w:val="0043679C"/>
    <w:rsid w:val="00437085"/>
    <w:rsid w:val="0043714F"/>
    <w:rsid w:val="00437274"/>
    <w:rsid w:val="00437515"/>
    <w:rsid w:val="00437AE8"/>
    <w:rsid w:val="00441016"/>
    <w:rsid w:val="0044102D"/>
    <w:rsid w:val="00441A25"/>
    <w:rsid w:val="00443074"/>
    <w:rsid w:val="00443214"/>
    <w:rsid w:val="00443834"/>
    <w:rsid w:val="004438B5"/>
    <w:rsid w:val="00443E44"/>
    <w:rsid w:val="00443FCE"/>
    <w:rsid w:val="004449E9"/>
    <w:rsid w:val="00444B34"/>
    <w:rsid w:val="00444D64"/>
    <w:rsid w:val="00444F6B"/>
    <w:rsid w:val="004455A9"/>
    <w:rsid w:val="00445E01"/>
    <w:rsid w:val="004463E4"/>
    <w:rsid w:val="00447037"/>
    <w:rsid w:val="0044779D"/>
    <w:rsid w:val="00447A8B"/>
    <w:rsid w:val="00447AD2"/>
    <w:rsid w:val="00447DBC"/>
    <w:rsid w:val="00450EDE"/>
    <w:rsid w:val="004511C5"/>
    <w:rsid w:val="0045124D"/>
    <w:rsid w:val="00451590"/>
    <w:rsid w:val="00451972"/>
    <w:rsid w:val="00454596"/>
    <w:rsid w:val="00454C4E"/>
    <w:rsid w:val="00454D55"/>
    <w:rsid w:val="00454F7C"/>
    <w:rsid w:val="004554B9"/>
    <w:rsid w:val="0045605D"/>
    <w:rsid w:val="004560C9"/>
    <w:rsid w:val="0046135B"/>
    <w:rsid w:val="00461D47"/>
    <w:rsid w:val="00462332"/>
    <w:rsid w:val="00462821"/>
    <w:rsid w:val="004645C1"/>
    <w:rsid w:val="00464E2C"/>
    <w:rsid w:val="00465581"/>
    <w:rsid w:val="0046628F"/>
    <w:rsid w:val="004668C7"/>
    <w:rsid w:val="0046745C"/>
    <w:rsid w:val="0047018B"/>
    <w:rsid w:val="004709BD"/>
    <w:rsid w:val="00470A8C"/>
    <w:rsid w:val="004718CC"/>
    <w:rsid w:val="00471C30"/>
    <w:rsid w:val="00473742"/>
    <w:rsid w:val="00474C8B"/>
    <w:rsid w:val="0047565F"/>
    <w:rsid w:val="004767A3"/>
    <w:rsid w:val="00477EDD"/>
    <w:rsid w:val="00481695"/>
    <w:rsid w:val="004827AC"/>
    <w:rsid w:val="0048297F"/>
    <w:rsid w:val="00482C49"/>
    <w:rsid w:val="00483C27"/>
    <w:rsid w:val="00484CD6"/>
    <w:rsid w:val="00486D23"/>
    <w:rsid w:val="00490133"/>
    <w:rsid w:val="0049018B"/>
    <w:rsid w:val="0049069A"/>
    <w:rsid w:val="00490B25"/>
    <w:rsid w:val="0049171F"/>
    <w:rsid w:val="00492231"/>
    <w:rsid w:val="004925D2"/>
    <w:rsid w:val="004927D0"/>
    <w:rsid w:val="00492E97"/>
    <w:rsid w:val="00493105"/>
    <w:rsid w:val="00493AAE"/>
    <w:rsid w:val="00493BC3"/>
    <w:rsid w:val="00494430"/>
    <w:rsid w:val="00494434"/>
    <w:rsid w:val="00494C58"/>
    <w:rsid w:val="00494D55"/>
    <w:rsid w:val="004957F5"/>
    <w:rsid w:val="00495A96"/>
    <w:rsid w:val="00495BB3"/>
    <w:rsid w:val="004962CC"/>
    <w:rsid w:val="004962DC"/>
    <w:rsid w:val="004974C9"/>
    <w:rsid w:val="0049787F"/>
    <w:rsid w:val="00497A48"/>
    <w:rsid w:val="004A0213"/>
    <w:rsid w:val="004A0D89"/>
    <w:rsid w:val="004A10E3"/>
    <w:rsid w:val="004A24ED"/>
    <w:rsid w:val="004A320A"/>
    <w:rsid w:val="004A4C8D"/>
    <w:rsid w:val="004A4F47"/>
    <w:rsid w:val="004A5512"/>
    <w:rsid w:val="004A5621"/>
    <w:rsid w:val="004A56BB"/>
    <w:rsid w:val="004A5BD2"/>
    <w:rsid w:val="004A67E4"/>
    <w:rsid w:val="004A6CA9"/>
    <w:rsid w:val="004A70D6"/>
    <w:rsid w:val="004A7660"/>
    <w:rsid w:val="004A7A2E"/>
    <w:rsid w:val="004B1751"/>
    <w:rsid w:val="004B192D"/>
    <w:rsid w:val="004B1D70"/>
    <w:rsid w:val="004B2B62"/>
    <w:rsid w:val="004B34CD"/>
    <w:rsid w:val="004B4162"/>
    <w:rsid w:val="004B434E"/>
    <w:rsid w:val="004B455E"/>
    <w:rsid w:val="004B5170"/>
    <w:rsid w:val="004B6795"/>
    <w:rsid w:val="004B6BAB"/>
    <w:rsid w:val="004B784D"/>
    <w:rsid w:val="004B7D9A"/>
    <w:rsid w:val="004C0253"/>
    <w:rsid w:val="004C0C48"/>
    <w:rsid w:val="004C27C0"/>
    <w:rsid w:val="004C2943"/>
    <w:rsid w:val="004C2EB8"/>
    <w:rsid w:val="004C2FDD"/>
    <w:rsid w:val="004C3D3F"/>
    <w:rsid w:val="004C3E23"/>
    <w:rsid w:val="004C40E6"/>
    <w:rsid w:val="004C4F26"/>
    <w:rsid w:val="004C5C68"/>
    <w:rsid w:val="004C61AF"/>
    <w:rsid w:val="004C62ED"/>
    <w:rsid w:val="004C636E"/>
    <w:rsid w:val="004C65F2"/>
    <w:rsid w:val="004D07F3"/>
    <w:rsid w:val="004D1568"/>
    <w:rsid w:val="004D1987"/>
    <w:rsid w:val="004D1EAE"/>
    <w:rsid w:val="004D2DD7"/>
    <w:rsid w:val="004D3551"/>
    <w:rsid w:val="004D387A"/>
    <w:rsid w:val="004D3B44"/>
    <w:rsid w:val="004D4DFE"/>
    <w:rsid w:val="004D56FF"/>
    <w:rsid w:val="004D5986"/>
    <w:rsid w:val="004D6C3C"/>
    <w:rsid w:val="004E1B73"/>
    <w:rsid w:val="004E1CEE"/>
    <w:rsid w:val="004E2122"/>
    <w:rsid w:val="004E21AF"/>
    <w:rsid w:val="004E2960"/>
    <w:rsid w:val="004E379F"/>
    <w:rsid w:val="004E3970"/>
    <w:rsid w:val="004E39D3"/>
    <w:rsid w:val="004E4DA6"/>
    <w:rsid w:val="004E508A"/>
    <w:rsid w:val="004E616D"/>
    <w:rsid w:val="004E6BD7"/>
    <w:rsid w:val="004E6DA8"/>
    <w:rsid w:val="004E7422"/>
    <w:rsid w:val="004F0793"/>
    <w:rsid w:val="004F08F0"/>
    <w:rsid w:val="004F1134"/>
    <w:rsid w:val="004F158F"/>
    <w:rsid w:val="004F17F0"/>
    <w:rsid w:val="004F1BDE"/>
    <w:rsid w:val="004F2B1F"/>
    <w:rsid w:val="004F2CEE"/>
    <w:rsid w:val="004F39E5"/>
    <w:rsid w:val="004F4F36"/>
    <w:rsid w:val="004F556E"/>
    <w:rsid w:val="004F591C"/>
    <w:rsid w:val="004F591E"/>
    <w:rsid w:val="004F7039"/>
    <w:rsid w:val="004F7524"/>
    <w:rsid w:val="004F779A"/>
    <w:rsid w:val="004F7F44"/>
    <w:rsid w:val="00501FBD"/>
    <w:rsid w:val="00502184"/>
    <w:rsid w:val="005026E2"/>
    <w:rsid w:val="005037B4"/>
    <w:rsid w:val="00505FF1"/>
    <w:rsid w:val="00506090"/>
    <w:rsid w:val="005079BF"/>
    <w:rsid w:val="00510A20"/>
    <w:rsid w:val="00511076"/>
    <w:rsid w:val="005112BC"/>
    <w:rsid w:val="005122EC"/>
    <w:rsid w:val="0051269A"/>
    <w:rsid w:val="00512B2B"/>
    <w:rsid w:val="0051390C"/>
    <w:rsid w:val="005139D9"/>
    <w:rsid w:val="005143DB"/>
    <w:rsid w:val="005144FA"/>
    <w:rsid w:val="005158B0"/>
    <w:rsid w:val="00515ED3"/>
    <w:rsid w:val="0051652A"/>
    <w:rsid w:val="00520464"/>
    <w:rsid w:val="005209D1"/>
    <w:rsid w:val="005219E7"/>
    <w:rsid w:val="00521ED4"/>
    <w:rsid w:val="00522C6D"/>
    <w:rsid w:val="0052350F"/>
    <w:rsid w:val="00524E76"/>
    <w:rsid w:val="00525B37"/>
    <w:rsid w:val="0052776C"/>
    <w:rsid w:val="00527B59"/>
    <w:rsid w:val="005307E0"/>
    <w:rsid w:val="00531B9A"/>
    <w:rsid w:val="00531D15"/>
    <w:rsid w:val="005326F3"/>
    <w:rsid w:val="00532A3A"/>
    <w:rsid w:val="00532DB4"/>
    <w:rsid w:val="00532FA6"/>
    <w:rsid w:val="00533B1F"/>
    <w:rsid w:val="00535660"/>
    <w:rsid w:val="005356D5"/>
    <w:rsid w:val="00535729"/>
    <w:rsid w:val="005360C4"/>
    <w:rsid w:val="005363EF"/>
    <w:rsid w:val="00536F21"/>
    <w:rsid w:val="00537604"/>
    <w:rsid w:val="00542377"/>
    <w:rsid w:val="005429A3"/>
    <w:rsid w:val="005429FD"/>
    <w:rsid w:val="005432B0"/>
    <w:rsid w:val="00543752"/>
    <w:rsid w:val="00543F0C"/>
    <w:rsid w:val="00544808"/>
    <w:rsid w:val="00544B5B"/>
    <w:rsid w:val="00544EA2"/>
    <w:rsid w:val="005476EB"/>
    <w:rsid w:val="0055086E"/>
    <w:rsid w:val="00551782"/>
    <w:rsid w:val="00551B96"/>
    <w:rsid w:val="00552C9C"/>
    <w:rsid w:val="00553512"/>
    <w:rsid w:val="00553A24"/>
    <w:rsid w:val="005540F5"/>
    <w:rsid w:val="0055489D"/>
    <w:rsid w:val="00555878"/>
    <w:rsid w:val="00557574"/>
    <w:rsid w:val="005608A8"/>
    <w:rsid w:val="0056186B"/>
    <w:rsid w:val="00562781"/>
    <w:rsid w:val="005629B5"/>
    <w:rsid w:val="00563C53"/>
    <w:rsid w:val="00563C7C"/>
    <w:rsid w:val="00563EF1"/>
    <w:rsid w:val="0056430C"/>
    <w:rsid w:val="005644BC"/>
    <w:rsid w:val="00564C43"/>
    <w:rsid w:val="00565CC0"/>
    <w:rsid w:val="00566AB4"/>
    <w:rsid w:val="00566B83"/>
    <w:rsid w:val="00567591"/>
    <w:rsid w:val="00567597"/>
    <w:rsid w:val="00570402"/>
    <w:rsid w:val="0057200F"/>
    <w:rsid w:val="0057262B"/>
    <w:rsid w:val="00572833"/>
    <w:rsid w:val="00574262"/>
    <w:rsid w:val="00575AC5"/>
    <w:rsid w:val="0057605D"/>
    <w:rsid w:val="00576712"/>
    <w:rsid w:val="00576729"/>
    <w:rsid w:val="005770B1"/>
    <w:rsid w:val="00577434"/>
    <w:rsid w:val="00580298"/>
    <w:rsid w:val="00580D61"/>
    <w:rsid w:val="00581273"/>
    <w:rsid w:val="00581347"/>
    <w:rsid w:val="00581AC9"/>
    <w:rsid w:val="005827AB"/>
    <w:rsid w:val="00582FB5"/>
    <w:rsid w:val="00583163"/>
    <w:rsid w:val="00584406"/>
    <w:rsid w:val="005849F8"/>
    <w:rsid w:val="00586203"/>
    <w:rsid w:val="00586C45"/>
    <w:rsid w:val="00587139"/>
    <w:rsid w:val="00587E8D"/>
    <w:rsid w:val="00590129"/>
    <w:rsid w:val="00590CFF"/>
    <w:rsid w:val="00592E9C"/>
    <w:rsid w:val="005938DF"/>
    <w:rsid w:val="00593CCA"/>
    <w:rsid w:val="005946CF"/>
    <w:rsid w:val="00594E9C"/>
    <w:rsid w:val="0059539F"/>
    <w:rsid w:val="0059570A"/>
    <w:rsid w:val="00596129"/>
    <w:rsid w:val="005970B6"/>
    <w:rsid w:val="00597342"/>
    <w:rsid w:val="005A0942"/>
    <w:rsid w:val="005A099B"/>
    <w:rsid w:val="005A0C8D"/>
    <w:rsid w:val="005A10B9"/>
    <w:rsid w:val="005A2D9C"/>
    <w:rsid w:val="005A2FDD"/>
    <w:rsid w:val="005A3A1C"/>
    <w:rsid w:val="005A4352"/>
    <w:rsid w:val="005A47F9"/>
    <w:rsid w:val="005A55FE"/>
    <w:rsid w:val="005A584B"/>
    <w:rsid w:val="005A6121"/>
    <w:rsid w:val="005A6A11"/>
    <w:rsid w:val="005A6BBF"/>
    <w:rsid w:val="005A7104"/>
    <w:rsid w:val="005A724F"/>
    <w:rsid w:val="005A7E46"/>
    <w:rsid w:val="005B016E"/>
    <w:rsid w:val="005B0505"/>
    <w:rsid w:val="005B09B7"/>
    <w:rsid w:val="005B181A"/>
    <w:rsid w:val="005B1E41"/>
    <w:rsid w:val="005B5D2A"/>
    <w:rsid w:val="005B5F9A"/>
    <w:rsid w:val="005C05A3"/>
    <w:rsid w:val="005C0FFD"/>
    <w:rsid w:val="005C13D3"/>
    <w:rsid w:val="005C21F7"/>
    <w:rsid w:val="005C24A8"/>
    <w:rsid w:val="005C25F9"/>
    <w:rsid w:val="005C3B38"/>
    <w:rsid w:val="005C4DDD"/>
    <w:rsid w:val="005C6BBD"/>
    <w:rsid w:val="005C6D7B"/>
    <w:rsid w:val="005C767B"/>
    <w:rsid w:val="005D0072"/>
    <w:rsid w:val="005D12BC"/>
    <w:rsid w:val="005D1897"/>
    <w:rsid w:val="005D1F6B"/>
    <w:rsid w:val="005D2502"/>
    <w:rsid w:val="005D2937"/>
    <w:rsid w:val="005D3483"/>
    <w:rsid w:val="005D3B53"/>
    <w:rsid w:val="005D3E67"/>
    <w:rsid w:val="005D40BB"/>
    <w:rsid w:val="005D42AD"/>
    <w:rsid w:val="005D47F3"/>
    <w:rsid w:val="005D49BF"/>
    <w:rsid w:val="005D4AA5"/>
    <w:rsid w:val="005D4B79"/>
    <w:rsid w:val="005D4C58"/>
    <w:rsid w:val="005D6526"/>
    <w:rsid w:val="005D6C85"/>
    <w:rsid w:val="005D6F4E"/>
    <w:rsid w:val="005D7C73"/>
    <w:rsid w:val="005E0882"/>
    <w:rsid w:val="005E0DD4"/>
    <w:rsid w:val="005E18FE"/>
    <w:rsid w:val="005E1D44"/>
    <w:rsid w:val="005E250B"/>
    <w:rsid w:val="005E2C30"/>
    <w:rsid w:val="005E2C77"/>
    <w:rsid w:val="005E312F"/>
    <w:rsid w:val="005E3ACD"/>
    <w:rsid w:val="005E4207"/>
    <w:rsid w:val="005E4E30"/>
    <w:rsid w:val="005E6ADB"/>
    <w:rsid w:val="005E6D47"/>
    <w:rsid w:val="005E7009"/>
    <w:rsid w:val="005E7226"/>
    <w:rsid w:val="005E7369"/>
    <w:rsid w:val="005E7A57"/>
    <w:rsid w:val="005F0EB7"/>
    <w:rsid w:val="005F107D"/>
    <w:rsid w:val="005F18DD"/>
    <w:rsid w:val="005F24B0"/>
    <w:rsid w:val="005F251A"/>
    <w:rsid w:val="005F4C37"/>
    <w:rsid w:val="005F524F"/>
    <w:rsid w:val="005F6E77"/>
    <w:rsid w:val="005F7159"/>
    <w:rsid w:val="005F72C3"/>
    <w:rsid w:val="005F7BCB"/>
    <w:rsid w:val="006005D5"/>
    <w:rsid w:val="00601496"/>
    <w:rsid w:val="00601B57"/>
    <w:rsid w:val="00602D10"/>
    <w:rsid w:val="00603C3D"/>
    <w:rsid w:val="00604315"/>
    <w:rsid w:val="00604E1D"/>
    <w:rsid w:val="00604E26"/>
    <w:rsid w:val="0060523F"/>
    <w:rsid w:val="006052CF"/>
    <w:rsid w:val="006060F9"/>
    <w:rsid w:val="006066DA"/>
    <w:rsid w:val="00607B8D"/>
    <w:rsid w:val="00611F5C"/>
    <w:rsid w:val="006132E8"/>
    <w:rsid w:val="006132EA"/>
    <w:rsid w:val="00613772"/>
    <w:rsid w:val="00613905"/>
    <w:rsid w:val="00615D9B"/>
    <w:rsid w:val="00616A7E"/>
    <w:rsid w:val="00616CA1"/>
    <w:rsid w:val="00616D76"/>
    <w:rsid w:val="00616E09"/>
    <w:rsid w:val="00617BE7"/>
    <w:rsid w:val="00620380"/>
    <w:rsid w:val="006211BF"/>
    <w:rsid w:val="00621641"/>
    <w:rsid w:val="006220B6"/>
    <w:rsid w:val="006228B5"/>
    <w:rsid w:val="00622967"/>
    <w:rsid w:val="00622A3B"/>
    <w:rsid w:val="00622EEA"/>
    <w:rsid w:val="00622F70"/>
    <w:rsid w:val="006230C3"/>
    <w:rsid w:val="006237F0"/>
    <w:rsid w:val="0062396C"/>
    <w:rsid w:val="00623FF9"/>
    <w:rsid w:val="0062425C"/>
    <w:rsid w:val="006245CB"/>
    <w:rsid w:val="006252E6"/>
    <w:rsid w:val="0062539F"/>
    <w:rsid w:val="00625CFC"/>
    <w:rsid w:val="00627D4E"/>
    <w:rsid w:val="00627EA9"/>
    <w:rsid w:val="00631D60"/>
    <w:rsid w:val="00632B89"/>
    <w:rsid w:val="0063346D"/>
    <w:rsid w:val="00633516"/>
    <w:rsid w:val="00633813"/>
    <w:rsid w:val="00634095"/>
    <w:rsid w:val="0063418D"/>
    <w:rsid w:val="00634478"/>
    <w:rsid w:val="00636469"/>
    <w:rsid w:val="00636501"/>
    <w:rsid w:val="00643390"/>
    <w:rsid w:val="00643E68"/>
    <w:rsid w:val="00644373"/>
    <w:rsid w:val="006451BC"/>
    <w:rsid w:val="00645915"/>
    <w:rsid w:val="00645B21"/>
    <w:rsid w:val="00647E6F"/>
    <w:rsid w:val="00650101"/>
    <w:rsid w:val="00650B67"/>
    <w:rsid w:val="00650C4C"/>
    <w:rsid w:val="00650F2C"/>
    <w:rsid w:val="006516F5"/>
    <w:rsid w:val="006519C3"/>
    <w:rsid w:val="00652519"/>
    <w:rsid w:val="00652A5E"/>
    <w:rsid w:val="00652B30"/>
    <w:rsid w:val="0065338E"/>
    <w:rsid w:val="00654EB5"/>
    <w:rsid w:val="00655036"/>
    <w:rsid w:val="0065538C"/>
    <w:rsid w:val="00655BF5"/>
    <w:rsid w:val="00656345"/>
    <w:rsid w:val="006564FE"/>
    <w:rsid w:val="00656DC6"/>
    <w:rsid w:val="00656DD3"/>
    <w:rsid w:val="00657539"/>
    <w:rsid w:val="00660EC6"/>
    <w:rsid w:val="006610EE"/>
    <w:rsid w:val="006624FC"/>
    <w:rsid w:val="006625FA"/>
    <w:rsid w:val="00662633"/>
    <w:rsid w:val="006633E8"/>
    <w:rsid w:val="00663496"/>
    <w:rsid w:val="00664110"/>
    <w:rsid w:val="00664D17"/>
    <w:rsid w:val="00664F13"/>
    <w:rsid w:val="00666520"/>
    <w:rsid w:val="00666C30"/>
    <w:rsid w:val="006672E3"/>
    <w:rsid w:val="00667739"/>
    <w:rsid w:val="00667C5B"/>
    <w:rsid w:val="00670046"/>
    <w:rsid w:val="00670BCC"/>
    <w:rsid w:val="00670D0D"/>
    <w:rsid w:val="00672D60"/>
    <w:rsid w:val="006732B5"/>
    <w:rsid w:val="00673E49"/>
    <w:rsid w:val="00674D8E"/>
    <w:rsid w:val="00675053"/>
    <w:rsid w:val="0067561F"/>
    <w:rsid w:val="00675679"/>
    <w:rsid w:val="00675C70"/>
    <w:rsid w:val="00677DF2"/>
    <w:rsid w:val="00681583"/>
    <w:rsid w:val="0068233E"/>
    <w:rsid w:val="00682B85"/>
    <w:rsid w:val="0068336F"/>
    <w:rsid w:val="00685A94"/>
    <w:rsid w:val="00685C08"/>
    <w:rsid w:val="00685FFD"/>
    <w:rsid w:val="0068678E"/>
    <w:rsid w:val="006869EC"/>
    <w:rsid w:val="00687C62"/>
    <w:rsid w:val="00687DB1"/>
    <w:rsid w:val="00691001"/>
    <w:rsid w:val="00691118"/>
    <w:rsid w:val="00691719"/>
    <w:rsid w:val="00691EB8"/>
    <w:rsid w:val="00692CDE"/>
    <w:rsid w:val="00693073"/>
    <w:rsid w:val="00693550"/>
    <w:rsid w:val="006948F1"/>
    <w:rsid w:val="0069498E"/>
    <w:rsid w:val="00694B8A"/>
    <w:rsid w:val="006959A3"/>
    <w:rsid w:val="0069705B"/>
    <w:rsid w:val="006971E5"/>
    <w:rsid w:val="006977FF"/>
    <w:rsid w:val="006A01FA"/>
    <w:rsid w:val="006A0E9E"/>
    <w:rsid w:val="006A1916"/>
    <w:rsid w:val="006A1BD7"/>
    <w:rsid w:val="006A25C7"/>
    <w:rsid w:val="006A40A5"/>
    <w:rsid w:val="006A4229"/>
    <w:rsid w:val="006A4AAD"/>
    <w:rsid w:val="006A6631"/>
    <w:rsid w:val="006A6DA2"/>
    <w:rsid w:val="006A778C"/>
    <w:rsid w:val="006A7AB2"/>
    <w:rsid w:val="006A7DA6"/>
    <w:rsid w:val="006A7E93"/>
    <w:rsid w:val="006B0175"/>
    <w:rsid w:val="006B24E3"/>
    <w:rsid w:val="006B3077"/>
    <w:rsid w:val="006B4CEE"/>
    <w:rsid w:val="006B4E44"/>
    <w:rsid w:val="006B52DE"/>
    <w:rsid w:val="006B5717"/>
    <w:rsid w:val="006B582F"/>
    <w:rsid w:val="006B5EB2"/>
    <w:rsid w:val="006B5FFF"/>
    <w:rsid w:val="006B68AD"/>
    <w:rsid w:val="006B6D4D"/>
    <w:rsid w:val="006B72BE"/>
    <w:rsid w:val="006C03C4"/>
    <w:rsid w:val="006C0CEB"/>
    <w:rsid w:val="006C0D2F"/>
    <w:rsid w:val="006C1631"/>
    <w:rsid w:val="006C1F49"/>
    <w:rsid w:val="006C2007"/>
    <w:rsid w:val="006C2014"/>
    <w:rsid w:val="006C20C1"/>
    <w:rsid w:val="006C2FF4"/>
    <w:rsid w:val="006C3B1E"/>
    <w:rsid w:val="006C4636"/>
    <w:rsid w:val="006C46F2"/>
    <w:rsid w:val="006C47FD"/>
    <w:rsid w:val="006C4E1B"/>
    <w:rsid w:val="006C4E82"/>
    <w:rsid w:val="006C5C19"/>
    <w:rsid w:val="006C6821"/>
    <w:rsid w:val="006C6C6D"/>
    <w:rsid w:val="006C6DC6"/>
    <w:rsid w:val="006C70A0"/>
    <w:rsid w:val="006C72F2"/>
    <w:rsid w:val="006C7815"/>
    <w:rsid w:val="006D0C14"/>
    <w:rsid w:val="006D1013"/>
    <w:rsid w:val="006D1B2E"/>
    <w:rsid w:val="006D1CBD"/>
    <w:rsid w:val="006D1F9B"/>
    <w:rsid w:val="006D27CB"/>
    <w:rsid w:val="006D2F08"/>
    <w:rsid w:val="006D38BE"/>
    <w:rsid w:val="006D3EFE"/>
    <w:rsid w:val="006D42BF"/>
    <w:rsid w:val="006D504D"/>
    <w:rsid w:val="006D55EA"/>
    <w:rsid w:val="006D5625"/>
    <w:rsid w:val="006D576C"/>
    <w:rsid w:val="006D5865"/>
    <w:rsid w:val="006D5A74"/>
    <w:rsid w:val="006D6434"/>
    <w:rsid w:val="006D742D"/>
    <w:rsid w:val="006D7BF3"/>
    <w:rsid w:val="006E012C"/>
    <w:rsid w:val="006E1085"/>
    <w:rsid w:val="006E14A0"/>
    <w:rsid w:val="006E1897"/>
    <w:rsid w:val="006E1D37"/>
    <w:rsid w:val="006E1F07"/>
    <w:rsid w:val="006E1FE1"/>
    <w:rsid w:val="006E34F1"/>
    <w:rsid w:val="006E437E"/>
    <w:rsid w:val="006E4B1B"/>
    <w:rsid w:val="006E5445"/>
    <w:rsid w:val="006E588B"/>
    <w:rsid w:val="006E5AEA"/>
    <w:rsid w:val="006E5BB6"/>
    <w:rsid w:val="006E6395"/>
    <w:rsid w:val="006E776E"/>
    <w:rsid w:val="006E7D93"/>
    <w:rsid w:val="006E7FF8"/>
    <w:rsid w:val="006F042B"/>
    <w:rsid w:val="006F06D1"/>
    <w:rsid w:val="006F19C1"/>
    <w:rsid w:val="006F1B8C"/>
    <w:rsid w:val="006F2653"/>
    <w:rsid w:val="006F27D6"/>
    <w:rsid w:val="006F3511"/>
    <w:rsid w:val="006F58CF"/>
    <w:rsid w:val="006F5957"/>
    <w:rsid w:val="006F78AB"/>
    <w:rsid w:val="007000C4"/>
    <w:rsid w:val="007006DA"/>
    <w:rsid w:val="0070070F"/>
    <w:rsid w:val="00700A63"/>
    <w:rsid w:val="00700F3C"/>
    <w:rsid w:val="0070124A"/>
    <w:rsid w:val="007021F4"/>
    <w:rsid w:val="007028BB"/>
    <w:rsid w:val="007029A3"/>
    <w:rsid w:val="00702EA1"/>
    <w:rsid w:val="00704331"/>
    <w:rsid w:val="00705662"/>
    <w:rsid w:val="00705675"/>
    <w:rsid w:val="00705FA6"/>
    <w:rsid w:val="00706335"/>
    <w:rsid w:val="00706E4E"/>
    <w:rsid w:val="0070702D"/>
    <w:rsid w:val="00707041"/>
    <w:rsid w:val="007071BB"/>
    <w:rsid w:val="0070791C"/>
    <w:rsid w:val="00707D60"/>
    <w:rsid w:val="007100FD"/>
    <w:rsid w:val="00710D8F"/>
    <w:rsid w:val="00711060"/>
    <w:rsid w:val="00711FEE"/>
    <w:rsid w:val="00712D4E"/>
    <w:rsid w:val="00713118"/>
    <w:rsid w:val="0071383C"/>
    <w:rsid w:val="007141A7"/>
    <w:rsid w:val="007143A2"/>
    <w:rsid w:val="007152CD"/>
    <w:rsid w:val="00715722"/>
    <w:rsid w:val="00715ECE"/>
    <w:rsid w:val="0071666C"/>
    <w:rsid w:val="00716A87"/>
    <w:rsid w:val="00717296"/>
    <w:rsid w:val="007177FE"/>
    <w:rsid w:val="00721032"/>
    <w:rsid w:val="00721B55"/>
    <w:rsid w:val="007221CD"/>
    <w:rsid w:val="00722842"/>
    <w:rsid w:val="00722D3F"/>
    <w:rsid w:val="0072492C"/>
    <w:rsid w:val="00724963"/>
    <w:rsid w:val="0072524F"/>
    <w:rsid w:val="00726CE4"/>
    <w:rsid w:val="00730146"/>
    <w:rsid w:val="007306A7"/>
    <w:rsid w:val="00730BCA"/>
    <w:rsid w:val="007310A3"/>
    <w:rsid w:val="00731112"/>
    <w:rsid w:val="00731EA8"/>
    <w:rsid w:val="007325EF"/>
    <w:rsid w:val="00732C07"/>
    <w:rsid w:val="00733B0B"/>
    <w:rsid w:val="00733E0C"/>
    <w:rsid w:val="00734143"/>
    <w:rsid w:val="0073450E"/>
    <w:rsid w:val="00734BB4"/>
    <w:rsid w:val="007360D9"/>
    <w:rsid w:val="00737E47"/>
    <w:rsid w:val="00740298"/>
    <w:rsid w:val="0074076B"/>
    <w:rsid w:val="00740EAC"/>
    <w:rsid w:val="00744701"/>
    <w:rsid w:val="00744956"/>
    <w:rsid w:val="00744A6C"/>
    <w:rsid w:val="00745031"/>
    <w:rsid w:val="00745059"/>
    <w:rsid w:val="007455B9"/>
    <w:rsid w:val="00745A5C"/>
    <w:rsid w:val="00745C3B"/>
    <w:rsid w:val="0074605F"/>
    <w:rsid w:val="00747DE1"/>
    <w:rsid w:val="00747E94"/>
    <w:rsid w:val="00750B37"/>
    <w:rsid w:val="00751A98"/>
    <w:rsid w:val="00752983"/>
    <w:rsid w:val="00753070"/>
    <w:rsid w:val="00753B3F"/>
    <w:rsid w:val="00753DFB"/>
    <w:rsid w:val="0075405E"/>
    <w:rsid w:val="007541D9"/>
    <w:rsid w:val="00754C38"/>
    <w:rsid w:val="00754C83"/>
    <w:rsid w:val="00754E93"/>
    <w:rsid w:val="00755591"/>
    <w:rsid w:val="00755890"/>
    <w:rsid w:val="00755B70"/>
    <w:rsid w:val="00756EAB"/>
    <w:rsid w:val="00756EE8"/>
    <w:rsid w:val="00757487"/>
    <w:rsid w:val="00760158"/>
    <w:rsid w:val="0076198C"/>
    <w:rsid w:val="00761CCD"/>
    <w:rsid w:val="00761E5C"/>
    <w:rsid w:val="00762FB1"/>
    <w:rsid w:val="007647E2"/>
    <w:rsid w:val="00764FB1"/>
    <w:rsid w:val="00765B22"/>
    <w:rsid w:val="00765DF8"/>
    <w:rsid w:val="007665D0"/>
    <w:rsid w:val="00766749"/>
    <w:rsid w:val="00766ADE"/>
    <w:rsid w:val="00767633"/>
    <w:rsid w:val="00767C1B"/>
    <w:rsid w:val="00767F6D"/>
    <w:rsid w:val="00770068"/>
    <w:rsid w:val="00770745"/>
    <w:rsid w:val="007714A9"/>
    <w:rsid w:val="007719DC"/>
    <w:rsid w:val="00771B8F"/>
    <w:rsid w:val="00772053"/>
    <w:rsid w:val="007728A1"/>
    <w:rsid w:val="00772C6D"/>
    <w:rsid w:val="00773175"/>
    <w:rsid w:val="0077321F"/>
    <w:rsid w:val="00773DD3"/>
    <w:rsid w:val="00774639"/>
    <w:rsid w:val="00774F88"/>
    <w:rsid w:val="00774FDB"/>
    <w:rsid w:val="0077572E"/>
    <w:rsid w:val="00777587"/>
    <w:rsid w:val="007775FC"/>
    <w:rsid w:val="00777A9F"/>
    <w:rsid w:val="00777BA2"/>
    <w:rsid w:val="00777E35"/>
    <w:rsid w:val="00780F4C"/>
    <w:rsid w:val="00781408"/>
    <w:rsid w:val="00782278"/>
    <w:rsid w:val="007824CA"/>
    <w:rsid w:val="0078279E"/>
    <w:rsid w:val="00782EF5"/>
    <w:rsid w:val="00784F7F"/>
    <w:rsid w:val="0078722F"/>
    <w:rsid w:val="007878BD"/>
    <w:rsid w:val="00790043"/>
    <w:rsid w:val="00790530"/>
    <w:rsid w:val="007908B5"/>
    <w:rsid w:val="007909BD"/>
    <w:rsid w:val="0079115E"/>
    <w:rsid w:val="00792248"/>
    <w:rsid w:val="00792FC7"/>
    <w:rsid w:val="00792FCC"/>
    <w:rsid w:val="0079329F"/>
    <w:rsid w:val="007944D4"/>
    <w:rsid w:val="00794517"/>
    <w:rsid w:val="00796CAC"/>
    <w:rsid w:val="00796F25"/>
    <w:rsid w:val="00797017"/>
    <w:rsid w:val="007970F5"/>
    <w:rsid w:val="00797F89"/>
    <w:rsid w:val="007A04DA"/>
    <w:rsid w:val="007A0842"/>
    <w:rsid w:val="007A09D7"/>
    <w:rsid w:val="007A0B26"/>
    <w:rsid w:val="007A0BE5"/>
    <w:rsid w:val="007A1BCB"/>
    <w:rsid w:val="007A1C4B"/>
    <w:rsid w:val="007A2E98"/>
    <w:rsid w:val="007A2ECF"/>
    <w:rsid w:val="007A3044"/>
    <w:rsid w:val="007A3BA3"/>
    <w:rsid w:val="007A3BE1"/>
    <w:rsid w:val="007A561F"/>
    <w:rsid w:val="007A6599"/>
    <w:rsid w:val="007A6712"/>
    <w:rsid w:val="007A6CC0"/>
    <w:rsid w:val="007A7BF4"/>
    <w:rsid w:val="007A7FEC"/>
    <w:rsid w:val="007B1499"/>
    <w:rsid w:val="007B1B97"/>
    <w:rsid w:val="007B1BBF"/>
    <w:rsid w:val="007B1CCA"/>
    <w:rsid w:val="007B2960"/>
    <w:rsid w:val="007B355D"/>
    <w:rsid w:val="007B3B80"/>
    <w:rsid w:val="007B46D5"/>
    <w:rsid w:val="007B4E2D"/>
    <w:rsid w:val="007B6B0E"/>
    <w:rsid w:val="007B714C"/>
    <w:rsid w:val="007B7502"/>
    <w:rsid w:val="007B78DD"/>
    <w:rsid w:val="007B7980"/>
    <w:rsid w:val="007B79FB"/>
    <w:rsid w:val="007C0DEF"/>
    <w:rsid w:val="007C13B2"/>
    <w:rsid w:val="007C257E"/>
    <w:rsid w:val="007C3103"/>
    <w:rsid w:val="007C3852"/>
    <w:rsid w:val="007C5D5A"/>
    <w:rsid w:val="007C5E15"/>
    <w:rsid w:val="007C607F"/>
    <w:rsid w:val="007C6E44"/>
    <w:rsid w:val="007C7462"/>
    <w:rsid w:val="007C766E"/>
    <w:rsid w:val="007C79DD"/>
    <w:rsid w:val="007D0247"/>
    <w:rsid w:val="007D0640"/>
    <w:rsid w:val="007D0AF1"/>
    <w:rsid w:val="007D1A97"/>
    <w:rsid w:val="007D2CD6"/>
    <w:rsid w:val="007D3063"/>
    <w:rsid w:val="007D30C9"/>
    <w:rsid w:val="007D3CEB"/>
    <w:rsid w:val="007D56CA"/>
    <w:rsid w:val="007D5B09"/>
    <w:rsid w:val="007D5DCB"/>
    <w:rsid w:val="007D5EAB"/>
    <w:rsid w:val="007D7139"/>
    <w:rsid w:val="007D713C"/>
    <w:rsid w:val="007D726A"/>
    <w:rsid w:val="007D77E2"/>
    <w:rsid w:val="007D7ACD"/>
    <w:rsid w:val="007E0BD8"/>
    <w:rsid w:val="007E133D"/>
    <w:rsid w:val="007E2E05"/>
    <w:rsid w:val="007E31E1"/>
    <w:rsid w:val="007E3375"/>
    <w:rsid w:val="007E37ED"/>
    <w:rsid w:val="007E4661"/>
    <w:rsid w:val="007E46B8"/>
    <w:rsid w:val="007E5F3A"/>
    <w:rsid w:val="007E6DD5"/>
    <w:rsid w:val="007E7683"/>
    <w:rsid w:val="007F0AEE"/>
    <w:rsid w:val="007F0FA6"/>
    <w:rsid w:val="007F2684"/>
    <w:rsid w:val="007F2906"/>
    <w:rsid w:val="007F49FA"/>
    <w:rsid w:val="007F54C4"/>
    <w:rsid w:val="007F6E9A"/>
    <w:rsid w:val="007F7077"/>
    <w:rsid w:val="007F7F1D"/>
    <w:rsid w:val="00800CCD"/>
    <w:rsid w:val="00801266"/>
    <w:rsid w:val="00801B87"/>
    <w:rsid w:val="008029C7"/>
    <w:rsid w:val="00803918"/>
    <w:rsid w:val="0080433F"/>
    <w:rsid w:val="008044D4"/>
    <w:rsid w:val="00804968"/>
    <w:rsid w:val="00804D3F"/>
    <w:rsid w:val="00804E40"/>
    <w:rsid w:val="00805C1B"/>
    <w:rsid w:val="00806938"/>
    <w:rsid w:val="00806B0B"/>
    <w:rsid w:val="00806D1C"/>
    <w:rsid w:val="00807E08"/>
    <w:rsid w:val="0081026F"/>
    <w:rsid w:val="00810AB4"/>
    <w:rsid w:val="008120EA"/>
    <w:rsid w:val="00812AF1"/>
    <w:rsid w:val="00812D64"/>
    <w:rsid w:val="00813659"/>
    <w:rsid w:val="00813832"/>
    <w:rsid w:val="00813C56"/>
    <w:rsid w:val="00815E3D"/>
    <w:rsid w:val="00817B56"/>
    <w:rsid w:val="00820ED8"/>
    <w:rsid w:val="0082195C"/>
    <w:rsid w:val="00821A88"/>
    <w:rsid w:val="008245DA"/>
    <w:rsid w:val="0082495D"/>
    <w:rsid w:val="00824C90"/>
    <w:rsid w:val="008254A9"/>
    <w:rsid w:val="00826A73"/>
    <w:rsid w:val="008276A5"/>
    <w:rsid w:val="00830C26"/>
    <w:rsid w:val="00830E78"/>
    <w:rsid w:val="00831AC3"/>
    <w:rsid w:val="008321D0"/>
    <w:rsid w:val="008338CC"/>
    <w:rsid w:val="008345D3"/>
    <w:rsid w:val="00836FCE"/>
    <w:rsid w:val="00840447"/>
    <w:rsid w:val="008408FF"/>
    <w:rsid w:val="00840B50"/>
    <w:rsid w:val="00841130"/>
    <w:rsid w:val="00841D5B"/>
    <w:rsid w:val="008429B9"/>
    <w:rsid w:val="00843112"/>
    <w:rsid w:val="00843BD1"/>
    <w:rsid w:val="00843DDF"/>
    <w:rsid w:val="0084543A"/>
    <w:rsid w:val="00845B6C"/>
    <w:rsid w:val="00845C61"/>
    <w:rsid w:val="00846300"/>
    <w:rsid w:val="0084668F"/>
    <w:rsid w:val="00846E09"/>
    <w:rsid w:val="00846F7C"/>
    <w:rsid w:val="00847080"/>
    <w:rsid w:val="00847A86"/>
    <w:rsid w:val="00847FD0"/>
    <w:rsid w:val="00850958"/>
    <w:rsid w:val="0085101E"/>
    <w:rsid w:val="00851832"/>
    <w:rsid w:val="008519E0"/>
    <w:rsid w:val="00851BC9"/>
    <w:rsid w:val="00851F3F"/>
    <w:rsid w:val="00852603"/>
    <w:rsid w:val="00853BA4"/>
    <w:rsid w:val="00855055"/>
    <w:rsid w:val="00856039"/>
    <w:rsid w:val="0085618F"/>
    <w:rsid w:val="00856EDC"/>
    <w:rsid w:val="0085754E"/>
    <w:rsid w:val="00857627"/>
    <w:rsid w:val="008577A3"/>
    <w:rsid w:val="008577A6"/>
    <w:rsid w:val="00857FA4"/>
    <w:rsid w:val="00860236"/>
    <w:rsid w:val="0086100A"/>
    <w:rsid w:val="008612B7"/>
    <w:rsid w:val="008623B5"/>
    <w:rsid w:val="00862C2E"/>
    <w:rsid w:val="008637DA"/>
    <w:rsid w:val="00864E4D"/>
    <w:rsid w:val="00865CDC"/>
    <w:rsid w:val="00866FA3"/>
    <w:rsid w:val="008670E8"/>
    <w:rsid w:val="0086771D"/>
    <w:rsid w:val="00867A7D"/>
    <w:rsid w:val="00867FBF"/>
    <w:rsid w:val="00870ABA"/>
    <w:rsid w:val="008710E1"/>
    <w:rsid w:val="0087158A"/>
    <w:rsid w:val="008716C2"/>
    <w:rsid w:val="008716E5"/>
    <w:rsid w:val="00873600"/>
    <w:rsid w:val="008741AF"/>
    <w:rsid w:val="00874965"/>
    <w:rsid w:val="00876F4F"/>
    <w:rsid w:val="00877666"/>
    <w:rsid w:val="00880F20"/>
    <w:rsid w:val="0088128B"/>
    <w:rsid w:val="00881CA9"/>
    <w:rsid w:val="00881E64"/>
    <w:rsid w:val="0088337C"/>
    <w:rsid w:val="00883628"/>
    <w:rsid w:val="00883C77"/>
    <w:rsid w:val="00884E47"/>
    <w:rsid w:val="00885544"/>
    <w:rsid w:val="0088634E"/>
    <w:rsid w:val="00886A37"/>
    <w:rsid w:val="00886AA0"/>
    <w:rsid w:val="00887D0F"/>
    <w:rsid w:val="00891051"/>
    <w:rsid w:val="00891075"/>
    <w:rsid w:val="008918D8"/>
    <w:rsid w:val="00892C32"/>
    <w:rsid w:val="00893AB8"/>
    <w:rsid w:val="008A04C8"/>
    <w:rsid w:val="008A09EB"/>
    <w:rsid w:val="008A398C"/>
    <w:rsid w:val="008A4B77"/>
    <w:rsid w:val="008A5AEF"/>
    <w:rsid w:val="008A5F65"/>
    <w:rsid w:val="008A6913"/>
    <w:rsid w:val="008A6E68"/>
    <w:rsid w:val="008A7B16"/>
    <w:rsid w:val="008A7DFE"/>
    <w:rsid w:val="008A7EBF"/>
    <w:rsid w:val="008B0BC7"/>
    <w:rsid w:val="008B21F8"/>
    <w:rsid w:val="008B31C2"/>
    <w:rsid w:val="008B33DE"/>
    <w:rsid w:val="008B4855"/>
    <w:rsid w:val="008B5E93"/>
    <w:rsid w:val="008B5F24"/>
    <w:rsid w:val="008B6E03"/>
    <w:rsid w:val="008B6E25"/>
    <w:rsid w:val="008B70F3"/>
    <w:rsid w:val="008B71C4"/>
    <w:rsid w:val="008B76DF"/>
    <w:rsid w:val="008C10F4"/>
    <w:rsid w:val="008C15B6"/>
    <w:rsid w:val="008C182A"/>
    <w:rsid w:val="008C2B7D"/>
    <w:rsid w:val="008C2EE3"/>
    <w:rsid w:val="008C2FAB"/>
    <w:rsid w:val="008C382D"/>
    <w:rsid w:val="008C4556"/>
    <w:rsid w:val="008C4F33"/>
    <w:rsid w:val="008C5881"/>
    <w:rsid w:val="008C6325"/>
    <w:rsid w:val="008C65F7"/>
    <w:rsid w:val="008D0FF7"/>
    <w:rsid w:val="008D1678"/>
    <w:rsid w:val="008D1C18"/>
    <w:rsid w:val="008D43A6"/>
    <w:rsid w:val="008D585E"/>
    <w:rsid w:val="008D5E4C"/>
    <w:rsid w:val="008D62EA"/>
    <w:rsid w:val="008D6C8D"/>
    <w:rsid w:val="008D6CF3"/>
    <w:rsid w:val="008D7166"/>
    <w:rsid w:val="008D74B6"/>
    <w:rsid w:val="008D74E0"/>
    <w:rsid w:val="008E121B"/>
    <w:rsid w:val="008E15BB"/>
    <w:rsid w:val="008E191D"/>
    <w:rsid w:val="008E1B53"/>
    <w:rsid w:val="008E2822"/>
    <w:rsid w:val="008E30E2"/>
    <w:rsid w:val="008E3100"/>
    <w:rsid w:val="008E4767"/>
    <w:rsid w:val="008E4B39"/>
    <w:rsid w:val="008E4F20"/>
    <w:rsid w:val="008E5207"/>
    <w:rsid w:val="008E5578"/>
    <w:rsid w:val="008E6542"/>
    <w:rsid w:val="008E7A8C"/>
    <w:rsid w:val="008E7FA9"/>
    <w:rsid w:val="008F3483"/>
    <w:rsid w:val="008F48D7"/>
    <w:rsid w:val="008F5C15"/>
    <w:rsid w:val="008F6A1C"/>
    <w:rsid w:val="008F7405"/>
    <w:rsid w:val="008F7953"/>
    <w:rsid w:val="008F7B03"/>
    <w:rsid w:val="008F7EC9"/>
    <w:rsid w:val="009005E3"/>
    <w:rsid w:val="00900A33"/>
    <w:rsid w:val="0090106B"/>
    <w:rsid w:val="00901E9C"/>
    <w:rsid w:val="00901E9E"/>
    <w:rsid w:val="00901FF8"/>
    <w:rsid w:val="0090203B"/>
    <w:rsid w:val="00902152"/>
    <w:rsid w:val="00903285"/>
    <w:rsid w:val="00903C78"/>
    <w:rsid w:val="0090400C"/>
    <w:rsid w:val="009049A2"/>
    <w:rsid w:val="00904BBC"/>
    <w:rsid w:val="009057DD"/>
    <w:rsid w:val="00906B9B"/>
    <w:rsid w:val="00906F40"/>
    <w:rsid w:val="0090731E"/>
    <w:rsid w:val="0090748D"/>
    <w:rsid w:val="00907BC9"/>
    <w:rsid w:val="009124DC"/>
    <w:rsid w:val="00912E9A"/>
    <w:rsid w:val="00913353"/>
    <w:rsid w:val="00913808"/>
    <w:rsid w:val="009140F3"/>
    <w:rsid w:val="009143EF"/>
    <w:rsid w:val="009148BC"/>
    <w:rsid w:val="00915B1C"/>
    <w:rsid w:val="0091697A"/>
    <w:rsid w:val="00916F1F"/>
    <w:rsid w:val="009174F3"/>
    <w:rsid w:val="0091797D"/>
    <w:rsid w:val="00917F1E"/>
    <w:rsid w:val="00920C19"/>
    <w:rsid w:val="00921AC1"/>
    <w:rsid w:val="00922038"/>
    <w:rsid w:val="0092229A"/>
    <w:rsid w:val="009235BE"/>
    <w:rsid w:val="00923618"/>
    <w:rsid w:val="00923CBA"/>
    <w:rsid w:val="009242EB"/>
    <w:rsid w:val="009260FC"/>
    <w:rsid w:val="009263C6"/>
    <w:rsid w:val="00926703"/>
    <w:rsid w:val="00926C09"/>
    <w:rsid w:val="009273BD"/>
    <w:rsid w:val="00927691"/>
    <w:rsid w:val="00927A5F"/>
    <w:rsid w:val="00927BBD"/>
    <w:rsid w:val="00927C27"/>
    <w:rsid w:val="00930152"/>
    <w:rsid w:val="00930510"/>
    <w:rsid w:val="00930CD1"/>
    <w:rsid w:val="00932211"/>
    <w:rsid w:val="00934CD1"/>
    <w:rsid w:val="00935B63"/>
    <w:rsid w:val="00940528"/>
    <w:rsid w:val="0094078F"/>
    <w:rsid w:val="00940804"/>
    <w:rsid w:val="00940C18"/>
    <w:rsid w:val="00940F3F"/>
    <w:rsid w:val="00940FA3"/>
    <w:rsid w:val="00941FB0"/>
    <w:rsid w:val="009426D4"/>
    <w:rsid w:val="00944157"/>
    <w:rsid w:val="00944278"/>
    <w:rsid w:val="00945754"/>
    <w:rsid w:val="00945C71"/>
    <w:rsid w:val="00945D9D"/>
    <w:rsid w:val="00945ED6"/>
    <w:rsid w:val="009478E0"/>
    <w:rsid w:val="00947F25"/>
    <w:rsid w:val="00950159"/>
    <w:rsid w:val="00952C4E"/>
    <w:rsid w:val="00953626"/>
    <w:rsid w:val="00953B9B"/>
    <w:rsid w:val="00954840"/>
    <w:rsid w:val="0095490B"/>
    <w:rsid w:val="009557F2"/>
    <w:rsid w:val="00955AFA"/>
    <w:rsid w:val="00955CC1"/>
    <w:rsid w:val="00960A33"/>
    <w:rsid w:val="00960E58"/>
    <w:rsid w:val="0096166C"/>
    <w:rsid w:val="00961AA7"/>
    <w:rsid w:val="0096255F"/>
    <w:rsid w:val="00962E96"/>
    <w:rsid w:val="0096386F"/>
    <w:rsid w:val="00963C95"/>
    <w:rsid w:val="0096499F"/>
    <w:rsid w:val="009706D2"/>
    <w:rsid w:val="00970863"/>
    <w:rsid w:val="00971914"/>
    <w:rsid w:val="00971E33"/>
    <w:rsid w:val="00974363"/>
    <w:rsid w:val="00974A4F"/>
    <w:rsid w:val="00976190"/>
    <w:rsid w:val="0097642F"/>
    <w:rsid w:val="00976E7E"/>
    <w:rsid w:val="00977690"/>
    <w:rsid w:val="00977E50"/>
    <w:rsid w:val="009803FA"/>
    <w:rsid w:val="009811D9"/>
    <w:rsid w:val="00981266"/>
    <w:rsid w:val="0098154D"/>
    <w:rsid w:val="00981898"/>
    <w:rsid w:val="00981CE5"/>
    <w:rsid w:val="00981D3B"/>
    <w:rsid w:val="00981F87"/>
    <w:rsid w:val="00983494"/>
    <w:rsid w:val="009835B3"/>
    <w:rsid w:val="00984515"/>
    <w:rsid w:val="009849FD"/>
    <w:rsid w:val="009860AF"/>
    <w:rsid w:val="0098713B"/>
    <w:rsid w:val="00987600"/>
    <w:rsid w:val="00987D8B"/>
    <w:rsid w:val="009903E7"/>
    <w:rsid w:val="00990AEC"/>
    <w:rsid w:val="00990C1E"/>
    <w:rsid w:val="00991BF3"/>
    <w:rsid w:val="00992759"/>
    <w:rsid w:val="00992AFF"/>
    <w:rsid w:val="00993355"/>
    <w:rsid w:val="009944F4"/>
    <w:rsid w:val="009945AF"/>
    <w:rsid w:val="0099577C"/>
    <w:rsid w:val="00996F65"/>
    <w:rsid w:val="009970EE"/>
    <w:rsid w:val="00997A75"/>
    <w:rsid w:val="009A0862"/>
    <w:rsid w:val="009A10D8"/>
    <w:rsid w:val="009A250E"/>
    <w:rsid w:val="009A2D6C"/>
    <w:rsid w:val="009A3B66"/>
    <w:rsid w:val="009A3F45"/>
    <w:rsid w:val="009A499F"/>
    <w:rsid w:val="009A49F4"/>
    <w:rsid w:val="009A62B5"/>
    <w:rsid w:val="009A639E"/>
    <w:rsid w:val="009A6E53"/>
    <w:rsid w:val="009A6FD7"/>
    <w:rsid w:val="009A74C6"/>
    <w:rsid w:val="009B062E"/>
    <w:rsid w:val="009B179C"/>
    <w:rsid w:val="009B1D5B"/>
    <w:rsid w:val="009B24A5"/>
    <w:rsid w:val="009B252D"/>
    <w:rsid w:val="009B2601"/>
    <w:rsid w:val="009B27FE"/>
    <w:rsid w:val="009B2BC6"/>
    <w:rsid w:val="009B4E0C"/>
    <w:rsid w:val="009B4E9E"/>
    <w:rsid w:val="009B515F"/>
    <w:rsid w:val="009B5693"/>
    <w:rsid w:val="009B6383"/>
    <w:rsid w:val="009B6EE6"/>
    <w:rsid w:val="009B7B40"/>
    <w:rsid w:val="009C0DFD"/>
    <w:rsid w:val="009C1498"/>
    <w:rsid w:val="009C1690"/>
    <w:rsid w:val="009C2239"/>
    <w:rsid w:val="009C2373"/>
    <w:rsid w:val="009C2661"/>
    <w:rsid w:val="009C2875"/>
    <w:rsid w:val="009C2A60"/>
    <w:rsid w:val="009C2C6F"/>
    <w:rsid w:val="009C2FEE"/>
    <w:rsid w:val="009C30E3"/>
    <w:rsid w:val="009C393F"/>
    <w:rsid w:val="009C3B90"/>
    <w:rsid w:val="009C600E"/>
    <w:rsid w:val="009C63A0"/>
    <w:rsid w:val="009C6832"/>
    <w:rsid w:val="009C6881"/>
    <w:rsid w:val="009C72AC"/>
    <w:rsid w:val="009C7759"/>
    <w:rsid w:val="009D0223"/>
    <w:rsid w:val="009D043D"/>
    <w:rsid w:val="009D04E4"/>
    <w:rsid w:val="009D06AA"/>
    <w:rsid w:val="009D07C8"/>
    <w:rsid w:val="009D1056"/>
    <w:rsid w:val="009D10B1"/>
    <w:rsid w:val="009D1D05"/>
    <w:rsid w:val="009D1D30"/>
    <w:rsid w:val="009D2E7F"/>
    <w:rsid w:val="009D3519"/>
    <w:rsid w:val="009D37B0"/>
    <w:rsid w:val="009D3D95"/>
    <w:rsid w:val="009D40D9"/>
    <w:rsid w:val="009D5341"/>
    <w:rsid w:val="009D6C71"/>
    <w:rsid w:val="009D7F35"/>
    <w:rsid w:val="009E0631"/>
    <w:rsid w:val="009E16D0"/>
    <w:rsid w:val="009E2051"/>
    <w:rsid w:val="009E2140"/>
    <w:rsid w:val="009E2550"/>
    <w:rsid w:val="009E2D7B"/>
    <w:rsid w:val="009E38FD"/>
    <w:rsid w:val="009E4DD8"/>
    <w:rsid w:val="009E5B2B"/>
    <w:rsid w:val="009E7BCC"/>
    <w:rsid w:val="009F00A4"/>
    <w:rsid w:val="009F0265"/>
    <w:rsid w:val="009F0285"/>
    <w:rsid w:val="009F03B4"/>
    <w:rsid w:val="009F056C"/>
    <w:rsid w:val="009F06BB"/>
    <w:rsid w:val="009F13D6"/>
    <w:rsid w:val="009F1C30"/>
    <w:rsid w:val="009F1C9D"/>
    <w:rsid w:val="009F1CF7"/>
    <w:rsid w:val="009F1F87"/>
    <w:rsid w:val="009F23DE"/>
    <w:rsid w:val="009F2E4A"/>
    <w:rsid w:val="009F338D"/>
    <w:rsid w:val="009F4C6B"/>
    <w:rsid w:val="009F50E2"/>
    <w:rsid w:val="009F545C"/>
    <w:rsid w:val="009F5E9E"/>
    <w:rsid w:val="009F659A"/>
    <w:rsid w:val="009F6BBD"/>
    <w:rsid w:val="009F78A8"/>
    <w:rsid w:val="009F7F39"/>
    <w:rsid w:val="00A016A1"/>
    <w:rsid w:val="00A02AD6"/>
    <w:rsid w:val="00A0300C"/>
    <w:rsid w:val="00A03404"/>
    <w:rsid w:val="00A04365"/>
    <w:rsid w:val="00A04560"/>
    <w:rsid w:val="00A06783"/>
    <w:rsid w:val="00A07096"/>
    <w:rsid w:val="00A07318"/>
    <w:rsid w:val="00A07BAC"/>
    <w:rsid w:val="00A10940"/>
    <w:rsid w:val="00A10BDD"/>
    <w:rsid w:val="00A10F12"/>
    <w:rsid w:val="00A111F5"/>
    <w:rsid w:val="00A11257"/>
    <w:rsid w:val="00A11370"/>
    <w:rsid w:val="00A11F00"/>
    <w:rsid w:val="00A129DC"/>
    <w:rsid w:val="00A12F0D"/>
    <w:rsid w:val="00A139C4"/>
    <w:rsid w:val="00A13E06"/>
    <w:rsid w:val="00A14620"/>
    <w:rsid w:val="00A149FE"/>
    <w:rsid w:val="00A15092"/>
    <w:rsid w:val="00A160D2"/>
    <w:rsid w:val="00A16230"/>
    <w:rsid w:val="00A1636E"/>
    <w:rsid w:val="00A1688C"/>
    <w:rsid w:val="00A16FC2"/>
    <w:rsid w:val="00A17B1B"/>
    <w:rsid w:val="00A17F85"/>
    <w:rsid w:val="00A2171A"/>
    <w:rsid w:val="00A21B47"/>
    <w:rsid w:val="00A224CE"/>
    <w:rsid w:val="00A22522"/>
    <w:rsid w:val="00A225FF"/>
    <w:rsid w:val="00A234E3"/>
    <w:rsid w:val="00A2440D"/>
    <w:rsid w:val="00A24882"/>
    <w:rsid w:val="00A24AFD"/>
    <w:rsid w:val="00A24F5C"/>
    <w:rsid w:val="00A26793"/>
    <w:rsid w:val="00A26D52"/>
    <w:rsid w:val="00A270EC"/>
    <w:rsid w:val="00A27D33"/>
    <w:rsid w:val="00A305EA"/>
    <w:rsid w:val="00A3079C"/>
    <w:rsid w:val="00A31BA8"/>
    <w:rsid w:val="00A31E78"/>
    <w:rsid w:val="00A32030"/>
    <w:rsid w:val="00A32275"/>
    <w:rsid w:val="00A32F96"/>
    <w:rsid w:val="00A3311F"/>
    <w:rsid w:val="00A339DC"/>
    <w:rsid w:val="00A35603"/>
    <w:rsid w:val="00A363AF"/>
    <w:rsid w:val="00A36C74"/>
    <w:rsid w:val="00A37157"/>
    <w:rsid w:val="00A37371"/>
    <w:rsid w:val="00A40871"/>
    <w:rsid w:val="00A412AB"/>
    <w:rsid w:val="00A4193E"/>
    <w:rsid w:val="00A41F82"/>
    <w:rsid w:val="00A42856"/>
    <w:rsid w:val="00A43833"/>
    <w:rsid w:val="00A440E0"/>
    <w:rsid w:val="00A442EF"/>
    <w:rsid w:val="00A44991"/>
    <w:rsid w:val="00A456C3"/>
    <w:rsid w:val="00A45F0B"/>
    <w:rsid w:val="00A4617D"/>
    <w:rsid w:val="00A46366"/>
    <w:rsid w:val="00A46C00"/>
    <w:rsid w:val="00A47C5A"/>
    <w:rsid w:val="00A51112"/>
    <w:rsid w:val="00A51AB6"/>
    <w:rsid w:val="00A51D1A"/>
    <w:rsid w:val="00A51FD9"/>
    <w:rsid w:val="00A52857"/>
    <w:rsid w:val="00A5397C"/>
    <w:rsid w:val="00A5418D"/>
    <w:rsid w:val="00A5447F"/>
    <w:rsid w:val="00A5474E"/>
    <w:rsid w:val="00A55B5E"/>
    <w:rsid w:val="00A57030"/>
    <w:rsid w:val="00A57F76"/>
    <w:rsid w:val="00A6019D"/>
    <w:rsid w:val="00A60519"/>
    <w:rsid w:val="00A60A1C"/>
    <w:rsid w:val="00A61518"/>
    <w:rsid w:val="00A62B3A"/>
    <w:rsid w:val="00A62EE7"/>
    <w:rsid w:val="00A633D5"/>
    <w:rsid w:val="00A6345F"/>
    <w:rsid w:val="00A63AFC"/>
    <w:rsid w:val="00A64234"/>
    <w:rsid w:val="00A6483B"/>
    <w:rsid w:val="00A6641A"/>
    <w:rsid w:val="00A670A5"/>
    <w:rsid w:val="00A67AB1"/>
    <w:rsid w:val="00A67C7E"/>
    <w:rsid w:val="00A67FA7"/>
    <w:rsid w:val="00A70ADF"/>
    <w:rsid w:val="00A71466"/>
    <w:rsid w:val="00A71497"/>
    <w:rsid w:val="00A71C30"/>
    <w:rsid w:val="00A71D49"/>
    <w:rsid w:val="00A731BC"/>
    <w:rsid w:val="00A732A0"/>
    <w:rsid w:val="00A73693"/>
    <w:rsid w:val="00A7383C"/>
    <w:rsid w:val="00A7393B"/>
    <w:rsid w:val="00A74B5E"/>
    <w:rsid w:val="00A751BA"/>
    <w:rsid w:val="00A75D4E"/>
    <w:rsid w:val="00A77679"/>
    <w:rsid w:val="00A77FE7"/>
    <w:rsid w:val="00A80798"/>
    <w:rsid w:val="00A81338"/>
    <w:rsid w:val="00A81413"/>
    <w:rsid w:val="00A81BED"/>
    <w:rsid w:val="00A81EC4"/>
    <w:rsid w:val="00A824E8"/>
    <w:rsid w:val="00A82C9A"/>
    <w:rsid w:val="00A8377F"/>
    <w:rsid w:val="00A83BB2"/>
    <w:rsid w:val="00A83C95"/>
    <w:rsid w:val="00A84AB3"/>
    <w:rsid w:val="00A852BC"/>
    <w:rsid w:val="00A900C4"/>
    <w:rsid w:val="00A90725"/>
    <w:rsid w:val="00A9144E"/>
    <w:rsid w:val="00A9179C"/>
    <w:rsid w:val="00A92373"/>
    <w:rsid w:val="00A92736"/>
    <w:rsid w:val="00A928E7"/>
    <w:rsid w:val="00A936CF"/>
    <w:rsid w:val="00A93DAE"/>
    <w:rsid w:val="00A93DB2"/>
    <w:rsid w:val="00A95824"/>
    <w:rsid w:val="00A95AB5"/>
    <w:rsid w:val="00A96483"/>
    <w:rsid w:val="00A967FD"/>
    <w:rsid w:val="00AA0FBC"/>
    <w:rsid w:val="00AA26E2"/>
    <w:rsid w:val="00AA2CE7"/>
    <w:rsid w:val="00AA2DE5"/>
    <w:rsid w:val="00AA2ECC"/>
    <w:rsid w:val="00AA39AB"/>
    <w:rsid w:val="00AA4532"/>
    <w:rsid w:val="00AA463D"/>
    <w:rsid w:val="00AA4769"/>
    <w:rsid w:val="00AA4D17"/>
    <w:rsid w:val="00AA4DF4"/>
    <w:rsid w:val="00AA5BD8"/>
    <w:rsid w:val="00AA6EE5"/>
    <w:rsid w:val="00AA74BD"/>
    <w:rsid w:val="00AA78AB"/>
    <w:rsid w:val="00AB156C"/>
    <w:rsid w:val="00AB1841"/>
    <w:rsid w:val="00AB1AC8"/>
    <w:rsid w:val="00AB2A5A"/>
    <w:rsid w:val="00AB2BD7"/>
    <w:rsid w:val="00AB59F9"/>
    <w:rsid w:val="00AB5A0D"/>
    <w:rsid w:val="00AB5AC4"/>
    <w:rsid w:val="00AB6814"/>
    <w:rsid w:val="00AB7BA6"/>
    <w:rsid w:val="00AC04BA"/>
    <w:rsid w:val="00AC089A"/>
    <w:rsid w:val="00AC0E39"/>
    <w:rsid w:val="00AC1095"/>
    <w:rsid w:val="00AC10F7"/>
    <w:rsid w:val="00AC135B"/>
    <w:rsid w:val="00AC28AC"/>
    <w:rsid w:val="00AC29C8"/>
    <w:rsid w:val="00AC2ACB"/>
    <w:rsid w:val="00AC311A"/>
    <w:rsid w:val="00AC3138"/>
    <w:rsid w:val="00AC3203"/>
    <w:rsid w:val="00AC407B"/>
    <w:rsid w:val="00AC6095"/>
    <w:rsid w:val="00AC6179"/>
    <w:rsid w:val="00AC655A"/>
    <w:rsid w:val="00AC7553"/>
    <w:rsid w:val="00AC7A96"/>
    <w:rsid w:val="00AD1AE3"/>
    <w:rsid w:val="00AD23CF"/>
    <w:rsid w:val="00AD2B92"/>
    <w:rsid w:val="00AD2CFE"/>
    <w:rsid w:val="00AD3082"/>
    <w:rsid w:val="00AD32B4"/>
    <w:rsid w:val="00AD4AD0"/>
    <w:rsid w:val="00AD4B3E"/>
    <w:rsid w:val="00AD5436"/>
    <w:rsid w:val="00AD5DE2"/>
    <w:rsid w:val="00AD5FCF"/>
    <w:rsid w:val="00AD60CD"/>
    <w:rsid w:val="00AD60F0"/>
    <w:rsid w:val="00AD6C8C"/>
    <w:rsid w:val="00AD7508"/>
    <w:rsid w:val="00AD7F9B"/>
    <w:rsid w:val="00AE091D"/>
    <w:rsid w:val="00AE1470"/>
    <w:rsid w:val="00AE154D"/>
    <w:rsid w:val="00AE1962"/>
    <w:rsid w:val="00AE210E"/>
    <w:rsid w:val="00AE2CE6"/>
    <w:rsid w:val="00AE3523"/>
    <w:rsid w:val="00AE3B60"/>
    <w:rsid w:val="00AE3EC4"/>
    <w:rsid w:val="00AE3FB8"/>
    <w:rsid w:val="00AE412B"/>
    <w:rsid w:val="00AE433C"/>
    <w:rsid w:val="00AE44FA"/>
    <w:rsid w:val="00AE4750"/>
    <w:rsid w:val="00AE53A1"/>
    <w:rsid w:val="00AE62FA"/>
    <w:rsid w:val="00AE6591"/>
    <w:rsid w:val="00AE65F2"/>
    <w:rsid w:val="00AE6ED2"/>
    <w:rsid w:val="00AE7107"/>
    <w:rsid w:val="00AF2484"/>
    <w:rsid w:val="00AF335B"/>
    <w:rsid w:val="00AF3C8F"/>
    <w:rsid w:val="00AF40F4"/>
    <w:rsid w:val="00AF4D3B"/>
    <w:rsid w:val="00AF5063"/>
    <w:rsid w:val="00AF52CC"/>
    <w:rsid w:val="00AF5996"/>
    <w:rsid w:val="00AF63E7"/>
    <w:rsid w:val="00AF69F3"/>
    <w:rsid w:val="00AF6A36"/>
    <w:rsid w:val="00AF6E17"/>
    <w:rsid w:val="00AF771C"/>
    <w:rsid w:val="00AF77B7"/>
    <w:rsid w:val="00AF7D90"/>
    <w:rsid w:val="00B0165D"/>
    <w:rsid w:val="00B01B60"/>
    <w:rsid w:val="00B0225C"/>
    <w:rsid w:val="00B030B2"/>
    <w:rsid w:val="00B031F3"/>
    <w:rsid w:val="00B0499A"/>
    <w:rsid w:val="00B052A4"/>
    <w:rsid w:val="00B052BD"/>
    <w:rsid w:val="00B05595"/>
    <w:rsid w:val="00B06323"/>
    <w:rsid w:val="00B06758"/>
    <w:rsid w:val="00B06ED1"/>
    <w:rsid w:val="00B073A3"/>
    <w:rsid w:val="00B076C6"/>
    <w:rsid w:val="00B104D9"/>
    <w:rsid w:val="00B10C6E"/>
    <w:rsid w:val="00B11579"/>
    <w:rsid w:val="00B1190D"/>
    <w:rsid w:val="00B11B54"/>
    <w:rsid w:val="00B1240D"/>
    <w:rsid w:val="00B124CB"/>
    <w:rsid w:val="00B125DE"/>
    <w:rsid w:val="00B12B5F"/>
    <w:rsid w:val="00B13A64"/>
    <w:rsid w:val="00B13CB6"/>
    <w:rsid w:val="00B13FDD"/>
    <w:rsid w:val="00B145D3"/>
    <w:rsid w:val="00B14AAF"/>
    <w:rsid w:val="00B14E5A"/>
    <w:rsid w:val="00B15264"/>
    <w:rsid w:val="00B15B7D"/>
    <w:rsid w:val="00B1690C"/>
    <w:rsid w:val="00B16E45"/>
    <w:rsid w:val="00B177B5"/>
    <w:rsid w:val="00B17D13"/>
    <w:rsid w:val="00B17E89"/>
    <w:rsid w:val="00B20483"/>
    <w:rsid w:val="00B20637"/>
    <w:rsid w:val="00B208D4"/>
    <w:rsid w:val="00B2228D"/>
    <w:rsid w:val="00B22EB2"/>
    <w:rsid w:val="00B231EF"/>
    <w:rsid w:val="00B23C02"/>
    <w:rsid w:val="00B24B4D"/>
    <w:rsid w:val="00B24E95"/>
    <w:rsid w:val="00B26559"/>
    <w:rsid w:val="00B265A6"/>
    <w:rsid w:val="00B27176"/>
    <w:rsid w:val="00B27442"/>
    <w:rsid w:val="00B274DF"/>
    <w:rsid w:val="00B30739"/>
    <w:rsid w:val="00B30A40"/>
    <w:rsid w:val="00B30E7A"/>
    <w:rsid w:val="00B31167"/>
    <w:rsid w:val="00B311F1"/>
    <w:rsid w:val="00B317F2"/>
    <w:rsid w:val="00B325EF"/>
    <w:rsid w:val="00B326A0"/>
    <w:rsid w:val="00B329D8"/>
    <w:rsid w:val="00B32BB9"/>
    <w:rsid w:val="00B33017"/>
    <w:rsid w:val="00B33AE1"/>
    <w:rsid w:val="00B33CB5"/>
    <w:rsid w:val="00B33F27"/>
    <w:rsid w:val="00B346F7"/>
    <w:rsid w:val="00B35E27"/>
    <w:rsid w:val="00B3798E"/>
    <w:rsid w:val="00B37BC9"/>
    <w:rsid w:val="00B37C38"/>
    <w:rsid w:val="00B37FBB"/>
    <w:rsid w:val="00B405A8"/>
    <w:rsid w:val="00B4093C"/>
    <w:rsid w:val="00B413DD"/>
    <w:rsid w:val="00B42049"/>
    <w:rsid w:val="00B4288C"/>
    <w:rsid w:val="00B43066"/>
    <w:rsid w:val="00B43262"/>
    <w:rsid w:val="00B43F57"/>
    <w:rsid w:val="00B44100"/>
    <w:rsid w:val="00B441AB"/>
    <w:rsid w:val="00B44740"/>
    <w:rsid w:val="00B46088"/>
    <w:rsid w:val="00B46440"/>
    <w:rsid w:val="00B4645D"/>
    <w:rsid w:val="00B464BF"/>
    <w:rsid w:val="00B466B7"/>
    <w:rsid w:val="00B46CBA"/>
    <w:rsid w:val="00B46F94"/>
    <w:rsid w:val="00B47501"/>
    <w:rsid w:val="00B5057E"/>
    <w:rsid w:val="00B51033"/>
    <w:rsid w:val="00B51642"/>
    <w:rsid w:val="00B517FA"/>
    <w:rsid w:val="00B52729"/>
    <w:rsid w:val="00B529E9"/>
    <w:rsid w:val="00B53EAC"/>
    <w:rsid w:val="00B53FBE"/>
    <w:rsid w:val="00B543D2"/>
    <w:rsid w:val="00B54742"/>
    <w:rsid w:val="00B56A36"/>
    <w:rsid w:val="00B56F2D"/>
    <w:rsid w:val="00B57E58"/>
    <w:rsid w:val="00B6003C"/>
    <w:rsid w:val="00B602AD"/>
    <w:rsid w:val="00B61EF5"/>
    <w:rsid w:val="00B61F03"/>
    <w:rsid w:val="00B620EF"/>
    <w:rsid w:val="00B626E4"/>
    <w:rsid w:val="00B63252"/>
    <w:rsid w:val="00B63550"/>
    <w:rsid w:val="00B645A2"/>
    <w:rsid w:val="00B64BDC"/>
    <w:rsid w:val="00B652FF"/>
    <w:rsid w:val="00B6554D"/>
    <w:rsid w:val="00B66150"/>
    <w:rsid w:val="00B66E73"/>
    <w:rsid w:val="00B67C31"/>
    <w:rsid w:val="00B703DF"/>
    <w:rsid w:val="00B70C59"/>
    <w:rsid w:val="00B72232"/>
    <w:rsid w:val="00B72D2E"/>
    <w:rsid w:val="00B72F4A"/>
    <w:rsid w:val="00B73291"/>
    <w:rsid w:val="00B737D2"/>
    <w:rsid w:val="00B74233"/>
    <w:rsid w:val="00B74842"/>
    <w:rsid w:val="00B75665"/>
    <w:rsid w:val="00B76449"/>
    <w:rsid w:val="00B7670B"/>
    <w:rsid w:val="00B80588"/>
    <w:rsid w:val="00B80786"/>
    <w:rsid w:val="00B8135C"/>
    <w:rsid w:val="00B819E1"/>
    <w:rsid w:val="00B825B2"/>
    <w:rsid w:val="00B83C27"/>
    <w:rsid w:val="00B840A9"/>
    <w:rsid w:val="00B84423"/>
    <w:rsid w:val="00B847FE"/>
    <w:rsid w:val="00B84BC3"/>
    <w:rsid w:val="00B84BDD"/>
    <w:rsid w:val="00B84E30"/>
    <w:rsid w:val="00B85DD0"/>
    <w:rsid w:val="00B86F40"/>
    <w:rsid w:val="00B87B95"/>
    <w:rsid w:val="00B905A3"/>
    <w:rsid w:val="00B92812"/>
    <w:rsid w:val="00B92F85"/>
    <w:rsid w:val="00B9316F"/>
    <w:rsid w:val="00B93554"/>
    <w:rsid w:val="00B939EC"/>
    <w:rsid w:val="00B93A79"/>
    <w:rsid w:val="00B93EA1"/>
    <w:rsid w:val="00B93FD3"/>
    <w:rsid w:val="00B9439F"/>
    <w:rsid w:val="00B944EB"/>
    <w:rsid w:val="00B94CA0"/>
    <w:rsid w:val="00B94F0B"/>
    <w:rsid w:val="00B952F7"/>
    <w:rsid w:val="00B95696"/>
    <w:rsid w:val="00B9623B"/>
    <w:rsid w:val="00B96F15"/>
    <w:rsid w:val="00B97935"/>
    <w:rsid w:val="00BA095D"/>
    <w:rsid w:val="00BA0CAF"/>
    <w:rsid w:val="00BA1758"/>
    <w:rsid w:val="00BA191B"/>
    <w:rsid w:val="00BA3455"/>
    <w:rsid w:val="00BA38B5"/>
    <w:rsid w:val="00BA3CEE"/>
    <w:rsid w:val="00BA462D"/>
    <w:rsid w:val="00BA5B66"/>
    <w:rsid w:val="00BA7E0B"/>
    <w:rsid w:val="00BB28AB"/>
    <w:rsid w:val="00BB304D"/>
    <w:rsid w:val="00BB45A1"/>
    <w:rsid w:val="00BB4C49"/>
    <w:rsid w:val="00BB592D"/>
    <w:rsid w:val="00BB5ACF"/>
    <w:rsid w:val="00BB6072"/>
    <w:rsid w:val="00BB6A7C"/>
    <w:rsid w:val="00BB6AB5"/>
    <w:rsid w:val="00BB7686"/>
    <w:rsid w:val="00BB7E88"/>
    <w:rsid w:val="00BC23F9"/>
    <w:rsid w:val="00BC338D"/>
    <w:rsid w:val="00BC3421"/>
    <w:rsid w:val="00BC3A09"/>
    <w:rsid w:val="00BC47D0"/>
    <w:rsid w:val="00BC4A8C"/>
    <w:rsid w:val="00BC4C1B"/>
    <w:rsid w:val="00BC50F1"/>
    <w:rsid w:val="00BC5A6E"/>
    <w:rsid w:val="00BC5AF3"/>
    <w:rsid w:val="00BC732C"/>
    <w:rsid w:val="00BD0433"/>
    <w:rsid w:val="00BD083E"/>
    <w:rsid w:val="00BD180F"/>
    <w:rsid w:val="00BD27C1"/>
    <w:rsid w:val="00BD2EF1"/>
    <w:rsid w:val="00BD359E"/>
    <w:rsid w:val="00BD3607"/>
    <w:rsid w:val="00BD3A97"/>
    <w:rsid w:val="00BD4421"/>
    <w:rsid w:val="00BD57AD"/>
    <w:rsid w:val="00BD648B"/>
    <w:rsid w:val="00BD70DB"/>
    <w:rsid w:val="00BD7249"/>
    <w:rsid w:val="00BE031C"/>
    <w:rsid w:val="00BE09C6"/>
    <w:rsid w:val="00BE0D10"/>
    <w:rsid w:val="00BE11EE"/>
    <w:rsid w:val="00BE1FF6"/>
    <w:rsid w:val="00BE2415"/>
    <w:rsid w:val="00BE2580"/>
    <w:rsid w:val="00BE2657"/>
    <w:rsid w:val="00BE266D"/>
    <w:rsid w:val="00BE269C"/>
    <w:rsid w:val="00BE3393"/>
    <w:rsid w:val="00BE35CB"/>
    <w:rsid w:val="00BE3938"/>
    <w:rsid w:val="00BE4C11"/>
    <w:rsid w:val="00BE658B"/>
    <w:rsid w:val="00BE6805"/>
    <w:rsid w:val="00BE6AD8"/>
    <w:rsid w:val="00BE6E5F"/>
    <w:rsid w:val="00BE71C0"/>
    <w:rsid w:val="00BE7EEC"/>
    <w:rsid w:val="00BE7F26"/>
    <w:rsid w:val="00BF025D"/>
    <w:rsid w:val="00BF2ADD"/>
    <w:rsid w:val="00BF3107"/>
    <w:rsid w:val="00BF4E5D"/>
    <w:rsid w:val="00BF56EB"/>
    <w:rsid w:val="00BF610C"/>
    <w:rsid w:val="00BF6A01"/>
    <w:rsid w:val="00C0060B"/>
    <w:rsid w:val="00C01A6C"/>
    <w:rsid w:val="00C0277D"/>
    <w:rsid w:val="00C02E48"/>
    <w:rsid w:val="00C03212"/>
    <w:rsid w:val="00C04764"/>
    <w:rsid w:val="00C053A1"/>
    <w:rsid w:val="00C05663"/>
    <w:rsid w:val="00C06592"/>
    <w:rsid w:val="00C076AD"/>
    <w:rsid w:val="00C10606"/>
    <w:rsid w:val="00C127D7"/>
    <w:rsid w:val="00C13097"/>
    <w:rsid w:val="00C14823"/>
    <w:rsid w:val="00C14F27"/>
    <w:rsid w:val="00C151F7"/>
    <w:rsid w:val="00C15B42"/>
    <w:rsid w:val="00C16198"/>
    <w:rsid w:val="00C17816"/>
    <w:rsid w:val="00C17A70"/>
    <w:rsid w:val="00C202F4"/>
    <w:rsid w:val="00C2081B"/>
    <w:rsid w:val="00C2083D"/>
    <w:rsid w:val="00C218B5"/>
    <w:rsid w:val="00C21981"/>
    <w:rsid w:val="00C23542"/>
    <w:rsid w:val="00C2357F"/>
    <w:rsid w:val="00C23EBD"/>
    <w:rsid w:val="00C2473F"/>
    <w:rsid w:val="00C24A53"/>
    <w:rsid w:val="00C24C64"/>
    <w:rsid w:val="00C2604F"/>
    <w:rsid w:val="00C27CEB"/>
    <w:rsid w:val="00C3001E"/>
    <w:rsid w:val="00C30408"/>
    <w:rsid w:val="00C30E62"/>
    <w:rsid w:val="00C32B09"/>
    <w:rsid w:val="00C33EA8"/>
    <w:rsid w:val="00C34A05"/>
    <w:rsid w:val="00C35069"/>
    <w:rsid w:val="00C35CCE"/>
    <w:rsid w:val="00C35EED"/>
    <w:rsid w:val="00C36D79"/>
    <w:rsid w:val="00C4032F"/>
    <w:rsid w:val="00C410CB"/>
    <w:rsid w:val="00C42863"/>
    <w:rsid w:val="00C428CF"/>
    <w:rsid w:val="00C42DF9"/>
    <w:rsid w:val="00C44047"/>
    <w:rsid w:val="00C44362"/>
    <w:rsid w:val="00C445F8"/>
    <w:rsid w:val="00C44DEB"/>
    <w:rsid w:val="00C45155"/>
    <w:rsid w:val="00C451EF"/>
    <w:rsid w:val="00C45303"/>
    <w:rsid w:val="00C4602D"/>
    <w:rsid w:val="00C4649C"/>
    <w:rsid w:val="00C4660D"/>
    <w:rsid w:val="00C47AF9"/>
    <w:rsid w:val="00C50BD8"/>
    <w:rsid w:val="00C5184D"/>
    <w:rsid w:val="00C51BE1"/>
    <w:rsid w:val="00C522EA"/>
    <w:rsid w:val="00C52BE7"/>
    <w:rsid w:val="00C532E1"/>
    <w:rsid w:val="00C53901"/>
    <w:rsid w:val="00C5498F"/>
    <w:rsid w:val="00C55235"/>
    <w:rsid w:val="00C553E0"/>
    <w:rsid w:val="00C5572A"/>
    <w:rsid w:val="00C56CD3"/>
    <w:rsid w:val="00C56E20"/>
    <w:rsid w:val="00C57621"/>
    <w:rsid w:val="00C60553"/>
    <w:rsid w:val="00C61F76"/>
    <w:rsid w:val="00C62F6F"/>
    <w:rsid w:val="00C63821"/>
    <w:rsid w:val="00C6460D"/>
    <w:rsid w:val="00C64670"/>
    <w:rsid w:val="00C64CD0"/>
    <w:rsid w:val="00C6523C"/>
    <w:rsid w:val="00C65C3A"/>
    <w:rsid w:val="00C66836"/>
    <w:rsid w:val="00C6684F"/>
    <w:rsid w:val="00C6696F"/>
    <w:rsid w:val="00C66AF0"/>
    <w:rsid w:val="00C67176"/>
    <w:rsid w:val="00C67E0B"/>
    <w:rsid w:val="00C67FCC"/>
    <w:rsid w:val="00C7013F"/>
    <w:rsid w:val="00C70C0A"/>
    <w:rsid w:val="00C70E70"/>
    <w:rsid w:val="00C717C9"/>
    <w:rsid w:val="00C72A30"/>
    <w:rsid w:val="00C7345A"/>
    <w:rsid w:val="00C7389B"/>
    <w:rsid w:val="00C74C14"/>
    <w:rsid w:val="00C75850"/>
    <w:rsid w:val="00C75929"/>
    <w:rsid w:val="00C75DF7"/>
    <w:rsid w:val="00C75F8D"/>
    <w:rsid w:val="00C760F2"/>
    <w:rsid w:val="00C769B4"/>
    <w:rsid w:val="00C77380"/>
    <w:rsid w:val="00C80265"/>
    <w:rsid w:val="00C81211"/>
    <w:rsid w:val="00C813E0"/>
    <w:rsid w:val="00C81DBE"/>
    <w:rsid w:val="00C82940"/>
    <w:rsid w:val="00C82FB2"/>
    <w:rsid w:val="00C83AE9"/>
    <w:rsid w:val="00C83E1B"/>
    <w:rsid w:val="00C84609"/>
    <w:rsid w:val="00C84E1D"/>
    <w:rsid w:val="00C86279"/>
    <w:rsid w:val="00C86A4C"/>
    <w:rsid w:val="00C86B49"/>
    <w:rsid w:val="00C87E8A"/>
    <w:rsid w:val="00C92FBA"/>
    <w:rsid w:val="00C93901"/>
    <w:rsid w:val="00C93B76"/>
    <w:rsid w:val="00C93C7D"/>
    <w:rsid w:val="00C9429A"/>
    <w:rsid w:val="00C95943"/>
    <w:rsid w:val="00C95BA4"/>
    <w:rsid w:val="00C97736"/>
    <w:rsid w:val="00C97FE3"/>
    <w:rsid w:val="00CA0A6F"/>
    <w:rsid w:val="00CA0AA4"/>
    <w:rsid w:val="00CA3279"/>
    <w:rsid w:val="00CA345A"/>
    <w:rsid w:val="00CA38D9"/>
    <w:rsid w:val="00CA4917"/>
    <w:rsid w:val="00CA542A"/>
    <w:rsid w:val="00CA55C2"/>
    <w:rsid w:val="00CA6AEF"/>
    <w:rsid w:val="00CA74D1"/>
    <w:rsid w:val="00CB19A8"/>
    <w:rsid w:val="00CB1E82"/>
    <w:rsid w:val="00CB1EC0"/>
    <w:rsid w:val="00CB1F21"/>
    <w:rsid w:val="00CB32A8"/>
    <w:rsid w:val="00CB3A3A"/>
    <w:rsid w:val="00CB3E0E"/>
    <w:rsid w:val="00CB4286"/>
    <w:rsid w:val="00CB4638"/>
    <w:rsid w:val="00CB480D"/>
    <w:rsid w:val="00CB4BA8"/>
    <w:rsid w:val="00CB52D7"/>
    <w:rsid w:val="00CB5AA9"/>
    <w:rsid w:val="00CB6603"/>
    <w:rsid w:val="00CB67D9"/>
    <w:rsid w:val="00CB7014"/>
    <w:rsid w:val="00CB7564"/>
    <w:rsid w:val="00CB7F1D"/>
    <w:rsid w:val="00CC0B70"/>
    <w:rsid w:val="00CC1425"/>
    <w:rsid w:val="00CC1499"/>
    <w:rsid w:val="00CC3C8A"/>
    <w:rsid w:val="00CC57B4"/>
    <w:rsid w:val="00CC5E0E"/>
    <w:rsid w:val="00CC6732"/>
    <w:rsid w:val="00CC6A38"/>
    <w:rsid w:val="00CC6A82"/>
    <w:rsid w:val="00CC6D53"/>
    <w:rsid w:val="00CC783A"/>
    <w:rsid w:val="00CD11B4"/>
    <w:rsid w:val="00CD3833"/>
    <w:rsid w:val="00CD47B3"/>
    <w:rsid w:val="00CD493F"/>
    <w:rsid w:val="00CD4952"/>
    <w:rsid w:val="00CD50F3"/>
    <w:rsid w:val="00CD7212"/>
    <w:rsid w:val="00CE0BB5"/>
    <w:rsid w:val="00CE1426"/>
    <w:rsid w:val="00CE15D6"/>
    <w:rsid w:val="00CE16CC"/>
    <w:rsid w:val="00CE1E66"/>
    <w:rsid w:val="00CE21C0"/>
    <w:rsid w:val="00CE24FE"/>
    <w:rsid w:val="00CE291D"/>
    <w:rsid w:val="00CE2F7C"/>
    <w:rsid w:val="00CE3134"/>
    <w:rsid w:val="00CE34B9"/>
    <w:rsid w:val="00CE3C96"/>
    <w:rsid w:val="00CE3F09"/>
    <w:rsid w:val="00CE45CA"/>
    <w:rsid w:val="00CE4FAA"/>
    <w:rsid w:val="00CE51A8"/>
    <w:rsid w:val="00CE57C0"/>
    <w:rsid w:val="00CE5C21"/>
    <w:rsid w:val="00CE6C72"/>
    <w:rsid w:val="00CE6D6C"/>
    <w:rsid w:val="00CF0879"/>
    <w:rsid w:val="00CF0B91"/>
    <w:rsid w:val="00CF2B42"/>
    <w:rsid w:val="00CF3396"/>
    <w:rsid w:val="00CF352C"/>
    <w:rsid w:val="00CF369B"/>
    <w:rsid w:val="00CF3F90"/>
    <w:rsid w:val="00CF4935"/>
    <w:rsid w:val="00CF6C54"/>
    <w:rsid w:val="00D0014E"/>
    <w:rsid w:val="00D00E28"/>
    <w:rsid w:val="00D01850"/>
    <w:rsid w:val="00D0269E"/>
    <w:rsid w:val="00D02BBC"/>
    <w:rsid w:val="00D02EE3"/>
    <w:rsid w:val="00D0380C"/>
    <w:rsid w:val="00D03E07"/>
    <w:rsid w:val="00D04CD1"/>
    <w:rsid w:val="00D0530A"/>
    <w:rsid w:val="00D05D6C"/>
    <w:rsid w:val="00D05E36"/>
    <w:rsid w:val="00D06A0F"/>
    <w:rsid w:val="00D07710"/>
    <w:rsid w:val="00D07CF3"/>
    <w:rsid w:val="00D10460"/>
    <w:rsid w:val="00D10E3E"/>
    <w:rsid w:val="00D11045"/>
    <w:rsid w:val="00D11482"/>
    <w:rsid w:val="00D12599"/>
    <w:rsid w:val="00D12D36"/>
    <w:rsid w:val="00D1337E"/>
    <w:rsid w:val="00D15810"/>
    <w:rsid w:val="00D16D4E"/>
    <w:rsid w:val="00D16FE3"/>
    <w:rsid w:val="00D1786D"/>
    <w:rsid w:val="00D17C90"/>
    <w:rsid w:val="00D17F89"/>
    <w:rsid w:val="00D203B3"/>
    <w:rsid w:val="00D2051D"/>
    <w:rsid w:val="00D21421"/>
    <w:rsid w:val="00D215BE"/>
    <w:rsid w:val="00D21C0B"/>
    <w:rsid w:val="00D22512"/>
    <w:rsid w:val="00D237DC"/>
    <w:rsid w:val="00D24399"/>
    <w:rsid w:val="00D26A85"/>
    <w:rsid w:val="00D27906"/>
    <w:rsid w:val="00D27F41"/>
    <w:rsid w:val="00D27FEC"/>
    <w:rsid w:val="00D30DC6"/>
    <w:rsid w:val="00D3125E"/>
    <w:rsid w:val="00D318A7"/>
    <w:rsid w:val="00D31F73"/>
    <w:rsid w:val="00D330FE"/>
    <w:rsid w:val="00D339EB"/>
    <w:rsid w:val="00D33F0F"/>
    <w:rsid w:val="00D3540A"/>
    <w:rsid w:val="00D36441"/>
    <w:rsid w:val="00D36854"/>
    <w:rsid w:val="00D36B06"/>
    <w:rsid w:val="00D37097"/>
    <w:rsid w:val="00D4064E"/>
    <w:rsid w:val="00D40FCC"/>
    <w:rsid w:val="00D414B1"/>
    <w:rsid w:val="00D414E9"/>
    <w:rsid w:val="00D41AD7"/>
    <w:rsid w:val="00D41D2E"/>
    <w:rsid w:val="00D42EF0"/>
    <w:rsid w:val="00D436A1"/>
    <w:rsid w:val="00D44E9B"/>
    <w:rsid w:val="00D45168"/>
    <w:rsid w:val="00D456FE"/>
    <w:rsid w:val="00D45E30"/>
    <w:rsid w:val="00D45FD2"/>
    <w:rsid w:val="00D46F17"/>
    <w:rsid w:val="00D47AEB"/>
    <w:rsid w:val="00D50046"/>
    <w:rsid w:val="00D50438"/>
    <w:rsid w:val="00D5073C"/>
    <w:rsid w:val="00D50DB9"/>
    <w:rsid w:val="00D51302"/>
    <w:rsid w:val="00D518A3"/>
    <w:rsid w:val="00D51E79"/>
    <w:rsid w:val="00D529FF"/>
    <w:rsid w:val="00D52C43"/>
    <w:rsid w:val="00D52EF7"/>
    <w:rsid w:val="00D53BCC"/>
    <w:rsid w:val="00D54E8E"/>
    <w:rsid w:val="00D551BE"/>
    <w:rsid w:val="00D5568A"/>
    <w:rsid w:val="00D56A29"/>
    <w:rsid w:val="00D56B84"/>
    <w:rsid w:val="00D61472"/>
    <w:rsid w:val="00D629ED"/>
    <w:rsid w:val="00D62DAB"/>
    <w:rsid w:val="00D64963"/>
    <w:rsid w:val="00D6507F"/>
    <w:rsid w:val="00D66572"/>
    <w:rsid w:val="00D66AF1"/>
    <w:rsid w:val="00D679B1"/>
    <w:rsid w:val="00D67BAF"/>
    <w:rsid w:val="00D67CBC"/>
    <w:rsid w:val="00D67D94"/>
    <w:rsid w:val="00D70E40"/>
    <w:rsid w:val="00D719A9"/>
    <w:rsid w:val="00D71C4B"/>
    <w:rsid w:val="00D71D6C"/>
    <w:rsid w:val="00D7211B"/>
    <w:rsid w:val="00D72BEE"/>
    <w:rsid w:val="00D72F5C"/>
    <w:rsid w:val="00D730BC"/>
    <w:rsid w:val="00D73912"/>
    <w:rsid w:val="00D7453F"/>
    <w:rsid w:val="00D74BDB"/>
    <w:rsid w:val="00D754B1"/>
    <w:rsid w:val="00D75B78"/>
    <w:rsid w:val="00D764E9"/>
    <w:rsid w:val="00D768C4"/>
    <w:rsid w:val="00D76F3A"/>
    <w:rsid w:val="00D7785F"/>
    <w:rsid w:val="00D77883"/>
    <w:rsid w:val="00D81F0E"/>
    <w:rsid w:val="00D82A2B"/>
    <w:rsid w:val="00D83B96"/>
    <w:rsid w:val="00D844E4"/>
    <w:rsid w:val="00D84DAD"/>
    <w:rsid w:val="00D85181"/>
    <w:rsid w:val="00D85226"/>
    <w:rsid w:val="00D85BFD"/>
    <w:rsid w:val="00D87B94"/>
    <w:rsid w:val="00D90981"/>
    <w:rsid w:val="00D90BE7"/>
    <w:rsid w:val="00D915B7"/>
    <w:rsid w:val="00D92D49"/>
    <w:rsid w:val="00D92EC1"/>
    <w:rsid w:val="00D937D5"/>
    <w:rsid w:val="00D950E5"/>
    <w:rsid w:val="00D95E3F"/>
    <w:rsid w:val="00D962F9"/>
    <w:rsid w:val="00D96DEA"/>
    <w:rsid w:val="00D97ECE"/>
    <w:rsid w:val="00DA1AA6"/>
    <w:rsid w:val="00DA1D2B"/>
    <w:rsid w:val="00DA24E4"/>
    <w:rsid w:val="00DA4E41"/>
    <w:rsid w:val="00DA5007"/>
    <w:rsid w:val="00DA554B"/>
    <w:rsid w:val="00DA6EAA"/>
    <w:rsid w:val="00DA6FBF"/>
    <w:rsid w:val="00DA70A6"/>
    <w:rsid w:val="00DA79E8"/>
    <w:rsid w:val="00DB08A1"/>
    <w:rsid w:val="00DB117A"/>
    <w:rsid w:val="00DB1429"/>
    <w:rsid w:val="00DB23BA"/>
    <w:rsid w:val="00DB2A8A"/>
    <w:rsid w:val="00DB3A64"/>
    <w:rsid w:val="00DB5173"/>
    <w:rsid w:val="00DB5DA0"/>
    <w:rsid w:val="00DB6B53"/>
    <w:rsid w:val="00DB7873"/>
    <w:rsid w:val="00DC0026"/>
    <w:rsid w:val="00DC0575"/>
    <w:rsid w:val="00DC1665"/>
    <w:rsid w:val="00DC187B"/>
    <w:rsid w:val="00DC1B0D"/>
    <w:rsid w:val="00DC244E"/>
    <w:rsid w:val="00DC2C48"/>
    <w:rsid w:val="00DC2EDF"/>
    <w:rsid w:val="00DC2F0D"/>
    <w:rsid w:val="00DC2F12"/>
    <w:rsid w:val="00DC49DD"/>
    <w:rsid w:val="00DC7046"/>
    <w:rsid w:val="00DC7976"/>
    <w:rsid w:val="00DC7DEF"/>
    <w:rsid w:val="00DD0FBF"/>
    <w:rsid w:val="00DD1A36"/>
    <w:rsid w:val="00DD1A43"/>
    <w:rsid w:val="00DD24AB"/>
    <w:rsid w:val="00DD3A7E"/>
    <w:rsid w:val="00DD42B8"/>
    <w:rsid w:val="00DD4974"/>
    <w:rsid w:val="00DD515C"/>
    <w:rsid w:val="00DD52E7"/>
    <w:rsid w:val="00DD5F13"/>
    <w:rsid w:val="00DD6459"/>
    <w:rsid w:val="00DD68A7"/>
    <w:rsid w:val="00DD73C2"/>
    <w:rsid w:val="00DE00BA"/>
    <w:rsid w:val="00DE0266"/>
    <w:rsid w:val="00DE0B39"/>
    <w:rsid w:val="00DE0E29"/>
    <w:rsid w:val="00DE15DB"/>
    <w:rsid w:val="00DE27DD"/>
    <w:rsid w:val="00DE2D9A"/>
    <w:rsid w:val="00DE319B"/>
    <w:rsid w:val="00DE3724"/>
    <w:rsid w:val="00DE38BC"/>
    <w:rsid w:val="00DE3906"/>
    <w:rsid w:val="00DE397A"/>
    <w:rsid w:val="00DE3A08"/>
    <w:rsid w:val="00DE45AD"/>
    <w:rsid w:val="00DE512E"/>
    <w:rsid w:val="00DE5C23"/>
    <w:rsid w:val="00DE6E86"/>
    <w:rsid w:val="00DE76CA"/>
    <w:rsid w:val="00DE7EE3"/>
    <w:rsid w:val="00DF0799"/>
    <w:rsid w:val="00DF202D"/>
    <w:rsid w:val="00DF2237"/>
    <w:rsid w:val="00DF34FE"/>
    <w:rsid w:val="00DF3C32"/>
    <w:rsid w:val="00DF404E"/>
    <w:rsid w:val="00DF42BD"/>
    <w:rsid w:val="00DF43B5"/>
    <w:rsid w:val="00DF4857"/>
    <w:rsid w:val="00DF4EE7"/>
    <w:rsid w:val="00DF56AA"/>
    <w:rsid w:val="00DF56AF"/>
    <w:rsid w:val="00DF589C"/>
    <w:rsid w:val="00DF5D61"/>
    <w:rsid w:val="00DF5FDC"/>
    <w:rsid w:val="00DF6965"/>
    <w:rsid w:val="00DF78E7"/>
    <w:rsid w:val="00E00461"/>
    <w:rsid w:val="00E00EA4"/>
    <w:rsid w:val="00E02464"/>
    <w:rsid w:val="00E02B0C"/>
    <w:rsid w:val="00E0356B"/>
    <w:rsid w:val="00E044CA"/>
    <w:rsid w:val="00E0565D"/>
    <w:rsid w:val="00E056AA"/>
    <w:rsid w:val="00E05949"/>
    <w:rsid w:val="00E07188"/>
    <w:rsid w:val="00E0787F"/>
    <w:rsid w:val="00E1043B"/>
    <w:rsid w:val="00E110E0"/>
    <w:rsid w:val="00E117F2"/>
    <w:rsid w:val="00E11A0E"/>
    <w:rsid w:val="00E12B52"/>
    <w:rsid w:val="00E148F1"/>
    <w:rsid w:val="00E151D8"/>
    <w:rsid w:val="00E15371"/>
    <w:rsid w:val="00E1561F"/>
    <w:rsid w:val="00E156EB"/>
    <w:rsid w:val="00E168BE"/>
    <w:rsid w:val="00E17D30"/>
    <w:rsid w:val="00E17E3D"/>
    <w:rsid w:val="00E20E71"/>
    <w:rsid w:val="00E21004"/>
    <w:rsid w:val="00E211CD"/>
    <w:rsid w:val="00E2145D"/>
    <w:rsid w:val="00E21988"/>
    <w:rsid w:val="00E22485"/>
    <w:rsid w:val="00E23372"/>
    <w:rsid w:val="00E24104"/>
    <w:rsid w:val="00E245E3"/>
    <w:rsid w:val="00E248FC"/>
    <w:rsid w:val="00E2544B"/>
    <w:rsid w:val="00E25C4E"/>
    <w:rsid w:val="00E25D98"/>
    <w:rsid w:val="00E302D0"/>
    <w:rsid w:val="00E30BEB"/>
    <w:rsid w:val="00E318D2"/>
    <w:rsid w:val="00E31CB5"/>
    <w:rsid w:val="00E31F38"/>
    <w:rsid w:val="00E3261A"/>
    <w:rsid w:val="00E32F86"/>
    <w:rsid w:val="00E33E00"/>
    <w:rsid w:val="00E3428D"/>
    <w:rsid w:val="00E343B7"/>
    <w:rsid w:val="00E3566B"/>
    <w:rsid w:val="00E35707"/>
    <w:rsid w:val="00E36481"/>
    <w:rsid w:val="00E369D0"/>
    <w:rsid w:val="00E36AA1"/>
    <w:rsid w:val="00E36E6E"/>
    <w:rsid w:val="00E404B0"/>
    <w:rsid w:val="00E408D0"/>
    <w:rsid w:val="00E40CBB"/>
    <w:rsid w:val="00E41A06"/>
    <w:rsid w:val="00E41E1D"/>
    <w:rsid w:val="00E41ECB"/>
    <w:rsid w:val="00E41EE8"/>
    <w:rsid w:val="00E4203D"/>
    <w:rsid w:val="00E424D9"/>
    <w:rsid w:val="00E42676"/>
    <w:rsid w:val="00E43808"/>
    <w:rsid w:val="00E43E41"/>
    <w:rsid w:val="00E443AC"/>
    <w:rsid w:val="00E4445A"/>
    <w:rsid w:val="00E44674"/>
    <w:rsid w:val="00E4492E"/>
    <w:rsid w:val="00E44A3A"/>
    <w:rsid w:val="00E4549C"/>
    <w:rsid w:val="00E459A6"/>
    <w:rsid w:val="00E45DC7"/>
    <w:rsid w:val="00E460A3"/>
    <w:rsid w:val="00E46712"/>
    <w:rsid w:val="00E469F9"/>
    <w:rsid w:val="00E50BF9"/>
    <w:rsid w:val="00E50EDE"/>
    <w:rsid w:val="00E51012"/>
    <w:rsid w:val="00E517B4"/>
    <w:rsid w:val="00E51EC1"/>
    <w:rsid w:val="00E522CB"/>
    <w:rsid w:val="00E52BBF"/>
    <w:rsid w:val="00E5414B"/>
    <w:rsid w:val="00E54A8F"/>
    <w:rsid w:val="00E54FDB"/>
    <w:rsid w:val="00E5617D"/>
    <w:rsid w:val="00E563D7"/>
    <w:rsid w:val="00E56842"/>
    <w:rsid w:val="00E57256"/>
    <w:rsid w:val="00E575FD"/>
    <w:rsid w:val="00E60B39"/>
    <w:rsid w:val="00E60F85"/>
    <w:rsid w:val="00E610F4"/>
    <w:rsid w:val="00E61AD5"/>
    <w:rsid w:val="00E62AAF"/>
    <w:rsid w:val="00E62D5C"/>
    <w:rsid w:val="00E631F6"/>
    <w:rsid w:val="00E63AD1"/>
    <w:rsid w:val="00E65EFB"/>
    <w:rsid w:val="00E65FCF"/>
    <w:rsid w:val="00E66368"/>
    <w:rsid w:val="00E663F4"/>
    <w:rsid w:val="00E666D7"/>
    <w:rsid w:val="00E666F2"/>
    <w:rsid w:val="00E669A9"/>
    <w:rsid w:val="00E66CC8"/>
    <w:rsid w:val="00E66DD4"/>
    <w:rsid w:val="00E6760E"/>
    <w:rsid w:val="00E679EA"/>
    <w:rsid w:val="00E67D8F"/>
    <w:rsid w:val="00E700BC"/>
    <w:rsid w:val="00E70278"/>
    <w:rsid w:val="00E70F6A"/>
    <w:rsid w:val="00E710A8"/>
    <w:rsid w:val="00E748CC"/>
    <w:rsid w:val="00E75415"/>
    <w:rsid w:val="00E75A56"/>
    <w:rsid w:val="00E775B1"/>
    <w:rsid w:val="00E779C5"/>
    <w:rsid w:val="00E814FD"/>
    <w:rsid w:val="00E8152A"/>
    <w:rsid w:val="00E81C6B"/>
    <w:rsid w:val="00E820C4"/>
    <w:rsid w:val="00E82473"/>
    <w:rsid w:val="00E824CC"/>
    <w:rsid w:val="00E82AB0"/>
    <w:rsid w:val="00E82D4F"/>
    <w:rsid w:val="00E83DE0"/>
    <w:rsid w:val="00E84959"/>
    <w:rsid w:val="00E860F7"/>
    <w:rsid w:val="00E865C1"/>
    <w:rsid w:val="00E8702E"/>
    <w:rsid w:val="00E8763C"/>
    <w:rsid w:val="00E87F9A"/>
    <w:rsid w:val="00E90262"/>
    <w:rsid w:val="00E912C6"/>
    <w:rsid w:val="00E93485"/>
    <w:rsid w:val="00E93629"/>
    <w:rsid w:val="00E93B5C"/>
    <w:rsid w:val="00E93C6B"/>
    <w:rsid w:val="00E9470A"/>
    <w:rsid w:val="00E94CEC"/>
    <w:rsid w:val="00E95C73"/>
    <w:rsid w:val="00E962D1"/>
    <w:rsid w:val="00E96D9D"/>
    <w:rsid w:val="00EA04EF"/>
    <w:rsid w:val="00EA09AE"/>
    <w:rsid w:val="00EA22B0"/>
    <w:rsid w:val="00EA2743"/>
    <w:rsid w:val="00EA2E08"/>
    <w:rsid w:val="00EA36B7"/>
    <w:rsid w:val="00EA3923"/>
    <w:rsid w:val="00EA3DB1"/>
    <w:rsid w:val="00EA40B2"/>
    <w:rsid w:val="00EA4D92"/>
    <w:rsid w:val="00EA5B67"/>
    <w:rsid w:val="00EA6F19"/>
    <w:rsid w:val="00EA740A"/>
    <w:rsid w:val="00EB0047"/>
    <w:rsid w:val="00EB02B4"/>
    <w:rsid w:val="00EB06AA"/>
    <w:rsid w:val="00EB0BA9"/>
    <w:rsid w:val="00EB0C8C"/>
    <w:rsid w:val="00EB17E4"/>
    <w:rsid w:val="00EB294B"/>
    <w:rsid w:val="00EB2FD1"/>
    <w:rsid w:val="00EB359F"/>
    <w:rsid w:val="00EB66CF"/>
    <w:rsid w:val="00EB6C96"/>
    <w:rsid w:val="00EB7090"/>
    <w:rsid w:val="00EB7708"/>
    <w:rsid w:val="00EB7AB6"/>
    <w:rsid w:val="00EC0A4A"/>
    <w:rsid w:val="00EC0DD7"/>
    <w:rsid w:val="00EC0E84"/>
    <w:rsid w:val="00EC1B8B"/>
    <w:rsid w:val="00EC1BBE"/>
    <w:rsid w:val="00EC2051"/>
    <w:rsid w:val="00EC2B68"/>
    <w:rsid w:val="00EC35DE"/>
    <w:rsid w:val="00EC3AEF"/>
    <w:rsid w:val="00EC5A69"/>
    <w:rsid w:val="00EC5CD7"/>
    <w:rsid w:val="00EC6AD9"/>
    <w:rsid w:val="00EC6E78"/>
    <w:rsid w:val="00EC6ED3"/>
    <w:rsid w:val="00EC7198"/>
    <w:rsid w:val="00EC7508"/>
    <w:rsid w:val="00EC755A"/>
    <w:rsid w:val="00EC7704"/>
    <w:rsid w:val="00ED039E"/>
    <w:rsid w:val="00ED06A7"/>
    <w:rsid w:val="00ED0700"/>
    <w:rsid w:val="00ED0986"/>
    <w:rsid w:val="00ED0B66"/>
    <w:rsid w:val="00ED13E7"/>
    <w:rsid w:val="00ED2080"/>
    <w:rsid w:val="00ED2E50"/>
    <w:rsid w:val="00ED3404"/>
    <w:rsid w:val="00ED3E72"/>
    <w:rsid w:val="00ED5803"/>
    <w:rsid w:val="00ED6750"/>
    <w:rsid w:val="00ED794F"/>
    <w:rsid w:val="00EE046D"/>
    <w:rsid w:val="00EE046F"/>
    <w:rsid w:val="00EE07D6"/>
    <w:rsid w:val="00EE10E4"/>
    <w:rsid w:val="00EE159D"/>
    <w:rsid w:val="00EE1B33"/>
    <w:rsid w:val="00EE39D2"/>
    <w:rsid w:val="00EE4275"/>
    <w:rsid w:val="00EE57BF"/>
    <w:rsid w:val="00EE57D8"/>
    <w:rsid w:val="00EE5BF8"/>
    <w:rsid w:val="00EE5CBC"/>
    <w:rsid w:val="00EE5FB3"/>
    <w:rsid w:val="00EE6CC0"/>
    <w:rsid w:val="00EE6E55"/>
    <w:rsid w:val="00EE7F79"/>
    <w:rsid w:val="00EF0152"/>
    <w:rsid w:val="00EF1F31"/>
    <w:rsid w:val="00EF29A8"/>
    <w:rsid w:val="00EF3716"/>
    <w:rsid w:val="00EF3DCE"/>
    <w:rsid w:val="00EF626B"/>
    <w:rsid w:val="00EF715A"/>
    <w:rsid w:val="00EF7C96"/>
    <w:rsid w:val="00F00181"/>
    <w:rsid w:val="00F00767"/>
    <w:rsid w:val="00F00D57"/>
    <w:rsid w:val="00F00EBC"/>
    <w:rsid w:val="00F012E1"/>
    <w:rsid w:val="00F0159B"/>
    <w:rsid w:val="00F0185E"/>
    <w:rsid w:val="00F01BC3"/>
    <w:rsid w:val="00F01DEF"/>
    <w:rsid w:val="00F034BB"/>
    <w:rsid w:val="00F03756"/>
    <w:rsid w:val="00F03800"/>
    <w:rsid w:val="00F04366"/>
    <w:rsid w:val="00F04F0F"/>
    <w:rsid w:val="00F05203"/>
    <w:rsid w:val="00F05A23"/>
    <w:rsid w:val="00F05DAE"/>
    <w:rsid w:val="00F06019"/>
    <w:rsid w:val="00F062B9"/>
    <w:rsid w:val="00F06E14"/>
    <w:rsid w:val="00F1130D"/>
    <w:rsid w:val="00F12220"/>
    <w:rsid w:val="00F1456A"/>
    <w:rsid w:val="00F15AAE"/>
    <w:rsid w:val="00F15C0C"/>
    <w:rsid w:val="00F162D2"/>
    <w:rsid w:val="00F16B16"/>
    <w:rsid w:val="00F179D4"/>
    <w:rsid w:val="00F17C32"/>
    <w:rsid w:val="00F21735"/>
    <w:rsid w:val="00F21EB1"/>
    <w:rsid w:val="00F241FF"/>
    <w:rsid w:val="00F25A93"/>
    <w:rsid w:val="00F26522"/>
    <w:rsid w:val="00F26B05"/>
    <w:rsid w:val="00F2728F"/>
    <w:rsid w:val="00F301F1"/>
    <w:rsid w:val="00F30608"/>
    <w:rsid w:val="00F307A7"/>
    <w:rsid w:val="00F30D8B"/>
    <w:rsid w:val="00F317AF"/>
    <w:rsid w:val="00F31E84"/>
    <w:rsid w:val="00F3334A"/>
    <w:rsid w:val="00F333F4"/>
    <w:rsid w:val="00F33C56"/>
    <w:rsid w:val="00F347C7"/>
    <w:rsid w:val="00F34848"/>
    <w:rsid w:val="00F3694B"/>
    <w:rsid w:val="00F36B5F"/>
    <w:rsid w:val="00F36F77"/>
    <w:rsid w:val="00F37294"/>
    <w:rsid w:val="00F37A16"/>
    <w:rsid w:val="00F37B3C"/>
    <w:rsid w:val="00F37D6F"/>
    <w:rsid w:val="00F4020C"/>
    <w:rsid w:val="00F40266"/>
    <w:rsid w:val="00F41BA4"/>
    <w:rsid w:val="00F420C3"/>
    <w:rsid w:val="00F42D46"/>
    <w:rsid w:val="00F434EA"/>
    <w:rsid w:val="00F43517"/>
    <w:rsid w:val="00F43A3C"/>
    <w:rsid w:val="00F4496C"/>
    <w:rsid w:val="00F44F3A"/>
    <w:rsid w:val="00F45DD5"/>
    <w:rsid w:val="00F5022A"/>
    <w:rsid w:val="00F50931"/>
    <w:rsid w:val="00F51F10"/>
    <w:rsid w:val="00F52967"/>
    <w:rsid w:val="00F529A5"/>
    <w:rsid w:val="00F54114"/>
    <w:rsid w:val="00F54762"/>
    <w:rsid w:val="00F55693"/>
    <w:rsid w:val="00F558E2"/>
    <w:rsid w:val="00F57A79"/>
    <w:rsid w:val="00F6061B"/>
    <w:rsid w:val="00F60F00"/>
    <w:rsid w:val="00F613BE"/>
    <w:rsid w:val="00F614C0"/>
    <w:rsid w:val="00F61570"/>
    <w:rsid w:val="00F61C77"/>
    <w:rsid w:val="00F623A4"/>
    <w:rsid w:val="00F63A72"/>
    <w:rsid w:val="00F64BF8"/>
    <w:rsid w:val="00F652D0"/>
    <w:rsid w:val="00F66F74"/>
    <w:rsid w:val="00F676C4"/>
    <w:rsid w:val="00F67BAE"/>
    <w:rsid w:val="00F70EFA"/>
    <w:rsid w:val="00F716AC"/>
    <w:rsid w:val="00F72013"/>
    <w:rsid w:val="00F73000"/>
    <w:rsid w:val="00F73F1A"/>
    <w:rsid w:val="00F75246"/>
    <w:rsid w:val="00F75DB9"/>
    <w:rsid w:val="00F764B4"/>
    <w:rsid w:val="00F768D3"/>
    <w:rsid w:val="00F80B8E"/>
    <w:rsid w:val="00F81266"/>
    <w:rsid w:val="00F82F16"/>
    <w:rsid w:val="00F82FB5"/>
    <w:rsid w:val="00F836D3"/>
    <w:rsid w:val="00F83813"/>
    <w:rsid w:val="00F83848"/>
    <w:rsid w:val="00F83CA0"/>
    <w:rsid w:val="00F8435E"/>
    <w:rsid w:val="00F84ADE"/>
    <w:rsid w:val="00F85240"/>
    <w:rsid w:val="00F85AFA"/>
    <w:rsid w:val="00F85C6B"/>
    <w:rsid w:val="00F87BFF"/>
    <w:rsid w:val="00F87DC4"/>
    <w:rsid w:val="00F87E0F"/>
    <w:rsid w:val="00F9077D"/>
    <w:rsid w:val="00F90ADE"/>
    <w:rsid w:val="00F91ACA"/>
    <w:rsid w:val="00F9389F"/>
    <w:rsid w:val="00F94471"/>
    <w:rsid w:val="00F95362"/>
    <w:rsid w:val="00F975E9"/>
    <w:rsid w:val="00FA1B7D"/>
    <w:rsid w:val="00FA1ECB"/>
    <w:rsid w:val="00FA1F85"/>
    <w:rsid w:val="00FA408B"/>
    <w:rsid w:val="00FA56D9"/>
    <w:rsid w:val="00FA7DD7"/>
    <w:rsid w:val="00FA7E26"/>
    <w:rsid w:val="00FA7FC0"/>
    <w:rsid w:val="00FB06F8"/>
    <w:rsid w:val="00FB1DDF"/>
    <w:rsid w:val="00FB20BC"/>
    <w:rsid w:val="00FB316A"/>
    <w:rsid w:val="00FB3A1A"/>
    <w:rsid w:val="00FB3A65"/>
    <w:rsid w:val="00FB3B3A"/>
    <w:rsid w:val="00FB78D3"/>
    <w:rsid w:val="00FB7D2C"/>
    <w:rsid w:val="00FB7DB7"/>
    <w:rsid w:val="00FC057E"/>
    <w:rsid w:val="00FC07AB"/>
    <w:rsid w:val="00FC07B9"/>
    <w:rsid w:val="00FC0E66"/>
    <w:rsid w:val="00FC180C"/>
    <w:rsid w:val="00FC3ABD"/>
    <w:rsid w:val="00FC4256"/>
    <w:rsid w:val="00FC42A2"/>
    <w:rsid w:val="00FC4E21"/>
    <w:rsid w:val="00FC5EA7"/>
    <w:rsid w:val="00FC5F6D"/>
    <w:rsid w:val="00FC667E"/>
    <w:rsid w:val="00FC7F7B"/>
    <w:rsid w:val="00FD0107"/>
    <w:rsid w:val="00FD071B"/>
    <w:rsid w:val="00FD0CC3"/>
    <w:rsid w:val="00FD1B90"/>
    <w:rsid w:val="00FD2C2F"/>
    <w:rsid w:val="00FD2FC8"/>
    <w:rsid w:val="00FD32A2"/>
    <w:rsid w:val="00FD3B31"/>
    <w:rsid w:val="00FD543A"/>
    <w:rsid w:val="00FD563A"/>
    <w:rsid w:val="00FD5927"/>
    <w:rsid w:val="00FD5A12"/>
    <w:rsid w:val="00FD65A1"/>
    <w:rsid w:val="00FE11FC"/>
    <w:rsid w:val="00FE12AB"/>
    <w:rsid w:val="00FE1823"/>
    <w:rsid w:val="00FE2BA0"/>
    <w:rsid w:val="00FE30B8"/>
    <w:rsid w:val="00FE43C9"/>
    <w:rsid w:val="00FE487A"/>
    <w:rsid w:val="00FE6FD0"/>
    <w:rsid w:val="00FE7932"/>
    <w:rsid w:val="00FF0567"/>
    <w:rsid w:val="00FF0569"/>
    <w:rsid w:val="00FF206E"/>
    <w:rsid w:val="00FF280B"/>
    <w:rsid w:val="00FF391D"/>
    <w:rsid w:val="00FF3A7C"/>
    <w:rsid w:val="00FF3BE1"/>
    <w:rsid w:val="00FF3C69"/>
    <w:rsid w:val="00FF4C6C"/>
    <w:rsid w:val="00FF4F30"/>
    <w:rsid w:val="00FF5080"/>
    <w:rsid w:val="00FF5BB3"/>
    <w:rsid w:val="00FF6719"/>
    <w:rsid w:val="00FF6E0A"/>
    <w:rsid w:val="00FF7C6C"/>
    <w:rsid w:val="0148E64F"/>
    <w:rsid w:val="0158DC5F"/>
    <w:rsid w:val="056734C9"/>
    <w:rsid w:val="072B4A91"/>
    <w:rsid w:val="0FE8440D"/>
    <w:rsid w:val="1221E00D"/>
    <w:rsid w:val="1CE985DE"/>
    <w:rsid w:val="1D08B5F1"/>
    <w:rsid w:val="23617B20"/>
    <w:rsid w:val="2843CA35"/>
    <w:rsid w:val="29167745"/>
    <w:rsid w:val="2981DFF1"/>
    <w:rsid w:val="2A19AF9F"/>
    <w:rsid w:val="2CB980B3"/>
    <w:rsid w:val="30C559FB"/>
    <w:rsid w:val="313F84D4"/>
    <w:rsid w:val="31806F66"/>
    <w:rsid w:val="327FE9E6"/>
    <w:rsid w:val="3360B3D6"/>
    <w:rsid w:val="37F04862"/>
    <w:rsid w:val="3BB1ABFD"/>
    <w:rsid w:val="3D86583C"/>
    <w:rsid w:val="3DBF045C"/>
    <w:rsid w:val="3F185811"/>
    <w:rsid w:val="3FA3CA19"/>
    <w:rsid w:val="403B2B0C"/>
    <w:rsid w:val="42FE4AF8"/>
    <w:rsid w:val="47BC630F"/>
    <w:rsid w:val="49D068FF"/>
    <w:rsid w:val="4A89B89D"/>
    <w:rsid w:val="4BBFF346"/>
    <w:rsid w:val="4F66A789"/>
    <w:rsid w:val="500BBC95"/>
    <w:rsid w:val="59EA5607"/>
    <w:rsid w:val="5DA850C6"/>
    <w:rsid w:val="5E78461D"/>
    <w:rsid w:val="60077487"/>
    <w:rsid w:val="60F7581C"/>
    <w:rsid w:val="64800E00"/>
    <w:rsid w:val="657DAFA3"/>
    <w:rsid w:val="6A17DBC6"/>
    <w:rsid w:val="6B10B62D"/>
    <w:rsid w:val="6B680490"/>
    <w:rsid w:val="6D04F6EE"/>
    <w:rsid w:val="7177EE3E"/>
    <w:rsid w:val="71EF7252"/>
    <w:rsid w:val="74D3CC92"/>
    <w:rsid w:val="755243D9"/>
    <w:rsid w:val="75EE7BE4"/>
    <w:rsid w:val="7831EF49"/>
    <w:rsid w:val="7871B1BF"/>
    <w:rsid w:val="7E75F62E"/>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BAFD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12"/>
      </w:numPr>
      <w:spacing w:after="80"/>
    </w:pPr>
  </w:style>
  <w:style w:type="paragraph" w:styleId="ListNumber2">
    <w:name w:val="List Number 2"/>
    <w:basedOn w:val="Normal"/>
    <w:semiHidden/>
    <w:qFormat/>
    <w:rsid w:val="004A70D6"/>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NECG) Footnote Reference,(NECG) Footnote Reference1,o,Style 12"/>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link w:val="ParagraphChar"/>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character" w:customStyle="1" w:styleId="ListBulletChar">
    <w:name w:val="List Bullet Char"/>
    <w:aliases w:val="List Bullet 1 Char"/>
    <w:basedOn w:val="DefaultParagraphFont"/>
    <w:link w:val="ListBullet"/>
    <w:rsid w:val="00DF42BD"/>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rsid w:val="00DF42BD"/>
    <w:rPr>
      <w:rFonts w:ascii="Arial" w:hAnsi="Arial"/>
      <w:sz w:val="16"/>
      <w:szCs w:val="16"/>
    </w:rPr>
  </w:style>
  <w:style w:type="paragraph" w:styleId="ListParagraph">
    <w:name w:val="List Paragraph"/>
    <w:basedOn w:val="Normal"/>
    <w:uiPriority w:val="34"/>
    <w:qFormat/>
    <w:rsid w:val="00B87B95"/>
    <w:pPr>
      <w:spacing w:after="160" w:line="259" w:lineRule="auto"/>
      <w:ind w:left="720"/>
      <w:contextualSpacing/>
    </w:pPr>
    <w:rPr>
      <w:rFonts w:ascii="Calibri" w:eastAsia="Calibri" w:hAnsi="Calibri"/>
      <w:sz w:val="22"/>
      <w:szCs w:val="22"/>
      <w:lang w:eastAsia="en-US"/>
    </w:rPr>
  </w:style>
  <w:style w:type="paragraph" w:customStyle="1" w:styleId="Bodysubheader0">
    <w:name w:val="Body sub header"/>
    <w:basedOn w:val="Normal"/>
    <w:next w:val="Normal"/>
    <w:rsid w:val="00B87B95"/>
    <w:pPr>
      <w:spacing w:after="0"/>
    </w:pPr>
    <w:rPr>
      <w:rFonts w:ascii="HelveticaNeueLT Std" w:hAnsi="HelveticaNeueLT Std"/>
      <w:b/>
      <w:i/>
    </w:rPr>
  </w:style>
  <w:style w:type="table" w:styleId="PlainTable1">
    <w:name w:val="Plain Table 1"/>
    <w:basedOn w:val="TableNormal"/>
    <w:rsid w:val="000C5B4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ParagraphChar">
    <w:name w:val="Paragraph Char"/>
    <w:basedOn w:val="DefaultParagraphFont"/>
    <w:link w:val="Paragraph"/>
    <w:rsid w:val="00AC28AC"/>
    <w:rPr>
      <w:rFonts w:ascii="Arial" w:hAnsi="Arial" w:cs="Arial"/>
      <w:sz w:val="20"/>
    </w:rPr>
  </w:style>
  <w:style w:type="paragraph" w:customStyle="1" w:styleId="Numberedparagraph">
    <w:name w:val="Numbered paragraph"/>
    <w:basedOn w:val="Normal"/>
    <w:qFormat/>
    <w:rsid w:val="00423DC0"/>
    <w:pPr>
      <w:tabs>
        <w:tab w:val="num" w:pos="567"/>
      </w:tabs>
      <w:ind w:hanging="567"/>
    </w:pPr>
    <w:rPr>
      <w:rFonts w:cs="Arial"/>
    </w:rPr>
  </w:style>
  <w:style w:type="character" w:styleId="Mention">
    <w:name w:val="Mention"/>
    <w:basedOn w:val="DefaultParagraphFont"/>
    <w:uiPriority w:val="99"/>
    <w:unhideWhenUsed/>
    <w:rsid w:val="00EF0152"/>
    <w:rPr>
      <w:color w:val="2B579A"/>
      <w:shd w:val="clear" w:color="auto" w:fill="E1DFDD"/>
    </w:rPr>
  </w:style>
  <w:style w:type="paragraph" w:customStyle="1" w:styleId="paragraph0">
    <w:name w:val="paragraph"/>
    <w:aliases w:val="a,indent(a)"/>
    <w:basedOn w:val="Normal"/>
    <w:link w:val="paragraphChar0"/>
    <w:rsid w:val="00B3798E"/>
    <w:pPr>
      <w:tabs>
        <w:tab w:val="right" w:pos="1531"/>
      </w:tabs>
      <w:spacing w:before="40" w:after="0" w:line="240" w:lineRule="auto"/>
      <w:ind w:left="1644" w:hanging="1644"/>
    </w:pPr>
    <w:rPr>
      <w:rFonts w:ascii="Times New Roman" w:hAnsi="Times New Roman"/>
      <w:sz w:val="22"/>
      <w:szCs w:val="20"/>
    </w:rPr>
  </w:style>
  <w:style w:type="character" w:customStyle="1" w:styleId="paragraphChar0">
    <w:name w:val="paragraph Char"/>
    <w:aliases w:val="a Char"/>
    <w:link w:val="paragraph0"/>
    <w:rsid w:val="00B3798E"/>
    <w:rPr>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6906886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acma.gov.au/australian-spectrum-map-grid" TargetMode="External"/><Relationship Id="rId21" Type="http://schemas.openxmlformats.org/officeDocument/2006/relationships/footer" Target="footer4.xml"/><Relationship Id="rId42" Type="http://schemas.openxmlformats.org/officeDocument/2006/relationships/hyperlink" Target="https://www.legislation.gov.au/Series/C2004A00109" TargetMode="External"/><Relationship Id="rId47" Type="http://schemas.openxmlformats.org/officeDocument/2006/relationships/hyperlink" Target="https://www.acma.gov.au/publications/2019-08/instruction/rali-ms32-mid-west-radio-quiet-zone" TargetMode="External"/><Relationship Id="rId63" Type="http://schemas.openxmlformats.org/officeDocument/2006/relationships/hyperlink" Target="https://www.legislation.gov.au/Series/F2023L00286" TargetMode="External"/><Relationship Id="rId68" Type="http://schemas.openxmlformats.org/officeDocument/2006/relationships/hyperlink" Target="https://www.legislation.gov.au/Series/F2023L00118" TargetMode="External"/><Relationship Id="rId16" Type="http://schemas.openxmlformats.org/officeDocument/2006/relationships/header" Target="header4.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Series/C2004A04465" TargetMode="External"/><Relationship Id="rId32" Type="http://schemas.openxmlformats.org/officeDocument/2006/relationships/hyperlink" Target="https://www.acma.gov.au/class-licences" TargetMode="External"/><Relationship Id="rId37" Type="http://schemas.openxmlformats.org/officeDocument/2006/relationships/hyperlink" Target="https://www.acma.gov.au/spectrum-licence-technical-liaison-groups" TargetMode="External"/><Relationship Id="rId40" Type="http://schemas.openxmlformats.org/officeDocument/2006/relationships/hyperlink" Target="https://www.legislation.gov.au/Series/F2021L01256" TargetMode="External"/><Relationship Id="rId45" Type="http://schemas.openxmlformats.org/officeDocument/2006/relationships/hyperlink" Target="https://www.industry.gov.au/science-technology-and-innovation/space-and-astronomy/ska-project-australia" TargetMode="External"/><Relationship Id="rId53" Type="http://schemas.openxmlformats.org/officeDocument/2006/relationships/hyperlink" Target="https://www.legislation.gov.au/Series/F2018L00024" TargetMode="External"/><Relationship Id="rId58" Type="http://schemas.openxmlformats.org/officeDocument/2006/relationships/hyperlink" Target="https://www.acma.gov.au/publications/2021-03/rules/our-approach-radcomms-licensing-and-allocation" TargetMode="External"/><Relationship Id="rId66" Type="http://schemas.openxmlformats.org/officeDocument/2006/relationships/hyperlink" Target="http://www.itu.int/en/Pages/default.aspx" TargetMode="External"/><Relationship Id="rId74"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hyperlink" Target="https://www.acma.gov.au/trade-your-spectrum-licence" TargetMode="Externa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4.emf"/><Relationship Id="rId30" Type="http://schemas.openxmlformats.org/officeDocument/2006/relationships/hyperlink" Target="https://www.acma.gov.au/find-out-what-licence-you-need" TargetMode="External"/><Relationship Id="rId35" Type="http://schemas.openxmlformats.org/officeDocument/2006/relationships/hyperlink" Target="https://web.acma.gov.au/rrl/assignment_range.search" TargetMode="External"/><Relationship Id="rId43" Type="http://schemas.openxmlformats.org/officeDocument/2006/relationships/hyperlink" Target="https://www.legislation.gov.au/Series/F2015L00210" TargetMode="External"/><Relationship Id="rId48" Type="http://schemas.openxmlformats.org/officeDocument/2006/relationships/hyperlink" Target="http://www.itu.int/pub/R-REG-RR" TargetMode="External"/><Relationship Id="rId56" Type="http://schemas.openxmlformats.org/officeDocument/2006/relationships/hyperlink" Target="https://www.acma.gov.au/find-accredited-person" TargetMode="External"/><Relationship Id="rId64" Type="http://schemas.openxmlformats.org/officeDocument/2006/relationships/hyperlink" Target="https://www.acma.gov.au/australian-spectrum-map-grid" TargetMode="External"/><Relationship Id="rId69" Type="http://schemas.openxmlformats.org/officeDocument/2006/relationships/hyperlink" Target="https://www.legislation.gov.au/Series/C2004A04465" TargetMode="External"/><Relationship Id="rId7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acma.gov.au/register-radiocommunications-device-under-spectrum-licence" TargetMode="External"/><Relationship Id="rId72" Type="http://schemas.openxmlformats.org/officeDocument/2006/relationships/hyperlink" Target="https://www.acma.gov.au/spectrum-licence-technical-liaison-groups"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21-03/rules/our-approach-radcomms-licensing-and-allocation" TargetMode="External"/><Relationship Id="rId33" Type="http://schemas.openxmlformats.org/officeDocument/2006/relationships/hyperlink" Target="https://www.acma.gov.au/spectrum-licences" TargetMode="External"/><Relationship Id="rId38" Type="http://schemas.openxmlformats.org/officeDocument/2006/relationships/hyperlink" Target="https://www.legislation.gov.au/Series/F2022L01245" TargetMode="External"/><Relationship Id="rId46" Type="http://schemas.openxmlformats.org/officeDocument/2006/relationships/hyperlink" Target="https://www.legislation.gov.au/Series/F2023L00286" TargetMode="External"/><Relationship Id="rId59" Type="http://schemas.openxmlformats.org/officeDocument/2006/relationships/hyperlink" Target="https://www.legislation.gov.au/Series/C2004A00109" TargetMode="External"/><Relationship Id="rId67" Type="http://schemas.openxmlformats.org/officeDocument/2006/relationships/hyperlink" Target="https://www.itu.int/pub/R-REG-RR" TargetMode="External"/><Relationship Id="rId20" Type="http://schemas.openxmlformats.org/officeDocument/2006/relationships/header" Target="header6.xml"/><Relationship Id="rId41" Type="http://schemas.openxmlformats.org/officeDocument/2006/relationships/hyperlink" Target="https://www.acma.gov.au/spectrum-licence-taxes" TargetMode="External"/><Relationship Id="rId54" Type="http://schemas.openxmlformats.org/officeDocument/2006/relationships/hyperlink" Target="https://www.legislation.gov.au/Series/F2022L01624" TargetMode="External"/><Relationship Id="rId62" Type="http://schemas.openxmlformats.org/officeDocument/2006/relationships/hyperlink" Target="https://www.acma.gov.au/find-accredited-person" TargetMode="External"/><Relationship Id="rId70" Type="http://schemas.openxmlformats.org/officeDocument/2006/relationships/hyperlink" Target="https://www.acma.gov.au/ralis-frequency-coordination" TargetMode="External"/><Relationship Id="rId75"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australian-spectrum-map-grid" TargetMode="External"/><Relationship Id="rId36" Type="http://schemas.openxmlformats.org/officeDocument/2006/relationships/hyperlink" Target="https://www.acma.gov.au/technical-frameworks-spectrum-licences" TargetMode="External"/><Relationship Id="rId49" Type="http://schemas.openxmlformats.org/officeDocument/2006/relationships/hyperlink" Target="https://www.legislation.gov.au/Details/F2021L00751" TargetMode="External"/><Relationship Id="rId57" Type="http://schemas.openxmlformats.org/officeDocument/2006/relationships/hyperlink" Target="https://www.acma.gov.au/information-accredited-persons" TargetMode="External"/><Relationship Id="rId10" Type="http://schemas.openxmlformats.org/officeDocument/2006/relationships/header" Target="header2.xml"/><Relationship Id="rId31" Type="http://schemas.openxmlformats.org/officeDocument/2006/relationships/hyperlink" Target="https://www.acma.gov.au/apparatus-licences" TargetMode="External"/><Relationship Id="rId44" Type="http://schemas.openxmlformats.org/officeDocument/2006/relationships/hyperlink" Target="https://www.arpansa.gov.au/regulation-and-licensing/regulatory-publications/radiation-protection-series/codes-and-standards/rpss-1" TargetMode="External"/><Relationship Id="rId52" Type="http://schemas.openxmlformats.org/officeDocument/2006/relationships/hyperlink" Target="https://www.legislation.gov.au/Series/F2021L00661" TargetMode="External"/><Relationship Id="rId60" Type="http://schemas.openxmlformats.org/officeDocument/2006/relationships/hyperlink" Target="https://www.legislation.gov.au/Details/F2023L00118" TargetMode="External"/><Relationship Id="rId65" Type="http://schemas.openxmlformats.org/officeDocument/2006/relationships/hyperlink" Target="https://www.acma.gov.au/issue-interference-impact-certificate" TargetMode="External"/><Relationship Id="rId73" Type="http://schemas.openxmlformats.org/officeDocument/2006/relationships/header" Target="header7.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Series/C2005A00044" TargetMode="External"/><Relationship Id="rId34" Type="http://schemas.openxmlformats.org/officeDocument/2006/relationships/hyperlink" Target="https://www.acma.gov.au/spectrum-auctions" TargetMode="External"/><Relationship Id="rId50" Type="http://schemas.openxmlformats.org/officeDocument/2006/relationships/hyperlink" Target="https://www.acma.gov.au/publications/2012-02/guide/registration-radiocommunications-devices-under-spectrum-licences" TargetMode="External"/><Relationship Id="rId55" Type="http://schemas.openxmlformats.org/officeDocument/2006/relationships/hyperlink" Target="https://www.legislation.gov.au/Series/F2018L01725" TargetMode="External"/><Relationship Id="rId76" Type="http://schemas.openxmlformats.org/officeDocument/2006/relationships/footer" Target="footer8.xml"/><Relationship Id="rId7" Type="http://schemas.openxmlformats.org/officeDocument/2006/relationships/endnotes" Target="endnotes.xml"/><Relationship Id="rId71" Type="http://schemas.openxmlformats.org/officeDocument/2006/relationships/hyperlink" Target="https://www.acma.gov.au/register-radiocommunications-licences-rrl" TargetMode="External"/><Relationship Id="rId2" Type="http://schemas.openxmlformats.org/officeDocument/2006/relationships/numbering" Target="numbering.xml"/><Relationship Id="rId29" Type="http://schemas.openxmlformats.org/officeDocument/2006/relationships/hyperlink" Target="https://acma.gov.au/convert-hcis-area-description-placemark-0"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rpansa.gov.au/regulation-and-licensing/regulatory-publications/radiation-protection-series/codes-and-standards/rpss-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9346</Words>
  <Characters>53928</Characters>
  <Application>Microsoft Office Word</Application>
  <DocSecurity>0</DocSecurity>
  <Lines>1037</Lines>
  <Paragraphs>455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62819</CharactersWithSpaces>
  <SharedDoc>false</SharedDoc>
  <HyperlinkBase/>
  <HLinks>
    <vt:vector size="582" baseType="variant">
      <vt:variant>
        <vt:i4>196675</vt:i4>
      </vt:variant>
      <vt:variant>
        <vt:i4>420</vt:i4>
      </vt:variant>
      <vt:variant>
        <vt:i4>0</vt:i4>
      </vt:variant>
      <vt:variant>
        <vt:i4>5</vt:i4>
      </vt:variant>
      <vt:variant>
        <vt:lpwstr>https://www.acma.gov.au/spectrum-licence-technical-liaison-groups</vt:lpwstr>
      </vt:variant>
      <vt:variant>
        <vt:lpwstr/>
      </vt:variant>
      <vt:variant>
        <vt:i4>5898311</vt:i4>
      </vt:variant>
      <vt:variant>
        <vt:i4>417</vt:i4>
      </vt:variant>
      <vt:variant>
        <vt:i4>0</vt:i4>
      </vt:variant>
      <vt:variant>
        <vt:i4>5</vt:i4>
      </vt:variant>
      <vt:variant>
        <vt:lpwstr>https://www.acma.gov.au/register-radiocommunications-licences-rrl</vt:lpwstr>
      </vt:variant>
      <vt:variant>
        <vt:lpwstr/>
      </vt:variant>
      <vt:variant>
        <vt:i4>7864431</vt:i4>
      </vt:variant>
      <vt:variant>
        <vt:i4>414</vt:i4>
      </vt:variant>
      <vt:variant>
        <vt:i4>0</vt:i4>
      </vt:variant>
      <vt:variant>
        <vt:i4>5</vt:i4>
      </vt:variant>
      <vt:variant>
        <vt:lpwstr>https://www.acma.gov.au/ralis-frequency-coordination</vt:lpwstr>
      </vt:variant>
      <vt:variant>
        <vt:lpwstr>:~:text=Radiocommunications%20assignment%20and%20licensing%20instructions,interference%20when%20they%20assign%20frequency.</vt:lpwstr>
      </vt:variant>
      <vt:variant>
        <vt:i4>196637</vt:i4>
      </vt:variant>
      <vt:variant>
        <vt:i4>411</vt:i4>
      </vt:variant>
      <vt:variant>
        <vt:i4>0</vt:i4>
      </vt:variant>
      <vt:variant>
        <vt:i4>5</vt:i4>
      </vt:variant>
      <vt:variant>
        <vt:lpwstr>https://www.legislation.gov.au/Series/C2004A04465</vt:lpwstr>
      </vt:variant>
      <vt:variant>
        <vt:lpwstr/>
      </vt:variant>
      <vt:variant>
        <vt:i4>983066</vt:i4>
      </vt:variant>
      <vt:variant>
        <vt:i4>408</vt:i4>
      </vt:variant>
      <vt:variant>
        <vt:i4>0</vt:i4>
      </vt:variant>
      <vt:variant>
        <vt:i4>5</vt:i4>
      </vt:variant>
      <vt:variant>
        <vt:lpwstr>https://www.legislation.gov.au/Series/F2023L00118</vt:lpwstr>
      </vt:variant>
      <vt:variant>
        <vt:lpwstr/>
      </vt:variant>
      <vt:variant>
        <vt:i4>1966150</vt:i4>
      </vt:variant>
      <vt:variant>
        <vt:i4>405</vt:i4>
      </vt:variant>
      <vt:variant>
        <vt:i4>0</vt:i4>
      </vt:variant>
      <vt:variant>
        <vt:i4>5</vt:i4>
      </vt:variant>
      <vt:variant>
        <vt:lpwstr>https://www.itu.int/pub/R-REG-RR</vt:lpwstr>
      </vt:variant>
      <vt:variant>
        <vt:lpwstr/>
      </vt:variant>
      <vt:variant>
        <vt:i4>393299</vt:i4>
      </vt:variant>
      <vt:variant>
        <vt:i4>402</vt:i4>
      </vt:variant>
      <vt:variant>
        <vt:i4>0</vt:i4>
      </vt:variant>
      <vt:variant>
        <vt:i4>5</vt:i4>
      </vt:variant>
      <vt:variant>
        <vt:lpwstr>http://www.itu.int/en/Pages/default.aspx</vt:lpwstr>
      </vt:variant>
      <vt:variant>
        <vt:lpwstr/>
      </vt:variant>
      <vt:variant>
        <vt:i4>1900544</vt:i4>
      </vt:variant>
      <vt:variant>
        <vt:i4>399</vt:i4>
      </vt:variant>
      <vt:variant>
        <vt:i4>0</vt:i4>
      </vt:variant>
      <vt:variant>
        <vt:i4>5</vt:i4>
      </vt:variant>
      <vt:variant>
        <vt:lpwstr>https://www.acma.gov.au/issue-interference-impact-certificate</vt:lpwstr>
      </vt:variant>
      <vt:variant>
        <vt:lpwstr/>
      </vt:variant>
      <vt:variant>
        <vt:i4>1179657</vt:i4>
      </vt:variant>
      <vt:variant>
        <vt:i4>396</vt:i4>
      </vt:variant>
      <vt:variant>
        <vt:i4>0</vt:i4>
      </vt:variant>
      <vt:variant>
        <vt:i4>5</vt:i4>
      </vt:variant>
      <vt:variant>
        <vt:lpwstr>https://www.acma.gov.au/australian-spectrum-map-grid</vt:lpwstr>
      </vt:variant>
      <vt:variant>
        <vt:lpwstr/>
      </vt:variant>
      <vt:variant>
        <vt:i4>393241</vt:i4>
      </vt:variant>
      <vt:variant>
        <vt:i4>393</vt:i4>
      </vt:variant>
      <vt:variant>
        <vt:i4>0</vt:i4>
      </vt:variant>
      <vt:variant>
        <vt:i4>5</vt:i4>
      </vt:variant>
      <vt:variant>
        <vt:lpwstr>https://www.legislation.gov.au/Series/F2023L00286</vt:lpwstr>
      </vt:variant>
      <vt:variant>
        <vt:lpwstr/>
      </vt:variant>
      <vt:variant>
        <vt:i4>2490491</vt:i4>
      </vt:variant>
      <vt:variant>
        <vt:i4>390</vt:i4>
      </vt:variant>
      <vt:variant>
        <vt:i4>0</vt:i4>
      </vt:variant>
      <vt:variant>
        <vt:i4>5</vt:i4>
      </vt:variant>
      <vt:variant>
        <vt:lpwstr>https://www.acma.gov.au/find-accredited-person</vt:lpwstr>
      </vt:variant>
      <vt:variant>
        <vt:lpwstr/>
      </vt:variant>
      <vt:variant>
        <vt:i4>6684778</vt:i4>
      </vt:variant>
      <vt:variant>
        <vt:i4>387</vt:i4>
      </vt:variant>
      <vt:variant>
        <vt:i4>0</vt:i4>
      </vt:variant>
      <vt:variant>
        <vt:i4>5</vt:i4>
      </vt:variant>
      <vt:variant>
        <vt:lpwstr>https://www.acma.gov.au/trade-your-spectrum-licence</vt:lpwstr>
      </vt:variant>
      <vt:variant>
        <vt:lpwstr/>
      </vt:variant>
      <vt:variant>
        <vt:i4>8323115</vt:i4>
      </vt:variant>
      <vt:variant>
        <vt:i4>384</vt:i4>
      </vt:variant>
      <vt:variant>
        <vt:i4>0</vt:i4>
      </vt:variant>
      <vt:variant>
        <vt:i4>5</vt:i4>
      </vt:variant>
      <vt:variant>
        <vt:lpwstr>https://www.legislation.gov.au/Details/F2023L00118</vt:lpwstr>
      </vt:variant>
      <vt:variant>
        <vt:lpwstr/>
      </vt:variant>
      <vt:variant>
        <vt:i4>65560</vt:i4>
      </vt:variant>
      <vt:variant>
        <vt:i4>381</vt:i4>
      </vt:variant>
      <vt:variant>
        <vt:i4>0</vt:i4>
      </vt:variant>
      <vt:variant>
        <vt:i4>5</vt:i4>
      </vt:variant>
      <vt:variant>
        <vt:lpwstr>https://www.legislation.gov.au/Series/C2004A00109</vt:lpwstr>
      </vt:variant>
      <vt:variant>
        <vt:lpwstr/>
      </vt:variant>
      <vt:variant>
        <vt:i4>5898331</vt:i4>
      </vt:variant>
      <vt:variant>
        <vt:i4>378</vt:i4>
      </vt:variant>
      <vt:variant>
        <vt:i4>0</vt:i4>
      </vt:variant>
      <vt:variant>
        <vt:i4>5</vt:i4>
      </vt:variant>
      <vt:variant>
        <vt:lpwstr>https://www.acma.gov.au/publications/2021-03/rules/our-approach-radcomms-licensing-and-allocation</vt:lpwstr>
      </vt:variant>
      <vt:variant>
        <vt:lpwstr/>
      </vt:variant>
      <vt:variant>
        <vt:i4>3407987</vt:i4>
      </vt:variant>
      <vt:variant>
        <vt:i4>375</vt:i4>
      </vt:variant>
      <vt:variant>
        <vt:i4>0</vt:i4>
      </vt:variant>
      <vt:variant>
        <vt:i4>5</vt:i4>
      </vt:variant>
      <vt:variant>
        <vt:lpwstr>https://www.acma.gov.au/information-accredited-persons</vt:lpwstr>
      </vt:variant>
      <vt:variant>
        <vt:lpwstr/>
      </vt:variant>
      <vt:variant>
        <vt:i4>2490491</vt:i4>
      </vt:variant>
      <vt:variant>
        <vt:i4>372</vt:i4>
      </vt:variant>
      <vt:variant>
        <vt:i4>0</vt:i4>
      </vt:variant>
      <vt:variant>
        <vt:i4>5</vt:i4>
      </vt:variant>
      <vt:variant>
        <vt:lpwstr>https://www.acma.gov.au/find-accredited-person</vt:lpwstr>
      </vt:variant>
      <vt:variant>
        <vt:lpwstr/>
      </vt:variant>
      <vt:variant>
        <vt:i4>917527</vt:i4>
      </vt:variant>
      <vt:variant>
        <vt:i4>369</vt:i4>
      </vt:variant>
      <vt:variant>
        <vt:i4>0</vt:i4>
      </vt:variant>
      <vt:variant>
        <vt:i4>5</vt:i4>
      </vt:variant>
      <vt:variant>
        <vt:lpwstr>https://www.legislation.gov.au/Series/F2018L01725</vt:lpwstr>
      </vt:variant>
      <vt:variant>
        <vt:lpwstr/>
      </vt:variant>
      <vt:variant>
        <vt:i4>851996</vt:i4>
      </vt:variant>
      <vt:variant>
        <vt:i4>366</vt:i4>
      </vt:variant>
      <vt:variant>
        <vt:i4>0</vt:i4>
      </vt:variant>
      <vt:variant>
        <vt:i4>5</vt:i4>
      </vt:variant>
      <vt:variant>
        <vt:lpwstr>https://www.legislation.gov.au/Series/F2022L01624</vt:lpwstr>
      </vt:variant>
      <vt:variant>
        <vt:lpwstr/>
      </vt:variant>
      <vt:variant>
        <vt:i4>983056</vt:i4>
      </vt:variant>
      <vt:variant>
        <vt:i4>363</vt:i4>
      </vt:variant>
      <vt:variant>
        <vt:i4>0</vt:i4>
      </vt:variant>
      <vt:variant>
        <vt:i4>5</vt:i4>
      </vt:variant>
      <vt:variant>
        <vt:lpwstr>https://www.legislation.gov.au/Series/F2018L00024</vt:lpwstr>
      </vt:variant>
      <vt:variant>
        <vt:lpwstr/>
      </vt:variant>
      <vt:variant>
        <vt:i4>524319</vt:i4>
      </vt:variant>
      <vt:variant>
        <vt:i4>360</vt:i4>
      </vt:variant>
      <vt:variant>
        <vt:i4>0</vt:i4>
      </vt:variant>
      <vt:variant>
        <vt:i4>5</vt:i4>
      </vt:variant>
      <vt:variant>
        <vt:lpwstr>https://www.legislation.gov.au/Series/F2021L00661</vt:lpwstr>
      </vt:variant>
      <vt:variant>
        <vt:lpwstr/>
      </vt:variant>
      <vt:variant>
        <vt:i4>7536758</vt:i4>
      </vt:variant>
      <vt:variant>
        <vt:i4>357</vt:i4>
      </vt:variant>
      <vt:variant>
        <vt:i4>0</vt:i4>
      </vt:variant>
      <vt:variant>
        <vt:i4>5</vt:i4>
      </vt:variant>
      <vt:variant>
        <vt:lpwstr>https://www.acma.gov.au/register-radiocommunications-device-under-spectrum-licence</vt:lpwstr>
      </vt:variant>
      <vt:variant>
        <vt:lpwstr/>
      </vt:variant>
      <vt:variant>
        <vt:i4>6881395</vt:i4>
      </vt:variant>
      <vt:variant>
        <vt:i4>354</vt:i4>
      </vt:variant>
      <vt:variant>
        <vt:i4>0</vt:i4>
      </vt:variant>
      <vt:variant>
        <vt:i4>5</vt:i4>
      </vt:variant>
      <vt:variant>
        <vt:lpwstr>https://www.acma.gov.au/publications/2012-02/guide/registration-radiocommunications-devices-under-spectrum-licences</vt:lpwstr>
      </vt:variant>
      <vt:variant>
        <vt:lpwstr/>
      </vt:variant>
      <vt:variant>
        <vt:i4>7471151</vt:i4>
      </vt:variant>
      <vt:variant>
        <vt:i4>351</vt:i4>
      </vt:variant>
      <vt:variant>
        <vt:i4>0</vt:i4>
      </vt:variant>
      <vt:variant>
        <vt:i4>5</vt:i4>
      </vt:variant>
      <vt:variant>
        <vt:lpwstr>https://www.legislation.gov.au/Details/F2021L00751</vt:lpwstr>
      </vt:variant>
      <vt:variant>
        <vt:lpwstr/>
      </vt:variant>
      <vt:variant>
        <vt:i4>2949236</vt:i4>
      </vt:variant>
      <vt:variant>
        <vt:i4>348</vt:i4>
      </vt:variant>
      <vt:variant>
        <vt:i4>0</vt:i4>
      </vt:variant>
      <vt:variant>
        <vt:i4>5</vt:i4>
      </vt:variant>
      <vt:variant>
        <vt:lpwstr>http://www.itu.int/pub/R-REG-RR</vt:lpwstr>
      </vt:variant>
      <vt:variant>
        <vt:lpwstr/>
      </vt:variant>
      <vt:variant>
        <vt:i4>6094854</vt:i4>
      </vt:variant>
      <vt:variant>
        <vt:i4>345</vt:i4>
      </vt:variant>
      <vt:variant>
        <vt:i4>0</vt:i4>
      </vt:variant>
      <vt:variant>
        <vt:i4>5</vt:i4>
      </vt:variant>
      <vt:variant>
        <vt:lpwstr>https://www.acma.gov.au/publications/2019-08/instruction/rali-ms32-mid-west-radio-quiet-zone</vt:lpwstr>
      </vt:variant>
      <vt:variant>
        <vt:lpwstr/>
      </vt:variant>
      <vt:variant>
        <vt:i4>393241</vt:i4>
      </vt:variant>
      <vt:variant>
        <vt:i4>342</vt:i4>
      </vt:variant>
      <vt:variant>
        <vt:i4>0</vt:i4>
      </vt:variant>
      <vt:variant>
        <vt:i4>5</vt:i4>
      </vt:variant>
      <vt:variant>
        <vt:lpwstr>https://www.legislation.gov.au/Series/F2023L00286</vt:lpwstr>
      </vt:variant>
      <vt:variant>
        <vt:lpwstr/>
      </vt:variant>
      <vt:variant>
        <vt:i4>3407922</vt:i4>
      </vt:variant>
      <vt:variant>
        <vt:i4>339</vt:i4>
      </vt:variant>
      <vt:variant>
        <vt:i4>0</vt:i4>
      </vt:variant>
      <vt:variant>
        <vt:i4>5</vt:i4>
      </vt:variant>
      <vt:variant>
        <vt:lpwstr>https://www.industry.gov.au/science-technology-and-innovation/space-and-astronomy/ska-project-australia</vt:lpwstr>
      </vt:variant>
      <vt:variant>
        <vt:lpwstr/>
      </vt:variant>
      <vt:variant>
        <vt:i4>2359348</vt:i4>
      </vt:variant>
      <vt:variant>
        <vt:i4>336</vt:i4>
      </vt:variant>
      <vt:variant>
        <vt:i4>0</vt:i4>
      </vt:variant>
      <vt:variant>
        <vt:i4>5</vt:i4>
      </vt:variant>
      <vt:variant>
        <vt:lpwstr>https://www.arpansa.gov.au/regulation-and-licensing/regulatory-publications/radiation-protection-series/codes-and-standards/rpss-1</vt:lpwstr>
      </vt:variant>
      <vt:variant>
        <vt:lpwstr/>
      </vt:variant>
      <vt:variant>
        <vt:i4>786463</vt:i4>
      </vt:variant>
      <vt:variant>
        <vt:i4>333</vt:i4>
      </vt:variant>
      <vt:variant>
        <vt:i4>0</vt:i4>
      </vt:variant>
      <vt:variant>
        <vt:i4>5</vt:i4>
      </vt:variant>
      <vt:variant>
        <vt:lpwstr>https://www.legislation.gov.au/Series/F2015L00210</vt:lpwstr>
      </vt:variant>
      <vt:variant>
        <vt:lpwstr/>
      </vt:variant>
      <vt:variant>
        <vt:i4>65560</vt:i4>
      </vt:variant>
      <vt:variant>
        <vt:i4>330</vt:i4>
      </vt:variant>
      <vt:variant>
        <vt:i4>0</vt:i4>
      </vt:variant>
      <vt:variant>
        <vt:i4>5</vt:i4>
      </vt:variant>
      <vt:variant>
        <vt:lpwstr>https://www.legislation.gov.au/Series/C2004A00109</vt:lpwstr>
      </vt:variant>
      <vt:variant>
        <vt:lpwstr/>
      </vt:variant>
      <vt:variant>
        <vt:i4>1048668</vt:i4>
      </vt:variant>
      <vt:variant>
        <vt:i4>327</vt:i4>
      </vt:variant>
      <vt:variant>
        <vt:i4>0</vt:i4>
      </vt:variant>
      <vt:variant>
        <vt:i4>5</vt:i4>
      </vt:variant>
      <vt:variant>
        <vt:lpwstr>https://www.acma.gov.au/spectrum-licence-taxes</vt:lpwstr>
      </vt:variant>
      <vt:variant>
        <vt:lpwstr>:~:text=The%20EME%20component%20will%20collect,EME%20component%20of%20the%20SLT</vt:lpwstr>
      </vt:variant>
      <vt:variant>
        <vt:i4>655387</vt:i4>
      </vt:variant>
      <vt:variant>
        <vt:i4>324</vt:i4>
      </vt:variant>
      <vt:variant>
        <vt:i4>0</vt:i4>
      </vt:variant>
      <vt:variant>
        <vt:i4>5</vt:i4>
      </vt:variant>
      <vt:variant>
        <vt:lpwstr>https://www.legislation.gov.au/Series/F2021L01256</vt:lpwstr>
      </vt:variant>
      <vt:variant>
        <vt:lpwstr/>
      </vt:variant>
      <vt:variant>
        <vt:i4>327704</vt:i4>
      </vt:variant>
      <vt:variant>
        <vt:i4>321</vt:i4>
      </vt:variant>
      <vt:variant>
        <vt:i4>0</vt:i4>
      </vt:variant>
      <vt:variant>
        <vt:i4>5</vt:i4>
      </vt:variant>
      <vt:variant>
        <vt:lpwstr>https://www.legislation.gov.au/Series/C2005A00044</vt:lpwstr>
      </vt:variant>
      <vt:variant>
        <vt:lpwstr/>
      </vt:variant>
      <vt:variant>
        <vt:i4>720920</vt:i4>
      </vt:variant>
      <vt:variant>
        <vt:i4>318</vt:i4>
      </vt:variant>
      <vt:variant>
        <vt:i4>0</vt:i4>
      </vt:variant>
      <vt:variant>
        <vt:i4>5</vt:i4>
      </vt:variant>
      <vt:variant>
        <vt:lpwstr>https://www.legislation.gov.au/Series/F2022L01245</vt:lpwstr>
      </vt:variant>
      <vt:variant>
        <vt:lpwstr/>
      </vt:variant>
      <vt:variant>
        <vt:i4>2228244</vt:i4>
      </vt:variant>
      <vt:variant>
        <vt:i4>315</vt:i4>
      </vt:variant>
      <vt:variant>
        <vt:i4>0</vt:i4>
      </vt:variant>
      <vt:variant>
        <vt:i4>5</vt:i4>
      </vt:variant>
      <vt:variant>
        <vt:lpwstr/>
      </vt:variant>
      <vt:variant>
        <vt:lpwstr>_Registering_your_radiocommunication</vt:lpwstr>
      </vt:variant>
      <vt:variant>
        <vt:i4>4784237</vt:i4>
      </vt:variant>
      <vt:variant>
        <vt:i4>312</vt:i4>
      </vt:variant>
      <vt:variant>
        <vt:i4>0</vt:i4>
      </vt:variant>
      <vt:variant>
        <vt:i4>5</vt:i4>
      </vt:variant>
      <vt:variant>
        <vt:lpwstr/>
      </vt:variant>
      <vt:variant>
        <vt:lpwstr>_Unacceptable_levels_of</vt:lpwstr>
      </vt:variant>
      <vt:variant>
        <vt:i4>196675</vt:i4>
      </vt:variant>
      <vt:variant>
        <vt:i4>309</vt:i4>
      </vt:variant>
      <vt:variant>
        <vt:i4>0</vt:i4>
      </vt:variant>
      <vt:variant>
        <vt:i4>5</vt:i4>
      </vt:variant>
      <vt:variant>
        <vt:lpwstr>https://www.acma.gov.au/spectrum-licence-technical-liaison-groups</vt:lpwstr>
      </vt:variant>
      <vt:variant>
        <vt:lpwstr/>
      </vt:variant>
      <vt:variant>
        <vt:i4>7471203</vt:i4>
      </vt:variant>
      <vt:variant>
        <vt:i4>306</vt:i4>
      </vt:variant>
      <vt:variant>
        <vt:i4>0</vt:i4>
      </vt:variant>
      <vt:variant>
        <vt:i4>5</vt:i4>
      </vt:variant>
      <vt:variant>
        <vt:lpwstr>https://www.acma.gov.au/technical-frameworks-spectrum-licences</vt:lpwstr>
      </vt:variant>
      <vt:variant>
        <vt:lpwstr/>
      </vt:variant>
      <vt:variant>
        <vt:i4>3604555</vt:i4>
      </vt:variant>
      <vt:variant>
        <vt:i4>303</vt:i4>
      </vt:variant>
      <vt:variant>
        <vt:i4>0</vt:i4>
      </vt:variant>
      <vt:variant>
        <vt:i4>5</vt:i4>
      </vt:variant>
      <vt:variant>
        <vt:lpwstr>https://web.acma.gov.au/rrl/assignment_range.search</vt:lpwstr>
      </vt:variant>
      <vt:variant>
        <vt:lpwstr/>
      </vt:variant>
      <vt:variant>
        <vt:i4>1835010</vt:i4>
      </vt:variant>
      <vt:variant>
        <vt:i4>300</vt:i4>
      </vt:variant>
      <vt:variant>
        <vt:i4>0</vt:i4>
      </vt:variant>
      <vt:variant>
        <vt:i4>5</vt:i4>
      </vt:variant>
      <vt:variant>
        <vt:lpwstr>https://www.acma.gov.au/spectrum-auctions</vt:lpwstr>
      </vt:variant>
      <vt:variant>
        <vt:lpwstr/>
      </vt:variant>
      <vt:variant>
        <vt:i4>1900547</vt:i4>
      </vt:variant>
      <vt:variant>
        <vt:i4>297</vt:i4>
      </vt:variant>
      <vt:variant>
        <vt:i4>0</vt:i4>
      </vt:variant>
      <vt:variant>
        <vt:i4>5</vt:i4>
      </vt:variant>
      <vt:variant>
        <vt:lpwstr>https://www.acma.gov.au/spectrum-licences</vt:lpwstr>
      </vt:variant>
      <vt:variant>
        <vt:lpwstr/>
      </vt:variant>
      <vt:variant>
        <vt:i4>3866659</vt:i4>
      </vt:variant>
      <vt:variant>
        <vt:i4>294</vt:i4>
      </vt:variant>
      <vt:variant>
        <vt:i4>0</vt:i4>
      </vt:variant>
      <vt:variant>
        <vt:i4>5</vt:i4>
      </vt:variant>
      <vt:variant>
        <vt:lpwstr>https://www.acma.gov.au/class-licences</vt:lpwstr>
      </vt:variant>
      <vt:variant>
        <vt:lpwstr/>
      </vt:variant>
      <vt:variant>
        <vt:i4>2162742</vt:i4>
      </vt:variant>
      <vt:variant>
        <vt:i4>291</vt:i4>
      </vt:variant>
      <vt:variant>
        <vt:i4>0</vt:i4>
      </vt:variant>
      <vt:variant>
        <vt:i4>5</vt:i4>
      </vt:variant>
      <vt:variant>
        <vt:lpwstr>https://www.acma.gov.au/apparatus-licences</vt:lpwstr>
      </vt:variant>
      <vt:variant>
        <vt:lpwstr/>
      </vt:variant>
      <vt:variant>
        <vt:i4>3735604</vt:i4>
      </vt:variant>
      <vt:variant>
        <vt:i4>288</vt:i4>
      </vt:variant>
      <vt:variant>
        <vt:i4>0</vt:i4>
      </vt:variant>
      <vt:variant>
        <vt:i4>5</vt:i4>
      </vt:variant>
      <vt:variant>
        <vt:lpwstr>https://www.acma.gov.au/find-out-what-licence-you-need</vt:lpwstr>
      </vt:variant>
      <vt:variant>
        <vt:lpwstr/>
      </vt:variant>
      <vt:variant>
        <vt:i4>5701657</vt:i4>
      </vt:variant>
      <vt:variant>
        <vt:i4>285</vt:i4>
      </vt:variant>
      <vt:variant>
        <vt:i4>0</vt:i4>
      </vt:variant>
      <vt:variant>
        <vt:i4>5</vt:i4>
      </vt:variant>
      <vt:variant>
        <vt:lpwstr>https://acma.gov.au/convert-hcis-area-description-placemark-0</vt:lpwstr>
      </vt:variant>
      <vt:variant>
        <vt:lpwstr/>
      </vt:variant>
      <vt:variant>
        <vt:i4>1179657</vt:i4>
      </vt:variant>
      <vt:variant>
        <vt:i4>282</vt:i4>
      </vt:variant>
      <vt:variant>
        <vt:i4>0</vt:i4>
      </vt:variant>
      <vt:variant>
        <vt:i4>5</vt:i4>
      </vt:variant>
      <vt:variant>
        <vt:lpwstr>https://www.acma.gov.au/australian-spectrum-map-grid</vt:lpwstr>
      </vt:variant>
      <vt:variant>
        <vt:lpwstr/>
      </vt:variant>
      <vt:variant>
        <vt:i4>1179657</vt:i4>
      </vt:variant>
      <vt:variant>
        <vt:i4>279</vt:i4>
      </vt:variant>
      <vt:variant>
        <vt:i4>0</vt:i4>
      </vt:variant>
      <vt:variant>
        <vt:i4>5</vt:i4>
      </vt:variant>
      <vt:variant>
        <vt:lpwstr>https://www.acma.gov.au/australian-spectrum-map-grid</vt:lpwstr>
      </vt:variant>
      <vt:variant>
        <vt:lpwstr/>
      </vt:variant>
      <vt:variant>
        <vt:i4>5898331</vt:i4>
      </vt:variant>
      <vt:variant>
        <vt:i4>276</vt:i4>
      </vt:variant>
      <vt:variant>
        <vt:i4>0</vt:i4>
      </vt:variant>
      <vt:variant>
        <vt:i4>5</vt:i4>
      </vt:variant>
      <vt:variant>
        <vt:lpwstr>https://www.acma.gov.au/publications/2021-03/rules/our-approach-radcomms-licensing-and-allocation</vt:lpwstr>
      </vt:variant>
      <vt:variant>
        <vt:lpwstr/>
      </vt:variant>
      <vt:variant>
        <vt:i4>196637</vt:i4>
      </vt:variant>
      <vt:variant>
        <vt:i4>273</vt:i4>
      </vt:variant>
      <vt:variant>
        <vt:i4>0</vt:i4>
      </vt:variant>
      <vt:variant>
        <vt:i4>5</vt:i4>
      </vt:variant>
      <vt:variant>
        <vt:lpwstr>https://www.legislation.gov.au/Series/C2004A04465</vt:lpwstr>
      </vt:variant>
      <vt:variant>
        <vt:lpwstr/>
      </vt:variant>
      <vt:variant>
        <vt:i4>1114166</vt:i4>
      </vt:variant>
      <vt:variant>
        <vt:i4>266</vt:i4>
      </vt:variant>
      <vt:variant>
        <vt:i4>0</vt:i4>
      </vt:variant>
      <vt:variant>
        <vt:i4>5</vt:i4>
      </vt:variant>
      <vt:variant>
        <vt:lpwstr/>
      </vt:variant>
      <vt:variant>
        <vt:lpwstr>_Toc131603607</vt:lpwstr>
      </vt:variant>
      <vt:variant>
        <vt:i4>1114166</vt:i4>
      </vt:variant>
      <vt:variant>
        <vt:i4>260</vt:i4>
      </vt:variant>
      <vt:variant>
        <vt:i4>0</vt:i4>
      </vt:variant>
      <vt:variant>
        <vt:i4>5</vt:i4>
      </vt:variant>
      <vt:variant>
        <vt:lpwstr/>
      </vt:variant>
      <vt:variant>
        <vt:lpwstr>_Toc131603606</vt:lpwstr>
      </vt:variant>
      <vt:variant>
        <vt:i4>1114166</vt:i4>
      </vt:variant>
      <vt:variant>
        <vt:i4>254</vt:i4>
      </vt:variant>
      <vt:variant>
        <vt:i4>0</vt:i4>
      </vt:variant>
      <vt:variant>
        <vt:i4>5</vt:i4>
      </vt:variant>
      <vt:variant>
        <vt:lpwstr/>
      </vt:variant>
      <vt:variant>
        <vt:lpwstr>_Toc131603605</vt:lpwstr>
      </vt:variant>
      <vt:variant>
        <vt:i4>1114166</vt:i4>
      </vt:variant>
      <vt:variant>
        <vt:i4>248</vt:i4>
      </vt:variant>
      <vt:variant>
        <vt:i4>0</vt:i4>
      </vt:variant>
      <vt:variant>
        <vt:i4>5</vt:i4>
      </vt:variant>
      <vt:variant>
        <vt:lpwstr/>
      </vt:variant>
      <vt:variant>
        <vt:lpwstr>_Toc131603604</vt:lpwstr>
      </vt:variant>
      <vt:variant>
        <vt:i4>1114166</vt:i4>
      </vt:variant>
      <vt:variant>
        <vt:i4>242</vt:i4>
      </vt:variant>
      <vt:variant>
        <vt:i4>0</vt:i4>
      </vt:variant>
      <vt:variant>
        <vt:i4>5</vt:i4>
      </vt:variant>
      <vt:variant>
        <vt:lpwstr/>
      </vt:variant>
      <vt:variant>
        <vt:lpwstr>_Toc131603603</vt:lpwstr>
      </vt:variant>
      <vt:variant>
        <vt:i4>1114166</vt:i4>
      </vt:variant>
      <vt:variant>
        <vt:i4>236</vt:i4>
      </vt:variant>
      <vt:variant>
        <vt:i4>0</vt:i4>
      </vt:variant>
      <vt:variant>
        <vt:i4>5</vt:i4>
      </vt:variant>
      <vt:variant>
        <vt:lpwstr/>
      </vt:variant>
      <vt:variant>
        <vt:lpwstr>_Toc131603602</vt:lpwstr>
      </vt:variant>
      <vt:variant>
        <vt:i4>1114166</vt:i4>
      </vt:variant>
      <vt:variant>
        <vt:i4>230</vt:i4>
      </vt:variant>
      <vt:variant>
        <vt:i4>0</vt:i4>
      </vt:variant>
      <vt:variant>
        <vt:i4>5</vt:i4>
      </vt:variant>
      <vt:variant>
        <vt:lpwstr/>
      </vt:variant>
      <vt:variant>
        <vt:lpwstr>_Toc131603601</vt:lpwstr>
      </vt:variant>
      <vt:variant>
        <vt:i4>1114166</vt:i4>
      </vt:variant>
      <vt:variant>
        <vt:i4>224</vt:i4>
      </vt:variant>
      <vt:variant>
        <vt:i4>0</vt:i4>
      </vt:variant>
      <vt:variant>
        <vt:i4>5</vt:i4>
      </vt:variant>
      <vt:variant>
        <vt:lpwstr/>
      </vt:variant>
      <vt:variant>
        <vt:lpwstr>_Toc131603600</vt:lpwstr>
      </vt:variant>
      <vt:variant>
        <vt:i4>1572917</vt:i4>
      </vt:variant>
      <vt:variant>
        <vt:i4>218</vt:i4>
      </vt:variant>
      <vt:variant>
        <vt:i4>0</vt:i4>
      </vt:variant>
      <vt:variant>
        <vt:i4>5</vt:i4>
      </vt:variant>
      <vt:variant>
        <vt:lpwstr/>
      </vt:variant>
      <vt:variant>
        <vt:lpwstr>_Toc131603599</vt:lpwstr>
      </vt:variant>
      <vt:variant>
        <vt:i4>1572917</vt:i4>
      </vt:variant>
      <vt:variant>
        <vt:i4>212</vt:i4>
      </vt:variant>
      <vt:variant>
        <vt:i4>0</vt:i4>
      </vt:variant>
      <vt:variant>
        <vt:i4>5</vt:i4>
      </vt:variant>
      <vt:variant>
        <vt:lpwstr/>
      </vt:variant>
      <vt:variant>
        <vt:lpwstr>_Toc131603598</vt:lpwstr>
      </vt:variant>
      <vt:variant>
        <vt:i4>1572917</vt:i4>
      </vt:variant>
      <vt:variant>
        <vt:i4>206</vt:i4>
      </vt:variant>
      <vt:variant>
        <vt:i4>0</vt:i4>
      </vt:variant>
      <vt:variant>
        <vt:i4>5</vt:i4>
      </vt:variant>
      <vt:variant>
        <vt:lpwstr/>
      </vt:variant>
      <vt:variant>
        <vt:lpwstr>_Toc131603597</vt:lpwstr>
      </vt:variant>
      <vt:variant>
        <vt:i4>1572917</vt:i4>
      </vt:variant>
      <vt:variant>
        <vt:i4>200</vt:i4>
      </vt:variant>
      <vt:variant>
        <vt:i4>0</vt:i4>
      </vt:variant>
      <vt:variant>
        <vt:i4>5</vt:i4>
      </vt:variant>
      <vt:variant>
        <vt:lpwstr/>
      </vt:variant>
      <vt:variant>
        <vt:lpwstr>_Toc131603596</vt:lpwstr>
      </vt:variant>
      <vt:variant>
        <vt:i4>1572917</vt:i4>
      </vt:variant>
      <vt:variant>
        <vt:i4>194</vt:i4>
      </vt:variant>
      <vt:variant>
        <vt:i4>0</vt:i4>
      </vt:variant>
      <vt:variant>
        <vt:i4>5</vt:i4>
      </vt:variant>
      <vt:variant>
        <vt:lpwstr/>
      </vt:variant>
      <vt:variant>
        <vt:lpwstr>_Toc131603595</vt:lpwstr>
      </vt:variant>
      <vt:variant>
        <vt:i4>1572917</vt:i4>
      </vt:variant>
      <vt:variant>
        <vt:i4>188</vt:i4>
      </vt:variant>
      <vt:variant>
        <vt:i4>0</vt:i4>
      </vt:variant>
      <vt:variant>
        <vt:i4>5</vt:i4>
      </vt:variant>
      <vt:variant>
        <vt:lpwstr/>
      </vt:variant>
      <vt:variant>
        <vt:lpwstr>_Toc131603594</vt:lpwstr>
      </vt:variant>
      <vt:variant>
        <vt:i4>1572917</vt:i4>
      </vt:variant>
      <vt:variant>
        <vt:i4>182</vt:i4>
      </vt:variant>
      <vt:variant>
        <vt:i4>0</vt:i4>
      </vt:variant>
      <vt:variant>
        <vt:i4>5</vt:i4>
      </vt:variant>
      <vt:variant>
        <vt:lpwstr/>
      </vt:variant>
      <vt:variant>
        <vt:lpwstr>_Toc131603593</vt:lpwstr>
      </vt:variant>
      <vt:variant>
        <vt:i4>1572917</vt:i4>
      </vt:variant>
      <vt:variant>
        <vt:i4>176</vt:i4>
      </vt:variant>
      <vt:variant>
        <vt:i4>0</vt:i4>
      </vt:variant>
      <vt:variant>
        <vt:i4>5</vt:i4>
      </vt:variant>
      <vt:variant>
        <vt:lpwstr/>
      </vt:variant>
      <vt:variant>
        <vt:lpwstr>_Toc131603592</vt:lpwstr>
      </vt:variant>
      <vt:variant>
        <vt:i4>1572917</vt:i4>
      </vt:variant>
      <vt:variant>
        <vt:i4>170</vt:i4>
      </vt:variant>
      <vt:variant>
        <vt:i4>0</vt:i4>
      </vt:variant>
      <vt:variant>
        <vt:i4>5</vt:i4>
      </vt:variant>
      <vt:variant>
        <vt:lpwstr/>
      </vt:variant>
      <vt:variant>
        <vt:lpwstr>_Toc131603591</vt:lpwstr>
      </vt:variant>
      <vt:variant>
        <vt:i4>1572917</vt:i4>
      </vt:variant>
      <vt:variant>
        <vt:i4>164</vt:i4>
      </vt:variant>
      <vt:variant>
        <vt:i4>0</vt:i4>
      </vt:variant>
      <vt:variant>
        <vt:i4>5</vt:i4>
      </vt:variant>
      <vt:variant>
        <vt:lpwstr/>
      </vt:variant>
      <vt:variant>
        <vt:lpwstr>_Toc131603590</vt:lpwstr>
      </vt:variant>
      <vt:variant>
        <vt:i4>1638453</vt:i4>
      </vt:variant>
      <vt:variant>
        <vt:i4>158</vt:i4>
      </vt:variant>
      <vt:variant>
        <vt:i4>0</vt:i4>
      </vt:variant>
      <vt:variant>
        <vt:i4>5</vt:i4>
      </vt:variant>
      <vt:variant>
        <vt:lpwstr/>
      </vt:variant>
      <vt:variant>
        <vt:lpwstr>_Toc131603589</vt:lpwstr>
      </vt:variant>
      <vt:variant>
        <vt:i4>1638453</vt:i4>
      </vt:variant>
      <vt:variant>
        <vt:i4>152</vt:i4>
      </vt:variant>
      <vt:variant>
        <vt:i4>0</vt:i4>
      </vt:variant>
      <vt:variant>
        <vt:i4>5</vt:i4>
      </vt:variant>
      <vt:variant>
        <vt:lpwstr/>
      </vt:variant>
      <vt:variant>
        <vt:lpwstr>_Toc131603588</vt:lpwstr>
      </vt:variant>
      <vt:variant>
        <vt:i4>1638453</vt:i4>
      </vt:variant>
      <vt:variant>
        <vt:i4>146</vt:i4>
      </vt:variant>
      <vt:variant>
        <vt:i4>0</vt:i4>
      </vt:variant>
      <vt:variant>
        <vt:i4>5</vt:i4>
      </vt:variant>
      <vt:variant>
        <vt:lpwstr/>
      </vt:variant>
      <vt:variant>
        <vt:lpwstr>_Toc131603587</vt:lpwstr>
      </vt:variant>
      <vt:variant>
        <vt:i4>1638453</vt:i4>
      </vt:variant>
      <vt:variant>
        <vt:i4>140</vt:i4>
      </vt:variant>
      <vt:variant>
        <vt:i4>0</vt:i4>
      </vt:variant>
      <vt:variant>
        <vt:i4>5</vt:i4>
      </vt:variant>
      <vt:variant>
        <vt:lpwstr/>
      </vt:variant>
      <vt:variant>
        <vt:lpwstr>_Toc131603586</vt:lpwstr>
      </vt:variant>
      <vt:variant>
        <vt:i4>1638453</vt:i4>
      </vt:variant>
      <vt:variant>
        <vt:i4>134</vt:i4>
      </vt:variant>
      <vt:variant>
        <vt:i4>0</vt:i4>
      </vt:variant>
      <vt:variant>
        <vt:i4>5</vt:i4>
      </vt:variant>
      <vt:variant>
        <vt:lpwstr/>
      </vt:variant>
      <vt:variant>
        <vt:lpwstr>_Toc131603585</vt:lpwstr>
      </vt:variant>
      <vt:variant>
        <vt:i4>1638453</vt:i4>
      </vt:variant>
      <vt:variant>
        <vt:i4>128</vt:i4>
      </vt:variant>
      <vt:variant>
        <vt:i4>0</vt:i4>
      </vt:variant>
      <vt:variant>
        <vt:i4>5</vt:i4>
      </vt:variant>
      <vt:variant>
        <vt:lpwstr/>
      </vt:variant>
      <vt:variant>
        <vt:lpwstr>_Toc131603584</vt:lpwstr>
      </vt:variant>
      <vt:variant>
        <vt:i4>1638453</vt:i4>
      </vt:variant>
      <vt:variant>
        <vt:i4>122</vt:i4>
      </vt:variant>
      <vt:variant>
        <vt:i4>0</vt:i4>
      </vt:variant>
      <vt:variant>
        <vt:i4>5</vt:i4>
      </vt:variant>
      <vt:variant>
        <vt:lpwstr/>
      </vt:variant>
      <vt:variant>
        <vt:lpwstr>_Toc131603583</vt:lpwstr>
      </vt:variant>
      <vt:variant>
        <vt:i4>1638453</vt:i4>
      </vt:variant>
      <vt:variant>
        <vt:i4>116</vt:i4>
      </vt:variant>
      <vt:variant>
        <vt:i4>0</vt:i4>
      </vt:variant>
      <vt:variant>
        <vt:i4>5</vt:i4>
      </vt:variant>
      <vt:variant>
        <vt:lpwstr/>
      </vt:variant>
      <vt:variant>
        <vt:lpwstr>_Toc131603582</vt:lpwstr>
      </vt:variant>
      <vt:variant>
        <vt:i4>1638453</vt:i4>
      </vt:variant>
      <vt:variant>
        <vt:i4>110</vt:i4>
      </vt:variant>
      <vt:variant>
        <vt:i4>0</vt:i4>
      </vt:variant>
      <vt:variant>
        <vt:i4>5</vt:i4>
      </vt:variant>
      <vt:variant>
        <vt:lpwstr/>
      </vt:variant>
      <vt:variant>
        <vt:lpwstr>_Toc131603581</vt:lpwstr>
      </vt:variant>
      <vt:variant>
        <vt:i4>1638453</vt:i4>
      </vt:variant>
      <vt:variant>
        <vt:i4>104</vt:i4>
      </vt:variant>
      <vt:variant>
        <vt:i4>0</vt:i4>
      </vt:variant>
      <vt:variant>
        <vt:i4>5</vt:i4>
      </vt:variant>
      <vt:variant>
        <vt:lpwstr/>
      </vt:variant>
      <vt:variant>
        <vt:lpwstr>_Toc131603580</vt:lpwstr>
      </vt:variant>
      <vt:variant>
        <vt:i4>1441845</vt:i4>
      </vt:variant>
      <vt:variant>
        <vt:i4>98</vt:i4>
      </vt:variant>
      <vt:variant>
        <vt:i4>0</vt:i4>
      </vt:variant>
      <vt:variant>
        <vt:i4>5</vt:i4>
      </vt:variant>
      <vt:variant>
        <vt:lpwstr/>
      </vt:variant>
      <vt:variant>
        <vt:lpwstr>_Toc131603579</vt:lpwstr>
      </vt:variant>
      <vt:variant>
        <vt:i4>1441845</vt:i4>
      </vt:variant>
      <vt:variant>
        <vt:i4>92</vt:i4>
      </vt:variant>
      <vt:variant>
        <vt:i4>0</vt:i4>
      </vt:variant>
      <vt:variant>
        <vt:i4>5</vt:i4>
      </vt:variant>
      <vt:variant>
        <vt:lpwstr/>
      </vt:variant>
      <vt:variant>
        <vt:lpwstr>_Toc131603578</vt:lpwstr>
      </vt:variant>
      <vt:variant>
        <vt:i4>1441845</vt:i4>
      </vt:variant>
      <vt:variant>
        <vt:i4>86</vt:i4>
      </vt:variant>
      <vt:variant>
        <vt:i4>0</vt:i4>
      </vt:variant>
      <vt:variant>
        <vt:i4>5</vt:i4>
      </vt:variant>
      <vt:variant>
        <vt:lpwstr/>
      </vt:variant>
      <vt:variant>
        <vt:lpwstr>_Toc131603577</vt:lpwstr>
      </vt:variant>
      <vt:variant>
        <vt:i4>1441845</vt:i4>
      </vt:variant>
      <vt:variant>
        <vt:i4>80</vt:i4>
      </vt:variant>
      <vt:variant>
        <vt:i4>0</vt:i4>
      </vt:variant>
      <vt:variant>
        <vt:i4>5</vt:i4>
      </vt:variant>
      <vt:variant>
        <vt:lpwstr/>
      </vt:variant>
      <vt:variant>
        <vt:lpwstr>_Toc131603576</vt:lpwstr>
      </vt:variant>
      <vt:variant>
        <vt:i4>1441845</vt:i4>
      </vt:variant>
      <vt:variant>
        <vt:i4>74</vt:i4>
      </vt:variant>
      <vt:variant>
        <vt:i4>0</vt:i4>
      </vt:variant>
      <vt:variant>
        <vt:i4>5</vt:i4>
      </vt:variant>
      <vt:variant>
        <vt:lpwstr/>
      </vt:variant>
      <vt:variant>
        <vt:lpwstr>_Toc131603575</vt:lpwstr>
      </vt:variant>
      <vt:variant>
        <vt:i4>1441845</vt:i4>
      </vt:variant>
      <vt:variant>
        <vt:i4>68</vt:i4>
      </vt:variant>
      <vt:variant>
        <vt:i4>0</vt:i4>
      </vt:variant>
      <vt:variant>
        <vt:i4>5</vt:i4>
      </vt:variant>
      <vt:variant>
        <vt:lpwstr/>
      </vt:variant>
      <vt:variant>
        <vt:lpwstr>_Toc131603574</vt:lpwstr>
      </vt:variant>
      <vt:variant>
        <vt:i4>1441845</vt:i4>
      </vt:variant>
      <vt:variant>
        <vt:i4>62</vt:i4>
      </vt:variant>
      <vt:variant>
        <vt:i4>0</vt:i4>
      </vt:variant>
      <vt:variant>
        <vt:i4>5</vt:i4>
      </vt:variant>
      <vt:variant>
        <vt:lpwstr/>
      </vt:variant>
      <vt:variant>
        <vt:lpwstr>_Toc131603573</vt:lpwstr>
      </vt:variant>
      <vt:variant>
        <vt:i4>1441845</vt:i4>
      </vt:variant>
      <vt:variant>
        <vt:i4>56</vt:i4>
      </vt:variant>
      <vt:variant>
        <vt:i4>0</vt:i4>
      </vt:variant>
      <vt:variant>
        <vt:i4>5</vt:i4>
      </vt:variant>
      <vt:variant>
        <vt:lpwstr/>
      </vt:variant>
      <vt:variant>
        <vt:lpwstr>_Toc131603572</vt:lpwstr>
      </vt:variant>
      <vt:variant>
        <vt:i4>1441845</vt:i4>
      </vt:variant>
      <vt:variant>
        <vt:i4>50</vt:i4>
      </vt:variant>
      <vt:variant>
        <vt:i4>0</vt:i4>
      </vt:variant>
      <vt:variant>
        <vt:i4>5</vt:i4>
      </vt:variant>
      <vt:variant>
        <vt:lpwstr/>
      </vt:variant>
      <vt:variant>
        <vt:lpwstr>_Toc131603571</vt:lpwstr>
      </vt:variant>
      <vt:variant>
        <vt:i4>1441845</vt:i4>
      </vt:variant>
      <vt:variant>
        <vt:i4>44</vt:i4>
      </vt:variant>
      <vt:variant>
        <vt:i4>0</vt:i4>
      </vt:variant>
      <vt:variant>
        <vt:i4>5</vt:i4>
      </vt:variant>
      <vt:variant>
        <vt:lpwstr/>
      </vt:variant>
      <vt:variant>
        <vt:lpwstr>_Toc131603570</vt:lpwstr>
      </vt:variant>
      <vt:variant>
        <vt:i4>1507381</vt:i4>
      </vt:variant>
      <vt:variant>
        <vt:i4>38</vt:i4>
      </vt:variant>
      <vt:variant>
        <vt:i4>0</vt:i4>
      </vt:variant>
      <vt:variant>
        <vt:i4>5</vt:i4>
      </vt:variant>
      <vt:variant>
        <vt:lpwstr/>
      </vt:variant>
      <vt:variant>
        <vt:lpwstr>_Toc131603569</vt:lpwstr>
      </vt:variant>
      <vt:variant>
        <vt:i4>1507381</vt:i4>
      </vt:variant>
      <vt:variant>
        <vt:i4>32</vt:i4>
      </vt:variant>
      <vt:variant>
        <vt:i4>0</vt:i4>
      </vt:variant>
      <vt:variant>
        <vt:i4>5</vt:i4>
      </vt:variant>
      <vt:variant>
        <vt:lpwstr/>
      </vt:variant>
      <vt:variant>
        <vt:lpwstr>_Toc131603568</vt:lpwstr>
      </vt:variant>
      <vt:variant>
        <vt:i4>1507381</vt:i4>
      </vt:variant>
      <vt:variant>
        <vt:i4>26</vt:i4>
      </vt:variant>
      <vt:variant>
        <vt:i4>0</vt:i4>
      </vt:variant>
      <vt:variant>
        <vt:i4>5</vt:i4>
      </vt:variant>
      <vt:variant>
        <vt:lpwstr/>
      </vt:variant>
      <vt:variant>
        <vt:lpwstr>_Toc131603567</vt:lpwstr>
      </vt:variant>
      <vt:variant>
        <vt:i4>1507381</vt:i4>
      </vt:variant>
      <vt:variant>
        <vt:i4>20</vt:i4>
      </vt:variant>
      <vt:variant>
        <vt:i4>0</vt:i4>
      </vt:variant>
      <vt:variant>
        <vt:i4>5</vt:i4>
      </vt:variant>
      <vt:variant>
        <vt:lpwstr/>
      </vt:variant>
      <vt:variant>
        <vt:lpwstr>_Toc131603566</vt:lpwstr>
      </vt:variant>
      <vt:variant>
        <vt:i4>1507381</vt:i4>
      </vt:variant>
      <vt:variant>
        <vt:i4>14</vt:i4>
      </vt:variant>
      <vt:variant>
        <vt:i4>0</vt:i4>
      </vt:variant>
      <vt:variant>
        <vt:i4>5</vt:i4>
      </vt:variant>
      <vt:variant>
        <vt:lpwstr/>
      </vt:variant>
      <vt:variant>
        <vt:lpwstr>_Toc131603565</vt:lpwstr>
      </vt:variant>
      <vt:variant>
        <vt:i4>1507381</vt:i4>
      </vt:variant>
      <vt:variant>
        <vt:i4>8</vt:i4>
      </vt:variant>
      <vt:variant>
        <vt:i4>0</vt:i4>
      </vt:variant>
      <vt:variant>
        <vt:i4>5</vt:i4>
      </vt:variant>
      <vt:variant>
        <vt:lpwstr/>
      </vt:variant>
      <vt:variant>
        <vt:lpwstr>_Toc131603564</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2359348</vt:i4>
      </vt:variant>
      <vt:variant>
        <vt:i4>0</vt:i4>
      </vt:variant>
      <vt:variant>
        <vt:i4>0</vt:i4>
      </vt:variant>
      <vt:variant>
        <vt:i4>5</vt:i4>
      </vt:variant>
      <vt:variant>
        <vt:lpwstr>https://www.arpansa.gov.au/regulation-and-licensing/regulatory-publications/radiation-protection-series/codes-and-standards/rpss-1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2023-04-06T05:28:00Z</dcterms:created>
  <dcterms:modified xsi:type="dcterms:W3CDTF">2023-04-06T05:29:00Z</dcterms:modified>
  <cp:category/>
</cp:coreProperties>
</file>