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6F0207" w14:textId="73BCD195"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 xml:space="preserve">o. </w:t>
      </w:r>
      <w:r w:rsidR="00EF41B0" w:rsidRPr="000925D1">
        <w:rPr>
          <w:rStyle w:val="Emphasis"/>
          <w:i w:val="0"/>
        </w:rPr>
        <w:t>BI-</w:t>
      </w:r>
      <w:r w:rsidR="000925D1" w:rsidRPr="000925D1">
        <w:rPr>
          <w:rStyle w:val="Emphasis"/>
          <w:i w:val="0"/>
        </w:rPr>
        <w:t>628</w:t>
      </w:r>
    </w:p>
    <w:tbl>
      <w:tblPr>
        <w:tblStyle w:val="TableGrid"/>
        <w:tblW w:w="8336" w:type="dxa"/>
        <w:tblLook w:val="0420" w:firstRow="1" w:lastRow="0" w:firstColumn="0" w:lastColumn="0" w:noHBand="0" w:noVBand="1"/>
      </w:tblPr>
      <w:tblGrid>
        <w:gridCol w:w="2612"/>
        <w:gridCol w:w="5724"/>
      </w:tblGrid>
      <w:tr w:rsidR="005E47E5" w14:paraId="5855666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4CADA6D3" w14:textId="77777777" w:rsidR="005E47E5" w:rsidRPr="0033104B" w:rsidRDefault="003E08A5" w:rsidP="0033104B">
            <w:pPr>
              <w:pStyle w:val="ACMATableHeading"/>
            </w:pPr>
            <w:bookmarkStart w:id="0" w:name="ColumnTitle"/>
            <w:r w:rsidRPr="0033104B">
              <w:t>Summary</w:t>
            </w:r>
          </w:p>
        </w:tc>
        <w:tc>
          <w:tcPr>
            <w:tcW w:w="5724" w:type="dxa"/>
          </w:tcPr>
          <w:p w14:paraId="3CE5D627" w14:textId="77777777" w:rsidR="005E47E5" w:rsidRPr="00B261EE" w:rsidRDefault="005E47E5" w:rsidP="00A254DC">
            <w:pPr>
              <w:pStyle w:val="ACMATableHeading"/>
            </w:pPr>
          </w:p>
        </w:tc>
      </w:tr>
      <w:bookmarkEnd w:id="0"/>
      <w:tr w:rsidR="005E47E5" w14:paraId="12D7E1B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F46DEF3" w14:textId="721068AD" w:rsidR="005E47E5" w:rsidRPr="00484F21" w:rsidRDefault="00B30A6C" w:rsidP="0033104B">
            <w:pPr>
              <w:pStyle w:val="ACMATableBody"/>
              <w:rPr>
                <w:b/>
              </w:rPr>
            </w:pPr>
            <w:r w:rsidRPr="00484F21">
              <w:rPr>
                <w:b/>
              </w:rPr>
              <w:t>Licensee</w:t>
            </w:r>
            <w:r w:rsidR="004E0B99" w:rsidRPr="00484F21">
              <w:rPr>
                <w:b/>
              </w:rPr>
              <w:t xml:space="preserve"> [service]</w:t>
            </w:r>
          </w:p>
        </w:tc>
        <w:tc>
          <w:tcPr>
            <w:tcW w:w="5724" w:type="dxa"/>
            <w:tcBorders>
              <w:top w:val="single" w:sz="4" w:space="0" w:color="auto"/>
              <w:left w:val="single" w:sz="4" w:space="0" w:color="auto"/>
              <w:bottom w:val="single" w:sz="4" w:space="0" w:color="auto"/>
            </w:tcBorders>
            <w:shd w:val="clear" w:color="auto" w:fill="auto"/>
          </w:tcPr>
          <w:p w14:paraId="3CE40671" w14:textId="1B840E4F" w:rsidR="005E47E5" w:rsidRPr="00747CC0" w:rsidRDefault="00484F21" w:rsidP="0033104B">
            <w:pPr>
              <w:pStyle w:val="ACMATableBody"/>
              <w:rPr>
                <w:highlight w:val="yellow"/>
              </w:rPr>
            </w:pPr>
            <w:r w:rsidRPr="00484F21">
              <w:t>Foxtel Cable Television Pty Limited</w:t>
            </w:r>
            <w:r w:rsidR="00721FF0">
              <w:t xml:space="preserve"> [Daystar]</w:t>
            </w:r>
          </w:p>
        </w:tc>
      </w:tr>
      <w:tr w:rsidR="004E0B99" w14:paraId="41B24527" w14:textId="77777777" w:rsidTr="00A254D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EF9DF18" w14:textId="2DC14202" w:rsidR="004E0B99" w:rsidRPr="0033104B" w:rsidRDefault="004E0B99" w:rsidP="00A254DC">
            <w:pPr>
              <w:pStyle w:val="ACMATableBody"/>
              <w:rPr>
                <w:b/>
              </w:rPr>
            </w:pPr>
            <w:r w:rsidRPr="00484F21">
              <w:rPr>
                <w:b/>
              </w:rPr>
              <w:t>Finding</w:t>
            </w:r>
          </w:p>
        </w:tc>
        <w:tc>
          <w:tcPr>
            <w:tcW w:w="5724" w:type="dxa"/>
            <w:tcBorders>
              <w:top w:val="single" w:sz="4" w:space="0" w:color="auto"/>
              <w:left w:val="single" w:sz="4" w:space="0" w:color="auto"/>
              <w:bottom w:val="single" w:sz="4" w:space="0" w:color="auto"/>
            </w:tcBorders>
            <w:shd w:val="clear" w:color="auto" w:fill="auto"/>
          </w:tcPr>
          <w:p w14:paraId="75D684D1" w14:textId="52667CF0" w:rsidR="004E0B99" w:rsidRPr="0088427E" w:rsidRDefault="00A410FA" w:rsidP="00A254DC">
            <w:pPr>
              <w:pStyle w:val="ACMATableBody"/>
              <w:rPr>
                <w:rFonts w:cs="Arial"/>
                <w:highlight w:val="yellow"/>
              </w:rPr>
            </w:pPr>
            <w:r w:rsidRPr="007351C9">
              <w:t>B</w:t>
            </w:r>
            <w:r w:rsidR="009038B3" w:rsidRPr="007351C9">
              <w:t>reach</w:t>
            </w:r>
            <w:r w:rsidR="00725FFA">
              <w:t xml:space="preserve"> of clause 1.2 [accuracy in news and current affairs programs]</w:t>
            </w:r>
          </w:p>
        </w:tc>
      </w:tr>
      <w:tr w:rsidR="004E0B99" w14:paraId="7052238A" w14:textId="77777777" w:rsidTr="00A254D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F13D37D" w14:textId="54566607" w:rsidR="004E0B99" w:rsidRPr="00484F21" w:rsidRDefault="004E0B99" w:rsidP="00A254DC">
            <w:pPr>
              <w:pStyle w:val="ACMATableBody"/>
              <w:rPr>
                <w:b/>
              </w:rPr>
            </w:pPr>
            <w:r w:rsidRPr="00484F21">
              <w:rPr>
                <w:b/>
              </w:rPr>
              <w:t>Relevant code</w:t>
            </w:r>
          </w:p>
        </w:tc>
        <w:tc>
          <w:tcPr>
            <w:tcW w:w="5724" w:type="dxa"/>
            <w:tcBorders>
              <w:top w:val="single" w:sz="4" w:space="0" w:color="auto"/>
              <w:left w:val="single" w:sz="4" w:space="0" w:color="auto"/>
              <w:bottom w:val="single" w:sz="4" w:space="0" w:color="auto"/>
            </w:tcBorders>
            <w:shd w:val="clear" w:color="auto" w:fill="auto"/>
          </w:tcPr>
          <w:p w14:paraId="66A558F2" w14:textId="3D7F97B9" w:rsidR="00484F21" w:rsidRPr="00484F21" w:rsidRDefault="00220243" w:rsidP="00A254DC">
            <w:pPr>
              <w:pStyle w:val="ACMATableBody"/>
            </w:pPr>
            <w:r w:rsidRPr="00220243">
              <w:t xml:space="preserve">Subscription Narrowcast Television Codes </w:t>
            </w:r>
            <w:r w:rsidR="004A7B8B">
              <w:t>o</w:t>
            </w:r>
            <w:r w:rsidRPr="00220243">
              <w:t>f Practice</w:t>
            </w:r>
            <w:r>
              <w:t xml:space="preserve"> 2013</w:t>
            </w:r>
          </w:p>
        </w:tc>
      </w:tr>
      <w:tr w:rsidR="004E0B99" w14:paraId="01B8D56D" w14:textId="77777777" w:rsidTr="00A254D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A2A46FE" w14:textId="78F4CE52" w:rsidR="004E0B99" w:rsidRPr="00484F21" w:rsidRDefault="004E0B99" w:rsidP="00A254DC">
            <w:pPr>
              <w:pStyle w:val="ACMATableBody"/>
              <w:rPr>
                <w:b/>
              </w:rPr>
            </w:pPr>
            <w:r w:rsidRPr="00484F21">
              <w:rPr>
                <w:b/>
              </w:rPr>
              <w:t>Programs [type]</w:t>
            </w:r>
          </w:p>
        </w:tc>
        <w:tc>
          <w:tcPr>
            <w:tcW w:w="5724" w:type="dxa"/>
            <w:tcBorders>
              <w:top w:val="single" w:sz="4" w:space="0" w:color="auto"/>
              <w:left w:val="single" w:sz="4" w:space="0" w:color="auto"/>
              <w:bottom w:val="single" w:sz="4" w:space="0" w:color="auto"/>
            </w:tcBorders>
            <w:shd w:val="clear" w:color="auto" w:fill="auto"/>
          </w:tcPr>
          <w:p w14:paraId="41997ACE" w14:textId="6C7E9EC1" w:rsidR="00220243" w:rsidRPr="00721FF0" w:rsidRDefault="00220243" w:rsidP="00A410FA">
            <w:pPr>
              <w:pStyle w:val="ACMATableBody"/>
              <w:spacing w:after="40" w:line="240" w:lineRule="atLeast"/>
            </w:pPr>
            <w:r w:rsidRPr="00A410FA">
              <w:rPr>
                <w:i/>
                <w:iCs/>
              </w:rPr>
              <w:t xml:space="preserve">Ministry Now </w:t>
            </w:r>
            <w:r w:rsidR="00721FF0">
              <w:t>[current affairs]</w:t>
            </w:r>
          </w:p>
          <w:p w14:paraId="62F23A70" w14:textId="16CE115A" w:rsidR="004E0B99" w:rsidRPr="00484F21" w:rsidRDefault="00220243" w:rsidP="00A410FA">
            <w:pPr>
              <w:pStyle w:val="ACMATableBody"/>
              <w:spacing w:after="40" w:line="240" w:lineRule="atLeast"/>
              <w:rPr>
                <w:iCs/>
              </w:rPr>
            </w:pPr>
            <w:r w:rsidRPr="00A410FA">
              <w:rPr>
                <w:i/>
                <w:iCs/>
              </w:rPr>
              <w:t>Joni Table Talk</w:t>
            </w:r>
            <w:r w:rsidR="00721FF0">
              <w:rPr>
                <w:i/>
                <w:iCs/>
              </w:rPr>
              <w:t xml:space="preserve"> </w:t>
            </w:r>
            <w:r w:rsidR="00721FF0">
              <w:t>[current affairs]</w:t>
            </w:r>
          </w:p>
        </w:tc>
      </w:tr>
      <w:tr w:rsidR="004E0B99" w14:paraId="72F4DA40" w14:textId="77777777" w:rsidTr="00A254D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AE057F1" w14:textId="5E4F440D" w:rsidR="004E0B99" w:rsidRPr="00484F21" w:rsidRDefault="004E0B99" w:rsidP="00A254DC">
            <w:pPr>
              <w:pStyle w:val="ACMATableBody"/>
              <w:rPr>
                <w:b/>
              </w:rPr>
            </w:pPr>
            <w:r w:rsidRPr="00484F21">
              <w:rPr>
                <w:b/>
              </w:rPr>
              <w:t>Dates of broadcasts</w:t>
            </w:r>
          </w:p>
        </w:tc>
        <w:tc>
          <w:tcPr>
            <w:tcW w:w="5724" w:type="dxa"/>
            <w:tcBorders>
              <w:top w:val="single" w:sz="4" w:space="0" w:color="auto"/>
              <w:left w:val="single" w:sz="4" w:space="0" w:color="auto"/>
              <w:bottom w:val="single" w:sz="4" w:space="0" w:color="auto"/>
            </w:tcBorders>
            <w:shd w:val="clear" w:color="auto" w:fill="auto"/>
          </w:tcPr>
          <w:p w14:paraId="7B9A8BDF" w14:textId="234DD718" w:rsidR="004E0B99" w:rsidRPr="00484F21" w:rsidRDefault="00220243" w:rsidP="00A410FA">
            <w:pPr>
              <w:pStyle w:val="ACMATableBody"/>
              <w:spacing w:line="240" w:lineRule="atLeast"/>
            </w:pPr>
            <w:r>
              <w:t>1 September 2021 (</w:t>
            </w:r>
            <w:r w:rsidRPr="00DA2FE4">
              <w:rPr>
                <w:i/>
                <w:iCs/>
              </w:rPr>
              <w:t>Ministry Now</w:t>
            </w:r>
            <w:r>
              <w:t>)</w:t>
            </w:r>
            <w:r>
              <w:br/>
              <w:t>24 September 2021 (</w:t>
            </w:r>
            <w:r w:rsidRPr="00DA2FE4">
              <w:rPr>
                <w:i/>
                <w:iCs/>
              </w:rPr>
              <w:t>Joni Table Talk</w:t>
            </w:r>
            <w:r>
              <w:t>)</w:t>
            </w:r>
          </w:p>
        </w:tc>
      </w:tr>
      <w:tr w:rsidR="00C36A9C" w14:paraId="07C4407C" w14:textId="77777777" w:rsidTr="00D320C7">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5635A52" w14:textId="66A5F63B" w:rsidR="00C36A9C" w:rsidRPr="00484F21" w:rsidRDefault="00C36A9C" w:rsidP="00A254DC">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6F8CCDE8" w14:textId="7E559D67" w:rsidR="00C36A9C" w:rsidRDefault="00C36A9C" w:rsidP="00D320C7">
            <w:pPr>
              <w:pStyle w:val="ACMATableBody"/>
            </w:pPr>
            <w:r>
              <w:t>21 December 2022</w:t>
            </w:r>
          </w:p>
        </w:tc>
      </w:tr>
      <w:tr w:rsidR="005E47E5" w14:paraId="2956BF2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665CD59" w14:textId="77777777" w:rsidR="005E47E5" w:rsidRPr="00484F21" w:rsidRDefault="00A04A54" w:rsidP="0033104B">
            <w:pPr>
              <w:pStyle w:val="ACMATableBody"/>
              <w:rPr>
                <w:b/>
              </w:rPr>
            </w:pPr>
            <w:r w:rsidRPr="00484F21">
              <w:rPr>
                <w:b/>
              </w:rPr>
              <w:t>Type of s</w:t>
            </w:r>
            <w:r w:rsidR="005E47E5" w:rsidRPr="00484F21">
              <w:rPr>
                <w:b/>
              </w:rPr>
              <w:t>ervice</w:t>
            </w:r>
          </w:p>
        </w:tc>
        <w:tc>
          <w:tcPr>
            <w:tcW w:w="5724" w:type="dxa"/>
            <w:tcBorders>
              <w:top w:val="single" w:sz="4" w:space="0" w:color="auto"/>
              <w:left w:val="single" w:sz="4" w:space="0" w:color="auto"/>
              <w:bottom w:val="single" w:sz="4" w:space="0" w:color="auto"/>
            </w:tcBorders>
            <w:shd w:val="clear" w:color="auto" w:fill="auto"/>
          </w:tcPr>
          <w:p w14:paraId="7A83B229" w14:textId="07E4AB44" w:rsidR="005E47E5" w:rsidRPr="00484F21" w:rsidRDefault="00193093" w:rsidP="000F12E8">
            <w:pPr>
              <w:pStyle w:val="ACMATableBody"/>
            </w:pPr>
            <w:r w:rsidRPr="00484F21">
              <w:t>Subscription</w:t>
            </w:r>
            <w:r w:rsidR="00BD20A4">
              <w:t xml:space="preserve"> </w:t>
            </w:r>
            <w:r w:rsidR="0079419E" w:rsidRPr="00484F21">
              <w:t>—</w:t>
            </w:r>
            <w:r w:rsidR="00811E62">
              <w:t xml:space="preserve"> </w:t>
            </w:r>
            <w:r w:rsidR="001B7E7F" w:rsidRPr="00484F21">
              <w:t>t</w:t>
            </w:r>
            <w:r w:rsidRPr="00484F21">
              <w:t>elevision</w:t>
            </w:r>
          </w:p>
        </w:tc>
      </w:tr>
      <w:tr w:rsidR="005E47E5" w14:paraId="2B86E2BF"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FEF7F72" w14:textId="77777777" w:rsidR="005E47E5" w:rsidRPr="0033104B" w:rsidRDefault="004E0B99" w:rsidP="0033104B">
            <w:pPr>
              <w:pStyle w:val="ACMATableBody"/>
              <w:rPr>
                <w:b/>
              </w:rPr>
            </w:pPr>
            <w:r>
              <w:rPr>
                <w:b/>
              </w:rPr>
              <w:t>Attachments</w:t>
            </w:r>
          </w:p>
        </w:tc>
        <w:tc>
          <w:tcPr>
            <w:tcW w:w="5724" w:type="dxa"/>
            <w:tcBorders>
              <w:top w:val="single" w:sz="4" w:space="0" w:color="auto"/>
              <w:left w:val="single" w:sz="4" w:space="0" w:color="auto"/>
              <w:bottom w:val="single" w:sz="4" w:space="0" w:color="auto"/>
            </w:tcBorders>
            <w:shd w:val="clear" w:color="auto" w:fill="auto"/>
          </w:tcPr>
          <w:p w14:paraId="21F94189" w14:textId="47ACACA3" w:rsidR="004E0B99" w:rsidRPr="00F61594" w:rsidRDefault="004E0B99" w:rsidP="004E0B99">
            <w:pPr>
              <w:pStyle w:val="ACMABodyText"/>
              <w:spacing w:before="40" w:after="120" w:line="280" w:lineRule="atLeast"/>
            </w:pPr>
            <w:r w:rsidRPr="00F61594">
              <w:rPr>
                <w:b/>
                <w:bCs/>
              </w:rPr>
              <w:t>A</w:t>
            </w:r>
            <w:r w:rsidRPr="00F61594">
              <w:t xml:space="preserve"> </w:t>
            </w:r>
            <w:r>
              <w:t>–</w:t>
            </w:r>
            <w:r w:rsidRPr="00F61594">
              <w:t xml:space="preserve"> extracts f</w:t>
            </w:r>
            <w:r>
              <w:t>rom</w:t>
            </w:r>
            <w:r w:rsidRPr="00F61594">
              <w:t xml:space="preserve"> </w:t>
            </w:r>
            <w:r w:rsidR="00811E62">
              <w:t>correspondence with the</w:t>
            </w:r>
            <w:r>
              <w:t xml:space="preserve"> </w:t>
            </w:r>
            <w:r w:rsidR="008B3F9D">
              <w:t>complainant</w:t>
            </w:r>
          </w:p>
          <w:p w14:paraId="7253E7D4" w14:textId="77777777" w:rsidR="004E0B99" w:rsidRPr="00F61594" w:rsidRDefault="004E0B99" w:rsidP="004E0B99">
            <w:pPr>
              <w:pStyle w:val="ACMABodyText"/>
              <w:spacing w:before="40" w:after="120" w:line="280" w:lineRule="atLeast"/>
              <w:rPr>
                <w:b/>
                <w:bCs/>
              </w:rPr>
            </w:pPr>
            <w:r w:rsidRPr="00F61594">
              <w:rPr>
                <w:b/>
                <w:bCs/>
              </w:rPr>
              <w:t>B</w:t>
            </w:r>
            <w:r w:rsidRPr="00F61594">
              <w:t xml:space="preserve"> </w:t>
            </w:r>
            <w:r>
              <w:t>–</w:t>
            </w:r>
            <w:r w:rsidRPr="00F61594">
              <w:t xml:space="preserve"> extracts f</w:t>
            </w:r>
            <w:r>
              <w:t>rom</w:t>
            </w:r>
            <w:r w:rsidRPr="00F61594">
              <w:t xml:space="preserve"> the </w:t>
            </w:r>
            <w:r>
              <w:t>Licensee’s</w:t>
            </w:r>
            <w:r w:rsidRPr="00F61594">
              <w:t xml:space="preserve"> submissions to the ACMA</w:t>
            </w:r>
            <w:r w:rsidRPr="00F61594">
              <w:rPr>
                <w:b/>
                <w:bCs/>
              </w:rPr>
              <w:t xml:space="preserve"> </w:t>
            </w:r>
          </w:p>
          <w:p w14:paraId="788912E3" w14:textId="2C57D2D2" w:rsidR="00600AFA" w:rsidRDefault="004E0B99" w:rsidP="004E0B99">
            <w:pPr>
              <w:pStyle w:val="ACMATableBody"/>
              <w:rPr>
                <w:bCs/>
              </w:rPr>
            </w:pPr>
            <w:r w:rsidRPr="00F61594">
              <w:rPr>
                <w:b/>
              </w:rPr>
              <w:t xml:space="preserve">C </w:t>
            </w:r>
            <w:r w:rsidRPr="00C7106B">
              <w:rPr>
                <w:bCs/>
              </w:rPr>
              <w:t>–</w:t>
            </w:r>
            <w:r w:rsidRPr="00F61594">
              <w:rPr>
                <w:bCs/>
              </w:rPr>
              <w:t xml:space="preserve"> </w:t>
            </w:r>
            <w:r>
              <w:rPr>
                <w:bCs/>
              </w:rPr>
              <w:t xml:space="preserve">relevant provisions </w:t>
            </w:r>
          </w:p>
          <w:p w14:paraId="17F19FA9" w14:textId="3F92EC4F" w:rsidR="00600AFA" w:rsidRPr="00190A75" w:rsidRDefault="00600AFA" w:rsidP="004E0B99">
            <w:pPr>
              <w:pStyle w:val="ACMATableBody"/>
              <w:rPr>
                <w:bCs/>
              </w:rPr>
            </w:pPr>
            <w:r w:rsidRPr="000471B8">
              <w:rPr>
                <w:b/>
                <w:bCs/>
                <w:snapToGrid w:val="0"/>
              </w:rPr>
              <w:t xml:space="preserve">D </w:t>
            </w:r>
            <w:r w:rsidR="008765BE">
              <w:rPr>
                <w:b/>
                <w:bCs/>
                <w:snapToGrid w:val="0"/>
              </w:rPr>
              <w:t>–</w:t>
            </w:r>
            <w:r w:rsidRPr="00B8133D">
              <w:rPr>
                <w:snapToGrid w:val="0"/>
              </w:rPr>
              <w:t xml:space="preserve"> </w:t>
            </w:r>
            <w:r w:rsidR="008765BE">
              <w:rPr>
                <w:snapToGrid w:val="0"/>
              </w:rPr>
              <w:t xml:space="preserve">the </w:t>
            </w:r>
            <w:r w:rsidR="004E0B99" w:rsidRPr="00B8133D">
              <w:rPr>
                <w:snapToGrid w:val="0"/>
              </w:rPr>
              <w:t>ACMA’s approach to assessing content</w:t>
            </w:r>
          </w:p>
        </w:tc>
      </w:tr>
    </w:tbl>
    <w:p w14:paraId="70B596BF" w14:textId="77777777" w:rsidR="001C6546" w:rsidRPr="00972DB3" w:rsidRDefault="00D668E3" w:rsidP="00972DB3">
      <w:pPr>
        <w:pStyle w:val="ACMABodyText"/>
        <w:rPr>
          <w:rFonts w:eastAsiaTheme="minorHAnsi"/>
          <w:i/>
        </w:rPr>
      </w:pPr>
      <w:r>
        <w:br w:type="page"/>
      </w:r>
    </w:p>
    <w:p w14:paraId="016503AB" w14:textId="77777777" w:rsidR="001C6546" w:rsidRPr="007A7C97" w:rsidRDefault="007B047A" w:rsidP="001C6546">
      <w:pPr>
        <w:pStyle w:val="ACMAHeading2"/>
      </w:pPr>
      <w:r>
        <w:lastRenderedPageBreak/>
        <w:t>Background</w:t>
      </w:r>
    </w:p>
    <w:p w14:paraId="48405AB0" w14:textId="77777777" w:rsidR="00177D5E" w:rsidRPr="00177D5E" w:rsidRDefault="00177D5E" w:rsidP="001C6546">
      <w:pPr>
        <w:pStyle w:val="ACMABodyText"/>
        <w:rPr>
          <w:b/>
          <w:bCs/>
        </w:rPr>
      </w:pPr>
      <w:r w:rsidRPr="00177D5E">
        <w:rPr>
          <w:b/>
          <w:bCs/>
        </w:rPr>
        <w:t>The investigation</w:t>
      </w:r>
    </w:p>
    <w:p w14:paraId="1B4A685A" w14:textId="5156D4E1" w:rsidR="00281F78" w:rsidRDefault="001C6546" w:rsidP="001C6546">
      <w:pPr>
        <w:pStyle w:val="ACMABodyText"/>
        <w:rPr>
          <w:highlight w:val="yellow"/>
        </w:rPr>
      </w:pPr>
      <w:r>
        <w:t xml:space="preserve">In </w:t>
      </w:r>
      <w:r w:rsidR="0063358B">
        <w:t>December 2021</w:t>
      </w:r>
      <w:r>
        <w:t xml:space="preserve">, the Australian Communications and Media Authority (the </w:t>
      </w:r>
      <w:r w:rsidRPr="009464C6">
        <w:rPr>
          <w:b/>
          <w:bCs/>
        </w:rPr>
        <w:t>ACMA</w:t>
      </w:r>
      <w:r>
        <w:t xml:space="preserve">) commenced an investigation </w:t>
      </w:r>
      <w:r w:rsidR="00205CDE">
        <w:t>under</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 xml:space="preserve">(the </w:t>
      </w:r>
      <w:r w:rsidR="00205CDE" w:rsidRPr="009464C6">
        <w:rPr>
          <w:b/>
          <w:bCs/>
        </w:rPr>
        <w:t>BSA</w:t>
      </w:r>
      <w:r w:rsidR="00205CDE" w:rsidRPr="00F42D92">
        <w:t xml:space="preserve">) </w:t>
      </w:r>
      <w:r w:rsidR="00550001" w:rsidRPr="00554C21">
        <w:t>into</w:t>
      </w:r>
      <w:r w:rsidR="00213AFF" w:rsidRPr="00554C21">
        <w:t xml:space="preserve"> </w:t>
      </w:r>
      <w:r w:rsidR="008C2123">
        <w:t xml:space="preserve">a </w:t>
      </w:r>
      <w:r w:rsidR="00DA2FE4">
        <w:t>broadcast</w:t>
      </w:r>
      <w:r w:rsidR="00554C21" w:rsidRPr="00554C21">
        <w:t xml:space="preserve"> </w:t>
      </w:r>
      <w:r w:rsidR="00DA2FE4">
        <w:t>of</w:t>
      </w:r>
      <w:r w:rsidR="00554C21" w:rsidRPr="00554C21">
        <w:t xml:space="preserve"> </w:t>
      </w:r>
      <w:r w:rsidR="0063358B" w:rsidRPr="006F0FA4">
        <w:rPr>
          <w:i/>
          <w:iCs/>
        </w:rPr>
        <w:t>Ministry Now</w:t>
      </w:r>
      <w:r w:rsidR="0063358B" w:rsidRPr="00554C21">
        <w:t xml:space="preserve"> and </w:t>
      </w:r>
      <w:r w:rsidR="0063358B" w:rsidRPr="006F0FA4">
        <w:rPr>
          <w:i/>
          <w:iCs/>
        </w:rPr>
        <w:t>Joni Table Talk</w:t>
      </w:r>
      <w:r w:rsidR="00EA3BC6">
        <w:rPr>
          <w:i/>
          <w:iCs/>
        </w:rPr>
        <w:t xml:space="preserve"> </w:t>
      </w:r>
      <w:r w:rsidR="0063358B">
        <w:t xml:space="preserve">(the </w:t>
      </w:r>
      <w:r w:rsidR="008C2123">
        <w:rPr>
          <w:b/>
          <w:bCs/>
        </w:rPr>
        <w:t>P</w:t>
      </w:r>
      <w:r w:rsidR="0063358B" w:rsidRPr="0063358B">
        <w:rPr>
          <w:b/>
          <w:bCs/>
        </w:rPr>
        <w:t>rograms</w:t>
      </w:r>
      <w:r w:rsidR="0063358B">
        <w:t>)</w:t>
      </w:r>
      <w:r w:rsidR="00EA3BC6">
        <w:t>.</w:t>
      </w:r>
      <w:r w:rsidR="00645703">
        <w:t xml:space="preserve"> </w:t>
      </w:r>
    </w:p>
    <w:p w14:paraId="5E9B4D0C" w14:textId="77777777" w:rsidR="00F35C1A" w:rsidRDefault="00281F78" w:rsidP="00F03742">
      <w:pPr>
        <w:pStyle w:val="ACMABodyText"/>
        <w:rPr>
          <w:i/>
        </w:rPr>
      </w:pPr>
      <w:r w:rsidRPr="004A0E6D">
        <w:t xml:space="preserve">The </w:t>
      </w:r>
      <w:r w:rsidR="008C2123">
        <w:t>P</w:t>
      </w:r>
      <w:r w:rsidR="00554C21" w:rsidRPr="004A0E6D">
        <w:t>rograms were</w:t>
      </w:r>
      <w:r w:rsidR="001C6546" w:rsidRPr="004A0E6D">
        <w:t xml:space="preserve"> broadcast on </w:t>
      </w:r>
      <w:r w:rsidR="00AB5877" w:rsidRPr="004A0E6D">
        <w:t>Daystar</w:t>
      </w:r>
      <w:r w:rsidR="004210D3">
        <w:t>,</w:t>
      </w:r>
      <w:r w:rsidR="001C6546" w:rsidRPr="004A0E6D">
        <w:t xml:space="preserve"> by </w:t>
      </w:r>
      <w:r w:rsidR="00B8785A" w:rsidRPr="004A0E6D">
        <w:t>Foxtel Cable Television Pty Limited</w:t>
      </w:r>
      <w:r w:rsidR="006F0FA4" w:rsidRPr="004A0E6D">
        <w:t xml:space="preserve"> </w:t>
      </w:r>
      <w:r w:rsidR="00B8785A" w:rsidRPr="004A0E6D">
        <w:rPr>
          <w:i/>
          <w:noProof/>
        </w:rPr>
        <w:drawing>
          <wp:inline distT="0" distB="0" distL="0" distR="0" wp14:anchorId="233E0244" wp14:editId="7021C89C">
            <wp:extent cx="5715" cy="571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vLicence_qvLicence_acmav001_acma_licence_acmav001_licenseeid_lookupSearchIcon"/>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15" cy="5715"/>
                    </a:xfrm>
                    <a:prstGeom prst="rect">
                      <a:avLst/>
                    </a:prstGeom>
                    <a:noFill/>
                    <a:ln>
                      <a:noFill/>
                    </a:ln>
                  </pic:spPr>
                </pic:pic>
              </a:graphicData>
            </a:graphic>
          </wp:inline>
        </w:drawing>
      </w:r>
      <w:r w:rsidR="00E46959" w:rsidRPr="004A0E6D">
        <w:t xml:space="preserve">(the </w:t>
      </w:r>
      <w:r w:rsidR="008C2123">
        <w:rPr>
          <w:b/>
          <w:bCs/>
        </w:rPr>
        <w:t>L</w:t>
      </w:r>
      <w:r w:rsidR="00E46959" w:rsidRPr="009464C6">
        <w:rPr>
          <w:b/>
          <w:bCs/>
        </w:rPr>
        <w:t>i</w:t>
      </w:r>
      <w:r w:rsidR="00E46959" w:rsidRPr="002F1211">
        <w:rPr>
          <w:b/>
          <w:bCs/>
        </w:rPr>
        <w:t>censee</w:t>
      </w:r>
      <w:r w:rsidR="00E46959" w:rsidRPr="004A0E6D">
        <w:t>)</w:t>
      </w:r>
      <w:r w:rsidR="008C2123">
        <w:t>,</w:t>
      </w:r>
      <w:r w:rsidR="00B8785A" w:rsidRPr="004A0E6D">
        <w:t xml:space="preserve"> </w:t>
      </w:r>
      <w:r w:rsidR="001C6546" w:rsidRPr="004A0E6D">
        <w:t xml:space="preserve">on </w:t>
      </w:r>
      <w:r w:rsidR="00F30F92" w:rsidRPr="004A0E6D">
        <w:t>1 September 2021 (</w:t>
      </w:r>
      <w:r w:rsidR="00F30F92" w:rsidRPr="002F1211">
        <w:rPr>
          <w:i/>
          <w:iCs/>
        </w:rPr>
        <w:t>Ministry Now</w:t>
      </w:r>
      <w:r w:rsidR="00F30F92" w:rsidRPr="004A0E6D">
        <w:t>) and 24</w:t>
      </w:r>
      <w:r w:rsidR="008C2123">
        <w:t> </w:t>
      </w:r>
      <w:r w:rsidR="00F30F92" w:rsidRPr="004A0E6D">
        <w:t>September 2021 (</w:t>
      </w:r>
      <w:r w:rsidR="00F30F92" w:rsidRPr="002F1211">
        <w:rPr>
          <w:i/>
          <w:iCs/>
        </w:rPr>
        <w:t>Joni Table Talk</w:t>
      </w:r>
      <w:r w:rsidR="00F30F92" w:rsidRPr="004A0E6D">
        <w:t>)</w:t>
      </w:r>
      <w:r w:rsidR="001C6546" w:rsidRPr="004A0E6D">
        <w:t>.</w:t>
      </w:r>
      <w:r w:rsidR="00F30F92">
        <w:t xml:space="preserve"> </w:t>
      </w:r>
      <w:r w:rsidR="008C2123" w:rsidRPr="00F35C1A">
        <w:rPr>
          <w:iCs/>
        </w:rPr>
        <w:t>Daystar is a</w:t>
      </w:r>
      <w:r w:rsidR="004210D3" w:rsidRPr="00F35C1A">
        <w:rPr>
          <w:iCs/>
        </w:rPr>
        <w:t xml:space="preserve"> US</w:t>
      </w:r>
      <w:r w:rsidR="004210D3">
        <w:t xml:space="preserve"> </w:t>
      </w:r>
      <w:r w:rsidR="00FD3386">
        <w:t>‘</w:t>
      </w:r>
      <w:r w:rsidR="00FD3386" w:rsidRPr="00F35C1A">
        <w:rPr>
          <w:i/>
        </w:rPr>
        <w:t>faith-based network dedicated to spreading the Gospel 24 hours a day, seven days a week</w:t>
      </w:r>
      <w:r w:rsidR="008C2123" w:rsidRPr="00F35C1A">
        <w:rPr>
          <w:i/>
        </w:rPr>
        <w:t>’</w:t>
      </w:r>
      <w:r w:rsidR="00F35C1A">
        <w:rPr>
          <w:i/>
        </w:rPr>
        <w:t>.</w:t>
      </w:r>
    </w:p>
    <w:p w14:paraId="6A973A2B" w14:textId="156F018D" w:rsidR="00A44117" w:rsidRDefault="002F1211" w:rsidP="00F03742">
      <w:pPr>
        <w:pStyle w:val="ACMABodyText"/>
      </w:pPr>
      <w:r w:rsidRPr="002F1211">
        <w:t xml:space="preserve">The ACMA commenced an investigation after </w:t>
      </w:r>
      <w:r w:rsidR="00EA3BC6">
        <w:t xml:space="preserve">receiving </w:t>
      </w:r>
      <w:r w:rsidRPr="002F1211">
        <w:t xml:space="preserve">correspondence </w:t>
      </w:r>
      <w:r w:rsidR="00A44117" w:rsidRPr="00A44117">
        <w:t>alleg</w:t>
      </w:r>
      <w:r w:rsidR="004210D3">
        <w:t>ing that</w:t>
      </w:r>
      <w:r w:rsidR="00A44117" w:rsidRPr="00A44117">
        <w:t xml:space="preserve"> inaccurate and misleading</w:t>
      </w:r>
      <w:r w:rsidR="004210D3">
        <w:t xml:space="preserve"> </w:t>
      </w:r>
      <w:r w:rsidR="00A44117" w:rsidRPr="00A44117">
        <w:t xml:space="preserve">statements </w:t>
      </w:r>
      <w:r w:rsidR="004210D3">
        <w:t xml:space="preserve">about </w:t>
      </w:r>
      <w:r w:rsidR="007C48FB">
        <w:t>COVID</w:t>
      </w:r>
      <w:r w:rsidR="00F51648">
        <w:t>-19</w:t>
      </w:r>
      <w:r w:rsidR="004210D3">
        <w:t xml:space="preserve"> treatments were </w:t>
      </w:r>
      <w:r w:rsidR="00A44117" w:rsidRPr="00A44117">
        <w:t xml:space="preserve">made </w:t>
      </w:r>
      <w:r w:rsidR="004210D3">
        <w:t>in</w:t>
      </w:r>
      <w:r w:rsidR="00FD3386">
        <w:t xml:space="preserve"> the</w:t>
      </w:r>
      <w:r w:rsidR="00A44117" w:rsidRPr="00A44117">
        <w:t xml:space="preserve"> two broadcasts</w:t>
      </w:r>
      <w:r w:rsidR="004210D3">
        <w:t xml:space="preserve"> (see </w:t>
      </w:r>
      <w:r w:rsidR="004210D3" w:rsidRPr="00535DC7">
        <w:rPr>
          <w:b/>
          <w:bCs/>
        </w:rPr>
        <w:t>Attachment A</w:t>
      </w:r>
      <w:r w:rsidR="004210D3">
        <w:t>)</w:t>
      </w:r>
      <w:r w:rsidR="00A44117">
        <w:t xml:space="preserve">. </w:t>
      </w:r>
    </w:p>
    <w:p w14:paraId="04CB7BCA" w14:textId="3830FB30" w:rsidR="00D57CA7" w:rsidRDefault="00F76CC0" w:rsidP="001C6546">
      <w:pPr>
        <w:pStyle w:val="ACMABodyText"/>
      </w:pPr>
      <w:r>
        <w:t>The Licensee identified Daystar as a subscription narrowcast</w:t>
      </w:r>
      <w:r w:rsidR="00175D19">
        <w:t>ing</w:t>
      </w:r>
      <w:r>
        <w:t xml:space="preserve"> service. </w:t>
      </w:r>
      <w:bookmarkStart w:id="1" w:name="_Hlk113430487"/>
      <w:r w:rsidR="00B66D9B" w:rsidRPr="00175D19">
        <w:t xml:space="preserve">The ACMA has assessed the service under the relevant provisions of the </w:t>
      </w:r>
      <w:r w:rsidR="00662616" w:rsidRPr="00B66D9B">
        <w:t xml:space="preserve">Subscription Narrowcast Television Codes of Practice 2013 </w:t>
      </w:r>
      <w:bookmarkEnd w:id="1"/>
      <w:r w:rsidR="00662616" w:rsidRPr="00B66D9B">
        <w:t xml:space="preserve">(the </w:t>
      </w:r>
      <w:r w:rsidR="00662616" w:rsidRPr="00B66D9B">
        <w:rPr>
          <w:b/>
          <w:bCs/>
        </w:rPr>
        <w:t>Code</w:t>
      </w:r>
      <w:r w:rsidR="00662616" w:rsidRPr="00B66D9B">
        <w:t>)</w:t>
      </w:r>
      <w:r w:rsidRPr="00B66D9B">
        <w:t>.</w:t>
      </w:r>
      <w:r w:rsidR="00B66D9B">
        <w:t xml:space="preserve"> These </w:t>
      </w:r>
      <w:r w:rsidR="00D57CA7">
        <w:rPr>
          <w:color w:val="000000"/>
        </w:rPr>
        <w:t xml:space="preserve">require </w:t>
      </w:r>
      <w:r w:rsidR="00B66D9B">
        <w:t xml:space="preserve">accuracy in news and current affairs programs </w:t>
      </w:r>
      <w:r w:rsidR="007C48FB">
        <w:t xml:space="preserve">as set out at </w:t>
      </w:r>
      <w:r w:rsidR="007C48FB">
        <w:rPr>
          <w:color w:val="000000"/>
        </w:rPr>
        <w:t xml:space="preserve">clause 1.2 </w:t>
      </w:r>
      <w:r w:rsidR="00B66D9B">
        <w:rPr>
          <w:iCs/>
        </w:rPr>
        <w:t xml:space="preserve">(see </w:t>
      </w:r>
      <w:r w:rsidR="00B66D9B" w:rsidRPr="00C729D4">
        <w:rPr>
          <w:b/>
          <w:bCs/>
          <w:iCs/>
        </w:rPr>
        <w:t>Attachment C</w:t>
      </w:r>
      <w:r w:rsidR="00B66D9B">
        <w:rPr>
          <w:iCs/>
        </w:rPr>
        <w:t>)</w:t>
      </w:r>
      <w:r w:rsidR="00B66D9B" w:rsidRPr="00175D19">
        <w:t>.</w:t>
      </w:r>
    </w:p>
    <w:p w14:paraId="09A6FBA7" w14:textId="71D7F47E" w:rsidR="00177D5E" w:rsidRPr="00177D5E" w:rsidRDefault="00177D5E" w:rsidP="001C6546">
      <w:pPr>
        <w:pStyle w:val="ACMABodyText"/>
        <w:rPr>
          <w:b/>
          <w:bCs/>
        </w:rPr>
      </w:pPr>
      <w:r w:rsidRPr="00177D5E">
        <w:rPr>
          <w:b/>
          <w:bCs/>
        </w:rPr>
        <w:t>The Programs</w:t>
      </w:r>
    </w:p>
    <w:p w14:paraId="77A9B21D" w14:textId="0F377236" w:rsidR="00066E39" w:rsidRDefault="00DA2FE4" w:rsidP="00933F2A">
      <w:pPr>
        <w:pStyle w:val="ACMABodyText"/>
        <w:spacing w:after="120"/>
      </w:pPr>
      <w:r w:rsidRPr="00DA2FE4">
        <w:rPr>
          <w:i/>
          <w:iCs/>
        </w:rPr>
        <w:t>Ministry Now</w:t>
      </w:r>
      <w:r>
        <w:t xml:space="preserve"> is described on </w:t>
      </w:r>
      <w:r w:rsidR="00FD3386">
        <w:t xml:space="preserve">the </w:t>
      </w:r>
      <w:r>
        <w:t>Daystar website as</w:t>
      </w:r>
      <w:r w:rsidR="005A3834">
        <w:t>:</w:t>
      </w:r>
    </w:p>
    <w:p w14:paraId="4B9984A5" w14:textId="51027EC9" w:rsidR="00DA2FE4" w:rsidRDefault="00066E39" w:rsidP="00520AE0">
      <w:pPr>
        <w:pStyle w:val="ACMABodyText"/>
        <w:ind w:left="567"/>
      </w:pPr>
      <w:r>
        <w:rPr>
          <w:sz w:val="18"/>
          <w:szCs w:val="18"/>
        </w:rPr>
        <w:t>O</w:t>
      </w:r>
      <w:r w:rsidR="00DA2FE4" w:rsidRPr="00520AE0">
        <w:rPr>
          <w:sz w:val="18"/>
          <w:szCs w:val="18"/>
        </w:rPr>
        <w:t>n</w:t>
      </w:r>
      <w:r w:rsidR="00DA2FE4" w:rsidRPr="00066E39">
        <w:rPr>
          <w:sz w:val="18"/>
          <w:szCs w:val="18"/>
        </w:rPr>
        <w:t xml:space="preserve"> the frontlines of today’s new normal, the </w:t>
      </w:r>
      <w:r w:rsidR="00FF6377">
        <w:rPr>
          <w:sz w:val="18"/>
          <w:szCs w:val="18"/>
        </w:rPr>
        <w:t>[hosts lead]</w:t>
      </w:r>
      <w:r w:rsidR="00DA2FE4" w:rsidRPr="00066E39">
        <w:rPr>
          <w:sz w:val="18"/>
          <w:szCs w:val="18"/>
        </w:rPr>
        <w:t xml:space="preserve"> viewers around the world into Ministry Now. Full of radical faith, encouraging declarations, and positive advice, this program will help you shift your perspective into the hope God still has for your future</w:t>
      </w:r>
      <w:r w:rsidR="00DA2FE4">
        <w:t>.</w:t>
      </w:r>
    </w:p>
    <w:p w14:paraId="20C24CA9" w14:textId="0B27C852" w:rsidR="000C05D8" w:rsidRPr="000C05D8" w:rsidRDefault="00177D5E" w:rsidP="00964AD3">
      <w:pPr>
        <w:pStyle w:val="ACMABodyText"/>
      </w:pPr>
      <w:r w:rsidRPr="00177D5E">
        <w:t xml:space="preserve">The </w:t>
      </w:r>
      <w:r w:rsidR="00DA2FE4">
        <w:t>broadcast</w:t>
      </w:r>
      <w:r w:rsidR="00DA2FE4" w:rsidRPr="00177D5E">
        <w:t xml:space="preserve"> </w:t>
      </w:r>
      <w:r w:rsidR="004210D3">
        <w:t>on 1 September 2021</w:t>
      </w:r>
      <w:r w:rsidR="007513E8">
        <w:t>, which ran for approximately 57 minutes,</w:t>
      </w:r>
      <w:r w:rsidR="004210D3">
        <w:t xml:space="preserve"> </w:t>
      </w:r>
      <w:r w:rsidR="00DA2FE4">
        <w:t>was comprised of</w:t>
      </w:r>
      <w:r w:rsidR="00413031">
        <w:t xml:space="preserve"> a discussion between </w:t>
      </w:r>
      <w:r w:rsidR="00142D7E">
        <w:t xml:space="preserve">the </w:t>
      </w:r>
      <w:r w:rsidR="003D1CBC">
        <w:t>host</w:t>
      </w:r>
      <w:r w:rsidR="00413031">
        <w:t>s</w:t>
      </w:r>
      <w:r w:rsidR="00142D7E">
        <w:t xml:space="preserve"> (</w:t>
      </w:r>
      <w:r w:rsidR="00142D7E" w:rsidRPr="00142D7E">
        <w:rPr>
          <w:b/>
          <w:bCs/>
        </w:rPr>
        <w:t xml:space="preserve">Host </w:t>
      </w:r>
      <w:r w:rsidR="00C159E2">
        <w:rPr>
          <w:b/>
          <w:bCs/>
        </w:rPr>
        <w:t>1</w:t>
      </w:r>
      <w:r w:rsidR="00142D7E">
        <w:t xml:space="preserve"> and </w:t>
      </w:r>
      <w:r w:rsidR="00142D7E" w:rsidRPr="00142D7E">
        <w:rPr>
          <w:b/>
          <w:bCs/>
        </w:rPr>
        <w:t xml:space="preserve">Host </w:t>
      </w:r>
      <w:r w:rsidR="00C159E2">
        <w:rPr>
          <w:b/>
          <w:bCs/>
        </w:rPr>
        <w:t>2</w:t>
      </w:r>
      <w:r w:rsidR="00142D7E">
        <w:t>)</w:t>
      </w:r>
      <w:r w:rsidR="00F21676" w:rsidDel="00471E91">
        <w:t>,</w:t>
      </w:r>
      <w:r w:rsidR="003D1CBC">
        <w:t xml:space="preserve"> </w:t>
      </w:r>
      <w:r w:rsidR="008C2123">
        <w:t>and</w:t>
      </w:r>
      <w:r w:rsidR="00413031" w:rsidRPr="003D1CBC">
        <w:t xml:space="preserve"> </w:t>
      </w:r>
      <w:r w:rsidR="00B34D3D" w:rsidRPr="009E5F2B">
        <w:t>Dr</w:t>
      </w:r>
      <w:r w:rsidR="00CB7AB4">
        <w:t>.</w:t>
      </w:r>
      <w:r w:rsidR="00B34D3D" w:rsidRPr="009E5F2B">
        <w:t xml:space="preserve"> </w:t>
      </w:r>
      <w:r w:rsidR="00C159E2" w:rsidRPr="009E5F2B">
        <w:t>A</w:t>
      </w:r>
      <w:r w:rsidR="004210D3">
        <w:t>,</w:t>
      </w:r>
      <w:r w:rsidR="00413031" w:rsidRPr="003D1CBC">
        <w:t xml:space="preserve"> </w:t>
      </w:r>
      <w:r w:rsidR="007513E8">
        <w:t xml:space="preserve">which lasted for approximately 35 minutes, </w:t>
      </w:r>
      <w:r w:rsidR="00413031" w:rsidRPr="003D1CBC">
        <w:t>about the value of ‘alternative’ C</w:t>
      </w:r>
      <w:r w:rsidR="007C48FB">
        <w:t>OVID-</w:t>
      </w:r>
      <w:r w:rsidR="00F51648">
        <w:t>19</w:t>
      </w:r>
      <w:r w:rsidR="00413031" w:rsidRPr="003D1CBC">
        <w:t xml:space="preserve"> treatments (including </w:t>
      </w:r>
      <w:r w:rsidR="00621738">
        <w:t>i</w:t>
      </w:r>
      <w:r w:rsidR="00413031" w:rsidRPr="003D1CBC">
        <w:t xml:space="preserve">vermectin and </w:t>
      </w:r>
      <w:r w:rsidR="000C4149">
        <w:t>h</w:t>
      </w:r>
      <w:r w:rsidR="00413031" w:rsidRPr="003D1CBC">
        <w:t xml:space="preserve">ydroxychloroquine) and the </w:t>
      </w:r>
      <w:r w:rsidR="00621738">
        <w:t xml:space="preserve">alleged </w:t>
      </w:r>
      <w:r w:rsidR="00413031" w:rsidRPr="003D1CBC">
        <w:t>dangers of C</w:t>
      </w:r>
      <w:r w:rsidR="007C48FB">
        <w:t>OVID</w:t>
      </w:r>
      <w:r w:rsidR="00F51648">
        <w:t>-19</w:t>
      </w:r>
      <w:r w:rsidR="00413031" w:rsidRPr="003D1CBC">
        <w:t xml:space="preserve"> vaccines and employer mandates. The </w:t>
      </w:r>
      <w:r w:rsidR="008C2123">
        <w:t>broadcast</w:t>
      </w:r>
      <w:r w:rsidR="00413031" w:rsidRPr="003D1CBC">
        <w:t xml:space="preserve"> </w:t>
      </w:r>
      <w:r w:rsidR="007513E8">
        <w:t xml:space="preserve">also </w:t>
      </w:r>
      <w:r w:rsidR="00413031" w:rsidRPr="003D1CBC">
        <w:t xml:space="preserve">included </w:t>
      </w:r>
      <w:r w:rsidR="00B22169">
        <w:t>3</w:t>
      </w:r>
      <w:r w:rsidR="00B22169" w:rsidRPr="003D1CBC">
        <w:t xml:space="preserve"> </w:t>
      </w:r>
      <w:r w:rsidR="00E01C3B" w:rsidRPr="003D1CBC">
        <w:t>musical performances (</w:t>
      </w:r>
      <w:r w:rsidR="007513E8">
        <w:t xml:space="preserve">approximately </w:t>
      </w:r>
      <w:r w:rsidR="00E01C3B" w:rsidRPr="003D1CBC">
        <w:t xml:space="preserve">18 minutes duration </w:t>
      </w:r>
      <w:r w:rsidR="00B22169">
        <w:t>in total</w:t>
      </w:r>
      <w:r w:rsidR="00E01C3B" w:rsidRPr="003D1CBC">
        <w:t xml:space="preserve">) </w:t>
      </w:r>
      <w:r w:rsidR="000C05D8">
        <w:t>and</w:t>
      </w:r>
      <w:r w:rsidR="007513E8">
        <w:t xml:space="preserve"> short</w:t>
      </w:r>
      <w:r w:rsidR="000C05D8">
        <w:t xml:space="preserve"> </w:t>
      </w:r>
      <w:r w:rsidR="000C05D8" w:rsidRPr="000C05D8">
        <w:t>references to scripture, prayer and preaching.</w:t>
      </w:r>
    </w:p>
    <w:p w14:paraId="749EB2E8" w14:textId="68AAFCDF" w:rsidR="00066E39" w:rsidRDefault="008C2123" w:rsidP="00FF6377">
      <w:pPr>
        <w:pStyle w:val="ACMABodyText"/>
        <w:spacing w:after="120"/>
      </w:pPr>
      <w:r w:rsidRPr="008C2123">
        <w:rPr>
          <w:i/>
          <w:iCs/>
        </w:rPr>
        <w:t>Joni Table Talk</w:t>
      </w:r>
      <w:r>
        <w:t xml:space="preserve"> is described on </w:t>
      </w:r>
      <w:r w:rsidR="00FD3386">
        <w:t xml:space="preserve">the </w:t>
      </w:r>
      <w:r>
        <w:t>Daystar website as</w:t>
      </w:r>
      <w:r w:rsidR="00CF2018">
        <w:t>:</w:t>
      </w:r>
    </w:p>
    <w:p w14:paraId="34AE95B5" w14:textId="3FDF4837" w:rsidR="008C2123" w:rsidRDefault="00066E39" w:rsidP="00520AE0">
      <w:pPr>
        <w:pStyle w:val="ACMABodyText"/>
        <w:ind w:left="567"/>
      </w:pPr>
      <w:r>
        <w:rPr>
          <w:sz w:val="18"/>
          <w:szCs w:val="18"/>
        </w:rPr>
        <w:t xml:space="preserve">A </w:t>
      </w:r>
      <w:r w:rsidR="008C2123" w:rsidRPr="00520AE0">
        <w:rPr>
          <w:sz w:val="18"/>
          <w:szCs w:val="18"/>
        </w:rPr>
        <w:t>liv</w:t>
      </w:r>
      <w:r w:rsidR="008C2123" w:rsidRPr="00066E39">
        <w:rPr>
          <w:sz w:val="18"/>
          <w:szCs w:val="18"/>
        </w:rPr>
        <w:t xml:space="preserve">ely and sometimes unpredictable half hour talk show, </w:t>
      </w:r>
      <w:r w:rsidR="008C2123" w:rsidRPr="00066E39">
        <w:rPr>
          <w:i/>
          <w:iCs/>
          <w:sz w:val="18"/>
          <w:szCs w:val="18"/>
        </w:rPr>
        <w:t>Joni Table Talk</w:t>
      </w:r>
      <w:r w:rsidR="008C2123" w:rsidRPr="00066E39">
        <w:rPr>
          <w:sz w:val="18"/>
          <w:szCs w:val="18"/>
        </w:rPr>
        <w:t xml:space="preserve"> (</w:t>
      </w:r>
      <w:r w:rsidR="008C2123" w:rsidRPr="002B6E45">
        <w:rPr>
          <w:sz w:val="18"/>
          <w:szCs w:val="18"/>
        </w:rPr>
        <w:t xml:space="preserve">hosted by co-founder of Daystar Television </w:t>
      </w:r>
      <w:r w:rsidR="00FF6377" w:rsidRPr="009E5F2B">
        <w:rPr>
          <w:sz w:val="18"/>
          <w:szCs w:val="18"/>
        </w:rPr>
        <w:t>[</w:t>
      </w:r>
      <w:r w:rsidR="00FF6377" w:rsidRPr="002B6E45">
        <w:rPr>
          <w:sz w:val="18"/>
          <w:szCs w:val="18"/>
        </w:rPr>
        <w:t>…]</w:t>
      </w:r>
      <w:r w:rsidR="008C2123" w:rsidRPr="00066E39">
        <w:rPr>
          <w:sz w:val="18"/>
          <w:szCs w:val="18"/>
        </w:rPr>
        <w:t xml:space="preserve">) tackles a wide range of relevant issues, controversial subjects and hard-hitting news topics with candor and wit. Combining colorful feature segments with an array of notable guests, </w:t>
      </w:r>
      <w:r w:rsidR="00FF6377">
        <w:rPr>
          <w:sz w:val="18"/>
          <w:szCs w:val="18"/>
        </w:rPr>
        <w:t>[</w:t>
      </w:r>
      <w:r w:rsidR="00142D7E">
        <w:rPr>
          <w:sz w:val="18"/>
          <w:szCs w:val="18"/>
        </w:rPr>
        <w:t xml:space="preserve">Host </w:t>
      </w:r>
      <w:r w:rsidR="00C159E2">
        <w:rPr>
          <w:sz w:val="18"/>
          <w:szCs w:val="18"/>
        </w:rPr>
        <w:t>2</w:t>
      </w:r>
      <w:r w:rsidR="00142D7E">
        <w:rPr>
          <w:sz w:val="18"/>
          <w:szCs w:val="18"/>
        </w:rPr>
        <w:t>]</w:t>
      </w:r>
      <w:r w:rsidR="00FF6377" w:rsidRPr="00066E39">
        <w:rPr>
          <w:sz w:val="18"/>
          <w:szCs w:val="18"/>
        </w:rPr>
        <w:t xml:space="preserve"> </w:t>
      </w:r>
      <w:r w:rsidR="008C2123" w:rsidRPr="00066E39">
        <w:rPr>
          <w:sz w:val="18"/>
          <w:szCs w:val="18"/>
        </w:rPr>
        <w:t>offers a fresh perspective on issues ranging from health and nutrition to divorce and alternative lifestyles</w:t>
      </w:r>
      <w:r w:rsidR="00F51648">
        <w:t>.</w:t>
      </w:r>
      <w:r w:rsidR="008C2123">
        <w:t xml:space="preserve"> </w:t>
      </w:r>
      <w:r w:rsidR="000E7EC7">
        <w:t xml:space="preserve"> </w:t>
      </w:r>
    </w:p>
    <w:p w14:paraId="4D9148F4" w14:textId="2B6DFB9D" w:rsidR="00F96D92" w:rsidRDefault="00F96D92" w:rsidP="008C2123">
      <w:pPr>
        <w:pStyle w:val="ACMABodyText"/>
        <w:rPr>
          <w:iCs/>
          <w:snapToGrid/>
        </w:rPr>
      </w:pPr>
      <w:r>
        <w:t xml:space="preserve">The </w:t>
      </w:r>
      <w:r w:rsidR="004210D3">
        <w:t xml:space="preserve">broadcast on 24 September 2021 was comprised </w:t>
      </w:r>
      <w:r w:rsidR="007513E8">
        <w:t xml:space="preserve">solely </w:t>
      </w:r>
      <w:r w:rsidR="004210D3">
        <w:t xml:space="preserve">of a </w:t>
      </w:r>
      <w:r w:rsidR="004C7567" w:rsidRPr="00B605CD">
        <w:rPr>
          <w:iCs/>
          <w:snapToGrid/>
        </w:rPr>
        <w:t xml:space="preserve">30-minute </w:t>
      </w:r>
      <w:r w:rsidR="00B605CD" w:rsidRPr="00B605CD">
        <w:rPr>
          <w:iCs/>
          <w:snapToGrid/>
        </w:rPr>
        <w:t xml:space="preserve">panel </w:t>
      </w:r>
      <w:r w:rsidRPr="00B605CD">
        <w:rPr>
          <w:iCs/>
        </w:rPr>
        <w:t>discussion</w:t>
      </w:r>
      <w:r>
        <w:t xml:space="preserve"> </w:t>
      </w:r>
      <w:r w:rsidR="004C7567" w:rsidDel="00B34D3D">
        <w:t>host</w:t>
      </w:r>
      <w:r w:rsidR="00A00F65" w:rsidDel="00B34D3D">
        <w:t>ed by</w:t>
      </w:r>
      <w:r w:rsidDel="00B34D3D">
        <w:t xml:space="preserve"> </w:t>
      </w:r>
      <w:r w:rsidR="00142D7E">
        <w:t xml:space="preserve">Host </w:t>
      </w:r>
      <w:r w:rsidR="00C159E2">
        <w:t>2</w:t>
      </w:r>
      <w:r w:rsidR="005B7D9B">
        <w:t xml:space="preserve"> </w:t>
      </w:r>
      <w:r w:rsidR="000C4149">
        <w:t>with</w:t>
      </w:r>
      <w:r w:rsidR="00822564">
        <w:t xml:space="preserve"> </w:t>
      </w:r>
      <w:r w:rsidR="000C4149">
        <w:t>2</w:t>
      </w:r>
      <w:r>
        <w:t xml:space="preserve"> panellists</w:t>
      </w:r>
      <w:r w:rsidR="007C48FB">
        <w:t xml:space="preserve">, </w:t>
      </w:r>
      <w:r w:rsidR="00B34D3D">
        <w:t>Dr</w:t>
      </w:r>
      <w:r w:rsidR="00CB7AB4">
        <w:t>.</w:t>
      </w:r>
      <w:r w:rsidR="00B34D3D">
        <w:t xml:space="preserve"> </w:t>
      </w:r>
      <w:r w:rsidR="008B4A4A">
        <w:t>B</w:t>
      </w:r>
      <w:r w:rsidR="00B34D3D">
        <w:t xml:space="preserve"> </w:t>
      </w:r>
      <w:r w:rsidR="000C4149">
        <w:t xml:space="preserve">and </w:t>
      </w:r>
      <w:r w:rsidR="00B34D3D">
        <w:t>Dr</w:t>
      </w:r>
      <w:r w:rsidR="00CB7AB4">
        <w:t>.</w:t>
      </w:r>
      <w:r w:rsidR="00B34D3D">
        <w:t xml:space="preserve"> </w:t>
      </w:r>
      <w:r w:rsidR="008B4A4A">
        <w:t>C</w:t>
      </w:r>
      <w:r w:rsidR="00B605CD">
        <w:t xml:space="preserve">. </w:t>
      </w:r>
      <w:r w:rsidRPr="00B605CD">
        <w:rPr>
          <w:iCs/>
          <w:snapToGrid/>
        </w:rPr>
        <w:t>Th</w:t>
      </w:r>
      <w:r w:rsidR="009A6C1A">
        <w:rPr>
          <w:iCs/>
          <w:snapToGrid/>
        </w:rPr>
        <w:t>e</w:t>
      </w:r>
      <w:r w:rsidRPr="00B605CD">
        <w:rPr>
          <w:iCs/>
          <w:snapToGrid/>
        </w:rPr>
        <w:t xml:space="preserve"> </w:t>
      </w:r>
      <w:r w:rsidR="008C2123">
        <w:rPr>
          <w:iCs/>
          <w:snapToGrid/>
        </w:rPr>
        <w:t>broadcast</w:t>
      </w:r>
      <w:r w:rsidRPr="00B605CD">
        <w:rPr>
          <w:iCs/>
          <w:snapToGrid/>
        </w:rPr>
        <w:t xml:space="preserve"> dealt almost exclusively with issues about the effectiveness of </w:t>
      </w:r>
      <w:r w:rsidR="007C48FB" w:rsidRPr="00B605CD">
        <w:rPr>
          <w:iCs/>
          <w:snapToGrid/>
        </w:rPr>
        <w:t>C</w:t>
      </w:r>
      <w:r w:rsidR="007C48FB">
        <w:rPr>
          <w:iCs/>
          <w:snapToGrid/>
        </w:rPr>
        <w:t>OVID</w:t>
      </w:r>
      <w:r w:rsidR="00F51648">
        <w:rPr>
          <w:iCs/>
          <w:snapToGrid/>
        </w:rPr>
        <w:t>-19</w:t>
      </w:r>
      <w:r w:rsidRPr="00B605CD">
        <w:rPr>
          <w:iCs/>
          <w:snapToGrid/>
        </w:rPr>
        <w:t xml:space="preserve"> vaccines as a response to infection and </w:t>
      </w:r>
      <w:r w:rsidR="00DB3D19">
        <w:rPr>
          <w:iCs/>
          <w:snapToGrid/>
        </w:rPr>
        <w:t>featured</w:t>
      </w:r>
      <w:r w:rsidRPr="00B605CD">
        <w:rPr>
          <w:iCs/>
          <w:snapToGrid/>
        </w:rPr>
        <w:t xml:space="preserve"> an in-depth discussion between the program</w:t>
      </w:r>
      <w:r w:rsidR="005F75F0">
        <w:rPr>
          <w:iCs/>
          <w:snapToGrid/>
        </w:rPr>
        <w:t>’s</w:t>
      </w:r>
      <w:r w:rsidRPr="00B605CD">
        <w:rPr>
          <w:iCs/>
          <w:snapToGrid/>
        </w:rPr>
        <w:t xml:space="preserve"> host and </w:t>
      </w:r>
      <w:r w:rsidR="000C4149">
        <w:rPr>
          <w:iCs/>
          <w:snapToGrid/>
        </w:rPr>
        <w:t xml:space="preserve">the </w:t>
      </w:r>
      <w:r w:rsidRPr="00B605CD">
        <w:rPr>
          <w:iCs/>
          <w:snapToGrid/>
        </w:rPr>
        <w:t xml:space="preserve">medical </w:t>
      </w:r>
      <w:r w:rsidR="005E4CF3">
        <w:rPr>
          <w:iCs/>
          <w:snapToGrid/>
        </w:rPr>
        <w:t>practitioners</w:t>
      </w:r>
      <w:r w:rsidR="00DB3D19">
        <w:rPr>
          <w:iCs/>
          <w:snapToGrid/>
        </w:rPr>
        <w:t>,</w:t>
      </w:r>
      <w:r w:rsidRPr="00B605CD">
        <w:rPr>
          <w:iCs/>
          <w:snapToGrid/>
        </w:rPr>
        <w:t xml:space="preserve"> a</w:t>
      </w:r>
      <w:r w:rsidR="008C2123">
        <w:rPr>
          <w:iCs/>
          <w:snapToGrid/>
        </w:rPr>
        <w:t>s well as</w:t>
      </w:r>
      <w:r w:rsidRPr="00B605CD">
        <w:rPr>
          <w:iCs/>
          <w:snapToGrid/>
        </w:rPr>
        <w:t xml:space="preserve"> first-hand testimony from two people who said they</w:t>
      </w:r>
      <w:r w:rsidR="00EC4E9F">
        <w:rPr>
          <w:i/>
          <w:snapToGrid/>
        </w:rPr>
        <w:t xml:space="preserve"> </w:t>
      </w:r>
      <w:r w:rsidRPr="00EC4E9F">
        <w:rPr>
          <w:iCs/>
          <w:snapToGrid/>
        </w:rPr>
        <w:t>had been adversely affected by the Pfizer and Moderna vaccines. The program concluded</w:t>
      </w:r>
      <w:r w:rsidRPr="00F96D92">
        <w:rPr>
          <w:i/>
          <w:snapToGrid/>
        </w:rPr>
        <w:t xml:space="preserve"> </w:t>
      </w:r>
      <w:r w:rsidRPr="00EC4E9F">
        <w:rPr>
          <w:iCs/>
          <w:snapToGrid/>
        </w:rPr>
        <w:t>with a brief scripture presentation.</w:t>
      </w:r>
    </w:p>
    <w:p w14:paraId="777F29F6" w14:textId="23663579" w:rsidR="00EC4E9F" w:rsidRDefault="00EC4E9F" w:rsidP="00B605CD">
      <w:pPr>
        <w:pStyle w:val="ACMABodyText"/>
        <w:rPr>
          <w:b/>
          <w:bCs/>
          <w:iCs/>
          <w:snapToGrid/>
        </w:rPr>
      </w:pPr>
      <w:r w:rsidRPr="005C701A">
        <w:rPr>
          <w:b/>
          <w:bCs/>
          <w:iCs/>
          <w:snapToGrid/>
        </w:rPr>
        <w:t xml:space="preserve">The </w:t>
      </w:r>
      <w:r w:rsidR="00FD3386">
        <w:rPr>
          <w:b/>
          <w:bCs/>
          <w:iCs/>
          <w:snapToGrid/>
        </w:rPr>
        <w:t xml:space="preserve">nature of the </w:t>
      </w:r>
      <w:r w:rsidR="00DB3D19">
        <w:rPr>
          <w:b/>
          <w:bCs/>
          <w:iCs/>
          <w:snapToGrid/>
        </w:rPr>
        <w:t>Programs</w:t>
      </w:r>
    </w:p>
    <w:p w14:paraId="1A527ADE" w14:textId="7904C8EA" w:rsidR="00DB3D19" w:rsidRDefault="00DB3D19" w:rsidP="00964AD3">
      <w:pPr>
        <w:pStyle w:val="CommentText"/>
        <w:tabs>
          <w:tab w:val="left" w:pos="426"/>
        </w:tabs>
        <w:spacing w:before="120" w:line="240" w:lineRule="atLeast"/>
        <w:rPr>
          <w:i w:val="0"/>
          <w:iCs/>
        </w:rPr>
      </w:pPr>
      <w:bookmarkStart w:id="2" w:name="_Hlk111972136"/>
      <w:r w:rsidRPr="00154C70">
        <w:rPr>
          <w:i w:val="0"/>
          <w:iCs/>
        </w:rPr>
        <w:t>C</w:t>
      </w:r>
      <w:r w:rsidR="00692772">
        <w:rPr>
          <w:i w:val="0"/>
          <w:iCs/>
        </w:rPr>
        <w:t>lause</w:t>
      </w:r>
      <w:r w:rsidRPr="00794398">
        <w:rPr>
          <w:i w:val="0"/>
          <w:iCs/>
        </w:rPr>
        <w:t xml:space="preserve"> 1.2 of the Code </w:t>
      </w:r>
      <w:bookmarkEnd w:id="2"/>
      <w:r w:rsidRPr="00794398">
        <w:rPr>
          <w:i w:val="0"/>
          <w:iCs/>
        </w:rPr>
        <w:t>requires narrowcasters to ‘present accurate and fair news and current affairs programs’</w:t>
      </w:r>
      <w:r>
        <w:rPr>
          <w:i w:val="0"/>
          <w:iCs/>
        </w:rPr>
        <w:t>. It</w:t>
      </w:r>
      <w:r w:rsidRPr="00794398">
        <w:rPr>
          <w:i w:val="0"/>
          <w:iCs/>
        </w:rPr>
        <w:t xml:space="preserve"> does not provide a definition of </w:t>
      </w:r>
      <w:r w:rsidR="005E4CF3">
        <w:rPr>
          <w:i w:val="0"/>
          <w:iCs/>
        </w:rPr>
        <w:t>‘</w:t>
      </w:r>
      <w:r w:rsidRPr="00794398">
        <w:rPr>
          <w:i w:val="0"/>
          <w:iCs/>
        </w:rPr>
        <w:t>news and current affairs programs</w:t>
      </w:r>
      <w:r w:rsidR="005E4CF3">
        <w:rPr>
          <w:i w:val="0"/>
          <w:iCs/>
        </w:rPr>
        <w:t>’</w:t>
      </w:r>
      <w:r>
        <w:rPr>
          <w:i w:val="0"/>
          <w:iCs/>
        </w:rPr>
        <w:t xml:space="preserve"> (see </w:t>
      </w:r>
      <w:r w:rsidRPr="00652E08">
        <w:rPr>
          <w:b/>
          <w:bCs/>
          <w:i w:val="0"/>
          <w:iCs/>
        </w:rPr>
        <w:t>Attachment C</w:t>
      </w:r>
      <w:r>
        <w:rPr>
          <w:i w:val="0"/>
          <w:iCs/>
        </w:rPr>
        <w:t>).</w:t>
      </w:r>
    </w:p>
    <w:p w14:paraId="365DDB64" w14:textId="344E4737" w:rsidR="00C141C9" w:rsidRPr="00C141C9" w:rsidRDefault="00C141C9" w:rsidP="00964AD3">
      <w:pPr>
        <w:pStyle w:val="CommentText"/>
        <w:tabs>
          <w:tab w:val="left" w:pos="426"/>
        </w:tabs>
        <w:spacing w:before="120" w:line="240" w:lineRule="atLeast"/>
        <w:rPr>
          <w:i w:val="0"/>
          <w:iCs/>
        </w:rPr>
      </w:pPr>
      <w:r w:rsidRPr="00C141C9">
        <w:rPr>
          <w:i w:val="0"/>
          <w:iCs/>
        </w:rPr>
        <w:lastRenderedPageBreak/>
        <w:t xml:space="preserve">The </w:t>
      </w:r>
      <w:r w:rsidR="00A06A35">
        <w:rPr>
          <w:i w:val="0"/>
          <w:iCs/>
        </w:rPr>
        <w:t xml:space="preserve">Licensee submitted </w:t>
      </w:r>
      <w:r w:rsidR="00A06A35" w:rsidRPr="00C141C9">
        <w:rPr>
          <w:i w:val="0"/>
          <w:iCs/>
        </w:rPr>
        <w:t>(</w:t>
      </w:r>
      <w:r w:rsidR="00A06A35">
        <w:rPr>
          <w:i w:val="0"/>
          <w:iCs/>
        </w:rPr>
        <w:t xml:space="preserve">see </w:t>
      </w:r>
      <w:r w:rsidR="00A06A35" w:rsidRPr="00C141C9">
        <w:rPr>
          <w:b/>
          <w:bCs/>
          <w:i w:val="0"/>
          <w:iCs/>
        </w:rPr>
        <w:t>Attachment B</w:t>
      </w:r>
      <w:r w:rsidR="00A06A35" w:rsidRPr="00C141C9">
        <w:rPr>
          <w:i w:val="0"/>
          <w:iCs/>
        </w:rPr>
        <w:t xml:space="preserve">) </w:t>
      </w:r>
      <w:r w:rsidR="00A06A35">
        <w:rPr>
          <w:i w:val="0"/>
          <w:iCs/>
        </w:rPr>
        <w:t>that</w:t>
      </w:r>
      <w:r w:rsidRPr="00C141C9">
        <w:rPr>
          <w:i w:val="0"/>
          <w:iCs/>
        </w:rPr>
        <w:t xml:space="preserve"> </w:t>
      </w:r>
      <w:r w:rsidRPr="009E5F2B">
        <w:rPr>
          <w:i w:val="0"/>
          <w:iCs/>
        </w:rPr>
        <w:t>Daystar</w:t>
      </w:r>
      <w:r w:rsidRPr="00C141C9">
        <w:rPr>
          <w:i w:val="0"/>
          <w:iCs/>
        </w:rPr>
        <w:t xml:space="preserve"> </w:t>
      </w:r>
      <w:r w:rsidR="00A06A35">
        <w:rPr>
          <w:i w:val="0"/>
          <w:iCs/>
        </w:rPr>
        <w:t>wa</w:t>
      </w:r>
      <w:r w:rsidRPr="00C141C9">
        <w:rPr>
          <w:i w:val="0"/>
          <w:iCs/>
        </w:rPr>
        <w:t xml:space="preserve">s a narrowcasting service </w:t>
      </w:r>
      <w:r w:rsidR="007C48FB">
        <w:rPr>
          <w:i w:val="0"/>
          <w:iCs/>
        </w:rPr>
        <w:t xml:space="preserve">and </w:t>
      </w:r>
      <w:r w:rsidRPr="00C141C9">
        <w:rPr>
          <w:i w:val="0"/>
          <w:iCs/>
        </w:rPr>
        <w:t xml:space="preserve">that the </w:t>
      </w:r>
      <w:r w:rsidR="00A06A35">
        <w:rPr>
          <w:i w:val="0"/>
          <w:iCs/>
        </w:rPr>
        <w:t>P</w:t>
      </w:r>
      <w:r w:rsidRPr="00C141C9">
        <w:rPr>
          <w:i w:val="0"/>
          <w:iCs/>
        </w:rPr>
        <w:t xml:space="preserve">rograms were not </w:t>
      </w:r>
      <w:r w:rsidR="00A06A35">
        <w:rPr>
          <w:i w:val="0"/>
          <w:iCs/>
        </w:rPr>
        <w:t>news or current affairs programs and were</w:t>
      </w:r>
      <w:r w:rsidR="000E7EC7">
        <w:rPr>
          <w:i w:val="0"/>
          <w:iCs/>
        </w:rPr>
        <w:t>,</w:t>
      </w:r>
      <w:r w:rsidR="00A06A35">
        <w:rPr>
          <w:i w:val="0"/>
          <w:iCs/>
        </w:rPr>
        <w:t xml:space="preserve"> therefore, not </w:t>
      </w:r>
      <w:r w:rsidRPr="00C141C9">
        <w:rPr>
          <w:i w:val="0"/>
          <w:iCs/>
        </w:rPr>
        <w:t>subject to</w:t>
      </w:r>
      <w:r w:rsidR="00A06A35">
        <w:rPr>
          <w:i w:val="0"/>
          <w:iCs/>
        </w:rPr>
        <w:t xml:space="preserve"> the Code’s</w:t>
      </w:r>
      <w:r w:rsidRPr="00C141C9">
        <w:rPr>
          <w:i w:val="0"/>
          <w:iCs/>
        </w:rPr>
        <w:t xml:space="preserve"> accuracy rules</w:t>
      </w:r>
      <w:r w:rsidR="00A06A35">
        <w:rPr>
          <w:i w:val="0"/>
          <w:iCs/>
        </w:rPr>
        <w:t>. The Licensee submitted</w:t>
      </w:r>
      <w:r w:rsidRPr="00C141C9">
        <w:rPr>
          <w:i w:val="0"/>
          <w:iCs/>
        </w:rPr>
        <w:t xml:space="preserve"> </w:t>
      </w:r>
      <w:r w:rsidR="00A06A35">
        <w:rPr>
          <w:i w:val="0"/>
          <w:iCs/>
        </w:rPr>
        <w:t xml:space="preserve">that the programs were </w:t>
      </w:r>
      <w:r w:rsidRPr="00C141C9">
        <w:rPr>
          <w:i w:val="0"/>
          <w:iCs/>
        </w:rPr>
        <w:t xml:space="preserve">otherwise compliant with the </w:t>
      </w:r>
      <w:r w:rsidR="00A06A35">
        <w:rPr>
          <w:i w:val="0"/>
          <w:iCs/>
        </w:rPr>
        <w:t>Code</w:t>
      </w:r>
      <w:r w:rsidRPr="00C141C9">
        <w:rPr>
          <w:i w:val="0"/>
          <w:iCs/>
        </w:rPr>
        <w:t>.</w:t>
      </w:r>
    </w:p>
    <w:p w14:paraId="01785976" w14:textId="6DE45761" w:rsidR="00EC0BA4" w:rsidRDefault="00EC0BA4" w:rsidP="00964AD3">
      <w:pPr>
        <w:pStyle w:val="CommentText"/>
        <w:tabs>
          <w:tab w:val="left" w:pos="426"/>
        </w:tabs>
        <w:spacing w:before="120" w:after="120" w:line="240" w:lineRule="atLeast"/>
        <w:rPr>
          <w:i w:val="0"/>
          <w:iCs/>
        </w:rPr>
      </w:pPr>
      <w:r>
        <w:rPr>
          <w:i w:val="0"/>
          <w:iCs/>
        </w:rPr>
        <w:t xml:space="preserve">The ACMA notes that the </w:t>
      </w:r>
      <w:r w:rsidRPr="00366916">
        <w:rPr>
          <w:i w:val="0"/>
          <w:iCs/>
        </w:rPr>
        <w:t xml:space="preserve">Subscription Broadcast Television Codes of Practice 2013 </w:t>
      </w:r>
      <w:r>
        <w:rPr>
          <w:i w:val="0"/>
          <w:iCs/>
        </w:rPr>
        <w:t xml:space="preserve">(the </w:t>
      </w:r>
      <w:r w:rsidRPr="0061539A">
        <w:rPr>
          <w:b/>
          <w:bCs/>
          <w:i w:val="0"/>
          <w:iCs/>
        </w:rPr>
        <w:t>Broadcast Code</w:t>
      </w:r>
      <w:r>
        <w:rPr>
          <w:i w:val="0"/>
          <w:iCs/>
        </w:rPr>
        <w:t>)</w:t>
      </w:r>
      <w:r w:rsidR="00DB3D19">
        <w:rPr>
          <w:i w:val="0"/>
          <w:iCs/>
        </w:rPr>
        <w:t>, which contains similar provisions,</w:t>
      </w:r>
      <w:r>
        <w:rPr>
          <w:i w:val="0"/>
          <w:iCs/>
        </w:rPr>
        <w:t xml:space="preserve"> includes the following definition</w:t>
      </w:r>
      <w:r w:rsidR="00DB3D19">
        <w:rPr>
          <w:i w:val="0"/>
          <w:iCs/>
        </w:rPr>
        <w:t xml:space="preserve"> of news and current affairs programs</w:t>
      </w:r>
      <w:r>
        <w:rPr>
          <w:i w:val="0"/>
          <w:iCs/>
        </w:rPr>
        <w:t>:</w:t>
      </w:r>
      <w:r w:rsidRPr="00366916">
        <w:rPr>
          <w:i w:val="0"/>
          <w:iCs/>
        </w:rPr>
        <w:t xml:space="preserve"> </w:t>
      </w:r>
    </w:p>
    <w:p w14:paraId="010CBF4A" w14:textId="47FDB132" w:rsidR="00EC0BA4" w:rsidRPr="000E7EC7" w:rsidRDefault="000E7EC7" w:rsidP="002A73AC">
      <w:pPr>
        <w:pStyle w:val="CommentText"/>
        <w:tabs>
          <w:tab w:val="left" w:pos="709"/>
        </w:tabs>
        <w:spacing w:before="120" w:after="120"/>
        <w:ind w:left="709"/>
        <w:rPr>
          <w:rFonts w:cs="Arial"/>
          <w:i w:val="0"/>
          <w:iCs/>
          <w:sz w:val="18"/>
          <w:szCs w:val="18"/>
        </w:rPr>
      </w:pPr>
      <w:r w:rsidRPr="000E7EC7">
        <w:rPr>
          <w:rFonts w:cs="Arial"/>
          <w:i w:val="0"/>
          <w:iCs/>
          <w:sz w:val="18"/>
          <w:szCs w:val="18"/>
        </w:rPr>
        <w:t>…</w:t>
      </w:r>
      <w:r w:rsidR="00EC0BA4" w:rsidRPr="000E7EC7">
        <w:rPr>
          <w:rFonts w:cs="Arial"/>
          <w:i w:val="0"/>
          <w:iCs/>
          <w:sz w:val="18"/>
          <w:szCs w:val="18"/>
        </w:rPr>
        <w:t>programs which report on current or recent happenings and include short bulletins, filmed coverage of international, national and local events, report on weather and essential services.</w:t>
      </w:r>
    </w:p>
    <w:p w14:paraId="366F67A3" w14:textId="5634EB55" w:rsidR="004224C0" w:rsidRDefault="00A06A35" w:rsidP="00964AD3">
      <w:pPr>
        <w:pStyle w:val="CommentText"/>
        <w:tabs>
          <w:tab w:val="left" w:pos="426"/>
        </w:tabs>
        <w:spacing w:before="240" w:after="120" w:line="240" w:lineRule="atLeast"/>
        <w:rPr>
          <w:i w:val="0"/>
          <w:iCs/>
        </w:rPr>
      </w:pPr>
      <w:r>
        <w:rPr>
          <w:i w:val="0"/>
          <w:iCs/>
        </w:rPr>
        <w:t>In further submissions to the ACMA, the Licensee</w:t>
      </w:r>
      <w:r w:rsidR="004D6BA9">
        <w:rPr>
          <w:i w:val="0"/>
          <w:iCs/>
        </w:rPr>
        <w:t xml:space="preserve"> </w:t>
      </w:r>
      <w:r w:rsidR="00B666C2">
        <w:rPr>
          <w:i w:val="0"/>
          <w:iCs/>
        </w:rPr>
        <w:t>provided</w:t>
      </w:r>
      <w:r>
        <w:rPr>
          <w:i w:val="0"/>
          <w:iCs/>
        </w:rPr>
        <w:t xml:space="preserve"> the following</w:t>
      </w:r>
      <w:r w:rsidR="00B666C2">
        <w:rPr>
          <w:i w:val="0"/>
          <w:iCs/>
        </w:rPr>
        <w:t xml:space="preserve"> </w:t>
      </w:r>
      <w:r w:rsidR="00F55592">
        <w:rPr>
          <w:i w:val="0"/>
          <w:iCs/>
        </w:rPr>
        <w:t>remarks</w:t>
      </w:r>
      <w:r w:rsidR="00B666C2">
        <w:rPr>
          <w:i w:val="0"/>
          <w:iCs/>
        </w:rPr>
        <w:t xml:space="preserve"> on why </w:t>
      </w:r>
      <w:r w:rsidR="004224C0">
        <w:rPr>
          <w:i w:val="0"/>
          <w:iCs/>
        </w:rPr>
        <w:t xml:space="preserve">the content provided on the </w:t>
      </w:r>
      <w:r w:rsidR="00DB3D19">
        <w:rPr>
          <w:i w:val="0"/>
          <w:iCs/>
        </w:rPr>
        <w:t>P</w:t>
      </w:r>
      <w:r w:rsidR="004224C0">
        <w:rPr>
          <w:i w:val="0"/>
          <w:iCs/>
        </w:rPr>
        <w:t>rograms</w:t>
      </w:r>
      <w:r w:rsidR="00B666C2">
        <w:rPr>
          <w:i w:val="0"/>
          <w:iCs/>
        </w:rPr>
        <w:t xml:space="preserve"> </w:t>
      </w:r>
      <w:r w:rsidR="005E4CF3">
        <w:rPr>
          <w:i w:val="0"/>
          <w:iCs/>
        </w:rPr>
        <w:t>sh</w:t>
      </w:r>
      <w:r w:rsidR="00F55592">
        <w:rPr>
          <w:i w:val="0"/>
          <w:iCs/>
        </w:rPr>
        <w:t>ould</w:t>
      </w:r>
      <w:r w:rsidR="00B666C2">
        <w:rPr>
          <w:i w:val="0"/>
          <w:iCs/>
        </w:rPr>
        <w:t xml:space="preserve"> not </w:t>
      </w:r>
      <w:r w:rsidR="00F55592">
        <w:rPr>
          <w:i w:val="0"/>
          <w:iCs/>
        </w:rPr>
        <w:t>be defined as</w:t>
      </w:r>
      <w:r w:rsidR="00B666C2">
        <w:rPr>
          <w:i w:val="0"/>
          <w:iCs/>
        </w:rPr>
        <w:t xml:space="preserve"> news and current affairs</w:t>
      </w:r>
      <w:r w:rsidR="00B125DA">
        <w:rPr>
          <w:i w:val="0"/>
          <w:iCs/>
        </w:rPr>
        <w:t xml:space="preserve"> programs</w:t>
      </w:r>
      <w:r w:rsidR="004224C0">
        <w:rPr>
          <w:i w:val="0"/>
          <w:iCs/>
        </w:rPr>
        <w:t>:</w:t>
      </w:r>
    </w:p>
    <w:p w14:paraId="325FBBFA" w14:textId="2C20EBBA" w:rsidR="00561849" w:rsidRDefault="003D5824" w:rsidP="002A73AC">
      <w:pPr>
        <w:pStyle w:val="CommentText"/>
        <w:spacing w:before="120" w:after="0"/>
        <w:ind w:left="709"/>
        <w:rPr>
          <w:rFonts w:cs="Arial"/>
          <w:i w:val="0"/>
          <w:iCs/>
          <w:sz w:val="18"/>
          <w:szCs w:val="18"/>
        </w:rPr>
      </w:pPr>
      <w:r w:rsidRPr="003D5824">
        <w:rPr>
          <w:rFonts w:cs="Arial"/>
          <w:i w:val="0"/>
          <w:iCs/>
          <w:sz w:val="18"/>
          <w:szCs w:val="18"/>
        </w:rPr>
        <w:t xml:space="preserve">On occasion, the </w:t>
      </w:r>
      <w:r w:rsidR="004224C0" w:rsidRPr="004224C0">
        <w:rPr>
          <w:rFonts w:cs="Arial"/>
          <w:i w:val="0"/>
          <w:iCs/>
          <w:sz w:val="18"/>
          <w:szCs w:val="18"/>
        </w:rPr>
        <w:t>Programs may discuss current or relevant newsworthy issues (and always with a faith</w:t>
      </w:r>
      <w:r w:rsidR="004224C0" w:rsidRPr="004224C0">
        <w:rPr>
          <w:rFonts w:ascii="Cambria Math" w:hAnsi="Cambria Math" w:cs="Cambria Math"/>
          <w:i w:val="0"/>
          <w:iCs/>
          <w:sz w:val="18"/>
          <w:szCs w:val="18"/>
        </w:rPr>
        <w:t>‐</w:t>
      </w:r>
      <w:r w:rsidR="004224C0" w:rsidRPr="004224C0">
        <w:rPr>
          <w:rFonts w:cs="Arial"/>
          <w:i w:val="0"/>
          <w:iCs/>
          <w:sz w:val="18"/>
          <w:szCs w:val="18"/>
        </w:rPr>
        <w:t>based focus). However, the mere reference to topics in the news or matters of current affairs within the Programs is not sufficient to satisfy the definition of “news and current affairs programs” when the Programs are viewed as a whole. The Programs do not feature any reports on current or recent happenings, do not include bulletins or filmed coverage of international, national and local events and do not report on weather or essential services. As such, the Programs are incapable of satisfying the description of “news and current affairs programs”, whether one uses the definition in the Subscription Broadcast Television Codes or the natural and ordinary meaning of those words. The discursive and entertainment focused nature of the Programs clearly constitutes commentary and opinion</w:t>
      </w:r>
      <w:r w:rsidR="004224C0" w:rsidRPr="004224C0">
        <w:rPr>
          <w:rFonts w:ascii="Cambria Math" w:hAnsi="Cambria Math" w:cs="Cambria Math"/>
          <w:i w:val="0"/>
          <w:iCs/>
          <w:sz w:val="18"/>
          <w:szCs w:val="18"/>
        </w:rPr>
        <w:t>‐</w:t>
      </w:r>
      <w:r w:rsidR="004224C0" w:rsidRPr="004224C0">
        <w:rPr>
          <w:rFonts w:cs="Arial"/>
          <w:i w:val="0"/>
          <w:iCs/>
          <w:sz w:val="18"/>
          <w:szCs w:val="18"/>
        </w:rPr>
        <w:t>style programming which is distinguishable from factual reportage such as news bulletins.</w:t>
      </w:r>
    </w:p>
    <w:p w14:paraId="57DE1994" w14:textId="77838A10" w:rsidR="000233C4" w:rsidRPr="00E71ADE" w:rsidRDefault="000233C4" w:rsidP="00964AD3">
      <w:pPr>
        <w:pStyle w:val="ACMABodyText"/>
        <w:spacing w:before="240"/>
      </w:pPr>
      <w:r w:rsidRPr="00A039A7">
        <w:t>The A</w:t>
      </w:r>
      <w:r w:rsidRPr="00DB6546">
        <w:t xml:space="preserve">CMA does not agree </w:t>
      </w:r>
      <w:r>
        <w:t xml:space="preserve">with the submission </w:t>
      </w:r>
      <w:r w:rsidRPr="00A039A7">
        <w:t xml:space="preserve">that </w:t>
      </w:r>
      <w:r w:rsidRPr="00DB6546">
        <w:t>‘news and current affairs</w:t>
      </w:r>
      <w:r>
        <w:t xml:space="preserve"> programs</w:t>
      </w:r>
      <w:r w:rsidRPr="00A039A7">
        <w:t xml:space="preserve">’ </w:t>
      </w:r>
      <w:r w:rsidRPr="00DB6546">
        <w:t xml:space="preserve">should be understood as </w:t>
      </w:r>
      <w:r w:rsidR="007C48FB">
        <w:t>needing to</w:t>
      </w:r>
      <w:r w:rsidRPr="00DB6546">
        <w:t xml:space="preserve"> include elements of ‘news’ programming. The ACMA considers that</w:t>
      </w:r>
      <w:r w:rsidR="00DB3D19">
        <w:t>, in addition to combined news and current affairs content,</w:t>
      </w:r>
      <w:r w:rsidRPr="00DB6546">
        <w:t xml:space="preserve"> the term </w:t>
      </w:r>
      <w:r w:rsidR="00DB3D19">
        <w:t xml:space="preserve">should also be understood to refer to </w:t>
      </w:r>
      <w:r w:rsidRPr="00DB6546">
        <w:t xml:space="preserve">two </w:t>
      </w:r>
      <w:r w:rsidRPr="00A039A7">
        <w:t>progr</w:t>
      </w:r>
      <w:r w:rsidRPr="00DB6546">
        <w:t>amming</w:t>
      </w:r>
      <w:r>
        <w:t xml:space="preserve"> types</w:t>
      </w:r>
      <w:r w:rsidRPr="00A039A7">
        <w:t xml:space="preserve"> – ne</w:t>
      </w:r>
      <w:r w:rsidRPr="00DB6546">
        <w:t>ws programming</w:t>
      </w:r>
      <w:r w:rsidR="00211EA0">
        <w:t>,</w:t>
      </w:r>
      <w:r w:rsidRPr="00DB6546">
        <w:t xml:space="preserve"> and</w:t>
      </w:r>
      <w:r w:rsidR="00211EA0">
        <w:t xml:space="preserve"> separately,</w:t>
      </w:r>
      <w:r w:rsidRPr="00DB6546">
        <w:t xml:space="preserve"> current affairs programming.</w:t>
      </w:r>
      <w:r w:rsidR="00EE0F83">
        <w:t xml:space="preserve"> A program that is mainly devoted to discussion of current social, economic or political events of interest or importance to the public is commonly understood in the </w:t>
      </w:r>
      <w:r w:rsidR="000D53BC">
        <w:t>broadcasting</w:t>
      </w:r>
      <w:r w:rsidR="00EE0F83">
        <w:t xml:space="preserve"> industry, and by the general public, to be a current affairs program.</w:t>
      </w:r>
    </w:p>
    <w:p w14:paraId="3DD34125" w14:textId="7D23687E" w:rsidR="00BE1F00" w:rsidRDefault="00BE1F00" w:rsidP="00BE1F00">
      <w:pPr>
        <w:pStyle w:val="CommentText"/>
        <w:tabs>
          <w:tab w:val="left" w:pos="426"/>
        </w:tabs>
        <w:spacing w:before="120" w:line="240" w:lineRule="atLeast"/>
        <w:rPr>
          <w:i w:val="0"/>
          <w:iCs/>
        </w:rPr>
      </w:pPr>
      <w:r>
        <w:rPr>
          <w:i w:val="0"/>
          <w:iCs/>
        </w:rPr>
        <w:t xml:space="preserve">Having considered the </w:t>
      </w:r>
      <w:r w:rsidRPr="00A254B7">
        <w:rPr>
          <w:i w:val="0"/>
          <w:iCs/>
        </w:rPr>
        <w:t>program</w:t>
      </w:r>
      <w:r>
        <w:rPr>
          <w:i w:val="0"/>
          <w:iCs/>
        </w:rPr>
        <w:t xml:space="preserve"> </w:t>
      </w:r>
      <w:r w:rsidRPr="00963D97">
        <w:t>Ministry Now</w:t>
      </w:r>
      <w:r>
        <w:rPr>
          <w:i w:val="0"/>
          <w:iCs/>
        </w:rPr>
        <w:t xml:space="preserve">, which had a total duration of around 57 minutes, the ACMA </w:t>
      </w:r>
      <w:r w:rsidRPr="00C141C9">
        <w:rPr>
          <w:i w:val="0"/>
          <w:iCs/>
        </w:rPr>
        <w:t>consider</w:t>
      </w:r>
      <w:r>
        <w:rPr>
          <w:i w:val="0"/>
          <w:iCs/>
        </w:rPr>
        <w:t>s</w:t>
      </w:r>
      <w:r w:rsidRPr="00C141C9">
        <w:rPr>
          <w:i w:val="0"/>
          <w:iCs/>
        </w:rPr>
        <w:t xml:space="preserve"> </w:t>
      </w:r>
      <w:r>
        <w:rPr>
          <w:i w:val="0"/>
          <w:iCs/>
        </w:rPr>
        <w:t>that the</w:t>
      </w:r>
      <w:r w:rsidRPr="00C141C9">
        <w:rPr>
          <w:i w:val="0"/>
          <w:iCs/>
        </w:rPr>
        <w:t xml:space="preserve"> </w:t>
      </w:r>
      <w:r>
        <w:rPr>
          <w:i w:val="0"/>
          <w:iCs/>
        </w:rPr>
        <w:t>p</w:t>
      </w:r>
      <w:r w:rsidRPr="00C141C9">
        <w:rPr>
          <w:i w:val="0"/>
          <w:iCs/>
        </w:rPr>
        <w:t>rogram</w:t>
      </w:r>
      <w:r>
        <w:rPr>
          <w:i w:val="0"/>
          <w:iCs/>
        </w:rPr>
        <w:t xml:space="preserve"> was a</w:t>
      </w:r>
      <w:r w:rsidRPr="00C141C9">
        <w:rPr>
          <w:i w:val="0"/>
          <w:iCs/>
        </w:rPr>
        <w:t xml:space="preserve"> current affairs program</w:t>
      </w:r>
      <w:r>
        <w:rPr>
          <w:i w:val="0"/>
          <w:iCs/>
        </w:rPr>
        <w:t xml:space="preserve"> for the purposes of the Code. While the program included approximately 22 minutes of </w:t>
      </w:r>
      <w:bookmarkStart w:id="3" w:name="_Hlk113430126"/>
      <w:r>
        <w:rPr>
          <w:i w:val="0"/>
          <w:iCs/>
        </w:rPr>
        <w:t>other content, such as songs and references to scripture</w:t>
      </w:r>
      <w:bookmarkEnd w:id="3"/>
      <w:r>
        <w:rPr>
          <w:i w:val="0"/>
          <w:iCs/>
        </w:rPr>
        <w:t xml:space="preserve">, the majority of the program – 62% – was focussed on COVID-19 – which was </w:t>
      </w:r>
      <w:bookmarkStart w:id="4" w:name="_Hlk113429999"/>
      <w:r>
        <w:rPr>
          <w:i w:val="0"/>
          <w:iCs/>
        </w:rPr>
        <w:t xml:space="preserve">a topic of </w:t>
      </w:r>
      <w:r w:rsidR="001450FB">
        <w:rPr>
          <w:i w:val="0"/>
          <w:iCs/>
        </w:rPr>
        <w:t xml:space="preserve">significant </w:t>
      </w:r>
      <w:r>
        <w:rPr>
          <w:i w:val="0"/>
          <w:iCs/>
        </w:rPr>
        <w:t xml:space="preserve">social, economic and political interest globally at the time </w:t>
      </w:r>
      <w:r w:rsidR="00310BFB">
        <w:rPr>
          <w:i w:val="0"/>
          <w:iCs/>
        </w:rPr>
        <w:t>of the</w:t>
      </w:r>
      <w:r w:rsidR="001F4288">
        <w:rPr>
          <w:i w:val="0"/>
          <w:iCs/>
        </w:rPr>
        <w:t xml:space="preserve"> </w:t>
      </w:r>
      <w:r>
        <w:rPr>
          <w:i w:val="0"/>
          <w:iCs/>
        </w:rPr>
        <w:t>broadcast</w:t>
      </w:r>
      <w:bookmarkEnd w:id="4"/>
      <w:r>
        <w:rPr>
          <w:i w:val="0"/>
          <w:iCs/>
        </w:rPr>
        <w:t>. B</w:t>
      </w:r>
      <w:r w:rsidRPr="00C141C9">
        <w:rPr>
          <w:i w:val="0"/>
          <w:iCs/>
        </w:rPr>
        <w:t>ased on th</w:t>
      </w:r>
      <w:r>
        <w:rPr>
          <w:i w:val="0"/>
          <w:iCs/>
        </w:rPr>
        <w:t>e ordinary meaning of the term ‘current affairs’</w:t>
      </w:r>
      <w:r w:rsidR="0018510E">
        <w:rPr>
          <w:i w:val="0"/>
          <w:iCs/>
        </w:rPr>
        <w:t>,</w:t>
      </w:r>
      <w:r>
        <w:rPr>
          <w:i w:val="0"/>
          <w:iCs/>
        </w:rPr>
        <w:t xml:space="preserve"> as well as its common industry understanding, and the proportion of the program dedicated to current affairs content, the ACMA considers that the program as broadcast was a current affairs program.</w:t>
      </w:r>
      <w:r w:rsidRPr="00C141C9">
        <w:rPr>
          <w:i w:val="0"/>
          <w:iCs/>
        </w:rPr>
        <w:t xml:space="preserve"> </w:t>
      </w:r>
      <w:r>
        <w:rPr>
          <w:i w:val="0"/>
          <w:iCs/>
        </w:rPr>
        <w:t xml:space="preserve">The relevant </w:t>
      </w:r>
      <w:bookmarkStart w:id="5" w:name="_Hlk113430020"/>
      <w:r w:rsidRPr="00963D97">
        <w:t>Joni Table Talk</w:t>
      </w:r>
      <w:r>
        <w:rPr>
          <w:i w:val="0"/>
          <w:iCs/>
        </w:rPr>
        <w:t xml:space="preserve"> </w:t>
      </w:r>
      <w:bookmarkEnd w:id="5"/>
      <w:r>
        <w:rPr>
          <w:i w:val="0"/>
          <w:iCs/>
        </w:rPr>
        <w:t xml:space="preserve">program consisted solely of a discussion related to COVID-19 and was therefore also a current affairs program. </w:t>
      </w:r>
    </w:p>
    <w:p w14:paraId="5F8C042B" w14:textId="5A82F56D" w:rsidR="001479EB" w:rsidRDefault="001479EB" w:rsidP="001479EB">
      <w:pPr>
        <w:pStyle w:val="CommentText"/>
        <w:tabs>
          <w:tab w:val="left" w:pos="426"/>
        </w:tabs>
        <w:spacing w:before="120" w:line="240" w:lineRule="atLeast"/>
        <w:rPr>
          <w:i w:val="0"/>
          <w:iCs/>
        </w:rPr>
      </w:pPr>
      <w:r>
        <w:rPr>
          <w:i w:val="0"/>
          <w:iCs/>
        </w:rPr>
        <w:t xml:space="preserve">The Licensee </w:t>
      </w:r>
      <w:r w:rsidR="00997EA0">
        <w:rPr>
          <w:i w:val="0"/>
          <w:iCs/>
        </w:rPr>
        <w:t xml:space="preserve">further </w:t>
      </w:r>
      <w:r>
        <w:rPr>
          <w:i w:val="0"/>
          <w:iCs/>
        </w:rPr>
        <w:t>submitted that, in determining that the Programs were current affairs programs, the ACMA had not considered the context and audience of the Programs and that ‘[a]</w:t>
      </w:r>
      <w:r w:rsidRPr="00951723">
        <w:rPr>
          <w:i w:val="0"/>
          <w:iCs/>
          <w:lang w:val="en-US"/>
        </w:rPr>
        <w:t>lthough episodes of the Programs may, on occasion, discuss current issues or events, such discussion always has a faith</w:t>
      </w:r>
      <w:r w:rsidRPr="00951723">
        <w:rPr>
          <w:rFonts w:ascii="Cambria Math" w:hAnsi="Cambria Math" w:cs="Cambria Math"/>
          <w:i w:val="0"/>
          <w:iCs/>
          <w:lang w:val="en-US"/>
        </w:rPr>
        <w:t>‐</w:t>
      </w:r>
      <w:r w:rsidRPr="00951723">
        <w:rPr>
          <w:i w:val="0"/>
          <w:iCs/>
          <w:lang w:val="en-US"/>
        </w:rPr>
        <w:t>based focus (and no other focus) and is firmly based in a religious contex</w:t>
      </w:r>
      <w:r>
        <w:rPr>
          <w:i w:val="0"/>
          <w:iCs/>
          <w:lang w:val="en-US"/>
        </w:rPr>
        <w:t>t’</w:t>
      </w:r>
      <w:r w:rsidRPr="00347106">
        <w:rPr>
          <w:i w:val="0"/>
          <w:iCs/>
        </w:rPr>
        <w:t xml:space="preserve">. </w:t>
      </w:r>
    </w:p>
    <w:p w14:paraId="5AD47949" w14:textId="5F473A96" w:rsidR="00577199" w:rsidRDefault="001479EB" w:rsidP="001479EB">
      <w:pPr>
        <w:pStyle w:val="CommentText"/>
        <w:tabs>
          <w:tab w:val="left" w:pos="426"/>
        </w:tabs>
        <w:spacing w:before="120" w:line="240" w:lineRule="atLeast"/>
        <w:rPr>
          <w:i w:val="0"/>
          <w:iCs/>
        </w:rPr>
      </w:pPr>
      <w:r>
        <w:rPr>
          <w:i w:val="0"/>
          <w:iCs/>
        </w:rPr>
        <w:t xml:space="preserve">Noting the lack of definition of news and current affairs programs under the Code, the Licensee referred to </w:t>
      </w:r>
      <w:r w:rsidR="0018510E">
        <w:rPr>
          <w:i w:val="0"/>
          <w:iCs/>
        </w:rPr>
        <w:t xml:space="preserve">the </w:t>
      </w:r>
      <w:r>
        <w:rPr>
          <w:i w:val="0"/>
          <w:iCs/>
        </w:rPr>
        <w:t>definition</w:t>
      </w:r>
      <w:r w:rsidR="0018510E">
        <w:rPr>
          <w:i w:val="0"/>
          <w:iCs/>
        </w:rPr>
        <w:t xml:space="preserve"> in</w:t>
      </w:r>
      <w:r>
        <w:rPr>
          <w:i w:val="0"/>
          <w:iCs/>
        </w:rPr>
        <w:t xml:space="preserve"> the Broadcast Code </w:t>
      </w:r>
      <w:r w:rsidR="0018510E">
        <w:rPr>
          <w:i w:val="0"/>
          <w:iCs/>
        </w:rPr>
        <w:t xml:space="preserve">noted above, </w:t>
      </w:r>
      <w:r>
        <w:rPr>
          <w:i w:val="0"/>
          <w:iCs/>
        </w:rPr>
        <w:t>and</w:t>
      </w:r>
      <w:r w:rsidR="0018510E">
        <w:rPr>
          <w:i w:val="0"/>
          <w:iCs/>
        </w:rPr>
        <w:t xml:space="preserve"> to</w:t>
      </w:r>
      <w:r>
        <w:rPr>
          <w:i w:val="0"/>
          <w:iCs/>
        </w:rPr>
        <w:t xml:space="preserve"> section 130ZK of the BSA</w:t>
      </w:r>
      <w:r w:rsidR="00525288">
        <w:rPr>
          <w:i w:val="0"/>
          <w:iCs/>
        </w:rPr>
        <w:t xml:space="preserve"> that defines a current affairs program</w:t>
      </w:r>
      <w:r w:rsidR="00577199">
        <w:rPr>
          <w:i w:val="0"/>
          <w:iCs/>
        </w:rPr>
        <w:t xml:space="preserve"> as one:</w:t>
      </w:r>
    </w:p>
    <w:p w14:paraId="11145B00" w14:textId="3DF04295" w:rsidR="00577199" w:rsidRPr="00577199" w:rsidRDefault="00577199" w:rsidP="00577199">
      <w:pPr>
        <w:pStyle w:val="CommentText"/>
        <w:spacing w:before="120" w:after="0"/>
        <w:ind w:left="709"/>
        <w:rPr>
          <w:rFonts w:cs="Arial"/>
          <w:i w:val="0"/>
          <w:iCs/>
          <w:sz w:val="18"/>
          <w:szCs w:val="18"/>
        </w:rPr>
      </w:pPr>
      <w:r w:rsidRPr="00577199">
        <w:rPr>
          <w:rFonts w:cs="Arial"/>
          <w:i w:val="0"/>
          <w:iCs/>
          <w:sz w:val="18"/>
          <w:szCs w:val="18"/>
        </w:rPr>
        <w:t>… whose sole or dominant purpose is to provide analysis, commentary or discussion principally designed to inform the general community about social, economic or political issues of current relevance to the general community</w:t>
      </w:r>
      <w:r w:rsidR="0018510E" w:rsidRPr="00577199">
        <w:rPr>
          <w:rFonts w:cs="Arial"/>
          <w:i w:val="0"/>
          <w:iCs/>
          <w:sz w:val="18"/>
          <w:szCs w:val="18"/>
        </w:rPr>
        <w:t xml:space="preserve">. </w:t>
      </w:r>
    </w:p>
    <w:p w14:paraId="1988D172" w14:textId="2044A133" w:rsidR="001479EB" w:rsidRDefault="0018510E" w:rsidP="001479EB">
      <w:pPr>
        <w:pStyle w:val="CommentText"/>
        <w:tabs>
          <w:tab w:val="left" w:pos="426"/>
        </w:tabs>
        <w:spacing w:before="120" w:line="240" w:lineRule="atLeast"/>
        <w:rPr>
          <w:i w:val="0"/>
          <w:iCs/>
        </w:rPr>
      </w:pPr>
      <w:r>
        <w:rPr>
          <w:i w:val="0"/>
          <w:iCs/>
        </w:rPr>
        <w:lastRenderedPageBreak/>
        <w:t>The Licensee</w:t>
      </w:r>
      <w:r w:rsidR="001479EB">
        <w:rPr>
          <w:i w:val="0"/>
          <w:iCs/>
        </w:rPr>
        <w:t xml:space="preserve"> argued that a current affairs </w:t>
      </w:r>
      <w:r w:rsidR="001479EB" w:rsidRPr="00585EC5">
        <w:rPr>
          <w:i w:val="0"/>
          <w:iCs/>
        </w:rPr>
        <w:t xml:space="preserve">program </w:t>
      </w:r>
      <w:r w:rsidR="001479EB">
        <w:rPr>
          <w:i w:val="0"/>
          <w:iCs/>
        </w:rPr>
        <w:t>‘</w:t>
      </w:r>
      <w:r w:rsidR="001479EB" w:rsidRPr="00585EC5">
        <w:rPr>
          <w:i w:val="0"/>
          <w:iCs/>
        </w:rPr>
        <w:t xml:space="preserve">reports on or provides analysis, commentary or discussion </w:t>
      </w:r>
      <w:r w:rsidR="001479EB" w:rsidRPr="002E46F5">
        <w:rPr>
          <w:i w:val="0"/>
          <w:iCs/>
          <w:u w:val="single"/>
        </w:rPr>
        <w:t>designed to inform the general community</w:t>
      </w:r>
      <w:r w:rsidR="001479EB">
        <w:rPr>
          <w:i w:val="0"/>
          <w:iCs/>
        </w:rPr>
        <w:t>’</w:t>
      </w:r>
      <w:r w:rsidR="00310BFB">
        <w:rPr>
          <w:i w:val="0"/>
          <w:iCs/>
        </w:rPr>
        <w:t xml:space="preserve"> (emphasis in Licensee submission)</w:t>
      </w:r>
      <w:r w:rsidR="001479EB" w:rsidRPr="00585EC5">
        <w:rPr>
          <w:i w:val="0"/>
          <w:iCs/>
        </w:rPr>
        <w:t>.</w:t>
      </w:r>
      <w:r w:rsidR="001479EB">
        <w:rPr>
          <w:i w:val="0"/>
          <w:iCs/>
        </w:rPr>
        <w:t xml:space="preserve"> </w:t>
      </w:r>
    </w:p>
    <w:p w14:paraId="79AF9A9A" w14:textId="2DA60826" w:rsidR="005A1322" w:rsidRDefault="005A1322" w:rsidP="005A1322">
      <w:pPr>
        <w:pStyle w:val="CommentText"/>
        <w:tabs>
          <w:tab w:val="left" w:pos="426"/>
        </w:tabs>
        <w:spacing w:before="120" w:line="240" w:lineRule="atLeast"/>
        <w:rPr>
          <w:i w:val="0"/>
          <w:iCs/>
          <w:lang w:val="en-US"/>
        </w:rPr>
      </w:pPr>
      <w:r>
        <w:rPr>
          <w:i w:val="0"/>
          <w:lang w:val="en-US"/>
        </w:rPr>
        <w:t>The ACMA agrees with the Licensee that the definition provided under section</w:t>
      </w:r>
      <w:r>
        <w:rPr>
          <w:i w:val="0"/>
          <w:iCs/>
          <w:lang w:val="en-US"/>
        </w:rPr>
        <w:t xml:space="preserve"> 130ZK of the BSA provides some guidance as to, and accords with, the ordinary meaning and common understanding of the term ‘current affairs’ program. </w:t>
      </w:r>
      <w:r w:rsidR="00B31C3D">
        <w:rPr>
          <w:i w:val="0"/>
          <w:iCs/>
          <w:lang w:val="en-US"/>
        </w:rPr>
        <w:t xml:space="preserve">That definition also </w:t>
      </w:r>
      <w:r w:rsidR="00CE7C11">
        <w:rPr>
          <w:i w:val="0"/>
          <w:iCs/>
          <w:lang w:val="en-US"/>
        </w:rPr>
        <w:t xml:space="preserve">requires consideration of </w:t>
      </w:r>
      <w:r>
        <w:rPr>
          <w:i w:val="0"/>
          <w:iCs/>
          <w:lang w:val="en-US"/>
        </w:rPr>
        <w:t xml:space="preserve">the ‘sole or dominant purpose’ of the Programs. </w:t>
      </w:r>
    </w:p>
    <w:p w14:paraId="2D287B5A" w14:textId="0DA09066" w:rsidR="001450FB" w:rsidRDefault="001479EB" w:rsidP="00933F2A">
      <w:pPr>
        <w:pStyle w:val="CommentText"/>
        <w:tabs>
          <w:tab w:val="left" w:pos="426"/>
        </w:tabs>
        <w:spacing w:before="120" w:after="120" w:line="240" w:lineRule="atLeast"/>
        <w:rPr>
          <w:i w:val="0"/>
          <w:iCs/>
        </w:rPr>
      </w:pPr>
      <w:r>
        <w:rPr>
          <w:i w:val="0"/>
          <w:iCs/>
        </w:rPr>
        <w:t>The Licensee also submitted that</w:t>
      </w:r>
      <w:r w:rsidR="00080073">
        <w:rPr>
          <w:i w:val="0"/>
          <w:iCs/>
        </w:rPr>
        <w:t>:</w:t>
      </w:r>
      <w:r>
        <w:rPr>
          <w:i w:val="0"/>
          <w:iCs/>
        </w:rPr>
        <w:t xml:space="preserve"> </w:t>
      </w:r>
    </w:p>
    <w:p w14:paraId="3AAC293A" w14:textId="763A1444" w:rsidR="008B1F95" w:rsidRPr="00FF6377" w:rsidRDefault="001479EB" w:rsidP="00FF6377">
      <w:pPr>
        <w:pStyle w:val="CommentText"/>
        <w:tabs>
          <w:tab w:val="left" w:pos="426"/>
        </w:tabs>
        <w:spacing w:before="120" w:line="240" w:lineRule="atLeast"/>
        <w:ind w:left="709"/>
        <w:rPr>
          <w:i w:val="0"/>
          <w:sz w:val="18"/>
          <w:szCs w:val="18"/>
          <w:lang w:val="en-US"/>
        </w:rPr>
      </w:pPr>
      <w:r w:rsidRPr="00FF6377">
        <w:rPr>
          <w:i w:val="0"/>
          <w:iCs/>
          <w:sz w:val="18"/>
          <w:szCs w:val="18"/>
        </w:rPr>
        <w:t>‘</w:t>
      </w:r>
      <w:r w:rsidRPr="00FF6377">
        <w:rPr>
          <w:i w:val="0"/>
          <w:sz w:val="18"/>
          <w:szCs w:val="18"/>
          <w:lang w:val="en-US"/>
        </w:rPr>
        <w:t>[t]he mere discussion of current events or issues of public importance in an episode of a program which otherwise clearly does not constitute a current affairs program is incapable, without more, of rendering that program as a news and current affairs program.’</w:t>
      </w:r>
      <w:r w:rsidR="008B1F95" w:rsidRPr="00FF6377">
        <w:rPr>
          <w:i w:val="0"/>
          <w:sz w:val="18"/>
          <w:szCs w:val="18"/>
          <w:lang w:val="en-US"/>
        </w:rPr>
        <w:t xml:space="preserve"> </w:t>
      </w:r>
    </w:p>
    <w:p w14:paraId="5052252E" w14:textId="24E4C800" w:rsidR="008B1F95" w:rsidRPr="008B1F95" w:rsidRDefault="008B1F95" w:rsidP="001479EB">
      <w:pPr>
        <w:pStyle w:val="CommentText"/>
        <w:tabs>
          <w:tab w:val="left" w:pos="426"/>
        </w:tabs>
        <w:spacing w:before="120" w:line="240" w:lineRule="atLeast"/>
        <w:rPr>
          <w:i w:val="0"/>
          <w:iCs/>
        </w:rPr>
      </w:pPr>
      <w:r>
        <w:rPr>
          <w:i w:val="0"/>
          <w:lang w:val="en-US"/>
        </w:rPr>
        <w:t xml:space="preserve">Further, the Licensee </w:t>
      </w:r>
      <w:r>
        <w:rPr>
          <w:i w:val="0"/>
          <w:iCs/>
        </w:rPr>
        <w:t>was concerned that the ‘breadth’ of the ACMA’s application of the Code could result in reality TV or animated comedy being considered current affairs programs. The ACMA disagrees that this is the logical conclusion of its assessment of this particular program.</w:t>
      </w:r>
    </w:p>
    <w:p w14:paraId="7268027E" w14:textId="18D79E90" w:rsidR="00A81926" w:rsidRDefault="001479EB" w:rsidP="001479EB">
      <w:pPr>
        <w:pStyle w:val="CommentText"/>
        <w:tabs>
          <w:tab w:val="left" w:pos="426"/>
        </w:tabs>
        <w:spacing w:before="120" w:line="240" w:lineRule="atLeast"/>
        <w:rPr>
          <w:i w:val="0"/>
          <w:lang w:val="en-US"/>
        </w:rPr>
      </w:pPr>
      <w:r>
        <w:rPr>
          <w:i w:val="0"/>
          <w:lang w:val="en-US"/>
        </w:rPr>
        <w:t xml:space="preserve">The ACMA considers that particular episodes </w:t>
      </w:r>
      <w:r w:rsidR="00310BFB">
        <w:rPr>
          <w:i w:val="0"/>
          <w:lang w:val="en-US"/>
        </w:rPr>
        <w:t xml:space="preserve">of serial programs </w:t>
      </w:r>
      <w:r>
        <w:rPr>
          <w:i w:val="0"/>
          <w:lang w:val="en-US"/>
        </w:rPr>
        <w:t xml:space="preserve">can, </w:t>
      </w:r>
      <w:r w:rsidR="00310BFB">
        <w:rPr>
          <w:i w:val="0"/>
          <w:lang w:val="en-US"/>
        </w:rPr>
        <w:t xml:space="preserve">and </w:t>
      </w:r>
      <w:r>
        <w:rPr>
          <w:i w:val="0"/>
          <w:lang w:val="en-US"/>
        </w:rPr>
        <w:t>should be</w:t>
      </w:r>
      <w:r w:rsidR="00310BFB">
        <w:rPr>
          <w:i w:val="0"/>
          <w:lang w:val="en-US"/>
        </w:rPr>
        <w:t>,</w:t>
      </w:r>
      <w:r>
        <w:rPr>
          <w:i w:val="0"/>
          <w:lang w:val="en-US"/>
        </w:rPr>
        <w:t xml:space="preserve"> assessed</w:t>
      </w:r>
      <w:r w:rsidR="00A1013B">
        <w:rPr>
          <w:i w:val="0"/>
          <w:lang w:val="en-US"/>
        </w:rPr>
        <w:t>, on a case by case basis,</w:t>
      </w:r>
      <w:r>
        <w:rPr>
          <w:i w:val="0"/>
          <w:lang w:val="en-US"/>
        </w:rPr>
        <w:t xml:space="preserve"> on their own merits – as the ACMA has done in this investigation. That a program is promoted as a faith-based </w:t>
      </w:r>
      <w:r w:rsidR="00E94BCF">
        <w:rPr>
          <w:i w:val="0"/>
          <w:lang w:val="en-US"/>
        </w:rPr>
        <w:t>program and</w:t>
      </w:r>
      <w:r>
        <w:rPr>
          <w:i w:val="0"/>
          <w:lang w:val="en-US"/>
        </w:rPr>
        <w:t xml:space="preserve"> is provided on a faith-based </w:t>
      </w:r>
      <w:r w:rsidR="0018510E">
        <w:rPr>
          <w:i w:val="0"/>
          <w:lang w:val="en-US"/>
        </w:rPr>
        <w:t xml:space="preserve">broadcasting </w:t>
      </w:r>
      <w:r w:rsidR="00310BFB">
        <w:rPr>
          <w:i w:val="0"/>
          <w:lang w:val="en-US"/>
        </w:rPr>
        <w:t>service</w:t>
      </w:r>
      <w:r>
        <w:rPr>
          <w:i w:val="0"/>
          <w:lang w:val="en-US"/>
        </w:rPr>
        <w:t xml:space="preserve">, are secondary considerations </w:t>
      </w:r>
      <w:r w:rsidR="0018510E">
        <w:rPr>
          <w:i w:val="0"/>
          <w:lang w:val="en-US"/>
        </w:rPr>
        <w:t xml:space="preserve">in circumstances </w:t>
      </w:r>
      <w:r>
        <w:rPr>
          <w:i w:val="0"/>
          <w:lang w:val="en-US"/>
        </w:rPr>
        <w:t>where the program itself deals with matters</w:t>
      </w:r>
      <w:r w:rsidR="00A81926">
        <w:rPr>
          <w:i w:val="0"/>
          <w:lang w:val="en-US"/>
        </w:rPr>
        <w:t xml:space="preserve"> of general social or political interest and does not present the relevant material within the context of a faith-base</w:t>
      </w:r>
      <w:r w:rsidR="00A9190A">
        <w:rPr>
          <w:i w:val="0"/>
          <w:lang w:val="en-US"/>
        </w:rPr>
        <w:t>d</w:t>
      </w:r>
      <w:r w:rsidR="00A81926">
        <w:rPr>
          <w:i w:val="0"/>
          <w:lang w:val="en-US"/>
        </w:rPr>
        <w:t xml:space="preserve"> discussion</w:t>
      </w:r>
      <w:r w:rsidR="0018510E">
        <w:rPr>
          <w:i w:val="0"/>
          <w:lang w:val="en-US"/>
        </w:rPr>
        <w:t>. That</w:t>
      </w:r>
      <w:r w:rsidR="0018510E" w:rsidDel="00471E91">
        <w:rPr>
          <w:i w:val="0"/>
          <w:lang w:val="en-US"/>
        </w:rPr>
        <w:t xml:space="preserve"> </w:t>
      </w:r>
      <w:r w:rsidR="00A81926">
        <w:rPr>
          <w:i w:val="0"/>
          <w:lang w:val="en-US"/>
        </w:rPr>
        <w:t xml:space="preserve">was the case with the Programs. </w:t>
      </w:r>
    </w:p>
    <w:p w14:paraId="6472076E" w14:textId="38F3F2FE" w:rsidR="00A81926" w:rsidRPr="00A81926" w:rsidRDefault="00A81926" w:rsidP="001479EB">
      <w:pPr>
        <w:pStyle w:val="CommentText"/>
        <w:tabs>
          <w:tab w:val="left" w:pos="426"/>
        </w:tabs>
        <w:spacing w:before="120" w:line="240" w:lineRule="atLeast"/>
        <w:rPr>
          <w:i w:val="0"/>
          <w:lang w:val="en-US"/>
        </w:rPr>
      </w:pPr>
      <w:r>
        <w:rPr>
          <w:i w:val="0"/>
          <w:lang w:val="en-US"/>
        </w:rPr>
        <w:t>The ACMA considers it would be incorrect to charact</w:t>
      </w:r>
      <w:r w:rsidR="00310BFB">
        <w:rPr>
          <w:i w:val="0"/>
          <w:lang w:val="en-US"/>
        </w:rPr>
        <w:t>e</w:t>
      </w:r>
      <w:r>
        <w:rPr>
          <w:i w:val="0"/>
          <w:lang w:val="en-US"/>
        </w:rPr>
        <w:t xml:space="preserve">rise the relevant material in either </w:t>
      </w:r>
      <w:r w:rsidRPr="00997EA0">
        <w:rPr>
          <w:iCs/>
          <w:lang w:val="en-US"/>
        </w:rPr>
        <w:t>Ministry Now</w:t>
      </w:r>
      <w:r>
        <w:rPr>
          <w:i w:val="0"/>
          <w:lang w:val="en-US"/>
        </w:rPr>
        <w:t xml:space="preserve"> or </w:t>
      </w:r>
      <w:r w:rsidRPr="00997EA0">
        <w:rPr>
          <w:iCs/>
          <w:lang w:val="en-US"/>
        </w:rPr>
        <w:t>Joni Table Talk</w:t>
      </w:r>
      <w:r>
        <w:rPr>
          <w:i w:val="0"/>
          <w:lang w:val="en-US"/>
        </w:rPr>
        <w:t xml:space="preserve"> as </w:t>
      </w:r>
      <w:r w:rsidR="00A9190A">
        <w:rPr>
          <w:i w:val="0"/>
          <w:lang w:val="en-US"/>
        </w:rPr>
        <w:t>‘</w:t>
      </w:r>
      <w:r>
        <w:rPr>
          <w:i w:val="0"/>
          <w:lang w:val="en-US"/>
        </w:rPr>
        <w:t>mere discussion</w:t>
      </w:r>
      <w:r w:rsidR="00A9190A">
        <w:rPr>
          <w:i w:val="0"/>
          <w:lang w:val="en-US"/>
        </w:rPr>
        <w:t>’</w:t>
      </w:r>
      <w:r>
        <w:rPr>
          <w:i w:val="0"/>
          <w:lang w:val="en-US"/>
        </w:rPr>
        <w:t xml:space="preserve"> within a program that otherwise d</w:t>
      </w:r>
      <w:r w:rsidR="00A9190A">
        <w:rPr>
          <w:i w:val="0"/>
          <w:lang w:val="en-US"/>
        </w:rPr>
        <w:t>id</w:t>
      </w:r>
      <w:r>
        <w:rPr>
          <w:i w:val="0"/>
          <w:lang w:val="en-US"/>
        </w:rPr>
        <w:t xml:space="preserve"> not constitute a current affairs program. As noted above, the COV</w:t>
      </w:r>
      <w:r w:rsidR="00A9190A">
        <w:rPr>
          <w:i w:val="0"/>
          <w:lang w:val="en-US"/>
        </w:rPr>
        <w:t>I</w:t>
      </w:r>
      <w:r>
        <w:rPr>
          <w:i w:val="0"/>
          <w:lang w:val="en-US"/>
        </w:rPr>
        <w:t xml:space="preserve">D-19 discussion was the sole topic of discussion in </w:t>
      </w:r>
      <w:r w:rsidRPr="00997EA0">
        <w:rPr>
          <w:iCs/>
          <w:lang w:val="en-US"/>
        </w:rPr>
        <w:t>Joni Table Talk</w:t>
      </w:r>
      <w:r>
        <w:rPr>
          <w:i w:val="0"/>
          <w:lang w:val="en-US"/>
        </w:rPr>
        <w:t xml:space="preserve"> and comprised over 60% of the total program time in</w:t>
      </w:r>
      <w:r w:rsidRPr="00997EA0">
        <w:rPr>
          <w:iCs/>
          <w:lang w:val="en-US"/>
        </w:rPr>
        <w:t xml:space="preserve"> </w:t>
      </w:r>
      <w:bookmarkStart w:id="6" w:name="_Hlk119934433"/>
      <w:r w:rsidRPr="00997EA0">
        <w:rPr>
          <w:iCs/>
          <w:lang w:val="en-US"/>
        </w:rPr>
        <w:t>Ministry Now</w:t>
      </w:r>
      <w:r>
        <w:rPr>
          <w:i w:val="0"/>
          <w:lang w:val="en-US"/>
        </w:rPr>
        <w:t xml:space="preserve">. In both programs, the discussion of COVID-19 issues </w:t>
      </w:r>
      <w:r w:rsidR="00886AB7">
        <w:rPr>
          <w:i w:val="0"/>
          <w:lang w:val="en-US"/>
        </w:rPr>
        <w:t>was</w:t>
      </w:r>
      <w:r w:rsidR="00997EA0">
        <w:rPr>
          <w:i w:val="0"/>
          <w:lang w:val="en-US"/>
        </w:rPr>
        <w:t xml:space="preserve"> a prime focus, rather than incidental</w:t>
      </w:r>
      <w:r w:rsidR="00A9190A">
        <w:rPr>
          <w:i w:val="0"/>
          <w:lang w:val="en-US"/>
        </w:rPr>
        <w:t>,</w:t>
      </w:r>
      <w:r w:rsidR="00997EA0">
        <w:rPr>
          <w:i w:val="0"/>
          <w:lang w:val="en-US"/>
        </w:rPr>
        <w:t xml:space="preserve"> as the Licensee </w:t>
      </w:r>
      <w:r w:rsidR="00A9190A">
        <w:rPr>
          <w:i w:val="0"/>
          <w:lang w:val="en-US"/>
        </w:rPr>
        <w:t xml:space="preserve">appears to </w:t>
      </w:r>
      <w:r w:rsidR="00997EA0">
        <w:rPr>
          <w:i w:val="0"/>
          <w:lang w:val="en-US"/>
        </w:rPr>
        <w:t>suggest.</w:t>
      </w:r>
      <w:r>
        <w:rPr>
          <w:i w:val="0"/>
          <w:lang w:val="en-US"/>
        </w:rPr>
        <w:t xml:space="preserve"> </w:t>
      </w:r>
    </w:p>
    <w:p w14:paraId="64F77AB1" w14:textId="490F3978" w:rsidR="001479EB" w:rsidRPr="00BE1F00" w:rsidRDefault="00262A4D" w:rsidP="001479EB">
      <w:pPr>
        <w:pStyle w:val="CommentText"/>
        <w:tabs>
          <w:tab w:val="left" w:pos="426"/>
        </w:tabs>
        <w:spacing w:before="120" w:line="240" w:lineRule="atLeast"/>
        <w:rPr>
          <w:iCs/>
          <w:lang w:val="en-US"/>
        </w:rPr>
      </w:pPr>
      <w:r>
        <w:rPr>
          <w:i w:val="0"/>
          <w:iCs/>
          <w:lang w:val="en-US"/>
        </w:rPr>
        <w:t>The</w:t>
      </w:r>
      <w:r w:rsidR="001F336F">
        <w:rPr>
          <w:i w:val="0"/>
          <w:iCs/>
          <w:lang w:val="en-US"/>
        </w:rPr>
        <w:t xml:space="preserve"> ACMA</w:t>
      </w:r>
      <w:r>
        <w:rPr>
          <w:i w:val="0"/>
          <w:iCs/>
          <w:lang w:val="en-US"/>
        </w:rPr>
        <w:t>, therefore,</w:t>
      </w:r>
      <w:r w:rsidR="001F336F">
        <w:rPr>
          <w:i w:val="0"/>
          <w:iCs/>
          <w:lang w:val="en-US"/>
        </w:rPr>
        <w:t xml:space="preserve"> considers that the relevant episode of </w:t>
      </w:r>
      <w:r w:rsidR="001F336F">
        <w:rPr>
          <w:lang w:val="en-US"/>
        </w:rPr>
        <w:t>Joni Table Talk</w:t>
      </w:r>
      <w:r w:rsidR="001F336F">
        <w:rPr>
          <w:i w:val="0"/>
          <w:iCs/>
          <w:lang w:val="en-US"/>
        </w:rPr>
        <w:t xml:space="preserve"> had the sole purpose, and the relevant episode of </w:t>
      </w:r>
      <w:r w:rsidR="001F336F">
        <w:rPr>
          <w:lang w:val="en-US"/>
        </w:rPr>
        <w:t>Ministry Now</w:t>
      </w:r>
      <w:r w:rsidR="001F336F">
        <w:rPr>
          <w:i w:val="0"/>
          <w:iCs/>
          <w:lang w:val="en-US"/>
        </w:rPr>
        <w:t xml:space="preserve"> had the dominant purpose, of providing analysis, commentary and discussion which aimed to inform viewers about a social, economic and political issue of relevance to the general community</w:t>
      </w:r>
      <w:r w:rsidR="00AA0D04">
        <w:rPr>
          <w:i w:val="0"/>
          <w:iCs/>
          <w:lang w:val="en-US"/>
        </w:rPr>
        <w:t xml:space="preserve"> at that time</w:t>
      </w:r>
      <w:r w:rsidR="001F336F">
        <w:rPr>
          <w:i w:val="0"/>
          <w:iCs/>
          <w:lang w:val="en-US"/>
        </w:rPr>
        <w:t>.</w:t>
      </w:r>
      <w:r w:rsidR="00B31C3D">
        <w:rPr>
          <w:i w:val="0"/>
          <w:iCs/>
          <w:lang w:val="en-US"/>
        </w:rPr>
        <w:t xml:space="preserve"> </w:t>
      </w:r>
      <w:r w:rsidR="00724D80">
        <w:rPr>
          <w:i w:val="0"/>
          <w:iCs/>
          <w:lang w:val="en-US"/>
        </w:rPr>
        <w:t>The Programs were, therefore, current affairs programs.</w:t>
      </w:r>
      <w:bookmarkEnd w:id="6"/>
    </w:p>
    <w:p w14:paraId="671E3DAF" w14:textId="681136C7" w:rsidR="00C202F0" w:rsidRPr="00C27A8D" w:rsidRDefault="00C202F0" w:rsidP="00C202F0">
      <w:pPr>
        <w:pStyle w:val="ACMANumberedList"/>
        <w:numPr>
          <w:ilvl w:val="0"/>
          <w:numId w:val="0"/>
        </w:numPr>
        <w:tabs>
          <w:tab w:val="center" w:pos="426"/>
        </w:tabs>
        <w:spacing w:before="120" w:after="120"/>
        <w:rPr>
          <w:rFonts w:ascii="Arial" w:hAnsi="Arial" w:cs="Arial"/>
          <w:sz w:val="20"/>
        </w:rPr>
      </w:pPr>
      <w:r w:rsidRPr="00C27A8D">
        <w:rPr>
          <w:rFonts w:ascii="Arial" w:hAnsi="Arial" w:cs="Arial"/>
          <w:sz w:val="20"/>
        </w:rPr>
        <w:t xml:space="preserve">The Licensee </w:t>
      </w:r>
      <w:r w:rsidR="00BE1F00">
        <w:rPr>
          <w:rFonts w:ascii="Arial" w:hAnsi="Arial" w:cs="Arial"/>
          <w:sz w:val="20"/>
        </w:rPr>
        <w:t xml:space="preserve">further </w:t>
      </w:r>
      <w:r w:rsidR="00997EA0">
        <w:rPr>
          <w:rFonts w:ascii="Arial" w:hAnsi="Arial" w:cs="Arial"/>
          <w:sz w:val="20"/>
        </w:rPr>
        <w:t xml:space="preserve">submitted </w:t>
      </w:r>
      <w:r w:rsidR="00BE1F00">
        <w:rPr>
          <w:rFonts w:ascii="Arial" w:hAnsi="Arial" w:cs="Arial"/>
          <w:sz w:val="20"/>
        </w:rPr>
        <w:t xml:space="preserve">that the </w:t>
      </w:r>
      <w:r w:rsidR="00997EA0">
        <w:rPr>
          <w:rFonts w:ascii="Arial" w:hAnsi="Arial" w:cs="Arial"/>
          <w:sz w:val="20"/>
        </w:rPr>
        <w:t xml:space="preserve">ACMA </w:t>
      </w:r>
      <w:r w:rsidRPr="00C27A8D">
        <w:rPr>
          <w:rFonts w:ascii="Arial" w:hAnsi="Arial" w:cs="Arial"/>
          <w:sz w:val="20"/>
        </w:rPr>
        <w:t>wrongly applie</w:t>
      </w:r>
      <w:r w:rsidR="001F4288">
        <w:rPr>
          <w:rFonts w:ascii="Arial" w:hAnsi="Arial" w:cs="Arial"/>
          <w:sz w:val="20"/>
        </w:rPr>
        <w:t>d</w:t>
      </w:r>
      <w:r w:rsidRPr="00C27A8D">
        <w:rPr>
          <w:rFonts w:ascii="Arial" w:hAnsi="Arial" w:cs="Arial"/>
          <w:sz w:val="20"/>
        </w:rPr>
        <w:t xml:space="preserve"> clause 1.2 of the Code, </w:t>
      </w:r>
      <w:r w:rsidR="00A9190A">
        <w:rPr>
          <w:rFonts w:ascii="Arial" w:hAnsi="Arial" w:cs="Arial"/>
          <w:sz w:val="20"/>
        </w:rPr>
        <w:t xml:space="preserve">and </w:t>
      </w:r>
      <w:r w:rsidRPr="00C27A8D">
        <w:rPr>
          <w:rFonts w:ascii="Arial" w:hAnsi="Arial" w:cs="Arial"/>
          <w:sz w:val="20"/>
        </w:rPr>
        <w:t>assert</w:t>
      </w:r>
      <w:r w:rsidR="00A9190A">
        <w:rPr>
          <w:rFonts w:ascii="Arial" w:hAnsi="Arial" w:cs="Arial"/>
          <w:sz w:val="20"/>
        </w:rPr>
        <w:t>ed</w:t>
      </w:r>
      <w:r w:rsidRPr="00C27A8D">
        <w:rPr>
          <w:rFonts w:ascii="Arial" w:hAnsi="Arial" w:cs="Arial"/>
          <w:sz w:val="20"/>
        </w:rPr>
        <w:t xml:space="preserve"> that the Code requires consideration of the relevant program as a whole, and an inaccurate statement in a program does not render the whole program inaccurate:</w:t>
      </w:r>
    </w:p>
    <w:p w14:paraId="0E314B54" w14:textId="77777777" w:rsidR="00C202F0" w:rsidRPr="00C27A8D" w:rsidRDefault="00C202F0" w:rsidP="00FF6377">
      <w:pPr>
        <w:pStyle w:val="ACMANumberedList"/>
        <w:numPr>
          <w:ilvl w:val="0"/>
          <w:numId w:val="0"/>
        </w:numPr>
        <w:tabs>
          <w:tab w:val="center" w:pos="426"/>
        </w:tabs>
        <w:spacing w:before="120" w:after="240"/>
        <w:ind w:left="851"/>
        <w:rPr>
          <w:rFonts w:ascii="Arial" w:hAnsi="Arial" w:cs="Arial"/>
          <w:sz w:val="18"/>
          <w:szCs w:val="18"/>
        </w:rPr>
      </w:pPr>
      <w:r w:rsidRPr="00C27A8D">
        <w:rPr>
          <w:rFonts w:ascii="Arial" w:hAnsi="Arial" w:cs="Arial"/>
          <w:sz w:val="18"/>
          <w:szCs w:val="18"/>
        </w:rPr>
        <w:t>[…] Clause 1.2 does not permit a conclusion to the effect that any statement within a program which is found to be inaccurate necessarily means that the program itself, as a whole, would also be inaccurate and in breach of the clause. Rather, as indicated by sub</w:t>
      </w:r>
      <w:r w:rsidRPr="00C27A8D">
        <w:rPr>
          <w:rFonts w:ascii="Cambria Math" w:hAnsi="Cambria Math" w:cs="Cambria Math"/>
          <w:sz w:val="18"/>
          <w:szCs w:val="18"/>
        </w:rPr>
        <w:t>‐</w:t>
      </w:r>
      <w:r w:rsidRPr="00C27A8D">
        <w:rPr>
          <w:rFonts w:ascii="Arial" w:hAnsi="Arial" w:cs="Arial"/>
          <w:sz w:val="18"/>
          <w:szCs w:val="18"/>
        </w:rPr>
        <w:t>clauses (a) and (b), whether clause 1.2 has in fact been breached will depend on an examination of the statement in question and the nature of the program as a whole.</w:t>
      </w:r>
    </w:p>
    <w:p w14:paraId="42E684F0" w14:textId="49DDF20D" w:rsidR="005555CE" w:rsidRPr="00CA570E" w:rsidRDefault="00997EA0" w:rsidP="00FF6377">
      <w:pPr>
        <w:pStyle w:val="CommentText"/>
        <w:tabs>
          <w:tab w:val="left" w:pos="426"/>
        </w:tabs>
        <w:spacing w:before="120" w:after="120" w:line="240" w:lineRule="atLeast"/>
        <w:rPr>
          <w:i w:val="0"/>
          <w:iCs/>
        </w:rPr>
      </w:pPr>
      <w:r>
        <w:rPr>
          <w:i w:val="0"/>
          <w:iCs/>
        </w:rPr>
        <w:t>and that</w:t>
      </w:r>
      <w:r w:rsidR="005555CE" w:rsidRPr="00CA570E">
        <w:rPr>
          <w:i w:val="0"/>
          <w:iCs/>
        </w:rPr>
        <w:t>:</w:t>
      </w:r>
    </w:p>
    <w:p w14:paraId="2086B6CB" w14:textId="776F6F71" w:rsidR="005555CE" w:rsidRPr="00C15C73" w:rsidRDefault="005555CE" w:rsidP="005555CE">
      <w:pPr>
        <w:pStyle w:val="CommentText"/>
        <w:tabs>
          <w:tab w:val="left" w:pos="426"/>
        </w:tabs>
        <w:spacing w:before="120" w:line="240" w:lineRule="atLeast"/>
        <w:ind w:left="851"/>
        <w:rPr>
          <w:rFonts w:cs="Arial"/>
          <w:i w:val="0"/>
          <w:sz w:val="18"/>
          <w:szCs w:val="18"/>
        </w:rPr>
      </w:pPr>
      <w:r w:rsidRPr="00C15C73">
        <w:rPr>
          <w:rFonts w:cs="Arial"/>
          <w:i w:val="0"/>
          <w:sz w:val="18"/>
          <w:szCs w:val="18"/>
        </w:rPr>
        <w:t xml:space="preserve">[…] the accuracy provisions of the Subscription Broadcast Code and the Commercial TV Code only apply to specific types of factual statements in certain contexts – the presentation of “news” and “material facts” respectively. The difference between those provisions and the requirements in clause 1.2 of the Code make it necessary for the ACMA to adopt a different approach when analysing questions of accuracy in a narrowcast program. </w:t>
      </w:r>
    </w:p>
    <w:p w14:paraId="2B4C9A3B" w14:textId="42E41ABE" w:rsidR="00CA570E" w:rsidRPr="00CA570E" w:rsidRDefault="00997EA0" w:rsidP="00CA570E">
      <w:pPr>
        <w:pStyle w:val="CommentText"/>
        <w:tabs>
          <w:tab w:val="left" w:pos="426"/>
        </w:tabs>
        <w:spacing w:before="120" w:line="240" w:lineRule="atLeast"/>
        <w:rPr>
          <w:i w:val="0"/>
          <w:iCs/>
        </w:rPr>
      </w:pPr>
      <w:r>
        <w:rPr>
          <w:i w:val="0"/>
          <w:iCs/>
        </w:rPr>
        <w:lastRenderedPageBreak/>
        <w:t xml:space="preserve">The ACMA </w:t>
      </w:r>
      <w:bookmarkStart w:id="7" w:name="_Hlk119934720"/>
      <w:r w:rsidR="00D00BC9">
        <w:rPr>
          <w:i w:val="0"/>
          <w:iCs/>
        </w:rPr>
        <w:t>does not</w:t>
      </w:r>
      <w:r>
        <w:rPr>
          <w:i w:val="0"/>
          <w:iCs/>
        </w:rPr>
        <w:t xml:space="preserve"> accept either of these submissions. A finding that a program contains inaccurate factual statements does</w:t>
      </w:r>
      <w:r w:rsidR="00A9190A">
        <w:rPr>
          <w:i w:val="0"/>
          <w:iCs/>
        </w:rPr>
        <w:t xml:space="preserve"> not</w:t>
      </w:r>
      <w:r>
        <w:rPr>
          <w:i w:val="0"/>
          <w:iCs/>
        </w:rPr>
        <w:t xml:space="preserve"> </w:t>
      </w:r>
      <w:r w:rsidR="00A9190A">
        <w:rPr>
          <w:i w:val="0"/>
          <w:iCs/>
        </w:rPr>
        <w:t>imply</w:t>
      </w:r>
      <w:r>
        <w:rPr>
          <w:i w:val="0"/>
          <w:iCs/>
        </w:rPr>
        <w:t xml:space="preserve"> that the entire program was found to be inaccurate. </w:t>
      </w:r>
      <w:r w:rsidR="00A9190A">
        <w:rPr>
          <w:i w:val="0"/>
          <w:iCs/>
        </w:rPr>
        <w:t xml:space="preserve">The ACMA’s general approach to assessing accuracy in current affairs </w:t>
      </w:r>
      <w:r w:rsidR="00A11FFF">
        <w:rPr>
          <w:i w:val="0"/>
          <w:iCs/>
        </w:rPr>
        <w:t xml:space="preserve">programs </w:t>
      </w:r>
      <w:r w:rsidR="00A9190A">
        <w:rPr>
          <w:i w:val="0"/>
          <w:iCs/>
        </w:rPr>
        <w:t xml:space="preserve">is to </w:t>
      </w:r>
      <w:r w:rsidR="007553D8">
        <w:rPr>
          <w:i w:val="0"/>
          <w:iCs/>
        </w:rPr>
        <w:t xml:space="preserve">consider the program as a whole to </w:t>
      </w:r>
      <w:r w:rsidR="00A9190A">
        <w:rPr>
          <w:i w:val="0"/>
          <w:iCs/>
        </w:rPr>
        <w:t xml:space="preserve">ascertain </w:t>
      </w:r>
      <w:r w:rsidR="007553D8">
        <w:rPr>
          <w:i w:val="0"/>
          <w:iCs/>
        </w:rPr>
        <w:t xml:space="preserve">the editorial context. </w:t>
      </w:r>
      <w:r w:rsidR="00D03678">
        <w:rPr>
          <w:i w:val="0"/>
          <w:iCs/>
        </w:rPr>
        <w:t xml:space="preserve">It is within this context that the ACMA will </w:t>
      </w:r>
      <w:r w:rsidR="00175660">
        <w:rPr>
          <w:i w:val="0"/>
          <w:iCs/>
        </w:rPr>
        <w:t>consider</w:t>
      </w:r>
      <w:r w:rsidR="00AB3ED6">
        <w:rPr>
          <w:i w:val="0"/>
          <w:iCs/>
        </w:rPr>
        <w:t xml:space="preserve"> the accuracy of </w:t>
      </w:r>
      <w:r w:rsidR="00D00BC9">
        <w:rPr>
          <w:i w:val="0"/>
          <w:iCs/>
        </w:rPr>
        <w:t xml:space="preserve">individual </w:t>
      </w:r>
      <w:r w:rsidR="00B81E59">
        <w:rPr>
          <w:i w:val="0"/>
          <w:iCs/>
        </w:rPr>
        <w:t>relevant</w:t>
      </w:r>
      <w:r w:rsidR="00AB3ED6">
        <w:rPr>
          <w:i w:val="0"/>
          <w:iCs/>
        </w:rPr>
        <w:t xml:space="preserve"> statements</w:t>
      </w:r>
      <w:r w:rsidR="00175660">
        <w:rPr>
          <w:i w:val="0"/>
          <w:iCs/>
        </w:rPr>
        <w:t xml:space="preserve"> and their materiality within that context. Where the ACMA finds a statement was inaccurate, but </w:t>
      </w:r>
      <w:r w:rsidR="00C57CF8">
        <w:rPr>
          <w:i w:val="0"/>
          <w:iCs/>
        </w:rPr>
        <w:t xml:space="preserve">not material </w:t>
      </w:r>
      <w:r w:rsidR="00501DE4">
        <w:rPr>
          <w:i w:val="0"/>
          <w:iCs/>
        </w:rPr>
        <w:t>within</w:t>
      </w:r>
      <w:r w:rsidR="00C57CF8">
        <w:rPr>
          <w:i w:val="0"/>
          <w:iCs/>
        </w:rPr>
        <w:t xml:space="preserve"> the context of the program, the ACMA would </w:t>
      </w:r>
      <w:r w:rsidR="00501DE4">
        <w:rPr>
          <w:i w:val="0"/>
          <w:iCs/>
        </w:rPr>
        <w:t xml:space="preserve">be </w:t>
      </w:r>
      <w:r w:rsidR="000C409E">
        <w:rPr>
          <w:i w:val="0"/>
          <w:iCs/>
        </w:rPr>
        <w:t>unlikely to find a breach under the Code</w:t>
      </w:r>
      <w:r w:rsidR="001F336F">
        <w:rPr>
          <w:i w:val="0"/>
          <w:iCs/>
          <w:lang w:val="en-US"/>
        </w:rPr>
        <w:t>. If however</w:t>
      </w:r>
      <w:r w:rsidR="0098159F">
        <w:rPr>
          <w:i w:val="0"/>
          <w:iCs/>
          <w:lang w:val="en-US"/>
        </w:rPr>
        <w:t>,</w:t>
      </w:r>
      <w:r w:rsidR="001F336F">
        <w:rPr>
          <w:i w:val="0"/>
          <w:iCs/>
          <w:lang w:val="en-US"/>
        </w:rPr>
        <w:t xml:space="preserve"> </w:t>
      </w:r>
      <w:r w:rsidR="0098159F">
        <w:rPr>
          <w:i w:val="0"/>
          <w:iCs/>
          <w:lang w:val="en-US"/>
        </w:rPr>
        <w:t xml:space="preserve">a </w:t>
      </w:r>
      <w:r w:rsidR="00F6504D">
        <w:rPr>
          <w:i w:val="0"/>
          <w:iCs/>
          <w:lang w:val="en-US"/>
        </w:rPr>
        <w:t>factual</w:t>
      </w:r>
      <w:r w:rsidR="0098159F">
        <w:rPr>
          <w:i w:val="0"/>
          <w:iCs/>
          <w:lang w:val="en-US"/>
        </w:rPr>
        <w:t xml:space="preserve"> statement</w:t>
      </w:r>
      <w:r w:rsidR="001F336F">
        <w:rPr>
          <w:i w:val="0"/>
          <w:iCs/>
          <w:lang w:val="en-US"/>
        </w:rPr>
        <w:t xml:space="preserve">, whose materiality is significant to the program as a whole, is found to be inaccurate, then the licensee is likely to be found in breach of the </w:t>
      </w:r>
      <w:r w:rsidR="00401821">
        <w:rPr>
          <w:i w:val="0"/>
          <w:iCs/>
          <w:lang w:val="en-US"/>
        </w:rPr>
        <w:t>Code</w:t>
      </w:r>
      <w:r w:rsidR="001F336F">
        <w:rPr>
          <w:i w:val="0"/>
          <w:iCs/>
          <w:lang w:val="en-US"/>
        </w:rPr>
        <w:t>.</w:t>
      </w:r>
      <w:r w:rsidR="00401821">
        <w:rPr>
          <w:i w:val="0"/>
          <w:iCs/>
        </w:rPr>
        <w:t xml:space="preserve"> </w:t>
      </w:r>
      <w:r w:rsidR="00F6504D">
        <w:rPr>
          <w:i w:val="0"/>
          <w:iCs/>
        </w:rPr>
        <w:t>That</w:t>
      </w:r>
      <w:r w:rsidR="0095093C">
        <w:rPr>
          <w:i w:val="0"/>
          <w:iCs/>
        </w:rPr>
        <w:t xml:space="preserve"> is</w:t>
      </w:r>
      <w:r w:rsidR="00807BAF">
        <w:rPr>
          <w:i w:val="0"/>
          <w:iCs/>
        </w:rPr>
        <w:t>,</w:t>
      </w:r>
      <w:r w:rsidR="00F6504D">
        <w:rPr>
          <w:i w:val="0"/>
          <w:iCs/>
        </w:rPr>
        <w:t xml:space="preserve"> the approach taken by the </w:t>
      </w:r>
      <w:r w:rsidR="0095093C">
        <w:rPr>
          <w:i w:val="0"/>
          <w:iCs/>
        </w:rPr>
        <w:t>A</w:t>
      </w:r>
      <w:r w:rsidR="00F6504D">
        <w:rPr>
          <w:i w:val="0"/>
          <w:iCs/>
        </w:rPr>
        <w:t>CMA in this investigation</w:t>
      </w:r>
      <w:r w:rsidR="00886AB7">
        <w:rPr>
          <w:i w:val="0"/>
          <w:iCs/>
        </w:rPr>
        <w:t xml:space="preserve"> </w:t>
      </w:r>
      <w:r w:rsidR="00807BAF">
        <w:rPr>
          <w:i w:val="0"/>
          <w:iCs/>
        </w:rPr>
        <w:t xml:space="preserve">was </w:t>
      </w:r>
      <w:r w:rsidR="00886AB7">
        <w:rPr>
          <w:i w:val="0"/>
          <w:iCs/>
        </w:rPr>
        <w:t>to assess whether the Licensee ha</w:t>
      </w:r>
      <w:r w:rsidR="00807BAF">
        <w:rPr>
          <w:i w:val="0"/>
          <w:iCs/>
        </w:rPr>
        <w:t>d</w:t>
      </w:r>
      <w:r w:rsidR="00886AB7">
        <w:rPr>
          <w:i w:val="0"/>
          <w:iCs/>
        </w:rPr>
        <w:t xml:space="preserve"> complied with its obligation under the </w:t>
      </w:r>
      <w:r w:rsidR="00D71FE4">
        <w:rPr>
          <w:i w:val="0"/>
          <w:iCs/>
        </w:rPr>
        <w:t>Code to present accurate current affairs programs</w:t>
      </w:r>
      <w:r w:rsidR="0095093C" w:rsidDel="00471E91">
        <w:rPr>
          <w:i w:val="0"/>
          <w:iCs/>
        </w:rPr>
        <w:t>.</w:t>
      </w:r>
      <w:r w:rsidR="00F6504D" w:rsidDel="00471E91">
        <w:rPr>
          <w:i w:val="0"/>
          <w:iCs/>
        </w:rPr>
        <w:t xml:space="preserve"> </w:t>
      </w:r>
      <w:bookmarkEnd w:id="7"/>
    </w:p>
    <w:p w14:paraId="688E433C" w14:textId="4E576755" w:rsidR="00CA570E" w:rsidRDefault="00D00BC9" w:rsidP="00CA570E">
      <w:pPr>
        <w:pStyle w:val="CommentText"/>
        <w:tabs>
          <w:tab w:val="left" w:pos="426"/>
        </w:tabs>
        <w:spacing w:before="120" w:line="240" w:lineRule="atLeast"/>
        <w:rPr>
          <w:i w:val="0"/>
          <w:iCs/>
        </w:rPr>
      </w:pPr>
      <w:bookmarkStart w:id="8" w:name="_Hlk119935046"/>
      <w:r>
        <w:rPr>
          <w:i w:val="0"/>
          <w:iCs/>
        </w:rPr>
        <w:t xml:space="preserve">The </w:t>
      </w:r>
      <w:r w:rsidR="00A9190A">
        <w:rPr>
          <w:i w:val="0"/>
          <w:iCs/>
        </w:rPr>
        <w:t xml:space="preserve">ACMA </w:t>
      </w:r>
      <w:r>
        <w:rPr>
          <w:i w:val="0"/>
          <w:iCs/>
        </w:rPr>
        <w:t xml:space="preserve">also does not </w:t>
      </w:r>
      <w:r w:rsidR="00310BFB">
        <w:rPr>
          <w:i w:val="0"/>
          <w:iCs/>
        </w:rPr>
        <w:t xml:space="preserve">accept </w:t>
      </w:r>
      <w:r w:rsidR="00CA570E" w:rsidRPr="00CA570E">
        <w:rPr>
          <w:i w:val="0"/>
          <w:iCs/>
        </w:rPr>
        <w:t xml:space="preserve">the Licensee’s submission that the relevant statements should not be considered factual in character, as many were statements made by </w:t>
      </w:r>
      <w:r w:rsidR="0018510E">
        <w:rPr>
          <w:i w:val="0"/>
          <w:iCs/>
        </w:rPr>
        <w:t xml:space="preserve">qualified </w:t>
      </w:r>
      <w:r w:rsidR="00CA570E" w:rsidRPr="00CA570E">
        <w:rPr>
          <w:i w:val="0"/>
          <w:iCs/>
        </w:rPr>
        <w:t xml:space="preserve">medical </w:t>
      </w:r>
      <w:r w:rsidR="0018510E">
        <w:rPr>
          <w:i w:val="0"/>
          <w:iCs/>
        </w:rPr>
        <w:t>professional</w:t>
      </w:r>
      <w:r w:rsidR="00CA570E" w:rsidRPr="00CA570E">
        <w:rPr>
          <w:i w:val="0"/>
          <w:iCs/>
        </w:rPr>
        <w:t xml:space="preserve">s and all were made in the context of </w:t>
      </w:r>
      <w:r w:rsidR="00310BFB">
        <w:rPr>
          <w:i w:val="0"/>
          <w:iCs/>
        </w:rPr>
        <w:t>what were objectively</w:t>
      </w:r>
      <w:r w:rsidR="008B1F95">
        <w:rPr>
          <w:i w:val="0"/>
          <w:iCs/>
        </w:rPr>
        <w:t xml:space="preserve"> </w:t>
      </w:r>
      <w:r w:rsidR="00CA570E" w:rsidRPr="00CA570E">
        <w:rPr>
          <w:i w:val="0"/>
          <w:iCs/>
        </w:rPr>
        <w:t>factual discussion</w:t>
      </w:r>
      <w:r w:rsidR="00310BFB">
        <w:rPr>
          <w:i w:val="0"/>
          <w:iCs/>
        </w:rPr>
        <w:t>s</w:t>
      </w:r>
      <w:r w:rsidR="00CA570E" w:rsidRPr="00CA570E">
        <w:rPr>
          <w:i w:val="0"/>
          <w:iCs/>
        </w:rPr>
        <w:t xml:space="preserve"> of COVID-</w:t>
      </w:r>
      <w:r w:rsidR="00687BC8">
        <w:rPr>
          <w:i w:val="0"/>
          <w:iCs/>
        </w:rPr>
        <w:t xml:space="preserve">19. </w:t>
      </w:r>
      <w:r w:rsidR="00CA570E" w:rsidRPr="00CA570E">
        <w:rPr>
          <w:i w:val="0"/>
          <w:iCs/>
        </w:rPr>
        <w:t>While they were made in faith-based programs,</w:t>
      </w:r>
      <w:r w:rsidR="00310BFB">
        <w:rPr>
          <w:i w:val="0"/>
          <w:iCs/>
        </w:rPr>
        <w:t xml:space="preserve"> as noted above,</w:t>
      </w:r>
      <w:r w:rsidR="00CA570E" w:rsidRPr="00CA570E">
        <w:rPr>
          <w:i w:val="0"/>
          <w:iCs/>
        </w:rPr>
        <w:t xml:space="preserve"> the statements were not </w:t>
      </w:r>
      <w:r w:rsidR="00310BFB">
        <w:rPr>
          <w:i w:val="0"/>
          <w:iCs/>
        </w:rPr>
        <w:t xml:space="preserve">made within </w:t>
      </w:r>
      <w:r w:rsidR="000869BA">
        <w:rPr>
          <w:i w:val="0"/>
          <w:iCs/>
        </w:rPr>
        <w:t>a p</w:t>
      </w:r>
      <w:r w:rsidR="00310BFB">
        <w:rPr>
          <w:i w:val="0"/>
          <w:iCs/>
        </w:rPr>
        <w:t>roximate context of</w:t>
      </w:r>
      <w:r w:rsidR="00CA570E" w:rsidRPr="00CA570E">
        <w:rPr>
          <w:i w:val="0"/>
          <w:iCs/>
        </w:rPr>
        <w:t xml:space="preserve"> scripture</w:t>
      </w:r>
      <w:r w:rsidR="00310BFB">
        <w:rPr>
          <w:i w:val="0"/>
          <w:iCs/>
        </w:rPr>
        <w:t>,</w:t>
      </w:r>
      <w:r w:rsidR="00CA570E" w:rsidRPr="00CA570E">
        <w:rPr>
          <w:i w:val="0"/>
          <w:iCs/>
        </w:rPr>
        <w:t xml:space="preserve"> </w:t>
      </w:r>
      <w:r w:rsidR="00310BFB">
        <w:rPr>
          <w:i w:val="0"/>
          <w:iCs/>
        </w:rPr>
        <w:t>n</w:t>
      </w:r>
      <w:r w:rsidR="00CA570E" w:rsidRPr="00CA570E">
        <w:rPr>
          <w:i w:val="0"/>
          <w:iCs/>
        </w:rPr>
        <w:t>or</w:t>
      </w:r>
      <w:r w:rsidR="00310BFB">
        <w:rPr>
          <w:i w:val="0"/>
          <w:iCs/>
        </w:rPr>
        <w:t xml:space="preserve"> were they</w:t>
      </w:r>
      <w:r w:rsidR="00CA570E" w:rsidRPr="00CA570E">
        <w:rPr>
          <w:i w:val="0"/>
          <w:iCs/>
        </w:rPr>
        <w:t xml:space="preserve"> </w:t>
      </w:r>
      <w:r w:rsidR="000869BA">
        <w:rPr>
          <w:i w:val="0"/>
          <w:iCs/>
        </w:rPr>
        <w:t>discussed</w:t>
      </w:r>
      <w:r w:rsidR="00696AF3">
        <w:rPr>
          <w:i w:val="0"/>
          <w:iCs/>
        </w:rPr>
        <w:t xml:space="preserve"> </w:t>
      </w:r>
      <w:r w:rsidR="00CA570E" w:rsidRPr="00CA570E">
        <w:rPr>
          <w:i w:val="0"/>
          <w:iCs/>
        </w:rPr>
        <w:t>on</w:t>
      </w:r>
      <w:r w:rsidR="000869BA">
        <w:rPr>
          <w:i w:val="0"/>
          <w:iCs/>
        </w:rPr>
        <w:t xml:space="preserve"> a</w:t>
      </w:r>
      <w:r w:rsidR="00CA570E" w:rsidRPr="00CA570E">
        <w:rPr>
          <w:i w:val="0"/>
          <w:iCs/>
        </w:rPr>
        <w:t xml:space="preserve"> religious </w:t>
      </w:r>
      <w:r w:rsidR="000869BA">
        <w:rPr>
          <w:i w:val="0"/>
          <w:iCs/>
        </w:rPr>
        <w:t>basis</w:t>
      </w:r>
      <w:r w:rsidR="00310BFB">
        <w:rPr>
          <w:i w:val="0"/>
          <w:iCs/>
        </w:rPr>
        <w:t>. I</w:t>
      </w:r>
      <w:r w:rsidR="00CA570E" w:rsidRPr="00CA570E">
        <w:rPr>
          <w:i w:val="0"/>
          <w:iCs/>
        </w:rPr>
        <w:t>nstead</w:t>
      </w:r>
      <w:r w:rsidR="000869BA">
        <w:rPr>
          <w:i w:val="0"/>
          <w:iCs/>
        </w:rPr>
        <w:t>,</w:t>
      </w:r>
      <w:r w:rsidR="00CA570E" w:rsidRPr="00CA570E">
        <w:rPr>
          <w:i w:val="0"/>
          <w:iCs/>
        </w:rPr>
        <w:t xml:space="preserve"> they were </w:t>
      </w:r>
      <w:r w:rsidR="00687BC8">
        <w:rPr>
          <w:i w:val="0"/>
          <w:iCs/>
        </w:rPr>
        <w:t xml:space="preserve">presented </w:t>
      </w:r>
      <w:r w:rsidR="00310BFB">
        <w:rPr>
          <w:i w:val="0"/>
          <w:iCs/>
        </w:rPr>
        <w:t xml:space="preserve">in the context of </w:t>
      </w:r>
      <w:r w:rsidR="00CA570E" w:rsidRPr="00CA570E">
        <w:rPr>
          <w:i w:val="0"/>
          <w:iCs/>
        </w:rPr>
        <w:t>scientific studies or</w:t>
      </w:r>
      <w:r w:rsidR="000869BA">
        <w:rPr>
          <w:i w:val="0"/>
          <w:iCs/>
        </w:rPr>
        <w:t xml:space="preserve"> as</w:t>
      </w:r>
      <w:r w:rsidR="00CA570E" w:rsidRPr="00CA570E">
        <w:rPr>
          <w:i w:val="0"/>
          <w:iCs/>
        </w:rPr>
        <w:t xml:space="preserve"> the direct experience of medical</w:t>
      </w:r>
      <w:r w:rsidR="00310BFB">
        <w:rPr>
          <w:i w:val="0"/>
          <w:iCs/>
        </w:rPr>
        <w:t xml:space="preserve"> professionals</w:t>
      </w:r>
      <w:r w:rsidR="00696AF3">
        <w:rPr>
          <w:i w:val="0"/>
          <w:iCs/>
        </w:rPr>
        <w:t>,</w:t>
      </w:r>
      <w:r w:rsidR="00310BFB">
        <w:rPr>
          <w:i w:val="0"/>
          <w:iCs/>
        </w:rPr>
        <w:t xml:space="preserve"> without reference to religious considerations</w:t>
      </w:r>
      <w:r w:rsidR="00CA570E" w:rsidRPr="00CA570E">
        <w:rPr>
          <w:i w:val="0"/>
          <w:iCs/>
        </w:rPr>
        <w:t xml:space="preserve">.    </w:t>
      </w:r>
    </w:p>
    <w:bookmarkEnd w:id="8"/>
    <w:p w14:paraId="43D80BDC" w14:textId="42CFB89F" w:rsidR="00E030B7" w:rsidRDefault="00E030B7" w:rsidP="00310123">
      <w:pPr>
        <w:pStyle w:val="ACMAHeading2"/>
        <w:rPr>
          <w:i/>
          <w:iCs/>
          <w:snapToGrid w:val="0"/>
          <w:sz w:val="20"/>
        </w:rPr>
      </w:pPr>
      <w:r>
        <w:rPr>
          <w:i/>
          <w:iCs/>
          <w:snapToGrid w:val="0"/>
          <w:sz w:val="20"/>
        </w:rPr>
        <w:t xml:space="preserve">Reliance on </w:t>
      </w:r>
      <w:r w:rsidR="00882D6C">
        <w:rPr>
          <w:i/>
          <w:iCs/>
          <w:snapToGrid w:val="0"/>
          <w:sz w:val="20"/>
        </w:rPr>
        <w:t>clause</w:t>
      </w:r>
      <w:r>
        <w:rPr>
          <w:i/>
          <w:iCs/>
          <w:snapToGrid w:val="0"/>
          <w:sz w:val="20"/>
        </w:rPr>
        <w:t xml:space="preserve"> 1.9 of the Code </w:t>
      </w:r>
    </w:p>
    <w:p w14:paraId="08B25A27" w14:textId="39BE433E" w:rsidR="00AD35CD" w:rsidRPr="009036C0" w:rsidRDefault="00AD35CD" w:rsidP="00142D7E">
      <w:pPr>
        <w:pStyle w:val="ACMABodyText"/>
        <w:spacing w:after="120"/>
      </w:pPr>
      <w:r w:rsidRPr="009036C0">
        <w:t>The Licensee submitted</w:t>
      </w:r>
      <w:r w:rsidR="002C5825">
        <w:t xml:space="preserve"> in its initial response that</w:t>
      </w:r>
      <w:r w:rsidRPr="009036C0">
        <w:t xml:space="preserve">, in the event that the ACMA considered any of the statements under investigation were not accurate, it ‘further relies’ on the operation of clause 1.9 of the Code, on the grounds that: </w:t>
      </w:r>
    </w:p>
    <w:p w14:paraId="592F66E7" w14:textId="706CAF3F" w:rsidR="00AD35CD" w:rsidRPr="00AD35CD" w:rsidRDefault="00AD35CD" w:rsidP="00AD35CD">
      <w:pPr>
        <w:autoSpaceDE w:val="0"/>
        <w:autoSpaceDN w:val="0"/>
        <w:spacing w:before="0" w:after="0" w:line="240" w:lineRule="auto"/>
        <w:ind w:left="720"/>
        <w:rPr>
          <w:rFonts w:eastAsia="Calibri" w:cs="Arial"/>
          <w:i w:val="0"/>
          <w:sz w:val="18"/>
          <w:szCs w:val="18"/>
          <w:lang w:eastAsia="en-AU"/>
        </w:rPr>
      </w:pPr>
      <w:r w:rsidRPr="00AD35CD">
        <w:rPr>
          <w:rFonts w:eastAsia="Calibri" w:cs="Arial"/>
          <w:i w:val="0"/>
          <w:sz w:val="18"/>
          <w:szCs w:val="18"/>
          <w:lang w:eastAsia="en-AU"/>
        </w:rPr>
        <w:t xml:space="preserve">Foxtel has no practical control over the broadcast feed of the Channel, which is distributed by </w:t>
      </w:r>
      <w:r w:rsidRPr="009E5F2B">
        <w:rPr>
          <w:rFonts w:eastAsia="Calibri" w:cs="Arial"/>
          <w:i w:val="0"/>
          <w:sz w:val="18"/>
          <w:szCs w:val="18"/>
          <w:lang w:eastAsia="en-AU"/>
        </w:rPr>
        <w:t>Daystar worldwide</w:t>
      </w:r>
      <w:r w:rsidRPr="00AD35CD">
        <w:rPr>
          <w:rFonts w:eastAsia="Calibri" w:cs="Arial"/>
          <w:i w:val="0"/>
          <w:sz w:val="18"/>
          <w:szCs w:val="18"/>
          <w:lang w:eastAsia="en-AU"/>
        </w:rPr>
        <w:t xml:space="preserve"> and that the Licensee ‘has taken reasonable precautions and exercised due diligence to avoid a breach of </w:t>
      </w:r>
      <w:r>
        <w:rPr>
          <w:rFonts w:eastAsia="Calibri" w:cs="Arial"/>
          <w:i w:val="0"/>
          <w:sz w:val="18"/>
          <w:szCs w:val="18"/>
          <w:lang w:eastAsia="en-AU"/>
        </w:rPr>
        <w:t>[</w:t>
      </w:r>
      <w:r w:rsidRPr="00AD35CD">
        <w:rPr>
          <w:rFonts w:eastAsia="Calibri" w:cs="Arial"/>
          <w:i w:val="0"/>
          <w:sz w:val="18"/>
          <w:szCs w:val="18"/>
          <w:lang w:eastAsia="en-AU"/>
        </w:rPr>
        <w:t>the Code</w:t>
      </w:r>
      <w:r>
        <w:rPr>
          <w:rFonts w:eastAsia="Calibri" w:cs="Arial"/>
          <w:i w:val="0"/>
          <w:sz w:val="18"/>
          <w:szCs w:val="18"/>
          <w:lang w:eastAsia="en-AU"/>
        </w:rPr>
        <w:t>]</w:t>
      </w:r>
      <w:r w:rsidRPr="00AD35CD">
        <w:rPr>
          <w:rFonts w:eastAsia="Calibri" w:cs="Arial"/>
          <w:i w:val="0"/>
          <w:sz w:val="18"/>
          <w:szCs w:val="18"/>
          <w:lang w:eastAsia="en-AU"/>
        </w:rPr>
        <w:t>. In particular, the [</w:t>
      </w:r>
      <w:r w:rsidR="00E74434">
        <w:rPr>
          <w:rFonts w:eastAsia="Calibri" w:cs="Arial"/>
          <w:i w:val="0"/>
          <w:sz w:val="18"/>
          <w:szCs w:val="18"/>
          <w:lang w:eastAsia="en-AU"/>
        </w:rPr>
        <w:t>C</w:t>
      </w:r>
      <w:r w:rsidRPr="00AD35CD">
        <w:rPr>
          <w:rFonts w:eastAsia="Calibri" w:cs="Arial"/>
          <w:i w:val="0"/>
          <w:sz w:val="18"/>
          <w:szCs w:val="18"/>
          <w:lang w:eastAsia="en-AU"/>
        </w:rPr>
        <w:t xml:space="preserve">hannel </w:t>
      </w:r>
      <w:r w:rsidR="00E74434">
        <w:rPr>
          <w:rFonts w:eastAsia="Calibri" w:cs="Arial"/>
          <w:i w:val="0"/>
          <w:sz w:val="18"/>
          <w:szCs w:val="18"/>
          <w:lang w:eastAsia="en-AU"/>
        </w:rPr>
        <w:t>S</w:t>
      </w:r>
      <w:r w:rsidRPr="00AD35CD">
        <w:rPr>
          <w:rFonts w:eastAsia="Calibri" w:cs="Arial"/>
          <w:i w:val="0"/>
          <w:sz w:val="18"/>
          <w:szCs w:val="18"/>
          <w:lang w:eastAsia="en-AU"/>
        </w:rPr>
        <w:t xml:space="preserve">upply] Agreement contains a provision requiring Daystar to ensure that the Channel will comply at all times with all applicable Australian laws and regulations, including </w:t>
      </w:r>
      <w:r>
        <w:rPr>
          <w:rFonts w:eastAsia="Calibri" w:cs="Arial"/>
          <w:i w:val="0"/>
          <w:sz w:val="18"/>
          <w:szCs w:val="18"/>
          <w:lang w:eastAsia="en-AU"/>
        </w:rPr>
        <w:t>[</w:t>
      </w:r>
      <w:r w:rsidRPr="00AD35CD">
        <w:rPr>
          <w:rFonts w:eastAsia="Calibri" w:cs="Arial"/>
          <w:i w:val="0"/>
          <w:sz w:val="18"/>
          <w:szCs w:val="18"/>
          <w:lang w:eastAsia="en-AU"/>
        </w:rPr>
        <w:t>the Code</w:t>
      </w:r>
      <w:r>
        <w:rPr>
          <w:rFonts w:eastAsia="Calibri" w:cs="Arial"/>
          <w:i w:val="0"/>
          <w:sz w:val="18"/>
          <w:szCs w:val="18"/>
          <w:lang w:eastAsia="en-AU"/>
        </w:rPr>
        <w:t>]</w:t>
      </w:r>
      <w:r w:rsidRPr="00AD35CD">
        <w:rPr>
          <w:rFonts w:eastAsia="Calibri" w:cs="Arial"/>
          <w:i w:val="0"/>
          <w:sz w:val="18"/>
          <w:szCs w:val="18"/>
          <w:lang w:eastAsia="en-AU"/>
        </w:rPr>
        <w:t>.</w:t>
      </w:r>
    </w:p>
    <w:p w14:paraId="0A8B9CD7" w14:textId="77777777" w:rsidR="00AD35CD" w:rsidRPr="00AD35CD" w:rsidRDefault="00AD35CD" w:rsidP="00AD35CD">
      <w:pPr>
        <w:autoSpaceDE w:val="0"/>
        <w:autoSpaceDN w:val="0"/>
        <w:spacing w:before="0" w:after="0" w:line="240" w:lineRule="auto"/>
        <w:rPr>
          <w:rFonts w:eastAsia="Calibri" w:cs="Arial"/>
          <w:i w:val="0"/>
          <w:sz w:val="18"/>
          <w:szCs w:val="18"/>
          <w:lang w:eastAsia="en-AU"/>
        </w:rPr>
      </w:pPr>
    </w:p>
    <w:p w14:paraId="18973184" w14:textId="16ACF672" w:rsidR="00DE49D2" w:rsidRDefault="00DE49D2" w:rsidP="00DE49D2">
      <w:pPr>
        <w:pStyle w:val="ACMABodyText"/>
      </w:pPr>
      <w:r w:rsidRPr="009036C0">
        <w:t>A licensee’s responsibility to comply with the Code cannot be divested</w:t>
      </w:r>
      <w:r w:rsidR="006E6D28">
        <w:t xml:space="preserve"> e</w:t>
      </w:r>
      <w:r w:rsidR="00325F27">
        <w:t xml:space="preserve">ven though </w:t>
      </w:r>
      <w:r>
        <w:t>the Licensee has submitted</w:t>
      </w:r>
      <w:r w:rsidR="00F627A9">
        <w:t xml:space="preserve"> that</w:t>
      </w:r>
      <w:r w:rsidR="00325F27" w:rsidRPr="00325F27">
        <w:t xml:space="preserve"> </w:t>
      </w:r>
      <w:r w:rsidR="00325F27" w:rsidRPr="009036C0">
        <w:t xml:space="preserve">‘editorial independence’ or ‘practical, operational or creative control’ </w:t>
      </w:r>
      <w:r w:rsidR="00325F27">
        <w:t xml:space="preserve">is ceded to </w:t>
      </w:r>
      <w:r w:rsidR="00FE0B2E">
        <w:t xml:space="preserve">the </w:t>
      </w:r>
      <w:r w:rsidR="00325F27">
        <w:t>channel provider</w:t>
      </w:r>
      <w:r w:rsidR="00016212">
        <w:t>,</w:t>
      </w:r>
      <w:r w:rsidRPr="009036C0">
        <w:t xml:space="preserve"> through contractual arrangements</w:t>
      </w:r>
      <w:r w:rsidR="00A8568A">
        <w:t xml:space="preserve"> </w:t>
      </w:r>
      <w:r w:rsidRPr="009036C0">
        <w:t xml:space="preserve">over programs to be broadcast by the </w:t>
      </w:r>
      <w:r w:rsidR="00016212">
        <w:t>L</w:t>
      </w:r>
      <w:r w:rsidRPr="009036C0">
        <w:t xml:space="preserve">icensee. </w:t>
      </w:r>
    </w:p>
    <w:p w14:paraId="308554B9" w14:textId="4BECC57C" w:rsidR="001F336F" w:rsidRDefault="001F336F" w:rsidP="00142D7E">
      <w:pPr>
        <w:pStyle w:val="ACMABodyText"/>
        <w:spacing w:after="120"/>
      </w:pPr>
      <w:r>
        <w:t>The Licensee further submitted:</w:t>
      </w:r>
    </w:p>
    <w:p w14:paraId="55611517" w14:textId="309C974E" w:rsidR="001F336F" w:rsidRPr="001F336F" w:rsidRDefault="001F336F" w:rsidP="001F336F">
      <w:pPr>
        <w:pStyle w:val="ACMABodyText"/>
        <w:ind w:left="851"/>
        <w:rPr>
          <w:sz w:val="18"/>
          <w:szCs w:val="18"/>
        </w:rPr>
      </w:pPr>
      <w:r w:rsidRPr="001F336F">
        <w:rPr>
          <w:sz w:val="18"/>
          <w:szCs w:val="18"/>
        </w:rPr>
        <w:t>We are extremely concerned that the</w:t>
      </w:r>
      <w:r w:rsidR="002B6E45">
        <w:rPr>
          <w:sz w:val="18"/>
          <w:szCs w:val="18"/>
        </w:rPr>
        <w:t xml:space="preserve"> [ACMA’s]</w:t>
      </w:r>
      <w:r w:rsidRPr="001F336F">
        <w:rPr>
          <w:sz w:val="18"/>
          <w:szCs w:val="18"/>
        </w:rPr>
        <w:t xml:space="preserve"> Report seems to suggest that licensees must monitor all programming supplied by third parties for compliance with the Code. Ongoing monitoring of all content broadcast on a licensee’s platform is entirely impractical and is simply not feasible, particularly when it is often the case that third party channel content is provided to multiple licensees via a live feed. The ACMA’s suggestion would require Foxtel to review content on every channel provided to Foxtel by a third party on a live basis, which would represent a mammoth compliance burden which Foxtel (and we suspect other licensees</w:t>
      </w:r>
      <w:r w:rsidR="00C42E33">
        <w:rPr>
          <w:sz w:val="18"/>
          <w:szCs w:val="18"/>
        </w:rPr>
        <w:t xml:space="preserve"> </w:t>
      </w:r>
      <w:r w:rsidR="00AF0E7F">
        <w:rPr>
          <w:sz w:val="18"/>
          <w:szCs w:val="18"/>
        </w:rPr>
        <w:t>[…]</w:t>
      </w:r>
      <w:r w:rsidRPr="001F336F">
        <w:rPr>
          <w:sz w:val="18"/>
          <w:szCs w:val="18"/>
        </w:rPr>
        <w:t>) is simply not resourced to meet.</w:t>
      </w:r>
    </w:p>
    <w:p w14:paraId="5BE360D0" w14:textId="5D195071" w:rsidR="00757D3A" w:rsidRDefault="00757D3A" w:rsidP="00757D3A">
      <w:pPr>
        <w:pStyle w:val="ACMABodyText"/>
      </w:pPr>
      <w:r>
        <w:t xml:space="preserve">The ACMA considers that there </w:t>
      </w:r>
      <w:r w:rsidR="00EC772E">
        <w:t>are</w:t>
      </w:r>
      <w:r>
        <w:t xml:space="preserve"> arrangements that</w:t>
      </w:r>
      <w:r w:rsidR="00EC772E">
        <w:t xml:space="preserve"> can be made which would</w:t>
      </w:r>
      <w:r>
        <w:t xml:space="preserve"> sit reasonably </w:t>
      </w:r>
      <w:r w:rsidR="00E94BCF">
        <w:t>between monitoring</w:t>
      </w:r>
      <w:r w:rsidR="003D3993">
        <w:t xml:space="preserve"> all content</w:t>
      </w:r>
      <w:r>
        <w:t xml:space="preserve"> and the complete devolution of responsibility for compliance to a third party. </w:t>
      </w:r>
      <w:r w:rsidR="003D3993" w:rsidRPr="003D3993">
        <w:t xml:space="preserve"> </w:t>
      </w:r>
    </w:p>
    <w:p w14:paraId="420B8F96" w14:textId="1B6054B4" w:rsidR="003A0050" w:rsidRDefault="00D00BC9" w:rsidP="009036C0">
      <w:pPr>
        <w:pStyle w:val="ACMABodyText"/>
      </w:pPr>
      <w:r>
        <w:t>A</w:t>
      </w:r>
      <w:r w:rsidR="00870CEB">
        <w:t xml:space="preserve"> </w:t>
      </w:r>
      <w:r w:rsidR="00AD35CD" w:rsidRPr="009036C0">
        <w:t>licensee must have</w:t>
      </w:r>
      <w:r>
        <w:t xml:space="preserve"> some</w:t>
      </w:r>
      <w:r w:rsidR="00AD35CD" w:rsidRPr="009036C0">
        <w:t xml:space="preserve"> systems in place to </w:t>
      </w:r>
      <w:r w:rsidR="003D3993">
        <w:t>assure itself</w:t>
      </w:r>
      <w:r w:rsidR="003937D2" w:rsidRPr="009036C0">
        <w:t xml:space="preserve"> </w:t>
      </w:r>
      <w:r w:rsidR="00901F33">
        <w:t>that</w:t>
      </w:r>
      <w:r w:rsidR="00901F33" w:rsidRPr="009036C0">
        <w:t xml:space="preserve"> </w:t>
      </w:r>
      <w:r w:rsidR="00AD35CD" w:rsidRPr="009036C0">
        <w:t xml:space="preserve">programming supplied by another person for broadcast by the licensee is compliant with the Code and to take prompt remedial steps if it is not. </w:t>
      </w:r>
    </w:p>
    <w:p w14:paraId="290C8D51" w14:textId="6AFB0107" w:rsidR="00AD35CD" w:rsidRPr="009036C0" w:rsidRDefault="00AD35CD" w:rsidP="009036C0">
      <w:pPr>
        <w:pStyle w:val="ACMABodyText"/>
      </w:pPr>
      <w:r w:rsidRPr="009036C0">
        <w:lastRenderedPageBreak/>
        <w:t xml:space="preserve">A failure by a licensee to make adequate provision in that regard in contractual arrangements, and </w:t>
      </w:r>
      <w:r w:rsidR="00D00BC9">
        <w:t>any other</w:t>
      </w:r>
      <w:r w:rsidRPr="009036C0">
        <w:t xml:space="preserve"> arrangements, may mean that the ACMA (having regard also to any other relevant circumstances) could not be satisfied that the cause of a breach was beyond the licensee’s control, or that the licensee took reasonable precautions and exercised due diligence to avoid the failure to comply with the Code. </w:t>
      </w:r>
    </w:p>
    <w:p w14:paraId="1769454C" w14:textId="779C9C3E" w:rsidR="008D459A" w:rsidRDefault="008D459A" w:rsidP="00142D7E">
      <w:pPr>
        <w:pStyle w:val="ACMABodyText"/>
        <w:spacing w:after="120"/>
        <w:rPr>
          <w:lang w:val="en-US"/>
        </w:rPr>
      </w:pPr>
      <w:r>
        <w:rPr>
          <w:lang w:val="en-US"/>
        </w:rPr>
        <w:t>In its further submission, the Licensee</w:t>
      </w:r>
      <w:r w:rsidR="00006085">
        <w:rPr>
          <w:lang w:val="en-US"/>
        </w:rPr>
        <w:t xml:space="preserve"> </w:t>
      </w:r>
      <w:r>
        <w:t>stated that:</w:t>
      </w:r>
    </w:p>
    <w:p w14:paraId="3C943B0B" w14:textId="59FF0307" w:rsidR="008D459A" w:rsidRPr="00006085" w:rsidRDefault="008D459A" w:rsidP="00006085">
      <w:pPr>
        <w:autoSpaceDE w:val="0"/>
        <w:autoSpaceDN w:val="0"/>
        <w:spacing w:before="120" w:line="240" w:lineRule="auto"/>
        <w:ind w:left="720"/>
        <w:rPr>
          <w:rFonts w:eastAsia="Calibri" w:cs="Arial"/>
          <w:sz w:val="18"/>
          <w:szCs w:val="18"/>
          <w:lang w:eastAsia="en-AU"/>
        </w:rPr>
      </w:pPr>
      <w:r>
        <w:rPr>
          <w:rFonts w:eastAsia="Calibri" w:cs="Arial"/>
          <w:i w:val="0"/>
          <w:sz w:val="18"/>
          <w:szCs w:val="18"/>
          <w:lang w:eastAsia="en-AU"/>
        </w:rPr>
        <w:t xml:space="preserve">… </w:t>
      </w:r>
      <w:r w:rsidRPr="00006085">
        <w:rPr>
          <w:rFonts w:eastAsia="Calibri" w:cs="Arial"/>
          <w:i w:val="0"/>
          <w:sz w:val="18"/>
          <w:szCs w:val="18"/>
          <w:lang w:eastAsia="en-AU"/>
        </w:rPr>
        <w:t>at the time the ACMA commenced its investigation into the Programs in October 2021, [</w:t>
      </w:r>
      <w:r w:rsidR="00A11FFF">
        <w:rPr>
          <w:rFonts w:eastAsia="Calibri" w:cs="Arial"/>
          <w:i w:val="0"/>
          <w:sz w:val="18"/>
          <w:szCs w:val="18"/>
          <w:lang w:eastAsia="en-AU"/>
        </w:rPr>
        <w:t>the Licensee</w:t>
      </w:r>
      <w:r w:rsidRPr="00006085">
        <w:rPr>
          <w:rFonts w:eastAsia="Calibri" w:cs="Arial"/>
          <w:i w:val="0"/>
          <w:sz w:val="18"/>
          <w:szCs w:val="18"/>
          <w:lang w:eastAsia="en-AU"/>
        </w:rPr>
        <w:t xml:space="preserve">] raised the ACMA’s concerns with </w:t>
      </w:r>
      <w:r w:rsidRPr="009E5F2B">
        <w:rPr>
          <w:rFonts w:eastAsia="Calibri" w:cs="Arial"/>
          <w:i w:val="0"/>
          <w:sz w:val="18"/>
          <w:szCs w:val="18"/>
          <w:lang w:eastAsia="en-AU"/>
        </w:rPr>
        <w:t>Daystar</w:t>
      </w:r>
      <w:r w:rsidRPr="00006085">
        <w:rPr>
          <w:rFonts w:eastAsia="Calibri" w:cs="Arial"/>
          <w:i w:val="0"/>
          <w:sz w:val="18"/>
          <w:szCs w:val="18"/>
          <w:lang w:eastAsia="en-AU"/>
        </w:rPr>
        <w:t xml:space="preserve"> in writing and received written assurances from Daystar that the provision of COVID</w:t>
      </w:r>
      <w:r w:rsidRPr="00006085">
        <w:rPr>
          <w:rFonts w:ascii="Cambria Math" w:eastAsia="Calibri" w:hAnsi="Cambria Math" w:cs="Cambria Math"/>
          <w:i w:val="0"/>
          <w:sz w:val="18"/>
          <w:szCs w:val="18"/>
          <w:lang w:eastAsia="en-AU"/>
        </w:rPr>
        <w:t>‐</w:t>
      </w:r>
      <w:r w:rsidRPr="00006085">
        <w:rPr>
          <w:rFonts w:eastAsia="Calibri" w:cs="Arial"/>
          <w:i w:val="0"/>
          <w:sz w:val="18"/>
          <w:szCs w:val="18"/>
          <w:lang w:eastAsia="en-AU"/>
        </w:rPr>
        <w:t>19 related programming on the Channel complied with the Code.</w:t>
      </w:r>
    </w:p>
    <w:p w14:paraId="3C2AD274" w14:textId="5CCB74CE" w:rsidR="00C47141" w:rsidRDefault="008D459A" w:rsidP="009036C0">
      <w:pPr>
        <w:pStyle w:val="ACMABodyText"/>
      </w:pPr>
      <w:r>
        <w:t xml:space="preserve">The ACMA does not </w:t>
      </w:r>
      <w:r w:rsidR="00A11FFF">
        <w:t xml:space="preserve">consider </w:t>
      </w:r>
      <w:r>
        <w:t xml:space="preserve">this submission compelling. The Licensee has provided </w:t>
      </w:r>
      <w:r w:rsidR="00C47141">
        <w:t xml:space="preserve">no </w:t>
      </w:r>
      <w:r>
        <w:t xml:space="preserve">information about the basis on which </w:t>
      </w:r>
      <w:r w:rsidRPr="009E5F2B">
        <w:t>Daystar</w:t>
      </w:r>
      <w:r>
        <w:t xml:space="preserve"> </w:t>
      </w:r>
      <w:r w:rsidR="00EC772E">
        <w:t>gave</w:t>
      </w:r>
      <w:r>
        <w:t xml:space="preserve"> assur</w:t>
      </w:r>
      <w:r w:rsidR="00EC772E">
        <w:t>ances that</w:t>
      </w:r>
      <w:r>
        <w:t xml:space="preserve"> the Programs complied with the Code</w:t>
      </w:r>
      <w:r w:rsidR="00C47141">
        <w:t>; n</w:t>
      </w:r>
      <w:r>
        <w:t xml:space="preserve">or has the Licensee provided any information to demonstrate that it has provided </w:t>
      </w:r>
      <w:r w:rsidRPr="009E5F2B">
        <w:t>Daystar</w:t>
      </w:r>
      <w:r>
        <w:t xml:space="preserve"> with detailed information or instruction relevant to </w:t>
      </w:r>
      <w:r w:rsidR="0018510E">
        <w:t xml:space="preserve">achieving </w:t>
      </w:r>
      <w:r>
        <w:t xml:space="preserve">compliance with the Code. </w:t>
      </w:r>
    </w:p>
    <w:p w14:paraId="141FCE92" w14:textId="660918F5" w:rsidR="00C47141" w:rsidRDefault="00CD01EC" w:rsidP="00C47141">
      <w:pPr>
        <w:pStyle w:val="ACMABodyText"/>
      </w:pPr>
      <w:r>
        <w:t xml:space="preserve">To </w:t>
      </w:r>
      <w:r w:rsidR="00131DA6">
        <w:t>fall within</w:t>
      </w:r>
      <w:r>
        <w:t xml:space="preserve"> clause 1.9 of the Code, licensees are required to take steps which are adequate in the </w:t>
      </w:r>
      <w:r w:rsidR="00083213">
        <w:t>circumstances</w:t>
      </w:r>
      <w:r>
        <w:t>.</w:t>
      </w:r>
      <w:r w:rsidR="00B3264F">
        <w:t xml:space="preserve"> </w:t>
      </w:r>
      <w:r w:rsidR="00C47141">
        <w:t>It may be that certain types of content</w:t>
      </w:r>
      <w:r w:rsidR="00370ECD">
        <w:t xml:space="preserve"> or environmental factors (such as the </w:t>
      </w:r>
      <w:r w:rsidR="00131DA6">
        <w:t xml:space="preserve">COVID-19 </w:t>
      </w:r>
      <w:r w:rsidR="00370ECD">
        <w:t>pandemic)</w:t>
      </w:r>
      <w:r w:rsidR="00C47141">
        <w:t xml:space="preserve"> will present </w:t>
      </w:r>
      <w:r w:rsidR="00A11FFF">
        <w:t xml:space="preserve">a </w:t>
      </w:r>
      <w:r w:rsidR="00C47141">
        <w:t xml:space="preserve">greater risk than others, and </w:t>
      </w:r>
      <w:r w:rsidR="0018510E">
        <w:t xml:space="preserve">that </w:t>
      </w:r>
      <w:r w:rsidR="00C47141">
        <w:t xml:space="preserve">a </w:t>
      </w:r>
      <w:r w:rsidR="00EC772E">
        <w:t>system</w:t>
      </w:r>
      <w:r w:rsidR="00C47141">
        <w:t xml:space="preserve"> of</w:t>
      </w:r>
      <w:r w:rsidR="00370ECD">
        <w:t xml:space="preserve"> </w:t>
      </w:r>
      <w:r w:rsidR="00C47141">
        <w:t xml:space="preserve">training </w:t>
      </w:r>
      <w:r w:rsidR="00EC772E">
        <w:t>and</w:t>
      </w:r>
      <w:r w:rsidR="00C47141">
        <w:t xml:space="preserve"> checking that an overseas content provider understands the Australian requirements</w:t>
      </w:r>
      <w:r w:rsidR="00EC772E">
        <w:t>,</w:t>
      </w:r>
      <w:r w:rsidR="00C47141">
        <w:t xml:space="preserve"> may be appropriate in </w:t>
      </w:r>
      <w:r w:rsidR="00EC772E">
        <w:t>those</w:t>
      </w:r>
      <w:r w:rsidR="00C47141">
        <w:t xml:space="preserve"> instances. </w:t>
      </w:r>
      <w:r w:rsidR="00AF0068">
        <w:t>The Lic</w:t>
      </w:r>
      <w:r w:rsidR="00240988">
        <w:t>e</w:t>
      </w:r>
      <w:r w:rsidR="00AF0068">
        <w:t>nsee may also nee</w:t>
      </w:r>
      <w:r w:rsidR="009467EC">
        <w:t xml:space="preserve">d </w:t>
      </w:r>
      <w:r w:rsidR="00AF0068">
        <w:t xml:space="preserve">to undertake periodic auditing of certain programs </w:t>
      </w:r>
      <w:r w:rsidR="00E754D4">
        <w:t xml:space="preserve">to mitigate against the risk that </w:t>
      </w:r>
      <w:r w:rsidR="008F79AE">
        <w:t xml:space="preserve">content broadcast </w:t>
      </w:r>
      <w:r w:rsidR="00E754D4">
        <w:t xml:space="preserve">does not </w:t>
      </w:r>
      <w:r w:rsidR="008F79AE">
        <w:t>satisf</w:t>
      </w:r>
      <w:r w:rsidR="00E754D4">
        <w:t xml:space="preserve">y </w:t>
      </w:r>
      <w:r w:rsidR="008F79AE">
        <w:t>the requirements in the Code.</w:t>
      </w:r>
      <w:r w:rsidR="007C0525">
        <w:t xml:space="preserve"> </w:t>
      </w:r>
    </w:p>
    <w:p w14:paraId="328F3DD9" w14:textId="0BFA8D4A" w:rsidR="000F6045" w:rsidRPr="00A32A63" w:rsidRDefault="00901F33" w:rsidP="000F6045">
      <w:pPr>
        <w:pStyle w:val="ACMABodyText"/>
      </w:pPr>
      <w:r>
        <w:t>U</w:t>
      </w:r>
      <w:r w:rsidR="000F6045">
        <w:t>ltimately</w:t>
      </w:r>
      <w:r w:rsidR="00EC772E">
        <w:t>,</w:t>
      </w:r>
      <w:r w:rsidR="000F6045">
        <w:t xml:space="preserve"> responsibility for compliance</w:t>
      </w:r>
      <w:r w:rsidR="00EC772E">
        <w:t xml:space="preserve"> with the Code</w:t>
      </w:r>
      <w:r w:rsidR="000F6045">
        <w:t xml:space="preserve"> rest</w:t>
      </w:r>
      <w:r>
        <w:t>s</w:t>
      </w:r>
      <w:r w:rsidR="000F6045">
        <w:t xml:space="preserve"> with the Licensee</w:t>
      </w:r>
      <w:r w:rsidR="00EC772E">
        <w:t>.</w:t>
      </w:r>
      <w:r w:rsidR="000F6045">
        <w:t xml:space="preserve"> </w:t>
      </w:r>
      <w:r w:rsidR="00EC772E">
        <w:t>I</w:t>
      </w:r>
      <w:r w:rsidR="000F6045">
        <w:t xml:space="preserve">n this </w:t>
      </w:r>
      <w:r w:rsidR="00A11FFF">
        <w:t>instance</w:t>
      </w:r>
      <w:r w:rsidR="00EC772E">
        <w:t>,</w:t>
      </w:r>
      <w:r w:rsidR="000F6045">
        <w:t xml:space="preserve"> the Licensee has not provided sufficient information to satisfy the ACMA that the failures to comply with provisions of the Code identified in this report were due to causes beyond the Licensee’s control, or that the Licensee took reasonable precautions and exercised due diligence to avoid the failures.</w:t>
      </w:r>
    </w:p>
    <w:p w14:paraId="28F825B8" w14:textId="020E8F58" w:rsidR="001C6546" w:rsidRDefault="001C6546" w:rsidP="00222C3B">
      <w:pPr>
        <w:pStyle w:val="ACMAHeading2"/>
      </w:pPr>
      <w:r w:rsidRPr="00216C72">
        <w:t xml:space="preserve">Issue: </w:t>
      </w:r>
      <w:r w:rsidR="00216C72" w:rsidRPr="00216C72">
        <w:t>Accuracy</w:t>
      </w:r>
    </w:p>
    <w:p w14:paraId="17843AE6" w14:textId="432FD335" w:rsidR="00216C72" w:rsidRPr="0061539A" w:rsidRDefault="00216C72" w:rsidP="00222C3B">
      <w:pPr>
        <w:pStyle w:val="ACMABodyText"/>
        <w:keepNext/>
        <w:spacing w:after="120"/>
        <w:ind w:left="426"/>
        <w:rPr>
          <w:b/>
          <w:bCs/>
          <w:sz w:val="18"/>
          <w:szCs w:val="18"/>
        </w:rPr>
      </w:pPr>
      <w:r w:rsidRPr="0061539A">
        <w:rPr>
          <w:b/>
          <w:bCs/>
          <w:sz w:val="18"/>
          <w:szCs w:val="18"/>
        </w:rPr>
        <w:t>Code No. 1</w:t>
      </w:r>
    </w:p>
    <w:p w14:paraId="17E508C4" w14:textId="77777777" w:rsidR="006E249C" w:rsidRPr="0061539A" w:rsidRDefault="00216C72" w:rsidP="00222C3B">
      <w:pPr>
        <w:pStyle w:val="ACMABodyText"/>
        <w:keepNext/>
        <w:spacing w:after="120"/>
        <w:ind w:left="426"/>
        <w:rPr>
          <w:b/>
          <w:bCs/>
          <w:sz w:val="18"/>
          <w:szCs w:val="18"/>
        </w:rPr>
      </w:pPr>
      <w:r w:rsidRPr="0061539A">
        <w:rPr>
          <w:b/>
          <w:bCs/>
          <w:sz w:val="18"/>
          <w:szCs w:val="18"/>
        </w:rPr>
        <w:t>General Guidelines For Programming</w:t>
      </w:r>
    </w:p>
    <w:p w14:paraId="03F7764C" w14:textId="6523579D" w:rsidR="00216C72" w:rsidRPr="0061539A" w:rsidRDefault="00216C72" w:rsidP="00222C3B">
      <w:pPr>
        <w:pStyle w:val="ACMABodyText"/>
        <w:keepNext/>
        <w:spacing w:after="120"/>
        <w:ind w:left="426"/>
        <w:rPr>
          <w:b/>
          <w:bCs/>
          <w:sz w:val="18"/>
          <w:szCs w:val="18"/>
        </w:rPr>
      </w:pPr>
      <w:r w:rsidRPr="0061539A">
        <w:rPr>
          <w:sz w:val="18"/>
          <w:szCs w:val="18"/>
        </w:rPr>
        <w:t>1.2 Narrowcasters will present accurate and fair news and current affairs programs, and where practicable, will ensure that:</w:t>
      </w:r>
    </w:p>
    <w:p w14:paraId="4781E640" w14:textId="77777777" w:rsidR="00216C72" w:rsidRPr="0061539A" w:rsidRDefault="00216C72" w:rsidP="006E249C">
      <w:pPr>
        <w:pStyle w:val="ACMABodyText"/>
        <w:spacing w:after="120"/>
        <w:ind w:left="720"/>
        <w:rPr>
          <w:sz w:val="18"/>
          <w:szCs w:val="18"/>
        </w:rPr>
      </w:pPr>
      <w:r w:rsidRPr="0061539A">
        <w:rPr>
          <w:sz w:val="18"/>
          <w:szCs w:val="18"/>
        </w:rPr>
        <w:t>(a) factual material will be clearly distinguished from commentary, analysis or simulations; and</w:t>
      </w:r>
    </w:p>
    <w:p w14:paraId="5D6AF845" w14:textId="77777777" w:rsidR="00216C72" w:rsidRPr="0061539A" w:rsidRDefault="00216C72" w:rsidP="00216C72">
      <w:pPr>
        <w:pStyle w:val="ACMABodyText"/>
        <w:spacing w:after="120"/>
        <w:ind w:left="426" w:firstLine="294"/>
        <w:rPr>
          <w:sz w:val="18"/>
          <w:szCs w:val="18"/>
        </w:rPr>
      </w:pPr>
      <w:r w:rsidRPr="0061539A">
        <w:rPr>
          <w:sz w:val="18"/>
          <w:szCs w:val="18"/>
        </w:rPr>
        <w:t>(b) news or events are not simulated in a way that misleads or alarms the audience.</w:t>
      </w:r>
    </w:p>
    <w:p w14:paraId="7F65E990" w14:textId="6A6DC102" w:rsidR="001C6546" w:rsidRDefault="00D9593A" w:rsidP="0072120E">
      <w:pPr>
        <w:pStyle w:val="ACMAHeading2"/>
      </w:pPr>
      <w:r w:rsidRPr="006E249C">
        <w:t>Finding</w:t>
      </w:r>
    </w:p>
    <w:p w14:paraId="03BE40B6" w14:textId="2E1AA800" w:rsidR="001C6546" w:rsidRDefault="001C6546" w:rsidP="0072120E">
      <w:pPr>
        <w:pStyle w:val="ACMABodyText"/>
      </w:pPr>
      <w:r>
        <w:t>The</w:t>
      </w:r>
      <w:r w:rsidR="00A039A7">
        <w:t xml:space="preserve"> ACMA </w:t>
      </w:r>
      <w:r w:rsidR="00237FD0">
        <w:t>finds</w:t>
      </w:r>
      <w:r w:rsidR="00A039A7">
        <w:t xml:space="preserve"> that the</w:t>
      </w:r>
      <w:r>
        <w:t xml:space="preserve"> </w:t>
      </w:r>
      <w:r w:rsidR="00A039A7">
        <w:t>L</w:t>
      </w:r>
      <w:r w:rsidRPr="001B556E">
        <w:t>icensee breached</w:t>
      </w:r>
      <w:r>
        <w:t xml:space="preserve"> </w:t>
      </w:r>
      <w:r w:rsidR="00692772">
        <w:t>clause</w:t>
      </w:r>
      <w:r w:rsidR="006E249C">
        <w:t xml:space="preserve"> 1.2</w:t>
      </w:r>
      <w:r>
        <w:t xml:space="preserve"> of the </w:t>
      </w:r>
      <w:r w:rsidR="006E249C">
        <w:rPr>
          <w:color w:val="000000"/>
        </w:rPr>
        <w:t>Code</w:t>
      </w:r>
      <w:r>
        <w:t xml:space="preserve">. </w:t>
      </w:r>
    </w:p>
    <w:p w14:paraId="34C54249" w14:textId="77777777" w:rsidR="001C6546" w:rsidRDefault="001C6546" w:rsidP="0072120E">
      <w:pPr>
        <w:pStyle w:val="ACMAHeading2"/>
      </w:pPr>
      <w:r>
        <w:t>Reasons</w:t>
      </w:r>
    </w:p>
    <w:p w14:paraId="37C80EC0" w14:textId="6E1BD4D7" w:rsidR="003902A1" w:rsidRDefault="00F1388F" w:rsidP="003902A1">
      <w:pPr>
        <w:pStyle w:val="ACMABodyText"/>
      </w:pPr>
      <w:r w:rsidRPr="004C08C8">
        <w:t>To assess com</w:t>
      </w:r>
      <w:r w:rsidR="00FA20DC">
        <w:t>pliance, the ACMA has addressed</w:t>
      </w:r>
      <w:r w:rsidR="006958B4">
        <w:t xml:space="preserve"> the following questions</w:t>
      </w:r>
      <w:r w:rsidR="00DF3DE3">
        <w:t>:</w:t>
      </w:r>
    </w:p>
    <w:p w14:paraId="1D039C2D" w14:textId="77777777" w:rsidR="003902A1" w:rsidRPr="003902A1" w:rsidRDefault="003902A1" w:rsidP="00395A85">
      <w:pPr>
        <w:pStyle w:val="ACMABodyText"/>
        <w:numPr>
          <w:ilvl w:val="0"/>
          <w:numId w:val="5"/>
        </w:numPr>
      </w:pPr>
      <w:r w:rsidRPr="003902A1">
        <w:rPr>
          <w:snapToGrid/>
        </w:rPr>
        <w:t>What did the material convey to the ordinary reasonable viewer?</w:t>
      </w:r>
    </w:p>
    <w:p w14:paraId="29BE884E" w14:textId="77777777" w:rsidR="003902A1" w:rsidRDefault="003902A1" w:rsidP="00395A85">
      <w:pPr>
        <w:pStyle w:val="ACMABodyText"/>
        <w:numPr>
          <w:ilvl w:val="0"/>
          <w:numId w:val="5"/>
        </w:numPr>
      </w:pPr>
      <w:r w:rsidRPr="003902A1">
        <w:t>Was the material factual in character?</w:t>
      </w:r>
    </w:p>
    <w:p w14:paraId="4F661298" w14:textId="4F9F7380" w:rsidR="009A7B23" w:rsidRPr="003902A1" w:rsidRDefault="003902A1" w:rsidP="00395A85">
      <w:pPr>
        <w:pStyle w:val="ACMABodyText"/>
        <w:numPr>
          <w:ilvl w:val="0"/>
          <w:numId w:val="5"/>
        </w:numPr>
      </w:pPr>
      <w:r w:rsidRPr="003902A1">
        <w:lastRenderedPageBreak/>
        <w:t>If so, was the factual material accurate?</w:t>
      </w:r>
    </w:p>
    <w:p w14:paraId="19E437E0" w14:textId="735BABD4" w:rsidR="00844F3E" w:rsidRDefault="003902A1" w:rsidP="00844F3E">
      <w:pPr>
        <w:pStyle w:val="ACMABodyText"/>
      </w:pPr>
      <w:r w:rsidRPr="003902A1">
        <w:t>T</w:t>
      </w:r>
      <w:r w:rsidR="00844F3E" w:rsidRPr="003902A1">
        <w:t xml:space="preserve">he considerations the ACMA uses in assessing whether or not broadcast material is factual are set out at </w:t>
      </w:r>
      <w:r w:rsidR="00844F3E" w:rsidRPr="003902A1">
        <w:rPr>
          <w:b/>
        </w:rPr>
        <w:t>Attachment D</w:t>
      </w:r>
      <w:r w:rsidR="00DF3DE3" w:rsidRPr="003902A1">
        <w:t>.</w:t>
      </w:r>
      <w:r w:rsidR="00E66F71">
        <w:t xml:space="preserve"> </w:t>
      </w:r>
    </w:p>
    <w:p w14:paraId="198A8E04" w14:textId="04852245" w:rsidR="0040610A" w:rsidRDefault="00BB2F68" w:rsidP="00844F3E">
      <w:pPr>
        <w:pStyle w:val="ACMABodyText"/>
        <w:rPr>
          <w:rFonts w:cs="Arial"/>
          <w:iCs/>
          <w:lang w:eastAsia="en-AU"/>
        </w:rPr>
      </w:pPr>
      <w:r>
        <w:rPr>
          <w:rFonts w:cs="Arial"/>
          <w:iCs/>
          <w:lang w:eastAsia="en-AU"/>
        </w:rPr>
        <w:t>The complainan</w:t>
      </w:r>
      <w:r w:rsidR="005F6421">
        <w:rPr>
          <w:rFonts w:cs="Arial"/>
          <w:iCs/>
          <w:lang w:eastAsia="en-AU"/>
        </w:rPr>
        <w:t>t</w:t>
      </w:r>
      <w:r>
        <w:rPr>
          <w:rFonts w:cs="Arial"/>
          <w:iCs/>
          <w:lang w:eastAsia="en-AU"/>
        </w:rPr>
        <w:t xml:space="preserve"> alleged the following statements wer</w:t>
      </w:r>
      <w:r w:rsidR="002B023E">
        <w:rPr>
          <w:rFonts w:cs="Arial"/>
          <w:iCs/>
          <w:lang w:eastAsia="en-AU"/>
        </w:rPr>
        <w:t xml:space="preserve">e broadcast </w:t>
      </w:r>
      <w:r w:rsidR="00965284">
        <w:rPr>
          <w:rFonts w:cs="Arial"/>
          <w:iCs/>
          <w:lang w:eastAsia="en-AU"/>
        </w:rPr>
        <w:t xml:space="preserve">and </w:t>
      </w:r>
      <w:r w:rsidR="0040610A">
        <w:rPr>
          <w:rFonts w:cs="Arial"/>
          <w:iCs/>
          <w:lang w:eastAsia="en-AU"/>
        </w:rPr>
        <w:t>did not</w:t>
      </w:r>
      <w:r w:rsidR="00965284">
        <w:rPr>
          <w:rFonts w:cs="Arial"/>
          <w:iCs/>
          <w:lang w:eastAsia="en-AU"/>
        </w:rPr>
        <w:t xml:space="preserve"> compl</w:t>
      </w:r>
      <w:r w:rsidR="00A23FF1">
        <w:rPr>
          <w:rFonts w:cs="Arial"/>
          <w:iCs/>
          <w:lang w:eastAsia="en-AU"/>
        </w:rPr>
        <w:t>y</w:t>
      </w:r>
      <w:r w:rsidR="00965284">
        <w:rPr>
          <w:rFonts w:cs="Arial"/>
          <w:iCs/>
          <w:lang w:eastAsia="en-AU"/>
        </w:rPr>
        <w:t xml:space="preserve"> with</w:t>
      </w:r>
      <w:r w:rsidR="0040610A">
        <w:rPr>
          <w:rFonts w:cs="Arial"/>
          <w:iCs/>
          <w:lang w:eastAsia="en-AU"/>
        </w:rPr>
        <w:t xml:space="preserve"> the accuracy provision of the Code.</w:t>
      </w:r>
    </w:p>
    <w:p w14:paraId="64C62AD4" w14:textId="77777777" w:rsidR="00A76102" w:rsidRDefault="00A76102" w:rsidP="008A0950">
      <w:pPr>
        <w:pStyle w:val="ACMABodyText"/>
        <w:spacing w:after="120"/>
        <w:rPr>
          <w:i/>
          <w:iCs/>
        </w:rPr>
      </w:pPr>
      <w:r w:rsidRPr="002914E7">
        <w:rPr>
          <w:i/>
          <w:iCs/>
        </w:rPr>
        <w:t>Ministry Now</w:t>
      </w:r>
    </w:p>
    <w:p w14:paraId="2165E368" w14:textId="613B2E2D" w:rsidR="00A76102" w:rsidDel="00B125DA" w:rsidRDefault="00A76102" w:rsidP="00395A85">
      <w:pPr>
        <w:pStyle w:val="ListParagraph"/>
        <w:numPr>
          <w:ilvl w:val="0"/>
          <w:numId w:val="6"/>
        </w:numPr>
        <w:spacing w:after="120" w:line="240" w:lineRule="atLeast"/>
        <w:ind w:left="714" w:hanging="357"/>
        <w:contextualSpacing w:val="0"/>
        <w:rPr>
          <w:rFonts w:ascii="Arial" w:eastAsia="Times New Roman" w:hAnsi="Arial"/>
          <w:snapToGrid w:val="0"/>
          <w:sz w:val="20"/>
          <w:szCs w:val="20"/>
        </w:rPr>
      </w:pPr>
      <w:r w:rsidRPr="0035248A" w:rsidDel="00B125DA">
        <w:rPr>
          <w:rFonts w:ascii="Arial" w:eastAsia="Times New Roman" w:hAnsi="Arial"/>
          <w:snapToGrid w:val="0"/>
          <w:sz w:val="20"/>
          <w:szCs w:val="20"/>
        </w:rPr>
        <w:t>This is a very safe drug. Safer than aspirin, safer than Tylenol</w:t>
      </w:r>
      <w:r w:rsidDel="00B125DA">
        <w:rPr>
          <w:rFonts w:ascii="Arial" w:eastAsia="Times New Roman" w:hAnsi="Arial"/>
          <w:snapToGrid w:val="0"/>
          <w:sz w:val="20"/>
          <w:szCs w:val="20"/>
        </w:rPr>
        <w:t xml:space="preserve"> (</w:t>
      </w:r>
      <w:r w:rsidRPr="005756CF" w:rsidDel="00B125DA">
        <w:rPr>
          <w:rFonts w:ascii="Arial" w:eastAsia="Times New Roman" w:hAnsi="Arial"/>
          <w:b/>
          <w:bCs/>
          <w:snapToGrid w:val="0"/>
          <w:sz w:val="20"/>
          <w:szCs w:val="20"/>
        </w:rPr>
        <w:t xml:space="preserve">Statement </w:t>
      </w:r>
      <w:r w:rsidDel="00B125DA">
        <w:rPr>
          <w:rFonts w:ascii="Arial" w:eastAsia="Times New Roman" w:hAnsi="Arial"/>
          <w:b/>
          <w:bCs/>
          <w:snapToGrid w:val="0"/>
          <w:sz w:val="20"/>
          <w:szCs w:val="20"/>
        </w:rPr>
        <w:t>1</w:t>
      </w:r>
      <w:r>
        <w:rPr>
          <w:rFonts w:ascii="Arial" w:eastAsia="Times New Roman" w:hAnsi="Arial"/>
          <w:snapToGrid w:val="0"/>
          <w:sz w:val="20"/>
          <w:szCs w:val="20"/>
        </w:rPr>
        <w:t xml:space="preserve">, made by </w:t>
      </w:r>
      <w:r w:rsidR="00B34D3D">
        <w:rPr>
          <w:rFonts w:ascii="Arial" w:eastAsia="Times New Roman" w:hAnsi="Arial"/>
          <w:snapToGrid w:val="0"/>
          <w:sz w:val="20"/>
          <w:szCs w:val="20"/>
        </w:rPr>
        <w:t xml:space="preserve">Dr. </w:t>
      </w:r>
      <w:r w:rsidR="00CB7AB4">
        <w:rPr>
          <w:rFonts w:ascii="Arial" w:eastAsia="Times New Roman" w:hAnsi="Arial"/>
          <w:snapToGrid w:val="0"/>
          <w:sz w:val="20"/>
          <w:szCs w:val="20"/>
        </w:rPr>
        <w:t>A</w:t>
      </w:r>
      <w:r w:rsidDel="00B125DA">
        <w:rPr>
          <w:rFonts w:ascii="Arial" w:eastAsia="Times New Roman" w:hAnsi="Arial"/>
          <w:snapToGrid w:val="0"/>
          <w:sz w:val="20"/>
          <w:szCs w:val="20"/>
        </w:rPr>
        <w:t>).</w:t>
      </w:r>
    </w:p>
    <w:p w14:paraId="5CD1BED5" w14:textId="2BA0DD8C" w:rsidR="00A76102" w:rsidRDefault="00A76102" w:rsidP="00395A85">
      <w:pPr>
        <w:pStyle w:val="ListParagraph"/>
        <w:numPr>
          <w:ilvl w:val="0"/>
          <w:numId w:val="6"/>
        </w:numPr>
        <w:spacing w:after="120" w:line="240" w:lineRule="atLeast"/>
        <w:ind w:left="714" w:hanging="357"/>
        <w:contextualSpacing w:val="0"/>
        <w:rPr>
          <w:rFonts w:ascii="Arial" w:eastAsia="Times New Roman" w:hAnsi="Arial"/>
          <w:snapToGrid w:val="0"/>
          <w:sz w:val="20"/>
          <w:szCs w:val="20"/>
        </w:rPr>
      </w:pPr>
      <w:r w:rsidRPr="005756CF">
        <w:rPr>
          <w:rFonts w:ascii="Arial" w:eastAsia="Times New Roman" w:hAnsi="Arial"/>
          <w:snapToGrid w:val="0"/>
          <w:sz w:val="20"/>
          <w:szCs w:val="20"/>
        </w:rPr>
        <w:t>Four billion doses given, 12 to 16 adverse outcomes out of four billion</w:t>
      </w:r>
      <w:r>
        <w:rPr>
          <w:rFonts w:ascii="Arial" w:eastAsia="Times New Roman" w:hAnsi="Arial"/>
          <w:snapToGrid w:val="0"/>
          <w:sz w:val="20"/>
          <w:szCs w:val="20"/>
        </w:rPr>
        <w:t xml:space="preserve"> (</w:t>
      </w:r>
      <w:r w:rsidRPr="005756CF">
        <w:rPr>
          <w:rFonts w:ascii="Arial" w:eastAsia="Times New Roman" w:hAnsi="Arial"/>
          <w:b/>
          <w:bCs/>
          <w:snapToGrid w:val="0"/>
          <w:sz w:val="20"/>
          <w:szCs w:val="20"/>
        </w:rPr>
        <w:t xml:space="preserve">Statement </w:t>
      </w:r>
      <w:r>
        <w:rPr>
          <w:rFonts w:ascii="Arial" w:eastAsia="Times New Roman" w:hAnsi="Arial"/>
          <w:b/>
          <w:bCs/>
          <w:snapToGrid w:val="0"/>
          <w:sz w:val="20"/>
          <w:szCs w:val="20"/>
        </w:rPr>
        <w:t>2</w:t>
      </w:r>
      <w:r>
        <w:rPr>
          <w:rFonts w:ascii="Arial" w:eastAsia="Times New Roman" w:hAnsi="Arial"/>
          <w:snapToGrid w:val="0"/>
          <w:sz w:val="20"/>
          <w:szCs w:val="20"/>
        </w:rPr>
        <w:t xml:space="preserve">, made by </w:t>
      </w:r>
      <w:r w:rsidR="00B34D3D">
        <w:rPr>
          <w:rFonts w:ascii="Arial" w:eastAsia="Times New Roman" w:hAnsi="Arial"/>
          <w:snapToGrid w:val="0"/>
          <w:sz w:val="20"/>
          <w:szCs w:val="20"/>
        </w:rPr>
        <w:t xml:space="preserve">Dr. </w:t>
      </w:r>
      <w:r w:rsidR="00CB7AB4">
        <w:rPr>
          <w:rFonts w:ascii="Arial" w:eastAsia="Times New Roman" w:hAnsi="Arial"/>
          <w:snapToGrid w:val="0"/>
          <w:sz w:val="20"/>
          <w:szCs w:val="20"/>
        </w:rPr>
        <w:t>A</w:t>
      </w:r>
      <w:r>
        <w:rPr>
          <w:rFonts w:ascii="Arial" w:eastAsia="Times New Roman" w:hAnsi="Arial"/>
          <w:snapToGrid w:val="0"/>
          <w:sz w:val="20"/>
          <w:szCs w:val="20"/>
        </w:rPr>
        <w:t>).</w:t>
      </w:r>
    </w:p>
    <w:p w14:paraId="7592D81A" w14:textId="239387BD" w:rsidR="00A76102" w:rsidRDefault="005A6C89" w:rsidP="00395A85">
      <w:pPr>
        <w:pStyle w:val="ListParagraph"/>
        <w:numPr>
          <w:ilvl w:val="0"/>
          <w:numId w:val="6"/>
        </w:numPr>
        <w:spacing w:after="120" w:line="240" w:lineRule="atLeast"/>
        <w:ind w:left="714" w:hanging="357"/>
        <w:contextualSpacing w:val="0"/>
        <w:rPr>
          <w:rFonts w:ascii="Arial" w:eastAsia="Times New Roman" w:hAnsi="Arial"/>
          <w:snapToGrid w:val="0"/>
          <w:sz w:val="20"/>
          <w:szCs w:val="20"/>
        </w:rPr>
      </w:pPr>
      <w:r>
        <w:rPr>
          <w:rFonts w:ascii="Arial" w:eastAsia="Times New Roman" w:hAnsi="Arial"/>
          <w:snapToGrid w:val="0"/>
          <w:sz w:val="20"/>
          <w:szCs w:val="20"/>
        </w:rPr>
        <w:t>[</w:t>
      </w:r>
      <w:r w:rsidR="0092003C" w:rsidRPr="005756CF">
        <w:rPr>
          <w:rFonts w:ascii="Arial" w:eastAsia="Times New Roman" w:hAnsi="Arial"/>
          <w:snapToGrid w:val="0"/>
          <w:sz w:val="20"/>
          <w:szCs w:val="20"/>
        </w:rPr>
        <w:t>C</w:t>
      </w:r>
      <w:r w:rsidR="0092003C">
        <w:rPr>
          <w:rFonts w:ascii="Arial" w:eastAsia="Times New Roman" w:hAnsi="Arial"/>
          <w:snapToGrid w:val="0"/>
          <w:sz w:val="20"/>
          <w:szCs w:val="20"/>
        </w:rPr>
        <w:t>OVID</w:t>
      </w:r>
      <w:r>
        <w:rPr>
          <w:rFonts w:ascii="Arial" w:eastAsia="Times New Roman" w:hAnsi="Arial"/>
          <w:snapToGrid w:val="0"/>
          <w:sz w:val="20"/>
          <w:szCs w:val="20"/>
        </w:rPr>
        <w:t>]</w:t>
      </w:r>
      <w:r w:rsidR="0092003C" w:rsidRPr="005756CF">
        <w:rPr>
          <w:rFonts w:ascii="Arial" w:eastAsia="Times New Roman" w:hAnsi="Arial"/>
          <w:snapToGrid w:val="0"/>
          <w:sz w:val="20"/>
          <w:szCs w:val="20"/>
        </w:rPr>
        <w:t xml:space="preserve"> </w:t>
      </w:r>
      <w:r w:rsidR="00A76102" w:rsidRPr="005756CF">
        <w:rPr>
          <w:rFonts w:ascii="Arial" w:eastAsia="Times New Roman" w:hAnsi="Arial"/>
          <w:snapToGrid w:val="0"/>
          <w:sz w:val="20"/>
          <w:szCs w:val="20"/>
        </w:rPr>
        <w:t>is… a clotting disease. The wonderful thing about Ivermectin is it helps as an anti-clotter</w:t>
      </w:r>
      <w:r w:rsidR="00A76102">
        <w:rPr>
          <w:rFonts w:ascii="Arial" w:eastAsia="Times New Roman" w:hAnsi="Arial"/>
          <w:snapToGrid w:val="0"/>
          <w:sz w:val="20"/>
          <w:szCs w:val="20"/>
        </w:rPr>
        <w:t xml:space="preserve"> (</w:t>
      </w:r>
      <w:r w:rsidR="00A76102" w:rsidRPr="005756CF">
        <w:rPr>
          <w:rFonts w:ascii="Arial" w:eastAsia="Times New Roman" w:hAnsi="Arial"/>
          <w:b/>
          <w:bCs/>
          <w:snapToGrid w:val="0"/>
          <w:sz w:val="20"/>
          <w:szCs w:val="20"/>
        </w:rPr>
        <w:t xml:space="preserve">Statement </w:t>
      </w:r>
      <w:r w:rsidR="00A76102">
        <w:rPr>
          <w:rFonts w:ascii="Arial" w:eastAsia="Times New Roman" w:hAnsi="Arial"/>
          <w:b/>
          <w:bCs/>
          <w:snapToGrid w:val="0"/>
          <w:sz w:val="20"/>
          <w:szCs w:val="20"/>
        </w:rPr>
        <w:t>3</w:t>
      </w:r>
      <w:r w:rsidR="00A76102">
        <w:rPr>
          <w:rFonts w:ascii="Arial" w:eastAsia="Times New Roman" w:hAnsi="Arial"/>
          <w:snapToGrid w:val="0"/>
          <w:sz w:val="20"/>
          <w:szCs w:val="20"/>
        </w:rPr>
        <w:t xml:space="preserve">, made by </w:t>
      </w:r>
      <w:r w:rsidR="00B34D3D">
        <w:rPr>
          <w:rFonts w:ascii="Arial" w:eastAsia="Times New Roman" w:hAnsi="Arial"/>
          <w:snapToGrid w:val="0"/>
          <w:sz w:val="20"/>
          <w:szCs w:val="20"/>
        </w:rPr>
        <w:t xml:space="preserve">Dr. </w:t>
      </w:r>
      <w:r w:rsidR="00CB7AB4">
        <w:rPr>
          <w:rFonts w:ascii="Arial" w:eastAsia="Times New Roman" w:hAnsi="Arial"/>
          <w:snapToGrid w:val="0"/>
          <w:sz w:val="20"/>
          <w:szCs w:val="20"/>
        </w:rPr>
        <w:t>A</w:t>
      </w:r>
      <w:r w:rsidR="00A76102">
        <w:rPr>
          <w:rFonts w:ascii="Arial" w:eastAsia="Times New Roman" w:hAnsi="Arial"/>
          <w:snapToGrid w:val="0"/>
          <w:sz w:val="20"/>
          <w:szCs w:val="20"/>
        </w:rPr>
        <w:t>).</w:t>
      </w:r>
    </w:p>
    <w:p w14:paraId="54359930" w14:textId="31076CFC" w:rsidR="00A76102" w:rsidRPr="005756CF" w:rsidRDefault="00A76102" w:rsidP="00395A85">
      <w:pPr>
        <w:pStyle w:val="ListParagraph"/>
        <w:numPr>
          <w:ilvl w:val="0"/>
          <w:numId w:val="6"/>
        </w:numPr>
        <w:spacing w:after="120" w:line="240" w:lineRule="atLeast"/>
        <w:ind w:left="714" w:hanging="357"/>
        <w:contextualSpacing w:val="0"/>
        <w:rPr>
          <w:rFonts w:ascii="Arial" w:eastAsia="Times New Roman" w:hAnsi="Arial"/>
          <w:snapToGrid w:val="0"/>
          <w:sz w:val="20"/>
          <w:szCs w:val="20"/>
        </w:rPr>
      </w:pPr>
      <w:r w:rsidRPr="005756CF">
        <w:rPr>
          <w:rFonts w:ascii="Arial" w:eastAsia="Times New Roman" w:hAnsi="Arial"/>
          <w:snapToGrid w:val="0"/>
          <w:sz w:val="20"/>
          <w:szCs w:val="20"/>
        </w:rPr>
        <w:t>We’re seeing an uptick in the laboratory of reactivated other viruses; Epstein-Barr, herpes viruses, HPV viruses, we’re seeing an uptick in certain cancers, already (</w:t>
      </w:r>
      <w:r w:rsidRPr="00A76102">
        <w:rPr>
          <w:rFonts w:ascii="Arial" w:eastAsia="Times New Roman" w:hAnsi="Arial"/>
          <w:b/>
          <w:bCs/>
          <w:snapToGrid w:val="0"/>
          <w:sz w:val="20"/>
          <w:szCs w:val="20"/>
        </w:rPr>
        <w:t xml:space="preserve">Statement </w:t>
      </w:r>
      <w:r w:rsidR="00926CFA">
        <w:rPr>
          <w:rFonts w:ascii="Arial" w:eastAsia="Times New Roman" w:hAnsi="Arial"/>
          <w:b/>
          <w:bCs/>
          <w:snapToGrid w:val="0"/>
          <w:sz w:val="20"/>
          <w:szCs w:val="20"/>
        </w:rPr>
        <w:t>4</w:t>
      </w:r>
      <w:r w:rsidRPr="005756CF">
        <w:rPr>
          <w:rFonts w:ascii="Arial" w:eastAsia="Times New Roman" w:hAnsi="Arial"/>
          <w:snapToGrid w:val="0"/>
          <w:sz w:val="20"/>
          <w:szCs w:val="20"/>
        </w:rPr>
        <w:t xml:space="preserve">, made by </w:t>
      </w:r>
      <w:r w:rsidR="00CB7AB4">
        <w:rPr>
          <w:rFonts w:ascii="Arial" w:eastAsia="Times New Roman" w:hAnsi="Arial"/>
          <w:snapToGrid w:val="0"/>
          <w:sz w:val="20"/>
          <w:szCs w:val="20"/>
        </w:rPr>
        <w:t>Dr. A</w:t>
      </w:r>
      <w:r w:rsidRPr="005756CF">
        <w:rPr>
          <w:rFonts w:ascii="Arial" w:eastAsia="Times New Roman" w:hAnsi="Arial"/>
          <w:snapToGrid w:val="0"/>
          <w:sz w:val="20"/>
          <w:szCs w:val="20"/>
        </w:rPr>
        <w:t>).</w:t>
      </w:r>
    </w:p>
    <w:p w14:paraId="27429650" w14:textId="0422876E" w:rsidR="00A76102" w:rsidRPr="005756CF" w:rsidRDefault="00A76102" w:rsidP="00395A85">
      <w:pPr>
        <w:pStyle w:val="ListParagraph"/>
        <w:numPr>
          <w:ilvl w:val="0"/>
          <w:numId w:val="6"/>
        </w:numPr>
        <w:spacing w:after="120" w:line="240" w:lineRule="atLeast"/>
        <w:ind w:left="714" w:hanging="357"/>
        <w:contextualSpacing w:val="0"/>
        <w:rPr>
          <w:rFonts w:ascii="Arial" w:eastAsia="Times New Roman" w:hAnsi="Arial"/>
          <w:snapToGrid w:val="0"/>
          <w:sz w:val="20"/>
          <w:szCs w:val="20"/>
        </w:rPr>
      </w:pPr>
      <w:r w:rsidRPr="005756CF">
        <w:rPr>
          <w:rFonts w:ascii="Arial" w:eastAsia="Times New Roman" w:hAnsi="Arial"/>
          <w:snapToGrid w:val="0"/>
          <w:sz w:val="20"/>
          <w:szCs w:val="20"/>
        </w:rPr>
        <w:t xml:space="preserve">People are still getting </w:t>
      </w:r>
      <w:r w:rsidR="005A6C89">
        <w:rPr>
          <w:rFonts w:ascii="Arial" w:eastAsia="Times New Roman" w:hAnsi="Arial"/>
          <w:snapToGrid w:val="0"/>
          <w:sz w:val="20"/>
          <w:szCs w:val="20"/>
        </w:rPr>
        <w:t>[</w:t>
      </w:r>
      <w:r w:rsidR="00F03192">
        <w:rPr>
          <w:rFonts w:ascii="Arial" w:eastAsia="Times New Roman" w:hAnsi="Arial"/>
          <w:snapToGrid w:val="0"/>
          <w:sz w:val="20"/>
          <w:szCs w:val="20"/>
        </w:rPr>
        <w:t>C</w:t>
      </w:r>
      <w:r w:rsidR="0092003C">
        <w:rPr>
          <w:rFonts w:ascii="Arial" w:eastAsia="Times New Roman" w:hAnsi="Arial"/>
          <w:snapToGrid w:val="0"/>
          <w:sz w:val="20"/>
          <w:szCs w:val="20"/>
        </w:rPr>
        <w:t>OVID</w:t>
      </w:r>
      <w:r w:rsidR="005A6C89">
        <w:rPr>
          <w:rFonts w:ascii="Arial" w:eastAsia="Times New Roman" w:hAnsi="Arial"/>
          <w:snapToGrid w:val="0"/>
          <w:sz w:val="20"/>
          <w:szCs w:val="20"/>
        </w:rPr>
        <w:t>]</w:t>
      </w:r>
      <w:r w:rsidRPr="005756CF">
        <w:rPr>
          <w:rFonts w:ascii="Arial" w:eastAsia="Times New Roman" w:hAnsi="Arial"/>
          <w:snapToGrid w:val="0"/>
          <w:sz w:val="20"/>
          <w:szCs w:val="20"/>
        </w:rPr>
        <w:t>, that got the vaccine shot, and they’re still transmitting COVID who got the vaccine shot, so why would you take an experimental drug, that this technology has not been proven, it killed all the animals that they tested it on, so why would you do it? (</w:t>
      </w:r>
      <w:r w:rsidRPr="00A76102">
        <w:rPr>
          <w:rFonts w:ascii="Arial" w:eastAsia="Times New Roman" w:hAnsi="Arial"/>
          <w:b/>
          <w:bCs/>
          <w:snapToGrid w:val="0"/>
          <w:sz w:val="20"/>
          <w:szCs w:val="20"/>
        </w:rPr>
        <w:t xml:space="preserve">Statement </w:t>
      </w:r>
      <w:r w:rsidR="00926CFA">
        <w:rPr>
          <w:rFonts w:ascii="Arial" w:eastAsia="Times New Roman" w:hAnsi="Arial"/>
          <w:b/>
          <w:bCs/>
          <w:snapToGrid w:val="0"/>
          <w:sz w:val="20"/>
          <w:szCs w:val="20"/>
        </w:rPr>
        <w:t>5</w:t>
      </w:r>
      <w:r w:rsidRPr="005756CF">
        <w:rPr>
          <w:rFonts w:ascii="Arial" w:eastAsia="Times New Roman" w:hAnsi="Arial"/>
          <w:snapToGrid w:val="0"/>
          <w:sz w:val="20"/>
          <w:szCs w:val="20"/>
        </w:rPr>
        <w:t xml:space="preserve">, made by </w:t>
      </w:r>
      <w:r w:rsidR="00142D7E">
        <w:rPr>
          <w:rFonts w:ascii="Arial" w:eastAsia="Times New Roman" w:hAnsi="Arial"/>
          <w:snapToGrid w:val="0"/>
          <w:sz w:val="20"/>
          <w:szCs w:val="20"/>
        </w:rPr>
        <w:t xml:space="preserve">Host </w:t>
      </w:r>
      <w:r w:rsidR="00CB7AB4">
        <w:rPr>
          <w:rFonts w:ascii="Arial" w:eastAsia="Times New Roman" w:hAnsi="Arial"/>
          <w:snapToGrid w:val="0"/>
          <w:sz w:val="20"/>
          <w:szCs w:val="20"/>
        </w:rPr>
        <w:t>1</w:t>
      </w:r>
      <w:r w:rsidR="008C7463">
        <w:rPr>
          <w:rFonts w:ascii="Arial" w:eastAsia="Times New Roman" w:hAnsi="Arial"/>
          <w:snapToGrid w:val="0"/>
          <w:sz w:val="20"/>
          <w:szCs w:val="20"/>
        </w:rPr>
        <w:t>)</w:t>
      </w:r>
      <w:r w:rsidRPr="005756CF">
        <w:rPr>
          <w:rFonts w:ascii="Arial" w:eastAsia="Times New Roman" w:hAnsi="Arial"/>
          <w:snapToGrid w:val="0"/>
          <w:sz w:val="20"/>
          <w:szCs w:val="20"/>
        </w:rPr>
        <w:t>.</w:t>
      </w:r>
    </w:p>
    <w:p w14:paraId="408D46AA" w14:textId="2C1A0273" w:rsidR="00A76102" w:rsidRPr="005756CF" w:rsidRDefault="00A76102" w:rsidP="00395A85">
      <w:pPr>
        <w:pStyle w:val="ListParagraph"/>
        <w:numPr>
          <w:ilvl w:val="0"/>
          <w:numId w:val="6"/>
        </w:numPr>
        <w:spacing w:after="120" w:line="240" w:lineRule="atLeast"/>
        <w:ind w:left="714" w:hanging="357"/>
        <w:contextualSpacing w:val="0"/>
        <w:rPr>
          <w:rFonts w:ascii="Arial" w:eastAsia="Times New Roman" w:hAnsi="Arial"/>
          <w:snapToGrid w:val="0"/>
          <w:sz w:val="20"/>
          <w:szCs w:val="20"/>
        </w:rPr>
      </w:pPr>
      <w:r w:rsidRPr="005756CF">
        <w:rPr>
          <w:rFonts w:ascii="Arial" w:eastAsia="Times New Roman" w:hAnsi="Arial"/>
          <w:snapToGrid w:val="0"/>
          <w:sz w:val="20"/>
          <w:szCs w:val="20"/>
        </w:rPr>
        <w:t>The FDA broke the rules in approving this… tons of rules, so this is a rushed, provisional approval, with no long term safety (</w:t>
      </w:r>
      <w:r w:rsidRPr="00A76102">
        <w:rPr>
          <w:rFonts w:ascii="Arial" w:eastAsia="Times New Roman" w:hAnsi="Arial"/>
          <w:b/>
          <w:bCs/>
          <w:snapToGrid w:val="0"/>
          <w:sz w:val="20"/>
          <w:szCs w:val="20"/>
        </w:rPr>
        <w:t xml:space="preserve">Statement </w:t>
      </w:r>
      <w:r w:rsidR="00926CFA">
        <w:rPr>
          <w:rFonts w:ascii="Arial" w:eastAsia="Times New Roman" w:hAnsi="Arial"/>
          <w:b/>
          <w:bCs/>
          <w:snapToGrid w:val="0"/>
          <w:sz w:val="20"/>
          <w:szCs w:val="20"/>
        </w:rPr>
        <w:t>6</w:t>
      </w:r>
      <w:r>
        <w:rPr>
          <w:rFonts w:ascii="Arial" w:eastAsia="Times New Roman" w:hAnsi="Arial"/>
          <w:b/>
          <w:bCs/>
          <w:snapToGrid w:val="0"/>
          <w:sz w:val="20"/>
          <w:szCs w:val="20"/>
        </w:rPr>
        <w:t>,</w:t>
      </w:r>
      <w:r w:rsidRPr="005756CF">
        <w:rPr>
          <w:rFonts w:ascii="Arial" w:eastAsia="Times New Roman" w:hAnsi="Arial"/>
          <w:snapToGrid w:val="0"/>
          <w:sz w:val="20"/>
          <w:szCs w:val="20"/>
        </w:rPr>
        <w:t xml:space="preserve"> made by </w:t>
      </w:r>
      <w:r w:rsidR="00CB7AB4">
        <w:rPr>
          <w:rFonts w:ascii="Arial" w:eastAsia="Times New Roman" w:hAnsi="Arial"/>
          <w:snapToGrid w:val="0"/>
          <w:sz w:val="20"/>
          <w:szCs w:val="20"/>
        </w:rPr>
        <w:t>Dr. A</w:t>
      </w:r>
      <w:r w:rsidRPr="005756CF">
        <w:rPr>
          <w:rFonts w:ascii="Arial" w:eastAsia="Times New Roman" w:hAnsi="Arial"/>
          <w:snapToGrid w:val="0"/>
          <w:sz w:val="20"/>
          <w:szCs w:val="20"/>
        </w:rPr>
        <w:t>).</w:t>
      </w:r>
    </w:p>
    <w:p w14:paraId="06DCCC2A" w14:textId="485B7708" w:rsidR="00A76102" w:rsidRPr="00520AE0" w:rsidRDefault="00A76102" w:rsidP="00B125DA">
      <w:pPr>
        <w:pStyle w:val="ListParagraph"/>
        <w:numPr>
          <w:ilvl w:val="0"/>
          <w:numId w:val="6"/>
        </w:numPr>
        <w:spacing w:after="120" w:line="240" w:lineRule="atLeast"/>
        <w:ind w:left="714" w:hanging="357"/>
        <w:contextualSpacing w:val="0"/>
        <w:rPr>
          <w:rFonts w:ascii="Arial" w:eastAsia="Times New Roman" w:hAnsi="Arial"/>
          <w:snapToGrid w:val="0"/>
          <w:sz w:val="20"/>
          <w:szCs w:val="20"/>
        </w:rPr>
      </w:pPr>
      <w:r w:rsidRPr="005756CF">
        <w:rPr>
          <w:rFonts w:ascii="Arial" w:eastAsia="Times New Roman" w:hAnsi="Arial"/>
          <w:snapToGrid w:val="0"/>
          <w:sz w:val="20"/>
          <w:szCs w:val="20"/>
        </w:rPr>
        <w:t>The shots are not proven long term in pregnancy, the long term outcomes for the foetus are not proved. To force a patient to get a shot is evil (</w:t>
      </w:r>
      <w:r w:rsidRPr="00A76102">
        <w:rPr>
          <w:rFonts w:ascii="Arial" w:eastAsia="Times New Roman" w:hAnsi="Arial"/>
          <w:b/>
          <w:bCs/>
          <w:snapToGrid w:val="0"/>
          <w:sz w:val="20"/>
          <w:szCs w:val="20"/>
        </w:rPr>
        <w:t xml:space="preserve">Statement </w:t>
      </w:r>
      <w:r w:rsidR="00926CFA">
        <w:rPr>
          <w:rFonts w:ascii="Arial" w:eastAsia="Times New Roman" w:hAnsi="Arial"/>
          <w:b/>
          <w:bCs/>
          <w:snapToGrid w:val="0"/>
          <w:sz w:val="20"/>
          <w:szCs w:val="20"/>
        </w:rPr>
        <w:t>7</w:t>
      </w:r>
      <w:r w:rsidRPr="005756CF">
        <w:rPr>
          <w:rFonts w:ascii="Arial" w:eastAsia="Times New Roman" w:hAnsi="Arial"/>
          <w:snapToGrid w:val="0"/>
          <w:sz w:val="20"/>
          <w:szCs w:val="20"/>
        </w:rPr>
        <w:t xml:space="preserve">, made by </w:t>
      </w:r>
      <w:r w:rsidR="00CB7AB4">
        <w:rPr>
          <w:rFonts w:ascii="Arial" w:eastAsia="Times New Roman" w:hAnsi="Arial"/>
          <w:snapToGrid w:val="0"/>
          <w:sz w:val="20"/>
          <w:szCs w:val="20"/>
        </w:rPr>
        <w:t>Dr. A</w:t>
      </w:r>
      <w:r w:rsidRPr="005756CF">
        <w:rPr>
          <w:rFonts w:ascii="Arial" w:eastAsia="Times New Roman" w:hAnsi="Arial"/>
          <w:snapToGrid w:val="0"/>
          <w:sz w:val="20"/>
          <w:szCs w:val="20"/>
        </w:rPr>
        <w:t>).</w:t>
      </w:r>
      <w:r w:rsidR="00B125DA" w:rsidRPr="00B125DA">
        <w:rPr>
          <w:rFonts w:ascii="Arial" w:eastAsia="Times New Roman" w:hAnsi="Arial"/>
          <w:snapToGrid w:val="0"/>
          <w:sz w:val="20"/>
          <w:szCs w:val="20"/>
        </w:rPr>
        <w:t xml:space="preserve"> </w:t>
      </w:r>
    </w:p>
    <w:p w14:paraId="1FEED1C2" w14:textId="458D0949" w:rsidR="002914E7" w:rsidRPr="002914E7" w:rsidRDefault="002914E7" w:rsidP="008A0950">
      <w:pPr>
        <w:spacing w:before="0" w:after="120" w:line="240" w:lineRule="atLeast"/>
        <w:rPr>
          <w:iCs/>
          <w:snapToGrid w:val="0"/>
          <w:szCs w:val="20"/>
        </w:rPr>
      </w:pPr>
      <w:r w:rsidRPr="002914E7">
        <w:rPr>
          <w:iCs/>
          <w:snapToGrid w:val="0"/>
          <w:szCs w:val="20"/>
        </w:rPr>
        <w:t xml:space="preserve">Joni Table Talk </w:t>
      </w:r>
    </w:p>
    <w:p w14:paraId="64D8CF25" w14:textId="5EE35AE0" w:rsidR="00061759" w:rsidRPr="00061759" w:rsidRDefault="00061759" w:rsidP="00395A85">
      <w:pPr>
        <w:pStyle w:val="ListParagraph"/>
        <w:numPr>
          <w:ilvl w:val="0"/>
          <w:numId w:val="6"/>
        </w:numPr>
        <w:spacing w:after="120" w:line="240" w:lineRule="atLeast"/>
        <w:ind w:left="714" w:hanging="357"/>
        <w:contextualSpacing w:val="0"/>
        <w:rPr>
          <w:rFonts w:ascii="Arial" w:eastAsia="Times New Roman" w:hAnsi="Arial"/>
          <w:snapToGrid w:val="0"/>
          <w:sz w:val="20"/>
          <w:szCs w:val="20"/>
        </w:rPr>
      </w:pPr>
      <w:r w:rsidRPr="00061759">
        <w:rPr>
          <w:rFonts w:ascii="Arial" w:eastAsia="Times New Roman" w:hAnsi="Arial"/>
          <w:snapToGrid w:val="0"/>
          <w:sz w:val="20"/>
          <w:szCs w:val="20"/>
        </w:rPr>
        <w:t>It has chemicals inside that will lead to infertility… and leads to miscarriages</w:t>
      </w:r>
      <w:r w:rsidR="0035248A">
        <w:rPr>
          <w:rFonts w:ascii="Arial" w:eastAsia="Times New Roman" w:hAnsi="Arial"/>
          <w:snapToGrid w:val="0"/>
          <w:sz w:val="20"/>
          <w:szCs w:val="20"/>
        </w:rPr>
        <w:t xml:space="preserve"> (</w:t>
      </w:r>
      <w:r w:rsidR="0035248A" w:rsidRPr="0035248A">
        <w:rPr>
          <w:rFonts w:ascii="Arial" w:eastAsia="Times New Roman" w:hAnsi="Arial"/>
          <w:b/>
          <w:bCs/>
          <w:snapToGrid w:val="0"/>
          <w:sz w:val="20"/>
          <w:szCs w:val="20"/>
        </w:rPr>
        <w:t xml:space="preserve">Statement </w:t>
      </w:r>
      <w:r w:rsidR="000859B9">
        <w:rPr>
          <w:rFonts w:ascii="Arial" w:eastAsia="Times New Roman" w:hAnsi="Arial"/>
          <w:b/>
          <w:bCs/>
          <w:snapToGrid w:val="0"/>
          <w:sz w:val="20"/>
          <w:szCs w:val="20"/>
        </w:rPr>
        <w:t>8</w:t>
      </w:r>
      <w:r w:rsidR="0035248A">
        <w:rPr>
          <w:rFonts w:ascii="Arial" w:eastAsia="Times New Roman" w:hAnsi="Arial"/>
          <w:b/>
          <w:bCs/>
          <w:snapToGrid w:val="0"/>
          <w:sz w:val="20"/>
          <w:szCs w:val="20"/>
        </w:rPr>
        <w:t xml:space="preserve">, </w:t>
      </w:r>
      <w:r w:rsidR="0035248A" w:rsidRPr="0035248A">
        <w:rPr>
          <w:rFonts w:ascii="Arial" w:eastAsia="Times New Roman" w:hAnsi="Arial"/>
          <w:snapToGrid w:val="0"/>
          <w:sz w:val="20"/>
          <w:szCs w:val="20"/>
        </w:rPr>
        <w:t xml:space="preserve">made by </w:t>
      </w:r>
      <w:r w:rsidR="00B34D3D">
        <w:rPr>
          <w:rFonts w:ascii="Arial" w:eastAsia="Times New Roman" w:hAnsi="Arial"/>
          <w:snapToGrid w:val="0"/>
          <w:sz w:val="20"/>
          <w:szCs w:val="20"/>
        </w:rPr>
        <w:t xml:space="preserve">Dr. </w:t>
      </w:r>
      <w:r w:rsidR="00CB7AB4">
        <w:rPr>
          <w:rFonts w:ascii="Arial" w:eastAsia="Times New Roman" w:hAnsi="Arial"/>
          <w:snapToGrid w:val="0"/>
          <w:sz w:val="20"/>
          <w:szCs w:val="20"/>
        </w:rPr>
        <w:t>B</w:t>
      </w:r>
      <w:r w:rsidR="0035248A">
        <w:rPr>
          <w:rFonts w:ascii="Arial" w:eastAsia="Times New Roman" w:hAnsi="Arial"/>
          <w:snapToGrid w:val="0"/>
          <w:sz w:val="20"/>
          <w:szCs w:val="20"/>
        </w:rPr>
        <w:t>)</w:t>
      </w:r>
      <w:r w:rsidR="005756CF">
        <w:rPr>
          <w:rFonts w:ascii="Arial" w:eastAsia="Times New Roman" w:hAnsi="Arial"/>
          <w:snapToGrid w:val="0"/>
          <w:sz w:val="20"/>
          <w:szCs w:val="20"/>
        </w:rPr>
        <w:t>.</w:t>
      </w:r>
    </w:p>
    <w:p w14:paraId="6C8FA2EB" w14:textId="310CBF27" w:rsidR="00061759" w:rsidRPr="00061759" w:rsidRDefault="00061759" w:rsidP="00395A85">
      <w:pPr>
        <w:pStyle w:val="ListParagraph"/>
        <w:numPr>
          <w:ilvl w:val="0"/>
          <w:numId w:val="6"/>
        </w:numPr>
        <w:spacing w:after="120" w:line="240" w:lineRule="atLeast"/>
        <w:ind w:left="714" w:hanging="357"/>
        <w:contextualSpacing w:val="0"/>
        <w:rPr>
          <w:rFonts w:ascii="Arial" w:eastAsia="Times New Roman" w:hAnsi="Arial"/>
          <w:snapToGrid w:val="0"/>
          <w:sz w:val="20"/>
          <w:szCs w:val="20"/>
        </w:rPr>
      </w:pPr>
      <w:r w:rsidRPr="00061759">
        <w:rPr>
          <w:rFonts w:ascii="Arial" w:eastAsia="Times New Roman" w:hAnsi="Arial"/>
          <w:snapToGrid w:val="0"/>
          <w:sz w:val="20"/>
          <w:szCs w:val="20"/>
        </w:rPr>
        <w:t>We’ve seen a 400% increase in miscarriage… not a miscarriage, it’s murder</w:t>
      </w:r>
      <w:r w:rsidR="0035248A">
        <w:rPr>
          <w:rFonts w:ascii="Arial" w:eastAsia="Times New Roman" w:hAnsi="Arial"/>
          <w:snapToGrid w:val="0"/>
          <w:sz w:val="20"/>
          <w:szCs w:val="20"/>
        </w:rPr>
        <w:t xml:space="preserve"> (</w:t>
      </w:r>
      <w:r w:rsidR="0035248A" w:rsidRPr="0035248A">
        <w:rPr>
          <w:rFonts w:ascii="Arial" w:eastAsia="Times New Roman" w:hAnsi="Arial"/>
          <w:b/>
          <w:bCs/>
          <w:snapToGrid w:val="0"/>
          <w:sz w:val="20"/>
          <w:szCs w:val="20"/>
        </w:rPr>
        <w:t xml:space="preserve">Statement </w:t>
      </w:r>
      <w:r w:rsidR="000859B9">
        <w:rPr>
          <w:rFonts w:ascii="Arial" w:eastAsia="Times New Roman" w:hAnsi="Arial"/>
          <w:b/>
          <w:bCs/>
          <w:snapToGrid w:val="0"/>
          <w:sz w:val="20"/>
          <w:szCs w:val="20"/>
        </w:rPr>
        <w:t>9</w:t>
      </w:r>
      <w:r w:rsidR="0035248A">
        <w:rPr>
          <w:rFonts w:ascii="Arial" w:eastAsia="Times New Roman" w:hAnsi="Arial"/>
          <w:b/>
          <w:bCs/>
          <w:snapToGrid w:val="0"/>
          <w:sz w:val="20"/>
          <w:szCs w:val="20"/>
        </w:rPr>
        <w:t xml:space="preserve">, </w:t>
      </w:r>
      <w:r w:rsidR="0035248A" w:rsidRPr="0035248A">
        <w:rPr>
          <w:rFonts w:ascii="Arial" w:eastAsia="Times New Roman" w:hAnsi="Arial"/>
          <w:snapToGrid w:val="0"/>
          <w:sz w:val="20"/>
          <w:szCs w:val="20"/>
        </w:rPr>
        <w:t xml:space="preserve">made by </w:t>
      </w:r>
      <w:r w:rsidR="00B34D3D">
        <w:rPr>
          <w:rFonts w:ascii="Arial" w:eastAsia="Times New Roman" w:hAnsi="Arial"/>
          <w:snapToGrid w:val="0"/>
          <w:sz w:val="20"/>
          <w:szCs w:val="20"/>
        </w:rPr>
        <w:t xml:space="preserve">Dr. </w:t>
      </w:r>
      <w:r w:rsidR="00CB7AB4">
        <w:rPr>
          <w:rFonts w:ascii="Arial" w:eastAsia="Times New Roman" w:hAnsi="Arial"/>
          <w:snapToGrid w:val="0"/>
          <w:sz w:val="20"/>
          <w:szCs w:val="20"/>
        </w:rPr>
        <w:t>B</w:t>
      </w:r>
      <w:r w:rsidR="0035248A" w:rsidRPr="00331133">
        <w:rPr>
          <w:rFonts w:ascii="Arial" w:eastAsia="Times New Roman" w:hAnsi="Arial"/>
          <w:snapToGrid w:val="0"/>
          <w:sz w:val="20"/>
          <w:szCs w:val="20"/>
        </w:rPr>
        <w:t>)</w:t>
      </w:r>
      <w:r w:rsidR="005756CF">
        <w:rPr>
          <w:rFonts w:ascii="Arial" w:eastAsia="Times New Roman" w:hAnsi="Arial"/>
          <w:b/>
          <w:bCs/>
          <w:snapToGrid w:val="0"/>
          <w:sz w:val="20"/>
          <w:szCs w:val="20"/>
        </w:rPr>
        <w:t>.</w:t>
      </w:r>
    </w:p>
    <w:p w14:paraId="5D6A0176" w14:textId="6A767E48" w:rsidR="00061759" w:rsidRPr="00061759" w:rsidRDefault="00061759" w:rsidP="00395A85">
      <w:pPr>
        <w:pStyle w:val="ListParagraph"/>
        <w:numPr>
          <w:ilvl w:val="0"/>
          <w:numId w:val="6"/>
        </w:numPr>
        <w:spacing w:after="120" w:line="240" w:lineRule="atLeast"/>
        <w:ind w:left="714" w:hanging="357"/>
        <w:contextualSpacing w:val="0"/>
        <w:rPr>
          <w:rFonts w:ascii="Arial" w:eastAsia="Times New Roman" w:hAnsi="Arial"/>
          <w:snapToGrid w:val="0"/>
          <w:sz w:val="20"/>
          <w:szCs w:val="20"/>
        </w:rPr>
      </w:pPr>
      <w:r w:rsidRPr="00061759">
        <w:rPr>
          <w:rFonts w:ascii="Arial" w:eastAsia="Times New Roman" w:hAnsi="Arial"/>
          <w:snapToGrid w:val="0"/>
          <w:sz w:val="20"/>
          <w:szCs w:val="20"/>
        </w:rPr>
        <w:t>No one has studied the shot to see what happens to it when it’s injected into the body</w:t>
      </w:r>
      <w:r w:rsidR="0035248A">
        <w:rPr>
          <w:rFonts w:ascii="Arial" w:eastAsia="Times New Roman" w:hAnsi="Arial"/>
          <w:snapToGrid w:val="0"/>
          <w:sz w:val="20"/>
          <w:szCs w:val="20"/>
        </w:rPr>
        <w:t xml:space="preserve"> (</w:t>
      </w:r>
      <w:r w:rsidR="0035248A" w:rsidRPr="0035248A">
        <w:rPr>
          <w:rFonts w:ascii="Arial" w:eastAsia="Times New Roman" w:hAnsi="Arial"/>
          <w:b/>
          <w:bCs/>
          <w:snapToGrid w:val="0"/>
          <w:sz w:val="20"/>
          <w:szCs w:val="20"/>
        </w:rPr>
        <w:t xml:space="preserve">Statement </w:t>
      </w:r>
      <w:r w:rsidR="000859B9">
        <w:rPr>
          <w:rFonts w:ascii="Arial" w:eastAsia="Times New Roman" w:hAnsi="Arial"/>
          <w:b/>
          <w:bCs/>
          <w:snapToGrid w:val="0"/>
          <w:sz w:val="20"/>
          <w:szCs w:val="20"/>
        </w:rPr>
        <w:t>10</w:t>
      </w:r>
      <w:r w:rsidR="0035248A">
        <w:rPr>
          <w:rFonts w:ascii="Arial" w:eastAsia="Times New Roman" w:hAnsi="Arial"/>
          <w:b/>
          <w:bCs/>
          <w:snapToGrid w:val="0"/>
          <w:sz w:val="20"/>
          <w:szCs w:val="20"/>
        </w:rPr>
        <w:t xml:space="preserve">, </w:t>
      </w:r>
      <w:r w:rsidR="0035248A" w:rsidRPr="0035248A">
        <w:rPr>
          <w:rFonts w:ascii="Arial" w:eastAsia="Times New Roman" w:hAnsi="Arial"/>
          <w:snapToGrid w:val="0"/>
          <w:sz w:val="20"/>
          <w:szCs w:val="20"/>
        </w:rPr>
        <w:t xml:space="preserve">made by </w:t>
      </w:r>
      <w:r w:rsidR="00B34D3D">
        <w:rPr>
          <w:rFonts w:ascii="Arial" w:eastAsia="Times New Roman" w:hAnsi="Arial"/>
          <w:snapToGrid w:val="0"/>
          <w:sz w:val="20"/>
          <w:szCs w:val="20"/>
        </w:rPr>
        <w:t xml:space="preserve">Dr. </w:t>
      </w:r>
      <w:r w:rsidR="00CB7AB4">
        <w:rPr>
          <w:rFonts w:ascii="Arial" w:eastAsia="Times New Roman" w:hAnsi="Arial"/>
          <w:snapToGrid w:val="0"/>
          <w:sz w:val="20"/>
          <w:szCs w:val="20"/>
        </w:rPr>
        <w:t>B</w:t>
      </w:r>
      <w:r w:rsidR="0035248A" w:rsidRPr="00331133">
        <w:rPr>
          <w:rFonts w:ascii="Arial" w:eastAsia="Times New Roman" w:hAnsi="Arial"/>
          <w:snapToGrid w:val="0"/>
          <w:sz w:val="20"/>
          <w:szCs w:val="20"/>
        </w:rPr>
        <w:t>)</w:t>
      </w:r>
      <w:r w:rsidR="005756CF" w:rsidRPr="00331133">
        <w:rPr>
          <w:rFonts w:ascii="Arial" w:eastAsia="Times New Roman" w:hAnsi="Arial"/>
          <w:snapToGrid w:val="0"/>
          <w:sz w:val="20"/>
          <w:szCs w:val="20"/>
        </w:rPr>
        <w:t>.</w:t>
      </w:r>
    </w:p>
    <w:p w14:paraId="46C701E1" w14:textId="161FF6B5" w:rsidR="00061759" w:rsidRPr="00061759" w:rsidRDefault="00061759" w:rsidP="00395A85">
      <w:pPr>
        <w:pStyle w:val="ListParagraph"/>
        <w:numPr>
          <w:ilvl w:val="0"/>
          <w:numId w:val="6"/>
        </w:numPr>
        <w:spacing w:after="120" w:line="240" w:lineRule="atLeast"/>
        <w:ind w:left="714" w:hanging="357"/>
        <w:contextualSpacing w:val="0"/>
        <w:rPr>
          <w:rFonts w:ascii="Arial" w:eastAsia="Times New Roman" w:hAnsi="Arial"/>
          <w:snapToGrid w:val="0"/>
          <w:sz w:val="20"/>
          <w:szCs w:val="20"/>
        </w:rPr>
      </w:pPr>
      <w:r w:rsidRPr="00061759">
        <w:rPr>
          <w:rFonts w:ascii="Arial" w:eastAsia="Times New Roman" w:hAnsi="Arial"/>
          <w:snapToGrid w:val="0"/>
          <w:sz w:val="20"/>
          <w:szCs w:val="20"/>
        </w:rPr>
        <w:t>We are seeing women who are in menopause beginning to bleed</w:t>
      </w:r>
      <w:r w:rsidR="0035248A">
        <w:rPr>
          <w:rFonts w:ascii="Arial" w:eastAsia="Times New Roman" w:hAnsi="Arial"/>
          <w:snapToGrid w:val="0"/>
          <w:sz w:val="20"/>
          <w:szCs w:val="20"/>
        </w:rPr>
        <w:t xml:space="preserve"> (</w:t>
      </w:r>
      <w:r w:rsidR="0035248A" w:rsidRPr="0035248A">
        <w:rPr>
          <w:rFonts w:ascii="Arial" w:eastAsia="Times New Roman" w:hAnsi="Arial"/>
          <w:b/>
          <w:bCs/>
          <w:snapToGrid w:val="0"/>
          <w:sz w:val="20"/>
          <w:szCs w:val="20"/>
        </w:rPr>
        <w:t xml:space="preserve">Statement </w:t>
      </w:r>
      <w:r w:rsidR="00FB5C78">
        <w:rPr>
          <w:rFonts w:ascii="Arial" w:eastAsia="Times New Roman" w:hAnsi="Arial"/>
          <w:b/>
          <w:bCs/>
          <w:snapToGrid w:val="0"/>
          <w:sz w:val="20"/>
          <w:szCs w:val="20"/>
        </w:rPr>
        <w:t>1</w:t>
      </w:r>
      <w:r w:rsidR="000859B9">
        <w:rPr>
          <w:rFonts w:ascii="Arial" w:eastAsia="Times New Roman" w:hAnsi="Arial"/>
          <w:b/>
          <w:bCs/>
          <w:snapToGrid w:val="0"/>
          <w:sz w:val="20"/>
          <w:szCs w:val="20"/>
        </w:rPr>
        <w:t>1</w:t>
      </w:r>
      <w:r w:rsidR="0035248A">
        <w:rPr>
          <w:rFonts w:ascii="Arial" w:eastAsia="Times New Roman" w:hAnsi="Arial"/>
          <w:b/>
          <w:bCs/>
          <w:snapToGrid w:val="0"/>
          <w:sz w:val="20"/>
          <w:szCs w:val="20"/>
        </w:rPr>
        <w:t xml:space="preserve">, </w:t>
      </w:r>
      <w:r w:rsidR="0035248A" w:rsidRPr="0035248A">
        <w:rPr>
          <w:rFonts w:ascii="Arial" w:eastAsia="Times New Roman" w:hAnsi="Arial"/>
          <w:snapToGrid w:val="0"/>
          <w:sz w:val="20"/>
          <w:szCs w:val="20"/>
        </w:rPr>
        <w:t xml:space="preserve">made by </w:t>
      </w:r>
      <w:r w:rsidR="00B34D3D">
        <w:rPr>
          <w:rFonts w:ascii="Arial" w:eastAsia="Times New Roman" w:hAnsi="Arial"/>
          <w:snapToGrid w:val="0"/>
          <w:sz w:val="20"/>
          <w:szCs w:val="20"/>
        </w:rPr>
        <w:t xml:space="preserve">Dr. </w:t>
      </w:r>
      <w:r w:rsidR="00CB7AB4">
        <w:rPr>
          <w:rFonts w:ascii="Arial" w:eastAsia="Times New Roman" w:hAnsi="Arial"/>
          <w:snapToGrid w:val="0"/>
          <w:sz w:val="20"/>
          <w:szCs w:val="20"/>
        </w:rPr>
        <w:t>B</w:t>
      </w:r>
      <w:r w:rsidR="0035248A" w:rsidRPr="00331133">
        <w:rPr>
          <w:rFonts w:ascii="Arial" w:eastAsia="Times New Roman" w:hAnsi="Arial"/>
          <w:snapToGrid w:val="0"/>
          <w:sz w:val="20"/>
          <w:szCs w:val="20"/>
        </w:rPr>
        <w:t>)</w:t>
      </w:r>
      <w:r w:rsidR="005756CF" w:rsidRPr="00331133">
        <w:rPr>
          <w:rFonts w:ascii="Arial" w:eastAsia="Times New Roman" w:hAnsi="Arial"/>
          <w:snapToGrid w:val="0"/>
          <w:sz w:val="20"/>
          <w:szCs w:val="20"/>
        </w:rPr>
        <w:t>.</w:t>
      </w:r>
    </w:p>
    <w:p w14:paraId="5B9FF1CC" w14:textId="375889E3" w:rsidR="00061759" w:rsidRPr="00061759" w:rsidRDefault="00061759" w:rsidP="00395A85">
      <w:pPr>
        <w:pStyle w:val="ListParagraph"/>
        <w:numPr>
          <w:ilvl w:val="0"/>
          <w:numId w:val="6"/>
        </w:numPr>
        <w:spacing w:after="120" w:line="240" w:lineRule="atLeast"/>
        <w:ind w:left="714" w:hanging="357"/>
        <w:contextualSpacing w:val="0"/>
        <w:rPr>
          <w:rFonts w:ascii="Arial" w:eastAsia="Times New Roman" w:hAnsi="Arial"/>
          <w:snapToGrid w:val="0"/>
          <w:sz w:val="20"/>
          <w:szCs w:val="20"/>
        </w:rPr>
      </w:pPr>
      <w:r w:rsidRPr="00061759">
        <w:rPr>
          <w:rFonts w:ascii="Arial" w:eastAsia="Times New Roman" w:hAnsi="Arial"/>
          <w:snapToGrid w:val="0"/>
          <w:sz w:val="20"/>
          <w:szCs w:val="20"/>
        </w:rPr>
        <w:t>We are seeing women with regular period getting heavy bleeds and blood clots</w:t>
      </w:r>
      <w:r w:rsidR="0035248A">
        <w:rPr>
          <w:rFonts w:ascii="Arial" w:eastAsia="Times New Roman" w:hAnsi="Arial"/>
          <w:snapToGrid w:val="0"/>
          <w:sz w:val="20"/>
          <w:szCs w:val="20"/>
        </w:rPr>
        <w:t xml:space="preserve"> (</w:t>
      </w:r>
      <w:r w:rsidR="0035248A" w:rsidRPr="0035248A">
        <w:rPr>
          <w:rFonts w:ascii="Arial" w:eastAsia="Times New Roman" w:hAnsi="Arial"/>
          <w:b/>
          <w:bCs/>
          <w:snapToGrid w:val="0"/>
          <w:sz w:val="20"/>
          <w:szCs w:val="20"/>
        </w:rPr>
        <w:t xml:space="preserve">Statement </w:t>
      </w:r>
      <w:r w:rsidR="00FB5C78">
        <w:rPr>
          <w:rFonts w:ascii="Arial" w:eastAsia="Times New Roman" w:hAnsi="Arial"/>
          <w:b/>
          <w:bCs/>
          <w:snapToGrid w:val="0"/>
          <w:sz w:val="20"/>
          <w:szCs w:val="20"/>
        </w:rPr>
        <w:t>1</w:t>
      </w:r>
      <w:r w:rsidR="000859B9">
        <w:rPr>
          <w:rFonts w:ascii="Arial" w:eastAsia="Times New Roman" w:hAnsi="Arial"/>
          <w:b/>
          <w:bCs/>
          <w:snapToGrid w:val="0"/>
          <w:sz w:val="20"/>
          <w:szCs w:val="20"/>
        </w:rPr>
        <w:t>2</w:t>
      </w:r>
      <w:r w:rsidR="0035248A">
        <w:rPr>
          <w:rFonts w:ascii="Arial" w:eastAsia="Times New Roman" w:hAnsi="Arial"/>
          <w:b/>
          <w:bCs/>
          <w:snapToGrid w:val="0"/>
          <w:sz w:val="20"/>
          <w:szCs w:val="20"/>
        </w:rPr>
        <w:t xml:space="preserve">, </w:t>
      </w:r>
      <w:r w:rsidR="005756CF" w:rsidRPr="0035248A">
        <w:rPr>
          <w:rFonts w:ascii="Arial" w:eastAsia="Times New Roman" w:hAnsi="Arial"/>
          <w:snapToGrid w:val="0"/>
          <w:sz w:val="20"/>
          <w:szCs w:val="20"/>
        </w:rPr>
        <w:t xml:space="preserve">made by </w:t>
      </w:r>
      <w:r w:rsidR="00B34D3D">
        <w:rPr>
          <w:rFonts w:ascii="Arial" w:eastAsia="Times New Roman" w:hAnsi="Arial"/>
          <w:snapToGrid w:val="0"/>
          <w:sz w:val="20"/>
          <w:szCs w:val="20"/>
        </w:rPr>
        <w:t xml:space="preserve">Dr. </w:t>
      </w:r>
      <w:r w:rsidR="00CB7AB4">
        <w:rPr>
          <w:rFonts w:ascii="Arial" w:eastAsia="Times New Roman" w:hAnsi="Arial"/>
          <w:snapToGrid w:val="0"/>
          <w:sz w:val="20"/>
          <w:szCs w:val="20"/>
        </w:rPr>
        <w:t>B</w:t>
      </w:r>
      <w:r w:rsidR="0035248A" w:rsidRPr="00331133">
        <w:rPr>
          <w:rFonts w:ascii="Arial" w:eastAsia="Times New Roman" w:hAnsi="Arial"/>
          <w:snapToGrid w:val="0"/>
          <w:sz w:val="20"/>
          <w:szCs w:val="20"/>
        </w:rPr>
        <w:t>)</w:t>
      </w:r>
      <w:r w:rsidR="005756CF" w:rsidRPr="00331133">
        <w:rPr>
          <w:rFonts w:ascii="Arial" w:eastAsia="Times New Roman" w:hAnsi="Arial"/>
          <w:snapToGrid w:val="0"/>
          <w:sz w:val="20"/>
          <w:szCs w:val="20"/>
        </w:rPr>
        <w:t>.</w:t>
      </w:r>
    </w:p>
    <w:p w14:paraId="220C0FE1" w14:textId="4D3DFD2E" w:rsidR="00061759" w:rsidRDefault="00061759" w:rsidP="00395A85">
      <w:pPr>
        <w:pStyle w:val="ListParagraph"/>
        <w:numPr>
          <w:ilvl w:val="0"/>
          <w:numId w:val="6"/>
        </w:numPr>
        <w:spacing w:after="120" w:line="240" w:lineRule="atLeast"/>
        <w:ind w:left="714" w:hanging="357"/>
        <w:contextualSpacing w:val="0"/>
        <w:rPr>
          <w:rFonts w:ascii="Arial" w:eastAsia="Times New Roman" w:hAnsi="Arial"/>
          <w:snapToGrid w:val="0"/>
          <w:sz w:val="20"/>
          <w:szCs w:val="20"/>
        </w:rPr>
      </w:pPr>
      <w:r w:rsidRPr="00061759">
        <w:rPr>
          <w:rFonts w:ascii="Arial" w:eastAsia="Times New Roman" w:hAnsi="Arial"/>
          <w:snapToGrid w:val="0"/>
          <w:sz w:val="20"/>
          <w:szCs w:val="20"/>
        </w:rPr>
        <w:t>We have no information about the shot</w:t>
      </w:r>
      <w:r w:rsidR="0035248A">
        <w:rPr>
          <w:rFonts w:ascii="Arial" w:eastAsia="Times New Roman" w:hAnsi="Arial"/>
          <w:snapToGrid w:val="0"/>
          <w:sz w:val="20"/>
          <w:szCs w:val="20"/>
        </w:rPr>
        <w:t xml:space="preserve"> (</w:t>
      </w:r>
      <w:r w:rsidR="0035248A" w:rsidRPr="0035248A">
        <w:rPr>
          <w:rFonts w:ascii="Arial" w:eastAsia="Times New Roman" w:hAnsi="Arial"/>
          <w:b/>
          <w:bCs/>
          <w:snapToGrid w:val="0"/>
          <w:sz w:val="20"/>
          <w:szCs w:val="20"/>
        </w:rPr>
        <w:t xml:space="preserve">Statement </w:t>
      </w:r>
      <w:r w:rsidR="00FB5C78">
        <w:rPr>
          <w:rFonts w:ascii="Arial" w:eastAsia="Times New Roman" w:hAnsi="Arial"/>
          <w:b/>
          <w:bCs/>
          <w:snapToGrid w:val="0"/>
          <w:sz w:val="20"/>
          <w:szCs w:val="20"/>
        </w:rPr>
        <w:t>1</w:t>
      </w:r>
      <w:r w:rsidR="000859B9">
        <w:rPr>
          <w:rFonts w:ascii="Arial" w:eastAsia="Times New Roman" w:hAnsi="Arial"/>
          <w:b/>
          <w:bCs/>
          <w:snapToGrid w:val="0"/>
          <w:sz w:val="20"/>
          <w:szCs w:val="20"/>
        </w:rPr>
        <w:t>3</w:t>
      </w:r>
      <w:r w:rsidR="005756CF">
        <w:rPr>
          <w:rFonts w:ascii="Arial" w:eastAsia="Times New Roman" w:hAnsi="Arial"/>
          <w:b/>
          <w:bCs/>
          <w:snapToGrid w:val="0"/>
          <w:sz w:val="20"/>
          <w:szCs w:val="20"/>
        </w:rPr>
        <w:t xml:space="preserve">, </w:t>
      </w:r>
      <w:r w:rsidR="005756CF" w:rsidRPr="0035248A">
        <w:rPr>
          <w:rFonts w:ascii="Arial" w:eastAsia="Times New Roman" w:hAnsi="Arial"/>
          <w:snapToGrid w:val="0"/>
          <w:sz w:val="20"/>
          <w:szCs w:val="20"/>
        </w:rPr>
        <w:t xml:space="preserve">made by </w:t>
      </w:r>
      <w:r w:rsidR="00B34D3D">
        <w:rPr>
          <w:rFonts w:ascii="Arial" w:eastAsia="Times New Roman" w:hAnsi="Arial"/>
          <w:snapToGrid w:val="0"/>
          <w:sz w:val="20"/>
          <w:szCs w:val="20"/>
        </w:rPr>
        <w:t xml:space="preserve">Dr. </w:t>
      </w:r>
      <w:r w:rsidR="00CB7AB4">
        <w:rPr>
          <w:rFonts w:ascii="Arial" w:eastAsia="Times New Roman" w:hAnsi="Arial"/>
          <w:snapToGrid w:val="0"/>
          <w:sz w:val="20"/>
          <w:szCs w:val="20"/>
        </w:rPr>
        <w:t>B</w:t>
      </w:r>
      <w:r w:rsidR="0035248A" w:rsidRPr="00331133">
        <w:rPr>
          <w:rFonts w:ascii="Arial" w:eastAsia="Times New Roman" w:hAnsi="Arial"/>
          <w:snapToGrid w:val="0"/>
          <w:sz w:val="20"/>
          <w:szCs w:val="20"/>
        </w:rPr>
        <w:t>)</w:t>
      </w:r>
      <w:r w:rsidR="005756CF" w:rsidRPr="00331133">
        <w:rPr>
          <w:rFonts w:ascii="Arial" w:eastAsia="Times New Roman" w:hAnsi="Arial"/>
          <w:snapToGrid w:val="0"/>
          <w:sz w:val="20"/>
          <w:szCs w:val="20"/>
        </w:rPr>
        <w:t>.</w:t>
      </w:r>
    </w:p>
    <w:p w14:paraId="0D47E868" w14:textId="305E8997" w:rsidR="00907CB0" w:rsidRPr="00963D97" w:rsidRDefault="00907CB0" w:rsidP="00B8133D">
      <w:pPr>
        <w:spacing w:before="240" w:after="120" w:line="240" w:lineRule="atLeast"/>
        <w:rPr>
          <w:b/>
          <w:bCs/>
          <w:iCs/>
          <w:snapToGrid w:val="0"/>
          <w:sz w:val="24"/>
        </w:rPr>
      </w:pPr>
      <w:r w:rsidRPr="00963D97">
        <w:rPr>
          <w:b/>
          <w:bCs/>
          <w:iCs/>
          <w:snapToGrid w:val="0"/>
          <w:sz w:val="24"/>
        </w:rPr>
        <w:t>Ministry Now</w:t>
      </w:r>
    </w:p>
    <w:p w14:paraId="3DB8E934" w14:textId="3C165593" w:rsidR="00B125DA" w:rsidRPr="00B8133D" w:rsidRDefault="009E6081" w:rsidP="00B8133D">
      <w:pPr>
        <w:spacing w:before="0" w:line="240" w:lineRule="atLeast"/>
        <w:rPr>
          <w:rFonts w:eastAsia="Calibri" w:cs="Arial"/>
          <w:i w:val="0"/>
          <w:snapToGrid w:val="0"/>
          <w:szCs w:val="20"/>
        </w:rPr>
      </w:pPr>
      <w:r w:rsidRPr="00B8133D">
        <w:rPr>
          <w:rFonts w:eastAsia="Calibri" w:cs="Arial"/>
          <w:i w:val="0"/>
          <w:snapToGrid w:val="0"/>
          <w:szCs w:val="20"/>
        </w:rPr>
        <w:t>The ACMA</w:t>
      </w:r>
      <w:r w:rsidR="00B125DA" w:rsidRPr="00B8133D">
        <w:rPr>
          <w:rFonts w:eastAsia="Calibri" w:cs="Arial"/>
          <w:i w:val="0"/>
          <w:snapToGrid w:val="0"/>
          <w:szCs w:val="20"/>
        </w:rPr>
        <w:t xml:space="preserve"> assessed </w:t>
      </w:r>
      <w:r w:rsidR="005E4CF3">
        <w:rPr>
          <w:rFonts w:eastAsia="Calibri" w:cs="Arial"/>
          <w:i w:val="0"/>
          <w:snapToGrid w:val="0"/>
          <w:szCs w:val="20"/>
        </w:rPr>
        <w:t>whether</w:t>
      </w:r>
      <w:r w:rsidRPr="00B8133D">
        <w:rPr>
          <w:rFonts w:eastAsia="Calibri" w:cs="Arial"/>
          <w:i w:val="0"/>
          <w:snapToGrid w:val="0"/>
          <w:szCs w:val="20"/>
        </w:rPr>
        <w:t xml:space="preserve"> Statements 1 to 7 </w:t>
      </w:r>
      <w:r w:rsidR="00B125DA" w:rsidRPr="00B8133D">
        <w:rPr>
          <w:rFonts w:eastAsia="Calibri" w:cs="Arial"/>
          <w:i w:val="0"/>
          <w:snapToGrid w:val="0"/>
          <w:szCs w:val="20"/>
        </w:rPr>
        <w:t>provided inaccurate</w:t>
      </w:r>
      <w:r w:rsidR="00520AE0" w:rsidRPr="00B8133D">
        <w:rPr>
          <w:rFonts w:eastAsia="Calibri" w:cs="Arial"/>
          <w:i w:val="0"/>
          <w:snapToGrid w:val="0"/>
          <w:szCs w:val="20"/>
        </w:rPr>
        <w:t xml:space="preserve"> </w:t>
      </w:r>
      <w:r w:rsidR="00B125DA" w:rsidRPr="00B8133D">
        <w:rPr>
          <w:rFonts w:eastAsia="Calibri" w:cs="Arial"/>
          <w:i w:val="0"/>
          <w:snapToGrid w:val="0"/>
          <w:szCs w:val="20"/>
        </w:rPr>
        <w:t>information about C</w:t>
      </w:r>
      <w:r w:rsidR="0092003C">
        <w:rPr>
          <w:rFonts w:eastAsia="Calibri" w:cs="Arial"/>
          <w:i w:val="0"/>
          <w:snapToGrid w:val="0"/>
          <w:szCs w:val="20"/>
        </w:rPr>
        <w:t>OVID</w:t>
      </w:r>
      <w:r w:rsidR="00520AE0" w:rsidRPr="00B8133D">
        <w:rPr>
          <w:rFonts w:eastAsia="Calibri" w:cs="Arial"/>
          <w:i w:val="0"/>
          <w:snapToGrid w:val="0"/>
          <w:szCs w:val="20"/>
        </w:rPr>
        <w:t>-19 treatments and</w:t>
      </w:r>
      <w:r w:rsidR="005943E8" w:rsidRPr="00B8133D">
        <w:rPr>
          <w:rFonts w:eastAsia="Calibri" w:cs="Arial"/>
          <w:i w:val="0"/>
          <w:snapToGrid w:val="0"/>
          <w:szCs w:val="20"/>
        </w:rPr>
        <w:t xml:space="preserve"> vaccines. </w:t>
      </w:r>
      <w:r w:rsidR="00B125DA" w:rsidRPr="00B8133D">
        <w:rPr>
          <w:rFonts w:eastAsia="Calibri" w:cs="Arial"/>
          <w:i w:val="0"/>
          <w:snapToGrid w:val="0"/>
          <w:szCs w:val="20"/>
        </w:rPr>
        <w:t>These assess</w:t>
      </w:r>
      <w:r w:rsidRPr="00B8133D">
        <w:rPr>
          <w:rFonts w:eastAsia="Calibri" w:cs="Arial"/>
          <w:i w:val="0"/>
          <w:snapToGrid w:val="0"/>
          <w:szCs w:val="20"/>
        </w:rPr>
        <w:t>ments are presented</w:t>
      </w:r>
      <w:r w:rsidR="00B125DA" w:rsidRPr="00B8133D">
        <w:rPr>
          <w:rFonts w:eastAsia="Calibri" w:cs="Arial"/>
          <w:i w:val="0"/>
          <w:snapToGrid w:val="0"/>
          <w:szCs w:val="20"/>
        </w:rPr>
        <w:t xml:space="preserve"> below.</w:t>
      </w:r>
    </w:p>
    <w:p w14:paraId="155A240C" w14:textId="6F4F5CBF" w:rsidR="0058568A" w:rsidRPr="00B8133D" w:rsidRDefault="00644E33" w:rsidP="00B8133D">
      <w:pPr>
        <w:spacing w:before="0" w:line="240" w:lineRule="atLeast"/>
        <w:rPr>
          <w:rFonts w:eastAsia="Calibri" w:cs="Arial"/>
          <w:i w:val="0"/>
          <w:snapToGrid w:val="0"/>
          <w:szCs w:val="20"/>
        </w:rPr>
      </w:pPr>
      <w:r>
        <w:rPr>
          <w:rFonts w:eastAsia="Calibri" w:cs="Arial"/>
          <w:i w:val="0"/>
          <w:snapToGrid w:val="0"/>
          <w:szCs w:val="20"/>
        </w:rPr>
        <w:t>T</w:t>
      </w:r>
      <w:r w:rsidR="00B125DA" w:rsidRPr="00B8133D">
        <w:rPr>
          <w:rFonts w:eastAsia="Calibri" w:cs="Arial"/>
          <w:i w:val="0"/>
          <w:snapToGrid w:val="0"/>
          <w:szCs w:val="20"/>
        </w:rPr>
        <w:t>h</w:t>
      </w:r>
      <w:r w:rsidR="00520AE0" w:rsidRPr="00B8133D">
        <w:rPr>
          <w:rFonts w:eastAsia="Calibri" w:cs="Arial"/>
          <w:i w:val="0"/>
          <w:snapToGrid w:val="0"/>
          <w:szCs w:val="20"/>
        </w:rPr>
        <w:t>e</w:t>
      </w:r>
      <w:r w:rsidR="00B125DA" w:rsidRPr="00B8133D">
        <w:rPr>
          <w:rFonts w:eastAsia="Calibri" w:cs="Arial"/>
          <w:i w:val="0"/>
          <w:snapToGrid w:val="0"/>
          <w:szCs w:val="20"/>
        </w:rPr>
        <w:t xml:space="preserve"> </w:t>
      </w:r>
      <w:r w:rsidR="003135C1">
        <w:rPr>
          <w:rFonts w:eastAsia="Calibri" w:cs="Arial"/>
          <w:i w:val="0"/>
          <w:snapToGrid w:val="0"/>
          <w:szCs w:val="20"/>
        </w:rPr>
        <w:t>program</w:t>
      </w:r>
      <w:r w:rsidR="00B125DA" w:rsidRPr="00B8133D">
        <w:rPr>
          <w:rFonts w:eastAsia="Calibri" w:cs="Arial"/>
          <w:i w:val="0"/>
          <w:snapToGrid w:val="0"/>
          <w:szCs w:val="20"/>
        </w:rPr>
        <w:t xml:space="preserve"> </w:t>
      </w:r>
      <w:r w:rsidR="009E6081" w:rsidRPr="00B8133D">
        <w:rPr>
          <w:rFonts w:eastAsia="Calibri" w:cs="Arial"/>
          <w:i w:val="0"/>
          <w:snapToGrid w:val="0"/>
          <w:szCs w:val="20"/>
        </w:rPr>
        <w:t xml:space="preserve">largely </w:t>
      </w:r>
      <w:r>
        <w:rPr>
          <w:rFonts w:eastAsia="Calibri" w:cs="Arial"/>
          <w:i w:val="0"/>
          <w:snapToGrid w:val="0"/>
          <w:szCs w:val="20"/>
        </w:rPr>
        <w:t>consisted</w:t>
      </w:r>
      <w:r w:rsidRPr="00B8133D">
        <w:rPr>
          <w:rFonts w:eastAsia="Calibri" w:cs="Arial"/>
          <w:i w:val="0"/>
          <w:snapToGrid w:val="0"/>
          <w:szCs w:val="20"/>
        </w:rPr>
        <w:t xml:space="preserve"> </w:t>
      </w:r>
      <w:r w:rsidR="009E6081" w:rsidRPr="00B8133D">
        <w:rPr>
          <w:rFonts w:eastAsia="Calibri" w:cs="Arial"/>
          <w:i w:val="0"/>
          <w:snapToGrid w:val="0"/>
          <w:szCs w:val="20"/>
        </w:rPr>
        <w:t>of</w:t>
      </w:r>
      <w:r w:rsidR="0058568A" w:rsidRPr="00B8133D">
        <w:rPr>
          <w:rFonts w:eastAsia="Calibri" w:cs="Arial"/>
          <w:i w:val="0"/>
          <w:snapToGrid w:val="0"/>
          <w:szCs w:val="20"/>
        </w:rPr>
        <w:t xml:space="preserve"> </w:t>
      </w:r>
      <w:r w:rsidR="00477FA9" w:rsidRPr="00B8133D">
        <w:rPr>
          <w:rFonts w:eastAsia="Calibri" w:cs="Arial"/>
          <w:i w:val="0"/>
          <w:snapToGrid w:val="0"/>
          <w:szCs w:val="20"/>
        </w:rPr>
        <w:t xml:space="preserve">a </w:t>
      </w:r>
      <w:r w:rsidR="0058568A" w:rsidRPr="00B8133D">
        <w:rPr>
          <w:rFonts w:eastAsia="Calibri" w:cs="Arial"/>
          <w:i w:val="0"/>
          <w:snapToGrid w:val="0"/>
          <w:szCs w:val="20"/>
        </w:rPr>
        <w:t xml:space="preserve">medical practitioner </w:t>
      </w:r>
      <w:r w:rsidR="009E6081" w:rsidRPr="00B8133D">
        <w:rPr>
          <w:rFonts w:eastAsia="Calibri" w:cs="Arial"/>
          <w:i w:val="0"/>
          <w:snapToGrid w:val="0"/>
          <w:szCs w:val="20"/>
        </w:rPr>
        <w:t>providing</w:t>
      </w:r>
      <w:r w:rsidR="0058568A" w:rsidRPr="00B8133D">
        <w:rPr>
          <w:rFonts w:eastAsia="Calibri" w:cs="Arial"/>
          <w:i w:val="0"/>
          <w:snapToGrid w:val="0"/>
          <w:szCs w:val="20"/>
        </w:rPr>
        <w:t xml:space="preserve"> information about</w:t>
      </w:r>
      <w:r w:rsidR="00C80989" w:rsidRPr="00B8133D">
        <w:rPr>
          <w:rFonts w:eastAsia="Calibri" w:cs="Arial"/>
          <w:i w:val="0"/>
          <w:snapToGrid w:val="0"/>
          <w:szCs w:val="20"/>
        </w:rPr>
        <w:t xml:space="preserve"> the use of </w:t>
      </w:r>
      <w:r w:rsidR="004F7883">
        <w:rPr>
          <w:i w:val="0"/>
          <w:iCs/>
        </w:rPr>
        <w:t xml:space="preserve">various remedies for COVID-19 treatment, including, chiefly, Ivermectin </w:t>
      </w:r>
      <w:r w:rsidR="00B125DA" w:rsidRPr="00B8133D">
        <w:rPr>
          <w:rFonts w:eastAsia="Calibri" w:cs="Arial"/>
          <w:i w:val="0"/>
          <w:snapToGrid w:val="0"/>
          <w:szCs w:val="20"/>
        </w:rPr>
        <w:t xml:space="preserve">and </w:t>
      </w:r>
      <w:r w:rsidR="00561D14" w:rsidRPr="00B8133D">
        <w:rPr>
          <w:rFonts w:eastAsia="Calibri" w:cs="Arial"/>
          <w:i w:val="0"/>
          <w:snapToGrid w:val="0"/>
          <w:szCs w:val="20"/>
        </w:rPr>
        <w:t>question</w:t>
      </w:r>
      <w:r w:rsidR="00477FA9" w:rsidRPr="00B8133D">
        <w:rPr>
          <w:rFonts w:eastAsia="Calibri" w:cs="Arial"/>
          <w:i w:val="0"/>
          <w:snapToGrid w:val="0"/>
          <w:szCs w:val="20"/>
        </w:rPr>
        <w:t>ing</w:t>
      </w:r>
      <w:r w:rsidR="00C80989" w:rsidRPr="00B8133D">
        <w:rPr>
          <w:rFonts w:eastAsia="Calibri" w:cs="Arial"/>
          <w:i w:val="0"/>
          <w:snapToGrid w:val="0"/>
          <w:szCs w:val="20"/>
        </w:rPr>
        <w:t xml:space="preserve"> </w:t>
      </w:r>
      <w:r w:rsidR="0058568A" w:rsidRPr="00B8133D">
        <w:rPr>
          <w:rFonts w:eastAsia="Calibri" w:cs="Arial"/>
          <w:i w:val="0"/>
          <w:snapToGrid w:val="0"/>
          <w:szCs w:val="20"/>
        </w:rPr>
        <w:t xml:space="preserve">the effectiveness of </w:t>
      </w:r>
      <w:r w:rsidR="00C80989" w:rsidRPr="00B8133D">
        <w:rPr>
          <w:rFonts w:eastAsia="Calibri" w:cs="Arial"/>
          <w:i w:val="0"/>
          <w:snapToGrid w:val="0"/>
          <w:szCs w:val="20"/>
        </w:rPr>
        <w:t>C</w:t>
      </w:r>
      <w:r w:rsidR="0092003C">
        <w:rPr>
          <w:rFonts w:eastAsia="Calibri" w:cs="Arial"/>
          <w:i w:val="0"/>
          <w:snapToGrid w:val="0"/>
          <w:szCs w:val="20"/>
        </w:rPr>
        <w:t>OVID</w:t>
      </w:r>
      <w:r w:rsidR="00C80989" w:rsidRPr="00B8133D">
        <w:rPr>
          <w:rFonts w:eastAsia="Calibri" w:cs="Arial"/>
          <w:i w:val="0"/>
          <w:snapToGrid w:val="0"/>
          <w:szCs w:val="20"/>
        </w:rPr>
        <w:t>-19 vaccine</w:t>
      </w:r>
      <w:r w:rsidR="0058568A" w:rsidRPr="00B8133D">
        <w:rPr>
          <w:rFonts w:eastAsia="Calibri" w:cs="Arial"/>
          <w:i w:val="0"/>
          <w:snapToGrid w:val="0"/>
          <w:szCs w:val="20"/>
        </w:rPr>
        <w:t xml:space="preserve">s. </w:t>
      </w:r>
      <w:r w:rsidR="00477FA9" w:rsidRPr="00B8133D">
        <w:rPr>
          <w:rFonts w:eastAsia="Calibri" w:cs="Arial"/>
          <w:i w:val="0"/>
          <w:snapToGrid w:val="0"/>
          <w:szCs w:val="20"/>
        </w:rPr>
        <w:t xml:space="preserve">The </w:t>
      </w:r>
      <w:r w:rsidR="000471B8" w:rsidRPr="00B8133D">
        <w:rPr>
          <w:rFonts w:eastAsia="Calibri" w:cs="Arial"/>
          <w:i w:val="0"/>
          <w:snapToGrid w:val="0"/>
          <w:szCs w:val="20"/>
        </w:rPr>
        <w:t xml:space="preserve">ACMA </w:t>
      </w:r>
      <w:r w:rsidR="000471B8">
        <w:rPr>
          <w:rFonts w:eastAsia="Calibri" w:cs="Arial"/>
          <w:i w:val="0"/>
          <w:snapToGrid w:val="0"/>
          <w:szCs w:val="20"/>
        </w:rPr>
        <w:t>considers</w:t>
      </w:r>
      <w:r w:rsidR="00477FA9" w:rsidRPr="00B8133D">
        <w:rPr>
          <w:rFonts w:eastAsia="Calibri" w:cs="Arial"/>
          <w:i w:val="0"/>
          <w:snapToGrid w:val="0"/>
          <w:szCs w:val="20"/>
        </w:rPr>
        <w:t xml:space="preserve"> that </w:t>
      </w:r>
      <w:r w:rsidR="001F46AC">
        <w:rPr>
          <w:rFonts w:eastAsia="Calibri" w:cs="Arial"/>
          <w:i w:val="0"/>
          <w:snapToGrid w:val="0"/>
          <w:szCs w:val="20"/>
        </w:rPr>
        <w:t xml:space="preserve">5 </w:t>
      </w:r>
      <w:r w:rsidR="00561D14" w:rsidRPr="00B8133D">
        <w:rPr>
          <w:rFonts w:eastAsia="Calibri" w:cs="Arial"/>
          <w:i w:val="0"/>
          <w:snapToGrid w:val="0"/>
          <w:szCs w:val="20"/>
        </w:rPr>
        <w:t xml:space="preserve">of the </w:t>
      </w:r>
      <w:r w:rsidR="001F46AC">
        <w:rPr>
          <w:rFonts w:eastAsia="Calibri" w:cs="Arial"/>
          <w:i w:val="0"/>
          <w:snapToGrid w:val="0"/>
          <w:szCs w:val="20"/>
        </w:rPr>
        <w:t xml:space="preserve">7 </w:t>
      </w:r>
      <w:r w:rsidR="00951658" w:rsidRPr="00B8133D">
        <w:rPr>
          <w:rFonts w:eastAsia="Calibri" w:cs="Arial"/>
          <w:i w:val="0"/>
          <w:snapToGrid w:val="0"/>
          <w:szCs w:val="20"/>
        </w:rPr>
        <w:t>s</w:t>
      </w:r>
      <w:r w:rsidR="00561D14" w:rsidRPr="00B8133D">
        <w:rPr>
          <w:rFonts w:eastAsia="Calibri" w:cs="Arial"/>
          <w:i w:val="0"/>
          <w:snapToGrid w:val="0"/>
          <w:szCs w:val="20"/>
        </w:rPr>
        <w:t>tatements were inaccurate</w:t>
      </w:r>
      <w:r w:rsidR="003135C1">
        <w:rPr>
          <w:rFonts w:eastAsia="Calibri" w:cs="Arial"/>
          <w:i w:val="0"/>
          <w:snapToGrid w:val="0"/>
          <w:szCs w:val="20"/>
        </w:rPr>
        <w:t>,</w:t>
      </w:r>
      <w:r w:rsidR="00561D14" w:rsidRPr="00B8133D">
        <w:rPr>
          <w:rFonts w:eastAsia="Calibri" w:cs="Arial"/>
          <w:i w:val="0"/>
          <w:snapToGrid w:val="0"/>
          <w:szCs w:val="20"/>
        </w:rPr>
        <w:t xml:space="preserve"> and </w:t>
      </w:r>
      <w:r w:rsidR="00477FA9" w:rsidRPr="00B8133D">
        <w:rPr>
          <w:rFonts w:eastAsia="Calibri" w:cs="Arial"/>
          <w:i w:val="0"/>
          <w:snapToGrid w:val="0"/>
          <w:szCs w:val="20"/>
        </w:rPr>
        <w:t>its</w:t>
      </w:r>
      <w:r w:rsidR="0058568A" w:rsidRPr="00B8133D">
        <w:rPr>
          <w:rFonts w:eastAsia="Calibri" w:cs="Arial"/>
          <w:i w:val="0"/>
          <w:snapToGrid w:val="0"/>
          <w:szCs w:val="20"/>
        </w:rPr>
        <w:t xml:space="preserve"> </w:t>
      </w:r>
      <w:r w:rsidR="00237FD0">
        <w:rPr>
          <w:rFonts w:eastAsia="Calibri" w:cs="Arial"/>
          <w:i w:val="0"/>
          <w:snapToGrid w:val="0"/>
          <w:szCs w:val="20"/>
        </w:rPr>
        <w:t>finding</w:t>
      </w:r>
      <w:r w:rsidR="00237FD0" w:rsidRPr="00B8133D">
        <w:rPr>
          <w:rFonts w:eastAsia="Calibri" w:cs="Arial"/>
          <w:i w:val="0"/>
          <w:snapToGrid w:val="0"/>
          <w:szCs w:val="20"/>
        </w:rPr>
        <w:t xml:space="preserve"> </w:t>
      </w:r>
      <w:r w:rsidR="0058568A" w:rsidRPr="00B8133D">
        <w:rPr>
          <w:rFonts w:eastAsia="Calibri" w:cs="Arial"/>
          <w:i w:val="0"/>
          <w:snapToGrid w:val="0"/>
          <w:szCs w:val="20"/>
        </w:rPr>
        <w:t xml:space="preserve">is </w:t>
      </w:r>
      <w:r w:rsidR="00477FA9" w:rsidRPr="00B8133D">
        <w:rPr>
          <w:rFonts w:eastAsia="Calibri" w:cs="Arial"/>
          <w:i w:val="0"/>
          <w:snapToGrid w:val="0"/>
          <w:szCs w:val="20"/>
        </w:rPr>
        <w:t xml:space="preserve">that the </w:t>
      </w:r>
      <w:r w:rsidR="003135C1">
        <w:rPr>
          <w:rFonts w:eastAsia="Calibri" w:cs="Arial"/>
          <w:i w:val="0"/>
          <w:snapToGrid w:val="0"/>
          <w:szCs w:val="20"/>
        </w:rPr>
        <w:t>program</w:t>
      </w:r>
      <w:r w:rsidR="00477FA9" w:rsidRPr="00B8133D">
        <w:rPr>
          <w:rFonts w:eastAsia="Calibri" w:cs="Arial"/>
          <w:i w:val="0"/>
          <w:snapToGrid w:val="0"/>
          <w:szCs w:val="20"/>
        </w:rPr>
        <w:t xml:space="preserve"> included </w:t>
      </w:r>
      <w:r w:rsidR="0058568A" w:rsidRPr="00B8133D">
        <w:rPr>
          <w:rFonts w:eastAsia="Calibri" w:cs="Arial"/>
          <w:i w:val="0"/>
          <w:snapToGrid w:val="0"/>
          <w:szCs w:val="20"/>
        </w:rPr>
        <w:t>b</w:t>
      </w:r>
      <w:r w:rsidR="00477FA9" w:rsidRPr="00B8133D">
        <w:rPr>
          <w:rFonts w:eastAsia="Calibri" w:cs="Arial"/>
          <w:i w:val="0"/>
          <w:snapToGrid w:val="0"/>
          <w:szCs w:val="20"/>
        </w:rPr>
        <w:t>r</w:t>
      </w:r>
      <w:r w:rsidR="0058568A" w:rsidRPr="00B8133D">
        <w:rPr>
          <w:rFonts w:eastAsia="Calibri" w:cs="Arial"/>
          <w:i w:val="0"/>
          <w:snapToGrid w:val="0"/>
          <w:szCs w:val="20"/>
        </w:rPr>
        <w:t>each</w:t>
      </w:r>
      <w:r w:rsidR="00477FA9" w:rsidRPr="00B8133D">
        <w:rPr>
          <w:rFonts w:eastAsia="Calibri" w:cs="Arial"/>
          <w:i w:val="0"/>
          <w:snapToGrid w:val="0"/>
          <w:szCs w:val="20"/>
        </w:rPr>
        <w:t>es</w:t>
      </w:r>
      <w:r w:rsidR="0058568A" w:rsidRPr="00B8133D">
        <w:rPr>
          <w:rFonts w:eastAsia="Calibri" w:cs="Arial"/>
          <w:i w:val="0"/>
          <w:snapToGrid w:val="0"/>
          <w:szCs w:val="20"/>
        </w:rPr>
        <w:t xml:space="preserve"> of clause 1.2 of the Code.</w:t>
      </w:r>
    </w:p>
    <w:p w14:paraId="7D4A520E" w14:textId="36443C33" w:rsidR="009E6081" w:rsidRPr="00C7106B" w:rsidRDefault="009E6081" w:rsidP="001B060E">
      <w:pPr>
        <w:pStyle w:val="ACMABodyText"/>
        <w:spacing w:after="120"/>
      </w:pPr>
      <w:r>
        <w:lastRenderedPageBreak/>
        <w:t>The ACMA was</w:t>
      </w:r>
      <w:r w:rsidR="00F23344" w:rsidRPr="00520AE0">
        <w:t xml:space="preserve"> unable to make a finding </w:t>
      </w:r>
      <w:r w:rsidR="00F23344">
        <w:t xml:space="preserve">in relation to one of the </w:t>
      </w:r>
      <w:r w:rsidR="00951658">
        <w:t>s</w:t>
      </w:r>
      <w:r w:rsidR="00F23344">
        <w:t xml:space="preserve">tatements </w:t>
      </w:r>
      <w:r w:rsidR="00F23344" w:rsidRPr="00520AE0">
        <w:t xml:space="preserve">due to </w:t>
      </w:r>
      <w:r w:rsidR="003135C1">
        <w:t>a</w:t>
      </w:r>
      <w:r w:rsidR="00F23344" w:rsidRPr="001B060E">
        <w:t xml:space="preserve"> </w:t>
      </w:r>
      <w:r w:rsidR="00F23344" w:rsidRPr="00520AE0">
        <w:t xml:space="preserve">lack of </w:t>
      </w:r>
      <w:r>
        <w:t>available</w:t>
      </w:r>
      <w:r w:rsidR="003135C1">
        <w:t xml:space="preserve"> relevant</w:t>
      </w:r>
      <w:r>
        <w:t xml:space="preserve"> </w:t>
      </w:r>
      <w:r w:rsidR="00F23344" w:rsidRPr="00520AE0">
        <w:t>evidence.</w:t>
      </w:r>
      <w:r w:rsidR="00B125DA" w:rsidRPr="00520AE0">
        <w:t xml:space="preserve"> </w:t>
      </w:r>
    </w:p>
    <w:p w14:paraId="7E77CB76" w14:textId="7CD35165" w:rsidR="00455178" w:rsidRPr="000B2671" w:rsidRDefault="005C7B96" w:rsidP="00D30E01">
      <w:pPr>
        <w:pStyle w:val="ACMABodyText"/>
        <w:keepNext/>
        <w:spacing w:before="240" w:line="240" w:lineRule="auto"/>
        <w:rPr>
          <w:b/>
          <w:bCs/>
          <w:i/>
          <w:iCs/>
          <w:u w:val="single"/>
        </w:rPr>
      </w:pPr>
      <w:r w:rsidRPr="000B2671">
        <w:rPr>
          <w:b/>
          <w:bCs/>
          <w:i/>
          <w:iCs/>
          <w:u w:val="single"/>
        </w:rPr>
        <w:t>1.</w:t>
      </w:r>
      <w:r w:rsidR="000B2671" w:rsidRPr="000B2671">
        <w:rPr>
          <w:b/>
          <w:bCs/>
          <w:i/>
          <w:iCs/>
          <w:u w:val="single"/>
        </w:rPr>
        <w:t xml:space="preserve"> </w:t>
      </w:r>
      <w:r w:rsidR="00AC3207" w:rsidRPr="000B2671">
        <w:rPr>
          <w:b/>
          <w:bCs/>
          <w:i/>
          <w:iCs/>
          <w:u w:val="single"/>
        </w:rPr>
        <w:t>This is a very safe drug. Safer than aspirin, safer than Tylenol</w:t>
      </w:r>
    </w:p>
    <w:p w14:paraId="0296EA7D" w14:textId="6734477C" w:rsidR="0010011C" w:rsidRDefault="00644E33" w:rsidP="009E5F2B">
      <w:pPr>
        <w:pStyle w:val="ACMABodyText"/>
        <w:keepNext/>
        <w:tabs>
          <w:tab w:val="left" w:pos="4395"/>
        </w:tabs>
        <w:spacing w:after="120"/>
      </w:pPr>
      <w:r>
        <w:t>Host</w:t>
      </w:r>
      <w:r w:rsidR="00142D7E">
        <w:t xml:space="preserve"> </w:t>
      </w:r>
      <w:r w:rsidR="00CB7AB4">
        <w:t>2</w:t>
      </w:r>
      <w:r w:rsidR="009200DB">
        <w:t xml:space="preserve"> commented </w:t>
      </w:r>
      <w:r w:rsidR="001A3A26">
        <w:t>that</w:t>
      </w:r>
      <w:r w:rsidR="009200DB">
        <w:t xml:space="preserve"> </w:t>
      </w:r>
      <w:r w:rsidR="00B34D3D">
        <w:t xml:space="preserve">Dr. </w:t>
      </w:r>
      <w:r w:rsidR="00CB7AB4">
        <w:t>A</w:t>
      </w:r>
      <w:r w:rsidR="00570053">
        <w:t xml:space="preserve"> </w:t>
      </w:r>
      <w:r w:rsidR="00A039A7">
        <w:t>wa</w:t>
      </w:r>
      <w:r w:rsidR="00114CB7">
        <w:t>s</w:t>
      </w:r>
      <w:r w:rsidR="00570053">
        <w:t xml:space="preserve"> an advocate for Ivermectin</w:t>
      </w:r>
      <w:r w:rsidR="0010011C">
        <w:t xml:space="preserve"> </w:t>
      </w:r>
      <w:r w:rsidR="009071E0">
        <w:t>in the US</w:t>
      </w:r>
      <w:r w:rsidR="0010011C">
        <w:t xml:space="preserve"> </w:t>
      </w:r>
      <w:r w:rsidR="007067F9">
        <w:t xml:space="preserve">and referred to a </w:t>
      </w:r>
      <w:r w:rsidR="00FA0227">
        <w:t xml:space="preserve">‘backlash’ </w:t>
      </w:r>
      <w:r w:rsidR="00A039A7">
        <w:t>from</w:t>
      </w:r>
      <w:r w:rsidR="00FA0227">
        <w:t xml:space="preserve"> </w:t>
      </w:r>
      <w:r w:rsidR="009200DB">
        <w:t xml:space="preserve">the </w:t>
      </w:r>
      <w:r w:rsidR="00492307">
        <w:t>‘</w:t>
      </w:r>
      <w:r w:rsidR="0010011C">
        <w:t xml:space="preserve">secular’ </w:t>
      </w:r>
      <w:r w:rsidR="009200DB">
        <w:t>media</w:t>
      </w:r>
      <w:r w:rsidR="008D0A27">
        <w:t xml:space="preserve"> </w:t>
      </w:r>
      <w:r w:rsidR="00FA0227">
        <w:t xml:space="preserve">about </w:t>
      </w:r>
      <w:r w:rsidR="00D048DB">
        <w:t>Ivermectin</w:t>
      </w:r>
      <w:r w:rsidR="00FA0227">
        <w:t xml:space="preserve"> </w:t>
      </w:r>
      <w:r w:rsidR="009071E0">
        <w:t xml:space="preserve">and </w:t>
      </w:r>
      <w:r w:rsidR="008D0A27">
        <w:t>misinformation</w:t>
      </w:r>
      <w:r w:rsidR="00FA0227">
        <w:t xml:space="preserve"> </w:t>
      </w:r>
      <w:r w:rsidR="00C06247">
        <w:t>concerning</w:t>
      </w:r>
      <w:r w:rsidR="00FA0227">
        <w:t xml:space="preserve"> </w:t>
      </w:r>
      <w:r w:rsidR="00C06247">
        <w:t>the us</w:t>
      </w:r>
      <w:r w:rsidR="00211EA0">
        <w:t>e</w:t>
      </w:r>
      <w:r w:rsidR="00C06247">
        <w:t xml:space="preserve"> of this drug</w:t>
      </w:r>
      <w:r w:rsidR="00FA0227">
        <w:t xml:space="preserve"> </w:t>
      </w:r>
      <w:r w:rsidR="00C06247">
        <w:t>in</w:t>
      </w:r>
      <w:r w:rsidR="00FA0227">
        <w:t xml:space="preserve"> horses and cows</w:t>
      </w:r>
      <w:r w:rsidR="0066598D">
        <w:t xml:space="preserve">, to which </w:t>
      </w:r>
      <w:r w:rsidR="00B34D3D">
        <w:t xml:space="preserve">Dr. </w:t>
      </w:r>
      <w:r w:rsidR="00CB7AB4">
        <w:t>A</w:t>
      </w:r>
      <w:r w:rsidR="00A5645A">
        <w:t xml:space="preserve"> r</w:t>
      </w:r>
      <w:r w:rsidR="0010011C">
        <w:t>esponded</w:t>
      </w:r>
      <w:r w:rsidR="00A5645A">
        <w:t>:</w:t>
      </w:r>
    </w:p>
    <w:p w14:paraId="49FD66EB" w14:textId="534D4413" w:rsidR="00A5645A" w:rsidRPr="00CE1AD3" w:rsidRDefault="00316346" w:rsidP="00907040">
      <w:pPr>
        <w:pStyle w:val="ACMABodyText"/>
        <w:spacing w:after="120"/>
        <w:ind w:left="709"/>
        <w:rPr>
          <w:sz w:val="18"/>
          <w:szCs w:val="18"/>
        </w:rPr>
      </w:pPr>
      <w:r w:rsidRPr="00CE1AD3">
        <w:rPr>
          <w:sz w:val="18"/>
          <w:szCs w:val="18"/>
        </w:rPr>
        <w:t>Of course,</w:t>
      </w:r>
      <w:r w:rsidR="00A5645A" w:rsidRPr="00CE1AD3">
        <w:rPr>
          <w:sz w:val="18"/>
          <w:szCs w:val="18"/>
        </w:rPr>
        <w:t xml:space="preserve"> you do but you also give it to people. </w:t>
      </w:r>
    </w:p>
    <w:p w14:paraId="38D83668" w14:textId="1576631B" w:rsidR="00CE1AD3" w:rsidRPr="00CE1AD3" w:rsidRDefault="00201003" w:rsidP="00907040">
      <w:pPr>
        <w:pStyle w:val="ACMABodyText"/>
        <w:spacing w:after="120"/>
        <w:ind w:left="709"/>
        <w:rPr>
          <w:sz w:val="18"/>
          <w:szCs w:val="18"/>
        </w:rPr>
      </w:pPr>
      <w:r w:rsidRPr="00CE1AD3">
        <w:rPr>
          <w:sz w:val="18"/>
          <w:szCs w:val="18"/>
        </w:rPr>
        <w:t xml:space="preserve">You give penicillin to horses and cows, you give pain killers to horses and cows, </w:t>
      </w:r>
      <w:r w:rsidR="00A5645A" w:rsidRPr="00CE1AD3">
        <w:rPr>
          <w:sz w:val="18"/>
          <w:szCs w:val="18"/>
        </w:rPr>
        <w:t>you give anaesthetics</w:t>
      </w:r>
      <w:r w:rsidRPr="00CE1AD3">
        <w:rPr>
          <w:sz w:val="18"/>
          <w:szCs w:val="18"/>
        </w:rPr>
        <w:t xml:space="preserve"> to horses and cow</w:t>
      </w:r>
      <w:r w:rsidR="00A5645A" w:rsidRPr="00CE1AD3">
        <w:rPr>
          <w:sz w:val="18"/>
          <w:szCs w:val="18"/>
        </w:rPr>
        <w:t>s […] but you don’t give in human doses, you give in animal doses</w:t>
      </w:r>
      <w:r w:rsidR="00C46639" w:rsidRPr="00CE1AD3">
        <w:rPr>
          <w:sz w:val="18"/>
          <w:szCs w:val="18"/>
        </w:rPr>
        <w:t xml:space="preserve">. This is a very safe drug, safer than </w:t>
      </w:r>
      <w:r w:rsidR="00193E06">
        <w:rPr>
          <w:sz w:val="18"/>
          <w:szCs w:val="18"/>
        </w:rPr>
        <w:t>a</w:t>
      </w:r>
      <w:r w:rsidR="00C46639" w:rsidRPr="00CE1AD3">
        <w:rPr>
          <w:sz w:val="18"/>
          <w:szCs w:val="18"/>
        </w:rPr>
        <w:t>spirin or safer than Tylenol</w:t>
      </w:r>
      <w:r w:rsidR="00907040">
        <w:rPr>
          <w:sz w:val="18"/>
          <w:szCs w:val="18"/>
        </w:rPr>
        <w:t>.</w:t>
      </w:r>
    </w:p>
    <w:p w14:paraId="22F81E85" w14:textId="574F5D6F" w:rsidR="00617198" w:rsidRPr="00CE1AD3" w:rsidRDefault="00B34D3D" w:rsidP="005C7B96">
      <w:pPr>
        <w:pStyle w:val="ACMABodyText"/>
        <w:spacing w:before="120"/>
        <w:rPr>
          <w:sz w:val="18"/>
          <w:szCs w:val="18"/>
        </w:rPr>
      </w:pPr>
      <w:r>
        <w:rPr>
          <w:rFonts w:eastAsia="Calibri"/>
        </w:rPr>
        <w:t xml:space="preserve">Dr. </w:t>
      </w:r>
      <w:r w:rsidR="00CB7AB4">
        <w:rPr>
          <w:rFonts w:eastAsia="Calibri"/>
        </w:rPr>
        <w:t>A</w:t>
      </w:r>
      <w:r w:rsidR="00617198">
        <w:rPr>
          <w:rFonts w:eastAsia="Calibri"/>
        </w:rPr>
        <w:t xml:space="preserve"> then supported </w:t>
      </w:r>
      <w:r w:rsidR="0097590F" w:rsidRPr="009E5F2B">
        <w:rPr>
          <w:rFonts w:eastAsia="Calibri"/>
        </w:rPr>
        <w:t>the</w:t>
      </w:r>
      <w:r w:rsidR="0097590F">
        <w:rPr>
          <w:rFonts w:eastAsia="Calibri"/>
        </w:rPr>
        <w:t xml:space="preserve"> </w:t>
      </w:r>
      <w:r w:rsidR="00617198">
        <w:rPr>
          <w:rFonts w:eastAsia="Calibri"/>
        </w:rPr>
        <w:t xml:space="preserve">assertion that Ivermectin </w:t>
      </w:r>
      <w:r w:rsidR="00306BE8">
        <w:rPr>
          <w:rFonts w:eastAsia="Calibri"/>
        </w:rPr>
        <w:t>wa</w:t>
      </w:r>
      <w:r w:rsidR="00617198">
        <w:rPr>
          <w:rFonts w:eastAsia="Calibri"/>
        </w:rPr>
        <w:t xml:space="preserve">s safer than aspirin or Tylenol by quoting fatality statistics </w:t>
      </w:r>
      <w:r w:rsidR="00B80A19">
        <w:rPr>
          <w:rFonts w:eastAsia="Calibri"/>
        </w:rPr>
        <w:t>concerning</w:t>
      </w:r>
      <w:r w:rsidR="00617198">
        <w:rPr>
          <w:rFonts w:eastAsia="Calibri"/>
        </w:rPr>
        <w:t xml:space="preserve"> the number of deaths annually in the US </w:t>
      </w:r>
      <w:r w:rsidR="00CE46BD">
        <w:rPr>
          <w:rFonts w:eastAsia="Calibri"/>
        </w:rPr>
        <w:t xml:space="preserve">attributed to </w:t>
      </w:r>
      <w:r w:rsidR="00306BE8">
        <w:rPr>
          <w:rFonts w:eastAsia="Calibri"/>
        </w:rPr>
        <w:t>those</w:t>
      </w:r>
      <w:r w:rsidR="00617198">
        <w:rPr>
          <w:rFonts w:eastAsia="Calibri"/>
        </w:rPr>
        <w:t xml:space="preserve"> drug</w:t>
      </w:r>
      <w:r w:rsidR="00306BE8">
        <w:rPr>
          <w:rFonts w:eastAsia="Calibri"/>
        </w:rPr>
        <w:t>s</w:t>
      </w:r>
      <w:r w:rsidR="00617198">
        <w:rPr>
          <w:rFonts w:eastAsia="Calibri"/>
        </w:rPr>
        <w:t xml:space="preserve"> – 3000 (aspirin) and 450 (Tylenol) – </w:t>
      </w:r>
      <w:r w:rsidR="00CE46BD">
        <w:rPr>
          <w:rFonts w:eastAsia="Calibri"/>
        </w:rPr>
        <w:t xml:space="preserve">and </w:t>
      </w:r>
      <w:r w:rsidR="00B80A19">
        <w:rPr>
          <w:rFonts w:eastAsia="Calibri"/>
        </w:rPr>
        <w:t>compar</w:t>
      </w:r>
      <w:r w:rsidR="00CE46BD">
        <w:rPr>
          <w:rFonts w:eastAsia="Calibri"/>
        </w:rPr>
        <w:t>ing those statistics</w:t>
      </w:r>
      <w:r w:rsidR="00B80A19">
        <w:rPr>
          <w:rFonts w:eastAsia="Calibri"/>
        </w:rPr>
        <w:t xml:space="preserve"> to</w:t>
      </w:r>
      <w:r w:rsidR="00CE46BD">
        <w:rPr>
          <w:rFonts w:eastAsia="Calibri"/>
        </w:rPr>
        <w:t xml:space="preserve"> the</w:t>
      </w:r>
      <w:r w:rsidR="00B80A19">
        <w:rPr>
          <w:rFonts w:eastAsia="Calibri"/>
        </w:rPr>
        <w:t xml:space="preserve"> ‘</w:t>
      </w:r>
      <w:r w:rsidR="00617198">
        <w:rPr>
          <w:rFonts w:eastAsia="Calibri"/>
        </w:rPr>
        <w:t xml:space="preserve">12 to 16 adverse outcomes’ out of 4 billion doses </w:t>
      </w:r>
      <w:r w:rsidR="00B80A19">
        <w:rPr>
          <w:rFonts w:eastAsia="Calibri"/>
        </w:rPr>
        <w:t xml:space="preserve">of Ivermectin </w:t>
      </w:r>
      <w:r w:rsidR="00617198">
        <w:rPr>
          <w:rFonts w:eastAsia="Calibri"/>
        </w:rPr>
        <w:t xml:space="preserve">delivered over 20 years to </w:t>
      </w:r>
      <w:r w:rsidR="00B80A19">
        <w:rPr>
          <w:rFonts w:eastAsia="Calibri"/>
        </w:rPr>
        <w:t xml:space="preserve">‘starving </w:t>
      </w:r>
      <w:r w:rsidR="00617198">
        <w:rPr>
          <w:rFonts w:eastAsia="Calibri"/>
        </w:rPr>
        <w:t>children in Africa</w:t>
      </w:r>
      <w:r w:rsidR="00B80A19">
        <w:rPr>
          <w:rFonts w:eastAsia="Calibri"/>
        </w:rPr>
        <w:t>’</w:t>
      </w:r>
      <w:r w:rsidR="00617198">
        <w:rPr>
          <w:rFonts w:eastAsia="Calibri"/>
        </w:rPr>
        <w:t xml:space="preserve">. </w:t>
      </w:r>
      <w:r w:rsidR="0097590F" w:rsidRPr="009E5F2B">
        <w:rPr>
          <w:rFonts w:eastAsia="Calibri"/>
        </w:rPr>
        <w:t>It was also</w:t>
      </w:r>
      <w:r w:rsidR="00617198">
        <w:rPr>
          <w:rFonts w:eastAsia="Calibri"/>
        </w:rPr>
        <w:t xml:space="preserve"> </w:t>
      </w:r>
      <w:r w:rsidR="00306BE8">
        <w:rPr>
          <w:rFonts w:eastAsia="Calibri"/>
        </w:rPr>
        <w:t>not</w:t>
      </w:r>
      <w:r w:rsidR="00617198">
        <w:rPr>
          <w:rFonts w:eastAsia="Calibri"/>
        </w:rPr>
        <w:t>e</w:t>
      </w:r>
      <w:r w:rsidR="00CE46BD">
        <w:rPr>
          <w:rFonts w:eastAsia="Calibri"/>
        </w:rPr>
        <w:t>d</w:t>
      </w:r>
      <w:r w:rsidR="00617198">
        <w:rPr>
          <w:rFonts w:eastAsia="Calibri"/>
        </w:rPr>
        <w:t xml:space="preserve"> that Ivermectin </w:t>
      </w:r>
      <w:r w:rsidR="00CE46BD">
        <w:rPr>
          <w:rFonts w:eastAsia="Calibri"/>
        </w:rPr>
        <w:t>wa</w:t>
      </w:r>
      <w:r w:rsidR="00617198">
        <w:rPr>
          <w:rFonts w:eastAsia="Calibri"/>
        </w:rPr>
        <w:t>s available in ‘many countries over the counter’.</w:t>
      </w:r>
      <w:r w:rsidR="00617198" w:rsidRPr="00CE1AD3" w:rsidDel="00A039A7">
        <w:rPr>
          <w:sz w:val="18"/>
          <w:szCs w:val="18"/>
        </w:rPr>
        <w:t xml:space="preserve"> </w:t>
      </w:r>
    </w:p>
    <w:p w14:paraId="4F9DF9B3" w14:textId="77777777" w:rsidR="000C4149" w:rsidRPr="000D6A5E" w:rsidRDefault="000C4149" w:rsidP="005C7B96">
      <w:pPr>
        <w:spacing w:before="120" w:line="240" w:lineRule="atLeast"/>
        <w:rPr>
          <w:rFonts w:eastAsia="Calibri" w:cs="Arial"/>
          <w:b/>
          <w:bCs/>
          <w:i w:val="0"/>
          <w:snapToGrid w:val="0"/>
          <w:szCs w:val="20"/>
        </w:rPr>
      </w:pPr>
      <w:r w:rsidRPr="000D6A5E">
        <w:rPr>
          <w:rFonts w:eastAsia="Calibri" w:cs="Arial"/>
          <w:b/>
          <w:bCs/>
          <w:i w:val="0"/>
          <w:snapToGrid w:val="0"/>
          <w:szCs w:val="20"/>
        </w:rPr>
        <w:t>What did the material conve</w:t>
      </w:r>
      <w:r>
        <w:rPr>
          <w:rFonts w:eastAsia="Calibri" w:cs="Arial"/>
          <w:b/>
          <w:bCs/>
          <w:i w:val="0"/>
          <w:snapToGrid w:val="0"/>
          <w:szCs w:val="20"/>
        </w:rPr>
        <w:t>y</w:t>
      </w:r>
      <w:r w:rsidRPr="000D6A5E">
        <w:rPr>
          <w:rFonts w:eastAsia="Calibri" w:cs="Arial"/>
          <w:b/>
          <w:bCs/>
          <w:i w:val="0"/>
          <w:snapToGrid w:val="0"/>
          <w:szCs w:val="20"/>
        </w:rPr>
        <w:t xml:space="preserve"> to the ordinary reasonable viewer?</w:t>
      </w:r>
    </w:p>
    <w:p w14:paraId="7B1921AD" w14:textId="0921D28F" w:rsidR="008A64F4" w:rsidRDefault="000023E9" w:rsidP="005C7B96">
      <w:pPr>
        <w:pStyle w:val="ACMABodyText"/>
        <w:spacing w:after="120"/>
      </w:pPr>
      <w:r>
        <w:t xml:space="preserve">Given the context of the </w:t>
      </w:r>
      <w:r w:rsidR="00D4701F">
        <w:t>claim</w:t>
      </w:r>
      <w:r w:rsidR="00306BE8">
        <w:t>s</w:t>
      </w:r>
      <w:r>
        <w:t xml:space="preserve"> made </w:t>
      </w:r>
      <w:r w:rsidR="00093CAD">
        <w:t xml:space="preserve">by </w:t>
      </w:r>
      <w:r w:rsidR="00B34D3D">
        <w:t xml:space="preserve">Dr. </w:t>
      </w:r>
      <w:r w:rsidR="00C809E5">
        <w:t>A</w:t>
      </w:r>
      <w:r>
        <w:t xml:space="preserve">, the </w:t>
      </w:r>
      <w:r w:rsidRPr="000023E9">
        <w:t>ordinary reasonable viewer</w:t>
      </w:r>
      <w:r w:rsidR="00093CAD">
        <w:t xml:space="preserve"> would have </w:t>
      </w:r>
      <w:r w:rsidR="005D6965">
        <w:t>understood</w:t>
      </w:r>
      <w:r w:rsidR="00D4701F">
        <w:t xml:space="preserve"> that</w:t>
      </w:r>
      <w:r w:rsidR="008A64F4">
        <w:t>:</w:t>
      </w:r>
    </w:p>
    <w:p w14:paraId="1883D731" w14:textId="0A23CEC9" w:rsidR="008A64F4" w:rsidRDefault="00093CAD" w:rsidP="0091710B">
      <w:pPr>
        <w:pStyle w:val="ACMABodyText"/>
        <w:numPr>
          <w:ilvl w:val="0"/>
          <w:numId w:val="8"/>
        </w:numPr>
        <w:spacing w:after="0" w:line="240" w:lineRule="auto"/>
        <w:ind w:left="714" w:hanging="357"/>
      </w:pPr>
      <w:r>
        <w:t>Ivermectin</w:t>
      </w:r>
      <w:r w:rsidR="00A039A7">
        <w:t>, like a range of medicines,</w:t>
      </w:r>
      <w:r>
        <w:t xml:space="preserve"> </w:t>
      </w:r>
      <w:r w:rsidR="00692772">
        <w:t>is a</w:t>
      </w:r>
      <w:r w:rsidR="00A74BEF">
        <w:t xml:space="preserve"> drug that </w:t>
      </w:r>
      <w:r w:rsidR="00692772">
        <w:t>is</w:t>
      </w:r>
      <w:r w:rsidR="00A74BEF">
        <w:t xml:space="preserve"> used in ani</w:t>
      </w:r>
      <w:r w:rsidR="007B7E21">
        <w:t>m</w:t>
      </w:r>
      <w:r w:rsidR="00A74BEF">
        <w:t>al</w:t>
      </w:r>
      <w:r w:rsidR="00247EC0">
        <w:t>s</w:t>
      </w:r>
      <w:r w:rsidR="00A74BEF">
        <w:t xml:space="preserve"> </w:t>
      </w:r>
      <w:r w:rsidR="00A039A7">
        <w:t xml:space="preserve">but can also be </w:t>
      </w:r>
      <w:r w:rsidR="00247EC0">
        <w:t xml:space="preserve">used in humans </w:t>
      </w:r>
      <w:r w:rsidR="00A039A7">
        <w:t>in</w:t>
      </w:r>
      <w:r w:rsidR="00247EC0">
        <w:t xml:space="preserve"> </w:t>
      </w:r>
      <w:r w:rsidR="005B269A">
        <w:t xml:space="preserve">appropriate </w:t>
      </w:r>
      <w:r w:rsidR="007B7E21">
        <w:t>doses</w:t>
      </w:r>
      <w:r w:rsidR="000E7EC7">
        <w:t>.</w:t>
      </w:r>
    </w:p>
    <w:p w14:paraId="723F3305" w14:textId="0C6EBE7A" w:rsidR="00EC1BF3" w:rsidRDefault="005B269A" w:rsidP="0091710B">
      <w:pPr>
        <w:pStyle w:val="ACMABodyText"/>
        <w:numPr>
          <w:ilvl w:val="0"/>
          <w:numId w:val="8"/>
        </w:numPr>
        <w:spacing w:after="0" w:line="240" w:lineRule="auto"/>
        <w:ind w:left="714" w:hanging="357"/>
      </w:pPr>
      <w:r>
        <w:t xml:space="preserve">When given in ‘human’ doses, </w:t>
      </w:r>
      <w:r w:rsidR="007B7E21">
        <w:t xml:space="preserve">Ivermectin </w:t>
      </w:r>
      <w:r w:rsidR="00A74BEF">
        <w:t xml:space="preserve">is a </w:t>
      </w:r>
      <w:r w:rsidR="00692772">
        <w:t xml:space="preserve">very </w:t>
      </w:r>
      <w:r w:rsidR="00A74BEF">
        <w:t xml:space="preserve">safe drug </w:t>
      </w:r>
      <w:r w:rsidR="00D4701F">
        <w:t xml:space="preserve">and </w:t>
      </w:r>
      <w:r w:rsidR="005703D8">
        <w:t xml:space="preserve">it </w:t>
      </w:r>
      <w:r w:rsidR="00D4701F">
        <w:t>is safer than</w:t>
      </w:r>
      <w:r w:rsidR="00FA02F4">
        <w:t xml:space="preserve"> aspirin and Tylenol</w:t>
      </w:r>
      <w:r w:rsidR="00B80A19">
        <w:t xml:space="preserve"> – as evidenced by fatality statistics</w:t>
      </w:r>
      <w:r w:rsidR="00FA02F4">
        <w:t>.</w:t>
      </w:r>
      <w:r w:rsidR="0022141C">
        <w:t xml:space="preserve"> </w:t>
      </w:r>
    </w:p>
    <w:p w14:paraId="313A79D9" w14:textId="0DF211EA" w:rsidR="0066598D" w:rsidRDefault="00691EDE" w:rsidP="005C7B96">
      <w:pPr>
        <w:pStyle w:val="ACMABodyText"/>
        <w:spacing w:before="240"/>
      </w:pPr>
      <w:r>
        <w:t>In the context of the safety of medicines</w:t>
      </w:r>
      <w:r w:rsidR="0066598D">
        <w:t xml:space="preserve">, </w:t>
      </w:r>
      <w:r>
        <w:t xml:space="preserve">the ordinary reasonable viewer </w:t>
      </w:r>
      <w:r w:rsidR="00D87A47">
        <w:t>would understand the concept</w:t>
      </w:r>
      <w:r w:rsidR="00047EA4">
        <w:t xml:space="preserve"> </w:t>
      </w:r>
      <w:r w:rsidR="00D87A47">
        <w:t>of</w:t>
      </w:r>
      <w:r w:rsidR="0066598D">
        <w:t xml:space="preserve"> </w:t>
      </w:r>
      <w:r w:rsidR="00047EA4">
        <w:t xml:space="preserve">a safe medicine </w:t>
      </w:r>
      <w:r w:rsidR="00D87A47">
        <w:t>as</w:t>
      </w:r>
      <w:r w:rsidR="0066598D">
        <w:t xml:space="preserve"> one</w:t>
      </w:r>
      <w:r w:rsidR="00047EA4">
        <w:t xml:space="preserve"> </w:t>
      </w:r>
      <w:r w:rsidR="0066598D">
        <w:t xml:space="preserve">generally </w:t>
      </w:r>
      <w:r>
        <w:t>not harmful to health when taken as prescribed or as instructed by the manufacturer</w:t>
      </w:r>
      <w:r w:rsidR="0066598D">
        <w:t>.</w:t>
      </w:r>
      <w:r>
        <w:t xml:space="preserve"> </w:t>
      </w:r>
    </w:p>
    <w:p w14:paraId="132E9F83" w14:textId="3D44CE88" w:rsidR="00691EDE" w:rsidRDefault="0066598D" w:rsidP="005C7B96">
      <w:pPr>
        <w:pStyle w:val="ACMABodyText"/>
      </w:pPr>
      <w:r>
        <w:t>I</w:t>
      </w:r>
      <w:r w:rsidR="00047EA4">
        <w:t>n this instance</w:t>
      </w:r>
      <w:r>
        <w:t>,</w:t>
      </w:r>
      <w:r w:rsidR="00047EA4">
        <w:t xml:space="preserve"> </w:t>
      </w:r>
      <w:r>
        <w:t>a more specific</w:t>
      </w:r>
      <w:r w:rsidR="00047EA4">
        <w:t xml:space="preserve"> meaning of ‘safe’ </w:t>
      </w:r>
      <w:r w:rsidR="00D9131F">
        <w:t>was also</w:t>
      </w:r>
      <w:r w:rsidR="00047EA4">
        <w:t xml:space="preserve"> conveyed by the </w:t>
      </w:r>
      <w:r>
        <w:t>reference to</w:t>
      </w:r>
      <w:r w:rsidR="00047EA4">
        <w:t xml:space="preserve"> statistics</w:t>
      </w:r>
      <w:r>
        <w:t xml:space="preserve"> of fatalities</w:t>
      </w:r>
      <w:r w:rsidR="00047EA4">
        <w:t xml:space="preserve"> associated with aspirin and Tylenol. </w:t>
      </w:r>
      <w:r>
        <w:t>In this particular context, t</w:t>
      </w:r>
      <w:r w:rsidR="00047EA4">
        <w:t xml:space="preserve">he viewer would understand that </w:t>
      </w:r>
      <w:r w:rsidR="00B34D3D">
        <w:t xml:space="preserve">Dr. </w:t>
      </w:r>
      <w:r w:rsidR="00C809E5">
        <w:t>A</w:t>
      </w:r>
      <w:r w:rsidR="00047EA4">
        <w:t xml:space="preserve"> conveyed that Ivermectin represented a </w:t>
      </w:r>
      <w:r w:rsidR="00D9131F">
        <w:t>f</w:t>
      </w:r>
      <w:r w:rsidR="00047EA4">
        <w:t>atality risk</w:t>
      </w:r>
      <w:r w:rsidR="00D9131F">
        <w:t xml:space="preserve"> </w:t>
      </w:r>
      <w:r w:rsidR="00047EA4">
        <w:t xml:space="preserve">that was lower than </w:t>
      </w:r>
      <w:r w:rsidR="00306BE8">
        <w:t xml:space="preserve">either </w:t>
      </w:r>
      <w:r w:rsidR="00047EA4">
        <w:t>aspirin o</w:t>
      </w:r>
      <w:r>
        <w:t>r</w:t>
      </w:r>
      <w:r w:rsidR="00047EA4">
        <w:t xml:space="preserve"> Tylenol. </w:t>
      </w:r>
    </w:p>
    <w:p w14:paraId="69315A91" w14:textId="628A0F31" w:rsidR="00D30E01" w:rsidRDefault="00D30E01" w:rsidP="005C7B96">
      <w:pPr>
        <w:pStyle w:val="ACMABodyText"/>
      </w:pPr>
      <w:r>
        <w:t xml:space="preserve">The ACMA considers that it would not have been clear to the ordinary reasonable viewer whether </w:t>
      </w:r>
      <w:r w:rsidR="000712A9">
        <w:t>Dr</w:t>
      </w:r>
      <w:r w:rsidR="00933F2A">
        <w:t>.</w:t>
      </w:r>
      <w:r w:rsidR="000712A9">
        <w:t xml:space="preserve"> </w:t>
      </w:r>
      <w:r w:rsidR="00C809E5">
        <w:t>A</w:t>
      </w:r>
      <w:r w:rsidR="000712A9">
        <w:t xml:space="preserve"> </w:t>
      </w:r>
      <w:r>
        <w:t>was referring to the fatalities as consequences of unprescribed use of aspirin and Tylenol. However, given both are available over the counter, it is likely that the statistics referred to unprescribed use as well as prescribed use.</w:t>
      </w:r>
    </w:p>
    <w:p w14:paraId="4CC03C65" w14:textId="77777777" w:rsidR="00883981" w:rsidRPr="000402AD" w:rsidRDefault="000D6A5E" w:rsidP="00964AD3">
      <w:pPr>
        <w:spacing w:before="0" w:line="240" w:lineRule="atLeast"/>
        <w:rPr>
          <w:rFonts w:eastAsia="Calibri" w:cs="Arial"/>
          <w:b/>
          <w:bCs/>
          <w:i w:val="0"/>
          <w:snapToGrid w:val="0"/>
          <w:szCs w:val="20"/>
        </w:rPr>
      </w:pPr>
      <w:r w:rsidRPr="000D6A5E">
        <w:rPr>
          <w:rFonts w:eastAsia="Calibri" w:cs="Arial"/>
          <w:b/>
          <w:bCs/>
          <w:i w:val="0"/>
          <w:snapToGrid w:val="0"/>
          <w:szCs w:val="20"/>
        </w:rPr>
        <w:t>Was the material factual in character?</w:t>
      </w:r>
    </w:p>
    <w:p w14:paraId="66E074B5" w14:textId="44AC587E" w:rsidR="005B269A" w:rsidRPr="00DE5016" w:rsidRDefault="005B269A" w:rsidP="00964AD3">
      <w:pPr>
        <w:pStyle w:val="ACMABodyText"/>
        <w:rPr>
          <w:rFonts w:eastAsia="Calibri" w:cs="Arial"/>
          <w:iCs/>
        </w:rPr>
      </w:pPr>
      <w:r w:rsidRPr="00DE5016">
        <w:rPr>
          <w:rFonts w:eastAsia="Calibri" w:cs="Arial"/>
          <w:iCs/>
        </w:rPr>
        <w:t>T</w:t>
      </w:r>
      <w:r w:rsidRPr="00FB21EA">
        <w:rPr>
          <w:rFonts w:eastAsia="Calibri" w:cs="Arial"/>
          <w:iCs/>
        </w:rPr>
        <w:t xml:space="preserve">he statement was made by </w:t>
      </w:r>
      <w:r w:rsidR="00B34D3D">
        <w:rPr>
          <w:rFonts w:eastAsia="Calibri" w:cs="Arial"/>
          <w:iCs/>
        </w:rPr>
        <w:t xml:space="preserve">Dr. </w:t>
      </w:r>
      <w:r w:rsidR="00C809E5">
        <w:rPr>
          <w:rFonts w:eastAsia="Calibri" w:cs="Arial"/>
          <w:iCs/>
        </w:rPr>
        <w:t>A</w:t>
      </w:r>
      <w:r w:rsidRPr="00FB21EA">
        <w:rPr>
          <w:rFonts w:eastAsia="Calibri" w:cs="Arial"/>
          <w:iCs/>
        </w:rPr>
        <w:t xml:space="preserve"> as a </w:t>
      </w:r>
      <w:r>
        <w:rPr>
          <w:rFonts w:eastAsia="Calibri" w:cs="Arial"/>
          <w:iCs/>
        </w:rPr>
        <w:t xml:space="preserve">qualified </w:t>
      </w:r>
      <w:r w:rsidRPr="00DE5016">
        <w:rPr>
          <w:rFonts w:eastAsia="Calibri" w:cs="Arial"/>
          <w:iCs/>
        </w:rPr>
        <w:t xml:space="preserve">medical </w:t>
      </w:r>
      <w:r w:rsidR="00B741C4">
        <w:rPr>
          <w:rFonts w:eastAsia="Calibri" w:cs="Arial"/>
          <w:iCs/>
        </w:rPr>
        <w:t>practitioner</w:t>
      </w:r>
      <w:r w:rsidR="00B741C4" w:rsidDel="00E869EE">
        <w:rPr>
          <w:rFonts w:eastAsia="Calibri" w:cs="Arial"/>
          <w:iCs/>
        </w:rPr>
        <w:t>,</w:t>
      </w:r>
      <w:r w:rsidRPr="00FB21EA">
        <w:rPr>
          <w:rFonts w:eastAsia="Calibri" w:cs="Arial"/>
          <w:iCs/>
        </w:rPr>
        <w:t xml:space="preserve"> and </w:t>
      </w:r>
      <w:r w:rsidRPr="00DE5016">
        <w:rPr>
          <w:rFonts w:eastAsia="Calibri" w:cs="Arial"/>
          <w:iCs/>
        </w:rPr>
        <w:t xml:space="preserve">he was presented </w:t>
      </w:r>
      <w:r w:rsidR="00CE46BD">
        <w:rPr>
          <w:rFonts w:eastAsia="Calibri" w:cs="Arial"/>
          <w:iCs/>
        </w:rPr>
        <w:t xml:space="preserve">in the </w:t>
      </w:r>
      <w:r w:rsidR="00650847">
        <w:rPr>
          <w:rFonts w:eastAsia="Calibri" w:cs="Arial"/>
          <w:iCs/>
        </w:rPr>
        <w:t>program</w:t>
      </w:r>
      <w:r w:rsidR="00CE46BD">
        <w:rPr>
          <w:rFonts w:eastAsia="Calibri" w:cs="Arial"/>
          <w:iCs/>
        </w:rPr>
        <w:t xml:space="preserve"> </w:t>
      </w:r>
      <w:r w:rsidRPr="00DE5016">
        <w:rPr>
          <w:rFonts w:eastAsia="Calibri" w:cs="Arial"/>
          <w:iCs/>
        </w:rPr>
        <w:t xml:space="preserve">as </w:t>
      </w:r>
      <w:r w:rsidRPr="00FB21EA">
        <w:rPr>
          <w:rFonts w:eastAsia="Calibri" w:cs="Arial"/>
          <w:iCs/>
        </w:rPr>
        <w:t>an expert on the subject</w:t>
      </w:r>
      <w:r w:rsidR="00CE46BD">
        <w:rPr>
          <w:rFonts w:eastAsia="Calibri" w:cs="Arial"/>
          <w:iCs/>
        </w:rPr>
        <w:t xml:space="preserve"> being discussed</w:t>
      </w:r>
      <w:r w:rsidRPr="00FB21EA">
        <w:rPr>
          <w:rFonts w:eastAsia="Calibri" w:cs="Arial"/>
          <w:iCs/>
        </w:rPr>
        <w:t>.</w:t>
      </w:r>
      <w:r w:rsidRPr="00DE5016">
        <w:rPr>
          <w:rFonts w:eastAsia="Calibri" w:cs="Arial"/>
          <w:iCs/>
        </w:rPr>
        <w:t xml:space="preserve"> Statements by </w:t>
      </w:r>
      <w:r w:rsidR="005E4CF3">
        <w:rPr>
          <w:rFonts w:eastAsia="Calibri" w:cs="Arial"/>
          <w:iCs/>
        </w:rPr>
        <w:t xml:space="preserve">persons purporting to be </w:t>
      </w:r>
      <w:r w:rsidRPr="00DE5016">
        <w:rPr>
          <w:rFonts w:eastAsia="Calibri" w:cs="Arial"/>
          <w:iCs/>
        </w:rPr>
        <w:t xml:space="preserve">experts are interpreted </w:t>
      </w:r>
      <w:r w:rsidR="00D87A47">
        <w:rPr>
          <w:rFonts w:eastAsia="Calibri" w:cs="Arial"/>
          <w:iCs/>
        </w:rPr>
        <w:t xml:space="preserve">by viewers </w:t>
      </w:r>
      <w:r w:rsidRPr="00DE5016">
        <w:rPr>
          <w:rFonts w:eastAsia="Calibri" w:cs="Arial"/>
          <w:iCs/>
        </w:rPr>
        <w:t xml:space="preserve">differently to those of non-experts and are more likely to be understood as factual </w:t>
      </w:r>
      <w:r w:rsidR="0066598D">
        <w:rPr>
          <w:rFonts w:eastAsia="Calibri" w:cs="Arial"/>
          <w:iCs/>
        </w:rPr>
        <w:t>assertions</w:t>
      </w:r>
      <w:r w:rsidRPr="00DE5016">
        <w:rPr>
          <w:rFonts w:eastAsia="Calibri" w:cs="Arial"/>
          <w:iCs/>
        </w:rPr>
        <w:t xml:space="preserve">. </w:t>
      </w:r>
    </w:p>
    <w:p w14:paraId="2C87EC0D" w14:textId="28153684" w:rsidR="005B269A" w:rsidRDefault="005B269A" w:rsidP="005B269A">
      <w:pPr>
        <w:pStyle w:val="ACMABodyText"/>
        <w:spacing w:after="120"/>
      </w:pPr>
      <w:r w:rsidRPr="006B318F">
        <w:t xml:space="preserve">The </w:t>
      </w:r>
      <w:r>
        <w:t>L</w:t>
      </w:r>
      <w:r w:rsidRPr="00A84BB4">
        <w:t>icensee</w:t>
      </w:r>
      <w:r>
        <w:t xml:space="preserve"> </w:t>
      </w:r>
      <w:r w:rsidRPr="006B318F">
        <w:t>submitted</w:t>
      </w:r>
      <w:r>
        <w:t xml:space="preserve"> that the statement ‘taken in context is an opinion as to the relative safety of Ivermectin’ and that:</w:t>
      </w:r>
    </w:p>
    <w:p w14:paraId="75777FF1" w14:textId="0F5FBFDF" w:rsidR="005B269A" w:rsidRDefault="005B269A" w:rsidP="00907040">
      <w:pPr>
        <w:pStyle w:val="ACMAQuoteindented"/>
        <w:ind w:left="709"/>
      </w:pPr>
      <w:r>
        <w:t>At conventional doses, ivermectin is generally regarded to be a safe drug to treat certain conditions. It is generally accepted that it is only at high doses that safety concerns tend to arise.</w:t>
      </w:r>
      <w:r w:rsidR="00A7280C">
        <w:t xml:space="preserve"> </w:t>
      </w:r>
    </w:p>
    <w:p w14:paraId="577E6286" w14:textId="39454CD1" w:rsidR="00D82EDF" w:rsidRDefault="00D82EDF" w:rsidP="009D5ABF">
      <w:pPr>
        <w:pStyle w:val="CommentText"/>
        <w:rPr>
          <w:i w:val="0"/>
          <w:iCs/>
        </w:rPr>
      </w:pPr>
      <w:r>
        <w:rPr>
          <w:i w:val="0"/>
          <w:iCs/>
        </w:rPr>
        <w:lastRenderedPageBreak/>
        <w:t xml:space="preserve">In the statement, </w:t>
      </w:r>
      <w:r w:rsidR="00B34D3D">
        <w:rPr>
          <w:i w:val="0"/>
          <w:iCs/>
        </w:rPr>
        <w:t xml:space="preserve">Dr. </w:t>
      </w:r>
      <w:r w:rsidR="00C809E5">
        <w:rPr>
          <w:i w:val="0"/>
          <w:iCs/>
        </w:rPr>
        <w:t>A</w:t>
      </w:r>
      <w:r w:rsidR="009D5ABF" w:rsidRPr="009D5ABF">
        <w:rPr>
          <w:i w:val="0"/>
          <w:iCs/>
        </w:rPr>
        <w:t xml:space="preserve"> asserted the safety of the drug</w:t>
      </w:r>
      <w:r w:rsidR="00FF1D52">
        <w:rPr>
          <w:i w:val="0"/>
          <w:iCs/>
        </w:rPr>
        <w:t xml:space="preserve"> </w:t>
      </w:r>
      <w:r>
        <w:rPr>
          <w:i w:val="0"/>
          <w:iCs/>
        </w:rPr>
        <w:t>[</w:t>
      </w:r>
      <w:r w:rsidR="00FF1D52">
        <w:rPr>
          <w:i w:val="0"/>
          <w:iCs/>
        </w:rPr>
        <w:t>Ivermectin</w:t>
      </w:r>
      <w:r>
        <w:rPr>
          <w:i w:val="0"/>
          <w:iCs/>
        </w:rPr>
        <w:t>]</w:t>
      </w:r>
      <w:r w:rsidR="009D5ABF" w:rsidRPr="009D5ABF">
        <w:rPr>
          <w:i w:val="0"/>
          <w:iCs/>
        </w:rPr>
        <w:t xml:space="preserve"> in general terms and then proceeded to provide comparative details of its safety relative to other medications</w:t>
      </w:r>
      <w:r w:rsidR="00FF1D52">
        <w:rPr>
          <w:i w:val="0"/>
          <w:iCs/>
        </w:rPr>
        <w:t xml:space="preserve"> i.e., aspirin and Tylenol.</w:t>
      </w:r>
      <w:r w:rsidR="009D5ABF" w:rsidRPr="009D5ABF">
        <w:rPr>
          <w:i w:val="0"/>
          <w:iCs/>
        </w:rPr>
        <w:t xml:space="preserve"> </w:t>
      </w:r>
    </w:p>
    <w:p w14:paraId="46582ED4" w14:textId="3F485E15" w:rsidR="00D86D24" w:rsidRDefault="00D9131F" w:rsidP="00964AD3">
      <w:pPr>
        <w:spacing w:before="0" w:line="240" w:lineRule="atLeast"/>
        <w:rPr>
          <w:rFonts w:eastAsia="Calibri" w:cs="Arial"/>
          <w:i w:val="0"/>
          <w:snapToGrid w:val="0"/>
          <w:szCs w:val="20"/>
        </w:rPr>
      </w:pPr>
      <w:r>
        <w:rPr>
          <w:rFonts w:eastAsia="Calibri" w:cs="Arial"/>
          <w:i w:val="0"/>
          <w:snapToGrid w:val="0"/>
          <w:szCs w:val="20"/>
        </w:rPr>
        <w:t>I</w:t>
      </w:r>
      <w:r w:rsidR="007745B7">
        <w:rPr>
          <w:rFonts w:eastAsia="Calibri" w:cs="Arial"/>
          <w:i w:val="0"/>
          <w:snapToGrid w:val="0"/>
          <w:szCs w:val="20"/>
        </w:rPr>
        <w:t xml:space="preserve">n the context of </w:t>
      </w:r>
      <w:r>
        <w:rPr>
          <w:rFonts w:eastAsia="Calibri" w:cs="Arial"/>
          <w:i w:val="0"/>
          <w:snapToGrid w:val="0"/>
          <w:szCs w:val="20"/>
        </w:rPr>
        <w:t>the comparison with</w:t>
      </w:r>
      <w:r w:rsidR="007745B7">
        <w:rPr>
          <w:rFonts w:eastAsia="Calibri" w:cs="Arial"/>
          <w:i w:val="0"/>
          <w:snapToGrid w:val="0"/>
          <w:szCs w:val="20"/>
        </w:rPr>
        <w:t xml:space="preserve"> </w:t>
      </w:r>
      <w:r w:rsidR="007706EC">
        <w:rPr>
          <w:rFonts w:eastAsia="Calibri" w:cs="Arial"/>
          <w:i w:val="0"/>
          <w:snapToGrid w:val="0"/>
          <w:szCs w:val="20"/>
        </w:rPr>
        <w:t xml:space="preserve">overall </w:t>
      </w:r>
      <w:r w:rsidR="007745B7">
        <w:rPr>
          <w:rFonts w:eastAsia="Calibri" w:cs="Arial"/>
          <w:i w:val="0"/>
          <w:snapToGrid w:val="0"/>
          <w:szCs w:val="20"/>
        </w:rPr>
        <w:t xml:space="preserve">fatalities </w:t>
      </w:r>
      <w:r>
        <w:rPr>
          <w:rFonts w:eastAsia="Calibri" w:cs="Arial"/>
          <w:i w:val="0"/>
          <w:snapToGrid w:val="0"/>
          <w:szCs w:val="20"/>
        </w:rPr>
        <w:t>s</w:t>
      </w:r>
      <w:r w:rsidR="00047EA4">
        <w:rPr>
          <w:rFonts w:eastAsia="Calibri" w:cs="Arial"/>
          <w:i w:val="0"/>
          <w:snapToGrid w:val="0"/>
          <w:szCs w:val="20"/>
        </w:rPr>
        <w:t xml:space="preserve">aid to be </w:t>
      </w:r>
      <w:r w:rsidR="007745B7">
        <w:rPr>
          <w:rFonts w:eastAsia="Calibri" w:cs="Arial"/>
          <w:i w:val="0"/>
          <w:snapToGrid w:val="0"/>
          <w:szCs w:val="20"/>
        </w:rPr>
        <w:t>associated with aspirin and Tylenol</w:t>
      </w:r>
      <w:r>
        <w:rPr>
          <w:rFonts w:eastAsia="Calibri" w:cs="Arial"/>
          <w:i w:val="0"/>
          <w:snapToGrid w:val="0"/>
          <w:szCs w:val="20"/>
        </w:rPr>
        <w:t xml:space="preserve">, the statement that Ivermectin is safer than either of those drugs, is specific, unequivocal and capable of independent verification. </w:t>
      </w:r>
    </w:p>
    <w:p w14:paraId="23D3292E" w14:textId="6506FB34" w:rsidR="000D6A5E" w:rsidRDefault="000D6A5E" w:rsidP="00964AD3">
      <w:pPr>
        <w:spacing w:before="0" w:line="240" w:lineRule="atLeast"/>
        <w:rPr>
          <w:rFonts w:eastAsia="Calibri" w:cs="Arial"/>
          <w:b/>
          <w:bCs/>
          <w:i w:val="0"/>
          <w:snapToGrid w:val="0"/>
          <w:szCs w:val="20"/>
        </w:rPr>
      </w:pPr>
      <w:r w:rsidRPr="000D6A5E">
        <w:rPr>
          <w:rFonts w:eastAsia="Calibri" w:cs="Arial"/>
          <w:b/>
          <w:bCs/>
          <w:i w:val="0"/>
          <w:snapToGrid w:val="0"/>
          <w:szCs w:val="20"/>
        </w:rPr>
        <w:t>Was the factual material accurate?</w:t>
      </w:r>
    </w:p>
    <w:p w14:paraId="5EF6193D" w14:textId="1A739EFD" w:rsidR="003047D6" w:rsidRDefault="003047D6" w:rsidP="00964AD3">
      <w:pPr>
        <w:pStyle w:val="ACMAQuoteindented"/>
        <w:ind w:left="0"/>
        <w:rPr>
          <w:rFonts w:cs="Times New Roman"/>
          <w:sz w:val="20"/>
        </w:rPr>
      </w:pPr>
      <w:r w:rsidRPr="0033285C">
        <w:rPr>
          <w:sz w:val="20"/>
        </w:rPr>
        <w:t xml:space="preserve">Both </w:t>
      </w:r>
      <w:r w:rsidRPr="0061343C">
        <w:rPr>
          <w:sz w:val="20"/>
        </w:rPr>
        <w:t>Tylenol</w:t>
      </w:r>
      <w:r w:rsidRPr="0061343C">
        <w:t xml:space="preserve"> </w:t>
      </w:r>
      <w:r w:rsidRPr="003533BB">
        <w:rPr>
          <w:sz w:val="20"/>
        </w:rPr>
        <w:t>(which contains paracetamol)</w:t>
      </w:r>
      <w:r w:rsidRPr="0033285C">
        <w:rPr>
          <w:sz w:val="20"/>
        </w:rPr>
        <w:t xml:space="preserve"> and aspirin are over</w:t>
      </w:r>
      <w:r w:rsidRPr="00F52DA9">
        <w:rPr>
          <w:iCs/>
        </w:rPr>
        <w:t>-</w:t>
      </w:r>
      <w:r w:rsidRPr="0033285C">
        <w:rPr>
          <w:sz w:val="20"/>
        </w:rPr>
        <w:t>the</w:t>
      </w:r>
      <w:r w:rsidRPr="00F52DA9">
        <w:rPr>
          <w:iCs/>
        </w:rPr>
        <w:t>-</w:t>
      </w:r>
      <w:r w:rsidRPr="0033285C">
        <w:rPr>
          <w:sz w:val="20"/>
        </w:rPr>
        <w:t>counter medicine</w:t>
      </w:r>
      <w:r w:rsidR="005B269A" w:rsidRPr="00F52DA9">
        <w:rPr>
          <w:iCs/>
        </w:rPr>
        <w:t>s</w:t>
      </w:r>
      <w:r w:rsidRPr="0033285C">
        <w:rPr>
          <w:sz w:val="20"/>
        </w:rPr>
        <w:t xml:space="preserve"> commonly used to treat mild pain, fever and inflammation. </w:t>
      </w:r>
    </w:p>
    <w:p w14:paraId="082ABCD3" w14:textId="670CB10C" w:rsidR="00623117" w:rsidRDefault="003047D6" w:rsidP="00964AD3">
      <w:pPr>
        <w:pStyle w:val="ACMAQuoteindented"/>
        <w:spacing w:after="120"/>
        <w:ind w:left="0"/>
        <w:rPr>
          <w:rFonts w:cs="Times New Roman"/>
          <w:sz w:val="20"/>
        </w:rPr>
      </w:pPr>
      <w:r>
        <w:rPr>
          <w:rFonts w:cs="Times New Roman"/>
          <w:sz w:val="20"/>
        </w:rPr>
        <w:t>T</w:t>
      </w:r>
      <w:r w:rsidR="00623117" w:rsidRPr="00623117">
        <w:rPr>
          <w:rFonts w:cs="Times New Roman"/>
          <w:sz w:val="20"/>
        </w:rPr>
        <w:t xml:space="preserve">he </w:t>
      </w:r>
      <w:r w:rsidR="00DB177A">
        <w:rPr>
          <w:rFonts w:cs="Times New Roman"/>
          <w:sz w:val="20"/>
        </w:rPr>
        <w:t>L</w:t>
      </w:r>
      <w:r w:rsidR="00623117" w:rsidRPr="00623117">
        <w:rPr>
          <w:rFonts w:cs="Times New Roman"/>
          <w:sz w:val="20"/>
        </w:rPr>
        <w:t>icensee submitted</w:t>
      </w:r>
      <w:r w:rsidR="006053ED">
        <w:rPr>
          <w:rFonts w:cs="Times New Roman"/>
          <w:sz w:val="20"/>
        </w:rPr>
        <w:t>:</w:t>
      </w:r>
    </w:p>
    <w:p w14:paraId="0B7C8306" w14:textId="4110B98B" w:rsidR="00CE1AD3" w:rsidRPr="000D6A5E" w:rsidRDefault="002672F6" w:rsidP="00907040">
      <w:pPr>
        <w:pStyle w:val="ACMAQuoteindented"/>
        <w:ind w:left="709"/>
        <w:rPr>
          <w:highlight w:val="yellow"/>
        </w:rPr>
      </w:pPr>
      <w:r>
        <w:t xml:space="preserve">[Re] </w:t>
      </w:r>
      <w:r w:rsidR="00CE1AD3">
        <w:t>the comparison of ivermectin with aspirin and Tylenol (</w:t>
      </w:r>
      <w:r w:rsidR="00316346">
        <w:t>i.e.,</w:t>
      </w:r>
      <w:r w:rsidR="00CE1AD3">
        <w:t xml:space="preserve"> paracetamol), we note that many studies, reviews and publications from reputable sources have previously highlighted the risks associated with these common medications</w:t>
      </w:r>
      <w:r w:rsidR="008D66B4">
        <w:t>.</w:t>
      </w:r>
    </w:p>
    <w:p w14:paraId="50553DA1" w14:textId="27B5A12B" w:rsidR="00306BE8" w:rsidRDefault="00623117" w:rsidP="00964AD3">
      <w:pPr>
        <w:pStyle w:val="ACMABodyText"/>
      </w:pPr>
      <w:r>
        <w:t>T</w:t>
      </w:r>
      <w:r w:rsidR="008D66B4">
        <w:t xml:space="preserve">he </w:t>
      </w:r>
      <w:r w:rsidR="003047D6">
        <w:t>L</w:t>
      </w:r>
      <w:r w:rsidR="008D66B4">
        <w:t xml:space="preserve">icensee </w:t>
      </w:r>
      <w:r w:rsidR="00072912">
        <w:t>reported</w:t>
      </w:r>
      <w:r w:rsidR="008D66B4">
        <w:t xml:space="preserve"> some of the risks associated with aspirin and Tylenol</w:t>
      </w:r>
      <w:r w:rsidR="002672F6">
        <w:t>,</w:t>
      </w:r>
      <w:r w:rsidR="00257B77">
        <w:t xml:space="preserve"> </w:t>
      </w:r>
      <w:r w:rsidR="00F52DA9">
        <w:t>no</w:t>
      </w:r>
      <w:r w:rsidR="00257B77">
        <w:t>ting</w:t>
      </w:r>
      <w:r w:rsidR="00072912">
        <w:t xml:space="preserve"> </w:t>
      </w:r>
      <w:r w:rsidR="00626752">
        <w:t xml:space="preserve">a </w:t>
      </w:r>
      <w:r w:rsidR="00072912">
        <w:t xml:space="preserve">study </w:t>
      </w:r>
      <w:r w:rsidR="00F52DA9">
        <w:t>reported on by</w:t>
      </w:r>
      <w:r w:rsidR="00072912">
        <w:t xml:space="preserve"> </w:t>
      </w:r>
      <w:r w:rsidR="00306BE8">
        <w:t>the Royal Australian College of General Practitioners (</w:t>
      </w:r>
      <w:r w:rsidR="000D0271">
        <w:t>RACGP</w:t>
      </w:r>
      <w:r w:rsidR="00306BE8">
        <w:t>)</w:t>
      </w:r>
      <w:r w:rsidR="00072912">
        <w:rPr>
          <w:rStyle w:val="FootnoteReference"/>
        </w:rPr>
        <w:footnoteReference w:id="2"/>
      </w:r>
      <w:r w:rsidR="00072912">
        <w:t xml:space="preserve"> </w:t>
      </w:r>
      <w:r w:rsidR="003047D6">
        <w:t>in which</w:t>
      </w:r>
      <w:r w:rsidR="00626752">
        <w:t xml:space="preserve"> </w:t>
      </w:r>
      <w:r w:rsidR="00072912">
        <w:t xml:space="preserve">clinical trial </w:t>
      </w:r>
      <w:r w:rsidR="008D66B4">
        <w:t>pa</w:t>
      </w:r>
      <w:r w:rsidR="003047D6">
        <w:t>rticipant</w:t>
      </w:r>
      <w:r w:rsidR="008D66B4">
        <w:t xml:space="preserve">s </w:t>
      </w:r>
      <w:r w:rsidR="00072912">
        <w:t xml:space="preserve">found that prolonged daily </w:t>
      </w:r>
      <w:r w:rsidR="007D6458">
        <w:t xml:space="preserve">intake of </w:t>
      </w:r>
      <w:r w:rsidR="00072912">
        <w:t>aspirin increases the risk for gastrointestinal bleeding by 60% in people aged 70 and older. Another article</w:t>
      </w:r>
      <w:r w:rsidR="007D6458">
        <w:t xml:space="preserve"> </w:t>
      </w:r>
      <w:r w:rsidR="00306BE8">
        <w:t>cited</w:t>
      </w:r>
      <w:r w:rsidR="007D6458">
        <w:t xml:space="preserve"> that the long-term use of aspirin in older adults increases the risks of haemorrhage</w:t>
      </w:r>
      <w:r w:rsidR="00211EA0">
        <w:t>.</w:t>
      </w:r>
      <w:r w:rsidR="007D6458">
        <w:rPr>
          <w:rStyle w:val="FootnoteReference"/>
        </w:rPr>
        <w:footnoteReference w:id="3"/>
      </w:r>
      <w:r w:rsidR="007D6458">
        <w:t xml:space="preserve"> The </w:t>
      </w:r>
      <w:r w:rsidR="003047D6">
        <w:t>L</w:t>
      </w:r>
      <w:r w:rsidR="007D6458">
        <w:t xml:space="preserve">icensee also </w:t>
      </w:r>
      <w:r w:rsidR="00E416A1">
        <w:t>cited risks associated with paracetamol poisoning</w:t>
      </w:r>
      <w:r w:rsidR="00211EA0">
        <w:t>.</w:t>
      </w:r>
      <w:r w:rsidR="00E416A1">
        <w:rPr>
          <w:rStyle w:val="FootnoteReference"/>
        </w:rPr>
        <w:footnoteReference w:id="4"/>
      </w:r>
    </w:p>
    <w:p w14:paraId="1C2DB00F" w14:textId="34F4351A" w:rsidR="00623117" w:rsidRDefault="00306BE8" w:rsidP="00964AD3">
      <w:pPr>
        <w:pStyle w:val="ACMABodyText"/>
      </w:pPr>
      <w:r>
        <w:t>The Licensee gave no evidence concerning the</w:t>
      </w:r>
      <w:r w:rsidR="00F52DA9">
        <w:t xml:space="preserve"> corresponding</w:t>
      </w:r>
      <w:r>
        <w:t xml:space="preserve"> level of risk of these conditions associated with </w:t>
      </w:r>
      <w:r w:rsidR="00687B7D">
        <w:t xml:space="preserve">the </w:t>
      </w:r>
      <w:r>
        <w:t>use of Ivermectin.</w:t>
      </w:r>
    </w:p>
    <w:p w14:paraId="157FF16B" w14:textId="36F6527B" w:rsidR="00E64493" w:rsidRDefault="00D33526" w:rsidP="00964AD3">
      <w:pPr>
        <w:pStyle w:val="ACMABodyText"/>
      </w:pPr>
      <w:r>
        <w:t>As</w:t>
      </w:r>
      <w:r w:rsidR="001C5A2D">
        <w:t xml:space="preserve"> noted above</w:t>
      </w:r>
      <w:r>
        <w:t>,</w:t>
      </w:r>
      <w:r w:rsidR="001C5A2D">
        <w:t xml:space="preserve"> the safety of Ivermectin in comparison to aspirin and Tylenol was contextualised </w:t>
      </w:r>
      <w:r w:rsidR="00DB5E4D">
        <w:t>by</w:t>
      </w:r>
      <w:r w:rsidR="001C5A2D">
        <w:t xml:space="preserve"> </w:t>
      </w:r>
      <w:r w:rsidR="00F52DA9">
        <w:t xml:space="preserve">the </w:t>
      </w:r>
      <w:r w:rsidR="00DB5E4D">
        <w:t>program</w:t>
      </w:r>
      <w:r w:rsidR="00F52DA9">
        <w:t xml:space="preserve"> in </w:t>
      </w:r>
      <w:r w:rsidR="001C5A2D">
        <w:t xml:space="preserve">terms of fatalities. </w:t>
      </w:r>
      <w:r w:rsidR="000528D5">
        <w:t xml:space="preserve">The statistics </w:t>
      </w:r>
      <w:r w:rsidR="00AD5825">
        <w:t xml:space="preserve">provided in the </w:t>
      </w:r>
      <w:r w:rsidR="00DB5E4D">
        <w:t>program</w:t>
      </w:r>
      <w:r w:rsidR="00AD5825">
        <w:t xml:space="preserve"> </w:t>
      </w:r>
      <w:r w:rsidR="000528D5">
        <w:t xml:space="preserve">for fatalities associated with aspirin or Tylenol </w:t>
      </w:r>
      <w:r w:rsidR="001C5A2D">
        <w:t>we</w:t>
      </w:r>
      <w:r w:rsidR="000528D5">
        <w:t>re pr</w:t>
      </w:r>
      <w:r w:rsidR="00D13890">
        <w:t>esente</w:t>
      </w:r>
      <w:r w:rsidR="000528D5">
        <w:t xml:space="preserve">d </w:t>
      </w:r>
      <w:r w:rsidR="00D13890">
        <w:t>as</w:t>
      </w:r>
      <w:r w:rsidR="001C5A2D">
        <w:t xml:space="preserve"> absolute numbers </w:t>
      </w:r>
      <w:r w:rsidR="00D13890">
        <w:t xml:space="preserve">of related deaths </w:t>
      </w:r>
      <w:r w:rsidR="001C5A2D">
        <w:t xml:space="preserve">annually in the US. There was no corresponding </w:t>
      </w:r>
      <w:r w:rsidR="00D13890">
        <w:t xml:space="preserve">fatality </w:t>
      </w:r>
      <w:r w:rsidR="001C5A2D">
        <w:t>statistic with which t</w:t>
      </w:r>
      <w:r w:rsidR="002240A1">
        <w:t>he audience could make</w:t>
      </w:r>
      <w:r w:rsidR="001C5A2D">
        <w:t xml:space="preserve"> a comparison of the relative safety of Ivermectin. The statistics that were </w:t>
      </w:r>
      <w:r w:rsidR="002240A1">
        <w:t>provided</w:t>
      </w:r>
      <w:r w:rsidR="001C5A2D">
        <w:t xml:space="preserve"> </w:t>
      </w:r>
      <w:r w:rsidR="00D13890">
        <w:t xml:space="preserve">in the </w:t>
      </w:r>
      <w:r w:rsidR="00DB5E4D">
        <w:t>program</w:t>
      </w:r>
      <w:r w:rsidR="00D13890">
        <w:t xml:space="preserve"> </w:t>
      </w:r>
      <w:r w:rsidR="00306BE8">
        <w:t xml:space="preserve">in relation to Ivermectin </w:t>
      </w:r>
      <w:r w:rsidR="001C5A2D">
        <w:t>referred to ‘adverse outcomes’</w:t>
      </w:r>
      <w:r w:rsidR="002240A1">
        <w:t xml:space="preserve"> </w:t>
      </w:r>
      <w:r>
        <w:t xml:space="preserve">concerning African children over a 20 year period </w:t>
      </w:r>
      <w:r w:rsidR="002240A1">
        <w:t>but</w:t>
      </w:r>
      <w:r w:rsidR="001C5A2D">
        <w:t xml:space="preserve"> without any </w:t>
      </w:r>
      <w:r>
        <w:t xml:space="preserve">qualification or </w:t>
      </w:r>
      <w:r w:rsidR="001C5A2D">
        <w:t xml:space="preserve">definition as to </w:t>
      </w:r>
      <w:r>
        <w:t xml:space="preserve">the sample or </w:t>
      </w:r>
      <w:r w:rsidR="001C5A2D">
        <w:t xml:space="preserve">what </w:t>
      </w:r>
      <w:r w:rsidR="002240A1">
        <w:t>the nature of those</w:t>
      </w:r>
      <w:r w:rsidR="001C5A2D">
        <w:t xml:space="preserve"> outcomes might be</w:t>
      </w:r>
      <w:r w:rsidR="002240A1">
        <w:t xml:space="preserve">. </w:t>
      </w:r>
    </w:p>
    <w:p w14:paraId="38F904FC" w14:textId="16DFB6D3" w:rsidR="00D13890" w:rsidRDefault="00D13890" w:rsidP="00964AD3">
      <w:pPr>
        <w:pStyle w:val="ACMABodyText"/>
      </w:pPr>
      <w:r>
        <w:t xml:space="preserve">Consequently, neither the information provided by the Licensee nor the information provided in the </w:t>
      </w:r>
      <w:r w:rsidR="00650847">
        <w:t>program</w:t>
      </w:r>
      <w:r>
        <w:t xml:space="preserve"> can be used to ascertain the accuracy of the statement that Ivermectin was safer than aspirin or Tylenol.</w:t>
      </w:r>
    </w:p>
    <w:p w14:paraId="32DFCC5A" w14:textId="20C996E6" w:rsidR="00E1071B" w:rsidRDefault="00D13890" w:rsidP="00964AD3">
      <w:pPr>
        <w:pStyle w:val="ACMABodyText"/>
      </w:pPr>
      <w:r>
        <w:t>The ACMA has been unable to locate information concerning fatalities associated with Ivermectin</w:t>
      </w:r>
      <w:r w:rsidR="00E1071B">
        <w:t xml:space="preserve"> that would allow it to determine the accuracy of the statement.</w:t>
      </w:r>
    </w:p>
    <w:p w14:paraId="6707103A" w14:textId="6154E763" w:rsidR="001C5A2D" w:rsidRDefault="00E1071B" w:rsidP="00964AD3">
      <w:pPr>
        <w:pStyle w:val="ACMABodyText"/>
      </w:pPr>
      <w:r>
        <w:t>Accordingly, the ACMA makes no finding with respect to the accur</w:t>
      </w:r>
      <w:r w:rsidR="00EB02CD">
        <w:t>a</w:t>
      </w:r>
      <w:r>
        <w:t>cy of the statement</w:t>
      </w:r>
      <w:r w:rsidR="003B7CAF">
        <w:t>, ‘s</w:t>
      </w:r>
      <w:r w:rsidR="003B7CAF" w:rsidRPr="0035248A">
        <w:t>afer than aspirin, safer than Tylenol</w:t>
      </w:r>
      <w:r w:rsidR="003B7CAF">
        <w:t>’</w:t>
      </w:r>
      <w:r>
        <w:t xml:space="preserve">. </w:t>
      </w:r>
    </w:p>
    <w:p w14:paraId="77064217" w14:textId="451B8853" w:rsidR="00EE1146" w:rsidRPr="000B2671" w:rsidRDefault="005C7B96" w:rsidP="000B2671">
      <w:pPr>
        <w:pStyle w:val="ACMABodyText"/>
        <w:spacing w:before="120" w:line="240" w:lineRule="auto"/>
        <w:rPr>
          <w:b/>
          <w:bCs/>
          <w:i/>
          <w:iCs/>
          <w:u w:val="single"/>
        </w:rPr>
      </w:pPr>
      <w:r w:rsidRPr="000B2671">
        <w:rPr>
          <w:b/>
          <w:bCs/>
          <w:i/>
          <w:iCs/>
          <w:u w:val="single"/>
        </w:rPr>
        <w:lastRenderedPageBreak/>
        <w:t>2.</w:t>
      </w:r>
      <w:r w:rsidR="0091710B" w:rsidRPr="000B2671">
        <w:rPr>
          <w:b/>
          <w:bCs/>
          <w:i/>
          <w:iCs/>
          <w:u w:val="single"/>
        </w:rPr>
        <w:t xml:space="preserve"> </w:t>
      </w:r>
      <w:r w:rsidR="00EE1146" w:rsidRPr="000B2671">
        <w:rPr>
          <w:b/>
          <w:bCs/>
          <w:i/>
          <w:iCs/>
          <w:u w:val="single"/>
        </w:rPr>
        <w:t xml:space="preserve">Four billion doses given, 12 to 16 adverse outcomes out of four billion </w:t>
      </w:r>
    </w:p>
    <w:p w14:paraId="413454F3" w14:textId="5D63136C" w:rsidR="00F35DF9" w:rsidRDefault="00EB02CD" w:rsidP="00964AD3">
      <w:pPr>
        <w:pStyle w:val="ACMABodyText"/>
        <w:spacing w:after="120"/>
      </w:pPr>
      <w:r>
        <w:t xml:space="preserve">As noted above, </w:t>
      </w:r>
      <w:r w:rsidR="00B34D3D">
        <w:t xml:space="preserve">Dr. </w:t>
      </w:r>
      <w:r w:rsidR="00C809E5">
        <w:t>A</w:t>
      </w:r>
      <w:r w:rsidR="00207EE4">
        <w:t xml:space="preserve"> c</w:t>
      </w:r>
      <w:r>
        <w:t>ontextualised the safety of Ivermectin by making the following statement:</w:t>
      </w:r>
    </w:p>
    <w:p w14:paraId="54A0DE96" w14:textId="6428A4A9" w:rsidR="00BC7520" w:rsidRPr="0072052B" w:rsidRDefault="00F908DD" w:rsidP="00907040">
      <w:pPr>
        <w:pStyle w:val="ACMABodyText"/>
        <w:spacing w:after="120"/>
        <w:ind w:left="709"/>
        <w:rPr>
          <w:sz w:val="18"/>
          <w:szCs w:val="18"/>
        </w:rPr>
      </w:pPr>
      <w:r w:rsidRPr="0072052B">
        <w:rPr>
          <w:sz w:val="18"/>
          <w:szCs w:val="18"/>
        </w:rPr>
        <w:t>[Ivermecti</w:t>
      </w:r>
      <w:r w:rsidR="00207EE4" w:rsidRPr="0072052B">
        <w:rPr>
          <w:sz w:val="18"/>
          <w:szCs w:val="18"/>
        </w:rPr>
        <w:t>n</w:t>
      </w:r>
      <w:r w:rsidRPr="0072052B">
        <w:rPr>
          <w:sz w:val="18"/>
          <w:szCs w:val="18"/>
        </w:rPr>
        <w:t xml:space="preserve">] </w:t>
      </w:r>
      <w:r w:rsidR="00BC7520" w:rsidRPr="0072052B">
        <w:rPr>
          <w:sz w:val="18"/>
          <w:szCs w:val="18"/>
        </w:rPr>
        <w:t>given</w:t>
      </w:r>
      <w:r w:rsidRPr="0072052B">
        <w:rPr>
          <w:sz w:val="18"/>
          <w:szCs w:val="18"/>
        </w:rPr>
        <w:t xml:space="preserve"> </w:t>
      </w:r>
      <w:r w:rsidR="00BC7520" w:rsidRPr="0072052B">
        <w:rPr>
          <w:sz w:val="18"/>
          <w:szCs w:val="18"/>
        </w:rPr>
        <w:t xml:space="preserve">to poor starving children in Africa on a monthly basis for almost four decades </w:t>
      </w:r>
      <w:r w:rsidRPr="0072052B">
        <w:rPr>
          <w:sz w:val="18"/>
          <w:szCs w:val="18"/>
        </w:rPr>
        <w:t>4</w:t>
      </w:r>
      <w:r w:rsidR="00BC7520" w:rsidRPr="0072052B">
        <w:rPr>
          <w:sz w:val="18"/>
          <w:szCs w:val="18"/>
        </w:rPr>
        <w:t xml:space="preserve"> billion doses </w:t>
      </w:r>
      <w:r w:rsidR="00A74BEF" w:rsidRPr="0072052B">
        <w:rPr>
          <w:sz w:val="18"/>
          <w:szCs w:val="18"/>
        </w:rPr>
        <w:t xml:space="preserve">[of Ivermectin] </w:t>
      </w:r>
      <w:r w:rsidR="00BC7520" w:rsidRPr="0072052B">
        <w:rPr>
          <w:sz w:val="18"/>
          <w:szCs w:val="18"/>
        </w:rPr>
        <w:t xml:space="preserve">given, 12 to 16 adverse outcomes out of four billion. </w:t>
      </w:r>
    </w:p>
    <w:p w14:paraId="0D7F42AD" w14:textId="77777777" w:rsidR="0061343C" w:rsidRPr="00964AD3" w:rsidRDefault="0061343C" w:rsidP="0091710B">
      <w:pPr>
        <w:spacing w:before="240" w:line="240" w:lineRule="atLeast"/>
        <w:rPr>
          <w:rFonts w:eastAsia="Calibri" w:cs="Arial"/>
          <w:b/>
          <w:bCs/>
          <w:i w:val="0"/>
          <w:iCs/>
          <w:snapToGrid w:val="0"/>
          <w:szCs w:val="20"/>
        </w:rPr>
      </w:pPr>
      <w:r w:rsidRPr="00964AD3">
        <w:rPr>
          <w:rFonts w:eastAsia="Calibri" w:cs="Arial"/>
          <w:b/>
          <w:bCs/>
          <w:i w:val="0"/>
          <w:iCs/>
          <w:snapToGrid w:val="0"/>
          <w:szCs w:val="20"/>
        </w:rPr>
        <w:t>What did the material convey to the ordinary reasonable viewer?</w:t>
      </w:r>
    </w:p>
    <w:p w14:paraId="28B04060" w14:textId="3438BDD9" w:rsidR="003E4825" w:rsidRDefault="00AF1184" w:rsidP="00964AD3">
      <w:pPr>
        <w:spacing w:before="0" w:after="120" w:line="240" w:lineRule="atLeast"/>
        <w:rPr>
          <w:i w:val="0"/>
          <w:snapToGrid w:val="0"/>
          <w:szCs w:val="20"/>
        </w:rPr>
      </w:pPr>
      <w:r>
        <w:rPr>
          <w:i w:val="0"/>
          <w:snapToGrid w:val="0"/>
          <w:szCs w:val="20"/>
        </w:rPr>
        <w:t xml:space="preserve">The </w:t>
      </w:r>
      <w:r w:rsidRPr="00AF1184">
        <w:rPr>
          <w:i w:val="0"/>
          <w:snapToGrid w:val="0"/>
          <w:szCs w:val="20"/>
        </w:rPr>
        <w:t>ordinary reasonable viewer</w:t>
      </w:r>
      <w:r w:rsidR="007F5DD5">
        <w:rPr>
          <w:i w:val="0"/>
          <w:snapToGrid w:val="0"/>
          <w:szCs w:val="20"/>
        </w:rPr>
        <w:t xml:space="preserve"> would have understood </w:t>
      </w:r>
      <w:r w:rsidR="00EB02CD">
        <w:rPr>
          <w:i w:val="0"/>
          <w:snapToGrid w:val="0"/>
          <w:szCs w:val="20"/>
        </w:rPr>
        <w:t xml:space="preserve">from this statement </w:t>
      </w:r>
      <w:r w:rsidR="007F5DD5">
        <w:rPr>
          <w:i w:val="0"/>
          <w:snapToGrid w:val="0"/>
          <w:szCs w:val="20"/>
        </w:rPr>
        <w:t>that</w:t>
      </w:r>
      <w:r w:rsidR="003E4825">
        <w:rPr>
          <w:i w:val="0"/>
          <w:snapToGrid w:val="0"/>
          <w:szCs w:val="20"/>
        </w:rPr>
        <w:t>:</w:t>
      </w:r>
    </w:p>
    <w:p w14:paraId="2A0F7AE4" w14:textId="377E5B45" w:rsidR="003E4825" w:rsidRPr="00F634C8" w:rsidRDefault="003E4825" w:rsidP="00142D7E">
      <w:pPr>
        <w:pStyle w:val="ListParagraph"/>
        <w:numPr>
          <w:ilvl w:val="0"/>
          <w:numId w:val="9"/>
        </w:numPr>
        <w:spacing w:before="120" w:after="240" w:line="256" w:lineRule="auto"/>
        <w:rPr>
          <w:rFonts w:ascii="Arial" w:eastAsia="Times New Roman" w:hAnsi="Arial"/>
          <w:snapToGrid w:val="0"/>
          <w:sz w:val="20"/>
          <w:szCs w:val="20"/>
        </w:rPr>
      </w:pPr>
      <w:r w:rsidRPr="00F634C8">
        <w:rPr>
          <w:rFonts w:ascii="Arial" w:eastAsia="Times New Roman" w:hAnsi="Arial"/>
          <w:snapToGrid w:val="0"/>
          <w:sz w:val="20"/>
          <w:szCs w:val="20"/>
        </w:rPr>
        <w:t>Ivermectin ha</w:t>
      </w:r>
      <w:r w:rsidR="00B42E07">
        <w:rPr>
          <w:rFonts w:ascii="Arial" w:eastAsia="Times New Roman" w:hAnsi="Arial"/>
          <w:snapToGrid w:val="0"/>
          <w:sz w:val="20"/>
          <w:szCs w:val="20"/>
        </w:rPr>
        <w:t>s</w:t>
      </w:r>
      <w:r w:rsidRPr="00F634C8">
        <w:rPr>
          <w:rFonts w:ascii="Arial" w:eastAsia="Times New Roman" w:hAnsi="Arial"/>
          <w:snapToGrid w:val="0"/>
          <w:sz w:val="20"/>
          <w:szCs w:val="20"/>
        </w:rPr>
        <w:t xml:space="preserve"> </w:t>
      </w:r>
      <w:r w:rsidR="00166A41" w:rsidRPr="00F634C8">
        <w:rPr>
          <w:rFonts w:ascii="Arial" w:eastAsia="Times New Roman" w:hAnsi="Arial"/>
          <w:snapToGrid w:val="0"/>
          <w:sz w:val="20"/>
          <w:szCs w:val="20"/>
        </w:rPr>
        <w:t>be</w:t>
      </w:r>
      <w:r w:rsidR="00B42E07">
        <w:rPr>
          <w:rFonts w:ascii="Arial" w:eastAsia="Times New Roman" w:hAnsi="Arial"/>
          <w:snapToGrid w:val="0"/>
          <w:sz w:val="20"/>
          <w:szCs w:val="20"/>
        </w:rPr>
        <w:t>en</w:t>
      </w:r>
      <w:r w:rsidR="00166A41" w:rsidRPr="00F634C8">
        <w:rPr>
          <w:rFonts w:ascii="Arial" w:eastAsia="Times New Roman" w:hAnsi="Arial"/>
          <w:snapToGrid w:val="0"/>
          <w:sz w:val="20"/>
          <w:szCs w:val="20"/>
        </w:rPr>
        <w:t xml:space="preserve"> </w:t>
      </w:r>
      <w:r w:rsidR="00CB58D1">
        <w:rPr>
          <w:rFonts w:ascii="Arial" w:eastAsia="Times New Roman" w:hAnsi="Arial"/>
          <w:snapToGrid w:val="0"/>
          <w:sz w:val="20"/>
          <w:szCs w:val="20"/>
        </w:rPr>
        <w:t>given to children</w:t>
      </w:r>
      <w:r w:rsidR="00166A41" w:rsidRPr="00F634C8">
        <w:rPr>
          <w:rFonts w:ascii="Arial" w:eastAsia="Times New Roman" w:hAnsi="Arial"/>
          <w:snapToGrid w:val="0"/>
          <w:sz w:val="20"/>
          <w:szCs w:val="20"/>
        </w:rPr>
        <w:t xml:space="preserve"> in Africa</w:t>
      </w:r>
      <w:r w:rsidR="00CB58D1">
        <w:rPr>
          <w:rFonts w:ascii="Arial" w:eastAsia="Times New Roman" w:hAnsi="Arial"/>
          <w:snapToGrid w:val="0"/>
          <w:sz w:val="20"/>
          <w:szCs w:val="20"/>
        </w:rPr>
        <w:t xml:space="preserve"> over </w:t>
      </w:r>
      <w:r w:rsidR="00497E7C">
        <w:rPr>
          <w:rFonts w:ascii="Arial" w:eastAsia="Times New Roman" w:hAnsi="Arial"/>
          <w:snapToGrid w:val="0"/>
          <w:sz w:val="20"/>
          <w:szCs w:val="20"/>
        </w:rPr>
        <w:t xml:space="preserve">almost </w:t>
      </w:r>
      <w:r w:rsidR="00CB58D1">
        <w:rPr>
          <w:rFonts w:ascii="Arial" w:eastAsia="Times New Roman" w:hAnsi="Arial"/>
          <w:snapToGrid w:val="0"/>
          <w:sz w:val="20"/>
          <w:szCs w:val="20"/>
        </w:rPr>
        <w:t>4 decades</w:t>
      </w:r>
      <w:r w:rsidR="00A017B5">
        <w:rPr>
          <w:rFonts w:ascii="Arial" w:eastAsia="Times New Roman" w:hAnsi="Arial"/>
          <w:snapToGrid w:val="0"/>
          <w:sz w:val="20"/>
          <w:szCs w:val="20"/>
        </w:rPr>
        <w:t>.</w:t>
      </w:r>
    </w:p>
    <w:p w14:paraId="754E1035" w14:textId="333E1C64" w:rsidR="00EB02CD" w:rsidRDefault="00B42E07" w:rsidP="00142D7E">
      <w:pPr>
        <w:pStyle w:val="ListParagraph"/>
        <w:numPr>
          <w:ilvl w:val="0"/>
          <w:numId w:val="9"/>
        </w:numPr>
        <w:spacing w:before="120" w:after="240" w:line="256" w:lineRule="auto"/>
        <w:rPr>
          <w:rFonts w:ascii="Arial" w:eastAsia="Times New Roman" w:hAnsi="Arial"/>
          <w:snapToGrid w:val="0"/>
          <w:sz w:val="20"/>
          <w:szCs w:val="20"/>
        </w:rPr>
      </w:pPr>
      <w:r>
        <w:rPr>
          <w:rFonts w:ascii="Arial" w:eastAsia="Times New Roman" w:hAnsi="Arial"/>
          <w:snapToGrid w:val="0"/>
          <w:sz w:val="20"/>
          <w:szCs w:val="20"/>
        </w:rPr>
        <w:t>Four</w:t>
      </w:r>
      <w:r w:rsidR="00166A41" w:rsidRPr="00F634C8">
        <w:rPr>
          <w:rFonts w:ascii="Arial" w:eastAsia="Times New Roman" w:hAnsi="Arial"/>
          <w:snapToGrid w:val="0"/>
          <w:sz w:val="20"/>
          <w:szCs w:val="20"/>
        </w:rPr>
        <w:t xml:space="preserve"> billion doses </w:t>
      </w:r>
      <w:r w:rsidR="00EB02CD">
        <w:rPr>
          <w:rFonts w:ascii="Arial" w:eastAsia="Times New Roman" w:hAnsi="Arial"/>
          <w:snapToGrid w:val="0"/>
          <w:sz w:val="20"/>
          <w:szCs w:val="20"/>
        </w:rPr>
        <w:t>had been</w:t>
      </w:r>
      <w:r w:rsidR="003E4825" w:rsidRPr="00F634C8">
        <w:rPr>
          <w:rFonts w:ascii="Arial" w:eastAsia="Times New Roman" w:hAnsi="Arial"/>
          <w:snapToGrid w:val="0"/>
          <w:sz w:val="20"/>
          <w:szCs w:val="20"/>
        </w:rPr>
        <w:t xml:space="preserve"> </w:t>
      </w:r>
      <w:r w:rsidR="00166A41" w:rsidRPr="00F634C8">
        <w:rPr>
          <w:rFonts w:ascii="Arial" w:eastAsia="Times New Roman" w:hAnsi="Arial"/>
          <w:snapToGrid w:val="0"/>
          <w:sz w:val="20"/>
          <w:szCs w:val="20"/>
        </w:rPr>
        <w:t xml:space="preserve">given </w:t>
      </w:r>
      <w:r w:rsidR="00EB02CD">
        <w:rPr>
          <w:rFonts w:ascii="Arial" w:eastAsia="Times New Roman" w:hAnsi="Arial"/>
          <w:snapToGrid w:val="0"/>
          <w:sz w:val="20"/>
          <w:szCs w:val="20"/>
        </w:rPr>
        <w:t>over that time</w:t>
      </w:r>
      <w:r w:rsidR="00A017B5">
        <w:rPr>
          <w:rFonts w:ascii="Arial" w:eastAsia="Times New Roman" w:hAnsi="Arial"/>
          <w:snapToGrid w:val="0"/>
          <w:sz w:val="20"/>
          <w:szCs w:val="20"/>
        </w:rPr>
        <w:t>.</w:t>
      </w:r>
    </w:p>
    <w:p w14:paraId="4C008376" w14:textId="0736DA72" w:rsidR="00EB02CD" w:rsidRPr="00F634C8" w:rsidRDefault="00166A41" w:rsidP="00142D7E">
      <w:pPr>
        <w:pStyle w:val="ListParagraph"/>
        <w:numPr>
          <w:ilvl w:val="0"/>
          <w:numId w:val="9"/>
        </w:numPr>
        <w:spacing w:before="120" w:after="240" w:line="256" w:lineRule="auto"/>
        <w:rPr>
          <w:rFonts w:ascii="Arial" w:eastAsia="Times New Roman" w:hAnsi="Arial"/>
          <w:snapToGrid w:val="0"/>
          <w:sz w:val="20"/>
          <w:szCs w:val="20"/>
        </w:rPr>
      </w:pPr>
      <w:r w:rsidRPr="00EB02CD">
        <w:rPr>
          <w:rFonts w:ascii="Arial" w:eastAsia="Times New Roman" w:hAnsi="Arial"/>
          <w:snapToGrid w:val="0"/>
          <w:sz w:val="20"/>
          <w:szCs w:val="20"/>
        </w:rPr>
        <w:t>12 to 16 adverse outcomes</w:t>
      </w:r>
      <w:r w:rsidR="00EB02CD" w:rsidRPr="00EB02CD">
        <w:rPr>
          <w:rFonts w:ascii="Arial" w:eastAsia="Times New Roman" w:hAnsi="Arial"/>
          <w:snapToGrid w:val="0"/>
          <w:sz w:val="20"/>
          <w:szCs w:val="20"/>
        </w:rPr>
        <w:t xml:space="preserve"> had been the result</w:t>
      </w:r>
      <w:r w:rsidR="0091710B">
        <w:rPr>
          <w:rFonts w:ascii="Arial" w:eastAsia="Times New Roman" w:hAnsi="Arial"/>
          <w:snapToGrid w:val="0"/>
          <w:sz w:val="20"/>
          <w:szCs w:val="20"/>
        </w:rPr>
        <w:t>.</w:t>
      </w:r>
    </w:p>
    <w:p w14:paraId="29A12E5C" w14:textId="0AA09414" w:rsidR="00EB02CD" w:rsidRDefault="00EB02CD" w:rsidP="00142D7E">
      <w:pPr>
        <w:spacing w:before="240" w:line="240" w:lineRule="atLeast"/>
        <w:rPr>
          <w:i w:val="0"/>
          <w:iCs/>
        </w:rPr>
      </w:pPr>
      <w:r>
        <w:rPr>
          <w:i w:val="0"/>
          <w:iCs/>
          <w:snapToGrid w:val="0"/>
          <w:szCs w:val="20"/>
        </w:rPr>
        <w:t xml:space="preserve">No detail was provided as to the nature of the adverse outcomes. </w:t>
      </w:r>
      <w:r w:rsidR="00574497">
        <w:rPr>
          <w:i w:val="0"/>
          <w:iCs/>
          <w:snapToGrid w:val="0"/>
          <w:szCs w:val="20"/>
        </w:rPr>
        <w:t>In the</w:t>
      </w:r>
      <w:r>
        <w:rPr>
          <w:i w:val="0"/>
          <w:iCs/>
          <w:snapToGrid w:val="0"/>
          <w:szCs w:val="20"/>
        </w:rPr>
        <w:t xml:space="preserve"> absence of detail</w:t>
      </w:r>
      <w:r w:rsidR="00574497">
        <w:rPr>
          <w:i w:val="0"/>
          <w:iCs/>
          <w:snapToGrid w:val="0"/>
          <w:szCs w:val="20"/>
        </w:rPr>
        <w:t xml:space="preserve">, the ACMA considers it would be reasonable for </w:t>
      </w:r>
      <w:r>
        <w:rPr>
          <w:i w:val="0"/>
          <w:iCs/>
          <w:snapToGrid w:val="0"/>
          <w:szCs w:val="20"/>
        </w:rPr>
        <w:t xml:space="preserve">viewers to </w:t>
      </w:r>
      <w:r w:rsidR="00574497">
        <w:rPr>
          <w:i w:val="0"/>
          <w:iCs/>
          <w:snapToGrid w:val="0"/>
          <w:szCs w:val="20"/>
        </w:rPr>
        <w:t xml:space="preserve">understand that </w:t>
      </w:r>
      <w:r>
        <w:rPr>
          <w:i w:val="0"/>
          <w:iCs/>
          <w:snapToGrid w:val="0"/>
          <w:szCs w:val="20"/>
        </w:rPr>
        <w:t>‘adverse outcome</w:t>
      </w:r>
      <w:r w:rsidR="00574497">
        <w:rPr>
          <w:i w:val="0"/>
          <w:iCs/>
          <w:snapToGrid w:val="0"/>
          <w:szCs w:val="20"/>
        </w:rPr>
        <w:t>s</w:t>
      </w:r>
      <w:r>
        <w:rPr>
          <w:i w:val="0"/>
          <w:iCs/>
          <w:snapToGrid w:val="0"/>
          <w:szCs w:val="20"/>
        </w:rPr>
        <w:t>’</w:t>
      </w:r>
      <w:r w:rsidR="00574497">
        <w:rPr>
          <w:i w:val="0"/>
          <w:iCs/>
          <w:snapToGrid w:val="0"/>
          <w:szCs w:val="20"/>
        </w:rPr>
        <w:t xml:space="preserve"> could mea</w:t>
      </w:r>
      <w:r w:rsidR="00574497" w:rsidRPr="00FE1EC5">
        <w:rPr>
          <w:i w:val="0"/>
          <w:iCs/>
          <w:snapToGrid w:val="0"/>
          <w:szCs w:val="20"/>
        </w:rPr>
        <w:t>n</w:t>
      </w:r>
      <w:r w:rsidR="00574497" w:rsidRPr="00AB3224">
        <w:rPr>
          <w:i w:val="0"/>
          <w:iCs/>
          <w:snapToGrid w:val="0"/>
          <w:szCs w:val="20"/>
        </w:rPr>
        <w:t xml:space="preserve"> </w:t>
      </w:r>
      <w:r w:rsidRPr="007559CF">
        <w:rPr>
          <w:i w:val="0"/>
          <w:iCs/>
        </w:rPr>
        <w:t xml:space="preserve">any negative </w:t>
      </w:r>
      <w:r w:rsidR="00FD16B4" w:rsidRPr="007559CF">
        <w:rPr>
          <w:i w:val="0"/>
          <w:iCs/>
        </w:rPr>
        <w:t xml:space="preserve">physiological or psychological </w:t>
      </w:r>
      <w:r w:rsidRPr="007559CF">
        <w:rPr>
          <w:i w:val="0"/>
          <w:iCs/>
        </w:rPr>
        <w:t>response to Ivermectin</w:t>
      </w:r>
      <w:r w:rsidR="00691A2E" w:rsidRPr="007559CF">
        <w:rPr>
          <w:i w:val="0"/>
          <w:iCs/>
        </w:rPr>
        <w:t xml:space="preserve"> </w:t>
      </w:r>
      <w:r w:rsidR="00FD16B4" w:rsidRPr="007559CF">
        <w:rPr>
          <w:i w:val="0"/>
          <w:iCs/>
        </w:rPr>
        <w:t>use</w:t>
      </w:r>
      <w:r w:rsidR="0091710B">
        <w:t>.</w:t>
      </w:r>
    </w:p>
    <w:p w14:paraId="289DEEA8" w14:textId="61726E8F" w:rsidR="00FE1EC5" w:rsidRPr="00AB3224" w:rsidRDefault="00FE1EC5" w:rsidP="007559CF">
      <w:pPr>
        <w:pStyle w:val="ACMABodyText"/>
      </w:pPr>
      <w:r>
        <w:t xml:space="preserve">The ACMA considers that the meaning conveyed by the statement was that the general incidence of adverse outcomes from taking </w:t>
      </w:r>
      <w:r w:rsidR="00131DA6">
        <w:t xml:space="preserve">Ivermectin </w:t>
      </w:r>
      <w:r>
        <w:t>was infinitesimally small (16 out of 4 billion).</w:t>
      </w:r>
    </w:p>
    <w:p w14:paraId="4A069B55" w14:textId="08069A30" w:rsidR="000D6A5E" w:rsidRPr="000D6A5E" w:rsidRDefault="000D6A5E" w:rsidP="000D6A5E">
      <w:pPr>
        <w:spacing w:before="0" w:after="160" w:line="256" w:lineRule="auto"/>
        <w:rPr>
          <w:rFonts w:eastAsia="Calibri" w:cs="Arial"/>
          <w:b/>
          <w:bCs/>
          <w:i w:val="0"/>
          <w:snapToGrid w:val="0"/>
          <w:szCs w:val="20"/>
        </w:rPr>
      </w:pPr>
      <w:r w:rsidRPr="000D6A5E">
        <w:rPr>
          <w:rFonts w:eastAsia="Calibri" w:cs="Arial"/>
          <w:b/>
          <w:bCs/>
          <w:i w:val="0"/>
          <w:snapToGrid w:val="0"/>
          <w:szCs w:val="20"/>
        </w:rPr>
        <w:t>Was the material factual in character?</w:t>
      </w:r>
    </w:p>
    <w:p w14:paraId="20B8B7D5" w14:textId="71BAAB54" w:rsidR="001C1FFD" w:rsidRDefault="005A6C89" w:rsidP="00964AD3">
      <w:pPr>
        <w:spacing w:before="0" w:line="240" w:lineRule="atLeast"/>
        <w:rPr>
          <w:rFonts w:eastAsia="Calibri" w:cs="Arial"/>
          <w:i w:val="0"/>
          <w:snapToGrid w:val="0"/>
          <w:szCs w:val="20"/>
        </w:rPr>
      </w:pPr>
      <w:r>
        <w:rPr>
          <w:rFonts w:eastAsia="Calibri" w:cs="Arial"/>
          <w:i w:val="0"/>
          <w:snapToGrid w:val="0"/>
          <w:szCs w:val="20"/>
        </w:rPr>
        <w:t>T</w:t>
      </w:r>
      <w:r w:rsidR="00FD16B4">
        <w:rPr>
          <w:rFonts w:eastAsia="Calibri" w:cs="Arial"/>
          <w:i w:val="0"/>
          <w:snapToGrid w:val="0"/>
          <w:szCs w:val="20"/>
        </w:rPr>
        <w:t>he statement contained specific numerical quantities</w:t>
      </w:r>
      <w:r w:rsidR="00812F8E">
        <w:rPr>
          <w:rFonts w:eastAsia="Calibri" w:cs="Arial"/>
          <w:i w:val="0"/>
          <w:snapToGrid w:val="0"/>
          <w:szCs w:val="20"/>
        </w:rPr>
        <w:t>. While</w:t>
      </w:r>
      <w:r>
        <w:rPr>
          <w:rFonts w:eastAsia="Calibri" w:cs="Arial"/>
          <w:i w:val="0"/>
          <w:snapToGrid w:val="0"/>
          <w:szCs w:val="20"/>
        </w:rPr>
        <w:t xml:space="preserve"> there </w:t>
      </w:r>
      <w:r w:rsidR="00D1350F">
        <w:rPr>
          <w:rFonts w:eastAsia="Calibri" w:cs="Arial"/>
          <w:i w:val="0"/>
          <w:snapToGrid w:val="0"/>
          <w:szCs w:val="20"/>
        </w:rPr>
        <w:t xml:space="preserve">may have been some </w:t>
      </w:r>
      <w:r w:rsidR="00FD16B4">
        <w:rPr>
          <w:rFonts w:eastAsia="Calibri" w:cs="Arial"/>
          <w:i w:val="0"/>
          <w:snapToGrid w:val="0"/>
          <w:szCs w:val="20"/>
        </w:rPr>
        <w:t xml:space="preserve">ambiguity around </w:t>
      </w:r>
      <w:r w:rsidR="00D1350F">
        <w:rPr>
          <w:rFonts w:eastAsia="Calibri" w:cs="Arial"/>
          <w:i w:val="0"/>
          <w:snapToGrid w:val="0"/>
          <w:szCs w:val="20"/>
        </w:rPr>
        <w:t xml:space="preserve">the </w:t>
      </w:r>
      <w:r w:rsidR="00FD16B4">
        <w:rPr>
          <w:rFonts w:eastAsia="Calibri" w:cs="Arial"/>
          <w:i w:val="0"/>
          <w:snapToGrid w:val="0"/>
          <w:szCs w:val="20"/>
        </w:rPr>
        <w:t>precise</w:t>
      </w:r>
      <w:r w:rsidR="00D1350F">
        <w:rPr>
          <w:rFonts w:eastAsia="Calibri" w:cs="Arial"/>
          <w:i w:val="0"/>
          <w:snapToGrid w:val="0"/>
          <w:szCs w:val="20"/>
        </w:rPr>
        <w:t xml:space="preserve"> meaning of </w:t>
      </w:r>
      <w:r w:rsidR="007559CF">
        <w:rPr>
          <w:rFonts w:eastAsia="Calibri" w:cs="Arial"/>
          <w:i w:val="0"/>
          <w:snapToGrid w:val="0"/>
          <w:szCs w:val="20"/>
        </w:rPr>
        <w:t>’</w:t>
      </w:r>
      <w:r>
        <w:rPr>
          <w:rFonts w:eastAsia="Calibri" w:cs="Arial"/>
          <w:i w:val="0"/>
          <w:snapToGrid w:val="0"/>
          <w:szCs w:val="20"/>
        </w:rPr>
        <w:t xml:space="preserve">adverse </w:t>
      </w:r>
      <w:r w:rsidR="00D1350F">
        <w:rPr>
          <w:rFonts w:eastAsia="Calibri" w:cs="Arial"/>
          <w:i w:val="0"/>
          <w:snapToGrid w:val="0"/>
          <w:szCs w:val="20"/>
        </w:rPr>
        <w:t>outcomes</w:t>
      </w:r>
      <w:r>
        <w:rPr>
          <w:rFonts w:eastAsia="Calibri" w:cs="Arial"/>
          <w:i w:val="0"/>
          <w:snapToGrid w:val="0"/>
          <w:szCs w:val="20"/>
        </w:rPr>
        <w:t>’</w:t>
      </w:r>
      <w:r w:rsidR="00FD16B4">
        <w:rPr>
          <w:rFonts w:eastAsia="Calibri" w:cs="Arial"/>
          <w:i w:val="0"/>
          <w:snapToGrid w:val="0"/>
          <w:szCs w:val="20"/>
        </w:rPr>
        <w:t xml:space="preserve">, </w:t>
      </w:r>
      <w:r w:rsidR="00B34D3D">
        <w:rPr>
          <w:rFonts w:eastAsia="Calibri" w:cs="Arial"/>
          <w:i w:val="0"/>
          <w:snapToGrid w:val="0"/>
          <w:szCs w:val="20"/>
        </w:rPr>
        <w:t xml:space="preserve">Dr. </w:t>
      </w:r>
      <w:r w:rsidR="00C809E5">
        <w:rPr>
          <w:rFonts w:eastAsia="Calibri" w:cs="Arial"/>
          <w:i w:val="0"/>
          <w:snapToGrid w:val="0"/>
          <w:szCs w:val="20"/>
        </w:rPr>
        <w:t>A</w:t>
      </w:r>
      <w:r w:rsidR="002A2AC7">
        <w:rPr>
          <w:rFonts w:eastAsia="Calibri" w:cs="Arial"/>
          <w:i w:val="0"/>
          <w:snapToGrid w:val="0"/>
          <w:szCs w:val="20"/>
        </w:rPr>
        <w:t>’</w:t>
      </w:r>
      <w:r w:rsidR="00EA466E">
        <w:rPr>
          <w:rFonts w:eastAsia="Calibri" w:cs="Arial"/>
          <w:i w:val="0"/>
          <w:snapToGrid w:val="0"/>
          <w:szCs w:val="20"/>
        </w:rPr>
        <w:t xml:space="preserve">s </w:t>
      </w:r>
      <w:r w:rsidR="005A34DF">
        <w:rPr>
          <w:rFonts w:eastAsia="Calibri" w:cs="Arial"/>
          <w:i w:val="0"/>
          <w:snapToGrid w:val="0"/>
          <w:szCs w:val="20"/>
        </w:rPr>
        <w:t>statement was</w:t>
      </w:r>
      <w:r w:rsidR="009E016F">
        <w:rPr>
          <w:rFonts w:eastAsia="Calibri" w:cs="Arial"/>
          <w:i w:val="0"/>
          <w:snapToGrid w:val="0"/>
          <w:szCs w:val="20"/>
        </w:rPr>
        <w:t xml:space="preserve"> </w:t>
      </w:r>
      <w:r w:rsidR="00812F8E">
        <w:rPr>
          <w:rFonts w:eastAsia="Calibri" w:cs="Arial"/>
          <w:i w:val="0"/>
          <w:snapToGrid w:val="0"/>
          <w:szCs w:val="20"/>
        </w:rPr>
        <w:t xml:space="preserve">delivered in a categorical manner and was </w:t>
      </w:r>
      <w:r w:rsidR="00D1350F">
        <w:rPr>
          <w:rFonts w:eastAsia="Calibri" w:cs="Arial"/>
          <w:i w:val="0"/>
          <w:snapToGrid w:val="0"/>
          <w:szCs w:val="20"/>
        </w:rPr>
        <w:t>sufficiently specific that its accuracy could be independently verified</w:t>
      </w:r>
      <w:r w:rsidR="00FD16B4">
        <w:rPr>
          <w:rFonts w:eastAsia="Calibri" w:cs="Arial"/>
          <w:i w:val="0"/>
          <w:snapToGrid w:val="0"/>
          <w:szCs w:val="20"/>
        </w:rPr>
        <w:t>.</w:t>
      </w:r>
      <w:r w:rsidR="00D1350F">
        <w:rPr>
          <w:rFonts w:eastAsia="Calibri" w:cs="Arial"/>
          <w:i w:val="0"/>
          <w:snapToGrid w:val="0"/>
          <w:szCs w:val="20"/>
        </w:rPr>
        <w:t xml:space="preserve"> It was, therefore, factual in character.</w:t>
      </w:r>
      <w:r w:rsidR="00FD16B4">
        <w:rPr>
          <w:rFonts w:eastAsia="Calibri" w:cs="Arial"/>
          <w:i w:val="0"/>
          <w:snapToGrid w:val="0"/>
          <w:szCs w:val="20"/>
        </w:rPr>
        <w:t xml:space="preserve"> </w:t>
      </w:r>
    </w:p>
    <w:p w14:paraId="0572E2CE" w14:textId="16BBD161" w:rsidR="001C1FFD" w:rsidRDefault="001C1FFD" w:rsidP="007559CF">
      <w:pPr>
        <w:keepNext/>
        <w:spacing w:before="0" w:line="240" w:lineRule="atLeast"/>
        <w:rPr>
          <w:rFonts w:eastAsia="Calibri" w:cs="Arial"/>
          <w:b/>
          <w:bCs/>
          <w:i w:val="0"/>
          <w:snapToGrid w:val="0"/>
          <w:szCs w:val="20"/>
        </w:rPr>
      </w:pPr>
      <w:r w:rsidRPr="000D6A5E">
        <w:rPr>
          <w:rFonts w:eastAsia="Calibri" w:cs="Arial"/>
          <w:b/>
          <w:bCs/>
          <w:i w:val="0"/>
          <w:snapToGrid w:val="0"/>
          <w:szCs w:val="20"/>
        </w:rPr>
        <w:t>Was the factual material accurate?</w:t>
      </w:r>
    </w:p>
    <w:p w14:paraId="350654D7" w14:textId="043C4E2D" w:rsidR="00505922" w:rsidRDefault="001C1FFD" w:rsidP="00142D7E">
      <w:pPr>
        <w:keepNext/>
        <w:spacing w:before="0" w:after="120" w:line="240" w:lineRule="atLeast"/>
        <w:rPr>
          <w:rFonts w:eastAsia="Calibri" w:cs="Arial"/>
          <w:i w:val="0"/>
          <w:snapToGrid w:val="0"/>
          <w:szCs w:val="20"/>
        </w:rPr>
      </w:pPr>
      <w:r>
        <w:rPr>
          <w:rFonts w:eastAsia="Calibri" w:cs="Arial"/>
          <w:i w:val="0"/>
          <w:snapToGrid w:val="0"/>
          <w:szCs w:val="20"/>
        </w:rPr>
        <w:t>The Licensee submitted:</w:t>
      </w:r>
    </w:p>
    <w:p w14:paraId="414638B5" w14:textId="77777777" w:rsidR="001C1FFD" w:rsidRDefault="001C1FFD" w:rsidP="00142D7E">
      <w:pPr>
        <w:pStyle w:val="ACMABodyText"/>
        <w:keepNext/>
        <w:spacing w:after="120"/>
        <w:ind w:left="720"/>
        <w:rPr>
          <w:sz w:val="18"/>
          <w:szCs w:val="18"/>
        </w:rPr>
      </w:pPr>
      <w:r w:rsidRPr="001C1FFD">
        <w:rPr>
          <w:sz w:val="18"/>
          <w:szCs w:val="18"/>
        </w:rPr>
        <w:t>This statement is a further representation as to relative safety, being the low rates of adverse outcomes experienced by uses of ivermectin.</w:t>
      </w:r>
    </w:p>
    <w:p w14:paraId="5F97613A" w14:textId="77777777" w:rsidR="001C1FFD" w:rsidRDefault="001C1FFD" w:rsidP="00142D7E">
      <w:pPr>
        <w:pStyle w:val="ACMABodyText"/>
        <w:spacing w:after="120"/>
        <w:ind w:left="720"/>
        <w:rPr>
          <w:sz w:val="18"/>
          <w:szCs w:val="18"/>
        </w:rPr>
      </w:pPr>
      <w:r w:rsidRPr="001C1FFD">
        <w:rPr>
          <w:sz w:val="18"/>
          <w:szCs w:val="18"/>
        </w:rPr>
        <w:t xml:space="preserve">Numerous scientific studies have reported low rates of adverse events following administration of ivermectin. For instance, a study published on 4 December 2017 in The American Journal of Tropical Medicine and Hygiene found that 28 cases among almost 4 billion doses resulted in serious neurological adverse events. Of these 28 cases, 19 also related to patients who had been taking other suspect or concomitant medications (7 of which had central nervous system effects). </w:t>
      </w:r>
    </w:p>
    <w:p w14:paraId="188FC20F" w14:textId="59D7AE91" w:rsidR="001C1FFD" w:rsidRDefault="001C1FFD" w:rsidP="00142D7E">
      <w:pPr>
        <w:pStyle w:val="ACMABodyText"/>
        <w:spacing w:after="120"/>
        <w:ind w:left="720"/>
        <w:rPr>
          <w:sz w:val="18"/>
          <w:szCs w:val="18"/>
        </w:rPr>
      </w:pPr>
      <w:r w:rsidRPr="001C1FFD">
        <w:rPr>
          <w:sz w:val="18"/>
          <w:szCs w:val="18"/>
        </w:rPr>
        <w:t>Based on the above, this statement was an accurate representation of the scientific data regarding ivermectin as was available at the time the Programs were broadcast.</w:t>
      </w:r>
      <w:r>
        <w:rPr>
          <w:rStyle w:val="FootnoteReference"/>
          <w:sz w:val="18"/>
          <w:szCs w:val="18"/>
        </w:rPr>
        <w:footnoteReference w:id="5"/>
      </w:r>
    </w:p>
    <w:p w14:paraId="4E409E21" w14:textId="46CC955C" w:rsidR="007C113F" w:rsidRDefault="00750C8C" w:rsidP="00142D7E">
      <w:pPr>
        <w:pStyle w:val="ACMABodyText"/>
        <w:spacing w:before="240"/>
      </w:pPr>
      <w:r>
        <w:t xml:space="preserve">The assertion that Ivermectin has been used in Africa </w:t>
      </w:r>
      <w:r w:rsidR="00D1350F">
        <w:t>wa</w:t>
      </w:r>
      <w:r>
        <w:t xml:space="preserve">s accurate, </w:t>
      </w:r>
      <w:r w:rsidR="007C113F">
        <w:t xml:space="preserve">as evidenced by the article cited by the </w:t>
      </w:r>
      <w:r w:rsidR="00D1350F">
        <w:t>Licensee</w:t>
      </w:r>
      <w:r w:rsidR="007C113F">
        <w:t>. However,</w:t>
      </w:r>
      <w:r w:rsidR="00FE1EC5">
        <w:t xml:space="preserve"> </w:t>
      </w:r>
      <w:r w:rsidR="007C113F">
        <w:t>th</w:t>
      </w:r>
      <w:r w:rsidR="00FE1EC5">
        <w:t>e excerpt of the</w:t>
      </w:r>
      <w:r w:rsidR="007C113F">
        <w:t xml:space="preserve"> article </w:t>
      </w:r>
      <w:r w:rsidR="00FE1EC5">
        <w:t xml:space="preserve">provided by the Licensee </w:t>
      </w:r>
      <w:r w:rsidR="007C113F">
        <w:t xml:space="preserve">does not </w:t>
      </w:r>
      <w:r w:rsidR="00FE1EC5">
        <w:t xml:space="preserve">necessarily </w:t>
      </w:r>
      <w:r w:rsidR="007C113F">
        <w:t xml:space="preserve">provide support for </w:t>
      </w:r>
      <w:r w:rsidR="00B34D3D">
        <w:t xml:space="preserve">Dr. </w:t>
      </w:r>
      <w:r w:rsidR="00C809E5">
        <w:t>A</w:t>
      </w:r>
      <w:r w:rsidR="007C113F">
        <w:t>’</w:t>
      </w:r>
      <w:r w:rsidR="00080073">
        <w:t>s</w:t>
      </w:r>
      <w:r w:rsidR="007C113F">
        <w:t xml:space="preserve"> statement</w:t>
      </w:r>
      <w:r w:rsidR="00812F8E">
        <w:t xml:space="preserve"> about adverse outcomes</w:t>
      </w:r>
      <w:r w:rsidR="00FE1EC5">
        <w:t>,</w:t>
      </w:r>
      <w:r w:rsidR="007C113F">
        <w:t xml:space="preserve"> as it only reported on serious neurological adverse effects and not adverse </w:t>
      </w:r>
      <w:r w:rsidR="00FE1EC5">
        <w:t>outcome</w:t>
      </w:r>
      <w:r w:rsidR="007C113F">
        <w:t>s more generally</w:t>
      </w:r>
      <w:r w:rsidR="00FE1EC5">
        <w:t xml:space="preserve">, as </w:t>
      </w:r>
      <w:r w:rsidR="002F0125">
        <w:t xml:space="preserve">would be </w:t>
      </w:r>
      <w:r w:rsidR="00FE1EC5">
        <w:t>understood by the ordinary reasonable viewer</w:t>
      </w:r>
      <w:r w:rsidR="007C113F">
        <w:t>.</w:t>
      </w:r>
    </w:p>
    <w:p w14:paraId="25296100" w14:textId="7FDCDF27" w:rsidR="004B1D65" w:rsidRDefault="00355805" w:rsidP="00142D7E">
      <w:pPr>
        <w:pStyle w:val="ACMABodyText"/>
        <w:spacing w:after="120"/>
        <w:rPr>
          <w:sz w:val="18"/>
          <w:szCs w:val="18"/>
        </w:rPr>
      </w:pPr>
      <w:r>
        <w:t>T</w:t>
      </w:r>
      <w:r w:rsidR="007C113F">
        <w:t>he article cited by the Licensee also states:</w:t>
      </w:r>
    </w:p>
    <w:p w14:paraId="0181BE72" w14:textId="2E0D7A06" w:rsidR="00FA520F" w:rsidRPr="00FA520F" w:rsidRDefault="00FE1EC5" w:rsidP="00FA520F">
      <w:pPr>
        <w:pStyle w:val="ACMABodyText"/>
        <w:ind w:left="709"/>
        <w:rPr>
          <w:sz w:val="18"/>
          <w:szCs w:val="18"/>
        </w:rPr>
      </w:pPr>
      <w:r w:rsidRPr="00FE1EC5">
        <w:rPr>
          <w:sz w:val="18"/>
          <w:szCs w:val="18"/>
        </w:rPr>
        <w:lastRenderedPageBreak/>
        <w:t>A total of 1,668 reports for ivermectin were identified.</w:t>
      </w:r>
      <w:r w:rsidR="00FA520F" w:rsidRPr="00FA520F">
        <w:rPr>
          <w:sz w:val="18"/>
          <w:szCs w:val="18"/>
        </w:rPr>
        <w:t xml:space="preserve"> The most commonly reported adverse events for ivermectin were pruritus (25.3%), headache (13.9%), and dizziness (7.5%). </w:t>
      </w:r>
    </w:p>
    <w:p w14:paraId="068D1390" w14:textId="38CC6B16" w:rsidR="00FA520F" w:rsidRDefault="00355805" w:rsidP="00FA520F">
      <w:pPr>
        <w:pStyle w:val="ACMABodyText"/>
      </w:pPr>
      <w:r>
        <w:rPr>
          <w:rFonts w:cs="Arial"/>
          <w:color w:val="222222"/>
          <w:shd w:val="clear" w:color="auto" w:fill="FFFFFF"/>
        </w:rPr>
        <w:t>An</w:t>
      </w:r>
      <w:r w:rsidR="007C113F">
        <w:rPr>
          <w:rFonts w:cs="Arial"/>
          <w:color w:val="222222"/>
          <w:shd w:val="clear" w:color="auto" w:fill="FFFFFF"/>
        </w:rPr>
        <w:t xml:space="preserve"> </w:t>
      </w:r>
      <w:r>
        <w:rPr>
          <w:rFonts w:cs="Arial"/>
          <w:color w:val="222222"/>
          <w:shd w:val="clear" w:color="auto" w:fill="FFFFFF"/>
        </w:rPr>
        <w:t>incidence of approximately 1600 adverse events</w:t>
      </w:r>
      <w:r w:rsidR="007C113F">
        <w:rPr>
          <w:rFonts w:cs="Arial"/>
          <w:color w:val="222222"/>
          <w:shd w:val="clear" w:color="auto" w:fill="FFFFFF"/>
        </w:rPr>
        <w:t xml:space="preserve"> </w:t>
      </w:r>
      <w:r>
        <w:rPr>
          <w:rFonts w:cs="Arial"/>
          <w:color w:val="222222"/>
          <w:shd w:val="clear" w:color="auto" w:fill="FFFFFF"/>
        </w:rPr>
        <w:t xml:space="preserve">is significantly </w:t>
      </w:r>
      <w:r w:rsidR="007C113F">
        <w:rPr>
          <w:rFonts w:cs="Arial"/>
          <w:color w:val="222222"/>
          <w:shd w:val="clear" w:color="auto" w:fill="FFFFFF"/>
        </w:rPr>
        <w:t xml:space="preserve">greater than </w:t>
      </w:r>
      <w:r>
        <w:rPr>
          <w:rFonts w:cs="Arial"/>
          <w:color w:val="222222"/>
          <w:shd w:val="clear" w:color="auto" w:fill="FFFFFF"/>
        </w:rPr>
        <w:t xml:space="preserve">the level </w:t>
      </w:r>
      <w:r w:rsidR="00FE1EC5">
        <w:rPr>
          <w:rFonts w:cs="Arial"/>
          <w:color w:val="222222"/>
          <w:shd w:val="clear" w:color="auto" w:fill="FFFFFF"/>
        </w:rPr>
        <w:t>conveyed</w:t>
      </w:r>
      <w:r w:rsidR="007C113F">
        <w:rPr>
          <w:rFonts w:cs="Arial"/>
          <w:color w:val="222222"/>
          <w:shd w:val="clear" w:color="auto" w:fill="FFFFFF"/>
        </w:rPr>
        <w:t xml:space="preserve"> by Dr</w:t>
      </w:r>
      <w:r w:rsidR="0043476A">
        <w:rPr>
          <w:rFonts w:cs="Arial"/>
          <w:color w:val="222222"/>
          <w:shd w:val="clear" w:color="auto" w:fill="FFFFFF"/>
        </w:rPr>
        <w:t>.</w:t>
      </w:r>
      <w:r w:rsidR="007C113F">
        <w:rPr>
          <w:rFonts w:cs="Arial"/>
          <w:color w:val="222222"/>
          <w:shd w:val="clear" w:color="auto" w:fill="FFFFFF"/>
        </w:rPr>
        <w:t xml:space="preserve"> </w:t>
      </w:r>
      <w:r w:rsidR="00C809E5">
        <w:rPr>
          <w:rFonts w:cs="Arial"/>
          <w:color w:val="222222"/>
          <w:shd w:val="clear" w:color="auto" w:fill="FFFFFF"/>
        </w:rPr>
        <w:t>A</w:t>
      </w:r>
      <w:r w:rsidR="00142D7E">
        <w:rPr>
          <w:rFonts w:cs="Arial"/>
          <w:color w:val="222222"/>
          <w:shd w:val="clear" w:color="auto" w:fill="FFFFFF"/>
        </w:rPr>
        <w:t>’s</w:t>
      </w:r>
      <w:r w:rsidR="007C113F">
        <w:rPr>
          <w:rFonts w:cs="Arial"/>
          <w:color w:val="222222"/>
          <w:shd w:val="clear" w:color="auto" w:fill="FFFFFF"/>
        </w:rPr>
        <w:t xml:space="preserve"> statement. Therefore, based on </w:t>
      </w:r>
      <w:r w:rsidR="00FA520F">
        <w:rPr>
          <w:rFonts w:cs="Arial"/>
          <w:color w:val="222222"/>
          <w:shd w:val="clear" w:color="auto" w:fill="FFFFFF"/>
        </w:rPr>
        <w:t xml:space="preserve">the information provided by the Licensee, the ACMA considers that the statement </w:t>
      </w:r>
      <w:r w:rsidR="007C113F">
        <w:rPr>
          <w:rFonts w:cs="Arial"/>
          <w:color w:val="222222"/>
          <w:shd w:val="clear" w:color="auto" w:fill="FFFFFF"/>
        </w:rPr>
        <w:t>‘</w:t>
      </w:r>
      <w:r w:rsidR="00FA520F" w:rsidRPr="00272DAA">
        <w:rPr>
          <w:rFonts w:cs="Arial"/>
          <w:color w:val="222222"/>
          <w:shd w:val="clear" w:color="auto" w:fill="FFFFFF"/>
        </w:rPr>
        <w:t>f</w:t>
      </w:r>
      <w:r w:rsidR="00FA520F" w:rsidRPr="00AB3224">
        <w:t>our billion doses given, 12 to 16 adverse outcomes out of four billion</w:t>
      </w:r>
      <w:r w:rsidR="007C113F">
        <w:t>’</w:t>
      </w:r>
      <w:r w:rsidR="00FA520F" w:rsidRPr="00AB3224">
        <w:t xml:space="preserve">, </w:t>
      </w:r>
      <w:r w:rsidR="00FA520F">
        <w:t>was not accurate.</w:t>
      </w:r>
      <w:r w:rsidR="00FA520F" w:rsidRPr="00D71E9B">
        <w:t xml:space="preserve"> </w:t>
      </w:r>
    </w:p>
    <w:p w14:paraId="457B3A80" w14:textId="6B46A156" w:rsidR="009119E7" w:rsidRPr="00866BB8" w:rsidRDefault="009119E7" w:rsidP="009119E7">
      <w:pPr>
        <w:pStyle w:val="ACMABodyText"/>
        <w:rPr>
          <w:rFonts w:cs="Arial"/>
        </w:rPr>
      </w:pPr>
      <w:r>
        <w:rPr>
          <w:rFonts w:cs="Arial"/>
        </w:rPr>
        <w:t xml:space="preserve">In coming to its </w:t>
      </w:r>
      <w:r w:rsidR="00237FD0">
        <w:rPr>
          <w:rFonts w:cs="Arial"/>
        </w:rPr>
        <w:t>findin</w:t>
      </w:r>
      <w:r w:rsidR="004D1D66">
        <w:rPr>
          <w:rFonts w:cs="Arial"/>
        </w:rPr>
        <w:t>g</w:t>
      </w:r>
      <w:r w:rsidR="00237FD0">
        <w:rPr>
          <w:rFonts w:cs="Arial"/>
        </w:rPr>
        <w:t xml:space="preserve">s </w:t>
      </w:r>
      <w:r>
        <w:rPr>
          <w:rFonts w:cs="Arial"/>
        </w:rPr>
        <w:t>concerning the accuracy of statements 1 and 2, the ACMA notes that the message conveyed by the discussion about the safety of Ivermectin was that Ivermectin was safe to use to treat C</w:t>
      </w:r>
      <w:r w:rsidR="004A596E">
        <w:rPr>
          <w:rFonts w:cs="Arial"/>
        </w:rPr>
        <w:t>OVID</w:t>
      </w:r>
      <w:r>
        <w:rPr>
          <w:rFonts w:cs="Arial"/>
        </w:rPr>
        <w:t xml:space="preserve">-19. The ACMA notes that safety does not equate to efficacy and the </w:t>
      </w:r>
      <w:r w:rsidR="004A596E">
        <w:rPr>
          <w:rFonts w:cs="Arial"/>
        </w:rPr>
        <w:t>position of public health organisations is that Ivermectin is not an effective treatment for COVID-19.</w:t>
      </w:r>
      <w:r w:rsidR="004A596E">
        <w:rPr>
          <w:rStyle w:val="FootnoteReference"/>
          <w:rFonts w:cs="Arial"/>
        </w:rPr>
        <w:footnoteReference w:id="6"/>
      </w:r>
    </w:p>
    <w:p w14:paraId="2957E268" w14:textId="083E6518" w:rsidR="0099164E" w:rsidRPr="000B2671" w:rsidRDefault="000B2671" w:rsidP="000B2671">
      <w:pPr>
        <w:pStyle w:val="ACMABodyText"/>
        <w:spacing w:before="120" w:line="240" w:lineRule="auto"/>
        <w:rPr>
          <w:b/>
          <w:bCs/>
          <w:i/>
          <w:iCs/>
          <w:u w:val="single"/>
        </w:rPr>
      </w:pPr>
      <w:r w:rsidRPr="000B2671">
        <w:rPr>
          <w:b/>
          <w:bCs/>
          <w:i/>
          <w:iCs/>
          <w:u w:val="single"/>
        </w:rPr>
        <w:t>3.</w:t>
      </w:r>
      <w:r>
        <w:rPr>
          <w:b/>
          <w:bCs/>
          <w:i/>
          <w:iCs/>
          <w:u w:val="single"/>
        </w:rPr>
        <w:t xml:space="preserve"> </w:t>
      </w:r>
      <w:r w:rsidR="005A6C89">
        <w:rPr>
          <w:b/>
          <w:bCs/>
          <w:i/>
          <w:iCs/>
          <w:u w:val="single"/>
        </w:rPr>
        <w:t>[</w:t>
      </w:r>
      <w:r w:rsidR="00F908DD" w:rsidRPr="000B2671">
        <w:rPr>
          <w:b/>
          <w:bCs/>
          <w:i/>
          <w:iCs/>
          <w:u w:val="single"/>
        </w:rPr>
        <w:t>C</w:t>
      </w:r>
      <w:r w:rsidR="0007592B">
        <w:rPr>
          <w:b/>
          <w:bCs/>
          <w:i/>
          <w:iCs/>
          <w:u w:val="single"/>
        </w:rPr>
        <w:t>OVID</w:t>
      </w:r>
      <w:r w:rsidR="005A6C89">
        <w:rPr>
          <w:b/>
          <w:bCs/>
          <w:i/>
          <w:iCs/>
          <w:u w:val="single"/>
        </w:rPr>
        <w:t>]</w:t>
      </w:r>
      <w:r w:rsidR="00F908DD" w:rsidRPr="000B2671">
        <w:rPr>
          <w:b/>
          <w:bCs/>
          <w:i/>
          <w:iCs/>
          <w:u w:val="single"/>
        </w:rPr>
        <w:t xml:space="preserve"> is… a clotting disease. The wonderful thing about Ivermectin is it helps as an anti-clotter</w:t>
      </w:r>
    </w:p>
    <w:p w14:paraId="20292F56" w14:textId="3B71BAF1" w:rsidR="00F927C8" w:rsidRDefault="00C32FC1" w:rsidP="00964AD3">
      <w:pPr>
        <w:pStyle w:val="ACMABodyText"/>
        <w:spacing w:after="120"/>
        <w:rPr>
          <w:rFonts w:eastAsia="Calibri"/>
        </w:rPr>
      </w:pPr>
      <w:r>
        <w:rPr>
          <w:rFonts w:eastAsia="Calibri"/>
        </w:rPr>
        <w:t>At approximately 22:50 minutes,</w:t>
      </w:r>
      <w:r w:rsidR="0084322B">
        <w:rPr>
          <w:rFonts w:eastAsia="Calibri"/>
        </w:rPr>
        <w:t xml:space="preserve"> </w:t>
      </w:r>
      <w:r w:rsidR="00FD2DFA">
        <w:rPr>
          <w:rFonts w:eastAsia="Calibri"/>
        </w:rPr>
        <w:t>as part of the</w:t>
      </w:r>
      <w:r w:rsidR="00C709D5">
        <w:rPr>
          <w:rFonts w:eastAsia="Calibri"/>
        </w:rPr>
        <w:t xml:space="preserve"> continuing</w:t>
      </w:r>
      <w:r w:rsidR="00FD2DFA">
        <w:rPr>
          <w:rFonts w:eastAsia="Calibri"/>
        </w:rPr>
        <w:t xml:space="preserve"> discussion about</w:t>
      </w:r>
      <w:r w:rsidR="00C6299E">
        <w:rPr>
          <w:rFonts w:eastAsia="Calibri"/>
        </w:rPr>
        <w:t xml:space="preserve"> the</w:t>
      </w:r>
      <w:r w:rsidR="00FD2DFA">
        <w:rPr>
          <w:rFonts w:eastAsia="Calibri"/>
        </w:rPr>
        <w:t xml:space="preserve"> </w:t>
      </w:r>
      <w:r w:rsidR="00131DA6">
        <w:rPr>
          <w:rFonts w:eastAsia="Calibri"/>
        </w:rPr>
        <w:t xml:space="preserve">efficacy </w:t>
      </w:r>
      <w:r w:rsidR="00FD2DFA">
        <w:rPr>
          <w:rFonts w:eastAsia="Calibri"/>
        </w:rPr>
        <w:t>of Ivermectin</w:t>
      </w:r>
      <w:r>
        <w:rPr>
          <w:rFonts w:eastAsia="Calibri"/>
        </w:rPr>
        <w:t xml:space="preserve">, </w:t>
      </w:r>
      <w:r w:rsidR="00B34D3D">
        <w:rPr>
          <w:rFonts w:eastAsia="Calibri"/>
        </w:rPr>
        <w:t xml:space="preserve">Dr. </w:t>
      </w:r>
      <w:r w:rsidR="00C809E5">
        <w:rPr>
          <w:rFonts w:eastAsia="Calibri"/>
        </w:rPr>
        <w:t>A</w:t>
      </w:r>
      <w:r w:rsidR="00F927C8">
        <w:rPr>
          <w:rFonts w:eastAsia="Calibri"/>
        </w:rPr>
        <w:t xml:space="preserve"> said:</w:t>
      </w:r>
    </w:p>
    <w:p w14:paraId="49E948DE" w14:textId="20274D57" w:rsidR="008176DA" w:rsidRPr="00F927C8" w:rsidRDefault="0007592B" w:rsidP="00907040">
      <w:pPr>
        <w:pStyle w:val="ACMABodyText"/>
        <w:spacing w:after="120" w:line="240" w:lineRule="auto"/>
        <w:ind w:left="709"/>
        <w:rPr>
          <w:rFonts w:cs="Arial"/>
          <w:sz w:val="18"/>
        </w:rPr>
      </w:pPr>
      <w:r w:rsidRPr="00F927C8">
        <w:rPr>
          <w:rFonts w:cs="Arial"/>
          <w:sz w:val="18"/>
        </w:rPr>
        <w:t>C</w:t>
      </w:r>
      <w:r>
        <w:rPr>
          <w:rFonts w:cs="Arial"/>
          <w:sz w:val="18"/>
        </w:rPr>
        <w:t>OVID</w:t>
      </w:r>
      <w:r w:rsidRPr="00F927C8">
        <w:rPr>
          <w:rFonts w:cs="Arial"/>
          <w:sz w:val="18"/>
        </w:rPr>
        <w:t xml:space="preserve"> </w:t>
      </w:r>
      <w:r w:rsidR="00311E6E" w:rsidRPr="00F927C8">
        <w:rPr>
          <w:rFonts w:cs="Arial"/>
          <w:sz w:val="18"/>
        </w:rPr>
        <w:t>is</w:t>
      </w:r>
      <w:r w:rsidR="00311E6E">
        <w:rPr>
          <w:rFonts w:cs="Arial"/>
          <w:sz w:val="18"/>
        </w:rPr>
        <w:t xml:space="preserve"> </w:t>
      </w:r>
      <w:r w:rsidR="00311E6E" w:rsidRPr="00F927C8">
        <w:rPr>
          <w:rFonts w:cs="Arial"/>
          <w:sz w:val="18"/>
        </w:rPr>
        <w:t>a clotting disease</w:t>
      </w:r>
      <w:r w:rsidR="006E1A36">
        <w:rPr>
          <w:rFonts w:cs="Arial"/>
          <w:sz w:val="18"/>
        </w:rPr>
        <w:t xml:space="preserve">. </w:t>
      </w:r>
      <w:r w:rsidR="00C11E61">
        <w:rPr>
          <w:rFonts w:cs="Arial"/>
          <w:sz w:val="18"/>
        </w:rPr>
        <w:t>If the o</w:t>
      </w:r>
      <w:r w:rsidR="00311E6E">
        <w:rPr>
          <w:rFonts w:cs="Arial"/>
          <w:sz w:val="18"/>
        </w:rPr>
        <w:t>ne message I</w:t>
      </w:r>
      <w:r w:rsidR="008176DA">
        <w:rPr>
          <w:rFonts w:cs="Arial"/>
          <w:sz w:val="18"/>
        </w:rPr>
        <w:t xml:space="preserve"> can get out today</w:t>
      </w:r>
      <w:r w:rsidR="00C11E61">
        <w:rPr>
          <w:rFonts w:cs="Arial"/>
          <w:sz w:val="18"/>
        </w:rPr>
        <w:t>,</w:t>
      </w:r>
      <w:r w:rsidR="008176DA">
        <w:rPr>
          <w:rFonts w:cs="Arial"/>
          <w:sz w:val="18"/>
        </w:rPr>
        <w:t xml:space="preserve"> is that</w:t>
      </w:r>
      <w:r w:rsidR="00311E6E" w:rsidRPr="00F927C8">
        <w:rPr>
          <w:rFonts w:cs="Arial"/>
          <w:sz w:val="18"/>
        </w:rPr>
        <w:t xml:space="preserve"> </w:t>
      </w:r>
      <w:r w:rsidR="00F927C8" w:rsidRPr="00F927C8">
        <w:rPr>
          <w:rFonts w:cs="Arial"/>
          <w:sz w:val="18"/>
        </w:rPr>
        <w:t>C</w:t>
      </w:r>
      <w:r>
        <w:rPr>
          <w:rFonts w:cs="Arial"/>
          <w:sz w:val="18"/>
        </w:rPr>
        <w:t>OVID</w:t>
      </w:r>
      <w:r w:rsidR="00F927C8" w:rsidRPr="00F927C8">
        <w:rPr>
          <w:rFonts w:cs="Arial"/>
          <w:sz w:val="18"/>
        </w:rPr>
        <w:t xml:space="preserve"> is</w:t>
      </w:r>
      <w:r w:rsidR="00F927C8">
        <w:rPr>
          <w:rFonts w:cs="Arial"/>
          <w:sz w:val="18"/>
        </w:rPr>
        <w:t xml:space="preserve"> </w:t>
      </w:r>
      <w:r w:rsidR="00F927C8" w:rsidRPr="00F927C8">
        <w:rPr>
          <w:rFonts w:cs="Arial"/>
          <w:sz w:val="18"/>
        </w:rPr>
        <w:t>a clotting disease,</w:t>
      </w:r>
      <w:r w:rsidR="00F927C8">
        <w:rPr>
          <w:rFonts w:cs="Arial"/>
          <w:sz w:val="18"/>
        </w:rPr>
        <w:t xml:space="preserve"> </w:t>
      </w:r>
      <w:r w:rsidR="00F927C8" w:rsidRPr="00F927C8">
        <w:rPr>
          <w:rFonts w:cs="Arial"/>
          <w:sz w:val="18"/>
        </w:rPr>
        <w:t xml:space="preserve">a clotting disease, a clotting disease. The wonderful thing about Ivermectin is it helps as an anti-clotter, </w:t>
      </w:r>
      <w:r w:rsidR="00C709D5">
        <w:rPr>
          <w:rFonts w:cs="Arial"/>
          <w:sz w:val="18"/>
        </w:rPr>
        <w:t>[…]</w:t>
      </w:r>
    </w:p>
    <w:p w14:paraId="4151DC8C" w14:textId="77777777" w:rsidR="0061343C" w:rsidRDefault="0061343C" w:rsidP="0091710B">
      <w:pPr>
        <w:spacing w:before="240" w:line="240" w:lineRule="atLeast"/>
        <w:rPr>
          <w:rFonts w:eastAsia="Calibri" w:cs="Arial"/>
          <w:b/>
          <w:bCs/>
          <w:i w:val="0"/>
          <w:snapToGrid w:val="0"/>
          <w:szCs w:val="20"/>
        </w:rPr>
      </w:pPr>
      <w:r w:rsidRPr="000D6A5E">
        <w:rPr>
          <w:rFonts w:eastAsia="Calibri" w:cs="Arial"/>
          <w:b/>
          <w:bCs/>
          <w:i w:val="0"/>
          <w:snapToGrid w:val="0"/>
          <w:szCs w:val="20"/>
        </w:rPr>
        <w:t>What did the material convey to the ordinary reasonable viewer?</w:t>
      </w:r>
    </w:p>
    <w:p w14:paraId="17180FCF" w14:textId="38F6EF48" w:rsidR="00C709D5" w:rsidRDefault="006E1A36" w:rsidP="00964AD3">
      <w:pPr>
        <w:pStyle w:val="ACMABodyText"/>
        <w:spacing w:before="240"/>
        <w:rPr>
          <w:rFonts w:eastAsia="Calibri"/>
        </w:rPr>
      </w:pPr>
      <w:r>
        <w:rPr>
          <w:rFonts w:eastAsia="Calibri"/>
        </w:rPr>
        <w:t>This s</w:t>
      </w:r>
      <w:r w:rsidR="00C709D5">
        <w:rPr>
          <w:rFonts w:eastAsia="Calibri"/>
        </w:rPr>
        <w:t xml:space="preserve">tatement </w:t>
      </w:r>
      <w:r w:rsidR="00CE6479">
        <w:rPr>
          <w:rFonts w:eastAsia="Calibri"/>
        </w:rPr>
        <w:t>wa</w:t>
      </w:r>
      <w:r w:rsidR="00C709D5">
        <w:rPr>
          <w:rFonts w:eastAsia="Calibri"/>
        </w:rPr>
        <w:t xml:space="preserve">s a composite statement, containing </w:t>
      </w:r>
      <w:r>
        <w:rPr>
          <w:rFonts w:eastAsia="Calibri"/>
        </w:rPr>
        <w:t xml:space="preserve">at least </w:t>
      </w:r>
      <w:r w:rsidR="00C709D5">
        <w:rPr>
          <w:rFonts w:eastAsia="Calibri"/>
        </w:rPr>
        <w:t>two assertions. The first concern</w:t>
      </w:r>
      <w:r w:rsidR="00CE6479">
        <w:rPr>
          <w:rFonts w:eastAsia="Calibri"/>
        </w:rPr>
        <w:t>ed</w:t>
      </w:r>
      <w:r w:rsidR="00C709D5">
        <w:rPr>
          <w:rFonts w:eastAsia="Calibri"/>
        </w:rPr>
        <w:t xml:space="preserve"> the nature of C</w:t>
      </w:r>
      <w:r w:rsidR="0007592B">
        <w:rPr>
          <w:rFonts w:eastAsia="Calibri"/>
        </w:rPr>
        <w:t>OVID</w:t>
      </w:r>
      <w:r w:rsidR="0091710B">
        <w:rPr>
          <w:rFonts w:eastAsia="Calibri"/>
        </w:rPr>
        <w:t>-19</w:t>
      </w:r>
      <w:r w:rsidR="00C709D5">
        <w:rPr>
          <w:rFonts w:eastAsia="Calibri"/>
        </w:rPr>
        <w:t xml:space="preserve"> and its association with blood clotting. The second concern</w:t>
      </w:r>
      <w:r w:rsidR="00CE6479">
        <w:rPr>
          <w:rFonts w:eastAsia="Calibri"/>
        </w:rPr>
        <w:t>ed</w:t>
      </w:r>
      <w:r w:rsidR="00C709D5">
        <w:rPr>
          <w:rFonts w:eastAsia="Calibri"/>
        </w:rPr>
        <w:t xml:space="preserve"> the capacity of Ivermectin to assist with the treatment of blood clots. </w:t>
      </w:r>
    </w:p>
    <w:p w14:paraId="26FD5A80" w14:textId="3D7FC5EA" w:rsidR="00831E5E" w:rsidRDefault="00C709D5" w:rsidP="00964AD3">
      <w:pPr>
        <w:pStyle w:val="ACMABodyText"/>
        <w:rPr>
          <w:rFonts w:eastAsia="Calibri"/>
        </w:rPr>
      </w:pPr>
      <w:r>
        <w:rPr>
          <w:rFonts w:eastAsia="Calibri"/>
        </w:rPr>
        <w:t>With regards to the nature of C</w:t>
      </w:r>
      <w:r w:rsidR="0007592B">
        <w:rPr>
          <w:rFonts w:eastAsia="Calibri"/>
        </w:rPr>
        <w:t>OVID</w:t>
      </w:r>
      <w:r w:rsidR="0091710B">
        <w:rPr>
          <w:rFonts w:eastAsia="Calibri"/>
        </w:rPr>
        <w:t>-19</w:t>
      </w:r>
      <w:r>
        <w:rPr>
          <w:rFonts w:eastAsia="Calibri"/>
        </w:rPr>
        <w:t xml:space="preserve"> and its association with blood clotting, the assertion </w:t>
      </w:r>
      <w:r w:rsidR="00864896">
        <w:rPr>
          <w:rFonts w:eastAsia="Calibri"/>
        </w:rPr>
        <w:t>wa</w:t>
      </w:r>
      <w:r>
        <w:rPr>
          <w:rFonts w:eastAsia="Calibri"/>
        </w:rPr>
        <w:t xml:space="preserve">s conveyed through </w:t>
      </w:r>
      <w:r w:rsidR="006E1A36">
        <w:rPr>
          <w:rFonts w:eastAsia="Calibri"/>
        </w:rPr>
        <w:t xml:space="preserve">an </w:t>
      </w:r>
      <w:r>
        <w:rPr>
          <w:rFonts w:eastAsia="Calibri"/>
        </w:rPr>
        <w:t>emphatic delivery</w:t>
      </w:r>
      <w:r w:rsidR="006E1A36">
        <w:rPr>
          <w:rFonts w:eastAsia="Calibri"/>
        </w:rPr>
        <w:t xml:space="preserve">: </w:t>
      </w:r>
      <w:r>
        <w:rPr>
          <w:rFonts w:eastAsia="Calibri"/>
        </w:rPr>
        <w:t>‘one message I can get out there today’</w:t>
      </w:r>
      <w:r w:rsidR="00864896">
        <w:rPr>
          <w:rFonts w:eastAsia="Calibri"/>
        </w:rPr>
        <w:t xml:space="preserve"> combined with</w:t>
      </w:r>
      <w:r>
        <w:rPr>
          <w:rFonts w:eastAsia="Calibri"/>
        </w:rPr>
        <w:t xml:space="preserve"> </w:t>
      </w:r>
      <w:r w:rsidR="006E1A36">
        <w:rPr>
          <w:rFonts w:eastAsia="Calibri"/>
        </w:rPr>
        <w:t>r</w:t>
      </w:r>
      <w:r>
        <w:rPr>
          <w:rFonts w:eastAsia="Calibri"/>
        </w:rPr>
        <w:t>epetition</w:t>
      </w:r>
      <w:r w:rsidR="00864896">
        <w:rPr>
          <w:rFonts w:eastAsia="Calibri"/>
        </w:rPr>
        <w:t xml:space="preserve"> (</w:t>
      </w:r>
      <w:r>
        <w:rPr>
          <w:rFonts w:eastAsia="Calibri"/>
        </w:rPr>
        <w:t>four times</w:t>
      </w:r>
      <w:r w:rsidR="00864896">
        <w:rPr>
          <w:rFonts w:eastAsia="Calibri"/>
        </w:rPr>
        <w:t>),</w:t>
      </w:r>
      <w:r>
        <w:rPr>
          <w:rFonts w:eastAsia="Calibri"/>
        </w:rPr>
        <w:t xml:space="preserve"> that C</w:t>
      </w:r>
      <w:r w:rsidR="0007592B">
        <w:rPr>
          <w:rFonts w:eastAsia="Calibri"/>
        </w:rPr>
        <w:t>OVID</w:t>
      </w:r>
      <w:r w:rsidR="0091710B">
        <w:rPr>
          <w:rFonts w:eastAsia="Calibri"/>
        </w:rPr>
        <w:t>-19</w:t>
      </w:r>
      <w:r>
        <w:rPr>
          <w:rFonts w:eastAsia="Calibri"/>
        </w:rPr>
        <w:t xml:space="preserve"> ‘is a clotting disease’. The </w:t>
      </w:r>
      <w:r w:rsidR="006E1A36">
        <w:rPr>
          <w:rFonts w:eastAsia="Calibri"/>
        </w:rPr>
        <w:t>effect</w:t>
      </w:r>
      <w:r>
        <w:rPr>
          <w:rFonts w:eastAsia="Calibri"/>
        </w:rPr>
        <w:t xml:space="preserve"> of this delivery </w:t>
      </w:r>
      <w:r w:rsidR="006E1A36">
        <w:rPr>
          <w:rFonts w:eastAsia="Calibri"/>
        </w:rPr>
        <w:t>was</w:t>
      </w:r>
      <w:r>
        <w:rPr>
          <w:rFonts w:eastAsia="Calibri"/>
        </w:rPr>
        <w:t xml:space="preserve"> twofold</w:t>
      </w:r>
      <w:r w:rsidR="006E1A36">
        <w:rPr>
          <w:rFonts w:eastAsia="Calibri"/>
        </w:rPr>
        <w:t>. F</w:t>
      </w:r>
      <w:r>
        <w:rPr>
          <w:rFonts w:eastAsia="Calibri"/>
        </w:rPr>
        <w:t xml:space="preserve">irstly, </w:t>
      </w:r>
      <w:r w:rsidR="006E1A36">
        <w:rPr>
          <w:rFonts w:eastAsia="Calibri"/>
        </w:rPr>
        <w:t>it</w:t>
      </w:r>
      <w:r>
        <w:rPr>
          <w:rFonts w:eastAsia="Calibri"/>
        </w:rPr>
        <w:t xml:space="preserve"> focus</w:t>
      </w:r>
      <w:r w:rsidR="006E1A36">
        <w:rPr>
          <w:rFonts w:eastAsia="Calibri"/>
        </w:rPr>
        <w:t>sed</w:t>
      </w:r>
      <w:r>
        <w:rPr>
          <w:rFonts w:eastAsia="Calibri"/>
        </w:rPr>
        <w:t xml:space="preserve"> the attention of the viewer on </w:t>
      </w:r>
      <w:r w:rsidR="006E1A36">
        <w:rPr>
          <w:rFonts w:eastAsia="Calibri"/>
        </w:rPr>
        <w:t>the</w:t>
      </w:r>
      <w:r w:rsidR="00A468A4">
        <w:rPr>
          <w:rFonts w:eastAsia="Calibri"/>
        </w:rPr>
        <w:t xml:space="preserve"> </w:t>
      </w:r>
      <w:r w:rsidR="006E1A36">
        <w:rPr>
          <w:rFonts w:eastAsia="Calibri"/>
        </w:rPr>
        <w:t>‘</w:t>
      </w:r>
      <w:r w:rsidR="00A468A4">
        <w:rPr>
          <w:rFonts w:eastAsia="Calibri"/>
        </w:rPr>
        <w:t>one</w:t>
      </w:r>
      <w:r w:rsidR="006E1A36">
        <w:rPr>
          <w:rFonts w:eastAsia="Calibri"/>
        </w:rPr>
        <w:t xml:space="preserve"> </w:t>
      </w:r>
      <w:r>
        <w:rPr>
          <w:rFonts w:eastAsia="Calibri"/>
        </w:rPr>
        <w:t xml:space="preserve">message’ </w:t>
      </w:r>
      <w:r w:rsidR="00CE6479">
        <w:rPr>
          <w:rFonts w:eastAsia="Calibri"/>
        </w:rPr>
        <w:t xml:space="preserve">and </w:t>
      </w:r>
      <w:r w:rsidR="0033285C">
        <w:rPr>
          <w:rFonts w:eastAsia="Calibri"/>
        </w:rPr>
        <w:t>emphasised that</w:t>
      </w:r>
      <w:r w:rsidR="00CE6479">
        <w:rPr>
          <w:rFonts w:eastAsia="Calibri"/>
        </w:rPr>
        <w:t xml:space="preserve"> the message was exceptional and </w:t>
      </w:r>
      <w:r w:rsidR="00AD1DAB">
        <w:rPr>
          <w:rFonts w:eastAsia="Calibri"/>
        </w:rPr>
        <w:t>conveyed information</w:t>
      </w:r>
      <w:r w:rsidR="0031106B">
        <w:rPr>
          <w:rFonts w:eastAsia="Calibri"/>
        </w:rPr>
        <w:t xml:space="preserve"> that may previously have been</w:t>
      </w:r>
      <w:r w:rsidR="00AD1DAB">
        <w:rPr>
          <w:rFonts w:eastAsia="Calibri"/>
        </w:rPr>
        <w:t xml:space="preserve"> </w:t>
      </w:r>
      <w:r>
        <w:rPr>
          <w:rFonts w:eastAsia="Calibri"/>
        </w:rPr>
        <w:t>unknown to them</w:t>
      </w:r>
      <w:r w:rsidR="006E1A36">
        <w:rPr>
          <w:rFonts w:eastAsia="Calibri"/>
        </w:rPr>
        <w:t xml:space="preserve">. </w:t>
      </w:r>
    </w:p>
    <w:p w14:paraId="36F1FAB8" w14:textId="2FDF44DC" w:rsidR="00A468A4" w:rsidRDefault="006B1800" w:rsidP="00964AD3">
      <w:pPr>
        <w:pStyle w:val="ACMABodyText"/>
        <w:rPr>
          <w:rFonts w:eastAsia="Calibri"/>
        </w:rPr>
      </w:pPr>
      <w:r w:rsidRPr="002625B0">
        <w:rPr>
          <w:rFonts w:eastAsia="Calibri"/>
        </w:rPr>
        <w:t xml:space="preserve">The meaning conveyed </w:t>
      </w:r>
      <w:r w:rsidR="00BD7305">
        <w:rPr>
          <w:rFonts w:eastAsia="Calibri"/>
        </w:rPr>
        <w:t>through</w:t>
      </w:r>
      <w:r w:rsidR="00BD7305" w:rsidRPr="002625B0">
        <w:rPr>
          <w:rFonts w:eastAsia="Calibri"/>
        </w:rPr>
        <w:t xml:space="preserve"> </w:t>
      </w:r>
      <w:r w:rsidRPr="002625B0">
        <w:rPr>
          <w:rFonts w:eastAsia="Calibri"/>
        </w:rPr>
        <w:t xml:space="preserve">the use of repetition </w:t>
      </w:r>
      <w:r>
        <w:rPr>
          <w:rFonts w:eastAsia="Calibri"/>
        </w:rPr>
        <w:t>was</w:t>
      </w:r>
      <w:r w:rsidRPr="002625B0">
        <w:rPr>
          <w:rFonts w:eastAsia="Calibri"/>
        </w:rPr>
        <w:t xml:space="preserve"> that the message was important</w:t>
      </w:r>
      <w:r>
        <w:rPr>
          <w:rFonts w:eastAsia="Calibri"/>
        </w:rPr>
        <w:t xml:space="preserve"> and further, the re</w:t>
      </w:r>
      <w:r w:rsidRPr="002625B0">
        <w:rPr>
          <w:rFonts w:eastAsia="Calibri"/>
        </w:rPr>
        <w:t>petition of stating what C</w:t>
      </w:r>
      <w:r w:rsidR="0007592B">
        <w:rPr>
          <w:rFonts w:eastAsia="Calibri"/>
        </w:rPr>
        <w:t>OVID</w:t>
      </w:r>
      <w:r w:rsidRPr="002625B0">
        <w:rPr>
          <w:rFonts w:eastAsia="Calibri"/>
        </w:rPr>
        <w:t xml:space="preserve">-19 was – ‘a clotting disease’ – conveyed that it was primarily a clotting disease, above all else. </w:t>
      </w:r>
      <w:r>
        <w:rPr>
          <w:rFonts w:eastAsia="Calibri"/>
        </w:rPr>
        <w:t xml:space="preserve">This meaning is supported by the context </w:t>
      </w:r>
      <w:r w:rsidR="00394D03">
        <w:rPr>
          <w:rFonts w:eastAsia="Calibri"/>
        </w:rPr>
        <w:t>in which</w:t>
      </w:r>
      <w:r>
        <w:rPr>
          <w:rFonts w:eastAsia="Calibri"/>
        </w:rPr>
        <w:t xml:space="preserve"> the assertion</w:t>
      </w:r>
      <w:r w:rsidR="00394D03">
        <w:rPr>
          <w:rFonts w:eastAsia="Calibri"/>
        </w:rPr>
        <w:t xml:space="preserve"> was made</w:t>
      </w:r>
      <w:r>
        <w:rPr>
          <w:rFonts w:eastAsia="Calibri"/>
        </w:rPr>
        <w:t xml:space="preserve">. </w:t>
      </w:r>
      <w:r w:rsidR="00394D03">
        <w:rPr>
          <w:rFonts w:eastAsia="Calibri"/>
        </w:rPr>
        <w:t xml:space="preserve">The statement </w:t>
      </w:r>
      <w:r>
        <w:rPr>
          <w:rFonts w:eastAsia="Calibri"/>
        </w:rPr>
        <w:t xml:space="preserve">directly followed </w:t>
      </w:r>
      <w:r w:rsidR="00B34D3D">
        <w:rPr>
          <w:rFonts w:eastAsia="Calibri"/>
        </w:rPr>
        <w:t xml:space="preserve">Dr. </w:t>
      </w:r>
      <w:r w:rsidR="00C809E5">
        <w:rPr>
          <w:rFonts w:eastAsia="Calibri"/>
        </w:rPr>
        <w:t>A</w:t>
      </w:r>
      <w:r w:rsidRPr="002625B0">
        <w:rPr>
          <w:rFonts w:eastAsia="Calibri"/>
        </w:rPr>
        <w:t xml:space="preserve">’s description of </w:t>
      </w:r>
      <w:r w:rsidR="0097590F">
        <w:rPr>
          <w:rFonts w:eastAsia="Calibri"/>
        </w:rPr>
        <w:t>their</w:t>
      </w:r>
      <w:r w:rsidR="0097590F" w:rsidRPr="002625B0">
        <w:rPr>
          <w:rFonts w:eastAsia="Calibri"/>
        </w:rPr>
        <w:t xml:space="preserve"> </w:t>
      </w:r>
      <w:r w:rsidRPr="002625B0">
        <w:rPr>
          <w:rFonts w:eastAsia="Calibri"/>
        </w:rPr>
        <w:t>own</w:t>
      </w:r>
      <w:r>
        <w:rPr>
          <w:rFonts w:eastAsia="Calibri"/>
        </w:rPr>
        <w:t xml:space="preserve"> experience of C</w:t>
      </w:r>
      <w:r w:rsidR="0007592B">
        <w:rPr>
          <w:rFonts w:eastAsia="Calibri"/>
        </w:rPr>
        <w:t>OVID</w:t>
      </w:r>
      <w:r>
        <w:rPr>
          <w:rFonts w:eastAsia="Calibri"/>
        </w:rPr>
        <w:t xml:space="preserve">-19, referring to </w:t>
      </w:r>
      <w:r w:rsidRPr="002625B0">
        <w:rPr>
          <w:rFonts w:eastAsia="Calibri"/>
        </w:rPr>
        <w:t>very mild C</w:t>
      </w:r>
      <w:r w:rsidR="0007592B">
        <w:rPr>
          <w:rFonts w:eastAsia="Calibri"/>
        </w:rPr>
        <w:t>OVID</w:t>
      </w:r>
      <w:r w:rsidRPr="002625B0">
        <w:rPr>
          <w:rFonts w:eastAsia="Calibri"/>
        </w:rPr>
        <w:t>-19 respiratory symptoms</w:t>
      </w:r>
      <w:r>
        <w:rPr>
          <w:rFonts w:eastAsia="Calibri"/>
        </w:rPr>
        <w:t xml:space="preserve"> (‘sore throat, stuffy nose for 2 days’)</w:t>
      </w:r>
      <w:r w:rsidRPr="002625B0">
        <w:rPr>
          <w:rFonts w:eastAsia="Calibri"/>
        </w:rPr>
        <w:t xml:space="preserve">, which had </w:t>
      </w:r>
      <w:r w:rsidR="0097590F">
        <w:rPr>
          <w:rFonts w:eastAsia="Calibri"/>
        </w:rPr>
        <w:t xml:space="preserve">been </w:t>
      </w:r>
      <w:r w:rsidRPr="002625B0">
        <w:rPr>
          <w:rFonts w:eastAsia="Calibri"/>
        </w:rPr>
        <w:t>overcome in 2 days with ‘Ivermectin, high vitamin D, zinc, vitamin C, some melatonin’</w:t>
      </w:r>
      <w:r>
        <w:rPr>
          <w:rFonts w:eastAsia="Calibri"/>
        </w:rPr>
        <w:t xml:space="preserve"> and ‘aspirin’</w:t>
      </w:r>
      <w:r w:rsidRPr="002625B0">
        <w:rPr>
          <w:rFonts w:eastAsia="Calibri"/>
        </w:rPr>
        <w:t xml:space="preserve">. </w:t>
      </w:r>
      <w:r w:rsidR="00FA520F">
        <w:rPr>
          <w:rFonts w:eastAsia="Calibri"/>
        </w:rPr>
        <w:t xml:space="preserve">Taking into account </w:t>
      </w:r>
      <w:r>
        <w:rPr>
          <w:rFonts w:eastAsia="Calibri"/>
        </w:rPr>
        <w:t>this context</w:t>
      </w:r>
      <w:r w:rsidR="00FA520F">
        <w:rPr>
          <w:rFonts w:eastAsia="Calibri"/>
        </w:rPr>
        <w:t xml:space="preserve"> and the repetitive </w:t>
      </w:r>
      <w:r w:rsidR="002B2488">
        <w:rPr>
          <w:rFonts w:eastAsia="Calibri"/>
        </w:rPr>
        <w:t>use</w:t>
      </w:r>
      <w:r w:rsidR="00FA520F">
        <w:rPr>
          <w:rFonts w:eastAsia="Calibri"/>
        </w:rPr>
        <w:t xml:space="preserve"> of ‘clotting disease’</w:t>
      </w:r>
      <w:r>
        <w:rPr>
          <w:rFonts w:eastAsia="Calibri"/>
        </w:rPr>
        <w:t xml:space="preserve">, the ACMA considers the </w:t>
      </w:r>
      <w:r w:rsidRPr="002625B0">
        <w:rPr>
          <w:rFonts w:eastAsia="Calibri"/>
        </w:rPr>
        <w:t xml:space="preserve">meaning conveyed was </w:t>
      </w:r>
      <w:r w:rsidR="00FA520F">
        <w:rPr>
          <w:rFonts w:eastAsia="Calibri"/>
        </w:rPr>
        <w:t xml:space="preserve">that </w:t>
      </w:r>
      <w:r w:rsidRPr="002625B0">
        <w:rPr>
          <w:rFonts w:eastAsia="Calibri"/>
        </w:rPr>
        <w:t>C</w:t>
      </w:r>
      <w:r w:rsidR="0007592B">
        <w:rPr>
          <w:rFonts w:eastAsia="Calibri"/>
        </w:rPr>
        <w:t>OVID</w:t>
      </w:r>
      <w:r w:rsidRPr="002625B0">
        <w:rPr>
          <w:rFonts w:eastAsia="Calibri"/>
        </w:rPr>
        <w:t xml:space="preserve">’s danger is not </w:t>
      </w:r>
      <w:r w:rsidR="00FA520F">
        <w:rPr>
          <w:rFonts w:eastAsia="Calibri"/>
        </w:rPr>
        <w:t xml:space="preserve">primarily </w:t>
      </w:r>
      <w:r w:rsidRPr="002625B0">
        <w:rPr>
          <w:rFonts w:eastAsia="Calibri"/>
        </w:rPr>
        <w:t xml:space="preserve">as a respiratory disease, </w:t>
      </w:r>
      <w:r w:rsidR="00FA520F">
        <w:rPr>
          <w:rFonts w:eastAsia="Calibri"/>
        </w:rPr>
        <w:t xml:space="preserve">but as </w:t>
      </w:r>
      <w:r w:rsidRPr="002625B0">
        <w:rPr>
          <w:rFonts w:eastAsia="Calibri"/>
        </w:rPr>
        <w:t>a clotting disease</w:t>
      </w:r>
      <w:r>
        <w:rPr>
          <w:rFonts w:eastAsia="Calibri"/>
        </w:rPr>
        <w:t>.</w:t>
      </w:r>
      <w:r>
        <w:t xml:space="preserve"> </w:t>
      </w:r>
    </w:p>
    <w:p w14:paraId="354315FC" w14:textId="1BE5BB66" w:rsidR="00C709D5" w:rsidRDefault="00864896" w:rsidP="00964AD3">
      <w:pPr>
        <w:pStyle w:val="ACMABodyText"/>
        <w:rPr>
          <w:rFonts w:eastAsia="Calibri"/>
        </w:rPr>
      </w:pPr>
      <w:r>
        <w:rPr>
          <w:rFonts w:eastAsia="Calibri"/>
        </w:rPr>
        <w:lastRenderedPageBreak/>
        <w:t xml:space="preserve">The </w:t>
      </w:r>
      <w:r w:rsidR="005400B7">
        <w:rPr>
          <w:rFonts w:eastAsia="Calibri"/>
        </w:rPr>
        <w:t xml:space="preserve">ACMA considers that </w:t>
      </w:r>
      <w:r w:rsidR="000B6047">
        <w:rPr>
          <w:rFonts w:eastAsia="Calibri"/>
        </w:rPr>
        <w:t xml:space="preserve">the </w:t>
      </w:r>
      <w:r>
        <w:rPr>
          <w:rFonts w:eastAsia="Calibri"/>
        </w:rPr>
        <w:t xml:space="preserve">combination of these two </w:t>
      </w:r>
      <w:r w:rsidR="00AD1DAB">
        <w:rPr>
          <w:rFonts w:eastAsia="Calibri"/>
        </w:rPr>
        <w:t xml:space="preserve">aspects </w:t>
      </w:r>
      <w:r w:rsidR="00927AC9">
        <w:rPr>
          <w:rFonts w:eastAsia="Calibri"/>
        </w:rPr>
        <w:t xml:space="preserve">– the emphatic message and repetition that COVID-19 was a ‘clotting disease’ </w:t>
      </w:r>
      <w:r>
        <w:rPr>
          <w:rFonts w:eastAsia="Calibri"/>
        </w:rPr>
        <w:t xml:space="preserve">resulted in </w:t>
      </w:r>
      <w:r w:rsidR="005400B7">
        <w:rPr>
          <w:rFonts w:eastAsia="Calibri"/>
        </w:rPr>
        <w:t xml:space="preserve">the first assertion conveying the </w:t>
      </w:r>
      <w:r w:rsidR="00C85C4F">
        <w:rPr>
          <w:rFonts w:eastAsia="Calibri"/>
        </w:rPr>
        <w:t>meaning</w:t>
      </w:r>
      <w:r>
        <w:rPr>
          <w:rFonts w:eastAsia="Calibri"/>
        </w:rPr>
        <w:t xml:space="preserve"> </w:t>
      </w:r>
      <w:r w:rsidR="005400B7">
        <w:rPr>
          <w:rFonts w:eastAsia="Calibri"/>
        </w:rPr>
        <w:t>that,</w:t>
      </w:r>
      <w:r w:rsidR="00AD1DAB">
        <w:rPr>
          <w:rFonts w:eastAsia="Calibri"/>
        </w:rPr>
        <w:t xml:space="preserve"> </w:t>
      </w:r>
      <w:r w:rsidR="001B4CD2">
        <w:rPr>
          <w:rFonts w:eastAsia="Calibri"/>
        </w:rPr>
        <w:t xml:space="preserve">the primary danger of </w:t>
      </w:r>
      <w:r w:rsidR="00A468A4">
        <w:rPr>
          <w:rFonts w:eastAsia="Calibri"/>
        </w:rPr>
        <w:t>C</w:t>
      </w:r>
      <w:r w:rsidR="006C704E">
        <w:rPr>
          <w:rFonts w:eastAsia="Calibri"/>
        </w:rPr>
        <w:t>OVID</w:t>
      </w:r>
      <w:r w:rsidR="0091710B">
        <w:rPr>
          <w:rFonts w:eastAsia="Calibri"/>
        </w:rPr>
        <w:t>-19</w:t>
      </w:r>
      <w:r w:rsidR="00A468A4">
        <w:rPr>
          <w:rFonts w:eastAsia="Calibri"/>
        </w:rPr>
        <w:t xml:space="preserve"> </w:t>
      </w:r>
      <w:r w:rsidR="00C85C4F">
        <w:rPr>
          <w:rFonts w:eastAsia="Calibri"/>
        </w:rPr>
        <w:t>wa</w:t>
      </w:r>
      <w:r w:rsidR="00A468A4">
        <w:rPr>
          <w:rFonts w:eastAsia="Calibri"/>
        </w:rPr>
        <w:t xml:space="preserve">s </w:t>
      </w:r>
      <w:r w:rsidR="001B4CD2">
        <w:rPr>
          <w:rFonts w:eastAsia="Calibri"/>
        </w:rPr>
        <w:t xml:space="preserve">as </w:t>
      </w:r>
      <w:r w:rsidR="00AD1DAB">
        <w:rPr>
          <w:rFonts w:eastAsia="Calibri"/>
        </w:rPr>
        <w:t>a blood clotting</w:t>
      </w:r>
      <w:r w:rsidR="00C85C4F">
        <w:rPr>
          <w:rFonts w:eastAsia="Calibri"/>
        </w:rPr>
        <w:t xml:space="preserve"> disease</w:t>
      </w:r>
      <w:r w:rsidR="00A468A4">
        <w:rPr>
          <w:rFonts w:eastAsia="Calibri"/>
        </w:rPr>
        <w:t xml:space="preserve">. </w:t>
      </w:r>
      <w:r w:rsidR="00C709D5">
        <w:rPr>
          <w:rFonts w:eastAsia="Calibri"/>
        </w:rPr>
        <w:t xml:space="preserve"> </w:t>
      </w:r>
    </w:p>
    <w:p w14:paraId="787251CE" w14:textId="7D93C97D" w:rsidR="00A468A4" w:rsidRDefault="00A468A4" w:rsidP="00964AD3">
      <w:pPr>
        <w:pStyle w:val="ACMABodyText"/>
        <w:rPr>
          <w:rFonts w:eastAsia="Calibri"/>
        </w:rPr>
      </w:pPr>
      <w:r>
        <w:rPr>
          <w:rFonts w:eastAsia="Calibri"/>
        </w:rPr>
        <w:t xml:space="preserve">The second assertion </w:t>
      </w:r>
      <w:r w:rsidR="00864896">
        <w:rPr>
          <w:rFonts w:eastAsia="Calibri"/>
        </w:rPr>
        <w:t>wa</w:t>
      </w:r>
      <w:r>
        <w:rPr>
          <w:rFonts w:eastAsia="Calibri"/>
        </w:rPr>
        <w:t xml:space="preserve">s that Ivermectin </w:t>
      </w:r>
      <w:r w:rsidR="00864896">
        <w:rPr>
          <w:rFonts w:eastAsia="Calibri"/>
        </w:rPr>
        <w:t>wa</w:t>
      </w:r>
      <w:r>
        <w:rPr>
          <w:rFonts w:eastAsia="Calibri"/>
        </w:rPr>
        <w:t xml:space="preserve">s an </w:t>
      </w:r>
      <w:r w:rsidR="00775C2C">
        <w:rPr>
          <w:rFonts w:eastAsia="Calibri"/>
        </w:rPr>
        <w:t>‘</w:t>
      </w:r>
      <w:r>
        <w:rPr>
          <w:rFonts w:eastAsia="Calibri"/>
        </w:rPr>
        <w:t>anti-clott</w:t>
      </w:r>
      <w:r w:rsidR="00775C2C">
        <w:rPr>
          <w:rFonts w:eastAsia="Calibri"/>
        </w:rPr>
        <w:t xml:space="preserve">er’ – that is, </w:t>
      </w:r>
      <w:r w:rsidR="00864896">
        <w:rPr>
          <w:rFonts w:eastAsia="Calibri"/>
        </w:rPr>
        <w:t>a medicine that treats blood clots; a</w:t>
      </w:r>
      <w:r w:rsidR="00775C2C">
        <w:rPr>
          <w:rFonts w:eastAsia="Calibri"/>
        </w:rPr>
        <w:t xml:space="preserve">nd as such, </w:t>
      </w:r>
      <w:r w:rsidR="00D257C2">
        <w:rPr>
          <w:rFonts w:eastAsia="Calibri"/>
        </w:rPr>
        <w:t>in th</w:t>
      </w:r>
      <w:r w:rsidR="0094304E">
        <w:rPr>
          <w:rFonts w:eastAsia="Calibri"/>
        </w:rPr>
        <w:t>e</w:t>
      </w:r>
      <w:r w:rsidR="00D257C2">
        <w:rPr>
          <w:rFonts w:eastAsia="Calibri"/>
        </w:rPr>
        <w:t xml:space="preserve"> context</w:t>
      </w:r>
      <w:r w:rsidR="0094304E">
        <w:rPr>
          <w:rFonts w:eastAsia="Calibri"/>
        </w:rPr>
        <w:t xml:space="preserve"> in which it was stated</w:t>
      </w:r>
      <w:r w:rsidR="00D257C2">
        <w:rPr>
          <w:rFonts w:eastAsia="Calibri"/>
        </w:rPr>
        <w:t xml:space="preserve">, </w:t>
      </w:r>
      <w:r w:rsidR="00775C2C">
        <w:rPr>
          <w:rFonts w:eastAsia="Calibri"/>
        </w:rPr>
        <w:t>c</w:t>
      </w:r>
      <w:r w:rsidR="00864896">
        <w:rPr>
          <w:rFonts w:eastAsia="Calibri"/>
        </w:rPr>
        <w:t>ould</w:t>
      </w:r>
      <w:r>
        <w:rPr>
          <w:rFonts w:eastAsia="Calibri"/>
        </w:rPr>
        <w:t xml:space="preserve"> assist with</w:t>
      </w:r>
      <w:r w:rsidR="00775C2C">
        <w:rPr>
          <w:rFonts w:eastAsia="Calibri"/>
        </w:rPr>
        <w:t xml:space="preserve"> the</w:t>
      </w:r>
      <w:r>
        <w:rPr>
          <w:rFonts w:eastAsia="Calibri"/>
        </w:rPr>
        <w:t xml:space="preserve"> treatment of </w:t>
      </w:r>
      <w:r w:rsidR="006C704E">
        <w:rPr>
          <w:rFonts w:eastAsia="Calibri"/>
        </w:rPr>
        <w:t>COVID</w:t>
      </w:r>
      <w:r w:rsidR="0091710B">
        <w:rPr>
          <w:rFonts w:eastAsia="Calibri"/>
        </w:rPr>
        <w:t>-19</w:t>
      </w:r>
      <w:r w:rsidR="00775C2C">
        <w:rPr>
          <w:rFonts w:eastAsia="Calibri"/>
        </w:rPr>
        <w:t xml:space="preserve"> (as a clotting disease)</w:t>
      </w:r>
      <w:r>
        <w:rPr>
          <w:rFonts w:eastAsia="Calibri"/>
        </w:rPr>
        <w:t xml:space="preserve">. </w:t>
      </w:r>
    </w:p>
    <w:p w14:paraId="6C65CDF8" w14:textId="77777777" w:rsidR="000D6A5E" w:rsidRPr="000D6A5E" w:rsidRDefault="000D6A5E" w:rsidP="009036C0">
      <w:pPr>
        <w:keepNext/>
        <w:spacing w:before="0" w:after="160" w:line="256" w:lineRule="auto"/>
        <w:rPr>
          <w:rFonts w:eastAsia="Calibri" w:cs="Arial"/>
          <w:b/>
          <w:bCs/>
          <w:i w:val="0"/>
          <w:snapToGrid w:val="0"/>
          <w:szCs w:val="20"/>
        </w:rPr>
      </w:pPr>
      <w:r w:rsidRPr="000D6A5E">
        <w:rPr>
          <w:rFonts w:eastAsia="Calibri" w:cs="Arial"/>
          <w:b/>
          <w:bCs/>
          <w:i w:val="0"/>
          <w:snapToGrid w:val="0"/>
          <w:szCs w:val="20"/>
        </w:rPr>
        <w:t>Was the material factual in character?</w:t>
      </w:r>
    </w:p>
    <w:p w14:paraId="1A8DD5A7" w14:textId="13129978" w:rsidR="00DC511A" w:rsidRDefault="00B34D3D" w:rsidP="009036C0">
      <w:pPr>
        <w:keepNext/>
        <w:spacing w:before="0" w:line="240" w:lineRule="atLeast"/>
        <w:rPr>
          <w:rFonts w:eastAsia="Calibri"/>
          <w:i w:val="0"/>
          <w:snapToGrid w:val="0"/>
          <w:szCs w:val="20"/>
        </w:rPr>
      </w:pPr>
      <w:r>
        <w:rPr>
          <w:rFonts w:eastAsia="Calibri"/>
          <w:i w:val="0"/>
          <w:snapToGrid w:val="0"/>
          <w:szCs w:val="20"/>
        </w:rPr>
        <w:t xml:space="preserve">Dr. </w:t>
      </w:r>
      <w:r w:rsidR="00C809E5">
        <w:rPr>
          <w:rFonts w:eastAsia="Calibri"/>
          <w:i w:val="0"/>
          <w:snapToGrid w:val="0"/>
          <w:szCs w:val="20"/>
        </w:rPr>
        <w:t>A</w:t>
      </w:r>
      <w:r w:rsidR="00DC511A">
        <w:rPr>
          <w:rFonts w:eastAsia="Calibri"/>
          <w:i w:val="0"/>
          <w:snapToGrid w:val="0"/>
          <w:szCs w:val="20"/>
        </w:rPr>
        <w:t>’s assertion</w:t>
      </w:r>
      <w:r w:rsidR="00C60941">
        <w:rPr>
          <w:rFonts w:eastAsia="Calibri"/>
          <w:i w:val="0"/>
          <w:snapToGrid w:val="0"/>
          <w:szCs w:val="20"/>
        </w:rPr>
        <w:t xml:space="preserve"> </w:t>
      </w:r>
      <w:r w:rsidR="00DC511A">
        <w:rPr>
          <w:rFonts w:eastAsia="Calibri"/>
          <w:i w:val="0"/>
          <w:snapToGrid w:val="0"/>
          <w:szCs w:val="20"/>
        </w:rPr>
        <w:t>that C</w:t>
      </w:r>
      <w:r w:rsidR="00614626">
        <w:rPr>
          <w:rFonts w:eastAsia="Calibri"/>
          <w:i w:val="0"/>
          <w:snapToGrid w:val="0"/>
          <w:szCs w:val="20"/>
        </w:rPr>
        <w:t>OVID</w:t>
      </w:r>
      <w:r w:rsidR="00DC511A">
        <w:rPr>
          <w:rFonts w:eastAsia="Calibri"/>
          <w:i w:val="0"/>
          <w:snapToGrid w:val="0"/>
          <w:szCs w:val="20"/>
        </w:rPr>
        <w:t xml:space="preserve">-19 </w:t>
      </w:r>
      <w:r w:rsidR="00C60941">
        <w:rPr>
          <w:rFonts w:eastAsia="Calibri"/>
          <w:i w:val="0"/>
          <w:snapToGrid w:val="0"/>
          <w:szCs w:val="20"/>
        </w:rPr>
        <w:t>i</w:t>
      </w:r>
      <w:r w:rsidR="00DC511A">
        <w:rPr>
          <w:rFonts w:eastAsia="Calibri"/>
          <w:i w:val="0"/>
          <w:snapToGrid w:val="0"/>
          <w:szCs w:val="20"/>
        </w:rPr>
        <w:t>s</w:t>
      </w:r>
      <w:r w:rsidR="00775C2C">
        <w:rPr>
          <w:rFonts w:eastAsia="Calibri"/>
          <w:i w:val="0"/>
          <w:snapToGrid w:val="0"/>
          <w:szCs w:val="20"/>
        </w:rPr>
        <w:t xml:space="preserve"> </w:t>
      </w:r>
      <w:r w:rsidR="001B4CD2">
        <w:rPr>
          <w:rFonts w:eastAsia="Calibri"/>
          <w:i w:val="0"/>
          <w:snapToGrid w:val="0"/>
          <w:szCs w:val="20"/>
        </w:rPr>
        <w:t>primarily</w:t>
      </w:r>
      <w:r w:rsidR="002146FF">
        <w:rPr>
          <w:rFonts w:eastAsia="Calibri"/>
          <w:i w:val="0"/>
          <w:snapToGrid w:val="0"/>
          <w:szCs w:val="20"/>
        </w:rPr>
        <w:t xml:space="preserve"> </w:t>
      </w:r>
      <w:r w:rsidR="00DC511A">
        <w:rPr>
          <w:rFonts w:eastAsia="Calibri"/>
          <w:i w:val="0"/>
          <w:snapToGrid w:val="0"/>
          <w:szCs w:val="20"/>
        </w:rPr>
        <w:t xml:space="preserve">a clotting disease </w:t>
      </w:r>
      <w:r w:rsidR="0094304E">
        <w:rPr>
          <w:rFonts w:eastAsia="Calibri"/>
          <w:i w:val="0"/>
          <w:snapToGrid w:val="0"/>
          <w:szCs w:val="20"/>
        </w:rPr>
        <w:t>i</w:t>
      </w:r>
      <w:r w:rsidR="00775C2C">
        <w:rPr>
          <w:rFonts w:eastAsia="Calibri"/>
          <w:i w:val="0"/>
          <w:snapToGrid w:val="0"/>
          <w:szCs w:val="20"/>
        </w:rPr>
        <w:t xml:space="preserve">s capable of independent verification and </w:t>
      </w:r>
      <w:r w:rsidR="001B4CD2">
        <w:rPr>
          <w:rFonts w:eastAsia="Calibri"/>
          <w:i w:val="0"/>
          <w:snapToGrid w:val="0"/>
          <w:szCs w:val="20"/>
        </w:rPr>
        <w:t xml:space="preserve">is sufficiently specific to be considered </w:t>
      </w:r>
      <w:r w:rsidR="00775C2C">
        <w:rPr>
          <w:rFonts w:eastAsia="Calibri"/>
          <w:i w:val="0"/>
          <w:snapToGrid w:val="0"/>
          <w:szCs w:val="20"/>
        </w:rPr>
        <w:t xml:space="preserve">a </w:t>
      </w:r>
      <w:r w:rsidR="005832CE">
        <w:rPr>
          <w:rFonts w:eastAsia="Calibri"/>
          <w:i w:val="0"/>
          <w:snapToGrid w:val="0"/>
          <w:szCs w:val="20"/>
        </w:rPr>
        <w:t xml:space="preserve">factual </w:t>
      </w:r>
      <w:r w:rsidR="00775C2C">
        <w:rPr>
          <w:rFonts w:eastAsia="Calibri"/>
          <w:i w:val="0"/>
          <w:snapToGrid w:val="0"/>
          <w:szCs w:val="20"/>
        </w:rPr>
        <w:t>assertion</w:t>
      </w:r>
      <w:r w:rsidR="00DC511A">
        <w:rPr>
          <w:rFonts w:eastAsia="Calibri"/>
          <w:i w:val="0"/>
          <w:snapToGrid w:val="0"/>
          <w:szCs w:val="20"/>
        </w:rPr>
        <w:t>.</w:t>
      </w:r>
    </w:p>
    <w:p w14:paraId="0D8D2F44" w14:textId="3DEC0BA1" w:rsidR="00775C2C" w:rsidRDefault="00775C2C" w:rsidP="00D603A6">
      <w:pPr>
        <w:pStyle w:val="ACMABodyText"/>
        <w:rPr>
          <w:rFonts w:eastAsia="Calibri"/>
        </w:rPr>
      </w:pPr>
      <w:r>
        <w:rPr>
          <w:rFonts w:eastAsia="Calibri"/>
        </w:rPr>
        <w:t>The assertion that Ivermectin</w:t>
      </w:r>
      <w:r w:rsidR="00C60941">
        <w:rPr>
          <w:rFonts w:eastAsia="Calibri"/>
        </w:rPr>
        <w:t xml:space="preserve"> i</w:t>
      </w:r>
      <w:r>
        <w:rPr>
          <w:rFonts w:eastAsia="Calibri"/>
        </w:rPr>
        <w:t xml:space="preserve">s </w:t>
      </w:r>
      <w:r w:rsidR="0094304E">
        <w:rPr>
          <w:rFonts w:eastAsia="Calibri"/>
        </w:rPr>
        <w:t xml:space="preserve">used to treat blood clots </w:t>
      </w:r>
      <w:r w:rsidR="002C00EA">
        <w:rPr>
          <w:rFonts w:eastAsia="Calibri"/>
        </w:rPr>
        <w:t>wa</w:t>
      </w:r>
      <w:r>
        <w:rPr>
          <w:rFonts w:eastAsia="Calibri"/>
        </w:rPr>
        <w:t>s specific, unequivocal and capable of independent verification. It was a factual assertion.</w:t>
      </w:r>
    </w:p>
    <w:p w14:paraId="469316C0" w14:textId="77777777" w:rsidR="009C718D" w:rsidRPr="000D6A5E" w:rsidRDefault="009C718D" w:rsidP="00D769E2">
      <w:pPr>
        <w:keepNext/>
        <w:spacing w:before="0" w:after="160" w:line="256" w:lineRule="auto"/>
        <w:rPr>
          <w:rFonts w:eastAsia="Calibri" w:cs="Arial"/>
          <w:b/>
          <w:bCs/>
          <w:i w:val="0"/>
          <w:snapToGrid w:val="0"/>
          <w:szCs w:val="20"/>
        </w:rPr>
      </w:pPr>
      <w:r w:rsidRPr="000D6A5E">
        <w:rPr>
          <w:rFonts w:eastAsia="Calibri" w:cs="Arial"/>
          <w:b/>
          <w:bCs/>
          <w:i w:val="0"/>
          <w:snapToGrid w:val="0"/>
          <w:szCs w:val="20"/>
        </w:rPr>
        <w:t>Was the factual material accurate?</w:t>
      </w:r>
    </w:p>
    <w:p w14:paraId="3EBB1792" w14:textId="5F28F1C9" w:rsidR="00FF7EAA" w:rsidRDefault="00460E68" w:rsidP="00D769E2">
      <w:pPr>
        <w:pStyle w:val="ACMABodyText"/>
        <w:keepNext/>
        <w:spacing w:after="120"/>
      </w:pPr>
      <w:r>
        <w:t>T</w:t>
      </w:r>
      <w:r w:rsidR="00FF7EAA">
        <w:t xml:space="preserve">he </w:t>
      </w:r>
      <w:r w:rsidR="005A4DD9">
        <w:t>L</w:t>
      </w:r>
      <w:r w:rsidR="00FF7EAA">
        <w:t>icensee submitted:</w:t>
      </w:r>
    </w:p>
    <w:p w14:paraId="2A8402EC" w14:textId="487849B3" w:rsidR="00FF7EAA" w:rsidRPr="003907E3" w:rsidRDefault="00FF7EAA" w:rsidP="00D769E2">
      <w:pPr>
        <w:pStyle w:val="ACMABodyText"/>
        <w:keepNext/>
        <w:spacing w:after="120"/>
        <w:ind w:left="709"/>
        <w:rPr>
          <w:rFonts w:cs="Arial"/>
          <w:sz w:val="18"/>
          <w:szCs w:val="18"/>
        </w:rPr>
      </w:pPr>
      <w:r w:rsidRPr="003907E3">
        <w:rPr>
          <w:rFonts w:cs="Arial"/>
          <w:sz w:val="18"/>
          <w:szCs w:val="18"/>
        </w:rPr>
        <w:t>It has been widely reported that COVID</w:t>
      </w:r>
      <w:r w:rsidRPr="003907E3">
        <w:rPr>
          <w:rFonts w:ascii="Cambria Math" w:hAnsi="Cambria Math" w:cs="Cambria Math"/>
          <w:sz w:val="18"/>
          <w:szCs w:val="18"/>
        </w:rPr>
        <w:t>‐</w:t>
      </w:r>
      <w:r w:rsidRPr="003907E3">
        <w:rPr>
          <w:rFonts w:cs="Arial"/>
          <w:sz w:val="18"/>
          <w:szCs w:val="18"/>
        </w:rPr>
        <w:t>19 is a disease which can result in blood clots and associated conditions (such as deep vein thrombosis, cerebral venous thrombosis and pulmonary embolism</w:t>
      </w:r>
      <w:r w:rsidR="009254D3" w:rsidRPr="003907E3">
        <w:rPr>
          <w:rFonts w:cs="Arial"/>
          <w:sz w:val="18"/>
          <w:szCs w:val="18"/>
        </w:rPr>
        <w:t>). Examples</w:t>
      </w:r>
      <w:r w:rsidRPr="003907E3">
        <w:rPr>
          <w:rFonts w:cs="Arial"/>
          <w:sz w:val="18"/>
          <w:szCs w:val="18"/>
        </w:rPr>
        <w:t xml:space="preserve"> of publications which have referred to the risk of blood clots associated with COVID</w:t>
      </w:r>
      <w:r w:rsidRPr="003907E3">
        <w:rPr>
          <w:rFonts w:ascii="Cambria Math" w:hAnsi="Cambria Math" w:cs="Cambria Math"/>
          <w:sz w:val="18"/>
          <w:szCs w:val="18"/>
        </w:rPr>
        <w:t>‐</w:t>
      </w:r>
      <w:r w:rsidRPr="003907E3">
        <w:rPr>
          <w:rFonts w:cs="Arial"/>
          <w:sz w:val="18"/>
          <w:szCs w:val="18"/>
        </w:rPr>
        <w:t>19 both in Australia and internationally are provided below:</w:t>
      </w:r>
    </w:p>
    <w:p w14:paraId="3A1750C6" w14:textId="77777777" w:rsidR="00CA24CB" w:rsidRPr="00024AC7" w:rsidRDefault="0050688D" w:rsidP="0091710B">
      <w:pPr>
        <w:pStyle w:val="ACMABodyText"/>
        <w:numPr>
          <w:ilvl w:val="0"/>
          <w:numId w:val="7"/>
        </w:numPr>
        <w:tabs>
          <w:tab w:val="left" w:pos="851"/>
        </w:tabs>
        <w:spacing w:after="0" w:line="240" w:lineRule="auto"/>
        <w:ind w:left="1134" w:hanging="283"/>
        <w:rPr>
          <w:rFonts w:cs="Arial"/>
          <w:sz w:val="18"/>
          <w:szCs w:val="18"/>
          <w:u w:val="single"/>
        </w:rPr>
      </w:pPr>
      <w:hyperlink r:id="rId11" w:history="1">
        <w:r w:rsidR="00CA24CB" w:rsidRPr="00024AC7">
          <w:rPr>
            <w:rStyle w:val="Hyperlink"/>
            <w:color w:val="auto"/>
            <w:sz w:val="18"/>
            <w:szCs w:val="18"/>
          </w:rPr>
          <w:t>What Does COVID Do to Your Blood? | Johns Hopkins Medicine</w:t>
        </w:r>
      </w:hyperlink>
    </w:p>
    <w:p w14:paraId="385F76C8" w14:textId="77777777" w:rsidR="00024AC7" w:rsidRPr="00024AC7" w:rsidRDefault="0050688D" w:rsidP="0091710B">
      <w:pPr>
        <w:pStyle w:val="ACMABodyText"/>
        <w:numPr>
          <w:ilvl w:val="0"/>
          <w:numId w:val="7"/>
        </w:numPr>
        <w:tabs>
          <w:tab w:val="left" w:pos="851"/>
        </w:tabs>
        <w:spacing w:after="0" w:line="240" w:lineRule="auto"/>
        <w:ind w:left="1134" w:hanging="283"/>
        <w:rPr>
          <w:rFonts w:cs="Arial"/>
          <w:sz w:val="18"/>
          <w:szCs w:val="18"/>
          <w:u w:val="single"/>
        </w:rPr>
      </w:pPr>
      <w:hyperlink r:id="rId12" w:history="1">
        <w:r w:rsidR="00024AC7" w:rsidRPr="00024AC7">
          <w:rPr>
            <w:rStyle w:val="Hyperlink"/>
            <w:color w:val="auto"/>
            <w:sz w:val="18"/>
            <w:szCs w:val="18"/>
          </w:rPr>
          <w:t>RACGP - Blood clots up to 10 times more common with COVID than vaccines: Study</w:t>
        </w:r>
      </w:hyperlink>
    </w:p>
    <w:p w14:paraId="6385D9DD" w14:textId="77133EDC" w:rsidR="00930AD3" w:rsidRPr="00024AC7" w:rsidRDefault="0050688D" w:rsidP="0091710B">
      <w:pPr>
        <w:pStyle w:val="ACMABodyText"/>
        <w:numPr>
          <w:ilvl w:val="0"/>
          <w:numId w:val="7"/>
        </w:numPr>
        <w:tabs>
          <w:tab w:val="left" w:pos="851"/>
        </w:tabs>
        <w:spacing w:after="0" w:line="240" w:lineRule="auto"/>
        <w:ind w:left="1134" w:hanging="283"/>
        <w:rPr>
          <w:rFonts w:cs="Arial"/>
          <w:sz w:val="18"/>
          <w:szCs w:val="18"/>
          <w:u w:val="single"/>
        </w:rPr>
      </w:pPr>
      <w:hyperlink r:id="rId13" w:history="1">
        <w:r w:rsidR="00930AD3" w:rsidRPr="00024AC7">
          <w:rPr>
            <w:rStyle w:val="Hyperlink"/>
            <w:color w:val="auto"/>
            <w:sz w:val="18"/>
            <w:szCs w:val="18"/>
          </w:rPr>
          <w:t>Coronavirus and Blood Clots: Risks, Complications, Prevention (healthline.com)</w:t>
        </w:r>
      </w:hyperlink>
    </w:p>
    <w:p w14:paraId="2C9632D9" w14:textId="7BD3B373" w:rsidR="00FF7EAA" w:rsidRPr="00024AC7" w:rsidRDefault="0050688D" w:rsidP="0091710B">
      <w:pPr>
        <w:pStyle w:val="ACMABodyText"/>
        <w:numPr>
          <w:ilvl w:val="0"/>
          <w:numId w:val="7"/>
        </w:numPr>
        <w:tabs>
          <w:tab w:val="left" w:pos="851"/>
        </w:tabs>
        <w:spacing w:after="0" w:line="240" w:lineRule="auto"/>
        <w:ind w:left="1134" w:hanging="283"/>
        <w:rPr>
          <w:rFonts w:cs="Arial"/>
          <w:sz w:val="18"/>
          <w:szCs w:val="18"/>
          <w:u w:val="single"/>
        </w:rPr>
      </w:pPr>
      <w:hyperlink r:id="rId14" w:history="1">
        <w:r w:rsidR="00001648" w:rsidRPr="00024AC7">
          <w:rPr>
            <w:rStyle w:val="Hyperlink"/>
            <w:color w:val="auto"/>
            <w:sz w:val="18"/>
            <w:szCs w:val="18"/>
          </w:rPr>
          <w:t>People with coronavirus are at risk of blood clots and strokes</w:t>
        </w:r>
        <w:r w:rsidR="00A87764">
          <w:rPr>
            <w:rStyle w:val="Hyperlink"/>
            <w:color w:val="auto"/>
            <w:sz w:val="18"/>
            <w:szCs w:val="18"/>
          </w:rPr>
          <w:t xml:space="preserve"> </w:t>
        </w:r>
        <w:r w:rsidR="00001648" w:rsidRPr="00024AC7">
          <w:rPr>
            <w:rStyle w:val="Hyperlink"/>
            <w:color w:val="auto"/>
            <w:sz w:val="18"/>
            <w:szCs w:val="18"/>
          </w:rPr>
          <w:t>• Heart Research Institute (hri.org.au)</w:t>
        </w:r>
      </w:hyperlink>
      <w:r w:rsidR="0091710B">
        <w:rPr>
          <w:rStyle w:val="Hyperlink"/>
          <w:color w:val="auto"/>
          <w:sz w:val="18"/>
          <w:szCs w:val="18"/>
        </w:rPr>
        <w:t>.</w:t>
      </w:r>
    </w:p>
    <w:p w14:paraId="34EA6666" w14:textId="476B31A8" w:rsidR="00A60B70" w:rsidRDefault="00404825" w:rsidP="00206811">
      <w:pPr>
        <w:spacing w:before="240" w:line="240" w:lineRule="atLeast"/>
        <w:rPr>
          <w:rFonts w:eastAsia="Calibri"/>
          <w:i w:val="0"/>
          <w:snapToGrid w:val="0"/>
          <w:szCs w:val="20"/>
        </w:rPr>
      </w:pPr>
      <w:r w:rsidRPr="00477394">
        <w:rPr>
          <w:rFonts w:eastAsia="Calibri"/>
          <w:i w:val="0"/>
          <w:snapToGrid w:val="0"/>
          <w:szCs w:val="20"/>
        </w:rPr>
        <w:t xml:space="preserve">The </w:t>
      </w:r>
      <w:r w:rsidR="0094304E">
        <w:rPr>
          <w:rFonts w:eastAsia="Calibri"/>
          <w:i w:val="0"/>
          <w:snapToGrid w:val="0"/>
          <w:szCs w:val="20"/>
        </w:rPr>
        <w:t>publications</w:t>
      </w:r>
      <w:r w:rsidRPr="00477394">
        <w:rPr>
          <w:rFonts w:eastAsia="Calibri"/>
          <w:i w:val="0"/>
          <w:snapToGrid w:val="0"/>
          <w:szCs w:val="20"/>
        </w:rPr>
        <w:t xml:space="preserve"> referenced by the </w:t>
      </w:r>
      <w:r w:rsidR="005A4DD9">
        <w:rPr>
          <w:rFonts w:eastAsia="Calibri"/>
          <w:i w:val="0"/>
          <w:snapToGrid w:val="0"/>
          <w:szCs w:val="20"/>
        </w:rPr>
        <w:t>L</w:t>
      </w:r>
      <w:r w:rsidRPr="00477394">
        <w:rPr>
          <w:rFonts w:eastAsia="Calibri"/>
          <w:i w:val="0"/>
          <w:snapToGrid w:val="0"/>
          <w:szCs w:val="20"/>
        </w:rPr>
        <w:t xml:space="preserve">icensee </w:t>
      </w:r>
      <w:r w:rsidR="0094304E">
        <w:rPr>
          <w:rFonts w:eastAsia="Calibri"/>
          <w:i w:val="0"/>
          <w:snapToGrid w:val="0"/>
          <w:szCs w:val="20"/>
        </w:rPr>
        <w:t xml:space="preserve">were from reputable sources that have </w:t>
      </w:r>
      <w:r>
        <w:rPr>
          <w:rFonts w:eastAsia="Calibri"/>
          <w:i w:val="0"/>
          <w:snapToGrid w:val="0"/>
          <w:szCs w:val="20"/>
        </w:rPr>
        <w:t xml:space="preserve">reported that </w:t>
      </w:r>
      <w:r w:rsidR="00F04DC7" w:rsidRPr="00477394">
        <w:rPr>
          <w:rFonts w:eastAsia="Calibri"/>
          <w:i w:val="0"/>
          <w:snapToGrid w:val="0"/>
          <w:szCs w:val="20"/>
        </w:rPr>
        <w:t>C</w:t>
      </w:r>
      <w:r w:rsidR="00C60941">
        <w:rPr>
          <w:rFonts w:eastAsia="Calibri"/>
          <w:i w:val="0"/>
          <w:snapToGrid w:val="0"/>
          <w:szCs w:val="20"/>
        </w:rPr>
        <w:t>OVID</w:t>
      </w:r>
      <w:r w:rsidR="00F04DC7" w:rsidRPr="00477394">
        <w:rPr>
          <w:rFonts w:eastAsia="Calibri"/>
          <w:i w:val="0"/>
          <w:snapToGrid w:val="0"/>
          <w:szCs w:val="20"/>
        </w:rPr>
        <w:t xml:space="preserve">-19 is a very complex </w:t>
      </w:r>
      <w:r w:rsidR="00756F89" w:rsidRPr="00477394">
        <w:rPr>
          <w:rFonts w:eastAsia="Calibri"/>
          <w:i w:val="0"/>
          <w:snapToGrid w:val="0"/>
          <w:szCs w:val="20"/>
        </w:rPr>
        <w:t xml:space="preserve">illness, </w:t>
      </w:r>
      <w:r w:rsidR="0064571F" w:rsidRPr="00477394">
        <w:rPr>
          <w:rFonts w:eastAsia="Calibri"/>
          <w:i w:val="0"/>
          <w:snapToGrid w:val="0"/>
          <w:szCs w:val="20"/>
        </w:rPr>
        <w:t xml:space="preserve">affecting the </w:t>
      </w:r>
      <w:r w:rsidR="007F6A7F">
        <w:rPr>
          <w:rFonts w:eastAsia="Calibri"/>
          <w:i w:val="0"/>
          <w:snapToGrid w:val="0"/>
          <w:szCs w:val="20"/>
        </w:rPr>
        <w:t xml:space="preserve">human </w:t>
      </w:r>
      <w:r w:rsidR="0064571F" w:rsidRPr="00477394">
        <w:rPr>
          <w:rFonts w:eastAsia="Calibri"/>
          <w:i w:val="0"/>
          <w:snapToGrid w:val="0"/>
          <w:szCs w:val="20"/>
        </w:rPr>
        <w:t xml:space="preserve">body in multiple </w:t>
      </w:r>
      <w:r w:rsidR="00DB72AE" w:rsidRPr="00477394">
        <w:rPr>
          <w:rFonts w:eastAsia="Calibri"/>
          <w:i w:val="0"/>
          <w:snapToGrid w:val="0"/>
          <w:szCs w:val="20"/>
        </w:rPr>
        <w:t xml:space="preserve">ways </w:t>
      </w:r>
      <w:r w:rsidR="0064571F" w:rsidRPr="00477394">
        <w:rPr>
          <w:rFonts w:eastAsia="Calibri"/>
          <w:i w:val="0"/>
          <w:snapToGrid w:val="0"/>
          <w:szCs w:val="20"/>
        </w:rPr>
        <w:t xml:space="preserve">including </w:t>
      </w:r>
      <w:r w:rsidR="00927AC9">
        <w:rPr>
          <w:rFonts w:eastAsia="Calibri"/>
          <w:i w:val="0"/>
          <w:snapToGrid w:val="0"/>
          <w:szCs w:val="20"/>
        </w:rPr>
        <w:t xml:space="preserve">by creating </w:t>
      </w:r>
      <w:r w:rsidR="0094304E">
        <w:rPr>
          <w:rFonts w:eastAsia="Calibri"/>
          <w:i w:val="0"/>
          <w:snapToGrid w:val="0"/>
          <w:szCs w:val="20"/>
        </w:rPr>
        <w:t xml:space="preserve">significant </w:t>
      </w:r>
      <w:r w:rsidR="003F7538" w:rsidRPr="00477394">
        <w:rPr>
          <w:rFonts w:eastAsia="Calibri"/>
          <w:i w:val="0"/>
          <w:snapToGrid w:val="0"/>
          <w:szCs w:val="20"/>
        </w:rPr>
        <w:t xml:space="preserve">risks of </w:t>
      </w:r>
      <w:r w:rsidR="00232E16" w:rsidRPr="00477394">
        <w:rPr>
          <w:rFonts w:eastAsia="Calibri"/>
          <w:i w:val="0"/>
          <w:snapToGrid w:val="0"/>
          <w:szCs w:val="20"/>
        </w:rPr>
        <w:t>blood</w:t>
      </w:r>
      <w:r w:rsidR="003F7538" w:rsidRPr="00477394">
        <w:rPr>
          <w:rFonts w:eastAsia="Calibri"/>
          <w:i w:val="0"/>
          <w:snapToGrid w:val="0"/>
          <w:szCs w:val="20"/>
        </w:rPr>
        <w:t xml:space="preserve"> clots and strokes</w:t>
      </w:r>
      <w:r w:rsidR="0094304E">
        <w:rPr>
          <w:rFonts w:eastAsia="Calibri"/>
          <w:i w:val="0"/>
          <w:snapToGrid w:val="0"/>
          <w:szCs w:val="20"/>
        </w:rPr>
        <w:t>, in addition to</w:t>
      </w:r>
      <w:r w:rsidR="00F300D4">
        <w:rPr>
          <w:rFonts w:eastAsia="Calibri"/>
          <w:i w:val="0"/>
          <w:snapToGrid w:val="0"/>
          <w:szCs w:val="20"/>
        </w:rPr>
        <w:t xml:space="preserve"> respiratory problems</w:t>
      </w:r>
      <w:r w:rsidR="00232E16" w:rsidRPr="00477394">
        <w:rPr>
          <w:rFonts w:eastAsia="Calibri"/>
          <w:i w:val="0"/>
          <w:snapToGrid w:val="0"/>
          <w:szCs w:val="20"/>
        </w:rPr>
        <w:t>.</w:t>
      </w:r>
      <w:r w:rsidR="00FC7330">
        <w:rPr>
          <w:rFonts w:eastAsia="Calibri"/>
          <w:i w:val="0"/>
          <w:snapToGrid w:val="0"/>
          <w:szCs w:val="20"/>
        </w:rPr>
        <w:t xml:space="preserve"> </w:t>
      </w:r>
    </w:p>
    <w:p w14:paraId="036A739A" w14:textId="3E6B743B" w:rsidR="00D6010C" w:rsidRPr="0033285C" w:rsidRDefault="005A4DD9" w:rsidP="001D686E">
      <w:pPr>
        <w:pStyle w:val="ACMABodyText"/>
        <w:rPr>
          <w:rFonts w:eastAsia="Calibri"/>
          <w:i/>
          <w:sz w:val="18"/>
          <w:szCs w:val="18"/>
        </w:rPr>
      </w:pPr>
      <w:r>
        <w:rPr>
          <w:rFonts w:eastAsia="Calibri"/>
        </w:rPr>
        <w:t xml:space="preserve">They </w:t>
      </w:r>
      <w:r w:rsidR="002146FF">
        <w:rPr>
          <w:rFonts w:eastAsia="Calibri"/>
        </w:rPr>
        <w:t>indicate</w:t>
      </w:r>
      <w:r>
        <w:rPr>
          <w:rFonts w:eastAsia="Calibri"/>
        </w:rPr>
        <w:t xml:space="preserve"> that C</w:t>
      </w:r>
      <w:r w:rsidR="00C60941">
        <w:rPr>
          <w:rFonts w:eastAsia="Calibri"/>
        </w:rPr>
        <w:t>OVID</w:t>
      </w:r>
      <w:r w:rsidR="00406CC7">
        <w:rPr>
          <w:rFonts w:eastAsia="Calibri"/>
        </w:rPr>
        <w:t>-19</w:t>
      </w:r>
      <w:r>
        <w:rPr>
          <w:rFonts w:eastAsia="Calibri"/>
        </w:rPr>
        <w:t xml:space="preserve"> is a disease that </w:t>
      </w:r>
      <w:r w:rsidR="009E1168">
        <w:rPr>
          <w:rFonts w:eastAsia="Calibri"/>
        </w:rPr>
        <w:t>can</w:t>
      </w:r>
      <w:r w:rsidR="00C60941">
        <w:rPr>
          <w:rFonts w:eastAsia="Calibri"/>
        </w:rPr>
        <w:t xml:space="preserve"> </w:t>
      </w:r>
      <w:r>
        <w:rPr>
          <w:rFonts w:eastAsia="Calibri"/>
        </w:rPr>
        <w:t>cause blood clotting.</w:t>
      </w:r>
      <w:r w:rsidR="002146FF">
        <w:rPr>
          <w:rFonts w:eastAsia="Calibri"/>
        </w:rPr>
        <w:t xml:space="preserve"> They do not</w:t>
      </w:r>
      <w:r w:rsidR="003625D8">
        <w:rPr>
          <w:rFonts w:eastAsia="Calibri"/>
        </w:rPr>
        <w:t>,</w:t>
      </w:r>
      <w:r w:rsidR="002146FF">
        <w:rPr>
          <w:rFonts w:eastAsia="Calibri"/>
        </w:rPr>
        <w:t xml:space="preserve"> however, indicate that it is </w:t>
      </w:r>
      <w:r w:rsidR="001B4CD2">
        <w:rPr>
          <w:rFonts w:eastAsia="Calibri"/>
        </w:rPr>
        <w:t>p</w:t>
      </w:r>
      <w:r w:rsidR="002146FF">
        <w:rPr>
          <w:rFonts w:eastAsia="Calibri"/>
        </w:rPr>
        <w:t xml:space="preserve">rimarily a clotting disease. </w:t>
      </w:r>
    </w:p>
    <w:p w14:paraId="356C1062" w14:textId="03ECE3E7" w:rsidR="005400B7" w:rsidRDefault="005400B7" w:rsidP="00644E33">
      <w:pPr>
        <w:pStyle w:val="ACMABodyText"/>
        <w:rPr>
          <w:rFonts w:cs="Arial"/>
        </w:rPr>
      </w:pPr>
      <w:r>
        <w:rPr>
          <w:rFonts w:cs="Arial"/>
        </w:rPr>
        <w:t>The ACMA considers, therefore, that</w:t>
      </w:r>
      <w:r w:rsidR="00FE5F47">
        <w:rPr>
          <w:rFonts w:cs="Arial"/>
        </w:rPr>
        <w:t xml:space="preserve"> the factual material conveyed to the or</w:t>
      </w:r>
      <w:r w:rsidR="00D32D9E">
        <w:rPr>
          <w:rFonts w:cs="Arial"/>
        </w:rPr>
        <w:t>di</w:t>
      </w:r>
      <w:r w:rsidR="00FE5F47">
        <w:rPr>
          <w:rFonts w:cs="Arial"/>
        </w:rPr>
        <w:t>nary reasonable viewer</w:t>
      </w:r>
      <w:r w:rsidR="00355805">
        <w:rPr>
          <w:rFonts w:cs="Arial"/>
        </w:rPr>
        <w:t xml:space="preserve"> –</w:t>
      </w:r>
      <w:r w:rsidR="00FE5F47">
        <w:rPr>
          <w:rFonts w:cs="Arial"/>
        </w:rPr>
        <w:t xml:space="preserve"> that</w:t>
      </w:r>
      <w:r>
        <w:rPr>
          <w:rFonts w:cs="Arial"/>
        </w:rPr>
        <w:t xml:space="preserve"> C</w:t>
      </w:r>
      <w:r w:rsidR="00C60941">
        <w:rPr>
          <w:rFonts w:cs="Arial"/>
        </w:rPr>
        <w:t>OVID</w:t>
      </w:r>
      <w:r w:rsidR="0091710B">
        <w:rPr>
          <w:rFonts w:cs="Arial"/>
        </w:rPr>
        <w:t>-19</w:t>
      </w:r>
      <w:r>
        <w:rPr>
          <w:rFonts w:cs="Arial"/>
        </w:rPr>
        <w:t xml:space="preserve"> is primarily a clotting disease</w:t>
      </w:r>
      <w:r w:rsidR="00355805">
        <w:rPr>
          <w:rFonts w:cs="Arial"/>
        </w:rPr>
        <w:t xml:space="preserve"> –</w:t>
      </w:r>
      <w:r>
        <w:rPr>
          <w:rFonts w:cs="Arial"/>
        </w:rPr>
        <w:t xml:space="preserve"> </w:t>
      </w:r>
      <w:r w:rsidR="003625D8">
        <w:rPr>
          <w:rFonts w:cs="Arial"/>
        </w:rPr>
        <w:t>wa</w:t>
      </w:r>
      <w:r>
        <w:rPr>
          <w:rFonts w:cs="Arial"/>
        </w:rPr>
        <w:t>s not accurate.</w:t>
      </w:r>
    </w:p>
    <w:p w14:paraId="0CE2BCFA" w14:textId="2FD3E003" w:rsidR="003A14D7" w:rsidRDefault="00B600EB" w:rsidP="00581649">
      <w:pPr>
        <w:pStyle w:val="ACMABodyText"/>
        <w:spacing w:after="120"/>
        <w:rPr>
          <w:rFonts w:eastAsia="Calibri"/>
        </w:rPr>
      </w:pPr>
      <w:r>
        <w:rPr>
          <w:rFonts w:cs="Arial"/>
        </w:rPr>
        <w:t xml:space="preserve">On the assertion that Ivermectin is an anti-clotter drug, </w:t>
      </w:r>
      <w:r w:rsidR="009E1168">
        <w:rPr>
          <w:rFonts w:cs="Arial"/>
        </w:rPr>
        <w:t>t</w:t>
      </w:r>
      <w:r>
        <w:rPr>
          <w:rFonts w:cs="Arial"/>
        </w:rPr>
        <w:t>he Licensee submitted that the evidence to support the assertion was not conclusive:</w:t>
      </w:r>
      <w:r w:rsidDel="00B600EB">
        <w:rPr>
          <w:rFonts w:eastAsia="Calibri"/>
        </w:rPr>
        <w:t xml:space="preserve"> </w:t>
      </w:r>
    </w:p>
    <w:p w14:paraId="717877CB" w14:textId="77777777" w:rsidR="003A14D7" w:rsidRPr="0033285C" w:rsidRDefault="003A14D7" w:rsidP="00907040">
      <w:pPr>
        <w:pStyle w:val="ACMABodyText"/>
        <w:ind w:left="709"/>
        <w:rPr>
          <w:rFonts w:eastAsia="Calibri" w:cs="Arial"/>
          <w:sz w:val="18"/>
          <w:szCs w:val="18"/>
        </w:rPr>
      </w:pPr>
      <w:r w:rsidRPr="0033285C">
        <w:rPr>
          <w:rFonts w:eastAsia="Calibri" w:cs="Arial"/>
          <w:sz w:val="18"/>
          <w:szCs w:val="18"/>
        </w:rPr>
        <w:t>[…] the evidence surrounding the use of ivermectin as an “anti</w:t>
      </w:r>
      <w:r w:rsidRPr="0033285C">
        <w:rPr>
          <w:rFonts w:ascii="Cambria Math" w:eastAsia="Calibri" w:hAnsi="Cambria Math" w:cs="Cambria Math"/>
          <w:sz w:val="18"/>
          <w:szCs w:val="18"/>
        </w:rPr>
        <w:t>‐</w:t>
      </w:r>
      <w:r w:rsidRPr="0033285C">
        <w:rPr>
          <w:rFonts w:eastAsia="Calibri" w:cs="Arial"/>
          <w:sz w:val="18"/>
          <w:szCs w:val="18"/>
        </w:rPr>
        <w:t>clotter” is not conclusive. However, scientific studies have indicated that persons who have been treated with ivermectin have reported excessive hypocoagulability. Hypocoagulability is a condition of irregular and slow blood clotting.</w:t>
      </w:r>
    </w:p>
    <w:p w14:paraId="11C98510" w14:textId="0DC6106F" w:rsidR="009E1168" w:rsidRDefault="009E1168" w:rsidP="009E1168">
      <w:pPr>
        <w:pStyle w:val="ACMABodyText"/>
        <w:spacing w:after="120"/>
        <w:rPr>
          <w:rFonts w:cs="Arial"/>
        </w:rPr>
      </w:pPr>
      <w:r>
        <w:rPr>
          <w:rFonts w:cs="Arial"/>
        </w:rPr>
        <w:t>The ACMA found no evidence to suggest that the assertion was accurate. In fact, the ACMA has identified some evidence to the contrary:</w:t>
      </w:r>
    </w:p>
    <w:p w14:paraId="7B0272AE" w14:textId="77777777" w:rsidR="009E1168" w:rsidRPr="0033285C" w:rsidRDefault="009E1168" w:rsidP="009E1168">
      <w:pPr>
        <w:pStyle w:val="ACMABodyText"/>
        <w:ind w:left="720"/>
        <w:rPr>
          <w:rFonts w:cs="Arial"/>
          <w:sz w:val="18"/>
          <w:szCs w:val="18"/>
        </w:rPr>
      </w:pPr>
      <w:r w:rsidRPr="0033285C">
        <w:rPr>
          <w:rFonts w:cs="Arial"/>
          <w:sz w:val="18"/>
          <w:szCs w:val="18"/>
        </w:rPr>
        <w:t>Ivermectin has a minimal effect on coagulation and concern about mass treatment for this reason appears to be unjustified</w:t>
      </w:r>
      <w:r>
        <w:rPr>
          <w:rFonts w:cs="Arial"/>
          <w:sz w:val="18"/>
          <w:szCs w:val="18"/>
        </w:rPr>
        <w:t>.</w:t>
      </w:r>
      <w:r>
        <w:rPr>
          <w:rStyle w:val="FootnoteReference"/>
          <w:rFonts w:cs="Arial"/>
          <w:sz w:val="18"/>
          <w:szCs w:val="18"/>
        </w:rPr>
        <w:footnoteReference w:id="7"/>
      </w:r>
    </w:p>
    <w:p w14:paraId="6694773C" w14:textId="3DA376FE" w:rsidR="00B600EB" w:rsidRDefault="00B600EB" w:rsidP="004F7703">
      <w:pPr>
        <w:pStyle w:val="ACMABodyText"/>
        <w:rPr>
          <w:rFonts w:cs="Arial"/>
        </w:rPr>
      </w:pPr>
      <w:r>
        <w:rPr>
          <w:rFonts w:eastAsia="Calibri"/>
        </w:rPr>
        <w:lastRenderedPageBreak/>
        <w:t>Considering th</w:t>
      </w:r>
      <w:r w:rsidR="00A92101">
        <w:rPr>
          <w:rFonts w:eastAsia="Calibri"/>
        </w:rPr>
        <w:t>e</w:t>
      </w:r>
      <w:r>
        <w:rPr>
          <w:rFonts w:eastAsia="Calibri"/>
        </w:rPr>
        <w:t xml:space="preserve"> lack of </w:t>
      </w:r>
      <w:r w:rsidR="00C60941">
        <w:rPr>
          <w:rFonts w:eastAsia="Calibri"/>
        </w:rPr>
        <w:t xml:space="preserve">available </w:t>
      </w:r>
      <w:r>
        <w:rPr>
          <w:rFonts w:eastAsia="Calibri"/>
        </w:rPr>
        <w:t xml:space="preserve">definitive evidence, </w:t>
      </w:r>
      <w:r>
        <w:rPr>
          <w:rFonts w:cs="Arial"/>
        </w:rPr>
        <w:t>t</w:t>
      </w:r>
      <w:r w:rsidR="005A4DD9">
        <w:rPr>
          <w:rFonts w:cs="Arial"/>
        </w:rPr>
        <w:t>he</w:t>
      </w:r>
      <w:r w:rsidR="00517A80">
        <w:rPr>
          <w:rFonts w:cs="Arial"/>
        </w:rPr>
        <w:t xml:space="preserve"> ACMA considers that </w:t>
      </w:r>
      <w:r>
        <w:rPr>
          <w:rFonts w:cs="Arial"/>
        </w:rPr>
        <w:t xml:space="preserve">the </w:t>
      </w:r>
      <w:r w:rsidR="002625B0">
        <w:rPr>
          <w:rFonts w:cs="Arial"/>
        </w:rPr>
        <w:t xml:space="preserve">categorical </w:t>
      </w:r>
      <w:r>
        <w:rPr>
          <w:rFonts w:cs="Arial"/>
        </w:rPr>
        <w:t xml:space="preserve">assertion that Ivermectin is an anti-clotting medicine </w:t>
      </w:r>
      <w:r w:rsidR="0061343C">
        <w:rPr>
          <w:rFonts w:cs="Arial"/>
        </w:rPr>
        <w:t>wa</w:t>
      </w:r>
      <w:r>
        <w:rPr>
          <w:rFonts w:cs="Arial"/>
        </w:rPr>
        <w:t xml:space="preserve">s not accurate. </w:t>
      </w:r>
    </w:p>
    <w:p w14:paraId="3EF564AA" w14:textId="0FA85116" w:rsidR="004F7703" w:rsidRDefault="00B600EB" w:rsidP="004F7703">
      <w:pPr>
        <w:pStyle w:val="ACMABodyText"/>
        <w:rPr>
          <w:rFonts w:cs="Arial"/>
        </w:rPr>
      </w:pPr>
      <w:r>
        <w:rPr>
          <w:rFonts w:cs="Arial"/>
        </w:rPr>
        <w:t xml:space="preserve">Accordingly, the ACMA </w:t>
      </w:r>
      <w:r w:rsidR="00237FD0">
        <w:rPr>
          <w:rFonts w:cs="Arial"/>
        </w:rPr>
        <w:t xml:space="preserve">finds </w:t>
      </w:r>
      <w:r>
        <w:rPr>
          <w:rFonts w:cs="Arial"/>
        </w:rPr>
        <w:t xml:space="preserve">that Statement 3 – </w:t>
      </w:r>
      <w:r w:rsidR="00517A80">
        <w:rPr>
          <w:rFonts w:cs="Arial"/>
        </w:rPr>
        <w:t>that</w:t>
      </w:r>
      <w:r w:rsidR="003A14D7">
        <w:rPr>
          <w:rFonts w:cs="Arial"/>
        </w:rPr>
        <w:t xml:space="preserve"> C</w:t>
      </w:r>
      <w:r w:rsidR="00C60941">
        <w:rPr>
          <w:rFonts w:cs="Arial"/>
        </w:rPr>
        <w:t>OVID</w:t>
      </w:r>
      <w:r w:rsidR="001520F2">
        <w:rPr>
          <w:rFonts w:cs="Arial"/>
        </w:rPr>
        <w:t>-19</w:t>
      </w:r>
      <w:r w:rsidR="003A14D7">
        <w:rPr>
          <w:rFonts w:cs="Arial"/>
        </w:rPr>
        <w:t xml:space="preserve"> is</w:t>
      </w:r>
      <w:r w:rsidR="00CC5871">
        <w:rPr>
          <w:rFonts w:cs="Arial"/>
        </w:rPr>
        <w:t xml:space="preserve"> primarily</w:t>
      </w:r>
      <w:r w:rsidR="003A14D7">
        <w:rPr>
          <w:rFonts w:cs="Arial"/>
        </w:rPr>
        <w:t xml:space="preserve"> a clotting disease</w:t>
      </w:r>
      <w:r>
        <w:rPr>
          <w:rFonts w:cs="Arial"/>
        </w:rPr>
        <w:t xml:space="preserve"> and </w:t>
      </w:r>
      <w:r w:rsidR="005A4DD9">
        <w:rPr>
          <w:rFonts w:cs="Arial"/>
        </w:rPr>
        <w:t xml:space="preserve">that Ivermectin </w:t>
      </w:r>
      <w:r w:rsidR="00200889">
        <w:rPr>
          <w:rFonts w:cs="Arial"/>
        </w:rPr>
        <w:t>is</w:t>
      </w:r>
      <w:r w:rsidR="007A6470">
        <w:rPr>
          <w:rFonts w:cs="Arial"/>
        </w:rPr>
        <w:t xml:space="preserve"> </w:t>
      </w:r>
      <w:r w:rsidR="00864896">
        <w:rPr>
          <w:rFonts w:cs="Arial"/>
        </w:rPr>
        <w:t>an ‘anti-clotter’</w:t>
      </w:r>
      <w:r>
        <w:rPr>
          <w:rFonts w:cs="Arial"/>
        </w:rPr>
        <w:t>,</w:t>
      </w:r>
      <w:r w:rsidRPr="00B600EB">
        <w:rPr>
          <w:rFonts w:cs="Arial"/>
        </w:rPr>
        <w:t xml:space="preserve"> </w:t>
      </w:r>
      <w:r w:rsidR="00864896">
        <w:rPr>
          <w:rFonts w:cs="Arial"/>
        </w:rPr>
        <w:t>was not accurate.</w:t>
      </w:r>
    </w:p>
    <w:p w14:paraId="3748B391" w14:textId="677F9AAC" w:rsidR="00021B28" w:rsidRPr="00BD11DE" w:rsidRDefault="000B2671" w:rsidP="00BD11DE">
      <w:pPr>
        <w:pStyle w:val="ACMABodyText"/>
        <w:spacing w:before="120"/>
        <w:rPr>
          <w:b/>
          <w:bCs/>
          <w:i/>
          <w:iCs/>
          <w:u w:val="single"/>
        </w:rPr>
      </w:pPr>
      <w:r>
        <w:rPr>
          <w:b/>
          <w:bCs/>
          <w:i/>
          <w:iCs/>
          <w:u w:val="single"/>
        </w:rPr>
        <w:t>4.</w:t>
      </w:r>
      <w:r w:rsidR="00BD11DE">
        <w:rPr>
          <w:b/>
          <w:bCs/>
          <w:i/>
          <w:iCs/>
          <w:u w:val="single"/>
        </w:rPr>
        <w:t xml:space="preserve"> </w:t>
      </w:r>
      <w:r w:rsidR="00C66328" w:rsidRPr="00BD11DE">
        <w:rPr>
          <w:b/>
          <w:bCs/>
          <w:i/>
          <w:iCs/>
          <w:u w:val="single"/>
        </w:rPr>
        <w:t>We’re seeing an uptick in the laboratory of reactivated other viruses; Epstein-Barr, herpes viruses, HPV viruses, we’re seeing an uptick in certain cancers, already</w:t>
      </w:r>
    </w:p>
    <w:p w14:paraId="5E97E3D1" w14:textId="23DBBEE8" w:rsidR="00201F00" w:rsidRDefault="00201F00" w:rsidP="00206811">
      <w:pPr>
        <w:pStyle w:val="ACMABodyText"/>
        <w:spacing w:after="120"/>
        <w:rPr>
          <w:rFonts w:eastAsia="Calibri" w:cs="Arial"/>
        </w:rPr>
      </w:pPr>
      <w:r>
        <w:rPr>
          <w:rFonts w:eastAsia="Calibri" w:cs="Arial"/>
        </w:rPr>
        <w:t>A</w:t>
      </w:r>
      <w:r w:rsidR="00C00B70" w:rsidRPr="006E195E">
        <w:rPr>
          <w:rFonts w:eastAsia="Calibri" w:cs="Arial"/>
        </w:rPr>
        <w:t xml:space="preserve">t </w:t>
      </w:r>
      <w:r w:rsidR="006E195E">
        <w:rPr>
          <w:rFonts w:eastAsia="Calibri" w:cs="Arial"/>
        </w:rPr>
        <w:t xml:space="preserve">approximately </w:t>
      </w:r>
      <w:r w:rsidR="00D91AD6">
        <w:rPr>
          <w:rFonts w:eastAsia="Calibri" w:cs="Arial"/>
        </w:rPr>
        <w:t>25:00 minutes</w:t>
      </w:r>
      <w:r w:rsidR="00581649">
        <w:rPr>
          <w:rFonts w:eastAsia="Calibri" w:cs="Arial"/>
        </w:rPr>
        <w:t>,</w:t>
      </w:r>
      <w:r w:rsidR="00D91AD6">
        <w:rPr>
          <w:rFonts w:eastAsia="Calibri" w:cs="Arial"/>
        </w:rPr>
        <w:t xml:space="preserve"> </w:t>
      </w:r>
      <w:r w:rsidR="00581649">
        <w:rPr>
          <w:rFonts w:eastAsia="Calibri" w:cs="Arial"/>
        </w:rPr>
        <w:t>H</w:t>
      </w:r>
      <w:r w:rsidR="00D91AD6">
        <w:rPr>
          <w:rFonts w:eastAsia="Calibri" w:cs="Arial"/>
        </w:rPr>
        <w:t xml:space="preserve">ost </w:t>
      </w:r>
      <w:r w:rsidR="00C809E5">
        <w:rPr>
          <w:rFonts w:eastAsia="Calibri" w:cs="Arial"/>
        </w:rPr>
        <w:t>1</w:t>
      </w:r>
      <w:r w:rsidR="00DD0F9D">
        <w:rPr>
          <w:rFonts w:eastAsia="Calibri" w:cs="Arial"/>
        </w:rPr>
        <w:t xml:space="preserve"> </w:t>
      </w:r>
      <w:r w:rsidR="00D91AD6">
        <w:rPr>
          <w:rFonts w:eastAsia="Calibri" w:cs="Arial"/>
        </w:rPr>
        <w:t>aske</w:t>
      </w:r>
      <w:r w:rsidR="0060215E">
        <w:rPr>
          <w:rFonts w:eastAsia="Calibri" w:cs="Arial"/>
        </w:rPr>
        <w:t>d</w:t>
      </w:r>
      <w:r w:rsidR="00D91AD6">
        <w:rPr>
          <w:rFonts w:eastAsia="Calibri" w:cs="Arial"/>
        </w:rPr>
        <w:t xml:space="preserve"> </w:t>
      </w:r>
      <w:r w:rsidR="00B34D3D">
        <w:rPr>
          <w:rFonts w:eastAsia="Calibri" w:cs="Arial"/>
        </w:rPr>
        <w:t xml:space="preserve">Dr. </w:t>
      </w:r>
      <w:r w:rsidR="00C809E5">
        <w:rPr>
          <w:rFonts w:eastAsia="Calibri" w:cs="Arial"/>
        </w:rPr>
        <w:t>A</w:t>
      </w:r>
      <w:r w:rsidR="00D91AD6">
        <w:rPr>
          <w:rFonts w:eastAsia="Calibri" w:cs="Arial"/>
        </w:rPr>
        <w:t xml:space="preserve"> what people w</w:t>
      </w:r>
      <w:r w:rsidR="0060215E">
        <w:rPr>
          <w:rFonts w:eastAsia="Calibri" w:cs="Arial"/>
        </w:rPr>
        <w:t>h</w:t>
      </w:r>
      <w:r w:rsidR="00D91AD6">
        <w:rPr>
          <w:rFonts w:eastAsia="Calibri" w:cs="Arial"/>
        </w:rPr>
        <w:t xml:space="preserve">o had received </w:t>
      </w:r>
      <w:r w:rsidR="0060215E">
        <w:rPr>
          <w:rFonts w:eastAsia="Calibri" w:cs="Arial"/>
        </w:rPr>
        <w:t>the vaccination for C</w:t>
      </w:r>
      <w:r w:rsidR="00C60941">
        <w:rPr>
          <w:rFonts w:eastAsia="Calibri" w:cs="Arial"/>
        </w:rPr>
        <w:t>OVID</w:t>
      </w:r>
      <w:r w:rsidR="0060215E">
        <w:rPr>
          <w:rFonts w:eastAsia="Calibri" w:cs="Arial"/>
        </w:rPr>
        <w:t>-19 should do. F</w:t>
      </w:r>
      <w:r w:rsidR="00C00B70" w:rsidRPr="006E195E">
        <w:rPr>
          <w:rFonts w:eastAsia="Calibri" w:cs="Arial"/>
        </w:rPr>
        <w:t xml:space="preserve">ollowing </w:t>
      </w:r>
      <w:r>
        <w:rPr>
          <w:rFonts w:eastAsia="Calibri" w:cs="Arial"/>
        </w:rPr>
        <w:t>his</w:t>
      </w:r>
      <w:r w:rsidR="00C00B70" w:rsidRPr="006E195E">
        <w:rPr>
          <w:rFonts w:eastAsia="Calibri" w:cs="Arial"/>
        </w:rPr>
        <w:t xml:space="preserve"> expressi</w:t>
      </w:r>
      <w:r w:rsidR="006E195E">
        <w:rPr>
          <w:rFonts w:eastAsia="Calibri" w:cs="Arial"/>
        </w:rPr>
        <w:t>o</w:t>
      </w:r>
      <w:r w:rsidR="00C00B70" w:rsidRPr="006E195E">
        <w:rPr>
          <w:rFonts w:eastAsia="Calibri" w:cs="Arial"/>
        </w:rPr>
        <w:t>n</w:t>
      </w:r>
      <w:r w:rsidR="006E195E">
        <w:rPr>
          <w:rFonts w:eastAsia="Calibri" w:cs="Arial"/>
        </w:rPr>
        <w:t xml:space="preserve"> of</w:t>
      </w:r>
      <w:r w:rsidR="00C00B70" w:rsidRPr="006E195E">
        <w:rPr>
          <w:rFonts w:eastAsia="Calibri" w:cs="Arial"/>
        </w:rPr>
        <w:t xml:space="preserve"> concern about </w:t>
      </w:r>
      <w:r w:rsidR="00021B28" w:rsidRPr="00021B28">
        <w:rPr>
          <w:rFonts w:eastAsia="Calibri" w:cs="Arial"/>
        </w:rPr>
        <w:t>immune responses</w:t>
      </w:r>
      <w:r w:rsidR="00021B28">
        <w:rPr>
          <w:rFonts w:eastAsia="Calibri" w:cs="Arial"/>
        </w:rPr>
        <w:t xml:space="preserve"> </w:t>
      </w:r>
      <w:r>
        <w:rPr>
          <w:rFonts w:eastAsia="Calibri" w:cs="Arial"/>
        </w:rPr>
        <w:t xml:space="preserve">in the US </w:t>
      </w:r>
      <w:r w:rsidR="00021B28" w:rsidRPr="00021B28">
        <w:rPr>
          <w:rFonts w:eastAsia="Calibri" w:cs="Arial"/>
        </w:rPr>
        <w:t>related to the approved C</w:t>
      </w:r>
      <w:r w:rsidR="00C60941">
        <w:rPr>
          <w:rFonts w:eastAsia="Calibri" w:cs="Arial"/>
        </w:rPr>
        <w:t>OVID</w:t>
      </w:r>
      <w:r w:rsidR="00021B28" w:rsidRPr="00021B28">
        <w:rPr>
          <w:rFonts w:eastAsia="Calibri" w:cs="Arial"/>
        </w:rPr>
        <w:t>-19 vaccin</w:t>
      </w:r>
      <w:r>
        <w:rPr>
          <w:rFonts w:eastAsia="Calibri" w:cs="Arial"/>
        </w:rPr>
        <w:t xml:space="preserve">es, </w:t>
      </w:r>
      <w:r w:rsidR="00B34D3D">
        <w:rPr>
          <w:rFonts w:eastAsia="Calibri" w:cs="Arial"/>
        </w:rPr>
        <w:t xml:space="preserve">Dr. </w:t>
      </w:r>
      <w:r w:rsidR="00C809E5">
        <w:rPr>
          <w:rFonts w:eastAsia="Calibri" w:cs="Arial"/>
        </w:rPr>
        <w:t>A</w:t>
      </w:r>
      <w:r>
        <w:rPr>
          <w:rFonts w:eastAsia="Calibri" w:cs="Arial"/>
        </w:rPr>
        <w:t xml:space="preserve"> said:</w:t>
      </w:r>
    </w:p>
    <w:p w14:paraId="6155D103" w14:textId="00F8D33E" w:rsidR="00C00B70" w:rsidRPr="00DF4260" w:rsidRDefault="00201F00" w:rsidP="006B1800">
      <w:pPr>
        <w:pStyle w:val="ACMABodyText"/>
        <w:ind w:left="709"/>
        <w:rPr>
          <w:rFonts w:eastAsia="Calibri"/>
          <w:i/>
          <w:sz w:val="18"/>
          <w:szCs w:val="18"/>
        </w:rPr>
      </w:pPr>
      <w:r w:rsidRPr="00DF4260">
        <w:rPr>
          <w:rFonts w:eastAsia="Calibri" w:cs="Arial"/>
          <w:sz w:val="18"/>
          <w:szCs w:val="18"/>
        </w:rPr>
        <w:t>And we’re seeing an uptick in the laboratory of reactivated other viruses. Epstein-Barr, herpes v</w:t>
      </w:r>
      <w:r w:rsidR="00DF4260" w:rsidRPr="00DF4260">
        <w:rPr>
          <w:rFonts w:eastAsia="Calibri" w:cs="Arial"/>
          <w:sz w:val="18"/>
          <w:szCs w:val="18"/>
        </w:rPr>
        <w:t>iruses, HPV viruses. We’re seeing an uptick in certain cancers, already. And it’s concerning</w:t>
      </w:r>
      <w:r w:rsidR="00021B28" w:rsidRPr="00DF4260">
        <w:rPr>
          <w:rFonts w:eastAsia="Calibri" w:cs="Arial"/>
          <w:sz w:val="18"/>
          <w:szCs w:val="18"/>
        </w:rPr>
        <w:t xml:space="preserve">. </w:t>
      </w:r>
    </w:p>
    <w:p w14:paraId="796D8ADF" w14:textId="77777777" w:rsidR="0061343C" w:rsidRPr="000D6A5E" w:rsidRDefault="0061343C" w:rsidP="0061343C">
      <w:pPr>
        <w:spacing w:before="0" w:after="160" w:line="256" w:lineRule="auto"/>
        <w:rPr>
          <w:rFonts w:eastAsia="Calibri" w:cs="Arial"/>
          <w:b/>
          <w:bCs/>
          <w:i w:val="0"/>
          <w:snapToGrid w:val="0"/>
          <w:szCs w:val="20"/>
        </w:rPr>
      </w:pPr>
      <w:r w:rsidRPr="000D6A5E">
        <w:rPr>
          <w:rFonts w:eastAsia="Calibri" w:cs="Arial"/>
          <w:b/>
          <w:bCs/>
          <w:i w:val="0"/>
          <w:snapToGrid w:val="0"/>
          <w:szCs w:val="20"/>
        </w:rPr>
        <w:t>What did the material convey to the ordinary reasonable viewer?</w:t>
      </w:r>
    </w:p>
    <w:p w14:paraId="6B3900BC" w14:textId="3FC19E3B" w:rsidR="00884BEC" w:rsidRDefault="00353852" w:rsidP="00964AD3">
      <w:pPr>
        <w:pStyle w:val="ACMABodyText"/>
        <w:rPr>
          <w:rFonts w:eastAsia="Calibri"/>
        </w:rPr>
      </w:pPr>
      <w:r>
        <w:rPr>
          <w:rFonts w:eastAsia="Calibri"/>
        </w:rPr>
        <w:t>The ordinary viewer would have understood th</w:t>
      </w:r>
      <w:r w:rsidR="00DF4260">
        <w:rPr>
          <w:rFonts w:eastAsia="Calibri"/>
        </w:rPr>
        <w:t xml:space="preserve">is statement to convey </w:t>
      </w:r>
      <w:r w:rsidR="00D84483">
        <w:rPr>
          <w:rFonts w:eastAsia="Calibri"/>
        </w:rPr>
        <w:t>that medical professional</w:t>
      </w:r>
      <w:r w:rsidR="00800EE8">
        <w:rPr>
          <w:rFonts w:eastAsia="Calibri"/>
        </w:rPr>
        <w:t>s</w:t>
      </w:r>
      <w:r w:rsidR="00884BEC">
        <w:rPr>
          <w:rFonts w:eastAsia="Calibri"/>
        </w:rPr>
        <w:t xml:space="preserve"> ha</w:t>
      </w:r>
      <w:r w:rsidR="00497E7C">
        <w:rPr>
          <w:rFonts w:eastAsia="Calibri"/>
        </w:rPr>
        <w:t>d</w:t>
      </w:r>
      <w:r w:rsidR="00884BEC">
        <w:rPr>
          <w:rFonts w:eastAsia="Calibri"/>
        </w:rPr>
        <w:t xml:space="preserve"> seen </w:t>
      </w:r>
      <w:r w:rsidR="00DF4260">
        <w:rPr>
          <w:rFonts w:eastAsia="Calibri"/>
        </w:rPr>
        <w:t xml:space="preserve">– </w:t>
      </w:r>
      <w:r w:rsidR="00884BEC">
        <w:rPr>
          <w:rFonts w:eastAsia="Calibri"/>
        </w:rPr>
        <w:t xml:space="preserve">in </w:t>
      </w:r>
      <w:r w:rsidR="00497E7C">
        <w:rPr>
          <w:rFonts w:eastAsia="Calibri"/>
        </w:rPr>
        <w:t xml:space="preserve">the </w:t>
      </w:r>
      <w:r w:rsidR="00884BEC">
        <w:rPr>
          <w:rFonts w:eastAsia="Calibri"/>
        </w:rPr>
        <w:t xml:space="preserve">laboratory </w:t>
      </w:r>
      <w:r w:rsidR="00DF4260">
        <w:rPr>
          <w:rFonts w:eastAsia="Calibri"/>
        </w:rPr>
        <w:t xml:space="preserve">– </w:t>
      </w:r>
      <w:r w:rsidR="00884BEC">
        <w:rPr>
          <w:rFonts w:eastAsia="Calibri"/>
        </w:rPr>
        <w:t>an increase</w:t>
      </w:r>
      <w:r w:rsidR="00497E7C">
        <w:rPr>
          <w:rFonts w:eastAsia="Calibri"/>
        </w:rPr>
        <w:t>d</w:t>
      </w:r>
      <w:r w:rsidR="00884BEC">
        <w:rPr>
          <w:rFonts w:eastAsia="Calibri"/>
        </w:rPr>
        <w:t xml:space="preserve"> instance of reactivated other virus</w:t>
      </w:r>
      <w:r w:rsidR="008D5982">
        <w:rPr>
          <w:rFonts w:eastAsia="Calibri"/>
        </w:rPr>
        <w:t>es</w:t>
      </w:r>
      <w:r w:rsidR="00884BEC">
        <w:rPr>
          <w:rFonts w:eastAsia="Calibri"/>
        </w:rPr>
        <w:t xml:space="preserve"> and </w:t>
      </w:r>
      <w:r w:rsidR="008D5982">
        <w:rPr>
          <w:rFonts w:eastAsia="Calibri"/>
        </w:rPr>
        <w:t xml:space="preserve">some </w:t>
      </w:r>
      <w:r w:rsidR="00884BEC">
        <w:rPr>
          <w:rFonts w:eastAsia="Calibri"/>
        </w:rPr>
        <w:t>cancer</w:t>
      </w:r>
      <w:r w:rsidR="008D5982">
        <w:rPr>
          <w:rFonts w:eastAsia="Calibri"/>
        </w:rPr>
        <w:t>s</w:t>
      </w:r>
      <w:r w:rsidR="00884BEC">
        <w:rPr>
          <w:rFonts w:eastAsia="Calibri"/>
        </w:rPr>
        <w:t xml:space="preserve">, amongst patients </w:t>
      </w:r>
      <w:r w:rsidR="00DF4260">
        <w:rPr>
          <w:rFonts w:eastAsia="Calibri"/>
        </w:rPr>
        <w:t>who</w:t>
      </w:r>
      <w:r w:rsidR="00884BEC">
        <w:rPr>
          <w:rFonts w:eastAsia="Calibri"/>
        </w:rPr>
        <w:t xml:space="preserve"> had</w:t>
      </w:r>
      <w:r w:rsidR="00800EE8">
        <w:rPr>
          <w:rFonts w:eastAsia="Calibri"/>
        </w:rPr>
        <w:t xml:space="preserve"> received</w:t>
      </w:r>
      <w:r w:rsidR="00884BEC">
        <w:rPr>
          <w:rFonts w:eastAsia="Calibri"/>
        </w:rPr>
        <w:t xml:space="preserve"> the </w:t>
      </w:r>
      <w:r w:rsidR="0061343C">
        <w:rPr>
          <w:rFonts w:eastAsia="Calibri"/>
        </w:rPr>
        <w:t>C</w:t>
      </w:r>
      <w:r w:rsidR="00C60941">
        <w:rPr>
          <w:rFonts w:eastAsia="Calibri"/>
        </w:rPr>
        <w:t>OVID</w:t>
      </w:r>
      <w:r w:rsidR="000B2671">
        <w:rPr>
          <w:rFonts w:eastAsia="Calibri"/>
        </w:rPr>
        <w:t>-19</w:t>
      </w:r>
      <w:r w:rsidR="0061343C">
        <w:rPr>
          <w:rFonts w:eastAsia="Calibri"/>
        </w:rPr>
        <w:t xml:space="preserve"> </w:t>
      </w:r>
      <w:r w:rsidR="00884BEC">
        <w:rPr>
          <w:rFonts w:eastAsia="Calibri"/>
        </w:rPr>
        <w:t>vaccine.</w:t>
      </w:r>
    </w:p>
    <w:p w14:paraId="43AD98C9" w14:textId="7B952569" w:rsidR="009D31EC" w:rsidRDefault="009D31EC" w:rsidP="00206811">
      <w:pPr>
        <w:pStyle w:val="ACMABodyText"/>
        <w:spacing w:after="120"/>
        <w:rPr>
          <w:rFonts w:eastAsia="Calibri"/>
        </w:rPr>
      </w:pPr>
      <w:r>
        <w:rPr>
          <w:rFonts w:eastAsia="Calibri"/>
        </w:rPr>
        <w:t>The Licensee submitted the statement:</w:t>
      </w:r>
    </w:p>
    <w:p w14:paraId="1FAD419D" w14:textId="4DE5F8EE" w:rsidR="009D31EC" w:rsidRPr="00D84483" w:rsidRDefault="009D31EC" w:rsidP="00907040">
      <w:pPr>
        <w:pStyle w:val="ACMABodyText"/>
        <w:ind w:left="709"/>
        <w:rPr>
          <w:rFonts w:eastAsia="Calibri" w:cs="Arial"/>
          <w:sz w:val="18"/>
          <w:szCs w:val="18"/>
        </w:rPr>
      </w:pPr>
      <w:r w:rsidRPr="00D84483">
        <w:rPr>
          <w:rFonts w:eastAsia="Calibri" w:cs="Arial"/>
          <w:sz w:val="18"/>
          <w:szCs w:val="18"/>
        </w:rPr>
        <w:t xml:space="preserve">[…] was primarily based on independent testing conducted by </w:t>
      </w:r>
      <w:r w:rsidR="00B34D3D">
        <w:rPr>
          <w:rFonts w:eastAsia="Calibri" w:cs="Arial"/>
          <w:sz w:val="18"/>
          <w:szCs w:val="18"/>
        </w:rPr>
        <w:t xml:space="preserve">Dr. </w:t>
      </w:r>
      <w:r w:rsidR="00C809E5">
        <w:rPr>
          <w:rFonts w:eastAsia="Calibri" w:cs="Arial"/>
          <w:sz w:val="18"/>
          <w:szCs w:val="18"/>
        </w:rPr>
        <w:t>A</w:t>
      </w:r>
      <w:r w:rsidRPr="00D84483">
        <w:rPr>
          <w:rFonts w:eastAsia="Calibri" w:cs="Arial"/>
          <w:sz w:val="18"/>
          <w:szCs w:val="18"/>
        </w:rPr>
        <w:t xml:space="preserve">’s laboratory. The statement is reflective of phenomena that </w:t>
      </w:r>
      <w:r w:rsidR="00B34D3D">
        <w:rPr>
          <w:rFonts w:eastAsia="Calibri" w:cs="Arial"/>
          <w:sz w:val="18"/>
          <w:szCs w:val="18"/>
        </w:rPr>
        <w:t xml:space="preserve">Dr. </w:t>
      </w:r>
      <w:r w:rsidR="00C809E5">
        <w:rPr>
          <w:rFonts w:eastAsia="Calibri" w:cs="Arial"/>
          <w:sz w:val="18"/>
          <w:szCs w:val="18"/>
        </w:rPr>
        <w:t>A</w:t>
      </w:r>
      <w:r w:rsidRPr="00D84483">
        <w:rPr>
          <w:rFonts w:eastAsia="Calibri" w:cs="Arial"/>
          <w:sz w:val="18"/>
          <w:szCs w:val="18"/>
        </w:rPr>
        <w:t xml:space="preserve"> examined directly during </w:t>
      </w:r>
      <w:r w:rsidR="00C809E5">
        <w:rPr>
          <w:rFonts w:eastAsia="Calibri" w:cs="Arial"/>
          <w:sz w:val="18"/>
          <w:szCs w:val="18"/>
        </w:rPr>
        <w:t>[</w:t>
      </w:r>
      <w:r w:rsidR="0097590F">
        <w:rPr>
          <w:rFonts w:eastAsia="Calibri" w:cs="Arial"/>
          <w:sz w:val="18"/>
          <w:szCs w:val="18"/>
        </w:rPr>
        <w:t>…</w:t>
      </w:r>
      <w:r w:rsidR="00C809E5">
        <w:rPr>
          <w:rFonts w:eastAsia="Calibri" w:cs="Arial"/>
          <w:sz w:val="18"/>
          <w:szCs w:val="18"/>
        </w:rPr>
        <w:t>]</w:t>
      </w:r>
      <w:r w:rsidR="009E5F2B">
        <w:rPr>
          <w:rFonts w:eastAsia="Calibri" w:cs="Arial"/>
          <w:sz w:val="18"/>
          <w:szCs w:val="18"/>
        </w:rPr>
        <w:t xml:space="preserve"> </w:t>
      </w:r>
      <w:r w:rsidRPr="00D84483">
        <w:rPr>
          <w:rFonts w:eastAsia="Calibri" w:cs="Arial"/>
          <w:sz w:val="18"/>
          <w:szCs w:val="18"/>
        </w:rPr>
        <w:t xml:space="preserve">testing and should be viewed only as commentary regarding those tests. </w:t>
      </w:r>
    </w:p>
    <w:p w14:paraId="2158BDFD" w14:textId="2375DD50" w:rsidR="000E2321" w:rsidRDefault="0007584F" w:rsidP="00964AD3">
      <w:pPr>
        <w:pStyle w:val="ACMABodyText"/>
        <w:spacing w:after="120"/>
        <w:rPr>
          <w:rFonts w:eastAsia="Calibri"/>
          <w:lang w:eastAsia="en-AU"/>
        </w:rPr>
      </w:pPr>
      <w:r>
        <w:rPr>
          <w:rFonts w:eastAsia="Calibri"/>
          <w:lang w:eastAsia="en-AU"/>
        </w:rPr>
        <w:t xml:space="preserve">The ACMA notes </w:t>
      </w:r>
      <w:r w:rsidR="00D60AE9">
        <w:rPr>
          <w:rFonts w:eastAsia="Calibri"/>
          <w:lang w:eastAsia="en-AU"/>
        </w:rPr>
        <w:t xml:space="preserve">that </w:t>
      </w:r>
      <w:r w:rsidR="0097590F" w:rsidRPr="009E5F2B">
        <w:rPr>
          <w:rFonts w:eastAsia="Calibri"/>
          <w:lang w:eastAsia="en-AU"/>
        </w:rPr>
        <w:t>Dr</w:t>
      </w:r>
      <w:r w:rsidR="006F58CB" w:rsidRPr="009E5F2B">
        <w:rPr>
          <w:rFonts w:eastAsia="Calibri"/>
          <w:lang w:eastAsia="en-AU"/>
        </w:rPr>
        <w:t>.</w:t>
      </w:r>
      <w:r w:rsidR="0097590F" w:rsidRPr="009E5F2B">
        <w:rPr>
          <w:rFonts w:eastAsia="Calibri"/>
          <w:lang w:eastAsia="en-AU"/>
        </w:rPr>
        <w:t xml:space="preserve"> A was</w:t>
      </w:r>
      <w:r w:rsidR="0097590F">
        <w:rPr>
          <w:rFonts w:eastAsia="Calibri"/>
          <w:lang w:eastAsia="en-AU"/>
        </w:rPr>
        <w:t xml:space="preserve"> </w:t>
      </w:r>
      <w:r w:rsidR="00D60AE9">
        <w:rPr>
          <w:rFonts w:eastAsia="Calibri"/>
          <w:lang w:eastAsia="en-AU"/>
        </w:rPr>
        <w:t>introduced as having ‘performed and diagnosed over one hundred thousand C</w:t>
      </w:r>
      <w:r w:rsidR="00C60941">
        <w:rPr>
          <w:rFonts w:eastAsia="Calibri"/>
          <w:lang w:eastAsia="en-AU"/>
        </w:rPr>
        <w:t>OVID</w:t>
      </w:r>
      <w:r w:rsidR="00D60AE9">
        <w:rPr>
          <w:rFonts w:eastAsia="Calibri"/>
          <w:lang w:eastAsia="en-AU"/>
        </w:rPr>
        <w:t xml:space="preserve"> tests’</w:t>
      </w:r>
      <w:r w:rsidR="00C00B70">
        <w:rPr>
          <w:rFonts w:eastAsia="Calibri"/>
          <w:lang w:eastAsia="en-AU"/>
        </w:rPr>
        <w:t>.</w:t>
      </w:r>
    </w:p>
    <w:p w14:paraId="213690C4" w14:textId="2FFCBEB2" w:rsidR="007F45FE" w:rsidRDefault="007F45FE" w:rsidP="00D603A6">
      <w:pPr>
        <w:pStyle w:val="ACMABodyText"/>
        <w:spacing w:before="240"/>
        <w:rPr>
          <w:rFonts w:eastAsia="Calibri"/>
          <w:lang w:eastAsia="en-AU"/>
        </w:rPr>
      </w:pPr>
      <w:r>
        <w:rPr>
          <w:rFonts w:eastAsia="Calibri"/>
          <w:lang w:eastAsia="en-AU"/>
        </w:rPr>
        <w:t>However, i</w:t>
      </w:r>
      <w:r w:rsidR="00F60155">
        <w:rPr>
          <w:rFonts w:eastAsia="Calibri"/>
          <w:lang w:eastAsia="en-AU"/>
        </w:rPr>
        <w:t>n e</w:t>
      </w:r>
      <w:r w:rsidR="00C00B70">
        <w:rPr>
          <w:rFonts w:eastAsia="Calibri"/>
          <w:lang w:eastAsia="en-AU"/>
        </w:rPr>
        <w:t xml:space="preserve">ach </w:t>
      </w:r>
      <w:r w:rsidR="000E2321">
        <w:rPr>
          <w:rFonts w:eastAsia="Calibri"/>
          <w:lang w:eastAsia="en-AU"/>
        </w:rPr>
        <w:t>of these statements</w:t>
      </w:r>
      <w:r w:rsidR="00F60155">
        <w:rPr>
          <w:rFonts w:eastAsia="Calibri"/>
          <w:lang w:eastAsia="en-AU"/>
        </w:rPr>
        <w:t>, the ‘we’</w:t>
      </w:r>
      <w:r w:rsidR="000E2321">
        <w:rPr>
          <w:rFonts w:eastAsia="Calibri"/>
          <w:lang w:eastAsia="en-AU"/>
        </w:rPr>
        <w:t xml:space="preserve"> </w:t>
      </w:r>
      <w:r w:rsidR="009D31EC">
        <w:rPr>
          <w:rFonts w:eastAsia="Calibri"/>
          <w:lang w:eastAsia="en-AU"/>
        </w:rPr>
        <w:t>appear</w:t>
      </w:r>
      <w:r w:rsidR="00DF749A">
        <w:rPr>
          <w:rFonts w:eastAsia="Calibri"/>
          <w:lang w:eastAsia="en-AU"/>
        </w:rPr>
        <w:t>ed</w:t>
      </w:r>
      <w:r w:rsidR="009D31EC">
        <w:rPr>
          <w:rFonts w:eastAsia="Calibri"/>
          <w:lang w:eastAsia="en-AU"/>
        </w:rPr>
        <w:t xml:space="preserve"> to </w:t>
      </w:r>
      <w:r w:rsidR="00F60155">
        <w:rPr>
          <w:rFonts w:eastAsia="Calibri"/>
          <w:lang w:eastAsia="en-AU"/>
        </w:rPr>
        <w:t xml:space="preserve">refer to a wide collective, primarily </w:t>
      </w:r>
      <w:r w:rsidR="00C00B70">
        <w:rPr>
          <w:rFonts w:eastAsia="Calibri"/>
          <w:lang w:eastAsia="en-AU"/>
        </w:rPr>
        <w:t>the medical profession</w:t>
      </w:r>
      <w:r w:rsidR="005E5662">
        <w:rPr>
          <w:rFonts w:eastAsia="Calibri"/>
          <w:lang w:eastAsia="en-AU"/>
        </w:rPr>
        <w:t>.</w:t>
      </w:r>
    </w:p>
    <w:p w14:paraId="2D3173D3" w14:textId="5B5D8F51" w:rsidR="00C00B70" w:rsidRPr="0033285C" w:rsidRDefault="00C00B70" w:rsidP="00964AD3">
      <w:pPr>
        <w:spacing w:before="0" w:line="240" w:lineRule="atLeast"/>
        <w:rPr>
          <w:rFonts w:eastAsia="Calibri"/>
          <w:lang w:eastAsia="en-AU"/>
        </w:rPr>
      </w:pPr>
      <w:r w:rsidRPr="00C2026A">
        <w:rPr>
          <w:rFonts w:eastAsia="Calibri" w:cs="Arial"/>
          <w:i w:val="0"/>
          <w:snapToGrid w:val="0"/>
          <w:szCs w:val="20"/>
        </w:rPr>
        <w:t>T</w:t>
      </w:r>
      <w:r w:rsidR="006E195E">
        <w:rPr>
          <w:rFonts w:eastAsia="Calibri" w:cs="Arial"/>
          <w:i w:val="0"/>
          <w:snapToGrid w:val="0"/>
          <w:szCs w:val="20"/>
        </w:rPr>
        <w:t xml:space="preserve">he ACMA considers, </w:t>
      </w:r>
      <w:r w:rsidR="000E2321">
        <w:rPr>
          <w:rFonts w:eastAsia="Calibri" w:cs="Arial"/>
          <w:i w:val="0"/>
          <w:snapToGrid w:val="0"/>
          <w:szCs w:val="20"/>
        </w:rPr>
        <w:t xml:space="preserve">therefore, </w:t>
      </w:r>
      <w:r w:rsidR="006E195E">
        <w:rPr>
          <w:rFonts w:eastAsia="Calibri" w:cs="Arial"/>
          <w:i w:val="0"/>
          <w:snapToGrid w:val="0"/>
          <w:szCs w:val="20"/>
        </w:rPr>
        <w:t>that the</w:t>
      </w:r>
      <w:r w:rsidRPr="00C2026A">
        <w:rPr>
          <w:rFonts w:eastAsia="Calibri" w:cs="Arial"/>
          <w:i w:val="0"/>
          <w:snapToGrid w:val="0"/>
          <w:szCs w:val="20"/>
        </w:rPr>
        <w:t xml:space="preserve"> ordinary reasonable viewer would have understood </w:t>
      </w:r>
      <w:r w:rsidR="006E195E">
        <w:rPr>
          <w:rFonts w:eastAsia="Calibri" w:cs="Arial"/>
          <w:i w:val="0"/>
          <w:snapToGrid w:val="0"/>
          <w:szCs w:val="20"/>
        </w:rPr>
        <w:t xml:space="preserve">the phrase ‘we’re seeing in the laboratory’, to refer to </w:t>
      </w:r>
      <w:r w:rsidRPr="00C2026A">
        <w:rPr>
          <w:rFonts w:eastAsia="Calibri" w:cs="Arial"/>
          <w:i w:val="0"/>
          <w:snapToGrid w:val="0"/>
          <w:szCs w:val="20"/>
        </w:rPr>
        <w:t>medical laboratories</w:t>
      </w:r>
      <w:r w:rsidR="006E195E">
        <w:rPr>
          <w:rFonts w:eastAsia="Calibri" w:cs="Arial"/>
          <w:i w:val="0"/>
          <w:snapToGrid w:val="0"/>
          <w:szCs w:val="20"/>
        </w:rPr>
        <w:t xml:space="preserve"> more generally and </w:t>
      </w:r>
      <w:r w:rsidR="006E195E" w:rsidRPr="00A36680">
        <w:rPr>
          <w:rFonts w:eastAsia="Calibri" w:cs="Arial"/>
          <w:i w:val="0"/>
          <w:snapToGrid w:val="0"/>
          <w:szCs w:val="20"/>
        </w:rPr>
        <w:t>their</w:t>
      </w:r>
      <w:r w:rsidR="006E195E">
        <w:rPr>
          <w:rFonts w:eastAsia="Calibri" w:cs="Arial"/>
          <w:i w:val="0"/>
          <w:snapToGrid w:val="0"/>
          <w:szCs w:val="20"/>
        </w:rPr>
        <w:t xml:space="preserve"> </w:t>
      </w:r>
      <w:r w:rsidR="000E2321">
        <w:rPr>
          <w:rFonts w:eastAsia="Calibri" w:cs="Arial"/>
          <w:i w:val="0"/>
          <w:snapToGrid w:val="0"/>
          <w:szCs w:val="20"/>
        </w:rPr>
        <w:t xml:space="preserve">collective </w:t>
      </w:r>
      <w:r w:rsidR="006E195E">
        <w:rPr>
          <w:rFonts w:eastAsia="Calibri" w:cs="Arial"/>
          <w:i w:val="0"/>
          <w:snapToGrid w:val="0"/>
          <w:szCs w:val="20"/>
        </w:rPr>
        <w:t>observation</w:t>
      </w:r>
      <w:r w:rsidRPr="00C2026A">
        <w:rPr>
          <w:rFonts w:eastAsia="Calibri" w:cs="Arial"/>
          <w:i w:val="0"/>
          <w:snapToGrid w:val="0"/>
          <w:szCs w:val="20"/>
        </w:rPr>
        <w:t xml:space="preserve"> </w:t>
      </w:r>
      <w:r w:rsidR="006E195E">
        <w:rPr>
          <w:rFonts w:eastAsia="Calibri" w:cs="Arial"/>
          <w:i w:val="0"/>
          <w:snapToGrid w:val="0"/>
          <w:szCs w:val="20"/>
        </w:rPr>
        <w:t xml:space="preserve">of </w:t>
      </w:r>
      <w:r w:rsidRPr="00C2026A">
        <w:rPr>
          <w:rFonts w:eastAsia="Calibri" w:cs="Arial"/>
          <w:i w:val="0"/>
          <w:snapToGrid w:val="0"/>
          <w:szCs w:val="20"/>
        </w:rPr>
        <w:t>increased instances of ‘reactivated’ viruses such as Epstein-Barr, herpes and HPV as well as specific types of cancers</w:t>
      </w:r>
      <w:r w:rsidR="00F60155">
        <w:rPr>
          <w:rFonts w:eastAsia="Calibri" w:cs="Arial"/>
          <w:i w:val="0"/>
          <w:snapToGrid w:val="0"/>
          <w:szCs w:val="20"/>
        </w:rPr>
        <w:t xml:space="preserve"> </w:t>
      </w:r>
      <w:r w:rsidR="00800EE8">
        <w:rPr>
          <w:rFonts w:eastAsia="Calibri" w:cs="Arial"/>
          <w:i w:val="0"/>
          <w:snapToGrid w:val="0"/>
          <w:szCs w:val="20"/>
        </w:rPr>
        <w:t>(</w:t>
      </w:r>
      <w:r w:rsidR="00F60155">
        <w:rPr>
          <w:rFonts w:eastAsia="Calibri" w:cs="Arial"/>
          <w:i w:val="0"/>
          <w:snapToGrid w:val="0"/>
          <w:szCs w:val="20"/>
        </w:rPr>
        <w:t xml:space="preserve">and </w:t>
      </w:r>
      <w:r w:rsidR="00F60155">
        <w:rPr>
          <w:rFonts w:eastAsia="Calibri"/>
          <w:i w:val="0"/>
        </w:rPr>
        <w:t>g</w:t>
      </w:r>
      <w:r w:rsidR="006E195E" w:rsidRPr="0033285C">
        <w:rPr>
          <w:rFonts w:eastAsia="Calibri"/>
          <w:i w:val="0"/>
        </w:rPr>
        <w:t>iven the context in which the statement was made</w:t>
      </w:r>
      <w:r w:rsidR="00800EE8">
        <w:rPr>
          <w:rFonts w:eastAsia="Calibri"/>
          <w:i w:val="0"/>
        </w:rPr>
        <w:t>)</w:t>
      </w:r>
      <w:r w:rsidR="006E195E" w:rsidRPr="0033285C">
        <w:rPr>
          <w:rFonts w:eastAsia="Calibri"/>
          <w:i w:val="0"/>
        </w:rPr>
        <w:t xml:space="preserve"> amongst people who had received the </w:t>
      </w:r>
      <w:r w:rsidR="000E2321">
        <w:rPr>
          <w:rFonts w:eastAsia="Calibri"/>
          <w:i w:val="0"/>
        </w:rPr>
        <w:t xml:space="preserve">approved </w:t>
      </w:r>
      <w:r w:rsidR="006E195E" w:rsidRPr="0033285C">
        <w:rPr>
          <w:rFonts w:eastAsia="Calibri"/>
          <w:i w:val="0"/>
        </w:rPr>
        <w:t>C</w:t>
      </w:r>
      <w:r w:rsidR="0017124C">
        <w:rPr>
          <w:rFonts w:eastAsia="Calibri"/>
          <w:i w:val="0"/>
        </w:rPr>
        <w:t>OVID</w:t>
      </w:r>
      <w:r w:rsidR="00A36680">
        <w:rPr>
          <w:rFonts w:eastAsia="Calibri"/>
          <w:i w:val="0"/>
        </w:rPr>
        <w:t>-19</w:t>
      </w:r>
      <w:r w:rsidR="006E195E" w:rsidRPr="0033285C">
        <w:rPr>
          <w:rFonts w:eastAsia="Calibri"/>
          <w:i w:val="0"/>
        </w:rPr>
        <w:t xml:space="preserve"> vaccines.</w:t>
      </w:r>
    </w:p>
    <w:p w14:paraId="321A2F8A" w14:textId="52FF6DDD" w:rsidR="000D6A5E" w:rsidRPr="000D6A5E" w:rsidRDefault="000D6A5E" w:rsidP="00842456">
      <w:pPr>
        <w:spacing w:before="120" w:after="160" w:line="257" w:lineRule="auto"/>
        <w:rPr>
          <w:rFonts w:eastAsia="Calibri" w:cs="Arial"/>
          <w:b/>
          <w:bCs/>
          <w:i w:val="0"/>
          <w:snapToGrid w:val="0"/>
          <w:szCs w:val="20"/>
        </w:rPr>
      </w:pPr>
      <w:r w:rsidRPr="000D6A5E">
        <w:rPr>
          <w:rFonts w:eastAsia="Calibri" w:cs="Arial"/>
          <w:b/>
          <w:bCs/>
          <w:i w:val="0"/>
          <w:snapToGrid w:val="0"/>
          <w:szCs w:val="20"/>
        </w:rPr>
        <w:t>Was the material factual in character?</w:t>
      </w:r>
    </w:p>
    <w:p w14:paraId="79F54591" w14:textId="49E228C9" w:rsidR="00842456" w:rsidRDefault="00C8204F" w:rsidP="00D603A6">
      <w:pPr>
        <w:spacing w:before="0" w:line="240" w:lineRule="atLeast"/>
        <w:rPr>
          <w:rFonts w:eastAsia="Calibri" w:cs="Arial"/>
          <w:i w:val="0"/>
          <w:snapToGrid w:val="0"/>
          <w:szCs w:val="20"/>
        </w:rPr>
      </w:pPr>
      <w:r>
        <w:rPr>
          <w:rFonts w:eastAsia="Calibri" w:cs="Arial"/>
          <w:i w:val="0"/>
          <w:snapToGrid w:val="0"/>
          <w:szCs w:val="20"/>
        </w:rPr>
        <w:t xml:space="preserve">The </w:t>
      </w:r>
      <w:r w:rsidR="00604D09">
        <w:rPr>
          <w:rFonts w:eastAsia="Calibri" w:cs="Arial"/>
          <w:i w:val="0"/>
          <w:snapToGrid w:val="0"/>
          <w:szCs w:val="20"/>
        </w:rPr>
        <w:t>points</w:t>
      </w:r>
      <w:r w:rsidR="009D31EC">
        <w:rPr>
          <w:rFonts w:eastAsia="Calibri" w:cs="Arial"/>
          <w:i w:val="0"/>
          <w:snapToGrid w:val="0"/>
          <w:szCs w:val="20"/>
        </w:rPr>
        <w:t xml:space="preserve"> in the statement</w:t>
      </w:r>
      <w:r w:rsidR="007A6470">
        <w:rPr>
          <w:rFonts w:eastAsia="Calibri" w:cs="Arial"/>
          <w:i w:val="0"/>
          <w:snapToGrid w:val="0"/>
          <w:szCs w:val="20"/>
        </w:rPr>
        <w:t xml:space="preserve"> </w:t>
      </w:r>
      <w:r w:rsidR="00842456">
        <w:rPr>
          <w:rFonts w:eastAsia="Calibri" w:cs="Arial"/>
          <w:i w:val="0"/>
          <w:snapToGrid w:val="0"/>
          <w:szCs w:val="20"/>
        </w:rPr>
        <w:t>w</w:t>
      </w:r>
      <w:r w:rsidR="00604D09">
        <w:rPr>
          <w:rFonts w:eastAsia="Calibri" w:cs="Arial"/>
          <w:i w:val="0"/>
          <w:snapToGrid w:val="0"/>
          <w:szCs w:val="20"/>
        </w:rPr>
        <w:t>ere</w:t>
      </w:r>
      <w:r w:rsidR="00842456">
        <w:rPr>
          <w:rFonts w:eastAsia="Calibri" w:cs="Arial"/>
          <w:i w:val="0"/>
          <w:snapToGrid w:val="0"/>
          <w:szCs w:val="20"/>
        </w:rPr>
        <w:t xml:space="preserve"> </w:t>
      </w:r>
      <w:r>
        <w:rPr>
          <w:rFonts w:eastAsia="Calibri" w:cs="Arial"/>
          <w:i w:val="0"/>
          <w:snapToGrid w:val="0"/>
          <w:szCs w:val="20"/>
        </w:rPr>
        <w:t xml:space="preserve">made by </w:t>
      </w:r>
      <w:r w:rsidR="00B34D3D">
        <w:rPr>
          <w:rFonts w:eastAsia="Calibri" w:cs="Arial"/>
          <w:i w:val="0"/>
          <w:snapToGrid w:val="0"/>
          <w:szCs w:val="20"/>
        </w:rPr>
        <w:t xml:space="preserve">Dr. </w:t>
      </w:r>
      <w:r w:rsidR="00C809E5">
        <w:rPr>
          <w:rFonts w:eastAsia="Calibri" w:cs="Arial"/>
          <w:i w:val="0"/>
          <w:snapToGrid w:val="0"/>
          <w:szCs w:val="20"/>
        </w:rPr>
        <w:t>A</w:t>
      </w:r>
      <w:r>
        <w:rPr>
          <w:rFonts w:eastAsia="Calibri" w:cs="Arial"/>
          <w:i w:val="0"/>
          <w:snapToGrid w:val="0"/>
          <w:szCs w:val="20"/>
        </w:rPr>
        <w:t xml:space="preserve"> as </w:t>
      </w:r>
      <w:r w:rsidRPr="00C8204F">
        <w:rPr>
          <w:rFonts w:eastAsia="Calibri" w:cs="Arial"/>
          <w:i w:val="0"/>
          <w:snapToGrid w:val="0"/>
          <w:szCs w:val="20"/>
        </w:rPr>
        <w:t xml:space="preserve">a </w:t>
      </w:r>
      <w:r w:rsidRPr="003B11AD">
        <w:rPr>
          <w:rFonts w:eastAsia="Calibri" w:cs="Arial"/>
          <w:i w:val="0"/>
        </w:rPr>
        <w:t>qualified medical practitioner</w:t>
      </w:r>
      <w:r>
        <w:rPr>
          <w:rFonts w:eastAsia="Calibri" w:cs="Arial"/>
          <w:i w:val="0"/>
        </w:rPr>
        <w:t xml:space="preserve"> with expertise in the field</w:t>
      </w:r>
      <w:r w:rsidRPr="003B11AD">
        <w:rPr>
          <w:rFonts w:eastAsia="Calibri" w:cs="Arial"/>
          <w:i w:val="0"/>
        </w:rPr>
        <w:t xml:space="preserve"> and </w:t>
      </w:r>
      <w:r>
        <w:rPr>
          <w:rFonts w:eastAsia="Calibri" w:cs="Arial"/>
          <w:i w:val="0"/>
        </w:rPr>
        <w:t xml:space="preserve">constitute an unequivocal statement that an increase in certain other viruses and certain cancers had been observed in people who had received a </w:t>
      </w:r>
      <w:r w:rsidR="00A36680">
        <w:rPr>
          <w:rFonts w:eastAsia="Calibri" w:cs="Arial"/>
          <w:i w:val="0"/>
        </w:rPr>
        <w:t>C</w:t>
      </w:r>
      <w:r w:rsidR="0017124C">
        <w:rPr>
          <w:rFonts w:eastAsia="Calibri" w:cs="Arial"/>
          <w:i w:val="0"/>
        </w:rPr>
        <w:t>OVID</w:t>
      </w:r>
      <w:r w:rsidR="00A36680">
        <w:rPr>
          <w:rFonts w:eastAsia="Calibri" w:cs="Arial"/>
          <w:i w:val="0"/>
        </w:rPr>
        <w:t xml:space="preserve">-19 </w:t>
      </w:r>
      <w:r>
        <w:rPr>
          <w:rFonts w:eastAsia="Calibri" w:cs="Arial"/>
          <w:i w:val="0"/>
        </w:rPr>
        <w:t>vaccine. Th</w:t>
      </w:r>
      <w:r w:rsidR="009D31EC">
        <w:rPr>
          <w:rFonts w:eastAsia="Calibri" w:cs="Arial"/>
          <w:i w:val="0"/>
        </w:rPr>
        <w:t>e</w:t>
      </w:r>
      <w:r>
        <w:rPr>
          <w:rFonts w:eastAsia="Calibri" w:cs="Arial"/>
          <w:i w:val="0"/>
        </w:rPr>
        <w:t xml:space="preserve"> statement </w:t>
      </w:r>
      <w:r w:rsidR="009D31EC">
        <w:rPr>
          <w:rFonts w:eastAsia="Calibri" w:cs="Arial"/>
          <w:i w:val="0"/>
        </w:rPr>
        <w:t>wa</w:t>
      </w:r>
      <w:r>
        <w:rPr>
          <w:rFonts w:eastAsia="Calibri" w:cs="Arial"/>
          <w:i w:val="0"/>
        </w:rPr>
        <w:t xml:space="preserve">s </w:t>
      </w:r>
      <w:r w:rsidR="009D31EC">
        <w:rPr>
          <w:rFonts w:eastAsia="Calibri" w:cs="Arial"/>
          <w:i w:val="0"/>
        </w:rPr>
        <w:t xml:space="preserve">therefore </w:t>
      </w:r>
      <w:r>
        <w:rPr>
          <w:rFonts w:eastAsia="Calibri" w:cs="Arial"/>
          <w:i w:val="0"/>
        </w:rPr>
        <w:t xml:space="preserve">factual in nature and </w:t>
      </w:r>
      <w:r w:rsidR="00842456" w:rsidRPr="002A10AF">
        <w:rPr>
          <w:rFonts w:eastAsia="Calibri" w:cs="Arial"/>
          <w:i w:val="0"/>
          <w:snapToGrid w:val="0"/>
          <w:szCs w:val="20"/>
        </w:rPr>
        <w:t>capable of independent verification.</w:t>
      </w:r>
    </w:p>
    <w:p w14:paraId="4FFAF603" w14:textId="59E136DE" w:rsidR="00C8204F" w:rsidRPr="000D6A5E" w:rsidRDefault="00C8204F" w:rsidP="00C8204F">
      <w:pPr>
        <w:spacing w:before="0" w:after="160" w:line="256" w:lineRule="auto"/>
        <w:rPr>
          <w:rFonts w:eastAsia="Calibri" w:cs="Arial"/>
          <w:b/>
          <w:bCs/>
          <w:i w:val="0"/>
          <w:snapToGrid w:val="0"/>
          <w:szCs w:val="20"/>
        </w:rPr>
      </w:pPr>
      <w:r w:rsidRPr="000D6A5E">
        <w:rPr>
          <w:rFonts w:eastAsia="Calibri" w:cs="Arial"/>
          <w:b/>
          <w:bCs/>
          <w:i w:val="0"/>
          <w:snapToGrid w:val="0"/>
          <w:szCs w:val="20"/>
        </w:rPr>
        <w:t>Was the factual material accurate?</w:t>
      </w:r>
    </w:p>
    <w:p w14:paraId="11FE46B7" w14:textId="78E0BCE9" w:rsidR="00604D09" w:rsidRDefault="00B8418E" w:rsidP="000B2671">
      <w:pPr>
        <w:pStyle w:val="ACMABodyText"/>
        <w:spacing w:after="120"/>
        <w:rPr>
          <w:rFonts w:eastAsia="Calibri"/>
        </w:rPr>
      </w:pPr>
      <w:r>
        <w:rPr>
          <w:rFonts w:eastAsia="Calibri"/>
        </w:rPr>
        <w:t>T</w:t>
      </w:r>
      <w:r w:rsidR="00604D09">
        <w:rPr>
          <w:rFonts w:eastAsia="Calibri"/>
        </w:rPr>
        <w:t xml:space="preserve">he </w:t>
      </w:r>
      <w:r w:rsidR="002A7DA8">
        <w:rPr>
          <w:rFonts w:eastAsia="Calibri"/>
        </w:rPr>
        <w:t>L</w:t>
      </w:r>
      <w:r w:rsidR="00604D09">
        <w:rPr>
          <w:rFonts w:eastAsia="Calibri"/>
        </w:rPr>
        <w:t>icensee submitted:</w:t>
      </w:r>
    </w:p>
    <w:p w14:paraId="44EA3719" w14:textId="74181C0B" w:rsidR="0086647E" w:rsidRPr="00A261A5" w:rsidRDefault="00604D09" w:rsidP="00907040">
      <w:pPr>
        <w:pStyle w:val="ACMABodyText"/>
        <w:ind w:left="709"/>
        <w:rPr>
          <w:rFonts w:eastAsia="Calibri" w:cs="Arial"/>
          <w:sz w:val="18"/>
          <w:szCs w:val="18"/>
        </w:rPr>
      </w:pPr>
      <w:r w:rsidRPr="00A261A5">
        <w:rPr>
          <w:rFonts w:eastAsia="Calibri" w:cs="Arial"/>
          <w:sz w:val="18"/>
          <w:szCs w:val="18"/>
        </w:rPr>
        <w:t xml:space="preserve">As a qualified medical professional, </w:t>
      </w:r>
      <w:r w:rsidR="00B34D3D">
        <w:rPr>
          <w:rFonts w:eastAsia="Calibri" w:cs="Arial"/>
          <w:sz w:val="18"/>
          <w:szCs w:val="18"/>
        </w:rPr>
        <w:t xml:space="preserve">Dr. </w:t>
      </w:r>
      <w:r w:rsidR="00C809E5">
        <w:rPr>
          <w:rFonts w:eastAsia="Calibri" w:cs="Arial"/>
          <w:sz w:val="18"/>
          <w:szCs w:val="18"/>
        </w:rPr>
        <w:t>A</w:t>
      </w:r>
      <w:r w:rsidRPr="00A261A5">
        <w:rPr>
          <w:rFonts w:eastAsia="Calibri" w:cs="Arial"/>
          <w:sz w:val="18"/>
          <w:szCs w:val="18"/>
        </w:rPr>
        <w:t xml:space="preserve"> is entitled to present his views and observations, especially in regard to matters of public importance such as the effectiveness of measures which currently exist to limit the spread or severity of COVID</w:t>
      </w:r>
      <w:r w:rsidRPr="00A261A5">
        <w:rPr>
          <w:rFonts w:ascii="Cambria Math" w:eastAsia="Calibri" w:hAnsi="Cambria Math" w:cs="Cambria Math"/>
          <w:sz w:val="18"/>
          <w:szCs w:val="18"/>
        </w:rPr>
        <w:t>‐</w:t>
      </w:r>
      <w:r w:rsidRPr="00A261A5">
        <w:rPr>
          <w:rFonts w:eastAsia="Calibri" w:cs="Arial"/>
          <w:sz w:val="18"/>
          <w:szCs w:val="18"/>
        </w:rPr>
        <w:t>19.</w:t>
      </w:r>
    </w:p>
    <w:p w14:paraId="77CD99E9" w14:textId="4656CE50" w:rsidR="00604D09" w:rsidRDefault="00716774" w:rsidP="00A261A5">
      <w:pPr>
        <w:pStyle w:val="ACMABodyText"/>
        <w:rPr>
          <w:rFonts w:eastAsia="Calibri"/>
        </w:rPr>
      </w:pPr>
      <w:r>
        <w:rPr>
          <w:rFonts w:eastAsia="Calibri"/>
          <w:lang w:eastAsia="en-AU"/>
        </w:rPr>
        <w:lastRenderedPageBreak/>
        <w:t>One s</w:t>
      </w:r>
      <w:r w:rsidR="00604D09" w:rsidRPr="00C8204F">
        <w:rPr>
          <w:rFonts w:eastAsia="Calibri"/>
          <w:lang w:eastAsia="en-AU"/>
        </w:rPr>
        <w:t>tud</w:t>
      </w:r>
      <w:r>
        <w:rPr>
          <w:rFonts w:eastAsia="Calibri"/>
          <w:lang w:eastAsia="en-AU"/>
        </w:rPr>
        <w:t>y</w:t>
      </w:r>
      <w:r w:rsidR="00604D09" w:rsidRPr="00C8204F">
        <w:rPr>
          <w:rFonts w:eastAsia="Calibri"/>
          <w:lang w:eastAsia="en-AU"/>
        </w:rPr>
        <w:t xml:space="preserve"> </w:t>
      </w:r>
      <w:r w:rsidR="00493308">
        <w:rPr>
          <w:rFonts w:eastAsia="Calibri"/>
          <w:lang w:eastAsia="en-AU"/>
        </w:rPr>
        <w:t>cited</w:t>
      </w:r>
      <w:r w:rsidR="007A6470" w:rsidRPr="00C8204F">
        <w:rPr>
          <w:rFonts w:eastAsia="Calibri"/>
          <w:lang w:eastAsia="en-AU"/>
        </w:rPr>
        <w:t xml:space="preserve"> </w:t>
      </w:r>
      <w:r w:rsidR="00604D09" w:rsidRPr="00C8204F">
        <w:rPr>
          <w:rFonts w:eastAsia="Calibri"/>
          <w:lang w:eastAsia="en-AU"/>
        </w:rPr>
        <w:t xml:space="preserve">by the </w:t>
      </w:r>
      <w:r w:rsidR="002A7DA8">
        <w:rPr>
          <w:rFonts w:eastAsia="Calibri"/>
          <w:lang w:eastAsia="en-AU"/>
        </w:rPr>
        <w:t>L</w:t>
      </w:r>
      <w:r w:rsidR="00604D09" w:rsidRPr="00C8204F">
        <w:rPr>
          <w:rFonts w:eastAsia="Calibri"/>
          <w:lang w:eastAsia="en-AU"/>
        </w:rPr>
        <w:t xml:space="preserve">icensee </w:t>
      </w:r>
      <w:r w:rsidR="00604D09" w:rsidRPr="00C8204F">
        <w:rPr>
          <w:rFonts w:eastAsia="Calibri"/>
        </w:rPr>
        <w:t>examined whether there w</w:t>
      </w:r>
      <w:r>
        <w:rPr>
          <w:rFonts w:eastAsia="Calibri"/>
        </w:rPr>
        <w:t>as</w:t>
      </w:r>
      <w:r w:rsidR="007A6470" w:rsidRPr="00C8204F">
        <w:rPr>
          <w:rFonts w:eastAsia="Calibri"/>
        </w:rPr>
        <w:t xml:space="preserve"> </w:t>
      </w:r>
      <w:r w:rsidR="00604D09" w:rsidRPr="00C8204F">
        <w:rPr>
          <w:rFonts w:eastAsia="Calibri"/>
        </w:rPr>
        <w:t xml:space="preserve">a connection between </w:t>
      </w:r>
      <w:r w:rsidR="00F479AD">
        <w:rPr>
          <w:rFonts w:eastAsia="Calibri"/>
        </w:rPr>
        <w:t>COVID</w:t>
      </w:r>
      <w:r w:rsidR="00A261A5">
        <w:rPr>
          <w:rFonts w:eastAsia="Calibri"/>
        </w:rPr>
        <w:t>-19</w:t>
      </w:r>
      <w:r w:rsidR="00493308">
        <w:rPr>
          <w:rFonts w:eastAsia="Calibri"/>
        </w:rPr>
        <w:t xml:space="preserve"> infection</w:t>
      </w:r>
      <w:r w:rsidR="00604D09" w:rsidRPr="00C8204F">
        <w:rPr>
          <w:rFonts w:eastAsia="Calibri"/>
        </w:rPr>
        <w:t xml:space="preserve"> and reactivation of Epstein-Barr virus (EBV)</w:t>
      </w:r>
      <w:r w:rsidR="009305B2" w:rsidRPr="009305B2">
        <w:rPr>
          <w:rStyle w:val="FootnoteReference"/>
          <w:rFonts w:eastAsia="Calibri"/>
        </w:rPr>
        <w:t xml:space="preserve"> </w:t>
      </w:r>
      <w:r w:rsidR="009305B2">
        <w:rPr>
          <w:rStyle w:val="FootnoteReference"/>
          <w:rFonts w:eastAsia="Calibri"/>
        </w:rPr>
        <w:footnoteReference w:id="8"/>
      </w:r>
      <w:r w:rsidR="00604D09" w:rsidRPr="00C8204F">
        <w:rPr>
          <w:rFonts w:eastAsia="Calibri"/>
        </w:rPr>
        <w:t xml:space="preserve"> and </w:t>
      </w:r>
      <w:r>
        <w:rPr>
          <w:rFonts w:eastAsia="Calibri"/>
        </w:rPr>
        <w:t>in another two</w:t>
      </w:r>
      <w:r w:rsidR="00493308">
        <w:rPr>
          <w:rFonts w:eastAsia="Calibri"/>
        </w:rPr>
        <w:t xml:space="preserve">, </w:t>
      </w:r>
      <w:r w:rsidR="00604D09" w:rsidRPr="00C8204F">
        <w:rPr>
          <w:rFonts w:eastAsia="Calibri"/>
        </w:rPr>
        <w:t>link</w:t>
      </w:r>
      <w:r w:rsidR="00493308">
        <w:rPr>
          <w:rFonts w:eastAsia="Calibri"/>
        </w:rPr>
        <w:t>s</w:t>
      </w:r>
      <w:r w:rsidR="00604D09" w:rsidRPr="00C8204F">
        <w:rPr>
          <w:rFonts w:eastAsia="Calibri"/>
        </w:rPr>
        <w:t xml:space="preserve"> </w:t>
      </w:r>
      <w:r w:rsidR="007A6470" w:rsidRPr="00C8204F">
        <w:rPr>
          <w:rFonts w:eastAsia="Calibri"/>
        </w:rPr>
        <w:t>between C</w:t>
      </w:r>
      <w:r w:rsidR="00291772">
        <w:rPr>
          <w:rFonts w:eastAsia="Calibri"/>
        </w:rPr>
        <w:t>OVID</w:t>
      </w:r>
      <w:r w:rsidR="00604D09" w:rsidRPr="00C8204F">
        <w:rPr>
          <w:rFonts w:eastAsia="Calibri"/>
        </w:rPr>
        <w:t xml:space="preserve">-19 vaccination and </w:t>
      </w:r>
      <w:r>
        <w:rPr>
          <w:rFonts w:eastAsia="Calibri"/>
        </w:rPr>
        <w:t xml:space="preserve">reactivated </w:t>
      </w:r>
      <w:r w:rsidR="00604D09" w:rsidRPr="00C8204F">
        <w:rPr>
          <w:rFonts w:eastAsia="Calibri"/>
        </w:rPr>
        <w:t>herpes</w:t>
      </w:r>
      <w:r w:rsidR="003A1FD2">
        <w:rPr>
          <w:rFonts w:eastAsia="Calibri"/>
        </w:rPr>
        <w:t>.</w:t>
      </w:r>
      <w:r w:rsidR="009305B2">
        <w:rPr>
          <w:rStyle w:val="FootnoteReference"/>
          <w:rFonts w:eastAsia="Calibri"/>
        </w:rPr>
        <w:footnoteReference w:id="9"/>
      </w:r>
    </w:p>
    <w:p w14:paraId="3B261995" w14:textId="2CE63E5F" w:rsidR="00493308" w:rsidRDefault="00C8352E" w:rsidP="00604D09">
      <w:pPr>
        <w:pStyle w:val="ACMABodyText"/>
        <w:rPr>
          <w:rFonts w:eastAsia="Calibri"/>
        </w:rPr>
      </w:pPr>
      <w:r>
        <w:rPr>
          <w:rFonts w:eastAsia="Calibri"/>
        </w:rPr>
        <w:t xml:space="preserve">As noted above, the ACMA considers that </w:t>
      </w:r>
      <w:r w:rsidR="00354B10">
        <w:rPr>
          <w:rFonts w:eastAsia="Calibri"/>
        </w:rPr>
        <w:t>an ordinary</w:t>
      </w:r>
      <w:r>
        <w:rPr>
          <w:rFonts w:eastAsia="Calibri"/>
        </w:rPr>
        <w:t xml:space="preserve"> reasonable viewer would have understood </w:t>
      </w:r>
      <w:r w:rsidR="00B34D3D">
        <w:rPr>
          <w:rFonts w:eastAsia="Calibri"/>
        </w:rPr>
        <w:t xml:space="preserve">Dr. </w:t>
      </w:r>
      <w:r w:rsidR="00C809E5">
        <w:rPr>
          <w:rFonts w:eastAsia="Calibri"/>
        </w:rPr>
        <w:t>A</w:t>
      </w:r>
      <w:r>
        <w:rPr>
          <w:rFonts w:eastAsia="Calibri"/>
        </w:rPr>
        <w:t xml:space="preserve"> to be referring to </w:t>
      </w:r>
      <w:r w:rsidR="00354B10">
        <w:rPr>
          <w:rFonts w:eastAsia="Calibri"/>
        </w:rPr>
        <w:t xml:space="preserve">observations made by </w:t>
      </w:r>
      <w:r>
        <w:rPr>
          <w:rFonts w:eastAsia="Calibri"/>
        </w:rPr>
        <w:t>the broader medical p</w:t>
      </w:r>
      <w:r w:rsidR="00354B10">
        <w:rPr>
          <w:rFonts w:eastAsia="Calibri"/>
        </w:rPr>
        <w:t>rofession</w:t>
      </w:r>
      <w:r>
        <w:rPr>
          <w:rFonts w:eastAsia="Calibri"/>
        </w:rPr>
        <w:t xml:space="preserve"> rather than </w:t>
      </w:r>
      <w:r w:rsidR="0097590F">
        <w:rPr>
          <w:rFonts w:eastAsia="Calibri"/>
        </w:rPr>
        <w:t xml:space="preserve">their </w:t>
      </w:r>
      <w:r>
        <w:rPr>
          <w:rFonts w:eastAsia="Calibri"/>
        </w:rPr>
        <w:t xml:space="preserve">own </w:t>
      </w:r>
      <w:r w:rsidR="002F0F13">
        <w:rPr>
          <w:rFonts w:eastAsia="Calibri"/>
        </w:rPr>
        <w:t xml:space="preserve">observations from </w:t>
      </w:r>
      <w:r>
        <w:rPr>
          <w:rFonts w:eastAsia="Calibri"/>
        </w:rPr>
        <w:t>studies</w:t>
      </w:r>
      <w:r w:rsidR="00354B10">
        <w:rPr>
          <w:rFonts w:eastAsia="Calibri"/>
        </w:rPr>
        <w:t xml:space="preserve">, and </w:t>
      </w:r>
      <w:r w:rsidR="00493308">
        <w:rPr>
          <w:rFonts w:eastAsia="Calibri"/>
        </w:rPr>
        <w:t>to</w:t>
      </w:r>
      <w:r w:rsidR="00354B10">
        <w:rPr>
          <w:rFonts w:eastAsia="Calibri"/>
        </w:rPr>
        <w:t xml:space="preserve"> observed consequences of</w:t>
      </w:r>
      <w:r w:rsidR="00493308">
        <w:rPr>
          <w:rFonts w:eastAsia="Calibri"/>
        </w:rPr>
        <w:t xml:space="preserve"> </w:t>
      </w:r>
      <w:r w:rsidRPr="00021B28">
        <w:rPr>
          <w:rFonts w:eastAsia="Calibri" w:cs="Arial"/>
        </w:rPr>
        <w:t>C</w:t>
      </w:r>
      <w:r w:rsidR="00291772">
        <w:rPr>
          <w:rFonts w:eastAsia="Calibri" w:cs="Arial"/>
        </w:rPr>
        <w:t>OVID</w:t>
      </w:r>
      <w:r w:rsidRPr="00021B28">
        <w:rPr>
          <w:rFonts w:eastAsia="Calibri" w:cs="Arial"/>
        </w:rPr>
        <w:t>-19 vaccinations</w:t>
      </w:r>
      <w:r>
        <w:rPr>
          <w:rFonts w:eastAsia="Calibri" w:cs="Arial"/>
        </w:rPr>
        <w:t xml:space="preserve"> rather than</w:t>
      </w:r>
      <w:r w:rsidR="00354B10">
        <w:rPr>
          <w:rFonts w:eastAsia="Calibri" w:cs="Arial"/>
        </w:rPr>
        <w:t xml:space="preserve"> of</w:t>
      </w:r>
      <w:r>
        <w:rPr>
          <w:rFonts w:eastAsia="Calibri" w:cs="Arial"/>
        </w:rPr>
        <w:t xml:space="preserve"> </w:t>
      </w:r>
      <w:r w:rsidR="002F0F13">
        <w:rPr>
          <w:rFonts w:eastAsia="Calibri" w:cs="Arial"/>
        </w:rPr>
        <w:t xml:space="preserve">the </w:t>
      </w:r>
      <w:r w:rsidRPr="00C8204F">
        <w:rPr>
          <w:rFonts w:eastAsia="Calibri"/>
        </w:rPr>
        <w:t>C</w:t>
      </w:r>
      <w:r w:rsidR="00291772">
        <w:rPr>
          <w:rFonts w:eastAsia="Calibri"/>
        </w:rPr>
        <w:t>OVID</w:t>
      </w:r>
      <w:r w:rsidR="00DB7710">
        <w:rPr>
          <w:rFonts w:eastAsia="Calibri"/>
        </w:rPr>
        <w:t>-19</w:t>
      </w:r>
      <w:r w:rsidR="00493308">
        <w:rPr>
          <w:rFonts w:eastAsia="Calibri"/>
        </w:rPr>
        <w:t xml:space="preserve"> infection</w:t>
      </w:r>
      <w:r>
        <w:rPr>
          <w:rFonts w:eastAsia="Calibri"/>
        </w:rPr>
        <w:t xml:space="preserve">. </w:t>
      </w:r>
    </w:p>
    <w:p w14:paraId="2EC458D2" w14:textId="63617F3E" w:rsidR="00C91766" w:rsidRDefault="00C8352E" w:rsidP="00604D09">
      <w:pPr>
        <w:pStyle w:val="ACMABodyText"/>
        <w:rPr>
          <w:rFonts w:eastAsia="Calibri"/>
        </w:rPr>
      </w:pPr>
      <w:r>
        <w:rPr>
          <w:rFonts w:eastAsia="Calibri"/>
        </w:rPr>
        <w:t>A</w:t>
      </w:r>
      <w:r w:rsidR="00354B10">
        <w:rPr>
          <w:rFonts w:eastAsia="Calibri"/>
        </w:rPr>
        <w:t>ccordingly</w:t>
      </w:r>
      <w:r>
        <w:rPr>
          <w:rFonts w:eastAsia="Calibri"/>
        </w:rPr>
        <w:t xml:space="preserve">, the ACMA does not consider the evidence submitted by the </w:t>
      </w:r>
      <w:r w:rsidR="002A7DA8">
        <w:rPr>
          <w:rFonts w:eastAsia="Calibri"/>
        </w:rPr>
        <w:t>L</w:t>
      </w:r>
      <w:r>
        <w:rPr>
          <w:rFonts w:eastAsia="Calibri"/>
        </w:rPr>
        <w:t xml:space="preserve">icensee regarding </w:t>
      </w:r>
      <w:r w:rsidR="00716774">
        <w:rPr>
          <w:rFonts w:eastAsia="Calibri"/>
        </w:rPr>
        <w:t xml:space="preserve">the </w:t>
      </w:r>
      <w:r>
        <w:rPr>
          <w:rFonts w:eastAsia="Calibri"/>
        </w:rPr>
        <w:t>study in</w:t>
      </w:r>
      <w:r w:rsidR="00716774">
        <w:rPr>
          <w:rFonts w:eastAsia="Calibri"/>
        </w:rPr>
        <w:t>to</w:t>
      </w:r>
      <w:r w:rsidR="00354B10">
        <w:rPr>
          <w:rFonts w:eastAsia="Calibri"/>
        </w:rPr>
        <w:t xml:space="preserve"> the</w:t>
      </w:r>
      <w:r w:rsidR="00716774">
        <w:rPr>
          <w:rFonts w:eastAsia="Calibri"/>
        </w:rPr>
        <w:t xml:space="preserve"> Epstein-Barr</w:t>
      </w:r>
      <w:r w:rsidR="00354B10">
        <w:rPr>
          <w:rFonts w:eastAsia="Calibri"/>
        </w:rPr>
        <w:t xml:space="preserve"> virus</w:t>
      </w:r>
      <w:r w:rsidR="00716774">
        <w:rPr>
          <w:rFonts w:eastAsia="Calibri"/>
        </w:rPr>
        <w:t xml:space="preserve"> to be relevant to the question of the accuracy of the statement</w:t>
      </w:r>
      <w:r>
        <w:rPr>
          <w:rFonts w:eastAsia="Calibri"/>
        </w:rPr>
        <w:t xml:space="preserve">. </w:t>
      </w:r>
      <w:r w:rsidR="00716774">
        <w:rPr>
          <w:rFonts w:eastAsia="Calibri"/>
        </w:rPr>
        <w:t>As noted, the Licensee cite</w:t>
      </w:r>
      <w:r w:rsidR="003F4F33">
        <w:rPr>
          <w:rFonts w:eastAsia="Calibri"/>
        </w:rPr>
        <w:t>d</w:t>
      </w:r>
      <w:r w:rsidR="00716774">
        <w:rPr>
          <w:rFonts w:eastAsia="Calibri"/>
        </w:rPr>
        <w:t xml:space="preserve"> two studies examining a link between the </w:t>
      </w:r>
      <w:r w:rsidR="00DB7710">
        <w:rPr>
          <w:rFonts w:eastAsia="Calibri"/>
        </w:rPr>
        <w:t>C</w:t>
      </w:r>
      <w:r w:rsidR="00291772">
        <w:rPr>
          <w:rFonts w:eastAsia="Calibri"/>
        </w:rPr>
        <w:t>OVID</w:t>
      </w:r>
      <w:r w:rsidR="00DB7710">
        <w:rPr>
          <w:rFonts w:eastAsia="Calibri"/>
        </w:rPr>
        <w:t xml:space="preserve">-19 </w:t>
      </w:r>
      <w:r w:rsidR="00716774">
        <w:rPr>
          <w:rFonts w:eastAsia="Calibri"/>
        </w:rPr>
        <w:t>vaccine and reactivated herpes virus.</w:t>
      </w:r>
      <w:r w:rsidR="00967FE5" w:rsidRPr="00967FE5">
        <w:rPr>
          <w:rFonts w:eastAsia="Calibri"/>
        </w:rPr>
        <w:t xml:space="preserve"> </w:t>
      </w:r>
      <w:r w:rsidR="00C91766">
        <w:rPr>
          <w:rFonts w:eastAsia="Calibri"/>
        </w:rPr>
        <w:t xml:space="preserve">The studies cited </w:t>
      </w:r>
      <w:r w:rsidR="007B02A3">
        <w:rPr>
          <w:rFonts w:eastAsia="Calibri"/>
        </w:rPr>
        <w:t xml:space="preserve">3 </w:t>
      </w:r>
      <w:r w:rsidR="00C91766">
        <w:rPr>
          <w:rFonts w:eastAsia="Calibri"/>
        </w:rPr>
        <w:t xml:space="preserve">specific cases </w:t>
      </w:r>
      <w:r w:rsidR="007B02A3">
        <w:rPr>
          <w:rFonts w:eastAsia="Calibri"/>
        </w:rPr>
        <w:t xml:space="preserve">of patients </w:t>
      </w:r>
      <w:r w:rsidR="00C91766">
        <w:rPr>
          <w:rFonts w:eastAsia="Calibri"/>
        </w:rPr>
        <w:t xml:space="preserve">who developed herpes after </w:t>
      </w:r>
      <w:r w:rsidR="002F0F13">
        <w:rPr>
          <w:rFonts w:eastAsia="Calibri"/>
        </w:rPr>
        <w:t xml:space="preserve">the </w:t>
      </w:r>
      <w:r w:rsidR="00C91766">
        <w:rPr>
          <w:rFonts w:eastAsia="Calibri"/>
        </w:rPr>
        <w:t>C</w:t>
      </w:r>
      <w:r w:rsidR="00291772">
        <w:rPr>
          <w:rFonts w:eastAsia="Calibri"/>
        </w:rPr>
        <w:t>OVID</w:t>
      </w:r>
      <w:r w:rsidR="00C91766">
        <w:rPr>
          <w:rFonts w:eastAsia="Calibri"/>
        </w:rPr>
        <w:t>-19 vaccination</w:t>
      </w:r>
      <w:r w:rsidR="007B02A3">
        <w:rPr>
          <w:rFonts w:eastAsia="Calibri"/>
        </w:rPr>
        <w:t xml:space="preserve">. Both studies </w:t>
      </w:r>
      <w:r w:rsidR="00354B10">
        <w:rPr>
          <w:rFonts w:eastAsia="Calibri"/>
        </w:rPr>
        <w:t>stated that</w:t>
      </w:r>
      <w:r w:rsidR="007B02A3">
        <w:rPr>
          <w:rFonts w:eastAsia="Calibri"/>
        </w:rPr>
        <w:t xml:space="preserve"> the association between the C</w:t>
      </w:r>
      <w:r w:rsidR="00291772">
        <w:rPr>
          <w:rFonts w:eastAsia="Calibri"/>
        </w:rPr>
        <w:t>OVID</w:t>
      </w:r>
      <w:r w:rsidR="007B02A3">
        <w:rPr>
          <w:rFonts w:eastAsia="Calibri"/>
        </w:rPr>
        <w:t xml:space="preserve">-19 vaccine and the reactivation of </w:t>
      </w:r>
      <w:r w:rsidR="002F0F13">
        <w:rPr>
          <w:rFonts w:eastAsia="Calibri"/>
        </w:rPr>
        <w:t xml:space="preserve">the </w:t>
      </w:r>
      <w:r w:rsidR="007B02A3">
        <w:rPr>
          <w:rFonts w:eastAsia="Calibri"/>
        </w:rPr>
        <w:t xml:space="preserve">herpes virus was inconclusive </w:t>
      </w:r>
      <w:r w:rsidR="00C91766">
        <w:rPr>
          <w:rFonts w:eastAsia="Calibri"/>
        </w:rPr>
        <w:t xml:space="preserve">and </w:t>
      </w:r>
      <w:r w:rsidR="007B02A3">
        <w:rPr>
          <w:rFonts w:eastAsia="Calibri"/>
        </w:rPr>
        <w:t>further studies w</w:t>
      </w:r>
      <w:r w:rsidR="00354B10">
        <w:rPr>
          <w:rFonts w:eastAsia="Calibri"/>
        </w:rPr>
        <w:t>ould</w:t>
      </w:r>
      <w:r w:rsidR="007B02A3">
        <w:rPr>
          <w:rFonts w:eastAsia="Calibri"/>
        </w:rPr>
        <w:t xml:space="preserve"> be </w:t>
      </w:r>
      <w:r w:rsidR="00316346">
        <w:rPr>
          <w:rFonts w:eastAsia="Calibri"/>
        </w:rPr>
        <w:t>needed</w:t>
      </w:r>
      <w:r w:rsidR="007B02A3">
        <w:rPr>
          <w:rFonts w:eastAsia="Calibri"/>
        </w:rPr>
        <w:t xml:space="preserve"> to find a possible relationship. </w:t>
      </w:r>
      <w:r w:rsidR="00C91766">
        <w:rPr>
          <w:rFonts w:eastAsia="Calibri"/>
        </w:rPr>
        <w:t xml:space="preserve"> </w:t>
      </w:r>
    </w:p>
    <w:p w14:paraId="6FCB52FE" w14:textId="4F31AA51" w:rsidR="00C8204F" w:rsidRDefault="00967FE5" w:rsidP="00604D09">
      <w:pPr>
        <w:pStyle w:val="ACMABodyText"/>
        <w:rPr>
          <w:rFonts w:eastAsia="Calibri"/>
        </w:rPr>
      </w:pPr>
      <w:r>
        <w:rPr>
          <w:rFonts w:eastAsia="Calibri"/>
        </w:rPr>
        <w:t>The Licensee did not cite any studies examining an increase in</w:t>
      </w:r>
      <w:r w:rsidR="002F0F13">
        <w:rPr>
          <w:rFonts w:eastAsia="Calibri"/>
        </w:rPr>
        <w:t xml:space="preserve"> the</w:t>
      </w:r>
      <w:r>
        <w:rPr>
          <w:rFonts w:eastAsia="Calibri"/>
        </w:rPr>
        <w:t xml:space="preserve"> </w:t>
      </w:r>
      <w:r w:rsidR="000B13E7">
        <w:rPr>
          <w:rFonts w:eastAsia="Calibri"/>
        </w:rPr>
        <w:t xml:space="preserve">HPV </w:t>
      </w:r>
      <w:r w:rsidR="00A15980">
        <w:rPr>
          <w:rFonts w:eastAsia="Calibri"/>
        </w:rPr>
        <w:t xml:space="preserve">virus </w:t>
      </w:r>
      <w:r w:rsidR="000B13E7">
        <w:rPr>
          <w:rFonts w:eastAsia="Calibri"/>
        </w:rPr>
        <w:t xml:space="preserve">and </w:t>
      </w:r>
      <w:r>
        <w:rPr>
          <w:rFonts w:eastAsia="Calibri"/>
        </w:rPr>
        <w:t xml:space="preserve">cancers as a result of receiving the </w:t>
      </w:r>
      <w:r w:rsidR="000B13E7">
        <w:rPr>
          <w:rFonts w:eastAsia="Calibri"/>
        </w:rPr>
        <w:t>C</w:t>
      </w:r>
      <w:r w:rsidR="00291772">
        <w:rPr>
          <w:rFonts w:eastAsia="Calibri"/>
        </w:rPr>
        <w:t>OVID</w:t>
      </w:r>
      <w:r w:rsidR="000B13E7">
        <w:rPr>
          <w:rFonts w:eastAsia="Calibri"/>
        </w:rPr>
        <w:t xml:space="preserve">-19 </w:t>
      </w:r>
      <w:r>
        <w:rPr>
          <w:rFonts w:eastAsia="Calibri"/>
        </w:rPr>
        <w:t>vaccine.</w:t>
      </w:r>
      <w:r w:rsidDel="00716774">
        <w:rPr>
          <w:rFonts w:eastAsia="Calibri"/>
        </w:rPr>
        <w:t xml:space="preserve"> </w:t>
      </w:r>
    </w:p>
    <w:p w14:paraId="4E6C4F47" w14:textId="09F5CF66" w:rsidR="003F4F33" w:rsidRDefault="00A15980" w:rsidP="00604D09">
      <w:pPr>
        <w:pStyle w:val="ACMABodyText"/>
        <w:rPr>
          <w:rFonts w:eastAsia="Calibri"/>
        </w:rPr>
      </w:pPr>
      <w:r>
        <w:rPr>
          <w:rFonts w:eastAsia="Calibri"/>
        </w:rPr>
        <w:t xml:space="preserve">The ACMA found no evidence to suggest the connection between </w:t>
      </w:r>
      <w:r w:rsidR="002F0F13">
        <w:rPr>
          <w:rFonts w:eastAsia="Calibri"/>
        </w:rPr>
        <w:t xml:space="preserve">the </w:t>
      </w:r>
      <w:r>
        <w:rPr>
          <w:rFonts w:eastAsia="Calibri"/>
        </w:rPr>
        <w:t>C</w:t>
      </w:r>
      <w:r w:rsidR="00291772">
        <w:rPr>
          <w:rFonts w:eastAsia="Calibri"/>
        </w:rPr>
        <w:t>OVID</w:t>
      </w:r>
      <w:r>
        <w:rPr>
          <w:rFonts w:eastAsia="Calibri"/>
        </w:rPr>
        <w:t xml:space="preserve">-19 vaccine and the reactivation of </w:t>
      </w:r>
      <w:r w:rsidR="002F0F13">
        <w:rPr>
          <w:rFonts w:eastAsia="Calibri"/>
        </w:rPr>
        <w:t xml:space="preserve">the </w:t>
      </w:r>
      <w:r>
        <w:rPr>
          <w:rFonts w:eastAsia="Calibri"/>
        </w:rPr>
        <w:t xml:space="preserve">HPV. </w:t>
      </w:r>
      <w:r w:rsidR="00967FE5">
        <w:rPr>
          <w:rFonts w:eastAsia="Calibri"/>
        </w:rPr>
        <w:t>Australian medical authorities have advised that C</w:t>
      </w:r>
      <w:r w:rsidR="00291772">
        <w:rPr>
          <w:rFonts w:eastAsia="Calibri"/>
        </w:rPr>
        <w:t>OVID</w:t>
      </w:r>
      <w:r w:rsidR="000B13E7">
        <w:rPr>
          <w:rFonts w:eastAsia="Calibri"/>
        </w:rPr>
        <w:t>-19</w:t>
      </w:r>
      <w:r w:rsidR="00967FE5">
        <w:rPr>
          <w:rFonts w:eastAsia="Calibri"/>
        </w:rPr>
        <w:t xml:space="preserve"> vaccines are safe for people affected by cancer</w:t>
      </w:r>
      <w:r w:rsidR="00D91AD6">
        <w:rPr>
          <w:rFonts w:eastAsia="Calibri"/>
        </w:rPr>
        <w:t>.</w:t>
      </w:r>
      <w:r w:rsidR="00967FE5">
        <w:rPr>
          <w:rStyle w:val="FootnoteReference"/>
          <w:rFonts w:eastAsia="Calibri"/>
        </w:rPr>
        <w:footnoteReference w:id="10"/>
      </w:r>
      <w:r w:rsidR="00967FE5">
        <w:rPr>
          <w:rFonts w:eastAsia="Calibri"/>
        </w:rPr>
        <w:t xml:space="preserve"> Press reports published prior to the broadcast have d</w:t>
      </w:r>
      <w:r w:rsidR="0071386C">
        <w:rPr>
          <w:rFonts w:eastAsia="Calibri"/>
        </w:rPr>
        <w:t>isputed</w:t>
      </w:r>
      <w:r w:rsidR="00967FE5">
        <w:rPr>
          <w:rFonts w:eastAsia="Calibri"/>
        </w:rPr>
        <w:t xml:space="preserve"> claims linking cancer with mRNA C</w:t>
      </w:r>
      <w:r w:rsidR="00291772">
        <w:rPr>
          <w:rFonts w:eastAsia="Calibri"/>
        </w:rPr>
        <w:t>OVID</w:t>
      </w:r>
      <w:r w:rsidR="00B2488E">
        <w:rPr>
          <w:rFonts w:eastAsia="Calibri"/>
        </w:rPr>
        <w:t>-19</w:t>
      </w:r>
      <w:r w:rsidR="00967FE5">
        <w:rPr>
          <w:rFonts w:eastAsia="Calibri"/>
        </w:rPr>
        <w:t xml:space="preserve"> vaccines</w:t>
      </w:r>
      <w:r w:rsidR="00D91AD6">
        <w:rPr>
          <w:rFonts w:eastAsia="Calibri"/>
        </w:rPr>
        <w:t>.</w:t>
      </w:r>
      <w:r w:rsidR="00967FE5">
        <w:rPr>
          <w:rStyle w:val="FootnoteReference"/>
          <w:rFonts w:eastAsia="Calibri"/>
        </w:rPr>
        <w:footnoteReference w:id="11"/>
      </w:r>
      <w:r w:rsidR="00967FE5">
        <w:rPr>
          <w:rFonts w:eastAsia="Calibri"/>
        </w:rPr>
        <w:t xml:space="preserve"> There have, however, been reports of false positive cancer diagnoses following </w:t>
      </w:r>
      <w:r w:rsidR="002F0F13">
        <w:rPr>
          <w:rFonts w:eastAsia="Calibri"/>
        </w:rPr>
        <w:t xml:space="preserve">the </w:t>
      </w:r>
      <w:r w:rsidR="000B13E7">
        <w:rPr>
          <w:rFonts w:eastAsia="Calibri"/>
        </w:rPr>
        <w:t>C</w:t>
      </w:r>
      <w:r w:rsidR="00291772">
        <w:rPr>
          <w:rFonts w:eastAsia="Calibri"/>
        </w:rPr>
        <w:t>OVID</w:t>
      </w:r>
      <w:r w:rsidR="000B13E7">
        <w:rPr>
          <w:rFonts w:eastAsia="Calibri"/>
        </w:rPr>
        <w:t xml:space="preserve">-19 </w:t>
      </w:r>
      <w:r w:rsidR="00967FE5">
        <w:rPr>
          <w:rFonts w:eastAsia="Calibri"/>
        </w:rPr>
        <w:t>vaccination</w:t>
      </w:r>
      <w:r w:rsidR="00206811">
        <w:rPr>
          <w:rFonts w:eastAsia="Calibri"/>
        </w:rPr>
        <w:t>.</w:t>
      </w:r>
      <w:r w:rsidR="00967FE5">
        <w:rPr>
          <w:rStyle w:val="FootnoteReference"/>
          <w:rFonts w:eastAsia="Calibri"/>
        </w:rPr>
        <w:footnoteReference w:id="12"/>
      </w:r>
    </w:p>
    <w:p w14:paraId="22FE718F" w14:textId="5215BE9B" w:rsidR="00C8352E" w:rsidRDefault="00C8352E" w:rsidP="00C8352E">
      <w:pPr>
        <w:pStyle w:val="ACMABodyText"/>
        <w:rPr>
          <w:rFonts w:cs="Arial"/>
        </w:rPr>
      </w:pPr>
      <w:r>
        <w:rPr>
          <w:rFonts w:eastAsia="Calibri"/>
        </w:rPr>
        <w:t>Considering th</w:t>
      </w:r>
      <w:r w:rsidR="007E4779">
        <w:rPr>
          <w:rFonts w:eastAsia="Calibri"/>
        </w:rPr>
        <w:t>e</w:t>
      </w:r>
      <w:r w:rsidR="00967FE5">
        <w:rPr>
          <w:rFonts w:eastAsia="Calibri"/>
        </w:rPr>
        <w:t xml:space="preserve"> </w:t>
      </w:r>
      <w:r w:rsidR="00291772">
        <w:rPr>
          <w:rFonts w:eastAsia="Calibri"/>
        </w:rPr>
        <w:t xml:space="preserve">available </w:t>
      </w:r>
      <w:r w:rsidR="00967FE5">
        <w:rPr>
          <w:rFonts w:eastAsia="Calibri"/>
        </w:rPr>
        <w:t xml:space="preserve">evidence, </w:t>
      </w:r>
      <w:r>
        <w:rPr>
          <w:rFonts w:cs="Arial"/>
        </w:rPr>
        <w:t xml:space="preserve">the ACMA </w:t>
      </w:r>
      <w:r w:rsidR="00237FD0">
        <w:rPr>
          <w:rFonts w:cs="Arial"/>
        </w:rPr>
        <w:t xml:space="preserve">finds </w:t>
      </w:r>
      <w:r>
        <w:rPr>
          <w:rFonts w:cs="Arial"/>
        </w:rPr>
        <w:t>that</w:t>
      </w:r>
      <w:r w:rsidR="00FD4C4A">
        <w:rPr>
          <w:rFonts w:cs="Arial"/>
        </w:rPr>
        <w:t xml:space="preserve"> </w:t>
      </w:r>
      <w:r w:rsidR="00967FE5">
        <w:rPr>
          <w:rFonts w:cs="Arial"/>
        </w:rPr>
        <w:t>statements concerning ‘upticks’ in reactivated Epstein-Barr</w:t>
      </w:r>
      <w:r w:rsidR="00242A90">
        <w:rPr>
          <w:rFonts w:cs="Arial"/>
        </w:rPr>
        <w:t xml:space="preserve"> </w:t>
      </w:r>
      <w:r w:rsidR="00A416C7">
        <w:rPr>
          <w:rFonts w:cs="Arial"/>
        </w:rPr>
        <w:t xml:space="preserve">virus </w:t>
      </w:r>
      <w:r w:rsidR="00242A90">
        <w:rPr>
          <w:rFonts w:cs="Arial"/>
        </w:rPr>
        <w:t>and</w:t>
      </w:r>
      <w:r w:rsidR="00724722">
        <w:rPr>
          <w:rFonts w:cs="Arial"/>
        </w:rPr>
        <w:t xml:space="preserve"> HPV</w:t>
      </w:r>
      <w:r w:rsidR="001F4872">
        <w:rPr>
          <w:rFonts w:cs="Arial"/>
        </w:rPr>
        <w:t xml:space="preserve"> </w:t>
      </w:r>
      <w:r w:rsidR="00967FE5">
        <w:rPr>
          <w:rFonts w:cs="Arial"/>
        </w:rPr>
        <w:t>and ‘certain cancers’,</w:t>
      </w:r>
      <w:r w:rsidR="00D91AD6">
        <w:rPr>
          <w:rFonts w:cs="Arial"/>
        </w:rPr>
        <w:t xml:space="preserve"> following vaccination,</w:t>
      </w:r>
      <w:r w:rsidR="00967FE5">
        <w:rPr>
          <w:rFonts w:cs="Arial"/>
        </w:rPr>
        <w:t xml:space="preserve"> </w:t>
      </w:r>
      <w:r w:rsidR="00751D87">
        <w:rPr>
          <w:rFonts w:cs="Arial"/>
        </w:rPr>
        <w:t>were</w:t>
      </w:r>
      <w:r w:rsidR="007E4779">
        <w:rPr>
          <w:rFonts w:cs="Arial"/>
        </w:rPr>
        <w:t xml:space="preserve"> not accurate</w:t>
      </w:r>
      <w:r>
        <w:rPr>
          <w:rFonts w:cs="Arial"/>
        </w:rPr>
        <w:t xml:space="preserve">. </w:t>
      </w:r>
    </w:p>
    <w:p w14:paraId="7196DC83" w14:textId="4DF62E32" w:rsidR="00FA6579" w:rsidRPr="00BD11DE" w:rsidRDefault="00FA6579" w:rsidP="000B2671">
      <w:pPr>
        <w:pStyle w:val="ACMABodyText"/>
        <w:spacing w:before="120"/>
        <w:rPr>
          <w:b/>
          <w:bCs/>
          <w:i/>
          <w:iCs/>
          <w:u w:val="single"/>
        </w:rPr>
      </w:pPr>
      <w:r w:rsidRPr="00BD11DE">
        <w:rPr>
          <w:b/>
          <w:bCs/>
          <w:i/>
          <w:iCs/>
          <w:u w:val="single"/>
        </w:rPr>
        <w:t>5. People are still getting</w:t>
      </w:r>
      <w:r w:rsidR="007E4779" w:rsidRPr="00BD11DE">
        <w:rPr>
          <w:b/>
          <w:bCs/>
          <w:i/>
          <w:iCs/>
          <w:u w:val="single"/>
        </w:rPr>
        <w:t xml:space="preserve"> </w:t>
      </w:r>
      <w:r w:rsidR="002B7D91">
        <w:rPr>
          <w:b/>
          <w:bCs/>
          <w:i/>
          <w:iCs/>
          <w:u w:val="single"/>
        </w:rPr>
        <w:t>[</w:t>
      </w:r>
      <w:r w:rsidR="007E4779" w:rsidRPr="00BD11DE">
        <w:rPr>
          <w:b/>
          <w:bCs/>
          <w:i/>
          <w:iCs/>
          <w:u w:val="single"/>
        </w:rPr>
        <w:t>C</w:t>
      </w:r>
      <w:r w:rsidR="00751D87">
        <w:rPr>
          <w:b/>
          <w:bCs/>
          <w:i/>
          <w:iCs/>
          <w:u w:val="single"/>
        </w:rPr>
        <w:t>OVID</w:t>
      </w:r>
      <w:r w:rsidR="002B7D91">
        <w:rPr>
          <w:b/>
          <w:bCs/>
          <w:i/>
          <w:iCs/>
          <w:u w:val="single"/>
        </w:rPr>
        <w:t>]</w:t>
      </w:r>
      <w:r w:rsidRPr="00BD11DE">
        <w:rPr>
          <w:b/>
          <w:bCs/>
          <w:i/>
          <w:iCs/>
          <w:u w:val="single"/>
        </w:rPr>
        <w:t xml:space="preserve">, that got the vaccine shot, and they’re still transmitting COVID who got the vaccine shot, so why would you take an experimental drug, that this technology has not been proven, it killed all the animals that they tested it on, so why would you do it? </w:t>
      </w:r>
    </w:p>
    <w:p w14:paraId="5AC3755A" w14:textId="67AC656A" w:rsidR="000A071B" w:rsidRDefault="007E4779" w:rsidP="000B2671">
      <w:pPr>
        <w:spacing w:before="0" w:after="120" w:line="240" w:lineRule="atLeast"/>
        <w:rPr>
          <w:rFonts w:eastAsia="Calibri" w:cs="Arial"/>
          <w:i w:val="0"/>
          <w:snapToGrid w:val="0"/>
          <w:szCs w:val="20"/>
        </w:rPr>
      </w:pPr>
      <w:r>
        <w:rPr>
          <w:rFonts w:eastAsia="Calibri" w:cs="Arial"/>
          <w:i w:val="0"/>
          <w:snapToGrid w:val="0"/>
          <w:szCs w:val="20"/>
        </w:rPr>
        <w:t>A</w:t>
      </w:r>
      <w:r w:rsidR="006E0908">
        <w:rPr>
          <w:rFonts w:eastAsia="Calibri" w:cs="Arial"/>
          <w:i w:val="0"/>
          <w:snapToGrid w:val="0"/>
          <w:szCs w:val="20"/>
        </w:rPr>
        <w:t>t approximately 26:4</w:t>
      </w:r>
      <w:r w:rsidR="00902C27">
        <w:rPr>
          <w:rFonts w:eastAsia="Calibri" w:cs="Arial"/>
          <w:i w:val="0"/>
          <w:snapToGrid w:val="0"/>
          <w:szCs w:val="20"/>
        </w:rPr>
        <w:t>0</w:t>
      </w:r>
      <w:r w:rsidR="006E0908">
        <w:rPr>
          <w:rFonts w:eastAsia="Calibri" w:cs="Arial"/>
          <w:i w:val="0"/>
          <w:snapToGrid w:val="0"/>
          <w:szCs w:val="20"/>
        </w:rPr>
        <w:t xml:space="preserve"> minutes</w:t>
      </w:r>
      <w:r>
        <w:rPr>
          <w:rFonts w:eastAsia="Calibri" w:cs="Arial"/>
          <w:i w:val="0"/>
          <w:snapToGrid w:val="0"/>
          <w:szCs w:val="20"/>
        </w:rPr>
        <w:t>,</w:t>
      </w:r>
      <w:r w:rsidR="008B4A4A">
        <w:rPr>
          <w:rFonts w:eastAsia="Calibri" w:cs="Arial"/>
          <w:i w:val="0"/>
          <w:snapToGrid w:val="0"/>
          <w:szCs w:val="20"/>
        </w:rPr>
        <w:t xml:space="preserve"> </w:t>
      </w:r>
      <w:r w:rsidR="002E4410">
        <w:rPr>
          <w:rFonts w:eastAsia="Calibri" w:cs="Arial"/>
          <w:i w:val="0"/>
          <w:snapToGrid w:val="0"/>
          <w:szCs w:val="20"/>
        </w:rPr>
        <w:t>H</w:t>
      </w:r>
      <w:r>
        <w:rPr>
          <w:rFonts w:eastAsia="Calibri" w:cs="Arial"/>
          <w:i w:val="0"/>
          <w:snapToGrid w:val="0"/>
          <w:szCs w:val="20"/>
        </w:rPr>
        <w:t xml:space="preserve">ost </w:t>
      </w:r>
      <w:r w:rsidR="00C809E5">
        <w:rPr>
          <w:rFonts w:eastAsia="Calibri" w:cs="Arial"/>
          <w:i w:val="0"/>
          <w:snapToGrid w:val="0"/>
          <w:szCs w:val="20"/>
        </w:rPr>
        <w:t>1</w:t>
      </w:r>
      <w:r w:rsidR="00286CA7">
        <w:rPr>
          <w:rFonts w:eastAsia="Calibri" w:cs="Arial"/>
          <w:i w:val="0"/>
          <w:snapToGrid w:val="0"/>
          <w:szCs w:val="20"/>
        </w:rPr>
        <w:t xml:space="preserve"> </w:t>
      </w:r>
      <w:r>
        <w:rPr>
          <w:rFonts w:eastAsia="Calibri" w:cs="Arial"/>
          <w:i w:val="0"/>
          <w:snapToGrid w:val="0"/>
          <w:szCs w:val="20"/>
        </w:rPr>
        <w:t>made the following statement:</w:t>
      </w:r>
    </w:p>
    <w:p w14:paraId="58120400" w14:textId="296F2C4A" w:rsidR="007E4779" w:rsidRPr="00A15980" w:rsidRDefault="007E4779" w:rsidP="00907040">
      <w:pPr>
        <w:pStyle w:val="ACMABodyText"/>
        <w:ind w:left="709"/>
        <w:rPr>
          <w:rFonts w:eastAsia="Calibri"/>
          <w:i/>
          <w:sz w:val="18"/>
          <w:szCs w:val="18"/>
        </w:rPr>
      </w:pPr>
      <w:r>
        <w:rPr>
          <w:sz w:val="18"/>
          <w:szCs w:val="18"/>
        </w:rPr>
        <w:t>… but yet, p</w:t>
      </w:r>
      <w:r w:rsidRPr="00A15980">
        <w:rPr>
          <w:sz w:val="18"/>
          <w:szCs w:val="18"/>
        </w:rPr>
        <w:t xml:space="preserve">eople are still getting </w:t>
      </w:r>
      <w:r w:rsidR="00BA0A8D">
        <w:rPr>
          <w:sz w:val="18"/>
          <w:szCs w:val="18"/>
        </w:rPr>
        <w:t>COVID</w:t>
      </w:r>
      <w:r w:rsidR="00BA0A8D" w:rsidRPr="00A15980">
        <w:rPr>
          <w:sz w:val="18"/>
          <w:szCs w:val="18"/>
        </w:rPr>
        <w:t xml:space="preserve"> </w:t>
      </w:r>
      <w:r w:rsidRPr="00A15980">
        <w:rPr>
          <w:sz w:val="18"/>
          <w:szCs w:val="18"/>
        </w:rPr>
        <w:t>that got the vaccine shot, and they’re still transmitting C</w:t>
      </w:r>
      <w:r w:rsidR="00BA0A8D">
        <w:rPr>
          <w:sz w:val="18"/>
          <w:szCs w:val="18"/>
        </w:rPr>
        <w:t>OVID</w:t>
      </w:r>
      <w:r w:rsidRPr="00A15980">
        <w:rPr>
          <w:sz w:val="18"/>
          <w:szCs w:val="18"/>
        </w:rPr>
        <w:t xml:space="preserve"> who got the vaccine shot</w:t>
      </w:r>
      <w:r>
        <w:rPr>
          <w:sz w:val="18"/>
          <w:szCs w:val="18"/>
        </w:rPr>
        <w:t>. S</w:t>
      </w:r>
      <w:r w:rsidRPr="00A15980">
        <w:rPr>
          <w:sz w:val="18"/>
          <w:szCs w:val="18"/>
        </w:rPr>
        <w:t>o why would you take an experimental drug, that this technology has not been proven, it killed all the animals that they tested it on, so why would you do it?</w:t>
      </w:r>
    </w:p>
    <w:p w14:paraId="15FFDD96" w14:textId="77777777" w:rsidR="0071386C" w:rsidRPr="00964AD3" w:rsidRDefault="0071386C" w:rsidP="009036C0">
      <w:pPr>
        <w:pStyle w:val="ACMABodyText"/>
        <w:keepNext/>
        <w:rPr>
          <w:rFonts w:eastAsia="Calibri" w:cs="Arial"/>
          <w:b/>
          <w:bCs/>
          <w:iCs/>
          <w:snapToGrid/>
        </w:rPr>
      </w:pPr>
      <w:r w:rsidRPr="00964AD3">
        <w:rPr>
          <w:rFonts w:eastAsia="Calibri" w:cs="Arial"/>
          <w:b/>
          <w:bCs/>
          <w:iCs/>
          <w:snapToGrid/>
        </w:rPr>
        <w:lastRenderedPageBreak/>
        <w:t>What did the material convey to the ordinary reasonable viewer?</w:t>
      </w:r>
    </w:p>
    <w:p w14:paraId="637446D0" w14:textId="7DAAAE72" w:rsidR="00FA6579" w:rsidRPr="00C8204F" w:rsidRDefault="003151E9" w:rsidP="009036C0">
      <w:pPr>
        <w:keepNext/>
        <w:spacing w:before="0" w:after="120" w:line="240" w:lineRule="atLeast"/>
        <w:rPr>
          <w:i w:val="0"/>
          <w:snapToGrid w:val="0"/>
          <w:szCs w:val="20"/>
        </w:rPr>
      </w:pPr>
      <w:r>
        <w:rPr>
          <w:i w:val="0"/>
          <w:snapToGrid w:val="0"/>
          <w:szCs w:val="20"/>
        </w:rPr>
        <w:t xml:space="preserve">The </w:t>
      </w:r>
      <w:r w:rsidRPr="00AF1184">
        <w:rPr>
          <w:i w:val="0"/>
          <w:snapToGrid w:val="0"/>
          <w:szCs w:val="20"/>
        </w:rPr>
        <w:t xml:space="preserve">ordinary </w:t>
      </w:r>
      <w:r w:rsidRPr="00322CA3">
        <w:rPr>
          <w:i w:val="0"/>
          <w:snapToGrid w:val="0"/>
          <w:szCs w:val="20"/>
        </w:rPr>
        <w:t>reasonable viewer would have underst</w:t>
      </w:r>
      <w:r w:rsidRPr="006B5DFA">
        <w:rPr>
          <w:i w:val="0"/>
          <w:snapToGrid w:val="0"/>
          <w:szCs w:val="20"/>
        </w:rPr>
        <w:t xml:space="preserve">ood </w:t>
      </w:r>
      <w:r w:rsidR="00644E33">
        <w:rPr>
          <w:i w:val="0"/>
          <w:snapToGrid w:val="0"/>
          <w:szCs w:val="20"/>
        </w:rPr>
        <w:t>Host</w:t>
      </w:r>
      <w:r w:rsidR="00AC110F" w:rsidRPr="003B11AD">
        <w:rPr>
          <w:i w:val="0"/>
          <w:snapToGrid w:val="0"/>
          <w:szCs w:val="20"/>
        </w:rPr>
        <w:t xml:space="preserve"> </w:t>
      </w:r>
      <w:r w:rsidR="00C809E5">
        <w:rPr>
          <w:i w:val="0"/>
          <w:snapToGrid w:val="0"/>
          <w:szCs w:val="20"/>
        </w:rPr>
        <w:t>1</w:t>
      </w:r>
      <w:r w:rsidR="00206811">
        <w:rPr>
          <w:i w:val="0"/>
          <w:snapToGrid w:val="0"/>
          <w:szCs w:val="20"/>
        </w:rPr>
        <w:t xml:space="preserve"> </w:t>
      </w:r>
      <w:r w:rsidR="00AC110F" w:rsidRPr="003B11AD">
        <w:rPr>
          <w:i w:val="0"/>
          <w:snapToGrid w:val="0"/>
          <w:szCs w:val="20"/>
        </w:rPr>
        <w:t xml:space="preserve">to be </w:t>
      </w:r>
      <w:r w:rsidR="007E4779">
        <w:rPr>
          <w:i w:val="0"/>
          <w:snapToGrid w:val="0"/>
          <w:szCs w:val="20"/>
        </w:rPr>
        <w:t xml:space="preserve">posing a rhetorical question to </w:t>
      </w:r>
      <w:r w:rsidR="007E4779">
        <w:rPr>
          <w:rFonts w:eastAsia="Calibri"/>
          <w:i w:val="0"/>
        </w:rPr>
        <w:t xml:space="preserve">the </w:t>
      </w:r>
      <w:r w:rsidR="00AC110F" w:rsidRPr="003B11AD">
        <w:rPr>
          <w:rFonts w:eastAsia="Calibri"/>
          <w:i w:val="0"/>
        </w:rPr>
        <w:t xml:space="preserve">audience </w:t>
      </w:r>
      <w:r w:rsidR="007E4779">
        <w:rPr>
          <w:rFonts w:eastAsia="Calibri"/>
          <w:i w:val="0"/>
        </w:rPr>
        <w:t xml:space="preserve">– asking </w:t>
      </w:r>
      <w:r w:rsidR="00AC110F" w:rsidRPr="003B11AD">
        <w:rPr>
          <w:rFonts w:eastAsia="Calibri"/>
          <w:i w:val="0"/>
        </w:rPr>
        <w:t>why people would take a vaccine for C</w:t>
      </w:r>
      <w:r w:rsidR="00BA0A8D">
        <w:rPr>
          <w:rFonts w:eastAsia="Calibri"/>
          <w:i w:val="0"/>
        </w:rPr>
        <w:t>OVID</w:t>
      </w:r>
      <w:r w:rsidR="00AC110F" w:rsidRPr="003B11AD">
        <w:rPr>
          <w:rFonts w:eastAsia="Calibri"/>
          <w:i w:val="0"/>
        </w:rPr>
        <w:t>-19</w:t>
      </w:r>
      <w:r w:rsidR="00AC110F">
        <w:rPr>
          <w:rFonts w:eastAsia="Calibri"/>
          <w:i w:val="0"/>
        </w:rPr>
        <w:t xml:space="preserve"> when</w:t>
      </w:r>
      <w:r w:rsidRPr="00322CA3">
        <w:rPr>
          <w:i w:val="0"/>
          <w:snapToGrid w:val="0"/>
          <w:szCs w:val="20"/>
        </w:rPr>
        <w:t>:</w:t>
      </w:r>
    </w:p>
    <w:p w14:paraId="0910A1D7" w14:textId="4A8A4D89" w:rsidR="003151E9" w:rsidRDefault="00AC110F" w:rsidP="00206811">
      <w:pPr>
        <w:pStyle w:val="ACMABodyText"/>
        <w:numPr>
          <w:ilvl w:val="0"/>
          <w:numId w:val="10"/>
        </w:numPr>
        <w:spacing w:after="120" w:line="240" w:lineRule="auto"/>
        <w:ind w:left="426" w:firstLine="0"/>
        <w:rPr>
          <w:rFonts w:eastAsia="Calibri"/>
        </w:rPr>
      </w:pPr>
      <w:bookmarkStart w:id="9" w:name="_Hlk110244617"/>
      <w:r>
        <w:rPr>
          <w:rFonts w:eastAsia="Calibri"/>
        </w:rPr>
        <w:t>People who have been vaccinated are still getting and transmitting C</w:t>
      </w:r>
      <w:r w:rsidR="00BA0A8D">
        <w:rPr>
          <w:rFonts w:eastAsia="Calibri"/>
        </w:rPr>
        <w:t>OVID</w:t>
      </w:r>
      <w:r>
        <w:rPr>
          <w:rFonts w:eastAsia="Calibri"/>
        </w:rPr>
        <w:t>-19</w:t>
      </w:r>
      <w:bookmarkEnd w:id="9"/>
      <w:r w:rsidR="00A017B5">
        <w:rPr>
          <w:rFonts w:eastAsia="Calibri"/>
        </w:rPr>
        <w:t>.</w:t>
      </w:r>
    </w:p>
    <w:p w14:paraId="61059D26" w14:textId="4B5D2717" w:rsidR="008D5982" w:rsidRDefault="00CC0371" w:rsidP="00206811">
      <w:pPr>
        <w:pStyle w:val="ACMABodyText"/>
        <w:numPr>
          <w:ilvl w:val="0"/>
          <w:numId w:val="10"/>
        </w:numPr>
        <w:spacing w:after="120" w:line="240" w:lineRule="auto"/>
        <w:ind w:left="426" w:firstLine="0"/>
        <w:rPr>
          <w:rFonts w:eastAsia="Calibri"/>
        </w:rPr>
      </w:pPr>
      <w:r>
        <w:rPr>
          <w:rFonts w:eastAsia="Calibri"/>
        </w:rPr>
        <w:t>C</w:t>
      </w:r>
      <w:r w:rsidR="00BA0A8D">
        <w:rPr>
          <w:rFonts w:eastAsia="Calibri"/>
        </w:rPr>
        <w:t>OVID</w:t>
      </w:r>
      <w:r>
        <w:rPr>
          <w:rFonts w:eastAsia="Calibri"/>
        </w:rPr>
        <w:t>-19 v</w:t>
      </w:r>
      <w:r w:rsidR="00186781">
        <w:rPr>
          <w:rFonts w:eastAsia="Calibri"/>
        </w:rPr>
        <w:t>accine</w:t>
      </w:r>
      <w:r w:rsidR="008D5982">
        <w:rPr>
          <w:rFonts w:eastAsia="Calibri"/>
        </w:rPr>
        <w:t>s</w:t>
      </w:r>
      <w:r w:rsidR="00186781">
        <w:rPr>
          <w:rFonts w:eastAsia="Calibri"/>
        </w:rPr>
        <w:t xml:space="preserve"> </w:t>
      </w:r>
      <w:r>
        <w:rPr>
          <w:rFonts w:eastAsia="Calibri"/>
        </w:rPr>
        <w:t>h</w:t>
      </w:r>
      <w:r w:rsidR="00186781">
        <w:rPr>
          <w:rFonts w:eastAsia="Calibri"/>
        </w:rPr>
        <w:t>a</w:t>
      </w:r>
      <w:r w:rsidR="008D5982">
        <w:rPr>
          <w:rFonts w:eastAsia="Calibri"/>
        </w:rPr>
        <w:t>ve</w:t>
      </w:r>
      <w:r>
        <w:rPr>
          <w:rFonts w:eastAsia="Calibri"/>
        </w:rPr>
        <w:t xml:space="preserve"> not been</w:t>
      </w:r>
      <w:r w:rsidR="00186781">
        <w:rPr>
          <w:rFonts w:eastAsia="Calibri"/>
        </w:rPr>
        <w:t xml:space="preserve"> </w:t>
      </w:r>
      <w:r>
        <w:rPr>
          <w:rFonts w:eastAsia="Calibri"/>
        </w:rPr>
        <w:t>prove</w:t>
      </w:r>
      <w:r w:rsidR="008D5982">
        <w:rPr>
          <w:rFonts w:eastAsia="Calibri"/>
        </w:rPr>
        <w:t>n</w:t>
      </w:r>
      <w:r w:rsidR="00186781">
        <w:rPr>
          <w:rFonts w:eastAsia="Calibri"/>
        </w:rPr>
        <w:t xml:space="preserve"> </w:t>
      </w:r>
      <w:r>
        <w:rPr>
          <w:rFonts w:eastAsia="Calibri"/>
        </w:rPr>
        <w:t>for</w:t>
      </w:r>
      <w:r w:rsidR="00186781">
        <w:rPr>
          <w:rFonts w:eastAsia="Calibri"/>
        </w:rPr>
        <w:t xml:space="preserve"> safe</w:t>
      </w:r>
      <w:r>
        <w:rPr>
          <w:rFonts w:eastAsia="Calibri"/>
        </w:rPr>
        <w:t>ty</w:t>
      </w:r>
      <w:r w:rsidR="00186781">
        <w:rPr>
          <w:rFonts w:eastAsia="Calibri"/>
        </w:rPr>
        <w:t xml:space="preserve"> and efficacy</w:t>
      </w:r>
      <w:r w:rsidR="00A017B5">
        <w:rPr>
          <w:rFonts w:eastAsia="Calibri"/>
        </w:rPr>
        <w:t>.</w:t>
      </w:r>
    </w:p>
    <w:p w14:paraId="4001EB9F" w14:textId="3AAFAB17" w:rsidR="003151E9" w:rsidRPr="003151E9" w:rsidRDefault="008D5982" w:rsidP="00206811">
      <w:pPr>
        <w:pStyle w:val="ACMABodyText"/>
        <w:numPr>
          <w:ilvl w:val="0"/>
          <w:numId w:val="10"/>
        </w:numPr>
        <w:spacing w:after="120" w:line="240" w:lineRule="auto"/>
        <w:ind w:left="426" w:firstLine="0"/>
        <w:rPr>
          <w:rFonts w:eastAsia="Calibri"/>
        </w:rPr>
      </w:pPr>
      <w:r>
        <w:rPr>
          <w:rFonts w:eastAsia="Calibri"/>
        </w:rPr>
        <w:t>C</w:t>
      </w:r>
      <w:r w:rsidR="00BA0A8D">
        <w:rPr>
          <w:rFonts w:eastAsia="Calibri"/>
        </w:rPr>
        <w:t>OVID</w:t>
      </w:r>
      <w:r>
        <w:rPr>
          <w:rFonts w:eastAsia="Calibri"/>
        </w:rPr>
        <w:t xml:space="preserve">-19 vaccines </w:t>
      </w:r>
      <w:r w:rsidR="00B36A9E">
        <w:rPr>
          <w:rFonts w:eastAsia="Calibri"/>
        </w:rPr>
        <w:t xml:space="preserve">had </w:t>
      </w:r>
      <w:r w:rsidR="002F4695">
        <w:rPr>
          <w:rFonts w:eastAsia="Calibri"/>
        </w:rPr>
        <w:t xml:space="preserve">killed all </w:t>
      </w:r>
      <w:r w:rsidR="00B36A9E">
        <w:rPr>
          <w:rFonts w:eastAsia="Calibri"/>
        </w:rPr>
        <w:t xml:space="preserve">of </w:t>
      </w:r>
      <w:r w:rsidR="002F4695">
        <w:rPr>
          <w:rFonts w:eastAsia="Calibri"/>
        </w:rPr>
        <w:t xml:space="preserve">the animals </w:t>
      </w:r>
      <w:r w:rsidR="002C636C">
        <w:rPr>
          <w:rFonts w:eastAsia="Calibri"/>
        </w:rPr>
        <w:t>the</w:t>
      </w:r>
      <w:r w:rsidR="00B36A9E">
        <w:rPr>
          <w:rFonts w:eastAsia="Calibri"/>
        </w:rPr>
        <w:t>y were</w:t>
      </w:r>
      <w:r w:rsidR="002C636C">
        <w:rPr>
          <w:rFonts w:eastAsia="Calibri"/>
        </w:rPr>
        <w:t xml:space="preserve"> </w:t>
      </w:r>
      <w:r w:rsidR="002F4695">
        <w:rPr>
          <w:rFonts w:eastAsia="Calibri"/>
        </w:rPr>
        <w:t>tested</w:t>
      </w:r>
      <w:r w:rsidR="00B36A9E">
        <w:rPr>
          <w:rFonts w:eastAsia="Calibri"/>
        </w:rPr>
        <w:t xml:space="preserve"> on</w:t>
      </w:r>
      <w:r w:rsidR="002F4695">
        <w:rPr>
          <w:rFonts w:eastAsia="Calibri"/>
        </w:rPr>
        <w:t xml:space="preserve">. </w:t>
      </w:r>
    </w:p>
    <w:p w14:paraId="3ADE3427" w14:textId="78322CE0" w:rsidR="00E171F9" w:rsidRDefault="00E171F9" w:rsidP="00D769E2">
      <w:pPr>
        <w:keepNext/>
        <w:spacing w:before="240" w:line="240" w:lineRule="atLeast"/>
        <w:rPr>
          <w:rFonts w:eastAsia="Calibri" w:cs="Arial"/>
          <w:b/>
          <w:bCs/>
          <w:i w:val="0"/>
          <w:snapToGrid w:val="0"/>
          <w:szCs w:val="20"/>
        </w:rPr>
      </w:pPr>
      <w:r w:rsidRPr="00E171F9">
        <w:rPr>
          <w:rFonts w:eastAsia="Calibri" w:cs="Arial"/>
          <w:b/>
          <w:bCs/>
          <w:i w:val="0"/>
          <w:snapToGrid w:val="0"/>
          <w:szCs w:val="20"/>
        </w:rPr>
        <w:t>Was the material factual in character?</w:t>
      </w:r>
    </w:p>
    <w:p w14:paraId="393AF5E5" w14:textId="568E57E6" w:rsidR="00AE6CAE" w:rsidRPr="000B2671" w:rsidRDefault="00206811" w:rsidP="00D769E2">
      <w:pPr>
        <w:keepNext/>
        <w:spacing w:before="0" w:line="240" w:lineRule="atLeast"/>
        <w:rPr>
          <w:i w:val="0"/>
          <w:snapToGrid w:val="0"/>
          <w:szCs w:val="20"/>
        </w:rPr>
      </w:pPr>
      <w:r>
        <w:rPr>
          <w:i w:val="0"/>
          <w:snapToGrid w:val="0"/>
          <w:szCs w:val="20"/>
        </w:rPr>
        <w:t xml:space="preserve">Host </w:t>
      </w:r>
      <w:r w:rsidR="00C809E5">
        <w:rPr>
          <w:i w:val="0"/>
          <w:snapToGrid w:val="0"/>
          <w:szCs w:val="20"/>
        </w:rPr>
        <w:t>1</w:t>
      </w:r>
      <w:r>
        <w:rPr>
          <w:i w:val="0"/>
          <w:snapToGrid w:val="0"/>
          <w:szCs w:val="20"/>
        </w:rPr>
        <w:t>’s</w:t>
      </w:r>
      <w:r w:rsidR="000712A9">
        <w:rPr>
          <w:i w:val="0"/>
          <w:snapToGrid w:val="0"/>
          <w:szCs w:val="20"/>
        </w:rPr>
        <w:t xml:space="preserve"> </w:t>
      </w:r>
      <w:r w:rsidR="00FF781F" w:rsidRPr="000B2671">
        <w:rPr>
          <w:i w:val="0"/>
          <w:snapToGrid w:val="0"/>
          <w:szCs w:val="20"/>
        </w:rPr>
        <w:t>statement was made</w:t>
      </w:r>
      <w:r w:rsidR="00F17356" w:rsidRPr="000B2671">
        <w:rPr>
          <w:i w:val="0"/>
          <w:snapToGrid w:val="0"/>
          <w:szCs w:val="20"/>
        </w:rPr>
        <w:t xml:space="preserve"> </w:t>
      </w:r>
      <w:r w:rsidR="0015479F" w:rsidRPr="000B2671">
        <w:rPr>
          <w:i w:val="0"/>
          <w:snapToGrid w:val="0"/>
          <w:szCs w:val="20"/>
        </w:rPr>
        <w:t xml:space="preserve">following </w:t>
      </w:r>
      <w:r w:rsidR="00B34D3D">
        <w:rPr>
          <w:i w:val="0"/>
          <w:snapToGrid w:val="0"/>
          <w:szCs w:val="20"/>
        </w:rPr>
        <w:t xml:space="preserve">Dr. </w:t>
      </w:r>
      <w:r w:rsidR="00C809E5">
        <w:rPr>
          <w:i w:val="0"/>
          <w:snapToGrid w:val="0"/>
          <w:szCs w:val="20"/>
        </w:rPr>
        <w:t>A</w:t>
      </w:r>
      <w:r w:rsidR="004E2598" w:rsidRPr="000B2671">
        <w:rPr>
          <w:i w:val="0"/>
          <w:snapToGrid w:val="0"/>
          <w:szCs w:val="20"/>
        </w:rPr>
        <w:t>’s</w:t>
      </w:r>
      <w:r w:rsidR="0015479F" w:rsidRPr="000B2671">
        <w:rPr>
          <w:i w:val="0"/>
          <w:snapToGrid w:val="0"/>
          <w:szCs w:val="20"/>
        </w:rPr>
        <w:t xml:space="preserve"> comments about the </w:t>
      </w:r>
      <w:r w:rsidR="00AE6CAE" w:rsidRPr="000B2671">
        <w:rPr>
          <w:i w:val="0"/>
          <w:snapToGrid w:val="0"/>
          <w:szCs w:val="20"/>
        </w:rPr>
        <w:t xml:space="preserve">immune response from taking the </w:t>
      </w:r>
      <w:r w:rsidR="00BA0A8D" w:rsidRPr="000B2671">
        <w:rPr>
          <w:i w:val="0"/>
          <w:snapToGrid w:val="0"/>
          <w:szCs w:val="20"/>
        </w:rPr>
        <w:t>C</w:t>
      </w:r>
      <w:r w:rsidR="00BA0A8D">
        <w:rPr>
          <w:i w:val="0"/>
          <w:snapToGrid w:val="0"/>
          <w:szCs w:val="20"/>
        </w:rPr>
        <w:t>OVID</w:t>
      </w:r>
      <w:r w:rsidR="00AE6CAE" w:rsidRPr="000B2671">
        <w:rPr>
          <w:i w:val="0"/>
          <w:snapToGrid w:val="0"/>
          <w:szCs w:val="20"/>
        </w:rPr>
        <w:t>-19 vaccine</w:t>
      </w:r>
      <w:r w:rsidR="00FF781F" w:rsidRPr="000B2671">
        <w:rPr>
          <w:i w:val="0"/>
          <w:snapToGrid w:val="0"/>
          <w:szCs w:val="20"/>
        </w:rPr>
        <w:t xml:space="preserve">. </w:t>
      </w:r>
    </w:p>
    <w:p w14:paraId="6CB0516C" w14:textId="634FBD0B" w:rsidR="00354660" w:rsidRDefault="00354660" w:rsidP="00D769E2">
      <w:pPr>
        <w:keepNext/>
        <w:spacing w:before="0" w:after="120" w:line="240" w:lineRule="atLeast"/>
        <w:rPr>
          <w:i w:val="0"/>
          <w:snapToGrid w:val="0"/>
          <w:szCs w:val="20"/>
        </w:rPr>
      </w:pPr>
      <w:r>
        <w:rPr>
          <w:i w:val="0"/>
          <w:snapToGrid w:val="0"/>
          <w:szCs w:val="20"/>
        </w:rPr>
        <w:t>The</w:t>
      </w:r>
      <w:r w:rsidRPr="00A20805">
        <w:rPr>
          <w:i w:val="0"/>
          <w:snapToGrid w:val="0"/>
          <w:szCs w:val="20"/>
        </w:rPr>
        <w:t xml:space="preserve"> Licensee</w:t>
      </w:r>
      <w:r>
        <w:rPr>
          <w:i w:val="0"/>
          <w:snapToGrid w:val="0"/>
          <w:szCs w:val="20"/>
        </w:rPr>
        <w:t xml:space="preserve"> submitted:</w:t>
      </w:r>
    </w:p>
    <w:p w14:paraId="0514446A" w14:textId="5A703F65" w:rsidR="00354660" w:rsidRPr="0011401F" w:rsidRDefault="00354660" w:rsidP="00D769E2">
      <w:pPr>
        <w:pStyle w:val="ACMABodyText"/>
        <w:keepNext/>
        <w:ind w:left="709"/>
        <w:rPr>
          <w:sz w:val="18"/>
          <w:szCs w:val="18"/>
        </w:rPr>
      </w:pPr>
      <w:r w:rsidRPr="0011401F">
        <w:rPr>
          <w:sz w:val="18"/>
          <w:szCs w:val="18"/>
        </w:rPr>
        <w:t xml:space="preserve">It should be noted that </w:t>
      </w:r>
      <w:r w:rsidR="00757A08">
        <w:rPr>
          <w:sz w:val="18"/>
          <w:szCs w:val="18"/>
        </w:rPr>
        <w:t>[</w:t>
      </w:r>
      <w:r w:rsidR="00644E33">
        <w:rPr>
          <w:sz w:val="18"/>
          <w:szCs w:val="18"/>
        </w:rPr>
        <w:t>Host</w:t>
      </w:r>
      <w:r w:rsidR="00206811">
        <w:rPr>
          <w:sz w:val="18"/>
          <w:szCs w:val="18"/>
        </w:rPr>
        <w:t xml:space="preserve"> </w:t>
      </w:r>
      <w:r w:rsidR="00C809E5">
        <w:rPr>
          <w:sz w:val="18"/>
          <w:szCs w:val="18"/>
        </w:rPr>
        <w:t>1</w:t>
      </w:r>
      <w:r w:rsidR="00757A08">
        <w:rPr>
          <w:sz w:val="18"/>
          <w:szCs w:val="18"/>
        </w:rPr>
        <w:t>]</w:t>
      </w:r>
      <w:r w:rsidRPr="0011401F">
        <w:rPr>
          <w:sz w:val="18"/>
          <w:szCs w:val="18"/>
        </w:rPr>
        <w:t xml:space="preserve"> was not a qualified medical professional and was never represented as such. The statements by </w:t>
      </w:r>
      <w:r w:rsidR="00757A08">
        <w:rPr>
          <w:sz w:val="18"/>
          <w:szCs w:val="18"/>
        </w:rPr>
        <w:t>[</w:t>
      </w:r>
      <w:r w:rsidR="000712A9">
        <w:rPr>
          <w:sz w:val="18"/>
          <w:szCs w:val="18"/>
        </w:rPr>
        <w:t>Host</w:t>
      </w:r>
      <w:r w:rsidR="00206811">
        <w:rPr>
          <w:sz w:val="18"/>
          <w:szCs w:val="18"/>
        </w:rPr>
        <w:t xml:space="preserve"> </w:t>
      </w:r>
      <w:r w:rsidR="00C809E5">
        <w:rPr>
          <w:sz w:val="18"/>
          <w:szCs w:val="18"/>
        </w:rPr>
        <w:t>1</w:t>
      </w:r>
      <w:r w:rsidR="00757A08">
        <w:rPr>
          <w:sz w:val="18"/>
          <w:szCs w:val="18"/>
        </w:rPr>
        <w:t>]</w:t>
      </w:r>
      <w:r w:rsidR="000712A9">
        <w:rPr>
          <w:sz w:val="18"/>
          <w:szCs w:val="18"/>
        </w:rPr>
        <w:t xml:space="preserve"> </w:t>
      </w:r>
      <w:r w:rsidRPr="0011401F">
        <w:rPr>
          <w:sz w:val="18"/>
          <w:szCs w:val="18"/>
        </w:rPr>
        <w:t xml:space="preserve">are therefore readily distinguishable from opinions offered by experts such as </w:t>
      </w:r>
      <w:r w:rsidR="000712A9">
        <w:rPr>
          <w:sz w:val="18"/>
          <w:szCs w:val="18"/>
        </w:rPr>
        <w:t>[Dr</w:t>
      </w:r>
      <w:r w:rsidR="00757A08">
        <w:rPr>
          <w:sz w:val="18"/>
          <w:szCs w:val="18"/>
        </w:rPr>
        <w:t>.</w:t>
      </w:r>
      <w:r w:rsidR="000712A9">
        <w:rPr>
          <w:sz w:val="18"/>
          <w:szCs w:val="18"/>
        </w:rPr>
        <w:t xml:space="preserve"> </w:t>
      </w:r>
      <w:r w:rsidR="00C809E5">
        <w:rPr>
          <w:sz w:val="18"/>
          <w:szCs w:val="18"/>
        </w:rPr>
        <w:t>A</w:t>
      </w:r>
      <w:r w:rsidR="000712A9">
        <w:rPr>
          <w:sz w:val="18"/>
          <w:szCs w:val="18"/>
        </w:rPr>
        <w:t xml:space="preserve">] </w:t>
      </w:r>
      <w:r w:rsidRPr="0011401F">
        <w:rPr>
          <w:sz w:val="18"/>
          <w:szCs w:val="18"/>
        </w:rPr>
        <w:t xml:space="preserve">and </w:t>
      </w:r>
      <w:r w:rsidR="000712A9">
        <w:rPr>
          <w:sz w:val="18"/>
          <w:szCs w:val="18"/>
        </w:rPr>
        <w:t>[Dr</w:t>
      </w:r>
      <w:r w:rsidR="00757A08">
        <w:rPr>
          <w:sz w:val="18"/>
          <w:szCs w:val="18"/>
        </w:rPr>
        <w:t>.</w:t>
      </w:r>
      <w:r w:rsidR="000712A9">
        <w:rPr>
          <w:sz w:val="18"/>
          <w:szCs w:val="18"/>
        </w:rPr>
        <w:t xml:space="preserve"> </w:t>
      </w:r>
      <w:r w:rsidR="00C809E5">
        <w:rPr>
          <w:sz w:val="18"/>
          <w:szCs w:val="18"/>
        </w:rPr>
        <w:t>B</w:t>
      </w:r>
      <w:r w:rsidR="000712A9">
        <w:rPr>
          <w:sz w:val="18"/>
          <w:szCs w:val="18"/>
        </w:rPr>
        <w:t>]</w:t>
      </w:r>
      <w:r w:rsidRPr="0011401F">
        <w:rPr>
          <w:sz w:val="18"/>
          <w:szCs w:val="18"/>
        </w:rPr>
        <w:t xml:space="preserve">. </w:t>
      </w:r>
      <w:r w:rsidR="000712A9">
        <w:rPr>
          <w:sz w:val="18"/>
          <w:szCs w:val="18"/>
        </w:rPr>
        <w:t>Host</w:t>
      </w:r>
      <w:r w:rsidR="00206811">
        <w:rPr>
          <w:sz w:val="18"/>
          <w:szCs w:val="18"/>
        </w:rPr>
        <w:t xml:space="preserve"> </w:t>
      </w:r>
      <w:r w:rsidR="00C809E5">
        <w:rPr>
          <w:sz w:val="18"/>
          <w:szCs w:val="18"/>
        </w:rPr>
        <w:t>1</w:t>
      </w:r>
      <w:r w:rsidR="00757A08">
        <w:rPr>
          <w:sz w:val="18"/>
          <w:szCs w:val="18"/>
        </w:rPr>
        <w:t>’s</w:t>
      </w:r>
      <w:r w:rsidRPr="0011401F">
        <w:rPr>
          <w:sz w:val="18"/>
          <w:szCs w:val="18"/>
        </w:rPr>
        <w:t xml:space="preserve"> statements should be regarded as pure commentary rather than the presentation of factual material.</w:t>
      </w:r>
    </w:p>
    <w:p w14:paraId="0CB1D717" w14:textId="15E480B6" w:rsidR="005D3EE1" w:rsidRPr="00747C1D" w:rsidRDefault="00757A08" w:rsidP="00747C1D">
      <w:pPr>
        <w:spacing w:before="0" w:after="120" w:line="240" w:lineRule="atLeast"/>
        <w:rPr>
          <w:i w:val="0"/>
          <w:snapToGrid w:val="0"/>
          <w:szCs w:val="20"/>
        </w:rPr>
      </w:pPr>
      <w:r>
        <w:rPr>
          <w:i w:val="0"/>
          <w:snapToGrid w:val="0"/>
          <w:szCs w:val="20"/>
        </w:rPr>
        <w:t>Host</w:t>
      </w:r>
      <w:r w:rsidR="00206811">
        <w:rPr>
          <w:i w:val="0"/>
          <w:snapToGrid w:val="0"/>
          <w:szCs w:val="20"/>
        </w:rPr>
        <w:t xml:space="preserve"> </w:t>
      </w:r>
      <w:r w:rsidR="00C809E5">
        <w:rPr>
          <w:i w:val="0"/>
          <w:snapToGrid w:val="0"/>
          <w:szCs w:val="20"/>
        </w:rPr>
        <w:t>1</w:t>
      </w:r>
      <w:r>
        <w:rPr>
          <w:i w:val="0"/>
          <w:snapToGrid w:val="0"/>
          <w:szCs w:val="20"/>
        </w:rPr>
        <w:t>’s</w:t>
      </w:r>
      <w:r w:rsidR="0015479F" w:rsidRPr="00747C1D">
        <w:rPr>
          <w:i w:val="0"/>
          <w:snapToGrid w:val="0"/>
          <w:szCs w:val="20"/>
        </w:rPr>
        <w:t xml:space="preserve"> language </w:t>
      </w:r>
      <w:r w:rsidR="00354660" w:rsidRPr="00747C1D">
        <w:rPr>
          <w:i w:val="0"/>
          <w:snapToGrid w:val="0"/>
          <w:szCs w:val="20"/>
        </w:rPr>
        <w:t xml:space="preserve">was </w:t>
      </w:r>
      <w:r w:rsidR="0015479F" w:rsidRPr="00747C1D">
        <w:rPr>
          <w:i w:val="0"/>
          <w:snapToGrid w:val="0"/>
          <w:szCs w:val="20"/>
        </w:rPr>
        <w:t xml:space="preserve">subjective </w:t>
      </w:r>
      <w:r w:rsidR="004E2598" w:rsidRPr="00747C1D">
        <w:rPr>
          <w:i w:val="0"/>
          <w:snapToGrid w:val="0"/>
          <w:szCs w:val="20"/>
        </w:rPr>
        <w:t xml:space="preserve">at times </w:t>
      </w:r>
      <w:r w:rsidR="0015479F" w:rsidRPr="00747C1D">
        <w:rPr>
          <w:i w:val="0"/>
          <w:snapToGrid w:val="0"/>
          <w:szCs w:val="20"/>
        </w:rPr>
        <w:t xml:space="preserve">and </w:t>
      </w:r>
      <w:r w:rsidR="002E5BDF" w:rsidRPr="00747C1D">
        <w:rPr>
          <w:i w:val="0"/>
          <w:snapToGrid w:val="0"/>
          <w:szCs w:val="20"/>
        </w:rPr>
        <w:t>several</w:t>
      </w:r>
      <w:r w:rsidR="004E2598" w:rsidRPr="00747C1D">
        <w:rPr>
          <w:i w:val="0"/>
          <w:snapToGrid w:val="0"/>
          <w:szCs w:val="20"/>
        </w:rPr>
        <w:t xml:space="preserve"> statements </w:t>
      </w:r>
      <w:r w:rsidR="007E4779" w:rsidRPr="00747C1D">
        <w:rPr>
          <w:i w:val="0"/>
          <w:snapToGrid w:val="0"/>
          <w:szCs w:val="20"/>
        </w:rPr>
        <w:t xml:space="preserve">that preceded the statement under assessment </w:t>
      </w:r>
      <w:r w:rsidR="004E2598" w:rsidRPr="00747C1D">
        <w:rPr>
          <w:i w:val="0"/>
          <w:snapToGrid w:val="0"/>
          <w:szCs w:val="20"/>
        </w:rPr>
        <w:t>could be regarding as commentary</w:t>
      </w:r>
      <w:r w:rsidR="005D3EE1" w:rsidRPr="00747C1D">
        <w:rPr>
          <w:i w:val="0"/>
          <w:snapToGrid w:val="0"/>
          <w:szCs w:val="20"/>
        </w:rPr>
        <w:t>,</w:t>
      </w:r>
      <w:r w:rsidR="004E2598" w:rsidRPr="00747C1D">
        <w:rPr>
          <w:i w:val="0"/>
          <w:snapToGrid w:val="0"/>
          <w:szCs w:val="20"/>
        </w:rPr>
        <w:t xml:space="preserve"> such as:</w:t>
      </w:r>
    </w:p>
    <w:p w14:paraId="3E68A776" w14:textId="77777777" w:rsidR="00747C1D" w:rsidRPr="00747C1D" w:rsidRDefault="0015479F" w:rsidP="00747C1D">
      <w:pPr>
        <w:pStyle w:val="ACMABodyText"/>
        <w:spacing w:after="120" w:line="240" w:lineRule="auto"/>
        <w:ind w:left="720"/>
        <w:rPr>
          <w:rFonts w:eastAsia="Calibri"/>
          <w:sz w:val="18"/>
          <w:szCs w:val="18"/>
          <w:lang w:eastAsia="en-AU"/>
        </w:rPr>
      </w:pPr>
      <w:r w:rsidRPr="00747C1D">
        <w:rPr>
          <w:rFonts w:eastAsia="Calibri"/>
          <w:sz w:val="18"/>
          <w:szCs w:val="18"/>
          <w:lang w:eastAsia="en-AU"/>
        </w:rPr>
        <w:t>They put fear on you</w:t>
      </w:r>
      <w:r w:rsidR="00AE6CAE" w:rsidRPr="00747C1D">
        <w:rPr>
          <w:rFonts w:eastAsia="Calibri"/>
          <w:sz w:val="18"/>
          <w:szCs w:val="18"/>
          <w:lang w:eastAsia="en-AU"/>
        </w:rPr>
        <w:t>, you need to get the vaccine</w:t>
      </w:r>
      <w:r w:rsidRPr="00747C1D">
        <w:rPr>
          <w:rFonts w:eastAsia="Calibri"/>
          <w:sz w:val="18"/>
          <w:szCs w:val="18"/>
          <w:lang w:eastAsia="en-AU"/>
        </w:rPr>
        <w:t xml:space="preserve"> (26:30)</w:t>
      </w:r>
    </w:p>
    <w:p w14:paraId="59320EDC" w14:textId="0897B0DC" w:rsidR="0015479F" w:rsidRPr="00747C1D" w:rsidRDefault="0015479F" w:rsidP="00747C1D">
      <w:pPr>
        <w:pStyle w:val="ACMABodyText"/>
        <w:spacing w:after="120" w:line="240" w:lineRule="auto"/>
        <w:ind w:left="720"/>
        <w:rPr>
          <w:rFonts w:eastAsia="Calibri"/>
          <w:sz w:val="18"/>
          <w:szCs w:val="18"/>
          <w:lang w:eastAsia="en-AU"/>
        </w:rPr>
      </w:pPr>
      <w:r w:rsidRPr="00747C1D">
        <w:rPr>
          <w:rFonts w:eastAsia="Calibri"/>
          <w:sz w:val="18"/>
          <w:szCs w:val="18"/>
          <w:lang w:eastAsia="en-AU"/>
        </w:rPr>
        <w:t xml:space="preserve">They </w:t>
      </w:r>
      <w:r w:rsidR="00AE6CAE" w:rsidRPr="00747C1D">
        <w:rPr>
          <w:rFonts w:eastAsia="Calibri"/>
          <w:sz w:val="18"/>
          <w:szCs w:val="18"/>
          <w:lang w:eastAsia="en-AU"/>
        </w:rPr>
        <w:t>try to put guilt on you</w:t>
      </w:r>
      <w:r w:rsidR="00354660" w:rsidRPr="00747C1D">
        <w:rPr>
          <w:rFonts w:eastAsia="Calibri"/>
          <w:sz w:val="18"/>
          <w:szCs w:val="18"/>
          <w:lang w:eastAsia="en-AU"/>
        </w:rPr>
        <w:t>…</w:t>
      </w:r>
      <w:r w:rsidR="00AE6CAE" w:rsidRPr="00747C1D">
        <w:rPr>
          <w:rFonts w:eastAsia="Calibri"/>
          <w:sz w:val="18"/>
          <w:szCs w:val="18"/>
          <w:lang w:eastAsia="en-AU"/>
        </w:rPr>
        <w:t xml:space="preserve"> you love your family,</w:t>
      </w:r>
      <w:r w:rsidRPr="00747C1D">
        <w:rPr>
          <w:rFonts w:eastAsia="Calibri"/>
          <w:sz w:val="18"/>
          <w:szCs w:val="18"/>
          <w:lang w:eastAsia="en-AU"/>
        </w:rPr>
        <w:t xml:space="preserve"> </w:t>
      </w:r>
      <w:r w:rsidR="00AE6CAE" w:rsidRPr="00747C1D">
        <w:rPr>
          <w:rFonts w:eastAsia="Calibri"/>
          <w:sz w:val="18"/>
          <w:szCs w:val="18"/>
          <w:lang w:eastAsia="en-AU"/>
        </w:rPr>
        <w:t xml:space="preserve">you love </w:t>
      </w:r>
      <w:r w:rsidRPr="00747C1D">
        <w:rPr>
          <w:rFonts w:eastAsia="Calibri"/>
          <w:sz w:val="18"/>
          <w:szCs w:val="18"/>
          <w:lang w:eastAsia="en-AU"/>
        </w:rPr>
        <w:t xml:space="preserve">your </w:t>
      </w:r>
      <w:r w:rsidR="00AE6CAE" w:rsidRPr="00747C1D">
        <w:rPr>
          <w:rFonts w:eastAsia="Calibri"/>
          <w:sz w:val="18"/>
          <w:szCs w:val="18"/>
          <w:lang w:eastAsia="en-AU"/>
        </w:rPr>
        <w:t>friends, you love your co-workers</w:t>
      </w:r>
      <w:r w:rsidRPr="00747C1D">
        <w:rPr>
          <w:rFonts w:eastAsia="Calibri"/>
          <w:sz w:val="18"/>
          <w:szCs w:val="18"/>
          <w:lang w:eastAsia="en-AU"/>
        </w:rPr>
        <w:t xml:space="preserve"> </w:t>
      </w:r>
      <w:r w:rsidR="00AE6CAE" w:rsidRPr="00747C1D">
        <w:rPr>
          <w:rFonts w:eastAsia="Calibri"/>
          <w:sz w:val="18"/>
          <w:szCs w:val="18"/>
          <w:lang w:eastAsia="en-AU"/>
        </w:rPr>
        <w:t>(26:35)</w:t>
      </w:r>
    </w:p>
    <w:p w14:paraId="15626FBE" w14:textId="0FC7772B" w:rsidR="003639B5" w:rsidRDefault="003639B5" w:rsidP="003639B5">
      <w:pPr>
        <w:spacing w:before="240" w:after="120" w:line="240" w:lineRule="atLeast"/>
        <w:rPr>
          <w:i w:val="0"/>
          <w:iCs/>
        </w:rPr>
      </w:pPr>
      <w:r>
        <w:rPr>
          <w:rFonts w:eastAsia="Calibri" w:cs="Arial"/>
          <w:i w:val="0"/>
          <w:snapToGrid w:val="0"/>
          <w:szCs w:val="20"/>
        </w:rPr>
        <w:t xml:space="preserve">The ACMA disagrees with </w:t>
      </w:r>
      <w:r w:rsidR="00971770" w:rsidRPr="003B11AD">
        <w:rPr>
          <w:rFonts w:eastAsia="Calibri" w:cs="Arial"/>
          <w:i w:val="0"/>
          <w:snapToGrid w:val="0"/>
          <w:szCs w:val="20"/>
        </w:rPr>
        <w:t xml:space="preserve">the </w:t>
      </w:r>
      <w:r w:rsidR="002A7DA8">
        <w:rPr>
          <w:rFonts w:eastAsia="Calibri" w:cs="Arial"/>
          <w:i w:val="0"/>
          <w:snapToGrid w:val="0"/>
          <w:szCs w:val="20"/>
        </w:rPr>
        <w:t>L</w:t>
      </w:r>
      <w:r w:rsidR="00971770" w:rsidRPr="003B11AD">
        <w:rPr>
          <w:rFonts w:eastAsia="Calibri" w:cs="Arial"/>
          <w:i w:val="0"/>
          <w:snapToGrid w:val="0"/>
          <w:szCs w:val="20"/>
        </w:rPr>
        <w:t>icensee’s argument that</w:t>
      </w:r>
      <w:r w:rsidR="007E4779">
        <w:rPr>
          <w:rFonts w:eastAsia="Calibri" w:cs="Arial"/>
          <w:i w:val="0"/>
          <w:snapToGrid w:val="0"/>
          <w:szCs w:val="20"/>
        </w:rPr>
        <w:t xml:space="preserve">, based on </w:t>
      </w:r>
      <w:r w:rsidR="0097590F">
        <w:rPr>
          <w:rFonts w:eastAsia="Calibri" w:cs="Arial"/>
          <w:i w:val="0"/>
          <w:snapToGrid w:val="0"/>
          <w:szCs w:val="20"/>
        </w:rPr>
        <w:t xml:space="preserve">their </w:t>
      </w:r>
      <w:r w:rsidR="007E4779">
        <w:rPr>
          <w:rFonts w:eastAsia="Calibri" w:cs="Arial"/>
          <w:i w:val="0"/>
          <w:snapToGrid w:val="0"/>
          <w:szCs w:val="20"/>
        </w:rPr>
        <w:t>lack of medical expertise,</w:t>
      </w:r>
      <w:r w:rsidR="008B4A4A">
        <w:rPr>
          <w:rFonts w:eastAsia="Calibri" w:cs="Arial"/>
          <w:i w:val="0"/>
          <w:snapToGrid w:val="0"/>
          <w:szCs w:val="20"/>
        </w:rPr>
        <w:t xml:space="preserve"> </w:t>
      </w:r>
      <w:r w:rsidR="00757A08">
        <w:rPr>
          <w:i w:val="0"/>
        </w:rPr>
        <w:t>Host</w:t>
      </w:r>
      <w:r w:rsidR="00206811">
        <w:rPr>
          <w:i w:val="0"/>
        </w:rPr>
        <w:t xml:space="preserve"> </w:t>
      </w:r>
      <w:r w:rsidR="00C809E5">
        <w:rPr>
          <w:i w:val="0"/>
        </w:rPr>
        <w:t>1</w:t>
      </w:r>
      <w:r w:rsidR="00971770" w:rsidRPr="003B11AD">
        <w:rPr>
          <w:i w:val="0"/>
        </w:rPr>
        <w:t>’s statements should be regarded as pure commentary rather than the presentation of factual material</w:t>
      </w:r>
      <w:r>
        <w:rPr>
          <w:i w:val="0"/>
        </w:rPr>
        <w:t>. T</w:t>
      </w:r>
      <w:r>
        <w:rPr>
          <w:i w:val="0"/>
          <w:iCs/>
        </w:rPr>
        <w:t xml:space="preserve">he statement under assessment contained </w:t>
      </w:r>
      <w:r w:rsidR="000A2139">
        <w:rPr>
          <w:i w:val="0"/>
          <w:iCs/>
        </w:rPr>
        <w:t>3 components</w:t>
      </w:r>
      <w:r>
        <w:rPr>
          <w:i w:val="0"/>
          <w:iCs/>
        </w:rPr>
        <w:t xml:space="preserve"> </w:t>
      </w:r>
      <w:r w:rsidR="000A2139">
        <w:rPr>
          <w:i w:val="0"/>
          <w:iCs/>
        </w:rPr>
        <w:t xml:space="preserve">that </w:t>
      </w:r>
      <w:r>
        <w:rPr>
          <w:i w:val="0"/>
          <w:iCs/>
        </w:rPr>
        <w:t xml:space="preserve">were presented as factual. </w:t>
      </w:r>
    </w:p>
    <w:p w14:paraId="61BCF378" w14:textId="46318AD0" w:rsidR="0008773E" w:rsidRDefault="000A2139" w:rsidP="00747C1D">
      <w:pPr>
        <w:spacing w:before="240" w:after="120" w:line="240" w:lineRule="atLeast"/>
        <w:rPr>
          <w:rFonts w:eastAsia="Calibri" w:cs="Arial"/>
          <w:i w:val="0"/>
          <w:snapToGrid w:val="0"/>
          <w:szCs w:val="20"/>
        </w:rPr>
      </w:pPr>
      <w:r>
        <w:rPr>
          <w:rFonts w:eastAsia="Calibri" w:cs="Arial"/>
          <w:i w:val="0"/>
          <w:snapToGrid w:val="0"/>
          <w:szCs w:val="20"/>
        </w:rPr>
        <w:t>T</w:t>
      </w:r>
      <w:r w:rsidR="00971770">
        <w:rPr>
          <w:rFonts w:eastAsia="Calibri" w:cs="Arial"/>
          <w:i w:val="0"/>
          <w:snapToGrid w:val="0"/>
          <w:szCs w:val="20"/>
        </w:rPr>
        <w:t>h</w:t>
      </w:r>
      <w:r w:rsidR="0008773E">
        <w:rPr>
          <w:rFonts w:eastAsia="Calibri" w:cs="Arial"/>
          <w:i w:val="0"/>
          <w:snapToGrid w:val="0"/>
          <w:szCs w:val="20"/>
        </w:rPr>
        <w:t>e</w:t>
      </w:r>
      <w:r w:rsidR="00971770">
        <w:rPr>
          <w:rFonts w:eastAsia="Calibri" w:cs="Arial"/>
          <w:i w:val="0"/>
          <w:snapToGrid w:val="0"/>
          <w:szCs w:val="20"/>
        </w:rPr>
        <w:t xml:space="preserve"> statement</w:t>
      </w:r>
      <w:r w:rsidR="0008773E">
        <w:rPr>
          <w:rFonts w:eastAsia="Calibri" w:cs="Arial"/>
          <w:i w:val="0"/>
          <w:snapToGrid w:val="0"/>
          <w:szCs w:val="20"/>
        </w:rPr>
        <w:t>s:</w:t>
      </w:r>
      <w:r w:rsidR="00971770">
        <w:rPr>
          <w:rFonts w:eastAsia="Calibri" w:cs="Arial"/>
          <w:i w:val="0"/>
          <w:snapToGrid w:val="0"/>
          <w:szCs w:val="20"/>
        </w:rPr>
        <w:t xml:space="preserve"> </w:t>
      </w:r>
    </w:p>
    <w:p w14:paraId="018E4F9E" w14:textId="41341758" w:rsidR="0008773E" w:rsidRPr="00747C1D" w:rsidRDefault="000A2139" w:rsidP="00747C1D">
      <w:pPr>
        <w:pStyle w:val="ACMABodyText"/>
        <w:spacing w:after="120" w:line="240" w:lineRule="auto"/>
        <w:ind w:left="720"/>
        <w:rPr>
          <w:rFonts w:eastAsia="Calibri"/>
          <w:sz w:val="18"/>
          <w:szCs w:val="18"/>
          <w:lang w:eastAsia="en-AU"/>
        </w:rPr>
      </w:pPr>
      <w:r>
        <w:rPr>
          <w:rFonts w:eastAsia="Calibri"/>
          <w:sz w:val="18"/>
          <w:szCs w:val="18"/>
          <w:lang w:eastAsia="en-AU"/>
        </w:rPr>
        <w:t>P</w:t>
      </w:r>
      <w:r w:rsidR="0008773E" w:rsidRPr="00747C1D">
        <w:rPr>
          <w:rFonts w:eastAsia="Calibri"/>
          <w:sz w:val="18"/>
          <w:szCs w:val="18"/>
          <w:lang w:eastAsia="en-AU"/>
        </w:rPr>
        <w:t xml:space="preserve">eople who have been vaccinated are still getting and transmitting </w:t>
      </w:r>
      <w:r w:rsidR="00780966" w:rsidRPr="00747C1D">
        <w:rPr>
          <w:rFonts w:eastAsia="Calibri"/>
          <w:sz w:val="18"/>
          <w:szCs w:val="18"/>
          <w:lang w:eastAsia="en-AU"/>
        </w:rPr>
        <w:t>C</w:t>
      </w:r>
      <w:r w:rsidR="00780966">
        <w:rPr>
          <w:rFonts w:eastAsia="Calibri"/>
          <w:sz w:val="18"/>
          <w:szCs w:val="18"/>
          <w:lang w:eastAsia="en-AU"/>
        </w:rPr>
        <w:t>OVID</w:t>
      </w:r>
      <w:r w:rsidR="0008773E" w:rsidRPr="00747C1D">
        <w:rPr>
          <w:rFonts w:eastAsia="Calibri"/>
          <w:sz w:val="18"/>
          <w:szCs w:val="18"/>
          <w:lang w:eastAsia="en-AU"/>
        </w:rPr>
        <w:t>-19</w:t>
      </w:r>
    </w:p>
    <w:p w14:paraId="10A7CDA5" w14:textId="60804E8B" w:rsidR="00354660" w:rsidRPr="00747C1D" w:rsidRDefault="000A2139" w:rsidP="00747C1D">
      <w:pPr>
        <w:pStyle w:val="ACMABodyText"/>
        <w:spacing w:after="120" w:line="240" w:lineRule="auto"/>
        <w:ind w:left="720"/>
        <w:rPr>
          <w:rFonts w:eastAsia="Calibri"/>
          <w:sz w:val="18"/>
          <w:szCs w:val="18"/>
          <w:lang w:eastAsia="en-AU"/>
        </w:rPr>
      </w:pPr>
      <w:r>
        <w:rPr>
          <w:rFonts w:eastAsia="Calibri"/>
          <w:sz w:val="18"/>
          <w:szCs w:val="18"/>
          <w:lang w:eastAsia="en-AU"/>
        </w:rPr>
        <w:t>I</w:t>
      </w:r>
      <w:r w:rsidR="0008773E" w:rsidRPr="00747C1D">
        <w:rPr>
          <w:rFonts w:eastAsia="Calibri"/>
          <w:sz w:val="18"/>
          <w:szCs w:val="18"/>
          <w:lang w:eastAsia="en-AU"/>
        </w:rPr>
        <w:t>t (the vaccine)</w:t>
      </w:r>
      <w:r w:rsidR="00971770" w:rsidRPr="00747C1D">
        <w:rPr>
          <w:rFonts w:eastAsia="Calibri"/>
          <w:sz w:val="18"/>
          <w:szCs w:val="18"/>
          <w:lang w:eastAsia="en-AU"/>
        </w:rPr>
        <w:t xml:space="preserve"> killed all the animals that they tested it on </w:t>
      </w:r>
    </w:p>
    <w:p w14:paraId="29462E2F" w14:textId="3BFEBC65" w:rsidR="0008773E" w:rsidRPr="0008773E" w:rsidRDefault="003639B5" w:rsidP="00206811">
      <w:pPr>
        <w:pStyle w:val="ACMABodyText"/>
        <w:spacing w:before="240"/>
        <w:rPr>
          <w:rFonts w:eastAsia="Calibri"/>
        </w:rPr>
      </w:pPr>
      <w:r>
        <w:rPr>
          <w:rFonts w:eastAsia="Calibri"/>
        </w:rPr>
        <w:t>are</w:t>
      </w:r>
      <w:r>
        <w:rPr>
          <w:iCs/>
        </w:rPr>
        <w:t xml:space="preserve"> </w:t>
      </w:r>
      <w:r w:rsidRPr="003B11AD">
        <w:rPr>
          <w:rFonts w:eastAsia="Calibri" w:cs="Arial"/>
        </w:rPr>
        <w:t>specific, unequivocal, and capable of independent verification</w:t>
      </w:r>
      <w:r w:rsidR="00A60894">
        <w:rPr>
          <w:rFonts w:eastAsia="Calibri" w:cs="Arial"/>
        </w:rPr>
        <w:t>,</w:t>
      </w:r>
      <w:r>
        <w:rPr>
          <w:rFonts w:eastAsia="Calibri"/>
        </w:rPr>
        <w:t xml:space="preserve"> and </w:t>
      </w:r>
      <w:r w:rsidR="0008773E">
        <w:rPr>
          <w:rFonts w:eastAsia="Calibri"/>
        </w:rPr>
        <w:t>clearly conveyed statements of fact.</w:t>
      </w:r>
    </w:p>
    <w:p w14:paraId="5BF4B158" w14:textId="4D3CDA05" w:rsidR="003639B5" w:rsidRDefault="000A2139" w:rsidP="00206811">
      <w:pPr>
        <w:pStyle w:val="ACMABodyText"/>
        <w:spacing w:after="120"/>
        <w:rPr>
          <w:rFonts w:eastAsia="Calibri"/>
        </w:rPr>
      </w:pPr>
      <w:r>
        <w:rPr>
          <w:rFonts w:eastAsia="Calibri"/>
        </w:rPr>
        <w:t xml:space="preserve">The </w:t>
      </w:r>
      <w:r w:rsidR="00BA0A8D">
        <w:rPr>
          <w:rFonts w:eastAsia="Calibri"/>
        </w:rPr>
        <w:t xml:space="preserve">following </w:t>
      </w:r>
      <w:r>
        <w:rPr>
          <w:rFonts w:eastAsia="Calibri"/>
        </w:rPr>
        <w:t>statement</w:t>
      </w:r>
      <w:r w:rsidR="00BA0A8D">
        <w:rPr>
          <w:rFonts w:eastAsia="Calibri"/>
        </w:rPr>
        <w:t xml:space="preserve"> is less so</w:t>
      </w:r>
      <w:r w:rsidR="003639B5">
        <w:rPr>
          <w:rFonts w:eastAsia="Calibri"/>
        </w:rPr>
        <w:t>:</w:t>
      </w:r>
    </w:p>
    <w:p w14:paraId="74DDDA09" w14:textId="233E724E" w:rsidR="000A2139" w:rsidRPr="000A2139" w:rsidRDefault="00780966" w:rsidP="000A2139">
      <w:pPr>
        <w:pStyle w:val="ACMABodyText"/>
        <w:spacing w:after="120" w:line="240" w:lineRule="auto"/>
        <w:ind w:left="720"/>
        <w:rPr>
          <w:rFonts w:eastAsia="Calibri"/>
          <w:sz w:val="18"/>
          <w:szCs w:val="18"/>
          <w:lang w:eastAsia="en-AU"/>
        </w:rPr>
      </w:pPr>
      <w:r w:rsidRPr="000A2139">
        <w:rPr>
          <w:rFonts w:eastAsia="Calibri"/>
          <w:sz w:val="18"/>
          <w:szCs w:val="18"/>
          <w:lang w:eastAsia="en-AU"/>
        </w:rPr>
        <w:t>C</w:t>
      </w:r>
      <w:r>
        <w:rPr>
          <w:rFonts w:eastAsia="Calibri"/>
          <w:sz w:val="18"/>
          <w:szCs w:val="18"/>
          <w:lang w:eastAsia="en-AU"/>
        </w:rPr>
        <w:t>OVID</w:t>
      </w:r>
      <w:r w:rsidR="000A2139" w:rsidRPr="000A2139">
        <w:rPr>
          <w:rFonts w:eastAsia="Calibri"/>
          <w:sz w:val="18"/>
          <w:szCs w:val="18"/>
          <w:lang w:eastAsia="en-AU"/>
        </w:rPr>
        <w:t>-19 vaccines have not been proven for safety and efficacy</w:t>
      </w:r>
    </w:p>
    <w:p w14:paraId="278BC4DD" w14:textId="55B9F8D7" w:rsidR="002E5BDF" w:rsidRPr="003B11AD" w:rsidRDefault="002E5BDF" w:rsidP="00206811">
      <w:pPr>
        <w:pStyle w:val="ACMABodyText"/>
        <w:spacing w:before="240"/>
        <w:rPr>
          <w:rFonts w:eastAsia="Calibri"/>
        </w:rPr>
      </w:pPr>
      <w:r>
        <w:rPr>
          <w:rFonts w:eastAsia="Calibri"/>
        </w:rPr>
        <w:t xml:space="preserve">Vaccines were granted approval from health authorities having undergone testing which satisfied health authorities as to their safety and efficacy. However, </w:t>
      </w:r>
      <w:r w:rsidR="00757A08">
        <w:rPr>
          <w:rFonts w:eastAsia="Calibri"/>
        </w:rPr>
        <w:t>Host</w:t>
      </w:r>
      <w:r w:rsidR="00206811">
        <w:rPr>
          <w:rFonts w:eastAsia="Calibri"/>
        </w:rPr>
        <w:t xml:space="preserve"> </w:t>
      </w:r>
      <w:r w:rsidR="00C809E5">
        <w:rPr>
          <w:rFonts w:eastAsia="Calibri"/>
        </w:rPr>
        <w:t>1</w:t>
      </w:r>
      <w:r w:rsidR="001F71DC">
        <w:rPr>
          <w:rFonts w:eastAsia="Calibri"/>
        </w:rPr>
        <w:t xml:space="preserve">’s statement could be interpreted as saying </w:t>
      </w:r>
      <w:r w:rsidR="00C13DEA">
        <w:rPr>
          <w:rFonts w:eastAsia="Calibri"/>
        </w:rPr>
        <w:t xml:space="preserve">they </w:t>
      </w:r>
      <w:r w:rsidR="001F71DC">
        <w:rPr>
          <w:rFonts w:eastAsia="Calibri"/>
        </w:rPr>
        <w:t xml:space="preserve">did not consider this sufficient proof of their safety, </w:t>
      </w:r>
      <w:r w:rsidR="0008773E">
        <w:rPr>
          <w:rFonts w:eastAsia="Calibri"/>
        </w:rPr>
        <w:t>thereby making the statement one of opinion</w:t>
      </w:r>
      <w:r w:rsidR="001F71DC">
        <w:rPr>
          <w:rFonts w:eastAsia="Calibri"/>
        </w:rPr>
        <w:t xml:space="preserve">. </w:t>
      </w:r>
      <w:r w:rsidR="000A2139">
        <w:rPr>
          <w:rFonts w:eastAsia="Calibri"/>
        </w:rPr>
        <w:t xml:space="preserve">Accordingly, the ACMA has not assessed this </w:t>
      </w:r>
      <w:r w:rsidR="0023745A">
        <w:rPr>
          <w:rFonts w:eastAsia="Calibri"/>
        </w:rPr>
        <w:t>against the accuracy provisions of the code</w:t>
      </w:r>
      <w:r w:rsidR="000A2139">
        <w:rPr>
          <w:rFonts w:eastAsia="Calibri"/>
        </w:rPr>
        <w:t>.</w:t>
      </w:r>
      <w:r>
        <w:rPr>
          <w:rFonts w:eastAsia="Calibri"/>
        </w:rPr>
        <w:t xml:space="preserve">  </w:t>
      </w:r>
    </w:p>
    <w:p w14:paraId="2F410797" w14:textId="7E3FCC76" w:rsidR="004E2598" w:rsidRPr="000D6A5E" w:rsidRDefault="004E2598" w:rsidP="00747C1D">
      <w:pPr>
        <w:spacing w:before="0" w:line="240" w:lineRule="atLeast"/>
        <w:rPr>
          <w:rFonts w:eastAsia="Calibri" w:cs="Arial"/>
          <w:b/>
          <w:bCs/>
          <w:i w:val="0"/>
          <w:snapToGrid w:val="0"/>
          <w:szCs w:val="20"/>
        </w:rPr>
      </w:pPr>
      <w:r w:rsidRPr="000D6A5E">
        <w:rPr>
          <w:rFonts w:eastAsia="Calibri" w:cs="Arial"/>
          <w:b/>
          <w:bCs/>
          <w:i w:val="0"/>
          <w:snapToGrid w:val="0"/>
          <w:szCs w:val="20"/>
        </w:rPr>
        <w:t>Was the factual material accurate?</w:t>
      </w:r>
    </w:p>
    <w:p w14:paraId="6BBFA71F" w14:textId="62D5DB52" w:rsidR="002E5BDF" w:rsidRDefault="0023745A" w:rsidP="00747C1D">
      <w:pPr>
        <w:pStyle w:val="ACMABodyText"/>
        <w:rPr>
          <w:rFonts w:eastAsia="Calibri"/>
        </w:rPr>
      </w:pPr>
      <w:r>
        <w:rPr>
          <w:rFonts w:eastAsia="Calibri"/>
        </w:rPr>
        <w:t>T</w:t>
      </w:r>
      <w:r w:rsidR="002E5BDF">
        <w:rPr>
          <w:rFonts w:eastAsia="Calibri"/>
        </w:rPr>
        <w:t>he ACMA understands that</w:t>
      </w:r>
      <w:r w:rsidR="00A60894">
        <w:rPr>
          <w:rFonts w:eastAsia="Calibri"/>
        </w:rPr>
        <w:t>, while</w:t>
      </w:r>
      <w:r w:rsidR="002E5BDF">
        <w:rPr>
          <w:rFonts w:eastAsia="Calibri"/>
        </w:rPr>
        <w:t xml:space="preserve"> vaccination decreases the chances of people getting and transmitting C</w:t>
      </w:r>
      <w:r w:rsidR="00DF44E6">
        <w:rPr>
          <w:rFonts w:eastAsia="Calibri"/>
        </w:rPr>
        <w:t>OVID</w:t>
      </w:r>
      <w:r w:rsidR="002E5BDF">
        <w:rPr>
          <w:rFonts w:eastAsia="Calibri"/>
        </w:rPr>
        <w:t xml:space="preserve">-19, it does not </w:t>
      </w:r>
      <w:r w:rsidR="00BC6740">
        <w:rPr>
          <w:rFonts w:eastAsia="Calibri"/>
        </w:rPr>
        <w:t>entirely prevent those outcomes</w:t>
      </w:r>
      <w:r w:rsidR="002E5BDF">
        <w:rPr>
          <w:rFonts w:eastAsia="Calibri"/>
        </w:rPr>
        <w:t xml:space="preserve">, and so </w:t>
      </w:r>
      <w:r w:rsidR="0008773E">
        <w:rPr>
          <w:rFonts w:eastAsia="Calibri"/>
        </w:rPr>
        <w:t xml:space="preserve">the ACMA considers </w:t>
      </w:r>
      <w:r w:rsidR="002E5BDF">
        <w:rPr>
          <w:rFonts w:eastAsia="Calibri"/>
        </w:rPr>
        <w:t xml:space="preserve">this </w:t>
      </w:r>
      <w:r w:rsidR="0071386C">
        <w:rPr>
          <w:rFonts w:eastAsia="Calibri"/>
        </w:rPr>
        <w:t xml:space="preserve">component of the </w:t>
      </w:r>
      <w:r w:rsidR="002E5BDF">
        <w:rPr>
          <w:rFonts w:eastAsia="Calibri"/>
        </w:rPr>
        <w:t xml:space="preserve">statement </w:t>
      </w:r>
      <w:r w:rsidR="0071386C">
        <w:rPr>
          <w:rFonts w:eastAsia="Calibri"/>
        </w:rPr>
        <w:t xml:space="preserve">to be </w:t>
      </w:r>
      <w:r w:rsidR="002E5BDF">
        <w:rPr>
          <w:rFonts w:eastAsia="Calibri"/>
        </w:rPr>
        <w:t xml:space="preserve">accurate. </w:t>
      </w:r>
    </w:p>
    <w:p w14:paraId="2338A52E" w14:textId="7FD8896A" w:rsidR="0008773E" w:rsidRDefault="001F71DC" w:rsidP="00747C1D">
      <w:pPr>
        <w:pStyle w:val="ACMABodyText"/>
      </w:pPr>
      <w:r>
        <w:rPr>
          <w:rFonts w:eastAsia="Calibri"/>
        </w:rPr>
        <w:lastRenderedPageBreak/>
        <w:t xml:space="preserve">Other than </w:t>
      </w:r>
      <w:r w:rsidR="0008773E">
        <w:rPr>
          <w:rFonts w:eastAsia="Calibri"/>
        </w:rPr>
        <w:t xml:space="preserve">submitting </w:t>
      </w:r>
      <w:r>
        <w:rPr>
          <w:rFonts w:eastAsia="Calibri"/>
        </w:rPr>
        <w:t xml:space="preserve">that </w:t>
      </w:r>
      <w:r w:rsidR="00757A08">
        <w:t>Host</w:t>
      </w:r>
      <w:r w:rsidR="00206811">
        <w:t xml:space="preserve"> </w:t>
      </w:r>
      <w:r w:rsidR="00C809E5">
        <w:t>1</w:t>
      </w:r>
      <w:r>
        <w:t>’s statements should be regarded as commentary, t</w:t>
      </w:r>
      <w:r w:rsidRPr="003B11AD">
        <w:rPr>
          <w:rFonts w:eastAsia="Calibri"/>
        </w:rPr>
        <w:t xml:space="preserve">he </w:t>
      </w:r>
      <w:r w:rsidR="00EF073A">
        <w:rPr>
          <w:rFonts w:eastAsia="Calibri"/>
        </w:rPr>
        <w:t>L</w:t>
      </w:r>
      <w:r>
        <w:rPr>
          <w:rFonts w:eastAsia="Calibri"/>
        </w:rPr>
        <w:t xml:space="preserve">icensee </w:t>
      </w:r>
      <w:r w:rsidR="00971770">
        <w:t xml:space="preserve">did not provide any </w:t>
      </w:r>
      <w:r w:rsidR="00971770" w:rsidRPr="003B11AD">
        <w:t xml:space="preserve">support for </w:t>
      </w:r>
      <w:r w:rsidR="00A65B8A">
        <w:t>their</w:t>
      </w:r>
      <w:r w:rsidR="00A65B8A" w:rsidRPr="003B11AD">
        <w:t xml:space="preserve"> </w:t>
      </w:r>
      <w:r w:rsidR="00971770" w:rsidRPr="003B11AD">
        <w:t xml:space="preserve">statement that the vaccine </w:t>
      </w:r>
      <w:r w:rsidR="00BE4338">
        <w:t>‘</w:t>
      </w:r>
      <w:r w:rsidR="00971770" w:rsidRPr="00BE4338">
        <w:t>killed all the animals that they tested it on</w:t>
      </w:r>
      <w:r w:rsidR="00BE4338">
        <w:t>’</w:t>
      </w:r>
      <w:r w:rsidR="00971770">
        <w:t xml:space="preserve">. </w:t>
      </w:r>
    </w:p>
    <w:p w14:paraId="25CDA2FB" w14:textId="06185FDE" w:rsidR="00725A0C" w:rsidRDefault="00725A0C" w:rsidP="00747C1D">
      <w:pPr>
        <w:pStyle w:val="ACMABodyText"/>
      </w:pPr>
      <w:r>
        <w:t xml:space="preserve">Although claims had been made </w:t>
      </w:r>
      <w:r w:rsidR="00971770">
        <w:t xml:space="preserve">that </w:t>
      </w:r>
      <w:r>
        <w:t>C</w:t>
      </w:r>
      <w:r w:rsidR="00DF44E6">
        <w:t>OVID</w:t>
      </w:r>
      <w:r w:rsidR="00747C1D">
        <w:t>-19</w:t>
      </w:r>
      <w:r>
        <w:t xml:space="preserve"> </w:t>
      </w:r>
      <w:r w:rsidR="00971770">
        <w:t>vaccination</w:t>
      </w:r>
      <w:r>
        <w:t>s did not pass animal trials</w:t>
      </w:r>
      <w:r w:rsidR="00971770">
        <w:t xml:space="preserve"> because of animal deaths, </w:t>
      </w:r>
      <w:r>
        <w:t>these claims have been shown</w:t>
      </w:r>
      <w:r w:rsidR="00971770">
        <w:t xml:space="preserve"> to be untrue</w:t>
      </w:r>
      <w:r w:rsidR="000A2139">
        <w:t>.</w:t>
      </w:r>
      <w:r w:rsidR="00971770">
        <w:rPr>
          <w:rStyle w:val="FootnoteReference"/>
        </w:rPr>
        <w:footnoteReference w:id="13"/>
      </w:r>
      <w:r>
        <w:t xml:space="preserve"> </w:t>
      </w:r>
      <w:r w:rsidR="00DF44E6">
        <w:t>T</w:t>
      </w:r>
      <w:r>
        <w:t>here is no evidence to support the claim that the vaccines killed ‘all the animals’ that they were tested on.</w:t>
      </w:r>
      <w:r w:rsidR="00971770">
        <w:t xml:space="preserve"> </w:t>
      </w:r>
    </w:p>
    <w:p w14:paraId="0D9B6212" w14:textId="50ED6489" w:rsidR="00971770" w:rsidRDefault="002A4911" w:rsidP="00747C1D">
      <w:pPr>
        <w:pStyle w:val="ACMABodyText"/>
      </w:pPr>
      <w:r>
        <w:t xml:space="preserve">The ACMA therefore </w:t>
      </w:r>
      <w:r w:rsidR="00237FD0">
        <w:t xml:space="preserve">finds </w:t>
      </w:r>
      <w:r>
        <w:t>th</w:t>
      </w:r>
      <w:r w:rsidR="00725A0C">
        <w:t>e</w:t>
      </w:r>
      <w:r>
        <w:t xml:space="preserve"> statement</w:t>
      </w:r>
      <w:r w:rsidR="00725A0C">
        <w:t xml:space="preserve"> that </w:t>
      </w:r>
      <w:r w:rsidR="00725A0C" w:rsidRPr="00725A0C">
        <w:t xml:space="preserve">the vaccine </w:t>
      </w:r>
      <w:r w:rsidR="00725A0C">
        <w:t>‘</w:t>
      </w:r>
      <w:r w:rsidR="00725A0C" w:rsidRPr="00725A0C">
        <w:t xml:space="preserve">killed all the animals that they tested it on’ </w:t>
      </w:r>
      <w:r w:rsidR="00725A0C">
        <w:t>was not accurate</w:t>
      </w:r>
      <w:r>
        <w:t xml:space="preserve">. </w:t>
      </w:r>
      <w:r w:rsidR="00971770">
        <w:t xml:space="preserve">  </w:t>
      </w:r>
    </w:p>
    <w:p w14:paraId="0E271C0A" w14:textId="6C95701A" w:rsidR="008B6C55" w:rsidRDefault="008B6C55" w:rsidP="00747C1D">
      <w:pPr>
        <w:pStyle w:val="ACMABodyText"/>
        <w:spacing w:before="120" w:line="240" w:lineRule="auto"/>
        <w:rPr>
          <w:b/>
          <w:bCs/>
          <w:i/>
          <w:iCs/>
          <w:u w:val="single"/>
        </w:rPr>
      </w:pPr>
      <w:r>
        <w:rPr>
          <w:b/>
          <w:bCs/>
          <w:i/>
          <w:iCs/>
          <w:u w:val="single"/>
        </w:rPr>
        <w:t>6.</w:t>
      </w:r>
      <w:r w:rsidR="003E3796">
        <w:rPr>
          <w:b/>
          <w:bCs/>
          <w:i/>
          <w:iCs/>
          <w:u w:val="single"/>
        </w:rPr>
        <w:t xml:space="preserve"> </w:t>
      </w:r>
      <w:r w:rsidRPr="008B6C55">
        <w:rPr>
          <w:b/>
          <w:bCs/>
          <w:i/>
          <w:iCs/>
          <w:u w:val="single"/>
        </w:rPr>
        <w:t xml:space="preserve">The FDA broke the rules in approving this…tons of rules, so this is a rushed, provisional approval, with no </w:t>
      </w:r>
      <w:r w:rsidR="004C3256" w:rsidRPr="008B6C55">
        <w:rPr>
          <w:b/>
          <w:bCs/>
          <w:i/>
          <w:iCs/>
          <w:u w:val="single"/>
        </w:rPr>
        <w:t>long-term</w:t>
      </w:r>
      <w:r w:rsidRPr="008B6C55">
        <w:rPr>
          <w:b/>
          <w:bCs/>
          <w:i/>
          <w:iCs/>
          <w:u w:val="single"/>
        </w:rPr>
        <w:t xml:space="preserve"> safety</w:t>
      </w:r>
    </w:p>
    <w:p w14:paraId="5C765575" w14:textId="2F3E67F6" w:rsidR="00BE5402" w:rsidRDefault="002A0276" w:rsidP="00747C1D">
      <w:pPr>
        <w:spacing w:before="0" w:after="120" w:line="240" w:lineRule="atLeast"/>
        <w:rPr>
          <w:rFonts w:eastAsia="Calibri" w:cs="Arial"/>
          <w:i w:val="0"/>
          <w:snapToGrid w:val="0"/>
          <w:szCs w:val="20"/>
        </w:rPr>
      </w:pPr>
      <w:r>
        <w:rPr>
          <w:rFonts w:eastAsia="Calibri" w:cs="Arial"/>
          <w:i w:val="0"/>
          <w:snapToGrid w:val="0"/>
          <w:szCs w:val="20"/>
        </w:rPr>
        <w:t xml:space="preserve">At approximately 29:50 </w:t>
      </w:r>
      <w:r w:rsidR="005D3EE1">
        <w:rPr>
          <w:rFonts w:eastAsia="Calibri" w:cs="Arial"/>
          <w:i w:val="0"/>
          <w:snapToGrid w:val="0"/>
          <w:szCs w:val="20"/>
        </w:rPr>
        <w:t xml:space="preserve">minutes, </w:t>
      </w:r>
      <w:r w:rsidR="00B34D3D">
        <w:rPr>
          <w:rFonts w:eastAsia="Calibri" w:cs="Arial"/>
          <w:i w:val="0"/>
          <w:snapToGrid w:val="0"/>
          <w:szCs w:val="20"/>
        </w:rPr>
        <w:t xml:space="preserve">Dr. </w:t>
      </w:r>
      <w:r w:rsidR="00C809E5">
        <w:rPr>
          <w:rFonts w:eastAsia="Calibri" w:cs="Arial"/>
          <w:i w:val="0"/>
          <w:snapToGrid w:val="0"/>
          <w:szCs w:val="20"/>
        </w:rPr>
        <w:t>A</w:t>
      </w:r>
      <w:r w:rsidR="008B6C55">
        <w:rPr>
          <w:rFonts w:eastAsia="Calibri" w:cs="Arial"/>
          <w:i w:val="0"/>
          <w:snapToGrid w:val="0"/>
          <w:szCs w:val="20"/>
        </w:rPr>
        <w:t xml:space="preserve"> </w:t>
      </w:r>
      <w:r w:rsidR="00BE5402">
        <w:rPr>
          <w:rFonts w:eastAsia="Calibri" w:cs="Arial"/>
          <w:i w:val="0"/>
          <w:snapToGrid w:val="0"/>
          <w:szCs w:val="20"/>
        </w:rPr>
        <w:t xml:space="preserve">made </w:t>
      </w:r>
      <w:r w:rsidR="008B6C55" w:rsidRPr="00021B28">
        <w:rPr>
          <w:rFonts w:eastAsia="Calibri" w:cs="Arial"/>
          <w:i w:val="0"/>
          <w:snapToGrid w:val="0"/>
          <w:szCs w:val="20"/>
        </w:rPr>
        <w:t xml:space="preserve">the </w:t>
      </w:r>
      <w:r w:rsidR="00BE5402">
        <w:rPr>
          <w:rFonts w:eastAsia="Calibri" w:cs="Arial"/>
          <w:i w:val="0"/>
          <w:snapToGrid w:val="0"/>
          <w:szCs w:val="20"/>
        </w:rPr>
        <w:t>following statement</w:t>
      </w:r>
      <w:r w:rsidR="00ED43C0">
        <w:rPr>
          <w:rFonts w:eastAsia="Calibri" w:cs="Arial"/>
          <w:i w:val="0"/>
          <w:snapToGrid w:val="0"/>
          <w:szCs w:val="20"/>
        </w:rPr>
        <w:t>:</w:t>
      </w:r>
    </w:p>
    <w:p w14:paraId="3D82EF8A" w14:textId="528D71E5" w:rsidR="008B6C55" w:rsidRPr="00BD11DE" w:rsidRDefault="00B81D9F" w:rsidP="00907040">
      <w:pPr>
        <w:spacing w:before="0" w:line="240" w:lineRule="atLeast"/>
        <w:ind w:left="709"/>
        <w:rPr>
          <w:rFonts w:eastAsia="Calibri" w:cs="Arial"/>
          <w:i w:val="0"/>
          <w:snapToGrid w:val="0"/>
          <w:sz w:val="18"/>
          <w:szCs w:val="18"/>
        </w:rPr>
      </w:pPr>
      <w:r w:rsidRPr="00BD11DE">
        <w:rPr>
          <w:rFonts w:eastAsia="Calibri" w:cs="Arial"/>
          <w:i w:val="0"/>
          <w:snapToGrid w:val="0"/>
          <w:sz w:val="18"/>
          <w:szCs w:val="18"/>
        </w:rPr>
        <w:t>They approved the Bio</w:t>
      </w:r>
      <w:r w:rsidR="00ED43C0">
        <w:rPr>
          <w:rFonts w:eastAsia="Calibri" w:cs="Arial"/>
          <w:i w:val="0"/>
          <w:snapToGrid w:val="0"/>
          <w:sz w:val="18"/>
          <w:szCs w:val="18"/>
        </w:rPr>
        <w:t>N</w:t>
      </w:r>
      <w:r w:rsidRPr="00BD11DE">
        <w:rPr>
          <w:rFonts w:eastAsia="Calibri" w:cs="Arial"/>
          <w:i w:val="0"/>
          <w:snapToGrid w:val="0"/>
          <w:sz w:val="18"/>
          <w:szCs w:val="18"/>
        </w:rPr>
        <w:t>Tech, which was a partner with Pfizer, the Com</w:t>
      </w:r>
      <w:r w:rsidR="00ED43C0" w:rsidRPr="00BD11DE">
        <w:rPr>
          <w:rFonts w:eastAsia="Calibri" w:cs="Arial"/>
          <w:i w:val="0"/>
          <w:snapToGrid w:val="0"/>
          <w:sz w:val="18"/>
          <w:szCs w:val="18"/>
        </w:rPr>
        <w:t>i</w:t>
      </w:r>
      <w:r w:rsidRPr="00BD11DE">
        <w:rPr>
          <w:rFonts w:eastAsia="Calibri" w:cs="Arial"/>
          <w:i w:val="0"/>
          <w:snapToGrid w:val="0"/>
          <w:sz w:val="18"/>
          <w:szCs w:val="18"/>
        </w:rPr>
        <w:t>r</w:t>
      </w:r>
      <w:r w:rsidR="00ED43C0" w:rsidRPr="00BD11DE">
        <w:rPr>
          <w:rFonts w:eastAsia="Calibri" w:cs="Arial"/>
          <w:i w:val="0"/>
          <w:snapToGrid w:val="0"/>
          <w:sz w:val="18"/>
          <w:szCs w:val="18"/>
        </w:rPr>
        <w:t>na</w:t>
      </w:r>
      <w:r w:rsidRPr="00BD11DE">
        <w:rPr>
          <w:rFonts w:eastAsia="Calibri" w:cs="Arial"/>
          <w:i w:val="0"/>
          <w:snapToGrid w:val="0"/>
          <w:sz w:val="18"/>
          <w:szCs w:val="18"/>
        </w:rPr>
        <w:t>ty, which won</w:t>
      </w:r>
      <w:r w:rsidR="00ED43C0">
        <w:rPr>
          <w:rFonts w:eastAsia="Calibri" w:cs="Arial"/>
          <w:i w:val="0"/>
          <w:snapToGrid w:val="0"/>
          <w:sz w:val="18"/>
          <w:szCs w:val="18"/>
        </w:rPr>
        <w:t>’</w:t>
      </w:r>
      <w:r w:rsidRPr="00BD11DE">
        <w:rPr>
          <w:rFonts w:eastAsia="Calibri" w:cs="Arial"/>
          <w:i w:val="0"/>
          <w:snapToGrid w:val="0"/>
          <w:sz w:val="18"/>
          <w:szCs w:val="18"/>
        </w:rPr>
        <w:t>t be available in the United States for years […] essentially</w:t>
      </w:r>
      <w:r w:rsidR="002217C5">
        <w:rPr>
          <w:rFonts w:eastAsia="Calibri" w:cs="Arial"/>
          <w:i w:val="0"/>
          <w:snapToGrid w:val="0"/>
          <w:sz w:val="18"/>
          <w:szCs w:val="18"/>
        </w:rPr>
        <w:t>,</w:t>
      </w:r>
      <w:r w:rsidRPr="00BD11DE">
        <w:rPr>
          <w:rFonts w:eastAsia="Calibri" w:cs="Arial"/>
          <w:i w:val="0"/>
          <w:snapToGrid w:val="0"/>
          <w:sz w:val="18"/>
          <w:szCs w:val="18"/>
        </w:rPr>
        <w:t xml:space="preserve"> it’s the same as the Pfizer, maybe some minor differences</w:t>
      </w:r>
      <w:r w:rsidR="00ED43C0">
        <w:rPr>
          <w:rFonts w:eastAsia="Calibri" w:cs="Arial"/>
          <w:i w:val="0"/>
          <w:snapToGrid w:val="0"/>
          <w:sz w:val="18"/>
          <w:szCs w:val="18"/>
        </w:rPr>
        <w:t>.</w:t>
      </w:r>
      <w:r w:rsidRPr="00BD11DE">
        <w:rPr>
          <w:rFonts w:eastAsia="Calibri" w:cs="Arial"/>
          <w:i w:val="0"/>
          <w:snapToGrid w:val="0"/>
          <w:sz w:val="18"/>
          <w:szCs w:val="18"/>
        </w:rPr>
        <w:t xml:space="preserve"> Again we need full transparency, full ingredients list</w:t>
      </w:r>
      <w:r w:rsidR="00ED43C0">
        <w:rPr>
          <w:rFonts w:eastAsia="Calibri" w:cs="Arial"/>
          <w:i w:val="0"/>
          <w:snapToGrid w:val="0"/>
          <w:sz w:val="18"/>
          <w:szCs w:val="18"/>
        </w:rPr>
        <w:t>.</w:t>
      </w:r>
      <w:r w:rsidRPr="00BD11DE">
        <w:rPr>
          <w:rFonts w:eastAsia="Calibri" w:cs="Arial"/>
          <w:i w:val="0"/>
          <w:snapToGrid w:val="0"/>
          <w:sz w:val="18"/>
          <w:szCs w:val="18"/>
        </w:rPr>
        <w:t xml:space="preserve"> I want scientific honesty and truth, that’s what we</w:t>
      </w:r>
      <w:r w:rsidR="00ED43C0">
        <w:rPr>
          <w:rFonts w:eastAsia="Calibri" w:cs="Arial"/>
          <w:i w:val="0"/>
          <w:snapToGrid w:val="0"/>
          <w:sz w:val="18"/>
          <w:szCs w:val="18"/>
        </w:rPr>
        <w:t>’</w:t>
      </w:r>
      <w:r w:rsidRPr="00BD11DE">
        <w:rPr>
          <w:rFonts w:eastAsia="Calibri" w:cs="Arial"/>
          <w:i w:val="0"/>
          <w:snapToGrid w:val="0"/>
          <w:sz w:val="18"/>
          <w:szCs w:val="18"/>
        </w:rPr>
        <w:t>ve been demanding for a long time now, and crickets, they won</w:t>
      </w:r>
      <w:r w:rsidR="00ED43C0">
        <w:rPr>
          <w:rFonts w:eastAsia="Calibri" w:cs="Arial"/>
          <w:i w:val="0"/>
          <w:snapToGrid w:val="0"/>
          <w:sz w:val="18"/>
          <w:szCs w:val="18"/>
        </w:rPr>
        <w:t>’</w:t>
      </w:r>
      <w:r w:rsidRPr="00BD11DE">
        <w:rPr>
          <w:rFonts w:eastAsia="Calibri" w:cs="Arial"/>
          <w:i w:val="0"/>
          <w:snapToGrid w:val="0"/>
          <w:sz w:val="18"/>
          <w:szCs w:val="18"/>
        </w:rPr>
        <w:t>t do it.</w:t>
      </w:r>
      <w:r w:rsidR="00ED43C0">
        <w:rPr>
          <w:rFonts w:eastAsia="Calibri" w:cs="Arial"/>
          <w:i w:val="0"/>
          <w:snapToGrid w:val="0"/>
          <w:sz w:val="18"/>
          <w:szCs w:val="18"/>
        </w:rPr>
        <w:t xml:space="preserve"> An</w:t>
      </w:r>
      <w:r w:rsidRPr="00BD11DE">
        <w:rPr>
          <w:rFonts w:eastAsia="Calibri" w:cs="Arial"/>
          <w:i w:val="0"/>
          <w:snapToGrid w:val="0"/>
          <w:sz w:val="18"/>
          <w:szCs w:val="18"/>
        </w:rPr>
        <w:t xml:space="preserve">d our government agencies are covering up for them and it’s very frustrating. The FDA broke the rules in </w:t>
      </w:r>
      <w:r w:rsidR="00ED43C0" w:rsidRPr="00BD11DE">
        <w:rPr>
          <w:rFonts w:eastAsia="Calibri" w:cs="Arial"/>
          <w:i w:val="0"/>
          <w:snapToGrid w:val="0"/>
          <w:sz w:val="18"/>
          <w:szCs w:val="18"/>
        </w:rPr>
        <w:t>ap</w:t>
      </w:r>
      <w:r w:rsidRPr="00BD11DE">
        <w:rPr>
          <w:rFonts w:eastAsia="Calibri" w:cs="Arial"/>
          <w:i w:val="0"/>
          <w:snapToGrid w:val="0"/>
          <w:sz w:val="18"/>
          <w:szCs w:val="18"/>
        </w:rPr>
        <w:t xml:space="preserve">proving this, tonnes of rules, </w:t>
      </w:r>
      <w:r w:rsidR="000A2139">
        <w:rPr>
          <w:rFonts w:eastAsia="Calibri" w:cs="Arial"/>
          <w:i w:val="0"/>
          <w:snapToGrid w:val="0"/>
          <w:sz w:val="18"/>
          <w:szCs w:val="18"/>
        </w:rPr>
        <w:t xml:space="preserve">and </w:t>
      </w:r>
      <w:r w:rsidRPr="00BD11DE">
        <w:rPr>
          <w:rFonts w:eastAsia="Calibri" w:cs="Arial"/>
          <w:i w:val="0"/>
          <w:snapToGrid w:val="0"/>
          <w:sz w:val="18"/>
          <w:szCs w:val="18"/>
        </w:rPr>
        <w:t xml:space="preserve">so this a rushed, provisional approval, </w:t>
      </w:r>
      <w:r w:rsidR="00ED43C0" w:rsidRPr="00BD11DE">
        <w:rPr>
          <w:rFonts w:eastAsia="Calibri" w:cs="Arial"/>
          <w:i w:val="0"/>
          <w:snapToGrid w:val="0"/>
          <w:sz w:val="18"/>
          <w:szCs w:val="18"/>
        </w:rPr>
        <w:t>with no long-term safety.</w:t>
      </w:r>
    </w:p>
    <w:p w14:paraId="678F71F9" w14:textId="77777777" w:rsidR="0071386C" w:rsidRPr="008B6C55" w:rsidRDefault="0071386C" w:rsidP="00747C1D">
      <w:pPr>
        <w:pStyle w:val="ACMABodyText"/>
        <w:spacing w:before="120"/>
        <w:rPr>
          <w:rFonts w:eastAsia="Calibri" w:cs="Arial"/>
          <w:b/>
          <w:bCs/>
          <w:iCs/>
          <w:snapToGrid/>
        </w:rPr>
      </w:pPr>
      <w:r w:rsidRPr="008B6C55">
        <w:rPr>
          <w:rFonts w:eastAsia="Calibri" w:cs="Arial"/>
          <w:b/>
          <w:bCs/>
          <w:iCs/>
          <w:snapToGrid/>
        </w:rPr>
        <w:t>What did the material convey to the ordinary reasonable viewer?</w:t>
      </w:r>
    </w:p>
    <w:p w14:paraId="632C5247" w14:textId="77777777" w:rsidR="008B6C55" w:rsidRDefault="008B6C55" w:rsidP="008B6C55">
      <w:pPr>
        <w:spacing w:before="0" w:after="160" w:line="256" w:lineRule="auto"/>
        <w:rPr>
          <w:i w:val="0"/>
          <w:snapToGrid w:val="0"/>
          <w:szCs w:val="20"/>
        </w:rPr>
      </w:pPr>
      <w:r>
        <w:rPr>
          <w:i w:val="0"/>
          <w:snapToGrid w:val="0"/>
          <w:szCs w:val="20"/>
        </w:rPr>
        <w:t xml:space="preserve">The </w:t>
      </w:r>
      <w:r w:rsidRPr="00AF1184">
        <w:rPr>
          <w:i w:val="0"/>
          <w:snapToGrid w:val="0"/>
          <w:szCs w:val="20"/>
        </w:rPr>
        <w:t>ordinary reasonable viewer</w:t>
      </w:r>
      <w:r>
        <w:rPr>
          <w:i w:val="0"/>
          <w:snapToGrid w:val="0"/>
          <w:szCs w:val="20"/>
        </w:rPr>
        <w:t xml:space="preserve"> would have understood that:</w:t>
      </w:r>
    </w:p>
    <w:p w14:paraId="01FDC212" w14:textId="53CD5BB1" w:rsidR="00E36E81" w:rsidRDefault="00E36E81" w:rsidP="00206811">
      <w:pPr>
        <w:pStyle w:val="ACMABodyText"/>
        <w:numPr>
          <w:ilvl w:val="0"/>
          <w:numId w:val="11"/>
        </w:numPr>
        <w:spacing w:after="120" w:line="240" w:lineRule="auto"/>
        <w:ind w:left="714" w:hanging="357"/>
        <w:rPr>
          <w:rFonts w:eastAsia="Calibri"/>
        </w:rPr>
      </w:pPr>
      <w:r>
        <w:rPr>
          <w:rFonts w:eastAsia="Calibri"/>
        </w:rPr>
        <w:t xml:space="preserve">There were </w:t>
      </w:r>
      <w:r w:rsidR="0023745A">
        <w:rPr>
          <w:rFonts w:eastAsia="Calibri"/>
        </w:rPr>
        <w:t xml:space="preserve">several </w:t>
      </w:r>
      <w:r>
        <w:rPr>
          <w:rFonts w:eastAsia="Calibri"/>
        </w:rPr>
        <w:t>rules and regulation</w:t>
      </w:r>
      <w:r w:rsidR="000B4E16">
        <w:rPr>
          <w:rFonts w:eastAsia="Calibri"/>
        </w:rPr>
        <w:t>s</w:t>
      </w:r>
      <w:r>
        <w:rPr>
          <w:rFonts w:eastAsia="Calibri"/>
        </w:rPr>
        <w:t xml:space="preserve"> relating to the approval of </w:t>
      </w:r>
      <w:r w:rsidR="00DF44E6">
        <w:rPr>
          <w:rFonts w:eastAsia="Calibri"/>
        </w:rPr>
        <w:t>COVID</w:t>
      </w:r>
      <w:r>
        <w:rPr>
          <w:rFonts w:eastAsia="Calibri"/>
        </w:rPr>
        <w:t xml:space="preserve">-19 vaccines. </w:t>
      </w:r>
    </w:p>
    <w:p w14:paraId="64282B0E" w14:textId="11594998" w:rsidR="00AB465E" w:rsidRDefault="005E0D12" w:rsidP="00206811">
      <w:pPr>
        <w:pStyle w:val="ACMABodyText"/>
        <w:numPr>
          <w:ilvl w:val="0"/>
          <w:numId w:val="11"/>
        </w:numPr>
        <w:spacing w:after="120" w:line="240" w:lineRule="auto"/>
        <w:ind w:left="714" w:hanging="357"/>
        <w:rPr>
          <w:rFonts w:eastAsia="Calibri"/>
        </w:rPr>
      </w:pPr>
      <w:r>
        <w:rPr>
          <w:rFonts w:eastAsia="Calibri"/>
        </w:rPr>
        <w:t xml:space="preserve">The </w:t>
      </w:r>
      <w:r w:rsidR="0071386C">
        <w:rPr>
          <w:rFonts w:eastAsia="Calibri"/>
        </w:rPr>
        <w:t xml:space="preserve">US </w:t>
      </w:r>
      <w:r w:rsidR="00E306FC">
        <w:rPr>
          <w:rFonts w:eastAsia="Calibri" w:cs="Arial"/>
        </w:rPr>
        <w:t xml:space="preserve">Food and Drug Administration (FDA) </w:t>
      </w:r>
      <w:r w:rsidR="00BA00A2">
        <w:rPr>
          <w:rFonts w:eastAsia="Calibri" w:cs="Arial"/>
        </w:rPr>
        <w:t xml:space="preserve">broke rules and </w:t>
      </w:r>
      <w:r w:rsidR="00D96A10">
        <w:rPr>
          <w:rFonts w:eastAsia="Calibri"/>
        </w:rPr>
        <w:t xml:space="preserve">did not follow the </w:t>
      </w:r>
      <w:r w:rsidR="00E36E81">
        <w:rPr>
          <w:rFonts w:eastAsia="Calibri"/>
        </w:rPr>
        <w:t xml:space="preserve">proper </w:t>
      </w:r>
      <w:r w:rsidR="00D96A10">
        <w:rPr>
          <w:rFonts w:eastAsia="Calibri"/>
        </w:rPr>
        <w:t xml:space="preserve">process </w:t>
      </w:r>
      <w:r w:rsidR="00FE527A">
        <w:rPr>
          <w:rFonts w:eastAsia="Calibri"/>
        </w:rPr>
        <w:t xml:space="preserve">for </w:t>
      </w:r>
      <w:r w:rsidR="00D96A10">
        <w:rPr>
          <w:rFonts w:eastAsia="Calibri"/>
        </w:rPr>
        <w:t xml:space="preserve">approving </w:t>
      </w:r>
      <w:r w:rsidR="00B54608">
        <w:rPr>
          <w:rFonts w:eastAsia="Calibri"/>
        </w:rPr>
        <w:t>C</w:t>
      </w:r>
      <w:r w:rsidR="00DF44E6">
        <w:rPr>
          <w:rFonts w:eastAsia="Calibri"/>
        </w:rPr>
        <w:t>OVID</w:t>
      </w:r>
      <w:r w:rsidR="00B54608">
        <w:rPr>
          <w:rFonts w:eastAsia="Calibri"/>
        </w:rPr>
        <w:t xml:space="preserve">-19 </w:t>
      </w:r>
      <w:r w:rsidR="00D96A10">
        <w:rPr>
          <w:rFonts w:eastAsia="Calibri"/>
        </w:rPr>
        <w:t>vaccines</w:t>
      </w:r>
      <w:r w:rsidR="00B8133D">
        <w:rPr>
          <w:rFonts w:eastAsia="Calibri"/>
        </w:rPr>
        <w:t>.</w:t>
      </w:r>
      <w:r w:rsidR="00D96A10">
        <w:rPr>
          <w:rFonts w:eastAsia="Calibri"/>
        </w:rPr>
        <w:t xml:space="preserve"> </w:t>
      </w:r>
    </w:p>
    <w:p w14:paraId="76E15493" w14:textId="044955AB" w:rsidR="005E0D12" w:rsidRDefault="00BB679A" w:rsidP="00206811">
      <w:pPr>
        <w:pStyle w:val="ACMABodyText"/>
        <w:numPr>
          <w:ilvl w:val="0"/>
          <w:numId w:val="11"/>
        </w:numPr>
        <w:spacing w:after="120" w:line="240" w:lineRule="auto"/>
        <w:ind w:left="714" w:hanging="357"/>
        <w:rPr>
          <w:rFonts w:eastAsia="Calibri"/>
        </w:rPr>
      </w:pPr>
      <w:r>
        <w:rPr>
          <w:rFonts w:eastAsia="Calibri"/>
        </w:rPr>
        <w:t>Long-term s</w:t>
      </w:r>
      <w:r w:rsidR="00D96A10">
        <w:rPr>
          <w:rFonts w:eastAsia="Calibri"/>
        </w:rPr>
        <w:t>afety was compromised</w:t>
      </w:r>
      <w:r w:rsidR="004C3256">
        <w:rPr>
          <w:rFonts w:eastAsia="Calibri"/>
        </w:rPr>
        <w:t xml:space="preserve"> </w:t>
      </w:r>
      <w:r w:rsidR="00AB2945">
        <w:rPr>
          <w:rFonts w:eastAsia="Calibri"/>
        </w:rPr>
        <w:t>by the ‘rushed’ nature of the approval</w:t>
      </w:r>
      <w:r w:rsidR="00FE527A">
        <w:rPr>
          <w:rFonts w:eastAsia="Calibri"/>
        </w:rPr>
        <w:t>.</w:t>
      </w:r>
    </w:p>
    <w:p w14:paraId="22E32C2E" w14:textId="77777777" w:rsidR="008B6C55" w:rsidRDefault="008B6C55" w:rsidP="00747C1D">
      <w:pPr>
        <w:spacing w:before="240" w:line="240" w:lineRule="atLeast"/>
        <w:rPr>
          <w:rFonts w:eastAsia="Calibri" w:cs="Arial"/>
          <w:b/>
          <w:bCs/>
          <w:i w:val="0"/>
          <w:snapToGrid w:val="0"/>
          <w:szCs w:val="20"/>
        </w:rPr>
      </w:pPr>
      <w:r w:rsidRPr="00E171F9">
        <w:rPr>
          <w:rFonts w:eastAsia="Calibri" w:cs="Arial"/>
          <w:b/>
          <w:bCs/>
          <w:i w:val="0"/>
          <w:snapToGrid w:val="0"/>
          <w:szCs w:val="20"/>
        </w:rPr>
        <w:t>Was the material factual in character?</w:t>
      </w:r>
    </w:p>
    <w:p w14:paraId="13ACD811" w14:textId="77777777" w:rsidR="004D5A2C" w:rsidRDefault="009E4BA9" w:rsidP="00747C1D">
      <w:pPr>
        <w:spacing w:before="0" w:after="120" w:line="240" w:lineRule="atLeast"/>
        <w:rPr>
          <w:rFonts w:eastAsia="Calibri" w:cs="Arial"/>
          <w:i w:val="0"/>
          <w:iCs/>
        </w:rPr>
      </w:pPr>
      <w:r w:rsidRPr="00C27369">
        <w:rPr>
          <w:rFonts w:eastAsia="Calibri" w:cs="Arial"/>
          <w:i w:val="0"/>
          <w:iCs/>
        </w:rPr>
        <w:t xml:space="preserve">The </w:t>
      </w:r>
      <w:r w:rsidR="00EF073A">
        <w:rPr>
          <w:rFonts w:eastAsia="Calibri" w:cs="Arial"/>
          <w:i w:val="0"/>
          <w:iCs/>
        </w:rPr>
        <w:t>L</w:t>
      </w:r>
      <w:r w:rsidRPr="00C27369">
        <w:rPr>
          <w:rFonts w:eastAsia="Calibri" w:cs="Arial"/>
          <w:i w:val="0"/>
          <w:iCs/>
        </w:rPr>
        <w:t>icensee submitted</w:t>
      </w:r>
      <w:r w:rsidR="004D5A2C">
        <w:rPr>
          <w:rFonts w:eastAsia="Calibri" w:cs="Arial"/>
          <w:i w:val="0"/>
          <w:iCs/>
        </w:rPr>
        <w:t>:</w:t>
      </w:r>
    </w:p>
    <w:p w14:paraId="226BEFDA" w14:textId="33DB4035" w:rsidR="004D5A2C" w:rsidRPr="00907040" w:rsidRDefault="004D5A2C" w:rsidP="00907040">
      <w:pPr>
        <w:spacing w:before="0" w:line="240" w:lineRule="atLeast"/>
        <w:ind w:left="720"/>
        <w:rPr>
          <w:rFonts w:eastAsia="Calibri" w:cs="Arial"/>
          <w:i w:val="0"/>
          <w:iCs/>
          <w:sz w:val="18"/>
          <w:szCs w:val="18"/>
        </w:rPr>
      </w:pPr>
      <w:r w:rsidRPr="00907040">
        <w:rPr>
          <w:rFonts w:eastAsia="Calibri" w:cs="Arial"/>
          <w:i w:val="0"/>
          <w:iCs/>
          <w:sz w:val="18"/>
          <w:szCs w:val="18"/>
        </w:rPr>
        <w:t xml:space="preserve">This statement is clearly an expression of opinion based on the limited time available between discovery of the virus and availability of the vaccine. </w:t>
      </w:r>
    </w:p>
    <w:p w14:paraId="7D1219B1" w14:textId="660A25E6" w:rsidR="00E36E81" w:rsidRDefault="00B54608" w:rsidP="00747C1D">
      <w:pPr>
        <w:pStyle w:val="ACMABodyText"/>
        <w:rPr>
          <w:rFonts w:eastAsia="Calibri" w:cs="Arial"/>
        </w:rPr>
      </w:pPr>
      <w:r>
        <w:rPr>
          <w:rFonts w:eastAsia="Calibri" w:cs="Arial"/>
        </w:rPr>
        <w:t xml:space="preserve">The ACMA </w:t>
      </w:r>
      <w:r w:rsidR="002D3BFE">
        <w:rPr>
          <w:rFonts w:eastAsia="Calibri" w:cs="Arial"/>
        </w:rPr>
        <w:t xml:space="preserve">accepts </w:t>
      </w:r>
      <w:r>
        <w:rPr>
          <w:rFonts w:eastAsia="Calibri" w:cs="Arial"/>
        </w:rPr>
        <w:t xml:space="preserve">that </w:t>
      </w:r>
      <w:r w:rsidR="00B34D3D">
        <w:rPr>
          <w:rFonts w:eastAsia="Calibri" w:cs="Arial"/>
        </w:rPr>
        <w:t xml:space="preserve">Dr. </w:t>
      </w:r>
      <w:r w:rsidR="00761702">
        <w:rPr>
          <w:rFonts w:eastAsia="Calibri" w:cs="Arial"/>
        </w:rPr>
        <w:t>A</w:t>
      </w:r>
      <w:r w:rsidR="004D5A2C">
        <w:rPr>
          <w:rFonts w:eastAsia="Calibri" w:cs="Arial"/>
        </w:rPr>
        <w:t xml:space="preserve"> </w:t>
      </w:r>
      <w:r w:rsidR="002D3BFE">
        <w:rPr>
          <w:rFonts w:eastAsia="Calibri" w:cs="Arial"/>
        </w:rPr>
        <w:t>was</w:t>
      </w:r>
      <w:r w:rsidR="004D5A2C">
        <w:rPr>
          <w:rFonts w:eastAsia="Calibri" w:cs="Arial"/>
        </w:rPr>
        <w:t xml:space="preserve"> expressing </w:t>
      </w:r>
      <w:r w:rsidR="00A65B8A">
        <w:rPr>
          <w:rFonts w:eastAsia="Calibri" w:cs="Arial"/>
        </w:rPr>
        <w:t xml:space="preserve">an </w:t>
      </w:r>
      <w:r w:rsidR="002D3BFE">
        <w:rPr>
          <w:rFonts w:eastAsia="Calibri" w:cs="Arial"/>
        </w:rPr>
        <w:t>opinion</w:t>
      </w:r>
      <w:r w:rsidR="004D5A2C">
        <w:rPr>
          <w:rFonts w:eastAsia="Calibri" w:cs="Arial"/>
        </w:rPr>
        <w:t xml:space="preserve"> about the </w:t>
      </w:r>
      <w:r w:rsidR="00DF44E6">
        <w:rPr>
          <w:rFonts w:eastAsia="Calibri" w:cs="Arial"/>
        </w:rPr>
        <w:t xml:space="preserve">potential </w:t>
      </w:r>
      <w:r w:rsidR="004D5A2C">
        <w:rPr>
          <w:rFonts w:eastAsia="Calibri" w:cs="Arial"/>
        </w:rPr>
        <w:t xml:space="preserve">effect of </w:t>
      </w:r>
      <w:r w:rsidR="002D3BFE">
        <w:rPr>
          <w:rFonts w:eastAsia="Calibri" w:cs="Arial"/>
        </w:rPr>
        <w:t>the</w:t>
      </w:r>
      <w:r w:rsidR="009C055B">
        <w:rPr>
          <w:rFonts w:eastAsia="Calibri" w:cs="Arial"/>
        </w:rPr>
        <w:t xml:space="preserve"> asserted speed of</w:t>
      </w:r>
      <w:r w:rsidR="004D5A2C">
        <w:rPr>
          <w:rFonts w:eastAsia="Calibri" w:cs="Arial"/>
        </w:rPr>
        <w:t xml:space="preserve"> </w:t>
      </w:r>
      <w:r w:rsidR="009C055B">
        <w:rPr>
          <w:rFonts w:eastAsia="Calibri" w:cs="Arial"/>
        </w:rPr>
        <w:t xml:space="preserve">the </w:t>
      </w:r>
      <w:r w:rsidR="00333512">
        <w:rPr>
          <w:rFonts w:eastAsia="Calibri" w:cs="Arial"/>
        </w:rPr>
        <w:t xml:space="preserve">FDA </w:t>
      </w:r>
      <w:r w:rsidR="002D3BFE">
        <w:rPr>
          <w:rFonts w:eastAsia="Calibri" w:cs="Arial"/>
        </w:rPr>
        <w:t xml:space="preserve">approval </w:t>
      </w:r>
      <w:r w:rsidR="004D5A2C">
        <w:rPr>
          <w:rFonts w:eastAsia="Calibri" w:cs="Arial"/>
        </w:rPr>
        <w:t>process on the safety of C</w:t>
      </w:r>
      <w:r w:rsidR="00DF44E6">
        <w:rPr>
          <w:rFonts w:eastAsia="Calibri" w:cs="Arial"/>
        </w:rPr>
        <w:t>OVID</w:t>
      </w:r>
      <w:r w:rsidR="00907040">
        <w:rPr>
          <w:rFonts w:eastAsia="Calibri" w:cs="Arial"/>
        </w:rPr>
        <w:t>-19</w:t>
      </w:r>
      <w:r w:rsidR="004D5A2C">
        <w:rPr>
          <w:rFonts w:eastAsia="Calibri" w:cs="Arial"/>
        </w:rPr>
        <w:t xml:space="preserve"> vaccines</w:t>
      </w:r>
      <w:r w:rsidR="00E36E81">
        <w:rPr>
          <w:rFonts w:eastAsia="Calibri" w:cs="Arial"/>
        </w:rPr>
        <w:t>.</w:t>
      </w:r>
    </w:p>
    <w:p w14:paraId="102BB1D7" w14:textId="784B37DB" w:rsidR="00AC3A1A" w:rsidRDefault="00AC3A1A" w:rsidP="00AC3A1A">
      <w:pPr>
        <w:pStyle w:val="ACMABodyText"/>
        <w:rPr>
          <w:rFonts w:eastAsia="Calibri" w:cs="Arial"/>
        </w:rPr>
      </w:pPr>
      <w:r>
        <w:rPr>
          <w:rFonts w:eastAsia="Calibri" w:cs="Arial"/>
        </w:rPr>
        <w:t xml:space="preserve">The ACMA does not accept that </w:t>
      </w:r>
      <w:r w:rsidR="000712A9">
        <w:rPr>
          <w:rFonts w:eastAsia="Calibri" w:cs="Arial"/>
        </w:rPr>
        <w:t>Dr</w:t>
      </w:r>
      <w:r w:rsidR="00E37725">
        <w:rPr>
          <w:rFonts w:eastAsia="Calibri" w:cs="Arial"/>
        </w:rPr>
        <w:t>.</w:t>
      </w:r>
      <w:r w:rsidR="000712A9">
        <w:rPr>
          <w:rFonts w:eastAsia="Calibri" w:cs="Arial"/>
        </w:rPr>
        <w:t xml:space="preserve"> </w:t>
      </w:r>
      <w:r w:rsidR="00761702">
        <w:rPr>
          <w:rFonts w:eastAsia="Calibri" w:cs="Arial"/>
        </w:rPr>
        <w:t>A</w:t>
      </w:r>
      <w:r w:rsidR="000712A9">
        <w:rPr>
          <w:rFonts w:eastAsia="Calibri" w:cs="Arial"/>
        </w:rPr>
        <w:t xml:space="preserve"> </w:t>
      </w:r>
      <w:r w:rsidR="00333512">
        <w:rPr>
          <w:rFonts w:eastAsia="Calibri" w:cs="Arial"/>
        </w:rPr>
        <w:t>was expressing an opinion about the FDA</w:t>
      </w:r>
      <w:r>
        <w:rPr>
          <w:rFonts w:eastAsia="Calibri" w:cs="Arial"/>
        </w:rPr>
        <w:t xml:space="preserve"> not following the</w:t>
      </w:r>
      <w:r w:rsidR="00333512">
        <w:rPr>
          <w:rFonts w:eastAsia="Calibri" w:cs="Arial"/>
        </w:rPr>
        <w:t xml:space="preserve"> rules. </w:t>
      </w:r>
      <w:r>
        <w:rPr>
          <w:rFonts w:eastAsia="Calibri" w:cs="Arial"/>
        </w:rPr>
        <w:t xml:space="preserve">The statement that the FDA ‘broke the rules’, was a strongly made assertion, delivered by a medical professional. This gave weight and credibility to </w:t>
      </w:r>
      <w:r w:rsidR="00A65B8A">
        <w:rPr>
          <w:rFonts w:eastAsia="Calibri" w:cs="Arial"/>
        </w:rPr>
        <w:t>the</w:t>
      </w:r>
      <w:r>
        <w:rPr>
          <w:rFonts w:eastAsia="Calibri" w:cs="Arial"/>
        </w:rPr>
        <w:t xml:space="preserve"> assertion</w:t>
      </w:r>
      <w:r w:rsidR="00F965A9">
        <w:rPr>
          <w:rFonts w:eastAsia="Calibri" w:cs="Arial"/>
        </w:rPr>
        <w:t xml:space="preserve">. The assertion that the FDA did not follow </w:t>
      </w:r>
      <w:r w:rsidR="00055A3A">
        <w:rPr>
          <w:rFonts w:eastAsia="Calibri" w:cs="Arial"/>
        </w:rPr>
        <w:t>proper</w:t>
      </w:r>
      <w:r w:rsidR="00F965A9">
        <w:rPr>
          <w:rFonts w:eastAsia="Calibri" w:cs="Arial"/>
        </w:rPr>
        <w:t xml:space="preserve"> process is</w:t>
      </w:r>
      <w:r w:rsidR="00A27B5F" w:rsidRPr="00A27B5F">
        <w:rPr>
          <w:rFonts w:eastAsia="Calibri" w:cs="Arial"/>
        </w:rPr>
        <w:t xml:space="preserve"> unequivocal and capable of independent verification.</w:t>
      </w:r>
    </w:p>
    <w:p w14:paraId="6BF237B5" w14:textId="77777777" w:rsidR="003660A9" w:rsidRPr="00E171F9" w:rsidRDefault="003660A9" w:rsidP="009036C0">
      <w:pPr>
        <w:keepNext/>
        <w:spacing w:before="0" w:after="160" w:line="256" w:lineRule="auto"/>
        <w:rPr>
          <w:rFonts w:eastAsia="Calibri" w:cs="Arial"/>
          <w:b/>
          <w:bCs/>
          <w:i w:val="0"/>
          <w:snapToGrid w:val="0"/>
          <w:szCs w:val="20"/>
        </w:rPr>
      </w:pPr>
      <w:r w:rsidRPr="00E171F9">
        <w:rPr>
          <w:rFonts w:eastAsia="Calibri" w:cs="Arial"/>
          <w:b/>
          <w:bCs/>
          <w:i w:val="0"/>
          <w:snapToGrid w:val="0"/>
          <w:szCs w:val="20"/>
        </w:rPr>
        <w:lastRenderedPageBreak/>
        <w:t>If so, was the factual material accurate?</w:t>
      </w:r>
    </w:p>
    <w:p w14:paraId="4990E297" w14:textId="058AE01C" w:rsidR="00F957A8" w:rsidRDefault="00E12DD7" w:rsidP="009036C0">
      <w:pPr>
        <w:pStyle w:val="ACMABodyText"/>
        <w:keepNext/>
        <w:rPr>
          <w:rFonts w:eastAsia="Calibri" w:cs="Arial"/>
        </w:rPr>
      </w:pPr>
      <w:r>
        <w:rPr>
          <w:rFonts w:eastAsia="Calibri" w:cs="Arial"/>
        </w:rPr>
        <w:t xml:space="preserve">Several times during the broadcast </w:t>
      </w:r>
      <w:r w:rsidR="00B34D3D">
        <w:rPr>
          <w:rFonts w:eastAsia="Calibri" w:cs="Arial"/>
        </w:rPr>
        <w:t xml:space="preserve">Dr. </w:t>
      </w:r>
      <w:r w:rsidR="00D16D2C">
        <w:rPr>
          <w:rFonts w:eastAsia="Calibri" w:cs="Arial"/>
        </w:rPr>
        <w:t>A</w:t>
      </w:r>
      <w:r>
        <w:rPr>
          <w:rFonts w:eastAsia="Calibri" w:cs="Arial"/>
        </w:rPr>
        <w:t xml:space="preserve"> expressed frustration with the FDA in very quickly approving the Pfizer vaccine under the ‘emergency use authorisation’</w:t>
      </w:r>
      <w:r w:rsidR="002257FE">
        <w:rPr>
          <w:rFonts w:eastAsia="Calibri" w:cs="Arial"/>
        </w:rPr>
        <w:t xml:space="preserve"> </w:t>
      </w:r>
      <w:r>
        <w:rPr>
          <w:rFonts w:eastAsia="Calibri" w:cs="Arial"/>
        </w:rPr>
        <w:t xml:space="preserve">(EUA). </w:t>
      </w:r>
    </w:p>
    <w:p w14:paraId="5651AA33" w14:textId="28548A80" w:rsidR="00F957A8" w:rsidRDefault="00F957A8" w:rsidP="00F957A8">
      <w:pPr>
        <w:pStyle w:val="ACMABodyText"/>
        <w:spacing w:after="120"/>
        <w:rPr>
          <w:rFonts w:eastAsia="Calibri" w:cs="Arial"/>
        </w:rPr>
      </w:pPr>
      <w:r>
        <w:rPr>
          <w:rFonts w:eastAsia="Calibri" w:cs="Arial"/>
        </w:rPr>
        <w:t>The Licensee submitted that:</w:t>
      </w:r>
    </w:p>
    <w:p w14:paraId="15FB3D39" w14:textId="77777777" w:rsidR="00F957A8" w:rsidRPr="00F965A9" w:rsidRDefault="00F957A8" w:rsidP="00206811">
      <w:pPr>
        <w:spacing w:before="0" w:after="120" w:line="240" w:lineRule="atLeast"/>
        <w:ind w:left="720"/>
        <w:rPr>
          <w:rFonts w:eastAsia="Calibri" w:cs="Arial"/>
          <w:i w:val="0"/>
          <w:iCs/>
          <w:sz w:val="18"/>
          <w:szCs w:val="18"/>
        </w:rPr>
      </w:pPr>
      <w:r w:rsidRPr="00F965A9">
        <w:rPr>
          <w:rFonts w:eastAsia="Calibri" w:cs="Arial"/>
          <w:i w:val="0"/>
          <w:iCs/>
          <w:sz w:val="18"/>
          <w:szCs w:val="18"/>
        </w:rPr>
        <w:t>The process through which the FDA granted approval to the COVID</w:t>
      </w:r>
      <w:r w:rsidRPr="00F965A9">
        <w:rPr>
          <w:rFonts w:ascii="Cambria Math" w:eastAsia="Calibri" w:hAnsi="Cambria Math" w:cs="Cambria Math"/>
          <w:i w:val="0"/>
          <w:iCs/>
          <w:sz w:val="18"/>
          <w:szCs w:val="18"/>
        </w:rPr>
        <w:t>‐</w:t>
      </w:r>
      <w:r w:rsidRPr="00F965A9">
        <w:rPr>
          <w:rFonts w:eastAsia="Calibri" w:cs="Arial"/>
          <w:i w:val="0"/>
          <w:iCs/>
          <w:sz w:val="18"/>
          <w:szCs w:val="18"/>
        </w:rPr>
        <w:t>19 vaccines used in the United States is widely known to have departed from the FDA’s usual approval procedure due to the COVID</w:t>
      </w:r>
      <w:r w:rsidRPr="00F965A9">
        <w:rPr>
          <w:rFonts w:ascii="Cambria Math" w:eastAsia="Calibri" w:hAnsi="Cambria Math" w:cs="Cambria Math"/>
          <w:i w:val="0"/>
          <w:iCs/>
          <w:sz w:val="18"/>
          <w:szCs w:val="18"/>
        </w:rPr>
        <w:t>‐</w:t>
      </w:r>
      <w:r w:rsidRPr="00F965A9">
        <w:rPr>
          <w:rFonts w:eastAsia="Calibri" w:cs="Arial"/>
          <w:i w:val="0"/>
          <w:iCs/>
          <w:sz w:val="18"/>
          <w:szCs w:val="18"/>
        </w:rPr>
        <w:t>19 public health emergency.</w:t>
      </w:r>
    </w:p>
    <w:p w14:paraId="62686D40" w14:textId="6A748D80" w:rsidR="00F957A8" w:rsidRPr="00F965A9" w:rsidRDefault="00F957A8" w:rsidP="00206811">
      <w:pPr>
        <w:spacing w:before="0" w:after="120" w:line="240" w:lineRule="atLeast"/>
        <w:ind w:left="720"/>
        <w:rPr>
          <w:rFonts w:eastAsia="Calibri" w:cs="Arial"/>
          <w:i w:val="0"/>
          <w:iCs/>
          <w:sz w:val="18"/>
          <w:szCs w:val="18"/>
        </w:rPr>
      </w:pPr>
      <w:r w:rsidRPr="00F965A9">
        <w:rPr>
          <w:rFonts w:eastAsia="Calibri" w:cs="Arial"/>
          <w:i w:val="0"/>
          <w:iCs/>
          <w:sz w:val="18"/>
          <w:szCs w:val="18"/>
        </w:rPr>
        <w:t>[…]</w:t>
      </w:r>
    </w:p>
    <w:p w14:paraId="5B341D45" w14:textId="77777777" w:rsidR="00F957A8" w:rsidRPr="00F965A9" w:rsidRDefault="00F957A8" w:rsidP="00206811">
      <w:pPr>
        <w:spacing w:before="0" w:after="120" w:line="240" w:lineRule="atLeast"/>
        <w:ind w:left="720"/>
        <w:rPr>
          <w:rFonts w:eastAsia="Calibri" w:cs="Arial"/>
          <w:i w:val="0"/>
          <w:iCs/>
          <w:sz w:val="18"/>
          <w:szCs w:val="18"/>
        </w:rPr>
      </w:pPr>
      <w:r w:rsidRPr="00F965A9">
        <w:rPr>
          <w:rFonts w:eastAsia="Calibri" w:cs="Arial"/>
          <w:i w:val="0"/>
          <w:iCs/>
          <w:sz w:val="18"/>
          <w:szCs w:val="18"/>
        </w:rPr>
        <w:t>This statement does not suggest that the COVID</w:t>
      </w:r>
      <w:r w:rsidRPr="00F965A9">
        <w:rPr>
          <w:rFonts w:ascii="Cambria Math" w:eastAsia="Calibri" w:hAnsi="Cambria Math" w:cs="Cambria Math"/>
          <w:i w:val="0"/>
          <w:iCs/>
          <w:sz w:val="18"/>
          <w:szCs w:val="18"/>
        </w:rPr>
        <w:t>‐</w:t>
      </w:r>
      <w:r w:rsidRPr="00F965A9">
        <w:rPr>
          <w:rFonts w:eastAsia="Calibri" w:cs="Arial"/>
          <w:i w:val="0"/>
          <w:iCs/>
          <w:sz w:val="18"/>
          <w:szCs w:val="18"/>
        </w:rPr>
        <w:t>19 vaccines which were the subject of an EUA were not rigorously tested. However, on the basis that the EUA allows medicines to be provisionally approved for use within a far shorter time frame than the usual approval process, the description of the FDA’s approval process as “rushed” and “provisional” in this context was accurate.</w:t>
      </w:r>
    </w:p>
    <w:p w14:paraId="453CD824" w14:textId="3F5A3530" w:rsidR="00055A3A" w:rsidRDefault="00055A3A" w:rsidP="00206811">
      <w:pPr>
        <w:pStyle w:val="ACMABodyText"/>
        <w:spacing w:before="240"/>
        <w:rPr>
          <w:rFonts w:eastAsia="Calibri" w:cs="Arial"/>
          <w:snapToGrid/>
        </w:rPr>
      </w:pPr>
      <w:r>
        <w:rPr>
          <w:rFonts w:eastAsia="Calibri" w:cs="Arial"/>
          <w:snapToGrid/>
        </w:rPr>
        <w:t xml:space="preserve">The ACMA accepts that </w:t>
      </w:r>
      <w:r w:rsidR="00B34D3D">
        <w:rPr>
          <w:rFonts w:eastAsia="Calibri" w:cs="Arial"/>
          <w:snapToGrid/>
        </w:rPr>
        <w:t xml:space="preserve">Dr. </w:t>
      </w:r>
      <w:r w:rsidR="00D16D2C">
        <w:rPr>
          <w:rFonts w:eastAsia="Calibri" w:cs="Arial"/>
          <w:snapToGrid/>
        </w:rPr>
        <w:t>A</w:t>
      </w:r>
      <w:r>
        <w:rPr>
          <w:rFonts w:eastAsia="Calibri" w:cs="Arial"/>
          <w:snapToGrid/>
        </w:rPr>
        <w:t xml:space="preserve"> referred to a ‘rushed process’, however the statement in question is </w:t>
      </w:r>
      <w:r w:rsidR="00760F2B">
        <w:rPr>
          <w:rFonts w:eastAsia="Calibri" w:cs="Arial"/>
          <w:snapToGrid/>
        </w:rPr>
        <w:t>not whether the FDA ‘departed’ from the ‘usual approval procedure’</w:t>
      </w:r>
      <w:r>
        <w:rPr>
          <w:rFonts w:eastAsia="Calibri" w:cs="Arial"/>
          <w:snapToGrid/>
        </w:rPr>
        <w:t>, by granting the provisional approval</w:t>
      </w:r>
      <w:r w:rsidR="00BC6740">
        <w:rPr>
          <w:rFonts w:eastAsia="Calibri" w:cs="Arial"/>
          <w:snapToGrid/>
        </w:rPr>
        <w:t>;</w:t>
      </w:r>
      <w:r>
        <w:rPr>
          <w:rFonts w:eastAsia="Calibri" w:cs="Arial"/>
          <w:snapToGrid/>
        </w:rPr>
        <w:t xml:space="preserve"> </w:t>
      </w:r>
      <w:r w:rsidR="00760F2B">
        <w:rPr>
          <w:rFonts w:eastAsia="Calibri" w:cs="Arial"/>
          <w:snapToGrid/>
        </w:rPr>
        <w:t xml:space="preserve">rather, it is whether </w:t>
      </w:r>
      <w:r>
        <w:rPr>
          <w:rFonts w:eastAsia="Calibri" w:cs="Arial"/>
          <w:snapToGrid/>
        </w:rPr>
        <w:t>the FDA did not follow proper process and broke the rules.</w:t>
      </w:r>
    </w:p>
    <w:p w14:paraId="00CD3113" w14:textId="4A1B940C" w:rsidR="003479D3" w:rsidRDefault="003479D3" w:rsidP="00206811">
      <w:pPr>
        <w:pStyle w:val="ACMABodyText"/>
        <w:spacing w:after="120"/>
        <w:rPr>
          <w:rFonts w:eastAsia="Calibri" w:cs="Arial"/>
        </w:rPr>
      </w:pPr>
      <w:r w:rsidRPr="00F965A9">
        <w:rPr>
          <w:rFonts w:eastAsia="Calibri" w:cs="Arial"/>
          <w:snapToGrid/>
        </w:rPr>
        <w:t>According</w:t>
      </w:r>
      <w:r>
        <w:rPr>
          <w:rFonts w:eastAsia="Calibri" w:cs="Arial"/>
        </w:rPr>
        <w:t xml:space="preserve"> to the FDA website:</w:t>
      </w:r>
    </w:p>
    <w:p w14:paraId="5034C809" w14:textId="341C6B93" w:rsidR="003479D3" w:rsidRPr="00F965A9" w:rsidRDefault="003479D3" w:rsidP="00206811">
      <w:pPr>
        <w:spacing w:before="0" w:after="120" w:line="240" w:lineRule="atLeast"/>
        <w:ind w:left="720"/>
        <w:rPr>
          <w:rFonts w:eastAsia="Calibri" w:cs="Arial"/>
          <w:i w:val="0"/>
          <w:iCs/>
          <w:sz w:val="18"/>
          <w:szCs w:val="18"/>
        </w:rPr>
      </w:pPr>
      <w:r w:rsidRPr="00F965A9">
        <w:rPr>
          <w:rFonts w:eastAsia="Calibri" w:cs="Arial"/>
          <w:i w:val="0"/>
          <w:iCs/>
          <w:sz w:val="18"/>
          <w:szCs w:val="18"/>
        </w:rPr>
        <w:t>An Emergency Use Authorization (EUA) is a mechanism to facilitate the availability and use of medical countermeasures, including vaccines, during public health emergencies, such as the current COVID-19 pandemic. Under an EUA, FDA may allow the use of unapproved medical products, or unapproved uses of approved medical products in an emergency to diagnose, treat, or prevent serious or life-threatening diseases or conditions when certain statutory criteria have been met, including that there are no adequate, approved, and available alternatives. Taking into consideration input from the FDA, manufacturers decide whether and when to submit an EUA request to FDA.</w:t>
      </w:r>
    </w:p>
    <w:p w14:paraId="13EAEA9F" w14:textId="6CBAD2BC" w:rsidR="003479D3" w:rsidRPr="00F965A9" w:rsidRDefault="003479D3" w:rsidP="00F965A9">
      <w:pPr>
        <w:spacing w:before="0" w:line="240" w:lineRule="atLeast"/>
        <w:ind w:left="720"/>
        <w:rPr>
          <w:rFonts w:eastAsia="Calibri" w:cs="Arial"/>
          <w:sz w:val="18"/>
          <w:szCs w:val="18"/>
        </w:rPr>
      </w:pPr>
      <w:r w:rsidRPr="00F965A9">
        <w:rPr>
          <w:rFonts w:eastAsia="Calibri" w:cs="Arial"/>
          <w:i w:val="0"/>
          <w:iCs/>
          <w:sz w:val="18"/>
          <w:szCs w:val="18"/>
        </w:rPr>
        <w:t>Once submitted, FDA will evaluate an EUA request and determine whether the relevant statutory criteria are met, taking into account the totality of the scientific evidence about the vaccine that is available to FDA</w:t>
      </w:r>
      <w:r w:rsidRPr="00F965A9">
        <w:rPr>
          <w:rFonts w:eastAsia="Calibri" w:cs="Arial"/>
          <w:sz w:val="18"/>
          <w:szCs w:val="18"/>
        </w:rPr>
        <w:t>.</w:t>
      </w:r>
      <w:r>
        <w:rPr>
          <w:rStyle w:val="FootnoteReference"/>
          <w:rFonts w:eastAsia="Calibri" w:cs="Arial"/>
          <w:sz w:val="18"/>
          <w:szCs w:val="18"/>
        </w:rPr>
        <w:footnoteReference w:id="14"/>
      </w:r>
    </w:p>
    <w:p w14:paraId="4C0DB024" w14:textId="6D680A20" w:rsidR="00190CE2" w:rsidRDefault="00190CE2" w:rsidP="00206811">
      <w:pPr>
        <w:pStyle w:val="ACMABodyText"/>
        <w:spacing w:after="120"/>
        <w:rPr>
          <w:rFonts w:eastAsia="Calibri" w:cs="Arial"/>
          <w:snapToGrid/>
        </w:rPr>
      </w:pPr>
      <w:r>
        <w:rPr>
          <w:rFonts w:eastAsia="Calibri" w:cs="Arial"/>
          <w:snapToGrid/>
        </w:rPr>
        <w:t xml:space="preserve">A media release issued by the FDA on 23 August 2021, about approval of the </w:t>
      </w:r>
      <w:r w:rsidRPr="00C947BC">
        <w:rPr>
          <w:rFonts w:eastAsia="Calibri" w:cs="Arial"/>
          <w:snapToGrid/>
        </w:rPr>
        <w:t>Pfizer-BioNTech COVID-19 Vaccine</w:t>
      </w:r>
      <w:r>
        <w:rPr>
          <w:rFonts w:eastAsia="Calibri" w:cs="Arial"/>
          <w:snapToGrid/>
        </w:rPr>
        <w:t>, included this statement by the Acting FDA Commissioner</w:t>
      </w:r>
      <w:r w:rsidR="008C7463">
        <w:rPr>
          <w:rFonts w:eastAsia="Calibri" w:cs="Arial"/>
          <w:snapToGrid/>
        </w:rPr>
        <w:t>:</w:t>
      </w:r>
    </w:p>
    <w:p w14:paraId="4F8F0336" w14:textId="7B5EED36" w:rsidR="00190CE2" w:rsidRPr="00190CE2" w:rsidRDefault="00190CE2" w:rsidP="00190CE2">
      <w:pPr>
        <w:spacing w:before="0" w:line="240" w:lineRule="atLeast"/>
        <w:ind w:left="720"/>
        <w:rPr>
          <w:rFonts w:eastAsia="Calibri" w:cs="Arial"/>
          <w:i w:val="0"/>
          <w:iCs/>
          <w:sz w:val="18"/>
          <w:szCs w:val="18"/>
        </w:rPr>
      </w:pPr>
      <w:r w:rsidRPr="00190CE2">
        <w:rPr>
          <w:rFonts w:eastAsia="Calibri" w:cs="Arial"/>
          <w:i w:val="0"/>
          <w:iCs/>
          <w:sz w:val="18"/>
          <w:szCs w:val="18"/>
        </w:rPr>
        <w:t>While this and other vaccines have met the FDA’s rigorous, scientific standards for emergency use authorization, as the first FDA-approved COVID-19 vaccine, the public can be very confident that this vaccine meets the high standards for safety, effectiveness, and manufacturing quality the FDA requires of an approved product</w:t>
      </w:r>
      <w:r>
        <w:rPr>
          <w:rFonts w:eastAsia="Calibri" w:cs="Arial"/>
          <w:i w:val="0"/>
          <w:iCs/>
          <w:sz w:val="18"/>
          <w:szCs w:val="18"/>
        </w:rPr>
        <w:t>.</w:t>
      </w:r>
      <w:r w:rsidRPr="00190CE2">
        <w:rPr>
          <w:rStyle w:val="FootnoteReference"/>
          <w:rFonts w:eastAsia="Calibri" w:cs="Arial"/>
          <w:i w:val="0"/>
          <w:iCs/>
        </w:rPr>
        <w:footnoteReference w:id="15"/>
      </w:r>
    </w:p>
    <w:p w14:paraId="75946951" w14:textId="559472AF" w:rsidR="00F957A8" w:rsidRDefault="00190CE2" w:rsidP="00F957A8">
      <w:pPr>
        <w:pStyle w:val="ACMABodyText"/>
        <w:rPr>
          <w:rFonts w:eastAsia="Calibri" w:cs="Arial"/>
          <w:snapToGrid/>
        </w:rPr>
      </w:pPr>
      <w:r>
        <w:rPr>
          <w:rFonts w:eastAsia="Calibri"/>
          <w:lang w:eastAsia="en-AU"/>
        </w:rPr>
        <w:t xml:space="preserve">Based on the information available on the FDA website, </w:t>
      </w:r>
      <w:r w:rsidR="00F364E9">
        <w:rPr>
          <w:rFonts w:eastAsia="Calibri" w:cs="Arial"/>
          <w:snapToGrid/>
        </w:rPr>
        <w:t xml:space="preserve">it is evident </w:t>
      </w:r>
      <w:r w:rsidR="0093716A">
        <w:rPr>
          <w:rFonts w:eastAsia="Calibri" w:cs="Arial"/>
          <w:snapToGrid/>
        </w:rPr>
        <w:t>that provisional approval of the C</w:t>
      </w:r>
      <w:r w:rsidR="00AD6F01">
        <w:rPr>
          <w:rFonts w:eastAsia="Calibri" w:cs="Arial"/>
          <w:snapToGrid/>
        </w:rPr>
        <w:t>OVID</w:t>
      </w:r>
      <w:r w:rsidR="0093716A">
        <w:rPr>
          <w:rFonts w:eastAsia="Calibri" w:cs="Arial"/>
          <w:snapToGrid/>
        </w:rPr>
        <w:t>-19 vaccine</w:t>
      </w:r>
      <w:r>
        <w:rPr>
          <w:rFonts w:eastAsia="Calibri" w:cs="Arial"/>
          <w:snapToGrid/>
        </w:rPr>
        <w:t>, by the FDA</w:t>
      </w:r>
      <w:r w:rsidR="0093716A">
        <w:rPr>
          <w:rFonts w:eastAsia="Calibri" w:cs="Arial"/>
          <w:snapToGrid/>
        </w:rPr>
        <w:t xml:space="preserve"> under the </w:t>
      </w:r>
      <w:r w:rsidR="00F965A9">
        <w:rPr>
          <w:rFonts w:eastAsia="Calibri" w:cs="Arial"/>
          <w:snapToGrid/>
        </w:rPr>
        <w:t>EUA</w:t>
      </w:r>
      <w:r w:rsidR="00E94BCF">
        <w:rPr>
          <w:rFonts w:eastAsia="Calibri" w:cs="Arial"/>
          <w:snapToGrid/>
        </w:rPr>
        <w:t xml:space="preserve"> </w:t>
      </w:r>
      <w:r>
        <w:rPr>
          <w:rFonts w:eastAsia="Calibri" w:cs="Arial"/>
          <w:snapToGrid/>
        </w:rPr>
        <w:t>was part of an established</w:t>
      </w:r>
      <w:r w:rsidR="00355805">
        <w:rPr>
          <w:rFonts w:eastAsia="Calibri" w:cs="Arial"/>
          <w:snapToGrid/>
        </w:rPr>
        <w:t xml:space="preserve"> (</w:t>
      </w:r>
      <w:r w:rsidR="00AD6F01">
        <w:rPr>
          <w:rFonts w:eastAsia="Calibri" w:cs="Arial"/>
          <w:snapToGrid/>
        </w:rPr>
        <w:t>albeit for emergency contexts</w:t>
      </w:r>
      <w:r w:rsidR="000B0C93">
        <w:rPr>
          <w:rFonts w:eastAsia="Calibri" w:cs="Arial"/>
          <w:snapToGrid/>
        </w:rPr>
        <w:t>)</w:t>
      </w:r>
      <w:r>
        <w:rPr>
          <w:rFonts w:eastAsia="Calibri" w:cs="Arial"/>
          <w:snapToGrid/>
        </w:rPr>
        <w:t xml:space="preserve"> </w:t>
      </w:r>
      <w:r w:rsidR="00C947BC">
        <w:rPr>
          <w:rFonts w:eastAsia="Calibri" w:cs="Arial"/>
          <w:snapToGrid/>
        </w:rPr>
        <w:t>approval</w:t>
      </w:r>
      <w:r>
        <w:rPr>
          <w:rFonts w:eastAsia="Calibri" w:cs="Arial"/>
          <w:snapToGrid/>
        </w:rPr>
        <w:t xml:space="preserve"> process</w:t>
      </w:r>
      <w:r w:rsidR="00DE316B">
        <w:rPr>
          <w:rFonts w:eastAsia="Calibri" w:cs="Arial"/>
          <w:snapToGrid/>
        </w:rPr>
        <w:t>.</w:t>
      </w:r>
    </w:p>
    <w:p w14:paraId="2E277279" w14:textId="3E36C80B" w:rsidR="00DE316B" w:rsidRPr="00E13EB4" w:rsidRDefault="00E041C7" w:rsidP="00F957A8">
      <w:pPr>
        <w:pStyle w:val="ACMABodyText"/>
        <w:rPr>
          <w:rFonts w:eastAsia="Calibri"/>
        </w:rPr>
      </w:pPr>
      <w:r>
        <w:rPr>
          <w:rFonts w:eastAsia="Calibri" w:cs="Arial"/>
          <w:snapToGrid/>
        </w:rPr>
        <w:t xml:space="preserve">The ACMA </w:t>
      </w:r>
      <w:r w:rsidR="00237FD0">
        <w:rPr>
          <w:rFonts w:eastAsia="Calibri" w:cs="Arial"/>
          <w:snapToGrid/>
        </w:rPr>
        <w:t xml:space="preserve">finds </w:t>
      </w:r>
      <w:r>
        <w:rPr>
          <w:rFonts w:eastAsia="Calibri" w:cs="Arial"/>
          <w:snapToGrid/>
        </w:rPr>
        <w:t xml:space="preserve">therefore, that the assertion that </w:t>
      </w:r>
      <w:r w:rsidR="00C947BC">
        <w:rPr>
          <w:rFonts w:eastAsia="Calibri" w:cs="Arial"/>
          <w:snapToGrid/>
        </w:rPr>
        <w:t xml:space="preserve">in approving the vaccine, </w:t>
      </w:r>
      <w:r>
        <w:rPr>
          <w:rFonts w:eastAsia="Calibri" w:cs="Arial"/>
          <w:snapToGrid/>
        </w:rPr>
        <w:t>the FDA broke the rules</w:t>
      </w:r>
      <w:r w:rsidR="00C947BC">
        <w:rPr>
          <w:rFonts w:eastAsia="Calibri" w:cs="Arial"/>
          <w:snapToGrid/>
        </w:rPr>
        <w:t>,</w:t>
      </w:r>
      <w:r>
        <w:rPr>
          <w:rFonts w:eastAsia="Calibri" w:cs="Arial"/>
          <w:snapToGrid/>
        </w:rPr>
        <w:t xml:space="preserve"> was not accurate.</w:t>
      </w:r>
    </w:p>
    <w:p w14:paraId="0D6B6328" w14:textId="7E481EF7" w:rsidR="008B6C55" w:rsidRPr="008B6C55" w:rsidRDefault="008B6C55" w:rsidP="00C7106B">
      <w:pPr>
        <w:pStyle w:val="ACMABodyText"/>
        <w:spacing w:before="120" w:line="240" w:lineRule="auto"/>
        <w:rPr>
          <w:b/>
          <w:bCs/>
          <w:i/>
          <w:iCs/>
          <w:u w:val="single"/>
        </w:rPr>
      </w:pPr>
      <w:r>
        <w:rPr>
          <w:b/>
          <w:bCs/>
          <w:i/>
          <w:iCs/>
          <w:u w:val="single"/>
        </w:rPr>
        <w:lastRenderedPageBreak/>
        <w:t>7.</w:t>
      </w:r>
      <w:r w:rsidR="00FB0212">
        <w:rPr>
          <w:b/>
          <w:bCs/>
          <w:i/>
          <w:iCs/>
          <w:u w:val="single"/>
        </w:rPr>
        <w:t xml:space="preserve"> </w:t>
      </w:r>
      <w:r w:rsidRPr="008B6C55">
        <w:rPr>
          <w:b/>
          <w:bCs/>
          <w:i/>
          <w:iCs/>
          <w:u w:val="single"/>
        </w:rPr>
        <w:t>The shots are not proven long term in pregnancy, the long term outcomes for the foetus are not proved. To force a patient to get a shot is evil</w:t>
      </w:r>
    </w:p>
    <w:p w14:paraId="2B71351A" w14:textId="35859587" w:rsidR="002217C5" w:rsidRDefault="00B34D3D" w:rsidP="00206811">
      <w:pPr>
        <w:spacing w:before="0" w:after="120" w:line="240" w:lineRule="atLeast"/>
        <w:rPr>
          <w:rFonts w:eastAsia="Calibri" w:cs="Arial"/>
          <w:i w:val="0"/>
          <w:snapToGrid w:val="0"/>
          <w:szCs w:val="20"/>
        </w:rPr>
      </w:pPr>
      <w:r>
        <w:rPr>
          <w:rFonts w:eastAsia="Calibri" w:cs="Arial"/>
          <w:i w:val="0"/>
          <w:snapToGrid w:val="0"/>
          <w:szCs w:val="20"/>
        </w:rPr>
        <w:t xml:space="preserve">Dr. </w:t>
      </w:r>
      <w:r w:rsidR="00D16D2C">
        <w:rPr>
          <w:rFonts w:eastAsia="Calibri" w:cs="Arial"/>
          <w:i w:val="0"/>
          <w:snapToGrid w:val="0"/>
          <w:szCs w:val="20"/>
        </w:rPr>
        <w:t>A</w:t>
      </w:r>
      <w:r w:rsidR="00CF3617">
        <w:rPr>
          <w:rFonts w:eastAsia="Calibri" w:cs="Arial"/>
          <w:i w:val="0"/>
          <w:snapToGrid w:val="0"/>
          <w:szCs w:val="20"/>
        </w:rPr>
        <w:t xml:space="preserve"> </w:t>
      </w:r>
      <w:r w:rsidR="008B6C55" w:rsidRPr="00021B28">
        <w:rPr>
          <w:rFonts w:eastAsia="Calibri" w:cs="Arial"/>
          <w:i w:val="0"/>
          <w:snapToGrid w:val="0"/>
          <w:szCs w:val="20"/>
        </w:rPr>
        <w:t xml:space="preserve">conveyed the </w:t>
      </w:r>
      <w:r w:rsidR="00AB2945">
        <w:rPr>
          <w:rFonts w:eastAsia="Calibri" w:cs="Arial"/>
          <w:i w:val="0"/>
          <w:snapToGrid w:val="0"/>
          <w:szCs w:val="20"/>
        </w:rPr>
        <w:t xml:space="preserve">following </w:t>
      </w:r>
      <w:r w:rsidR="008B6C55" w:rsidRPr="00021B28">
        <w:rPr>
          <w:rFonts w:eastAsia="Calibri" w:cs="Arial"/>
          <w:i w:val="0"/>
          <w:snapToGrid w:val="0"/>
          <w:szCs w:val="20"/>
        </w:rPr>
        <w:t xml:space="preserve">statement </w:t>
      </w:r>
      <w:r w:rsidR="002217C5">
        <w:rPr>
          <w:rFonts w:eastAsia="Calibri" w:cs="Arial"/>
          <w:i w:val="0"/>
          <w:snapToGrid w:val="0"/>
          <w:szCs w:val="20"/>
        </w:rPr>
        <w:t>at approximately</w:t>
      </w:r>
      <w:r w:rsidR="0071386C">
        <w:rPr>
          <w:rFonts w:eastAsia="Calibri" w:cs="Arial"/>
          <w:i w:val="0"/>
          <w:snapToGrid w:val="0"/>
          <w:szCs w:val="20"/>
        </w:rPr>
        <w:t xml:space="preserve"> </w:t>
      </w:r>
      <w:r w:rsidR="00FB0212">
        <w:rPr>
          <w:rFonts w:eastAsia="Calibri" w:cs="Arial"/>
          <w:i w:val="0"/>
          <w:snapToGrid w:val="0"/>
          <w:szCs w:val="20"/>
        </w:rPr>
        <w:t>40:</w:t>
      </w:r>
      <w:r w:rsidR="001C4D10">
        <w:rPr>
          <w:rFonts w:eastAsia="Calibri" w:cs="Arial"/>
          <w:i w:val="0"/>
          <w:snapToGrid w:val="0"/>
          <w:szCs w:val="20"/>
        </w:rPr>
        <w:t>39</w:t>
      </w:r>
      <w:r w:rsidR="00FB0212">
        <w:rPr>
          <w:rFonts w:eastAsia="Calibri" w:cs="Arial"/>
          <w:i w:val="0"/>
          <w:snapToGrid w:val="0"/>
          <w:szCs w:val="20"/>
        </w:rPr>
        <w:t xml:space="preserve"> minutes</w:t>
      </w:r>
      <w:r w:rsidR="007F505F">
        <w:rPr>
          <w:rFonts w:eastAsia="Calibri" w:cs="Arial"/>
          <w:i w:val="0"/>
          <w:snapToGrid w:val="0"/>
          <w:szCs w:val="20"/>
        </w:rPr>
        <w:t>,</w:t>
      </w:r>
      <w:r w:rsidR="007F505F" w:rsidRPr="007F505F">
        <w:rPr>
          <w:rFonts w:eastAsia="Calibri" w:cs="Arial"/>
          <w:i w:val="0"/>
          <w:snapToGrid w:val="0"/>
          <w:szCs w:val="20"/>
        </w:rPr>
        <w:t xml:space="preserve"> </w:t>
      </w:r>
      <w:r w:rsidR="007F505F" w:rsidRPr="00021B28">
        <w:rPr>
          <w:rFonts w:eastAsia="Calibri" w:cs="Arial"/>
          <w:i w:val="0"/>
          <w:snapToGrid w:val="0"/>
          <w:szCs w:val="20"/>
        </w:rPr>
        <w:t xml:space="preserve">while </w:t>
      </w:r>
      <w:r w:rsidR="007F505F">
        <w:rPr>
          <w:rFonts w:eastAsia="Calibri" w:cs="Arial"/>
          <w:i w:val="0"/>
          <w:snapToGrid w:val="0"/>
          <w:szCs w:val="20"/>
        </w:rPr>
        <w:t xml:space="preserve">commenting about the effect of mandatory </w:t>
      </w:r>
      <w:r w:rsidR="00AD6F01">
        <w:rPr>
          <w:rFonts w:eastAsia="Calibri" w:cs="Arial"/>
          <w:i w:val="0"/>
          <w:snapToGrid w:val="0"/>
          <w:szCs w:val="20"/>
        </w:rPr>
        <w:t>COVID</w:t>
      </w:r>
      <w:r w:rsidR="007F505F" w:rsidRPr="00021B28">
        <w:rPr>
          <w:rFonts w:eastAsia="Calibri" w:cs="Arial"/>
          <w:i w:val="0"/>
          <w:snapToGrid w:val="0"/>
          <w:szCs w:val="20"/>
        </w:rPr>
        <w:t>-19 vaccin</w:t>
      </w:r>
      <w:r w:rsidR="007F505F">
        <w:rPr>
          <w:rFonts w:eastAsia="Calibri" w:cs="Arial"/>
          <w:i w:val="0"/>
          <w:snapToGrid w:val="0"/>
          <w:szCs w:val="20"/>
        </w:rPr>
        <w:t>es on pregnant women</w:t>
      </w:r>
      <w:r w:rsidR="00FB0212">
        <w:rPr>
          <w:rFonts w:eastAsia="Calibri" w:cs="Arial"/>
          <w:i w:val="0"/>
          <w:snapToGrid w:val="0"/>
          <w:szCs w:val="20"/>
        </w:rPr>
        <w:t>:</w:t>
      </w:r>
    </w:p>
    <w:p w14:paraId="23D1BC70" w14:textId="4CFD4C5A" w:rsidR="008B6C55" w:rsidRPr="006B1800" w:rsidRDefault="002217C5" w:rsidP="006B1800">
      <w:pPr>
        <w:autoSpaceDE w:val="0"/>
        <w:autoSpaceDN w:val="0"/>
        <w:adjustRightInd w:val="0"/>
        <w:spacing w:before="0" w:line="240" w:lineRule="atLeast"/>
        <w:ind w:left="709"/>
        <w:rPr>
          <w:rFonts w:cs="Arial"/>
          <w:i w:val="0"/>
          <w:sz w:val="18"/>
          <w:szCs w:val="18"/>
          <w:lang w:eastAsia="en-AU"/>
        </w:rPr>
      </w:pPr>
      <w:r>
        <w:rPr>
          <w:rFonts w:eastAsia="Calibri" w:cs="Arial"/>
          <w:i w:val="0"/>
          <w:snapToGrid w:val="0"/>
          <w:szCs w:val="20"/>
        </w:rPr>
        <w:tab/>
      </w:r>
      <w:r w:rsidR="00F01CD3" w:rsidRPr="006B1800">
        <w:rPr>
          <w:rFonts w:cs="Arial"/>
          <w:i w:val="0"/>
          <w:sz w:val="18"/>
          <w:szCs w:val="18"/>
          <w:lang w:eastAsia="en-AU"/>
        </w:rPr>
        <w:t>[…] t</w:t>
      </w:r>
      <w:r w:rsidR="001C4D10" w:rsidRPr="006B1800">
        <w:rPr>
          <w:rFonts w:cs="Arial"/>
          <w:i w:val="0"/>
          <w:sz w:val="18"/>
          <w:szCs w:val="18"/>
          <w:lang w:eastAsia="en-AU"/>
        </w:rPr>
        <w:t>he shots are not proven long term in pregnancy, the long-term outcomes for the foetus are not proved, to force a patient to get a shot is evil. In my opinion, it’s evil.</w:t>
      </w:r>
    </w:p>
    <w:p w14:paraId="18A5AEA6" w14:textId="77777777" w:rsidR="0071386C" w:rsidRPr="008B6C55" w:rsidRDefault="0071386C" w:rsidP="0071386C">
      <w:pPr>
        <w:pStyle w:val="ACMABodyText"/>
        <w:rPr>
          <w:rFonts w:eastAsia="Calibri" w:cs="Arial"/>
          <w:b/>
          <w:bCs/>
          <w:iCs/>
          <w:snapToGrid/>
        </w:rPr>
      </w:pPr>
      <w:r w:rsidRPr="008B6C55">
        <w:rPr>
          <w:rFonts w:eastAsia="Calibri" w:cs="Arial"/>
          <w:b/>
          <w:bCs/>
          <w:iCs/>
          <w:snapToGrid/>
        </w:rPr>
        <w:t>What did the material convey to the ordinary reasonable viewer?</w:t>
      </w:r>
    </w:p>
    <w:p w14:paraId="7C1C8239" w14:textId="6198C6A6" w:rsidR="00D96A10" w:rsidRPr="00CD4B2F" w:rsidRDefault="008B6C55" w:rsidP="00747C1D">
      <w:pPr>
        <w:spacing w:before="0" w:line="240" w:lineRule="atLeast"/>
        <w:rPr>
          <w:rFonts w:eastAsia="Calibri"/>
          <w:i w:val="0"/>
          <w:iCs/>
        </w:rPr>
      </w:pPr>
      <w:r>
        <w:rPr>
          <w:i w:val="0"/>
          <w:snapToGrid w:val="0"/>
          <w:szCs w:val="20"/>
        </w:rPr>
        <w:t xml:space="preserve">The </w:t>
      </w:r>
      <w:r w:rsidRPr="00AF1184">
        <w:rPr>
          <w:i w:val="0"/>
          <w:snapToGrid w:val="0"/>
          <w:szCs w:val="20"/>
        </w:rPr>
        <w:t>ordinary reasonable viewer</w:t>
      </w:r>
      <w:r>
        <w:rPr>
          <w:i w:val="0"/>
          <w:snapToGrid w:val="0"/>
          <w:szCs w:val="20"/>
        </w:rPr>
        <w:t xml:space="preserve"> would have understood that</w:t>
      </w:r>
      <w:r w:rsidR="00E705BE">
        <w:rPr>
          <w:i w:val="0"/>
          <w:snapToGrid w:val="0"/>
          <w:szCs w:val="20"/>
        </w:rPr>
        <w:t xml:space="preserve"> </w:t>
      </w:r>
      <w:r w:rsidR="00CD4B2F" w:rsidRPr="00CD4B2F">
        <w:rPr>
          <w:rFonts w:eastAsia="Calibri"/>
          <w:i w:val="0"/>
          <w:iCs/>
        </w:rPr>
        <w:t>the</w:t>
      </w:r>
      <w:r w:rsidR="00D2007A">
        <w:rPr>
          <w:rFonts w:eastAsia="Calibri"/>
          <w:i w:val="0"/>
          <w:iCs/>
        </w:rPr>
        <w:t xml:space="preserve"> long-term</w:t>
      </w:r>
      <w:r w:rsidR="00D96A10" w:rsidRPr="00CD4B2F">
        <w:rPr>
          <w:i w:val="0"/>
          <w:iCs/>
        </w:rPr>
        <w:t xml:space="preserve"> effects</w:t>
      </w:r>
      <w:r w:rsidR="00D2007A">
        <w:rPr>
          <w:i w:val="0"/>
          <w:iCs/>
        </w:rPr>
        <w:t>, that is, effects into the future,</w:t>
      </w:r>
      <w:r w:rsidR="00D96A10" w:rsidRPr="00CD4B2F">
        <w:rPr>
          <w:i w:val="0"/>
          <w:iCs/>
        </w:rPr>
        <w:t xml:space="preserve"> of </w:t>
      </w:r>
      <w:r w:rsidR="00CD4B2F" w:rsidRPr="00CD4B2F">
        <w:rPr>
          <w:i w:val="0"/>
          <w:iCs/>
        </w:rPr>
        <w:t>the C</w:t>
      </w:r>
      <w:r w:rsidR="004A2AB8">
        <w:rPr>
          <w:i w:val="0"/>
          <w:iCs/>
        </w:rPr>
        <w:t>OVID</w:t>
      </w:r>
      <w:r w:rsidR="00CD4B2F" w:rsidRPr="00CD4B2F">
        <w:rPr>
          <w:i w:val="0"/>
          <w:iCs/>
        </w:rPr>
        <w:t xml:space="preserve">-19 </w:t>
      </w:r>
      <w:r w:rsidR="00D96A10" w:rsidRPr="00CD4B2F">
        <w:rPr>
          <w:i w:val="0"/>
          <w:iCs/>
        </w:rPr>
        <w:t xml:space="preserve">vaccine on pregnant </w:t>
      </w:r>
      <w:r w:rsidR="00D2007A">
        <w:rPr>
          <w:i w:val="0"/>
          <w:iCs/>
        </w:rPr>
        <w:t xml:space="preserve">women </w:t>
      </w:r>
      <w:r w:rsidR="00D96A10" w:rsidRPr="00CD4B2F">
        <w:rPr>
          <w:i w:val="0"/>
          <w:iCs/>
        </w:rPr>
        <w:t xml:space="preserve">and </w:t>
      </w:r>
      <w:r w:rsidR="00543270" w:rsidRPr="00CD4B2F">
        <w:rPr>
          <w:i w:val="0"/>
          <w:iCs/>
        </w:rPr>
        <w:t xml:space="preserve">unborn children </w:t>
      </w:r>
      <w:r w:rsidR="002217C5">
        <w:rPr>
          <w:i w:val="0"/>
          <w:iCs/>
        </w:rPr>
        <w:t>we</w:t>
      </w:r>
      <w:r w:rsidR="00543270" w:rsidRPr="00CD4B2F">
        <w:rPr>
          <w:i w:val="0"/>
          <w:iCs/>
        </w:rPr>
        <w:t>re unknown</w:t>
      </w:r>
      <w:r w:rsidR="00D2007A">
        <w:rPr>
          <w:i w:val="0"/>
          <w:iCs/>
        </w:rPr>
        <w:t>,</w:t>
      </w:r>
      <w:r w:rsidR="00543270" w:rsidRPr="00CD4B2F">
        <w:rPr>
          <w:i w:val="0"/>
          <w:iCs/>
        </w:rPr>
        <w:t xml:space="preserve"> and that </w:t>
      </w:r>
      <w:r w:rsidR="002217C5">
        <w:rPr>
          <w:i w:val="0"/>
          <w:iCs/>
        </w:rPr>
        <w:t>it is morally in</w:t>
      </w:r>
      <w:r w:rsidR="00D2007A">
        <w:rPr>
          <w:i w:val="0"/>
          <w:iCs/>
        </w:rPr>
        <w:t>de</w:t>
      </w:r>
      <w:r w:rsidR="002217C5">
        <w:rPr>
          <w:i w:val="0"/>
          <w:iCs/>
        </w:rPr>
        <w:t xml:space="preserve">fensible to force </w:t>
      </w:r>
      <w:r w:rsidR="00543270" w:rsidRPr="00CD4B2F">
        <w:rPr>
          <w:i w:val="0"/>
          <w:iCs/>
        </w:rPr>
        <w:t>anyone</w:t>
      </w:r>
      <w:r w:rsidR="00CD4B2F" w:rsidRPr="00CD4B2F">
        <w:rPr>
          <w:i w:val="0"/>
          <w:iCs/>
        </w:rPr>
        <w:t xml:space="preserve"> </w:t>
      </w:r>
      <w:r w:rsidR="002217C5">
        <w:rPr>
          <w:i w:val="0"/>
          <w:iCs/>
        </w:rPr>
        <w:t xml:space="preserve">to </w:t>
      </w:r>
      <w:r w:rsidR="00543270" w:rsidRPr="00CD4B2F">
        <w:rPr>
          <w:i w:val="0"/>
          <w:iCs/>
        </w:rPr>
        <w:t xml:space="preserve">be vaccinated. </w:t>
      </w:r>
      <w:r w:rsidR="00D96A10" w:rsidRPr="00CD4B2F">
        <w:rPr>
          <w:i w:val="0"/>
          <w:iCs/>
        </w:rPr>
        <w:t xml:space="preserve"> </w:t>
      </w:r>
    </w:p>
    <w:p w14:paraId="7F13318D" w14:textId="77777777" w:rsidR="008B6C55" w:rsidRDefault="008B6C55" w:rsidP="008B6C55">
      <w:pPr>
        <w:spacing w:before="120" w:after="160" w:line="257" w:lineRule="auto"/>
        <w:rPr>
          <w:rFonts w:eastAsia="Calibri" w:cs="Arial"/>
          <w:b/>
          <w:bCs/>
          <w:i w:val="0"/>
          <w:snapToGrid w:val="0"/>
          <w:szCs w:val="20"/>
        </w:rPr>
      </w:pPr>
      <w:r w:rsidRPr="00E171F9">
        <w:rPr>
          <w:rFonts w:eastAsia="Calibri" w:cs="Arial"/>
          <w:b/>
          <w:bCs/>
          <w:i w:val="0"/>
          <w:snapToGrid w:val="0"/>
          <w:szCs w:val="20"/>
        </w:rPr>
        <w:t>Was the material factual in character?</w:t>
      </w:r>
    </w:p>
    <w:p w14:paraId="1CB39E73" w14:textId="536FA53C" w:rsidR="00D4341B" w:rsidRDefault="00B34D3D" w:rsidP="00747C1D">
      <w:pPr>
        <w:spacing w:before="0" w:line="240" w:lineRule="atLeast"/>
        <w:rPr>
          <w:rFonts w:eastAsia="Calibri" w:cs="Arial"/>
          <w:i w:val="0"/>
          <w:snapToGrid w:val="0"/>
          <w:szCs w:val="20"/>
        </w:rPr>
      </w:pPr>
      <w:r>
        <w:rPr>
          <w:rFonts w:eastAsia="Calibri" w:cs="Arial"/>
          <w:i w:val="0"/>
          <w:snapToGrid w:val="0"/>
          <w:szCs w:val="20"/>
        </w:rPr>
        <w:t xml:space="preserve">Dr. </w:t>
      </w:r>
      <w:r w:rsidR="00D16D2C">
        <w:rPr>
          <w:rFonts w:eastAsia="Calibri" w:cs="Arial"/>
          <w:i w:val="0"/>
          <w:snapToGrid w:val="0"/>
          <w:szCs w:val="20"/>
        </w:rPr>
        <w:t>A</w:t>
      </w:r>
      <w:r w:rsidR="00D4341B">
        <w:rPr>
          <w:rFonts w:eastAsia="Calibri" w:cs="Arial"/>
          <w:i w:val="0"/>
          <w:snapToGrid w:val="0"/>
          <w:szCs w:val="20"/>
        </w:rPr>
        <w:t xml:space="preserve">’s statement </w:t>
      </w:r>
      <w:r w:rsidR="00D2007A">
        <w:rPr>
          <w:rFonts w:eastAsia="Calibri" w:cs="Arial"/>
          <w:i w:val="0"/>
          <w:snapToGrid w:val="0"/>
          <w:szCs w:val="20"/>
        </w:rPr>
        <w:t xml:space="preserve">that </w:t>
      </w:r>
      <w:r w:rsidR="00D4341B">
        <w:rPr>
          <w:rFonts w:eastAsia="Calibri" w:cs="Arial"/>
          <w:i w:val="0"/>
          <w:snapToGrid w:val="0"/>
          <w:szCs w:val="20"/>
        </w:rPr>
        <w:t xml:space="preserve">the </w:t>
      </w:r>
      <w:r w:rsidR="00D2007A">
        <w:rPr>
          <w:rFonts w:eastAsia="Calibri" w:cs="Arial"/>
          <w:i w:val="0"/>
          <w:snapToGrid w:val="0"/>
          <w:szCs w:val="20"/>
        </w:rPr>
        <w:t>l</w:t>
      </w:r>
      <w:r w:rsidR="00D4341B">
        <w:rPr>
          <w:rFonts w:eastAsia="Calibri" w:cs="Arial"/>
          <w:i w:val="0"/>
          <w:snapToGrid w:val="0"/>
          <w:szCs w:val="20"/>
        </w:rPr>
        <w:t xml:space="preserve">ong-term effects of the </w:t>
      </w:r>
      <w:r w:rsidR="004A2AB8">
        <w:rPr>
          <w:rFonts w:eastAsia="Calibri" w:cs="Arial"/>
          <w:i w:val="0"/>
          <w:snapToGrid w:val="0"/>
          <w:szCs w:val="20"/>
        </w:rPr>
        <w:t>COVID</w:t>
      </w:r>
      <w:r w:rsidR="00D4341B">
        <w:rPr>
          <w:rFonts w:eastAsia="Calibri" w:cs="Arial"/>
          <w:i w:val="0"/>
          <w:snapToGrid w:val="0"/>
          <w:szCs w:val="20"/>
        </w:rPr>
        <w:t>-19 vaccines on pregnant women and the foetus</w:t>
      </w:r>
      <w:r w:rsidR="00D2007A">
        <w:rPr>
          <w:rFonts w:eastAsia="Calibri" w:cs="Arial"/>
          <w:i w:val="0"/>
          <w:snapToGrid w:val="0"/>
          <w:szCs w:val="20"/>
        </w:rPr>
        <w:t xml:space="preserve"> were unknown</w:t>
      </w:r>
      <w:r w:rsidR="00D4341B">
        <w:rPr>
          <w:rFonts w:eastAsia="Calibri" w:cs="Arial"/>
          <w:i w:val="0"/>
          <w:snapToGrid w:val="0"/>
          <w:szCs w:val="20"/>
        </w:rPr>
        <w:t xml:space="preserve"> constitute</w:t>
      </w:r>
      <w:r w:rsidR="00D2007A">
        <w:rPr>
          <w:rFonts w:eastAsia="Calibri" w:cs="Arial"/>
          <w:i w:val="0"/>
          <w:snapToGrid w:val="0"/>
          <w:szCs w:val="20"/>
        </w:rPr>
        <w:t>d</w:t>
      </w:r>
      <w:r w:rsidR="00D4341B">
        <w:rPr>
          <w:rFonts w:eastAsia="Calibri" w:cs="Arial"/>
          <w:i w:val="0"/>
          <w:snapToGrid w:val="0"/>
          <w:szCs w:val="20"/>
        </w:rPr>
        <w:t xml:space="preserve"> factual material as </w:t>
      </w:r>
      <w:r w:rsidR="00D2007A">
        <w:rPr>
          <w:rFonts w:eastAsia="Calibri" w:cs="Arial"/>
          <w:i w:val="0"/>
          <w:snapToGrid w:val="0"/>
          <w:szCs w:val="20"/>
        </w:rPr>
        <w:t xml:space="preserve">it was </w:t>
      </w:r>
      <w:r w:rsidR="00D4341B" w:rsidRPr="002A10AF">
        <w:rPr>
          <w:rFonts w:eastAsia="Calibri" w:cs="Arial"/>
          <w:i w:val="0"/>
          <w:snapToGrid w:val="0"/>
          <w:szCs w:val="20"/>
        </w:rPr>
        <w:t>specific, unequivocal, and capable of independent verification.</w:t>
      </w:r>
    </w:p>
    <w:p w14:paraId="01C11707" w14:textId="094D52FD" w:rsidR="001247A1" w:rsidRDefault="00D4341B" w:rsidP="00747C1D">
      <w:pPr>
        <w:spacing w:before="0" w:line="240" w:lineRule="atLeast"/>
        <w:rPr>
          <w:rFonts w:eastAsia="Calibri" w:cs="Arial"/>
          <w:i w:val="0"/>
          <w:snapToGrid w:val="0"/>
          <w:szCs w:val="20"/>
        </w:rPr>
      </w:pPr>
      <w:r>
        <w:rPr>
          <w:rFonts w:eastAsia="Calibri" w:cs="Arial"/>
          <w:i w:val="0"/>
          <w:snapToGrid w:val="0"/>
          <w:szCs w:val="20"/>
        </w:rPr>
        <w:t>Wh</w:t>
      </w:r>
      <w:r w:rsidR="002217C5">
        <w:rPr>
          <w:rFonts w:eastAsia="Calibri" w:cs="Arial"/>
          <w:i w:val="0"/>
          <w:snapToGrid w:val="0"/>
          <w:szCs w:val="20"/>
        </w:rPr>
        <w:t>en</w:t>
      </w:r>
      <w:r>
        <w:rPr>
          <w:rFonts w:eastAsia="Calibri" w:cs="Arial"/>
          <w:i w:val="0"/>
          <w:snapToGrid w:val="0"/>
          <w:szCs w:val="20"/>
        </w:rPr>
        <w:t xml:space="preserve"> </w:t>
      </w:r>
      <w:r w:rsidR="00B34D3D">
        <w:rPr>
          <w:rFonts w:eastAsia="Calibri" w:cs="Arial"/>
          <w:i w:val="0"/>
          <w:snapToGrid w:val="0"/>
          <w:szCs w:val="20"/>
        </w:rPr>
        <w:t xml:space="preserve">Dr. </w:t>
      </w:r>
      <w:r w:rsidR="00D16D2C">
        <w:rPr>
          <w:rFonts w:eastAsia="Calibri" w:cs="Arial"/>
          <w:i w:val="0"/>
          <w:snapToGrid w:val="0"/>
          <w:szCs w:val="20"/>
        </w:rPr>
        <w:t>A</w:t>
      </w:r>
      <w:r w:rsidR="00AE3569">
        <w:rPr>
          <w:rFonts w:eastAsia="Calibri" w:cs="Arial"/>
          <w:i w:val="0"/>
          <w:snapToGrid w:val="0"/>
          <w:szCs w:val="20"/>
        </w:rPr>
        <w:t xml:space="preserve"> </w:t>
      </w:r>
      <w:r>
        <w:rPr>
          <w:rFonts w:eastAsia="Calibri" w:cs="Arial"/>
          <w:i w:val="0"/>
          <w:snapToGrid w:val="0"/>
          <w:szCs w:val="20"/>
        </w:rPr>
        <w:t xml:space="preserve">stated that </w:t>
      </w:r>
      <w:r w:rsidR="003214F8">
        <w:rPr>
          <w:rFonts w:eastAsia="Calibri" w:cs="Arial"/>
          <w:i w:val="0"/>
          <w:snapToGrid w:val="0"/>
          <w:szCs w:val="20"/>
        </w:rPr>
        <w:t>‘to force a patient to get shot is evil’</w:t>
      </w:r>
      <w:r>
        <w:rPr>
          <w:rFonts w:eastAsia="Calibri" w:cs="Arial"/>
          <w:i w:val="0"/>
          <w:snapToGrid w:val="0"/>
          <w:szCs w:val="20"/>
        </w:rPr>
        <w:t xml:space="preserve"> </w:t>
      </w:r>
      <w:r w:rsidR="00263312">
        <w:rPr>
          <w:rFonts w:eastAsia="Calibri" w:cs="Arial"/>
          <w:i w:val="0"/>
          <w:snapToGrid w:val="0"/>
          <w:szCs w:val="20"/>
        </w:rPr>
        <w:t>they were</w:t>
      </w:r>
      <w:r w:rsidR="002217C5">
        <w:rPr>
          <w:rFonts w:eastAsia="Calibri" w:cs="Arial"/>
          <w:i w:val="0"/>
          <w:snapToGrid w:val="0"/>
          <w:szCs w:val="20"/>
        </w:rPr>
        <w:t xml:space="preserve"> </w:t>
      </w:r>
      <w:r>
        <w:rPr>
          <w:rFonts w:eastAsia="Calibri" w:cs="Arial"/>
          <w:i w:val="0"/>
          <w:snapToGrid w:val="0"/>
          <w:szCs w:val="20"/>
        </w:rPr>
        <w:t>express</w:t>
      </w:r>
      <w:r w:rsidR="002217C5">
        <w:rPr>
          <w:rFonts w:eastAsia="Calibri" w:cs="Arial"/>
          <w:i w:val="0"/>
          <w:snapToGrid w:val="0"/>
          <w:szCs w:val="20"/>
        </w:rPr>
        <w:t>ing</w:t>
      </w:r>
      <w:r>
        <w:rPr>
          <w:rFonts w:eastAsia="Calibri" w:cs="Arial"/>
          <w:i w:val="0"/>
          <w:snapToGrid w:val="0"/>
          <w:szCs w:val="20"/>
        </w:rPr>
        <w:t xml:space="preserve"> </w:t>
      </w:r>
      <w:r w:rsidR="00263312">
        <w:rPr>
          <w:rFonts w:eastAsia="Calibri" w:cs="Arial"/>
          <w:i w:val="0"/>
          <w:snapToGrid w:val="0"/>
          <w:szCs w:val="20"/>
        </w:rPr>
        <w:t xml:space="preserve">their </w:t>
      </w:r>
      <w:r>
        <w:rPr>
          <w:rFonts w:eastAsia="Calibri" w:cs="Arial"/>
          <w:i w:val="0"/>
          <w:snapToGrid w:val="0"/>
          <w:szCs w:val="20"/>
        </w:rPr>
        <w:t>opinion about an individual’s right</w:t>
      </w:r>
      <w:r w:rsidR="002217C5">
        <w:rPr>
          <w:rFonts w:eastAsia="Calibri" w:cs="Arial"/>
          <w:i w:val="0"/>
          <w:snapToGrid w:val="0"/>
          <w:szCs w:val="20"/>
        </w:rPr>
        <w:t xml:space="preserve"> to control what happens to their body and their</w:t>
      </w:r>
      <w:r>
        <w:rPr>
          <w:rFonts w:eastAsia="Calibri" w:cs="Arial"/>
          <w:i w:val="0"/>
          <w:snapToGrid w:val="0"/>
          <w:szCs w:val="20"/>
        </w:rPr>
        <w:t xml:space="preserve"> freedom </w:t>
      </w:r>
      <w:r w:rsidR="002217C5">
        <w:rPr>
          <w:rFonts w:eastAsia="Calibri" w:cs="Arial"/>
          <w:i w:val="0"/>
          <w:snapToGrid w:val="0"/>
          <w:szCs w:val="20"/>
        </w:rPr>
        <w:t xml:space="preserve">to choose whether </w:t>
      </w:r>
      <w:r w:rsidR="001C266E">
        <w:rPr>
          <w:rFonts w:eastAsia="Calibri" w:cs="Arial"/>
          <w:i w:val="0"/>
          <w:snapToGrid w:val="0"/>
          <w:szCs w:val="20"/>
        </w:rPr>
        <w:t>to get the vaccine</w:t>
      </w:r>
      <w:r w:rsidR="002217C5">
        <w:rPr>
          <w:rFonts w:eastAsia="Calibri" w:cs="Arial"/>
          <w:i w:val="0"/>
          <w:snapToGrid w:val="0"/>
          <w:szCs w:val="20"/>
        </w:rPr>
        <w:t>. T</w:t>
      </w:r>
      <w:r>
        <w:rPr>
          <w:rFonts w:eastAsia="Calibri" w:cs="Arial"/>
          <w:i w:val="0"/>
          <w:snapToGrid w:val="0"/>
          <w:szCs w:val="20"/>
        </w:rPr>
        <w:t xml:space="preserve">he ACMA considers that </w:t>
      </w:r>
      <w:r w:rsidR="00263312">
        <w:rPr>
          <w:rFonts w:eastAsia="Calibri" w:cs="Arial"/>
          <w:i w:val="0"/>
          <w:snapToGrid w:val="0"/>
          <w:szCs w:val="20"/>
        </w:rPr>
        <w:t xml:space="preserve">these </w:t>
      </w:r>
      <w:r w:rsidR="00C96469" w:rsidRPr="001C266E">
        <w:rPr>
          <w:rFonts w:eastAsia="Calibri" w:cs="Arial"/>
          <w:i w:val="0"/>
          <w:snapToGrid w:val="0"/>
          <w:szCs w:val="20"/>
        </w:rPr>
        <w:t xml:space="preserve">comments were </w:t>
      </w:r>
      <w:r w:rsidR="002217C5">
        <w:rPr>
          <w:rFonts w:eastAsia="Calibri" w:cs="Arial"/>
          <w:i w:val="0"/>
          <w:snapToGrid w:val="0"/>
          <w:szCs w:val="20"/>
        </w:rPr>
        <w:t>clearly</w:t>
      </w:r>
      <w:r w:rsidR="00CD4B2F">
        <w:rPr>
          <w:rFonts w:eastAsia="Calibri" w:cs="Arial"/>
          <w:i w:val="0"/>
          <w:snapToGrid w:val="0"/>
          <w:szCs w:val="20"/>
        </w:rPr>
        <w:t xml:space="preserve"> </w:t>
      </w:r>
      <w:r w:rsidR="00263312">
        <w:rPr>
          <w:rFonts w:eastAsia="Calibri" w:cs="Arial"/>
          <w:i w:val="0"/>
          <w:snapToGrid w:val="0"/>
          <w:szCs w:val="20"/>
        </w:rPr>
        <w:t xml:space="preserve">their </w:t>
      </w:r>
      <w:r w:rsidR="0071386C">
        <w:rPr>
          <w:rFonts w:eastAsia="Calibri" w:cs="Arial"/>
          <w:i w:val="0"/>
          <w:snapToGrid w:val="0"/>
          <w:szCs w:val="20"/>
        </w:rPr>
        <w:t xml:space="preserve">own </w:t>
      </w:r>
      <w:r w:rsidR="00A60894">
        <w:rPr>
          <w:rFonts w:eastAsia="Calibri" w:cs="Arial"/>
          <w:i w:val="0"/>
          <w:snapToGrid w:val="0"/>
          <w:szCs w:val="20"/>
        </w:rPr>
        <w:t>opinions</w:t>
      </w:r>
      <w:r w:rsidR="00CD4B2F">
        <w:rPr>
          <w:rFonts w:eastAsia="Calibri" w:cs="Arial"/>
          <w:i w:val="0"/>
          <w:snapToGrid w:val="0"/>
          <w:szCs w:val="20"/>
        </w:rPr>
        <w:t xml:space="preserve"> on the matter and </w:t>
      </w:r>
      <w:r w:rsidR="00A60894">
        <w:rPr>
          <w:rFonts w:eastAsia="Calibri" w:cs="Arial"/>
          <w:i w:val="0"/>
          <w:snapToGrid w:val="0"/>
          <w:szCs w:val="20"/>
        </w:rPr>
        <w:t>did not constitute</w:t>
      </w:r>
      <w:r w:rsidR="00C96469" w:rsidRPr="001C266E">
        <w:rPr>
          <w:rFonts w:eastAsia="Calibri" w:cs="Arial"/>
          <w:i w:val="0"/>
          <w:snapToGrid w:val="0"/>
          <w:szCs w:val="20"/>
        </w:rPr>
        <w:t xml:space="preserve"> factual material</w:t>
      </w:r>
      <w:r w:rsidR="00FA3301">
        <w:rPr>
          <w:rFonts w:eastAsia="Calibri" w:cs="Arial"/>
          <w:i w:val="0"/>
          <w:snapToGrid w:val="0"/>
          <w:szCs w:val="20"/>
        </w:rPr>
        <w:t>.</w:t>
      </w:r>
    </w:p>
    <w:p w14:paraId="1E60ED27" w14:textId="1A992F87" w:rsidR="008B6C55" w:rsidRPr="00E171F9" w:rsidRDefault="008B6C55" w:rsidP="008B6C55">
      <w:pPr>
        <w:spacing w:before="0" w:after="160" w:line="256" w:lineRule="auto"/>
        <w:rPr>
          <w:rFonts w:eastAsia="Calibri" w:cs="Arial"/>
          <w:b/>
          <w:bCs/>
          <w:i w:val="0"/>
          <w:snapToGrid w:val="0"/>
          <w:szCs w:val="20"/>
        </w:rPr>
      </w:pPr>
      <w:r w:rsidRPr="00E171F9">
        <w:rPr>
          <w:rFonts w:eastAsia="Calibri" w:cs="Arial"/>
          <w:b/>
          <w:bCs/>
          <w:i w:val="0"/>
          <w:snapToGrid w:val="0"/>
          <w:szCs w:val="20"/>
        </w:rPr>
        <w:t>If so, was the factual material accurate?</w:t>
      </w:r>
    </w:p>
    <w:p w14:paraId="3BBC2E4E" w14:textId="6BD494D4" w:rsidR="00226C0D" w:rsidRDefault="00F93CB1" w:rsidP="00747C1D">
      <w:pPr>
        <w:pStyle w:val="ACMABodyText"/>
        <w:spacing w:after="120"/>
        <w:rPr>
          <w:rFonts w:eastAsia="Calibri"/>
        </w:rPr>
      </w:pPr>
      <w:r>
        <w:rPr>
          <w:rFonts w:eastAsia="Calibri"/>
        </w:rPr>
        <w:t>The Licensee submitted:</w:t>
      </w:r>
    </w:p>
    <w:p w14:paraId="16E67406" w14:textId="5C962123" w:rsidR="00B6023E" w:rsidRPr="00B6023E" w:rsidRDefault="00B6023E" w:rsidP="002A73AC">
      <w:pPr>
        <w:autoSpaceDE w:val="0"/>
        <w:autoSpaceDN w:val="0"/>
        <w:adjustRightInd w:val="0"/>
        <w:spacing w:before="0" w:after="120" w:line="240" w:lineRule="atLeast"/>
        <w:ind w:left="709"/>
        <w:rPr>
          <w:rFonts w:cs="Arial"/>
          <w:i w:val="0"/>
          <w:sz w:val="19"/>
          <w:szCs w:val="19"/>
          <w:lang w:eastAsia="en-AU"/>
        </w:rPr>
      </w:pPr>
      <w:r w:rsidRPr="00B6023E">
        <w:rPr>
          <w:rFonts w:cs="Arial"/>
          <w:i w:val="0"/>
          <w:sz w:val="19"/>
          <w:szCs w:val="19"/>
          <w:lang w:eastAsia="en-AU"/>
        </w:rPr>
        <w:t>These statements are accurate in so far as they refer to the hypothetical long term vaccine data, and</w:t>
      </w:r>
      <w:r>
        <w:rPr>
          <w:rFonts w:cs="Arial"/>
          <w:i w:val="0"/>
          <w:sz w:val="19"/>
          <w:szCs w:val="19"/>
          <w:lang w:eastAsia="en-AU"/>
        </w:rPr>
        <w:t xml:space="preserve"> </w:t>
      </w:r>
      <w:r w:rsidRPr="00B6023E">
        <w:rPr>
          <w:rFonts w:cs="Arial"/>
          <w:i w:val="0"/>
          <w:sz w:val="19"/>
          <w:szCs w:val="19"/>
          <w:lang w:eastAsia="en-AU"/>
        </w:rPr>
        <w:t>support the firmly expressed opinion regarding mandatory vaccination.</w:t>
      </w:r>
    </w:p>
    <w:p w14:paraId="15C200F8" w14:textId="6BE0CB1C" w:rsidR="001C266E" w:rsidRPr="001C266E" w:rsidRDefault="00B6023E" w:rsidP="002A73AC">
      <w:pPr>
        <w:autoSpaceDE w:val="0"/>
        <w:autoSpaceDN w:val="0"/>
        <w:adjustRightInd w:val="0"/>
        <w:spacing w:before="0" w:after="120" w:line="240" w:lineRule="atLeast"/>
        <w:ind w:left="709"/>
        <w:rPr>
          <w:rFonts w:cs="Arial"/>
          <w:i w:val="0"/>
          <w:sz w:val="19"/>
          <w:szCs w:val="19"/>
          <w:lang w:eastAsia="en-AU"/>
        </w:rPr>
      </w:pPr>
      <w:r w:rsidRPr="00B6023E">
        <w:rPr>
          <w:rFonts w:cs="Arial"/>
          <w:i w:val="0"/>
          <w:sz w:val="19"/>
          <w:szCs w:val="19"/>
          <w:lang w:eastAsia="en-AU"/>
        </w:rPr>
        <w:t>As above, statements regarding a lack of long</w:t>
      </w:r>
      <w:r w:rsidRPr="00B6023E">
        <w:rPr>
          <w:rFonts w:ascii="Cambria Math" w:hAnsi="Cambria Math" w:cs="Cambria Math"/>
          <w:i w:val="0"/>
          <w:sz w:val="19"/>
          <w:szCs w:val="19"/>
          <w:lang w:eastAsia="en-AU"/>
        </w:rPr>
        <w:t>‐</w:t>
      </w:r>
      <w:r w:rsidRPr="00B6023E">
        <w:rPr>
          <w:rFonts w:cs="Arial"/>
          <w:i w:val="0"/>
          <w:sz w:val="19"/>
          <w:szCs w:val="19"/>
          <w:lang w:eastAsia="en-AU"/>
        </w:rPr>
        <w:t>term safety data regarding the COVID</w:t>
      </w:r>
      <w:r w:rsidRPr="00B6023E">
        <w:rPr>
          <w:rFonts w:ascii="Cambria Math" w:hAnsi="Cambria Math" w:cs="Cambria Math"/>
          <w:i w:val="0"/>
          <w:sz w:val="19"/>
          <w:szCs w:val="19"/>
          <w:lang w:eastAsia="en-AU"/>
        </w:rPr>
        <w:t>‐</w:t>
      </w:r>
      <w:r w:rsidRPr="00B6023E">
        <w:rPr>
          <w:rFonts w:cs="Arial"/>
          <w:i w:val="0"/>
          <w:sz w:val="19"/>
          <w:szCs w:val="19"/>
          <w:lang w:eastAsia="en-AU"/>
        </w:rPr>
        <w:t>19 vaccines are</w:t>
      </w:r>
      <w:r>
        <w:rPr>
          <w:rFonts w:cs="Arial"/>
          <w:i w:val="0"/>
          <w:sz w:val="19"/>
          <w:szCs w:val="19"/>
          <w:lang w:eastAsia="en-AU"/>
        </w:rPr>
        <w:t xml:space="preserve"> </w:t>
      </w:r>
      <w:r w:rsidRPr="00B6023E">
        <w:rPr>
          <w:rFonts w:cs="Arial"/>
          <w:i w:val="0"/>
          <w:sz w:val="19"/>
          <w:szCs w:val="19"/>
          <w:lang w:eastAsia="en-AU"/>
        </w:rPr>
        <w:t>accurate given the length of time between the vaccines being developed and approved for use.</w:t>
      </w:r>
    </w:p>
    <w:p w14:paraId="079DA93B" w14:textId="2BADEAF6" w:rsidR="004D2430" w:rsidRDefault="00F91068" w:rsidP="004D2430">
      <w:pPr>
        <w:pStyle w:val="ACMABodyText"/>
        <w:spacing w:before="240"/>
        <w:rPr>
          <w:rFonts w:eastAsia="Calibri"/>
          <w:lang w:eastAsia="en-AU"/>
        </w:rPr>
      </w:pPr>
      <w:r>
        <w:rPr>
          <w:rFonts w:eastAsia="Calibri"/>
          <w:lang w:eastAsia="en-AU"/>
        </w:rPr>
        <w:t xml:space="preserve">In relation to the </w:t>
      </w:r>
      <w:r w:rsidR="00E705BE">
        <w:rPr>
          <w:rFonts w:eastAsia="Calibri"/>
          <w:lang w:eastAsia="en-AU"/>
        </w:rPr>
        <w:t>comment</w:t>
      </w:r>
      <w:r w:rsidR="00A548E5">
        <w:rPr>
          <w:rFonts w:eastAsia="Calibri"/>
          <w:lang w:eastAsia="en-AU"/>
        </w:rPr>
        <w:t xml:space="preserve"> about the </w:t>
      </w:r>
      <w:r>
        <w:rPr>
          <w:rFonts w:eastAsia="Calibri"/>
          <w:lang w:eastAsia="en-AU"/>
        </w:rPr>
        <w:t>effects of C</w:t>
      </w:r>
      <w:r w:rsidR="004A2AB8">
        <w:rPr>
          <w:rFonts w:eastAsia="Calibri"/>
          <w:lang w:eastAsia="en-AU"/>
        </w:rPr>
        <w:t>OVID</w:t>
      </w:r>
      <w:r>
        <w:rPr>
          <w:rFonts w:eastAsia="Calibri"/>
          <w:lang w:eastAsia="en-AU"/>
        </w:rPr>
        <w:t>-19 vaccines during pregnancy, t</w:t>
      </w:r>
      <w:r w:rsidR="00B6023E">
        <w:rPr>
          <w:rFonts w:eastAsia="Calibri"/>
          <w:lang w:eastAsia="en-AU"/>
        </w:rPr>
        <w:t xml:space="preserve">he Licensee </w:t>
      </w:r>
      <w:r w:rsidR="00A548E5">
        <w:rPr>
          <w:rFonts w:eastAsia="Calibri"/>
          <w:lang w:eastAsia="en-AU"/>
        </w:rPr>
        <w:t xml:space="preserve">referred to </w:t>
      </w:r>
      <w:r w:rsidR="00B6023E" w:rsidRPr="00F54020">
        <w:rPr>
          <w:rFonts w:eastAsia="Calibri"/>
          <w:lang w:eastAsia="en-AU"/>
        </w:rPr>
        <w:t xml:space="preserve">2 </w:t>
      </w:r>
      <w:r w:rsidR="00A548E5" w:rsidRPr="00F54020">
        <w:rPr>
          <w:rFonts w:eastAsia="Calibri"/>
          <w:lang w:eastAsia="en-AU"/>
        </w:rPr>
        <w:t>articles</w:t>
      </w:r>
      <w:r w:rsidR="00A548E5">
        <w:rPr>
          <w:rFonts w:eastAsia="Calibri"/>
          <w:lang w:eastAsia="en-AU"/>
        </w:rPr>
        <w:t xml:space="preserve"> </w:t>
      </w:r>
      <w:r>
        <w:rPr>
          <w:rFonts w:eastAsia="Calibri"/>
          <w:lang w:eastAsia="en-AU"/>
        </w:rPr>
        <w:t xml:space="preserve">from </w:t>
      </w:r>
      <w:r w:rsidR="001C266E">
        <w:rPr>
          <w:rFonts w:eastAsia="Calibri"/>
          <w:lang w:eastAsia="en-AU"/>
        </w:rPr>
        <w:t>the Department</w:t>
      </w:r>
      <w:r w:rsidR="0071386C">
        <w:rPr>
          <w:rFonts w:eastAsia="Calibri"/>
          <w:lang w:eastAsia="en-AU"/>
        </w:rPr>
        <w:t xml:space="preserve"> of Health</w:t>
      </w:r>
      <w:r w:rsidR="00D000D1">
        <w:rPr>
          <w:rFonts w:eastAsia="Calibri"/>
          <w:lang w:eastAsia="en-AU"/>
        </w:rPr>
        <w:t xml:space="preserve"> and Aged Care</w:t>
      </w:r>
      <w:r w:rsidR="0071386C">
        <w:rPr>
          <w:rFonts w:eastAsia="Calibri"/>
          <w:lang w:eastAsia="en-AU"/>
        </w:rPr>
        <w:t>’s</w:t>
      </w:r>
      <w:r w:rsidR="001C266E">
        <w:rPr>
          <w:rFonts w:eastAsia="Calibri"/>
          <w:lang w:eastAsia="en-AU"/>
        </w:rPr>
        <w:t xml:space="preserve"> we</w:t>
      </w:r>
      <w:r w:rsidR="00FA3301">
        <w:rPr>
          <w:rFonts w:eastAsia="Calibri"/>
          <w:lang w:eastAsia="en-AU"/>
        </w:rPr>
        <w:t>bs</w:t>
      </w:r>
      <w:r w:rsidR="001C266E">
        <w:rPr>
          <w:rFonts w:eastAsia="Calibri"/>
          <w:lang w:eastAsia="en-AU"/>
        </w:rPr>
        <w:t>i</w:t>
      </w:r>
      <w:r>
        <w:rPr>
          <w:rFonts w:eastAsia="Calibri"/>
          <w:lang w:eastAsia="en-AU"/>
        </w:rPr>
        <w:t>t</w:t>
      </w:r>
      <w:r w:rsidR="001C266E">
        <w:rPr>
          <w:rFonts w:eastAsia="Calibri"/>
          <w:lang w:eastAsia="en-AU"/>
        </w:rPr>
        <w:t>e</w:t>
      </w:r>
      <w:r w:rsidR="00A548E5">
        <w:rPr>
          <w:rFonts w:eastAsia="Calibri"/>
          <w:lang w:eastAsia="en-AU"/>
        </w:rPr>
        <w:t>.</w:t>
      </w:r>
      <w:r>
        <w:rPr>
          <w:rFonts w:eastAsia="Calibri"/>
          <w:lang w:eastAsia="en-AU"/>
        </w:rPr>
        <w:t xml:space="preserve"> </w:t>
      </w:r>
    </w:p>
    <w:p w14:paraId="732969E0" w14:textId="0206F802" w:rsidR="00E10F49" w:rsidRDefault="000B0C93" w:rsidP="004D2430">
      <w:pPr>
        <w:pStyle w:val="ACMABodyText"/>
        <w:spacing w:before="240"/>
        <w:rPr>
          <w:rFonts w:eastAsia="Calibri"/>
          <w:lang w:eastAsia="en-AU"/>
        </w:rPr>
      </w:pPr>
      <w:r>
        <w:rPr>
          <w:rFonts w:eastAsia="Calibri"/>
          <w:lang w:eastAsia="en-AU"/>
        </w:rPr>
        <w:t>An</w:t>
      </w:r>
      <w:r w:rsidR="00402A31">
        <w:rPr>
          <w:rFonts w:eastAsia="Calibri"/>
          <w:lang w:eastAsia="en-AU"/>
        </w:rPr>
        <w:t xml:space="preserve"> </w:t>
      </w:r>
      <w:r w:rsidR="00FD72C8">
        <w:rPr>
          <w:rFonts w:eastAsia="Calibri"/>
          <w:lang w:eastAsia="en-AU"/>
        </w:rPr>
        <w:t>article</w:t>
      </w:r>
      <w:r w:rsidR="00402A31">
        <w:rPr>
          <w:rFonts w:eastAsia="Calibri"/>
          <w:lang w:eastAsia="en-AU"/>
        </w:rPr>
        <w:t xml:space="preserve"> published </w:t>
      </w:r>
      <w:r w:rsidR="00604F4D">
        <w:rPr>
          <w:rFonts w:eastAsia="Calibri"/>
          <w:lang w:eastAsia="en-AU"/>
        </w:rPr>
        <w:t xml:space="preserve">by the </w:t>
      </w:r>
      <w:r w:rsidR="00D000D1">
        <w:rPr>
          <w:rFonts w:eastAsia="Calibri"/>
          <w:lang w:eastAsia="en-AU"/>
        </w:rPr>
        <w:t>Department of Health and Aged Care</w:t>
      </w:r>
      <w:r w:rsidR="000A3A79">
        <w:rPr>
          <w:rStyle w:val="FootnoteReference"/>
          <w:rFonts w:eastAsia="Calibri"/>
          <w:lang w:eastAsia="en-AU"/>
        </w:rPr>
        <w:footnoteReference w:id="16"/>
      </w:r>
      <w:r w:rsidR="000A3A79">
        <w:rPr>
          <w:rFonts w:eastAsia="Calibri"/>
          <w:lang w:eastAsia="en-AU"/>
        </w:rPr>
        <w:t xml:space="preserve"> </w:t>
      </w:r>
      <w:r w:rsidR="000561BB">
        <w:rPr>
          <w:rFonts w:eastAsia="Calibri"/>
          <w:lang w:eastAsia="en-AU"/>
        </w:rPr>
        <w:t xml:space="preserve">states that </w:t>
      </w:r>
      <w:r w:rsidR="00A662FE">
        <w:rPr>
          <w:rFonts w:eastAsia="Calibri"/>
          <w:lang w:eastAsia="en-AU"/>
        </w:rPr>
        <w:t>pregnant</w:t>
      </w:r>
      <w:r w:rsidR="000561BB">
        <w:rPr>
          <w:rFonts w:eastAsia="Calibri"/>
          <w:lang w:eastAsia="en-AU"/>
        </w:rPr>
        <w:t xml:space="preserve"> women were not included in the first clinical trials of the C</w:t>
      </w:r>
      <w:r w:rsidR="004A2AB8">
        <w:rPr>
          <w:rFonts w:eastAsia="Calibri"/>
          <w:lang w:eastAsia="en-AU"/>
        </w:rPr>
        <w:t>OVID</w:t>
      </w:r>
      <w:r w:rsidR="000561BB">
        <w:rPr>
          <w:rFonts w:eastAsia="Calibri"/>
          <w:lang w:eastAsia="en-AU"/>
        </w:rPr>
        <w:t>-19 vaccine</w:t>
      </w:r>
      <w:r w:rsidR="009A73EB">
        <w:rPr>
          <w:rFonts w:eastAsia="Calibri"/>
          <w:lang w:eastAsia="en-AU"/>
        </w:rPr>
        <w:t xml:space="preserve"> and there was </w:t>
      </w:r>
      <w:r w:rsidR="0004064F">
        <w:rPr>
          <w:rFonts w:eastAsia="Calibri"/>
          <w:lang w:eastAsia="en-AU"/>
        </w:rPr>
        <w:t xml:space="preserve">limited evidence </w:t>
      </w:r>
      <w:r w:rsidR="0010176B">
        <w:rPr>
          <w:rFonts w:eastAsia="Calibri"/>
          <w:lang w:eastAsia="en-AU"/>
        </w:rPr>
        <w:t xml:space="preserve">about its safety </w:t>
      </w:r>
      <w:r w:rsidR="005F5D30">
        <w:rPr>
          <w:rFonts w:eastAsia="Calibri"/>
          <w:lang w:eastAsia="en-AU"/>
        </w:rPr>
        <w:t>for</w:t>
      </w:r>
      <w:r w:rsidR="0010176B">
        <w:rPr>
          <w:rFonts w:eastAsia="Calibri"/>
          <w:lang w:eastAsia="en-AU"/>
        </w:rPr>
        <w:t xml:space="preserve"> pregnant women. </w:t>
      </w:r>
    </w:p>
    <w:p w14:paraId="5965BB37" w14:textId="74DB8173" w:rsidR="00E20A52" w:rsidRDefault="00D2007A" w:rsidP="00E167D3">
      <w:pPr>
        <w:pStyle w:val="ACMABodyText"/>
        <w:spacing w:before="240"/>
        <w:rPr>
          <w:rFonts w:cs="Arial"/>
        </w:rPr>
      </w:pPr>
      <w:r>
        <w:rPr>
          <w:rFonts w:cs="Arial"/>
        </w:rPr>
        <w:t>The ACMA</w:t>
      </w:r>
      <w:r w:rsidR="00E10F49">
        <w:rPr>
          <w:rFonts w:cs="Arial"/>
        </w:rPr>
        <w:t xml:space="preserve"> note</w:t>
      </w:r>
      <w:r>
        <w:rPr>
          <w:rFonts w:cs="Arial"/>
        </w:rPr>
        <w:t>s that</w:t>
      </w:r>
      <w:r w:rsidR="005F5D30">
        <w:rPr>
          <w:rFonts w:cs="Arial"/>
        </w:rPr>
        <w:t>,</w:t>
      </w:r>
      <w:r w:rsidR="00E10F49">
        <w:rPr>
          <w:rFonts w:cs="Arial"/>
        </w:rPr>
        <w:t xml:space="preserve"> at the time of the broadcast, there was not much information available about the long-terms effects of the C</w:t>
      </w:r>
      <w:r w:rsidR="004A2AB8">
        <w:rPr>
          <w:rFonts w:cs="Arial"/>
        </w:rPr>
        <w:t>OVID</w:t>
      </w:r>
      <w:r w:rsidR="00E10F49">
        <w:rPr>
          <w:rFonts w:cs="Arial"/>
        </w:rPr>
        <w:t xml:space="preserve">-19 vaccine </w:t>
      </w:r>
      <w:r>
        <w:rPr>
          <w:rFonts w:cs="Arial"/>
        </w:rPr>
        <w:t>on</w:t>
      </w:r>
      <w:r w:rsidR="00E10F49">
        <w:rPr>
          <w:rFonts w:cs="Arial"/>
        </w:rPr>
        <w:t xml:space="preserve"> pregnant </w:t>
      </w:r>
      <w:r>
        <w:rPr>
          <w:rFonts w:cs="Arial"/>
        </w:rPr>
        <w:t>women</w:t>
      </w:r>
      <w:r w:rsidR="005F5D30">
        <w:rPr>
          <w:rFonts w:cs="Arial"/>
        </w:rPr>
        <w:t>,</w:t>
      </w:r>
      <w:r>
        <w:rPr>
          <w:rFonts w:cs="Arial"/>
        </w:rPr>
        <w:t xml:space="preserve"> </w:t>
      </w:r>
      <w:r w:rsidR="00E20A52">
        <w:rPr>
          <w:rFonts w:cs="Arial"/>
        </w:rPr>
        <w:t>although</w:t>
      </w:r>
      <w:r w:rsidR="00E10F49">
        <w:rPr>
          <w:rFonts w:cs="Arial"/>
        </w:rPr>
        <w:t xml:space="preserve"> the general advice </w:t>
      </w:r>
      <w:r w:rsidR="00E20A52">
        <w:rPr>
          <w:rFonts w:cs="Arial"/>
        </w:rPr>
        <w:t xml:space="preserve">from health authorities </w:t>
      </w:r>
      <w:r w:rsidR="00E10F49">
        <w:rPr>
          <w:rFonts w:cs="Arial"/>
        </w:rPr>
        <w:t>wa</w:t>
      </w:r>
      <w:r w:rsidR="00E10F49" w:rsidRPr="00BA5918">
        <w:rPr>
          <w:rFonts w:cs="Arial"/>
        </w:rPr>
        <w:t>s to get vaccinate</w:t>
      </w:r>
      <w:r w:rsidR="002719E4">
        <w:rPr>
          <w:rFonts w:cs="Arial"/>
        </w:rPr>
        <w:t>d</w:t>
      </w:r>
      <w:r w:rsidR="00E10F49" w:rsidRPr="00BA5918">
        <w:rPr>
          <w:rFonts w:cs="Arial"/>
        </w:rPr>
        <w:t>.</w:t>
      </w:r>
      <w:r w:rsidR="00E20A52">
        <w:rPr>
          <w:rFonts w:cs="Arial"/>
        </w:rPr>
        <w:t xml:space="preserve"> </w:t>
      </w:r>
    </w:p>
    <w:p w14:paraId="141FF4FB" w14:textId="7D4269DA" w:rsidR="00D73F6C" w:rsidRDefault="00D2007A" w:rsidP="00E167D3">
      <w:pPr>
        <w:pStyle w:val="ACMABodyText"/>
        <w:spacing w:before="240"/>
        <w:rPr>
          <w:rFonts w:cs="Arial"/>
        </w:rPr>
      </w:pPr>
      <w:r>
        <w:rPr>
          <w:rFonts w:cs="Arial"/>
        </w:rPr>
        <w:t xml:space="preserve">As </w:t>
      </w:r>
      <w:r w:rsidR="0071386C">
        <w:rPr>
          <w:rFonts w:cs="Arial"/>
        </w:rPr>
        <w:t>‘</w:t>
      </w:r>
      <w:r>
        <w:rPr>
          <w:rFonts w:cs="Arial"/>
        </w:rPr>
        <w:t>long-term</w:t>
      </w:r>
      <w:r w:rsidR="0071386C">
        <w:rPr>
          <w:rFonts w:cs="Arial"/>
        </w:rPr>
        <w:t>’</w:t>
      </w:r>
      <w:r>
        <w:rPr>
          <w:rFonts w:cs="Arial"/>
        </w:rPr>
        <w:t xml:space="preserve"> was a </w:t>
      </w:r>
      <w:r w:rsidR="0071386C">
        <w:rPr>
          <w:rFonts w:cs="Arial"/>
        </w:rPr>
        <w:t xml:space="preserve">reference </w:t>
      </w:r>
      <w:r>
        <w:rPr>
          <w:rFonts w:cs="Arial"/>
        </w:rPr>
        <w:t>describ</w:t>
      </w:r>
      <w:r w:rsidR="0071386C">
        <w:rPr>
          <w:rFonts w:cs="Arial"/>
        </w:rPr>
        <w:t>ing</w:t>
      </w:r>
      <w:r>
        <w:rPr>
          <w:rFonts w:cs="Arial"/>
        </w:rPr>
        <w:t xml:space="preserve"> a future yet to occur, it was impossible to possess knowledge about what </w:t>
      </w:r>
      <w:r w:rsidR="005F5D30">
        <w:rPr>
          <w:rFonts w:cs="Arial"/>
        </w:rPr>
        <w:t>long term consequences of vaccination might become</w:t>
      </w:r>
      <w:r>
        <w:rPr>
          <w:rFonts w:cs="Arial"/>
        </w:rPr>
        <w:t xml:space="preserve"> known in th</w:t>
      </w:r>
      <w:r w:rsidR="005F5D30">
        <w:rPr>
          <w:rFonts w:cs="Arial"/>
        </w:rPr>
        <w:t>e</w:t>
      </w:r>
      <w:r>
        <w:rPr>
          <w:rFonts w:cs="Arial"/>
        </w:rPr>
        <w:t xml:space="preserve"> future.</w:t>
      </w:r>
    </w:p>
    <w:p w14:paraId="55288250" w14:textId="56A51387" w:rsidR="002719E4" w:rsidRPr="006C669F" w:rsidRDefault="00D73F6C" w:rsidP="00E167D3">
      <w:pPr>
        <w:pStyle w:val="ACMABodyText"/>
        <w:rPr>
          <w:rFonts w:eastAsia="Calibri"/>
          <w:lang w:eastAsia="en-AU"/>
        </w:rPr>
      </w:pPr>
      <w:r>
        <w:rPr>
          <w:rFonts w:cs="Arial"/>
        </w:rPr>
        <w:lastRenderedPageBreak/>
        <w:t>Therefore, t</w:t>
      </w:r>
      <w:r w:rsidRPr="00BA5918">
        <w:rPr>
          <w:rFonts w:cs="Arial"/>
        </w:rPr>
        <w:t xml:space="preserve">he ACMA </w:t>
      </w:r>
      <w:r w:rsidR="00237FD0">
        <w:rPr>
          <w:rFonts w:cs="Arial"/>
        </w:rPr>
        <w:t>finds</w:t>
      </w:r>
      <w:r w:rsidR="00237FD0" w:rsidRPr="00BA5918">
        <w:rPr>
          <w:rFonts w:cs="Arial"/>
        </w:rPr>
        <w:t xml:space="preserve"> </w:t>
      </w:r>
      <w:r w:rsidR="00D2007A">
        <w:rPr>
          <w:rFonts w:cs="Arial"/>
        </w:rPr>
        <w:t xml:space="preserve">the </w:t>
      </w:r>
      <w:r w:rsidRPr="00BA5918">
        <w:rPr>
          <w:rFonts w:cs="Arial"/>
        </w:rPr>
        <w:t xml:space="preserve">statement </w:t>
      </w:r>
      <w:r w:rsidR="00D2007A">
        <w:rPr>
          <w:rFonts w:cs="Arial"/>
        </w:rPr>
        <w:t>that the long-term effects of the C</w:t>
      </w:r>
      <w:r w:rsidR="004A2AB8">
        <w:rPr>
          <w:rFonts w:cs="Arial"/>
        </w:rPr>
        <w:t>OVID</w:t>
      </w:r>
      <w:r w:rsidR="006C669F">
        <w:rPr>
          <w:rFonts w:cs="Arial"/>
        </w:rPr>
        <w:t>-19</w:t>
      </w:r>
      <w:r w:rsidR="00D2007A">
        <w:rPr>
          <w:rFonts w:cs="Arial"/>
        </w:rPr>
        <w:t xml:space="preserve"> vaccine on pregnant women and their unborn children were unproven, </w:t>
      </w:r>
      <w:r w:rsidRPr="00BA5918">
        <w:rPr>
          <w:rFonts w:eastAsia="Calibri"/>
          <w:lang w:eastAsia="en-AU"/>
        </w:rPr>
        <w:t>to be accurate.</w:t>
      </w:r>
    </w:p>
    <w:p w14:paraId="0C61536A" w14:textId="4707EBF9" w:rsidR="004274A5" w:rsidRPr="00963D97" w:rsidRDefault="004274A5" w:rsidP="00206811">
      <w:pPr>
        <w:spacing w:before="0" w:line="240" w:lineRule="atLeast"/>
        <w:rPr>
          <w:b/>
          <w:bCs/>
          <w:iCs/>
          <w:snapToGrid w:val="0"/>
          <w:sz w:val="24"/>
        </w:rPr>
      </w:pPr>
      <w:r w:rsidRPr="00963D97">
        <w:rPr>
          <w:b/>
          <w:bCs/>
          <w:iCs/>
          <w:snapToGrid w:val="0"/>
          <w:sz w:val="24"/>
        </w:rPr>
        <w:t xml:space="preserve">Joni Table Talk </w:t>
      </w:r>
    </w:p>
    <w:p w14:paraId="08A066B1" w14:textId="249F001C" w:rsidR="00C1747A" w:rsidRPr="00520AE0" w:rsidRDefault="003F2AC4" w:rsidP="00B8133D">
      <w:pPr>
        <w:pStyle w:val="CommentText"/>
        <w:spacing w:before="0" w:line="240" w:lineRule="atLeast"/>
        <w:rPr>
          <w:i w:val="0"/>
          <w:snapToGrid w:val="0"/>
        </w:rPr>
      </w:pPr>
      <w:r>
        <w:rPr>
          <w:i w:val="0"/>
          <w:snapToGrid w:val="0"/>
        </w:rPr>
        <w:t>T</w:t>
      </w:r>
      <w:r w:rsidR="008F3292">
        <w:rPr>
          <w:i w:val="0"/>
          <w:snapToGrid w:val="0"/>
        </w:rPr>
        <w:t>he ACMA has</w:t>
      </w:r>
      <w:r w:rsidR="00C1747A" w:rsidRPr="00520AE0">
        <w:rPr>
          <w:i w:val="0"/>
          <w:snapToGrid w:val="0"/>
        </w:rPr>
        <w:t xml:space="preserve"> assessed </w:t>
      </w:r>
      <w:r w:rsidR="000B0C93">
        <w:rPr>
          <w:i w:val="0"/>
          <w:snapToGrid w:val="0"/>
        </w:rPr>
        <w:t>whether</w:t>
      </w:r>
      <w:r w:rsidR="00C1747A">
        <w:rPr>
          <w:i w:val="0"/>
          <w:snapToGrid w:val="0"/>
        </w:rPr>
        <w:t xml:space="preserve"> </w:t>
      </w:r>
      <w:r w:rsidR="008F3292">
        <w:rPr>
          <w:i w:val="0"/>
          <w:snapToGrid w:val="0"/>
        </w:rPr>
        <w:t>S</w:t>
      </w:r>
      <w:r w:rsidR="008F3292" w:rsidRPr="00520AE0">
        <w:rPr>
          <w:i w:val="0"/>
          <w:snapToGrid w:val="0"/>
        </w:rPr>
        <w:t xml:space="preserve">tatements </w:t>
      </w:r>
      <w:r w:rsidR="008F3292">
        <w:rPr>
          <w:i w:val="0"/>
          <w:snapToGrid w:val="0"/>
        </w:rPr>
        <w:t>8 to 13 contained</w:t>
      </w:r>
      <w:r w:rsidR="00C1747A" w:rsidRPr="00520AE0">
        <w:rPr>
          <w:i w:val="0"/>
          <w:snapToGrid w:val="0"/>
        </w:rPr>
        <w:t xml:space="preserve"> inaccurate</w:t>
      </w:r>
      <w:r w:rsidR="00C1747A">
        <w:rPr>
          <w:i w:val="0"/>
          <w:snapToGrid w:val="0"/>
        </w:rPr>
        <w:t xml:space="preserve"> </w:t>
      </w:r>
      <w:r w:rsidR="00C1747A" w:rsidRPr="00520AE0">
        <w:rPr>
          <w:i w:val="0"/>
          <w:snapToGrid w:val="0"/>
        </w:rPr>
        <w:t>information</w:t>
      </w:r>
      <w:r w:rsidR="00654680">
        <w:rPr>
          <w:i w:val="0"/>
          <w:snapToGrid w:val="0"/>
        </w:rPr>
        <w:t xml:space="preserve"> </w:t>
      </w:r>
      <w:r w:rsidR="00C1747A" w:rsidRPr="00520AE0">
        <w:rPr>
          <w:i w:val="0"/>
          <w:snapToGrid w:val="0"/>
        </w:rPr>
        <w:t>about C</w:t>
      </w:r>
      <w:r w:rsidR="004A2AB8">
        <w:rPr>
          <w:i w:val="0"/>
          <w:snapToGrid w:val="0"/>
        </w:rPr>
        <w:t>OVID</w:t>
      </w:r>
      <w:r w:rsidR="00C1747A">
        <w:rPr>
          <w:i w:val="0"/>
          <w:snapToGrid w:val="0"/>
        </w:rPr>
        <w:t xml:space="preserve">-19 </w:t>
      </w:r>
      <w:r w:rsidR="00C1747A" w:rsidRPr="005943E8">
        <w:rPr>
          <w:i w:val="0"/>
        </w:rPr>
        <w:t>vaccines</w:t>
      </w:r>
      <w:r w:rsidR="00C1747A">
        <w:t xml:space="preserve"> </w:t>
      </w:r>
      <w:r w:rsidR="00C1747A" w:rsidRPr="00CC2798">
        <w:rPr>
          <w:i w:val="0"/>
          <w:iCs/>
        </w:rPr>
        <w:t xml:space="preserve">and </w:t>
      </w:r>
      <w:r w:rsidR="008F3292">
        <w:rPr>
          <w:i w:val="0"/>
          <w:iCs/>
        </w:rPr>
        <w:t>their</w:t>
      </w:r>
      <w:r w:rsidR="00C1747A" w:rsidRPr="00CC2798">
        <w:rPr>
          <w:i w:val="0"/>
          <w:iCs/>
        </w:rPr>
        <w:t xml:space="preserve"> effects</w:t>
      </w:r>
      <w:r w:rsidR="00C1747A" w:rsidRPr="00520AE0">
        <w:rPr>
          <w:i w:val="0"/>
          <w:snapToGrid w:val="0"/>
        </w:rPr>
        <w:t>.</w:t>
      </w:r>
    </w:p>
    <w:p w14:paraId="0C9040E3" w14:textId="6E1F4BD4" w:rsidR="00C1747A" w:rsidRPr="00C1747A" w:rsidRDefault="008F3292" w:rsidP="00B8133D">
      <w:pPr>
        <w:spacing w:before="120" w:line="240" w:lineRule="atLeast"/>
        <w:rPr>
          <w:i w:val="0"/>
          <w:iCs/>
        </w:rPr>
      </w:pPr>
      <w:r>
        <w:rPr>
          <w:i w:val="0"/>
          <w:iCs/>
        </w:rPr>
        <w:t>T</w:t>
      </w:r>
      <w:r w:rsidR="00C1747A" w:rsidRPr="00C1747A">
        <w:rPr>
          <w:i w:val="0"/>
          <w:iCs/>
        </w:rPr>
        <w:t>he</w:t>
      </w:r>
      <w:r w:rsidR="00C1747A" w:rsidRPr="00F23344">
        <w:rPr>
          <w:i w:val="0"/>
          <w:iCs/>
        </w:rPr>
        <w:t xml:space="preserve"> program </w:t>
      </w:r>
      <w:r w:rsidR="00C1747A" w:rsidRPr="00B53DFC">
        <w:rPr>
          <w:i w:val="0"/>
          <w:iCs/>
        </w:rPr>
        <w:t>included a</w:t>
      </w:r>
      <w:r w:rsidR="00D87A47">
        <w:rPr>
          <w:i w:val="0"/>
          <w:iCs/>
        </w:rPr>
        <w:t>n interview with a</w:t>
      </w:r>
      <w:r w:rsidR="00C1747A" w:rsidRPr="00B53DFC">
        <w:rPr>
          <w:i w:val="0"/>
          <w:iCs/>
        </w:rPr>
        <w:t xml:space="preserve"> medical practitioner who provided information about C</w:t>
      </w:r>
      <w:r w:rsidR="004A2AB8">
        <w:rPr>
          <w:i w:val="0"/>
          <w:iCs/>
        </w:rPr>
        <w:t>OVID</w:t>
      </w:r>
      <w:r w:rsidR="00C1747A" w:rsidRPr="00B53DFC">
        <w:rPr>
          <w:i w:val="0"/>
          <w:iCs/>
        </w:rPr>
        <w:t>-19 vaccines</w:t>
      </w:r>
      <w:r w:rsidR="003F2AC4">
        <w:rPr>
          <w:i w:val="0"/>
          <w:iCs/>
        </w:rPr>
        <w:t>,</w:t>
      </w:r>
      <w:r w:rsidR="00C1747A" w:rsidRPr="00B53DFC">
        <w:rPr>
          <w:i w:val="0"/>
          <w:iCs/>
        </w:rPr>
        <w:t xml:space="preserve"> </w:t>
      </w:r>
      <w:r w:rsidR="005F5D30">
        <w:rPr>
          <w:i w:val="0"/>
          <w:iCs/>
        </w:rPr>
        <w:t>stating</w:t>
      </w:r>
      <w:r w:rsidR="00C1747A" w:rsidRPr="00B53DFC">
        <w:rPr>
          <w:i w:val="0"/>
          <w:iCs/>
        </w:rPr>
        <w:t xml:space="preserve"> concerns about the approval process and </w:t>
      </w:r>
      <w:r>
        <w:rPr>
          <w:i w:val="0"/>
          <w:iCs/>
        </w:rPr>
        <w:t xml:space="preserve">assertions </w:t>
      </w:r>
      <w:r w:rsidR="00C1747A" w:rsidRPr="00B53DFC">
        <w:rPr>
          <w:i w:val="0"/>
          <w:iCs/>
        </w:rPr>
        <w:t xml:space="preserve">that </w:t>
      </w:r>
      <w:r w:rsidR="00CC2798">
        <w:rPr>
          <w:i w:val="0"/>
          <w:iCs/>
        </w:rPr>
        <w:t>the vaccine</w:t>
      </w:r>
      <w:r>
        <w:rPr>
          <w:i w:val="0"/>
          <w:iCs/>
        </w:rPr>
        <w:t>s</w:t>
      </w:r>
      <w:r w:rsidR="00C1747A" w:rsidRPr="00B53DFC">
        <w:rPr>
          <w:i w:val="0"/>
          <w:iCs/>
        </w:rPr>
        <w:t xml:space="preserve"> cause</w:t>
      </w:r>
      <w:r>
        <w:rPr>
          <w:i w:val="0"/>
          <w:iCs/>
        </w:rPr>
        <w:t>d</w:t>
      </w:r>
      <w:r w:rsidR="00C1747A" w:rsidRPr="00B53DFC">
        <w:rPr>
          <w:i w:val="0"/>
          <w:iCs/>
        </w:rPr>
        <w:t xml:space="preserve"> infertility and miscarriage</w:t>
      </w:r>
      <w:r w:rsidR="003F2AC4">
        <w:rPr>
          <w:i w:val="0"/>
          <w:iCs/>
        </w:rPr>
        <w:t>,</w:t>
      </w:r>
      <w:r w:rsidR="00CC2798">
        <w:rPr>
          <w:i w:val="0"/>
          <w:iCs/>
        </w:rPr>
        <w:t xml:space="preserve"> among other health problems</w:t>
      </w:r>
      <w:r w:rsidR="00C1747A" w:rsidRPr="00B53DFC">
        <w:rPr>
          <w:i w:val="0"/>
          <w:iCs/>
        </w:rPr>
        <w:t xml:space="preserve">. </w:t>
      </w:r>
      <w:r w:rsidR="003F2AC4">
        <w:rPr>
          <w:i w:val="0"/>
          <w:iCs/>
        </w:rPr>
        <w:t xml:space="preserve">The </w:t>
      </w:r>
      <w:r w:rsidR="003F2AC4" w:rsidRPr="00C1747A">
        <w:rPr>
          <w:i w:val="0"/>
          <w:iCs/>
        </w:rPr>
        <w:t xml:space="preserve">ACMA </w:t>
      </w:r>
      <w:r w:rsidR="003F2AC4">
        <w:rPr>
          <w:i w:val="0"/>
          <w:iCs/>
        </w:rPr>
        <w:t xml:space="preserve">has </w:t>
      </w:r>
      <w:r w:rsidR="003F2AC4" w:rsidRPr="00C1747A">
        <w:rPr>
          <w:i w:val="0"/>
          <w:iCs/>
        </w:rPr>
        <w:t xml:space="preserve">found that </w:t>
      </w:r>
      <w:r w:rsidR="000B0C93">
        <w:rPr>
          <w:i w:val="0"/>
          <w:iCs/>
        </w:rPr>
        <w:t>4</w:t>
      </w:r>
      <w:r w:rsidR="00C1747A" w:rsidRPr="00B53DFC">
        <w:rPr>
          <w:i w:val="0"/>
          <w:iCs/>
        </w:rPr>
        <w:t xml:space="preserve"> of the </w:t>
      </w:r>
      <w:r w:rsidR="000B0C93">
        <w:rPr>
          <w:i w:val="0"/>
          <w:iCs/>
        </w:rPr>
        <w:t xml:space="preserve">6 </w:t>
      </w:r>
      <w:r w:rsidR="00951658">
        <w:rPr>
          <w:i w:val="0"/>
          <w:iCs/>
        </w:rPr>
        <w:t>s</w:t>
      </w:r>
      <w:r w:rsidR="00C1747A" w:rsidRPr="00B53DFC">
        <w:rPr>
          <w:i w:val="0"/>
          <w:iCs/>
        </w:rPr>
        <w:t xml:space="preserve">tatements were inaccurate and </w:t>
      </w:r>
      <w:r w:rsidR="003F2AC4">
        <w:rPr>
          <w:i w:val="0"/>
          <w:iCs/>
        </w:rPr>
        <w:t>its</w:t>
      </w:r>
      <w:r w:rsidR="00C1747A" w:rsidRPr="00B53DFC">
        <w:rPr>
          <w:i w:val="0"/>
          <w:iCs/>
        </w:rPr>
        <w:t xml:space="preserve"> </w:t>
      </w:r>
      <w:r w:rsidR="00237FD0">
        <w:rPr>
          <w:i w:val="0"/>
          <w:iCs/>
        </w:rPr>
        <w:t xml:space="preserve">finding </w:t>
      </w:r>
      <w:r w:rsidR="00C1747A" w:rsidRPr="00B53DFC">
        <w:rPr>
          <w:i w:val="0"/>
          <w:iCs/>
        </w:rPr>
        <w:t>is</w:t>
      </w:r>
      <w:r w:rsidR="003F2AC4">
        <w:rPr>
          <w:i w:val="0"/>
          <w:iCs/>
        </w:rPr>
        <w:t xml:space="preserve"> that the </w:t>
      </w:r>
      <w:r w:rsidR="005F5D30">
        <w:rPr>
          <w:i w:val="0"/>
          <w:iCs/>
        </w:rPr>
        <w:t>program</w:t>
      </w:r>
      <w:r w:rsidR="003F2AC4">
        <w:rPr>
          <w:i w:val="0"/>
          <w:iCs/>
        </w:rPr>
        <w:t xml:space="preserve"> </w:t>
      </w:r>
      <w:r w:rsidR="00C1747A" w:rsidRPr="00B53DFC">
        <w:rPr>
          <w:i w:val="0"/>
          <w:iCs/>
        </w:rPr>
        <w:t>b</w:t>
      </w:r>
      <w:r w:rsidR="003F2AC4">
        <w:rPr>
          <w:i w:val="0"/>
          <w:iCs/>
        </w:rPr>
        <w:t>r</w:t>
      </w:r>
      <w:r w:rsidR="00C1747A" w:rsidRPr="00B53DFC">
        <w:rPr>
          <w:i w:val="0"/>
          <w:iCs/>
        </w:rPr>
        <w:t>each</w:t>
      </w:r>
      <w:r w:rsidR="003F2AC4">
        <w:rPr>
          <w:i w:val="0"/>
          <w:iCs/>
        </w:rPr>
        <w:t>ed</w:t>
      </w:r>
      <w:r w:rsidR="00C1747A" w:rsidRPr="00B53DFC">
        <w:rPr>
          <w:i w:val="0"/>
          <w:iCs/>
        </w:rPr>
        <w:t xml:space="preserve"> clause 1.2 of the Code.</w:t>
      </w:r>
    </w:p>
    <w:p w14:paraId="0CC9BB6A" w14:textId="03D30141" w:rsidR="004274A5" w:rsidRPr="004274A5" w:rsidRDefault="004274A5" w:rsidP="002A0FF5">
      <w:pPr>
        <w:pStyle w:val="ACMABodyText"/>
        <w:spacing w:line="240" w:lineRule="auto"/>
        <w:rPr>
          <w:b/>
          <w:bCs/>
          <w:i/>
          <w:iCs/>
          <w:u w:val="single"/>
        </w:rPr>
      </w:pPr>
      <w:r w:rsidRPr="004274A5">
        <w:rPr>
          <w:b/>
          <w:bCs/>
          <w:i/>
          <w:iCs/>
          <w:u w:val="single"/>
        </w:rPr>
        <w:t>8. It has chemicals inside that will lead to infertility…and leads to miscarriages</w:t>
      </w:r>
    </w:p>
    <w:p w14:paraId="7CEEB510" w14:textId="3A510E55" w:rsidR="00555633" w:rsidRDefault="00B34D3D" w:rsidP="00206811">
      <w:pPr>
        <w:spacing w:before="120" w:after="120" w:line="240" w:lineRule="atLeast"/>
        <w:rPr>
          <w:rFonts w:eastAsia="Calibri" w:cs="Arial"/>
          <w:i w:val="0"/>
          <w:snapToGrid w:val="0"/>
          <w:szCs w:val="20"/>
        </w:rPr>
      </w:pPr>
      <w:r>
        <w:rPr>
          <w:i w:val="0"/>
          <w:iCs/>
        </w:rPr>
        <w:t xml:space="preserve">Dr. </w:t>
      </w:r>
      <w:r w:rsidR="00D16D2C">
        <w:rPr>
          <w:i w:val="0"/>
          <w:iCs/>
        </w:rPr>
        <w:t>B</w:t>
      </w:r>
      <w:r w:rsidR="00555633" w:rsidRPr="00F8542B">
        <w:rPr>
          <w:rFonts w:eastAsia="Calibri" w:cs="Arial"/>
          <w:i w:val="0"/>
          <w:snapToGrid w:val="0"/>
          <w:szCs w:val="20"/>
        </w:rPr>
        <w:t xml:space="preserve"> conveyed </w:t>
      </w:r>
      <w:r w:rsidR="00555633">
        <w:rPr>
          <w:rFonts w:eastAsia="Calibri" w:cs="Arial"/>
          <w:i w:val="0"/>
          <w:snapToGrid w:val="0"/>
          <w:szCs w:val="20"/>
        </w:rPr>
        <w:t xml:space="preserve">this </w:t>
      </w:r>
      <w:r w:rsidR="00555633" w:rsidRPr="00F8542B">
        <w:rPr>
          <w:rFonts w:eastAsia="Calibri" w:cs="Arial"/>
          <w:i w:val="0"/>
          <w:snapToGrid w:val="0"/>
          <w:szCs w:val="20"/>
        </w:rPr>
        <w:t>statement at approximately</w:t>
      </w:r>
      <w:r w:rsidR="00555633">
        <w:rPr>
          <w:rFonts w:eastAsia="Calibri" w:cs="Arial"/>
          <w:i w:val="0"/>
          <w:snapToGrid w:val="0"/>
          <w:szCs w:val="20"/>
        </w:rPr>
        <w:t xml:space="preserve"> 21:15 minutes while answering a question from another panellist about parents who </w:t>
      </w:r>
      <w:r w:rsidR="00155A86">
        <w:rPr>
          <w:rFonts w:eastAsia="Calibri" w:cs="Arial"/>
          <w:i w:val="0"/>
          <w:snapToGrid w:val="0"/>
          <w:szCs w:val="20"/>
        </w:rPr>
        <w:t>we</w:t>
      </w:r>
      <w:r w:rsidR="00555633">
        <w:rPr>
          <w:rFonts w:eastAsia="Calibri" w:cs="Arial"/>
          <w:i w:val="0"/>
          <w:snapToGrid w:val="0"/>
          <w:szCs w:val="20"/>
        </w:rPr>
        <w:t>re likely to get their children vaccinated:</w:t>
      </w:r>
    </w:p>
    <w:p w14:paraId="6CA5339A" w14:textId="7E0B2A08" w:rsidR="00555633" w:rsidRPr="0006416C" w:rsidRDefault="00555633" w:rsidP="000237E6">
      <w:pPr>
        <w:pStyle w:val="ACMABodyText"/>
        <w:ind w:left="709"/>
        <w:rPr>
          <w:rFonts w:eastAsia="Calibri"/>
          <w:sz w:val="18"/>
          <w:szCs w:val="18"/>
          <w:lang w:eastAsia="en-AU"/>
        </w:rPr>
      </w:pPr>
      <w:r w:rsidRPr="0006416C">
        <w:rPr>
          <w:rFonts w:eastAsia="Calibri"/>
          <w:sz w:val="18"/>
          <w:szCs w:val="18"/>
          <w:lang w:eastAsia="en-AU"/>
        </w:rPr>
        <w:t>Giv</w:t>
      </w:r>
      <w:r>
        <w:rPr>
          <w:rFonts w:eastAsia="Calibri"/>
          <w:sz w:val="18"/>
          <w:szCs w:val="18"/>
          <w:lang w:eastAsia="en-AU"/>
        </w:rPr>
        <w:t>ing</w:t>
      </w:r>
      <w:r w:rsidRPr="0006416C">
        <w:rPr>
          <w:rFonts w:eastAsia="Calibri"/>
          <w:sz w:val="18"/>
          <w:szCs w:val="18"/>
          <w:lang w:eastAsia="en-AU"/>
        </w:rPr>
        <w:t xml:space="preserve"> children th</w:t>
      </w:r>
      <w:r w:rsidR="00495505">
        <w:rPr>
          <w:rFonts w:eastAsia="Calibri"/>
          <w:sz w:val="18"/>
          <w:szCs w:val="18"/>
          <w:lang w:eastAsia="en-AU"/>
        </w:rPr>
        <w:t>is shot</w:t>
      </w:r>
      <w:r w:rsidRPr="0006416C">
        <w:rPr>
          <w:rFonts w:eastAsia="Calibri"/>
          <w:sz w:val="18"/>
          <w:szCs w:val="18"/>
          <w:lang w:eastAsia="en-AU"/>
        </w:rPr>
        <w:t xml:space="preserve"> is</w:t>
      </w:r>
      <w:r w:rsidR="00495505">
        <w:rPr>
          <w:rFonts w:eastAsia="Calibri"/>
          <w:sz w:val="18"/>
          <w:szCs w:val="18"/>
          <w:lang w:eastAsia="en-AU"/>
        </w:rPr>
        <w:t>,</w:t>
      </w:r>
      <w:r w:rsidRPr="0006416C">
        <w:rPr>
          <w:rFonts w:eastAsia="Calibri"/>
          <w:sz w:val="18"/>
          <w:szCs w:val="18"/>
          <w:lang w:eastAsia="en-AU"/>
        </w:rPr>
        <w:t xml:space="preserve"> number 1</w:t>
      </w:r>
      <w:r w:rsidR="00495505">
        <w:rPr>
          <w:rFonts w:eastAsia="Calibri"/>
          <w:sz w:val="18"/>
          <w:szCs w:val="18"/>
          <w:lang w:eastAsia="en-AU"/>
        </w:rPr>
        <w:t xml:space="preserve">, </w:t>
      </w:r>
      <w:r w:rsidRPr="0006416C">
        <w:rPr>
          <w:rFonts w:eastAsia="Calibri"/>
          <w:sz w:val="18"/>
          <w:szCs w:val="18"/>
          <w:lang w:eastAsia="en-AU"/>
        </w:rPr>
        <w:t>child abuse</w:t>
      </w:r>
      <w:r>
        <w:rPr>
          <w:rFonts w:eastAsia="Calibri"/>
          <w:sz w:val="18"/>
          <w:szCs w:val="18"/>
          <w:lang w:eastAsia="en-AU"/>
        </w:rPr>
        <w:t>,</w:t>
      </w:r>
      <w:r w:rsidRPr="0006416C">
        <w:rPr>
          <w:rFonts w:eastAsia="Calibri"/>
          <w:sz w:val="18"/>
          <w:szCs w:val="18"/>
          <w:lang w:eastAsia="en-AU"/>
        </w:rPr>
        <w:t xml:space="preserve"> and number 2</w:t>
      </w:r>
      <w:r>
        <w:rPr>
          <w:rFonts w:eastAsia="Calibri"/>
          <w:sz w:val="18"/>
          <w:szCs w:val="18"/>
          <w:lang w:eastAsia="en-AU"/>
        </w:rPr>
        <w:t>,</w:t>
      </w:r>
      <w:r w:rsidRPr="0006416C">
        <w:rPr>
          <w:rFonts w:eastAsia="Calibri"/>
          <w:sz w:val="18"/>
          <w:szCs w:val="18"/>
          <w:lang w:eastAsia="en-AU"/>
        </w:rPr>
        <w:t xml:space="preserve"> I’d prepare the parents not to be grandparents because </w:t>
      </w:r>
      <w:r w:rsidR="00495505">
        <w:rPr>
          <w:rFonts w:eastAsia="Calibri"/>
          <w:sz w:val="18"/>
          <w:szCs w:val="18"/>
          <w:lang w:eastAsia="en-AU"/>
        </w:rPr>
        <w:t xml:space="preserve">it </w:t>
      </w:r>
      <w:r w:rsidRPr="0006416C">
        <w:rPr>
          <w:rFonts w:eastAsia="Calibri"/>
          <w:sz w:val="18"/>
          <w:szCs w:val="18"/>
          <w:lang w:eastAsia="en-AU"/>
        </w:rPr>
        <w:t>has chemicals inside that will lead to infertility and has already shown evidence of</w:t>
      </w:r>
      <w:r w:rsidR="00495505">
        <w:rPr>
          <w:rFonts w:eastAsia="Calibri"/>
          <w:sz w:val="18"/>
          <w:szCs w:val="18"/>
          <w:lang w:eastAsia="en-AU"/>
        </w:rPr>
        <w:t>,</w:t>
      </w:r>
      <w:r w:rsidRPr="0006416C">
        <w:rPr>
          <w:rFonts w:eastAsia="Calibri"/>
          <w:sz w:val="18"/>
          <w:szCs w:val="18"/>
          <w:lang w:eastAsia="en-AU"/>
        </w:rPr>
        <w:t xml:space="preserve"> not only miscarriages in those who got </w:t>
      </w:r>
      <w:r>
        <w:rPr>
          <w:rFonts w:eastAsia="Calibri"/>
          <w:sz w:val="18"/>
          <w:szCs w:val="18"/>
          <w:lang w:eastAsia="en-AU"/>
        </w:rPr>
        <w:t xml:space="preserve">it </w:t>
      </w:r>
      <w:r w:rsidRPr="0006416C">
        <w:rPr>
          <w:rFonts w:eastAsia="Calibri"/>
          <w:sz w:val="18"/>
          <w:szCs w:val="18"/>
          <w:lang w:eastAsia="en-AU"/>
        </w:rPr>
        <w:t xml:space="preserve">and those who had been exposed </w:t>
      </w:r>
      <w:r>
        <w:rPr>
          <w:rFonts w:eastAsia="Calibri"/>
          <w:sz w:val="18"/>
          <w:szCs w:val="18"/>
          <w:lang w:eastAsia="en-AU"/>
        </w:rPr>
        <w:t>to those who</w:t>
      </w:r>
      <w:r w:rsidR="00495505">
        <w:rPr>
          <w:rFonts w:eastAsia="Calibri"/>
          <w:sz w:val="18"/>
          <w:szCs w:val="18"/>
          <w:lang w:eastAsia="en-AU"/>
        </w:rPr>
        <w:t>’ve</w:t>
      </w:r>
      <w:r>
        <w:rPr>
          <w:rFonts w:eastAsia="Calibri"/>
          <w:sz w:val="18"/>
          <w:szCs w:val="18"/>
          <w:lang w:eastAsia="en-AU"/>
        </w:rPr>
        <w:t xml:space="preserve"> got</w:t>
      </w:r>
      <w:r w:rsidR="00495505">
        <w:rPr>
          <w:rFonts w:eastAsia="Calibri"/>
          <w:sz w:val="18"/>
          <w:szCs w:val="18"/>
          <w:lang w:eastAsia="en-AU"/>
        </w:rPr>
        <w:t>ten</w:t>
      </w:r>
      <w:r>
        <w:rPr>
          <w:rFonts w:eastAsia="Calibri"/>
          <w:sz w:val="18"/>
          <w:szCs w:val="18"/>
          <w:lang w:eastAsia="en-AU"/>
        </w:rPr>
        <w:t xml:space="preserve"> it </w:t>
      </w:r>
      <w:r w:rsidRPr="0006416C">
        <w:rPr>
          <w:rFonts w:eastAsia="Calibri"/>
          <w:sz w:val="18"/>
          <w:szCs w:val="18"/>
          <w:lang w:eastAsia="en-AU"/>
        </w:rPr>
        <w:t xml:space="preserve">but also in people </w:t>
      </w:r>
      <w:r>
        <w:rPr>
          <w:rFonts w:eastAsia="Calibri"/>
          <w:sz w:val="18"/>
          <w:szCs w:val="18"/>
          <w:lang w:eastAsia="en-AU"/>
        </w:rPr>
        <w:t xml:space="preserve">who are </w:t>
      </w:r>
      <w:r w:rsidRPr="0006416C">
        <w:rPr>
          <w:rFonts w:eastAsia="Calibri"/>
          <w:sz w:val="18"/>
          <w:szCs w:val="18"/>
          <w:lang w:eastAsia="en-AU"/>
        </w:rPr>
        <w:t xml:space="preserve">going </w:t>
      </w:r>
      <w:r>
        <w:rPr>
          <w:rFonts w:eastAsia="Calibri"/>
          <w:sz w:val="18"/>
          <w:szCs w:val="18"/>
          <w:lang w:eastAsia="en-AU"/>
        </w:rPr>
        <w:t>for</w:t>
      </w:r>
      <w:r w:rsidRPr="0006416C">
        <w:rPr>
          <w:rFonts w:eastAsia="Calibri"/>
          <w:sz w:val="18"/>
          <w:szCs w:val="18"/>
          <w:lang w:eastAsia="en-AU"/>
        </w:rPr>
        <w:t xml:space="preserve"> fertility treatments and </w:t>
      </w:r>
      <w:r>
        <w:rPr>
          <w:rFonts w:eastAsia="Calibri"/>
          <w:sz w:val="18"/>
          <w:szCs w:val="18"/>
          <w:lang w:eastAsia="en-AU"/>
        </w:rPr>
        <w:t xml:space="preserve">who were </w:t>
      </w:r>
      <w:r w:rsidRPr="0006416C">
        <w:rPr>
          <w:rFonts w:eastAsia="Calibri"/>
          <w:sz w:val="18"/>
          <w:szCs w:val="18"/>
          <w:lang w:eastAsia="en-AU"/>
        </w:rPr>
        <w:t>found that after they got the shot, their eggs and sperm are no longer vi</w:t>
      </w:r>
      <w:r>
        <w:rPr>
          <w:rFonts w:eastAsia="Calibri"/>
          <w:sz w:val="18"/>
          <w:szCs w:val="18"/>
          <w:lang w:eastAsia="en-AU"/>
        </w:rPr>
        <w:t>able</w:t>
      </w:r>
      <w:r w:rsidRPr="0006416C">
        <w:rPr>
          <w:rFonts w:eastAsia="Calibri"/>
          <w:sz w:val="18"/>
          <w:szCs w:val="18"/>
          <w:lang w:eastAsia="en-AU"/>
        </w:rPr>
        <w:t>.</w:t>
      </w:r>
    </w:p>
    <w:p w14:paraId="648164EA" w14:textId="2816C7FB" w:rsidR="009A522D" w:rsidRPr="000D6A5E" w:rsidRDefault="009A522D" w:rsidP="00932D28">
      <w:pPr>
        <w:spacing w:before="0" w:line="240" w:lineRule="atLeast"/>
        <w:rPr>
          <w:rFonts w:eastAsia="Calibri" w:cs="Arial"/>
          <w:b/>
          <w:bCs/>
          <w:i w:val="0"/>
          <w:snapToGrid w:val="0"/>
          <w:szCs w:val="20"/>
        </w:rPr>
      </w:pPr>
      <w:r w:rsidRPr="000D6A5E">
        <w:rPr>
          <w:rFonts w:eastAsia="Calibri" w:cs="Arial"/>
          <w:b/>
          <w:bCs/>
          <w:i w:val="0"/>
          <w:snapToGrid w:val="0"/>
          <w:szCs w:val="20"/>
        </w:rPr>
        <w:t>What did the material conve</w:t>
      </w:r>
      <w:r>
        <w:rPr>
          <w:rFonts w:eastAsia="Calibri" w:cs="Arial"/>
          <w:b/>
          <w:bCs/>
          <w:i w:val="0"/>
          <w:snapToGrid w:val="0"/>
          <w:szCs w:val="20"/>
        </w:rPr>
        <w:t>y</w:t>
      </w:r>
      <w:r w:rsidRPr="000D6A5E">
        <w:rPr>
          <w:rFonts w:eastAsia="Calibri" w:cs="Arial"/>
          <w:b/>
          <w:bCs/>
          <w:i w:val="0"/>
          <w:snapToGrid w:val="0"/>
          <w:szCs w:val="20"/>
        </w:rPr>
        <w:t xml:space="preserve"> to the ordinary reasonable viewer?</w:t>
      </w:r>
    </w:p>
    <w:p w14:paraId="51EC4012" w14:textId="4AB4000E" w:rsidR="00F5264A" w:rsidRDefault="00F5264A" w:rsidP="00932D28">
      <w:pPr>
        <w:pStyle w:val="ACMABodyText"/>
      </w:pPr>
      <w:r>
        <w:t>With</w:t>
      </w:r>
      <w:r w:rsidR="00892B78">
        <w:t>in</w:t>
      </w:r>
      <w:r>
        <w:t xml:space="preserve"> the context of the program</w:t>
      </w:r>
      <w:r w:rsidR="00892B78">
        <w:t xml:space="preserve">, when </w:t>
      </w:r>
      <w:r w:rsidR="00644E33">
        <w:t>Host</w:t>
      </w:r>
      <w:r w:rsidR="002A668F">
        <w:t xml:space="preserve"> </w:t>
      </w:r>
      <w:r w:rsidR="00D16D2C">
        <w:t>2</w:t>
      </w:r>
      <w:r w:rsidR="00206811">
        <w:t xml:space="preserve"> </w:t>
      </w:r>
      <w:r w:rsidR="002A668F">
        <w:t xml:space="preserve">and the panellist </w:t>
      </w:r>
      <w:r w:rsidR="00FE4732">
        <w:t>say ‘shot’</w:t>
      </w:r>
      <w:r w:rsidR="00EF50D3">
        <w:t>,</w:t>
      </w:r>
      <w:r w:rsidR="00FE4732">
        <w:t xml:space="preserve"> they are referring to the</w:t>
      </w:r>
      <w:r>
        <w:t xml:space="preserve"> </w:t>
      </w:r>
      <w:r w:rsidRPr="008A44C2">
        <w:t>Pfizer</w:t>
      </w:r>
      <w:r>
        <w:t xml:space="preserve"> and</w:t>
      </w:r>
      <w:r w:rsidRPr="00495505">
        <w:t xml:space="preserve"> </w:t>
      </w:r>
      <w:r w:rsidRPr="008A44C2">
        <w:t>Mode</w:t>
      </w:r>
      <w:r w:rsidR="00AE563A" w:rsidRPr="008A44C2">
        <w:t>r</w:t>
      </w:r>
      <w:r w:rsidRPr="008A44C2">
        <w:t>na</w:t>
      </w:r>
      <w:r>
        <w:t xml:space="preserve"> </w:t>
      </w:r>
      <w:r w:rsidR="00AE563A">
        <w:t>vaccines</w:t>
      </w:r>
      <w:r w:rsidR="00495505">
        <w:t>,</w:t>
      </w:r>
      <w:r w:rsidR="00AE563A">
        <w:t xml:space="preserve"> </w:t>
      </w:r>
      <w:r w:rsidR="00EF50D3">
        <w:t>which were</w:t>
      </w:r>
      <w:r w:rsidR="00CC0531">
        <w:t xml:space="preserve"> commonly </w:t>
      </w:r>
      <w:r w:rsidR="00EF50D3">
        <w:t xml:space="preserve">available </w:t>
      </w:r>
      <w:r w:rsidR="00555633">
        <w:t xml:space="preserve">in the US </w:t>
      </w:r>
      <w:r w:rsidR="00EF50D3">
        <w:t xml:space="preserve">at the time of the broadcast. </w:t>
      </w:r>
    </w:p>
    <w:p w14:paraId="7B8F9171" w14:textId="1A97241D" w:rsidR="0006416C" w:rsidRPr="00132850" w:rsidRDefault="00B44770" w:rsidP="00932D28">
      <w:pPr>
        <w:pStyle w:val="ACMABodyText"/>
      </w:pPr>
      <w:r>
        <w:t>T</w:t>
      </w:r>
      <w:r w:rsidR="0006416C">
        <w:t xml:space="preserve">he </w:t>
      </w:r>
      <w:r w:rsidR="0006416C" w:rsidRPr="00AF1184">
        <w:t>ordinary reasonable viewer</w:t>
      </w:r>
      <w:r w:rsidR="0006416C">
        <w:t xml:space="preserve"> would have understood </w:t>
      </w:r>
      <w:r w:rsidR="00495505">
        <w:t xml:space="preserve">from this statement </w:t>
      </w:r>
      <w:r w:rsidR="0006416C">
        <w:t xml:space="preserve">that </w:t>
      </w:r>
      <w:r w:rsidR="00495505">
        <w:t xml:space="preserve">chemicals inside the </w:t>
      </w:r>
      <w:r w:rsidR="0006416C">
        <w:t>C</w:t>
      </w:r>
      <w:r w:rsidR="004A2AB8">
        <w:t>OVID</w:t>
      </w:r>
      <w:r w:rsidR="0006416C">
        <w:t>-19 vaccine</w:t>
      </w:r>
      <w:r w:rsidR="004A2AB8">
        <w:t>s</w:t>
      </w:r>
      <w:r w:rsidR="0006416C">
        <w:t xml:space="preserve"> </w:t>
      </w:r>
      <w:r w:rsidR="00876EA3">
        <w:t>cause</w:t>
      </w:r>
      <w:r w:rsidR="0006416C">
        <w:t xml:space="preserve"> infertility in both women and men</w:t>
      </w:r>
      <w:r w:rsidR="00495505">
        <w:t xml:space="preserve"> who have received the vaccine, and miscarriages in those who have received the vaccine and in those who had been close to them</w:t>
      </w:r>
      <w:r w:rsidR="009C19DB">
        <w:t>.</w:t>
      </w:r>
      <w:r w:rsidR="0006416C">
        <w:t xml:space="preserve"> </w:t>
      </w:r>
    </w:p>
    <w:p w14:paraId="47A060D1" w14:textId="7E6EBB94" w:rsidR="00D4692A" w:rsidRPr="00D4692A" w:rsidRDefault="009A522D" w:rsidP="00932D28">
      <w:pPr>
        <w:spacing w:before="0" w:line="240" w:lineRule="atLeast"/>
        <w:rPr>
          <w:rFonts w:eastAsia="Calibri" w:cs="Arial"/>
          <w:b/>
          <w:bCs/>
          <w:i w:val="0"/>
          <w:snapToGrid w:val="0"/>
          <w:szCs w:val="20"/>
        </w:rPr>
      </w:pPr>
      <w:r w:rsidRPr="0000271B">
        <w:rPr>
          <w:rFonts w:eastAsia="Calibri"/>
          <w:b/>
          <w:bCs/>
          <w:i w:val="0"/>
          <w:snapToGrid w:val="0"/>
          <w:szCs w:val="20"/>
          <w:lang w:eastAsia="en-AU"/>
        </w:rPr>
        <w:t>Was</w:t>
      </w:r>
      <w:r w:rsidRPr="0000271B">
        <w:rPr>
          <w:rFonts w:eastAsia="Calibri" w:cs="Arial"/>
          <w:b/>
          <w:bCs/>
          <w:i w:val="0"/>
          <w:snapToGrid w:val="0"/>
          <w:szCs w:val="20"/>
        </w:rPr>
        <w:t xml:space="preserve"> t</w:t>
      </w:r>
      <w:r w:rsidRPr="00E171F9">
        <w:rPr>
          <w:rFonts w:eastAsia="Calibri" w:cs="Arial"/>
          <w:b/>
          <w:bCs/>
          <w:i w:val="0"/>
          <w:snapToGrid w:val="0"/>
          <w:szCs w:val="20"/>
        </w:rPr>
        <w:t>he material factual in character?</w:t>
      </w:r>
    </w:p>
    <w:p w14:paraId="7F07F9F3" w14:textId="1BD69550" w:rsidR="00024E1D" w:rsidRPr="00024E1D" w:rsidRDefault="00024E1D" w:rsidP="00932D28">
      <w:pPr>
        <w:pStyle w:val="ACMABodyText"/>
        <w:rPr>
          <w:rFonts w:eastAsia="Calibri" w:cs="Arial"/>
          <w:iCs/>
        </w:rPr>
      </w:pPr>
      <w:r w:rsidRPr="00CC0531">
        <w:rPr>
          <w:rFonts w:eastAsia="Calibri" w:cs="Arial"/>
          <w:iCs/>
        </w:rPr>
        <w:t xml:space="preserve">The statement was made by </w:t>
      </w:r>
      <w:r w:rsidR="00B34D3D">
        <w:rPr>
          <w:rFonts w:eastAsia="Calibri" w:cs="Arial"/>
          <w:iCs/>
        </w:rPr>
        <w:t xml:space="preserve">Dr. </w:t>
      </w:r>
      <w:r w:rsidR="00D16D2C">
        <w:rPr>
          <w:rFonts w:eastAsia="Calibri" w:cs="Arial"/>
          <w:iCs/>
        </w:rPr>
        <w:t>B</w:t>
      </w:r>
      <w:r w:rsidR="00495505">
        <w:rPr>
          <w:rFonts w:eastAsia="Calibri" w:cs="Arial"/>
          <w:iCs/>
        </w:rPr>
        <w:t>, who was</w:t>
      </w:r>
      <w:r w:rsidRPr="00CC0531">
        <w:rPr>
          <w:rFonts w:eastAsia="Calibri" w:cs="Arial"/>
          <w:iCs/>
        </w:rPr>
        <w:t xml:space="preserve"> presented in the broadcast as a qualified </w:t>
      </w:r>
      <w:r w:rsidR="00876EA3" w:rsidRPr="00CC0531">
        <w:rPr>
          <w:rFonts w:eastAsia="Calibri" w:cs="Arial"/>
        </w:rPr>
        <w:t xml:space="preserve">medical </w:t>
      </w:r>
      <w:r w:rsidR="00CC0531" w:rsidRPr="00CC0531">
        <w:rPr>
          <w:rFonts w:eastAsia="Calibri" w:cs="Arial"/>
        </w:rPr>
        <w:t>practitioner</w:t>
      </w:r>
      <w:r w:rsidR="006234DE">
        <w:rPr>
          <w:rFonts w:eastAsia="Calibri" w:cs="Arial"/>
        </w:rPr>
        <w:t>.</w:t>
      </w:r>
    </w:p>
    <w:p w14:paraId="62F040AD" w14:textId="7AD19565" w:rsidR="00024E1D" w:rsidRPr="00DE5016" w:rsidRDefault="00495505" w:rsidP="00932D28">
      <w:pPr>
        <w:pStyle w:val="ACMABodyText"/>
        <w:rPr>
          <w:rFonts w:eastAsia="Calibri" w:cs="Arial"/>
          <w:iCs/>
        </w:rPr>
      </w:pPr>
      <w:r>
        <w:rPr>
          <w:rFonts w:eastAsia="Calibri" w:cs="Arial"/>
          <w:iCs/>
        </w:rPr>
        <w:t>S</w:t>
      </w:r>
      <w:r w:rsidR="00024E1D" w:rsidRPr="00DE5016">
        <w:rPr>
          <w:rFonts w:eastAsia="Calibri" w:cs="Arial"/>
          <w:iCs/>
        </w:rPr>
        <w:t xml:space="preserve">tatements by experts </w:t>
      </w:r>
      <w:r>
        <w:rPr>
          <w:rFonts w:eastAsia="Calibri" w:cs="Arial"/>
          <w:iCs/>
        </w:rPr>
        <w:t xml:space="preserve">related to their field of expertise </w:t>
      </w:r>
      <w:r w:rsidR="00024E1D" w:rsidRPr="00DE5016">
        <w:rPr>
          <w:rFonts w:eastAsia="Calibri" w:cs="Arial"/>
          <w:iCs/>
        </w:rPr>
        <w:t xml:space="preserve">are interpreted differently to those of non-experts and are more likely to be understood as factual </w:t>
      </w:r>
      <w:r w:rsidR="00024E1D">
        <w:rPr>
          <w:rFonts w:eastAsia="Calibri" w:cs="Arial"/>
          <w:iCs/>
        </w:rPr>
        <w:t>assertions</w:t>
      </w:r>
      <w:r w:rsidR="00024E1D" w:rsidRPr="00DE5016">
        <w:rPr>
          <w:rFonts w:eastAsia="Calibri" w:cs="Arial"/>
          <w:iCs/>
        </w:rPr>
        <w:t xml:space="preserve">. </w:t>
      </w:r>
    </w:p>
    <w:p w14:paraId="7039A257" w14:textId="48B43BF8" w:rsidR="00D227B1" w:rsidRDefault="00B34D3D" w:rsidP="00932D28">
      <w:pPr>
        <w:pStyle w:val="ACMABodyText"/>
        <w:jc w:val="both"/>
        <w:rPr>
          <w:rFonts w:eastAsia="Calibri"/>
          <w:lang w:eastAsia="en-AU"/>
        </w:rPr>
      </w:pPr>
      <w:r>
        <w:rPr>
          <w:rFonts w:eastAsia="Calibri"/>
        </w:rPr>
        <w:t xml:space="preserve">Dr. </w:t>
      </w:r>
      <w:r w:rsidR="00D16D2C">
        <w:rPr>
          <w:rFonts w:eastAsia="Calibri"/>
        </w:rPr>
        <w:t>B</w:t>
      </w:r>
      <w:r w:rsidR="00D227B1" w:rsidRPr="008775B9">
        <w:rPr>
          <w:rFonts w:eastAsia="Calibri"/>
        </w:rPr>
        <w:t xml:space="preserve"> </w:t>
      </w:r>
      <w:r w:rsidR="00D227B1">
        <w:rPr>
          <w:rFonts w:eastAsia="Calibri"/>
        </w:rPr>
        <w:t>conveyed</w:t>
      </w:r>
      <w:r w:rsidR="00D227B1" w:rsidRPr="008775B9">
        <w:rPr>
          <w:rFonts w:eastAsia="Calibri"/>
        </w:rPr>
        <w:t xml:space="preserve"> </w:t>
      </w:r>
      <w:r w:rsidR="00322865">
        <w:rPr>
          <w:rFonts w:eastAsia="Calibri"/>
        </w:rPr>
        <w:t>their</w:t>
      </w:r>
      <w:r w:rsidR="00322865" w:rsidRPr="008775B9">
        <w:rPr>
          <w:rFonts w:eastAsia="Calibri"/>
        </w:rPr>
        <w:t xml:space="preserve"> </w:t>
      </w:r>
      <w:r w:rsidR="00D227B1" w:rsidRPr="008775B9">
        <w:rPr>
          <w:rFonts w:eastAsia="Calibri"/>
        </w:rPr>
        <w:t xml:space="preserve">subjective opinion </w:t>
      </w:r>
      <w:r w:rsidR="00D227B1">
        <w:rPr>
          <w:rFonts w:eastAsia="Calibri"/>
        </w:rPr>
        <w:t xml:space="preserve">when </w:t>
      </w:r>
      <w:r w:rsidR="00322865">
        <w:rPr>
          <w:rFonts w:eastAsia="Calibri"/>
        </w:rPr>
        <w:t xml:space="preserve">they </w:t>
      </w:r>
      <w:r w:rsidR="00D227B1">
        <w:rPr>
          <w:rFonts w:eastAsia="Calibri"/>
        </w:rPr>
        <w:t xml:space="preserve">said </w:t>
      </w:r>
      <w:r w:rsidR="00D227B1" w:rsidRPr="008775B9">
        <w:rPr>
          <w:rFonts w:eastAsia="Calibri"/>
        </w:rPr>
        <w:t>‘g</w:t>
      </w:r>
      <w:r w:rsidR="00D227B1" w:rsidRPr="008775B9">
        <w:rPr>
          <w:rFonts w:eastAsia="Calibri"/>
          <w:lang w:eastAsia="en-AU"/>
        </w:rPr>
        <w:t>iv</w:t>
      </w:r>
      <w:r w:rsidR="00D227B1">
        <w:rPr>
          <w:rFonts w:eastAsia="Calibri"/>
          <w:lang w:eastAsia="en-AU"/>
        </w:rPr>
        <w:t>ing</w:t>
      </w:r>
      <w:r w:rsidR="00D227B1" w:rsidRPr="008775B9">
        <w:rPr>
          <w:rFonts w:eastAsia="Calibri"/>
          <w:lang w:eastAsia="en-AU"/>
        </w:rPr>
        <w:t xml:space="preserve"> children the [</w:t>
      </w:r>
      <w:r w:rsidR="00821006">
        <w:rPr>
          <w:rFonts w:eastAsia="Calibri"/>
          <w:lang w:eastAsia="en-AU"/>
        </w:rPr>
        <w:t>COVID</w:t>
      </w:r>
      <w:r w:rsidR="00D227B1" w:rsidRPr="008775B9">
        <w:rPr>
          <w:rFonts w:eastAsia="Calibri"/>
          <w:lang w:eastAsia="en-AU"/>
        </w:rPr>
        <w:t>-19] shot is number 1 child abuse</w:t>
      </w:r>
      <w:r w:rsidR="00D227B1">
        <w:rPr>
          <w:rFonts w:eastAsia="Calibri"/>
          <w:lang w:eastAsia="en-AU"/>
        </w:rPr>
        <w:t>’</w:t>
      </w:r>
      <w:r w:rsidR="00D227B1" w:rsidRPr="008775B9">
        <w:rPr>
          <w:rFonts w:eastAsia="Calibri"/>
          <w:lang w:eastAsia="en-AU"/>
        </w:rPr>
        <w:t xml:space="preserve"> and</w:t>
      </w:r>
      <w:r w:rsidR="00D227B1">
        <w:rPr>
          <w:rFonts w:eastAsia="Calibri"/>
          <w:lang w:eastAsia="en-AU"/>
        </w:rPr>
        <w:t xml:space="preserve"> </w:t>
      </w:r>
      <w:r w:rsidR="00821006">
        <w:rPr>
          <w:rFonts w:eastAsia="Calibri"/>
          <w:lang w:eastAsia="en-AU"/>
        </w:rPr>
        <w:t xml:space="preserve">in </w:t>
      </w:r>
      <w:r w:rsidR="00D227B1">
        <w:rPr>
          <w:rFonts w:eastAsia="Calibri"/>
          <w:lang w:eastAsia="en-AU"/>
        </w:rPr>
        <w:t xml:space="preserve">a prediction of the future by saying </w:t>
      </w:r>
      <w:r w:rsidR="00D227B1" w:rsidRPr="008775B9">
        <w:rPr>
          <w:rFonts w:eastAsia="Calibri"/>
          <w:lang w:eastAsia="en-AU"/>
        </w:rPr>
        <w:t>‘I’d prepare the parents not to be grandparents’.</w:t>
      </w:r>
      <w:r w:rsidR="00D227B1">
        <w:rPr>
          <w:rFonts w:eastAsia="Calibri"/>
          <w:lang w:eastAsia="en-AU"/>
        </w:rPr>
        <w:t xml:space="preserve"> These were clearly</w:t>
      </w:r>
      <w:r w:rsidR="008B4A4A">
        <w:rPr>
          <w:rFonts w:eastAsia="Calibri"/>
          <w:lang w:eastAsia="en-AU"/>
        </w:rPr>
        <w:t xml:space="preserve"> </w:t>
      </w:r>
      <w:r w:rsidR="00322865">
        <w:rPr>
          <w:rFonts w:eastAsia="Calibri"/>
          <w:lang w:eastAsia="en-AU"/>
        </w:rPr>
        <w:t>their</w:t>
      </w:r>
      <w:r w:rsidR="008B4A4A">
        <w:rPr>
          <w:rFonts w:eastAsia="Calibri"/>
          <w:lang w:eastAsia="en-AU"/>
        </w:rPr>
        <w:t xml:space="preserve"> </w:t>
      </w:r>
      <w:r w:rsidR="005F5D30">
        <w:rPr>
          <w:rFonts w:eastAsia="Calibri"/>
          <w:lang w:eastAsia="en-AU"/>
        </w:rPr>
        <w:t>opinions</w:t>
      </w:r>
      <w:r w:rsidR="00D227B1">
        <w:rPr>
          <w:rFonts w:eastAsia="Calibri"/>
          <w:lang w:eastAsia="en-AU"/>
        </w:rPr>
        <w:t xml:space="preserve"> </w:t>
      </w:r>
      <w:r w:rsidR="005F5D30">
        <w:rPr>
          <w:rFonts w:eastAsia="Calibri"/>
          <w:lang w:eastAsia="en-AU"/>
        </w:rPr>
        <w:t>about</w:t>
      </w:r>
      <w:r w:rsidR="00D227B1">
        <w:rPr>
          <w:rFonts w:eastAsia="Calibri"/>
          <w:lang w:eastAsia="en-AU"/>
        </w:rPr>
        <w:t xml:space="preserve"> taking the vaccine and were not factual in character.</w:t>
      </w:r>
      <w:r w:rsidR="00D227B1" w:rsidRPr="008775B9">
        <w:rPr>
          <w:rFonts w:eastAsia="Calibri"/>
          <w:lang w:eastAsia="en-AU"/>
        </w:rPr>
        <w:t xml:space="preserve"> </w:t>
      </w:r>
    </w:p>
    <w:p w14:paraId="4A78D7C0" w14:textId="373A9583" w:rsidR="00876EA3" w:rsidRDefault="00B34D3D" w:rsidP="00932D28">
      <w:pPr>
        <w:pStyle w:val="ACMABodyText"/>
      </w:pPr>
      <w:r>
        <w:t xml:space="preserve">Dr. </w:t>
      </w:r>
      <w:r w:rsidR="00D16D2C">
        <w:t>B</w:t>
      </w:r>
      <w:r w:rsidR="00D64EFC">
        <w:t xml:space="preserve"> </w:t>
      </w:r>
      <w:r w:rsidR="00457380">
        <w:t>used</w:t>
      </w:r>
      <w:r w:rsidR="0033156A">
        <w:t xml:space="preserve"> </w:t>
      </w:r>
      <w:r w:rsidR="005B176B">
        <w:t xml:space="preserve">emphatic </w:t>
      </w:r>
      <w:r w:rsidR="00CC0AEF">
        <w:t>language</w:t>
      </w:r>
      <w:r w:rsidR="00327B13">
        <w:t xml:space="preserve"> and tone</w:t>
      </w:r>
      <w:r w:rsidR="00457380">
        <w:t xml:space="preserve"> when stating</w:t>
      </w:r>
      <w:r w:rsidR="00A44A1B" w:rsidRPr="0006416C">
        <w:rPr>
          <w:rFonts w:eastAsia="Calibri"/>
          <w:sz w:val="18"/>
          <w:szCs w:val="18"/>
          <w:lang w:eastAsia="en-AU"/>
        </w:rPr>
        <w:t xml:space="preserve"> </w:t>
      </w:r>
      <w:r w:rsidR="00A44A1B" w:rsidRPr="000A3655">
        <w:rPr>
          <w:rFonts w:eastAsia="Calibri"/>
          <w:lang w:eastAsia="en-AU"/>
        </w:rPr>
        <w:t>‘I’d prepare the parents not to be grandparents because [</w:t>
      </w:r>
      <w:r w:rsidR="005B176B">
        <w:rPr>
          <w:rFonts w:eastAsia="Calibri"/>
          <w:lang w:eastAsia="en-AU"/>
        </w:rPr>
        <w:t xml:space="preserve">the </w:t>
      </w:r>
      <w:r w:rsidR="00821006" w:rsidRPr="000A3655">
        <w:rPr>
          <w:rFonts w:eastAsia="Calibri"/>
          <w:lang w:eastAsia="en-AU"/>
        </w:rPr>
        <w:t>C</w:t>
      </w:r>
      <w:r w:rsidR="00821006">
        <w:rPr>
          <w:rFonts w:eastAsia="Calibri"/>
          <w:lang w:eastAsia="en-AU"/>
        </w:rPr>
        <w:t>OVID</w:t>
      </w:r>
      <w:r w:rsidR="00A44A1B" w:rsidRPr="000A3655">
        <w:rPr>
          <w:rFonts w:eastAsia="Calibri"/>
          <w:lang w:eastAsia="en-AU"/>
        </w:rPr>
        <w:t xml:space="preserve">-19 vaccine] has chemicals inside that will lead to infertility and </w:t>
      </w:r>
      <w:r w:rsidR="005B176B">
        <w:rPr>
          <w:rFonts w:eastAsia="Calibri"/>
          <w:lang w:eastAsia="en-AU"/>
        </w:rPr>
        <w:t xml:space="preserve">[…] </w:t>
      </w:r>
      <w:r w:rsidR="00A44A1B" w:rsidRPr="000A3655">
        <w:rPr>
          <w:rFonts w:eastAsia="Calibri"/>
          <w:lang w:eastAsia="en-AU"/>
        </w:rPr>
        <w:t>miscarriages’</w:t>
      </w:r>
      <w:r w:rsidR="00716D16">
        <w:rPr>
          <w:rFonts w:eastAsia="Calibri"/>
          <w:lang w:eastAsia="en-AU"/>
        </w:rPr>
        <w:t>.</w:t>
      </w:r>
      <w:r w:rsidR="000A3655" w:rsidRPr="00D603A6">
        <w:rPr>
          <w:rFonts w:eastAsia="Calibri"/>
          <w:lang w:eastAsia="en-AU"/>
        </w:rPr>
        <w:t xml:space="preserve"> </w:t>
      </w:r>
      <w:r w:rsidR="00716D16" w:rsidRPr="00D603A6">
        <w:rPr>
          <w:rFonts w:eastAsia="Calibri"/>
          <w:lang w:eastAsia="en-AU"/>
        </w:rPr>
        <w:t>Th</w:t>
      </w:r>
      <w:r w:rsidR="000B0C93">
        <w:rPr>
          <w:rFonts w:eastAsia="Calibri"/>
          <w:lang w:eastAsia="en-AU"/>
        </w:rPr>
        <w:t>e second part of this statement</w:t>
      </w:r>
      <w:r w:rsidR="00876EA3" w:rsidRPr="005B4F9A">
        <w:rPr>
          <w:rFonts w:eastAsia="Calibri"/>
          <w:lang w:eastAsia="en-AU"/>
        </w:rPr>
        <w:t xml:space="preserve"> </w:t>
      </w:r>
      <w:r w:rsidR="00257015" w:rsidRPr="005B4F9A">
        <w:rPr>
          <w:rFonts w:eastAsia="Calibri"/>
          <w:lang w:eastAsia="en-AU"/>
        </w:rPr>
        <w:t xml:space="preserve">would </w:t>
      </w:r>
      <w:r w:rsidR="006E14F9" w:rsidRPr="005B4F9A">
        <w:rPr>
          <w:rFonts w:eastAsia="Calibri"/>
          <w:lang w:eastAsia="en-AU"/>
        </w:rPr>
        <w:t>not</w:t>
      </w:r>
      <w:r w:rsidR="00257015" w:rsidRPr="005B4F9A">
        <w:rPr>
          <w:rFonts w:eastAsia="Calibri"/>
          <w:lang w:eastAsia="en-AU"/>
        </w:rPr>
        <w:t xml:space="preserve"> have</w:t>
      </w:r>
      <w:r w:rsidR="006E14F9" w:rsidRPr="005B4F9A">
        <w:rPr>
          <w:rFonts w:eastAsia="Calibri"/>
          <w:lang w:eastAsia="en-AU"/>
        </w:rPr>
        <w:t xml:space="preserve"> </w:t>
      </w:r>
      <w:r w:rsidR="00876EA3" w:rsidRPr="005B4F9A">
        <w:rPr>
          <w:rFonts w:eastAsia="Calibri"/>
          <w:lang w:eastAsia="en-AU"/>
        </w:rPr>
        <w:t>appear</w:t>
      </w:r>
      <w:r w:rsidR="00401CB5" w:rsidRPr="005B4F9A">
        <w:rPr>
          <w:rFonts w:eastAsia="Calibri"/>
          <w:lang w:eastAsia="en-AU"/>
        </w:rPr>
        <w:t>ed</w:t>
      </w:r>
      <w:r w:rsidR="00876EA3" w:rsidRPr="005B4F9A">
        <w:rPr>
          <w:rFonts w:eastAsia="Calibri"/>
          <w:lang w:eastAsia="en-AU"/>
        </w:rPr>
        <w:t xml:space="preserve"> </w:t>
      </w:r>
      <w:r w:rsidR="00401CB5" w:rsidRPr="005B4F9A">
        <w:rPr>
          <w:rFonts w:eastAsia="Calibri"/>
          <w:lang w:eastAsia="en-AU"/>
        </w:rPr>
        <w:t xml:space="preserve">to </w:t>
      </w:r>
      <w:r w:rsidR="006E14F9" w:rsidRPr="005B4F9A">
        <w:rPr>
          <w:rFonts w:eastAsia="Calibri"/>
          <w:lang w:eastAsia="en-AU"/>
        </w:rPr>
        <w:t xml:space="preserve">the viewer </w:t>
      </w:r>
      <w:r w:rsidR="00876EA3" w:rsidRPr="005B4F9A">
        <w:rPr>
          <w:rFonts w:eastAsia="Calibri"/>
          <w:lang w:eastAsia="en-AU"/>
        </w:rPr>
        <w:t xml:space="preserve">to be an </w:t>
      </w:r>
      <w:r w:rsidR="006E14F9" w:rsidRPr="005B4F9A">
        <w:rPr>
          <w:rFonts w:eastAsia="Calibri"/>
          <w:lang w:eastAsia="en-AU"/>
        </w:rPr>
        <w:t xml:space="preserve">expression of </w:t>
      </w:r>
      <w:r w:rsidR="00876EA3" w:rsidRPr="005B4F9A">
        <w:rPr>
          <w:rFonts w:eastAsia="Calibri"/>
          <w:lang w:eastAsia="en-AU"/>
        </w:rPr>
        <w:t>opinion</w:t>
      </w:r>
      <w:r w:rsidR="00A44A1B" w:rsidRPr="005B4F9A">
        <w:rPr>
          <w:rFonts w:eastAsia="Calibri"/>
          <w:lang w:eastAsia="en-AU"/>
        </w:rPr>
        <w:t xml:space="preserve"> but </w:t>
      </w:r>
      <w:r w:rsidR="00716D16" w:rsidRPr="005B4F9A">
        <w:rPr>
          <w:rFonts w:eastAsia="Calibri"/>
          <w:lang w:eastAsia="en-AU"/>
        </w:rPr>
        <w:t>a statement</w:t>
      </w:r>
      <w:r w:rsidR="005F5D30">
        <w:rPr>
          <w:rFonts w:eastAsia="Calibri"/>
          <w:lang w:eastAsia="en-AU"/>
        </w:rPr>
        <w:t xml:space="preserve"> of fact</w:t>
      </w:r>
      <w:r w:rsidR="00716D16" w:rsidRPr="005B4F9A">
        <w:rPr>
          <w:rFonts w:eastAsia="Calibri"/>
          <w:lang w:eastAsia="en-AU"/>
        </w:rPr>
        <w:t xml:space="preserve"> </w:t>
      </w:r>
      <w:r w:rsidR="00A44A1B" w:rsidRPr="005B4F9A">
        <w:rPr>
          <w:rFonts w:eastAsia="Calibri"/>
          <w:lang w:eastAsia="en-AU"/>
        </w:rPr>
        <w:t>from</w:t>
      </w:r>
      <w:r w:rsidR="00A44A1B">
        <w:t xml:space="preserve"> a medical </w:t>
      </w:r>
      <w:r w:rsidR="000B0C93">
        <w:t xml:space="preserve">practitioner </w:t>
      </w:r>
      <w:r w:rsidR="00716D16">
        <w:t xml:space="preserve">with </w:t>
      </w:r>
      <w:r w:rsidR="00A44A1B">
        <w:t>know</w:t>
      </w:r>
      <w:r w:rsidR="00716D16">
        <w:t>ledge</w:t>
      </w:r>
      <w:r w:rsidR="00A44A1B">
        <w:t xml:space="preserve"> </w:t>
      </w:r>
      <w:r w:rsidR="00716D16">
        <w:t xml:space="preserve">of </w:t>
      </w:r>
      <w:r w:rsidR="005F5D30">
        <w:t>available evidence</w:t>
      </w:r>
      <w:r w:rsidR="000D43A4">
        <w:t xml:space="preserve"> in the </w:t>
      </w:r>
      <w:r w:rsidR="005B176B">
        <w:t xml:space="preserve">relevant </w:t>
      </w:r>
      <w:r w:rsidR="000D43A4">
        <w:t>area</w:t>
      </w:r>
      <w:r w:rsidR="003848FD">
        <w:t>.</w:t>
      </w:r>
    </w:p>
    <w:p w14:paraId="6584F9DA" w14:textId="0B2CF6EC" w:rsidR="009C19DB" w:rsidRDefault="00F5264A" w:rsidP="00932D28">
      <w:pPr>
        <w:pStyle w:val="ACMABodyText"/>
        <w:rPr>
          <w:rFonts w:eastAsia="Calibri"/>
          <w:lang w:eastAsia="en-AU"/>
        </w:rPr>
      </w:pPr>
      <w:r>
        <w:rPr>
          <w:rFonts w:eastAsia="Calibri"/>
          <w:lang w:eastAsia="en-AU"/>
        </w:rPr>
        <w:lastRenderedPageBreak/>
        <w:t xml:space="preserve">The statement that </w:t>
      </w:r>
      <w:r w:rsidR="005B176B">
        <w:rPr>
          <w:rFonts w:eastAsia="Calibri"/>
          <w:lang w:eastAsia="en-AU"/>
        </w:rPr>
        <w:t xml:space="preserve">the </w:t>
      </w:r>
      <w:r w:rsidRPr="008775B9">
        <w:rPr>
          <w:rFonts w:eastAsia="Calibri"/>
          <w:lang w:eastAsia="en-AU"/>
        </w:rPr>
        <w:t>C</w:t>
      </w:r>
      <w:r w:rsidR="00821006">
        <w:rPr>
          <w:rFonts w:eastAsia="Calibri"/>
          <w:lang w:eastAsia="en-AU"/>
        </w:rPr>
        <w:t>OVID</w:t>
      </w:r>
      <w:r w:rsidRPr="008775B9">
        <w:rPr>
          <w:rFonts w:eastAsia="Calibri"/>
          <w:lang w:eastAsia="en-AU"/>
        </w:rPr>
        <w:t xml:space="preserve">-19 vaccine </w:t>
      </w:r>
      <w:r w:rsidR="005B176B">
        <w:rPr>
          <w:rFonts w:eastAsia="Calibri"/>
          <w:lang w:eastAsia="en-AU"/>
        </w:rPr>
        <w:t xml:space="preserve">contains </w:t>
      </w:r>
      <w:r w:rsidRPr="008775B9">
        <w:rPr>
          <w:rFonts w:eastAsia="Calibri"/>
          <w:lang w:eastAsia="en-AU"/>
        </w:rPr>
        <w:t>chemicals that will lead to infertility</w:t>
      </w:r>
      <w:r>
        <w:rPr>
          <w:rFonts w:eastAsia="Calibri"/>
          <w:lang w:eastAsia="en-AU"/>
        </w:rPr>
        <w:t xml:space="preserve"> and miscarriage </w:t>
      </w:r>
      <w:r w:rsidR="00D227B1">
        <w:rPr>
          <w:rFonts w:eastAsia="Calibri"/>
          <w:lang w:eastAsia="en-AU"/>
        </w:rPr>
        <w:t>we</w:t>
      </w:r>
      <w:r>
        <w:rPr>
          <w:rFonts w:eastAsia="Calibri"/>
          <w:lang w:eastAsia="en-AU"/>
        </w:rPr>
        <w:t xml:space="preserve">re assertions </w:t>
      </w:r>
      <w:r w:rsidR="006F341D">
        <w:rPr>
          <w:rFonts w:eastAsia="Calibri"/>
          <w:lang w:eastAsia="en-AU"/>
        </w:rPr>
        <w:t xml:space="preserve">that </w:t>
      </w:r>
      <w:r w:rsidR="00D227B1">
        <w:rPr>
          <w:rFonts w:eastAsia="Calibri"/>
          <w:lang w:eastAsia="en-AU"/>
        </w:rPr>
        <w:t>we</w:t>
      </w:r>
      <w:r>
        <w:rPr>
          <w:rFonts w:eastAsia="Calibri"/>
          <w:lang w:eastAsia="en-AU"/>
        </w:rPr>
        <w:t>re specific</w:t>
      </w:r>
      <w:r w:rsidR="00E44982">
        <w:rPr>
          <w:rFonts w:eastAsia="Calibri" w:cs="Arial"/>
        </w:rPr>
        <w:t>, unequivocal and capable of independent verification.</w:t>
      </w:r>
    </w:p>
    <w:p w14:paraId="2A517C3B" w14:textId="5D38E044" w:rsidR="009A522D" w:rsidRPr="00E171F9" w:rsidRDefault="009A522D" w:rsidP="00932D28">
      <w:pPr>
        <w:spacing w:before="0" w:line="240" w:lineRule="atLeast"/>
        <w:rPr>
          <w:rFonts w:eastAsia="Calibri" w:cs="Arial"/>
          <w:b/>
          <w:bCs/>
          <w:i w:val="0"/>
          <w:snapToGrid w:val="0"/>
          <w:szCs w:val="20"/>
        </w:rPr>
      </w:pPr>
      <w:r w:rsidRPr="00E171F9">
        <w:rPr>
          <w:rFonts w:eastAsia="Calibri" w:cs="Arial"/>
          <w:b/>
          <w:bCs/>
          <w:i w:val="0"/>
          <w:snapToGrid w:val="0"/>
          <w:szCs w:val="20"/>
        </w:rPr>
        <w:t>If so, was the factual material accurate?</w:t>
      </w:r>
    </w:p>
    <w:p w14:paraId="19826C8C" w14:textId="77777777" w:rsidR="00876EA3" w:rsidRDefault="00876EA3" w:rsidP="00932D28">
      <w:pPr>
        <w:pStyle w:val="ACMABodyText"/>
        <w:spacing w:after="120"/>
      </w:pPr>
      <w:r>
        <w:t>The Licensee submitted that:</w:t>
      </w:r>
    </w:p>
    <w:p w14:paraId="3B8AEDEF" w14:textId="4DEFC3A0" w:rsidR="00876EA3" w:rsidRPr="008A44C2" w:rsidRDefault="00876EA3" w:rsidP="002A73AC">
      <w:pPr>
        <w:pStyle w:val="ACMABodyText"/>
        <w:ind w:left="709"/>
        <w:rPr>
          <w:sz w:val="18"/>
          <w:szCs w:val="18"/>
        </w:rPr>
      </w:pPr>
      <w:r w:rsidRPr="008A44C2">
        <w:rPr>
          <w:sz w:val="18"/>
          <w:szCs w:val="18"/>
        </w:rPr>
        <w:t>It is accepted that claims that the COVID</w:t>
      </w:r>
      <w:r w:rsidRPr="008A44C2">
        <w:rPr>
          <w:rFonts w:ascii="Cambria Math" w:hAnsi="Cambria Math" w:cs="Cambria Math"/>
          <w:sz w:val="18"/>
          <w:szCs w:val="18"/>
        </w:rPr>
        <w:t>‐</w:t>
      </w:r>
      <w:r w:rsidRPr="008A44C2">
        <w:rPr>
          <w:sz w:val="18"/>
          <w:szCs w:val="18"/>
        </w:rPr>
        <w:t>19 vaccination can affect fertility are speculative. However, these claims regarding infertility originally came to prominence as a result of a petition authored in December 2020</w:t>
      </w:r>
      <w:r w:rsidR="00887EEC">
        <w:rPr>
          <w:sz w:val="18"/>
          <w:szCs w:val="18"/>
        </w:rPr>
        <w:t xml:space="preserve"> </w:t>
      </w:r>
      <w:r w:rsidR="00206811">
        <w:rPr>
          <w:sz w:val="18"/>
          <w:szCs w:val="18"/>
        </w:rPr>
        <w:t xml:space="preserve">by </w:t>
      </w:r>
      <w:r w:rsidRPr="008A44C2">
        <w:rPr>
          <w:sz w:val="18"/>
          <w:szCs w:val="18"/>
        </w:rPr>
        <w:t xml:space="preserve">former </w:t>
      </w:r>
      <w:r w:rsidR="00A97236">
        <w:rPr>
          <w:sz w:val="18"/>
          <w:szCs w:val="18"/>
        </w:rPr>
        <w:t>[drug company]</w:t>
      </w:r>
      <w:r w:rsidR="00A97236" w:rsidRPr="008A44C2">
        <w:rPr>
          <w:sz w:val="18"/>
          <w:szCs w:val="18"/>
        </w:rPr>
        <w:t xml:space="preserve"> </w:t>
      </w:r>
      <w:r w:rsidRPr="008A44C2">
        <w:rPr>
          <w:sz w:val="18"/>
          <w:szCs w:val="18"/>
        </w:rPr>
        <w:t xml:space="preserve">executive </w:t>
      </w:r>
      <w:r w:rsidR="0051652B">
        <w:rPr>
          <w:sz w:val="18"/>
          <w:szCs w:val="18"/>
        </w:rPr>
        <w:t>[…]</w:t>
      </w:r>
      <w:r w:rsidRPr="008A44C2">
        <w:rPr>
          <w:sz w:val="18"/>
          <w:szCs w:val="18"/>
        </w:rPr>
        <w:t xml:space="preserve"> and doctor and politician </w:t>
      </w:r>
      <w:r w:rsidR="0051652B">
        <w:rPr>
          <w:sz w:val="18"/>
          <w:szCs w:val="18"/>
        </w:rPr>
        <w:t>[…]</w:t>
      </w:r>
      <w:r w:rsidRPr="008A44C2">
        <w:rPr>
          <w:sz w:val="18"/>
          <w:szCs w:val="18"/>
        </w:rPr>
        <w:t>. Although the claims in this petition have since been largely discredited, this petition was authored by two seemingly credible sources and was reported extensively in the media and online. </w:t>
      </w:r>
    </w:p>
    <w:p w14:paraId="365AACB7" w14:textId="2B289E7F" w:rsidR="00A1679E" w:rsidRDefault="009905CE" w:rsidP="00932D28">
      <w:pPr>
        <w:pStyle w:val="ACMABodyText"/>
        <w:jc w:val="both"/>
        <w:rPr>
          <w:rFonts w:cs="Arial"/>
          <w:color w:val="000000"/>
        </w:rPr>
      </w:pPr>
      <w:r>
        <w:rPr>
          <w:rFonts w:eastAsia="Calibri"/>
        </w:rPr>
        <w:t xml:space="preserve">The </w:t>
      </w:r>
      <w:r w:rsidR="001D27A3">
        <w:rPr>
          <w:rFonts w:eastAsia="Calibri"/>
        </w:rPr>
        <w:t>L</w:t>
      </w:r>
      <w:r>
        <w:rPr>
          <w:rFonts w:eastAsia="Calibri"/>
        </w:rPr>
        <w:t xml:space="preserve">icensee has not provided </w:t>
      </w:r>
      <w:r w:rsidR="00E3680B">
        <w:rPr>
          <w:rFonts w:eastAsia="Calibri"/>
        </w:rPr>
        <w:t xml:space="preserve">persuasive </w:t>
      </w:r>
      <w:r>
        <w:rPr>
          <w:rFonts w:eastAsia="Calibri"/>
        </w:rPr>
        <w:t xml:space="preserve">evidence to support the claim that </w:t>
      </w:r>
      <w:r w:rsidR="00D227B1">
        <w:rPr>
          <w:rFonts w:eastAsia="Calibri"/>
        </w:rPr>
        <w:t>either the</w:t>
      </w:r>
      <w:r w:rsidR="007C2607">
        <w:rPr>
          <w:rFonts w:eastAsia="Calibri"/>
        </w:rPr>
        <w:t xml:space="preserve"> </w:t>
      </w:r>
      <w:r w:rsidRPr="00326D5C">
        <w:rPr>
          <w:rFonts w:eastAsia="Calibri"/>
        </w:rPr>
        <w:t>Pfizer</w:t>
      </w:r>
      <w:r>
        <w:rPr>
          <w:rFonts w:eastAsia="Calibri"/>
        </w:rPr>
        <w:t xml:space="preserve"> or </w:t>
      </w:r>
      <w:r w:rsidRPr="00326D5C">
        <w:rPr>
          <w:rFonts w:eastAsia="Calibri"/>
        </w:rPr>
        <w:t>Mode</w:t>
      </w:r>
      <w:r w:rsidR="002A16C9" w:rsidRPr="00326D5C">
        <w:rPr>
          <w:rFonts w:eastAsia="Calibri"/>
        </w:rPr>
        <w:t>r</w:t>
      </w:r>
      <w:r w:rsidRPr="00326D5C">
        <w:rPr>
          <w:rFonts w:eastAsia="Calibri"/>
        </w:rPr>
        <w:t>na</w:t>
      </w:r>
      <w:r w:rsidR="00D227B1">
        <w:rPr>
          <w:rFonts w:eastAsia="Calibri"/>
        </w:rPr>
        <w:t xml:space="preserve"> vaccines</w:t>
      </w:r>
      <w:r w:rsidR="00400588">
        <w:rPr>
          <w:rFonts w:eastAsia="Calibri"/>
        </w:rPr>
        <w:t xml:space="preserve"> </w:t>
      </w:r>
      <w:r w:rsidR="00D227B1">
        <w:rPr>
          <w:rFonts w:eastAsia="Calibri"/>
        </w:rPr>
        <w:t>c</w:t>
      </w:r>
      <w:r w:rsidR="00400588">
        <w:rPr>
          <w:rFonts w:eastAsia="Calibri"/>
        </w:rPr>
        <w:t xml:space="preserve">ause </w:t>
      </w:r>
      <w:r w:rsidR="00EB5A03">
        <w:rPr>
          <w:rFonts w:eastAsia="Calibri"/>
        </w:rPr>
        <w:t>infertility and miscarriage.</w:t>
      </w:r>
      <w:r w:rsidR="00BE3273">
        <w:rPr>
          <w:rFonts w:eastAsia="Calibri"/>
        </w:rPr>
        <w:t xml:space="preserve"> </w:t>
      </w:r>
      <w:r w:rsidR="00135478">
        <w:rPr>
          <w:rFonts w:eastAsia="Calibri"/>
        </w:rPr>
        <w:t>In fact</w:t>
      </w:r>
      <w:r w:rsidR="00B21119">
        <w:rPr>
          <w:rFonts w:eastAsia="Calibri"/>
        </w:rPr>
        <w:t xml:space="preserve">, </w:t>
      </w:r>
      <w:r w:rsidR="00D04E8F">
        <w:rPr>
          <w:rFonts w:eastAsia="Calibri"/>
        </w:rPr>
        <w:t xml:space="preserve">the </w:t>
      </w:r>
      <w:r w:rsidR="00206E51">
        <w:rPr>
          <w:rFonts w:eastAsia="Calibri"/>
        </w:rPr>
        <w:t>L</w:t>
      </w:r>
      <w:r w:rsidR="00D04E8F">
        <w:rPr>
          <w:rFonts w:eastAsia="Calibri"/>
        </w:rPr>
        <w:t>icensee</w:t>
      </w:r>
      <w:r w:rsidR="00D93251">
        <w:rPr>
          <w:rFonts w:eastAsia="Calibri"/>
        </w:rPr>
        <w:t xml:space="preserve"> accept</w:t>
      </w:r>
      <w:r w:rsidR="00DC034D">
        <w:rPr>
          <w:rFonts w:eastAsia="Calibri"/>
        </w:rPr>
        <w:t>ed</w:t>
      </w:r>
      <w:r w:rsidR="00BD2D95">
        <w:rPr>
          <w:rFonts w:eastAsia="Calibri"/>
        </w:rPr>
        <w:t xml:space="preserve"> </w:t>
      </w:r>
      <w:r w:rsidR="00135478">
        <w:rPr>
          <w:rFonts w:eastAsia="Calibri"/>
        </w:rPr>
        <w:t xml:space="preserve">that the </w:t>
      </w:r>
      <w:r w:rsidR="00BD2D95">
        <w:rPr>
          <w:rFonts w:eastAsia="Calibri"/>
        </w:rPr>
        <w:t xml:space="preserve">claims </w:t>
      </w:r>
      <w:r w:rsidR="00155A86">
        <w:rPr>
          <w:rFonts w:eastAsia="Calibri"/>
        </w:rPr>
        <w:t>we</w:t>
      </w:r>
      <w:r w:rsidR="00A46B15">
        <w:rPr>
          <w:rFonts w:eastAsia="Calibri"/>
        </w:rPr>
        <w:t>re speculative</w:t>
      </w:r>
      <w:r w:rsidR="00D227B1">
        <w:rPr>
          <w:rFonts w:eastAsia="Calibri"/>
        </w:rPr>
        <w:t xml:space="preserve"> and</w:t>
      </w:r>
      <w:r w:rsidR="00DC034D">
        <w:rPr>
          <w:rFonts w:eastAsia="Calibri"/>
        </w:rPr>
        <w:t xml:space="preserve"> </w:t>
      </w:r>
      <w:r w:rsidR="0052393A">
        <w:rPr>
          <w:rFonts w:eastAsia="Calibri"/>
        </w:rPr>
        <w:t xml:space="preserve">has </w:t>
      </w:r>
      <w:r w:rsidR="00DC034D">
        <w:rPr>
          <w:rFonts w:eastAsia="Calibri"/>
        </w:rPr>
        <w:t>submitted that the</w:t>
      </w:r>
      <w:r w:rsidR="0092351D">
        <w:rPr>
          <w:rFonts w:eastAsia="Calibri"/>
        </w:rPr>
        <w:t>y</w:t>
      </w:r>
      <w:r w:rsidR="00DC034D">
        <w:rPr>
          <w:rFonts w:eastAsia="Calibri"/>
        </w:rPr>
        <w:t xml:space="preserve"> were</w:t>
      </w:r>
      <w:r w:rsidR="00D227B1">
        <w:rPr>
          <w:rFonts w:eastAsia="Calibri"/>
        </w:rPr>
        <w:t xml:space="preserve"> based on </w:t>
      </w:r>
      <w:r w:rsidR="0052393A">
        <w:rPr>
          <w:rFonts w:eastAsia="Calibri"/>
        </w:rPr>
        <w:t xml:space="preserve">other </w:t>
      </w:r>
      <w:r w:rsidR="0092351D">
        <w:rPr>
          <w:rFonts w:eastAsia="Calibri"/>
        </w:rPr>
        <w:t>‘</w:t>
      </w:r>
      <w:r w:rsidR="0052393A">
        <w:rPr>
          <w:rFonts w:eastAsia="Calibri"/>
        </w:rPr>
        <w:t xml:space="preserve">largely </w:t>
      </w:r>
      <w:r w:rsidR="00D227B1">
        <w:rPr>
          <w:rFonts w:eastAsia="Calibri"/>
        </w:rPr>
        <w:t>discredited</w:t>
      </w:r>
      <w:r w:rsidR="0052393A">
        <w:rPr>
          <w:rFonts w:eastAsia="Calibri"/>
        </w:rPr>
        <w:t>’</w:t>
      </w:r>
      <w:r w:rsidR="00D227B1">
        <w:rPr>
          <w:rFonts w:eastAsia="Calibri"/>
        </w:rPr>
        <w:t xml:space="preserve"> claims</w:t>
      </w:r>
      <w:r w:rsidR="0051652B">
        <w:rPr>
          <w:rFonts w:eastAsia="Calibri"/>
        </w:rPr>
        <w:t xml:space="preserve"> by</w:t>
      </w:r>
      <w:r w:rsidR="00234965" w:rsidRPr="004C3EF1">
        <w:rPr>
          <w:rFonts w:cs="Arial"/>
          <w:color w:val="000000"/>
        </w:rPr>
        <w:t xml:space="preserve"> </w:t>
      </w:r>
      <w:r w:rsidR="00B52797" w:rsidRPr="004C3EF1">
        <w:rPr>
          <w:rFonts w:eastAsia="Calibri" w:cs="Arial"/>
        </w:rPr>
        <w:t xml:space="preserve">former </w:t>
      </w:r>
      <w:r w:rsidR="0051652B">
        <w:rPr>
          <w:rFonts w:eastAsia="Calibri" w:cs="Arial"/>
        </w:rPr>
        <w:t>[executive and scientist]</w:t>
      </w:r>
      <w:r w:rsidR="006234DE">
        <w:rPr>
          <w:rFonts w:eastAsia="Calibri" w:cs="Arial"/>
        </w:rPr>
        <w:t xml:space="preserve"> </w:t>
      </w:r>
      <w:r w:rsidR="00B52797" w:rsidRPr="004C3EF1">
        <w:rPr>
          <w:rFonts w:eastAsia="Calibri" w:cs="Arial"/>
        </w:rPr>
        <w:t xml:space="preserve">and </w:t>
      </w:r>
      <w:r w:rsidR="00B52797" w:rsidRPr="004C3EF1">
        <w:rPr>
          <w:rFonts w:cs="Arial"/>
          <w:color w:val="000000"/>
        </w:rPr>
        <w:t xml:space="preserve">doctor and politician </w:t>
      </w:r>
      <w:r w:rsidR="0051652B">
        <w:rPr>
          <w:rFonts w:cs="Arial"/>
          <w:color w:val="000000"/>
        </w:rPr>
        <w:t>[…]</w:t>
      </w:r>
      <w:r w:rsidR="00932D28">
        <w:rPr>
          <w:rFonts w:cs="Arial"/>
          <w:color w:val="000000"/>
        </w:rPr>
        <w:t>.</w:t>
      </w:r>
    </w:p>
    <w:p w14:paraId="54A83316" w14:textId="3D975571" w:rsidR="00663F3B" w:rsidRDefault="00663F3B" w:rsidP="00932D28">
      <w:pPr>
        <w:pStyle w:val="ACMABodyText"/>
        <w:spacing w:after="120"/>
      </w:pPr>
      <w:r>
        <w:t>The Licensee asserted:</w:t>
      </w:r>
    </w:p>
    <w:p w14:paraId="71B5A4A4" w14:textId="2AE48442" w:rsidR="00663F3B" w:rsidRPr="000237E6" w:rsidRDefault="00663F3B" w:rsidP="000237E6">
      <w:pPr>
        <w:autoSpaceDE w:val="0"/>
        <w:autoSpaceDN w:val="0"/>
        <w:adjustRightInd w:val="0"/>
        <w:spacing w:before="120" w:line="240" w:lineRule="atLeast"/>
        <w:ind w:left="720"/>
        <w:rPr>
          <w:rFonts w:cs="Arial"/>
          <w:i w:val="0"/>
          <w:sz w:val="18"/>
          <w:szCs w:val="18"/>
          <w:lang w:eastAsia="en-AU"/>
        </w:rPr>
      </w:pPr>
      <w:r w:rsidRPr="000237E6">
        <w:rPr>
          <w:rFonts w:cs="Arial"/>
          <w:i w:val="0"/>
          <w:sz w:val="18"/>
          <w:szCs w:val="18"/>
          <w:lang w:eastAsia="en-AU"/>
        </w:rPr>
        <w:t>In relation to claims of both infertility and miscarriage, a paper published in Nature</w:t>
      </w:r>
      <w:r w:rsidR="002D71AE" w:rsidRPr="000237E6">
        <w:rPr>
          <w:rStyle w:val="FootnoteReference"/>
          <w:rFonts w:cs="Arial"/>
          <w:i w:val="0"/>
          <w:sz w:val="18"/>
          <w:szCs w:val="18"/>
          <w:lang w:eastAsia="en-AU"/>
        </w:rPr>
        <w:footnoteReference w:id="17"/>
      </w:r>
      <w:r w:rsidRPr="000237E6">
        <w:rPr>
          <w:rFonts w:cs="Arial"/>
          <w:i w:val="0"/>
          <w:sz w:val="18"/>
          <w:szCs w:val="18"/>
          <w:lang w:eastAsia="en-AU"/>
        </w:rPr>
        <w:t xml:space="preserve"> […] in April 2021 noted that, although evidence suggests that vaccination is safe during pregnancy and does not affect fertility, data is currently </w:t>
      </w:r>
      <w:r w:rsidR="00DF0CFC" w:rsidRPr="000237E6">
        <w:rPr>
          <w:rFonts w:cs="Arial"/>
          <w:i w:val="0"/>
          <w:sz w:val="18"/>
          <w:szCs w:val="18"/>
          <w:lang w:eastAsia="en-AU"/>
        </w:rPr>
        <w:t>sparse,</w:t>
      </w:r>
      <w:r w:rsidRPr="000237E6">
        <w:rPr>
          <w:rFonts w:cs="Arial"/>
          <w:i w:val="0"/>
          <w:sz w:val="18"/>
          <w:szCs w:val="18"/>
          <w:lang w:eastAsia="en-AU"/>
        </w:rPr>
        <w:t xml:space="preserve"> and monitoring of further outcomes will be required before evidence</w:t>
      </w:r>
      <w:r w:rsidRPr="000237E6">
        <w:rPr>
          <w:rFonts w:ascii="Cambria Math" w:hAnsi="Cambria Math" w:cs="Cambria Math"/>
          <w:i w:val="0"/>
          <w:sz w:val="18"/>
          <w:szCs w:val="18"/>
          <w:lang w:eastAsia="en-AU"/>
        </w:rPr>
        <w:t>‐</w:t>
      </w:r>
      <w:r w:rsidRPr="000237E6">
        <w:rPr>
          <w:rFonts w:cs="Arial"/>
          <w:i w:val="0"/>
          <w:sz w:val="18"/>
          <w:szCs w:val="18"/>
          <w:lang w:eastAsia="en-AU"/>
        </w:rPr>
        <w:t xml:space="preserve">based recommendations are able to be made. </w:t>
      </w:r>
      <w:r w:rsidR="00DB426D" w:rsidRPr="000237E6">
        <w:rPr>
          <w:rFonts w:cs="Arial"/>
          <w:i w:val="0"/>
          <w:sz w:val="18"/>
          <w:szCs w:val="18"/>
          <w:lang w:eastAsia="en-AU"/>
        </w:rPr>
        <w:t>[</w:t>
      </w:r>
      <w:r w:rsidR="000712A9">
        <w:rPr>
          <w:rFonts w:cs="Arial"/>
          <w:i w:val="0"/>
          <w:sz w:val="18"/>
          <w:szCs w:val="18"/>
          <w:lang w:eastAsia="en-AU"/>
        </w:rPr>
        <w:t xml:space="preserve">Dr </w:t>
      </w:r>
      <w:r w:rsidR="00A76E3A">
        <w:rPr>
          <w:rFonts w:cs="Arial"/>
          <w:i w:val="0"/>
          <w:sz w:val="18"/>
          <w:szCs w:val="18"/>
          <w:lang w:eastAsia="en-AU"/>
        </w:rPr>
        <w:t>B</w:t>
      </w:r>
      <w:r w:rsidR="00DB426D" w:rsidRPr="000237E6">
        <w:rPr>
          <w:rFonts w:cs="Arial"/>
          <w:i w:val="0"/>
          <w:sz w:val="18"/>
          <w:szCs w:val="18"/>
          <w:lang w:eastAsia="en-AU"/>
        </w:rPr>
        <w:t>’s]</w:t>
      </w:r>
      <w:r w:rsidRPr="000237E6">
        <w:rPr>
          <w:rFonts w:cs="Arial"/>
          <w:i w:val="0"/>
          <w:sz w:val="18"/>
          <w:szCs w:val="18"/>
          <w:lang w:eastAsia="en-AU"/>
        </w:rPr>
        <w:t xml:space="preserve"> statements were not intended to go further than to suggest that further monitoring of the effects of the COVID</w:t>
      </w:r>
      <w:r w:rsidRPr="000237E6">
        <w:rPr>
          <w:rFonts w:ascii="Cambria Math" w:hAnsi="Cambria Math" w:cs="Cambria Math"/>
          <w:i w:val="0"/>
          <w:sz w:val="18"/>
          <w:szCs w:val="18"/>
          <w:lang w:eastAsia="en-AU"/>
        </w:rPr>
        <w:t>‐</w:t>
      </w:r>
      <w:r w:rsidRPr="000237E6">
        <w:rPr>
          <w:rFonts w:cs="Arial"/>
          <w:i w:val="0"/>
          <w:sz w:val="18"/>
          <w:szCs w:val="18"/>
          <w:lang w:eastAsia="en-AU"/>
        </w:rPr>
        <w:t>19 vaccines is required.</w:t>
      </w:r>
    </w:p>
    <w:p w14:paraId="09009F84" w14:textId="248F588B" w:rsidR="00663F3B" w:rsidRPr="006C669F" w:rsidRDefault="00663F3B" w:rsidP="00932D28">
      <w:pPr>
        <w:pStyle w:val="ACMABodyText"/>
        <w:rPr>
          <w:lang w:eastAsia="en-AU"/>
        </w:rPr>
      </w:pPr>
      <w:r>
        <w:rPr>
          <w:lang w:eastAsia="en-AU"/>
        </w:rPr>
        <w:t xml:space="preserve">The ACMA does not agree that </w:t>
      </w:r>
      <w:r w:rsidR="00B34D3D">
        <w:rPr>
          <w:lang w:eastAsia="en-AU"/>
        </w:rPr>
        <w:t xml:space="preserve">Dr. </w:t>
      </w:r>
      <w:r w:rsidR="00A76E3A">
        <w:rPr>
          <w:lang w:eastAsia="en-AU"/>
        </w:rPr>
        <w:t>B</w:t>
      </w:r>
      <w:r>
        <w:rPr>
          <w:lang w:eastAsia="en-AU"/>
        </w:rPr>
        <w:t xml:space="preserve"> refer</w:t>
      </w:r>
      <w:r w:rsidR="008A44C2">
        <w:rPr>
          <w:lang w:eastAsia="en-AU"/>
        </w:rPr>
        <w:t>red</w:t>
      </w:r>
      <w:r>
        <w:rPr>
          <w:lang w:eastAsia="en-AU"/>
        </w:rPr>
        <w:t xml:space="preserve"> to the need for ‘further monitoring’. The statement was an emphatic assertion that C</w:t>
      </w:r>
      <w:r w:rsidR="002A4894">
        <w:rPr>
          <w:lang w:eastAsia="en-AU"/>
        </w:rPr>
        <w:t>OVID</w:t>
      </w:r>
      <w:r w:rsidR="002D71AE">
        <w:rPr>
          <w:lang w:eastAsia="en-AU"/>
        </w:rPr>
        <w:t>-19</w:t>
      </w:r>
      <w:r>
        <w:rPr>
          <w:lang w:eastAsia="en-AU"/>
        </w:rPr>
        <w:t xml:space="preserve"> vaccines cause infertility and miscarriages</w:t>
      </w:r>
      <w:r w:rsidR="00F328D4">
        <w:rPr>
          <w:lang w:eastAsia="en-AU"/>
        </w:rPr>
        <w:t>. It was n</w:t>
      </w:r>
      <w:r>
        <w:rPr>
          <w:lang w:eastAsia="en-AU"/>
        </w:rPr>
        <w:t xml:space="preserve">ot a </w:t>
      </w:r>
      <w:r w:rsidR="000B0C93">
        <w:rPr>
          <w:lang w:eastAsia="en-AU"/>
        </w:rPr>
        <w:t>precaution</w:t>
      </w:r>
      <w:r>
        <w:rPr>
          <w:lang w:eastAsia="en-AU"/>
        </w:rPr>
        <w:t>ary reminder that further research was needed</w:t>
      </w:r>
      <w:r w:rsidR="00F328D4">
        <w:rPr>
          <w:lang w:eastAsia="en-AU"/>
        </w:rPr>
        <w:t xml:space="preserve"> </w:t>
      </w:r>
      <w:r w:rsidR="005F5D30">
        <w:rPr>
          <w:lang w:eastAsia="en-AU"/>
        </w:rPr>
        <w:t>(</w:t>
      </w:r>
      <w:r w:rsidR="00F328D4">
        <w:rPr>
          <w:lang w:eastAsia="en-AU"/>
        </w:rPr>
        <w:t>as the Licensee suggests</w:t>
      </w:r>
      <w:r w:rsidR="00D56112">
        <w:rPr>
          <w:lang w:eastAsia="en-AU"/>
        </w:rPr>
        <w:t xml:space="preserve"> in the quote above</w:t>
      </w:r>
      <w:r w:rsidR="005F5D30">
        <w:rPr>
          <w:lang w:eastAsia="en-AU"/>
        </w:rPr>
        <w:t>)</w:t>
      </w:r>
      <w:r w:rsidR="00F328D4">
        <w:rPr>
          <w:lang w:eastAsia="en-AU"/>
        </w:rPr>
        <w:t>.</w:t>
      </w:r>
      <w:r>
        <w:rPr>
          <w:lang w:eastAsia="en-AU"/>
        </w:rPr>
        <w:t xml:space="preserve"> </w:t>
      </w:r>
    </w:p>
    <w:p w14:paraId="48FA65D6" w14:textId="22548FC8" w:rsidR="00D51FB1" w:rsidRPr="00D3386E" w:rsidRDefault="002B7D91" w:rsidP="00932D28">
      <w:pPr>
        <w:pStyle w:val="ACMABodyText"/>
        <w:rPr>
          <w:rFonts w:cs="Arial"/>
        </w:rPr>
      </w:pPr>
      <w:r>
        <w:rPr>
          <w:rFonts w:cs="Arial"/>
        </w:rPr>
        <w:t xml:space="preserve">Accordingly, </w:t>
      </w:r>
      <w:r w:rsidR="00711996">
        <w:rPr>
          <w:rFonts w:cs="Arial"/>
        </w:rPr>
        <w:t xml:space="preserve">the ACMA </w:t>
      </w:r>
      <w:r w:rsidR="00237FD0">
        <w:rPr>
          <w:rFonts w:cs="Arial"/>
        </w:rPr>
        <w:t xml:space="preserve">finds </w:t>
      </w:r>
      <w:r w:rsidR="00711996">
        <w:rPr>
          <w:rFonts w:cs="Arial"/>
        </w:rPr>
        <w:t xml:space="preserve">that the </w:t>
      </w:r>
      <w:r w:rsidR="00711996" w:rsidRPr="00BA5918">
        <w:rPr>
          <w:rFonts w:cs="Arial"/>
        </w:rPr>
        <w:t xml:space="preserve">statement </w:t>
      </w:r>
      <w:r w:rsidR="00711996">
        <w:rPr>
          <w:rFonts w:eastAsia="Calibri"/>
          <w:lang w:eastAsia="en-AU"/>
        </w:rPr>
        <w:t>was not</w:t>
      </w:r>
      <w:r w:rsidR="00711996" w:rsidRPr="00BA5918">
        <w:rPr>
          <w:rFonts w:eastAsia="Calibri"/>
          <w:lang w:eastAsia="en-AU"/>
        </w:rPr>
        <w:t xml:space="preserve"> accurate</w:t>
      </w:r>
      <w:r w:rsidR="00711996" w:rsidDel="002B7D91">
        <w:rPr>
          <w:rFonts w:cs="Arial"/>
        </w:rPr>
        <w:t xml:space="preserve"> </w:t>
      </w:r>
      <w:r>
        <w:rPr>
          <w:rFonts w:cs="Arial"/>
        </w:rPr>
        <w:t>t</w:t>
      </w:r>
      <w:r w:rsidR="00F328D4">
        <w:rPr>
          <w:rFonts w:cs="Arial"/>
        </w:rPr>
        <w:t xml:space="preserve">aking into account the Licensee’s </w:t>
      </w:r>
      <w:r w:rsidR="0036412A">
        <w:rPr>
          <w:rFonts w:cs="Arial"/>
        </w:rPr>
        <w:t xml:space="preserve">own </w:t>
      </w:r>
      <w:r w:rsidR="00F328D4">
        <w:rPr>
          <w:rFonts w:cs="Arial"/>
        </w:rPr>
        <w:t xml:space="preserve">submissions </w:t>
      </w:r>
      <w:r w:rsidR="003D230B">
        <w:rPr>
          <w:rFonts w:cs="Arial"/>
        </w:rPr>
        <w:t xml:space="preserve">on </w:t>
      </w:r>
      <w:r w:rsidR="00A23FF1">
        <w:rPr>
          <w:rFonts w:cs="Arial"/>
        </w:rPr>
        <w:t xml:space="preserve">the </w:t>
      </w:r>
      <w:r w:rsidR="003D230B">
        <w:rPr>
          <w:rFonts w:cs="Arial"/>
        </w:rPr>
        <w:t xml:space="preserve">quality of the </w:t>
      </w:r>
      <w:r>
        <w:rPr>
          <w:rFonts w:cs="Arial"/>
        </w:rPr>
        <w:t>claims regarding infertility and miscarriage</w:t>
      </w:r>
      <w:r w:rsidR="005C4B0A">
        <w:rPr>
          <w:rFonts w:cs="Arial"/>
        </w:rPr>
        <w:t>,</w:t>
      </w:r>
      <w:r w:rsidR="00780966">
        <w:rPr>
          <w:rFonts w:cs="Arial"/>
        </w:rPr>
        <w:t xml:space="preserve"> and the </w:t>
      </w:r>
      <w:r w:rsidR="00780966" w:rsidRPr="00711996">
        <w:rPr>
          <w:rFonts w:cs="Arial"/>
          <w:i/>
          <w:iCs/>
        </w:rPr>
        <w:t>Nature</w:t>
      </w:r>
      <w:r w:rsidR="00780966">
        <w:rPr>
          <w:rFonts w:cs="Arial"/>
        </w:rPr>
        <w:t xml:space="preserve"> article</w:t>
      </w:r>
      <w:r w:rsidR="006F3A17">
        <w:rPr>
          <w:rFonts w:cs="Arial"/>
        </w:rPr>
        <w:t>,</w:t>
      </w:r>
      <w:r w:rsidR="00E6030F">
        <w:rPr>
          <w:rFonts w:cs="Arial"/>
        </w:rPr>
        <w:t xml:space="preserve"> </w:t>
      </w:r>
      <w:r w:rsidR="006F3A17">
        <w:rPr>
          <w:rFonts w:cs="Arial"/>
        </w:rPr>
        <w:t xml:space="preserve">published prior to the broadcast, </w:t>
      </w:r>
      <w:r w:rsidR="008F3A4D">
        <w:rPr>
          <w:rFonts w:cs="Arial"/>
        </w:rPr>
        <w:t xml:space="preserve">which </w:t>
      </w:r>
      <w:r w:rsidR="00780966">
        <w:rPr>
          <w:rFonts w:cs="Arial"/>
        </w:rPr>
        <w:t>indicate</w:t>
      </w:r>
      <w:r w:rsidR="0036412A">
        <w:rPr>
          <w:rFonts w:cs="Arial"/>
        </w:rPr>
        <w:t>d</w:t>
      </w:r>
      <w:r w:rsidR="00780966">
        <w:rPr>
          <w:rFonts w:cs="Arial"/>
        </w:rPr>
        <w:t xml:space="preserve"> that </w:t>
      </w:r>
      <w:r w:rsidR="00E6030F">
        <w:rPr>
          <w:rFonts w:cs="Arial"/>
        </w:rPr>
        <w:t xml:space="preserve">vaccination </w:t>
      </w:r>
      <w:r w:rsidR="00F65994">
        <w:rPr>
          <w:rFonts w:cs="Arial"/>
        </w:rPr>
        <w:t xml:space="preserve">was </w:t>
      </w:r>
      <w:r w:rsidR="00E6030F">
        <w:rPr>
          <w:rFonts w:cs="Arial"/>
        </w:rPr>
        <w:t xml:space="preserve">safe during pregnancy and </w:t>
      </w:r>
      <w:r w:rsidR="0036412A">
        <w:rPr>
          <w:rFonts w:cs="Arial"/>
        </w:rPr>
        <w:t>did not</w:t>
      </w:r>
      <w:r w:rsidR="00E6030F">
        <w:rPr>
          <w:rFonts w:cs="Arial"/>
        </w:rPr>
        <w:t xml:space="preserve"> affect fertility</w:t>
      </w:r>
      <w:r w:rsidR="00711996">
        <w:rPr>
          <w:rFonts w:cs="Arial"/>
        </w:rPr>
        <w:t>.</w:t>
      </w:r>
      <w:r w:rsidR="00BA5918" w:rsidRPr="00BA5918">
        <w:rPr>
          <w:rFonts w:eastAsia="Calibri"/>
          <w:lang w:eastAsia="en-AU"/>
        </w:rPr>
        <w:t xml:space="preserve"> </w:t>
      </w:r>
    </w:p>
    <w:p w14:paraId="322783F0" w14:textId="5FC2A32A" w:rsidR="004274A5" w:rsidRPr="004274A5" w:rsidRDefault="004274A5" w:rsidP="00932D28">
      <w:pPr>
        <w:pStyle w:val="ACMABodyText"/>
        <w:spacing w:line="240" w:lineRule="auto"/>
        <w:rPr>
          <w:b/>
          <w:bCs/>
          <w:i/>
          <w:iCs/>
          <w:u w:val="single"/>
        </w:rPr>
      </w:pPr>
      <w:r w:rsidRPr="004274A5">
        <w:rPr>
          <w:b/>
          <w:bCs/>
          <w:i/>
          <w:iCs/>
          <w:u w:val="single"/>
        </w:rPr>
        <w:t xml:space="preserve">9. We’ve seen a 400% increase in miscarriage… not a miscarriage, it’s murder </w:t>
      </w:r>
    </w:p>
    <w:p w14:paraId="68ABE602" w14:textId="5D4F00B7" w:rsidR="002E702A" w:rsidRDefault="001A1743" w:rsidP="00932D28">
      <w:pPr>
        <w:pStyle w:val="ACMABodyText"/>
        <w:spacing w:after="120"/>
      </w:pPr>
      <w:r>
        <w:t>At a</w:t>
      </w:r>
      <w:r w:rsidR="004A4F6F">
        <w:t>pproximately 21</w:t>
      </w:r>
      <w:r w:rsidR="002E702A">
        <w:t>:</w:t>
      </w:r>
      <w:r w:rsidR="004A4F6F">
        <w:t xml:space="preserve">37 </w:t>
      </w:r>
      <w:r>
        <w:t xml:space="preserve">minutes, </w:t>
      </w:r>
      <w:r w:rsidR="00644E33">
        <w:t>Host</w:t>
      </w:r>
      <w:r>
        <w:t xml:space="preserve"> </w:t>
      </w:r>
      <w:r w:rsidR="00A76E3A">
        <w:t>2</w:t>
      </w:r>
      <w:r w:rsidR="0051652B">
        <w:t xml:space="preserve"> </w:t>
      </w:r>
      <w:r w:rsidR="00326D5C">
        <w:t>was discussing miscarriages with</w:t>
      </w:r>
      <w:r>
        <w:t xml:space="preserve"> </w:t>
      </w:r>
      <w:r w:rsidR="00B34D3D">
        <w:t xml:space="preserve">Dr. </w:t>
      </w:r>
      <w:r w:rsidR="008B4A4A">
        <w:t>C</w:t>
      </w:r>
      <w:r w:rsidR="008A426B">
        <w:t xml:space="preserve"> </w:t>
      </w:r>
      <w:r w:rsidR="002A7FAA">
        <w:t>and commented:</w:t>
      </w:r>
    </w:p>
    <w:p w14:paraId="6BA7ECEC" w14:textId="0B45AE07" w:rsidR="002E702A" w:rsidRPr="000D624C" w:rsidRDefault="00326D5C" w:rsidP="000237E6">
      <w:pPr>
        <w:pStyle w:val="ACMABodyText"/>
        <w:ind w:left="709"/>
        <w:rPr>
          <w:sz w:val="18"/>
          <w:szCs w:val="18"/>
        </w:rPr>
      </w:pPr>
      <w:r>
        <w:rPr>
          <w:sz w:val="18"/>
          <w:szCs w:val="18"/>
        </w:rPr>
        <w:t>[…]</w:t>
      </w:r>
      <w:r w:rsidR="00F40E72" w:rsidRPr="000D624C">
        <w:rPr>
          <w:sz w:val="18"/>
          <w:szCs w:val="18"/>
        </w:rPr>
        <w:t xml:space="preserve"> told me </w:t>
      </w:r>
      <w:r w:rsidR="0032624E" w:rsidRPr="000D624C">
        <w:rPr>
          <w:sz w:val="18"/>
          <w:szCs w:val="18"/>
        </w:rPr>
        <w:t>about</w:t>
      </w:r>
      <w:r>
        <w:rPr>
          <w:sz w:val="18"/>
          <w:szCs w:val="18"/>
        </w:rPr>
        <w:t xml:space="preserve"> […]</w:t>
      </w:r>
      <w:r w:rsidR="001E2119" w:rsidRPr="000D624C">
        <w:rPr>
          <w:sz w:val="18"/>
          <w:szCs w:val="18"/>
        </w:rPr>
        <w:t xml:space="preserve"> </w:t>
      </w:r>
      <w:r w:rsidR="00F40E72" w:rsidRPr="000D624C">
        <w:rPr>
          <w:sz w:val="18"/>
          <w:szCs w:val="18"/>
        </w:rPr>
        <w:t xml:space="preserve">a doctor friend </w:t>
      </w:r>
      <w:r w:rsidR="003C2798" w:rsidRPr="000D624C">
        <w:rPr>
          <w:sz w:val="18"/>
          <w:szCs w:val="18"/>
        </w:rPr>
        <w:t xml:space="preserve">that was </w:t>
      </w:r>
      <w:r w:rsidR="00F40E72" w:rsidRPr="000D624C">
        <w:rPr>
          <w:sz w:val="18"/>
          <w:szCs w:val="18"/>
        </w:rPr>
        <w:t xml:space="preserve">in her 30s </w:t>
      </w:r>
      <w:r w:rsidR="002303CD" w:rsidRPr="000D624C">
        <w:rPr>
          <w:sz w:val="18"/>
          <w:szCs w:val="18"/>
        </w:rPr>
        <w:t xml:space="preserve">that was required to get the shot, she was 7 months </w:t>
      </w:r>
      <w:r w:rsidR="007D2032" w:rsidRPr="000D624C">
        <w:rPr>
          <w:sz w:val="18"/>
          <w:szCs w:val="18"/>
        </w:rPr>
        <w:t>pregnant,</w:t>
      </w:r>
      <w:r w:rsidR="002303CD" w:rsidRPr="000D624C">
        <w:rPr>
          <w:sz w:val="18"/>
          <w:szCs w:val="18"/>
        </w:rPr>
        <w:t xml:space="preserve"> </w:t>
      </w:r>
      <w:r w:rsidR="008F474E" w:rsidRPr="000D624C">
        <w:rPr>
          <w:sz w:val="18"/>
          <w:szCs w:val="18"/>
        </w:rPr>
        <w:t>and, on the night,</w:t>
      </w:r>
      <w:r w:rsidR="002303CD" w:rsidRPr="000D624C">
        <w:rPr>
          <w:sz w:val="18"/>
          <w:szCs w:val="18"/>
        </w:rPr>
        <w:t xml:space="preserve"> </w:t>
      </w:r>
      <w:r w:rsidR="009E1057" w:rsidRPr="000D624C">
        <w:rPr>
          <w:sz w:val="18"/>
          <w:szCs w:val="18"/>
        </w:rPr>
        <w:t xml:space="preserve">she had the shot </w:t>
      </w:r>
      <w:r w:rsidR="002303CD" w:rsidRPr="000D624C">
        <w:rPr>
          <w:sz w:val="18"/>
          <w:szCs w:val="18"/>
        </w:rPr>
        <w:t>on th</w:t>
      </w:r>
      <w:r w:rsidR="001A269C" w:rsidRPr="000D624C">
        <w:rPr>
          <w:sz w:val="18"/>
          <w:szCs w:val="18"/>
        </w:rPr>
        <w:t>at very night</w:t>
      </w:r>
      <w:r w:rsidR="004F28B7" w:rsidRPr="000D624C">
        <w:rPr>
          <w:sz w:val="18"/>
          <w:szCs w:val="18"/>
        </w:rPr>
        <w:t xml:space="preserve"> she </w:t>
      </w:r>
      <w:r w:rsidR="0073258A">
        <w:rPr>
          <w:sz w:val="18"/>
          <w:szCs w:val="18"/>
        </w:rPr>
        <w:t xml:space="preserve">had a </w:t>
      </w:r>
      <w:r w:rsidR="00F02F4B" w:rsidRPr="000D624C">
        <w:rPr>
          <w:sz w:val="18"/>
          <w:szCs w:val="18"/>
        </w:rPr>
        <w:t>miscarriage</w:t>
      </w:r>
      <w:r w:rsidR="00825B32" w:rsidRPr="000D624C">
        <w:rPr>
          <w:sz w:val="18"/>
          <w:szCs w:val="18"/>
        </w:rPr>
        <w:t xml:space="preserve">, </w:t>
      </w:r>
      <w:r w:rsidR="00843548" w:rsidRPr="000D624C">
        <w:rPr>
          <w:sz w:val="18"/>
          <w:szCs w:val="18"/>
        </w:rPr>
        <w:t xml:space="preserve">at 7 months </w:t>
      </w:r>
      <w:r w:rsidR="00825B32" w:rsidRPr="000D624C">
        <w:rPr>
          <w:sz w:val="18"/>
          <w:szCs w:val="18"/>
        </w:rPr>
        <w:t xml:space="preserve">which you know is </w:t>
      </w:r>
      <w:r w:rsidR="00F02F4B" w:rsidRPr="000D624C">
        <w:rPr>
          <w:sz w:val="18"/>
          <w:szCs w:val="18"/>
        </w:rPr>
        <w:t>highly</w:t>
      </w:r>
      <w:r w:rsidR="000D624C" w:rsidRPr="000D624C">
        <w:rPr>
          <w:sz w:val="18"/>
          <w:szCs w:val="18"/>
        </w:rPr>
        <w:t xml:space="preserve"> unusual.</w:t>
      </w:r>
      <w:r w:rsidR="004F28B7" w:rsidRPr="000D624C">
        <w:rPr>
          <w:sz w:val="18"/>
          <w:szCs w:val="18"/>
        </w:rPr>
        <w:t xml:space="preserve"> </w:t>
      </w:r>
    </w:p>
    <w:p w14:paraId="27BF1383" w14:textId="5FCDB510" w:rsidR="00D87FC4" w:rsidRPr="009F0DC6" w:rsidRDefault="00326D5C" w:rsidP="00932D28">
      <w:pPr>
        <w:spacing w:before="0" w:line="240" w:lineRule="atLeast"/>
        <w:rPr>
          <w:i w:val="0"/>
          <w:iCs/>
          <w:szCs w:val="20"/>
        </w:rPr>
      </w:pPr>
      <w:r>
        <w:rPr>
          <w:rFonts w:eastAsia="Calibri" w:cs="Arial"/>
          <w:i w:val="0"/>
          <w:snapToGrid w:val="0"/>
          <w:szCs w:val="20"/>
        </w:rPr>
        <w:t xml:space="preserve">In response, </w:t>
      </w:r>
      <w:r w:rsidR="00B34D3D">
        <w:rPr>
          <w:rFonts w:eastAsia="Calibri" w:cs="Arial"/>
          <w:i w:val="0"/>
          <w:snapToGrid w:val="0"/>
          <w:szCs w:val="20"/>
        </w:rPr>
        <w:t xml:space="preserve">Dr. </w:t>
      </w:r>
      <w:r w:rsidR="008B4A4A">
        <w:rPr>
          <w:rFonts w:eastAsia="Calibri" w:cs="Arial"/>
          <w:i w:val="0"/>
          <w:snapToGrid w:val="0"/>
          <w:szCs w:val="20"/>
        </w:rPr>
        <w:t>C</w:t>
      </w:r>
      <w:r w:rsidR="008A426B">
        <w:rPr>
          <w:rFonts w:eastAsia="Calibri" w:cs="Arial"/>
          <w:i w:val="0"/>
          <w:snapToGrid w:val="0"/>
          <w:szCs w:val="20"/>
        </w:rPr>
        <w:t xml:space="preserve"> </w:t>
      </w:r>
      <w:r>
        <w:rPr>
          <w:rFonts w:eastAsia="Calibri" w:cs="Arial"/>
          <w:i w:val="0"/>
          <w:snapToGrid w:val="0"/>
          <w:szCs w:val="20"/>
        </w:rPr>
        <w:t>referred to</w:t>
      </w:r>
      <w:r w:rsidR="00354E00" w:rsidRPr="009F0DC6">
        <w:rPr>
          <w:rFonts w:eastAsia="Calibri" w:cs="Arial"/>
          <w:i w:val="0"/>
          <w:snapToGrid w:val="0"/>
          <w:szCs w:val="20"/>
        </w:rPr>
        <w:t xml:space="preserve"> </w:t>
      </w:r>
      <w:r w:rsidR="00BF3A34">
        <w:rPr>
          <w:rFonts w:eastAsia="Calibri" w:cs="Arial"/>
          <w:i w:val="0"/>
          <w:snapToGrid w:val="0"/>
          <w:szCs w:val="20"/>
        </w:rPr>
        <w:t xml:space="preserve">the </w:t>
      </w:r>
      <w:r w:rsidR="00AD74E0" w:rsidRPr="009F0DC6">
        <w:rPr>
          <w:rFonts w:eastAsia="Calibri" w:cs="Arial"/>
          <w:i w:val="0"/>
          <w:snapToGrid w:val="0"/>
          <w:szCs w:val="20"/>
        </w:rPr>
        <w:t>syncyti</w:t>
      </w:r>
      <w:r w:rsidR="009F0DC6" w:rsidRPr="009F0DC6">
        <w:rPr>
          <w:rFonts w:eastAsia="Calibri" w:cs="Arial"/>
          <w:i w:val="0"/>
          <w:snapToGrid w:val="0"/>
          <w:szCs w:val="20"/>
        </w:rPr>
        <w:t>um</w:t>
      </w:r>
      <w:r w:rsidR="00AD74E0" w:rsidRPr="009F0DC6">
        <w:rPr>
          <w:rFonts w:eastAsia="Calibri" w:cs="Arial"/>
          <w:i w:val="0"/>
          <w:snapToGrid w:val="0"/>
          <w:szCs w:val="20"/>
        </w:rPr>
        <w:t xml:space="preserve"> protein </w:t>
      </w:r>
      <w:r w:rsidR="00DC26E0">
        <w:rPr>
          <w:rFonts w:eastAsia="Calibri" w:cs="Arial"/>
          <w:i w:val="0"/>
          <w:snapToGrid w:val="0"/>
          <w:szCs w:val="20"/>
        </w:rPr>
        <w:t xml:space="preserve">that </w:t>
      </w:r>
      <w:r w:rsidR="00410BBD">
        <w:rPr>
          <w:rFonts w:eastAsia="Calibri" w:cs="Arial"/>
          <w:i w:val="0"/>
          <w:snapToGrid w:val="0"/>
          <w:szCs w:val="20"/>
        </w:rPr>
        <w:t>exist</w:t>
      </w:r>
      <w:r w:rsidR="009A6751">
        <w:rPr>
          <w:rFonts w:eastAsia="Calibri" w:cs="Arial"/>
          <w:i w:val="0"/>
          <w:snapToGrid w:val="0"/>
          <w:szCs w:val="20"/>
        </w:rPr>
        <w:t>s</w:t>
      </w:r>
      <w:r w:rsidR="00410BBD">
        <w:rPr>
          <w:rFonts w:eastAsia="Calibri" w:cs="Arial"/>
          <w:i w:val="0"/>
          <w:snapToGrid w:val="0"/>
          <w:szCs w:val="20"/>
        </w:rPr>
        <w:t xml:space="preserve"> </w:t>
      </w:r>
      <w:r w:rsidR="00D87FC4" w:rsidRPr="009F0DC6">
        <w:rPr>
          <w:rFonts w:eastAsia="Calibri" w:cs="Arial"/>
          <w:i w:val="0"/>
          <w:snapToGrid w:val="0"/>
          <w:szCs w:val="20"/>
        </w:rPr>
        <w:t xml:space="preserve">in </w:t>
      </w:r>
      <w:r w:rsidR="00D55F2D">
        <w:rPr>
          <w:rFonts w:eastAsia="Calibri" w:cs="Arial"/>
          <w:i w:val="0"/>
          <w:snapToGrid w:val="0"/>
          <w:szCs w:val="20"/>
        </w:rPr>
        <w:t xml:space="preserve">the </w:t>
      </w:r>
      <w:r w:rsidR="00D87FC4" w:rsidRPr="009F0DC6">
        <w:rPr>
          <w:rFonts w:eastAsia="Calibri" w:cs="Arial"/>
          <w:i w:val="0"/>
          <w:snapToGrid w:val="0"/>
          <w:szCs w:val="20"/>
        </w:rPr>
        <w:t>human</w:t>
      </w:r>
      <w:r w:rsidR="00354E00" w:rsidRPr="009F0DC6">
        <w:rPr>
          <w:rFonts w:eastAsia="Calibri" w:cs="Arial"/>
          <w:i w:val="0"/>
          <w:snapToGrid w:val="0"/>
          <w:szCs w:val="20"/>
        </w:rPr>
        <w:t xml:space="preserve"> body</w:t>
      </w:r>
      <w:r w:rsidR="00913183">
        <w:rPr>
          <w:rFonts w:eastAsia="Calibri" w:cs="Arial"/>
          <w:i w:val="0"/>
          <w:snapToGrid w:val="0"/>
          <w:szCs w:val="20"/>
        </w:rPr>
        <w:t xml:space="preserve"> and</w:t>
      </w:r>
      <w:r w:rsidR="00DC26E0">
        <w:rPr>
          <w:rFonts w:eastAsia="Calibri" w:cs="Arial"/>
          <w:i w:val="0"/>
          <w:snapToGrid w:val="0"/>
          <w:szCs w:val="20"/>
        </w:rPr>
        <w:t xml:space="preserve"> explained </w:t>
      </w:r>
      <w:r w:rsidR="009E655D">
        <w:rPr>
          <w:rFonts w:eastAsia="Calibri" w:cs="Arial"/>
          <w:i w:val="0"/>
          <w:snapToGrid w:val="0"/>
          <w:szCs w:val="20"/>
        </w:rPr>
        <w:t xml:space="preserve">that </w:t>
      </w:r>
      <w:r w:rsidR="00187306">
        <w:rPr>
          <w:rFonts w:eastAsia="Calibri" w:cs="Arial"/>
          <w:i w:val="0"/>
          <w:snapToGrid w:val="0"/>
          <w:szCs w:val="20"/>
        </w:rPr>
        <w:t xml:space="preserve">part of </w:t>
      </w:r>
      <w:r w:rsidR="00096700">
        <w:rPr>
          <w:rFonts w:eastAsia="Calibri" w:cs="Arial"/>
          <w:i w:val="0"/>
          <w:snapToGrid w:val="0"/>
          <w:szCs w:val="20"/>
        </w:rPr>
        <w:t>its</w:t>
      </w:r>
      <w:r w:rsidR="00B401D7">
        <w:rPr>
          <w:rFonts w:eastAsia="Calibri" w:cs="Arial"/>
          <w:i w:val="0"/>
          <w:snapToGrid w:val="0"/>
          <w:szCs w:val="20"/>
        </w:rPr>
        <w:t xml:space="preserve"> </w:t>
      </w:r>
      <w:r w:rsidR="003704A1">
        <w:rPr>
          <w:rFonts w:eastAsia="Calibri" w:cs="Arial"/>
          <w:i w:val="0"/>
          <w:snapToGrid w:val="0"/>
          <w:szCs w:val="20"/>
        </w:rPr>
        <w:t xml:space="preserve">role </w:t>
      </w:r>
      <w:r w:rsidR="00155A86">
        <w:rPr>
          <w:rFonts w:eastAsia="Calibri" w:cs="Arial"/>
          <w:i w:val="0"/>
          <w:snapToGrid w:val="0"/>
          <w:szCs w:val="20"/>
        </w:rPr>
        <w:t>wa</w:t>
      </w:r>
      <w:r w:rsidR="009D5E3D">
        <w:rPr>
          <w:rFonts w:eastAsia="Calibri" w:cs="Arial"/>
          <w:i w:val="0"/>
          <w:snapToGrid w:val="0"/>
          <w:szCs w:val="20"/>
        </w:rPr>
        <w:t xml:space="preserve">s </w:t>
      </w:r>
      <w:r w:rsidR="00AB602E">
        <w:rPr>
          <w:rFonts w:eastAsia="Calibri" w:cs="Arial"/>
          <w:i w:val="0"/>
          <w:snapToGrid w:val="0"/>
          <w:szCs w:val="20"/>
        </w:rPr>
        <w:t>‘</w:t>
      </w:r>
      <w:r w:rsidR="00187306">
        <w:rPr>
          <w:rFonts w:eastAsia="Calibri" w:cs="Arial"/>
          <w:i w:val="0"/>
          <w:snapToGrid w:val="0"/>
          <w:szCs w:val="20"/>
        </w:rPr>
        <w:t xml:space="preserve">to </w:t>
      </w:r>
      <w:r w:rsidR="001647B1">
        <w:rPr>
          <w:rFonts w:eastAsia="Calibri" w:cs="Arial"/>
          <w:i w:val="0"/>
          <w:snapToGrid w:val="0"/>
          <w:szCs w:val="20"/>
        </w:rPr>
        <w:t xml:space="preserve">have </w:t>
      </w:r>
      <w:r w:rsidR="00187306">
        <w:rPr>
          <w:rFonts w:eastAsia="Calibri" w:cs="Arial"/>
          <w:i w:val="0"/>
          <w:snapToGrid w:val="0"/>
          <w:szCs w:val="20"/>
        </w:rPr>
        <w:t xml:space="preserve">the embryo </w:t>
      </w:r>
      <w:r w:rsidR="001647B1">
        <w:rPr>
          <w:rFonts w:eastAsia="Calibri" w:cs="Arial"/>
          <w:i w:val="0"/>
          <w:snapToGrid w:val="0"/>
          <w:szCs w:val="20"/>
        </w:rPr>
        <w:t xml:space="preserve">stick to the </w:t>
      </w:r>
      <w:r w:rsidR="00321B12">
        <w:rPr>
          <w:rFonts w:eastAsia="Calibri" w:cs="Arial"/>
          <w:i w:val="0"/>
          <w:snapToGrid w:val="0"/>
          <w:szCs w:val="20"/>
        </w:rPr>
        <w:t>uterus</w:t>
      </w:r>
      <w:r w:rsidR="001647B1">
        <w:rPr>
          <w:rFonts w:eastAsia="Calibri" w:cs="Arial"/>
          <w:i w:val="0"/>
          <w:snapToGrid w:val="0"/>
          <w:szCs w:val="20"/>
        </w:rPr>
        <w:t xml:space="preserve"> wall like a </w:t>
      </w:r>
      <w:r w:rsidR="0034283B">
        <w:rPr>
          <w:rFonts w:eastAsia="Calibri" w:cs="Arial"/>
          <w:i w:val="0"/>
          <w:snapToGrid w:val="0"/>
          <w:szCs w:val="20"/>
        </w:rPr>
        <w:t>Velcro</w:t>
      </w:r>
      <w:r w:rsidR="001647B1">
        <w:rPr>
          <w:rFonts w:eastAsia="Calibri" w:cs="Arial"/>
          <w:i w:val="0"/>
          <w:snapToGrid w:val="0"/>
          <w:szCs w:val="20"/>
        </w:rPr>
        <w:t>’</w:t>
      </w:r>
      <w:r>
        <w:rPr>
          <w:rFonts w:eastAsia="Calibri" w:cs="Arial"/>
          <w:i w:val="0"/>
          <w:snapToGrid w:val="0"/>
          <w:szCs w:val="20"/>
        </w:rPr>
        <w:t xml:space="preserve"> and noted that </w:t>
      </w:r>
      <w:r w:rsidR="007927E5">
        <w:rPr>
          <w:rFonts w:eastAsia="Calibri" w:cs="Arial"/>
          <w:i w:val="0"/>
          <w:snapToGrid w:val="0"/>
          <w:szCs w:val="20"/>
        </w:rPr>
        <w:t>‘</w:t>
      </w:r>
      <w:r w:rsidR="00412A68">
        <w:rPr>
          <w:rFonts w:eastAsia="Calibri" w:cs="Arial"/>
          <w:i w:val="0"/>
          <w:snapToGrid w:val="0"/>
          <w:szCs w:val="20"/>
        </w:rPr>
        <w:t>Coronavirus</w:t>
      </w:r>
      <w:r w:rsidR="00410BBD">
        <w:rPr>
          <w:rFonts w:eastAsia="Calibri" w:cs="Arial"/>
          <w:i w:val="0"/>
          <w:snapToGrid w:val="0"/>
          <w:szCs w:val="20"/>
        </w:rPr>
        <w:t>,</w:t>
      </w:r>
      <w:r w:rsidR="00200DAD">
        <w:rPr>
          <w:rFonts w:eastAsia="Calibri" w:cs="Arial"/>
          <w:i w:val="0"/>
          <w:snapToGrid w:val="0"/>
          <w:szCs w:val="20"/>
        </w:rPr>
        <w:t xml:space="preserve"> </w:t>
      </w:r>
      <w:r w:rsidR="00A44071">
        <w:rPr>
          <w:rFonts w:eastAsia="Calibri" w:cs="Arial"/>
          <w:i w:val="0"/>
          <w:snapToGrid w:val="0"/>
          <w:szCs w:val="20"/>
        </w:rPr>
        <w:t>you know</w:t>
      </w:r>
      <w:r w:rsidR="00410BBD">
        <w:rPr>
          <w:rFonts w:eastAsia="Calibri" w:cs="Arial"/>
          <w:i w:val="0"/>
          <w:snapToGrid w:val="0"/>
          <w:szCs w:val="20"/>
        </w:rPr>
        <w:t>,</w:t>
      </w:r>
      <w:r w:rsidR="00A44071">
        <w:rPr>
          <w:rFonts w:eastAsia="Calibri" w:cs="Arial"/>
          <w:i w:val="0"/>
          <w:snapToGrid w:val="0"/>
          <w:szCs w:val="20"/>
        </w:rPr>
        <w:t xml:space="preserve"> </w:t>
      </w:r>
      <w:r w:rsidR="00200DAD">
        <w:rPr>
          <w:rFonts w:eastAsia="Calibri" w:cs="Arial"/>
          <w:i w:val="0"/>
          <w:snapToGrid w:val="0"/>
          <w:szCs w:val="20"/>
        </w:rPr>
        <w:t>should not have syncyt</w:t>
      </w:r>
      <w:r w:rsidR="0034283B">
        <w:rPr>
          <w:rFonts w:eastAsia="Calibri" w:cs="Arial"/>
          <w:i w:val="0"/>
          <w:snapToGrid w:val="0"/>
          <w:szCs w:val="20"/>
        </w:rPr>
        <w:t>ia</w:t>
      </w:r>
      <w:r>
        <w:rPr>
          <w:rFonts w:eastAsia="Calibri" w:cs="Arial"/>
          <w:i w:val="0"/>
          <w:snapToGrid w:val="0"/>
          <w:szCs w:val="20"/>
        </w:rPr>
        <w:t>’.</w:t>
      </w:r>
    </w:p>
    <w:p w14:paraId="35ACF368" w14:textId="439CED0A" w:rsidR="00452413" w:rsidRDefault="0085542F" w:rsidP="00932D28">
      <w:pPr>
        <w:spacing w:before="0" w:line="240" w:lineRule="atLeast"/>
        <w:rPr>
          <w:rFonts w:eastAsia="Calibri" w:cs="Arial"/>
          <w:i w:val="0"/>
          <w:snapToGrid w:val="0"/>
          <w:szCs w:val="20"/>
        </w:rPr>
      </w:pPr>
      <w:r>
        <w:rPr>
          <w:i w:val="0"/>
          <w:iCs/>
        </w:rPr>
        <w:t xml:space="preserve">At this point, </w:t>
      </w:r>
      <w:r w:rsidR="00B34D3D">
        <w:rPr>
          <w:i w:val="0"/>
          <w:iCs/>
        </w:rPr>
        <w:t xml:space="preserve">Dr. </w:t>
      </w:r>
      <w:r w:rsidR="00A76E3A">
        <w:rPr>
          <w:i w:val="0"/>
          <w:iCs/>
        </w:rPr>
        <w:t>B</w:t>
      </w:r>
      <w:r w:rsidR="00452413">
        <w:rPr>
          <w:rFonts w:eastAsia="Calibri" w:cs="Arial"/>
          <w:i w:val="0"/>
          <w:snapToGrid w:val="0"/>
          <w:szCs w:val="20"/>
        </w:rPr>
        <w:t xml:space="preserve"> referred t</w:t>
      </w:r>
      <w:r w:rsidR="00DF2A49">
        <w:rPr>
          <w:rFonts w:eastAsia="Calibri" w:cs="Arial"/>
          <w:i w:val="0"/>
          <w:snapToGrid w:val="0"/>
          <w:szCs w:val="20"/>
        </w:rPr>
        <w:t>o</w:t>
      </w:r>
      <w:r w:rsidR="00452413">
        <w:rPr>
          <w:rFonts w:eastAsia="Calibri" w:cs="Arial"/>
          <w:i w:val="0"/>
          <w:snapToGrid w:val="0"/>
          <w:szCs w:val="20"/>
        </w:rPr>
        <w:t xml:space="preserve"> </w:t>
      </w:r>
      <w:r w:rsidR="009F0DC6">
        <w:rPr>
          <w:rFonts w:eastAsia="Calibri" w:cs="Arial"/>
          <w:i w:val="0"/>
          <w:snapToGrid w:val="0"/>
          <w:szCs w:val="20"/>
        </w:rPr>
        <w:t xml:space="preserve">a </w:t>
      </w:r>
      <w:r w:rsidR="00D87FC4">
        <w:rPr>
          <w:rFonts w:eastAsia="Calibri" w:cs="Arial"/>
          <w:i w:val="0"/>
          <w:snapToGrid w:val="0"/>
          <w:szCs w:val="20"/>
        </w:rPr>
        <w:t>European scient</w:t>
      </w:r>
      <w:r w:rsidR="00452413">
        <w:rPr>
          <w:rFonts w:eastAsia="Calibri" w:cs="Arial"/>
          <w:i w:val="0"/>
          <w:snapToGrid w:val="0"/>
          <w:szCs w:val="20"/>
        </w:rPr>
        <w:t xml:space="preserve">ist who in January 2021 </w:t>
      </w:r>
      <w:r w:rsidR="009A7DE3">
        <w:rPr>
          <w:rFonts w:eastAsia="Calibri" w:cs="Arial"/>
          <w:i w:val="0"/>
          <w:snapToGrid w:val="0"/>
          <w:szCs w:val="20"/>
        </w:rPr>
        <w:t xml:space="preserve">expressed </w:t>
      </w:r>
      <w:r w:rsidR="00452413">
        <w:rPr>
          <w:rFonts w:eastAsia="Calibri" w:cs="Arial"/>
          <w:i w:val="0"/>
          <w:snapToGrid w:val="0"/>
          <w:szCs w:val="20"/>
        </w:rPr>
        <w:t>concern</w:t>
      </w:r>
      <w:r w:rsidR="009F0DC6">
        <w:rPr>
          <w:rFonts w:eastAsia="Calibri" w:cs="Arial"/>
          <w:i w:val="0"/>
          <w:snapToGrid w:val="0"/>
          <w:szCs w:val="20"/>
        </w:rPr>
        <w:t xml:space="preserve"> that</w:t>
      </w:r>
      <w:r w:rsidR="00452413">
        <w:rPr>
          <w:rFonts w:eastAsia="Calibri" w:cs="Arial"/>
          <w:i w:val="0"/>
          <w:snapToGrid w:val="0"/>
          <w:szCs w:val="20"/>
        </w:rPr>
        <w:t xml:space="preserve"> </w:t>
      </w:r>
      <w:r w:rsidR="008A426B">
        <w:rPr>
          <w:rFonts w:eastAsia="Calibri" w:cs="Arial"/>
          <w:i w:val="0"/>
          <w:snapToGrid w:val="0"/>
          <w:szCs w:val="20"/>
        </w:rPr>
        <w:t xml:space="preserve">the </w:t>
      </w:r>
      <w:r w:rsidR="00452413">
        <w:rPr>
          <w:rFonts w:eastAsia="Calibri" w:cs="Arial"/>
          <w:i w:val="0"/>
          <w:snapToGrid w:val="0"/>
          <w:szCs w:val="20"/>
        </w:rPr>
        <w:t>C</w:t>
      </w:r>
      <w:r w:rsidR="002A4894">
        <w:rPr>
          <w:rFonts w:eastAsia="Calibri" w:cs="Arial"/>
          <w:i w:val="0"/>
          <w:snapToGrid w:val="0"/>
          <w:szCs w:val="20"/>
        </w:rPr>
        <w:t>OVID</w:t>
      </w:r>
      <w:r w:rsidR="00452413">
        <w:rPr>
          <w:rFonts w:eastAsia="Calibri" w:cs="Arial"/>
          <w:i w:val="0"/>
          <w:snapToGrid w:val="0"/>
          <w:szCs w:val="20"/>
        </w:rPr>
        <w:t xml:space="preserve">-19 vaccine </w:t>
      </w:r>
      <w:r w:rsidR="009F0DC6">
        <w:rPr>
          <w:rFonts w:eastAsia="Calibri" w:cs="Arial"/>
          <w:i w:val="0"/>
          <w:snapToGrid w:val="0"/>
          <w:szCs w:val="20"/>
        </w:rPr>
        <w:t>could</w:t>
      </w:r>
      <w:r w:rsidR="00452413">
        <w:rPr>
          <w:rFonts w:eastAsia="Calibri" w:cs="Arial"/>
          <w:i w:val="0"/>
          <w:snapToGrid w:val="0"/>
          <w:szCs w:val="20"/>
        </w:rPr>
        <w:t xml:space="preserve"> lead to infertility and miscarriages </w:t>
      </w:r>
      <w:r w:rsidR="009F0DC6">
        <w:rPr>
          <w:rFonts w:eastAsia="Calibri" w:cs="Arial"/>
          <w:i w:val="0"/>
          <w:snapToGrid w:val="0"/>
          <w:szCs w:val="20"/>
        </w:rPr>
        <w:t xml:space="preserve">because the vaccine </w:t>
      </w:r>
      <w:r w:rsidR="009F0DC6">
        <w:rPr>
          <w:rFonts w:eastAsia="Calibri" w:cs="Arial"/>
          <w:i w:val="0"/>
          <w:snapToGrid w:val="0"/>
          <w:szCs w:val="20"/>
        </w:rPr>
        <w:lastRenderedPageBreak/>
        <w:t>contained</w:t>
      </w:r>
      <w:r w:rsidR="00F23FDE">
        <w:rPr>
          <w:rFonts w:eastAsia="Calibri" w:cs="Arial"/>
          <w:i w:val="0"/>
          <w:snapToGrid w:val="0"/>
          <w:szCs w:val="20"/>
        </w:rPr>
        <w:t xml:space="preserve"> </w:t>
      </w:r>
      <w:r w:rsidR="009F0DC6">
        <w:rPr>
          <w:rFonts w:eastAsia="Calibri" w:cs="Arial"/>
          <w:i w:val="0"/>
          <w:snapToGrid w:val="0"/>
          <w:szCs w:val="20"/>
        </w:rPr>
        <w:t xml:space="preserve">an ingredient called </w:t>
      </w:r>
      <w:r w:rsidR="00F23FDE">
        <w:rPr>
          <w:rFonts w:eastAsia="Calibri" w:cs="Arial"/>
          <w:i w:val="0"/>
          <w:snapToGrid w:val="0"/>
          <w:szCs w:val="20"/>
        </w:rPr>
        <w:t>syncyti</w:t>
      </w:r>
      <w:r w:rsidR="00DE1450">
        <w:rPr>
          <w:rFonts w:eastAsia="Calibri" w:cs="Arial"/>
          <w:i w:val="0"/>
          <w:snapToGrid w:val="0"/>
          <w:szCs w:val="20"/>
        </w:rPr>
        <w:t>a</w:t>
      </w:r>
      <w:r w:rsidR="009F0DC6">
        <w:rPr>
          <w:rFonts w:eastAsia="Calibri" w:cs="Arial"/>
          <w:i w:val="0"/>
          <w:snapToGrid w:val="0"/>
          <w:szCs w:val="20"/>
        </w:rPr>
        <w:t xml:space="preserve"> </w:t>
      </w:r>
      <w:r w:rsidR="00F23FDE">
        <w:rPr>
          <w:rFonts w:eastAsia="Calibri" w:cs="Arial"/>
          <w:i w:val="0"/>
          <w:snapToGrid w:val="0"/>
          <w:szCs w:val="20"/>
        </w:rPr>
        <w:t xml:space="preserve">protein. </w:t>
      </w:r>
      <w:r w:rsidR="00B34D3D">
        <w:rPr>
          <w:rFonts w:eastAsia="Calibri" w:cs="Arial"/>
          <w:i w:val="0"/>
          <w:snapToGrid w:val="0"/>
          <w:szCs w:val="20"/>
        </w:rPr>
        <w:t xml:space="preserve">Dr. </w:t>
      </w:r>
      <w:r w:rsidR="00A76E3A">
        <w:rPr>
          <w:rFonts w:eastAsia="Calibri" w:cs="Arial"/>
          <w:i w:val="0"/>
          <w:snapToGrid w:val="0"/>
          <w:szCs w:val="20"/>
        </w:rPr>
        <w:t>B</w:t>
      </w:r>
      <w:r w:rsidR="00F23FDE">
        <w:rPr>
          <w:rFonts w:eastAsia="Calibri" w:cs="Arial"/>
          <w:i w:val="0"/>
          <w:snapToGrid w:val="0"/>
          <w:szCs w:val="20"/>
        </w:rPr>
        <w:t xml:space="preserve"> commented </w:t>
      </w:r>
      <w:r w:rsidR="0097061D">
        <w:rPr>
          <w:rFonts w:eastAsia="Calibri" w:cs="Arial"/>
          <w:i w:val="0"/>
          <w:snapToGrid w:val="0"/>
          <w:szCs w:val="20"/>
        </w:rPr>
        <w:t xml:space="preserve">that </w:t>
      </w:r>
      <w:r w:rsidR="00D451B4">
        <w:rPr>
          <w:rFonts w:eastAsia="Calibri" w:cs="Arial"/>
          <w:i w:val="0"/>
          <w:snapToGrid w:val="0"/>
          <w:szCs w:val="20"/>
        </w:rPr>
        <w:t>the</w:t>
      </w:r>
      <w:r w:rsidR="009F0DC6">
        <w:rPr>
          <w:rFonts w:eastAsia="Calibri" w:cs="Arial"/>
          <w:i w:val="0"/>
          <w:snapToGrid w:val="0"/>
          <w:szCs w:val="20"/>
        </w:rPr>
        <w:t xml:space="preserve"> </w:t>
      </w:r>
      <w:r w:rsidR="00F23FDE">
        <w:rPr>
          <w:rFonts w:eastAsia="Calibri" w:cs="Arial"/>
          <w:i w:val="0"/>
          <w:snapToGrid w:val="0"/>
          <w:szCs w:val="20"/>
        </w:rPr>
        <w:t>scientist</w:t>
      </w:r>
      <w:r w:rsidR="00377BAA">
        <w:rPr>
          <w:rFonts w:eastAsia="Calibri" w:cs="Arial"/>
          <w:i w:val="0"/>
          <w:snapToGrid w:val="0"/>
          <w:szCs w:val="20"/>
        </w:rPr>
        <w:t>’s theory</w:t>
      </w:r>
      <w:r w:rsidR="00F23FDE">
        <w:rPr>
          <w:rFonts w:eastAsia="Calibri" w:cs="Arial"/>
          <w:i w:val="0"/>
          <w:snapToGrid w:val="0"/>
          <w:szCs w:val="20"/>
        </w:rPr>
        <w:t xml:space="preserve"> was ‘kn</w:t>
      </w:r>
      <w:r w:rsidR="00452413">
        <w:rPr>
          <w:rFonts w:eastAsia="Calibri" w:cs="Arial"/>
          <w:i w:val="0"/>
          <w:snapToGrid w:val="0"/>
          <w:szCs w:val="20"/>
        </w:rPr>
        <w:t>ocked down by leading virologists around the world’</w:t>
      </w:r>
      <w:r w:rsidR="005B5846">
        <w:rPr>
          <w:rFonts w:eastAsia="Calibri" w:cs="Arial"/>
          <w:i w:val="0"/>
          <w:snapToGrid w:val="0"/>
          <w:szCs w:val="20"/>
        </w:rPr>
        <w:t>.</w:t>
      </w:r>
    </w:p>
    <w:p w14:paraId="158A02E1" w14:textId="02DFEEAC" w:rsidR="000A3DC6" w:rsidRDefault="00B34D3D" w:rsidP="00932D28">
      <w:pPr>
        <w:spacing w:before="0" w:after="120" w:line="240" w:lineRule="atLeast"/>
        <w:rPr>
          <w:rFonts w:eastAsia="Calibri" w:cs="Arial"/>
          <w:i w:val="0"/>
          <w:snapToGrid w:val="0"/>
          <w:szCs w:val="20"/>
        </w:rPr>
      </w:pPr>
      <w:r>
        <w:rPr>
          <w:rFonts w:eastAsia="Calibri" w:cs="Arial"/>
          <w:i w:val="0"/>
          <w:snapToGrid w:val="0"/>
          <w:szCs w:val="20"/>
        </w:rPr>
        <w:t xml:space="preserve">Dr. </w:t>
      </w:r>
      <w:r w:rsidR="00A76E3A">
        <w:rPr>
          <w:rFonts w:eastAsia="Calibri" w:cs="Arial"/>
          <w:i w:val="0"/>
          <w:snapToGrid w:val="0"/>
          <w:szCs w:val="20"/>
        </w:rPr>
        <w:t>B</w:t>
      </w:r>
      <w:r w:rsidR="00D87FC4">
        <w:rPr>
          <w:rFonts w:eastAsia="Calibri" w:cs="Arial"/>
          <w:i w:val="0"/>
          <w:snapToGrid w:val="0"/>
          <w:szCs w:val="20"/>
        </w:rPr>
        <w:t xml:space="preserve"> </w:t>
      </w:r>
      <w:r w:rsidR="003C25F9">
        <w:rPr>
          <w:rFonts w:eastAsia="Calibri" w:cs="Arial"/>
          <w:i w:val="0"/>
          <w:snapToGrid w:val="0"/>
          <w:szCs w:val="20"/>
        </w:rPr>
        <w:t>then made the following statement</w:t>
      </w:r>
      <w:r w:rsidR="00D82EDF">
        <w:rPr>
          <w:rFonts w:eastAsia="Calibri" w:cs="Arial"/>
          <w:i w:val="0"/>
          <w:snapToGrid w:val="0"/>
          <w:szCs w:val="20"/>
        </w:rPr>
        <w:t xml:space="preserve"> at approximately </w:t>
      </w:r>
      <w:r w:rsidR="001D7727">
        <w:rPr>
          <w:rFonts w:eastAsia="Calibri" w:cs="Arial"/>
          <w:i w:val="0"/>
          <w:snapToGrid w:val="0"/>
          <w:szCs w:val="20"/>
        </w:rPr>
        <w:t>23:27</w:t>
      </w:r>
      <w:r w:rsidR="00887EEC">
        <w:rPr>
          <w:rFonts w:eastAsia="Calibri" w:cs="Arial"/>
          <w:i w:val="0"/>
          <w:snapToGrid w:val="0"/>
          <w:szCs w:val="20"/>
        </w:rPr>
        <w:t xml:space="preserve"> minutes</w:t>
      </w:r>
      <w:r w:rsidR="00DB74EC">
        <w:rPr>
          <w:rFonts w:eastAsia="Calibri" w:cs="Arial"/>
          <w:i w:val="0"/>
          <w:snapToGrid w:val="0"/>
          <w:szCs w:val="20"/>
        </w:rPr>
        <w:t>:</w:t>
      </w:r>
    </w:p>
    <w:p w14:paraId="1B1075DA" w14:textId="2379DE8E" w:rsidR="000A3DC6" w:rsidRPr="000A3DC6" w:rsidRDefault="00AC23DB" w:rsidP="000237E6">
      <w:pPr>
        <w:spacing w:before="0" w:line="240" w:lineRule="atLeast"/>
        <w:ind w:left="709"/>
        <w:rPr>
          <w:rFonts w:eastAsia="Calibri" w:cs="Arial"/>
          <w:i w:val="0"/>
          <w:snapToGrid w:val="0"/>
          <w:sz w:val="18"/>
          <w:szCs w:val="18"/>
        </w:rPr>
      </w:pPr>
      <w:r>
        <w:rPr>
          <w:rFonts w:eastAsia="Calibri" w:cs="Arial"/>
          <w:i w:val="0"/>
          <w:snapToGrid w:val="0"/>
          <w:sz w:val="18"/>
          <w:szCs w:val="18"/>
        </w:rPr>
        <w:t>And yet</w:t>
      </w:r>
      <w:r w:rsidR="000A3DC6">
        <w:rPr>
          <w:rFonts w:eastAsia="Calibri" w:cs="Arial"/>
          <w:i w:val="0"/>
          <w:snapToGrid w:val="0"/>
          <w:sz w:val="18"/>
          <w:szCs w:val="18"/>
        </w:rPr>
        <w:t>, i</w:t>
      </w:r>
      <w:r w:rsidR="000A3DC6" w:rsidRPr="000A3DC6">
        <w:rPr>
          <w:rFonts w:eastAsia="Calibri" w:cs="Arial"/>
          <w:i w:val="0"/>
          <w:snapToGrid w:val="0"/>
          <w:sz w:val="18"/>
          <w:szCs w:val="18"/>
        </w:rPr>
        <w:t>n practice what we are se</w:t>
      </w:r>
      <w:r w:rsidR="00B30C8A">
        <w:rPr>
          <w:rFonts w:eastAsia="Calibri" w:cs="Arial"/>
          <w:i w:val="0"/>
          <w:snapToGrid w:val="0"/>
          <w:sz w:val="18"/>
          <w:szCs w:val="18"/>
        </w:rPr>
        <w:t>e</w:t>
      </w:r>
      <w:r w:rsidR="0073258A">
        <w:rPr>
          <w:rFonts w:eastAsia="Calibri" w:cs="Arial"/>
          <w:i w:val="0"/>
          <w:snapToGrid w:val="0"/>
          <w:sz w:val="18"/>
          <w:szCs w:val="18"/>
        </w:rPr>
        <w:t>ing</w:t>
      </w:r>
      <w:r w:rsidR="000A3DC6" w:rsidRPr="000A3DC6">
        <w:rPr>
          <w:rFonts w:eastAsia="Calibri" w:cs="Arial"/>
          <w:i w:val="0"/>
          <w:snapToGrid w:val="0"/>
          <w:sz w:val="18"/>
          <w:szCs w:val="18"/>
        </w:rPr>
        <w:t xml:space="preserve"> is </w:t>
      </w:r>
      <w:r w:rsidR="000A3DC6">
        <w:rPr>
          <w:rFonts w:eastAsia="Calibri" w:cs="Arial"/>
          <w:i w:val="0"/>
          <w:snapToGrid w:val="0"/>
          <w:sz w:val="18"/>
          <w:szCs w:val="18"/>
        </w:rPr>
        <w:t>almost a</w:t>
      </w:r>
      <w:r w:rsidR="000A3DC6" w:rsidRPr="000A3DC6">
        <w:rPr>
          <w:rFonts w:eastAsia="Calibri" w:cs="Arial"/>
          <w:i w:val="0"/>
          <w:snapToGrid w:val="0"/>
          <w:sz w:val="18"/>
          <w:szCs w:val="18"/>
        </w:rPr>
        <w:t xml:space="preserve"> 400% increase in miscarriage</w:t>
      </w:r>
      <w:r w:rsidR="000A3DC6">
        <w:rPr>
          <w:rFonts w:eastAsia="Calibri" w:cs="Arial"/>
          <w:i w:val="0"/>
          <w:snapToGrid w:val="0"/>
          <w:sz w:val="18"/>
          <w:szCs w:val="18"/>
        </w:rPr>
        <w:t>s</w:t>
      </w:r>
      <w:r w:rsidR="000A3DC6" w:rsidRPr="000A3DC6">
        <w:rPr>
          <w:rFonts w:eastAsia="Calibri" w:cs="Arial"/>
          <w:i w:val="0"/>
          <w:snapToGrid w:val="0"/>
          <w:sz w:val="18"/>
          <w:szCs w:val="18"/>
        </w:rPr>
        <w:t xml:space="preserve">, </w:t>
      </w:r>
      <w:r w:rsidR="000A3DC6">
        <w:rPr>
          <w:rFonts w:eastAsia="Calibri" w:cs="Arial"/>
          <w:i w:val="0"/>
          <w:snapToGrid w:val="0"/>
          <w:sz w:val="18"/>
          <w:szCs w:val="18"/>
        </w:rPr>
        <w:t>that 7</w:t>
      </w:r>
      <w:r>
        <w:rPr>
          <w:rFonts w:eastAsia="Calibri" w:cs="Arial"/>
          <w:i w:val="0"/>
          <w:snapToGrid w:val="0"/>
          <w:sz w:val="18"/>
          <w:szCs w:val="18"/>
        </w:rPr>
        <w:t xml:space="preserve"> </w:t>
      </w:r>
      <w:r w:rsidR="000A3DC6">
        <w:rPr>
          <w:rFonts w:eastAsia="Calibri" w:cs="Arial"/>
          <w:i w:val="0"/>
          <w:snapToGrid w:val="0"/>
          <w:sz w:val="18"/>
          <w:szCs w:val="18"/>
        </w:rPr>
        <w:t xml:space="preserve">months old, </w:t>
      </w:r>
      <w:r w:rsidR="001D7727">
        <w:rPr>
          <w:rFonts w:eastAsia="Calibri" w:cs="Arial"/>
          <w:i w:val="0"/>
          <w:snapToGrid w:val="0"/>
          <w:sz w:val="18"/>
          <w:szCs w:val="18"/>
        </w:rPr>
        <w:t xml:space="preserve">that </w:t>
      </w:r>
      <w:r w:rsidR="000A3DC6">
        <w:rPr>
          <w:rFonts w:eastAsia="Calibri" w:cs="Arial"/>
          <w:i w:val="0"/>
          <w:snapToGrid w:val="0"/>
          <w:sz w:val="18"/>
          <w:szCs w:val="18"/>
        </w:rPr>
        <w:t>7 months old foetus</w:t>
      </w:r>
      <w:r w:rsidR="000A3DC6" w:rsidRPr="000A3DC6">
        <w:rPr>
          <w:rFonts w:eastAsia="Calibri" w:cs="Arial"/>
          <w:i w:val="0"/>
          <w:snapToGrid w:val="0"/>
          <w:sz w:val="18"/>
          <w:szCs w:val="18"/>
        </w:rPr>
        <w:t xml:space="preserve"> is not a miscarriage, it’s a murder.</w:t>
      </w:r>
      <w:r w:rsidR="000A3DC6">
        <w:rPr>
          <w:rFonts w:eastAsia="Calibri" w:cs="Arial"/>
          <w:i w:val="0"/>
          <w:snapToGrid w:val="0"/>
          <w:sz w:val="18"/>
          <w:szCs w:val="18"/>
        </w:rPr>
        <w:t xml:space="preserve"> And again, we are turning our backs on what is happening </w:t>
      </w:r>
      <w:r w:rsidR="00406FA1">
        <w:rPr>
          <w:rFonts w:eastAsia="Calibri" w:cs="Arial"/>
          <w:i w:val="0"/>
          <w:snapToGrid w:val="0"/>
          <w:sz w:val="18"/>
          <w:szCs w:val="18"/>
        </w:rPr>
        <w:t xml:space="preserve">right </w:t>
      </w:r>
      <w:r w:rsidR="000A3DC6">
        <w:rPr>
          <w:rFonts w:eastAsia="Calibri" w:cs="Arial"/>
          <w:i w:val="0"/>
          <w:snapToGrid w:val="0"/>
          <w:sz w:val="18"/>
          <w:szCs w:val="18"/>
        </w:rPr>
        <w:t xml:space="preserve">in front of us, we are relying </w:t>
      </w:r>
      <w:r>
        <w:rPr>
          <w:rFonts w:eastAsia="Calibri" w:cs="Arial"/>
          <w:i w:val="0"/>
          <w:snapToGrid w:val="0"/>
          <w:sz w:val="18"/>
          <w:szCs w:val="18"/>
        </w:rPr>
        <w:t>o</w:t>
      </w:r>
      <w:r w:rsidR="000A3DC6">
        <w:rPr>
          <w:rFonts w:eastAsia="Calibri" w:cs="Arial"/>
          <w:i w:val="0"/>
          <w:snapToGrid w:val="0"/>
          <w:sz w:val="18"/>
          <w:szCs w:val="18"/>
        </w:rPr>
        <w:t xml:space="preserve">n experts who </w:t>
      </w:r>
      <w:r w:rsidR="00316346">
        <w:rPr>
          <w:rFonts w:eastAsia="Calibri" w:cs="Arial"/>
          <w:i w:val="0"/>
          <w:snapToGrid w:val="0"/>
          <w:sz w:val="18"/>
          <w:szCs w:val="18"/>
        </w:rPr>
        <w:t>say,</w:t>
      </w:r>
      <w:r w:rsidR="000A3DC6">
        <w:rPr>
          <w:rFonts w:eastAsia="Calibri" w:cs="Arial"/>
          <w:i w:val="0"/>
          <w:snapToGrid w:val="0"/>
          <w:sz w:val="18"/>
          <w:szCs w:val="18"/>
        </w:rPr>
        <w:t xml:space="preserve"> ‘oh it’s been debunked</w:t>
      </w:r>
      <w:r w:rsidR="006241B1">
        <w:rPr>
          <w:rFonts w:eastAsia="Calibri" w:cs="Arial"/>
          <w:i w:val="0"/>
          <w:snapToGrid w:val="0"/>
          <w:sz w:val="18"/>
          <w:szCs w:val="18"/>
        </w:rPr>
        <w:t>’</w:t>
      </w:r>
      <w:r w:rsidR="000A3DC6">
        <w:rPr>
          <w:rFonts w:eastAsia="Calibri" w:cs="Arial"/>
          <w:i w:val="0"/>
          <w:snapToGrid w:val="0"/>
          <w:sz w:val="18"/>
          <w:szCs w:val="18"/>
        </w:rPr>
        <w:t xml:space="preserve"> and not looking under the rock and saying </w:t>
      </w:r>
      <w:r>
        <w:rPr>
          <w:rFonts w:eastAsia="Calibri" w:cs="Arial"/>
          <w:i w:val="0"/>
          <w:snapToGrid w:val="0"/>
          <w:sz w:val="18"/>
          <w:szCs w:val="18"/>
        </w:rPr>
        <w:t xml:space="preserve">well, </w:t>
      </w:r>
      <w:r w:rsidR="000A3DC6">
        <w:rPr>
          <w:rFonts w:eastAsia="Calibri" w:cs="Arial"/>
          <w:i w:val="0"/>
          <w:snapToGrid w:val="0"/>
          <w:sz w:val="18"/>
          <w:szCs w:val="18"/>
        </w:rPr>
        <w:t xml:space="preserve">is there a study </w:t>
      </w:r>
      <w:r>
        <w:rPr>
          <w:rFonts w:eastAsia="Calibri" w:cs="Arial"/>
          <w:i w:val="0"/>
          <w:snapToGrid w:val="0"/>
          <w:sz w:val="18"/>
          <w:szCs w:val="18"/>
        </w:rPr>
        <w:t>to show us how</w:t>
      </w:r>
      <w:r w:rsidR="000A3DC6">
        <w:rPr>
          <w:rFonts w:eastAsia="Calibri" w:cs="Arial"/>
          <w:i w:val="0"/>
          <w:snapToGrid w:val="0"/>
          <w:sz w:val="18"/>
          <w:szCs w:val="18"/>
        </w:rPr>
        <w:t xml:space="preserve"> it’s been debunked</w:t>
      </w:r>
      <w:r>
        <w:rPr>
          <w:rFonts w:eastAsia="Calibri" w:cs="Arial"/>
          <w:i w:val="0"/>
          <w:snapToGrid w:val="0"/>
          <w:sz w:val="18"/>
          <w:szCs w:val="18"/>
        </w:rPr>
        <w:t xml:space="preserve">? </w:t>
      </w:r>
      <w:r w:rsidR="00A43098">
        <w:rPr>
          <w:rFonts w:eastAsia="Calibri" w:cs="Arial"/>
          <w:i w:val="0"/>
          <w:snapToGrid w:val="0"/>
          <w:sz w:val="18"/>
          <w:szCs w:val="18"/>
        </w:rPr>
        <w:t>No.</w:t>
      </w:r>
    </w:p>
    <w:p w14:paraId="3798CFDE" w14:textId="77777777" w:rsidR="00155A86" w:rsidRDefault="00155A86" w:rsidP="00932D28">
      <w:pPr>
        <w:spacing w:before="0" w:line="240" w:lineRule="atLeast"/>
        <w:rPr>
          <w:rFonts w:eastAsia="Calibri" w:cs="Arial"/>
          <w:b/>
          <w:bCs/>
          <w:i w:val="0"/>
          <w:snapToGrid w:val="0"/>
          <w:szCs w:val="20"/>
        </w:rPr>
      </w:pPr>
      <w:r w:rsidRPr="009F0DC6">
        <w:rPr>
          <w:rFonts w:eastAsia="Calibri" w:cs="Arial"/>
          <w:b/>
          <w:bCs/>
          <w:i w:val="0"/>
          <w:snapToGrid w:val="0"/>
          <w:szCs w:val="20"/>
        </w:rPr>
        <w:t>What did the material convey to the ordinary reasonable viewer?</w:t>
      </w:r>
    </w:p>
    <w:p w14:paraId="7711527C" w14:textId="7F130D89" w:rsidR="005C62B0" w:rsidRDefault="00194A4F" w:rsidP="00932D28">
      <w:pPr>
        <w:spacing w:before="0" w:line="240" w:lineRule="atLeast"/>
        <w:rPr>
          <w:rFonts w:cs="Arial"/>
          <w:i w:val="0"/>
          <w:snapToGrid w:val="0"/>
          <w:szCs w:val="20"/>
        </w:rPr>
      </w:pPr>
      <w:r>
        <w:rPr>
          <w:i w:val="0"/>
          <w:iCs/>
        </w:rPr>
        <w:t>T</w:t>
      </w:r>
      <w:r w:rsidR="00B85BAE" w:rsidRPr="00B85BAE">
        <w:rPr>
          <w:i w:val="0"/>
          <w:iCs/>
        </w:rPr>
        <w:t>he ordinary reasonable viewer would have understood</w:t>
      </w:r>
      <w:r w:rsidR="00240E43">
        <w:rPr>
          <w:i w:val="0"/>
          <w:iCs/>
        </w:rPr>
        <w:t xml:space="preserve"> Dr</w:t>
      </w:r>
      <w:r w:rsidR="002257FE">
        <w:rPr>
          <w:i w:val="0"/>
          <w:iCs/>
        </w:rPr>
        <w:t>.</w:t>
      </w:r>
      <w:r w:rsidR="00240E43">
        <w:rPr>
          <w:i w:val="0"/>
          <w:iCs/>
        </w:rPr>
        <w:t xml:space="preserve"> </w:t>
      </w:r>
      <w:r w:rsidR="00A76E3A">
        <w:rPr>
          <w:i w:val="0"/>
          <w:iCs/>
        </w:rPr>
        <w:t>B</w:t>
      </w:r>
      <w:r w:rsidR="00240E43">
        <w:rPr>
          <w:i w:val="0"/>
          <w:iCs/>
        </w:rPr>
        <w:t xml:space="preserve"> to be saying</w:t>
      </w:r>
      <w:r w:rsidR="00B85BAE" w:rsidRPr="00B85BAE">
        <w:rPr>
          <w:i w:val="0"/>
          <w:iCs/>
        </w:rPr>
        <w:t xml:space="preserve"> that</w:t>
      </w:r>
      <w:r w:rsidR="00E64A51">
        <w:rPr>
          <w:rFonts w:cs="Arial"/>
          <w:i w:val="0"/>
          <w:snapToGrid w:val="0"/>
          <w:szCs w:val="20"/>
        </w:rPr>
        <w:t xml:space="preserve"> </w:t>
      </w:r>
      <w:r w:rsidR="00165FC5">
        <w:rPr>
          <w:rFonts w:cs="Arial"/>
          <w:i w:val="0"/>
          <w:snapToGrid w:val="0"/>
          <w:szCs w:val="20"/>
        </w:rPr>
        <w:t xml:space="preserve">medical professionals </w:t>
      </w:r>
      <w:r w:rsidR="00F44FBF">
        <w:rPr>
          <w:rFonts w:cs="Arial"/>
          <w:i w:val="0"/>
          <w:snapToGrid w:val="0"/>
          <w:szCs w:val="20"/>
        </w:rPr>
        <w:t>ha</w:t>
      </w:r>
      <w:r w:rsidR="006A4A0C">
        <w:rPr>
          <w:rFonts w:cs="Arial"/>
          <w:i w:val="0"/>
          <w:snapToGrid w:val="0"/>
          <w:szCs w:val="20"/>
        </w:rPr>
        <w:t>d</w:t>
      </w:r>
      <w:r w:rsidR="00DA7F3C">
        <w:rPr>
          <w:rFonts w:cs="Arial"/>
          <w:i w:val="0"/>
          <w:snapToGrid w:val="0"/>
          <w:szCs w:val="20"/>
        </w:rPr>
        <w:t xml:space="preserve"> </w:t>
      </w:r>
      <w:r>
        <w:rPr>
          <w:rFonts w:cs="Arial"/>
          <w:i w:val="0"/>
          <w:snapToGrid w:val="0"/>
          <w:szCs w:val="20"/>
        </w:rPr>
        <w:t>s</w:t>
      </w:r>
      <w:r w:rsidR="00DA7F3C">
        <w:rPr>
          <w:rFonts w:cs="Arial"/>
          <w:i w:val="0"/>
          <w:snapToGrid w:val="0"/>
          <w:szCs w:val="20"/>
        </w:rPr>
        <w:t>een a</w:t>
      </w:r>
      <w:r w:rsidR="004F1D96">
        <w:rPr>
          <w:rFonts w:cs="Arial"/>
          <w:i w:val="0"/>
          <w:snapToGrid w:val="0"/>
          <w:szCs w:val="20"/>
        </w:rPr>
        <w:t xml:space="preserve"> 400%</w:t>
      </w:r>
      <w:r w:rsidR="00DA7F3C">
        <w:rPr>
          <w:rFonts w:cs="Arial"/>
          <w:i w:val="0"/>
          <w:snapToGrid w:val="0"/>
          <w:szCs w:val="20"/>
        </w:rPr>
        <w:t xml:space="preserve"> increase </w:t>
      </w:r>
      <w:r w:rsidR="0027209F">
        <w:rPr>
          <w:rFonts w:cs="Arial"/>
          <w:i w:val="0"/>
          <w:snapToGrid w:val="0"/>
          <w:szCs w:val="20"/>
        </w:rPr>
        <w:t>in</w:t>
      </w:r>
      <w:r w:rsidR="00DA7F3C">
        <w:rPr>
          <w:rFonts w:cs="Arial"/>
          <w:i w:val="0"/>
          <w:snapToGrid w:val="0"/>
          <w:szCs w:val="20"/>
        </w:rPr>
        <w:t xml:space="preserve"> </w:t>
      </w:r>
      <w:r w:rsidR="00523BAD">
        <w:rPr>
          <w:rFonts w:cs="Arial"/>
          <w:i w:val="0"/>
          <w:snapToGrid w:val="0"/>
          <w:szCs w:val="20"/>
        </w:rPr>
        <w:t>miscarriages since</w:t>
      </w:r>
      <w:r w:rsidR="0027209F">
        <w:rPr>
          <w:rFonts w:cs="Arial"/>
          <w:i w:val="0"/>
          <w:snapToGrid w:val="0"/>
          <w:szCs w:val="20"/>
        </w:rPr>
        <w:t xml:space="preserve"> the </w:t>
      </w:r>
      <w:r w:rsidR="002A4894">
        <w:rPr>
          <w:rFonts w:cs="Arial"/>
          <w:i w:val="0"/>
          <w:snapToGrid w:val="0"/>
          <w:szCs w:val="20"/>
        </w:rPr>
        <w:t>COVID</w:t>
      </w:r>
      <w:r w:rsidR="00F745AC">
        <w:rPr>
          <w:rFonts w:cs="Arial"/>
          <w:i w:val="0"/>
          <w:snapToGrid w:val="0"/>
          <w:szCs w:val="20"/>
        </w:rPr>
        <w:t xml:space="preserve">-19 </w:t>
      </w:r>
      <w:r w:rsidR="0027209F">
        <w:rPr>
          <w:rFonts w:cs="Arial"/>
          <w:i w:val="0"/>
          <w:snapToGrid w:val="0"/>
          <w:szCs w:val="20"/>
        </w:rPr>
        <w:t>vaccine became available</w:t>
      </w:r>
      <w:r>
        <w:rPr>
          <w:rFonts w:cs="Arial"/>
          <w:i w:val="0"/>
          <w:snapToGrid w:val="0"/>
          <w:szCs w:val="20"/>
        </w:rPr>
        <w:t>,</w:t>
      </w:r>
      <w:r w:rsidR="0027209F">
        <w:rPr>
          <w:rFonts w:cs="Arial"/>
          <w:i w:val="0"/>
          <w:snapToGrid w:val="0"/>
          <w:szCs w:val="20"/>
        </w:rPr>
        <w:t xml:space="preserve"> and </w:t>
      </w:r>
      <w:r w:rsidR="006A4A0C">
        <w:rPr>
          <w:rFonts w:cs="Arial"/>
          <w:i w:val="0"/>
          <w:snapToGrid w:val="0"/>
          <w:szCs w:val="20"/>
        </w:rPr>
        <w:t xml:space="preserve">that </w:t>
      </w:r>
      <w:r w:rsidR="0027209F">
        <w:rPr>
          <w:rFonts w:cs="Arial"/>
          <w:i w:val="0"/>
          <w:snapToGrid w:val="0"/>
          <w:szCs w:val="20"/>
        </w:rPr>
        <w:t>th</w:t>
      </w:r>
      <w:r w:rsidR="00523BAD">
        <w:rPr>
          <w:rFonts w:cs="Arial"/>
          <w:i w:val="0"/>
          <w:snapToGrid w:val="0"/>
          <w:szCs w:val="20"/>
        </w:rPr>
        <w:t>e</w:t>
      </w:r>
      <w:r w:rsidR="0027209F">
        <w:rPr>
          <w:rFonts w:cs="Arial"/>
          <w:i w:val="0"/>
          <w:snapToGrid w:val="0"/>
          <w:szCs w:val="20"/>
        </w:rPr>
        <w:t xml:space="preserve"> miscarriage involv</w:t>
      </w:r>
      <w:r w:rsidR="006A4A0C">
        <w:rPr>
          <w:rFonts w:cs="Arial"/>
          <w:i w:val="0"/>
          <w:snapToGrid w:val="0"/>
          <w:szCs w:val="20"/>
        </w:rPr>
        <w:t>ing</w:t>
      </w:r>
      <w:r w:rsidR="0027209F">
        <w:rPr>
          <w:rFonts w:cs="Arial"/>
          <w:i w:val="0"/>
          <w:snapToGrid w:val="0"/>
          <w:szCs w:val="20"/>
        </w:rPr>
        <w:t xml:space="preserve"> </w:t>
      </w:r>
      <w:r w:rsidR="00523BAD">
        <w:rPr>
          <w:rFonts w:cs="Arial"/>
          <w:i w:val="0"/>
          <w:snapToGrid w:val="0"/>
          <w:szCs w:val="20"/>
        </w:rPr>
        <w:t xml:space="preserve">a </w:t>
      </w:r>
      <w:r w:rsidR="006F1B3A">
        <w:rPr>
          <w:rFonts w:cs="Arial"/>
          <w:i w:val="0"/>
          <w:snapToGrid w:val="0"/>
          <w:szCs w:val="20"/>
        </w:rPr>
        <w:t>7-month-old</w:t>
      </w:r>
      <w:r w:rsidR="0036716B">
        <w:rPr>
          <w:rFonts w:cs="Arial"/>
          <w:i w:val="0"/>
          <w:snapToGrid w:val="0"/>
          <w:szCs w:val="20"/>
        </w:rPr>
        <w:t xml:space="preserve"> </w:t>
      </w:r>
      <w:r w:rsidR="007073C4">
        <w:rPr>
          <w:rFonts w:cs="Arial"/>
          <w:i w:val="0"/>
          <w:snapToGrid w:val="0"/>
          <w:szCs w:val="20"/>
        </w:rPr>
        <w:t>foetus</w:t>
      </w:r>
      <w:r w:rsidR="00CB336E">
        <w:rPr>
          <w:rFonts w:cs="Arial"/>
          <w:i w:val="0"/>
          <w:snapToGrid w:val="0"/>
          <w:szCs w:val="20"/>
        </w:rPr>
        <w:t xml:space="preserve"> referred </w:t>
      </w:r>
      <w:r w:rsidR="00F64338">
        <w:rPr>
          <w:rFonts w:cs="Arial"/>
          <w:i w:val="0"/>
          <w:snapToGrid w:val="0"/>
          <w:szCs w:val="20"/>
        </w:rPr>
        <w:t>to</w:t>
      </w:r>
      <w:r>
        <w:rPr>
          <w:rFonts w:cs="Arial"/>
          <w:i w:val="0"/>
          <w:snapToGrid w:val="0"/>
          <w:szCs w:val="20"/>
        </w:rPr>
        <w:t xml:space="preserve"> previously</w:t>
      </w:r>
      <w:r w:rsidR="00F64338">
        <w:rPr>
          <w:rFonts w:cs="Arial"/>
          <w:i w:val="0"/>
          <w:snapToGrid w:val="0"/>
          <w:szCs w:val="20"/>
        </w:rPr>
        <w:t xml:space="preserve"> </w:t>
      </w:r>
      <w:r w:rsidR="00CB336E">
        <w:rPr>
          <w:rFonts w:cs="Arial"/>
          <w:i w:val="0"/>
          <w:snapToGrid w:val="0"/>
          <w:szCs w:val="20"/>
        </w:rPr>
        <w:t xml:space="preserve">by </w:t>
      </w:r>
      <w:r w:rsidR="00644E33">
        <w:rPr>
          <w:rFonts w:cs="Arial"/>
          <w:i w:val="0"/>
          <w:snapToGrid w:val="0"/>
          <w:szCs w:val="20"/>
        </w:rPr>
        <w:t>Host</w:t>
      </w:r>
      <w:r w:rsidR="002C2E89">
        <w:rPr>
          <w:rFonts w:cs="Arial"/>
          <w:i w:val="0"/>
          <w:snapToGrid w:val="0"/>
          <w:szCs w:val="20"/>
        </w:rPr>
        <w:t xml:space="preserve"> </w:t>
      </w:r>
      <w:r w:rsidR="00A76E3A">
        <w:rPr>
          <w:rFonts w:cs="Arial"/>
          <w:i w:val="0"/>
          <w:snapToGrid w:val="0"/>
          <w:szCs w:val="20"/>
        </w:rPr>
        <w:t>2</w:t>
      </w:r>
      <w:r w:rsidR="0051652B">
        <w:rPr>
          <w:rFonts w:cs="Arial"/>
          <w:i w:val="0"/>
          <w:snapToGrid w:val="0"/>
          <w:szCs w:val="20"/>
        </w:rPr>
        <w:t xml:space="preserve"> </w:t>
      </w:r>
      <w:r w:rsidR="002C2E89">
        <w:rPr>
          <w:rFonts w:cs="Arial"/>
          <w:i w:val="0"/>
          <w:snapToGrid w:val="0"/>
          <w:szCs w:val="20"/>
        </w:rPr>
        <w:t>constitute</w:t>
      </w:r>
      <w:r w:rsidR="00F64338">
        <w:rPr>
          <w:rFonts w:cs="Arial"/>
          <w:i w:val="0"/>
          <w:snapToGrid w:val="0"/>
          <w:szCs w:val="20"/>
        </w:rPr>
        <w:t>d</w:t>
      </w:r>
      <w:r w:rsidR="002C2E89">
        <w:rPr>
          <w:rFonts w:cs="Arial"/>
          <w:i w:val="0"/>
          <w:snapToGrid w:val="0"/>
          <w:szCs w:val="20"/>
        </w:rPr>
        <w:t xml:space="preserve"> a murder</w:t>
      </w:r>
      <w:r w:rsidR="00BB1257">
        <w:rPr>
          <w:rFonts w:cs="Arial"/>
          <w:i w:val="0"/>
          <w:snapToGrid w:val="0"/>
          <w:szCs w:val="20"/>
        </w:rPr>
        <w:t>.</w:t>
      </w:r>
    </w:p>
    <w:p w14:paraId="5C0C1E4D" w14:textId="4A814236" w:rsidR="009A522D" w:rsidRDefault="009A522D" w:rsidP="00932D28">
      <w:pPr>
        <w:spacing w:before="0" w:line="240" w:lineRule="atLeast"/>
        <w:rPr>
          <w:rFonts w:eastAsia="Calibri" w:cs="Arial"/>
          <w:b/>
          <w:bCs/>
          <w:i w:val="0"/>
          <w:snapToGrid w:val="0"/>
          <w:szCs w:val="20"/>
        </w:rPr>
      </w:pPr>
      <w:r w:rsidRPr="00E171F9">
        <w:rPr>
          <w:rFonts w:eastAsia="Calibri" w:cs="Arial"/>
          <w:b/>
          <w:bCs/>
          <w:i w:val="0"/>
          <w:snapToGrid w:val="0"/>
          <w:szCs w:val="20"/>
        </w:rPr>
        <w:t>Was the material factual in character?</w:t>
      </w:r>
    </w:p>
    <w:p w14:paraId="127BB49F" w14:textId="302E589B" w:rsidR="0093250B" w:rsidRPr="00024E1D" w:rsidRDefault="0093250B" w:rsidP="00932D28">
      <w:pPr>
        <w:pStyle w:val="ACMABodyText"/>
        <w:rPr>
          <w:rFonts w:eastAsia="Calibri" w:cs="Arial"/>
          <w:iCs/>
        </w:rPr>
      </w:pPr>
      <w:r>
        <w:rPr>
          <w:rFonts w:cs="Arial"/>
        </w:rPr>
        <w:t xml:space="preserve">As mentioned above, </w:t>
      </w:r>
      <w:r w:rsidR="00B34D3D">
        <w:rPr>
          <w:rFonts w:eastAsia="Calibri" w:cs="Arial"/>
          <w:iCs/>
        </w:rPr>
        <w:t xml:space="preserve">Dr. </w:t>
      </w:r>
      <w:r w:rsidR="00A76E3A">
        <w:rPr>
          <w:rFonts w:eastAsia="Calibri" w:cs="Arial"/>
          <w:iCs/>
        </w:rPr>
        <w:t>B</w:t>
      </w:r>
      <w:r w:rsidRPr="00CC0531">
        <w:rPr>
          <w:rFonts w:eastAsia="Calibri" w:cs="Arial"/>
          <w:iCs/>
        </w:rPr>
        <w:t xml:space="preserve"> presented in the broadcast as a qualified </w:t>
      </w:r>
      <w:r w:rsidRPr="00CC0531">
        <w:rPr>
          <w:rFonts w:eastAsia="Calibri" w:cs="Arial"/>
        </w:rPr>
        <w:t>medical practitioner</w:t>
      </w:r>
      <w:r>
        <w:rPr>
          <w:rFonts w:eastAsia="Calibri" w:cs="Arial"/>
        </w:rPr>
        <w:t>.</w:t>
      </w:r>
      <w:r w:rsidRPr="00CC0531">
        <w:rPr>
          <w:rFonts w:eastAsia="Calibri" w:cs="Arial"/>
        </w:rPr>
        <w:t xml:space="preserve"> </w:t>
      </w:r>
    </w:p>
    <w:p w14:paraId="60E37CDF" w14:textId="3A5D044B" w:rsidR="00200D7C" w:rsidRDefault="0093250B" w:rsidP="00932D28">
      <w:pPr>
        <w:pStyle w:val="ACMABodyText"/>
        <w:rPr>
          <w:rFonts w:cs="Arial"/>
        </w:rPr>
      </w:pPr>
      <w:r>
        <w:rPr>
          <w:rFonts w:cs="Arial"/>
        </w:rPr>
        <w:t xml:space="preserve">In </w:t>
      </w:r>
      <w:r w:rsidR="001E3D58">
        <w:rPr>
          <w:rFonts w:cs="Arial"/>
        </w:rPr>
        <w:t>his</w:t>
      </w:r>
      <w:r w:rsidR="001E3D58" w:rsidRPr="006F341D">
        <w:rPr>
          <w:rFonts w:cs="Arial"/>
        </w:rPr>
        <w:t xml:space="preserve"> </w:t>
      </w:r>
      <w:r w:rsidR="008C6370" w:rsidRPr="006F341D">
        <w:rPr>
          <w:rFonts w:cs="Arial"/>
        </w:rPr>
        <w:t xml:space="preserve">assertion </w:t>
      </w:r>
      <w:r w:rsidR="008D1BD5" w:rsidRPr="006F341D">
        <w:rPr>
          <w:rFonts w:cs="Arial"/>
        </w:rPr>
        <w:t>‘</w:t>
      </w:r>
      <w:r w:rsidR="002E16EC" w:rsidRPr="006F341D">
        <w:rPr>
          <w:rFonts w:cs="Arial"/>
        </w:rPr>
        <w:t xml:space="preserve">we’ve seen </w:t>
      </w:r>
      <w:r w:rsidR="00491C4A">
        <w:rPr>
          <w:rFonts w:cs="Arial"/>
        </w:rPr>
        <w:t xml:space="preserve">a </w:t>
      </w:r>
      <w:r w:rsidR="002F14DA" w:rsidRPr="006F341D">
        <w:rPr>
          <w:rFonts w:cs="Arial"/>
        </w:rPr>
        <w:t>400% increase in miscarriage</w:t>
      </w:r>
      <w:r w:rsidR="008D1BD5" w:rsidRPr="006F341D">
        <w:rPr>
          <w:rFonts w:cs="Arial"/>
        </w:rPr>
        <w:t>’</w:t>
      </w:r>
      <w:r w:rsidR="004C3443">
        <w:rPr>
          <w:rFonts w:cs="Arial"/>
        </w:rPr>
        <w:t>,</w:t>
      </w:r>
      <w:r w:rsidR="008D1BD5" w:rsidRPr="006F341D">
        <w:rPr>
          <w:rFonts w:cs="Arial"/>
        </w:rPr>
        <w:t xml:space="preserve"> </w:t>
      </w:r>
      <w:r w:rsidR="00B34D3D">
        <w:rPr>
          <w:rFonts w:cs="Arial"/>
        </w:rPr>
        <w:t xml:space="preserve">Dr. </w:t>
      </w:r>
      <w:r w:rsidR="00A76E3A">
        <w:rPr>
          <w:rFonts w:cs="Arial"/>
        </w:rPr>
        <w:t>B</w:t>
      </w:r>
      <w:r>
        <w:rPr>
          <w:rFonts w:cs="Arial"/>
        </w:rPr>
        <w:t xml:space="preserve"> </w:t>
      </w:r>
      <w:r w:rsidR="00326F29">
        <w:rPr>
          <w:rFonts w:cs="Arial"/>
        </w:rPr>
        <w:t>back</w:t>
      </w:r>
      <w:r w:rsidR="004C3443">
        <w:rPr>
          <w:rFonts w:cs="Arial"/>
        </w:rPr>
        <w:t>s</w:t>
      </w:r>
      <w:r w:rsidR="00326F29">
        <w:rPr>
          <w:rFonts w:cs="Arial"/>
        </w:rPr>
        <w:t xml:space="preserve"> up the </w:t>
      </w:r>
      <w:r w:rsidR="006E521A">
        <w:rPr>
          <w:rFonts w:cs="Arial"/>
        </w:rPr>
        <w:t>theory</w:t>
      </w:r>
      <w:r w:rsidR="00326F29">
        <w:rPr>
          <w:rFonts w:cs="Arial"/>
        </w:rPr>
        <w:t xml:space="preserve"> </w:t>
      </w:r>
      <w:r w:rsidR="000804DE">
        <w:rPr>
          <w:rFonts w:cs="Arial"/>
        </w:rPr>
        <w:t>presented by</w:t>
      </w:r>
      <w:r w:rsidR="00326F29">
        <w:rPr>
          <w:rFonts w:cs="Arial"/>
        </w:rPr>
        <w:t xml:space="preserve"> </w:t>
      </w:r>
      <w:r w:rsidR="00B34D3D">
        <w:rPr>
          <w:rFonts w:cs="Arial"/>
        </w:rPr>
        <w:t xml:space="preserve">Dr. </w:t>
      </w:r>
      <w:r w:rsidR="008B4A4A">
        <w:rPr>
          <w:rFonts w:cs="Arial"/>
        </w:rPr>
        <w:t>C</w:t>
      </w:r>
      <w:r w:rsidR="008A426B">
        <w:rPr>
          <w:rFonts w:cs="Arial"/>
        </w:rPr>
        <w:t xml:space="preserve"> </w:t>
      </w:r>
      <w:r w:rsidR="003C25F9">
        <w:rPr>
          <w:rFonts w:cs="Arial"/>
        </w:rPr>
        <w:t>about</w:t>
      </w:r>
      <w:r w:rsidR="00200D7C">
        <w:rPr>
          <w:rFonts w:cs="Arial"/>
        </w:rPr>
        <w:t xml:space="preserve"> why miscarriages </w:t>
      </w:r>
      <w:r w:rsidR="003C25F9">
        <w:rPr>
          <w:rFonts w:cs="Arial"/>
        </w:rPr>
        <w:t>we</w:t>
      </w:r>
      <w:r w:rsidR="004C3443">
        <w:rPr>
          <w:rFonts w:cs="Arial"/>
        </w:rPr>
        <w:t xml:space="preserve">re </w:t>
      </w:r>
      <w:r w:rsidR="00200D7C">
        <w:rPr>
          <w:rFonts w:cs="Arial"/>
        </w:rPr>
        <w:t xml:space="preserve">occurring. </w:t>
      </w:r>
    </w:p>
    <w:p w14:paraId="5C2EEADC" w14:textId="56A8C41D" w:rsidR="006F341D" w:rsidRDefault="001E144E" w:rsidP="00932D28">
      <w:pPr>
        <w:pStyle w:val="ACMABodyText"/>
        <w:rPr>
          <w:rFonts w:cs="Arial"/>
        </w:rPr>
      </w:pPr>
      <w:r>
        <w:rPr>
          <w:rFonts w:cs="Arial"/>
        </w:rPr>
        <w:t xml:space="preserve">This assertion </w:t>
      </w:r>
      <w:r w:rsidR="003C25F9">
        <w:rPr>
          <w:rFonts w:cs="Arial"/>
        </w:rPr>
        <w:t>wa</w:t>
      </w:r>
      <w:r w:rsidR="006F341D" w:rsidRPr="006F341D">
        <w:rPr>
          <w:rFonts w:cs="Arial"/>
        </w:rPr>
        <w:t>s specific, unequivocal and capable of independent verification.</w:t>
      </w:r>
    </w:p>
    <w:p w14:paraId="07BA93D6" w14:textId="49927F0C" w:rsidR="00611015" w:rsidRDefault="00194A4F" w:rsidP="00932D28">
      <w:pPr>
        <w:spacing w:before="0" w:line="240" w:lineRule="atLeast"/>
        <w:rPr>
          <w:rFonts w:cs="Arial"/>
          <w:i w:val="0"/>
          <w:snapToGrid w:val="0"/>
          <w:szCs w:val="20"/>
        </w:rPr>
      </w:pPr>
      <w:r>
        <w:rPr>
          <w:rFonts w:cs="Arial"/>
          <w:i w:val="0"/>
          <w:snapToGrid w:val="0"/>
          <w:szCs w:val="20"/>
        </w:rPr>
        <w:t>As to</w:t>
      </w:r>
      <w:r w:rsidR="00F333AB">
        <w:rPr>
          <w:rFonts w:cs="Arial"/>
          <w:i w:val="0"/>
          <w:snapToGrid w:val="0"/>
          <w:szCs w:val="20"/>
        </w:rPr>
        <w:t xml:space="preserve"> </w:t>
      </w:r>
      <w:r w:rsidR="00322865">
        <w:rPr>
          <w:rFonts w:cs="Arial"/>
          <w:i w:val="0"/>
          <w:snapToGrid w:val="0"/>
          <w:szCs w:val="20"/>
        </w:rPr>
        <w:t xml:space="preserve">their </w:t>
      </w:r>
      <w:r w:rsidR="00E478B4" w:rsidRPr="008916BB">
        <w:rPr>
          <w:rFonts w:cs="Arial"/>
          <w:i w:val="0"/>
          <w:snapToGrid w:val="0"/>
          <w:szCs w:val="20"/>
        </w:rPr>
        <w:t>assertion that</w:t>
      </w:r>
      <w:r w:rsidR="00155A86">
        <w:rPr>
          <w:rFonts w:cs="Arial"/>
          <w:i w:val="0"/>
          <w:snapToGrid w:val="0"/>
          <w:szCs w:val="20"/>
        </w:rPr>
        <w:t xml:space="preserve"> the loss of the </w:t>
      </w:r>
      <w:r w:rsidR="00A81C99">
        <w:rPr>
          <w:rFonts w:cs="Arial"/>
          <w:i w:val="0"/>
          <w:snapToGrid w:val="0"/>
          <w:szCs w:val="20"/>
        </w:rPr>
        <w:t>7-month-old</w:t>
      </w:r>
      <w:r w:rsidR="00155A86">
        <w:rPr>
          <w:rFonts w:cs="Arial"/>
          <w:i w:val="0"/>
          <w:snapToGrid w:val="0"/>
          <w:szCs w:val="20"/>
        </w:rPr>
        <w:t xml:space="preserve"> foetus was</w:t>
      </w:r>
      <w:r w:rsidR="00E478B4" w:rsidRPr="008916BB">
        <w:rPr>
          <w:rFonts w:cs="Arial"/>
          <w:i w:val="0"/>
          <w:snapToGrid w:val="0"/>
          <w:szCs w:val="20"/>
        </w:rPr>
        <w:t xml:space="preserve"> </w:t>
      </w:r>
      <w:r w:rsidR="004D7C14" w:rsidRPr="008916BB">
        <w:rPr>
          <w:rFonts w:cs="Arial"/>
          <w:i w:val="0"/>
          <w:snapToGrid w:val="0"/>
          <w:szCs w:val="20"/>
        </w:rPr>
        <w:t>‘</w:t>
      </w:r>
      <w:r w:rsidR="004A3390" w:rsidRPr="008916BB">
        <w:rPr>
          <w:rFonts w:cs="Arial"/>
          <w:i w:val="0"/>
          <w:snapToGrid w:val="0"/>
          <w:szCs w:val="20"/>
        </w:rPr>
        <w:t>not a miscarriage, it’s murder</w:t>
      </w:r>
      <w:r w:rsidR="004D7C14" w:rsidRPr="008916BB">
        <w:rPr>
          <w:rFonts w:cs="Arial"/>
          <w:i w:val="0"/>
          <w:snapToGrid w:val="0"/>
          <w:szCs w:val="20"/>
        </w:rPr>
        <w:t>’</w:t>
      </w:r>
      <w:r>
        <w:rPr>
          <w:rFonts w:cs="Arial"/>
          <w:i w:val="0"/>
          <w:snapToGrid w:val="0"/>
          <w:szCs w:val="20"/>
        </w:rPr>
        <w:t>,</w:t>
      </w:r>
      <w:r w:rsidR="004A3390" w:rsidRPr="008916BB">
        <w:rPr>
          <w:rFonts w:cs="Arial"/>
          <w:i w:val="0"/>
          <w:snapToGrid w:val="0"/>
          <w:szCs w:val="20"/>
        </w:rPr>
        <w:t xml:space="preserve"> </w:t>
      </w:r>
      <w:r>
        <w:rPr>
          <w:rFonts w:cs="Arial"/>
          <w:i w:val="0"/>
          <w:snapToGrid w:val="0"/>
          <w:szCs w:val="20"/>
        </w:rPr>
        <w:t>an</w:t>
      </w:r>
      <w:r w:rsidR="00D6468E">
        <w:rPr>
          <w:rFonts w:cs="Arial"/>
          <w:i w:val="0"/>
          <w:snapToGrid w:val="0"/>
          <w:szCs w:val="20"/>
        </w:rPr>
        <w:t xml:space="preserve"> ordinary </w:t>
      </w:r>
      <w:r w:rsidR="00B51A50">
        <w:rPr>
          <w:rFonts w:cs="Arial"/>
          <w:i w:val="0"/>
          <w:snapToGrid w:val="0"/>
          <w:szCs w:val="20"/>
        </w:rPr>
        <w:t xml:space="preserve">reasonable </w:t>
      </w:r>
      <w:r w:rsidR="001F3713">
        <w:rPr>
          <w:rFonts w:cs="Arial"/>
          <w:i w:val="0"/>
          <w:snapToGrid w:val="0"/>
          <w:szCs w:val="20"/>
        </w:rPr>
        <w:t>viewers</w:t>
      </w:r>
      <w:r w:rsidR="00B51A50">
        <w:rPr>
          <w:rFonts w:cs="Arial"/>
          <w:i w:val="0"/>
          <w:snapToGrid w:val="0"/>
          <w:szCs w:val="20"/>
        </w:rPr>
        <w:t xml:space="preserve"> would have understood that </w:t>
      </w:r>
      <w:r w:rsidR="00B34D3D">
        <w:rPr>
          <w:rFonts w:cs="Arial"/>
          <w:i w:val="0"/>
          <w:snapToGrid w:val="0"/>
          <w:szCs w:val="20"/>
        </w:rPr>
        <w:t xml:space="preserve">Dr. </w:t>
      </w:r>
      <w:r w:rsidR="00A76E3A">
        <w:rPr>
          <w:rFonts w:cs="Arial"/>
          <w:i w:val="0"/>
          <w:snapToGrid w:val="0"/>
          <w:szCs w:val="20"/>
        </w:rPr>
        <w:t>B</w:t>
      </w:r>
      <w:r w:rsidR="00B51A50">
        <w:rPr>
          <w:rFonts w:cs="Arial"/>
          <w:i w:val="0"/>
          <w:snapToGrid w:val="0"/>
          <w:szCs w:val="20"/>
        </w:rPr>
        <w:t xml:space="preserve"> was </w:t>
      </w:r>
      <w:r w:rsidR="001F3713">
        <w:rPr>
          <w:rFonts w:cs="Arial"/>
          <w:i w:val="0"/>
          <w:snapToGrid w:val="0"/>
          <w:szCs w:val="20"/>
        </w:rPr>
        <w:t>giving</w:t>
      </w:r>
      <w:r w:rsidR="00B51A50">
        <w:rPr>
          <w:rFonts w:cs="Arial"/>
          <w:i w:val="0"/>
          <w:snapToGrid w:val="0"/>
          <w:szCs w:val="20"/>
        </w:rPr>
        <w:t xml:space="preserve"> </w:t>
      </w:r>
      <w:r w:rsidR="00322865">
        <w:rPr>
          <w:rFonts w:cs="Arial"/>
          <w:i w:val="0"/>
          <w:snapToGrid w:val="0"/>
          <w:szCs w:val="20"/>
        </w:rPr>
        <w:t xml:space="preserve">their </w:t>
      </w:r>
      <w:r w:rsidR="00B51A50">
        <w:rPr>
          <w:rFonts w:cs="Arial"/>
          <w:i w:val="0"/>
          <w:snapToGrid w:val="0"/>
          <w:szCs w:val="20"/>
        </w:rPr>
        <w:t>own opinion</w:t>
      </w:r>
      <w:r w:rsidR="001F3713">
        <w:rPr>
          <w:rFonts w:cs="Arial"/>
          <w:i w:val="0"/>
          <w:snapToGrid w:val="0"/>
          <w:szCs w:val="20"/>
        </w:rPr>
        <w:t xml:space="preserve"> on</w:t>
      </w:r>
      <w:r w:rsidR="002E2B26">
        <w:rPr>
          <w:rFonts w:cs="Arial"/>
          <w:i w:val="0"/>
          <w:snapToGrid w:val="0"/>
          <w:szCs w:val="20"/>
        </w:rPr>
        <w:t xml:space="preserve"> the matter</w:t>
      </w:r>
      <w:r w:rsidR="00155A86">
        <w:rPr>
          <w:rFonts w:cs="Arial"/>
          <w:i w:val="0"/>
          <w:snapToGrid w:val="0"/>
          <w:szCs w:val="20"/>
        </w:rPr>
        <w:t>. T</w:t>
      </w:r>
      <w:r w:rsidR="00E919B2">
        <w:rPr>
          <w:rFonts w:cs="Arial"/>
          <w:i w:val="0"/>
          <w:snapToGrid w:val="0"/>
          <w:szCs w:val="20"/>
        </w:rPr>
        <w:t xml:space="preserve">he use of the word ‘murder’ to </w:t>
      </w:r>
      <w:r w:rsidR="00352B35">
        <w:rPr>
          <w:rFonts w:cs="Arial"/>
          <w:i w:val="0"/>
          <w:snapToGrid w:val="0"/>
          <w:szCs w:val="20"/>
        </w:rPr>
        <w:t xml:space="preserve">refer to the miscarriage was emotive </w:t>
      </w:r>
      <w:r w:rsidR="003C25F9">
        <w:rPr>
          <w:rFonts w:cs="Arial"/>
          <w:i w:val="0"/>
          <w:snapToGrid w:val="0"/>
          <w:szCs w:val="20"/>
        </w:rPr>
        <w:t xml:space="preserve">and had the characteristics of a </w:t>
      </w:r>
      <w:r>
        <w:rPr>
          <w:rFonts w:cs="Arial"/>
          <w:i w:val="0"/>
          <w:snapToGrid w:val="0"/>
          <w:szCs w:val="20"/>
        </w:rPr>
        <w:t>personal opinion</w:t>
      </w:r>
      <w:r w:rsidR="003C25F9">
        <w:rPr>
          <w:rFonts w:cs="Arial"/>
          <w:i w:val="0"/>
          <w:snapToGrid w:val="0"/>
          <w:szCs w:val="20"/>
        </w:rPr>
        <w:t xml:space="preserve"> arrived at by </w:t>
      </w:r>
      <w:r w:rsidR="00B34D3D">
        <w:rPr>
          <w:rFonts w:cs="Arial"/>
          <w:i w:val="0"/>
          <w:snapToGrid w:val="0"/>
          <w:szCs w:val="20"/>
        </w:rPr>
        <w:t xml:space="preserve">Dr. </w:t>
      </w:r>
      <w:r w:rsidR="00A76E3A">
        <w:rPr>
          <w:rFonts w:cs="Arial"/>
          <w:i w:val="0"/>
          <w:snapToGrid w:val="0"/>
          <w:szCs w:val="20"/>
        </w:rPr>
        <w:t>B</w:t>
      </w:r>
      <w:r>
        <w:rPr>
          <w:rFonts w:cs="Arial"/>
          <w:i w:val="0"/>
          <w:snapToGrid w:val="0"/>
          <w:szCs w:val="20"/>
        </w:rPr>
        <w:t xml:space="preserve"> based on </w:t>
      </w:r>
      <w:r w:rsidR="00322865">
        <w:rPr>
          <w:rFonts w:cs="Arial"/>
          <w:i w:val="0"/>
          <w:snapToGrid w:val="0"/>
          <w:szCs w:val="20"/>
        </w:rPr>
        <w:t xml:space="preserve">their </w:t>
      </w:r>
      <w:r w:rsidR="003C25F9">
        <w:rPr>
          <w:rFonts w:cs="Arial"/>
          <w:i w:val="0"/>
          <w:snapToGrid w:val="0"/>
          <w:szCs w:val="20"/>
        </w:rPr>
        <w:t xml:space="preserve">assessment of the circumstances, as </w:t>
      </w:r>
      <w:r w:rsidR="00322865">
        <w:rPr>
          <w:rFonts w:cs="Arial"/>
          <w:i w:val="0"/>
          <w:snapToGrid w:val="0"/>
          <w:szCs w:val="20"/>
        </w:rPr>
        <w:t xml:space="preserve">they </w:t>
      </w:r>
      <w:r w:rsidR="003C25F9">
        <w:rPr>
          <w:rFonts w:cs="Arial"/>
          <w:i w:val="0"/>
          <w:snapToGrid w:val="0"/>
          <w:szCs w:val="20"/>
        </w:rPr>
        <w:t>understood them</w:t>
      </w:r>
      <w:r w:rsidR="00836F09">
        <w:rPr>
          <w:rFonts w:cs="Arial"/>
          <w:i w:val="0"/>
          <w:snapToGrid w:val="0"/>
          <w:szCs w:val="20"/>
        </w:rPr>
        <w:t>.</w:t>
      </w:r>
      <w:r w:rsidR="000E1819">
        <w:rPr>
          <w:rFonts w:cs="Arial"/>
          <w:i w:val="0"/>
          <w:snapToGrid w:val="0"/>
          <w:szCs w:val="20"/>
        </w:rPr>
        <w:t xml:space="preserve"> </w:t>
      </w:r>
    </w:p>
    <w:p w14:paraId="57F3604A" w14:textId="0FD6ED84" w:rsidR="009A522D" w:rsidRDefault="009A522D" w:rsidP="00932D28">
      <w:pPr>
        <w:spacing w:before="0" w:line="240" w:lineRule="auto"/>
        <w:rPr>
          <w:rFonts w:eastAsia="Calibri" w:cs="Arial"/>
          <w:b/>
          <w:bCs/>
          <w:i w:val="0"/>
          <w:snapToGrid w:val="0"/>
          <w:szCs w:val="20"/>
        </w:rPr>
      </w:pPr>
      <w:r w:rsidRPr="00E171F9">
        <w:rPr>
          <w:rFonts w:eastAsia="Calibri" w:cs="Arial"/>
          <w:b/>
          <w:bCs/>
          <w:i w:val="0"/>
          <w:snapToGrid w:val="0"/>
          <w:szCs w:val="20"/>
        </w:rPr>
        <w:t>If so, was the factual material accurate?</w:t>
      </w:r>
    </w:p>
    <w:p w14:paraId="436296E7" w14:textId="26B0C44E" w:rsidR="005E63FA" w:rsidRPr="00C3226C" w:rsidRDefault="001A2F23" w:rsidP="00932D28">
      <w:pPr>
        <w:pStyle w:val="ACMABodyText"/>
        <w:spacing w:after="120"/>
        <w:rPr>
          <w:rFonts w:cs="Arial"/>
        </w:rPr>
      </w:pPr>
      <w:r>
        <w:rPr>
          <w:rFonts w:cs="Arial"/>
        </w:rPr>
        <w:t xml:space="preserve">In relation to the </w:t>
      </w:r>
      <w:r w:rsidRPr="006F341D">
        <w:rPr>
          <w:rFonts w:cs="Arial"/>
        </w:rPr>
        <w:t xml:space="preserve">assertion ‘we’ve seen </w:t>
      </w:r>
      <w:r>
        <w:rPr>
          <w:rFonts w:cs="Arial"/>
        </w:rPr>
        <w:t xml:space="preserve">a </w:t>
      </w:r>
      <w:r w:rsidRPr="006F341D">
        <w:rPr>
          <w:rFonts w:cs="Arial"/>
        </w:rPr>
        <w:t>400% increase in miscarriage’</w:t>
      </w:r>
      <w:r>
        <w:rPr>
          <w:rFonts w:cs="Arial"/>
        </w:rPr>
        <w:t xml:space="preserve">, </w:t>
      </w:r>
      <w:r w:rsidR="00BE24BC">
        <w:rPr>
          <w:rFonts w:cs="Arial"/>
        </w:rPr>
        <w:t>t</w:t>
      </w:r>
      <w:r w:rsidR="00C3226C" w:rsidRPr="00C3226C">
        <w:rPr>
          <w:rFonts w:cs="Arial"/>
        </w:rPr>
        <w:t>he Licensee submitted:</w:t>
      </w:r>
    </w:p>
    <w:p w14:paraId="28294861" w14:textId="2DC85B64" w:rsidR="00D00381" w:rsidRPr="004E4597" w:rsidRDefault="00D00381" w:rsidP="000237E6">
      <w:pPr>
        <w:autoSpaceDE w:val="0"/>
        <w:autoSpaceDN w:val="0"/>
        <w:adjustRightInd w:val="0"/>
        <w:spacing w:before="0" w:line="240" w:lineRule="atLeast"/>
        <w:ind w:left="709"/>
        <w:rPr>
          <w:rFonts w:cs="Arial"/>
          <w:i w:val="0"/>
          <w:sz w:val="18"/>
          <w:szCs w:val="18"/>
          <w:lang w:eastAsia="en-AU"/>
        </w:rPr>
      </w:pPr>
      <w:r w:rsidRPr="004E4597">
        <w:rPr>
          <w:rFonts w:cs="Arial"/>
          <w:i w:val="0"/>
          <w:sz w:val="18"/>
          <w:szCs w:val="18"/>
          <w:lang w:eastAsia="en-AU"/>
        </w:rPr>
        <w:t>This claim was based on an article published on 31 March 2021 which claimed that the number of</w:t>
      </w:r>
      <w:r w:rsidR="004E4597">
        <w:rPr>
          <w:rFonts w:cs="Arial"/>
          <w:i w:val="0"/>
          <w:sz w:val="18"/>
          <w:szCs w:val="18"/>
          <w:lang w:eastAsia="en-AU"/>
        </w:rPr>
        <w:t xml:space="preserve"> </w:t>
      </w:r>
      <w:r w:rsidRPr="004E4597">
        <w:rPr>
          <w:rFonts w:cs="Arial"/>
          <w:i w:val="0"/>
          <w:sz w:val="18"/>
          <w:szCs w:val="18"/>
          <w:lang w:eastAsia="en-AU"/>
        </w:rPr>
        <w:t>miscarriages following vaccination against COVID</w:t>
      </w:r>
      <w:r w:rsidRPr="004E4597">
        <w:rPr>
          <w:rFonts w:ascii="Cambria Math" w:hAnsi="Cambria Math" w:cs="Cambria Math"/>
          <w:i w:val="0"/>
          <w:sz w:val="18"/>
          <w:szCs w:val="18"/>
          <w:lang w:eastAsia="en-AU"/>
        </w:rPr>
        <w:t>‐</w:t>
      </w:r>
      <w:r w:rsidRPr="004E4597">
        <w:rPr>
          <w:rFonts w:cs="Arial"/>
          <w:i w:val="0"/>
          <w:sz w:val="18"/>
          <w:szCs w:val="18"/>
          <w:lang w:eastAsia="en-AU"/>
        </w:rPr>
        <w:t>19 had increased by 366% over three weeks. The</w:t>
      </w:r>
      <w:r w:rsidR="004E4597">
        <w:rPr>
          <w:rFonts w:cs="Arial"/>
          <w:i w:val="0"/>
          <w:sz w:val="18"/>
          <w:szCs w:val="18"/>
          <w:lang w:eastAsia="en-AU"/>
        </w:rPr>
        <w:t xml:space="preserve"> </w:t>
      </w:r>
      <w:r w:rsidRPr="004E4597">
        <w:rPr>
          <w:rFonts w:cs="Arial"/>
          <w:i w:val="0"/>
          <w:sz w:val="18"/>
          <w:szCs w:val="18"/>
          <w:lang w:eastAsia="en-AU"/>
        </w:rPr>
        <w:t>conclusions in this article were based on publicly available data published by the UK Government.</w:t>
      </w:r>
    </w:p>
    <w:p w14:paraId="7A194573" w14:textId="247147A6" w:rsidR="005E63FA" w:rsidRPr="004E4597" w:rsidRDefault="00D00381" w:rsidP="000237E6">
      <w:pPr>
        <w:autoSpaceDE w:val="0"/>
        <w:autoSpaceDN w:val="0"/>
        <w:adjustRightInd w:val="0"/>
        <w:spacing w:before="0" w:line="240" w:lineRule="atLeast"/>
        <w:ind w:left="709"/>
        <w:rPr>
          <w:rFonts w:eastAsia="Calibri"/>
        </w:rPr>
      </w:pPr>
      <w:r w:rsidRPr="004E4597">
        <w:rPr>
          <w:rFonts w:cs="Arial"/>
          <w:i w:val="0"/>
          <w:sz w:val="18"/>
          <w:szCs w:val="18"/>
          <w:lang w:eastAsia="en-AU"/>
        </w:rPr>
        <w:t>This article did not adequately account for the increase in vaccination rates over time in the UK or</w:t>
      </w:r>
      <w:r w:rsidR="000237E6">
        <w:rPr>
          <w:rFonts w:cs="Arial"/>
          <w:i w:val="0"/>
          <w:sz w:val="18"/>
          <w:szCs w:val="18"/>
          <w:lang w:eastAsia="en-AU"/>
        </w:rPr>
        <w:t xml:space="preserve"> </w:t>
      </w:r>
      <w:r w:rsidRPr="004E4597">
        <w:rPr>
          <w:rFonts w:cs="Arial"/>
          <w:i w:val="0"/>
          <w:sz w:val="18"/>
          <w:szCs w:val="18"/>
          <w:lang w:eastAsia="en-AU"/>
        </w:rPr>
        <w:t xml:space="preserve">the average number of miscarriages that occur naturally and that, in these circumstances, correlation is not necessarily causation. However, the statement was made by </w:t>
      </w:r>
      <w:r w:rsidR="000712A9">
        <w:rPr>
          <w:rFonts w:cs="Arial"/>
          <w:i w:val="0"/>
          <w:sz w:val="18"/>
          <w:szCs w:val="18"/>
          <w:lang w:eastAsia="en-AU"/>
        </w:rPr>
        <w:t>[Dr</w:t>
      </w:r>
      <w:r w:rsidR="00306173">
        <w:rPr>
          <w:rFonts w:cs="Arial"/>
          <w:i w:val="0"/>
          <w:sz w:val="18"/>
          <w:szCs w:val="18"/>
          <w:lang w:eastAsia="en-AU"/>
        </w:rPr>
        <w:t>.</w:t>
      </w:r>
      <w:r w:rsidR="000712A9">
        <w:rPr>
          <w:rFonts w:cs="Arial"/>
          <w:i w:val="0"/>
          <w:sz w:val="18"/>
          <w:szCs w:val="18"/>
          <w:lang w:eastAsia="en-AU"/>
        </w:rPr>
        <w:t xml:space="preserve"> </w:t>
      </w:r>
      <w:r w:rsidR="00A76E3A">
        <w:rPr>
          <w:rFonts w:cs="Arial"/>
          <w:i w:val="0"/>
          <w:sz w:val="18"/>
          <w:szCs w:val="18"/>
          <w:lang w:eastAsia="en-AU"/>
        </w:rPr>
        <w:t>B</w:t>
      </w:r>
      <w:r w:rsidR="000712A9">
        <w:rPr>
          <w:rFonts w:cs="Arial"/>
          <w:i w:val="0"/>
          <w:sz w:val="18"/>
          <w:szCs w:val="18"/>
          <w:lang w:eastAsia="en-AU"/>
        </w:rPr>
        <w:t>]</w:t>
      </w:r>
      <w:r w:rsidRPr="004E4597">
        <w:rPr>
          <w:rFonts w:cs="Arial"/>
          <w:i w:val="0"/>
          <w:sz w:val="18"/>
          <w:szCs w:val="18"/>
          <w:lang w:eastAsia="en-AU"/>
        </w:rPr>
        <w:t xml:space="preserve">, a qualified medical professional, based on </w:t>
      </w:r>
      <w:r w:rsidR="00322865">
        <w:rPr>
          <w:rFonts w:cs="Arial"/>
          <w:i w:val="0"/>
          <w:sz w:val="18"/>
          <w:szCs w:val="18"/>
          <w:lang w:eastAsia="en-AU"/>
        </w:rPr>
        <w:t>[their]</w:t>
      </w:r>
      <w:r w:rsidR="00322865" w:rsidRPr="004E4597">
        <w:rPr>
          <w:rFonts w:cs="Arial"/>
          <w:i w:val="0"/>
          <w:sz w:val="18"/>
          <w:szCs w:val="18"/>
          <w:lang w:eastAsia="en-AU"/>
        </w:rPr>
        <w:t xml:space="preserve"> </w:t>
      </w:r>
      <w:r w:rsidRPr="004E4597">
        <w:rPr>
          <w:rFonts w:cs="Arial"/>
          <w:i w:val="0"/>
          <w:sz w:val="18"/>
          <w:szCs w:val="18"/>
          <w:lang w:eastAsia="en-AU"/>
        </w:rPr>
        <w:t>assessment of the data that was available at the time and in circumstances where the effects of vaccination against COVID</w:t>
      </w:r>
      <w:r w:rsidRPr="004E4597">
        <w:rPr>
          <w:rFonts w:ascii="Cambria Math" w:hAnsi="Cambria Math" w:cs="Cambria Math"/>
          <w:i w:val="0"/>
          <w:sz w:val="18"/>
          <w:szCs w:val="18"/>
          <w:lang w:eastAsia="en-AU"/>
        </w:rPr>
        <w:t>‐</w:t>
      </w:r>
      <w:r w:rsidRPr="004E4597">
        <w:rPr>
          <w:rFonts w:cs="Arial"/>
          <w:i w:val="0"/>
          <w:sz w:val="18"/>
          <w:szCs w:val="18"/>
          <w:lang w:eastAsia="en-AU"/>
        </w:rPr>
        <w:t>19 on pregnancy have not been conclusively established (as identified above).</w:t>
      </w:r>
    </w:p>
    <w:p w14:paraId="0CE4DFA4" w14:textId="2D117615" w:rsidR="004D779A" w:rsidRPr="00D603A6" w:rsidRDefault="000E70FB" w:rsidP="00932D28">
      <w:pPr>
        <w:pStyle w:val="ACMABodyText"/>
        <w:rPr>
          <w:sz w:val="18"/>
          <w:szCs w:val="18"/>
        </w:rPr>
      </w:pPr>
      <w:r>
        <w:rPr>
          <w:rFonts w:eastAsia="Calibri"/>
        </w:rPr>
        <w:t xml:space="preserve">The </w:t>
      </w:r>
      <w:r w:rsidR="00DF44E1">
        <w:rPr>
          <w:rFonts w:eastAsia="Calibri"/>
        </w:rPr>
        <w:t>ACMA understands from th</w:t>
      </w:r>
      <w:r w:rsidR="006B51EA">
        <w:rPr>
          <w:rFonts w:eastAsia="Calibri"/>
        </w:rPr>
        <w:t>is</w:t>
      </w:r>
      <w:r w:rsidR="00DF44E1">
        <w:rPr>
          <w:rFonts w:eastAsia="Calibri"/>
        </w:rPr>
        <w:t xml:space="preserve"> submission that </w:t>
      </w:r>
      <w:r w:rsidR="00B34D3D">
        <w:rPr>
          <w:rFonts w:eastAsia="Calibri"/>
        </w:rPr>
        <w:t xml:space="preserve">Dr. </w:t>
      </w:r>
      <w:r w:rsidR="00A76E3A">
        <w:rPr>
          <w:rFonts w:eastAsia="Calibri"/>
        </w:rPr>
        <w:t>B</w:t>
      </w:r>
      <w:r w:rsidR="000167EC">
        <w:rPr>
          <w:rFonts w:eastAsia="Calibri"/>
        </w:rPr>
        <w:t xml:space="preserve">’s </w:t>
      </w:r>
      <w:r w:rsidR="00DF44E1">
        <w:rPr>
          <w:rFonts w:eastAsia="Calibri"/>
        </w:rPr>
        <w:t xml:space="preserve">statement was based on </w:t>
      </w:r>
      <w:r w:rsidR="006B51EA">
        <w:rPr>
          <w:rFonts w:eastAsia="Calibri"/>
        </w:rPr>
        <w:t xml:space="preserve">information contained in </w:t>
      </w:r>
      <w:r w:rsidR="00DF44E1">
        <w:rPr>
          <w:rFonts w:eastAsia="Calibri"/>
        </w:rPr>
        <w:t xml:space="preserve">an article </w:t>
      </w:r>
      <w:r w:rsidR="00155A86">
        <w:rPr>
          <w:rFonts w:eastAsia="Calibri"/>
        </w:rPr>
        <w:t xml:space="preserve">that </w:t>
      </w:r>
      <w:r w:rsidR="00DF44E1">
        <w:rPr>
          <w:rFonts w:eastAsia="Calibri"/>
        </w:rPr>
        <w:t>the Licensee consider</w:t>
      </w:r>
      <w:r w:rsidR="00194A4F">
        <w:rPr>
          <w:rFonts w:eastAsia="Calibri"/>
        </w:rPr>
        <w:t>s</w:t>
      </w:r>
      <w:r w:rsidR="00DF44E1">
        <w:rPr>
          <w:rFonts w:eastAsia="Calibri"/>
        </w:rPr>
        <w:t xml:space="preserve"> inadequate in its analysis</w:t>
      </w:r>
      <w:r w:rsidR="00E6030F">
        <w:rPr>
          <w:rFonts w:eastAsia="Calibri"/>
        </w:rPr>
        <w:t xml:space="preserve">. </w:t>
      </w:r>
      <w:r w:rsidR="006B51EA">
        <w:rPr>
          <w:rFonts w:eastAsia="Calibri"/>
        </w:rPr>
        <w:t xml:space="preserve">The ACMA </w:t>
      </w:r>
      <w:r w:rsidR="00155A86">
        <w:rPr>
          <w:rFonts w:eastAsia="Calibri"/>
        </w:rPr>
        <w:t xml:space="preserve">also </w:t>
      </w:r>
      <w:r w:rsidR="006B51EA">
        <w:rPr>
          <w:rFonts w:eastAsia="Calibri"/>
        </w:rPr>
        <w:t xml:space="preserve">notes widespread </w:t>
      </w:r>
      <w:r w:rsidR="00155A86">
        <w:rPr>
          <w:rFonts w:eastAsia="Calibri"/>
        </w:rPr>
        <w:t xml:space="preserve">media </w:t>
      </w:r>
      <w:r w:rsidR="006B51EA">
        <w:rPr>
          <w:rFonts w:eastAsia="Calibri"/>
        </w:rPr>
        <w:t>reporting</w:t>
      </w:r>
      <w:r w:rsidR="003704A1">
        <w:rPr>
          <w:rFonts w:eastAsia="Calibri"/>
        </w:rPr>
        <w:t>, prior to the broadcast,</w:t>
      </w:r>
      <w:r w:rsidR="006B51EA">
        <w:rPr>
          <w:rFonts w:eastAsia="Calibri"/>
        </w:rPr>
        <w:t xml:space="preserve"> that the miscarriage </w:t>
      </w:r>
      <w:r w:rsidR="006B51EA">
        <w:rPr>
          <w:rFonts w:eastAsia="Calibri"/>
        </w:rPr>
        <w:lastRenderedPageBreak/>
        <w:t>data the statement referred to was false</w:t>
      </w:r>
      <w:r w:rsidR="003704A1">
        <w:rPr>
          <w:rFonts w:eastAsia="Calibri"/>
        </w:rPr>
        <w:t>.</w:t>
      </w:r>
      <w:r w:rsidR="006B51EA">
        <w:rPr>
          <w:rStyle w:val="FootnoteReference"/>
          <w:rFonts w:eastAsia="Calibri"/>
        </w:rPr>
        <w:footnoteReference w:id="18"/>
      </w:r>
      <w:r w:rsidR="006B51EA">
        <w:rPr>
          <w:rFonts w:eastAsia="Calibri"/>
        </w:rPr>
        <w:t xml:space="preserve"> </w:t>
      </w:r>
      <w:r w:rsidR="00E6030F">
        <w:rPr>
          <w:rFonts w:eastAsia="Calibri"/>
        </w:rPr>
        <w:t>The</w:t>
      </w:r>
      <w:r w:rsidR="006B51EA">
        <w:rPr>
          <w:rFonts w:eastAsia="Calibri"/>
        </w:rPr>
        <w:t xml:space="preserve"> ACMA </w:t>
      </w:r>
      <w:r w:rsidR="00155A86">
        <w:rPr>
          <w:rFonts w:eastAsia="Calibri"/>
        </w:rPr>
        <w:t>further</w:t>
      </w:r>
      <w:r w:rsidR="006B51EA">
        <w:rPr>
          <w:rFonts w:eastAsia="Calibri"/>
        </w:rPr>
        <w:t xml:space="preserve"> notes that the</w:t>
      </w:r>
      <w:r w:rsidR="00E6030F">
        <w:rPr>
          <w:rFonts w:eastAsia="Calibri"/>
        </w:rPr>
        <w:t xml:space="preserve"> </w:t>
      </w:r>
      <w:r w:rsidR="00BB5470">
        <w:rPr>
          <w:rFonts w:eastAsia="Calibri"/>
        </w:rPr>
        <w:t xml:space="preserve">UK </w:t>
      </w:r>
      <w:r w:rsidR="00E6030F">
        <w:rPr>
          <w:rFonts w:eastAsia="Calibri"/>
        </w:rPr>
        <w:t xml:space="preserve">publication in which the article appeared – The Daily Expose – </w:t>
      </w:r>
      <w:r w:rsidR="00BB5470">
        <w:rPr>
          <w:rFonts w:eastAsia="Calibri"/>
        </w:rPr>
        <w:t>published an article in December 2020 titled ’There is no pandemic and we’re being conned’</w:t>
      </w:r>
      <w:r w:rsidR="006B51EA">
        <w:rPr>
          <w:rStyle w:val="FootnoteReference"/>
          <w:rFonts w:eastAsia="Calibri"/>
        </w:rPr>
        <w:footnoteReference w:id="19"/>
      </w:r>
      <w:r w:rsidR="00155A86">
        <w:rPr>
          <w:rFonts w:eastAsia="Calibri"/>
        </w:rPr>
        <w:t xml:space="preserve"> and that it therefore </w:t>
      </w:r>
      <w:r w:rsidR="000B0C93">
        <w:rPr>
          <w:rFonts w:eastAsia="Calibri"/>
        </w:rPr>
        <w:t>is unlikely</w:t>
      </w:r>
      <w:r w:rsidR="00155A86">
        <w:rPr>
          <w:rFonts w:eastAsia="Calibri"/>
        </w:rPr>
        <w:t xml:space="preserve"> to </w:t>
      </w:r>
      <w:r w:rsidR="00BB5470">
        <w:rPr>
          <w:rFonts w:eastAsia="Calibri"/>
        </w:rPr>
        <w:t>be a credible source of C</w:t>
      </w:r>
      <w:r w:rsidR="002A4894">
        <w:rPr>
          <w:rFonts w:eastAsia="Calibri"/>
        </w:rPr>
        <w:t>OVID</w:t>
      </w:r>
      <w:r w:rsidR="00A81C99">
        <w:rPr>
          <w:rFonts w:eastAsia="Calibri"/>
        </w:rPr>
        <w:t>-19</w:t>
      </w:r>
      <w:r w:rsidR="00BB5470">
        <w:rPr>
          <w:rFonts w:eastAsia="Calibri"/>
        </w:rPr>
        <w:t xml:space="preserve"> analysis</w:t>
      </w:r>
      <w:r w:rsidR="006B51EA">
        <w:rPr>
          <w:rFonts w:eastAsia="Calibri"/>
        </w:rPr>
        <w:t xml:space="preserve">. </w:t>
      </w:r>
    </w:p>
    <w:p w14:paraId="7865A4B5" w14:textId="22B90A6D" w:rsidR="009776F9" w:rsidRPr="00D3386E" w:rsidRDefault="00657D94" w:rsidP="00932D28">
      <w:pPr>
        <w:pStyle w:val="ACMABodyText"/>
        <w:rPr>
          <w:rFonts w:cs="Arial"/>
        </w:rPr>
      </w:pPr>
      <w:r>
        <w:rPr>
          <w:rFonts w:cs="Arial"/>
        </w:rPr>
        <w:t>G</w:t>
      </w:r>
      <w:r w:rsidR="006B51EA">
        <w:rPr>
          <w:rFonts w:cs="Arial"/>
        </w:rPr>
        <w:t xml:space="preserve">iven the doubts raised by the Licensee and various independent reports about the credibility of the source information, </w:t>
      </w:r>
      <w:r w:rsidR="003121FA">
        <w:rPr>
          <w:rFonts w:cs="Arial"/>
        </w:rPr>
        <w:t>t</w:t>
      </w:r>
      <w:r w:rsidR="009776F9" w:rsidRPr="00BA5918">
        <w:rPr>
          <w:rFonts w:cs="Arial"/>
        </w:rPr>
        <w:t xml:space="preserve">he ACMA </w:t>
      </w:r>
      <w:r w:rsidR="00237FD0">
        <w:rPr>
          <w:rFonts w:cs="Arial"/>
        </w:rPr>
        <w:t>finds</w:t>
      </w:r>
      <w:r w:rsidR="00237FD0" w:rsidRPr="00BA5918">
        <w:rPr>
          <w:rFonts w:cs="Arial"/>
        </w:rPr>
        <w:t xml:space="preserve"> </w:t>
      </w:r>
      <w:r w:rsidR="009776F9">
        <w:rPr>
          <w:rFonts w:cs="Arial"/>
        </w:rPr>
        <w:t xml:space="preserve">that </w:t>
      </w:r>
      <w:r w:rsidR="006B51EA">
        <w:rPr>
          <w:rFonts w:cs="Arial"/>
        </w:rPr>
        <w:t xml:space="preserve">the </w:t>
      </w:r>
      <w:r w:rsidR="009776F9" w:rsidRPr="00BA5918">
        <w:rPr>
          <w:rFonts w:cs="Arial"/>
        </w:rPr>
        <w:t>statement</w:t>
      </w:r>
      <w:r w:rsidR="009776F9" w:rsidRPr="00BA5918">
        <w:rPr>
          <w:rFonts w:eastAsia="Calibri"/>
          <w:lang w:eastAsia="en-AU"/>
        </w:rPr>
        <w:t xml:space="preserve"> </w:t>
      </w:r>
      <w:r w:rsidR="006B51EA">
        <w:rPr>
          <w:rFonts w:eastAsia="Calibri"/>
          <w:lang w:eastAsia="en-AU"/>
        </w:rPr>
        <w:t>citing</w:t>
      </w:r>
      <w:r w:rsidR="009776F9">
        <w:rPr>
          <w:rFonts w:eastAsia="Calibri"/>
          <w:lang w:eastAsia="en-AU"/>
        </w:rPr>
        <w:t xml:space="preserve"> a 400% increase </w:t>
      </w:r>
      <w:r w:rsidR="006B51EA">
        <w:rPr>
          <w:rFonts w:eastAsia="Calibri"/>
          <w:lang w:eastAsia="en-AU"/>
        </w:rPr>
        <w:t xml:space="preserve">in miscarriages </w:t>
      </w:r>
      <w:r>
        <w:rPr>
          <w:rFonts w:eastAsia="Calibri"/>
          <w:lang w:eastAsia="en-AU"/>
        </w:rPr>
        <w:t>following C</w:t>
      </w:r>
      <w:r w:rsidR="002A4894">
        <w:rPr>
          <w:rFonts w:eastAsia="Calibri"/>
          <w:lang w:eastAsia="en-AU"/>
        </w:rPr>
        <w:t>OVID</w:t>
      </w:r>
      <w:r w:rsidR="00A81C99">
        <w:rPr>
          <w:rFonts w:eastAsia="Calibri"/>
          <w:lang w:eastAsia="en-AU"/>
        </w:rPr>
        <w:t>-19</w:t>
      </w:r>
      <w:r>
        <w:rPr>
          <w:rFonts w:eastAsia="Calibri"/>
          <w:lang w:eastAsia="en-AU"/>
        </w:rPr>
        <w:t xml:space="preserve"> vaccination </w:t>
      </w:r>
      <w:r w:rsidR="00996645">
        <w:rPr>
          <w:rFonts w:eastAsia="Calibri"/>
          <w:lang w:eastAsia="en-AU"/>
        </w:rPr>
        <w:t xml:space="preserve">was </w:t>
      </w:r>
      <w:r w:rsidR="009776F9">
        <w:rPr>
          <w:rFonts w:eastAsia="Calibri"/>
          <w:lang w:eastAsia="en-AU"/>
        </w:rPr>
        <w:t>not</w:t>
      </w:r>
      <w:r w:rsidR="009776F9" w:rsidRPr="00BA5918">
        <w:rPr>
          <w:rFonts w:eastAsia="Calibri"/>
          <w:lang w:eastAsia="en-AU"/>
        </w:rPr>
        <w:t xml:space="preserve"> accurate. </w:t>
      </w:r>
    </w:p>
    <w:p w14:paraId="30FD4B08" w14:textId="6CDFE34E" w:rsidR="004274A5" w:rsidRDefault="004274A5" w:rsidP="00932D28">
      <w:pPr>
        <w:pStyle w:val="ACMABodyText"/>
        <w:spacing w:line="240" w:lineRule="auto"/>
        <w:rPr>
          <w:b/>
          <w:bCs/>
          <w:i/>
          <w:iCs/>
          <w:u w:val="single"/>
        </w:rPr>
      </w:pPr>
      <w:r w:rsidRPr="004274A5">
        <w:rPr>
          <w:b/>
          <w:bCs/>
          <w:i/>
          <w:iCs/>
          <w:u w:val="single"/>
        </w:rPr>
        <w:t xml:space="preserve">10. </w:t>
      </w:r>
      <w:bookmarkStart w:id="10" w:name="_Hlk109642917"/>
      <w:r w:rsidRPr="004274A5">
        <w:rPr>
          <w:b/>
          <w:bCs/>
          <w:i/>
          <w:iCs/>
          <w:u w:val="single"/>
        </w:rPr>
        <w:t>No one has studied the shot to see what happens to it when it’s injected into the body</w:t>
      </w:r>
      <w:r w:rsidR="00C03118">
        <w:rPr>
          <w:b/>
          <w:bCs/>
          <w:i/>
          <w:iCs/>
          <w:u w:val="single"/>
        </w:rPr>
        <w:t xml:space="preserve"> </w:t>
      </w:r>
      <w:r w:rsidRPr="004274A5">
        <w:rPr>
          <w:b/>
          <w:bCs/>
          <w:i/>
          <w:iCs/>
          <w:u w:val="single"/>
        </w:rPr>
        <w:t xml:space="preserve"> </w:t>
      </w:r>
      <w:bookmarkEnd w:id="10"/>
    </w:p>
    <w:p w14:paraId="307D33A2" w14:textId="7E8C0730" w:rsidR="009A522D" w:rsidRDefault="00620488" w:rsidP="00932D28">
      <w:pPr>
        <w:spacing w:before="0" w:line="240" w:lineRule="atLeast"/>
        <w:rPr>
          <w:rFonts w:eastAsia="Calibri" w:cs="Arial"/>
          <w:i w:val="0"/>
          <w:snapToGrid w:val="0"/>
          <w:szCs w:val="20"/>
        </w:rPr>
      </w:pPr>
      <w:r>
        <w:rPr>
          <w:rFonts w:eastAsia="Calibri" w:cs="Arial"/>
          <w:i w:val="0"/>
          <w:snapToGrid w:val="0"/>
          <w:szCs w:val="20"/>
        </w:rPr>
        <w:t xml:space="preserve">At </w:t>
      </w:r>
      <w:r w:rsidR="004754E2">
        <w:rPr>
          <w:rFonts w:eastAsia="Calibri" w:cs="Arial"/>
          <w:i w:val="0"/>
          <w:snapToGrid w:val="0"/>
          <w:szCs w:val="20"/>
        </w:rPr>
        <w:t>24:</w:t>
      </w:r>
      <w:r w:rsidR="00DE033E">
        <w:rPr>
          <w:rFonts w:eastAsia="Calibri" w:cs="Arial"/>
          <w:i w:val="0"/>
          <w:snapToGrid w:val="0"/>
          <w:szCs w:val="20"/>
        </w:rPr>
        <w:t>08 minutes</w:t>
      </w:r>
      <w:r w:rsidR="00194A4F">
        <w:rPr>
          <w:rFonts w:eastAsia="Calibri" w:cs="Arial"/>
          <w:i w:val="0"/>
          <w:snapToGrid w:val="0"/>
          <w:szCs w:val="20"/>
        </w:rPr>
        <w:t>,</w:t>
      </w:r>
      <w:r w:rsidR="00C14310">
        <w:rPr>
          <w:rFonts w:eastAsia="Calibri" w:cs="Arial"/>
          <w:i w:val="0"/>
          <w:snapToGrid w:val="0"/>
          <w:szCs w:val="20"/>
        </w:rPr>
        <w:t xml:space="preserve"> </w:t>
      </w:r>
      <w:r w:rsidR="00644E33">
        <w:rPr>
          <w:rFonts w:eastAsia="Calibri" w:cs="Arial"/>
          <w:i w:val="0"/>
          <w:snapToGrid w:val="0"/>
          <w:szCs w:val="20"/>
        </w:rPr>
        <w:t>Host</w:t>
      </w:r>
      <w:r w:rsidR="004A6DD8">
        <w:rPr>
          <w:rFonts w:eastAsia="Calibri" w:cs="Arial"/>
          <w:i w:val="0"/>
          <w:snapToGrid w:val="0"/>
          <w:szCs w:val="20"/>
        </w:rPr>
        <w:t xml:space="preserve"> </w:t>
      </w:r>
      <w:r w:rsidR="00A76E3A">
        <w:rPr>
          <w:rFonts w:eastAsia="Calibri" w:cs="Arial"/>
          <w:i w:val="0"/>
          <w:snapToGrid w:val="0"/>
          <w:szCs w:val="20"/>
        </w:rPr>
        <w:t>2</w:t>
      </w:r>
      <w:r w:rsidR="0051652B">
        <w:rPr>
          <w:rFonts w:eastAsia="Calibri" w:cs="Arial"/>
          <w:i w:val="0"/>
          <w:snapToGrid w:val="0"/>
          <w:szCs w:val="20"/>
        </w:rPr>
        <w:t xml:space="preserve"> </w:t>
      </w:r>
      <w:r w:rsidR="00DE033E">
        <w:rPr>
          <w:rFonts w:eastAsia="Calibri" w:cs="Arial"/>
          <w:i w:val="0"/>
          <w:snapToGrid w:val="0"/>
          <w:szCs w:val="20"/>
        </w:rPr>
        <w:t xml:space="preserve">commented </w:t>
      </w:r>
      <w:r w:rsidR="009A522D">
        <w:rPr>
          <w:rFonts w:eastAsia="Calibri" w:cs="Arial"/>
          <w:i w:val="0"/>
          <w:snapToGrid w:val="0"/>
          <w:szCs w:val="20"/>
        </w:rPr>
        <w:t>that</w:t>
      </w:r>
      <w:r w:rsidR="004A6DD8">
        <w:rPr>
          <w:rFonts w:eastAsia="Calibri" w:cs="Arial"/>
          <w:i w:val="0"/>
          <w:snapToGrid w:val="0"/>
          <w:szCs w:val="20"/>
        </w:rPr>
        <w:t xml:space="preserve"> </w:t>
      </w:r>
      <w:r w:rsidR="009A522D" w:rsidRPr="00A8183C">
        <w:rPr>
          <w:rFonts w:eastAsia="Calibri" w:cs="Arial"/>
          <w:i w:val="0"/>
          <w:snapToGrid w:val="0"/>
          <w:szCs w:val="20"/>
        </w:rPr>
        <w:t xml:space="preserve">people </w:t>
      </w:r>
      <w:r w:rsidR="002D047C">
        <w:rPr>
          <w:rFonts w:eastAsia="Calibri" w:cs="Arial"/>
          <w:i w:val="0"/>
          <w:snapToGrid w:val="0"/>
          <w:szCs w:val="20"/>
        </w:rPr>
        <w:t>we</w:t>
      </w:r>
      <w:r w:rsidR="004A6DD8">
        <w:rPr>
          <w:rFonts w:eastAsia="Calibri" w:cs="Arial"/>
          <w:i w:val="0"/>
          <w:snapToGrid w:val="0"/>
          <w:szCs w:val="20"/>
        </w:rPr>
        <w:t>re concern</w:t>
      </w:r>
      <w:r w:rsidR="00C9525B">
        <w:rPr>
          <w:rFonts w:eastAsia="Calibri" w:cs="Arial"/>
          <w:i w:val="0"/>
          <w:snapToGrid w:val="0"/>
          <w:szCs w:val="20"/>
        </w:rPr>
        <w:t>ed</w:t>
      </w:r>
      <w:r w:rsidR="004A6DD8">
        <w:rPr>
          <w:rFonts w:eastAsia="Calibri" w:cs="Arial"/>
          <w:i w:val="0"/>
          <w:snapToGrid w:val="0"/>
          <w:szCs w:val="20"/>
        </w:rPr>
        <w:t xml:space="preserve"> about vaccinated and unvaccinated people </w:t>
      </w:r>
      <w:r w:rsidR="00C9525B">
        <w:rPr>
          <w:rFonts w:eastAsia="Calibri" w:cs="Arial"/>
          <w:i w:val="0"/>
          <w:snapToGrid w:val="0"/>
          <w:szCs w:val="20"/>
        </w:rPr>
        <w:t>‘</w:t>
      </w:r>
      <w:r w:rsidR="004A6DD8">
        <w:rPr>
          <w:rFonts w:eastAsia="Calibri" w:cs="Arial"/>
          <w:i w:val="0"/>
          <w:snapToGrid w:val="0"/>
          <w:szCs w:val="20"/>
        </w:rPr>
        <w:t>sharing</w:t>
      </w:r>
      <w:r w:rsidR="009A522D">
        <w:rPr>
          <w:rFonts w:eastAsia="Calibri" w:cs="Arial"/>
          <w:i w:val="0"/>
          <w:snapToGrid w:val="0"/>
          <w:szCs w:val="20"/>
        </w:rPr>
        <w:t xml:space="preserve"> </w:t>
      </w:r>
      <w:r w:rsidR="004A6DD8">
        <w:rPr>
          <w:rFonts w:eastAsia="Calibri" w:cs="Arial"/>
          <w:i w:val="0"/>
          <w:snapToGrid w:val="0"/>
          <w:szCs w:val="20"/>
        </w:rPr>
        <w:t>transmission</w:t>
      </w:r>
      <w:r w:rsidR="00C9525B">
        <w:rPr>
          <w:rFonts w:eastAsia="Calibri" w:cs="Arial"/>
          <w:i w:val="0"/>
          <w:snapToGrid w:val="0"/>
          <w:szCs w:val="20"/>
        </w:rPr>
        <w:t>’</w:t>
      </w:r>
      <w:r w:rsidR="004A6DD8">
        <w:rPr>
          <w:rFonts w:eastAsia="Calibri" w:cs="Arial"/>
          <w:i w:val="0"/>
          <w:snapToGrid w:val="0"/>
          <w:szCs w:val="20"/>
        </w:rPr>
        <w:t xml:space="preserve"> of C</w:t>
      </w:r>
      <w:r w:rsidR="002A4894">
        <w:rPr>
          <w:rFonts w:eastAsia="Calibri" w:cs="Arial"/>
          <w:i w:val="0"/>
          <w:snapToGrid w:val="0"/>
          <w:szCs w:val="20"/>
        </w:rPr>
        <w:t>OVID</w:t>
      </w:r>
      <w:r w:rsidR="004A6DD8">
        <w:rPr>
          <w:rFonts w:eastAsia="Calibri" w:cs="Arial"/>
          <w:i w:val="0"/>
          <w:snapToGrid w:val="0"/>
          <w:szCs w:val="20"/>
        </w:rPr>
        <w:t>-19 while in a crowded space</w:t>
      </w:r>
      <w:r w:rsidR="00C9525B">
        <w:rPr>
          <w:rFonts w:eastAsia="Calibri" w:cs="Arial"/>
          <w:i w:val="0"/>
          <w:snapToGrid w:val="0"/>
          <w:szCs w:val="20"/>
        </w:rPr>
        <w:t xml:space="preserve">. </w:t>
      </w:r>
      <w:r w:rsidR="00FB2608">
        <w:rPr>
          <w:rFonts w:eastAsia="Calibri" w:cs="Arial"/>
          <w:i w:val="0"/>
          <w:snapToGrid w:val="0"/>
          <w:szCs w:val="20"/>
        </w:rPr>
        <w:t>Host</w:t>
      </w:r>
      <w:r w:rsidR="004A6DD8">
        <w:rPr>
          <w:rFonts w:eastAsia="Calibri" w:cs="Arial"/>
          <w:i w:val="0"/>
          <w:snapToGrid w:val="0"/>
          <w:szCs w:val="20"/>
        </w:rPr>
        <w:t xml:space="preserve"> </w:t>
      </w:r>
      <w:r w:rsidR="00A76E3A">
        <w:rPr>
          <w:rFonts w:eastAsia="Calibri" w:cs="Arial"/>
          <w:i w:val="0"/>
          <w:snapToGrid w:val="0"/>
          <w:szCs w:val="20"/>
        </w:rPr>
        <w:t>2</w:t>
      </w:r>
      <w:r w:rsidR="0051652B">
        <w:rPr>
          <w:rFonts w:eastAsia="Calibri" w:cs="Arial"/>
          <w:i w:val="0"/>
          <w:snapToGrid w:val="0"/>
          <w:szCs w:val="20"/>
        </w:rPr>
        <w:t xml:space="preserve"> </w:t>
      </w:r>
      <w:r w:rsidR="00E649DB">
        <w:rPr>
          <w:rFonts w:eastAsia="Calibri" w:cs="Arial"/>
          <w:i w:val="0"/>
          <w:snapToGrid w:val="0"/>
          <w:szCs w:val="20"/>
        </w:rPr>
        <w:t xml:space="preserve">then </w:t>
      </w:r>
      <w:r w:rsidR="002D047C">
        <w:rPr>
          <w:rFonts w:eastAsia="Calibri" w:cs="Arial"/>
          <w:i w:val="0"/>
          <w:snapToGrid w:val="0"/>
          <w:szCs w:val="20"/>
        </w:rPr>
        <w:t>stated</w:t>
      </w:r>
      <w:r w:rsidR="004A6DD8">
        <w:rPr>
          <w:rFonts w:eastAsia="Calibri" w:cs="Arial"/>
          <w:i w:val="0"/>
          <w:snapToGrid w:val="0"/>
          <w:szCs w:val="20"/>
        </w:rPr>
        <w:t xml:space="preserve"> that the media </w:t>
      </w:r>
      <w:r w:rsidR="002D047C">
        <w:rPr>
          <w:rFonts w:eastAsia="Calibri" w:cs="Arial"/>
          <w:i w:val="0"/>
          <w:snapToGrid w:val="0"/>
          <w:szCs w:val="20"/>
        </w:rPr>
        <w:t>was saying</w:t>
      </w:r>
      <w:r w:rsidR="004A6DD8">
        <w:rPr>
          <w:rFonts w:eastAsia="Calibri" w:cs="Arial"/>
          <w:i w:val="0"/>
          <w:snapToGrid w:val="0"/>
          <w:szCs w:val="20"/>
        </w:rPr>
        <w:t xml:space="preserve"> </w:t>
      </w:r>
      <w:r w:rsidR="00C9525B">
        <w:rPr>
          <w:rFonts w:eastAsia="Calibri" w:cs="Arial"/>
          <w:i w:val="0"/>
          <w:snapToGrid w:val="0"/>
          <w:szCs w:val="20"/>
        </w:rPr>
        <w:t xml:space="preserve">that only </w:t>
      </w:r>
      <w:r w:rsidR="004A6DD8">
        <w:rPr>
          <w:rFonts w:eastAsia="Calibri" w:cs="Arial"/>
          <w:i w:val="0"/>
          <w:snapToGrid w:val="0"/>
          <w:szCs w:val="20"/>
        </w:rPr>
        <w:t>‘the unvaccinated people are the dangerous ones</w:t>
      </w:r>
      <w:r w:rsidR="00891EDF">
        <w:rPr>
          <w:rFonts w:eastAsia="Calibri" w:cs="Arial"/>
          <w:i w:val="0"/>
          <w:snapToGrid w:val="0"/>
          <w:szCs w:val="20"/>
        </w:rPr>
        <w:t>’</w:t>
      </w:r>
      <w:r w:rsidR="00C9525B">
        <w:rPr>
          <w:rFonts w:eastAsia="Calibri" w:cs="Arial"/>
          <w:i w:val="0"/>
          <w:snapToGrid w:val="0"/>
          <w:szCs w:val="20"/>
        </w:rPr>
        <w:t xml:space="preserve"> [spreading the virus to people]</w:t>
      </w:r>
      <w:r w:rsidR="004A6DD8">
        <w:rPr>
          <w:rFonts w:eastAsia="Calibri" w:cs="Arial"/>
          <w:i w:val="0"/>
          <w:snapToGrid w:val="0"/>
          <w:szCs w:val="20"/>
        </w:rPr>
        <w:t xml:space="preserve"> </w:t>
      </w:r>
      <w:r w:rsidR="00DC19D6">
        <w:rPr>
          <w:rFonts w:eastAsia="Calibri" w:cs="Arial"/>
          <w:i w:val="0"/>
          <w:snapToGrid w:val="0"/>
          <w:szCs w:val="20"/>
        </w:rPr>
        <w:t>and ask</w:t>
      </w:r>
      <w:r w:rsidR="00C9525B">
        <w:rPr>
          <w:rFonts w:eastAsia="Calibri" w:cs="Arial"/>
          <w:i w:val="0"/>
          <w:snapToGrid w:val="0"/>
          <w:szCs w:val="20"/>
        </w:rPr>
        <w:t>ed</w:t>
      </w:r>
      <w:r w:rsidR="00DC19D6">
        <w:rPr>
          <w:rFonts w:eastAsia="Calibri" w:cs="Arial"/>
          <w:i w:val="0"/>
          <w:snapToGrid w:val="0"/>
          <w:szCs w:val="20"/>
        </w:rPr>
        <w:t xml:space="preserve"> </w:t>
      </w:r>
      <w:r w:rsidR="00B34D3D">
        <w:rPr>
          <w:rFonts w:eastAsia="Calibri" w:cs="Arial"/>
          <w:i w:val="0"/>
          <w:snapToGrid w:val="0"/>
          <w:szCs w:val="20"/>
        </w:rPr>
        <w:t xml:space="preserve">Dr. </w:t>
      </w:r>
      <w:r w:rsidR="00A76E3A">
        <w:rPr>
          <w:rFonts w:eastAsia="Calibri" w:cs="Arial"/>
          <w:i w:val="0"/>
          <w:snapToGrid w:val="0"/>
          <w:szCs w:val="20"/>
        </w:rPr>
        <w:t>B</w:t>
      </w:r>
      <w:r w:rsidR="00DC19D6">
        <w:rPr>
          <w:rFonts w:eastAsia="Calibri" w:cs="Arial"/>
          <w:i w:val="0"/>
          <w:snapToGrid w:val="0"/>
          <w:szCs w:val="20"/>
        </w:rPr>
        <w:t xml:space="preserve"> whether </w:t>
      </w:r>
      <w:r w:rsidR="00C9525B">
        <w:rPr>
          <w:rFonts w:eastAsia="Calibri" w:cs="Arial"/>
          <w:i w:val="0"/>
          <w:snapToGrid w:val="0"/>
          <w:szCs w:val="20"/>
        </w:rPr>
        <w:t>it was</w:t>
      </w:r>
      <w:r w:rsidR="00DC19D6">
        <w:rPr>
          <w:rFonts w:eastAsia="Calibri" w:cs="Arial"/>
          <w:i w:val="0"/>
          <w:snapToGrid w:val="0"/>
          <w:szCs w:val="20"/>
        </w:rPr>
        <w:t xml:space="preserve"> true.</w:t>
      </w:r>
    </w:p>
    <w:p w14:paraId="695580B1" w14:textId="37803BAE" w:rsidR="00DC19D6" w:rsidRDefault="00B34D3D" w:rsidP="00932D28">
      <w:pPr>
        <w:pStyle w:val="ACMABodyText"/>
        <w:spacing w:after="120"/>
        <w:rPr>
          <w:rFonts w:eastAsia="Calibri"/>
        </w:rPr>
      </w:pPr>
      <w:r>
        <w:rPr>
          <w:rFonts w:eastAsia="Calibri"/>
        </w:rPr>
        <w:t xml:space="preserve">Dr. </w:t>
      </w:r>
      <w:r w:rsidR="00A76E3A">
        <w:rPr>
          <w:rFonts w:eastAsia="Calibri"/>
        </w:rPr>
        <w:t>B</w:t>
      </w:r>
      <w:r w:rsidR="00DC19D6">
        <w:rPr>
          <w:rFonts w:eastAsia="Calibri"/>
        </w:rPr>
        <w:t xml:space="preserve"> </w:t>
      </w:r>
      <w:r w:rsidR="002D047C">
        <w:rPr>
          <w:rFonts w:eastAsia="Calibri"/>
        </w:rPr>
        <w:t>then made</w:t>
      </w:r>
      <w:r w:rsidR="00FE4515">
        <w:rPr>
          <w:rFonts w:eastAsia="Calibri"/>
        </w:rPr>
        <w:t xml:space="preserve"> the following</w:t>
      </w:r>
      <w:r w:rsidR="002D047C">
        <w:rPr>
          <w:rFonts w:eastAsia="Calibri"/>
        </w:rPr>
        <w:t xml:space="preserve"> statement</w:t>
      </w:r>
      <w:r w:rsidR="00DC19D6">
        <w:rPr>
          <w:rFonts w:eastAsia="Calibri"/>
        </w:rPr>
        <w:t>:</w:t>
      </w:r>
    </w:p>
    <w:p w14:paraId="75AED165" w14:textId="37533995" w:rsidR="00DC19D6" w:rsidRDefault="00DC19D6" w:rsidP="000237E6">
      <w:pPr>
        <w:pStyle w:val="ACMABodyText"/>
        <w:spacing w:before="120"/>
        <w:ind w:left="709"/>
        <w:rPr>
          <w:rFonts w:eastAsia="Calibri"/>
          <w:sz w:val="18"/>
          <w:szCs w:val="18"/>
        </w:rPr>
      </w:pPr>
      <w:r w:rsidRPr="00DC19D6">
        <w:rPr>
          <w:rFonts w:eastAsia="Calibri"/>
          <w:sz w:val="18"/>
          <w:szCs w:val="18"/>
        </w:rPr>
        <w:t>No one has actually studied the shot to see what happens to it when it’s injected into the body and whether anything from that shot exits the body that could hurt others</w:t>
      </w:r>
      <w:r>
        <w:rPr>
          <w:rFonts w:eastAsia="Calibri"/>
          <w:sz w:val="18"/>
          <w:szCs w:val="18"/>
        </w:rPr>
        <w:t xml:space="preserve">. </w:t>
      </w:r>
      <w:r w:rsidR="000237E6">
        <w:rPr>
          <w:rFonts w:eastAsia="Calibri"/>
          <w:sz w:val="18"/>
          <w:szCs w:val="18"/>
        </w:rPr>
        <w:t>So,</w:t>
      </w:r>
      <w:r>
        <w:rPr>
          <w:rFonts w:eastAsia="Calibri"/>
          <w:sz w:val="18"/>
          <w:szCs w:val="18"/>
        </w:rPr>
        <w:t xml:space="preserve"> no one</w:t>
      </w:r>
      <w:r w:rsidR="004E25AD">
        <w:rPr>
          <w:rFonts w:eastAsia="Calibri"/>
          <w:sz w:val="18"/>
          <w:szCs w:val="18"/>
        </w:rPr>
        <w:t>’s</w:t>
      </w:r>
      <w:r>
        <w:rPr>
          <w:rFonts w:eastAsia="Calibri"/>
          <w:sz w:val="18"/>
          <w:szCs w:val="18"/>
        </w:rPr>
        <w:t xml:space="preserve"> stud</w:t>
      </w:r>
      <w:r w:rsidR="004E25AD">
        <w:rPr>
          <w:rFonts w:eastAsia="Calibri"/>
          <w:sz w:val="18"/>
          <w:szCs w:val="18"/>
        </w:rPr>
        <w:t>ied</w:t>
      </w:r>
      <w:r>
        <w:rPr>
          <w:rFonts w:eastAsia="Calibri"/>
          <w:sz w:val="18"/>
          <w:szCs w:val="18"/>
        </w:rPr>
        <w:t xml:space="preserve"> it.</w:t>
      </w:r>
      <w:r w:rsidR="003C5326">
        <w:rPr>
          <w:rFonts w:eastAsia="Calibri"/>
          <w:sz w:val="18"/>
          <w:szCs w:val="18"/>
        </w:rPr>
        <w:t xml:space="preserve"> </w:t>
      </w:r>
    </w:p>
    <w:p w14:paraId="24197F37" w14:textId="77777777" w:rsidR="00155A86" w:rsidRPr="000D6A5E" w:rsidRDefault="00155A86" w:rsidP="00932D28">
      <w:pPr>
        <w:spacing w:before="0" w:line="240" w:lineRule="atLeast"/>
        <w:rPr>
          <w:rFonts w:eastAsia="Calibri" w:cs="Arial"/>
          <w:b/>
          <w:bCs/>
          <w:i w:val="0"/>
          <w:snapToGrid w:val="0"/>
          <w:szCs w:val="20"/>
        </w:rPr>
      </w:pPr>
      <w:r w:rsidRPr="000D6A5E">
        <w:rPr>
          <w:rFonts w:eastAsia="Calibri" w:cs="Arial"/>
          <w:b/>
          <w:bCs/>
          <w:i w:val="0"/>
          <w:snapToGrid w:val="0"/>
          <w:szCs w:val="20"/>
        </w:rPr>
        <w:t>What did the material conve</w:t>
      </w:r>
      <w:r>
        <w:rPr>
          <w:rFonts w:eastAsia="Calibri" w:cs="Arial"/>
          <w:b/>
          <w:bCs/>
          <w:i w:val="0"/>
          <w:snapToGrid w:val="0"/>
          <w:szCs w:val="20"/>
        </w:rPr>
        <w:t>y</w:t>
      </w:r>
      <w:r w:rsidRPr="000D6A5E">
        <w:rPr>
          <w:rFonts w:eastAsia="Calibri" w:cs="Arial"/>
          <w:b/>
          <w:bCs/>
          <w:i w:val="0"/>
          <w:snapToGrid w:val="0"/>
          <w:szCs w:val="20"/>
        </w:rPr>
        <w:t xml:space="preserve"> to the ordinary reasonable viewer?</w:t>
      </w:r>
    </w:p>
    <w:p w14:paraId="44AACC10" w14:textId="03F1A4AF" w:rsidR="00891EDF" w:rsidRDefault="00194A4F" w:rsidP="00932D28">
      <w:pPr>
        <w:spacing w:before="0" w:line="240" w:lineRule="atLeast"/>
        <w:rPr>
          <w:rFonts w:cs="Arial"/>
          <w:i w:val="0"/>
          <w:iCs/>
          <w:snapToGrid w:val="0"/>
          <w:szCs w:val="20"/>
        </w:rPr>
      </w:pPr>
      <w:r>
        <w:rPr>
          <w:rFonts w:cs="Arial"/>
          <w:i w:val="0"/>
          <w:iCs/>
          <w:snapToGrid w:val="0"/>
          <w:szCs w:val="20"/>
        </w:rPr>
        <w:t>T</w:t>
      </w:r>
      <w:r w:rsidR="00564932" w:rsidRPr="000724C6">
        <w:rPr>
          <w:rFonts w:cs="Arial"/>
          <w:i w:val="0"/>
          <w:iCs/>
          <w:snapToGrid w:val="0"/>
          <w:szCs w:val="20"/>
        </w:rPr>
        <w:t xml:space="preserve">he </w:t>
      </w:r>
      <w:r w:rsidR="007A4F37" w:rsidRPr="007A4F37">
        <w:rPr>
          <w:rFonts w:cs="Arial"/>
          <w:i w:val="0"/>
          <w:iCs/>
          <w:snapToGrid w:val="0"/>
          <w:szCs w:val="20"/>
        </w:rPr>
        <w:t>statement</w:t>
      </w:r>
      <w:r w:rsidR="00564932" w:rsidRPr="000724C6">
        <w:rPr>
          <w:rFonts w:cs="Arial"/>
          <w:i w:val="0"/>
          <w:iCs/>
          <w:snapToGrid w:val="0"/>
          <w:szCs w:val="20"/>
        </w:rPr>
        <w:t xml:space="preserve"> </w:t>
      </w:r>
      <w:r w:rsidR="000724C6">
        <w:rPr>
          <w:rFonts w:cs="Arial"/>
          <w:i w:val="0"/>
          <w:iCs/>
          <w:snapToGrid w:val="0"/>
          <w:szCs w:val="20"/>
        </w:rPr>
        <w:t>‘n</w:t>
      </w:r>
      <w:r w:rsidR="00137FCD" w:rsidRPr="007B2861">
        <w:rPr>
          <w:i w:val="0"/>
        </w:rPr>
        <w:t>o one has studied the shot to see what happens to it when it’s injected into the body</w:t>
      </w:r>
      <w:r w:rsidR="000724C6">
        <w:rPr>
          <w:rFonts w:cs="Arial"/>
          <w:i w:val="0"/>
          <w:iCs/>
          <w:snapToGrid w:val="0"/>
          <w:szCs w:val="20"/>
        </w:rPr>
        <w:t xml:space="preserve">’ </w:t>
      </w:r>
      <w:r w:rsidR="002D047C">
        <w:rPr>
          <w:rFonts w:cs="Arial"/>
          <w:i w:val="0"/>
          <w:iCs/>
          <w:snapToGrid w:val="0"/>
          <w:szCs w:val="20"/>
        </w:rPr>
        <w:t>would have bee</w:t>
      </w:r>
      <w:r w:rsidR="00155A86">
        <w:rPr>
          <w:rFonts w:cs="Arial"/>
          <w:i w:val="0"/>
          <w:iCs/>
          <w:snapToGrid w:val="0"/>
          <w:szCs w:val="20"/>
        </w:rPr>
        <w:t>n</w:t>
      </w:r>
      <w:r w:rsidR="002D047C">
        <w:rPr>
          <w:rFonts w:cs="Arial"/>
          <w:i w:val="0"/>
          <w:iCs/>
          <w:snapToGrid w:val="0"/>
          <w:szCs w:val="20"/>
        </w:rPr>
        <w:t xml:space="preserve"> understood by the ordinary reasonable viewer</w:t>
      </w:r>
      <w:r w:rsidR="00564932" w:rsidRPr="000724C6">
        <w:rPr>
          <w:rFonts w:cs="Arial"/>
          <w:i w:val="0"/>
          <w:iCs/>
          <w:snapToGrid w:val="0"/>
          <w:szCs w:val="20"/>
        </w:rPr>
        <w:t xml:space="preserve"> </w:t>
      </w:r>
      <w:r w:rsidR="00155A86">
        <w:rPr>
          <w:rFonts w:cs="Arial"/>
          <w:i w:val="0"/>
          <w:iCs/>
          <w:snapToGrid w:val="0"/>
          <w:szCs w:val="20"/>
        </w:rPr>
        <w:t>to mean</w:t>
      </w:r>
      <w:r w:rsidR="002D047C">
        <w:rPr>
          <w:rFonts w:cs="Arial"/>
          <w:i w:val="0"/>
          <w:iCs/>
          <w:snapToGrid w:val="0"/>
          <w:szCs w:val="20"/>
        </w:rPr>
        <w:t xml:space="preserve"> </w:t>
      </w:r>
      <w:r w:rsidR="000B110F">
        <w:rPr>
          <w:rFonts w:cs="Arial"/>
          <w:i w:val="0"/>
          <w:iCs/>
          <w:snapToGrid w:val="0"/>
          <w:szCs w:val="20"/>
        </w:rPr>
        <w:t>no study ha</w:t>
      </w:r>
      <w:r w:rsidR="002D047C">
        <w:rPr>
          <w:rFonts w:cs="Arial"/>
          <w:i w:val="0"/>
          <w:iCs/>
          <w:snapToGrid w:val="0"/>
          <w:szCs w:val="20"/>
        </w:rPr>
        <w:t>d</w:t>
      </w:r>
      <w:r w:rsidR="000B110F">
        <w:rPr>
          <w:rFonts w:cs="Arial"/>
          <w:i w:val="0"/>
          <w:iCs/>
          <w:snapToGrid w:val="0"/>
          <w:szCs w:val="20"/>
        </w:rPr>
        <w:t xml:space="preserve"> </w:t>
      </w:r>
      <w:r w:rsidR="002D047C">
        <w:rPr>
          <w:rFonts w:cs="Arial"/>
          <w:i w:val="0"/>
          <w:iCs/>
          <w:snapToGrid w:val="0"/>
          <w:szCs w:val="20"/>
        </w:rPr>
        <w:t xml:space="preserve">yet </w:t>
      </w:r>
      <w:r w:rsidR="000B110F">
        <w:rPr>
          <w:rFonts w:cs="Arial"/>
          <w:i w:val="0"/>
          <w:iCs/>
          <w:snapToGrid w:val="0"/>
          <w:szCs w:val="20"/>
        </w:rPr>
        <w:t xml:space="preserve">been done </w:t>
      </w:r>
      <w:r w:rsidR="00DD504D">
        <w:rPr>
          <w:rFonts w:cs="Arial"/>
          <w:i w:val="0"/>
          <w:iCs/>
          <w:snapToGrid w:val="0"/>
          <w:szCs w:val="20"/>
        </w:rPr>
        <w:t>on</w:t>
      </w:r>
      <w:r w:rsidR="00564932" w:rsidRPr="000724C6">
        <w:rPr>
          <w:rFonts w:cs="Arial"/>
          <w:i w:val="0"/>
          <w:iCs/>
          <w:snapToGrid w:val="0"/>
          <w:szCs w:val="20"/>
        </w:rPr>
        <w:t xml:space="preserve"> </w:t>
      </w:r>
      <w:r w:rsidR="0017573C">
        <w:rPr>
          <w:rFonts w:cs="Arial"/>
          <w:i w:val="0"/>
          <w:iCs/>
          <w:snapToGrid w:val="0"/>
          <w:szCs w:val="20"/>
        </w:rPr>
        <w:t xml:space="preserve">how the </w:t>
      </w:r>
      <w:r w:rsidR="001F626D">
        <w:rPr>
          <w:rFonts w:cs="Arial"/>
          <w:i w:val="0"/>
          <w:iCs/>
          <w:snapToGrid w:val="0"/>
          <w:szCs w:val="20"/>
        </w:rPr>
        <w:t>C</w:t>
      </w:r>
      <w:r w:rsidR="002A4894">
        <w:rPr>
          <w:rFonts w:cs="Arial"/>
          <w:i w:val="0"/>
          <w:iCs/>
          <w:snapToGrid w:val="0"/>
          <w:szCs w:val="20"/>
        </w:rPr>
        <w:t>OVID</w:t>
      </w:r>
      <w:r w:rsidR="001F626D">
        <w:rPr>
          <w:rFonts w:cs="Arial"/>
          <w:i w:val="0"/>
          <w:iCs/>
          <w:snapToGrid w:val="0"/>
          <w:szCs w:val="20"/>
        </w:rPr>
        <w:t xml:space="preserve">-19 </w:t>
      </w:r>
      <w:r w:rsidR="0017573C">
        <w:rPr>
          <w:rFonts w:cs="Arial"/>
          <w:i w:val="0"/>
          <w:iCs/>
          <w:snapToGrid w:val="0"/>
          <w:szCs w:val="20"/>
        </w:rPr>
        <w:t>vaccine</w:t>
      </w:r>
      <w:r w:rsidR="00155A86">
        <w:rPr>
          <w:rFonts w:cs="Arial"/>
          <w:i w:val="0"/>
          <w:iCs/>
          <w:snapToGrid w:val="0"/>
          <w:szCs w:val="20"/>
        </w:rPr>
        <w:t>s</w:t>
      </w:r>
      <w:r w:rsidR="0017573C">
        <w:rPr>
          <w:rFonts w:cs="Arial"/>
          <w:i w:val="0"/>
          <w:iCs/>
          <w:snapToGrid w:val="0"/>
          <w:szCs w:val="20"/>
        </w:rPr>
        <w:t xml:space="preserve"> </w:t>
      </w:r>
      <w:r w:rsidR="002D047C">
        <w:rPr>
          <w:rFonts w:cs="Arial"/>
          <w:i w:val="0"/>
          <w:iCs/>
          <w:snapToGrid w:val="0"/>
          <w:szCs w:val="20"/>
        </w:rPr>
        <w:t>behaved</w:t>
      </w:r>
      <w:r w:rsidR="0017573C">
        <w:rPr>
          <w:rFonts w:cs="Arial"/>
          <w:i w:val="0"/>
          <w:iCs/>
          <w:snapToGrid w:val="0"/>
          <w:szCs w:val="20"/>
        </w:rPr>
        <w:t xml:space="preserve"> after </w:t>
      </w:r>
      <w:r w:rsidR="00E3277A">
        <w:rPr>
          <w:rFonts w:cs="Arial"/>
          <w:i w:val="0"/>
          <w:iCs/>
          <w:snapToGrid w:val="0"/>
          <w:szCs w:val="20"/>
        </w:rPr>
        <w:t xml:space="preserve">being </w:t>
      </w:r>
      <w:r w:rsidR="0017573C">
        <w:rPr>
          <w:rFonts w:cs="Arial"/>
          <w:i w:val="0"/>
          <w:iCs/>
          <w:snapToGrid w:val="0"/>
          <w:szCs w:val="20"/>
        </w:rPr>
        <w:t>injected in the body</w:t>
      </w:r>
      <w:r w:rsidR="007563E8">
        <w:rPr>
          <w:rFonts w:cs="Arial"/>
          <w:i w:val="0"/>
          <w:iCs/>
          <w:snapToGrid w:val="0"/>
          <w:szCs w:val="20"/>
        </w:rPr>
        <w:t xml:space="preserve"> </w:t>
      </w:r>
      <w:r w:rsidR="006D0C34" w:rsidRPr="000237E6">
        <w:rPr>
          <w:rFonts w:cs="Arial"/>
          <w:i w:val="0"/>
          <w:iCs/>
          <w:snapToGrid w:val="0"/>
          <w:szCs w:val="20"/>
        </w:rPr>
        <w:t>and</w:t>
      </w:r>
      <w:r w:rsidR="006D0C34">
        <w:rPr>
          <w:rFonts w:cs="Arial"/>
          <w:i w:val="0"/>
          <w:iCs/>
          <w:snapToGrid w:val="0"/>
          <w:szCs w:val="20"/>
        </w:rPr>
        <w:t xml:space="preserve"> wh</w:t>
      </w:r>
      <w:r w:rsidR="002D047C">
        <w:rPr>
          <w:rFonts w:cs="Arial"/>
          <w:i w:val="0"/>
          <w:iCs/>
          <w:snapToGrid w:val="0"/>
          <w:szCs w:val="20"/>
        </w:rPr>
        <w:t xml:space="preserve">ether the </w:t>
      </w:r>
      <w:r w:rsidR="000237E6">
        <w:rPr>
          <w:rFonts w:cs="Arial"/>
          <w:i w:val="0"/>
          <w:iCs/>
          <w:snapToGrid w:val="0"/>
          <w:szCs w:val="20"/>
        </w:rPr>
        <w:t>C</w:t>
      </w:r>
      <w:r w:rsidR="002A4894">
        <w:rPr>
          <w:rFonts w:cs="Arial"/>
          <w:i w:val="0"/>
          <w:iCs/>
          <w:snapToGrid w:val="0"/>
          <w:szCs w:val="20"/>
        </w:rPr>
        <w:t>OVID</w:t>
      </w:r>
      <w:r w:rsidR="000237E6">
        <w:rPr>
          <w:rFonts w:cs="Arial"/>
          <w:i w:val="0"/>
          <w:iCs/>
          <w:snapToGrid w:val="0"/>
          <w:szCs w:val="20"/>
        </w:rPr>
        <w:t xml:space="preserve">-19 </w:t>
      </w:r>
      <w:r w:rsidR="002D047C">
        <w:rPr>
          <w:rFonts w:cs="Arial"/>
          <w:i w:val="0"/>
          <w:iCs/>
          <w:snapToGrid w:val="0"/>
          <w:szCs w:val="20"/>
        </w:rPr>
        <w:t>vaccine</w:t>
      </w:r>
      <w:r w:rsidR="00564932" w:rsidRPr="000724C6">
        <w:rPr>
          <w:rFonts w:cs="Arial"/>
          <w:i w:val="0"/>
          <w:iCs/>
          <w:snapToGrid w:val="0"/>
          <w:szCs w:val="20"/>
        </w:rPr>
        <w:t xml:space="preserve"> </w:t>
      </w:r>
      <w:r w:rsidR="00B215F4" w:rsidRPr="000724C6">
        <w:rPr>
          <w:rFonts w:cs="Arial"/>
          <w:i w:val="0"/>
          <w:iCs/>
          <w:snapToGrid w:val="0"/>
          <w:szCs w:val="20"/>
        </w:rPr>
        <w:t>exit</w:t>
      </w:r>
      <w:r w:rsidR="002D047C">
        <w:rPr>
          <w:rFonts w:cs="Arial"/>
          <w:i w:val="0"/>
          <w:iCs/>
          <w:snapToGrid w:val="0"/>
          <w:szCs w:val="20"/>
        </w:rPr>
        <w:t>ed</w:t>
      </w:r>
      <w:r w:rsidR="00564932" w:rsidRPr="000724C6">
        <w:rPr>
          <w:rFonts w:cs="Arial"/>
          <w:i w:val="0"/>
          <w:iCs/>
          <w:snapToGrid w:val="0"/>
          <w:szCs w:val="20"/>
        </w:rPr>
        <w:t xml:space="preserve"> the body</w:t>
      </w:r>
      <w:r w:rsidR="002D047C">
        <w:rPr>
          <w:rFonts w:cs="Arial"/>
          <w:i w:val="0"/>
          <w:iCs/>
          <w:snapToGrid w:val="0"/>
          <w:szCs w:val="20"/>
        </w:rPr>
        <w:t xml:space="preserve"> in a way that ‘could hurt others’ </w:t>
      </w:r>
      <w:r w:rsidR="00B44770">
        <w:rPr>
          <w:rFonts w:cs="Arial"/>
          <w:i w:val="0"/>
          <w:iCs/>
          <w:snapToGrid w:val="0"/>
          <w:szCs w:val="20"/>
        </w:rPr>
        <w:t>(t</w:t>
      </w:r>
      <w:r w:rsidR="002D047C">
        <w:rPr>
          <w:rFonts w:cs="Arial"/>
          <w:i w:val="0"/>
          <w:iCs/>
          <w:snapToGrid w:val="0"/>
          <w:szCs w:val="20"/>
        </w:rPr>
        <w:t xml:space="preserve">he </w:t>
      </w:r>
      <w:r w:rsidR="0090537E">
        <w:rPr>
          <w:rFonts w:cs="Arial"/>
          <w:i w:val="0"/>
          <w:iCs/>
          <w:snapToGrid w:val="0"/>
          <w:szCs w:val="20"/>
        </w:rPr>
        <w:t>impli</w:t>
      </w:r>
      <w:r w:rsidR="002D047C">
        <w:rPr>
          <w:rFonts w:cs="Arial"/>
          <w:i w:val="0"/>
          <w:iCs/>
          <w:snapToGrid w:val="0"/>
          <w:szCs w:val="20"/>
        </w:rPr>
        <w:t>cation being</w:t>
      </w:r>
      <w:r w:rsidR="0090537E">
        <w:rPr>
          <w:rFonts w:cs="Arial"/>
          <w:i w:val="0"/>
          <w:iCs/>
          <w:snapToGrid w:val="0"/>
          <w:szCs w:val="20"/>
        </w:rPr>
        <w:t xml:space="preserve"> </w:t>
      </w:r>
      <w:r w:rsidR="00155A86">
        <w:rPr>
          <w:rFonts w:cs="Arial"/>
          <w:i w:val="0"/>
          <w:iCs/>
          <w:snapToGrid w:val="0"/>
          <w:szCs w:val="20"/>
        </w:rPr>
        <w:t xml:space="preserve">that </w:t>
      </w:r>
      <w:r w:rsidR="00B44770">
        <w:rPr>
          <w:rFonts w:cs="Arial"/>
          <w:i w:val="0"/>
          <w:iCs/>
          <w:snapToGrid w:val="0"/>
          <w:szCs w:val="20"/>
        </w:rPr>
        <w:t xml:space="preserve">it was possible that </w:t>
      </w:r>
      <w:r w:rsidR="002D047C">
        <w:rPr>
          <w:rFonts w:cs="Arial"/>
          <w:i w:val="0"/>
          <w:iCs/>
          <w:snapToGrid w:val="0"/>
          <w:szCs w:val="20"/>
        </w:rPr>
        <w:t xml:space="preserve">vaccinated people </w:t>
      </w:r>
      <w:r w:rsidR="0090537E">
        <w:rPr>
          <w:rFonts w:cs="Arial"/>
          <w:i w:val="0"/>
          <w:iCs/>
          <w:snapToGrid w:val="0"/>
          <w:szCs w:val="20"/>
        </w:rPr>
        <w:t>could</w:t>
      </w:r>
      <w:r w:rsidR="00130987">
        <w:rPr>
          <w:rFonts w:cs="Arial"/>
          <w:i w:val="0"/>
          <w:iCs/>
          <w:snapToGrid w:val="0"/>
          <w:szCs w:val="20"/>
        </w:rPr>
        <w:t xml:space="preserve"> spread </w:t>
      </w:r>
      <w:r w:rsidR="002D047C">
        <w:rPr>
          <w:rFonts w:cs="Arial"/>
          <w:i w:val="0"/>
          <w:iCs/>
          <w:snapToGrid w:val="0"/>
          <w:szCs w:val="20"/>
        </w:rPr>
        <w:t xml:space="preserve">something harmful </w:t>
      </w:r>
      <w:r w:rsidR="000237E6">
        <w:rPr>
          <w:rFonts w:cs="Arial"/>
          <w:i w:val="0"/>
          <w:iCs/>
          <w:snapToGrid w:val="0"/>
          <w:szCs w:val="20"/>
        </w:rPr>
        <w:t>from the vaccine</w:t>
      </w:r>
      <w:r w:rsidR="002D047C">
        <w:rPr>
          <w:rFonts w:cs="Arial"/>
          <w:i w:val="0"/>
          <w:iCs/>
          <w:snapToGrid w:val="0"/>
          <w:szCs w:val="20"/>
        </w:rPr>
        <w:t xml:space="preserve"> </w:t>
      </w:r>
      <w:r w:rsidR="00130987">
        <w:rPr>
          <w:rFonts w:cs="Arial"/>
          <w:i w:val="0"/>
          <w:iCs/>
          <w:snapToGrid w:val="0"/>
          <w:szCs w:val="20"/>
        </w:rPr>
        <w:t>to others</w:t>
      </w:r>
      <w:r w:rsidR="00B44770">
        <w:rPr>
          <w:rFonts w:cs="Arial"/>
          <w:i w:val="0"/>
          <w:iCs/>
          <w:snapToGrid w:val="0"/>
          <w:szCs w:val="20"/>
        </w:rPr>
        <w:t>)</w:t>
      </w:r>
      <w:r w:rsidR="00D849D5">
        <w:rPr>
          <w:rFonts w:cs="Arial"/>
          <w:i w:val="0"/>
          <w:iCs/>
          <w:snapToGrid w:val="0"/>
          <w:szCs w:val="20"/>
        </w:rPr>
        <w:t>.</w:t>
      </w:r>
      <w:r w:rsidR="00E6095B">
        <w:rPr>
          <w:rFonts w:cs="Arial"/>
          <w:i w:val="0"/>
          <w:iCs/>
          <w:snapToGrid w:val="0"/>
          <w:szCs w:val="20"/>
        </w:rPr>
        <w:t xml:space="preserve"> </w:t>
      </w:r>
    </w:p>
    <w:p w14:paraId="4E32AE35" w14:textId="2E491B84" w:rsidR="009A522D" w:rsidRDefault="009A522D" w:rsidP="00932D28">
      <w:pPr>
        <w:spacing w:before="0" w:line="240" w:lineRule="atLeast"/>
        <w:rPr>
          <w:rFonts w:eastAsia="Calibri" w:cs="Arial"/>
          <w:b/>
          <w:bCs/>
          <w:i w:val="0"/>
          <w:snapToGrid w:val="0"/>
          <w:szCs w:val="20"/>
        </w:rPr>
      </w:pPr>
      <w:r w:rsidRPr="00E171F9">
        <w:rPr>
          <w:rFonts w:eastAsia="Calibri" w:cs="Arial"/>
          <w:b/>
          <w:bCs/>
          <w:i w:val="0"/>
          <w:snapToGrid w:val="0"/>
          <w:szCs w:val="20"/>
        </w:rPr>
        <w:t>Was the material factual in character?</w:t>
      </w:r>
    </w:p>
    <w:p w14:paraId="61534411" w14:textId="2E5D2AC4" w:rsidR="00155A86" w:rsidRDefault="00A27B29" w:rsidP="00932D28">
      <w:pPr>
        <w:spacing w:before="0" w:line="240" w:lineRule="atLeast"/>
        <w:rPr>
          <w:rFonts w:eastAsia="Calibri" w:cs="Arial"/>
          <w:i w:val="0"/>
        </w:rPr>
      </w:pPr>
      <w:r w:rsidRPr="00A27B29">
        <w:rPr>
          <w:rFonts w:eastAsia="Calibri" w:cs="Arial"/>
          <w:i w:val="0"/>
        </w:rPr>
        <w:t>The statement that ‘</w:t>
      </w:r>
      <w:r>
        <w:rPr>
          <w:rFonts w:eastAsia="Calibri" w:cs="Arial"/>
          <w:i w:val="0"/>
        </w:rPr>
        <w:t>n</w:t>
      </w:r>
      <w:r w:rsidRPr="00A27B29">
        <w:rPr>
          <w:rFonts w:eastAsia="Calibri" w:cs="Arial"/>
          <w:i w:val="0"/>
        </w:rPr>
        <w:t xml:space="preserve">o one has studied the shot to see what happens to it when it’s injected into the body’ should not be interpreted in isolation </w:t>
      </w:r>
      <w:r w:rsidR="00B44770">
        <w:rPr>
          <w:rFonts w:eastAsia="Calibri" w:cs="Arial"/>
          <w:i w:val="0"/>
        </w:rPr>
        <w:t>(</w:t>
      </w:r>
      <w:r w:rsidRPr="00A27B29">
        <w:rPr>
          <w:rFonts w:eastAsia="Calibri" w:cs="Arial"/>
          <w:i w:val="0"/>
        </w:rPr>
        <w:t xml:space="preserve">as suggested by the </w:t>
      </w:r>
      <w:r>
        <w:rPr>
          <w:rFonts w:eastAsia="Calibri" w:cs="Arial"/>
          <w:i w:val="0"/>
        </w:rPr>
        <w:t xml:space="preserve">focus of the </w:t>
      </w:r>
      <w:r w:rsidRPr="00A27B29">
        <w:rPr>
          <w:rFonts w:eastAsia="Calibri" w:cs="Arial"/>
          <w:i w:val="0"/>
        </w:rPr>
        <w:t>complaint</w:t>
      </w:r>
      <w:r w:rsidR="00B44770">
        <w:rPr>
          <w:rFonts w:eastAsia="Calibri" w:cs="Arial"/>
          <w:i w:val="0"/>
        </w:rPr>
        <w:t>) from the words</w:t>
      </w:r>
      <w:r w:rsidRPr="00A27B29">
        <w:rPr>
          <w:rFonts w:eastAsia="Calibri" w:cs="Arial"/>
          <w:i w:val="0"/>
        </w:rPr>
        <w:t xml:space="preserve"> that followed</w:t>
      </w:r>
      <w:r w:rsidR="00B44770">
        <w:rPr>
          <w:rFonts w:eastAsia="Calibri" w:cs="Arial"/>
          <w:i w:val="0"/>
        </w:rPr>
        <w:t xml:space="preserve"> it:</w:t>
      </w:r>
      <w:r>
        <w:rPr>
          <w:rFonts w:eastAsia="Calibri" w:cs="Arial"/>
          <w:i w:val="0"/>
        </w:rPr>
        <w:t xml:space="preserve"> </w:t>
      </w:r>
      <w:r w:rsidRPr="00A27B29">
        <w:rPr>
          <w:rFonts w:eastAsia="Calibri" w:cs="Arial"/>
          <w:i w:val="0"/>
        </w:rPr>
        <w:t>‘and whether anything from that shot exits the body that could hurt others’</w:t>
      </w:r>
      <w:r w:rsidR="00B44770">
        <w:rPr>
          <w:rFonts w:eastAsia="Calibri" w:cs="Arial"/>
          <w:i w:val="0"/>
        </w:rPr>
        <w:t>.</w:t>
      </w:r>
      <w:r w:rsidRPr="00A27B29">
        <w:rPr>
          <w:rFonts w:eastAsia="Calibri" w:cs="Arial"/>
          <w:i w:val="0"/>
        </w:rPr>
        <w:t xml:space="preserve"> </w:t>
      </w:r>
    </w:p>
    <w:p w14:paraId="6811B382" w14:textId="365A2051" w:rsidR="00A27B29" w:rsidRDefault="00B34D3D" w:rsidP="00932D28">
      <w:pPr>
        <w:spacing w:before="0" w:line="240" w:lineRule="atLeast"/>
        <w:rPr>
          <w:rFonts w:eastAsia="Calibri" w:cs="Arial"/>
          <w:i w:val="0"/>
        </w:rPr>
      </w:pPr>
      <w:r>
        <w:rPr>
          <w:rFonts w:eastAsia="Calibri" w:cs="Arial"/>
          <w:i w:val="0"/>
        </w:rPr>
        <w:t xml:space="preserve">Dr. </w:t>
      </w:r>
      <w:r w:rsidR="00A76E3A">
        <w:rPr>
          <w:rFonts w:eastAsia="Calibri" w:cs="Arial"/>
          <w:i w:val="0"/>
        </w:rPr>
        <w:t>B</w:t>
      </w:r>
      <w:r w:rsidR="00A27B29" w:rsidRPr="00A27B29">
        <w:rPr>
          <w:rFonts w:eastAsia="Calibri" w:cs="Arial"/>
          <w:i w:val="0"/>
        </w:rPr>
        <w:t>’s statement</w:t>
      </w:r>
      <w:r w:rsidR="00A27B29">
        <w:rPr>
          <w:rFonts w:eastAsia="Calibri" w:cs="Arial"/>
          <w:i w:val="0"/>
        </w:rPr>
        <w:t xml:space="preserve"> did not</w:t>
      </w:r>
      <w:r w:rsidR="00A27B29" w:rsidRPr="00A27B29">
        <w:rPr>
          <w:rFonts w:eastAsia="Calibri" w:cs="Arial"/>
          <w:i w:val="0"/>
        </w:rPr>
        <w:t xml:space="preserve"> mean that the effects of the </w:t>
      </w:r>
      <w:r w:rsidR="000237E6">
        <w:rPr>
          <w:rFonts w:eastAsia="Calibri" w:cs="Arial"/>
          <w:i w:val="0"/>
        </w:rPr>
        <w:t>C</w:t>
      </w:r>
      <w:r w:rsidR="002A4894">
        <w:rPr>
          <w:rFonts w:eastAsia="Calibri" w:cs="Arial"/>
          <w:i w:val="0"/>
        </w:rPr>
        <w:t>OVID</w:t>
      </w:r>
      <w:r w:rsidR="000237E6">
        <w:rPr>
          <w:rFonts w:eastAsia="Calibri" w:cs="Arial"/>
          <w:i w:val="0"/>
        </w:rPr>
        <w:t xml:space="preserve">-19 </w:t>
      </w:r>
      <w:r w:rsidR="00A27B29">
        <w:rPr>
          <w:rFonts w:eastAsia="Calibri" w:cs="Arial"/>
          <w:i w:val="0"/>
        </w:rPr>
        <w:t>vaccine</w:t>
      </w:r>
      <w:r w:rsidR="00A27B29" w:rsidRPr="00A27B29">
        <w:rPr>
          <w:rFonts w:eastAsia="Calibri" w:cs="Arial"/>
          <w:i w:val="0"/>
        </w:rPr>
        <w:t xml:space="preserve"> itself ha</w:t>
      </w:r>
      <w:r w:rsidR="00A27B29">
        <w:rPr>
          <w:rFonts w:eastAsia="Calibri" w:cs="Arial"/>
          <w:i w:val="0"/>
        </w:rPr>
        <w:t>d</w:t>
      </w:r>
      <w:r w:rsidR="00A27B29" w:rsidRPr="00A27B29">
        <w:rPr>
          <w:rFonts w:eastAsia="Calibri" w:cs="Arial"/>
          <w:i w:val="0"/>
        </w:rPr>
        <w:t xml:space="preserve"> not been studied</w:t>
      </w:r>
      <w:r w:rsidR="00B44770">
        <w:rPr>
          <w:rFonts w:eastAsia="Calibri" w:cs="Arial"/>
          <w:i w:val="0"/>
        </w:rPr>
        <w:t>;</w:t>
      </w:r>
      <w:r w:rsidR="00A27B29">
        <w:rPr>
          <w:rFonts w:eastAsia="Calibri" w:cs="Arial"/>
          <w:i w:val="0"/>
        </w:rPr>
        <w:t xml:space="preserve"> </w:t>
      </w:r>
      <w:r w:rsidR="00A27B29" w:rsidRPr="00A27B29">
        <w:rPr>
          <w:rFonts w:eastAsia="Calibri" w:cs="Arial"/>
          <w:i w:val="0"/>
        </w:rPr>
        <w:t xml:space="preserve">in fact, </w:t>
      </w:r>
      <w:r w:rsidR="00A76E3A">
        <w:rPr>
          <w:rFonts w:eastAsia="Calibri" w:cs="Arial"/>
          <w:i w:val="0"/>
        </w:rPr>
        <w:t>their</w:t>
      </w:r>
      <w:r w:rsidR="00A76E3A" w:rsidRPr="00A27B29">
        <w:rPr>
          <w:rFonts w:eastAsia="Calibri" w:cs="Arial"/>
          <w:i w:val="0"/>
        </w:rPr>
        <w:t xml:space="preserve"> </w:t>
      </w:r>
      <w:r w:rsidR="00A27B29" w:rsidRPr="00A27B29">
        <w:rPr>
          <w:rFonts w:eastAsia="Calibri" w:cs="Arial"/>
          <w:i w:val="0"/>
        </w:rPr>
        <w:t xml:space="preserve">statements elsewhere in the program acknowledge studies on the </w:t>
      </w:r>
      <w:r w:rsidR="000237E6">
        <w:rPr>
          <w:rFonts w:eastAsia="Calibri" w:cs="Arial"/>
          <w:i w:val="0"/>
        </w:rPr>
        <w:t>C</w:t>
      </w:r>
      <w:r w:rsidR="002A4894">
        <w:rPr>
          <w:rFonts w:eastAsia="Calibri" w:cs="Arial"/>
          <w:i w:val="0"/>
        </w:rPr>
        <w:t>OVID</w:t>
      </w:r>
      <w:r w:rsidR="000237E6">
        <w:rPr>
          <w:rFonts w:eastAsia="Calibri" w:cs="Arial"/>
          <w:i w:val="0"/>
        </w:rPr>
        <w:t xml:space="preserve">-19 </w:t>
      </w:r>
      <w:r w:rsidR="00A27B29" w:rsidRPr="00A27B29">
        <w:rPr>
          <w:rFonts w:eastAsia="Calibri" w:cs="Arial"/>
          <w:i w:val="0"/>
        </w:rPr>
        <w:t>vaccines themselves</w:t>
      </w:r>
      <w:r w:rsidR="00A27B29">
        <w:rPr>
          <w:rFonts w:eastAsia="Calibri" w:cs="Arial"/>
          <w:i w:val="0"/>
        </w:rPr>
        <w:t>.</w:t>
      </w:r>
      <w:r w:rsidR="00A27B29" w:rsidRPr="00A27B29">
        <w:rPr>
          <w:rFonts w:eastAsia="Calibri" w:cs="Arial"/>
          <w:i w:val="0"/>
        </w:rPr>
        <w:t xml:space="preserve"> The focus </w:t>
      </w:r>
      <w:r w:rsidR="00A27B29">
        <w:rPr>
          <w:rFonts w:eastAsia="Calibri" w:cs="Arial"/>
          <w:i w:val="0"/>
        </w:rPr>
        <w:t xml:space="preserve">of the statement was </w:t>
      </w:r>
      <w:r w:rsidR="00A27B29" w:rsidRPr="00A27B29">
        <w:rPr>
          <w:rFonts w:eastAsia="Calibri" w:cs="Arial"/>
          <w:i w:val="0"/>
        </w:rPr>
        <w:t xml:space="preserve">whether a vaccinated person can affect others </w:t>
      </w:r>
      <w:r w:rsidR="002A4894">
        <w:rPr>
          <w:rFonts w:eastAsia="Calibri" w:cs="Arial"/>
          <w:i w:val="0"/>
        </w:rPr>
        <w:t>if</w:t>
      </w:r>
      <w:r w:rsidR="00A27B29" w:rsidRPr="00A27B29">
        <w:rPr>
          <w:rFonts w:eastAsia="Calibri" w:cs="Arial"/>
          <w:i w:val="0"/>
        </w:rPr>
        <w:t xml:space="preserve"> the </w:t>
      </w:r>
      <w:r w:rsidR="000237E6">
        <w:rPr>
          <w:rFonts w:eastAsia="Calibri" w:cs="Arial"/>
          <w:i w:val="0"/>
        </w:rPr>
        <w:t>C</w:t>
      </w:r>
      <w:r w:rsidR="002A4894">
        <w:rPr>
          <w:rFonts w:eastAsia="Calibri" w:cs="Arial"/>
          <w:i w:val="0"/>
        </w:rPr>
        <w:t>OVID</w:t>
      </w:r>
      <w:r w:rsidR="000237E6">
        <w:rPr>
          <w:rFonts w:eastAsia="Calibri" w:cs="Arial"/>
          <w:i w:val="0"/>
        </w:rPr>
        <w:t xml:space="preserve">-19 </w:t>
      </w:r>
      <w:r w:rsidR="00A27B29" w:rsidRPr="00A27B29">
        <w:rPr>
          <w:rFonts w:eastAsia="Calibri" w:cs="Arial"/>
          <w:i w:val="0"/>
        </w:rPr>
        <w:t xml:space="preserve">vaccine </w:t>
      </w:r>
      <w:r w:rsidR="003704A1">
        <w:rPr>
          <w:rFonts w:eastAsia="Calibri" w:cs="Arial"/>
          <w:i w:val="0"/>
        </w:rPr>
        <w:t>‘</w:t>
      </w:r>
      <w:r w:rsidR="00A27B29" w:rsidRPr="00A27B29">
        <w:rPr>
          <w:rFonts w:eastAsia="Calibri" w:cs="Arial"/>
          <w:i w:val="0"/>
        </w:rPr>
        <w:t>exits</w:t>
      </w:r>
      <w:r w:rsidR="003704A1">
        <w:rPr>
          <w:rFonts w:eastAsia="Calibri" w:cs="Arial"/>
          <w:i w:val="0"/>
        </w:rPr>
        <w:t>’</w:t>
      </w:r>
      <w:r w:rsidR="00A27B29" w:rsidRPr="00A27B29">
        <w:rPr>
          <w:rFonts w:eastAsia="Calibri" w:cs="Arial"/>
          <w:i w:val="0"/>
        </w:rPr>
        <w:t xml:space="preserve"> their body. </w:t>
      </w:r>
    </w:p>
    <w:p w14:paraId="3A7187FE" w14:textId="1267EB39" w:rsidR="00717316" w:rsidRDefault="00B34D3D" w:rsidP="00932D28">
      <w:pPr>
        <w:spacing w:before="0" w:line="240" w:lineRule="atLeast"/>
        <w:rPr>
          <w:rFonts w:eastAsia="Calibri" w:cs="Arial"/>
          <w:i w:val="0"/>
          <w:snapToGrid w:val="0"/>
          <w:szCs w:val="20"/>
        </w:rPr>
      </w:pPr>
      <w:r>
        <w:rPr>
          <w:rFonts w:eastAsia="Calibri" w:cs="Arial"/>
          <w:i w:val="0"/>
        </w:rPr>
        <w:t xml:space="preserve">Dr. </w:t>
      </w:r>
      <w:r w:rsidR="00A76E3A">
        <w:rPr>
          <w:rFonts w:eastAsia="Calibri" w:cs="Arial"/>
          <w:i w:val="0"/>
        </w:rPr>
        <w:t>B</w:t>
      </w:r>
      <w:r w:rsidR="00A27B29">
        <w:rPr>
          <w:rFonts w:eastAsia="Calibri" w:cs="Arial"/>
          <w:i w:val="0"/>
        </w:rPr>
        <w:t>’s</w:t>
      </w:r>
      <w:r w:rsidR="001A366A">
        <w:rPr>
          <w:rFonts w:eastAsia="Calibri" w:cs="Arial"/>
          <w:i w:val="0"/>
        </w:rPr>
        <w:t xml:space="preserve"> </w:t>
      </w:r>
      <w:r w:rsidR="00F16227">
        <w:rPr>
          <w:rFonts w:eastAsia="Calibri" w:cs="Arial"/>
          <w:i w:val="0"/>
        </w:rPr>
        <w:t>stat</w:t>
      </w:r>
      <w:r w:rsidR="001A366A">
        <w:rPr>
          <w:rFonts w:eastAsia="Calibri" w:cs="Arial"/>
          <w:i w:val="0"/>
        </w:rPr>
        <w:t>e</w:t>
      </w:r>
      <w:r w:rsidR="00A27B29">
        <w:rPr>
          <w:rFonts w:eastAsia="Calibri" w:cs="Arial"/>
          <w:i w:val="0"/>
        </w:rPr>
        <w:t>ment referred to the absence of</w:t>
      </w:r>
      <w:r w:rsidR="00BF7076">
        <w:rPr>
          <w:rFonts w:eastAsia="Calibri" w:cs="Arial"/>
          <w:i w:val="0"/>
        </w:rPr>
        <w:t xml:space="preserve"> studies </w:t>
      </w:r>
      <w:r w:rsidR="00A27B29">
        <w:rPr>
          <w:rFonts w:eastAsia="Calibri" w:cs="Arial"/>
          <w:i w:val="0"/>
        </w:rPr>
        <w:t>into this possibility and t</w:t>
      </w:r>
      <w:r w:rsidR="00FF28DF">
        <w:rPr>
          <w:rFonts w:eastAsia="Calibri" w:cs="Arial"/>
          <w:i w:val="0"/>
        </w:rPr>
        <w:t xml:space="preserve">he ACMA considers </w:t>
      </w:r>
      <w:r w:rsidR="001D6F3F">
        <w:rPr>
          <w:rFonts w:eastAsia="Calibri" w:cs="Arial"/>
          <w:i w:val="0"/>
        </w:rPr>
        <w:t>t</w:t>
      </w:r>
      <w:r w:rsidR="00717316">
        <w:rPr>
          <w:rFonts w:eastAsia="Calibri" w:cs="Arial"/>
          <w:i w:val="0"/>
        </w:rPr>
        <w:t>h</w:t>
      </w:r>
      <w:r w:rsidR="00A27B29">
        <w:rPr>
          <w:rFonts w:eastAsia="Calibri" w:cs="Arial"/>
          <w:i w:val="0"/>
        </w:rPr>
        <w:t>e</w:t>
      </w:r>
      <w:r w:rsidR="00717316">
        <w:rPr>
          <w:rFonts w:eastAsia="Calibri" w:cs="Arial"/>
          <w:i w:val="0"/>
        </w:rPr>
        <w:t xml:space="preserve"> statement </w:t>
      </w:r>
      <w:r w:rsidR="00A27B29">
        <w:rPr>
          <w:rFonts w:eastAsia="Calibri" w:cs="Arial"/>
          <w:i w:val="0"/>
        </w:rPr>
        <w:t>was</w:t>
      </w:r>
      <w:r w:rsidR="00717316">
        <w:rPr>
          <w:rFonts w:eastAsia="Calibri" w:cs="Arial"/>
          <w:i w:val="0"/>
        </w:rPr>
        <w:t xml:space="preserve"> factual in nature</w:t>
      </w:r>
      <w:r w:rsidR="00A27B29">
        <w:rPr>
          <w:rFonts w:eastAsia="Calibri" w:cs="Arial"/>
          <w:i w:val="0"/>
        </w:rPr>
        <w:t xml:space="preserve"> because the existence (or not) of studies about the phenomenon described </w:t>
      </w:r>
      <w:r w:rsidR="00155A86">
        <w:rPr>
          <w:rFonts w:eastAsia="Calibri" w:cs="Arial"/>
          <w:i w:val="0"/>
        </w:rPr>
        <w:t>wa</w:t>
      </w:r>
      <w:r w:rsidR="00A27B29">
        <w:rPr>
          <w:rFonts w:eastAsia="Calibri" w:cs="Arial"/>
          <w:i w:val="0"/>
        </w:rPr>
        <w:t>s specific</w:t>
      </w:r>
      <w:r w:rsidR="00717316">
        <w:rPr>
          <w:rFonts w:eastAsia="Calibri" w:cs="Arial"/>
          <w:i w:val="0"/>
        </w:rPr>
        <w:t xml:space="preserve">, </w:t>
      </w:r>
      <w:r w:rsidR="00717316" w:rsidRPr="00717316">
        <w:rPr>
          <w:rFonts w:eastAsia="Calibri"/>
          <w:i w:val="0"/>
          <w:iCs/>
        </w:rPr>
        <w:t>unequivocal</w:t>
      </w:r>
      <w:r w:rsidR="00717316">
        <w:rPr>
          <w:rFonts w:eastAsia="Calibri"/>
        </w:rPr>
        <w:t xml:space="preserve"> </w:t>
      </w:r>
      <w:r w:rsidR="00717316">
        <w:rPr>
          <w:rFonts w:eastAsia="Calibri" w:cs="Arial"/>
          <w:i w:val="0"/>
        </w:rPr>
        <w:t xml:space="preserve">and </w:t>
      </w:r>
      <w:r w:rsidR="00717316" w:rsidRPr="002A10AF">
        <w:rPr>
          <w:rFonts w:eastAsia="Calibri" w:cs="Arial"/>
          <w:i w:val="0"/>
          <w:snapToGrid w:val="0"/>
          <w:szCs w:val="20"/>
        </w:rPr>
        <w:t>capable of independent verification.</w:t>
      </w:r>
    </w:p>
    <w:p w14:paraId="095217BA" w14:textId="77777777" w:rsidR="009A522D" w:rsidRPr="00E171F9" w:rsidRDefault="009A522D" w:rsidP="00932D28">
      <w:pPr>
        <w:spacing w:before="0" w:line="240" w:lineRule="atLeast"/>
        <w:rPr>
          <w:rFonts w:eastAsia="Calibri" w:cs="Arial"/>
          <w:b/>
          <w:bCs/>
          <w:i w:val="0"/>
          <w:snapToGrid w:val="0"/>
          <w:szCs w:val="20"/>
        </w:rPr>
      </w:pPr>
      <w:r w:rsidRPr="00E171F9">
        <w:rPr>
          <w:rFonts w:eastAsia="Calibri" w:cs="Arial"/>
          <w:b/>
          <w:bCs/>
          <w:i w:val="0"/>
          <w:snapToGrid w:val="0"/>
          <w:szCs w:val="20"/>
        </w:rPr>
        <w:lastRenderedPageBreak/>
        <w:t>If so, was the factual material accurate?</w:t>
      </w:r>
    </w:p>
    <w:p w14:paraId="76E45F54" w14:textId="77777777" w:rsidR="00E9095E" w:rsidRPr="006D11E9" w:rsidRDefault="00E9095E" w:rsidP="00932D28">
      <w:pPr>
        <w:pStyle w:val="ACMABodyText"/>
        <w:spacing w:after="120"/>
      </w:pPr>
      <w:r w:rsidRPr="006D11E9">
        <w:t>The Licensee submitted:</w:t>
      </w:r>
    </w:p>
    <w:p w14:paraId="4DDEBDEA" w14:textId="6920AE45" w:rsidR="0075219A" w:rsidRPr="000237E6" w:rsidRDefault="00E9095E" w:rsidP="000237E6">
      <w:pPr>
        <w:autoSpaceDE w:val="0"/>
        <w:autoSpaceDN w:val="0"/>
        <w:adjustRightInd w:val="0"/>
        <w:spacing w:before="0" w:line="240" w:lineRule="atLeast"/>
        <w:ind w:left="709"/>
        <w:rPr>
          <w:rFonts w:cs="Arial"/>
          <w:i w:val="0"/>
          <w:snapToGrid w:val="0"/>
          <w:sz w:val="18"/>
          <w:szCs w:val="18"/>
        </w:rPr>
      </w:pPr>
      <w:r w:rsidRPr="000237E6">
        <w:rPr>
          <w:rFonts w:cs="Arial"/>
          <w:i w:val="0"/>
          <w:snapToGrid w:val="0"/>
          <w:sz w:val="18"/>
          <w:szCs w:val="18"/>
        </w:rPr>
        <w:t>As set out above, the circumstances surrounding the development and approval of COVID</w:t>
      </w:r>
      <w:r w:rsidRPr="000237E6">
        <w:rPr>
          <w:rFonts w:ascii="Cambria Math" w:hAnsi="Cambria Math" w:cs="Cambria Math"/>
          <w:i w:val="0"/>
          <w:snapToGrid w:val="0"/>
          <w:sz w:val="18"/>
          <w:szCs w:val="18"/>
        </w:rPr>
        <w:t>‐</w:t>
      </w:r>
      <w:r w:rsidRPr="000237E6">
        <w:rPr>
          <w:rFonts w:cs="Arial"/>
          <w:i w:val="0"/>
          <w:snapToGrid w:val="0"/>
          <w:sz w:val="18"/>
          <w:szCs w:val="18"/>
        </w:rPr>
        <w:t>19</w:t>
      </w:r>
      <w:r w:rsidR="000237E6">
        <w:rPr>
          <w:rFonts w:cs="Arial"/>
          <w:i w:val="0"/>
          <w:snapToGrid w:val="0"/>
          <w:sz w:val="18"/>
          <w:szCs w:val="18"/>
        </w:rPr>
        <w:t xml:space="preserve"> </w:t>
      </w:r>
      <w:r w:rsidRPr="000237E6">
        <w:rPr>
          <w:rFonts w:cs="Arial"/>
          <w:i w:val="0"/>
          <w:snapToGrid w:val="0"/>
          <w:sz w:val="18"/>
          <w:szCs w:val="18"/>
        </w:rPr>
        <w:t>vaccines necessarily means that long</w:t>
      </w:r>
      <w:r w:rsidRPr="000237E6">
        <w:rPr>
          <w:rFonts w:ascii="Cambria Math" w:hAnsi="Cambria Math" w:cs="Cambria Math"/>
          <w:i w:val="0"/>
          <w:snapToGrid w:val="0"/>
          <w:sz w:val="18"/>
          <w:szCs w:val="18"/>
        </w:rPr>
        <w:t>‐</w:t>
      </w:r>
      <w:r w:rsidRPr="000237E6">
        <w:rPr>
          <w:rFonts w:cs="Arial"/>
          <w:i w:val="0"/>
          <w:snapToGrid w:val="0"/>
          <w:sz w:val="18"/>
          <w:szCs w:val="18"/>
        </w:rPr>
        <w:t>term safety data has not yet been able to be obtained. This statement was not intended to suggest that vaccination against COVID</w:t>
      </w:r>
      <w:r w:rsidRPr="000237E6">
        <w:rPr>
          <w:rFonts w:ascii="Cambria Math" w:hAnsi="Cambria Math" w:cs="Cambria Math"/>
          <w:i w:val="0"/>
          <w:snapToGrid w:val="0"/>
          <w:sz w:val="18"/>
          <w:szCs w:val="18"/>
        </w:rPr>
        <w:t>‐</w:t>
      </w:r>
      <w:r w:rsidRPr="000237E6">
        <w:rPr>
          <w:rFonts w:cs="Arial"/>
          <w:i w:val="0"/>
          <w:snapToGrid w:val="0"/>
          <w:sz w:val="18"/>
          <w:szCs w:val="18"/>
        </w:rPr>
        <w:t>19 would not reduce the severity of illness or decrease the likelihood of death, only that the long</w:t>
      </w:r>
      <w:r w:rsidRPr="000237E6">
        <w:rPr>
          <w:rFonts w:ascii="Cambria Math" w:hAnsi="Cambria Math" w:cs="Cambria Math"/>
          <w:i w:val="0"/>
          <w:snapToGrid w:val="0"/>
          <w:sz w:val="18"/>
          <w:szCs w:val="18"/>
        </w:rPr>
        <w:t>‐</w:t>
      </w:r>
      <w:r w:rsidRPr="000237E6">
        <w:rPr>
          <w:rFonts w:cs="Arial"/>
          <w:i w:val="0"/>
          <w:snapToGrid w:val="0"/>
          <w:sz w:val="18"/>
          <w:szCs w:val="18"/>
        </w:rPr>
        <w:t>term health effects have not</w:t>
      </w:r>
      <w:r w:rsidR="0075219A" w:rsidRPr="000237E6">
        <w:rPr>
          <w:rFonts w:cs="Arial"/>
          <w:i w:val="0"/>
          <w:snapToGrid w:val="0"/>
          <w:sz w:val="18"/>
          <w:szCs w:val="18"/>
        </w:rPr>
        <w:t xml:space="preserve"> </w:t>
      </w:r>
      <w:r w:rsidRPr="000237E6">
        <w:rPr>
          <w:rFonts w:cs="Arial"/>
          <w:i w:val="0"/>
          <w:sz w:val="18"/>
          <w:szCs w:val="18"/>
        </w:rPr>
        <w:t>yet been conclusively determined.</w:t>
      </w:r>
    </w:p>
    <w:p w14:paraId="470AA220" w14:textId="68A87002" w:rsidR="00F61484" w:rsidRPr="00BD683A" w:rsidRDefault="00A27B29" w:rsidP="00932D28">
      <w:pPr>
        <w:pStyle w:val="ACMABodyText"/>
        <w:rPr>
          <w:iCs/>
        </w:rPr>
      </w:pPr>
      <w:r>
        <w:rPr>
          <w:iCs/>
        </w:rPr>
        <w:t>T</w:t>
      </w:r>
      <w:r w:rsidR="00F61484" w:rsidRPr="00BD683A">
        <w:rPr>
          <w:iCs/>
        </w:rPr>
        <w:t>he Licensee</w:t>
      </w:r>
      <w:r>
        <w:rPr>
          <w:iCs/>
        </w:rPr>
        <w:t>’s submissions</w:t>
      </w:r>
      <w:r w:rsidR="00F61484" w:rsidRPr="00BD683A">
        <w:rPr>
          <w:iCs/>
        </w:rPr>
        <w:t xml:space="preserve"> that the statement inform</w:t>
      </w:r>
      <w:r>
        <w:rPr>
          <w:iCs/>
        </w:rPr>
        <w:t>ed</w:t>
      </w:r>
      <w:r w:rsidR="00F61484" w:rsidRPr="00BD683A">
        <w:rPr>
          <w:iCs/>
        </w:rPr>
        <w:t xml:space="preserve"> the audience</w:t>
      </w:r>
      <w:r>
        <w:rPr>
          <w:iCs/>
        </w:rPr>
        <w:t xml:space="preserve"> about how </w:t>
      </w:r>
      <w:r w:rsidR="00F61484" w:rsidRPr="00BD683A">
        <w:rPr>
          <w:iCs/>
        </w:rPr>
        <w:t>‘the long</w:t>
      </w:r>
      <w:r w:rsidR="00F61484" w:rsidRPr="00BD683A">
        <w:rPr>
          <w:rFonts w:ascii="Cambria Math" w:hAnsi="Cambria Math" w:cs="Cambria Math"/>
          <w:iCs/>
        </w:rPr>
        <w:t>‐</w:t>
      </w:r>
      <w:r w:rsidR="00F61484" w:rsidRPr="00BD683A">
        <w:rPr>
          <w:iCs/>
        </w:rPr>
        <w:t>term health effects [of C</w:t>
      </w:r>
      <w:r w:rsidR="00CC6CC6">
        <w:rPr>
          <w:iCs/>
        </w:rPr>
        <w:t>OVID</w:t>
      </w:r>
      <w:r w:rsidR="00F61484" w:rsidRPr="00BD683A">
        <w:rPr>
          <w:iCs/>
        </w:rPr>
        <w:t>-19 vaccine</w:t>
      </w:r>
      <w:r w:rsidR="00CC6CC6">
        <w:rPr>
          <w:iCs/>
        </w:rPr>
        <w:t>s</w:t>
      </w:r>
      <w:r w:rsidR="00F61484" w:rsidRPr="00BD683A">
        <w:rPr>
          <w:iCs/>
        </w:rPr>
        <w:t xml:space="preserve">] have not yet been conclusively determined’ and that </w:t>
      </w:r>
      <w:r w:rsidR="00B34D3D">
        <w:rPr>
          <w:iCs/>
        </w:rPr>
        <w:t xml:space="preserve">Dr. </w:t>
      </w:r>
      <w:r w:rsidR="00A76E3A">
        <w:rPr>
          <w:iCs/>
        </w:rPr>
        <w:t>B</w:t>
      </w:r>
      <w:r w:rsidR="00F61484" w:rsidRPr="00BD683A">
        <w:rPr>
          <w:iCs/>
        </w:rPr>
        <w:t xml:space="preserve"> did not intend to suggest that ‘vaccination against COVID</w:t>
      </w:r>
      <w:r w:rsidR="00F61484" w:rsidRPr="00BD683A">
        <w:rPr>
          <w:rFonts w:ascii="Cambria Math" w:hAnsi="Cambria Math" w:cs="Cambria Math"/>
          <w:iCs/>
        </w:rPr>
        <w:t>‐</w:t>
      </w:r>
      <w:r w:rsidR="00F61484" w:rsidRPr="00BD683A">
        <w:rPr>
          <w:iCs/>
        </w:rPr>
        <w:t xml:space="preserve">19 would not reduce the severity of illness or decrease the likelihood of death’ </w:t>
      </w:r>
      <w:r>
        <w:rPr>
          <w:iCs/>
        </w:rPr>
        <w:t xml:space="preserve">do not address </w:t>
      </w:r>
      <w:r w:rsidR="00155A86">
        <w:rPr>
          <w:iCs/>
        </w:rPr>
        <w:t xml:space="preserve">the </w:t>
      </w:r>
      <w:r>
        <w:rPr>
          <w:iCs/>
        </w:rPr>
        <w:t xml:space="preserve">specific meaning </w:t>
      </w:r>
      <w:r w:rsidR="00B44770">
        <w:rPr>
          <w:iCs/>
        </w:rPr>
        <w:t>conveyed by</w:t>
      </w:r>
      <w:r>
        <w:rPr>
          <w:iCs/>
        </w:rPr>
        <w:t xml:space="preserve"> the</w:t>
      </w:r>
      <w:r w:rsidR="00B44770">
        <w:rPr>
          <w:iCs/>
        </w:rPr>
        <w:t xml:space="preserve"> relevant</w:t>
      </w:r>
      <w:r>
        <w:rPr>
          <w:iCs/>
        </w:rPr>
        <w:t xml:space="preserve"> statement</w:t>
      </w:r>
      <w:r w:rsidR="00155A86">
        <w:rPr>
          <w:iCs/>
        </w:rPr>
        <w:t>.</w:t>
      </w:r>
      <w:r>
        <w:rPr>
          <w:iCs/>
        </w:rPr>
        <w:t xml:space="preserve"> The ACMA does not consider that the statement was about </w:t>
      </w:r>
      <w:r w:rsidR="00571C18">
        <w:rPr>
          <w:iCs/>
        </w:rPr>
        <w:t xml:space="preserve">the level of </w:t>
      </w:r>
      <w:r>
        <w:rPr>
          <w:iCs/>
        </w:rPr>
        <w:t>general knowledge about long term health effects</w:t>
      </w:r>
      <w:r w:rsidR="00B44770">
        <w:rPr>
          <w:iCs/>
        </w:rPr>
        <w:t>,</w:t>
      </w:r>
      <w:r>
        <w:rPr>
          <w:iCs/>
        </w:rPr>
        <w:t xml:space="preserve"> but very specifically about</w:t>
      </w:r>
      <w:r w:rsidR="00F61484" w:rsidRPr="00BD683A">
        <w:rPr>
          <w:iCs/>
        </w:rPr>
        <w:t xml:space="preserve"> </w:t>
      </w:r>
      <w:r>
        <w:rPr>
          <w:iCs/>
        </w:rPr>
        <w:t xml:space="preserve">whether the </w:t>
      </w:r>
      <w:r w:rsidR="000237E6">
        <w:rPr>
          <w:iCs/>
        </w:rPr>
        <w:t>C</w:t>
      </w:r>
      <w:r w:rsidR="00CC6CC6">
        <w:rPr>
          <w:iCs/>
        </w:rPr>
        <w:t>OVID</w:t>
      </w:r>
      <w:r w:rsidR="000237E6">
        <w:rPr>
          <w:iCs/>
        </w:rPr>
        <w:t xml:space="preserve">-19 </w:t>
      </w:r>
      <w:r>
        <w:rPr>
          <w:iCs/>
        </w:rPr>
        <w:t>vaccine could exit the body and thereby pose a threat</w:t>
      </w:r>
      <w:r w:rsidR="00B44770">
        <w:rPr>
          <w:iCs/>
        </w:rPr>
        <w:t xml:space="preserve"> to others</w:t>
      </w:r>
      <w:r>
        <w:rPr>
          <w:iCs/>
        </w:rPr>
        <w:t>.</w:t>
      </w:r>
    </w:p>
    <w:p w14:paraId="6EB25397" w14:textId="6765134E" w:rsidR="00084806" w:rsidRDefault="00084806" w:rsidP="00932D28">
      <w:pPr>
        <w:pStyle w:val="ACMABodyText"/>
        <w:rPr>
          <w:iCs/>
        </w:rPr>
      </w:pPr>
      <w:r w:rsidRPr="00C7106B">
        <w:rPr>
          <w:iCs/>
        </w:rPr>
        <w:t xml:space="preserve">The ACMA has assessed the issue of the virus </w:t>
      </w:r>
      <w:r w:rsidR="00E45CCA" w:rsidRPr="00C7106B">
        <w:rPr>
          <w:iCs/>
        </w:rPr>
        <w:t xml:space="preserve">‘exiting’ the body by considering </w:t>
      </w:r>
      <w:r w:rsidRPr="00C7106B">
        <w:rPr>
          <w:iCs/>
        </w:rPr>
        <w:t xml:space="preserve">‘viral shedding’ and the possible shedding of </w:t>
      </w:r>
      <w:r w:rsidR="00E45CCA" w:rsidRPr="00C7106B">
        <w:rPr>
          <w:iCs/>
        </w:rPr>
        <w:t>the</w:t>
      </w:r>
      <w:r w:rsidRPr="00C7106B">
        <w:rPr>
          <w:iCs/>
        </w:rPr>
        <w:t xml:space="preserve"> spike protein.</w:t>
      </w:r>
    </w:p>
    <w:p w14:paraId="516F40DB" w14:textId="6B834694" w:rsidR="00571C18" w:rsidRDefault="00571C18" w:rsidP="00932D28">
      <w:pPr>
        <w:pStyle w:val="ACMABodyText"/>
        <w:rPr>
          <w:iCs/>
        </w:rPr>
      </w:pPr>
      <w:r>
        <w:rPr>
          <w:iCs/>
        </w:rPr>
        <w:t>The phenomenon of ‘viral shedding’ is well known</w:t>
      </w:r>
      <w:r w:rsidR="00B44770">
        <w:rPr>
          <w:iCs/>
        </w:rPr>
        <w:t>,</w:t>
      </w:r>
      <w:r>
        <w:rPr>
          <w:iCs/>
        </w:rPr>
        <w:t xml:space="preserve"> as is its association with certain forms of vaccines. The US </w:t>
      </w:r>
      <w:r w:rsidR="00FB2608">
        <w:rPr>
          <w:iCs/>
        </w:rPr>
        <w:t>Centers for Disease Control and Prevention (</w:t>
      </w:r>
      <w:r>
        <w:rPr>
          <w:iCs/>
        </w:rPr>
        <w:t>CDC</w:t>
      </w:r>
      <w:r w:rsidR="00FB2608">
        <w:rPr>
          <w:iCs/>
        </w:rPr>
        <w:t>)</w:t>
      </w:r>
      <w:r>
        <w:rPr>
          <w:rStyle w:val="FootnoteReference"/>
          <w:iCs/>
        </w:rPr>
        <w:footnoteReference w:id="20"/>
      </w:r>
      <w:r>
        <w:rPr>
          <w:iCs/>
        </w:rPr>
        <w:t xml:space="preserve"> </w:t>
      </w:r>
      <w:r w:rsidR="004C1EB2">
        <w:rPr>
          <w:iCs/>
        </w:rPr>
        <w:t>has</w:t>
      </w:r>
      <w:r>
        <w:rPr>
          <w:iCs/>
        </w:rPr>
        <w:t xml:space="preserve"> confirm</w:t>
      </w:r>
      <w:r w:rsidR="004C1EB2">
        <w:rPr>
          <w:iCs/>
        </w:rPr>
        <w:t>ed</w:t>
      </w:r>
      <w:r>
        <w:rPr>
          <w:iCs/>
        </w:rPr>
        <w:t xml:space="preserve"> that vaccines that contain elements of a live virus can result in</w:t>
      </w:r>
      <w:r w:rsidR="00155A86">
        <w:rPr>
          <w:iCs/>
        </w:rPr>
        <w:t xml:space="preserve"> the</w:t>
      </w:r>
      <w:r>
        <w:rPr>
          <w:iCs/>
        </w:rPr>
        <w:t xml:space="preserve"> infection of others in contact or in close proximity</w:t>
      </w:r>
      <w:r w:rsidR="004C1EB2">
        <w:rPr>
          <w:iCs/>
        </w:rPr>
        <w:t xml:space="preserve"> to a vaccinated person</w:t>
      </w:r>
      <w:r>
        <w:rPr>
          <w:iCs/>
        </w:rPr>
        <w:t xml:space="preserve">. However, </w:t>
      </w:r>
      <w:r w:rsidR="004C1EB2">
        <w:rPr>
          <w:iCs/>
        </w:rPr>
        <w:t xml:space="preserve">the CDC also confirmed that </w:t>
      </w:r>
      <w:r>
        <w:rPr>
          <w:iCs/>
        </w:rPr>
        <w:t>C</w:t>
      </w:r>
      <w:r w:rsidR="00CC6CC6">
        <w:rPr>
          <w:iCs/>
        </w:rPr>
        <w:t>OVID</w:t>
      </w:r>
      <w:r w:rsidR="000237E6">
        <w:rPr>
          <w:iCs/>
        </w:rPr>
        <w:t>-19</w:t>
      </w:r>
      <w:r>
        <w:rPr>
          <w:iCs/>
        </w:rPr>
        <w:t xml:space="preserve"> vaccines, including the Pfizer and Moderna vaccines, d</w:t>
      </w:r>
      <w:r w:rsidR="00155A86">
        <w:rPr>
          <w:iCs/>
        </w:rPr>
        <w:t>id</w:t>
      </w:r>
      <w:r>
        <w:rPr>
          <w:iCs/>
        </w:rPr>
        <w:t xml:space="preserve"> not contain viral fragments and so c</w:t>
      </w:r>
      <w:r w:rsidR="00155A86">
        <w:rPr>
          <w:iCs/>
        </w:rPr>
        <w:t>ould not</w:t>
      </w:r>
      <w:r>
        <w:rPr>
          <w:iCs/>
        </w:rPr>
        <w:t xml:space="preserve"> </w:t>
      </w:r>
      <w:r w:rsidR="00B44770">
        <w:rPr>
          <w:iCs/>
        </w:rPr>
        <w:t>result in</w:t>
      </w:r>
      <w:r>
        <w:rPr>
          <w:iCs/>
        </w:rPr>
        <w:t xml:space="preserve"> viral shedding.</w:t>
      </w:r>
    </w:p>
    <w:p w14:paraId="02667B2A" w14:textId="4595ACA2" w:rsidR="00571C18" w:rsidRDefault="00571C18" w:rsidP="00932D28">
      <w:pPr>
        <w:pStyle w:val="ACMABodyText"/>
        <w:rPr>
          <w:iCs/>
        </w:rPr>
      </w:pPr>
      <w:r>
        <w:rPr>
          <w:iCs/>
        </w:rPr>
        <w:t xml:space="preserve">Knowledge about viral shedding has been developed through </w:t>
      </w:r>
      <w:r w:rsidR="004C1EB2">
        <w:rPr>
          <w:iCs/>
        </w:rPr>
        <w:t xml:space="preserve">a </w:t>
      </w:r>
      <w:r>
        <w:rPr>
          <w:iCs/>
        </w:rPr>
        <w:t xml:space="preserve">process of scientific research and study and so, to say that no studies have been done to ascertain whether the </w:t>
      </w:r>
      <w:r w:rsidR="000237E6">
        <w:rPr>
          <w:iCs/>
        </w:rPr>
        <w:t>C</w:t>
      </w:r>
      <w:r w:rsidR="00CC6CC6">
        <w:rPr>
          <w:iCs/>
        </w:rPr>
        <w:t>OVID</w:t>
      </w:r>
      <w:r w:rsidR="000237E6">
        <w:rPr>
          <w:iCs/>
        </w:rPr>
        <w:t xml:space="preserve">-19 </w:t>
      </w:r>
      <w:r>
        <w:rPr>
          <w:iCs/>
        </w:rPr>
        <w:t>vaccine can be shed and pose a danger to others</w:t>
      </w:r>
      <w:r w:rsidR="00B44770">
        <w:rPr>
          <w:iCs/>
        </w:rPr>
        <w:t>,</w:t>
      </w:r>
      <w:r>
        <w:rPr>
          <w:iCs/>
        </w:rPr>
        <w:t xml:space="preserve"> </w:t>
      </w:r>
      <w:r w:rsidR="00155A86">
        <w:rPr>
          <w:iCs/>
        </w:rPr>
        <w:t>could not be</w:t>
      </w:r>
      <w:r>
        <w:rPr>
          <w:iCs/>
        </w:rPr>
        <w:t xml:space="preserve"> accurate </w:t>
      </w:r>
      <w:r w:rsidR="004C1EB2">
        <w:rPr>
          <w:iCs/>
        </w:rPr>
        <w:t>because</w:t>
      </w:r>
      <w:r>
        <w:rPr>
          <w:iCs/>
        </w:rPr>
        <w:t xml:space="preserve"> </w:t>
      </w:r>
      <w:r w:rsidR="00155A86">
        <w:rPr>
          <w:iCs/>
        </w:rPr>
        <w:t xml:space="preserve">it was through </w:t>
      </w:r>
      <w:r>
        <w:rPr>
          <w:iCs/>
        </w:rPr>
        <w:t xml:space="preserve">studies </w:t>
      </w:r>
      <w:r w:rsidR="00155A86">
        <w:rPr>
          <w:iCs/>
        </w:rPr>
        <w:t>t</w:t>
      </w:r>
      <w:r>
        <w:rPr>
          <w:iCs/>
        </w:rPr>
        <w:t xml:space="preserve">hat </w:t>
      </w:r>
      <w:r w:rsidR="00155A86">
        <w:rPr>
          <w:iCs/>
        </w:rPr>
        <w:t xml:space="preserve">medical researchers found that </w:t>
      </w:r>
      <w:r>
        <w:rPr>
          <w:iCs/>
        </w:rPr>
        <w:t>the type of vaccines used for C</w:t>
      </w:r>
      <w:r w:rsidR="00CC6CC6">
        <w:rPr>
          <w:iCs/>
        </w:rPr>
        <w:t>OVID</w:t>
      </w:r>
      <w:r w:rsidR="000237E6">
        <w:rPr>
          <w:iCs/>
        </w:rPr>
        <w:t>-19</w:t>
      </w:r>
      <w:r>
        <w:rPr>
          <w:iCs/>
        </w:rPr>
        <w:t xml:space="preserve"> do not </w:t>
      </w:r>
      <w:r w:rsidR="0092321C">
        <w:rPr>
          <w:iCs/>
        </w:rPr>
        <w:t>cause</w:t>
      </w:r>
      <w:r>
        <w:rPr>
          <w:iCs/>
        </w:rPr>
        <w:t xml:space="preserve"> viral shedding.</w:t>
      </w:r>
    </w:p>
    <w:p w14:paraId="75D2D5E1" w14:textId="5AF01B42" w:rsidR="004D7D34" w:rsidRDefault="004D7D34" w:rsidP="00932D28">
      <w:pPr>
        <w:pStyle w:val="ACMABodyText"/>
        <w:spacing w:after="120"/>
        <w:rPr>
          <w:iCs/>
        </w:rPr>
      </w:pPr>
      <w:r w:rsidRPr="00851185">
        <w:rPr>
          <w:iCs/>
        </w:rPr>
        <w:t>With regards to the possible shedding of the spike protein</w:t>
      </w:r>
      <w:r w:rsidR="00140D25">
        <w:rPr>
          <w:iCs/>
        </w:rPr>
        <w:t>,</w:t>
      </w:r>
      <w:r w:rsidRPr="00851185">
        <w:rPr>
          <w:iCs/>
        </w:rPr>
        <w:t xml:space="preserve"> which some claims have asserted cause miscarriage,</w:t>
      </w:r>
      <w:r w:rsidR="00741029">
        <w:rPr>
          <w:iCs/>
        </w:rPr>
        <w:t xml:space="preserve"> the Australian Academy of Science</w:t>
      </w:r>
      <w:r w:rsidR="00741029">
        <w:rPr>
          <w:rStyle w:val="FootnoteReference"/>
          <w:iCs/>
        </w:rPr>
        <w:footnoteReference w:id="21"/>
      </w:r>
      <w:r w:rsidR="00741029">
        <w:rPr>
          <w:iCs/>
        </w:rPr>
        <w:t xml:space="preserve"> </w:t>
      </w:r>
      <w:r w:rsidR="00140D25">
        <w:rPr>
          <w:iCs/>
        </w:rPr>
        <w:t xml:space="preserve">has </w:t>
      </w:r>
      <w:r w:rsidR="00741029">
        <w:rPr>
          <w:iCs/>
        </w:rPr>
        <w:t>s</w:t>
      </w:r>
      <w:r w:rsidR="00140D25">
        <w:rPr>
          <w:iCs/>
        </w:rPr>
        <w:t>tated</w:t>
      </w:r>
      <w:r w:rsidR="00B33EEB">
        <w:rPr>
          <w:iCs/>
        </w:rPr>
        <w:t>:</w:t>
      </w:r>
    </w:p>
    <w:p w14:paraId="60605A76" w14:textId="450F7606" w:rsidR="006E257F" w:rsidRPr="00741029" w:rsidRDefault="00741029" w:rsidP="00851185">
      <w:pPr>
        <w:pStyle w:val="ACMABodyText"/>
        <w:ind w:left="709"/>
        <w:rPr>
          <w:rFonts w:cs="Arial"/>
          <w:sz w:val="18"/>
          <w:szCs w:val="18"/>
        </w:rPr>
      </w:pPr>
      <w:r w:rsidRPr="003D1954">
        <w:rPr>
          <w:rFonts w:cs="Arial"/>
          <w:sz w:val="18"/>
          <w:szCs w:val="18"/>
        </w:rPr>
        <w:t>None of the COVID-19 vaccines are live virus vaccines: there is no way they could spread the SARS-CoV-2 virus. Instead, they prompt the body to create a spike protein—the part of the virus that attaches to a host cell—which is not infectious by itself and cannot be shed out of the body. Once built, these spike proteins will linger in the body just long enough for the immune system to develop antibodies against them. The spike proteins, and the genetic instructions your cells use to build them, break down naturally.</w:t>
      </w:r>
    </w:p>
    <w:p w14:paraId="41C2D315" w14:textId="7EEF1821" w:rsidR="00E226ED" w:rsidRDefault="00E226ED" w:rsidP="00932D28">
      <w:pPr>
        <w:pStyle w:val="ACMABodyText"/>
      </w:pPr>
      <w:r>
        <w:t>The ACMA considers this to be a credible source of information that indicates that the statement broadcast was inaccurate. The ACMA notes that the article from which th</w:t>
      </w:r>
      <w:r w:rsidR="000B0C93">
        <w:t>is</w:t>
      </w:r>
      <w:r>
        <w:t xml:space="preserve"> extract was taken was first published in July 2021, approximately two months prior to the broadcast.</w:t>
      </w:r>
    </w:p>
    <w:p w14:paraId="135D4181" w14:textId="06C83E85" w:rsidR="00E226ED" w:rsidRDefault="00605B9D" w:rsidP="00932D28">
      <w:pPr>
        <w:pStyle w:val="ACMABodyText"/>
      </w:pPr>
      <w:r>
        <w:t>Accordingly, the ACMA</w:t>
      </w:r>
      <w:r w:rsidR="00571C18">
        <w:t xml:space="preserve"> find</w:t>
      </w:r>
      <w:r w:rsidR="00950173">
        <w:t>s</w:t>
      </w:r>
      <w:r w:rsidR="00571C18">
        <w:t xml:space="preserve"> that </w:t>
      </w:r>
      <w:r>
        <w:t>the</w:t>
      </w:r>
      <w:r w:rsidR="00571C18">
        <w:t xml:space="preserve"> statement about the lack of knowledge about the behaviour of C</w:t>
      </w:r>
      <w:r w:rsidR="00CC6CC6">
        <w:t>OVID</w:t>
      </w:r>
      <w:r w:rsidR="00B2488E">
        <w:t>-19</w:t>
      </w:r>
      <w:r w:rsidR="00571C18">
        <w:t xml:space="preserve"> vaccines </w:t>
      </w:r>
      <w:r w:rsidR="006D54BB">
        <w:t xml:space="preserve">after </w:t>
      </w:r>
      <w:r w:rsidR="00E226ED">
        <w:t>they have been</w:t>
      </w:r>
      <w:r w:rsidR="006D54BB">
        <w:t xml:space="preserve"> inject</w:t>
      </w:r>
      <w:r w:rsidR="00DF0CFC">
        <w:t>ed</w:t>
      </w:r>
      <w:r w:rsidR="006D54BB">
        <w:t xml:space="preserve"> in the body </w:t>
      </w:r>
      <w:r w:rsidR="00571C18">
        <w:t xml:space="preserve">was </w:t>
      </w:r>
      <w:r w:rsidR="00155A86">
        <w:t xml:space="preserve">not </w:t>
      </w:r>
      <w:r>
        <w:t>accura</w:t>
      </w:r>
      <w:r w:rsidR="00571C18">
        <w:t>te</w:t>
      </w:r>
      <w:r>
        <w:t xml:space="preserve">. </w:t>
      </w:r>
    </w:p>
    <w:p w14:paraId="28B02A08" w14:textId="52660E4F" w:rsidR="00212564" w:rsidRDefault="004274A5" w:rsidP="00932D28">
      <w:pPr>
        <w:pStyle w:val="ACMABodyText"/>
        <w:spacing w:after="120" w:line="240" w:lineRule="auto"/>
        <w:rPr>
          <w:b/>
          <w:bCs/>
          <w:i/>
          <w:iCs/>
          <w:u w:val="single"/>
        </w:rPr>
      </w:pPr>
      <w:r w:rsidRPr="004274A5">
        <w:rPr>
          <w:b/>
          <w:bCs/>
          <w:i/>
          <w:iCs/>
          <w:u w:val="single"/>
        </w:rPr>
        <w:t xml:space="preserve">11. We are seeing women who </w:t>
      </w:r>
      <w:r w:rsidR="008252BD">
        <w:rPr>
          <w:b/>
          <w:bCs/>
          <w:i/>
          <w:iCs/>
          <w:u w:val="single"/>
        </w:rPr>
        <w:t>we</w:t>
      </w:r>
      <w:r w:rsidRPr="004274A5">
        <w:rPr>
          <w:b/>
          <w:bCs/>
          <w:i/>
          <w:iCs/>
          <w:u w:val="single"/>
        </w:rPr>
        <w:t>re in menopause beginning to bleed</w:t>
      </w:r>
      <w:r w:rsidR="00212564">
        <w:rPr>
          <w:b/>
          <w:bCs/>
          <w:i/>
          <w:iCs/>
          <w:u w:val="single"/>
        </w:rPr>
        <w:t xml:space="preserve"> </w:t>
      </w:r>
    </w:p>
    <w:p w14:paraId="3AF1BF9E" w14:textId="776E8DA3" w:rsidR="00EF2296" w:rsidRPr="004274A5" w:rsidRDefault="00EF2296" w:rsidP="00932D28">
      <w:pPr>
        <w:pStyle w:val="ACMABodyText"/>
        <w:spacing w:after="120" w:line="240" w:lineRule="auto"/>
        <w:rPr>
          <w:b/>
          <w:bCs/>
          <w:i/>
          <w:iCs/>
          <w:u w:val="single"/>
        </w:rPr>
      </w:pPr>
      <w:r w:rsidRPr="004274A5">
        <w:rPr>
          <w:b/>
          <w:bCs/>
          <w:i/>
          <w:iCs/>
          <w:u w:val="single"/>
        </w:rPr>
        <w:lastRenderedPageBreak/>
        <w:t>12. We are seeing women with regular period getting heavy bleeds and blood clots</w:t>
      </w:r>
    </w:p>
    <w:p w14:paraId="27D0FDD8" w14:textId="1A33C6CD" w:rsidR="003B68FA" w:rsidRPr="003B68FA" w:rsidRDefault="00B34D3D" w:rsidP="00932D28">
      <w:pPr>
        <w:pStyle w:val="ACMABodyText"/>
        <w:spacing w:before="240" w:after="120"/>
        <w:rPr>
          <w:rFonts w:eastAsia="Calibri"/>
        </w:rPr>
      </w:pPr>
      <w:r>
        <w:rPr>
          <w:rFonts w:eastAsia="Calibri"/>
        </w:rPr>
        <w:t xml:space="preserve">Dr. </w:t>
      </w:r>
      <w:r w:rsidR="00A76E3A">
        <w:rPr>
          <w:rFonts w:eastAsia="Calibri"/>
        </w:rPr>
        <w:t>B</w:t>
      </w:r>
      <w:r w:rsidR="003B68FA">
        <w:rPr>
          <w:rFonts w:eastAsia="Calibri"/>
        </w:rPr>
        <w:t xml:space="preserve"> </w:t>
      </w:r>
      <w:r w:rsidR="0054478B">
        <w:rPr>
          <w:rFonts w:eastAsia="Calibri"/>
        </w:rPr>
        <w:t>made the following</w:t>
      </w:r>
      <w:r w:rsidR="00163D16">
        <w:rPr>
          <w:rFonts w:cs="Arial"/>
        </w:rPr>
        <w:t xml:space="preserve"> statement at approximately 24:52 minutes</w:t>
      </w:r>
      <w:r w:rsidR="003B68FA">
        <w:rPr>
          <w:rFonts w:eastAsia="Calibri"/>
        </w:rPr>
        <w:t>:</w:t>
      </w:r>
    </w:p>
    <w:p w14:paraId="2A0828E0" w14:textId="6A2309BE" w:rsidR="003B68FA" w:rsidRDefault="002042BC" w:rsidP="00851185">
      <w:pPr>
        <w:pStyle w:val="ACMABodyText"/>
        <w:spacing w:after="120"/>
        <w:ind w:left="709"/>
        <w:rPr>
          <w:rFonts w:eastAsia="Calibri"/>
          <w:sz w:val="18"/>
          <w:szCs w:val="18"/>
        </w:rPr>
      </w:pPr>
      <w:r>
        <w:rPr>
          <w:rFonts w:eastAsia="Calibri"/>
          <w:sz w:val="18"/>
          <w:szCs w:val="18"/>
        </w:rPr>
        <w:t>But then what we are see</w:t>
      </w:r>
      <w:r w:rsidR="002B03EA">
        <w:rPr>
          <w:rFonts w:eastAsia="Calibri"/>
          <w:sz w:val="18"/>
          <w:szCs w:val="18"/>
        </w:rPr>
        <w:t>i</w:t>
      </w:r>
      <w:r>
        <w:rPr>
          <w:rFonts w:eastAsia="Calibri"/>
          <w:sz w:val="18"/>
          <w:szCs w:val="18"/>
        </w:rPr>
        <w:t>n</w:t>
      </w:r>
      <w:r w:rsidR="005B5150">
        <w:rPr>
          <w:rFonts w:eastAsia="Calibri"/>
          <w:sz w:val="18"/>
          <w:szCs w:val="18"/>
        </w:rPr>
        <w:t>g</w:t>
      </w:r>
      <w:r>
        <w:rPr>
          <w:rFonts w:eastAsia="Calibri"/>
          <w:sz w:val="18"/>
          <w:szCs w:val="18"/>
        </w:rPr>
        <w:t xml:space="preserve"> in the field is </w:t>
      </w:r>
      <w:r w:rsidR="00682E3A">
        <w:rPr>
          <w:rFonts w:eastAsia="Calibri"/>
          <w:sz w:val="18"/>
          <w:szCs w:val="18"/>
        </w:rPr>
        <w:t>[…]</w:t>
      </w:r>
      <w:r>
        <w:rPr>
          <w:rFonts w:eastAsia="Calibri"/>
          <w:sz w:val="18"/>
          <w:szCs w:val="18"/>
        </w:rPr>
        <w:t xml:space="preserve"> women </w:t>
      </w:r>
      <w:r w:rsidR="003B68FA">
        <w:rPr>
          <w:rFonts w:eastAsia="Calibri"/>
          <w:sz w:val="18"/>
          <w:szCs w:val="18"/>
        </w:rPr>
        <w:t xml:space="preserve">who were </w:t>
      </w:r>
      <w:r>
        <w:rPr>
          <w:rFonts w:eastAsia="Calibri"/>
          <w:sz w:val="18"/>
          <w:szCs w:val="18"/>
        </w:rPr>
        <w:t>in menopause beginning to bleed, for 10</w:t>
      </w:r>
      <w:r w:rsidR="003B68FA">
        <w:rPr>
          <w:rFonts w:eastAsia="Calibri"/>
          <w:sz w:val="18"/>
          <w:szCs w:val="18"/>
        </w:rPr>
        <w:t>,</w:t>
      </w:r>
      <w:r>
        <w:rPr>
          <w:rFonts w:eastAsia="Calibri"/>
          <w:sz w:val="18"/>
          <w:szCs w:val="18"/>
        </w:rPr>
        <w:t xml:space="preserve"> 20 years </w:t>
      </w:r>
      <w:r w:rsidR="003B68FA">
        <w:rPr>
          <w:rFonts w:eastAsia="Calibri"/>
          <w:sz w:val="18"/>
          <w:szCs w:val="18"/>
        </w:rPr>
        <w:t xml:space="preserve">not </w:t>
      </w:r>
      <w:r>
        <w:rPr>
          <w:rFonts w:eastAsia="Calibri"/>
          <w:sz w:val="18"/>
          <w:szCs w:val="18"/>
        </w:rPr>
        <w:t>having any blood, we were see</w:t>
      </w:r>
      <w:r w:rsidR="0082013F">
        <w:rPr>
          <w:rFonts w:eastAsia="Calibri"/>
          <w:sz w:val="18"/>
          <w:szCs w:val="18"/>
        </w:rPr>
        <w:t>i</w:t>
      </w:r>
      <w:r>
        <w:rPr>
          <w:rFonts w:eastAsia="Calibri"/>
          <w:sz w:val="18"/>
          <w:szCs w:val="18"/>
        </w:rPr>
        <w:t>n</w:t>
      </w:r>
      <w:r w:rsidR="0082013F">
        <w:rPr>
          <w:rFonts w:eastAsia="Calibri"/>
          <w:sz w:val="18"/>
          <w:szCs w:val="18"/>
        </w:rPr>
        <w:t>g</w:t>
      </w:r>
      <w:r>
        <w:rPr>
          <w:rFonts w:eastAsia="Calibri"/>
          <w:sz w:val="18"/>
          <w:szCs w:val="18"/>
        </w:rPr>
        <w:t xml:space="preserve"> women </w:t>
      </w:r>
      <w:r w:rsidR="003B68FA">
        <w:rPr>
          <w:rFonts w:eastAsia="Calibri"/>
          <w:sz w:val="18"/>
          <w:szCs w:val="18"/>
        </w:rPr>
        <w:t>who had</w:t>
      </w:r>
      <w:r>
        <w:rPr>
          <w:rFonts w:eastAsia="Calibri"/>
          <w:sz w:val="18"/>
          <w:szCs w:val="18"/>
        </w:rPr>
        <w:t xml:space="preserve"> regular cycles, now developing heavy bleeding and blood clots</w:t>
      </w:r>
      <w:r w:rsidR="003B68FA">
        <w:rPr>
          <w:rFonts w:eastAsia="Calibri"/>
          <w:sz w:val="18"/>
          <w:szCs w:val="18"/>
        </w:rPr>
        <w:t>.</w:t>
      </w:r>
      <w:r>
        <w:rPr>
          <w:rFonts w:eastAsia="Calibri"/>
          <w:sz w:val="18"/>
          <w:szCs w:val="18"/>
        </w:rPr>
        <w:t xml:space="preserve">  </w:t>
      </w:r>
    </w:p>
    <w:p w14:paraId="03B18BE7" w14:textId="77777777" w:rsidR="0054478B" w:rsidRDefault="0054478B" w:rsidP="00932D28">
      <w:pPr>
        <w:spacing w:before="240" w:line="240" w:lineRule="atLeast"/>
        <w:rPr>
          <w:rFonts w:eastAsia="Calibri" w:cs="Arial"/>
          <w:b/>
          <w:bCs/>
          <w:i w:val="0"/>
          <w:snapToGrid w:val="0"/>
          <w:szCs w:val="20"/>
        </w:rPr>
      </w:pPr>
      <w:r w:rsidRPr="000D6A5E">
        <w:rPr>
          <w:rFonts w:eastAsia="Calibri" w:cs="Arial"/>
          <w:b/>
          <w:bCs/>
          <w:i w:val="0"/>
          <w:snapToGrid w:val="0"/>
          <w:szCs w:val="20"/>
        </w:rPr>
        <w:t>What did the material conve</w:t>
      </w:r>
      <w:r>
        <w:rPr>
          <w:rFonts w:eastAsia="Calibri" w:cs="Arial"/>
          <w:b/>
          <w:bCs/>
          <w:i w:val="0"/>
          <w:snapToGrid w:val="0"/>
          <w:szCs w:val="20"/>
        </w:rPr>
        <w:t>y</w:t>
      </w:r>
      <w:r w:rsidRPr="000D6A5E">
        <w:rPr>
          <w:rFonts w:eastAsia="Calibri" w:cs="Arial"/>
          <w:b/>
          <w:bCs/>
          <w:i w:val="0"/>
          <w:snapToGrid w:val="0"/>
          <w:szCs w:val="20"/>
        </w:rPr>
        <w:t xml:space="preserve"> to the ordinary reasonable viewer?</w:t>
      </w:r>
    </w:p>
    <w:p w14:paraId="60A9DCF9" w14:textId="1F4AC0FD" w:rsidR="002042BC" w:rsidRPr="00981A01" w:rsidRDefault="00A23FA3" w:rsidP="00932D28">
      <w:pPr>
        <w:spacing w:before="0" w:line="240" w:lineRule="atLeast"/>
        <w:rPr>
          <w:rFonts w:cs="Arial"/>
          <w:i w:val="0"/>
          <w:snapToGrid w:val="0"/>
          <w:szCs w:val="20"/>
        </w:rPr>
      </w:pPr>
      <w:r>
        <w:rPr>
          <w:rFonts w:cs="Arial"/>
          <w:i w:val="0"/>
          <w:snapToGrid w:val="0"/>
          <w:szCs w:val="20"/>
        </w:rPr>
        <w:t>T</w:t>
      </w:r>
      <w:r w:rsidR="003B68FA" w:rsidRPr="005C62B0">
        <w:rPr>
          <w:rFonts w:cs="Arial"/>
          <w:i w:val="0"/>
          <w:snapToGrid w:val="0"/>
          <w:szCs w:val="20"/>
        </w:rPr>
        <w:t xml:space="preserve">he ordinary reasonable viewer would have understood </w:t>
      </w:r>
      <w:r w:rsidR="0054478B">
        <w:rPr>
          <w:rFonts w:cs="Arial"/>
          <w:i w:val="0"/>
          <w:snapToGrid w:val="0"/>
          <w:szCs w:val="20"/>
        </w:rPr>
        <w:t>the statement</w:t>
      </w:r>
      <w:r w:rsidR="000008F9">
        <w:rPr>
          <w:rFonts w:cs="Arial"/>
          <w:i w:val="0"/>
          <w:snapToGrid w:val="0"/>
          <w:szCs w:val="20"/>
        </w:rPr>
        <w:t>s</w:t>
      </w:r>
      <w:r w:rsidR="0054478B">
        <w:rPr>
          <w:rFonts w:cs="Arial"/>
          <w:i w:val="0"/>
          <w:snapToGrid w:val="0"/>
          <w:szCs w:val="20"/>
        </w:rPr>
        <w:t xml:space="preserve"> to mean </w:t>
      </w:r>
      <w:r w:rsidR="003B68FA" w:rsidRPr="005C62B0">
        <w:rPr>
          <w:rFonts w:cs="Arial"/>
          <w:i w:val="0"/>
          <w:snapToGrid w:val="0"/>
          <w:szCs w:val="20"/>
        </w:rPr>
        <w:t>that</w:t>
      </w:r>
      <w:r w:rsidR="00155A86">
        <w:rPr>
          <w:rFonts w:cs="Arial"/>
          <w:i w:val="0"/>
          <w:snapToGrid w:val="0"/>
          <w:szCs w:val="20"/>
        </w:rPr>
        <w:t xml:space="preserve"> the</w:t>
      </w:r>
      <w:r w:rsidR="00925E11">
        <w:rPr>
          <w:rFonts w:cs="Arial"/>
          <w:i w:val="0"/>
          <w:snapToGrid w:val="0"/>
          <w:szCs w:val="20"/>
        </w:rPr>
        <w:t xml:space="preserve"> C</w:t>
      </w:r>
      <w:r w:rsidR="00CC6CC6">
        <w:rPr>
          <w:rFonts w:cs="Arial"/>
          <w:i w:val="0"/>
          <w:snapToGrid w:val="0"/>
          <w:szCs w:val="20"/>
        </w:rPr>
        <w:t>OVID</w:t>
      </w:r>
      <w:r w:rsidR="00925E11">
        <w:rPr>
          <w:rFonts w:cs="Arial"/>
          <w:i w:val="0"/>
          <w:snapToGrid w:val="0"/>
          <w:szCs w:val="20"/>
        </w:rPr>
        <w:t xml:space="preserve">-19 vaccine </w:t>
      </w:r>
      <w:r w:rsidR="0054478B">
        <w:rPr>
          <w:rFonts w:cs="Arial"/>
          <w:i w:val="0"/>
          <w:snapToGrid w:val="0"/>
          <w:szCs w:val="20"/>
        </w:rPr>
        <w:t>ha</w:t>
      </w:r>
      <w:r w:rsidR="00155A86">
        <w:rPr>
          <w:rFonts w:cs="Arial"/>
          <w:i w:val="0"/>
          <w:snapToGrid w:val="0"/>
          <w:szCs w:val="20"/>
        </w:rPr>
        <w:t>d</w:t>
      </w:r>
      <w:r w:rsidR="0054478B">
        <w:rPr>
          <w:rFonts w:cs="Arial"/>
          <w:i w:val="0"/>
          <w:snapToGrid w:val="0"/>
          <w:szCs w:val="20"/>
        </w:rPr>
        <w:t xml:space="preserve"> </w:t>
      </w:r>
      <w:r w:rsidR="00BC4579">
        <w:rPr>
          <w:rFonts w:cs="Arial"/>
          <w:i w:val="0"/>
          <w:snapToGrid w:val="0"/>
          <w:szCs w:val="20"/>
        </w:rPr>
        <w:t>led to</w:t>
      </w:r>
      <w:r w:rsidR="00E0121F">
        <w:rPr>
          <w:rFonts w:cs="Arial"/>
          <w:i w:val="0"/>
          <w:snapToGrid w:val="0"/>
          <w:szCs w:val="20"/>
        </w:rPr>
        <w:t xml:space="preserve"> w</w:t>
      </w:r>
      <w:r w:rsidR="002E254C">
        <w:rPr>
          <w:rFonts w:cs="Arial"/>
          <w:i w:val="0"/>
          <w:snapToGrid w:val="0"/>
          <w:szCs w:val="20"/>
        </w:rPr>
        <w:t>omen experiencing p</w:t>
      </w:r>
      <w:r w:rsidR="00364E7A">
        <w:rPr>
          <w:rFonts w:cs="Arial"/>
          <w:i w:val="0"/>
          <w:snapToGrid w:val="0"/>
          <w:szCs w:val="20"/>
        </w:rPr>
        <w:t>re</w:t>
      </w:r>
      <w:r w:rsidR="002E254C">
        <w:rPr>
          <w:rFonts w:cs="Arial"/>
          <w:i w:val="0"/>
          <w:snapToGrid w:val="0"/>
          <w:szCs w:val="20"/>
        </w:rPr>
        <w:t xml:space="preserve"> and p</w:t>
      </w:r>
      <w:r w:rsidR="00364E7A">
        <w:rPr>
          <w:rFonts w:cs="Arial"/>
          <w:i w:val="0"/>
          <w:snapToGrid w:val="0"/>
          <w:szCs w:val="20"/>
        </w:rPr>
        <w:t>ost</w:t>
      </w:r>
      <w:r w:rsidR="002E254C">
        <w:rPr>
          <w:rFonts w:cs="Arial"/>
          <w:i w:val="0"/>
          <w:snapToGrid w:val="0"/>
          <w:szCs w:val="20"/>
        </w:rPr>
        <w:t xml:space="preserve">-menopausal, </w:t>
      </w:r>
      <w:r w:rsidR="00E94BCF">
        <w:rPr>
          <w:rFonts w:cs="Arial"/>
          <w:i w:val="0"/>
          <w:snapToGrid w:val="0"/>
          <w:szCs w:val="20"/>
        </w:rPr>
        <w:t>hormonal</w:t>
      </w:r>
      <w:r w:rsidR="002E254C">
        <w:rPr>
          <w:rFonts w:cs="Arial"/>
          <w:i w:val="0"/>
          <w:snapToGrid w:val="0"/>
          <w:szCs w:val="20"/>
        </w:rPr>
        <w:t xml:space="preserve"> and menstrual disruptions. </w:t>
      </w:r>
    </w:p>
    <w:p w14:paraId="47AECE25" w14:textId="2BD219B4" w:rsidR="009A522D" w:rsidRDefault="009A522D" w:rsidP="00932D28">
      <w:pPr>
        <w:spacing w:before="0" w:line="240" w:lineRule="atLeast"/>
        <w:rPr>
          <w:rFonts w:eastAsia="Calibri" w:cs="Arial"/>
          <w:b/>
          <w:bCs/>
          <w:i w:val="0"/>
          <w:snapToGrid w:val="0"/>
          <w:szCs w:val="20"/>
        </w:rPr>
      </w:pPr>
      <w:r w:rsidRPr="00E171F9">
        <w:rPr>
          <w:rFonts w:eastAsia="Calibri" w:cs="Arial"/>
          <w:b/>
          <w:bCs/>
          <w:i w:val="0"/>
          <w:snapToGrid w:val="0"/>
          <w:szCs w:val="20"/>
        </w:rPr>
        <w:t>Was the material factual in character?</w:t>
      </w:r>
    </w:p>
    <w:p w14:paraId="0E108844" w14:textId="10285346" w:rsidR="0059512C" w:rsidRDefault="004065C2" w:rsidP="00932D28">
      <w:pPr>
        <w:spacing w:before="0" w:line="240" w:lineRule="atLeast"/>
        <w:rPr>
          <w:rFonts w:eastAsia="Calibri" w:cs="Arial"/>
          <w:i w:val="0"/>
          <w:snapToGrid w:val="0"/>
          <w:szCs w:val="20"/>
        </w:rPr>
      </w:pPr>
      <w:r>
        <w:rPr>
          <w:rFonts w:eastAsia="Calibri" w:cs="Arial"/>
          <w:i w:val="0"/>
          <w:snapToGrid w:val="0"/>
          <w:szCs w:val="20"/>
        </w:rPr>
        <w:t xml:space="preserve">Coming from </w:t>
      </w:r>
      <w:r w:rsidR="0059512C">
        <w:rPr>
          <w:rFonts w:eastAsia="Calibri" w:cs="Arial"/>
          <w:i w:val="0"/>
          <w:snapToGrid w:val="0"/>
          <w:szCs w:val="20"/>
        </w:rPr>
        <w:t xml:space="preserve">a medical expert, the ordinary viewer would </w:t>
      </w:r>
      <w:r w:rsidR="0054478B">
        <w:rPr>
          <w:rFonts w:eastAsia="Calibri" w:cs="Arial"/>
          <w:i w:val="0"/>
          <w:snapToGrid w:val="0"/>
          <w:szCs w:val="20"/>
        </w:rPr>
        <w:t>understand</w:t>
      </w:r>
      <w:r w:rsidR="0059512C">
        <w:rPr>
          <w:rFonts w:eastAsia="Calibri" w:cs="Arial"/>
          <w:i w:val="0"/>
          <w:snapToGrid w:val="0"/>
          <w:szCs w:val="20"/>
        </w:rPr>
        <w:t xml:space="preserve"> that the assertion </w:t>
      </w:r>
      <w:r w:rsidR="0054478B">
        <w:rPr>
          <w:rFonts w:eastAsia="Calibri" w:cs="Arial"/>
          <w:i w:val="0"/>
          <w:snapToGrid w:val="0"/>
          <w:szCs w:val="20"/>
        </w:rPr>
        <w:t>wa</w:t>
      </w:r>
      <w:r w:rsidR="0059512C">
        <w:rPr>
          <w:rFonts w:eastAsia="Calibri" w:cs="Arial"/>
          <w:i w:val="0"/>
          <w:snapToGrid w:val="0"/>
          <w:szCs w:val="20"/>
        </w:rPr>
        <w:t xml:space="preserve">s </w:t>
      </w:r>
      <w:r w:rsidR="0099749F">
        <w:rPr>
          <w:rFonts w:eastAsia="Calibri" w:cs="Arial"/>
          <w:i w:val="0"/>
          <w:snapToGrid w:val="0"/>
          <w:szCs w:val="20"/>
        </w:rPr>
        <w:t>made a</w:t>
      </w:r>
      <w:r w:rsidR="003B7FD3">
        <w:rPr>
          <w:rFonts w:eastAsia="Calibri" w:cs="Arial"/>
          <w:i w:val="0"/>
          <w:snapToGrid w:val="0"/>
          <w:szCs w:val="20"/>
        </w:rPr>
        <w:t xml:space="preserve">s a </w:t>
      </w:r>
      <w:r w:rsidR="0092321C">
        <w:rPr>
          <w:rFonts w:eastAsia="Calibri" w:cs="Arial"/>
          <w:i w:val="0"/>
          <w:snapToGrid w:val="0"/>
          <w:szCs w:val="20"/>
        </w:rPr>
        <w:t>factual assertion about</w:t>
      </w:r>
      <w:r w:rsidR="003B7FD3">
        <w:rPr>
          <w:rFonts w:eastAsia="Calibri" w:cs="Arial"/>
          <w:i w:val="0"/>
          <w:snapToGrid w:val="0"/>
          <w:szCs w:val="20"/>
        </w:rPr>
        <w:t xml:space="preserve"> relevant </w:t>
      </w:r>
      <w:r w:rsidR="0054478B">
        <w:rPr>
          <w:rFonts w:eastAsia="Calibri" w:cs="Arial"/>
          <w:i w:val="0"/>
          <w:snapToGrid w:val="0"/>
          <w:szCs w:val="20"/>
        </w:rPr>
        <w:t>experience</w:t>
      </w:r>
      <w:r w:rsidR="003B7FD3">
        <w:rPr>
          <w:rFonts w:eastAsia="Calibri" w:cs="Arial"/>
          <w:i w:val="0"/>
          <w:snapToGrid w:val="0"/>
          <w:szCs w:val="20"/>
        </w:rPr>
        <w:t xml:space="preserve"> in the field</w:t>
      </w:r>
      <w:r w:rsidR="00BB25D8">
        <w:rPr>
          <w:rFonts w:eastAsia="Calibri" w:cs="Arial"/>
          <w:i w:val="0"/>
          <w:snapToGrid w:val="0"/>
          <w:szCs w:val="20"/>
        </w:rPr>
        <w:t xml:space="preserve">. </w:t>
      </w:r>
      <w:r w:rsidR="0059512C">
        <w:rPr>
          <w:rFonts w:eastAsia="Calibri" w:cs="Arial"/>
          <w:i w:val="0"/>
          <w:snapToGrid w:val="0"/>
          <w:szCs w:val="20"/>
        </w:rPr>
        <w:t xml:space="preserve"> </w:t>
      </w:r>
    </w:p>
    <w:p w14:paraId="1F92DC8A" w14:textId="030D7D70" w:rsidR="0054478B" w:rsidRPr="0054478B" w:rsidRDefault="0054478B" w:rsidP="00932D28">
      <w:pPr>
        <w:pStyle w:val="ACMABodyText"/>
        <w:rPr>
          <w:rFonts w:eastAsia="Calibri"/>
        </w:rPr>
      </w:pPr>
      <w:r>
        <w:rPr>
          <w:rFonts w:eastAsia="Calibri"/>
        </w:rPr>
        <w:t>It was</w:t>
      </w:r>
      <w:r w:rsidR="00155A86">
        <w:rPr>
          <w:rFonts w:eastAsia="Calibri"/>
        </w:rPr>
        <w:t>,</w:t>
      </w:r>
      <w:r>
        <w:rPr>
          <w:rFonts w:eastAsia="Calibri"/>
        </w:rPr>
        <w:t xml:space="preserve"> therefore, factual in character.</w:t>
      </w:r>
    </w:p>
    <w:p w14:paraId="182748B2" w14:textId="2BBD33D7" w:rsidR="009A522D" w:rsidRDefault="009A522D" w:rsidP="00932D28">
      <w:pPr>
        <w:spacing w:before="0" w:line="240" w:lineRule="atLeast"/>
        <w:rPr>
          <w:rFonts w:eastAsia="Calibri" w:cs="Arial"/>
          <w:b/>
          <w:bCs/>
          <w:i w:val="0"/>
          <w:snapToGrid w:val="0"/>
          <w:szCs w:val="20"/>
        </w:rPr>
      </w:pPr>
      <w:r w:rsidRPr="00E171F9">
        <w:rPr>
          <w:rFonts w:eastAsia="Calibri" w:cs="Arial"/>
          <w:b/>
          <w:bCs/>
          <w:i w:val="0"/>
          <w:snapToGrid w:val="0"/>
          <w:szCs w:val="20"/>
        </w:rPr>
        <w:t>If so, was the factual material accurate?</w:t>
      </w:r>
    </w:p>
    <w:p w14:paraId="6C89B3FC" w14:textId="244D15EA" w:rsidR="00083F79" w:rsidRPr="00083F79" w:rsidRDefault="00CF1BBB" w:rsidP="00932D28">
      <w:pPr>
        <w:spacing w:before="0" w:after="120" w:line="240" w:lineRule="atLeast"/>
        <w:rPr>
          <w:rFonts w:eastAsia="Calibri" w:cs="Arial"/>
          <w:i w:val="0"/>
          <w:snapToGrid w:val="0"/>
          <w:szCs w:val="20"/>
        </w:rPr>
      </w:pPr>
      <w:r>
        <w:rPr>
          <w:rFonts w:eastAsia="Calibri" w:cs="Arial"/>
          <w:i w:val="0"/>
          <w:snapToGrid w:val="0"/>
          <w:szCs w:val="20"/>
        </w:rPr>
        <w:t>T</w:t>
      </w:r>
      <w:r w:rsidR="00083F79" w:rsidRPr="00083F79">
        <w:rPr>
          <w:rFonts w:eastAsia="Calibri" w:cs="Arial"/>
          <w:i w:val="0"/>
          <w:snapToGrid w:val="0"/>
          <w:szCs w:val="20"/>
        </w:rPr>
        <w:t>he Licensee submitted:</w:t>
      </w:r>
    </w:p>
    <w:p w14:paraId="26E97596" w14:textId="628156CF" w:rsidR="0054478B" w:rsidRDefault="0054478B" w:rsidP="00851185">
      <w:pPr>
        <w:pStyle w:val="ACMABodyText"/>
        <w:spacing w:after="120"/>
        <w:ind w:left="709"/>
        <w:rPr>
          <w:rFonts w:eastAsia="Calibri"/>
          <w:sz w:val="18"/>
          <w:szCs w:val="18"/>
        </w:rPr>
      </w:pPr>
      <w:r>
        <w:rPr>
          <w:rFonts w:eastAsia="Calibri"/>
          <w:sz w:val="18"/>
          <w:szCs w:val="18"/>
        </w:rPr>
        <w:t xml:space="preserve">[…] </w:t>
      </w:r>
      <w:r w:rsidRPr="0054478B">
        <w:rPr>
          <w:rFonts w:eastAsia="Calibri"/>
          <w:sz w:val="18"/>
          <w:szCs w:val="18"/>
        </w:rPr>
        <w:t>as of 2 September</w:t>
      </w:r>
      <w:r>
        <w:rPr>
          <w:rFonts w:eastAsia="Calibri"/>
          <w:sz w:val="18"/>
          <w:szCs w:val="18"/>
        </w:rPr>
        <w:t xml:space="preserve"> </w:t>
      </w:r>
      <w:r w:rsidRPr="0054478B">
        <w:rPr>
          <w:rFonts w:eastAsia="Calibri"/>
          <w:sz w:val="18"/>
          <w:szCs w:val="18"/>
        </w:rPr>
        <w:t>2021, it had been reported that more than 30,000 reports of adverse events relating to changes to</w:t>
      </w:r>
      <w:r>
        <w:rPr>
          <w:rFonts w:eastAsia="Calibri"/>
          <w:sz w:val="18"/>
          <w:szCs w:val="18"/>
        </w:rPr>
        <w:t xml:space="preserve"> </w:t>
      </w:r>
      <w:r w:rsidRPr="0054478B">
        <w:rPr>
          <w:rFonts w:eastAsia="Calibri"/>
          <w:sz w:val="18"/>
          <w:szCs w:val="18"/>
        </w:rPr>
        <w:t>periods and unexpected vaginal bleeding had been made to the UK’s Medicines and Healthcare</w:t>
      </w:r>
      <w:r>
        <w:rPr>
          <w:rFonts w:eastAsia="Calibri"/>
          <w:sz w:val="18"/>
          <w:szCs w:val="18"/>
        </w:rPr>
        <w:t xml:space="preserve"> </w:t>
      </w:r>
      <w:r w:rsidRPr="0054478B">
        <w:rPr>
          <w:rFonts w:eastAsia="Calibri"/>
          <w:sz w:val="18"/>
          <w:szCs w:val="18"/>
        </w:rPr>
        <w:t>Products Regulatory Agency yellow card surveillance scheme for adverse drug reactions across all</w:t>
      </w:r>
      <w:r>
        <w:rPr>
          <w:rFonts w:eastAsia="Calibri"/>
          <w:sz w:val="18"/>
          <w:szCs w:val="18"/>
        </w:rPr>
        <w:t xml:space="preserve"> </w:t>
      </w:r>
      <w:r w:rsidRPr="0054478B">
        <w:rPr>
          <w:rFonts w:eastAsia="Calibri"/>
          <w:sz w:val="18"/>
          <w:szCs w:val="18"/>
        </w:rPr>
        <w:t>COVID</w:t>
      </w:r>
      <w:r w:rsidRPr="0054478B">
        <w:rPr>
          <w:rFonts w:ascii="Cambria Math" w:eastAsia="Calibri" w:hAnsi="Cambria Math" w:cs="Cambria Math"/>
          <w:sz w:val="18"/>
          <w:szCs w:val="18"/>
        </w:rPr>
        <w:t>‐</w:t>
      </w:r>
      <w:r w:rsidRPr="0054478B">
        <w:rPr>
          <w:rFonts w:eastAsia="Calibri"/>
          <w:sz w:val="18"/>
          <w:szCs w:val="18"/>
        </w:rPr>
        <w:t xml:space="preserve">19 vaccinations currently offered. </w:t>
      </w:r>
      <w:r w:rsidR="00682E3A">
        <w:rPr>
          <w:rFonts w:eastAsia="Calibri"/>
          <w:sz w:val="18"/>
          <w:szCs w:val="18"/>
        </w:rPr>
        <w:t>[…] A</w:t>
      </w:r>
      <w:r w:rsidRPr="0054478B">
        <w:rPr>
          <w:rFonts w:eastAsia="Calibri"/>
          <w:sz w:val="18"/>
          <w:szCs w:val="18"/>
        </w:rPr>
        <w:t>dditionally, similar concerns have also been reported through other voluntary</w:t>
      </w:r>
      <w:r>
        <w:rPr>
          <w:rFonts w:eastAsia="Calibri"/>
          <w:sz w:val="18"/>
          <w:szCs w:val="18"/>
        </w:rPr>
        <w:t xml:space="preserve"> </w:t>
      </w:r>
      <w:r w:rsidRPr="0054478B">
        <w:rPr>
          <w:rFonts w:eastAsia="Calibri"/>
          <w:sz w:val="18"/>
          <w:szCs w:val="18"/>
        </w:rPr>
        <w:t>self</w:t>
      </w:r>
      <w:r w:rsidRPr="0054478B">
        <w:rPr>
          <w:rFonts w:ascii="Cambria Math" w:eastAsia="Calibri" w:hAnsi="Cambria Math" w:cs="Cambria Math"/>
          <w:sz w:val="18"/>
          <w:szCs w:val="18"/>
        </w:rPr>
        <w:t>‐</w:t>
      </w:r>
      <w:r w:rsidRPr="0054478B">
        <w:rPr>
          <w:rFonts w:eastAsia="Calibri"/>
          <w:sz w:val="18"/>
          <w:szCs w:val="18"/>
        </w:rPr>
        <w:t>reporting databases such as the United States’ Vaccine Adverse Event Reporting System and the</w:t>
      </w:r>
      <w:r>
        <w:rPr>
          <w:rFonts w:eastAsia="Calibri"/>
          <w:sz w:val="18"/>
          <w:szCs w:val="18"/>
        </w:rPr>
        <w:t xml:space="preserve"> </w:t>
      </w:r>
      <w:r w:rsidRPr="0054478B">
        <w:rPr>
          <w:rFonts w:eastAsia="Calibri"/>
          <w:sz w:val="18"/>
          <w:szCs w:val="18"/>
        </w:rPr>
        <w:t>Canada Vigilance Adverse Reaction Database.</w:t>
      </w:r>
    </w:p>
    <w:p w14:paraId="5A2985DD" w14:textId="61182BB2" w:rsidR="00F341DF" w:rsidRPr="00932D28" w:rsidRDefault="00CF1BBB" w:rsidP="00932D28">
      <w:pPr>
        <w:spacing w:before="240" w:after="120" w:line="240" w:lineRule="atLeast"/>
        <w:rPr>
          <w:rFonts w:eastAsia="Calibri" w:cs="Arial"/>
          <w:i w:val="0"/>
          <w:snapToGrid w:val="0"/>
          <w:szCs w:val="20"/>
        </w:rPr>
      </w:pPr>
      <w:r w:rsidRPr="00932D28">
        <w:rPr>
          <w:rFonts w:eastAsia="Calibri" w:cs="Arial"/>
          <w:i w:val="0"/>
          <w:snapToGrid w:val="0"/>
          <w:szCs w:val="20"/>
        </w:rPr>
        <w:t xml:space="preserve">The Licensee cited an article from </w:t>
      </w:r>
      <w:r w:rsidR="00F341DF" w:rsidRPr="00932D28">
        <w:rPr>
          <w:rFonts w:eastAsia="Calibri" w:cs="Arial"/>
          <w:i w:val="0"/>
          <w:snapToGrid w:val="0"/>
          <w:szCs w:val="20"/>
        </w:rPr>
        <w:t xml:space="preserve">the University of British Columbia’s </w:t>
      </w:r>
      <w:r w:rsidRPr="00932D28">
        <w:rPr>
          <w:rFonts w:eastAsia="Calibri" w:cs="Arial"/>
          <w:i w:val="0"/>
          <w:snapToGrid w:val="0"/>
          <w:szCs w:val="20"/>
        </w:rPr>
        <w:t>‘</w:t>
      </w:r>
      <w:r w:rsidR="00F341DF" w:rsidRPr="00932D28">
        <w:rPr>
          <w:rFonts w:eastAsia="Calibri" w:cs="Arial"/>
          <w:i w:val="0"/>
          <w:snapToGrid w:val="0"/>
          <w:szCs w:val="20"/>
        </w:rPr>
        <w:t>Women’s Health Blog</w:t>
      </w:r>
      <w:r w:rsidRPr="00932D28">
        <w:rPr>
          <w:rFonts w:eastAsia="Calibri" w:cs="Arial"/>
          <w:i w:val="0"/>
          <w:snapToGrid w:val="0"/>
          <w:szCs w:val="20"/>
        </w:rPr>
        <w:t>’</w:t>
      </w:r>
      <w:r w:rsidR="00851185" w:rsidRPr="00C81629">
        <w:rPr>
          <w:rStyle w:val="FootnoteReference"/>
          <w:iCs/>
          <w:lang w:eastAsia="en-AU"/>
        </w:rPr>
        <w:footnoteReference w:id="22"/>
      </w:r>
      <w:r w:rsidR="00851185" w:rsidRPr="00932D28">
        <w:rPr>
          <w:rFonts w:eastAsia="Calibri" w:cs="Arial"/>
          <w:i w:val="0"/>
          <w:snapToGrid w:val="0"/>
          <w:szCs w:val="20"/>
        </w:rPr>
        <w:t> </w:t>
      </w:r>
      <w:r w:rsidRPr="00932D28">
        <w:rPr>
          <w:rFonts w:eastAsia="Calibri" w:cs="Arial"/>
          <w:i w:val="0"/>
          <w:snapToGrid w:val="0"/>
          <w:szCs w:val="20"/>
        </w:rPr>
        <w:t>, which</w:t>
      </w:r>
      <w:r w:rsidR="009A5BCE" w:rsidRPr="00932D28">
        <w:rPr>
          <w:rFonts w:eastAsia="Calibri" w:cs="Arial"/>
          <w:i w:val="0"/>
          <w:snapToGrid w:val="0"/>
          <w:szCs w:val="20"/>
        </w:rPr>
        <w:t xml:space="preserve"> state</w:t>
      </w:r>
      <w:r w:rsidRPr="00932D28">
        <w:rPr>
          <w:rFonts w:eastAsia="Calibri" w:cs="Arial"/>
          <w:i w:val="0"/>
          <w:snapToGrid w:val="0"/>
          <w:szCs w:val="20"/>
        </w:rPr>
        <w:t>d</w:t>
      </w:r>
      <w:r w:rsidR="00F341DF" w:rsidRPr="00932D28">
        <w:rPr>
          <w:rFonts w:eastAsia="Calibri" w:cs="Arial"/>
          <w:i w:val="0"/>
          <w:snapToGrid w:val="0"/>
          <w:szCs w:val="20"/>
        </w:rPr>
        <w:t>:</w:t>
      </w:r>
    </w:p>
    <w:p w14:paraId="6FAC7E7B" w14:textId="6AA5436A" w:rsidR="00F341DF" w:rsidRDefault="00F341DF" w:rsidP="00851185">
      <w:pPr>
        <w:pStyle w:val="ACMABodyText"/>
        <w:ind w:left="709"/>
        <w:rPr>
          <w:rFonts w:eastAsia="Calibri"/>
          <w:sz w:val="18"/>
          <w:szCs w:val="18"/>
        </w:rPr>
      </w:pPr>
      <w:r w:rsidRPr="00F341DF">
        <w:rPr>
          <w:rFonts w:eastAsia="Calibri"/>
          <w:sz w:val="18"/>
          <w:szCs w:val="18"/>
        </w:rPr>
        <w:t>Although we do not yet know if COVID-19 vaccines are the cause of the reported incidents of post-menopausal bleeding, there may be several other reasons for bleeding to occur, such as hormone therapy or medication-related changes in the endometrium.</w:t>
      </w:r>
      <w:r w:rsidR="00CF1BBB" w:rsidRPr="00CF1BBB">
        <w:rPr>
          <w:rStyle w:val="FootnoteReference"/>
          <w:rFonts w:eastAsia="Calibri"/>
          <w:lang w:eastAsia="en-AU"/>
        </w:rPr>
        <w:t xml:space="preserve"> </w:t>
      </w:r>
    </w:p>
    <w:p w14:paraId="27FA628C" w14:textId="5D2BD6AF" w:rsidR="00EF2296" w:rsidRDefault="00EF2296" w:rsidP="00B2488E">
      <w:pPr>
        <w:pStyle w:val="ACMABodyText"/>
        <w:spacing w:before="240" w:after="120"/>
        <w:rPr>
          <w:lang w:eastAsia="en-AU"/>
        </w:rPr>
      </w:pPr>
      <w:r>
        <w:rPr>
          <w:lang w:eastAsia="en-AU"/>
        </w:rPr>
        <w:t>T</w:t>
      </w:r>
      <w:r w:rsidRPr="00A563BF">
        <w:rPr>
          <w:lang w:eastAsia="en-AU"/>
        </w:rPr>
        <w:t>he Licensee</w:t>
      </w:r>
      <w:r>
        <w:rPr>
          <w:lang w:eastAsia="en-AU"/>
        </w:rPr>
        <w:t xml:space="preserve"> also cited</w:t>
      </w:r>
      <w:r w:rsidRPr="00A563BF">
        <w:rPr>
          <w:lang w:eastAsia="en-AU"/>
        </w:rPr>
        <w:t xml:space="preserve"> a study </w:t>
      </w:r>
      <w:r>
        <w:rPr>
          <w:lang w:eastAsia="en-AU"/>
        </w:rPr>
        <w:t>published in t</w:t>
      </w:r>
      <w:r w:rsidRPr="00A563BF">
        <w:rPr>
          <w:lang w:eastAsia="en-AU"/>
        </w:rPr>
        <w:t xml:space="preserve">he UK medical journal </w:t>
      </w:r>
      <w:r w:rsidRPr="0051652B">
        <w:rPr>
          <w:i/>
          <w:lang w:eastAsia="en-AU"/>
        </w:rPr>
        <w:t xml:space="preserve">The </w:t>
      </w:r>
      <w:r w:rsidRPr="00A563BF">
        <w:rPr>
          <w:i/>
          <w:iCs/>
          <w:lang w:eastAsia="en-AU"/>
        </w:rPr>
        <w:t>BMJ</w:t>
      </w:r>
      <w:r w:rsidRPr="00A563BF">
        <w:rPr>
          <w:rStyle w:val="FootnoteReference"/>
          <w:i/>
          <w:iCs/>
          <w:lang w:eastAsia="en-AU"/>
        </w:rPr>
        <w:footnoteReference w:id="23"/>
      </w:r>
      <w:r w:rsidRPr="00A563BF">
        <w:rPr>
          <w:lang w:eastAsia="en-AU"/>
        </w:rPr>
        <w:t xml:space="preserve">, </w:t>
      </w:r>
      <w:r>
        <w:rPr>
          <w:lang w:eastAsia="en-AU"/>
        </w:rPr>
        <w:t xml:space="preserve">which </w:t>
      </w:r>
      <w:r w:rsidRPr="00A563BF">
        <w:rPr>
          <w:lang w:eastAsia="en-AU"/>
        </w:rPr>
        <w:t>found that:</w:t>
      </w:r>
      <w:r>
        <w:rPr>
          <w:lang w:eastAsia="en-AU"/>
        </w:rPr>
        <w:t xml:space="preserve"> </w:t>
      </w:r>
    </w:p>
    <w:p w14:paraId="4BA34B42" w14:textId="0E73A727" w:rsidR="00EF2296" w:rsidRPr="008511A8" w:rsidRDefault="00EF2296" w:rsidP="00B2488E">
      <w:pPr>
        <w:pStyle w:val="ACMABodyText"/>
        <w:spacing w:after="120" w:line="240" w:lineRule="auto"/>
        <w:ind w:left="709"/>
        <w:rPr>
          <w:rFonts w:eastAsia="Calibri"/>
          <w:sz w:val="18"/>
          <w:szCs w:val="18"/>
        </w:rPr>
      </w:pPr>
      <w:r w:rsidRPr="008511A8">
        <w:rPr>
          <w:rFonts w:eastAsia="Calibri"/>
          <w:sz w:val="18"/>
          <w:szCs w:val="18"/>
        </w:rPr>
        <w:t>Although reported changes to the menstrual cycle after vaccination are short lived, robust research into this possible adverse reaction remains critical to the overall success of the vaccination programme.</w:t>
      </w:r>
    </w:p>
    <w:p w14:paraId="528AF7DF" w14:textId="77777777" w:rsidR="00EF2296" w:rsidRPr="008511A8" w:rsidRDefault="00EF2296" w:rsidP="00B2488E">
      <w:pPr>
        <w:pStyle w:val="ACMABodyText"/>
        <w:spacing w:after="120" w:line="240" w:lineRule="auto"/>
        <w:ind w:left="709"/>
        <w:rPr>
          <w:rFonts w:eastAsia="Calibri"/>
          <w:sz w:val="18"/>
          <w:szCs w:val="18"/>
        </w:rPr>
      </w:pPr>
      <w:r w:rsidRPr="008511A8">
        <w:rPr>
          <w:rFonts w:eastAsia="Calibri"/>
          <w:sz w:val="18"/>
          <w:szCs w:val="18"/>
        </w:rPr>
        <w:t xml:space="preserve">Most people who report a change to their period after vaccination find that it returns to normal the following cycle and, importantly, there is no evidence that covid-19 vaccination adversely affects fertility. </w:t>
      </w:r>
    </w:p>
    <w:p w14:paraId="3853F822" w14:textId="51658D6F" w:rsidR="00EF2296" w:rsidRPr="008511A8" w:rsidRDefault="00EF2296" w:rsidP="00B2488E">
      <w:pPr>
        <w:pStyle w:val="ACMABodyText"/>
        <w:spacing w:after="120" w:line="240" w:lineRule="auto"/>
        <w:ind w:left="709"/>
        <w:rPr>
          <w:rFonts w:eastAsia="Calibri"/>
          <w:sz w:val="18"/>
          <w:szCs w:val="18"/>
        </w:rPr>
      </w:pPr>
      <w:r w:rsidRPr="008511A8">
        <w:rPr>
          <w:rFonts w:eastAsia="Calibri"/>
          <w:sz w:val="18"/>
          <w:szCs w:val="18"/>
        </w:rPr>
        <w:t>Menstrual changes have been reported after both mRNA and adenovirus vectored covid-19 vaccines, suggesting that, if there is a connection, it is likely to be a result of the immune response to vaccination rather than a specific vaccine component</w:t>
      </w:r>
      <w:r w:rsidR="000B0C93">
        <w:rPr>
          <w:rFonts w:eastAsia="Calibri"/>
          <w:sz w:val="18"/>
          <w:szCs w:val="18"/>
        </w:rPr>
        <w:t>.</w:t>
      </w:r>
    </w:p>
    <w:p w14:paraId="46D970BC" w14:textId="42E1032C" w:rsidR="00155A86" w:rsidRPr="0051652B" w:rsidRDefault="00CF1BBB" w:rsidP="0051652B">
      <w:pPr>
        <w:spacing w:before="240" w:after="120" w:line="240" w:lineRule="atLeast"/>
        <w:rPr>
          <w:rFonts w:eastAsia="Calibri" w:cs="Arial"/>
          <w:i w:val="0"/>
          <w:snapToGrid w:val="0"/>
          <w:szCs w:val="20"/>
        </w:rPr>
      </w:pPr>
      <w:r w:rsidRPr="0051652B">
        <w:rPr>
          <w:rFonts w:eastAsia="Calibri" w:cs="Arial"/>
          <w:i w:val="0"/>
          <w:snapToGrid w:val="0"/>
          <w:szCs w:val="20"/>
        </w:rPr>
        <w:lastRenderedPageBreak/>
        <w:t xml:space="preserve">These submissions confirm that </w:t>
      </w:r>
      <w:r w:rsidR="00EF2296" w:rsidRPr="0051652B">
        <w:rPr>
          <w:rFonts w:eastAsia="Calibri" w:cs="Arial"/>
          <w:i w:val="0"/>
          <w:snapToGrid w:val="0"/>
          <w:szCs w:val="20"/>
        </w:rPr>
        <w:t xml:space="preserve">incidents of </w:t>
      </w:r>
      <w:r w:rsidRPr="0051652B">
        <w:rPr>
          <w:rFonts w:eastAsia="Calibri" w:cs="Arial"/>
          <w:i w:val="0"/>
          <w:snapToGrid w:val="0"/>
          <w:szCs w:val="20"/>
        </w:rPr>
        <w:t xml:space="preserve">post-menopausal bleeding </w:t>
      </w:r>
      <w:r w:rsidR="00EF2296" w:rsidRPr="0051652B">
        <w:rPr>
          <w:rFonts w:eastAsia="Calibri" w:cs="Arial"/>
          <w:i w:val="0"/>
          <w:snapToGrid w:val="0"/>
          <w:szCs w:val="20"/>
        </w:rPr>
        <w:t xml:space="preserve">and changes to menstrual flow </w:t>
      </w:r>
      <w:r w:rsidRPr="0051652B">
        <w:rPr>
          <w:rFonts w:eastAsia="Calibri" w:cs="Arial"/>
          <w:i w:val="0"/>
          <w:snapToGrid w:val="0"/>
          <w:szCs w:val="20"/>
        </w:rPr>
        <w:t>ha</w:t>
      </w:r>
      <w:r w:rsidR="00EF2296" w:rsidRPr="0051652B">
        <w:rPr>
          <w:rFonts w:eastAsia="Calibri" w:cs="Arial"/>
          <w:i w:val="0"/>
          <w:snapToGrid w:val="0"/>
          <w:szCs w:val="20"/>
        </w:rPr>
        <w:t>ve</w:t>
      </w:r>
      <w:r w:rsidRPr="0051652B">
        <w:rPr>
          <w:rFonts w:eastAsia="Calibri" w:cs="Arial"/>
          <w:i w:val="0"/>
          <w:snapToGrid w:val="0"/>
          <w:szCs w:val="20"/>
        </w:rPr>
        <w:t xml:space="preserve"> been reported as </w:t>
      </w:r>
      <w:r w:rsidR="00EF2296" w:rsidRPr="0051652B">
        <w:rPr>
          <w:rFonts w:eastAsia="Calibri" w:cs="Arial"/>
          <w:i w:val="0"/>
          <w:snapToGrid w:val="0"/>
          <w:szCs w:val="20"/>
        </w:rPr>
        <w:t>reactions to C</w:t>
      </w:r>
      <w:r w:rsidR="00CC6CC6" w:rsidRPr="0051652B">
        <w:rPr>
          <w:rFonts w:eastAsia="Calibri" w:cs="Arial"/>
          <w:i w:val="0"/>
          <w:snapToGrid w:val="0"/>
          <w:szCs w:val="20"/>
        </w:rPr>
        <w:t>OVID</w:t>
      </w:r>
      <w:r w:rsidR="008511A8" w:rsidRPr="0051652B">
        <w:rPr>
          <w:rFonts w:eastAsia="Calibri" w:cs="Arial"/>
          <w:i w:val="0"/>
          <w:snapToGrid w:val="0"/>
          <w:szCs w:val="20"/>
        </w:rPr>
        <w:t>-19</w:t>
      </w:r>
      <w:r w:rsidR="00EF2296" w:rsidRPr="0051652B">
        <w:rPr>
          <w:rFonts w:eastAsia="Calibri" w:cs="Arial"/>
          <w:i w:val="0"/>
          <w:snapToGrid w:val="0"/>
          <w:szCs w:val="20"/>
        </w:rPr>
        <w:t xml:space="preserve"> vaccination.</w:t>
      </w:r>
      <w:r w:rsidRPr="0051652B">
        <w:rPr>
          <w:rFonts w:eastAsia="Calibri" w:cs="Arial"/>
          <w:i w:val="0"/>
          <w:snapToGrid w:val="0"/>
          <w:szCs w:val="20"/>
        </w:rPr>
        <w:t xml:space="preserve"> </w:t>
      </w:r>
      <w:bookmarkStart w:id="11" w:name="_Hlk109712592"/>
    </w:p>
    <w:p w14:paraId="555AE374" w14:textId="6598AE86" w:rsidR="00D71E9B" w:rsidRPr="0051652B" w:rsidRDefault="00EF2296" w:rsidP="0051652B">
      <w:pPr>
        <w:spacing w:before="240" w:after="120" w:line="240" w:lineRule="atLeast"/>
        <w:rPr>
          <w:rFonts w:eastAsia="Calibri" w:cs="Arial"/>
          <w:i w:val="0"/>
          <w:snapToGrid w:val="0"/>
          <w:szCs w:val="20"/>
        </w:rPr>
      </w:pPr>
      <w:r w:rsidRPr="0051652B">
        <w:rPr>
          <w:rFonts w:eastAsia="Calibri" w:cs="Arial"/>
          <w:i w:val="0"/>
          <w:snapToGrid w:val="0"/>
          <w:szCs w:val="20"/>
        </w:rPr>
        <w:t>Considering the information provided by the Licensee, t</w:t>
      </w:r>
      <w:r w:rsidR="00ED26E1" w:rsidRPr="0051652B">
        <w:rPr>
          <w:rFonts w:eastAsia="Calibri" w:cs="Arial"/>
          <w:i w:val="0"/>
          <w:snapToGrid w:val="0"/>
          <w:szCs w:val="20"/>
        </w:rPr>
        <w:t xml:space="preserve">he ACMA </w:t>
      </w:r>
      <w:r w:rsidR="00237FD0" w:rsidRPr="0051652B">
        <w:rPr>
          <w:rFonts w:eastAsia="Calibri" w:cs="Arial"/>
          <w:i w:val="0"/>
          <w:snapToGrid w:val="0"/>
          <w:szCs w:val="20"/>
        </w:rPr>
        <w:t xml:space="preserve">finds </w:t>
      </w:r>
      <w:r w:rsidR="00ED26E1" w:rsidRPr="0051652B">
        <w:rPr>
          <w:rFonts w:eastAsia="Calibri" w:cs="Arial"/>
          <w:i w:val="0"/>
          <w:snapToGrid w:val="0"/>
          <w:szCs w:val="20"/>
        </w:rPr>
        <w:t>that the</w:t>
      </w:r>
      <w:r w:rsidR="00D71E9B" w:rsidRPr="0051652B">
        <w:rPr>
          <w:rFonts w:eastAsia="Calibri" w:cs="Arial"/>
          <w:i w:val="0"/>
          <w:snapToGrid w:val="0"/>
          <w:szCs w:val="20"/>
        </w:rPr>
        <w:t xml:space="preserve"> </w:t>
      </w:r>
      <w:r w:rsidRPr="0051652B">
        <w:rPr>
          <w:rFonts w:eastAsia="Calibri" w:cs="Arial"/>
          <w:i w:val="0"/>
          <w:snapToGrid w:val="0"/>
          <w:szCs w:val="20"/>
        </w:rPr>
        <w:t xml:space="preserve">statements concerning the reporting of adverse effects of </w:t>
      </w:r>
      <w:r w:rsidR="00364E7A" w:rsidRPr="0051652B">
        <w:rPr>
          <w:rFonts w:eastAsia="Calibri" w:cs="Arial"/>
          <w:i w:val="0"/>
          <w:snapToGrid w:val="0"/>
          <w:szCs w:val="20"/>
        </w:rPr>
        <w:t>COVID</w:t>
      </w:r>
      <w:r w:rsidR="008511A8" w:rsidRPr="0051652B">
        <w:rPr>
          <w:rFonts w:eastAsia="Calibri" w:cs="Arial"/>
          <w:i w:val="0"/>
          <w:snapToGrid w:val="0"/>
          <w:szCs w:val="20"/>
        </w:rPr>
        <w:t>-19</w:t>
      </w:r>
      <w:r w:rsidRPr="0051652B">
        <w:rPr>
          <w:rFonts w:eastAsia="Calibri" w:cs="Arial"/>
          <w:i w:val="0"/>
          <w:snapToGrid w:val="0"/>
          <w:szCs w:val="20"/>
        </w:rPr>
        <w:t xml:space="preserve"> vaccination by </w:t>
      </w:r>
      <w:r w:rsidR="00155A86" w:rsidRPr="0051652B">
        <w:rPr>
          <w:rFonts w:eastAsia="Calibri" w:cs="Arial"/>
          <w:i w:val="0"/>
          <w:snapToGrid w:val="0"/>
          <w:szCs w:val="20"/>
        </w:rPr>
        <w:t xml:space="preserve">pre and </w:t>
      </w:r>
      <w:r w:rsidRPr="0051652B">
        <w:rPr>
          <w:rFonts w:eastAsia="Calibri" w:cs="Arial"/>
          <w:i w:val="0"/>
          <w:snapToGrid w:val="0"/>
          <w:szCs w:val="20"/>
        </w:rPr>
        <w:t xml:space="preserve">post-menopausal women </w:t>
      </w:r>
      <w:r w:rsidR="00D71E9B" w:rsidRPr="0051652B">
        <w:rPr>
          <w:rFonts w:eastAsia="Calibri" w:cs="Arial"/>
          <w:i w:val="0"/>
          <w:snapToGrid w:val="0"/>
          <w:szCs w:val="20"/>
        </w:rPr>
        <w:t xml:space="preserve">to be accurate. </w:t>
      </w:r>
    </w:p>
    <w:bookmarkEnd w:id="11"/>
    <w:p w14:paraId="587DF10C" w14:textId="553BBA46" w:rsidR="00DC5614" w:rsidRPr="004274A5" w:rsidRDefault="004274A5" w:rsidP="00B2488E">
      <w:pPr>
        <w:pStyle w:val="ACMABodyText"/>
        <w:spacing w:line="240" w:lineRule="auto"/>
        <w:rPr>
          <w:b/>
          <w:bCs/>
          <w:i/>
          <w:iCs/>
          <w:u w:val="single"/>
        </w:rPr>
      </w:pPr>
      <w:r w:rsidRPr="004274A5">
        <w:rPr>
          <w:b/>
          <w:bCs/>
          <w:i/>
          <w:iCs/>
          <w:u w:val="single"/>
        </w:rPr>
        <w:t xml:space="preserve">13. We have no information about the shot </w:t>
      </w:r>
    </w:p>
    <w:p w14:paraId="6BDF7D77" w14:textId="321674D4" w:rsidR="006055AC" w:rsidRDefault="00B34D3D" w:rsidP="00B2488E">
      <w:pPr>
        <w:spacing w:before="0" w:after="120" w:line="240" w:lineRule="atLeast"/>
        <w:rPr>
          <w:rFonts w:cs="Arial"/>
          <w:i w:val="0"/>
          <w:snapToGrid w:val="0"/>
          <w:szCs w:val="20"/>
        </w:rPr>
      </w:pPr>
      <w:r>
        <w:rPr>
          <w:rFonts w:cs="Arial"/>
          <w:i w:val="0"/>
          <w:snapToGrid w:val="0"/>
          <w:szCs w:val="20"/>
        </w:rPr>
        <w:t xml:space="preserve">Dr. </w:t>
      </w:r>
      <w:r w:rsidR="00A76E3A">
        <w:rPr>
          <w:rFonts w:cs="Arial"/>
          <w:i w:val="0"/>
          <w:snapToGrid w:val="0"/>
          <w:szCs w:val="20"/>
        </w:rPr>
        <w:t>B</w:t>
      </w:r>
      <w:r w:rsidR="006055AC">
        <w:rPr>
          <w:rFonts w:cs="Arial"/>
          <w:i w:val="0"/>
          <w:snapToGrid w:val="0"/>
          <w:szCs w:val="20"/>
        </w:rPr>
        <w:t xml:space="preserve"> </w:t>
      </w:r>
      <w:r w:rsidR="00EF2296">
        <w:rPr>
          <w:rFonts w:cs="Arial"/>
          <w:i w:val="0"/>
          <w:snapToGrid w:val="0"/>
          <w:szCs w:val="20"/>
        </w:rPr>
        <w:t xml:space="preserve">made the following statement </w:t>
      </w:r>
      <w:r w:rsidR="006055AC">
        <w:rPr>
          <w:rFonts w:cs="Arial"/>
          <w:i w:val="0"/>
          <w:snapToGrid w:val="0"/>
          <w:szCs w:val="20"/>
        </w:rPr>
        <w:t>at approximately 25:21 minutes</w:t>
      </w:r>
      <w:r w:rsidR="00E4782A">
        <w:rPr>
          <w:rFonts w:cs="Arial"/>
          <w:i w:val="0"/>
          <w:snapToGrid w:val="0"/>
          <w:szCs w:val="20"/>
        </w:rPr>
        <w:t>:</w:t>
      </w:r>
    </w:p>
    <w:p w14:paraId="481C8DA5" w14:textId="52882CE8" w:rsidR="00CD2F2B" w:rsidRDefault="00AA18E9" w:rsidP="002A73AC">
      <w:pPr>
        <w:spacing w:before="120" w:after="160" w:line="257" w:lineRule="auto"/>
        <w:ind w:left="709"/>
        <w:rPr>
          <w:rFonts w:eastAsia="Calibri" w:cs="Arial"/>
          <w:i w:val="0"/>
          <w:snapToGrid w:val="0"/>
          <w:sz w:val="18"/>
          <w:szCs w:val="18"/>
        </w:rPr>
      </w:pPr>
      <w:r>
        <w:rPr>
          <w:i w:val="0"/>
          <w:sz w:val="18"/>
          <w:szCs w:val="18"/>
        </w:rPr>
        <w:t>What we’re seeing in the field is</w:t>
      </w:r>
      <w:r w:rsidR="00AA7E71">
        <w:rPr>
          <w:i w:val="0"/>
          <w:sz w:val="18"/>
          <w:szCs w:val="18"/>
        </w:rPr>
        <w:t xml:space="preserve"> </w:t>
      </w:r>
      <w:r w:rsidR="00155A86">
        <w:rPr>
          <w:i w:val="0"/>
          <w:sz w:val="18"/>
          <w:szCs w:val="18"/>
        </w:rPr>
        <w:t>[</w:t>
      </w:r>
      <w:r w:rsidR="009E61B9">
        <w:rPr>
          <w:i w:val="0"/>
          <w:sz w:val="18"/>
          <w:szCs w:val="18"/>
        </w:rPr>
        <w:t>…</w:t>
      </w:r>
      <w:r w:rsidR="00155A86">
        <w:rPr>
          <w:i w:val="0"/>
          <w:sz w:val="18"/>
          <w:szCs w:val="18"/>
        </w:rPr>
        <w:t xml:space="preserve">] </w:t>
      </w:r>
      <w:r w:rsidR="004A7B8B">
        <w:rPr>
          <w:i w:val="0"/>
          <w:sz w:val="18"/>
          <w:szCs w:val="18"/>
        </w:rPr>
        <w:t>men and women getting heart attacks and even</w:t>
      </w:r>
      <w:r w:rsidR="00037760">
        <w:rPr>
          <w:i w:val="0"/>
          <w:sz w:val="18"/>
          <w:szCs w:val="18"/>
        </w:rPr>
        <w:t xml:space="preserve"> strokes and dying</w:t>
      </w:r>
      <w:r>
        <w:rPr>
          <w:i w:val="0"/>
          <w:sz w:val="18"/>
          <w:szCs w:val="18"/>
        </w:rPr>
        <w:t xml:space="preserve"> </w:t>
      </w:r>
      <w:r w:rsidR="005719FB">
        <w:rPr>
          <w:i w:val="0"/>
          <w:sz w:val="18"/>
          <w:szCs w:val="18"/>
        </w:rPr>
        <w:t>b</w:t>
      </w:r>
      <w:r w:rsidR="008251A8">
        <w:rPr>
          <w:i w:val="0"/>
          <w:sz w:val="18"/>
          <w:szCs w:val="18"/>
        </w:rPr>
        <w:t>eing around those who have got</w:t>
      </w:r>
      <w:r w:rsidR="004A7B8B">
        <w:rPr>
          <w:i w:val="0"/>
          <w:sz w:val="18"/>
          <w:szCs w:val="18"/>
        </w:rPr>
        <w:t>ten</w:t>
      </w:r>
      <w:r w:rsidR="008251A8">
        <w:rPr>
          <w:i w:val="0"/>
          <w:sz w:val="18"/>
          <w:szCs w:val="18"/>
        </w:rPr>
        <w:t xml:space="preserve"> the shot. And instead of</w:t>
      </w:r>
      <w:r w:rsidR="005719FB">
        <w:rPr>
          <w:i w:val="0"/>
          <w:sz w:val="18"/>
          <w:szCs w:val="18"/>
        </w:rPr>
        <w:t xml:space="preserve"> us</w:t>
      </w:r>
      <w:r w:rsidR="008251A8">
        <w:rPr>
          <w:i w:val="0"/>
          <w:sz w:val="18"/>
          <w:szCs w:val="18"/>
        </w:rPr>
        <w:t xml:space="preserve"> looking at</w:t>
      </w:r>
      <w:r w:rsidR="00C30A1A">
        <w:rPr>
          <w:i w:val="0"/>
          <w:sz w:val="18"/>
          <w:szCs w:val="18"/>
        </w:rPr>
        <w:t xml:space="preserve">, </w:t>
      </w:r>
      <w:r w:rsidR="004A7B8B">
        <w:rPr>
          <w:i w:val="0"/>
          <w:sz w:val="18"/>
          <w:szCs w:val="18"/>
        </w:rPr>
        <w:t>‘</w:t>
      </w:r>
      <w:r w:rsidR="00C30A1A">
        <w:rPr>
          <w:i w:val="0"/>
          <w:sz w:val="18"/>
          <w:szCs w:val="18"/>
        </w:rPr>
        <w:t>wait a second w</w:t>
      </w:r>
      <w:r w:rsidR="00CD2F2B" w:rsidRPr="00C83ECF">
        <w:rPr>
          <w:i w:val="0"/>
          <w:sz w:val="18"/>
          <w:szCs w:val="18"/>
        </w:rPr>
        <w:t>e have no information about the shot</w:t>
      </w:r>
      <w:r w:rsidR="004A7B8B">
        <w:rPr>
          <w:i w:val="0"/>
          <w:sz w:val="18"/>
          <w:szCs w:val="18"/>
        </w:rPr>
        <w:t>’</w:t>
      </w:r>
      <w:r w:rsidR="00CD2F2B" w:rsidRPr="00C83ECF">
        <w:rPr>
          <w:i w:val="0"/>
          <w:sz w:val="18"/>
          <w:szCs w:val="18"/>
        </w:rPr>
        <w:t xml:space="preserve">, </w:t>
      </w:r>
      <w:r w:rsidR="00CD2F2B" w:rsidRPr="00C83ECF">
        <w:rPr>
          <w:rFonts w:eastAsia="Calibri" w:cs="Arial"/>
          <w:i w:val="0"/>
          <w:snapToGrid w:val="0"/>
          <w:sz w:val="18"/>
          <w:szCs w:val="18"/>
        </w:rPr>
        <w:t>we need to study why this is happening</w:t>
      </w:r>
      <w:r w:rsidR="00CD2F2B">
        <w:rPr>
          <w:rFonts w:eastAsia="Calibri" w:cs="Arial"/>
          <w:i w:val="0"/>
          <w:snapToGrid w:val="0"/>
          <w:sz w:val="18"/>
          <w:szCs w:val="18"/>
        </w:rPr>
        <w:t xml:space="preserve"> in all th</w:t>
      </w:r>
      <w:r w:rsidR="00D50385">
        <w:rPr>
          <w:rFonts w:eastAsia="Calibri" w:cs="Arial"/>
          <w:i w:val="0"/>
          <w:snapToGrid w:val="0"/>
          <w:sz w:val="18"/>
          <w:szCs w:val="18"/>
        </w:rPr>
        <w:t>e</w:t>
      </w:r>
      <w:r w:rsidR="00CD2F2B">
        <w:rPr>
          <w:rFonts w:eastAsia="Calibri" w:cs="Arial"/>
          <w:i w:val="0"/>
          <w:snapToGrid w:val="0"/>
          <w:sz w:val="18"/>
          <w:szCs w:val="18"/>
        </w:rPr>
        <w:t>s</w:t>
      </w:r>
      <w:r w:rsidR="00D50385">
        <w:rPr>
          <w:rFonts w:eastAsia="Calibri" w:cs="Arial"/>
          <w:i w:val="0"/>
          <w:snapToGrid w:val="0"/>
          <w:sz w:val="18"/>
          <w:szCs w:val="18"/>
        </w:rPr>
        <w:t>e</w:t>
      </w:r>
      <w:r w:rsidR="00CD2F2B">
        <w:rPr>
          <w:rFonts w:eastAsia="Calibri" w:cs="Arial"/>
          <w:i w:val="0"/>
          <w:snapToGrid w:val="0"/>
          <w:sz w:val="18"/>
          <w:szCs w:val="18"/>
        </w:rPr>
        <w:t xml:space="preserve"> people</w:t>
      </w:r>
      <w:r w:rsidR="008511A8">
        <w:rPr>
          <w:rFonts w:eastAsia="Calibri" w:cs="Arial"/>
          <w:i w:val="0"/>
          <w:snapToGrid w:val="0"/>
          <w:sz w:val="18"/>
          <w:szCs w:val="18"/>
        </w:rPr>
        <w:t xml:space="preserve"> […]</w:t>
      </w:r>
      <w:r w:rsidR="00CD2F2B">
        <w:rPr>
          <w:rFonts w:eastAsia="Calibri" w:cs="Arial"/>
          <w:i w:val="0"/>
          <w:snapToGrid w:val="0"/>
          <w:sz w:val="18"/>
          <w:szCs w:val="18"/>
        </w:rPr>
        <w:t xml:space="preserve"> </w:t>
      </w:r>
    </w:p>
    <w:p w14:paraId="44C6DC3F" w14:textId="77777777" w:rsidR="00EF2296" w:rsidRPr="000D6A5E" w:rsidRDefault="00EF2296" w:rsidP="00B2488E">
      <w:pPr>
        <w:spacing w:before="240" w:line="240" w:lineRule="atLeast"/>
        <w:rPr>
          <w:rFonts w:eastAsia="Calibri" w:cs="Arial"/>
          <w:b/>
          <w:bCs/>
          <w:i w:val="0"/>
          <w:snapToGrid w:val="0"/>
          <w:szCs w:val="20"/>
        </w:rPr>
      </w:pPr>
      <w:r w:rsidRPr="000D6A5E">
        <w:rPr>
          <w:rFonts w:eastAsia="Calibri" w:cs="Arial"/>
          <w:b/>
          <w:bCs/>
          <w:i w:val="0"/>
          <w:snapToGrid w:val="0"/>
          <w:szCs w:val="20"/>
        </w:rPr>
        <w:t>What did the material conve</w:t>
      </w:r>
      <w:r>
        <w:rPr>
          <w:rFonts w:eastAsia="Calibri" w:cs="Arial"/>
          <w:b/>
          <w:bCs/>
          <w:i w:val="0"/>
          <w:snapToGrid w:val="0"/>
          <w:szCs w:val="20"/>
        </w:rPr>
        <w:t>y</w:t>
      </w:r>
      <w:r w:rsidRPr="000D6A5E">
        <w:rPr>
          <w:rFonts w:eastAsia="Calibri" w:cs="Arial"/>
          <w:b/>
          <w:bCs/>
          <w:i w:val="0"/>
          <w:snapToGrid w:val="0"/>
          <w:szCs w:val="20"/>
        </w:rPr>
        <w:t xml:space="preserve"> to the ordinary reasonable viewer?</w:t>
      </w:r>
    </w:p>
    <w:p w14:paraId="525834F7" w14:textId="3D730140" w:rsidR="00C929A9" w:rsidRDefault="00C929A9" w:rsidP="00C929A9">
      <w:pPr>
        <w:pStyle w:val="ACMABodyText"/>
      </w:pPr>
      <w:r>
        <w:t xml:space="preserve">This statement would have been understood as a continuation of the assertion </w:t>
      </w:r>
      <w:r w:rsidR="00B34D3D">
        <w:t xml:space="preserve">Dr. </w:t>
      </w:r>
      <w:r w:rsidR="00A76E3A">
        <w:t>B</w:t>
      </w:r>
      <w:r>
        <w:t xml:space="preserve"> made previously about the risk posed to the unvaccinated by vaccine shedding from vaccinated people.</w:t>
      </w:r>
    </w:p>
    <w:p w14:paraId="6C6DF3FE" w14:textId="221B3685" w:rsidR="00C83ECF" w:rsidRDefault="006055AC" w:rsidP="00B2488E">
      <w:pPr>
        <w:spacing w:before="120" w:line="240" w:lineRule="atLeast"/>
        <w:rPr>
          <w:rFonts w:cs="Arial"/>
          <w:i w:val="0"/>
          <w:snapToGrid w:val="0"/>
          <w:szCs w:val="20"/>
        </w:rPr>
      </w:pPr>
      <w:r w:rsidRPr="006A6433">
        <w:rPr>
          <w:rFonts w:cs="Arial"/>
          <w:i w:val="0"/>
          <w:snapToGrid w:val="0"/>
          <w:szCs w:val="20"/>
        </w:rPr>
        <w:t>The ordinary reasonable viewer would have understood</w:t>
      </w:r>
      <w:r w:rsidR="00155A86">
        <w:rPr>
          <w:rFonts w:cs="Arial"/>
          <w:i w:val="0"/>
          <w:snapToGrid w:val="0"/>
          <w:szCs w:val="20"/>
        </w:rPr>
        <w:t xml:space="preserve"> the statement to mean</w:t>
      </w:r>
      <w:r w:rsidRPr="006A6433">
        <w:rPr>
          <w:rFonts w:cs="Arial"/>
          <w:i w:val="0"/>
          <w:snapToGrid w:val="0"/>
          <w:szCs w:val="20"/>
        </w:rPr>
        <w:t xml:space="preserve"> </w:t>
      </w:r>
      <w:r w:rsidR="00280131">
        <w:rPr>
          <w:rFonts w:cs="Arial"/>
          <w:i w:val="0"/>
          <w:snapToGrid w:val="0"/>
          <w:szCs w:val="20"/>
        </w:rPr>
        <w:t xml:space="preserve">there </w:t>
      </w:r>
      <w:r w:rsidR="00155A86">
        <w:rPr>
          <w:rFonts w:cs="Arial"/>
          <w:i w:val="0"/>
          <w:snapToGrid w:val="0"/>
          <w:szCs w:val="20"/>
        </w:rPr>
        <w:t xml:space="preserve">was </w:t>
      </w:r>
      <w:r w:rsidR="00280131">
        <w:rPr>
          <w:rFonts w:cs="Arial"/>
          <w:i w:val="0"/>
          <w:snapToGrid w:val="0"/>
          <w:szCs w:val="20"/>
        </w:rPr>
        <w:t xml:space="preserve">a lack of </w:t>
      </w:r>
      <w:r w:rsidR="004A7B8B">
        <w:rPr>
          <w:rFonts w:cs="Arial"/>
          <w:i w:val="0"/>
          <w:snapToGrid w:val="0"/>
          <w:szCs w:val="20"/>
        </w:rPr>
        <w:t>information</w:t>
      </w:r>
      <w:r w:rsidR="00A44F4D">
        <w:rPr>
          <w:rFonts w:cs="Arial"/>
          <w:i w:val="0"/>
          <w:snapToGrid w:val="0"/>
          <w:szCs w:val="20"/>
        </w:rPr>
        <w:t xml:space="preserve"> </w:t>
      </w:r>
      <w:r w:rsidR="00280131">
        <w:rPr>
          <w:rFonts w:cs="Arial"/>
          <w:i w:val="0"/>
          <w:snapToGrid w:val="0"/>
          <w:szCs w:val="20"/>
        </w:rPr>
        <w:t xml:space="preserve">about </w:t>
      </w:r>
      <w:r w:rsidR="004A7B8B">
        <w:rPr>
          <w:rFonts w:cs="Arial"/>
          <w:i w:val="0"/>
          <w:snapToGrid w:val="0"/>
          <w:szCs w:val="20"/>
        </w:rPr>
        <w:t>the</w:t>
      </w:r>
      <w:r w:rsidR="003A72FB">
        <w:rPr>
          <w:rFonts w:cs="Arial"/>
          <w:i w:val="0"/>
          <w:snapToGrid w:val="0"/>
          <w:szCs w:val="20"/>
        </w:rPr>
        <w:t xml:space="preserve"> impact vaccinated people may have on those around them</w:t>
      </w:r>
      <w:r w:rsidR="00E67B0F">
        <w:rPr>
          <w:rFonts w:cs="Arial"/>
          <w:i w:val="0"/>
          <w:snapToGrid w:val="0"/>
          <w:szCs w:val="20"/>
        </w:rPr>
        <w:t xml:space="preserve"> and </w:t>
      </w:r>
      <w:r w:rsidR="00BC6BE3">
        <w:rPr>
          <w:rFonts w:cs="Arial"/>
          <w:i w:val="0"/>
          <w:snapToGrid w:val="0"/>
          <w:szCs w:val="20"/>
        </w:rPr>
        <w:t xml:space="preserve">whether some serious health </w:t>
      </w:r>
      <w:r w:rsidR="001E034B">
        <w:rPr>
          <w:rFonts w:cs="Arial"/>
          <w:i w:val="0"/>
          <w:snapToGrid w:val="0"/>
          <w:szCs w:val="20"/>
        </w:rPr>
        <w:t>issues may have been caused by</w:t>
      </w:r>
      <w:r w:rsidR="0092321C">
        <w:rPr>
          <w:rFonts w:cs="Arial"/>
          <w:i w:val="0"/>
          <w:snapToGrid w:val="0"/>
          <w:szCs w:val="20"/>
        </w:rPr>
        <w:t xml:space="preserve"> proximity to</w:t>
      </w:r>
      <w:r w:rsidR="001E034B">
        <w:rPr>
          <w:rFonts w:cs="Arial"/>
          <w:i w:val="0"/>
          <w:snapToGrid w:val="0"/>
          <w:szCs w:val="20"/>
        </w:rPr>
        <w:t xml:space="preserve"> people </w:t>
      </w:r>
      <w:r w:rsidR="0092321C">
        <w:rPr>
          <w:rFonts w:cs="Arial"/>
          <w:i w:val="0"/>
          <w:snapToGrid w:val="0"/>
          <w:szCs w:val="20"/>
        </w:rPr>
        <w:t>who had</w:t>
      </w:r>
      <w:r w:rsidR="001E034B">
        <w:rPr>
          <w:rFonts w:cs="Arial"/>
          <w:i w:val="0"/>
          <w:snapToGrid w:val="0"/>
          <w:szCs w:val="20"/>
        </w:rPr>
        <w:t xml:space="preserve"> been</w:t>
      </w:r>
      <w:r w:rsidR="00E67B0F">
        <w:rPr>
          <w:rFonts w:cs="Arial"/>
          <w:i w:val="0"/>
          <w:snapToGrid w:val="0"/>
          <w:szCs w:val="20"/>
        </w:rPr>
        <w:t xml:space="preserve"> vaccin</w:t>
      </w:r>
      <w:r w:rsidR="001E034B">
        <w:rPr>
          <w:rFonts w:cs="Arial"/>
          <w:i w:val="0"/>
          <w:snapToGrid w:val="0"/>
          <w:szCs w:val="20"/>
        </w:rPr>
        <w:t>at</w:t>
      </w:r>
      <w:r w:rsidR="00E67B0F">
        <w:rPr>
          <w:rFonts w:cs="Arial"/>
          <w:i w:val="0"/>
          <w:snapToGrid w:val="0"/>
          <w:szCs w:val="20"/>
        </w:rPr>
        <w:t>e</w:t>
      </w:r>
      <w:r w:rsidR="001E034B">
        <w:rPr>
          <w:rFonts w:cs="Arial"/>
          <w:i w:val="0"/>
          <w:snapToGrid w:val="0"/>
          <w:szCs w:val="20"/>
        </w:rPr>
        <w:t>d</w:t>
      </w:r>
      <w:r w:rsidR="003A72FB">
        <w:rPr>
          <w:rFonts w:cs="Arial"/>
          <w:i w:val="0"/>
          <w:snapToGrid w:val="0"/>
          <w:szCs w:val="20"/>
        </w:rPr>
        <w:t>.</w:t>
      </w:r>
    </w:p>
    <w:p w14:paraId="3A016EA5" w14:textId="0ED3BFB3" w:rsidR="009A522D" w:rsidRDefault="009A522D" w:rsidP="00B2488E">
      <w:pPr>
        <w:spacing w:before="240" w:line="240" w:lineRule="atLeast"/>
        <w:rPr>
          <w:rFonts w:eastAsia="Calibri" w:cs="Arial"/>
          <w:b/>
          <w:bCs/>
          <w:i w:val="0"/>
          <w:snapToGrid w:val="0"/>
          <w:szCs w:val="20"/>
        </w:rPr>
      </w:pPr>
      <w:r w:rsidRPr="00E171F9">
        <w:rPr>
          <w:rFonts w:eastAsia="Calibri" w:cs="Arial"/>
          <w:b/>
          <w:bCs/>
          <w:i w:val="0"/>
          <w:snapToGrid w:val="0"/>
          <w:szCs w:val="20"/>
        </w:rPr>
        <w:t>Was the material factual in character?</w:t>
      </w:r>
    </w:p>
    <w:p w14:paraId="3AF0D0FC" w14:textId="0AAE2405" w:rsidR="004A7B8B" w:rsidRPr="00B2488E" w:rsidRDefault="00AD6506" w:rsidP="00B2488E">
      <w:pPr>
        <w:pStyle w:val="ACMABodyText"/>
      </w:pPr>
      <w:r w:rsidRPr="00B2488E">
        <w:t xml:space="preserve">In </w:t>
      </w:r>
      <w:r w:rsidR="00322865">
        <w:t>their</w:t>
      </w:r>
      <w:r w:rsidR="00322865" w:rsidRPr="00B2488E">
        <w:t xml:space="preserve"> </w:t>
      </w:r>
      <w:r w:rsidRPr="00B2488E">
        <w:t xml:space="preserve">assertion, </w:t>
      </w:r>
      <w:r w:rsidR="00B34D3D">
        <w:t xml:space="preserve">Dr. </w:t>
      </w:r>
      <w:r w:rsidR="00A76E3A">
        <w:t>B</w:t>
      </w:r>
      <w:r w:rsidRPr="00B2488E">
        <w:t xml:space="preserve"> </w:t>
      </w:r>
      <w:r w:rsidR="004A7B8B" w:rsidRPr="00B2488E">
        <w:t>wa</w:t>
      </w:r>
      <w:r w:rsidRPr="00B2488E">
        <w:t xml:space="preserve">s providing </w:t>
      </w:r>
      <w:r w:rsidR="00322865">
        <w:t>their</w:t>
      </w:r>
      <w:r w:rsidR="00322865" w:rsidRPr="00B2488E">
        <w:t xml:space="preserve"> </w:t>
      </w:r>
      <w:r w:rsidRPr="00B2488E">
        <w:t xml:space="preserve">professional </w:t>
      </w:r>
      <w:r w:rsidR="004A7B8B" w:rsidRPr="00B2488E">
        <w:t>view</w:t>
      </w:r>
      <w:r w:rsidRPr="00B2488E">
        <w:t xml:space="preserve"> to the audience that no </w:t>
      </w:r>
      <w:r w:rsidR="004A7B8B" w:rsidRPr="00B2488E">
        <w:t>information</w:t>
      </w:r>
      <w:r w:rsidRPr="00B2488E">
        <w:t xml:space="preserve"> </w:t>
      </w:r>
      <w:r w:rsidR="004A7B8B" w:rsidRPr="00B2488E">
        <w:t>was</w:t>
      </w:r>
      <w:r w:rsidRPr="00B2488E">
        <w:t xml:space="preserve"> available about </w:t>
      </w:r>
      <w:r w:rsidR="004A7B8B" w:rsidRPr="00B2488E">
        <w:t xml:space="preserve">the risk vaccinated people may pose to </w:t>
      </w:r>
      <w:r w:rsidR="0092321C">
        <w:t>un</w:t>
      </w:r>
      <w:r w:rsidR="004A7B8B" w:rsidRPr="00B2488E">
        <w:t>vaccinated people.</w:t>
      </w:r>
    </w:p>
    <w:p w14:paraId="305A78C3" w14:textId="196EC66D" w:rsidR="001C332B" w:rsidRPr="00B2488E" w:rsidRDefault="004A7B8B" w:rsidP="00B2488E">
      <w:pPr>
        <w:pStyle w:val="ACMABodyText"/>
      </w:pPr>
      <w:r w:rsidRPr="00B2488E">
        <w:t xml:space="preserve">This statement </w:t>
      </w:r>
      <w:r w:rsidR="009A6D2F" w:rsidRPr="00B2488E">
        <w:t>about ‘no information’ i</w:t>
      </w:r>
      <w:r w:rsidRPr="00B2488E">
        <w:t xml:space="preserve">s a re-stating of </w:t>
      </w:r>
      <w:r w:rsidR="00B34D3D">
        <w:t xml:space="preserve">Dr. </w:t>
      </w:r>
      <w:r w:rsidR="00A76E3A">
        <w:t>B</w:t>
      </w:r>
      <w:r w:rsidR="009A6D2F" w:rsidRPr="00B2488E">
        <w:t>’s</w:t>
      </w:r>
      <w:r w:rsidRPr="00B2488E">
        <w:t xml:space="preserve"> previous statement about the lack of information about what happens when C</w:t>
      </w:r>
      <w:r w:rsidR="00CC6CC6">
        <w:t>OVID</w:t>
      </w:r>
      <w:r w:rsidRPr="00B2488E">
        <w:t xml:space="preserve">-19 vaccines are injected into the body, and whether they then exit the body and cause harm to those people nearby. </w:t>
      </w:r>
    </w:p>
    <w:p w14:paraId="6BDF51D0" w14:textId="55D8C682" w:rsidR="009A6D2F" w:rsidRPr="00B2488E" w:rsidRDefault="000B0C93" w:rsidP="009A6D2F">
      <w:pPr>
        <w:pStyle w:val="ACMABodyText"/>
      </w:pPr>
      <w:r>
        <w:t>It is</w:t>
      </w:r>
      <w:r w:rsidR="004A7B8B" w:rsidRPr="00B2488E">
        <w:t xml:space="preserve"> a </w:t>
      </w:r>
      <w:r w:rsidR="0023593F">
        <w:t xml:space="preserve">slightly varied </w:t>
      </w:r>
      <w:r w:rsidR="004A7B8B" w:rsidRPr="00B2488E">
        <w:t>restatement</w:t>
      </w:r>
      <w:r w:rsidR="0023593F">
        <w:t xml:space="preserve"> of statement 10 above</w:t>
      </w:r>
      <w:r w:rsidR="004A7B8B" w:rsidRPr="00B2488E">
        <w:t>.</w:t>
      </w:r>
    </w:p>
    <w:p w14:paraId="289486CE" w14:textId="0FABC91B" w:rsidR="004A7B8B" w:rsidRDefault="0092321C" w:rsidP="008E1829">
      <w:pPr>
        <w:pStyle w:val="ACMABodyText"/>
      </w:pPr>
      <w:r>
        <w:t>For the same reasons explained to support</w:t>
      </w:r>
      <w:r w:rsidR="004A7B8B" w:rsidRPr="00B2488E">
        <w:t xml:space="preserve"> the ACMA’s finding </w:t>
      </w:r>
      <w:r>
        <w:t>that statement 10 above</w:t>
      </w:r>
      <w:r w:rsidR="004A7B8B" w:rsidRPr="00B2488E">
        <w:t xml:space="preserve"> was inaccurate, the ACMA’s finding with respect to </w:t>
      </w:r>
      <w:r w:rsidR="0023593F">
        <w:t>statement 13</w:t>
      </w:r>
      <w:r w:rsidR="004A7B8B" w:rsidRPr="00B2488E">
        <w:t xml:space="preserve"> is that it was</w:t>
      </w:r>
      <w:r w:rsidR="0023593F">
        <w:t xml:space="preserve"> also</w:t>
      </w:r>
      <w:r w:rsidR="004A7B8B" w:rsidRPr="00B2488E">
        <w:t xml:space="preserve"> inaccurate.</w:t>
      </w:r>
    </w:p>
    <w:p w14:paraId="1821AB0B" w14:textId="5EAB759F" w:rsidR="00380F1E" w:rsidRDefault="00380F1E" w:rsidP="008E1829">
      <w:pPr>
        <w:pStyle w:val="ACMABodyText"/>
      </w:pPr>
    </w:p>
    <w:p w14:paraId="72CC508A" w14:textId="233AC109" w:rsidR="00380F1E" w:rsidRDefault="00380F1E">
      <w:pPr>
        <w:spacing w:before="0" w:after="0" w:line="240" w:lineRule="auto"/>
        <w:rPr>
          <w:i w:val="0"/>
          <w:snapToGrid w:val="0"/>
          <w:szCs w:val="20"/>
        </w:rPr>
      </w:pPr>
      <w:r>
        <w:br w:type="page"/>
      </w:r>
    </w:p>
    <w:p w14:paraId="0747E6DE" w14:textId="77777777" w:rsidR="00660069" w:rsidRDefault="00660069" w:rsidP="008E1829">
      <w:pPr>
        <w:pStyle w:val="ACMABodyText"/>
        <w:sectPr w:rsidR="00660069" w:rsidSect="005D0258">
          <w:headerReference w:type="even" r:id="rId15"/>
          <w:footerReference w:type="even" r:id="rId16"/>
          <w:footerReference w:type="default" r:id="rId17"/>
          <w:headerReference w:type="first" r:id="rId18"/>
          <w:footerReference w:type="first" r:id="rId19"/>
          <w:footnotePr>
            <w:numRestart w:val="eachSect"/>
          </w:footnotePr>
          <w:pgSz w:w="11909" w:h="16834" w:code="9"/>
          <w:pgMar w:top="1741" w:right="1797" w:bottom="1418" w:left="1797" w:header="709" w:footer="454" w:gutter="0"/>
          <w:cols w:space="720"/>
          <w:titlePg/>
          <w:docGrid w:linePitch="272"/>
        </w:sectPr>
      </w:pPr>
    </w:p>
    <w:p w14:paraId="3F9EFD7E" w14:textId="12B27DDF" w:rsidR="00FF4948" w:rsidRPr="00FF4948" w:rsidRDefault="00934ECC" w:rsidP="00FF4948">
      <w:pPr>
        <w:pStyle w:val="ACMAHeading2"/>
        <w:pageBreakBefore/>
        <w:spacing w:after="240"/>
        <w:jc w:val="right"/>
      </w:pPr>
      <w:r w:rsidRPr="00934ECC">
        <w:lastRenderedPageBreak/>
        <w:t>Attachment</w:t>
      </w:r>
      <w:r>
        <w:t xml:space="preserve"> A</w:t>
      </w:r>
    </w:p>
    <w:p w14:paraId="1CE9E11F" w14:textId="1AA14173" w:rsidR="004574E5" w:rsidRPr="004574E5" w:rsidRDefault="004574E5" w:rsidP="004574E5">
      <w:pPr>
        <w:pStyle w:val="ACMABodyTextBold"/>
      </w:pPr>
      <w:r>
        <w:t>E</w:t>
      </w:r>
      <w:r w:rsidRPr="00F61594">
        <w:t>xtracts f</w:t>
      </w:r>
      <w:r>
        <w:t>rom</w:t>
      </w:r>
      <w:r w:rsidRPr="00F61594">
        <w:t xml:space="preserve"> </w:t>
      </w:r>
      <w:r>
        <w:t>correspondence with the complainant</w:t>
      </w:r>
      <w:r w:rsidRPr="004574E5">
        <w:t xml:space="preserve"> </w:t>
      </w:r>
    </w:p>
    <w:p w14:paraId="4F7D1FAC" w14:textId="5D3435E2" w:rsidR="00FF4948" w:rsidRDefault="00FF4948" w:rsidP="00FF4948">
      <w:pPr>
        <w:rPr>
          <w:rFonts w:ascii="ABC Sans Nova" w:hAnsi="ABC Sans Nova"/>
        </w:rPr>
      </w:pPr>
      <w:r>
        <w:rPr>
          <w:rFonts w:ascii="ABC Sans Nova" w:hAnsi="ABC Sans Nova"/>
        </w:rPr>
        <w:t xml:space="preserve">There’s a religious channel being broadcast on Foxtel in Australia, </w:t>
      </w:r>
      <w:r w:rsidRPr="008B4A4A">
        <w:rPr>
          <w:rFonts w:ascii="ABC Sans Nova" w:hAnsi="ABC Sans Nova"/>
        </w:rPr>
        <w:t xml:space="preserve">called </w:t>
      </w:r>
      <w:r w:rsidRPr="008B4A4A">
        <w:rPr>
          <w:rFonts w:ascii="ABC Sans Nova" w:hAnsi="ABC Sans Nova" w:hint="eastAsia"/>
        </w:rPr>
        <w:t>‘</w:t>
      </w:r>
      <w:r w:rsidRPr="008B4A4A">
        <w:rPr>
          <w:rFonts w:ascii="ABC Sans Nova" w:hAnsi="ABC Sans Nova"/>
        </w:rPr>
        <w:t>Daystar</w:t>
      </w:r>
      <w:r w:rsidRPr="008B4A4A">
        <w:rPr>
          <w:rFonts w:ascii="ABC Sans Nova" w:hAnsi="ABC Sans Nova" w:hint="eastAsia"/>
        </w:rPr>
        <w:t>’</w:t>
      </w:r>
      <w:r>
        <w:rPr>
          <w:rFonts w:ascii="ABC Sans Nova" w:hAnsi="ABC Sans Nova"/>
        </w:rPr>
        <w:t xml:space="preserve"> which is presenting programs with US based health professionals who advocate against vaccines and the severity of COVID-19.  </w:t>
      </w:r>
    </w:p>
    <w:p w14:paraId="1F40CA79" w14:textId="77777777" w:rsidR="00FF4948" w:rsidRDefault="00FF4948" w:rsidP="00FF4948">
      <w:pPr>
        <w:ind w:left="360"/>
        <w:rPr>
          <w:rFonts w:ascii="ABC Sans Nova" w:hAnsi="ABC Sans Nova"/>
          <w:i w:val="0"/>
          <w:iCs/>
        </w:rPr>
      </w:pPr>
      <w:r>
        <w:rPr>
          <w:rFonts w:ascii="ABC Sans Nova" w:hAnsi="ABC Sans Nova"/>
          <w:iCs/>
        </w:rPr>
        <w:t xml:space="preserve">For example, on Friday September 24, 2021, on the program called ‘Joni table Talk’: </w:t>
      </w:r>
    </w:p>
    <w:p w14:paraId="1E4E4ABB" w14:textId="63DE9C23" w:rsidR="00FF4948" w:rsidRPr="005A31A1" w:rsidRDefault="00FF4948" w:rsidP="00395A85">
      <w:pPr>
        <w:pStyle w:val="ListParagraph"/>
        <w:numPr>
          <w:ilvl w:val="0"/>
          <w:numId w:val="4"/>
        </w:numPr>
        <w:spacing w:after="0" w:line="240" w:lineRule="auto"/>
        <w:ind w:left="1080"/>
        <w:contextualSpacing w:val="0"/>
        <w:rPr>
          <w:rFonts w:ascii="ABC Sans Nova" w:hAnsi="ABC Sans Nova"/>
          <w:i/>
          <w:iCs/>
          <w:sz w:val="20"/>
          <w:szCs w:val="20"/>
        </w:rPr>
      </w:pPr>
      <w:r w:rsidRPr="005A31A1">
        <w:rPr>
          <w:rFonts w:ascii="ABC Sans Nova" w:hAnsi="ABC Sans Nova" w:hint="eastAsia"/>
          <w:i/>
          <w:iCs/>
          <w:sz w:val="20"/>
          <w:szCs w:val="20"/>
        </w:rPr>
        <w:t> </w:t>
      </w:r>
      <w:r w:rsidRPr="005A31A1">
        <w:rPr>
          <w:rFonts w:ascii="ABC Sans Nova" w:hAnsi="ABC Sans Nova"/>
          <w:i/>
          <w:iCs/>
          <w:sz w:val="20"/>
          <w:szCs w:val="20"/>
        </w:rPr>
        <w:t xml:space="preserve">In relation to COVID-19 vaccinations, </w:t>
      </w:r>
      <w:r w:rsidR="005B7D9B">
        <w:rPr>
          <w:rFonts w:ascii="ABC Sans Nova" w:hAnsi="ABC Sans Nova"/>
          <w:i/>
          <w:iCs/>
          <w:sz w:val="20"/>
          <w:szCs w:val="20"/>
        </w:rPr>
        <w:t>[</w:t>
      </w:r>
      <w:r w:rsidR="005B7D9B" w:rsidRPr="0051652B">
        <w:rPr>
          <w:rFonts w:ascii="ABC Sans Nova" w:hAnsi="ABC Sans Nova"/>
          <w:b/>
          <w:bCs/>
          <w:i/>
          <w:iCs/>
          <w:sz w:val="20"/>
          <w:szCs w:val="20"/>
        </w:rPr>
        <w:t xml:space="preserve">Dr. </w:t>
      </w:r>
      <w:r w:rsidR="00A76E3A">
        <w:rPr>
          <w:rFonts w:ascii="ABC Sans Nova" w:hAnsi="ABC Sans Nova"/>
          <w:b/>
          <w:bCs/>
          <w:i/>
          <w:iCs/>
          <w:sz w:val="20"/>
          <w:szCs w:val="20"/>
        </w:rPr>
        <w:t>B</w:t>
      </w:r>
      <w:r w:rsidR="005B7D9B">
        <w:rPr>
          <w:rFonts w:ascii="ABC Sans Nova" w:hAnsi="ABC Sans Nova"/>
          <w:i/>
          <w:iCs/>
          <w:sz w:val="20"/>
          <w:szCs w:val="20"/>
        </w:rPr>
        <w:t xml:space="preserve">] </w:t>
      </w:r>
      <w:r w:rsidRPr="005A31A1">
        <w:rPr>
          <w:rFonts w:ascii="ABC Sans Nova" w:hAnsi="ABC Sans Nova"/>
          <w:i/>
          <w:iCs/>
          <w:sz w:val="20"/>
          <w:szCs w:val="20"/>
        </w:rPr>
        <w:t xml:space="preserve">said: </w:t>
      </w:r>
    </w:p>
    <w:p w14:paraId="3C95AC6B" w14:textId="77777777" w:rsidR="00FF4948" w:rsidRPr="005A31A1" w:rsidRDefault="00FF4948" w:rsidP="007B24CC">
      <w:pPr>
        <w:pStyle w:val="ListParagraph"/>
        <w:numPr>
          <w:ilvl w:val="1"/>
          <w:numId w:val="4"/>
        </w:numPr>
        <w:spacing w:after="0" w:line="240" w:lineRule="auto"/>
        <w:ind w:left="1560"/>
        <w:contextualSpacing w:val="0"/>
        <w:rPr>
          <w:rFonts w:ascii="ABC Sans Nova" w:hAnsi="ABC Sans Nova"/>
          <w:i/>
          <w:iCs/>
          <w:sz w:val="20"/>
          <w:szCs w:val="20"/>
        </w:rPr>
      </w:pPr>
      <w:r w:rsidRPr="005A31A1">
        <w:rPr>
          <w:rFonts w:ascii="ABC Sans Nova" w:hAnsi="ABC Sans Nova" w:hint="eastAsia"/>
          <w:i/>
          <w:iCs/>
          <w:sz w:val="20"/>
          <w:szCs w:val="20"/>
        </w:rPr>
        <w:t>“</w:t>
      </w:r>
      <w:r w:rsidRPr="005A31A1">
        <w:rPr>
          <w:rFonts w:ascii="ABC Sans Nova" w:hAnsi="ABC Sans Nova"/>
          <w:i/>
          <w:iCs/>
          <w:sz w:val="20"/>
          <w:szCs w:val="20"/>
        </w:rPr>
        <w:t>Gifting children this shot is child abuse</w:t>
      </w:r>
      <w:r w:rsidRPr="005A31A1">
        <w:rPr>
          <w:rFonts w:ascii="ABC Sans Nova" w:hAnsi="ABC Sans Nova" w:hint="eastAsia"/>
          <w:i/>
          <w:iCs/>
          <w:sz w:val="20"/>
          <w:szCs w:val="20"/>
        </w:rPr>
        <w:t>”</w:t>
      </w:r>
    </w:p>
    <w:p w14:paraId="55045F75" w14:textId="77777777" w:rsidR="00FF4948" w:rsidRPr="005A31A1" w:rsidRDefault="00FF4948" w:rsidP="007B24CC">
      <w:pPr>
        <w:pStyle w:val="ListParagraph"/>
        <w:numPr>
          <w:ilvl w:val="1"/>
          <w:numId w:val="4"/>
        </w:numPr>
        <w:spacing w:after="0" w:line="240" w:lineRule="auto"/>
        <w:ind w:left="1560"/>
        <w:contextualSpacing w:val="0"/>
        <w:rPr>
          <w:rFonts w:ascii="ABC Sans Nova" w:hAnsi="ABC Sans Nova"/>
          <w:i/>
          <w:iCs/>
          <w:sz w:val="20"/>
          <w:szCs w:val="20"/>
        </w:rPr>
      </w:pPr>
      <w:r w:rsidRPr="005A31A1">
        <w:rPr>
          <w:rFonts w:ascii="ABC Sans Nova" w:hAnsi="ABC Sans Nova" w:hint="eastAsia"/>
          <w:i/>
          <w:iCs/>
          <w:sz w:val="20"/>
          <w:szCs w:val="20"/>
        </w:rPr>
        <w:t>“</w:t>
      </w:r>
      <w:r w:rsidRPr="005A31A1">
        <w:rPr>
          <w:rFonts w:ascii="ABC Sans Nova" w:hAnsi="ABC Sans Nova"/>
          <w:i/>
          <w:iCs/>
          <w:sz w:val="20"/>
          <w:szCs w:val="20"/>
        </w:rPr>
        <w:t>It has chemicals inside that will lead to infertility</w:t>
      </w:r>
      <w:r w:rsidRPr="005A31A1">
        <w:rPr>
          <w:rFonts w:ascii="ABC Sans Nova" w:hAnsi="ABC Sans Nova" w:hint="eastAsia"/>
          <w:i/>
          <w:iCs/>
          <w:sz w:val="20"/>
          <w:szCs w:val="20"/>
        </w:rPr>
        <w:t>…</w:t>
      </w:r>
      <w:r w:rsidRPr="005A31A1">
        <w:rPr>
          <w:rFonts w:ascii="ABC Sans Nova" w:hAnsi="ABC Sans Nova"/>
          <w:i/>
          <w:iCs/>
          <w:sz w:val="20"/>
          <w:szCs w:val="20"/>
        </w:rPr>
        <w:t xml:space="preserve"> and leads to miscarriages</w:t>
      </w:r>
      <w:r w:rsidRPr="005A31A1">
        <w:rPr>
          <w:rFonts w:ascii="ABC Sans Nova" w:hAnsi="ABC Sans Nova" w:hint="eastAsia"/>
          <w:i/>
          <w:iCs/>
          <w:sz w:val="20"/>
          <w:szCs w:val="20"/>
        </w:rPr>
        <w:t>”</w:t>
      </w:r>
    </w:p>
    <w:p w14:paraId="23CEFC7F" w14:textId="2FA39BCA" w:rsidR="00FF4948" w:rsidRPr="005A31A1" w:rsidRDefault="00FF4948" w:rsidP="007B24CC">
      <w:pPr>
        <w:pStyle w:val="ListParagraph"/>
        <w:numPr>
          <w:ilvl w:val="1"/>
          <w:numId w:val="4"/>
        </w:numPr>
        <w:spacing w:after="0" w:line="240" w:lineRule="auto"/>
        <w:ind w:left="1560"/>
        <w:contextualSpacing w:val="0"/>
        <w:rPr>
          <w:rFonts w:ascii="ABC Sans Nova" w:hAnsi="ABC Sans Nova"/>
          <w:i/>
          <w:iCs/>
          <w:sz w:val="20"/>
          <w:szCs w:val="20"/>
        </w:rPr>
      </w:pPr>
      <w:r w:rsidRPr="005A31A1">
        <w:rPr>
          <w:rFonts w:ascii="ABC Sans Nova" w:hAnsi="ABC Sans Nova" w:hint="eastAsia"/>
          <w:i/>
          <w:iCs/>
          <w:sz w:val="20"/>
          <w:szCs w:val="20"/>
        </w:rPr>
        <w:t>“</w:t>
      </w:r>
      <w:r w:rsidRPr="005A31A1">
        <w:rPr>
          <w:rFonts w:ascii="ABC Sans Nova" w:hAnsi="ABC Sans Nova"/>
          <w:i/>
          <w:iCs/>
          <w:sz w:val="20"/>
          <w:szCs w:val="20"/>
        </w:rPr>
        <w:t>We</w:t>
      </w:r>
      <w:r w:rsidR="007B24CC">
        <w:rPr>
          <w:rFonts w:ascii="ABC Sans Nova" w:hAnsi="ABC Sans Nova"/>
          <w:i/>
          <w:iCs/>
          <w:sz w:val="20"/>
          <w:szCs w:val="20"/>
        </w:rPr>
        <w:t>’</w:t>
      </w:r>
      <w:r w:rsidRPr="005A31A1">
        <w:rPr>
          <w:rFonts w:ascii="ABC Sans Nova" w:hAnsi="ABC Sans Nova"/>
          <w:i/>
          <w:iCs/>
          <w:sz w:val="20"/>
          <w:szCs w:val="20"/>
        </w:rPr>
        <w:t>ve seen a 400% increase in miscarriage</w:t>
      </w:r>
      <w:r w:rsidRPr="005A31A1">
        <w:rPr>
          <w:rFonts w:ascii="ABC Sans Nova" w:hAnsi="ABC Sans Nova" w:hint="eastAsia"/>
          <w:i/>
          <w:iCs/>
          <w:sz w:val="20"/>
          <w:szCs w:val="20"/>
        </w:rPr>
        <w:t>…</w:t>
      </w:r>
      <w:r w:rsidRPr="005A31A1">
        <w:rPr>
          <w:rFonts w:ascii="ABC Sans Nova" w:hAnsi="ABC Sans Nova"/>
          <w:i/>
          <w:iCs/>
          <w:sz w:val="20"/>
          <w:szCs w:val="20"/>
        </w:rPr>
        <w:t xml:space="preserve"> not a miscarriage, it</w:t>
      </w:r>
      <w:r w:rsidRPr="005A31A1">
        <w:rPr>
          <w:rFonts w:ascii="ABC Sans Nova" w:hAnsi="ABC Sans Nova" w:hint="eastAsia"/>
          <w:i/>
          <w:iCs/>
          <w:sz w:val="20"/>
          <w:szCs w:val="20"/>
        </w:rPr>
        <w:t>’</w:t>
      </w:r>
      <w:r w:rsidRPr="005A31A1">
        <w:rPr>
          <w:rFonts w:ascii="ABC Sans Nova" w:hAnsi="ABC Sans Nova"/>
          <w:i/>
          <w:iCs/>
          <w:sz w:val="20"/>
          <w:szCs w:val="20"/>
        </w:rPr>
        <w:t>s murder.</w:t>
      </w:r>
      <w:r w:rsidRPr="005A31A1">
        <w:rPr>
          <w:rFonts w:ascii="ABC Sans Nova" w:hAnsi="ABC Sans Nova" w:hint="eastAsia"/>
          <w:i/>
          <w:iCs/>
          <w:sz w:val="20"/>
          <w:szCs w:val="20"/>
        </w:rPr>
        <w:t>”</w:t>
      </w:r>
    </w:p>
    <w:p w14:paraId="56B96AAE" w14:textId="3AAE905B" w:rsidR="00FF4948" w:rsidRPr="005A31A1" w:rsidRDefault="00FF4948" w:rsidP="007B24CC">
      <w:pPr>
        <w:pStyle w:val="ListParagraph"/>
        <w:numPr>
          <w:ilvl w:val="1"/>
          <w:numId w:val="4"/>
        </w:numPr>
        <w:spacing w:after="0" w:line="240" w:lineRule="auto"/>
        <w:ind w:left="1560"/>
        <w:contextualSpacing w:val="0"/>
        <w:rPr>
          <w:rFonts w:ascii="ABC Sans Nova" w:hAnsi="ABC Sans Nova"/>
          <w:i/>
          <w:iCs/>
          <w:sz w:val="20"/>
          <w:szCs w:val="20"/>
        </w:rPr>
      </w:pPr>
      <w:r w:rsidRPr="005A31A1">
        <w:rPr>
          <w:rFonts w:ascii="ABC Sans Nova" w:hAnsi="ABC Sans Nova" w:hint="eastAsia"/>
          <w:i/>
          <w:iCs/>
          <w:sz w:val="20"/>
          <w:szCs w:val="20"/>
        </w:rPr>
        <w:t>“</w:t>
      </w:r>
      <w:r w:rsidRPr="005A31A1">
        <w:rPr>
          <w:rFonts w:ascii="ABC Sans Nova" w:hAnsi="ABC Sans Nova"/>
          <w:i/>
          <w:iCs/>
          <w:sz w:val="20"/>
          <w:szCs w:val="20"/>
        </w:rPr>
        <w:t>No one has studied the shot to see what happens to it when it</w:t>
      </w:r>
      <w:r w:rsidR="007B24CC">
        <w:rPr>
          <w:rFonts w:ascii="ABC Sans Nova" w:hAnsi="ABC Sans Nova"/>
          <w:i/>
          <w:iCs/>
          <w:sz w:val="20"/>
          <w:szCs w:val="20"/>
        </w:rPr>
        <w:t>’</w:t>
      </w:r>
      <w:r w:rsidRPr="005A31A1">
        <w:rPr>
          <w:rFonts w:ascii="ABC Sans Nova" w:hAnsi="ABC Sans Nova"/>
          <w:i/>
          <w:iCs/>
          <w:sz w:val="20"/>
          <w:szCs w:val="20"/>
        </w:rPr>
        <w:t>s injected into the body</w:t>
      </w:r>
      <w:r w:rsidRPr="005A31A1">
        <w:rPr>
          <w:rFonts w:ascii="ABC Sans Nova" w:hAnsi="ABC Sans Nova" w:hint="eastAsia"/>
          <w:i/>
          <w:iCs/>
          <w:sz w:val="20"/>
          <w:szCs w:val="20"/>
        </w:rPr>
        <w:t>”</w:t>
      </w:r>
    </w:p>
    <w:p w14:paraId="223E672F" w14:textId="77777777" w:rsidR="00FF4948" w:rsidRPr="005A31A1" w:rsidRDefault="00FF4948" w:rsidP="007B24CC">
      <w:pPr>
        <w:pStyle w:val="ListParagraph"/>
        <w:numPr>
          <w:ilvl w:val="1"/>
          <w:numId w:val="4"/>
        </w:numPr>
        <w:spacing w:after="0" w:line="240" w:lineRule="auto"/>
        <w:ind w:left="1560"/>
        <w:contextualSpacing w:val="0"/>
        <w:rPr>
          <w:rFonts w:ascii="ABC Sans Nova" w:hAnsi="ABC Sans Nova"/>
          <w:i/>
          <w:iCs/>
          <w:sz w:val="20"/>
          <w:szCs w:val="20"/>
        </w:rPr>
      </w:pPr>
      <w:r w:rsidRPr="005A31A1">
        <w:rPr>
          <w:rFonts w:ascii="ABC Sans Nova" w:hAnsi="ABC Sans Nova" w:hint="eastAsia"/>
          <w:i/>
          <w:iCs/>
          <w:sz w:val="20"/>
          <w:szCs w:val="20"/>
        </w:rPr>
        <w:t>“</w:t>
      </w:r>
      <w:r w:rsidRPr="005A31A1">
        <w:rPr>
          <w:rFonts w:ascii="ABC Sans Nova" w:hAnsi="ABC Sans Nova"/>
          <w:i/>
          <w:iCs/>
          <w:sz w:val="20"/>
          <w:szCs w:val="20"/>
        </w:rPr>
        <w:t>We are seeing women who are in menopause beginning to bleed</w:t>
      </w:r>
      <w:r w:rsidRPr="005A31A1">
        <w:rPr>
          <w:rFonts w:ascii="ABC Sans Nova" w:hAnsi="ABC Sans Nova" w:hint="eastAsia"/>
          <w:i/>
          <w:iCs/>
          <w:sz w:val="20"/>
          <w:szCs w:val="20"/>
        </w:rPr>
        <w:t>”</w:t>
      </w:r>
    </w:p>
    <w:p w14:paraId="4F0944F9" w14:textId="6C749CE2" w:rsidR="00FF4948" w:rsidRPr="005A31A1" w:rsidRDefault="00FF4948" w:rsidP="007B24CC">
      <w:pPr>
        <w:pStyle w:val="ListParagraph"/>
        <w:numPr>
          <w:ilvl w:val="1"/>
          <w:numId w:val="4"/>
        </w:numPr>
        <w:spacing w:after="0" w:line="240" w:lineRule="auto"/>
        <w:ind w:left="1560"/>
        <w:contextualSpacing w:val="0"/>
        <w:rPr>
          <w:rFonts w:ascii="ABC Sans Nova" w:hAnsi="ABC Sans Nova"/>
          <w:i/>
          <w:iCs/>
          <w:sz w:val="20"/>
          <w:szCs w:val="20"/>
        </w:rPr>
      </w:pPr>
      <w:r w:rsidRPr="005A31A1">
        <w:rPr>
          <w:rFonts w:ascii="ABC Sans Nova" w:hAnsi="ABC Sans Nova" w:hint="eastAsia"/>
          <w:i/>
          <w:iCs/>
          <w:sz w:val="20"/>
          <w:szCs w:val="20"/>
        </w:rPr>
        <w:t>“</w:t>
      </w:r>
      <w:r w:rsidRPr="005A31A1">
        <w:rPr>
          <w:rFonts w:ascii="ABC Sans Nova" w:hAnsi="ABC Sans Nova"/>
          <w:i/>
          <w:iCs/>
          <w:sz w:val="20"/>
          <w:szCs w:val="20"/>
        </w:rPr>
        <w:t>We are seeing women with regular period getting heavy bleeds and blood clot</w:t>
      </w:r>
      <w:r w:rsidRPr="005A31A1">
        <w:rPr>
          <w:rFonts w:ascii="ABC Sans Nova" w:hAnsi="ABC Sans Nova" w:hint="eastAsia"/>
          <w:i/>
          <w:iCs/>
          <w:sz w:val="20"/>
          <w:szCs w:val="20"/>
        </w:rPr>
        <w:t>”</w:t>
      </w:r>
    </w:p>
    <w:p w14:paraId="31A7E890" w14:textId="77777777" w:rsidR="00FF4948" w:rsidRPr="005A31A1" w:rsidRDefault="00FF4948" w:rsidP="007B24CC">
      <w:pPr>
        <w:pStyle w:val="ListParagraph"/>
        <w:numPr>
          <w:ilvl w:val="1"/>
          <w:numId w:val="4"/>
        </w:numPr>
        <w:spacing w:after="0" w:line="240" w:lineRule="auto"/>
        <w:ind w:left="1560"/>
        <w:contextualSpacing w:val="0"/>
        <w:rPr>
          <w:rFonts w:ascii="ABC Sans Nova" w:hAnsi="ABC Sans Nova"/>
          <w:i/>
          <w:iCs/>
          <w:sz w:val="20"/>
          <w:szCs w:val="20"/>
        </w:rPr>
      </w:pPr>
      <w:r w:rsidRPr="005A31A1">
        <w:rPr>
          <w:rFonts w:ascii="ABC Sans Nova" w:hAnsi="ABC Sans Nova" w:hint="eastAsia"/>
          <w:i/>
          <w:iCs/>
          <w:sz w:val="20"/>
          <w:szCs w:val="20"/>
        </w:rPr>
        <w:t>“</w:t>
      </w:r>
      <w:r w:rsidRPr="005A31A1">
        <w:rPr>
          <w:rFonts w:ascii="ABC Sans Nova" w:hAnsi="ABC Sans Nova"/>
          <w:i/>
          <w:iCs/>
          <w:sz w:val="20"/>
          <w:szCs w:val="20"/>
        </w:rPr>
        <w:t>We have no information about the shot</w:t>
      </w:r>
      <w:r w:rsidRPr="005A31A1">
        <w:rPr>
          <w:rFonts w:ascii="ABC Sans Nova" w:hAnsi="ABC Sans Nova" w:hint="eastAsia"/>
          <w:i/>
          <w:iCs/>
          <w:sz w:val="20"/>
          <w:szCs w:val="20"/>
        </w:rPr>
        <w:t>”</w:t>
      </w:r>
    </w:p>
    <w:p w14:paraId="1C22DD92" w14:textId="77777777" w:rsidR="00FF4948" w:rsidRPr="00FB49BE" w:rsidRDefault="00FF4948" w:rsidP="00FF4948">
      <w:pPr>
        <w:ind w:left="360"/>
        <w:rPr>
          <w:rFonts w:ascii="ABC Sans Nova" w:hAnsi="ABC Sans Nova"/>
          <w:i w:val="0"/>
          <w:iCs/>
          <w:szCs w:val="20"/>
        </w:rPr>
      </w:pPr>
      <w:r w:rsidRPr="007D2644">
        <w:rPr>
          <w:rFonts w:ascii="ABC Sans Nova" w:hAnsi="ABC Sans Nova"/>
          <w:iCs/>
          <w:szCs w:val="20"/>
        </w:rPr>
        <w:t>On September 1, 2021 on a program called ‘Ministry Now’:</w:t>
      </w:r>
    </w:p>
    <w:p w14:paraId="5064A04C" w14:textId="4BCF82EA" w:rsidR="00FF4948" w:rsidRPr="005A31A1" w:rsidRDefault="00FF4948" w:rsidP="00395A85">
      <w:pPr>
        <w:pStyle w:val="ListParagraph"/>
        <w:numPr>
          <w:ilvl w:val="0"/>
          <w:numId w:val="4"/>
        </w:numPr>
        <w:spacing w:after="0" w:line="240" w:lineRule="auto"/>
        <w:ind w:left="1080"/>
        <w:contextualSpacing w:val="0"/>
        <w:rPr>
          <w:rFonts w:ascii="ABC Sans Nova" w:hAnsi="ABC Sans Nova"/>
          <w:i/>
          <w:iCs/>
          <w:sz w:val="20"/>
          <w:szCs w:val="20"/>
        </w:rPr>
      </w:pPr>
      <w:r w:rsidRPr="005A31A1">
        <w:rPr>
          <w:rFonts w:ascii="ABC Sans Nova" w:hAnsi="ABC Sans Nova"/>
          <w:i/>
          <w:iCs/>
          <w:sz w:val="20"/>
          <w:szCs w:val="20"/>
        </w:rPr>
        <w:t>On the use of the widely discredited drug Ivermectin</w:t>
      </w:r>
      <w:r w:rsidRPr="005A31A1">
        <w:rPr>
          <w:rFonts w:ascii="ABC Sans Nova" w:hAnsi="ABC Sans Nova"/>
          <w:b/>
          <w:bCs/>
          <w:i/>
          <w:iCs/>
          <w:sz w:val="20"/>
          <w:szCs w:val="20"/>
        </w:rPr>
        <w:t xml:space="preserve">, </w:t>
      </w:r>
      <w:r w:rsidR="005B7D9B">
        <w:rPr>
          <w:rFonts w:ascii="ABC Sans Nova" w:hAnsi="ABC Sans Nova"/>
          <w:i/>
          <w:iCs/>
          <w:sz w:val="20"/>
          <w:szCs w:val="20"/>
        </w:rPr>
        <w:t>[</w:t>
      </w:r>
      <w:r w:rsidR="005B7D9B" w:rsidRPr="0051652B">
        <w:rPr>
          <w:rFonts w:ascii="ABC Sans Nova" w:hAnsi="ABC Sans Nova"/>
          <w:b/>
          <w:bCs/>
          <w:i/>
          <w:iCs/>
          <w:sz w:val="20"/>
          <w:szCs w:val="20"/>
        </w:rPr>
        <w:t xml:space="preserve">Dr. </w:t>
      </w:r>
      <w:r w:rsidR="00A76E3A">
        <w:rPr>
          <w:rFonts w:ascii="ABC Sans Nova" w:hAnsi="ABC Sans Nova"/>
          <w:b/>
          <w:bCs/>
          <w:i/>
          <w:iCs/>
          <w:sz w:val="20"/>
          <w:szCs w:val="20"/>
        </w:rPr>
        <w:t>A</w:t>
      </w:r>
      <w:r w:rsidR="005B7D9B">
        <w:rPr>
          <w:rFonts w:ascii="ABC Sans Nova" w:hAnsi="ABC Sans Nova"/>
          <w:i/>
          <w:iCs/>
          <w:sz w:val="20"/>
          <w:szCs w:val="20"/>
        </w:rPr>
        <w:t xml:space="preserve">] </w:t>
      </w:r>
      <w:r w:rsidRPr="005A31A1">
        <w:rPr>
          <w:rFonts w:ascii="ABC Sans Nova" w:hAnsi="ABC Sans Nova"/>
          <w:i/>
          <w:iCs/>
          <w:sz w:val="20"/>
          <w:szCs w:val="20"/>
        </w:rPr>
        <w:t>said:</w:t>
      </w:r>
    </w:p>
    <w:p w14:paraId="3F665F8C" w14:textId="77777777" w:rsidR="00FF4948" w:rsidRPr="005A31A1" w:rsidRDefault="00FF4948" w:rsidP="007B24CC">
      <w:pPr>
        <w:pStyle w:val="ListParagraph"/>
        <w:numPr>
          <w:ilvl w:val="1"/>
          <w:numId w:val="4"/>
        </w:numPr>
        <w:spacing w:after="0" w:line="240" w:lineRule="auto"/>
        <w:ind w:left="1560"/>
        <w:contextualSpacing w:val="0"/>
        <w:rPr>
          <w:rFonts w:ascii="ABC Sans Nova" w:hAnsi="ABC Sans Nova"/>
          <w:i/>
          <w:iCs/>
          <w:sz w:val="20"/>
          <w:szCs w:val="20"/>
        </w:rPr>
      </w:pPr>
      <w:r w:rsidRPr="005A31A1">
        <w:rPr>
          <w:rFonts w:ascii="ABC Sans Nova" w:hAnsi="ABC Sans Nova" w:hint="eastAsia"/>
          <w:i/>
          <w:iCs/>
          <w:sz w:val="20"/>
          <w:szCs w:val="20"/>
        </w:rPr>
        <w:t>“</w:t>
      </w:r>
      <w:r w:rsidRPr="005A31A1">
        <w:rPr>
          <w:rFonts w:ascii="ABC Sans Nova" w:hAnsi="ABC Sans Nova"/>
          <w:i/>
          <w:iCs/>
          <w:sz w:val="20"/>
          <w:szCs w:val="20"/>
        </w:rPr>
        <w:t>This is a very safe drug. Safer than aspirin, safer than Tylenol.</w:t>
      </w:r>
      <w:r w:rsidRPr="005A31A1">
        <w:rPr>
          <w:rFonts w:ascii="ABC Sans Nova" w:hAnsi="ABC Sans Nova" w:hint="eastAsia"/>
          <w:i/>
          <w:iCs/>
          <w:sz w:val="20"/>
          <w:szCs w:val="20"/>
        </w:rPr>
        <w:t>”</w:t>
      </w:r>
    </w:p>
    <w:p w14:paraId="556C5E4B" w14:textId="77777777" w:rsidR="00FF4948" w:rsidRPr="005A31A1" w:rsidRDefault="00FF4948" w:rsidP="007B24CC">
      <w:pPr>
        <w:pStyle w:val="ListParagraph"/>
        <w:numPr>
          <w:ilvl w:val="1"/>
          <w:numId w:val="4"/>
        </w:numPr>
        <w:spacing w:after="0" w:line="240" w:lineRule="auto"/>
        <w:ind w:left="1560"/>
        <w:contextualSpacing w:val="0"/>
        <w:rPr>
          <w:rFonts w:ascii="ABC Sans Nova" w:hAnsi="ABC Sans Nova"/>
          <w:i/>
          <w:iCs/>
          <w:sz w:val="20"/>
          <w:szCs w:val="20"/>
        </w:rPr>
      </w:pPr>
      <w:r w:rsidRPr="005A31A1">
        <w:rPr>
          <w:rFonts w:ascii="ABC Sans Nova" w:hAnsi="ABC Sans Nova" w:hint="eastAsia"/>
          <w:i/>
          <w:iCs/>
          <w:sz w:val="20"/>
          <w:szCs w:val="20"/>
        </w:rPr>
        <w:t>“</w:t>
      </w:r>
      <w:r w:rsidRPr="005A31A1">
        <w:rPr>
          <w:rFonts w:ascii="ABC Sans Nova" w:hAnsi="ABC Sans Nova"/>
          <w:i/>
          <w:iCs/>
          <w:sz w:val="20"/>
          <w:szCs w:val="20"/>
        </w:rPr>
        <w:t>Four billion doses given, 12 to 16 adverse outcomes out of four billion.</w:t>
      </w:r>
      <w:r w:rsidRPr="005A31A1">
        <w:rPr>
          <w:rFonts w:ascii="ABC Sans Nova" w:hAnsi="ABC Sans Nova" w:hint="eastAsia"/>
          <w:i/>
          <w:iCs/>
          <w:sz w:val="20"/>
          <w:szCs w:val="20"/>
        </w:rPr>
        <w:t>”</w:t>
      </w:r>
    </w:p>
    <w:p w14:paraId="396A3452" w14:textId="77777777" w:rsidR="00FF4948" w:rsidRPr="005A31A1" w:rsidRDefault="00FF4948" w:rsidP="007B24CC">
      <w:pPr>
        <w:pStyle w:val="ListParagraph"/>
        <w:numPr>
          <w:ilvl w:val="1"/>
          <w:numId w:val="4"/>
        </w:numPr>
        <w:spacing w:after="0" w:line="240" w:lineRule="auto"/>
        <w:ind w:left="1560"/>
        <w:contextualSpacing w:val="0"/>
        <w:rPr>
          <w:rFonts w:ascii="ABC Sans Nova" w:hAnsi="ABC Sans Nova"/>
          <w:i/>
          <w:iCs/>
          <w:sz w:val="20"/>
          <w:szCs w:val="20"/>
        </w:rPr>
      </w:pPr>
      <w:r w:rsidRPr="005A31A1">
        <w:rPr>
          <w:rFonts w:ascii="ABC Sans Nova" w:hAnsi="ABC Sans Nova" w:hint="eastAsia"/>
          <w:i/>
          <w:iCs/>
          <w:sz w:val="20"/>
          <w:szCs w:val="20"/>
        </w:rPr>
        <w:t>“</w:t>
      </w:r>
      <w:r w:rsidRPr="005A31A1">
        <w:rPr>
          <w:rFonts w:ascii="ABC Sans Nova" w:hAnsi="ABC Sans Nova"/>
          <w:i/>
          <w:iCs/>
          <w:sz w:val="20"/>
          <w:szCs w:val="20"/>
        </w:rPr>
        <w:t>Covid is</w:t>
      </w:r>
      <w:r w:rsidRPr="005A31A1">
        <w:rPr>
          <w:rFonts w:ascii="ABC Sans Nova" w:hAnsi="ABC Sans Nova" w:hint="eastAsia"/>
          <w:i/>
          <w:iCs/>
          <w:sz w:val="20"/>
          <w:szCs w:val="20"/>
        </w:rPr>
        <w:t>…</w:t>
      </w:r>
      <w:r w:rsidRPr="005A31A1">
        <w:rPr>
          <w:rFonts w:ascii="ABC Sans Nova" w:hAnsi="ABC Sans Nova"/>
          <w:i/>
          <w:iCs/>
          <w:sz w:val="20"/>
          <w:szCs w:val="20"/>
        </w:rPr>
        <w:t xml:space="preserve"> a clotting disease. The wonderful thing about Ivermectin is it helps as an anti-clotter.</w:t>
      </w:r>
      <w:r w:rsidRPr="005A31A1">
        <w:rPr>
          <w:rFonts w:ascii="ABC Sans Nova" w:hAnsi="ABC Sans Nova" w:hint="eastAsia"/>
          <w:i/>
          <w:iCs/>
          <w:sz w:val="20"/>
          <w:szCs w:val="20"/>
        </w:rPr>
        <w:t>”</w:t>
      </w:r>
    </w:p>
    <w:p w14:paraId="74935BF0" w14:textId="3D5F3460" w:rsidR="00FF4948" w:rsidRPr="005A31A1" w:rsidRDefault="00FF4948" w:rsidP="00395A85">
      <w:pPr>
        <w:pStyle w:val="ListParagraph"/>
        <w:numPr>
          <w:ilvl w:val="0"/>
          <w:numId w:val="4"/>
        </w:numPr>
        <w:spacing w:after="0" w:line="240" w:lineRule="auto"/>
        <w:ind w:left="1080"/>
        <w:contextualSpacing w:val="0"/>
        <w:rPr>
          <w:rFonts w:ascii="ABC Sans Nova" w:hAnsi="ABC Sans Nova"/>
          <w:i/>
          <w:iCs/>
          <w:sz w:val="20"/>
          <w:szCs w:val="20"/>
        </w:rPr>
      </w:pPr>
      <w:r w:rsidRPr="005A31A1">
        <w:rPr>
          <w:rFonts w:ascii="ABC Sans Nova" w:hAnsi="ABC Sans Nova"/>
          <w:i/>
          <w:iCs/>
          <w:sz w:val="20"/>
          <w:szCs w:val="20"/>
        </w:rPr>
        <w:t xml:space="preserve">On the use of Ivermectin, </w:t>
      </w:r>
      <w:r w:rsidR="005B7D9B">
        <w:rPr>
          <w:rFonts w:ascii="ABC Sans Nova" w:hAnsi="ABC Sans Nova"/>
          <w:b/>
          <w:bCs/>
          <w:i/>
          <w:iCs/>
          <w:sz w:val="20"/>
          <w:szCs w:val="20"/>
        </w:rPr>
        <w:t>[</w:t>
      </w:r>
      <w:r w:rsidR="00644E33">
        <w:rPr>
          <w:rFonts w:ascii="ABC Sans Nova" w:hAnsi="ABC Sans Nova"/>
          <w:b/>
          <w:bCs/>
          <w:i/>
          <w:iCs/>
          <w:sz w:val="20"/>
          <w:szCs w:val="20"/>
        </w:rPr>
        <w:t>Host</w:t>
      </w:r>
      <w:r w:rsidR="0051652B">
        <w:rPr>
          <w:rFonts w:ascii="ABC Sans Nova" w:hAnsi="ABC Sans Nova"/>
          <w:b/>
          <w:bCs/>
          <w:i/>
          <w:iCs/>
          <w:sz w:val="20"/>
          <w:szCs w:val="20"/>
        </w:rPr>
        <w:t xml:space="preserve"> </w:t>
      </w:r>
      <w:r w:rsidR="00A76E3A">
        <w:rPr>
          <w:rFonts w:ascii="ABC Sans Nova" w:hAnsi="ABC Sans Nova"/>
          <w:b/>
          <w:bCs/>
          <w:i/>
          <w:iCs/>
          <w:sz w:val="20"/>
          <w:szCs w:val="20"/>
        </w:rPr>
        <w:t>1</w:t>
      </w:r>
      <w:r w:rsidR="005B7D9B">
        <w:rPr>
          <w:rFonts w:ascii="ABC Sans Nova" w:hAnsi="ABC Sans Nova"/>
          <w:b/>
          <w:bCs/>
          <w:i/>
          <w:iCs/>
          <w:sz w:val="20"/>
          <w:szCs w:val="20"/>
        </w:rPr>
        <w:t>]</w:t>
      </w:r>
      <w:r w:rsidRPr="005A31A1">
        <w:rPr>
          <w:rFonts w:ascii="ABC Sans Nova" w:hAnsi="ABC Sans Nova"/>
          <w:i/>
          <w:iCs/>
          <w:sz w:val="20"/>
          <w:szCs w:val="20"/>
        </w:rPr>
        <w:t xml:space="preserve"> said: </w:t>
      </w:r>
    </w:p>
    <w:p w14:paraId="543AF54E" w14:textId="77F00644" w:rsidR="00FF4948" w:rsidRPr="005A31A1" w:rsidRDefault="007B24CC" w:rsidP="007B24CC">
      <w:pPr>
        <w:pStyle w:val="ListParagraph"/>
        <w:numPr>
          <w:ilvl w:val="1"/>
          <w:numId w:val="4"/>
        </w:numPr>
        <w:spacing w:after="0" w:line="240" w:lineRule="auto"/>
        <w:ind w:left="1560"/>
        <w:contextualSpacing w:val="0"/>
        <w:rPr>
          <w:rFonts w:ascii="ABC Sans Nova" w:hAnsi="ABC Sans Nova"/>
          <w:i/>
          <w:iCs/>
          <w:sz w:val="20"/>
          <w:szCs w:val="20"/>
        </w:rPr>
      </w:pPr>
      <w:r>
        <w:rPr>
          <w:rFonts w:ascii="ABC Sans Nova" w:hAnsi="ABC Sans Nova"/>
          <w:i/>
          <w:iCs/>
          <w:sz w:val="20"/>
          <w:szCs w:val="20"/>
        </w:rPr>
        <w:t>“</w:t>
      </w:r>
      <w:r w:rsidR="005B7D9B">
        <w:rPr>
          <w:rFonts w:ascii="ABC Sans Nova" w:hAnsi="ABC Sans Nova"/>
          <w:i/>
          <w:iCs/>
          <w:sz w:val="20"/>
          <w:szCs w:val="20"/>
        </w:rPr>
        <w:t>[</w:t>
      </w:r>
      <w:r w:rsidR="00E53166">
        <w:rPr>
          <w:rFonts w:ascii="ABC Sans Nova" w:hAnsi="ABC Sans Nova"/>
          <w:i/>
          <w:iCs/>
          <w:sz w:val="20"/>
          <w:szCs w:val="20"/>
        </w:rPr>
        <w:t>We]</w:t>
      </w:r>
      <w:r w:rsidR="00FF4948" w:rsidRPr="005A31A1">
        <w:rPr>
          <w:rFonts w:ascii="ABC Sans Nova" w:hAnsi="ABC Sans Nova"/>
          <w:i/>
          <w:iCs/>
          <w:sz w:val="20"/>
          <w:szCs w:val="20"/>
        </w:rPr>
        <w:t xml:space="preserve"> have been taking ivermectin and hydroxychloroquine and Zinc, and we have not gotten Covid.</w:t>
      </w:r>
      <w:r w:rsidR="00FF4948" w:rsidRPr="005A31A1">
        <w:rPr>
          <w:rFonts w:ascii="ABC Sans Nova" w:hAnsi="ABC Sans Nova" w:hint="eastAsia"/>
          <w:i/>
          <w:iCs/>
          <w:sz w:val="20"/>
          <w:szCs w:val="20"/>
        </w:rPr>
        <w:t>”</w:t>
      </w:r>
    </w:p>
    <w:p w14:paraId="0DCCF631" w14:textId="62F750BA" w:rsidR="00FF4948" w:rsidRPr="005A31A1" w:rsidRDefault="00FF4948" w:rsidP="00395A85">
      <w:pPr>
        <w:pStyle w:val="ListParagraph"/>
        <w:numPr>
          <w:ilvl w:val="0"/>
          <w:numId w:val="4"/>
        </w:numPr>
        <w:spacing w:after="0" w:line="240" w:lineRule="auto"/>
        <w:ind w:left="1080"/>
        <w:contextualSpacing w:val="0"/>
        <w:rPr>
          <w:rFonts w:ascii="ABC Sans Nova" w:hAnsi="ABC Sans Nova"/>
          <w:i/>
          <w:iCs/>
          <w:sz w:val="20"/>
          <w:szCs w:val="20"/>
        </w:rPr>
      </w:pPr>
      <w:r w:rsidRPr="005A31A1">
        <w:rPr>
          <w:rFonts w:ascii="ABC Sans Nova" w:hAnsi="ABC Sans Nova"/>
          <w:i/>
          <w:iCs/>
          <w:sz w:val="20"/>
          <w:szCs w:val="20"/>
        </w:rPr>
        <w:t xml:space="preserve">On immune responses related to the approved COVID-19 vaccinations in America, </w:t>
      </w:r>
      <w:r w:rsidR="005B7D9B">
        <w:rPr>
          <w:rFonts w:ascii="ABC Sans Nova" w:hAnsi="ABC Sans Nova"/>
          <w:i/>
          <w:iCs/>
          <w:sz w:val="20"/>
          <w:szCs w:val="20"/>
        </w:rPr>
        <w:t>[</w:t>
      </w:r>
      <w:r w:rsidR="005B7D9B" w:rsidRPr="00817282">
        <w:rPr>
          <w:rFonts w:ascii="ABC Sans Nova" w:hAnsi="ABC Sans Nova"/>
          <w:b/>
          <w:bCs/>
          <w:i/>
          <w:iCs/>
          <w:sz w:val="20"/>
          <w:szCs w:val="20"/>
        </w:rPr>
        <w:t xml:space="preserve">Dr. </w:t>
      </w:r>
      <w:r w:rsidR="00A76E3A">
        <w:rPr>
          <w:rFonts w:ascii="ABC Sans Nova" w:hAnsi="ABC Sans Nova"/>
          <w:b/>
          <w:bCs/>
          <w:i/>
          <w:iCs/>
          <w:sz w:val="20"/>
          <w:szCs w:val="20"/>
        </w:rPr>
        <w:t>A</w:t>
      </w:r>
      <w:r w:rsidR="005B7D9B">
        <w:rPr>
          <w:rFonts w:ascii="ABC Sans Nova" w:hAnsi="ABC Sans Nova"/>
          <w:i/>
          <w:iCs/>
          <w:sz w:val="20"/>
          <w:szCs w:val="20"/>
        </w:rPr>
        <w:t xml:space="preserve">] </w:t>
      </w:r>
      <w:r w:rsidRPr="005A31A1">
        <w:rPr>
          <w:rFonts w:ascii="ABC Sans Nova" w:hAnsi="ABC Sans Nova"/>
          <w:i/>
          <w:iCs/>
          <w:sz w:val="20"/>
          <w:szCs w:val="20"/>
        </w:rPr>
        <w:t>said:</w:t>
      </w:r>
    </w:p>
    <w:p w14:paraId="0B0D775E" w14:textId="37971230" w:rsidR="00FF4948" w:rsidRPr="005A31A1" w:rsidRDefault="007B24CC" w:rsidP="007B24CC">
      <w:pPr>
        <w:pStyle w:val="ListParagraph"/>
        <w:numPr>
          <w:ilvl w:val="1"/>
          <w:numId w:val="4"/>
        </w:numPr>
        <w:spacing w:after="0" w:line="240" w:lineRule="auto"/>
        <w:ind w:left="1560"/>
        <w:contextualSpacing w:val="0"/>
        <w:rPr>
          <w:rFonts w:ascii="ABC Sans Nova" w:hAnsi="ABC Sans Nova"/>
          <w:i/>
          <w:iCs/>
          <w:sz w:val="20"/>
          <w:szCs w:val="20"/>
        </w:rPr>
      </w:pPr>
      <w:r>
        <w:rPr>
          <w:rFonts w:ascii="ABC Sans Nova" w:hAnsi="ABC Sans Nova"/>
          <w:i/>
          <w:iCs/>
          <w:sz w:val="20"/>
          <w:szCs w:val="20"/>
        </w:rPr>
        <w:t>“</w:t>
      </w:r>
      <w:r w:rsidR="00FF4948" w:rsidRPr="005A31A1">
        <w:rPr>
          <w:rFonts w:ascii="ABC Sans Nova" w:hAnsi="ABC Sans Nova"/>
          <w:i/>
          <w:iCs/>
          <w:sz w:val="20"/>
          <w:szCs w:val="20"/>
        </w:rPr>
        <w:t>We</w:t>
      </w:r>
      <w:r>
        <w:rPr>
          <w:rFonts w:ascii="ABC Sans Nova" w:hAnsi="ABC Sans Nova"/>
          <w:i/>
          <w:iCs/>
          <w:sz w:val="20"/>
          <w:szCs w:val="20"/>
        </w:rPr>
        <w:t>’</w:t>
      </w:r>
      <w:r w:rsidR="00FF4948" w:rsidRPr="005A31A1">
        <w:rPr>
          <w:rFonts w:ascii="ABC Sans Nova" w:hAnsi="ABC Sans Nova"/>
          <w:i/>
          <w:iCs/>
          <w:sz w:val="20"/>
          <w:szCs w:val="20"/>
        </w:rPr>
        <w:t>re seeing an uptick in the laboratory of reactivated other viruses; Epstein-Barr, herpes viruses, HPV viruses, we</w:t>
      </w:r>
      <w:r>
        <w:rPr>
          <w:rFonts w:ascii="ABC Sans Nova" w:hAnsi="ABC Sans Nova"/>
          <w:i/>
          <w:iCs/>
          <w:sz w:val="20"/>
          <w:szCs w:val="20"/>
        </w:rPr>
        <w:t>’</w:t>
      </w:r>
      <w:r w:rsidR="00FF4948" w:rsidRPr="005A31A1">
        <w:rPr>
          <w:rFonts w:ascii="ABC Sans Nova" w:hAnsi="ABC Sans Nova"/>
          <w:i/>
          <w:iCs/>
          <w:sz w:val="20"/>
          <w:szCs w:val="20"/>
        </w:rPr>
        <w:t>re seeing an uptick in certain cancers, already.</w:t>
      </w:r>
      <w:r w:rsidR="00FF4948" w:rsidRPr="005A31A1">
        <w:rPr>
          <w:rFonts w:ascii="ABC Sans Nova" w:hAnsi="ABC Sans Nova" w:hint="eastAsia"/>
          <w:i/>
          <w:iCs/>
          <w:sz w:val="20"/>
          <w:szCs w:val="20"/>
        </w:rPr>
        <w:t>”</w:t>
      </w:r>
    </w:p>
    <w:p w14:paraId="54C46410" w14:textId="1783243C" w:rsidR="00FF4948" w:rsidRPr="005A31A1" w:rsidRDefault="00FF4948" w:rsidP="00395A85">
      <w:pPr>
        <w:pStyle w:val="ListParagraph"/>
        <w:numPr>
          <w:ilvl w:val="0"/>
          <w:numId w:val="4"/>
        </w:numPr>
        <w:spacing w:after="0" w:line="240" w:lineRule="auto"/>
        <w:ind w:left="1080"/>
        <w:contextualSpacing w:val="0"/>
        <w:rPr>
          <w:rFonts w:ascii="ABC Sans Nova" w:hAnsi="ABC Sans Nova"/>
          <w:i/>
          <w:iCs/>
          <w:sz w:val="20"/>
          <w:szCs w:val="20"/>
        </w:rPr>
      </w:pPr>
      <w:r w:rsidRPr="005A31A1">
        <w:rPr>
          <w:rFonts w:ascii="ABC Sans Nova" w:hAnsi="ABC Sans Nova"/>
          <w:i/>
          <w:iCs/>
          <w:sz w:val="20"/>
          <w:szCs w:val="20"/>
        </w:rPr>
        <w:t xml:space="preserve">On vaccines, </w:t>
      </w:r>
      <w:r w:rsidR="0051652B" w:rsidRPr="008B4A4A">
        <w:rPr>
          <w:rFonts w:ascii="ABC Sans Nova" w:hAnsi="ABC Sans Nova"/>
          <w:i/>
          <w:iCs/>
          <w:sz w:val="20"/>
          <w:szCs w:val="20"/>
        </w:rPr>
        <w:t>[</w:t>
      </w:r>
      <w:r w:rsidR="00644E33">
        <w:rPr>
          <w:rFonts w:ascii="ABC Sans Nova" w:hAnsi="ABC Sans Nova"/>
          <w:b/>
          <w:bCs/>
          <w:i/>
          <w:iCs/>
          <w:sz w:val="20"/>
          <w:szCs w:val="20"/>
        </w:rPr>
        <w:t>Host</w:t>
      </w:r>
      <w:r w:rsidRPr="005A31A1">
        <w:rPr>
          <w:rFonts w:ascii="ABC Sans Nova" w:hAnsi="ABC Sans Nova"/>
          <w:i/>
          <w:iCs/>
          <w:sz w:val="20"/>
          <w:szCs w:val="20"/>
        </w:rPr>
        <w:t xml:space="preserve"> </w:t>
      </w:r>
      <w:r w:rsidR="00A76E3A">
        <w:rPr>
          <w:rFonts w:ascii="ABC Sans Nova" w:hAnsi="ABC Sans Nova"/>
          <w:i/>
          <w:iCs/>
          <w:sz w:val="20"/>
          <w:szCs w:val="20"/>
        </w:rPr>
        <w:t>1</w:t>
      </w:r>
      <w:r w:rsidR="0051652B">
        <w:rPr>
          <w:rFonts w:ascii="ABC Sans Nova" w:hAnsi="ABC Sans Nova"/>
          <w:i/>
          <w:iCs/>
          <w:sz w:val="20"/>
          <w:szCs w:val="20"/>
        </w:rPr>
        <w:t xml:space="preserve">] </w:t>
      </w:r>
      <w:r w:rsidRPr="005A31A1">
        <w:rPr>
          <w:rFonts w:ascii="ABC Sans Nova" w:hAnsi="ABC Sans Nova"/>
          <w:i/>
          <w:iCs/>
          <w:sz w:val="20"/>
          <w:szCs w:val="20"/>
        </w:rPr>
        <w:t>said:</w:t>
      </w:r>
    </w:p>
    <w:p w14:paraId="5E20FC08" w14:textId="5DBF45E9" w:rsidR="00FF4948" w:rsidRPr="007B24CC" w:rsidRDefault="007B24CC" w:rsidP="004B4B03">
      <w:pPr>
        <w:pStyle w:val="ListParagraph"/>
        <w:numPr>
          <w:ilvl w:val="1"/>
          <w:numId w:val="4"/>
        </w:numPr>
        <w:spacing w:after="0" w:line="240" w:lineRule="auto"/>
        <w:ind w:left="1560"/>
        <w:contextualSpacing w:val="0"/>
        <w:rPr>
          <w:rFonts w:ascii="ABC Sans Nova" w:hAnsi="ABC Sans Nova"/>
          <w:i/>
          <w:iCs/>
          <w:sz w:val="20"/>
          <w:szCs w:val="20"/>
        </w:rPr>
      </w:pPr>
      <w:r>
        <w:rPr>
          <w:rFonts w:ascii="ABC Sans Nova" w:hAnsi="ABC Sans Nova"/>
          <w:i/>
          <w:iCs/>
          <w:sz w:val="20"/>
          <w:szCs w:val="20"/>
        </w:rPr>
        <w:t>“</w:t>
      </w:r>
      <w:r w:rsidR="00FF4948" w:rsidRPr="005A31A1">
        <w:rPr>
          <w:rFonts w:ascii="ABC Sans Nova" w:hAnsi="ABC Sans Nova"/>
          <w:i/>
          <w:iCs/>
          <w:sz w:val="20"/>
          <w:szCs w:val="20"/>
        </w:rPr>
        <w:t>People are still getting covid, that got the vaccine shot, and they</w:t>
      </w:r>
      <w:r w:rsidR="00FF4948" w:rsidRPr="005A31A1">
        <w:rPr>
          <w:rFonts w:ascii="ABC Sans Nova" w:hAnsi="ABC Sans Nova" w:hint="eastAsia"/>
          <w:i/>
          <w:iCs/>
          <w:sz w:val="20"/>
          <w:szCs w:val="20"/>
        </w:rPr>
        <w:t>’</w:t>
      </w:r>
      <w:r w:rsidR="00FF4948" w:rsidRPr="005A31A1">
        <w:rPr>
          <w:rFonts w:ascii="ABC Sans Nova" w:hAnsi="ABC Sans Nova"/>
          <w:i/>
          <w:iCs/>
          <w:sz w:val="20"/>
          <w:szCs w:val="20"/>
        </w:rPr>
        <w:t>re still transmitting COVID who got the vaccine shot, so why would you take an experimental drug, that this technology has not been proven, it killed all the animals that they tested it on, so why would you do it?</w:t>
      </w:r>
      <w:r w:rsidR="00FF4948" w:rsidRPr="005A31A1">
        <w:rPr>
          <w:rFonts w:ascii="ABC Sans Nova" w:hAnsi="ABC Sans Nova" w:hint="eastAsia"/>
          <w:i/>
          <w:iCs/>
          <w:sz w:val="20"/>
          <w:szCs w:val="20"/>
        </w:rPr>
        <w:t>”</w:t>
      </w:r>
    </w:p>
    <w:p w14:paraId="3271B226" w14:textId="55DEACAB" w:rsidR="00FF4948" w:rsidRPr="005A31A1" w:rsidRDefault="00FF4948" w:rsidP="00395A85">
      <w:pPr>
        <w:pStyle w:val="ListParagraph"/>
        <w:numPr>
          <w:ilvl w:val="0"/>
          <w:numId w:val="4"/>
        </w:numPr>
        <w:spacing w:after="0" w:line="240" w:lineRule="auto"/>
        <w:ind w:left="1080"/>
        <w:contextualSpacing w:val="0"/>
        <w:rPr>
          <w:rFonts w:ascii="ABC Sans Nova" w:hAnsi="ABC Sans Nova"/>
          <w:i/>
          <w:iCs/>
          <w:sz w:val="20"/>
          <w:szCs w:val="20"/>
        </w:rPr>
      </w:pPr>
      <w:r w:rsidRPr="005A31A1">
        <w:rPr>
          <w:rFonts w:ascii="ABC Sans Nova" w:hAnsi="ABC Sans Nova"/>
          <w:i/>
          <w:iCs/>
          <w:sz w:val="20"/>
          <w:szCs w:val="20"/>
        </w:rPr>
        <w:t xml:space="preserve">On the Pfizer vaccine being approved in America, </w:t>
      </w:r>
      <w:r w:rsidR="005B7D9B">
        <w:rPr>
          <w:rFonts w:ascii="ABC Sans Nova" w:hAnsi="ABC Sans Nova"/>
          <w:i/>
          <w:iCs/>
          <w:sz w:val="20"/>
          <w:szCs w:val="20"/>
        </w:rPr>
        <w:t>[</w:t>
      </w:r>
      <w:r w:rsidR="005B7D9B" w:rsidRPr="00817282">
        <w:rPr>
          <w:rFonts w:ascii="ABC Sans Nova" w:hAnsi="ABC Sans Nova"/>
          <w:b/>
          <w:bCs/>
          <w:i/>
          <w:iCs/>
          <w:sz w:val="20"/>
          <w:szCs w:val="20"/>
        </w:rPr>
        <w:t xml:space="preserve">Dr. </w:t>
      </w:r>
      <w:r w:rsidR="00A76E3A">
        <w:rPr>
          <w:rFonts w:ascii="ABC Sans Nova" w:hAnsi="ABC Sans Nova"/>
          <w:b/>
          <w:bCs/>
          <w:i/>
          <w:iCs/>
          <w:sz w:val="20"/>
          <w:szCs w:val="20"/>
        </w:rPr>
        <w:t>A</w:t>
      </w:r>
      <w:r w:rsidR="005B7D9B">
        <w:rPr>
          <w:rFonts w:ascii="ABC Sans Nova" w:hAnsi="ABC Sans Nova"/>
          <w:i/>
          <w:iCs/>
          <w:sz w:val="20"/>
          <w:szCs w:val="20"/>
        </w:rPr>
        <w:t xml:space="preserve">] </w:t>
      </w:r>
      <w:r w:rsidRPr="005A31A1">
        <w:rPr>
          <w:rFonts w:ascii="ABC Sans Nova" w:hAnsi="ABC Sans Nova"/>
          <w:i/>
          <w:iCs/>
          <w:sz w:val="20"/>
          <w:szCs w:val="20"/>
        </w:rPr>
        <w:t xml:space="preserve">said: </w:t>
      </w:r>
    </w:p>
    <w:p w14:paraId="4ECC1D37" w14:textId="22553D93" w:rsidR="00FF4948" w:rsidRPr="005A31A1" w:rsidRDefault="007B24CC" w:rsidP="004B4B03">
      <w:pPr>
        <w:pStyle w:val="ListParagraph"/>
        <w:numPr>
          <w:ilvl w:val="1"/>
          <w:numId w:val="4"/>
        </w:numPr>
        <w:spacing w:after="0" w:line="240" w:lineRule="auto"/>
        <w:ind w:left="1560"/>
        <w:contextualSpacing w:val="0"/>
        <w:rPr>
          <w:rFonts w:ascii="ABC Sans Nova" w:hAnsi="ABC Sans Nova"/>
          <w:i/>
          <w:iCs/>
          <w:sz w:val="20"/>
          <w:szCs w:val="20"/>
        </w:rPr>
      </w:pPr>
      <w:r>
        <w:rPr>
          <w:rFonts w:ascii="ABC Sans Nova" w:hAnsi="ABC Sans Nova"/>
          <w:i/>
          <w:iCs/>
          <w:sz w:val="20"/>
          <w:szCs w:val="20"/>
        </w:rPr>
        <w:t>“</w:t>
      </w:r>
      <w:r w:rsidR="00FF4948" w:rsidRPr="005A31A1">
        <w:rPr>
          <w:rFonts w:ascii="ABC Sans Nova" w:hAnsi="ABC Sans Nova"/>
          <w:i/>
          <w:iCs/>
          <w:sz w:val="20"/>
          <w:szCs w:val="20"/>
        </w:rPr>
        <w:t>The FDA broke the rules in approving this</w:t>
      </w:r>
      <w:r w:rsidR="00FF4948" w:rsidRPr="005A31A1">
        <w:rPr>
          <w:rFonts w:ascii="ABC Sans Nova" w:hAnsi="ABC Sans Nova" w:hint="eastAsia"/>
          <w:i/>
          <w:iCs/>
          <w:sz w:val="20"/>
          <w:szCs w:val="20"/>
        </w:rPr>
        <w:t>…</w:t>
      </w:r>
      <w:r w:rsidR="00FF4948" w:rsidRPr="005A31A1">
        <w:rPr>
          <w:rFonts w:ascii="ABC Sans Nova" w:hAnsi="ABC Sans Nova"/>
          <w:i/>
          <w:iCs/>
          <w:sz w:val="20"/>
          <w:szCs w:val="20"/>
        </w:rPr>
        <w:t xml:space="preserve"> tons of rules, so this is a rushed, provisional approval, with no long term safety.</w:t>
      </w:r>
      <w:r w:rsidR="00FF4948" w:rsidRPr="005A31A1">
        <w:rPr>
          <w:rFonts w:ascii="ABC Sans Nova" w:hAnsi="ABC Sans Nova" w:hint="eastAsia"/>
          <w:i/>
          <w:iCs/>
          <w:sz w:val="20"/>
          <w:szCs w:val="20"/>
        </w:rPr>
        <w:t>”</w:t>
      </w:r>
    </w:p>
    <w:p w14:paraId="0789B6C7" w14:textId="6DED09CB" w:rsidR="00FF4948" w:rsidRPr="005A31A1" w:rsidRDefault="007B24CC" w:rsidP="004B4B03">
      <w:pPr>
        <w:pStyle w:val="ListParagraph"/>
        <w:numPr>
          <w:ilvl w:val="1"/>
          <w:numId w:val="4"/>
        </w:numPr>
        <w:spacing w:after="0" w:line="240" w:lineRule="auto"/>
        <w:ind w:left="1560"/>
        <w:contextualSpacing w:val="0"/>
        <w:rPr>
          <w:rFonts w:ascii="ABC Sans Nova" w:hAnsi="ABC Sans Nova"/>
          <w:i/>
          <w:iCs/>
          <w:sz w:val="20"/>
          <w:szCs w:val="20"/>
        </w:rPr>
      </w:pPr>
      <w:r>
        <w:rPr>
          <w:rFonts w:ascii="ABC Sans Nova" w:hAnsi="ABC Sans Nova"/>
          <w:i/>
          <w:iCs/>
          <w:sz w:val="20"/>
          <w:szCs w:val="20"/>
        </w:rPr>
        <w:t>“</w:t>
      </w:r>
      <w:r w:rsidR="00FF4948" w:rsidRPr="005A31A1">
        <w:rPr>
          <w:rFonts w:ascii="ABC Sans Nova" w:hAnsi="ABC Sans Nova"/>
          <w:i/>
          <w:iCs/>
          <w:sz w:val="20"/>
          <w:szCs w:val="20"/>
        </w:rPr>
        <w:t>The shots are not proven long term in pregnancy, the long term outcomes for the foetus are not proved. To force a patient to get a shot is evil.</w:t>
      </w:r>
      <w:r w:rsidR="00FF4948" w:rsidRPr="005A31A1">
        <w:rPr>
          <w:rFonts w:ascii="ABC Sans Nova" w:hAnsi="ABC Sans Nova" w:hint="eastAsia"/>
          <w:i/>
          <w:iCs/>
          <w:sz w:val="20"/>
          <w:szCs w:val="20"/>
        </w:rPr>
        <w:t>”</w:t>
      </w:r>
    </w:p>
    <w:p w14:paraId="70BB9742" w14:textId="5ED1CF73" w:rsidR="00FF4948" w:rsidRPr="005A31A1" w:rsidRDefault="00BC4579" w:rsidP="00395A85">
      <w:pPr>
        <w:pStyle w:val="ListParagraph"/>
        <w:numPr>
          <w:ilvl w:val="0"/>
          <w:numId w:val="4"/>
        </w:numPr>
        <w:spacing w:after="0" w:line="240" w:lineRule="auto"/>
        <w:contextualSpacing w:val="0"/>
        <w:rPr>
          <w:rFonts w:ascii="ABC Sans Nova" w:eastAsia="Times New Roman" w:hAnsi="ABC Sans Nova"/>
          <w:sz w:val="20"/>
          <w:szCs w:val="20"/>
        </w:rPr>
      </w:pPr>
      <w:r w:rsidRPr="005A31A1">
        <w:rPr>
          <w:rFonts w:ascii="ABC Sans Nova" w:eastAsia="Times New Roman" w:hAnsi="ABC Sans Nova"/>
          <w:sz w:val="20"/>
          <w:szCs w:val="20"/>
        </w:rPr>
        <w:t>[</w:t>
      </w:r>
      <w:r w:rsidRPr="005A31A1">
        <w:rPr>
          <w:rFonts w:ascii="ABC Sans Nova" w:eastAsia="Times New Roman" w:hAnsi="ABC Sans Nova" w:hint="eastAsia"/>
          <w:sz w:val="20"/>
          <w:szCs w:val="20"/>
        </w:rPr>
        <w:t>…</w:t>
      </w:r>
      <w:r w:rsidRPr="005A31A1">
        <w:rPr>
          <w:rFonts w:ascii="ABC Sans Nova" w:eastAsia="Times New Roman" w:hAnsi="ABC Sans Nova"/>
          <w:sz w:val="20"/>
          <w:szCs w:val="20"/>
        </w:rPr>
        <w:t>]</w:t>
      </w:r>
    </w:p>
    <w:p w14:paraId="67A6A301" w14:textId="1FF0A2FA" w:rsidR="00FF4948" w:rsidRPr="005A31A1" w:rsidRDefault="00FF4948" w:rsidP="00395A85">
      <w:pPr>
        <w:pStyle w:val="ListParagraph"/>
        <w:numPr>
          <w:ilvl w:val="0"/>
          <w:numId w:val="4"/>
        </w:numPr>
        <w:spacing w:after="0" w:line="240" w:lineRule="auto"/>
        <w:contextualSpacing w:val="0"/>
        <w:rPr>
          <w:rFonts w:ascii="ABC Sans Nova" w:eastAsia="Times New Roman" w:hAnsi="ABC Sans Nova"/>
          <w:sz w:val="20"/>
          <w:szCs w:val="20"/>
        </w:rPr>
      </w:pPr>
      <w:r w:rsidRPr="005A31A1">
        <w:rPr>
          <w:rFonts w:ascii="ABC Sans Nova" w:eastAsia="Times New Roman" w:hAnsi="ABC Sans Nova"/>
          <w:sz w:val="20"/>
          <w:szCs w:val="20"/>
        </w:rPr>
        <w:t>Do the above claims broadcast on Foxtel in Australia breach any of ACMA</w:t>
      </w:r>
      <w:r w:rsidRPr="005A31A1">
        <w:rPr>
          <w:rFonts w:ascii="ABC Sans Nova" w:eastAsia="Times New Roman" w:hAnsi="ABC Sans Nova" w:hint="eastAsia"/>
          <w:sz w:val="20"/>
          <w:szCs w:val="20"/>
        </w:rPr>
        <w:t>’</w:t>
      </w:r>
      <w:r w:rsidRPr="005A31A1">
        <w:rPr>
          <w:rFonts w:ascii="ABC Sans Nova" w:eastAsia="Times New Roman" w:hAnsi="ABC Sans Nova"/>
          <w:sz w:val="20"/>
          <w:szCs w:val="20"/>
        </w:rPr>
        <w:t xml:space="preserve">s Code of Conduct for Subscription TV ? </w:t>
      </w:r>
    </w:p>
    <w:p w14:paraId="58A4FCE5" w14:textId="2CCF1C60" w:rsidR="00831ED3" w:rsidRPr="008B4A4A" w:rsidRDefault="00BC4579" w:rsidP="00831ED3">
      <w:pPr>
        <w:rPr>
          <w:rFonts w:ascii="ABC Sans Nova" w:hAnsi="ABC Sans Nova"/>
          <w:i w:val="0"/>
          <w:iCs/>
        </w:rPr>
      </w:pPr>
      <w:r w:rsidRPr="008B4A4A">
        <w:rPr>
          <w:rFonts w:ascii="ABC Sans Nova" w:hAnsi="ABC Sans Nova"/>
          <w:i w:val="0"/>
          <w:iCs/>
        </w:rPr>
        <w:t>[…]</w:t>
      </w:r>
    </w:p>
    <w:p w14:paraId="20805589" w14:textId="0EF03844" w:rsidR="00660069" w:rsidRPr="00660069" w:rsidRDefault="00660069" w:rsidP="00660069">
      <w:pPr>
        <w:tabs>
          <w:tab w:val="left" w:pos="2665"/>
        </w:tabs>
        <w:rPr>
          <w:rFonts w:ascii="ABC Sans Nova" w:hAnsi="ABC Sans Nova"/>
        </w:rPr>
      </w:pPr>
      <w:r>
        <w:rPr>
          <w:rFonts w:ascii="ABC Sans Nova" w:hAnsi="ABC Sans Nova"/>
        </w:rPr>
        <w:tab/>
      </w:r>
    </w:p>
    <w:p w14:paraId="652E3A2D" w14:textId="77777777" w:rsidR="006A02B1" w:rsidRPr="00153F9D" w:rsidRDefault="006A02B1" w:rsidP="00075F5D">
      <w:pPr>
        <w:pStyle w:val="ACMAHeading2"/>
        <w:pageBreakBefore/>
        <w:spacing w:after="240"/>
        <w:jc w:val="right"/>
      </w:pPr>
      <w:r w:rsidRPr="00153F9D">
        <w:lastRenderedPageBreak/>
        <w:t>Attachment B</w:t>
      </w:r>
    </w:p>
    <w:p w14:paraId="397AB726" w14:textId="4BFB2CDD" w:rsidR="001845B1" w:rsidRPr="000A436F" w:rsidRDefault="001845B1" w:rsidP="001845B1">
      <w:pPr>
        <w:pStyle w:val="ACMABodyTextBold"/>
      </w:pPr>
      <w:r w:rsidRPr="000A436F">
        <w:t>Licensee’s response and submissions</w:t>
      </w:r>
    </w:p>
    <w:p w14:paraId="33D10EBD" w14:textId="22CA4E0C" w:rsidR="001845B1" w:rsidRPr="0013388E" w:rsidRDefault="00E54A7F" w:rsidP="0013388E">
      <w:pPr>
        <w:pStyle w:val="ACMABodyTextBold"/>
      </w:pPr>
      <w:r w:rsidRPr="0013388E">
        <w:t xml:space="preserve">Extracts of the </w:t>
      </w:r>
      <w:r w:rsidR="001845B1" w:rsidRPr="0013388E">
        <w:t xml:space="preserve">Licensee response to the </w:t>
      </w:r>
      <w:r w:rsidR="000A436F" w:rsidRPr="0013388E">
        <w:t>ACMA</w:t>
      </w:r>
      <w:r w:rsidR="001845B1" w:rsidRPr="0013388E">
        <w:t xml:space="preserve"> dated </w:t>
      </w:r>
      <w:r w:rsidR="000A436F" w:rsidRPr="0013388E">
        <w:t>21 October 2021</w:t>
      </w:r>
    </w:p>
    <w:p w14:paraId="4620F78E" w14:textId="3B42BED7" w:rsidR="00E54A7F" w:rsidRPr="007368A9" w:rsidRDefault="007368A9" w:rsidP="001845B1">
      <w:pPr>
        <w:pStyle w:val="ACMABodyText"/>
        <w:rPr>
          <w:bCs/>
          <w:iCs/>
        </w:rPr>
      </w:pPr>
      <w:r w:rsidRPr="007368A9">
        <w:rPr>
          <w:bCs/>
          <w:iCs/>
        </w:rPr>
        <w:t>[…]</w:t>
      </w:r>
    </w:p>
    <w:p w14:paraId="7A82464E" w14:textId="03AAEE63" w:rsidR="007368A9" w:rsidRPr="00505782" w:rsidRDefault="007368A9" w:rsidP="005A31A1">
      <w:pPr>
        <w:pStyle w:val="ACMABodyText"/>
        <w:numPr>
          <w:ilvl w:val="0"/>
          <w:numId w:val="27"/>
        </w:numPr>
        <w:rPr>
          <w:rFonts w:cs="Arial"/>
          <w:b/>
          <w:iCs/>
        </w:rPr>
      </w:pPr>
      <w:r w:rsidRPr="00505782">
        <w:rPr>
          <w:rFonts w:cs="Arial"/>
          <w:b/>
          <w:iCs/>
        </w:rPr>
        <w:t>The Channel</w:t>
      </w:r>
    </w:p>
    <w:p w14:paraId="33DA5532" w14:textId="261663A5" w:rsidR="007368A9" w:rsidRPr="00505782" w:rsidRDefault="007368A9" w:rsidP="007368A9">
      <w:pPr>
        <w:pStyle w:val="ACMABodyText"/>
        <w:rPr>
          <w:rFonts w:cs="Arial"/>
          <w:bCs/>
          <w:iCs/>
        </w:rPr>
      </w:pPr>
      <w:r w:rsidRPr="00505782">
        <w:rPr>
          <w:rFonts w:cs="Arial"/>
          <w:bCs/>
          <w:iCs/>
        </w:rPr>
        <w:t xml:space="preserve">The Channel is produced and operated by </w:t>
      </w:r>
      <w:r w:rsidRPr="008B4A4A">
        <w:rPr>
          <w:rFonts w:cs="Arial"/>
          <w:bCs/>
          <w:iCs/>
        </w:rPr>
        <w:t>Daystar Television Network</w:t>
      </w:r>
      <w:r w:rsidRPr="00505782">
        <w:rPr>
          <w:rFonts w:cs="Arial"/>
          <w:bCs/>
          <w:iCs/>
        </w:rPr>
        <w:t xml:space="preserve"> (Channel Supplier) and is provided to Foxtel Cable Television Pty Limited (Foxtel) for broadcast pursuant to a channel supply agreement (Agreement). In providing this response, we have sought submissions from the Channel Supplier.</w:t>
      </w:r>
    </w:p>
    <w:p w14:paraId="47613C09" w14:textId="77777777" w:rsidR="007368A9" w:rsidRPr="00505782" w:rsidRDefault="007368A9" w:rsidP="007368A9">
      <w:pPr>
        <w:pStyle w:val="ACMABodyText"/>
        <w:rPr>
          <w:rFonts w:cs="Arial"/>
          <w:bCs/>
          <w:iCs/>
        </w:rPr>
      </w:pPr>
      <w:r w:rsidRPr="00505782">
        <w:rPr>
          <w:rFonts w:cs="Arial"/>
          <w:bCs/>
          <w:iCs/>
        </w:rPr>
        <w:t>The Channel is described by the Channel Supplier as a:</w:t>
      </w:r>
    </w:p>
    <w:p w14:paraId="2604C91A" w14:textId="77777777" w:rsidR="007368A9" w:rsidRPr="00505782" w:rsidRDefault="007368A9" w:rsidP="007368A9">
      <w:pPr>
        <w:pStyle w:val="ACMABodyText"/>
        <w:ind w:left="720"/>
        <w:rPr>
          <w:rFonts w:cs="Arial"/>
          <w:bCs/>
          <w:iCs/>
          <w:sz w:val="18"/>
          <w:szCs w:val="18"/>
        </w:rPr>
      </w:pPr>
      <w:r w:rsidRPr="00505782">
        <w:rPr>
          <w:rFonts w:cs="Arial"/>
          <w:bCs/>
          <w:iCs/>
          <w:sz w:val="18"/>
          <w:szCs w:val="18"/>
        </w:rPr>
        <w:t>24/7 Christian Television Network whose programming is multi</w:t>
      </w:r>
      <w:r w:rsidRPr="00505782">
        <w:rPr>
          <w:rFonts w:ascii="Cambria Math" w:hAnsi="Cambria Math" w:cs="Cambria Math"/>
          <w:bCs/>
          <w:iCs/>
          <w:sz w:val="18"/>
          <w:szCs w:val="18"/>
        </w:rPr>
        <w:t>‐</w:t>
      </w:r>
      <w:r w:rsidRPr="00505782">
        <w:rPr>
          <w:rFonts w:cs="Arial"/>
          <w:bCs/>
          <w:iCs/>
          <w:sz w:val="18"/>
          <w:szCs w:val="18"/>
        </w:rPr>
        <w:t>cultural and multi</w:t>
      </w:r>
      <w:r w:rsidRPr="00505782">
        <w:rPr>
          <w:rFonts w:ascii="Cambria Math" w:hAnsi="Cambria Math" w:cs="Cambria Math"/>
          <w:bCs/>
          <w:iCs/>
          <w:sz w:val="18"/>
          <w:szCs w:val="18"/>
        </w:rPr>
        <w:t>‐</w:t>
      </w:r>
      <w:r w:rsidRPr="00505782">
        <w:rPr>
          <w:rFonts w:cs="Arial"/>
          <w:bCs/>
          <w:iCs/>
          <w:sz w:val="18"/>
          <w:szCs w:val="18"/>
        </w:rPr>
        <w:t xml:space="preserve"> denominational. Programming includes original content, shows drawn from prominent ministries from around globe, “live” events, music, children’s programs and family related programming with a faith based focus.</w:t>
      </w:r>
    </w:p>
    <w:p w14:paraId="418C25C9" w14:textId="7ECD4F2E" w:rsidR="007368A9" w:rsidRPr="00505782" w:rsidRDefault="007368A9" w:rsidP="007368A9">
      <w:pPr>
        <w:pStyle w:val="ACMABodyText"/>
        <w:rPr>
          <w:rFonts w:cs="Arial"/>
          <w:bCs/>
          <w:iCs/>
        </w:rPr>
      </w:pPr>
      <w:r w:rsidRPr="00505782">
        <w:rPr>
          <w:rFonts w:cs="Arial"/>
          <w:bCs/>
          <w:iCs/>
        </w:rPr>
        <w:t xml:space="preserve">Data provided by </w:t>
      </w:r>
      <w:r w:rsidR="00B33EEB">
        <w:rPr>
          <w:rFonts w:cs="Arial"/>
          <w:bCs/>
          <w:iCs/>
        </w:rPr>
        <w:t xml:space="preserve">[service provider] </w:t>
      </w:r>
      <w:r w:rsidRPr="00505782">
        <w:rPr>
          <w:rFonts w:cs="Arial"/>
          <w:bCs/>
          <w:iCs/>
        </w:rPr>
        <w:t xml:space="preserve">for the period January – October 2021 indicates that the audience share of the Channel </w:t>
      </w:r>
      <w:r w:rsidR="00B33EEB">
        <w:rPr>
          <w:rFonts w:cs="Arial"/>
          <w:bCs/>
          <w:iCs/>
        </w:rPr>
        <w:t>[…]</w:t>
      </w:r>
      <w:r w:rsidR="00B33BF3">
        <w:rPr>
          <w:rFonts w:cs="Arial"/>
          <w:bCs/>
          <w:iCs/>
        </w:rPr>
        <w:t>.</w:t>
      </w:r>
    </w:p>
    <w:p w14:paraId="0C717DD7" w14:textId="77777777" w:rsidR="005A31A1" w:rsidRPr="005A31A1" w:rsidRDefault="005A31A1" w:rsidP="005A31A1">
      <w:pPr>
        <w:pStyle w:val="ACMABodyText"/>
        <w:rPr>
          <w:rFonts w:cs="Arial"/>
          <w:bCs/>
          <w:iCs/>
          <w:lang w:val="en-US"/>
        </w:rPr>
      </w:pPr>
      <w:r w:rsidRPr="005A31A1">
        <w:rPr>
          <w:rFonts w:cs="Arial"/>
          <w:bCs/>
          <w:iCs/>
          <w:lang w:val="en-US"/>
        </w:rPr>
        <w:t xml:space="preserve">Under clause 17 of the </w:t>
      </w:r>
      <w:r w:rsidRPr="005A31A1">
        <w:rPr>
          <w:rFonts w:cs="Arial"/>
          <w:bCs/>
          <w:i/>
          <w:iCs/>
          <w:lang w:val="en-US"/>
        </w:rPr>
        <w:t>Broadcasting Services Act 1992</w:t>
      </w:r>
      <w:r w:rsidRPr="005A31A1">
        <w:rPr>
          <w:rFonts w:cs="Arial"/>
          <w:bCs/>
          <w:iCs/>
          <w:lang w:val="en-US"/>
        </w:rPr>
        <w:t>, “subscription narrowcasting services” are defined as broadcasting services:</w:t>
      </w:r>
    </w:p>
    <w:p w14:paraId="78F56211" w14:textId="77777777" w:rsidR="005A31A1" w:rsidRPr="005A31A1" w:rsidRDefault="005A31A1" w:rsidP="005A31A1">
      <w:pPr>
        <w:pStyle w:val="ACMABodyText"/>
        <w:numPr>
          <w:ilvl w:val="0"/>
          <w:numId w:val="25"/>
        </w:numPr>
        <w:spacing w:after="0" w:line="240" w:lineRule="auto"/>
        <w:ind w:left="425"/>
        <w:rPr>
          <w:rFonts w:cs="Arial"/>
          <w:bCs/>
          <w:iCs/>
          <w:sz w:val="18"/>
          <w:szCs w:val="18"/>
          <w:lang w:val="en-US"/>
        </w:rPr>
      </w:pPr>
      <w:r w:rsidRPr="005A31A1">
        <w:rPr>
          <w:rFonts w:cs="Arial"/>
          <w:bCs/>
          <w:iCs/>
          <w:sz w:val="18"/>
          <w:szCs w:val="18"/>
          <w:lang w:val="en-US"/>
        </w:rPr>
        <w:t>whose reception is limited:</w:t>
      </w:r>
    </w:p>
    <w:p w14:paraId="78C01285" w14:textId="77777777" w:rsidR="005A31A1" w:rsidRPr="005A31A1" w:rsidRDefault="005A31A1" w:rsidP="005A31A1">
      <w:pPr>
        <w:pStyle w:val="ACMABodyText"/>
        <w:numPr>
          <w:ilvl w:val="1"/>
          <w:numId w:val="25"/>
        </w:numPr>
        <w:spacing w:after="0" w:line="240" w:lineRule="auto"/>
        <w:ind w:left="992" w:hanging="340"/>
        <w:rPr>
          <w:rFonts w:cs="Arial"/>
          <w:bCs/>
          <w:iCs/>
          <w:sz w:val="18"/>
          <w:szCs w:val="18"/>
          <w:lang w:val="en-US"/>
        </w:rPr>
      </w:pPr>
      <w:r w:rsidRPr="005A31A1">
        <w:rPr>
          <w:rFonts w:cs="Arial"/>
          <w:bCs/>
          <w:iCs/>
          <w:sz w:val="18"/>
          <w:szCs w:val="18"/>
          <w:lang w:val="en-US"/>
        </w:rPr>
        <w:t>by being targeted to special interest groups; or</w:t>
      </w:r>
    </w:p>
    <w:p w14:paraId="7B936B54" w14:textId="77777777" w:rsidR="005A31A1" w:rsidRPr="005A31A1" w:rsidRDefault="005A31A1" w:rsidP="005A31A1">
      <w:pPr>
        <w:pStyle w:val="ACMABodyText"/>
        <w:numPr>
          <w:ilvl w:val="1"/>
          <w:numId w:val="25"/>
        </w:numPr>
        <w:spacing w:after="0" w:line="240" w:lineRule="auto"/>
        <w:ind w:left="992" w:hanging="340"/>
        <w:rPr>
          <w:rFonts w:cs="Arial"/>
          <w:bCs/>
          <w:iCs/>
          <w:sz w:val="18"/>
          <w:szCs w:val="18"/>
          <w:lang w:val="en-US"/>
        </w:rPr>
      </w:pPr>
      <w:r w:rsidRPr="005A31A1">
        <w:rPr>
          <w:rFonts w:cs="Arial"/>
          <w:bCs/>
          <w:iCs/>
          <w:sz w:val="18"/>
          <w:szCs w:val="18"/>
          <w:lang w:val="en-US"/>
        </w:rPr>
        <w:t>by being intended only for limited locations, for example, arenas or business premises; or</w:t>
      </w:r>
    </w:p>
    <w:p w14:paraId="61896ED3" w14:textId="77777777" w:rsidR="005A31A1" w:rsidRPr="005A31A1" w:rsidRDefault="005A31A1" w:rsidP="005A31A1">
      <w:pPr>
        <w:pStyle w:val="ACMABodyText"/>
        <w:numPr>
          <w:ilvl w:val="1"/>
          <w:numId w:val="25"/>
        </w:numPr>
        <w:spacing w:after="0" w:line="240" w:lineRule="auto"/>
        <w:ind w:left="992" w:hanging="340"/>
        <w:rPr>
          <w:rFonts w:cs="Arial"/>
          <w:bCs/>
          <w:iCs/>
          <w:sz w:val="18"/>
          <w:szCs w:val="18"/>
          <w:lang w:val="en-US"/>
        </w:rPr>
      </w:pPr>
      <w:r w:rsidRPr="005A31A1">
        <w:rPr>
          <w:rFonts w:cs="Arial"/>
          <w:bCs/>
          <w:iCs/>
          <w:sz w:val="18"/>
          <w:szCs w:val="18"/>
          <w:lang w:val="en-US"/>
        </w:rPr>
        <w:t>by being provided during a limited period or to cover a special event; or</w:t>
      </w:r>
    </w:p>
    <w:p w14:paraId="706D717C" w14:textId="77777777" w:rsidR="005A31A1" w:rsidRPr="005A31A1" w:rsidRDefault="005A31A1" w:rsidP="005A31A1">
      <w:pPr>
        <w:pStyle w:val="ACMABodyText"/>
        <w:numPr>
          <w:ilvl w:val="1"/>
          <w:numId w:val="25"/>
        </w:numPr>
        <w:spacing w:after="0" w:line="240" w:lineRule="auto"/>
        <w:ind w:left="992" w:hanging="340"/>
        <w:rPr>
          <w:rFonts w:cs="Arial"/>
          <w:bCs/>
          <w:iCs/>
          <w:sz w:val="18"/>
          <w:szCs w:val="18"/>
          <w:lang w:val="en-US"/>
        </w:rPr>
      </w:pPr>
      <w:r w:rsidRPr="005A31A1">
        <w:rPr>
          <w:rFonts w:cs="Arial"/>
          <w:bCs/>
          <w:iCs/>
          <w:sz w:val="18"/>
          <w:szCs w:val="18"/>
          <w:lang w:val="en-US"/>
        </w:rPr>
        <w:t>because they provide programs of limited appeal; or</w:t>
      </w:r>
    </w:p>
    <w:p w14:paraId="31A7A446" w14:textId="77777777" w:rsidR="005A31A1" w:rsidRPr="005A31A1" w:rsidRDefault="005A31A1" w:rsidP="005A31A1">
      <w:pPr>
        <w:pStyle w:val="ACMABodyText"/>
        <w:numPr>
          <w:ilvl w:val="1"/>
          <w:numId w:val="25"/>
        </w:numPr>
        <w:spacing w:after="0" w:line="240" w:lineRule="auto"/>
        <w:ind w:left="992" w:hanging="340"/>
        <w:rPr>
          <w:rFonts w:cs="Arial"/>
          <w:bCs/>
          <w:iCs/>
          <w:sz w:val="18"/>
          <w:szCs w:val="18"/>
          <w:lang w:val="en-US"/>
        </w:rPr>
      </w:pPr>
      <w:r w:rsidRPr="005A31A1">
        <w:rPr>
          <w:rFonts w:cs="Arial"/>
          <w:bCs/>
          <w:iCs/>
          <w:sz w:val="18"/>
          <w:szCs w:val="18"/>
          <w:lang w:val="en-US"/>
        </w:rPr>
        <w:t>for some other reason; and</w:t>
      </w:r>
    </w:p>
    <w:p w14:paraId="0755DF95" w14:textId="77777777" w:rsidR="005A31A1" w:rsidRPr="005A31A1" w:rsidRDefault="005A31A1" w:rsidP="005A31A1">
      <w:pPr>
        <w:pStyle w:val="ACMABodyText"/>
        <w:numPr>
          <w:ilvl w:val="0"/>
          <w:numId w:val="25"/>
        </w:numPr>
        <w:spacing w:after="0" w:line="240" w:lineRule="auto"/>
        <w:ind w:left="425"/>
        <w:rPr>
          <w:rFonts w:cs="Arial"/>
          <w:bCs/>
          <w:iCs/>
          <w:sz w:val="18"/>
          <w:szCs w:val="18"/>
          <w:lang w:val="en-US"/>
        </w:rPr>
      </w:pPr>
      <w:r w:rsidRPr="005A31A1">
        <w:rPr>
          <w:rFonts w:cs="Arial"/>
          <w:bCs/>
          <w:iCs/>
          <w:sz w:val="18"/>
          <w:szCs w:val="18"/>
          <w:lang w:val="en-US"/>
        </w:rPr>
        <w:t>that are made available only on payment of subscription fees (whether periodical or otherwise); and</w:t>
      </w:r>
    </w:p>
    <w:p w14:paraId="046F1BEB" w14:textId="77777777" w:rsidR="005A31A1" w:rsidRPr="005A31A1" w:rsidRDefault="005A31A1" w:rsidP="005A31A1">
      <w:pPr>
        <w:pStyle w:val="ACMABodyText"/>
        <w:numPr>
          <w:ilvl w:val="0"/>
          <w:numId w:val="25"/>
        </w:numPr>
        <w:spacing w:after="0" w:line="240" w:lineRule="auto"/>
        <w:ind w:left="425"/>
        <w:rPr>
          <w:rFonts w:cs="Arial"/>
          <w:bCs/>
          <w:iCs/>
          <w:sz w:val="18"/>
          <w:szCs w:val="18"/>
          <w:lang w:val="en-US"/>
        </w:rPr>
      </w:pPr>
      <w:r w:rsidRPr="005A31A1">
        <w:rPr>
          <w:rFonts w:cs="Arial"/>
          <w:bCs/>
          <w:iCs/>
          <w:sz w:val="18"/>
          <w:szCs w:val="18"/>
          <w:lang w:val="en-US"/>
        </w:rPr>
        <w:t>that comply with any determinations or clarifications under section 19 in relation to subscription narrowcasting services.</w:t>
      </w:r>
    </w:p>
    <w:p w14:paraId="3E06DC51" w14:textId="18383B23" w:rsidR="005A31A1" w:rsidRPr="00505782" w:rsidRDefault="005A31A1" w:rsidP="005A31A1">
      <w:pPr>
        <w:pStyle w:val="ACMABodyText"/>
        <w:spacing w:before="240"/>
        <w:rPr>
          <w:rFonts w:cs="Arial"/>
          <w:bCs/>
          <w:iCs/>
          <w:lang w:val="en-US"/>
        </w:rPr>
      </w:pPr>
      <w:r w:rsidRPr="005A31A1">
        <w:rPr>
          <w:rFonts w:cs="Arial"/>
          <w:bCs/>
          <w:iCs/>
          <w:lang w:val="en-US"/>
        </w:rPr>
        <w:t>Due to the targeted nature of the programming available on the Channel, Foxtel submits that the Channel satisfies the criteria for a subscription narrowcasting service. Accordingly, Foxtel submits that the programming on the Channel is governed by the ASTRA Subscription Narrowcast Television Codes of Practice 2013 (</w:t>
      </w:r>
      <w:r w:rsidRPr="005A31A1">
        <w:rPr>
          <w:rFonts w:cs="Arial"/>
          <w:b/>
          <w:bCs/>
          <w:iCs/>
          <w:lang w:val="en-US"/>
        </w:rPr>
        <w:t>ASTRA Codes</w:t>
      </w:r>
      <w:r w:rsidRPr="005A31A1">
        <w:rPr>
          <w:rFonts w:cs="Arial"/>
          <w:bCs/>
          <w:iCs/>
          <w:lang w:val="en-US"/>
        </w:rPr>
        <w:t>).</w:t>
      </w:r>
    </w:p>
    <w:p w14:paraId="3FFB22CA" w14:textId="47BD0284" w:rsidR="005A31A1" w:rsidRPr="005A31A1" w:rsidRDefault="005A31A1" w:rsidP="005A31A1">
      <w:pPr>
        <w:pStyle w:val="ACMABodyText"/>
        <w:numPr>
          <w:ilvl w:val="0"/>
          <w:numId w:val="27"/>
        </w:numPr>
        <w:spacing w:before="240"/>
        <w:rPr>
          <w:rFonts w:cs="Arial"/>
          <w:b/>
          <w:bCs/>
          <w:iCs/>
          <w:lang w:val="en-US"/>
        </w:rPr>
      </w:pPr>
      <w:r w:rsidRPr="005A31A1">
        <w:rPr>
          <w:rFonts w:cs="Arial"/>
          <w:b/>
          <w:bCs/>
          <w:iCs/>
          <w:u w:val="single"/>
          <w:lang w:val="en-US"/>
        </w:rPr>
        <w:t>The Programs</w:t>
      </w:r>
    </w:p>
    <w:p w14:paraId="623F95C6" w14:textId="4D8B3F4C" w:rsidR="005A31A1" w:rsidRPr="005A31A1" w:rsidRDefault="005A31A1" w:rsidP="005A31A1">
      <w:pPr>
        <w:pStyle w:val="ACMABodyText"/>
        <w:spacing w:before="240"/>
        <w:rPr>
          <w:rFonts w:cs="Arial"/>
          <w:bCs/>
          <w:iCs/>
          <w:lang w:val="en-US"/>
        </w:rPr>
      </w:pPr>
      <w:r w:rsidRPr="005A31A1">
        <w:rPr>
          <w:rFonts w:cs="Arial"/>
          <w:bCs/>
          <w:i/>
          <w:iCs/>
          <w:lang w:val="en-US"/>
        </w:rPr>
        <w:t xml:space="preserve">Ministry Now </w:t>
      </w:r>
      <w:r w:rsidRPr="005A31A1">
        <w:rPr>
          <w:rFonts w:cs="Arial"/>
          <w:bCs/>
          <w:iCs/>
          <w:lang w:val="en-US"/>
        </w:rPr>
        <w:t xml:space="preserve">is a talk show, </w:t>
      </w:r>
      <w:r w:rsidR="005B7D9B">
        <w:rPr>
          <w:rFonts w:cs="Arial"/>
          <w:bCs/>
          <w:iCs/>
          <w:lang w:val="en-US"/>
        </w:rPr>
        <w:t>[</w:t>
      </w:r>
      <w:r w:rsidR="00E53166">
        <w:rPr>
          <w:rFonts w:cs="Arial"/>
          <w:bCs/>
          <w:iCs/>
          <w:lang w:val="en-US"/>
        </w:rPr>
        <w:t>…</w:t>
      </w:r>
      <w:r w:rsidR="005B7D9B">
        <w:rPr>
          <w:rFonts w:cs="Arial"/>
          <w:bCs/>
          <w:iCs/>
          <w:lang w:val="en-US"/>
        </w:rPr>
        <w:t>]</w:t>
      </w:r>
      <w:r w:rsidRPr="005A31A1">
        <w:rPr>
          <w:rFonts w:cs="Arial"/>
          <w:bCs/>
          <w:iCs/>
          <w:lang w:val="en-US"/>
        </w:rPr>
        <w:t xml:space="preserve">. In each episode </w:t>
      </w:r>
      <w:r w:rsidR="00E53166">
        <w:rPr>
          <w:rFonts w:cs="Arial"/>
          <w:bCs/>
          <w:iCs/>
          <w:lang w:val="en-US"/>
        </w:rPr>
        <w:t>[Host</w:t>
      </w:r>
      <w:r w:rsidR="00A76E3A">
        <w:rPr>
          <w:rFonts w:cs="Arial"/>
          <w:bCs/>
          <w:iCs/>
          <w:lang w:val="en-US"/>
        </w:rPr>
        <w:t xml:space="preserve"> 1 and Host 2</w:t>
      </w:r>
      <w:r w:rsidR="00E53166">
        <w:rPr>
          <w:rFonts w:cs="Arial"/>
          <w:bCs/>
          <w:iCs/>
          <w:lang w:val="en-US"/>
        </w:rPr>
        <w:t xml:space="preserve">] </w:t>
      </w:r>
      <w:r w:rsidRPr="005A31A1">
        <w:rPr>
          <w:rFonts w:cs="Arial"/>
          <w:bCs/>
          <w:iCs/>
          <w:lang w:val="en-US"/>
        </w:rPr>
        <w:t xml:space="preserve">discuss their ministry and issues affecting the Christian faith, accompanied by the music of the Daystar Singers. In the episode broadcast on 1 September 2021, </w:t>
      </w:r>
      <w:r w:rsidR="0051652B">
        <w:rPr>
          <w:rFonts w:cs="Arial"/>
          <w:bCs/>
          <w:iCs/>
          <w:lang w:val="en-US"/>
        </w:rPr>
        <w:t>[…]</w:t>
      </w:r>
      <w:r w:rsidR="00E53166">
        <w:rPr>
          <w:rFonts w:cs="Arial"/>
          <w:bCs/>
          <w:iCs/>
          <w:lang w:val="en-US"/>
        </w:rPr>
        <w:t xml:space="preserve"> </w:t>
      </w:r>
      <w:r w:rsidRPr="005A31A1">
        <w:rPr>
          <w:rFonts w:cs="Arial"/>
          <w:bCs/>
          <w:iCs/>
          <w:lang w:val="en-US"/>
        </w:rPr>
        <w:t>were joined by</w:t>
      </w:r>
      <w:r w:rsidR="0051652B">
        <w:rPr>
          <w:rFonts w:cs="Arial"/>
          <w:bCs/>
          <w:iCs/>
          <w:lang w:val="en-US"/>
        </w:rPr>
        <w:t xml:space="preserve"> </w:t>
      </w:r>
      <w:r w:rsidRPr="005A31A1">
        <w:rPr>
          <w:rFonts w:cs="Arial"/>
          <w:bCs/>
          <w:iCs/>
          <w:lang w:val="en-US"/>
        </w:rPr>
        <w:t xml:space="preserve">singer, </w:t>
      </w:r>
      <w:r w:rsidR="00E53166">
        <w:rPr>
          <w:rFonts w:cs="Arial"/>
          <w:bCs/>
          <w:iCs/>
          <w:lang w:val="en-US"/>
        </w:rPr>
        <w:t>[…]</w:t>
      </w:r>
      <w:r w:rsidRPr="005A31A1">
        <w:rPr>
          <w:rFonts w:cs="Arial"/>
          <w:bCs/>
          <w:iCs/>
          <w:lang w:val="en-US"/>
        </w:rPr>
        <w:t xml:space="preserve">, and </w:t>
      </w:r>
      <w:r w:rsidR="00E53166">
        <w:rPr>
          <w:rFonts w:cs="Arial"/>
          <w:bCs/>
          <w:iCs/>
          <w:lang w:val="en-US"/>
        </w:rPr>
        <w:t>[</w:t>
      </w:r>
      <w:r w:rsidR="00A85B88">
        <w:rPr>
          <w:rFonts w:cs="Arial"/>
          <w:bCs/>
          <w:iCs/>
          <w:lang w:val="en-US"/>
        </w:rPr>
        <w:t>D</w:t>
      </w:r>
      <w:r w:rsidR="00E53166">
        <w:rPr>
          <w:rFonts w:cs="Arial"/>
          <w:bCs/>
          <w:iCs/>
          <w:lang w:val="en-US"/>
        </w:rPr>
        <w:t xml:space="preserve">r. </w:t>
      </w:r>
      <w:r w:rsidR="00A76E3A">
        <w:rPr>
          <w:rFonts w:cs="Arial"/>
          <w:bCs/>
          <w:iCs/>
          <w:lang w:val="en-US"/>
        </w:rPr>
        <w:t>A</w:t>
      </w:r>
      <w:r w:rsidR="00E53166">
        <w:rPr>
          <w:rFonts w:cs="Arial"/>
          <w:bCs/>
          <w:iCs/>
          <w:lang w:val="en-US"/>
        </w:rPr>
        <w:t xml:space="preserve">] </w:t>
      </w:r>
      <w:r w:rsidRPr="005A31A1">
        <w:rPr>
          <w:rFonts w:cs="Arial"/>
          <w:bCs/>
          <w:iCs/>
          <w:lang w:val="en-US"/>
        </w:rPr>
        <w:t xml:space="preserve">who shared </w:t>
      </w:r>
      <w:r w:rsidR="005A7E8A" w:rsidRPr="0061771A">
        <w:rPr>
          <w:rFonts w:cs="Arial"/>
          <w:bCs/>
          <w:iCs/>
          <w:lang w:val="en-US"/>
        </w:rPr>
        <w:t xml:space="preserve">their </w:t>
      </w:r>
      <w:r w:rsidRPr="0061771A">
        <w:rPr>
          <w:rFonts w:cs="Arial"/>
          <w:bCs/>
          <w:iCs/>
          <w:lang w:val="en-US"/>
        </w:rPr>
        <w:t>v</w:t>
      </w:r>
      <w:r w:rsidRPr="005A31A1">
        <w:rPr>
          <w:rFonts w:cs="Arial"/>
          <w:bCs/>
          <w:iCs/>
          <w:lang w:val="en-US"/>
        </w:rPr>
        <w:t>iews on the current health status of the world.</w:t>
      </w:r>
    </w:p>
    <w:p w14:paraId="3B9B1CE2" w14:textId="12918B24" w:rsidR="00505782" w:rsidRDefault="005A31A1" w:rsidP="00505782">
      <w:pPr>
        <w:pStyle w:val="ACMABodyText"/>
        <w:spacing w:before="240"/>
        <w:rPr>
          <w:rFonts w:cs="Arial"/>
          <w:bCs/>
          <w:iCs/>
          <w:lang w:val="en-US"/>
        </w:rPr>
      </w:pPr>
      <w:r w:rsidRPr="005A31A1">
        <w:rPr>
          <w:rFonts w:cs="Arial"/>
          <w:bCs/>
          <w:i/>
          <w:iCs/>
          <w:lang w:val="en-US"/>
        </w:rPr>
        <w:t xml:space="preserve">Joni Table Talk </w:t>
      </w:r>
      <w:r w:rsidRPr="005A31A1">
        <w:rPr>
          <w:rFonts w:cs="Arial"/>
          <w:bCs/>
          <w:iCs/>
          <w:lang w:val="en-US"/>
        </w:rPr>
        <w:t xml:space="preserve">is a half hour talk show hosted by </w:t>
      </w:r>
      <w:r w:rsidR="004703FE">
        <w:rPr>
          <w:rFonts w:cs="Arial"/>
          <w:bCs/>
          <w:iCs/>
          <w:lang w:val="en-US"/>
        </w:rPr>
        <w:t>[</w:t>
      </w:r>
      <w:r w:rsidR="00644E33">
        <w:rPr>
          <w:rFonts w:cs="Arial"/>
          <w:bCs/>
          <w:iCs/>
          <w:lang w:val="en-US"/>
        </w:rPr>
        <w:t>Host</w:t>
      </w:r>
      <w:r w:rsidR="004703FE">
        <w:rPr>
          <w:rFonts w:cs="Arial"/>
          <w:bCs/>
          <w:iCs/>
          <w:lang w:val="en-US"/>
        </w:rPr>
        <w:t xml:space="preserve"> </w:t>
      </w:r>
      <w:r w:rsidR="00A76E3A">
        <w:rPr>
          <w:rFonts w:cs="Arial"/>
          <w:bCs/>
          <w:iCs/>
          <w:lang w:val="en-US"/>
        </w:rPr>
        <w:t>2</w:t>
      </w:r>
      <w:r w:rsidR="004703FE">
        <w:rPr>
          <w:rFonts w:cs="Arial"/>
          <w:bCs/>
          <w:iCs/>
          <w:lang w:val="en-US"/>
        </w:rPr>
        <w:t>]</w:t>
      </w:r>
      <w:r w:rsidRPr="005A31A1">
        <w:rPr>
          <w:rFonts w:cs="Arial"/>
          <w:bCs/>
          <w:iCs/>
          <w:lang w:val="en-US"/>
        </w:rPr>
        <w:t xml:space="preserve">. The format of the show is typically a round table discussion with other ministers, singers and celebrities discussing a wide range of topics that combine contemporary cultural issues and the Christian faith. The episode of </w:t>
      </w:r>
      <w:r w:rsidRPr="005A31A1">
        <w:rPr>
          <w:rFonts w:cs="Arial"/>
          <w:bCs/>
          <w:i/>
          <w:iCs/>
          <w:lang w:val="en-US"/>
        </w:rPr>
        <w:t xml:space="preserve">Joni Table Talk </w:t>
      </w:r>
      <w:r w:rsidRPr="005A31A1">
        <w:rPr>
          <w:rFonts w:cs="Arial"/>
          <w:bCs/>
          <w:iCs/>
          <w:lang w:val="en-US"/>
        </w:rPr>
        <w:t xml:space="preserve">broadcast on 24 September 2021 was hosted by </w:t>
      </w:r>
      <w:r w:rsidR="00E53166">
        <w:rPr>
          <w:rFonts w:cs="Arial"/>
          <w:bCs/>
          <w:iCs/>
          <w:lang w:val="en-US"/>
        </w:rPr>
        <w:t>[</w:t>
      </w:r>
      <w:r w:rsidR="00644E33">
        <w:rPr>
          <w:rFonts w:cs="Arial"/>
          <w:bCs/>
          <w:iCs/>
          <w:lang w:val="en-US"/>
        </w:rPr>
        <w:t>Host</w:t>
      </w:r>
      <w:r w:rsidR="004703FE">
        <w:rPr>
          <w:rFonts w:cs="Arial"/>
          <w:bCs/>
          <w:iCs/>
          <w:lang w:val="en-US"/>
        </w:rPr>
        <w:t xml:space="preserve"> </w:t>
      </w:r>
      <w:r w:rsidR="00A76E3A">
        <w:rPr>
          <w:rFonts w:cs="Arial"/>
          <w:bCs/>
          <w:iCs/>
          <w:lang w:val="en-US"/>
        </w:rPr>
        <w:t>2</w:t>
      </w:r>
      <w:r w:rsidR="00E53166">
        <w:rPr>
          <w:rFonts w:cs="Arial"/>
          <w:bCs/>
          <w:iCs/>
          <w:lang w:val="en-US"/>
        </w:rPr>
        <w:t>]</w:t>
      </w:r>
      <w:r w:rsidRPr="005A31A1">
        <w:rPr>
          <w:rFonts w:cs="Arial"/>
          <w:bCs/>
          <w:iCs/>
          <w:lang w:val="en-US"/>
        </w:rPr>
        <w:t xml:space="preserve"> with panellists, </w:t>
      </w:r>
      <w:r w:rsidR="0061771A">
        <w:rPr>
          <w:rFonts w:cs="Arial"/>
          <w:bCs/>
          <w:iCs/>
          <w:lang w:val="en-US"/>
        </w:rPr>
        <w:t xml:space="preserve">Dr C, </w:t>
      </w:r>
      <w:r w:rsidR="00E53166">
        <w:rPr>
          <w:rFonts w:cs="Arial"/>
          <w:bCs/>
          <w:iCs/>
          <w:lang w:val="en-US"/>
        </w:rPr>
        <w:t>[</w:t>
      </w:r>
      <w:r w:rsidR="00B44C45">
        <w:rPr>
          <w:rFonts w:cs="Arial"/>
          <w:bCs/>
          <w:iCs/>
          <w:lang w:val="en-US"/>
        </w:rPr>
        <w:t>…</w:t>
      </w:r>
      <w:r w:rsidR="004703FE">
        <w:rPr>
          <w:rFonts w:cs="Arial"/>
          <w:bCs/>
          <w:iCs/>
          <w:lang w:val="en-US"/>
        </w:rPr>
        <w:t>].</w:t>
      </w:r>
      <w:r w:rsidR="00B33BF3">
        <w:rPr>
          <w:rFonts w:cs="Arial"/>
          <w:bCs/>
          <w:iCs/>
          <w:lang w:val="en-US"/>
        </w:rPr>
        <w:t xml:space="preserve"> </w:t>
      </w:r>
      <w:r w:rsidR="004703FE">
        <w:rPr>
          <w:rFonts w:cs="Arial"/>
          <w:bCs/>
          <w:iCs/>
          <w:lang w:val="en-US"/>
        </w:rPr>
        <w:t>[Dr</w:t>
      </w:r>
      <w:r w:rsidR="006B0E22">
        <w:rPr>
          <w:rFonts w:cs="Arial"/>
          <w:bCs/>
          <w:iCs/>
          <w:lang w:val="en-US"/>
        </w:rPr>
        <w:t>.</w:t>
      </w:r>
      <w:r w:rsidR="004703FE">
        <w:rPr>
          <w:rFonts w:cs="Arial"/>
          <w:bCs/>
          <w:iCs/>
          <w:lang w:val="en-US"/>
        </w:rPr>
        <w:t xml:space="preserve"> </w:t>
      </w:r>
      <w:r w:rsidR="006B0E22">
        <w:rPr>
          <w:rFonts w:cs="Arial"/>
          <w:bCs/>
          <w:iCs/>
          <w:lang w:val="en-US"/>
        </w:rPr>
        <w:t>B</w:t>
      </w:r>
      <w:r w:rsidR="000712A9">
        <w:rPr>
          <w:rFonts w:cs="Arial"/>
          <w:bCs/>
          <w:iCs/>
          <w:lang w:val="en-US"/>
        </w:rPr>
        <w:t>]</w:t>
      </w:r>
      <w:r w:rsidRPr="005A31A1">
        <w:rPr>
          <w:rFonts w:cs="Arial"/>
          <w:bCs/>
          <w:iCs/>
          <w:lang w:val="en-US"/>
        </w:rPr>
        <w:t xml:space="preserve"> also joined the table to share </w:t>
      </w:r>
      <w:r w:rsidR="00B33BF3">
        <w:rPr>
          <w:rFonts w:cs="Arial"/>
          <w:bCs/>
          <w:iCs/>
          <w:lang w:val="en-US"/>
        </w:rPr>
        <w:t>[their]</w:t>
      </w:r>
      <w:r w:rsidR="00B33BF3" w:rsidRPr="005A31A1">
        <w:rPr>
          <w:rFonts w:cs="Arial"/>
          <w:bCs/>
          <w:iCs/>
          <w:lang w:val="en-US"/>
        </w:rPr>
        <w:t xml:space="preserve"> </w:t>
      </w:r>
      <w:r w:rsidRPr="005A31A1">
        <w:rPr>
          <w:rFonts w:cs="Arial"/>
          <w:bCs/>
          <w:iCs/>
          <w:lang w:val="en-US"/>
        </w:rPr>
        <w:t>views about COVID</w:t>
      </w:r>
      <w:r w:rsidRPr="005A31A1">
        <w:rPr>
          <w:rFonts w:ascii="Cambria Math" w:hAnsi="Cambria Math" w:cs="Cambria Math"/>
          <w:bCs/>
          <w:iCs/>
          <w:lang w:val="en-US"/>
        </w:rPr>
        <w:t>‐</w:t>
      </w:r>
      <w:r w:rsidRPr="005A31A1">
        <w:rPr>
          <w:rFonts w:cs="Arial"/>
          <w:bCs/>
          <w:iCs/>
          <w:lang w:val="en-US"/>
        </w:rPr>
        <w:t>19.</w:t>
      </w:r>
    </w:p>
    <w:p w14:paraId="18118DA9" w14:textId="5F7AF5AD" w:rsidR="00505782" w:rsidRPr="00505782" w:rsidRDefault="00505782" w:rsidP="00505782">
      <w:pPr>
        <w:pStyle w:val="ACMABodyText"/>
        <w:numPr>
          <w:ilvl w:val="0"/>
          <w:numId w:val="27"/>
        </w:numPr>
        <w:spacing w:before="240"/>
        <w:rPr>
          <w:rFonts w:cs="Arial"/>
          <w:b/>
          <w:bCs/>
          <w:iCs/>
          <w:lang w:val="en-US"/>
        </w:rPr>
      </w:pPr>
      <w:r w:rsidRPr="00505782">
        <w:rPr>
          <w:rFonts w:cs="Arial"/>
          <w:b/>
          <w:bCs/>
          <w:iCs/>
          <w:u w:val="single"/>
          <w:lang w:val="en-US"/>
        </w:rPr>
        <w:lastRenderedPageBreak/>
        <w:t>Compliance with the ASTRA Codes</w:t>
      </w:r>
    </w:p>
    <w:p w14:paraId="71B251D0" w14:textId="5A92FF8E" w:rsidR="005A31A1" w:rsidRPr="005A31A1" w:rsidRDefault="005A31A1" w:rsidP="005A31A1">
      <w:pPr>
        <w:pStyle w:val="ACMABodyText"/>
        <w:spacing w:before="240"/>
        <w:rPr>
          <w:rFonts w:cs="Arial"/>
          <w:bCs/>
          <w:iCs/>
          <w:lang w:val="en-US"/>
        </w:rPr>
      </w:pPr>
      <w:r w:rsidRPr="00845A2A">
        <w:rPr>
          <w:rFonts w:cs="Arial"/>
          <w:bCs/>
          <w:iCs/>
          <w:lang w:val="en-US"/>
        </w:rPr>
        <w:t>It is a contractual requirement under the Agreement that the Channel Supplier complies with the applicable regulatory codes and directions including the ASTRA Codes, and all applicable State and Federal legislation relating to the content broadcast on the Channel. The Channel Supplier has advised Foxtel that it takes very seriously its responsibility to ensure compliance with the ASTRA Codes with respect to all content broadcast on the Channel.</w:t>
      </w:r>
    </w:p>
    <w:p w14:paraId="61721404" w14:textId="77777777" w:rsidR="005A31A1" w:rsidRPr="005A31A1" w:rsidRDefault="005A31A1" w:rsidP="005A31A1">
      <w:pPr>
        <w:pStyle w:val="ACMABodyText"/>
        <w:spacing w:before="240"/>
        <w:rPr>
          <w:rFonts w:cs="Arial"/>
          <w:bCs/>
          <w:iCs/>
          <w:lang w:val="en-US"/>
        </w:rPr>
      </w:pPr>
      <w:r w:rsidRPr="005A31A1">
        <w:rPr>
          <w:rFonts w:cs="Arial"/>
          <w:bCs/>
          <w:iCs/>
          <w:lang w:val="en-US"/>
        </w:rPr>
        <w:t>Foxtel considers both Programs to be a general “program” under the ASTRA Codes, which is defined as “</w:t>
      </w:r>
      <w:r w:rsidRPr="005A31A1">
        <w:rPr>
          <w:rFonts w:cs="Arial"/>
          <w:bCs/>
          <w:i/>
          <w:iCs/>
          <w:lang w:val="en-US"/>
        </w:rPr>
        <w:t>matter the primary purpose of which is to entertain, to educate or to inform an audience</w:t>
      </w:r>
      <w:r w:rsidRPr="005A31A1">
        <w:rPr>
          <w:rFonts w:cs="Arial"/>
          <w:bCs/>
          <w:iCs/>
          <w:lang w:val="en-US"/>
        </w:rPr>
        <w:t>”.</w:t>
      </w:r>
    </w:p>
    <w:p w14:paraId="182889FA" w14:textId="77777777" w:rsidR="005A31A1" w:rsidRPr="005A31A1" w:rsidRDefault="005A31A1" w:rsidP="005A31A1">
      <w:pPr>
        <w:pStyle w:val="ACMABodyText"/>
        <w:spacing w:before="240"/>
        <w:rPr>
          <w:rFonts w:cs="Arial"/>
          <w:bCs/>
          <w:iCs/>
          <w:lang w:val="en-US"/>
        </w:rPr>
      </w:pPr>
      <w:r w:rsidRPr="005A31A1">
        <w:rPr>
          <w:rFonts w:cs="Arial"/>
          <w:bCs/>
          <w:iCs/>
          <w:lang w:val="en-US"/>
        </w:rPr>
        <w:t>We confirm that the Channel Supplier and Foxtel do not consider that that the Programs are “news and current affairs programs” for the purposes of the ASTRA Codes.</w:t>
      </w:r>
    </w:p>
    <w:p w14:paraId="0D26AA06" w14:textId="77777777" w:rsidR="005A31A1" w:rsidRPr="005A31A1" w:rsidRDefault="005A31A1" w:rsidP="005A31A1">
      <w:pPr>
        <w:pStyle w:val="ACMABodyText"/>
        <w:spacing w:before="240"/>
        <w:rPr>
          <w:rFonts w:cs="Arial"/>
          <w:bCs/>
          <w:iCs/>
          <w:lang w:val="en-US"/>
        </w:rPr>
      </w:pPr>
      <w:r w:rsidRPr="005A31A1">
        <w:rPr>
          <w:rFonts w:cs="Arial"/>
          <w:bCs/>
          <w:iCs/>
          <w:lang w:val="en-US"/>
        </w:rPr>
        <w:t>Although not defined under the ASTRA Codes, the term “news and current affairs programs” is defined under the Subscription Broadcast Television Codes of Practice 2013 and means “</w:t>
      </w:r>
      <w:r w:rsidRPr="005A31A1">
        <w:rPr>
          <w:rFonts w:cs="Arial"/>
          <w:bCs/>
          <w:i/>
          <w:iCs/>
          <w:lang w:val="en-US"/>
        </w:rPr>
        <w:t>programs which report on current or recent happenings and include short bulletins, filmed coverage of international, national and local events, report on weather and essential services.</w:t>
      </w:r>
      <w:r w:rsidRPr="005A31A1">
        <w:rPr>
          <w:rFonts w:cs="Arial"/>
          <w:bCs/>
          <w:iCs/>
          <w:lang w:val="en-US"/>
        </w:rPr>
        <w:t>” The Channel Supplier has advised that the Channel does not purport to be a news and current affairs channel, nor does it include any news and current affairs programming. Rather, the Programs include gospel singing, prayer and discussion of issues relating to COVID</w:t>
      </w:r>
      <w:r w:rsidRPr="005A31A1">
        <w:rPr>
          <w:rFonts w:ascii="Cambria Math" w:hAnsi="Cambria Math" w:cs="Cambria Math"/>
          <w:bCs/>
          <w:iCs/>
          <w:lang w:val="en-US"/>
        </w:rPr>
        <w:t>‐</w:t>
      </w:r>
      <w:r w:rsidRPr="005A31A1">
        <w:rPr>
          <w:rFonts w:cs="Arial"/>
          <w:bCs/>
          <w:iCs/>
          <w:lang w:val="en-US"/>
        </w:rPr>
        <w:t>19, with a faith</w:t>
      </w:r>
      <w:r w:rsidRPr="005A31A1">
        <w:rPr>
          <w:rFonts w:ascii="Cambria Math" w:hAnsi="Cambria Math" w:cs="Cambria Math"/>
          <w:bCs/>
          <w:iCs/>
          <w:lang w:val="en-US"/>
        </w:rPr>
        <w:t>‐</w:t>
      </w:r>
      <w:r w:rsidRPr="005A31A1">
        <w:rPr>
          <w:rFonts w:cs="Arial"/>
          <w:bCs/>
          <w:iCs/>
          <w:lang w:val="en-US"/>
        </w:rPr>
        <w:t>based focus. The nature of the Programs means from time to time, current events will be discussed by panellists. Foxtel does not however consider that the Programs report on current happenings, nor do they include bulletins or coverage of events.</w:t>
      </w:r>
    </w:p>
    <w:p w14:paraId="27CF9789" w14:textId="77777777" w:rsidR="005A31A1" w:rsidRPr="005A31A1" w:rsidRDefault="005A31A1" w:rsidP="005A31A1">
      <w:pPr>
        <w:pStyle w:val="ACMABodyText"/>
        <w:spacing w:before="240"/>
        <w:rPr>
          <w:rFonts w:cs="Arial"/>
          <w:bCs/>
          <w:iCs/>
          <w:lang w:val="en-US"/>
        </w:rPr>
      </w:pPr>
      <w:r w:rsidRPr="005A31A1">
        <w:rPr>
          <w:rFonts w:cs="Arial"/>
          <w:bCs/>
          <w:iCs/>
          <w:lang w:val="en-US"/>
        </w:rPr>
        <w:t>Given the Programs are not news or current affairs programs, Foxtel submits that the most relevant provision of the ASTRA Codes for the purposes of this inquiry is clause 1.7 which relates to broadcasting interviews and television conversations. Clause 1.7 provides as follows:</w:t>
      </w:r>
    </w:p>
    <w:p w14:paraId="1538D653" w14:textId="77777777" w:rsidR="005A31A1" w:rsidRPr="005A31A1" w:rsidRDefault="005A31A1" w:rsidP="005A31A1">
      <w:pPr>
        <w:pStyle w:val="ACMABodyText"/>
        <w:spacing w:before="240"/>
        <w:ind w:left="426"/>
        <w:rPr>
          <w:rFonts w:cs="Arial"/>
          <w:bCs/>
          <w:i/>
          <w:iCs/>
          <w:sz w:val="18"/>
          <w:szCs w:val="18"/>
          <w:lang w:val="en-US"/>
        </w:rPr>
      </w:pPr>
      <w:r w:rsidRPr="005A31A1">
        <w:rPr>
          <w:rFonts w:cs="Arial"/>
          <w:bCs/>
          <w:i/>
          <w:iCs/>
          <w:sz w:val="18"/>
          <w:szCs w:val="18"/>
          <w:lang w:val="en-US"/>
        </w:rPr>
        <w:t>Narrowcasters are subject to relevant Federal and State law when broadcasting interviews and television conversations.</w:t>
      </w:r>
    </w:p>
    <w:p w14:paraId="7A27975C" w14:textId="77777777" w:rsidR="005A31A1" w:rsidRPr="005A31A1" w:rsidRDefault="005A31A1" w:rsidP="005A31A1">
      <w:pPr>
        <w:pStyle w:val="ACMABodyText"/>
        <w:spacing w:before="240"/>
        <w:rPr>
          <w:rFonts w:cs="Arial"/>
          <w:bCs/>
          <w:iCs/>
          <w:lang w:val="en-US"/>
        </w:rPr>
      </w:pPr>
      <w:r w:rsidRPr="005A31A1">
        <w:rPr>
          <w:rFonts w:cs="Arial"/>
          <w:bCs/>
          <w:iCs/>
          <w:lang w:val="en-US"/>
        </w:rPr>
        <w:t>Foxtel is not aware of any relevant Federal or State law which the interviews and conversations broadcast during the Programs have breached. Accordingly, Foxtel submits that it complied with clause 1.7 of the ASTRA Codes when the Programs were broadcast on the Channel.</w:t>
      </w:r>
    </w:p>
    <w:p w14:paraId="404170C7" w14:textId="65CC7BF4" w:rsidR="005A31A1" w:rsidRPr="005A31A1" w:rsidRDefault="00505782" w:rsidP="005A31A1">
      <w:pPr>
        <w:pStyle w:val="ACMABodyText"/>
        <w:spacing w:before="240"/>
        <w:rPr>
          <w:rFonts w:cs="Arial"/>
          <w:bCs/>
          <w:iCs/>
          <w:lang w:val="en-US"/>
        </w:rPr>
      </w:pPr>
      <w:r>
        <w:rPr>
          <w:rFonts w:cs="Arial"/>
          <w:bCs/>
          <w:iCs/>
          <w:lang w:val="en-US"/>
        </w:rPr>
        <w:t>[…]</w:t>
      </w:r>
    </w:p>
    <w:p w14:paraId="68A9E315" w14:textId="74103256" w:rsidR="00505782" w:rsidRPr="0013388E" w:rsidRDefault="00505782" w:rsidP="0013388E">
      <w:pPr>
        <w:pStyle w:val="ACMABodyTextBold"/>
      </w:pPr>
      <w:r w:rsidRPr="0013388E">
        <w:t>Extracts of the Licensee response to the ACMA dated 22 December 2021</w:t>
      </w:r>
    </w:p>
    <w:p w14:paraId="58798AC6" w14:textId="77777777" w:rsidR="00505782" w:rsidRPr="007368A9" w:rsidRDefault="00505782" w:rsidP="00505782">
      <w:pPr>
        <w:pStyle w:val="ACMABodyText"/>
        <w:rPr>
          <w:bCs/>
          <w:iCs/>
        </w:rPr>
      </w:pPr>
      <w:r w:rsidRPr="007368A9">
        <w:rPr>
          <w:bCs/>
          <w:iCs/>
        </w:rPr>
        <w:t>[…]</w:t>
      </w:r>
    </w:p>
    <w:p w14:paraId="12549468" w14:textId="4E550423" w:rsidR="00667114" w:rsidRPr="00667114" w:rsidRDefault="00667114" w:rsidP="00667114">
      <w:pPr>
        <w:pStyle w:val="ACMABodyText"/>
        <w:rPr>
          <w:bCs/>
          <w:lang w:val="en-US"/>
        </w:rPr>
      </w:pPr>
      <w:r w:rsidRPr="00667114">
        <w:rPr>
          <w:bCs/>
          <w:lang w:val="en-US"/>
        </w:rPr>
        <w:t xml:space="preserve">We refer to your correspondence dated 6 December 2021 regarding the programs </w:t>
      </w:r>
      <w:r w:rsidRPr="00667114">
        <w:rPr>
          <w:bCs/>
          <w:i/>
          <w:lang w:val="en-US"/>
        </w:rPr>
        <w:t xml:space="preserve">Ministry Now </w:t>
      </w:r>
      <w:r w:rsidRPr="00667114">
        <w:rPr>
          <w:bCs/>
          <w:lang w:val="en-US"/>
        </w:rPr>
        <w:t xml:space="preserve">and </w:t>
      </w:r>
      <w:r w:rsidRPr="00667114">
        <w:rPr>
          <w:bCs/>
          <w:i/>
          <w:lang w:val="en-US"/>
        </w:rPr>
        <w:t xml:space="preserve">Joni Table Talk </w:t>
      </w:r>
      <w:r w:rsidRPr="00667114">
        <w:rPr>
          <w:bCs/>
          <w:lang w:val="en-US"/>
        </w:rPr>
        <w:t>(</w:t>
      </w:r>
      <w:r w:rsidRPr="00667114">
        <w:rPr>
          <w:b/>
          <w:lang w:val="en-US"/>
        </w:rPr>
        <w:t>Programs</w:t>
      </w:r>
      <w:r w:rsidRPr="00667114">
        <w:rPr>
          <w:bCs/>
          <w:lang w:val="en-US"/>
        </w:rPr>
        <w:t>) broadcast on Daystar (</w:t>
      </w:r>
      <w:r w:rsidRPr="00667114">
        <w:rPr>
          <w:b/>
          <w:lang w:val="en-US"/>
        </w:rPr>
        <w:t>Channel</w:t>
      </w:r>
      <w:r w:rsidRPr="00667114">
        <w:rPr>
          <w:bCs/>
          <w:lang w:val="en-US"/>
        </w:rPr>
        <w:t>) on 1 September 2021 and 24 September 2021 respectively.</w:t>
      </w:r>
    </w:p>
    <w:p w14:paraId="6C210924" w14:textId="77777777" w:rsidR="00667114" w:rsidRPr="00667114" w:rsidRDefault="00667114" w:rsidP="00667114">
      <w:pPr>
        <w:pStyle w:val="ACMABodyText"/>
        <w:rPr>
          <w:bCs/>
          <w:lang w:val="en-US"/>
        </w:rPr>
      </w:pPr>
      <w:r w:rsidRPr="00667114">
        <w:rPr>
          <w:bCs/>
          <w:lang w:val="en-US"/>
        </w:rPr>
        <w:t xml:space="preserve">We note that the ACMA has commenced an investigation into the Programs under the </w:t>
      </w:r>
      <w:r w:rsidRPr="00667114">
        <w:rPr>
          <w:bCs/>
          <w:i/>
          <w:lang w:val="en-US"/>
        </w:rPr>
        <w:t xml:space="preserve">Broadcasting Services Act 1992 </w:t>
      </w:r>
      <w:r w:rsidRPr="00667114">
        <w:rPr>
          <w:bCs/>
          <w:lang w:val="en-US"/>
        </w:rPr>
        <w:t>(Cth) in relation to Foxtel’s compliance with the Subscription Narrowcast Television Codes of Practice 2013 (</w:t>
      </w:r>
      <w:r w:rsidRPr="00667114">
        <w:rPr>
          <w:b/>
          <w:lang w:val="en-US"/>
        </w:rPr>
        <w:t>STV Code</w:t>
      </w:r>
      <w:r w:rsidRPr="00667114">
        <w:rPr>
          <w:bCs/>
          <w:lang w:val="en-US"/>
        </w:rPr>
        <w:t>).</w:t>
      </w:r>
    </w:p>
    <w:p w14:paraId="2B67E8C5" w14:textId="77777777" w:rsidR="00667114" w:rsidRPr="00667114" w:rsidRDefault="00667114" w:rsidP="00667114">
      <w:pPr>
        <w:pStyle w:val="ACMABodyText"/>
        <w:rPr>
          <w:bCs/>
          <w:lang w:val="en-US"/>
        </w:rPr>
      </w:pPr>
      <w:r w:rsidRPr="00667114">
        <w:rPr>
          <w:bCs/>
          <w:lang w:val="en-US"/>
        </w:rPr>
        <w:t xml:space="preserve">Foxtel provides its written submissions on compliance with the STV Code below. It is Foxtel’s primary submission that the accuracy requirements under clause 1.2 of the STV Code do not apply to the Programs, because the programs are not news and current affairs programs. Whilst that submission answers the ACMA’s investigation in its entirety, Foxtel also addresses </w:t>
      </w:r>
      <w:r w:rsidRPr="00667114">
        <w:rPr>
          <w:bCs/>
          <w:lang w:val="en-US"/>
        </w:rPr>
        <w:lastRenderedPageBreak/>
        <w:t>the specific issues of accuracy which have been posed by the ACMA and also notes the operation of the exceptions under the STV Code.</w:t>
      </w:r>
    </w:p>
    <w:p w14:paraId="21D4E7DE" w14:textId="77777777" w:rsidR="00667114" w:rsidRPr="00667114" w:rsidRDefault="00667114" w:rsidP="00667114">
      <w:pPr>
        <w:pStyle w:val="ACMABodyText"/>
        <w:rPr>
          <w:b/>
          <w:bCs/>
          <w:lang w:val="en-US"/>
        </w:rPr>
      </w:pPr>
      <w:r w:rsidRPr="00667114">
        <w:rPr>
          <w:b/>
          <w:bCs/>
          <w:lang w:val="en-US"/>
        </w:rPr>
        <w:t>Classification of the Programs under the STV Code</w:t>
      </w:r>
    </w:p>
    <w:p w14:paraId="67515CE3" w14:textId="77777777" w:rsidR="00667114" w:rsidRPr="00667114" w:rsidRDefault="00667114" w:rsidP="00667114">
      <w:pPr>
        <w:pStyle w:val="ACMABodyText"/>
        <w:rPr>
          <w:bCs/>
          <w:lang w:val="en-US"/>
        </w:rPr>
      </w:pPr>
      <w:r w:rsidRPr="00667114">
        <w:rPr>
          <w:bCs/>
          <w:lang w:val="en-US"/>
        </w:rPr>
        <w:t>Clause 1.2 of the STV Code requires that narrowcasters must “</w:t>
      </w:r>
      <w:r w:rsidRPr="00667114">
        <w:rPr>
          <w:bCs/>
          <w:i/>
          <w:lang w:val="en-US"/>
        </w:rPr>
        <w:t>present accurate and fair news and current affairs programs</w:t>
      </w:r>
      <w:r w:rsidRPr="00667114">
        <w:rPr>
          <w:bCs/>
          <w:lang w:val="en-US"/>
        </w:rPr>
        <w:t>.” Although the STV Code does not define “news and current affairs program”, clause 7 of the Subscription Broadcast Television Codes of Practice defines “</w:t>
      </w:r>
      <w:r w:rsidRPr="00667114">
        <w:rPr>
          <w:bCs/>
          <w:i/>
          <w:lang w:val="en-US"/>
        </w:rPr>
        <w:t>news and current affairs programs</w:t>
      </w:r>
      <w:r w:rsidRPr="00667114">
        <w:rPr>
          <w:bCs/>
          <w:lang w:val="en-US"/>
        </w:rPr>
        <w:t>” as “</w:t>
      </w:r>
      <w:r w:rsidRPr="00667114">
        <w:rPr>
          <w:bCs/>
          <w:i/>
          <w:lang w:val="en-US"/>
        </w:rPr>
        <w:t>programs which report on current or recent happenings and include short bulletins, filmed coverage of international, national and local events, report on weather and essential services</w:t>
      </w:r>
      <w:r w:rsidRPr="00667114">
        <w:rPr>
          <w:bCs/>
          <w:lang w:val="en-US"/>
        </w:rPr>
        <w:t>.”</w:t>
      </w:r>
    </w:p>
    <w:p w14:paraId="573A1248" w14:textId="3AFAB7FB" w:rsidR="00667114" w:rsidRPr="00667114" w:rsidRDefault="00667114" w:rsidP="00667114">
      <w:pPr>
        <w:pStyle w:val="ACMABodyText"/>
        <w:rPr>
          <w:bCs/>
        </w:rPr>
      </w:pPr>
      <w:r w:rsidRPr="00667114">
        <w:rPr>
          <w:bCs/>
        </w:rPr>
        <w:t>Foxtel does not consider that the Programs constitute “news and current affairs programs” as defined above.</w:t>
      </w:r>
    </w:p>
    <w:p w14:paraId="37655F49" w14:textId="71DD67E8" w:rsidR="00667114" w:rsidRPr="00667114" w:rsidRDefault="00667114" w:rsidP="00667114">
      <w:pPr>
        <w:pStyle w:val="ACMABodyText"/>
        <w:rPr>
          <w:bCs/>
        </w:rPr>
      </w:pPr>
      <w:r w:rsidRPr="00667114">
        <w:rPr>
          <w:bCs/>
        </w:rPr>
        <w:t>The Channel is an evangelical Christian</w:t>
      </w:r>
      <w:r w:rsidRPr="00667114">
        <w:rPr>
          <w:rFonts w:ascii="Cambria Math" w:hAnsi="Cambria Math" w:cs="Cambria Math"/>
          <w:bCs/>
        </w:rPr>
        <w:t>‐</w:t>
      </w:r>
      <w:r w:rsidRPr="00667114">
        <w:rPr>
          <w:bCs/>
        </w:rPr>
        <w:t>based religious television network founded and operated</w:t>
      </w:r>
      <w:r>
        <w:rPr>
          <w:bCs/>
        </w:rPr>
        <w:t xml:space="preserve"> </w:t>
      </w:r>
      <w:r w:rsidRPr="00667114">
        <w:rPr>
          <w:bCs/>
          <w:iCs/>
        </w:rPr>
        <w:t>from the United States. The “About” page on the website of the provider of the Channel states that</w:t>
      </w:r>
      <w:r w:rsidRPr="00667114">
        <w:rPr>
          <w:bCs/>
          <w:i/>
        </w:rPr>
        <w:t>:</w:t>
      </w:r>
    </w:p>
    <w:p w14:paraId="38CC3911" w14:textId="2EDE7D08" w:rsidR="000A436F" w:rsidRPr="00CE04AB" w:rsidRDefault="00CE04AB" w:rsidP="00CE04AB">
      <w:pPr>
        <w:pStyle w:val="ACMABodyText"/>
        <w:spacing w:before="240" w:line="240" w:lineRule="auto"/>
        <w:ind w:left="425"/>
        <w:rPr>
          <w:rFonts w:cs="Arial"/>
          <w:bCs/>
          <w:i/>
          <w:iCs/>
          <w:sz w:val="18"/>
          <w:szCs w:val="18"/>
          <w:lang w:val="en-US"/>
        </w:rPr>
      </w:pPr>
      <w:r w:rsidRPr="0061771A">
        <w:rPr>
          <w:rFonts w:cs="Arial"/>
          <w:bCs/>
          <w:i/>
          <w:iCs/>
          <w:sz w:val="18"/>
          <w:szCs w:val="18"/>
          <w:lang w:val="en-US"/>
        </w:rPr>
        <w:t>Daystar Television Network</w:t>
      </w:r>
      <w:r w:rsidRPr="00CE04AB">
        <w:rPr>
          <w:rFonts w:cs="Arial"/>
          <w:bCs/>
          <w:i/>
          <w:iCs/>
          <w:sz w:val="18"/>
          <w:szCs w:val="18"/>
          <w:lang w:val="en-US"/>
        </w:rPr>
        <w:t xml:space="preserve"> has a singular goal; to reach souls with the good news of Jesus Christ. We seek out every available means of distribution to a world in need of hope. With an extensive blend of interdenominational and multi</w:t>
      </w:r>
      <w:r w:rsidRPr="00CE04AB">
        <w:rPr>
          <w:rFonts w:ascii="Cambria Math" w:hAnsi="Cambria Math" w:cs="Cambria Math"/>
          <w:bCs/>
          <w:i/>
          <w:iCs/>
          <w:sz w:val="18"/>
          <w:szCs w:val="18"/>
          <w:lang w:val="en-US"/>
        </w:rPr>
        <w:t>‐</w:t>
      </w:r>
      <w:r w:rsidRPr="00CE04AB">
        <w:rPr>
          <w:rFonts w:cs="Arial"/>
          <w:bCs/>
          <w:i/>
          <w:iCs/>
          <w:sz w:val="18"/>
          <w:szCs w:val="18"/>
          <w:lang w:val="en-US"/>
        </w:rPr>
        <w:t>cultural programming, Daystar is committed to producing and providing quality television that will reach our viewers, refresh their lives and renew their hearts</w:t>
      </w:r>
      <w:r w:rsidR="004764FA">
        <w:rPr>
          <w:rFonts w:cs="Arial"/>
          <w:bCs/>
          <w:i/>
          <w:iCs/>
          <w:sz w:val="18"/>
          <w:szCs w:val="18"/>
          <w:lang w:val="en-US"/>
        </w:rPr>
        <w:t>.</w:t>
      </w:r>
      <w:r w:rsidR="00831ED3">
        <w:rPr>
          <w:rStyle w:val="FootnoteReference"/>
          <w:rFonts w:cs="Arial"/>
          <w:bCs/>
          <w:i/>
          <w:iCs/>
          <w:sz w:val="18"/>
          <w:szCs w:val="18"/>
          <w:lang w:val="en-US"/>
        </w:rPr>
        <w:footnoteReference w:id="24"/>
      </w:r>
    </w:p>
    <w:p w14:paraId="4433999E" w14:textId="0C76C543" w:rsidR="00CE04AB" w:rsidRPr="00CE04AB" w:rsidRDefault="00CE04AB" w:rsidP="00CE04AB">
      <w:pPr>
        <w:pStyle w:val="ACMABodyText"/>
        <w:rPr>
          <w:bCs/>
          <w:iCs/>
          <w:lang w:val="en-US"/>
        </w:rPr>
      </w:pPr>
      <w:r w:rsidRPr="00CE04AB">
        <w:rPr>
          <w:bCs/>
          <w:iCs/>
          <w:lang w:val="en-US"/>
        </w:rPr>
        <w:t xml:space="preserve">Similarly, the associated </w:t>
      </w:r>
      <w:r w:rsidR="00845A2A" w:rsidRPr="0061771A">
        <w:rPr>
          <w:bCs/>
          <w:iCs/>
          <w:lang w:val="en-US"/>
        </w:rPr>
        <w:t>online</w:t>
      </w:r>
      <w:r w:rsidR="00845A2A" w:rsidRPr="00CE04AB">
        <w:rPr>
          <w:bCs/>
          <w:iCs/>
          <w:lang w:val="en-US"/>
        </w:rPr>
        <w:t xml:space="preserve"> </w:t>
      </w:r>
      <w:r w:rsidRPr="00CE04AB">
        <w:rPr>
          <w:bCs/>
          <w:iCs/>
          <w:lang w:val="en-US"/>
        </w:rPr>
        <w:t>channel, which contains videos of extracts of programming from the Channel, provides the following description in relation to Daystar:</w:t>
      </w:r>
    </w:p>
    <w:p w14:paraId="30E56A6D" w14:textId="7440C286" w:rsidR="00CE04AB" w:rsidRPr="00CE04AB" w:rsidRDefault="00CE04AB" w:rsidP="00CE04AB">
      <w:pPr>
        <w:pStyle w:val="ACMABodyText"/>
        <w:spacing w:before="240" w:line="240" w:lineRule="auto"/>
        <w:ind w:left="425"/>
        <w:rPr>
          <w:rFonts w:cs="Arial"/>
          <w:bCs/>
          <w:i/>
          <w:iCs/>
          <w:sz w:val="18"/>
          <w:szCs w:val="18"/>
          <w:lang w:val="en-US"/>
        </w:rPr>
      </w:pPr>
      <w:r w:rsidRPr="00CE04AB">
        <w:rPr>
          <w:rFonts w:cs="Arial"/>
          <w:bCs/>
          <w:i/>
          <w:iCs/>
          <w:sz w:val="18"/>
          <w:szCs w:val="18"/>
          <w:lang w:val="en-US"/>
        </w:rPr>
        <w:t>When you need encouragement, hope or inspiration, Daystar Television Network is here for you. From uplifting messages to insight and tips on how to improve your everyday life, this channel will help you become exactly who God made you to be – a person created with purpose. So if you’re ready to experience creative, life</w:t>
      </w:r>
      <w:r w:rsidRPr="00CE04AB">
        <w:rPr>
          <w:rFonts w:ascii="Cambria Math" w:hAnsi="Cambria Math" w:cs="Cambria Math"/>
          <w:bCs/>
          <w:i/>
          <w:iCs/>
          <w:sz w:val="18"/>
          <w:szCs w:val="18"/>
          <w:lang w:val="en-US"/>
        </w:rPr>
        <w:t>‐</w:t>
      </w:r>
      <w:r w:rsidRPr="00CE04AB">
        <w:rPr>
          <w:rFonts w:cs="Arial"/>
          <w:bCs/>
          <w:i/>
          <w:iCs/>
          <w:sz w:val="18"/>
          <w:szCs w:val="18"/>
          <w:lang w:val="en-US"/>
        </w:rPr>
        <w:t>changing messages and embrace your unique calling in Christ, subscribe today!</w:t>
      </w:r>
      <w:r w:rsidR="00831ED3">
        <w:rPr>
          <w:rStyle w:val="FootnoteReference"/>
          <w:rFonts w:cs="Arial"/>
          <w:bCs/>
          <w:i/>
          <w:iCs/>
          <w:sz w:val="18"/>
          <w:szCs w:val="18"/>
          <w:lang w:val="en-US"/>
        </w:rPr>
        <w:footnoteReference w:id="25"/>
      </w:r>
    </w:p>
    <w:p w14:paraId="454FCA55" w14:textId="77777777" w:rsidR="00CE04AB" w:rsidRPr="00CE04AB" w:rsidRDefault="00CE04AB" w:rsidP="00CE04AB">
      <w:pPr>
        <w:pStyle w:val="ACMABodyText"/>
        <w:rPr>
          <w:bCs/>
          <w:iCs/>
          <w:lang w:val="en-US"/>
        </w:rPr>
      </w:pPr>
      <w:r w:rsidRPr="00CE04AB">
        <w:rPr>
          <w:bCs/>
          <w:iCs/>
          <w:lang w:val="en-US"/>
        </w:rPr>
        <w:t>These descriptions indicate that the Channel is marketed and provided exclusively as a faith</w:t>
      </w:r>
      <w:r w:rsidRPr="00CE04AB">
        <w:rPr>
          <w:rFonts w:ascii="Cambria Math" w:hAnsi="Cambria Math" w:cs="Cambria Math"/>
          <w:bCs/>
          <w:iCs/>
          <w:lang w:val="en-US"/>
        </w:rPr>
        <w:t>‐</w:t>
      </w:r>
      <w:r w:rsidRPr="00CE04AB">
        <w:rPr>
          <w:bCs/>
          <w:iCs/>
          <w:lang w:val="en-US"/>
        </w:rPr>
        <w:t>based television service which promotes, and provides television intended to communicate, Christianity. The content of the Programs themselves also make this clear. For instance:</w:t>
      </w:r>
    </w:p>
    <w:p w14:paraId="4B2EA91E" w14:textId="0FFDF18A" w:rsidR="00CE04AB" w:rsidRPr="00CE04AB" w:rsidRDefault="00CE04AB" w:rsidP="004574E5">
      <w:pPr>
        <w:pStyle w:val="ACMABodyText"/>
        <w:numPr>
          <w:ilvl w:val="0"/>
          <w:numId w:val="28"/>
        </w:numPr>
        <w:spacing w:after="120" w:line="120" w:lineRule="atLeast"/>
        <w:ind w:left="567" w:hanging="533"/>
        <w:rPr>
          <w:bCs/>
          <w:iCs/>
          <w:lang w:val="en-US"/>
        </w:rPr>
      </w:pPr>
      <w:r w:rsidRPr="00CE04AB">
        <w:rPr>
          <w:bCs/>
          <w:iCs/>
          <w:lang w:val="en-US"/>
        </w:rPr>
        <w:t xml:space="preserve">the introduction to the </w:t>
      </w:r>
      <w:r w:rsidRPr="00CE04AB">
        <w:rPr>
          <w:bCs/>
          <w:i/>
          <w:iCs/>
          <w:lang w:val="en-US"/>
        </w:rPr>
        <w:t xml:space="preserve">Ministry Now </w:t>
      </w:r>
      <w:r w:rsidRPr="00CE04AB">
        <w:rPr>
          <w:bCs/>
          <w:iCs/>
          <w:lang w:val="en-US"/>
        </w:rPr>
        <w:t xml:space="preserve">program promotes upcoming Sunday Church services to be hosted by </w:t>
      </w:r>
      <w:r w:rsidR="000730AE">
        <w:rPr>
          <w:bCs/>
          <w:iCs/>
          <w:lang w:val="en-US"/>
        </w:rPr>
        <w:t>[</w:t>
      </w:r>
      <w:r w:rsidR="004703FE">
        <w:rPr>
          <w:bCs/>
          <w:iCs/>
          <w:lang w:val="en-US"/>
        </w:rPr>
        <w:t xml:space="preserve">Host </w:t>
      </w:r>
      <w:r w:rsidR="006B0E22">
        <w:rPr>
          <w:bCs/>
          <w:iCs/>
          <w:lang w:val="en-US"/>
        </w:rPr>
        <w:t>1</w:t>
      </w:r>
      <w:r w:rsidR="000730AE">
        <w:rPr>
          <w:bCs/>
          <w:iCs/>
          <w:lang w:val="en-US"/>
        </w:rPr>
        <w:t>]</w:t>
      </w:r>
      <w:r w:rsidRPr="00CE04AB">
        <w:rPr>
          <w:bCs/>
          <w:iCs/>
          <w:lang w:val="en-US"/>
        </w:rPr>
        <w:t xml:space="preserve"> and indicates that these services will be broadcast on the Channel;</w:t>
      </w:r>
    </w:p>
    <w:p w14:paraId="1435D59D" w14:textId="241E7334" w:rsidR="00CE04AB" w:rsidRPr="00CE04AB" w:rsidRDefault="00CE04AB" w:rsidP="004574E5">
      <w:pPr>
        <w:pStyle w:val="ACMABodyText"/>
        <w:numPr>
          <w:ilvl w:val="0"/>
          <w:numId w:val="28"/>
        </w:numPr>
        <w:spacing w:after="120" w:line="120" w:lineRule="atLeast"/>
        <w:ind w:left="567" w:hanging="533"/>
        <w:rPr>
          <w:bCs/>
          <w:iCs/>
          <w:lang w:val="en-US"/>
        </w:rPr>
      </w:pPr>
      <w:r w:rsidRPr="00CE04AB">
        <w:rPr>
          <w:bCs/>
          <w:iCs/>
          <w:lang w:val="en-US"/>
        </w:rPr>
        <w:t>prior to any panel discussion with</w:t>
      </w:r>
      <w:r w:rsidR="00955BFD">
        <w:rPr>
          <w:bCs/>
          <w:iCs/>
          <w:lang w:val="en-US"/>
        </w:rPr>
        <w:t xml:space="preserve"> </w:t>
      </w:r>
      <w:r w:rsidR="000730AE">
        <w:rPr>
          <w:bCs/>
          <w:iCs/>
          <w:lang w:val="en-US"/>
        </w:rPr>
        <w:t xml:space="preserve">[Dr. </w:t>
      </w:r>
      <w:r w:rsidR="006B0E22">
        <w:rPr>
          <w:bCs/>
          <w:iCs/>
          <w:lang w:val="en-US"/>
        </w:rPr>
        <w:t>A</w:t>
      </w:r>
      <w:r w:rsidR="00955BFD">
        <w:rPr>
          <w:bCs/>
          <w:iCs/>
          <w:lang w:val="en-US"/>
        </w:rPr>
        <w:t>]</w:t>
      </w:r>
      <w:r w:rsidRPr="00CE04AB">
        <w:rPr>
          <w:bCs/>
          <w:iCs/>
          <w:lang w:val="en-US"/>
        </w:rPr>
        <w:t xml:space="preserve">, the </w:t>
      </w:r>
      <w:r w:rsidRPr="00CE04AB">
        <w:rPr>
          <w:bCs/>
          <w:i/>
          <w:iCs/>
          <w:lang w:val="en-US"/>
        </w:rPr>
        <w:t xml:space="preserve">Ministry Now </w:t>
      </w:r>
      <w:r w:rsidRPr="00CE04AB">
        <w:rPr>
          <w:bCs/>
          <w:iCs/>
          <w:lang w:val="en-US"/>
        </w:rPr>
        <w:t>program features a lengthy segment of gospel singing, the purpose of which is identified to be to “</w:t>
      </w:r>
      <w:r w:rsidRPr="00CE04AB">
        <w:rPr>
          <w:bCs/>
          <w:i/>
          <w:iCs/>
          <w:lang w:val="en-US"/>
        </w:rPr>
        <w:t>worship the Lord</w:t>
      </w:r>
      <w:r w:rsidRPr="00CE04AB">
        <w:rPr>
          <w:bCs/>
          <w:iCs/>
          <w:lang w:val="en-US"/>
        </w:rPr>
        <w:t>”; and</w:t>
      </w:r>
    </w:p>
    <w:p w14:paraId="5EA18B50" w14:textId="77777777" w:rsidR="00CE04AB" w:rsidRPr="00CE04AB" w:rsidRDefault="00CE04AB" w:rsidP="004574E5">
      <w:pPr>
        <w:pStyle w:val="ACMABodyText"/>
        <w:numPr>
          <w:ilvl w:val="0"/>
          <w:numId w:val="28"/>
        </w:numPr>
        <w:spacing w:after="120" w:line="120" w:lineRule="atLeast"/>
        <w:ind w:left="567" w:hanging="533"/>
        <w:rPr>
          <w:bCs/>
          <w:iCs/>
          <w:lang w:val="en-US"/>
        </w:rPr>
      </w:pPr>
      <w:r w:rsidRPr="00CE04AB">
        <w:rPr>
          <w:bCs/>
          <w:iCs/>
          <w:lang w:val="en-US"/>
        </w:rPr>
        <w:t xml:space="preserve">the </w:t>
      </w:r>
      <w:r w:rsidRPr="00CE04AB">
        <w:rPr>
          <w:bCs/>
          <w:i/>
          <w:iCs/>
          <w:lang w:val="en-US"/>
        </w:rPr>
        <w:t xml:space="preserve">Joni Table Talk </w:t>
      </w:r>
      <w:r w:rsidRPr="00CE04AB">
        <w:rPr>
          <w:bCs/>
          <w:iCs/>
          <w:lang w:val="en-US"/>
        </w:rPr>
        <w:t>program displays graphics at several points during the program which provide scripture references and direct viewers to “</w:t>
      </w:r>
      <w:r w:rsidRPr="00CE04AB">
        <w:rPr>
          <w:bCs/>
          <w:i/>
          <w:iCs/>
          <w:lang w:val="en-US"/>
        </w:rPr>
        <w:t>Call for Prayer</w:t>
      </w:r>
      <w:r w:rsidRPr="00CE04AB">
        <w:rPr>
          <w:bCs/>
          <w:iCs/>
          <w:lang w:val="en-US"/>
        </w:rPr>
        <w:t>”.</w:t>
      </w:r>
    </w:p>
    <w:p w14:paraId="74D7D315" w14:textId="779B9F4A" w:rsidR="00CE04AB" w:rsidRPr="00CE04AB" w:rsidRDefault="00CE04AB" w:rsidP="00CE04AB">
      <w:pPr>
        <w:pStyle w:val="ACMABodyText"/>
        <w:spacing w:before="240"/>
        <w:rPr>
          <w:bCs/>
          <w:iCs/>
          <w:lang w:val="en-US"/>
        </w:rPr>
      </w:pPr>
      <w:r w:rsidRPr="00CE04AB">
        <w:rPr>
          <w:bCs/>
          <w:iCs/>
          <w:lang w:val="en-US"/>
        </w:rPr>
        <w:t>On occasion, the Programs may discuss current or relevant newsworthy issues (and always with a faith</w:t>
      </w:r>
      <w:r w:rsidRPr="00CE04AB">
        <w:rPr>
          <w:rFonts w:ascii="Cambria Math" w:hAnsi="Cambria Math" w:cs="Cambria Math"/>
          <w:bCs/>
          <w:iCs/>
          <w:lang w:val="en-US"/>
        </w:rPr>
        <w:t>‐</w:t>
      </w:r>
      <w:r w:rsidRPr="00CE04AB">
        <w:rPr>
          <w:bCs/>
          <w:iCs/>
          <w:lang w:val="en-US"/>
        </w:rPr>
        <w:t xml:space="preserve">based focus). However, the mere reference to topics in the news or matters of current affairs within the Programs is not sufficient to satisfy the definition of “news and current affairs programs” when the Programs are viewed as a whole. The Programs do not feature any reports on current or recent happenings, do not include bulletins or filmed coverage of international, national and local events and do not report on weather or essential </w:t>
      </w:r>
      <w:r w:rsidRPr="00CE04AB">
        <w:rPr>
          <w:bCs/>
          <w:iCs/>
          <w:lang w:val="en-US"/>
        </w:rPr>
        <w:lastRenderedPageBreak/>
        <w:t>services. As such, the Programs are incapable of satisfying the description of “news and current affairs programs”, whether one uses the definition in the Subscription Broadcast Television Codes or the natural and ordinary meaning of those words. The discursive and entertainment focused nature of the Programs clearly constitutes commentary and opinion</w:t>
      </w:r>
      <w:r w:rsidRPr="00CE04AB">
        <w:rPr>
          <w:rFonts w:ascii="Cambria Math" w:hAnsi="Cambria Math" w:cs="Cambria Math"/>
          <w:bCs/>
          <w:iCs/>
          <w:lang w:val="en-US"/>
        </w:rPr>
        <w:t>‐</w:t>
      </w:r>
      <w:r w:rsidRPr="00CE04AB">
        <w:rPr>
          <w:bCs/>
          <w:iCs/>
          <w:lang w:val="en-US"/>
        </w:rPr>
        <w:t>style programming which is distinguishable from factual reportage such as news bulletins.</w:t>
      </w:r>
    </w:p>
    <w:p w14:paraId="554B49FE" w14:textId="52892179" w:rsidR="00CE04AB" w:rsidRPr="00CE04AB" w:rsidRDefault="00CE04AB" w:rsidP="00CE04AB">
      <w:pPr>
        <w:pStyle w:val="ACMABodyText"/>
        <w:rPr>
          <w:bCs/>
          <w:iCs/>
          <w:lang w:val="en-US"/>
        </w:rPr>
      </w:pPr>
      <w:r w:rsidRPr="00CE04AB">
        <w:rPr>
          <w:bCs/>
          <w:iCs/>
          <w:lang w:val="en-US"/>
        </w:rPr>
        <w:t xml:space="preserve">It is also clear that the Programs are broadcast from, and are primarily directed at, the United States and discuss issues which are primarily relevant to the United States. Religious broadcasting and televangelism are much more common in the United States than in Australia. </w:t>
      </w:r>
      <w:r w:rsidRPr="002B380A">
        <w:rPr>
          <w:bCs/>
          <w:iCs/>
          <w:lang w:val="en-US"/>
        </w:rPr>
        <w:t>When viewed in this context, it would be immediately clear to an Australian viewer that the Programs constitute a form of televangelism which, in our view, has become synonymous with the United States and the paramountcy of free speech, including religious speech, for Americans</w:t>
      </w:r>
      <w:r w:rsidRPr="00CE04AB">
        <w:rPr>
          <w:bCs/>
          <w:iCs/>
          <w:lang w:val="en-US"/>
        </w:rPr>
        <w:t>. In other words, it would be clear to an Australian viewer that the Programs, and the Channel generally, would not be considered as “news and current affairs programs” within their understanding of either the ordinary, or the defined, meaning of those words.</w:t>
      </w:r>
    </w:p>
    <w:p w14:paraId="0FA69933" w14:textId="10402AEC" w:rsidR="00CE04AB" w:rsidRPr="00CE04AB" w:rsidRDefault="00CE04AB" w:rsidP="00CE04AB">
      <w:pPr>
        <w:pStyle w:val="ACMABodyText"/>
        <w:rPr>
          <w:b/>
          <w:bCs/>
          <w:iCs/>
          <w:lang w:val="en-US"/>
        </w:rPr>
      </w:pPr>
      <w:r w:rsidRPr="00CE04AB">
        <w:rPr>
          <w:b/>
          <w:bCs/>
          <w:iCs/>
          <w:lang w:val="en-US"/>
        </w:rPr>
        <w:t>Compliance with the STV Code</w:t>
      </w:r>
    </w:p>
    <w:p w14:paraId="05500642" w14:textId="77777777" w:rsidR="00CE04AB" w:rsidRPr="00CE04AB" w:rsidRDefault="00CE04AB" w:rsidP="00CE04AB">
      <w:pPr>
        <w:pStyle w:val="ACMABodyText"/>
        <w:rPr>
          <w:bCs/>
          <w:iCs/>
          <w:lang w:val="en-US"/>
        </w:rPr>
      </w:pPr>
      <w:r w:rsidRPr="00CE04AB">
        <w:rPr>
          <w:bCs/>
          <w:iCs/>
          <w:lang w:val="en-US"/>
        </w:rPr>
        <w:t>Even if the ACMA were to consider that the Programs are “news and current affairs programs”, which is denied, Foxtel submits that all aspects of the STV Code were complied with when the Programs were broadcast on the Channel.</w:t>
      </w:r>
    </w:p>
    <w:p w14:paraId="09C0829D" w14:textId="1BA6034B" w:rsidR="00CE04AB" w:rsidRPr="00CE04AB" w:rsidRDefault="00CE04AB" w:rsidP="00CE04AB">
      <w:pPr>
        <w:pStyle w:val="ACMABodyText"/>
        <w:rPr>
          <w:bCs/>
          <w:iCs/>
          <w:lang w:val="en-US"/>
        </w:rPr>
      </w:pPr>
      <w:r w:rsidRPr="00CE04AB">
        <w:rPr>
          <w:bCs/>
          <w:iCs/>
          <w:lang w:val="en-US"/>
        </w:rPr>
        <w:t>Both Programs are presented in a talk show format with the hosts and panellists offering their own opinions and commentary regarding the treatments and vaccinations available for COVID</w:t>
      </w:r>
      <w:r w:rsidRPr="00CE04AB">
        <w:rPr>
          <w:rFonts w:ascii="Cambria Math" w:hAnsi="Cambria Math" w:cs="Cambria Math"/>
          <w:bCs/>
          <w:iCs/>
          <w:lang w:val="en-US"/>
        </w:rPr>
        <w:t>‐</w:t>
      </w:r>
      <w:r w:rsidRPr="00CE04AB">
        <w:rPr>
          <w:bCs/>
          <w:iCs/>
          <w:lang w:val="en-US"/>
        </w:rPr>
        <w:t>19. Due to the way in which the opinions of the panellists are presented, Foxtel does not consider that any viewer would be misled into believing that they were being presented with undisputed facts within a</w:t>
      </w:r>
      <w:r>
        <w:rPr>
          <w:bCs/>
          <w:iCs/>
          <w:lang w:val="en-US"/>
        </w:rPr>
        <w:t xml:space="preserve"> </w:t>
      </w:r>
      <w:r w:rsidRPr="00CE04AB">
        <w:rPr>
          <w:bCs/>
          <w:iCs/>
          <w:lang w:val="en-US"/>
        </w:rPr>
        <w:t>news and current affairs context.</w:t>
      </w:r>
    </w:p>
    <w:p w14:paraId="395F7902" w14:textId="19B13039" w:rsidR="00CE04AB" w:rsidRPr="00CE04AB" w:rsidRDefault="00CE04AB" w:rsidP="00CE04AB">
      <w:pPr>
        <w:pStyle w:val="ACMABodyText"/>
        <w:rPr>
          <w:bCs/>
          <w:iCs/>
          <w:lang w:val="en-US"/>
        </w:rPr>
      </w:pPr>
      <w:r w:rsidRPr="00CE04AB">
        <w:rPr>
          <w:bCs/>
          <w:iCs/>
          <w:lang w:val="en-US"/>
        </w:rPr>
        <w:t xml:space="preserve">We also note that at the conclusion of the </w:t>
      </w:r>
      <w:r w:rsidRPr="00CE04AB">
        <w:rPr>
          <w:bCs/>
          <w:i/>
          <w:iCs/>
          <w:lang w:val="en-US"/>
        </w:rPr>
        <w:t xml:space="preserve">Joni Table Talk </w:t>
      </w:r>
      <w:r w:rsidRPr="00CE04AB">
        <w:rPr>
          <w:bCs/>
          <w:iCs/>
          <w:lang w:val="en-US"/>
        </w:rPr>
        <w:t xml:space="preserve">program, </w:t>
      </w:r>
      <w:r w:rsidR="000730AE">
        <w:rPr>
          <w:bCs/>
          <w:iCs/>
          <w:lang w:val="en-US"/>
        </w:rPr>
        <w:t>[Host</w:t>
      </w:r>
      <w:r w:rsidR="004703FE">
        <w:rPr>
          <w:bCs/>
          <w:iCs/>
          <w:lang w:val="en-US"/>
        </w:rPr>
        <w:t xml:space="preserve"> </w:t>
      </w:r>
      <w:r w:rsidR="006B0E22">
        <w:rPr>
          <w:bCs/>
          <w:iCs/>
          <w:lang w:val="en-US"/>
        </w:rPr>
        <w:t>2</w:t>
      </w:r>
      <w:r w:rsidR="000730AE">
        <w:rPr>
          <w:bCs/>
          <w:iCs/>
          <w:lang w:val="en-US"/>
        </w:rPr>
        <w:t xml:space="preserve">] </w:t>
      </w:r>
      <w:r w:rsidRPr="00CE04AB">
        <w:rPr>
          <w:bCs/>
          <w:iCs/>
          <w:lang w:val="en-US"/>
        </w:rPr>
        <w:t>encourages the viewer to “</w:t>
      </w:r>
      <w:r w:rsidRPr="00CE04AB">
        <w:rPr>
          <w:bCs/>
          <w:i/>
          <w:iCs/>
          <w:lang w:val="en-US"/>
        </w:rPr>
        <w:t>do your research and fight to stay informed to ensure that you can make the best decision regarding you and your family’s health</w:t>
      </w:r>
      <w:r w:rsidRPr="00CE04AB">
        <w:rPr>
          <w:bCs/>
          <w:iCs/>
          <w:lang w:val="en-US"/>
        </w:rPr>
        <w:t>.”</w:t>
      </w:r>
    </w:p>
    <w:p w14:paraId="3009902C" w14:textId="5A10F7B4" w:rsidR="00CE04AB" w:rsidRPr="00CE04AB" w:rsidRDefault="00CE04AB" w:rsidP="00CE04AB">
      <w:pPr>
        <w:pStyle w:val="ACMABodyText"/>
        <w:rPr>
          <w:bCs/>
          <w:iCs/>
          <w:lang w:val="en-US"/>
        </w:rPr>
      </w:pPr>
      <w:r w:rsidRPr="00CE04AB">
        <w:rPr>
          <w:bCs/>
          <w:iCs/>
          <w:lang w:val="en-US"/>
        </w:rPr>
        <w:t xml:space="preserve">The ACMA has asked for submissions in relation to the broadcast of certain statements during the Programs, which are set out Appendix A to this letter. </w:t>
      </w:r>
      <w:r w:rsidR="006B0E22">
        <w:rPr>
          <w:bCs/>
          <w:iCs/>
          <w:lang w:val="en-US"/>
        </w:rPr>
        <w:t xml:space="preserve">[…] </w:t>
      </w:r>
      <w:r w:rsidRPr="00CE04AB">
        <w:rPr>
          <w:bCs/>
          <w:iCs/>
          <w:lang w:val="en-US"/>
        </w:rPr>
        <w:t>Foxtel submits that, in the event that the ACMA finds that the Programs are news and current affairs programs that are subject to clause 1.2 of the STV Code, the particular statements identified by the ACMA are capable of being regarded as accurate and fair news and current affairs programs under the STV Code.</w:t>
      </w:r>
    </w:p>
    <w:p w14:paraId="1B96188A" w14:textId="77777777" w:rsidR="00CE04AB" w:rsidRPr="00CE04AB" w:rsidRDefault="00CE04AB" w:rsidP="00CE04AB">
      <w:pPr>
        <w:pStyle w:val="ACMABodyText"/>
        <w:rPr>
          <w:b/>
          <w:bCs/>
          <w:iCs/>
          <w:lang w:val="en-US"/>
        </w:rPr>
      </w:pPr>
      <w:r w:rsidRPr="00CE04AB">
        <w:rPr>
          <w:b/>
          <w:bCs/>
          <w:iCs/>
          <w:lang w:val="en-US"/>
        </w:rPr>
        <w:t>Exceptions within the STV Code</w:t>
      </w:r>
    </w:p>
    <w:p w14:paraId="4FC772F7" w14:textId="77777777" w:rsidR="00CE04AB" w:rsidRPr="00CE04AB" w:rsidRDefault="00CE04AB" w:rsidP="00CE04AB">
      <w:pPr>
        <w:pStyle w:val="ACMABodyText"/>
        <w:rPr>
          <w:bCs/>
          <w:iCs/>
          <w:lang w:val="en-US"/>
        </w:rPr>
      </w:pPr>
      <w:r w:rsidRPr="00CE04AB">
        <w:rPr>
          <w:bCs/>
          <w:iCs/>
          <w:lang w:val="en-US"/>
        </w:rPr>
        <w:t>In the event that the ACMA considers that the Programs are news and current affairs programs, Foxtel further relies on the operation of clause 1.9 of the STV Code in relation to any of the statements examined at Appendix A which the ACMA considers are not accurate.</w:t>
      </w:r>
    </w:p>
    <w:p w14:paraId="56967DC4" w14:textId="77777777" w:rsidR="00CE04AB" w:rsidRPr="00CE04AB" w:rsidRDefault="00CE04AB" w:rsidP="00CE04AB">
      <w:pPr>
        <w:pStyle w:val="ACMABodyText"/>
        <w:rPr>
          <w:bCs/>
          <w:iCs/>
          <w:lang w:val="en-US"/>
        </w:rPr>
      </w:pPr>
      <w:r w:rsidRPr="00CE04AB">
        <w:rPr>
          <w:bCs/>
          <w:iCs/>
          <w:lang w:val="en-US"/>
        </w:rPr>
        <w:t>Clause 1.9 of the STV Code provides that:</w:t>
      </w:r>
    </w:p>
    <w:p w14:paraId="05B7386C" w14:textId="77777777" w:rsidR="00CE04AB" w:rsidRPr="00CE04AB" w:rsidRDefault="00CE04AB" w:rsidP="00EA42C9">
      <w:pPr>
        <w:spacing w:before="0" w:after="120" w:line="240" w:lineRule="atLeast"/>
        <w:ind w:left="709"/>
        <w:rPr>
          <w:rFonts w:cs="Arial"/>
          <w:i w:val="0"/>
          <w:sz w:val="18"/>
          <w:szCs w:val="18"/>
        </w:rPr>
      </w:pPr>
      <w:r w:rsidRPr="00CE04AB">
        <w:rPr>
          <w:rFonts w:cs="Arial"/>
          <w:sz w:val="18"/>
          <w:szCs w:val="18"/>
        </w:rPr>
        <w:t>Narrowcasters must seek to comply fully with all Codes, but a failure to comply will not be a breach of the Codes if that failure was due to:</w:t>
      </w:r>
    </w:p>
    <w:p w14:paraId="476249EB" w14:textId="77777777" w:rsidR="00CE04AB" w:rsidRPr="00CE04AB" w:rsidRDefault="00CE04AB" w:rsidP="00EA42C9">
      <w:pPr>
        <w:spacing w:after="120" w:line="240" w:lineRule="atLeast"/>
        <w:ind w:left="709"/>
        <w:rPr>
          <w:rFonts w:cs="Arial"/>
          <w:i w:val="0"/>
          <w:sz w:val="18"/>
          <w:szCs w:val="18"/>
        </w:rPr>
      </w:pPr>
      <w:r w:rsidRPr="00CE04AB">
        <w:rPr>
          <w:rFonts w:cs="Arial"/>
          <w:w w:val="99"/>
          <w:sz w:val="18"/>
          <w:szCs w:val="18"/>
        </w:rPr>
        <w:t>…</w:t>
      </w:r>
    </w:p>
    <w:p w14:paraId="31AE40F4" w14:textId="77777777" w:rsidR="00CE04AB" w:rsidRPr="00CE04AB" w:rsidRDefault="00CE04AB" w:rsidP="00EA42C9">
      <w:pPr>
        <w:pStyle w:val="ListParagraph"/>
        <w:widowControl w:val="0"/>
        <w:numPr>
          <w:ilvl w:val="1"/>
          <w:numId w:val="28"/>
        </w:numPr>
        <w:tabs>
          <w:tab w:val="left" w:pos="993"/>
        </w:tabs>
        <w:autoSpaceDE w:val="0"/>
        <w:autoSpaceDN w:val="0"/>
        <w:spacing w:after="120" w:line="240" w:lineRule="atLeast"/>
        <w:ind w:left="709" w:firstLine="0"/>
        <w:contextualSpacing w:val="0"/>
        <w:rPr>
          <w:rFonts w:ascii="Arial" w:hAnsi="Arial" w:cs="Arial"/>
          <w:i/>
          <w:sz w:val="18"/>
          <w:szCs w:val="18"/>
        </w:rPr>
      </w:pPr>
      <w:r w:rsidRPr="00CE04AB">
        <w:rPr>
          <w:rFonts w:ascii="Arial" w:hAnsi="Arial" w:cs="Arial"/>
          <w:i/>
          <w:sz w:val="18"/>
          <w:szCs w:val="18"/>
        </w:rPr>
        <w:t>reasonable reliance on information supplied by another</w:t>
      </w:r>
      <w:r w:rsidRPr="00CE04AB">
        <w:rPr>
          <w:rFonts w:ascii="Arial" w:hAnsi="Arial" w:cs="Arial"/>
          <w:i/>
          <w:spacing w:val="-12"/>
          <w:sz w:val="18"/>
          <w:szCs w:val="18"/>
        </w:rPr>
        <w:t xml:space="preserve"> </w:t>
      </w:r>
      <w:r w:rsidRPr="00CE04AB">
        <w:rPr>
          <w:rFonts w:ascii="Arial" w:hAnsi="Arial" w:cs="Arial"/>
          <w:i/>
          <w:sz w:val="18"/>
          <w:szCs w:val="18"/>
        </w:rPr>
        <w:t>person;</w:t>
      </w:r>
    </w:p>
    <w:p w14:paraId="3749B497" w14:textId="77777777" w:rsidR="00CE04AB" w:rsidRPr="00CE04AB" w:rsidRDefault="00CE04AB" w:rsidP="00EA42C9">
      <w:pPr>
        <w:pStyle w:val="ListParagraph"/>
        <w:widowControl w:val="0"/>
        <w:numPr>
          <w:ilvl w:val="1"/>
          <w:numId w:val="28"/>
        </w:numPr>
        <w:tabs>
          <w:tab w:val="left" w:pos="993"/>
        </w:tabs>
        <w:autoSpaceDE w:val="0"/>
        <w:autoSpaceDN w:val="0"/>
        <w:spacing w:after="120" w:line="240" w:lineRule="atLeast"/>
        <w:ind w:left="709" w:right="99" w:firstLine="0"/>
        <w:contextualSpacing w:val="0"/>
        <w:jc w:val="both"/>
        <w:rPr>
          <w:rFonts w:ascii="Arial" w:hAnsi="Arial" w:cs="Arial"/>
          <w:i/>
          <w:sz w:val="18"/>
          <w:szCs w:val="18"/>
        </w:rPr>
      </w:pPr>
      <w:r w:rsidRPr="00CE04AB">
        <w:rPr>
          <w:rFonts w:ascii="Arial" w:hAnsi="Arial" w:cs="Arial"/>
          <w:i/>
          <w:sz w:val="18"/>
          <w:szCs w:val="18"/>
        </w:rPr>
        <w:t>an act or failure to act of another person, or an accident or some other cause beyond the narrowcaster’s control, provided that the narrowcaster took reasonable precautions and exercised due diligence to avoid the failure;</w:t>
      </w:r>
      <w:r w:rsidRPr="00CE04AB">
        <w:rPr>
          <w:rFonts w:ascii="Arial" w:hAnsi="Arial" w:cs="Arial"/>
          <w:i/>
          <w:spacing w:val="-6"/>
          <w:sz w:val="18"/>
          <w:szCs w:val="18"/>
        </w:rPr>
        <w:t xml:space="preserve"> </w:t>
      </w:r>
      <w:r w:rsidRPr="00CE04AB">
        <w:rPr>
          <w:rFonts w:ascii="Arial" w:hAnsi="Arial" w:cs="Arial"/>
          <w:i/>
          <w:sz w:val="18"/>
          <w:szCs w:val="18"/>
        </w:rPr>
        <w:t>or</w:t>
      </w:r>
    </w:p>
    <w:p w14:paraId="5AAF7B69" w14:textId="40E9173A" w:rsidR="00CE04AB" w:rsidRDefault="00CE04AB" w:rsidP="00EA42C9">
      <w:pPr>
        <w:pStyle w:val="ListParagraph"/>
        <w:widowControl w:val="0"/>
        <w:numPr>
          <w:ilvl w:val="1"/>
          <w:numId w:val="28"/>
        </w:numPr>
        <w:tabs>
          <w:tab w:val="left" w:pos="993"/>
        </w:tabs>
        <w:autoSpaceDE w:val="0"/>
        <w:autoSpaceDN w:val="0"/>
        <w:spacing w:after="120" w:line="240" w:lineRule="atLeast"/>
        <w:ind w:left="709" w:right="102" w:firstLine="0"/>
        <w:contextualSpacing w:val="0"/>
        <w:rPr>
          <w:rFonts w:ascii="Arial" w:hAnsi="Arial" w:cs="Arial"/>
          <w:i/>
          <w:sz w:val="18"/>
          <w:szCs w:val="18"/>
        </w:rPr>
      </w:pPr>
      <w:r w:rsidRPr="00CE04AB">
        <w:rPr>
          <w:rFonts w:ascii="Arial" w:hAnsi="Arial" w:cs="Arial"/>
          <w:i/>
          <w:sz w:val="18"/>
          <w:szCs w:val="18"/>
        </w:rPr>
        <w:lastRenderedPageBreak/>
        <w:t>an act or failure to act which, in all the circumstances, was clearly peripheral or incidental, and unlikely to offend or materially mislead</w:t>
      </w:r>
      <w:r w:rsidRPr="00CE04AB">
        <w:rPr>
          <w:rFonts w:ascii="Arial" w:hAnsi="Arial" w:cs="Arial"/>
          <w:i/>
          <w:spacing w:val="-14"/>
          <w:sz w:val="18"/>
          <w:szCs w:val="18"/>
        </w:rPr>
        <w:t xml:space="preserve"> </w:t>
      </w:r>
      <w:r w:rsidRPr="00CE04AB">
        <w:rPr>
          <w:rFonts w:ascii="Arial" w:hAnsi="Arial" w:cs="Arial"/>
          <w:i/>
          <w:sz w:val="18"/>
          <w:szCs w:val="18"/>
        </w:rPr>
        <w:t>viewers.</w:t>
      </w:r>
    </w:p>
    <w:p w14:paraId="5F4732DA" w14:textId="5380835B" w:rsidR="00947752" w:rsidRPr="00845A2A" w:rsidRDefault="00947752" w:rsidP="00EA42C9">
      <w:pPr>
        <w:pStyle w:val="ACMABodyText"/>
        <w:spacing w:before="240"/>
        <w:rPr>
          <w:bCs/>
          <w:iCs/>
          <w:lang w:val="en-US"/>
        </w:rPr>
      </w:pPr>
      <w:r w:rsidRPr="0061771A">
        <w:rPr>
          <w:bCs/>
          <w:iCs/>
          <w:lang w:val="en-US"/>
        </w:rPr>
        <w:t>Daystar Television Network (</w:t>
      </w:r>
      <w:r w:rsidRPr="0061771A">
        <w:rPr>
          <w:b/>
          <w:bCs/>
          <w:iCs/>
          <w:lang w:val="en-US"/>
        </w:rPr>
        <w:t>Daystar</w:t>
      </w:r>
      <w:r w:rsidRPr="00845A2A">
        <w:rPr>
          <w:bCs/>
          <w:iCs/>
          <w:lang w:val="en-US"/>
        </w:rPr>
        <w:t>) supplies the Channel to Foxtel for broadcast on the Foxtel platform under a channel supply agreement (</w:t>
      </w:r>
      <w:r w:rsidRPr="00845A2A">
        <w:rPr>
          <w:b/>
          <w:bCs/>
          <w:iCs/>
          <w:lang w:val="en-US"/>
        </w:rPr>
        <w:t>Agreement</w:t>
      </w:r>
      <w:r w:rsidRPr="00845A2A">
        <w:rPr>
          <w:bCs/>
          <w:iCs/>
          <w:lang w:val="en-US"/>
        </w:rPr>
        <w:t>). Foxtel has no practical control over the broadcast feed of the Channel, which is distributed by Daystar worldwide.</w:t>
      </w:r>
    </w:p>
    <w:p w14:paraId="6DD46803" w14:textId="6552408F" w:rsidR="00947752" w:rsidRPr="00947752" w:rsidRDefault="00947752" w:rsidP="00947752">
      <w:pPr>
        <w:pStyle w:val="ACMABodyText"/>
        <w:rPr>
          <w:bCs/>
          <w:iCs/>
          <w:lang w:val="en-US"/>
        </w:rPr>
      </w:pPr>
      <w:r w:rsidRPr="00845A2A">
        <w:rPr>
          <w:bCs/>
          <w:iCs/>
          <w:lang w:val="en-US"/>
        </w:rPr>
        <w:t>Foxtel submits that it has taken reasonable precautions and exercised due diligence to avoid a breach of the STV Code. In particular, the Agreement contains a provision requiring Daystar to ensure that the Channel will comply at all times with all applicable Australian laws and regulations, including the STV Code. Foxtel has also sought and received assurances from Daystar that all COVID</w:t>
      </w:r>
      <w:r w:rsidRPr="00845A2A">
        <w:rPr>
          <w:rFonts w:ascii="Cambria Math" w:hAnsi="Cambria Math" w:cs="Cambria Math"/>
          <w:bCs/>
          <w:iCs/>
          <w:lang w:val="en-US"/>
        </w:rPr>
        <w:t>‐</w:t>
      </w:r>
      <w:r w:rsidRPr="00845A2A">
        <w:rPr>
          <w:bCs/>
          <w:iCs/>
          <w:lang w:val="en-US"/>
        </w:rPr>
        <w:t>19 related programming on the Channel will comply with the STV Code. Daystar has also advised that COVID</w:t>
      </w:r>
      <w:r w:rsidRPr="00845A2A">
        <w:rPr>
          <w:rFonts w:ascii="Cambria Math" w:hAnsi="Cambria Math" w:cs="Cambria Math"/>
          <w:bCs/>
          <w:iCs/>
          <w:lang w:val="en-US"/>
        </w:rPr>
        <w:t>‐</w:t>
      </w:r>
      <w:r w:rsidRPr="00845A2A">
        <w:rPr>
          <w:bCs/>
          <w:iCs/>
          <w:lang w:val="en-US"/>
        </w:rPr>
        <w:t xml:space="preserve">19 programming constitutes </w:t>
      </w:r>
      <w:r w:rsidRPr="00845A2A">
        <w:rPr>
          <w:rFonts w:cs="Arial"/>
          <w:bCs/>
          <w:iCs/>
          <w:lang w:val="en-US"/>
        </w:rPr>
        <w:t>“</w:t>
      </w:r>
      <w:r w:rsidRPr="00845A2A">
        <w:rPr>
          <w:bCs/>
          <w:i/>
          <w:iCs/>
          <w:lang w:val="en-US"/>
        </w:rPr>
        <w:t>only a tiny fraction</w:t>
      </w:r>
      <w:r w:rsidRPr="00845A2A">
        <w:rPr>
          <w:bCs/>
          <w:iCs/>
          <w:lang w:val="en-US"/>
        </w:rPr>
        <w:t>” of the overall Channel content.</w:t>
      </w:r>
    </w:p>
    <w:p w14:paraId="0DF7537C" w14:textId="294F8158" w:rsidR="00947752" w:rsidRPr="00947752" w:rsidRDefault="00947752" w:rsidP="00947752">
      <w:pPr>
        <w:pStyle w:val="ACMABodyText"/>
        <w:rPr>
          <w:bCs/>
          <w:iCs/>
          <w:lang w:val="en-US"/>
        </w:rPr>
      </w:pPr>
      <w:r w:rsidRPr="00947752">
        <w:rPr>
          <w:bCs/>
          <w:iCs/>
          <w:lang w:val="en-US"/>
        </w:rPr>
        <w:t>Foxtel is fully committed to ensuring that all programming provided by external suppliers is compliant with all applicable laws and regulations in Australia. In circumstances where Foxtel does not create or exercise any creative control over the content of the programming supplied by Daystar, Foxtel took all reasonable precautions and exercised due diligence by requiring Daystar to enter into the Agreement prior to providing the Channel in Australia. Given that the Agreement requires Daystar to comply with all applicable laws and regulations (including the STV Code), Foxtel reasonably believed that the programming supplied by Daystar was fully compliant with Australian broadcasting requirements. Daystar is an award winning television network which is available throughout the world across various media platforms and it was entirely reasonable for Foxtel to rely on its contractual promises as to legal compliance.</w:t>
      </w:r>
    </w:p>
    <w:p w14:paraId="70A3C2C7" w14:textId="77777777" w:rsidR="00947752" w:rsidRDefault="00947752" w:rsidP="00947752">
      <w:pPr>
        <w:pStyle w:val="ACMABodyText"/>
        <w:rPr>
          <w:bCs/>
          <w:iCs/>
          <w:lang w:val="en-US"/>
        </w:rPr>
      </w:pPr>
      <w:r w:rsidRPr="00947752">
        <w:rPr>
          <w:bCs/>
          <w:iCs/>
          <w:lang w:val="en-US"/>
        </w:rPr>
        <w:t>Further, taking into account the faith</w:t>
      </w:r>
      <w:r w:rsidRPr="00947752">
        <w:rPr>
          <w:rFonts w:ascii="Cambria Math" w:hAnsi="Cambria Math" w:cs="Cambria Math"/>
          <w:bCs/>
          <w:iCs/>
          <w:lang w:val="en-US"/>
        </w:rPr>
        <w:t>‐</w:t>
      </w:r>
      <w:r w:rsidRPr="00947752">
        <w:rPr>
          <w:bCs/>
          <w:iCs/>
          <w:lang w:val="en-US"/>
        </w:rPr>
        <w:t>based and prayer</w:t>
      </w:r>
      <w:r w:rsidRPr="00947752">
        <w:rPr>
          <w:rFonts w:ascii="Cambria Math" w:hAnsi="Cambria Math" w:cs="Cambria Math"/>
          <w:bCs/>
          <w:iCs/>
          <w:lang w:val="en-US"/>
        </w:rPr>
        <w:t>‐</w:t>
      </w:r>
      <w:r w:rsidRPr="00947752">
        <w:rPr>
          <w:bCs/>
          <w:iCs/>
          <w:lang w:val="en-US"/>
        </w:rPr>
        <w:t>dominated nature of the Programs and the incidental nature of the statements referred to at Appendix A, Foxtel considers that any failure to comply with clause 1.2 of the STV Code would be unlikely, in all the circumstances, to offend or</w:t>
      </w:r>
      <w:r>
        <w:rPr>
          <w:bCs/>
          <w:iCs/>
          <w:lang w:val="en-US"/>
        </w:rPr>
        <w:t xml:space="preserve"> </w:t>
      </w:r>
      <w:r w:rsidRPr="00947752">
        <w:rPr>
          <w:bCs/>
          <w:iCs/>
          <w:lang w:val="en-US"/>
        </w:rPr>
        <w:t>materially mislead any of the viewers of the Programs.</w:t>
      </w:r>
    </w:p>
    <w:p w14:paraId="24B8E57A" w14:textId="40B16606" w:rsidR="00947752" w:rsidRPr="00947752" w:rsidRDefault="00947752" w:rsidP="00947752">
      <w:pPr>
        <w:pStyle w:val="ACMABodyText"/>
        <w:rPr>
          <w:bCs/>
          <w:iCs/>
          <w:lang w:val="en-US"/>
        </w:rPr>
      </w:pPr>
      <w:r w:rsidRPr="00947752">
        <w:rPr>
          <w:bCs/>
          <w:iCs/>
          <w:lang w:val="en-US"/>
        </w:rPr>
        <w:t>Accordingly, Foxtel submits that there is no relevant breach of the STV Code for the additional reason of the operation of clause 1.9.</w:t>
      </w:r>
    </w:p>
    <w:p w14:paraId="414CEFE0" w14:textId="77777777" w:rsidR="00947752" w:rsidRPr="00947752" w:rsidRDefault="00947752" w:rsidP="00947752">
      <w:pPr>
        <w:pStyle w:val="ACMABodyText"/>
        <w:rPr>
          <w:bCs/>
          <w:iCs/>
          <w:lang w:val="en-US"/>
        </w:rPr>
      </w:pPr>
      <w:r w:rsidRPr="00947752">
        <w:rPr>
          <w:bCs/>
          <w:iCs/>
          <w:lang w:val="en-US"/>
        </w:rPr>
        <w:t>Foxtel thanks the ACMA for the opportunity to make these submissions and reiterates that, in its view, the Programs do not constitute “news and current affairs programs” under the STV Code.</w:t>
      </w:r>
    </w:p>
    <w:p w14:paraId="3F37E0A0" w14:textId="1688DC20" w:rsidR="00CE04AB" w:rsidRDefault="00947752" w:rsidP="00080CD7">
      <w:pPr>
        <w:pStyle w:val="ACMABodyText"/>
        <w:rPr>
          <w:bCs/>
          <w:iCs/>
        </w:rPr>
      </w:pPr>
      <w:r>
        <w:rPr>
          <w:bCs/>
          <w:iCs/>
        </w:rPr>
        <w:t>[…]</w:t>
      </w:r>
    </w:p>
    <w:p w14:paraId="7C5E2177" w14:textId="77777777" w:rsidR="00947752" w:rsidRPr="00947752" w:rsidRDefault="00947752" w:rsidP="00947752">
      <w:pPr>
        <w:pStyle w:val="ACMABodyText"/>
        <w:rPr>
          <w:b/>
          <w:bCs/>
          <w:iCs/>
          <w:lang w:val="en-US"/>
        </w:rPr>
      </w:pPr>
      <w:r w:rsidRPr="00947752">
        <w:rPr>
          <w:b/>
          <w:bCs/>
          <w:iCs/>
          <w:lang w:val="en-US"/>
        </w:rPr>
        <w:t>Appendix A</w:t>
      </w:r>
    </w:p>
    <w:p w14:paraId="7D78A8A9" w14:textId="394E2585" w:rsidR="00947752" w:rsidRPr="00947752" w:rsidRDefault="00947752" w:rsidP="00947752">
      <w:pPr>
        <w:pStyle w:val="ACMABodyText"/>
        <w:rPr>
          <w:bCs/>
          <w:iCs/>
          <w:lang w:val="en-US"/>
        </w:rPr>
      </w:pPr>
      <w:r>
        <w:rPr>
          <w:bCs/>
          <w:iCs/>
          <w:lang w:val="en-US"/>
        </w:rPr>
        <w:t>[…]</w:t>
      </w:r>
    </w:p>
    <w:p w14:paraId="1748785D" w14:textId="77777777" w:rsidR="00947752" w:rsidRPr="00947752" w:rsidRDefault="00947752" w:rsidP="00947752">
      <w:pPr>
        <w:pStyle w:val="ACMABodyText"/>
        <w:numPr>
          <w:ilvl w:val="0"/>
          <w:numId w:val="29"/>
        </w:numPr>
        <w:ind w:left="709"/>
        <w:rPr>
          <w:b/>
          <w:bCs/>
          <w:iCs/>
          <w:lang w:val="en-US"/>
        </w:rPr>
      </w:pPr>
      <w:r w:rsidRPr="00947752">
        <w:rPr>
          <w:b/>
          <w:bCs/>
          <w:i/>
          <w:iCs/>
          <w:lang w:val="en-US"/>
        </w:rPr>
        <w:t>This is a very safe drug. Safer than aspirin, safer than Tylenol</w:t>
      </w:r>
      <w:r w:rsidRPr="00947752">
        <w:rPr>
          <w:b/>
          <w:bCs/>
          <w:iCs/>
          <w:lang w:val="en-US"/>
        </w:rPr>
        <w:t>.</w:t>
      </w:r>
    </w:p>
    <w:p w14:paraId="3C0941C2" w14:textId="77777777" w:rsidR="00947752" w:rsidRPr="00947752" w:rsidRDefault="00947752" w:rsidP="00947752">
      <w:pPr>
        <w:pStyle w:val="ACMABodyText"/>
        <w:rPr>
          <w:bCs/>
          <w:iCs/>
          <w:lang w:val="en-US"/>
        </w:rPr>
      </w:pPr>
      <w:r w:rsidRPr="00947752">
        <w:rPr>
          <w:bCs/>
          <w:iCs/>
          <w:lang w:val="en-US"/>
        </w:rPr>
        <w:t>This statement taken in context is an opinion as to the relative safety of ivermectin.</w:t>
      </w:r>
    </w:p>
    <w:p w14:paraId="2801AC98" w14:textId="77777777" w:rsidR="00947752" w:rsidRPr="00947752" w:rsidRDefault="00947752" w:rsidP="00947752">
      <w:pPr>
        <w:pStyle w:val="ACMABodyText"/>
        <w:rPr>
          <w:bCs/>
          <w:iCs/>
          <w:lang w:val="en-US"/>
        </w:rPr>
      </w:pPr>
      <w:r w:rsidRPr="00947752">
        <w:rPr>
          <w:bCs/>
          <w:iCs/>
          <w:lang w:val="en-US"/>
        </w:rPr>
        <w:t>At conventional doses, ivermectin is generally regarded to be a safe drug to treat certain conditions. It is generally accepted that it is only at high doses that safety concerns tend to arise. For instance:</w:t>
      </w:r>
    </w:p>
    <w:p w14:paraId="36756530" w14:textId="73552598" w:rsidR="00947752" w:rsidRPr="00947752" w:rsidRDefault="00947752" w:rsidP="00947752">
      <w:pPr>
        <w:pStyle w:val="ACMABodyText"/>
        <w:numPr>
          <w:ilvl w:val="1"/>
          <w:numId w:val="29"/>
        </w:numPr>
        <w:spacing w:after="120"/>
        <w:ind w:left="709" w:hanging="533"/>
        <w:rPr>
          <w:bCs/>
          <w:iCs/>
          <w:lang w:val="en-US"/>
        </w:rPr>
      </w:pPr>
      <w:r w:rsidRPr="00947752">
        <w:rPr>
          <w:bCs/>
          <w:iCs/>
          <w:lang w:val="en-US"/>
        </w:rPr>
        <w:t>a scientific study published on 28 June 2021, described as the “most robust summary of the evidence for ivermectin in COVID</w:t>
      </w:r>
      <w:r w:rsidRPr="00947752">
        <w:rPr>
          <w:rFonts w:ascii="Cambria Math" w:hAnsi="Cambria Math" w:cs="Cambria Math"/>
          <w:bCs/>
          <w:iCs/>
          <w:lang w:val="en-US"/>
        </w:rPr>
        <w:t>‐</w:t>
      </w:r>
      <w:r w:rsidRPr="00947752">
        <w:rPr>
          <w:bCs/>
          <w:iCs/>
          <w:lang w:val="en-US"/>
        </w:rPr>
        <w:t xml:space="preserve">19” by the Royal Australian College of </w:t>
      </w:r>
      <w:r w:rsidRPr="00947752">
        <w:rPr>
          <w:bCs/>
          <w:iCs/>
          <w:lang w:val="en-US"/>
        </w:rPr>
        <w:lastRenderedPageBreak/>
        <w:t>General Practitioners (</w:t>
      </w:r>
      <w:r w:rsidRPr="00947752">
        <w:rPr>
          <w:b/>
          <w:iCs/>
          <w:lang w:val="en-US"/>
        </w:rPr>
        <w:t>RACGP</w:t>
      </w:r>
      <w:r w:rsidRPr="00947752">
        <w:rPr>
          <w:bCs/>
          <w:iCs/>
          <w:lang w:val="en-US"/>
        </w:rPr>
        <w:t>)</w:t>
      </w:r>
      <w:r w:rsidR="00831ED3">
        <w:rPr>
          <w:rStyle w:val="FootnoteReference"/>
          <w:bCs/>
          <w:iCs/>
          <w:lang w:val="en-US"/>
        </w:rPr>
        <w:footnoteReference w:id="26"/>
      </w:r>
      <w:r w:rsidRPr="00947752">
        <w:rPr>
          <w:bCs/>
          <w:iCs/>
          <w:lang w:val="en-US"/>
        </w:rPr>
        <w:t xml:space="preserve"> found that “IVM [ivermectin] is generally safe at conventional doses for approved indications”;</w:t>
      </w:r>
      <w:r w:rsidR="001A0A1F">
        <w:rPr>
          <w:rStyle w:val="FootnoteReference"/>
          <w:bCs/>
          <w:iCs/>
          <w:lang w:val="en-US"/>
        </w:rPr>
        <w:footnoteReference w:id="27"/>
      </w:r>
      <w:r w:rsidRPr="00947752">
        <w:rPr>
          <w:bCs/>
          <w:iCs/>
          <w:lang w:val="en-US"/>
        </w:rPr>
        <w:t xml:space="preserve"> and</w:t>
      </w:r>
    </w:p>
    <w:p w14:paraId="325D3160" w14:textId="6A19D4A0" w:rsidR="00947752" w:rsidRPr="00947752" w:rsidRDefault="00947752" w:rsidP="00947752">
      <w:pPr>
        <w:pStyle w:val="ACMABodyText"/>
        <w:numPr>
          <w:ilvl w:val="1"/>
          <w:numId w:val="29"/>
        </w:numPr>
        <w:ind w:left="709"/>
        <w:rPr>
          <w:bCs/>
          <w:iCs/>
          <w:lang w:val="en-US"/>
        </w:rPr>
      </w:pPr>
      <w:r w:rsidRPr="00947752">
        <w:rPr>
          <w:bCs/>
          <w:iCs/>
          <w:lang w:val="en-US"/>
        </w:rPr>
        <w:t>a scientific study published on 22 April 2021 stated that “</w:t>
      </w:r>
      <w:r w:rsidRPr="00947752">
        <w:rPr>
          <w:bCs/>
          <w:i/>
          <w:iCs/>
          <w:lang w:val="en-US"/>
        </w:rPr>
        <w:t>Numerous studies report low rates of adverse events, with the majority mild, transient, and largely attributed to the body’s inflammatory response to the death of the parasites … In a study that combined results from trials including more than 50,000 patients, serious events occurred in less than 1% …”</w:t>
      </w:r>
      <w:r w:rsidR="001A0A1F">
        <w:rPr>
          <w:rStyle w:val="FootnoteReference"/>
          <w:bCs/>
          <w:i/>
          <w:iCs/>
          <w:lang w:val="en-US"/>
        </w:rPr>
        <w:footnoteReference w:id="28"/>
      </w:r>
    </w:p>
    <w:p w14:paraId="61B5D80B" w14:textId="7567BEAD" w:rsidR="00947752" w:rsidRPr="00947752" w:rsidRDefault="00947752" w:rsidP="00947752">
      <w:pPr>
        <w:pStyle w:val="ACMABodyText"/>
        <w:rPr>
          <w:bCs/>
          <w:iCs/>
          <w:lang w:val="en-US"/>
        </w:rPr>
      </w:pPr>
      <w:r w:rsidRPr="00947752">
        <w:rPr>
          <w:bCs/>
          <w:iCs/>
          <w:lang w:val="en-US"/>
        </w:rPr>
        <w:t>Further, in relation to the comparison of ivermectin with aspirin and Tylenol (</w:t>
      </w:r>
      <w:r w:rsidR="00E94BCF" w:rsidRPr="00947752">
        <w:rPr>
          <w:bCs/>
          <w:iCs/>
          <w:lang w:val="en-US"/>
        </w:rPr>
        <w:t>i.e.</w:t>
      </w:r>
      <w:r w:rsidRPr="00947752">
        <w:rPr>
          <w:bCs/>
          <w:iCs/>
          <w:lang w:val="en-US"/>
        </w:rPr>
        <w:t xml:space="preserve"> paracetamol), we note that many studies, reviews and publications from reputable sources have previously highlighted the risks associated with these common medications. For instance:</w:t>
      </w:r>
    </w:p>
    <w:p w14:paraId="3BD9413E" w14:textId="75DC63F8" w:rsidR="00947752" w:rsidRPr="00947752" w:rsidRDefault="00947752" w:rsidP="00947752">
      <w:pPr>
        <w:pStyle w:val="ACMABodyText"/>
        <w:numPr>
          <w:ilvl w:val="1"/>
          <w:numId w:val="29"/>
        </w:numPr>
        <w:spacing w:after="120"/>
        <w:ind w:left="709" w:hanging="533"/>
        <w:rPr>
          <w:bCs/>
          <w:iCs/>
          <w:lang w:val="en-US"/>
        </w:rPr>
      </w:pPr>
      <w:r w:rsidRPr="00947752">
        <w:rPr>
          <w:bCs/>
          <w:iCs/>
          <w:lang w:val="en-US"/>
        </w:rPr>
        <w:t>the RACGP noted last year that “</w:t>
      </w:r>
      <w:r w:rsidRPr="00947752">
        <w:rPr>
          <w:bCs/>
          <w:i/>
          <w:iCs/>
          <w:lang w:val="en-US"/>
        </w:rPr>
        <w:t>The latest study to analyse data from the Aspirin in Reducing Events in the Elderly (ASPREE) trial has found prolonged daily aspirin use increases the risk of gastrointestinal bleeding by at least 60% in people aged 70 and older … The researchers also found risk of gastrointestinal bleeding increases significantly with age, while smoking, hypertension, obesity, chronic kidney disease and the use of anti</w:t>
      </w:r>
      <w:r w:rsidRPr="00947752">
        <w:rPr>
          <w:rFonts w:ascii="Cambria Math" w:hAnsi="Cambria Math" w:cs="Cambria Math"/>
          <w:bCs/>
          <w:i/>
          <w:iCs/>
          <w:lang w:val="en-US"/>
        </w:rPr>
        <w:t>‐</w:t>
      </w:r>
      <w:r w:rsidRPr="00947752">
        <w:rPr>
          <w:bCs/>
          <w:i/>
          <w:iCs/>
          <w:lang w:val="en-US"/>
        </w:rPr>
        <w:t>inflammatory drugs were also found to increase bleeding risk. The combination of these risk factors in association with aspirin put people at high risk of complications. Crucially, previous research has also shown that aspirin does not reduce heart attacks or strokes in otherwise healthy older individuals</w:t>
      </w:r>
      <w:r w:rsidRPr="00947752">
        <w:rPr>
          <w:bCs/>
          <w:iCs/>
          <w:lang w:val="en-US"/>
        </w:rPr>
        <w:t>”</w:t>
      </w:r>
      <w:r w:rsidR="00FB0C05">
        <w:rPr>
          <w:rStyle w:val="FootnoteReference"/>
          <w:bCs/>
          <w:iCs/>
          <w:lang w:val="en-US"/>
        </w:rPr>
        <w:footnoteReference w:id="29"/>
      </w:r>
      <w:r w:rsidRPr="00947752">
        <w:rPr>
          <w:bCs/>
          <w:iCs/>
          <w:lang w:val="en-US"/>
        </w:rPr>
        <w:t>;</w:t>
      </w:r>
    </w:p>
    <w:p w14:paraId="1E1472B1" w14:textId="3E7D3E0F" w:rsidR="00947752" w:rsidRPr="00947752" w:rsidRDefault="00947752" w:rsidP="00947752">
      <w:pPr>
        <w:pStyle w:val="ACMABodyText"/>
        <w:numPr>
          <w:ilvl w:val="1"/>
          <w:numId w:val="29"/>
        </w:numPr>
        <w:spacing w:after="120"/>
        <w:ind w:left="709" w:hanging="533"/>
        <w:rPr>
          <w:bCs/>
          <w:iCs/>
          <w:lang w:val="en-US"/>
        </w:rPr>
      </w:pPr>
      <w:r w:rsidRPr="00947752">
        <w:rPr>
          <w:bCs/>
          <w:iCs/>
          <w:lang w:val="en-US"/>
        </w:rPr>
        <w:t>a scientific article published in The New England Journal of Medicine on 18 October 2018 noted that “The use of low</w:t>
      </w:r>
      <w:r w:rsidRPr="00947752">
        <w:rPr>
          <w:rFonts w:ascii="Cambria Math" w:hAnsi="Cambria Math" w:cs="Cambria Math"/>
          <w:bCs/>
          <w:iCs/>
          <w:lang w:val="en-US"/>
        </w:rPr>
        <w:t>‐</w:t>
      </w:r>
      <w:r w:rsidRPr="00947752">
        <w:rPr>
          <w:bCs/>
          <w:iCs/>
          <w:lang w:val="en-US"/>
        </w:rPr>
        <w:t>dose aspirin as a primary prevention strategy in older adults resulted in a significantly higher risk of major haemorrhage and did not result in a significantly lower risk of cardiovascular disease than placebo”;</w:t>
      </w:r>
      <w:r w:rsidR="00796DB2">
        <w:rPr>
          <w:rStyle w:val="FootnoteReference"/>
          <w:bCs/>
          <w:iCs/>
          <w:lang w:val="en-US"/>
        </w:rPr>
        <w:footnoteReference w:id="30"/>
      </w:r>
      <w:r w:rsidRPr="00947752">
        <w:rPr>
          <w:bCs/>
          <w:iCs/>
          <w:lang w:val="en-US"/>
        </w:rPr>
        <w:t xml:space="preserve"> and</w:t>
      </w:r>
    </w:p>
    <w:p w14:paraId="10512CDF" w14:textId="5629E444" w:rsidR="00947752" w:rsidRPr="00947752" w:rsidRDefault="00947752" w:rsidP="00947752">
      <w:pPr>
        <w:pStyle w:val="ACMABodyText"/>
        <w:numPr>
          <w:ilvl w:val="1"/>
          <w:numId w:val="29"/>
        </w:numPr>
        <w:ind w:left="709"/>
        <w:rPr>
          <w:bCs/>
          <w:iCs/>
          <w:lang w:val="en-US"/>
        </w:rPr>
      </w:pPr>
      <w:r w:rsidRPr="00947752">
        <w:rPr>
          <w:bCs/>
          <w:iCs/>
          <w:lang w:val="en-US"/>
        </w:rPr>
        <w:t>the “Updated guidelines for the management of paracetamol poisoning in Australia and New Zealand” state that paracetamol poisoning “</w:t>
      </w:r>
      <w:r w:rsidRPr="00947752">
        <w:rPr>
          <w:bCs/>
          <w:i/>
          <w:iCs/>
          <w:lang w:val="en-US"/>
        </w:rPr>
        <w:t>is the commonest cause of severe acute liver injury in Western countries</w:t>
      </w:r>
      <w:r w:rsidRPr="00947752">
        <w:rPr>
          <w:bCs/>
          <w:iCs/>
          <w:lang w:val="en-US"/>
        </w:rPr>
        <w:t>” and “</w:t>
      </w:r>
      <w:r w:rsidRPr="00947752">
        <w:rPr>
          <w:bCs/>
          <w:i/>
          <w:iCs/>
          <w:lang w:val="en-US"/>
        </w:rPr>
        <w:t>is also the most common reason for calls to Poisons Information Centres in Australia and New Zealand</w:t>
      </w:r>
      <w:r w:rsidRPr="00947752">
        <w:rPr>
          <w:bCs/>
          <w:iCs/>
          <w:lang w:val="en-US"/>
        </w:rPr>
        <w:t>”.</w:t>
      </w:r>
      <w:r w:rsidR="00796DB2">
        <w:rPr>
          <w:rStyle w:val="FootnoteReference"/>
          <w:bCs/>
          <w:iCs/>
          <w:lang w:val="en-US"/>
        </w:rPr>
        <w:footnoteReference w:id="31"/>
      </w:r>
    </w:p>
    <w:p w14:paraId="34E1AB57" w14:textId="77777777" w:rsidR="00947752" w:rsidRPr="00947752" w:rsidRDefault="00947752" w:rsidP="00947752">
      <w:pPr>
        <w:pStyle w:val="ACMABodyText"/>
        <w:numPr>
          <w:ilvl w:val="0"/>
          <w:numId w:val="29"/>
        </w:numPr>
        <w:ind w:left="709"/>
        <w:rPr>
          <w:b/>
          <w:bCs/>
          <w:i/>
          <w:iCs/>
          <w:lang w:val="en-US"/>
        </w:rPr>
      </w:pPr>
      <w:r w:rsidRPr="00947752">
        <w:rPr>
          <w:b/>
          <w:bCs/>
          <w:i/>
          <w:iCs/>
          <w:lang w:val="en-US"/>
        </w:rPr>
        <w:t>Four billion doses given, 12 to 16 adverse outcomes out of four billion.</w:t>
      </w:r>
    </w:p>
    <w:p w14:paraId="20C4D7F8" w14:textId="67EB2AB7" w:rsidR="00947752" w:rsidRPr="00947752" w:rsidRDefault="00947752" w:rsidP="00947752">
      <w:pPr>
        <w:pStyle w:val="ACMABodyText"/>
        <w:rPr>
          <w:bCs/>
          <w:iCs/>
          <w:lang w:val="en-US"/>
        </w:rPr>
      </w:pPr>
      <w:r w:rsidRPr="00947752">
        <w:rPr>
          <w:bCs/>
          <w:iCs/>
          <w:lang w:val="en-US"/>
        </w:rPr>
        <w:t>This statement is a further representation as to relative safety, being the low rates of adverse</w:t>
      </w:r>
      <w:r>
        <w:rPr>
          <w:bCs/>
          <w:iCs/>
          <w:lang w:val="en-US"/>
        </w:rPr>
        <w:t xml:space="preserve"> </w:t>
      </w:r>
      <w:r w:rsidRPr="00947752">
        <w:rPr>
          <w:bCs/>
          <w:iCs/>
          <w:lang w:val="en-US"/>
        </w:rPr>
        <w:t>outcomes experienced by uses of ivermectin.</w:t>
      </w:r>
    </w:p>
    <w:p w14:paraId="5BB72F4B" w14:textId="77777777" w:rsidR="00947752" w:rsidRPr="00947752" w:rsidRDefault="00947752" w:rsidP="00947752">
      <w:pPr>
        <w:pStyle w:val="ACMABodyText"/>
        <w:rPr>
          <w:bCs/>
          <w:iCs/>
          <w:lang w:val="en-US"/>
        </w:rPr>
      </w:pPr>
      <w:r w:rsidRPr="00947752">
        <w:rPr>
          <w:bCs/>
          <w:iCs/>
          <w:lang w:val="en-US"/>
        </w:rPr>
        <w:t xml:space="preserve">Numerous scientific studies have reported low rates of adverse events following administration of ivermectin. For instance, a study published on 4 December 2017 in The American Journal of Tropical Medicine and Hygiene found that 28 cases among almost 4 billion doses resulted in serious neurological adverse events. Of these 28 cases, 19 also </w:t>
      </w:r>
      <w:r w:rsidRPr="00947752">
        <w:rPr>
          <w:bCs/>
          <w:iCs/>
          <w:lang w:val="en-US"/>
        </w:rPr>
        <w:lastRenderedPageBreak/>
        <w:t>related to patients who had been taking other suspect or concomitant medications (7 of which had central nervous system effects).</w:t>
      </w:r>
    </w:p>
    <w:p w14:paraId="58FD9170" w14:textId="70CE935D" w:rsidR="00947752" w:rsidRPr="00947752" w:rsidRDefault="00947752" w:rsidP="00947752">
      <w:pPr>
        <w:pStyle w:val="ACMABodyText"/>
        <w:rPr>
          <w:bCs/>
          <w:iCs/>
          <w:lang w:val="en-US"/>
        </w:rPr>
      </w:pPr>
      <w:r w:rsidRPr="00947752">
        <w:rPr>
          <w:bCs/>
          <w:iCs/>
          <w:lang w:val="en-US"/>
        </w:rPr>
        <w:t>Based on the above, this statement was an accurate representation of the scientific data regarding ivermectin as was available at the time the Programs were broadcast.</w:t>
      </w:r>
      <w:r w:rsidR="00796DB2">
        <w:rPr>
          <w:rStyle w:val="FootnoteReference"/>
          <w:bCs/>
          <w:iCs/>
          <w:lang w:val="en-US"/>
        </w:rPr>
        <w:footnoteReference w:id="32"/>
      </w:r>
    </w:p>
    <w:p w14:paraId="1E11B456" w14:textId="77777777" w:rsidR="00947752" w:rsidRPr="00947752" w:rsidRDefault="00947752" w:rsidP="00947752">
      <w:pPr>
        <w:pStyle w:val="ACMABodyText"/>
        <w:numPr>
          <w:ilvl w:val="0"/>
          <w:numId w:val="29"/>
        </w:numPr>
        <w:ind w:left="709"/>
        <w:rPr>
          <w:b/>
          <w:bCs/>
          <w:i/>
          <w:iCs/>
          <w:lang w:val="en-US"/>
        </w:rPr>
      </w:pPr>
      <w:r w:rsidRPr="00947752">
        <w:rPr>
          <w:b/>
          <w:bCs/>
          <w:i/>
          <w:iCs/>
          <w:lang w:val="en-US"/>
        </w:rPr>
        <w:t>Covid is… a clotting disease. The wonderful thing about Ivermectin is it helps as an anti</w:t>
      </w:r>
      <w:r w:rsidRPr="00947752">
        <w:rPr>
          <w:rFonts w:ascii="Cambria Math" w:hAnsi="Cambria Math" w:cs="Cambria Math"/>
          <w:b/>
          <w:bCs/>
          <w:i/>
          <w:iCs/>
          <w:lang w:val="en-US"/>
        </w:rPr>
        <w:t>‐</w:t>
      </w:r>
      <w:r w:rsidRPr="00947752">
        <w:rPr>
          <w:b/>
          <w:bCs/>
          <w:i/>
          <w:iCs/>
          <w:lang w:val="en-US"/>
        </w:rPr>
        <w:t xml:space="preserve"> clotter.</w:t>
      </w:r>
    </w:p>
    <w:p w14:paraId="3C95D315" w14:textId="77777777" w:rsidR="00947752" w:rsidRPr="00947752" w:rsidRDefault="00947752" w:rsidP="00DF6E81">
      <w:pPr>
        <w:pStyle w:val="ACMABodyText"/>
        <w:rPr>
          <w:bCs/>
          <w:iCs/>
          <w:lang w:val="en-US"/>
        </w:rPr>
      </w:pPr>
      <w:r w:rsidRPr="00947752">
        <w:rPr>
          <w:bCs/>
          <w:iCs/>
          <w:lang w:val="en-US"/>
        </w:rPr>
        <w:t>It has been widely reported that COVID</w:t>
      </w:r>
      <w:r w:rsidRPr="00947752">
        <w:rPr>
          <w:rFonts w:ascii="Cambria Math" w:hAnsi="Cambria Math" w:cs="Cambria Math"/>
          <w:bCs/>
          <w:iCs/>
          <w:lang w:val="en-US"/>
        </w:rPr>
        <w:t>‐</w:t>
      </w:r>
      <w:r w:rsidRPr="00947752">
        <w:rPr>
          <w:bCs/>
          <w:iCs/>
          <w:lang w:val="en-US"/>
        </w:rPr>
        <w:t>19 is a disease which can result in blood clots and associated conditions (such as deep vein thrombosis, cerebral venous thrombosis and pulmonary embolism).</w:t>
      </w:r>
    </w:p>
    <w:p w14:paraId="5ACF9562" w14:textId="77777777" w:rsidR="00947752" w:rsidRPr="00947752" w:rsidRDefault="00947752" w:rsidP="00947752">
      <w:pPr>
        <w:pStyle w:val="ACMABodyText"/>
        <w:rPr>
          <w:bCs/>
          <w:iCs/>
          <w:lang w:val="en-US"/>
        </w:rPr>
      </w:pPr>
      <w:r w:rsidRPr="00947752">
        <w:rPr>
          <w:bCs/>
          <w:iCs/>
          <w:lang w:val="en-US"/>
        </w:rPr>
        <w:t>Examples of publications which have referred to the risk of blood clots associated with COVID</w:t>
      </w:r>
      <w:r w:rsidRPr="00947752">
        <w:rPr>
          <w:rFonts w:ascii="Cambria Math" w:hAnsi="Cambria Math" w:cs="Cambria Math"/>
          <w:bCs/>
          <w:iCs/>
          <w:lang w:val="en-US"/>
        </w:rPr>
        <w:t>‐</w:t>
      </w:r>
      <w:r w:rsidRPr="00947752">
        <w:rPr>
          <w:bCs/>
          <w:iCs/>
          <w:lang w:val="en-US"/>
        </w:rPr>
        <w:t>19 both in Australia and internationally are provided below:</w:t>
      </w:r>
    </w:p>
    <w:p w14:paraId="45968A05" w14:textId="030CEACE" w:rsidR="00947752" w:rsidRPr="0013388E" w:rsidRDefault="0050688D" w:rsidP="00EA42C9">
      <w:pPr>
        <w:pStyle w:val="ACMABodyText"/>
        <w:numPr>
          <w:ilvl w:val="1"/>
          <w:numId w:val="30"/>
        </w:numPr>
        <w:spacing w:after="120" w:line="120" w:lineRule="atLeast"/>
        <w:ind w:left="709" w:hanging="533"/>
        <w:rPr>
          <w:bCs/>
          <w:iCs/>
          <w:lang w:val="en-US"/>
        </w:rPr>
      </w:pPr>
      <w:hyperlink r:id="rId20">
        <w:r w:rsidR="00947752" w:rsidRPr="0013388E">
          <w:rPr>
            <w:rStyle w:val="Hyperlink"/>
            <w:bCs/>
            <w:iCs/>
            <w:color w:val="auto"/>
            <w:lang w:val="en-US"/>
          </w:rPr>
          <w:t>https://www.h</w:t>
        </w:r>
      </w:hyperlink>
      <w:r w:rsidR="00947752" w:rsidRPr="0013388E">
        <w:rPr>
          <w:bCs/>
          <w:iCs/>
          <w:u w:val="single"/>
          <w:lang w:val="en-US"/>
        </w:rPr>
        <w:t>opk</w:t>
      </w:r>
      <w:hyperlink r:id="rId21">
        <w:r w:rsidR="00947752" w:rsidRPr="0013388E">
          <w:rPr>
            <w:rStyle w:val="Hyperlink"/>
            <w:bCs/>
            <w:iCs/>
            <w:color w:val="auto"/>
            <w:lang w:val="en-US"/>
          </w:rPr>
          <w:t>insmedic</w:t>
        </w:r>
      </w:hyperlink>
      <w:r w:rsidR="00947752" w:rsidRPr="0013388E">
        <w:rPr>
          <w:bCs/>
          <w:iCs/>
          <w:u w:val="single"/>
          <w:lang w:val="en-US"/>
        </w:rPr>
        <w:t>ine.</w:t>
      </w:r>
      <w:hyperlink r:id="rId22">
        <w:r w:rsidR="00947752" w:rsidRPr="0013388E">
          <w:rPr>
            <w:rStyle w:val="Hyperlink"/>
            <w:bCs/>
            <w:iCs/>
            <w:color w:val="auto"/>
            <w:lang w:val="en-US"/>
          </w:rPr>
          <w:t>org</w:t>
        </w:r>
      </w:hyperlink>
      <w:r w:rsidR="00947752" w:rsidRPr="0013388E">
        <w:rPr>
          <w:bCs/>
          <w:iCs/>
          <w:u w:val="single"/>
          <w:lang w:val="en-US"/>
        </w:rPr>
        <w:t>/</w:t>
      </w:r>
      <w:hyperlink r:id="rId23">
        <w:r w:rsidR="00947752" w:rsidRPr="0013388E">
          <w:rPr>
            <w:rStyle w:val="Hyperlink"/>
            <w:bCs/>
            <w:iCs/>
            <w:color w:val="auto"/>
            <w:lang w:val="en-US"/>
          </w:rPr>
          <w:t>health/conditions</w:t>
        </w:r>
      </w:hyperlink>
      <w:r w:rsidR="00947752" w:rsidRPr="0013388E">
        <w:rPr>
          <w:rFonts w:ascii="Cambria Math" w:hAnsi="Cambria Math" w:cs="Cambria Math"/>
          <w:bCs/>
          <w:iCs/>
          <w:u w:val="single"/>
          <w:lang w:val="en-US"/>
        </w:rPr>
        <w:t>‐</w:t>
      </w:r>
      <w:r w:rsidR="00947752" w:rsidRPr="0013388E">
        <w:rPr>
          <w:bCs/>
          <w:iCs/>
          <w:u w:val="single"/>
          <w:lang w:val="en-US"/>
        </w:rPr>
        <w:t>and</w:t>
      </w:r>
      <w:r w:rsidR="00947752" w:rsidRPr="0013388E">
        <w:rPr>
          <w:rFonts w:ascii="Cambria Math" w:hAnsi="Cambria Math" w:cs="Cambria Math"/>
          <w:bCs/>
          <w:iCs/>
          <w:u w:val="single"/>
          <w:lang w:val="en-US"/>
        </w:rPr>
        <w:t>‐</w:t>
      </w:r>
      <w:r w:rsidR="00947752" w:rsidRPr="0013388E">
        <w:rPr>
          <w:bCs/>
          <w:iCs/>
          <w:u w:val="single"/>
          <w:lang w:val="en-US"/>
        </w:rPr>
        <w:t>diseases/coronavirus/what</w:t>
      </w:r>
      <w:r w:rsidR="00947752" w:rsidRPr="0013388E">
        <w:rPr>
          <w:rFonts w:ascii="Cambria Math" w:hAnsi="Cambria Math" w:cs="Cambria Math"/>
          <w:bCs/>
          <w:iCs/>
          <w:u w:val="single"/>
          <w:lang w:val="en-US"/>
        </w:rPr>
        <w:t>‐</w:t>
      </w:r>
      <w:r w:rsidR="00947752" w:rsidRPr="0013388E">
        <w:rPr>
          <w:bCs/>
          <w:iCs/>
          <w:u w:val="single"/>
          <w:lang w:val="en-US"/>
        </w:rPr>
        <w:t xml:space="preserve"> does</w:t>
      </w:r>
      <w:r w:rsidR="00947752" w:rsidRPr="0013388E">
        <w:rPr>
          <w:rFonts w:ascii="Cambria Math" w:hAnsi="Cambria Math" w:cs="Cambria Math"/>
          <w:bCs/>
          <w:iCs/>
          <w:u w:val="single"/>
          <w:lang w:val="en-US"/>
        </w:rPr>
        <w:t>‐</w:t>
      </w:r>
      <w:r w:rsidR="00947752" w:rsidRPr="0013388E">
        <w:rPr>
          <w:bCs/>
          <w:iCs/>
          <w:u w:val="single"/>
          <w:lang w:val="en-US"/>
        </w:rPr>
        <w:t>covid</w:t>
      </w:r>
      <w:r w:rsidR="00947752" w:rsidRPr="0013388E">
        <w:rPr>
          <w:rFonts w:ascii="Cambria Math" w:hAnsi="Cambria Math" w:cs="Cambria Math"/>
          <w:bCs/>
          <w:iCs/>
          <w:u w:val="single"/>
          <w:lang w:val="en-US"/>
        </w:rPr>
        <w:t>‐</w:t>
      </w:r>
      <w:r w:rsidR="00947752" w:rsidRPr="0013388E">
        <w:rPr>
          <w:bCs/>
          <w:iCs/>
          <w:u w:val="single"/>
          <w:lang w:val="en-US"/>
        </w:rPr>
        <w:t>do</w:t>
      </w:r>
      <w:r w:rsidR="00947752" w:rsidRPr="0013388E">
        <w:rPr>
          <w:rFonts w:ascii="Cambria Math" w:hAnsi="Cambria Math" w:cs="Cambria Math"/>
          <w:bCs/>
          <w:iCs/>
          <w:u w:val="single"/>
          <w:lang w:val="en-US"/>
        </w:rPr>
        <w:t>‐</w:t>
      </w:r>
      <w:r w:rsidR="00947752" w:rsidRPr="0013388E">
        <w:rPr>
          <w:bCs/>
          <w:iCs/>
          <w:u w:val="single"/>
          <w:lang w:val="en-US"/>
        </w:rPr>
        <w:t>to</w:t>
      </w:r>
      <w:r w:rsidR="00947752" w:rsidRPr="0013388E">
        <w:rPr>
          <w:rFonts w:ascii="Cambria Math" w:hAnsi="Cambria Math" w:cs="Cambria Math"/>
          <w:bCs/>
          <w:iCs/>
          <w:u w:val="single"/>
          <w:lang w:val="en-US"/>
        </w:rPr>
        <w:t>‐</w:t>
      </w:r>
      <w:r w:rsidR="00947752" w:rsidRPr="0013388E">
        <w:rPr>
          <w:bCs/>
          <w:iCs/>
          <w:u w:val="single"/>
          <w:lang w:val="en-US"/>
        </w:rPr>
        <w:t>your</w:t>
      </w:r>
      <w:r w:rsidR="00947752" w:rsidRPr="0013388E">
        <w:rPr>
          <w:rFonts w:ascii="Cambria Math" w:hAnsi="Cambria Math" w:cs="Cambria Math"/>
          <w:bCs/>
          <w:iCs/>
          <w:u w:val="single"/>
          <w:lang w:val="en-US"/>
        </w:rPr>
        <w:t>‐</w:t>
      </w:r>
      <w:r w:rsidR="00947752" w:rsidRPr="0013388E">
        <w:rPr>
          <w:bCs/>
          <w:iCs/>
          <w:u w:val="single"/>
          <w:lang w:val="en-US"/>
        </w:rPr>
        <w:t>blood</w:t>
      </w:r>
      <w:r w:rsidR="0013388E">
        <w:rPr>
          <w:bCs/>
          <w:iCs/>
          <w:u w:val="single"/>
          <w:lang w:val="en-US"/>
        </w:rPr>
        <w:t xml:space="preserve"> </w:t>
      </w:r>
    </w:p>
    <w:p w14:paraId="3395AE89" w14:textId="06959115" w:rsidR="00947752" w:rsidRPr="0013388E" w:rsidRDefault="00947752" w:rsidP="00EA42C9">
      <w:pPr>
        <w:pStyle w:val="ACMABodyText"/>
        <w:numPr>
          <w:ilvl w:val="1"/>
          <w:numId w:val="30"/>
        </w:numPr>
        <w:spacing w:after="120" w:line="120" w:lineRule="atLeast"/>
        <w:ind w:left="709" w:hanging="533"/>
        <w:rPr>
          <w:bCs/>
          <w:iCs/>
          <w:lang w:val="en-US"/>
        </w:rPr>
      </w:pPr>
      <w:r w:rsidRPr="0013388E">
        <w:rPr>
          <w:bCs/>
          <w:iCs/>
          <w:u w:val="single"/>
          <w:lang w:val="en-US"/>
        </w:rPr>
        <w:t>https://www1.racgp.org.au/newsgp/clinical/blood</w:t>
      </w:r>
      <w:r w:rsidRPr="0013388E">
        <w:rPr>
          <w:rFonts w:ascii="Cambria Math" w:hAnsi="Cambria Math" w:cs="Cambria Math"/>
          <w:bCs/>
          <w:iCs/>
          <w:u w:val="single"/>
          <w:lang w:val="en-US"/>
        </w:rPr>
        <w:t>‐</w:t>
      </w:r>
      <w:r w:rsidRPr="0013388E">
        <w:rPr>
          <w:bCs/>
          <w:iCs/>
          <w:u w:val="single"/>
          <w:lang w:val="en-US"/>
        </w:rPr>
        <w:t>clots</w:t>
      </w:r>
      <w:r w:rsidRPr="0013388E">
        <w:rPr>
          <w:rFonts w:ascii="Cambria Math" w:hAnsi="Cambria Math" w:cs="Cambria Math"/>
          <w:bCs/>
          <w:iCs/>
          <w:u w:val="single"/>
          <w:lang w:val="en-US"/>
        </w:rPr>
        <w:t>‐</w:t>
      </w:r>
      <w:r w:rsidRPr="0013388E">
        <w:rPr>
          <w:bCs/>
          <w:iCs/>
          <w:u w:val="single"/>
          <w:lang w:val="en-US"/>
        </w:rPr>
        <w:t>up</w:t>
      </w:r>
      <w:r w:rsidRPr="0013388E">
        <w:rPr>
          <w:rFonts w:ascii="Cambria Math" w:hAnsi="Cambria Math" w:cs="Cambria Math"/>
          <w:bCs/>
          <w:iCs/>
          <w:u w:val="single"/>
          <w:lang w:val="en-US"/>
        </w:rPr>
        <w:t>‐</w:t>
      </w:r>
      <w:r w:rsidRPr="0013388E">
        <w:rPr>
          <w:bCs/>
          <w:iCs/>
          <w:u w:val="single"/>
          <w:lang w:val="en-US"/>
        </w:rPr>
        <w:t>to</w:t>
      </w:r>
      <w:r w:rsidRPr="0013388E">
        <w:rPr>
          <w:rFonts w:ascii="Cambria Math" w:hAnsi="Cambria Math" w:cs="Cambria Math"/>
          <w:bCs/>
          <w:iCs/>
          <w:u w:val="single"/>
          <w:lang w:val="en-US"/>
        </w:rPr>
        <w:t>‐</w:t>
      </w:r>
      <w:r w:rsidRPr="0013388E">
        <w:rPr>
          <w:bCs/>
          <w:iCs/>
          <w:u w:val="single"/>
          <w:lang w:val="en-US"/>
        </w:rPr>
        <w:t>10</w:t>
      </w:r>
      <w:r w:rsidRPr="0013388E">
        <w:rPr>
          <w:rFonts w:ascii="Cambria Math" w:hAnsi="Cambria Math" w:cs="Cambria Math"/>
          <w:bCs/>
          <w:iCs/>
          <w:u w:val="single"/>
          <w:lang w:val="en-US"/>
        </w:rPr>
        <w:t>‐</w:t>
      </w:r>
      <w:r w:rsidRPr="0013388E">
        <w:rPr>
          <w:bCs/>
          <w:iCs/>
          <w:u w:val="single"/>
          <w:lang w:val="en-US"/>
        </w:rPr>
        <w:t>times</w:t>
      </w:r>
      <w:r w:rsidRPr="0013388E">
        <w:rPr>
          <w:rFonts w:ascii="Cambria Math" w:hAnsi="Cambria Math" w:cs="Cambria Math"/>
          <w:bCs/>
          <w:iCs/>
          <w:u w:val="single"/>
          <w:lang w:val="en-US"/>
        </w:rPr>
        <w:t>‐</w:t>
      </w:r>
      <w:r w:rsidRPr="0013388E">
        <w:rPr>
          <w:bCs/>
          <w:iCs/>
          <w:u w:val="single"/>
          <w:lang w:val="en-US"/>
        </w:rPr>
        <w:t>more</w:t>
      </w:r>
      <w:r w:rsidRPr="0013388E">
        <w:rPr>
          <w:rFonts w:ascii="Cambria Math" w:hAnsi="Cambria Math" w:cs="Cambria Math"/>
          <w:bCs/>
          <w:iCs/>
          <w:u w:val="single"/>
          <w:lang w:val="en-US"/>
        </w:rPr>
        <w:t>‐</w:t>
      </w:r>
      <w:r w:rsidRPr="0013388E">
        <w:rPr>
          <w:bCs/>
          <w:iCs/>
          <w:u w:val="single"/>
          <w:lang w:val="en-US"/>
        </w:rPr>
        <w:t>common</w:t>
      </w:r>
      <w:r w:rsidRPr="0013388E">
        <w:rPr>
          <w:rFonts w:ascii="Cambria Math" w:hAnsi="Cambria Math" w:cs="Cambria Math"/>
          <w:bCs/>
          <w:iCs/>
          <w:u w:val="single"/>
          <w:lang w:val="en-US"/>
        </w:rPr>
        <w:t>‐</w:t>
      </w:r>
      <w:r w:rsidRPr="0013388E">
        <w:rPr>
          <w:bCs/>
          <w:iCs/>
          <w:u w:val="single"/>
          <w:lang w:val="en-US"/>
        </w:rPr>
        <w:t xml:space="preserve"> with</w:t>
      </w:r>
      <w:r w:rsidRPr="0013388E">
        <w:rPr>
          <w:rFonts w:ascii="Cambria Math" w:hAnsi="Cambria Math" w:cs="Cambria Math"/>
          <w:bCs/>
          <w:iCs/>
          <w:u w:val="single"/>
          <w:lang w:val="en-US"/>
        </w:rPr>
        <w:t>‐</w:t>
      </w:r>
      <w:r w:rsidRPr="0013388E">
        <w:rPr>
          <w:bCs/>
          <w:iCs/>
          <w:u w:val="single"/>
          <w:lang w:val="en-US"/>
        </w:rPr>
        <w:t>covid</w:t>
      </w:r>
      <w:r w:rsidR="0013388E">
        <w:rPr>
          <w:bCs/>
          <w:iCs/>
          <w:u w:val="single"/>
          <w:lang w:val="en-US"/>
        </w:rPr>
        <w:t xml:space="preserve"> </w:t>
      </w:r>
    </w:p>
    <w:p w14:paraId="3F38A6C0" w14:textId="6FDD18FC" w:rsidR="00947752" w:rsidRPr="0013388E" w:rsidRDefault="0050688D" w:rsidP="00EA42C9">
      <w:pPr>
        <w:pStyle w:val="ACMABodyText"/>
        <w:numPr>
          <w:ilvl w:val="1"/>
          <w:numId w:val="30"/>
        </w:numPr>
        <w:spacing w:after="120" w:line="120" w:lineRule="atLeast"/>
        <w:ind w:left="709" w:hanging="533"/>
        <w:rPr>
          <w:bCs/>
          <w:iCs/>
          <w:lang w:val="en-US"/>
        </w:rPr>
      </w:pPr>
      <w:hyperlink r:id="rId24">
        <w:r w:rsidR="00947752" w:rsidRPr="0013388E">
          <w:rPr>
            <w:rStyle w:val="Hyperlink"/>
            <w:bCs/>
            <w:iCs/>
            <w:color w:val="auto"/>
            <w:lang w:val="en-US"/>
          </w:rPr>
          <w:t>https://www.h</w:t>
        </w:r>
      </w:hyperlink>
      <w:r w:rsidR="00947752" w:rsidRPr="0013388E">
        <w:rPr>
          <w:bCs/>
          <w:iCs/>
          <w:u w:val="single"/>
          <w:lang w:val="en-US"/>
        </w:rPr>
        <w:t>e</w:t>
      </w:r>
      <w:hyperlink r:id="rId25">
        <w:r w:rsidR="00947752" w:rsidRPr="0013388E">
          <w:rPr>
            <w:rStyle w:val="Hyperlink"/>
            <w:bCs/>
            <w:iCs/>
            <w:color w:val="auto"/>
            <w:lang w:val="en-US"/>
          </w:rPr>
          <w:t>althline.c</w:t>
        </w:r>
      </w:hyperlink>
      <w:r w:rsidR="00947752" w:rsidRPr="0013388E">
        <w:rPr>
          <w:bCs/>
          <w:iCs/>
          <w:u w:val="single"/>
          <w:lang w:val="en-US"/>
        </w:rPr>
        <w:t>om/</w:t>
      </w:r>
      <w:hyperlink r:id="rId26">
        <w:r w:rsidR="00947752" w:rsidRPr="0013388E">
          <w:rPr>
            <w:rStyle w:val="Hyperlink"/>
            <w:bCs/>
            <w:iCs/>
            <w:color w:val="auto"/>
            <w:lang w:val="en-US"/>
          </w:rPr>
          <w:t>health</w:t>
        </w:r>
      </w:hyperlink>
      <w:r w:rsidR="00947752" w:rsidRPr="0013388E">
        <w:rPr>
          <w:bCs/>
          <w:iCs/>
          <w:u w:val="single"/>
          <w:lang w:val="en-US"/>
        </w:rPr>
        <w:t>/c</w:t>
      </w:r>
      <w:hyperlink r:id="rId27">
        <w:r w:rsidR="00947752" w:rsidRPr="0013388E">
          <w:rPr>
            <w:rStyle w:val="Hyperlink"/>
            <w:bCs/>
            <w:iCs/>
            <w:color w:val="auto"/>
            <w:lang w:val="en-US"/>
          </w:rPr>
          <w:t>oronavirus</w:t>
        </w:r>
      </w:hyperlink>
      <w:r w:rsidR="00947752" w:rsidRPr="0013388E">
        <w:rPr>
          <w:rFonts w:ascii="Cambria Math" w:hAnsi="Cambria Math" w:cs="Cambria Math"/>
          <w:bCs/>
          <w:iCs/>
          <w:u w:val="single"/>
          <w:lang w:val="en-US"/>
        </w:rPr>
        <w:t>‐</w:t>
      </w:r>
      <w:r w:rsidR="00947752" w:rsidRPr="0013388E">
        <w:rPr>
          <w:bCs/>
          <w:iCs/>
          <w:u w:val="single"/>
          <w:lang w:val="en-US"/>
        </w:rPr>
        <w:t>and</w:t>
      </w:r>
      <w:r w:rsidR="00947752" w:rsidRPr="0013388E">
        <w:rPr>
          <w:rFonts w:ascii="Cambria Math" w:hAnsi="Cambria Math" w:cs="Cambria Math"/>
          <w:bCs/>
          <w:iCs/>
          <w:u w:val="single"/>
          <w:lang w:val="en-US"/>
        </w:rPr>
        <w:t>‐</w:t>
      </w:r>
      <w:r w:rsidR="00947752" w:rsidRPr="0013388E">
        <w:rPr>
          <w:bCs/>
          <w:iCs/>
          <w:u w:val="single"/>
          <w:lang w:val="en-US"/>
        </w:rPr>
        <w:t>blood</w:t>
      </w:r>
      <w:r w:rsidR="00947752" w:rsidRPr="0013388E">
        <w:rPr>
          <w:rFonts w:ascii="Cambria Math" w:hAnsi="Cambria Math" w:cs="Cambria Math"/>
          <w:bCs/>
          <w:iCs/>
          <w:u w:val="single"/>
          <w:lang w:val="en-US"/>
        </w:rPr>
        <w:t>‐</w:t>
      </w:r>
      <w:r w:rsidR="00947752" w:rsidRPr="0013388E">
        <w:rPr>
          <w:bCs/>
          <w:iCs/>
          <w:u w:val="single"/>
          <w:lang w:val="en-US"/>
        </w:rPr>
        <w:t>clots#covid</w:t>
      </w:r>
      <w:r w:rsidR="00947752" w:rsidRPr="0013388E">
        <w:rPr>
          <w:rFonts w:ascii="Cambria Math" w:hAnsi="Cambria Math" w:cs="Cambria Math"/>
          <w:bCs/>
          <w:iCs/>
          <w:u w:val="single"/>
          <w:lang w:val="en-US"/>
        </w:rPr>
        <w:t>‐</w:t>
      </w:r>
      <w:r w:rsidR="00947752" w:rsidRPr="0013388E">
        <w:rPr>
          <w:bCs/>
          <w:iCs/>
          <w:u w:val="single"/>
          <w:lang w:val="en-US"/>
        </w:rPr>
        <w:t>19</w:t>
      </w:r>
      <w:r w:rsidR="00947752" w:rsidRPr="0013388E">
        <w:rPr>
          <w:rFonts w:ascii="Cambria Math" w:hAnsi="Cambria Math" w:cs="Cambria Math"/>
          <w:bCs/>
          <w:iCs/>
          <w:u w:val="single"/>
          <w:lang w:val="en-US"/>
        </w:rPr>
        <w:t>‐</w:t>
      </w:r>
      <w:r w:rsidR="00947752" w:rsidRPr="0013388E">
        <w:rPr>
          <w:bCs/>
          <w:iCs/>
          <w:u w:val="single"/>
          <w:lang w:val="en-US"/>
        </w:rPr>
        <w:t>and</w:t>
      </w:r>
      <w:r w:rsidR="00947752" w:rsidRPr="0013388E">
        <w:rPr>
          <w:rFonts w:ascii="Cambria Math" w:hAnsi="Cambria Math" w:cs="Cambria Math"/>
          <w:bCs/>
          <w:iCs/>
          <w:u w:val="single"/>
          <w:lang w:val="en-US"/>
        </w:rPr>
        <w:t>‐</w:t>
      </w:r>
      <w:r w:rsidR="00947752" w:rsidRPr="0013388E">
        <w:rPr>
          <w:bCs/>
          <w:iCs/>
          <w:u w:val="single"/>
          <w:lang w:val="en-US"/>
        </w:rPr>
        <w:t>blood</w:t>
      </w:r>
      <w:r w:rsidR="00947752" w:rsidRPr="0013388E">
        <w:rPr>
          <w:rFonts w:ascii="Cambria Math" w:hAnsi="Cambria Math" w:cs="Cambria Math"/>
          <w:bCs/>
          <w:iCs/>
          <w:u w:val="single"/>
          <w:lang w:val="en-US"/>
        </w:rPr>
        <w:t>‐</w:t>
      </w:r>
      <w:r w:rsidR="00947752" w:rsidRPr="0013388E">
        <w:rPr>
          <w:bCs/>
          <w:iCs/>
          <w:u w:val="single"/>
          <w:lang w:val="en-US"/>
        </w:rPr>
        <w:t xml:space="preserve"> clots</w:t>
      </w:r>
      <w:r w:rsidR="0013388E">
        <w:rPr>
          <w:bCs/>
          <w:iCs/>
          <w:u w:val="single"/>
          <w:lang w:val="en-US"/>
        </w:rPr>
        <w:t xml:space="preserve"> </w:t>
      </w:r>
    </w:p>
    <w:p w14:paraId="74130BFC" w14:textId="4D04B1E0" w:rsidR="00947752" w:rsidRPr="0013388E" w:rsidRDefault="0050688D" w:rsidP="00EA42C9">
      <w:pPr>
        <w:pStyle w:val="ACMABodyText"/>
        <w:numPr>
          <w:ilvl w:val="1"/>
          <w:numId w:val="30"/>
        </w:numPr>
        <w:spacing w:after="120" w:line="120" w:lineRule="atLeast"/>
        <w:ind w:left="709" w:hanging="533"/>
        <w:rPr>
          <w:bCs/>
          <w:iCs/>
          <w:lang w:val="en-US"/>
        </w:rPr>
      </w:pPr>
      <w:hyperlink r:id="rId28">
        <w:r w:rsidR="00947752" w:rsidRPr="0013388E">
          <w:rPr>
            <w:rStyle w:val="Hyperlink"/>
            <w:bCs/>
            <w:iCs/>
            <w:color w:val="auto"/>
            <w:lang w:val="en-US"/>
          </w:rPr>
          <w:t>https://www.hri.org.au/healt</w:t>
        </w:r>
      </w:hyperlink>
      <w:r w:rsidR="00947752" w:rsidRPr="0013388E">
        <w:rPr>
          <w:bCs/>
          <w:iCs/>
          <w:u w:val="single"/>
          <w:lang w:val="en-US"/>
        </w:rPr>
        <w:t>h/your</w:t>
      </w:r>
      <w:r w:rsidR="00947752" w:rsidRPr="0013388E">
        <w:rPr>
          <w:rFonts w:ascii="Cambria Math" w:hAnsi="Cambria Math" w:cs="Cambria Math"/>
          <w:bCs/>
          <w:iCs/>
          <w:u w:val="single"/>
          <w:lang w:val="en-US"/>
        </w:rPr>
        <w:t>‐</w:t>
      </w:r>
      <w:r w:rsidR="00947752" w:rsidRPr="0013388E">
        <w:rPr>
          <w:bCs/>
          <w:iCs/>
          <w:u w:val="single"/>
          <w:lang w:val="en-US"/>
        </w:rPr>
        <w:t>health/lifestyle/people</w:t>
      </w:r>
      <w:r w:rsidR="00947752" w:rsidRPr="0013388E">
        <w:rPr>
          <w:rFonts w:ascii="Cambria Math" w:hAnsi="Cambria Math" w:cs="Cambria Math"/>
          <w:bCs/>
          <w:iCs/>
          <w:u w:val="single"/>
          <w:lang w:val="en-US"/>
        </w:rPr>
        <w:t>‐</w:t>
      </w:r>
      <w:r w:rsidR="00947752" w:rsidRPr="0013388E">
        <w:rPr>
          <w:bCs/>
          <w:iCs/>
          <w:u w:val="single"/>
          <w:lang w:val="en-US"/>
        </w:rPr>
        <w:t>with</w:t>
      </w:r>
      <w:r w:rsidR="00947752" w:rsidRPr="0013388E">
        <w:rPr>
          <w:rFonts w:ascii="Cambria Math" w:hAnsi="Cambria Math" w:cs="Cambria Math"/>
          <w:bCs/>
          <w:iCs/>
          <w:u w:val="single"/>
          <w:lang w:val="en-US"/>
        </w:rPr>
        <w:t>‐</w:t>
      </w:r>
      <w:r w:rsidR="00947752" w:rsidRPr="0013388E">
        <w:rPr>
          <w:bCs/>
          <w:iCs/>
          <w:u w:val="single"/>
          <w:lang w:val="en-US"/>
        </w:rPr>
        <w:t>coronavirus</w:t>
      </w:r>
      <w:r w:rsidR="00947752" w:rsidRPr="0013388E">
        <w:rPr>
          <w:rFonts w:ascii="Cambria Math" w:hAnsi="Cambria Math" w:cs="Cambria Math"/>
          <w:bCs/>
          <w:iCs/>
          <w:u w:val="single"/>
          <w:lang w:val="en-US"/>
        </w:rPr>
        <w:t>‐</w:t>
      </w:r>
      <w:r w:rsidR="00947752" w:rsidRPr="0013388E">
        <w:rPr>
          <w:bCs/>
          <w:iCs/>
          <w:u w:val="single"/>
          <w:lang w:val="en-US"/>
        </w:rPr>
        <w:t>are</w:t>
      </w:r>
      <w:r w:rsidR="00947752" w:rsidRPr="0013388E">
        <w:rPr>
          <w:rFonts w:ascii="Cambria Math" w:hAnsi="Cambria Math" w:cs="Cambria Math"/>
          <w:bCs/>
          <w:iCs/>
          <w:u w:val="single"/>
          <w:lang w:val="en-US"/>
        </w:rPr>
        <w:t>‐</w:t>
      </w:r>
      <w:r w:rsidR="00947752" w:rsidRPr="0013388E">
        <w:rPr>
          <w:bCs/>
          <w:iCs/>
          <w:u w:val="single"/>
          <w:lang w:val="en-US"/>
        </w:rPr>
        <w:t>at</w:t>
      </w:r>
      <w:r w:rsidR="00947752" w:rsidRPr="0013388E">
        <w:rPr>
          <w:rFonts w:ascii="Cambria Math" w:hAnsi="Cambria Math" w:cs="Cambria Math"/>
          <w:bCs/>
          <w:iCs/>
          <w:u w:val="single"/>
          <w:lang w:val="en-US"/>
        </w:rPr>
        <w:t>‐</w:t>
      </w:r>
      <w:r w:rsidR="00947752" w:rsidRPr="0013388E">
        <w:rPr>
          <w:bCs/>
          <w:iCs/>
          <w:u w:val="single"/>
          <w:lang w:val="en-US"/>
        </w:rPr>
        <w:t>risk</w:t>
      </w:r>
      <w:r w:rsidR="00947752" w:rsidRPr="0013388E">
        <w:rPr>
          <w:rFonts w:ascii="Cambria Math" w:hAnsi="Cambria Math" w:cs="Cambria Math"/>
          <w:bCs/>
          <w:iCs/>
          <w:u w:val="single"/>
          <w:lang w:val="en-US"/>
        </w:rPr>
        <w:t>‐</w:t>
      </w:r>
      <w:r w:rsidR="00947752" w:rsidRPr="0013388E">
        <w:rPr>
          <w:bCs/>
          <w:iCs/>
          <w:u w:val="single"/>
          <w:lang w:val="en-US"/>
        </w:rPr>
        <w:t xml:space="preserve"> of</w:t>
      </w:r>
      <w:r w:rsidR="00947752" w:rsidRPr="0013388E">
        <w:rPr>
          <w:rFonts w:ascii="Cambria Math" w:hAnsi="Cambria Math" w:cs="Cambria Math"/>
          <w:bCs/>
          <w:iCs/>
          <w:u w:val="single"/>
          <w:lang w:val="en-US"/>
        </w:rPr>
        <w:t>‐</w:t>
      </w:r>
      <w:r w:rsidR="00947752" w:rsidRPr="0013388E">
        <w:rPr>
          <w:bCs/>
          <w:iCs/>
          <w:u w:val="single"/>
          <w:lang w:val="en-US"/>
        </w:rPr>
        <w:t>blood</w:t>
      </w:r>
      <w:r w:rsidR="00947752" w:rsidRPr="0013388E">
        <w:rPr>
          <w:rFonts w:ascii="Cambria Math" w:hAnsi="Cambria Math" w:cs="Cambria Math"/>
          <w:bCs/>
          <w:iCs/>
          <w:u w:val="single"/>
          <w:lang w:val="en-US"/>
        </w:rPr>
        <w:t>‐</w:t>
      </w:r>
      <w:r w:rsidR="00947752" w:rsidRPr="0013388E">
        <w:rPr>
          <w:bCs/>
          <w:iCs/>
          <w:u w:val="single"/>
          <w:lang w:val="en-US"/>
        </w:rPr>
        <w:t>clots</w:t>
      </w:r>
      <w:r w:rsidR="00947752" w:rsidRPr="0013388E">
        <w:rPr>
          <w:rFonts w:ascii="Cambria Math" w:hAnsi="Cambria Math" w:cs="Cambria Math"/>
          <w:bCs/>
          <w:iCs/>
          <w:u w:val="single"/>
          <w:lang w:val="en-US"/>
        </w:rPr>
        <w:t>‐</w:t>
      </w:r>
      <w:r w:rsidR="00947752" w:rsidRPr="0013388E">
        <w:rPr>
          <w:bCs/>
          <w:iCs/>
          <w:u w:val="single"/>
          <w:lang w:val="en-US"/>
        </w:rPr>
        <w:t>and</w:t>
      </w:r>
      <w:r w:rsidR="00947752" w:rsidRPr="0013388E">
        <w:rPr>
          <w:rFonts w:ascii="Cambria Math" w:hAnsi="Cambria Math" w:cs="Cambria Math"/>
          <w:bCs/>
          <w:iCs/>
          <w:u w:val="single"/>
          <w:lang w:val="en-US"/>
        </w:rPr>
        <w:t>‐</w:t>
      </w:r>
      <w:r w:rsidR="00947752" w:rsidRPr="0013388E">
        <w:rPr>
          <w:bCs/>
          <w:iCs/>
          <w:u w:val="single"/>
          <w:lang w:val="en-US"/>
        </w:rPr>
        <w:t>strokes</w:t>
      </w:r>
      <w:r w:rsidR="0013388E">
        <w:rPr>
          <w:bCs/>
          <w:iCs/>
          <w:u w:val="single"/>
          <w:lang w:val="en-US"/>
        </w:rPr>
        <w:t xml:space="preserve"> </w:t>
      </w:r>
    </w:p>
    <w:p w14:paraId="7686F3F5" w14:textId="7851EEF5" w:rsidR="00947752" w:rsidRDefault="00947752" w:rsidP="00DF6E81">
      <w:pPr>
        <w:pStyle w:val="ACMABodyText"/>
        <w:spacing w:before="240"/>
        <w:rPr>
          <w:bCs/>
          <w:iCs/>
          <w:lang w:val="en-US"/>
        </w:rPr>
      </w:pPr>
      <w:r w:rsidRPr="00DF6E81">
        <w:rPr>
          <w:bCs/>
          <w:iCs/>
          <w:lang w:val="en-US"/>
        </w:rPr>
        <w:t>It is acknowledged that the evidence surrounding the use of ivermectin as an “anti</w:t>
      </w:r>
      <w:r w:rsidRPr="00DF6E81">
        <w:rPr>
          <w:rFonts w:ascii="Cambria Math" w:hAnsi="Cambria Math" w:cs="Cambria Math"/>
          <w:bCs/>
          <w:iCs/>
          <w:lang w:val="en-US"/>
        </w:rPr>
        <w:t>‐</w:t>
      </w:r>
      <w:r w:rsidRPr="00DF6E81">
        <w:rPr>
          <w:bCs/>
          <w:iCs/>
          <w:lang w:val="en-US"/>
        </w:rPr>
        <w:t>clotter” is not conclusive. However, scientific studies have indicated that persons who have been treated with ivermectin have reported excessive hypocoagulability.</w:t>
      </w:r>
      <w:r w:rsidR="00796DB2">
        <w:rPr>
          <w:rStyle w:val="FootnoteReference"/>
          <w:bCs/>
          <w:iCs/>
          <w:lang w:val="en-US"/>
        </w:rPr>
        <w:footnoteReference w:id="33"/>
      </w:r>
      <w:r w:rsidRPr="00DF6E81">
        <w:rPr>
          <w:bCs/>
          <w:iCs/>
          <w:lang w:val="en-US"/>
        </w:rPr>
        <w:t xml:space="preserve"> Hypocoagulability is a condition of irregular and slow blood clotting</w:t>
      </w:r>
      <w:r w:rsidR="00DF6E81">
        <w:rPr>
          <w:bCs/>
          <w:iCs/>
          <w:lang w:val="en-US"/>
        </w:rPr>
        <w:t>.</w:t>
      </w:r>
    </w:p>
    <w:p w14:paraId="19C2BC8B" w14:textId="77777777" w:rsidR="00DF6E81" w:rsidRPr="00DF6E81" w:rsidRDefault="00DF6E81" w:rsidP="00DF6E81">
      <w:pPr>
        <w:pStyle w:val="ACMABodyText"/>
        <w:numPr>
          <w:ilvl w:val="0"/>
          <w:numId w:val="29"/>
        </w:numPr>
        <w:ind w:left="709"/>
        <w:rPr>
          <w:b/>
          <w:bCs/>
          <w:i/>
          <w:iCs/>
          <w:lang w:val="en-US"/>
        </w:rPr>
      </w:pPr>
      <w:r w:rsidRPr="00DF6E81">
        <w:rPr>
          <w:b/>
          <w:bCs/>
          <w:i/>
          <w:iCs/>
          <w:lang w:val="en-US"/>
        </w:rPr>
        <w:t>We’re seeing an uptick in the laboratory of reactivated other viruses; Epstein</w:t>
      </w:r>
      <w:r w:rsidRPr="00DF6E81">
        <w:rPr>
          <w:rFonts w:ascii="Cambria Math" w:hAnsi="Cambria Math" w:cs="Cambria Math"/>
          <w:b/>
          <w:bCs/>
          <w:i/>
          <w:iCs/>
          <w:lang w:val="en-US"/>
        </w:rPr>
        <w:t>‐</w:t>
      </w:r>
      <w:r w:rsidRPr="00DF6E81">
        <w:rPr>
          <w:b/>
          <w:bCs/>
          <w:i/>
          <w:iCs/>
          <w:lang w:val="en-US"/>
        </w:rPr>
        <w:t>Barr, herpes viruses, HPV viruses, we’re seeing an uptick in certain cancers, already.</w:t>
      </w:r>
    </w:p>
    <w:p w14:paraId="33E50014" w14:textId="77777777" w:rsidR="00DF6E81" w:rsidRPr="00DF6E81" w:rsidRDefault="00DF6E81" w:rsidP="00DF6E81">
      <w:pPr>
        <w:pStyle w:val="ACMABodyText"/>
        <w:rPr>
          <w:bCs/>
          <w:iCs/>
          <w:lang w:val="en-US"/>
        </w:rPr>
      </w:pPr>
      <w:r w:rsidRPr="00DF6E81">
        <w:rPr>
          <w:bCs/>
          <w:iCs/>
          <w:lang w:val="en-US"/>
        </w:rPr>
        <w:t>This statement is explicitly limited in nature to certain laboratory observations and therefore suggests an early stage of scientific knowledge without a decisive outcome to the viewer.</w:t>
      </w:r>
    </w:p>
    <w:p w14:paraId="16C7D5A9" w14:textId="77777777" w:rsidR="00DF6E81" w:rsidRPr="00DF6E81" w:rsidRDefault="00DF6E81" w:rsidP="00DF6E81">
      <w:pPr>
        <w:pStyle w:val="ACMABodyText"/>
        <w:rPr>
          <w:bCs/>
          <w:iCs/>
          <w:lang w:val="en-US"/>
        </w:rPr>
      </w:pPr>
      <w:r w:rsidRPr="00DF6E81">
        <w:rPr>
          <w:bCs/>
          <w:iCs/>
          <w:lang w:val="en-US"/>
        </w:rPr>
        <w:t>The relationship between COVID</w:t>
      </w:r>
      <w:r w:rsidRPr="00DF6E81">
        <w:rPr>
          <w:rFonts w:ascii="Cambria Math" w:hAnsi="Cambria Math" w:cs="Cambria Math"/>
          <w:bCs/>
          <w:iCs/>
          <w:lang w:val="en-US"/>
        </w:rPr>
        <w:t>‐</w:t>
      </w:r>
      <w:r w:rsidRPr="00DF6E81">
        <w:rPr>
          <w:bCs/>
          <w:iCs/>
          <w:lang w:val="en-US"/>
        </w:rPr>
        <w:t>19 and Epstein</w:t>
      </w:r>
      <w:r w:rsidRPr="00DF6E81">
        <w:rPr>
          <w:rFonts w:ascii="Cambria Math" w:hAnsi="Cambria Math" w:cs="Cambria Math"/>
          <w:bCs/>
          <w:iCs/>
          <w:lang w:val="en-US"/>
        </w:rPr>
        <w:t>‐</w:t>
      </w:r>
      <w:r w:rsidRPr="00DF6E81">
        <w:rPr>
          <w:bCs/>
          <w:iCs/>
          <w:lang w:val="en-US"/>
        </w:rPr>
        <w:t>Barr (</w:t>
      </w:r>
      <w:r w:rsidRPr="00DF6E81">
        <w:rPr>
          <w:b/>
          <w:bCs/>
          <w:iCs/>
          <w:lang w:val="en-US"/>
        </w:rPr>
        <w:t>EPV</w:t>
      </w:r>
      <w:r w:rsidRPr="00DF6E81">
        <w:rPr>
          <w:bCs/>
          <w:iCs/>
          <w:lang w:val="en-US"/>
        </w:rPr>
        <w:t>) is currently the subject of scientific debate. For instance, a scientific paper published on 17 June 2021 which investigated this relationship stated the following:</w:t>
      </w:r>
    </w:p>
    <w:p w14:paraId="744019B7" w14:textId="391C7A1E" w:rsidR="00DF6E81" w:rsidRPr="00DF6E81" w:rsidRDefault="00DF6E81" w:rsidP="00DF6E81">
      <w:pPr>
        <w:pStyle w:val="ACMABodyText"/>
        <w:spacing w:before="240" w:line="240" w:lineRule="auto"/>
        <w:ind w:left="425"/>
        <w:rPr>
          <w:rFonts w:cs="Arial"/>
          <w:bCs/>
          <w:i/>
          <w:iCs/>
          <w:sz w:val="18"/>
          <w:szCs w:val="18"/>
          <w:lang w:val="en-US"/>
        </w:rPr>
      </w:pPr>
      <w:r w:rsidRPr="00DF6E81">
        <w:rPr>
          <w:rFonts w:cs="Arial"/>
          <w:bCs/>
          <w:i/>
          <w:iCs/>
          <w:sz w:val="18"/>
          <w:szCs w:val="18"/>
          <w:lang w:val="en-US"/>
        </w:rPr>
        <w:t>… our results indicate that approximately 30% of COVID</w:t>
      </w:r>
      <w:r w:rsidRPr="00DF6E81">
        <w:rPr>
          <w:rFonts w:ascii="Cambria Math" w:hAnsi="Cambria Math" w:cs="Cambria Math"/>
          <w:bCs/>
          <w:i/>
          <w:iCs/>
          <w:sz w:val="18"/>
          <w:szCs w:val="18"/>
          <w:lang w:val="en-US"/>
        </w:rPr>
        <w:t>‐</w:t>
      </w:r>
      <w:r w:rsidRPr="00DF6E81">
        <w:rPr>
          <w:rFonts w:cs="Arial"/>
          <w:bCs/>
          <w:i/>
          <w:iCs/>
          <w:sz w:val="18"/>
          <w:szCs w:val="18"/>
          <w:lang w:val="en-US"/>
        </w:rPr>
        <w:t>19 patients report long COVID</w:t>
      </w:r>
      <w:r w:rsidRPr="00DF6E81">
        <w:rPr>
          <w:rFonts w:ascii="Cambria Math" w:hAnsi="Cambria Math" w:cs="Cambria Math"/>
          <w:bCs/>
          <w:i/>
          <w:iCs/>
          <w:sz w:val="18"/>
          <w:szCs w:val="18"/>
          <w:lang w:val="en-US"/>
        </w:rPr>
        <w:t>‐</w:t>
      </w:r>
      <w:r w:rsidRPr="00DF6E81">
        <w:rPr>
          <w:rFonts w:cs="Arial"/>
          <w:bCs/>
          <w:i/>
          <w:iCs/>
          <w:sz w:val="18"/>
          <w:szCs w:val="18"/>
          <w:lang w:val="en-US"/>
        </w:rPr>
        <w:t>like symptoms after acute disease. EBV [Epstein</w:t>
      </w:r>
      <w:r w:rsidRPr="00DF6E81">
        <w:rPr>
          <w:rFonts w:ascii="Cambria Math" w:hAnsi="Cambria Math" w:cs="Cambria Math"/>
          <w:bCs/>
          <w:i/>
          <w:iCs/>
          <w:sz w:val="18"/>
          <w:szCs w:val="18"/>
          <w:lang w:val="en-US"/>
        </w:rPr>
        <w:t>‐</w:t>
      </w:r>
      <w:r w:rsidRPr="00DF6E81">
        <w:rPr>
          <w:rFonts w:cs="Arial"/>
          <w:bCs/>
          <w:i/>
          <w:iCs/>
          <w:sz w:val="18"/>
          <w:szCs w:val="18"/>
          <w:lang w:val="en-US"/>
        </w:rPr>
        <w:t>Barr] reactivation may occur soon after or concomitantly with COVID</w:t>
      </w:r>
      <w:r w:rsidRPr="00DF6E81">
        <w:rPr>
          <w:rFonts w:ascii="Cambria Math" w:hAnsi="Cambria Math" w:cs="Cambria Math"/>
          <w:bCs/>
          <w:i/>
          <w:iCs/>
          <w:sz w:val="18"/>
          <w:szCs w:val="18"/>
          <w:lang w:val="en-US"/>
        </w:rPr>
        <w:t>‐</w:t>
      </w:r>
      <w:r w:rsidRPr="00DF6E81">
        <w:rPr>
          <w:rFonts w:cs="Arial"/>
          <w:bCs/>
          <w:i/>
          <w:iCs/>
          <w:sz w:val="18"/>
          <w:szCs w:val="18"/>
          <w:lang w:val="en-US"/>
        </w:rPr>
        <w:t>19 infection, including after initially asymptomatic infections. The SARS</w:t>
      </w:r>
      <w:r w:rsidRPr="00DF6E81">
        <w:rPr>
          <w:rFonts w:ascii="Cambria Math" w:hAnsi="Cambria Math" w:cs="Cambria Math"/>
          <w:bCs/>
          <w:i/>
          <w:iCs/>
          <w:sz w:val="18"/>
          <w:szCs w:val="18"/>
          <w:lang w:val="en-US"/>
        </w:rPr>
        <w:t>‐</w:t>
      </w:r>
      <w:r w:rsidRPr="00DF6E81">
        <w:rPr>
          <w:rFonts w:cs="Arial"/>
          <w:bCs/>
          <w:i/>
          <w:iCs/>
          <w:sz w:val="18"/>
          <w:szCs w:val="18"/>
          <w:lang w:val="en-US"/>
        </w:rPr>
        <w:t>CoV</w:t>
      </w:r>
      <w:r w:rsidRPr="00DF6E81">
        <w:rPr>
          <w:rFonts w:ascii="Cambria Math" w:hAnsi="Cambria Math" w:cs="Cambria Math"/>
          <w:bCs/>
          <w:i/>
          <w:iCs/>
          <w:sz w:val="18"/>
          <w:szCs w:val="18"/>
          <w:lang w:val="en-US"/>
        </w:rPr>
        <w:t>‐</w:t>
      </w:r>
      <w:r w:rsidRPr="00DF6E81">
        <w:rPr>
          <w:rFonts w:cs="Arial"/>
          <w:bCs/>
          <w:i/>
          <w:iCs/>
          <w:sz w:val="18"/>
          <w:szCs w:val="18"/>
          <w:lang w:val="en-US"/>
        </w:rPr>
        <w:t>2 virus may stimulate sequalae involving other infectious agents that contribute to many long COVID symptoms. Thus, it is worth considering that a portion of long COVID symptoms may be the result of COVID</w:t>
      </w:r>
      <w:r w:rsidRPr="00DF6E81">
        <w:rPr>
          <w:rFonts w:ascii="Cambria Math" w:hAnsi="Cambria Math" w:cs="Cambria Math"/>
          <w:bCs/>
          <w:i/>
          <w:iCs/>
          <w:sz w:val="18"/>
          <w:szCs w:val="18"/>
          <w:lang w:val="en-US"/>
        </w:rPr>
        <w:t>‐</w:t>
      </w:r>
      <w:r w:rsidRPr="00DF6E81">
        <w:rPr>
          <w:rFonts w:cs="Arial"/>
          <w:bCs/>
          <w:i/>
          <w:iCs/>
          <w:sz w:val="18"/>
          <w:szCs w:val="18"/>
          <w:lang w:val="en-US"/>
        </w:rPr>
        <w:t>19 inflammation</w:t>
      </w:r>
      <w:r w:rsidRPr="00DF6E81">
        <w:rPr>
          <w:rFonts w:ascii="Cambria Math" w:hAnsi="Cambria Math" w:cs="Cambria Math"/>
          <w:bCs/>
          <w:i/>
          <w:iCs/>
          <w:sz w:val="18"/>
          <w:szCs w:val="18"/>
          <w:lang w:val="en-US"/>
        </w:rPr>
        <w:t>‐</w:t>
      </w:r>
      <w:r w:rsidRPr="00DF6E81">
        <w:rPr>
          <w:rFonts w:cs="Arial"/>
          <w:bCs/>
          <w:i/>
          <w:iCs/>
          <w:sz w:val="18"/>
          <w:szCs w:val="18"/>
          <w:lang w:val="en-US"/>
        </w:rPr>
        <w:t>induced EBV reactivation.</w:t>
      </w:r>
      <w:r w:rsidR="005C4BCD">
        <w:rPr>
          <w:rStyle w:val="FootnoteReference"/>
          <w:rFonts w:cs="Arial"/>
          <w:bCs/>
          <w:i/>
          <w:iCs/>
          <w:sz w:val="18"/>
          <w:szCs w:val="18"/>
          <w:lang w:val="en-US"/>
        </w:rPr>
        <w:footnoteReference w:id="34"/>
      </w:r>
    </w:p>
    <w:p w14:paraId="18179D1A" w14:textId="02C8CC4F" w:rsidR="00DF6E81" w:rsidRPr="00DF6E81" w:rsidRDefault="00DF6E81" w:rsidP="00DF6E81">
      <w:pPr>
        <w:pStyle w:val="ACMABodyText"/>
        <w:rPr>
          <w:bCs/>
          <w:iCs/>
          <w:lang w:val="en-US"/>
        </w:rPr>
      </w:pPr>
      <w:r w:rsidRPr="00DF6E81">
        <w:rPr>
          <w:bCs/>
          <w:iCs/>
          <w:lang w:val="en-US"/>
        </w:rPr>
        <w:lastRenderedPageBreak/>
        <w:t>The relationship between COVID</w:t>
      </w:r>
      <w:r w:rsidRPr="00DF6E81">
        <w:rPr>
          <w:rFonts w:ascii="Cambria Math" w:hAnsi="Cambria Math" w:cs="Cambria Math"/>
          <w:bCs/>
          <w:iCs/>
          <w:lang w:val="en-US"/>
        </w:rPr>
        <w:t>‐</w:t>
      </w:r>
      <w:r w:rsidRPr="00DF6E81">
        <w:rPr>
          <w:bCs/>
          <w:iCs/>
          <w:lang w:val="en-US"/>
        </w:rPr>
        <w:t>19 vaccination and herpes is also currently the subject of scientific review. For instance, a scientific paper published on 21 August 2021 investigated the development of herpes zoster after vaccination with tozinameran (the Pfizer</w:t>
      </w:r>
      <w:r w:rsidRPr="00DF6E81">
        <w:rPr>
          <w:rFonts w:ascii="Cambria Math" w:hAnsi="Cambria Math" w:cs="Cambria Math"/>
          <w:bCs/>
          <w:iCs/>
          <w:lang w:val="en-US"/>
        </w:rPr>
        <w:t>‐</w:t>
      </w:r>
      <w:r w:rsidRPr="00DF6E81">
        <w:rPr>
          <w:bCs/>
          <w:iCs/>
          <w:lang w:val="en-US"/>
        </w:rPr>
        <w:t>BioNTech COVID</w:t>
      </w:r>
      <w:r w:rsidRPr="00DF6E81">
        <w:rPr>
          <w:rFonts w:ascii="Cambria Math" w:hAnsi="Cambria Math" w:cs="Cambria Math"/>
          <w:bCs/>
          <w:iCs/>
          <w:lang w:val="en-US"/>
        </w:rPr>
        <w:t>‐</w:t>
      </w:r>
      <w:r w:rsidRPr="00DF6E81">
        <w:rPr>
          <w:bCs/>
          <w:iCs/>
          <w:lang w:val="en-US"/>
        </w:rPr>
        <w:t>19 mRNA vaccine) in two cases and concluded that further evaluation of the possible relationship between COVID</w:t>
      </w:r>
      <w:r w:rsidRPr="00DF6E81">
        <w:rPr>
          <w:rFonts w:ascii="Cambria Math" w:hAnsi="Cambria Math" w:cs="Cambria Math"/>
          <w:bCs/>
          <w:iCs/>
          <w:lang w:val="en-US"/>
        </w:rPr>
        <w:t>‐</w:t>
      </w:r>
      <w:r w:rsidRPr="00DF6E81">
        <w:rPr>
          <w:bCs/>
          <w:iCs/>
          <w:lang w:val="en-US"/>
        </w:rPr>
        <w:t>19 and herpes zoster is required.</w:t>
      </w:r>
      <w:r w:rsidR="005C4BCD">
        <w:rPr>
          <w:rStyle w:val="FootnoteReference"/>
          <w:bCs/>
          <w:iCs/>
          <w:lang w:val="en-US"/>
        </w:rPr>
        <w:footnoteReference w:id="35"/>
      </w:r>
      <w:r w:rsidRPr="00DF6E81">
        <w:rPr>
          <w:bCs/>
          <w:iCs/>
          <w:lang w:val="en-US"/>
        </w:rPr>
        <w:t xml:space="preserve"> Reports of herpes simplex keratitis following COVID</w:t>
      </w:r>
      <w:r w:rsidRPr="00DF6E81">
        <w:rPr>
          <w:rFonts w:ascii="Cambria Math" w:hAnsi="Cambria Math" w:cs="Cambria Math"/>
          <w:bCs/>
          <w:iCs/>
          <w:lang w:val="en-US"/>
        </w:rPr>
        <w:t>‐</w:t>
      </w:r>
      <w:r w:rsidRPr="00DF6E81">
        <w:rPr>
          <w:bCs/>
          <w:iCs/>
          <w:lang w:val="en-US"/>
        </w:rPr>
        <w:t>19 vaccination have also been examined, with one paper noting that there is a “</w:t>
      </w:r>
      <w:r w:rsidRPr="00DF6E81">
        <w:rPr>
          <w:bCs/>
          <w:i/>
          <w:iCs/>
          <w:lang w:val="en-US"/>
        </w:rPr>
        <w:t>rare potential for reactivation of herpetic eye disease following vaccination</w:t>
      </w:r>
      <w:r w:rsidRPr="00DF6E81">
        <w:rPr>
          <w:bCs/>
          <w:iCs/>
          <w:lang w:val="en-US"/>
        </w:rPr>
        <w:t>”.</w:t>
      </w:r>
      <w:r w:rsidR="005C4BCD">
        <w:rPr>
          <w:rStyle w:val="FootnoteReference"/>
          <w:bCs/>
          <w:iCs/>
          <w:lang w:val="en-US"/>
        </w:rPr>
        <w:footnoteReference w:id="36"/>
      </w:r>
    </w:p>
    <w:p w14:paraId="661A8B4C" w14:textId="2585B415" w:rsidR="00DF6E81" w:rsidRPr="00DF6E81" w:rsidRDefault="00DF6E81" w:rsidP="00DF6E81">
      <w:pPr>
        <w:pStyle w:val="ACMABodyText"/>
        <w:rPr>
          <w:bCs/>
          <w:iCs/>
          <w:lang w:val="en-US"/>
        </w:rPr>
      </w:pPr>
      <w:r w:rsidRPr="00DF6E81">
        <w:rPr>
          <w:bCs/>
          <w:iCs/>
          <w:lang w:val="en-US"/>
        </w:rPr>
        <w:t>The above statement was primarily based on independent testing</w:t>
      </w:r>
      <w:r w:rsidR="006B0E22">
        <w:rPr>
          <w:bCs/>
          <w:iCs/>
          <w:lang w:val="en-US"/>
        </w:rPr>
        <w:t xml:space="preserve"> […]</w:t>
      </w:r>
      <w:r w:rsidRPr="00DF6E81">
        <w:rPr>
          <w:bCs/>
          <w:iCs/>
          <w:lang w:val="en-US"/>
        </w:rPr>
        <w:t xml:space="preserve">. The statement is reflective of phenomena that </w:t>
      </w:r>
      <w:r w:rsidR="000712A9">
        <w:rPr>
          <w:bCs/>
          <w:iCs/>
          <w:lang w:val="en-US"/>
        </w:rPr>
        <w:t>[Dr</w:t>
      </w:r>
      <w:r w:rsidR="00955BFD">
        <w:rPr>
          <w:bCs/>
          <w:iCs/>
          <w:lang w:val="en-US"/>
        </w:rPr>
        <w:t>.</w:t>
      </w:r>
      <w:r w:rsidR="006B0E22">
        <w:rPr>
          <w:bCs/>
          <w:iCs/>
          <w:lang w:val="en-US"/>
        </w:rPr>
        <w:t xml:space="preserve"> B</w:t>
      </w:r>
      <w:r w:rsidR="000712A9">
        <w:rPr>
          <w:bCs/>
          <w:iCs/>
          <w:lang w:val="en-US"/>
        </w:rPr>
        <w:t xml:space="preserve">] </w:t>
      </w:r>
      <w:r w:rsidRPr="00DF6E81">
        <w:rPr>
          <w:bCs/>
          <w:iCs/>
          <w:lang w:val="en-US"/>
        </w:rPr>
        <w:t xml:space="preserve">examined directly during </w:t>
      </w:r>
      <w:r w:rsidR="00845A2A">
        <w:rPr>
          <w:bCs/>
          <w:iCs/>
          <w:lang w:val="en-US"/>
        </w:rPr>
        <w:t>their</w:t>
      </w:r>
      <w:r w:rsidR="00845A2A" w:rsidRPr="00DF6E81">
        <w:rPr>
          <w:bCs/>
          <w:iCs/>
          <w:lang w:val="en-US"/>
        </w:rPr>
        <w:t xml:space="preserve"> </w:t>
      </w:r>
      <w:r w:rsidRPr="00DF6E81">
        <w:rPr>
          <w:bCs/>
          <w:iCs/>
          <w:lang w:val="en-US"/>
        </w:rPr>
        <w:t xml:space="preserve">testing and should be viewed only as commentary regarding those tests. As a qualified medical professional, </w:t>
      </w:r>
      <w:r w:rsidR="000712A9">
        <w:rPr>
          <w:bCs/>
          <w:iCs/>
          <w:lang w:val="en-US"/>
        </w:rPr>
        <w:t>[Dr</w:t>
      </w:r>
      <w:r w:rsidR="00955BFD">
        <w:rPr>
          <w:bCs/>
          <w:iCs/>
          <w:lang w:val="en-US"/>
        </w:rPr>
        <w:t>.</w:t>
      </w:r>
      <w:r w:rsidR="000712A9">
        <w:rPr>
          <w:bCs/>
          <w:iCs/>
          <w:lang w:val="en-US"/>
        </w:rPr>
        <w:t xml:space="preserve"> </w:t>
      </w:r>
      <w:r w:rsidR="006B0E22">
        <w:rPr>
          <w:bCs/>
          <w:iCs/>
          <w:lang w:val="en-US"/>
        </w:rPr>
        <w:t>B</w:t>
      </w:r>
      <w:r w:rsidR="000712A9">
        <w:rPr>
          <w:bCs/>
          <w:iCs/>
          <w:lang w:val="en-US"/>
        </w:rPr>
        <w:t xml:space="preserve">] </w:t>
      </w:r>
      <w:r w:rsidRPr="00DF6E81">
        <w:rPr>
          <w:bCs/>
          <w:iCs/>
          <w:lang w:val="en-US"/>
        </w:rPr>
        <w:t xml:space="preserve">is entitled to present </w:t>
      </w:r>
      <w:r w:rsidR="00845A2A">
        <w:rPr>
          <w:bCs/>
          <w:iCs/>
          <w:lang w:val="en-US"/>
        </w:rPr>
        <w:t>their</w:t>
      </w:r>
      <w:r w:rsidR="00845A2A" w:rsidRPr="00DF6E81">
        <w:rPr>
          <w:bCs/>
          <w:iCs/>
          <w:lang w:val="en-US"/>
        </w:rPr>
        <w:t xml:space="preserve"> </w:t>
      </w:r>
      <w:r w:rsidRPr="00DF6E81">
        <w:rPr>
          <w:bCs/>
          <w:iCs/>
          <w:lang w:val="en-US"/>
        </w:rPr>
        <w:t>views and observations, especially in regard to matters of public importance such as the effectiveness of measures which currently exist to limit the spread or severity of COVID</w:t>
      </w:r>
      <w:r w:rsidRPr="00DF6E81">
        <w:rPr>
          <w:rFonts w:ascii="Cambria Math" w:hAnsi="Cambria Math" w:cs="Cambria Math"/>
          <w:bCs/>
          <w:iCs/>
          <w:lang w:val="en-US"/>
        </w:rPr>
        <w:t>‐</w:t>
      </w:r>
      <w:r w:rsidRPr="00DF6E81">
        <w:rPr>
          <w:bCs/>
          <w:iCs/>
          <w:lang w:val="en-US"/>
        </w:rPr>
        <w:t>19.</w:t>
      </w:r>
    </w:p>
    <w:p w14:paraId="073EF91F" w14:textId="77777777" w:rsidR="00DF6E81" w:rsidRPr="00DF6E81" w:rsidRDefault="00DF6E81" w:rsidP="00DF6E81">
      <w:pPr>
        <w:pStyle w:val="ACMABodyText"/>
        <w:numPr>
          <w:ilvl w:val="0"/>
          <w:numId w:val="29"/>
        </w:numPr>
        <w:ind w:left="709"/>
        <w:rPr>
          <w:b/>
          <w:bCs/>
          <w:i/>
          <w:iCs/>
          <w:lang w:val="en-US"/>
        </w:rPr>
      </w:pPr>
      <w:r w:rsidRPr="00DF6E81">
        <w:rPr>
          <w:b/>
          <w:bCs/>
          <w:i/>
          <w:iCs/>
          <w:lang w:val="en-US"/>
        </w:rPr>
        <w:t>People are still getting covid, that got the vaccine shot, and they’re still transmitting COVID who got the vaccine shot, so why would you take an experimental drug, that this technology has not been proven, it killed all the animals that they tested it on, so why would you do it?</w:t>
      </w:r>
    </w:p>
    <w:p w14:paraId="5A91C311" w14:textId="5704C9FA" w:rsidR="00DF6E81" w:rsidRPr="00DF6E81" w:rsidRDefault="00DF6E81" w:rsidP="00DF6E81">
      <w:pPr>
        <w:pStyle w:val="ACMABodyText"/>
        <w:rPr>
          <w:bCs/>
          <w:iCs/>
          <w:lang w:val="en-US"/>
        </w:rPr>
      </w:pPr>
      <w:r w:rsidRPr="00DF6E81">
        <w:rPr>
          <w:bCs/>
          <w:iCs/>
          <w:lang w:val="en-US"/>
        </w:rPr>
        <w:t>The COVID</w:t>
      </w:r>
      <w:r w:rsidRPr="00DF6E81">
        <w:rPr>
          <w:rFonts w:ascii="Cambria Math" w:hAnsi="Cambria Math" w:cs="Cambria Math"/>
          <w:bCs/>
          <w:iCs/>
          <w:lang w:val="en-US"/>
        </w:rPr>
        <w:t>‐</w:t>
      </w:r>
      <w:r w:rsidRPr="00DF6E81">
        <w:rPr>
          <w:bCs/>
          <w:iCs/>
          <w:lang w:val="en-US"/>
        </w:rPr>
        <w:t>19 vaccines which are available in Australia do not prevent people from becoming infected with COVID</w:t>
      </w:r>
      <w:r w:rsidRPr="00DF6E81">
        <w:rPr>
          <w:rFonts w:ascii="Cambria Math" w:hAnsi="Cambria Math" w:cs="Cambria Math"/>
          <w:bCs/>
          <w:iCs/>
          <w:lang w:val="en-US"/>
        </w:rPr>
        <w:t>‐</w:t>
      </w:r>
      <w:r w:rsidRPr="00DF6E81">
        <w:rPr>
          <w:bCs/>
          <w:iCs/>
          <w:lang w:val="en-US"/>
        </w:rPr>
        <w:t>19. The Department of Health website, for example, is not directed at the likelihood of COVID</w:t>
      </w:r>
      <w:r w:rsidRPr="00DF6E81">
        <w:rPr>
          <w:rFonts w:ascii="Cambria Math" w:hAnsi="Cambria Math" w:cs="Cambria Math"/>
          <w:bCs/>
          <w:iCs/>
          <w:lang w:val="en-US"/>
        </w:rPr>
        <w:t>‐</w:t>
      </w:r>
      <w:r w:rsidRPr="00DF6E81">
        <w:rPr>
          <w:bCs/>
          <w:iCs/>
          <w:lang w:val="en-US"/>
        </w:rPr>
        <w:t>19 being contracted by vaccinated individuals, but rather states that both the Pfizer (Comirnaty) and AstraZeneca (Vaxzevria) vaccines are very effective at preventing severe illness, hospitalisation and death.</w:t>
      </w:r>
      <w:r w:rsidR="005C4BCD">
        <w:rPr>
          <w:rStyle w:val="FootnoteReference"/>
          <w:bCs/>
          <w:iCs/>
          <w:lang w:val="en-US"/>
        </w:rPr>
        <w:footnoteReference w:id="37"/>
      </w:r>
      <w:r w:rsidRPr="00DF6E81">
        <w:rPr>
          <w:bCs/>
          <w:iCs/>
          <w:lang w:val="en-US"/>
        </w:rPr>
        <w:t xml:space="preserve"> The Department of Health website further states that the vaccines work by protecting persons from becoming severely ill or dying if they contract COVID</w:t>
      </w:r>
      <w:r w:rsidRPr="00DF6E81">
        <w:rPr>
          <w:rFonts w:ascii="Cambria Math" w:hAnsi="Cambria Math" w:cs="Cambria Math"/>
          <w:bCs/>
          <w:iCs/>
          <w:lang w:val="en-US"/>
        </w:rPr>
        <w:t>‐</w:t>
      </w:r>
      <w:r w:rsidRPr="00DF6E81">
        <w:rPr>
          <w:bCs/>
          <w:iCs/>
          <w:lang w:val="en-US"/>
        </w:rPr>
        <w:t>19.</w:t>
      </w:r>
      <w:r w:rsidR="00DC2FB5">
        <w:rPr>
          <w:rStyle w:val="FootnoteReference"/>
          <w:bCs/>
          <w:iCs/>
          <w:lang w:val="en-US"/>
        </w:rPr>
        <w:footnoteReference w:id="38"/>
      </w:r>
      <w:r w:rsidRPr="00DF6E81">
        <w:rPr>
          <w:bCs/>
          <w:iCs/>
          <w:lang w:val="en-US"/>
        </w:rPr>
        <w:t xml:space="preserve"> This is also consistent with the manner in which the vaccines have been promoted by the relevant health authorities in the United States. As such, the statement that “</w:t>
      </w:r>
      <w:r w:rsidRPr="00DF6E81">
        <w:rPr>
          <w:bCs/>
          <w:i/>
          <w:lang w:val="en-US"/>
        </w:rPr>
        <w:t>People are still getting covid, that got the vaccine shot, and they’re still transmitting COVID who got the vaccine shot”</w:t>
      </w:r>
      <w:r w:rsidRPr="00DF6E81">
        <w:rPr>
          <w:bCs/>
          <w:iCs/>
          <w:lang w:val="en-US"/>
        </w:rPr>
        <w:t xml:space="preserve"> is an accurate representation of how vaccination against COVID</w:t>
      </w:r>
      <w:r w:rsidRPr="00DF6E81">
        <w:rPr>
          <w:rFonts w:ascii="Cambria Math" w:hAnsi="Cambria Math" w:cs="Cambria Math"/>
          <w:bCs/>
          <w:iCs/>
          <w:lang w:val="en-US"/>
        </w:rPr>
        <w:t>‐</w:t>
      </w:r>
      <w:r w:rsidRPr="00DF6E81">
        <w:rPr>
          <w:bCs/>
          <w:iCs/>
          <w:lang w:val="en-US"/>
        </w:rPr>
        <w:t>19 works and is intended to work.</w:t>
      </w:r>
    </w:p>
    <w:p w14:paraId="6E60BD90" w14:textId="77777777" w:rsidR="00DF6E81" w:rsidRPr="00DF6E81" w:rsidRDefault="00DF6E81" w:rsidP="00DF6E81">
      <w:pPr>
        <w:pStyle w:val="ACMABodyText"/>
        <w:rPr>
          <w:bCs/>
          <w:iCs/>
          <w:lang w:val="en-US"/>
        </w:rPr>
      </w:pPr>
      <w:r w:rsidRPr="00DF6E81">
        <w:rPr>
          <w:bCs/>
          <w:iCs/>
          <w:lang w:val="en-US"/>
        </w:rPr>
        <w:t>The description of the COVID</w:t>
      </w:r>
      <w:r w:rsidRPr="00DF6E81">
        <w:rPr>
          <w:rFonts w:ascii="Cambria Math" w:hAnsi="Cambria Math" w:cs="Cambria Math"/>
          <w:bCs/>
          <w:iCs/>
          <w:lang w:val="en-US"/>
        </w:rPr>
        <w:t>‐</w:t>
      </w:r>
      <w:r w:rsidRPr="00DF6E81">
        <w:rPr>
          <w:bCs/>
          <w:iCs/>
          <w:lang w:val="en-US"/>
        </w:rPr>
        <w:t xml:space="preserve">19 vaccines as </w:t>
      </w:r>
      <w:r w:rsidRPr="00DF6E81">
        <w:rPr>
          <w:bCs/>
          <w:i/>
          <w:lang w:val="en-US"/>
        </w:rPr>
        <w:t>“experimental”</w:t>
      </w:r>
      <w:r w:rsidRPr="00DF6E81">
        <w:rPr>
          <w:bCs/>
          <w:iCs/>
          <w:lang w:val="en-US"/>
        </w:rPr>
        <w:t xml:space="preserve"> and unproven technology appears to be a genuinely held opinion relating to the unconventional method through which the COVID</w:t>
      </w:r>
      <w:r w:rsidRPr="00DF6E81">
        <w:rPr>
          <w:rFonts w:ascii="Cambria Math" w:hAnsi="Cambria Math" w:cs="Cambria Math"/>
          <w:bCs/>
          <w:iCs/>
          <w:lang w:val="en-US"/>
        </w:rPr>
        <w:t>‐</w:t>
      </w:r>
      <w:r w:rsidRPr="00DF6E81">
        <w:rPr>
          <w:bCs/>
          <w:iCs/>
          <w:lang w:val="en-US"/>
        </w:rPr>
        <w:t>19 vaccines received approval in the United States which was not intended to, and realistically would not, be taken literally by any Australian viewers.</w:t>
      </w:r>
    </w:p>
    <w:p w14:paraId="16BA5108" w14:textId="00DBEE3E" w:rsidR="00DF6E81" w:rsidRPr="00DF6E81" w:rsidRDefault="00DF6E81" w:rsidP="00DF6E81">
      <w:pPr>
        <w:pStyle w:val="ACMABodyText"/>
        <w:rPr>
          <w:bCs/>
          <w:iCs/>
          <w:lang w:val="en-US"/>
        </w:rPr>
      </w:pPr>
      <w:r w:rsidRPr="00DF6E81">
        <w:rPr>
          <w:bCs/>
          <w:iCs/>
          <w:lang w:val="en-US"/>
        </w:rPr>
        <w:t xml:space="preserve">It should be noted that </w:t>
      </w:r>
      <w:r w:rsidR="000730AE">
        <w:rPr>
          <w:bCs/>
          <w:iCs/>
          <w:lang w:val="en-US"/>
        </w:rPr>
        <w:t>[</w:t>
      </w:r>
      <w:r w:rsidR="00644E33">
        <w:rPr>
          <w:bCs/>
          <w:iCs/>
          <w:lang w:val="en-US"/>
        </w:rPr>
        <w:t>Host</w:t>
      </w:r>
      <w:r w:rsidR="004703FE">
        <w:rPr>
          <w:bCs/>
          <w:iCs/>
          <w:lang w:val="en-US"/>
        </w:rPr>
        <w:t xml:space="preserve"> </w:t>
      </w:r>
      <w:r w:rsidR="006B0E22">
        <w:rPr>
          <w:bCs/>
          <w:iCs/>
          <w:lang w:val="en-US"/>
        </w:rPr>
        <w:t>1</w:t>
      </w:r>
      <w:r w:rsidR="000730AE">
        <w:rPr>
          <w:bCs/>
          <w:iCs/>
          <w:lang w:val="en-US"/>
        </w:rPr>
        <w:t>]</w:t>
      </w:r>
      <w:r w:rsidRPr="00DF6E81">
        <w:rPr>
          <w:bCs/>
          <w:iCs/>
          <w:lang w:val="en-US"/>
        </w:rPr>
        <w:t xml:space="preserve"> was not a qualified medical professional and was never represented as such. The statements by </w:t>
      </w:r>
      <w:r w:rsidR="000730AE">
        <w:rPr>
          <w:bCs/>
          <w:iCs/>
          <w:lang w:val="en-US"/>
        </w:rPr>
        <w:t>[</w:t>
      </w:r>
      <w:r w:rsidR="004703FE">
        <w:rPr>
          <w:bCs/>
          <w:iCs/>
          <w:lang w:val="en-US"/>
        </w:rPr>
        <w:t xml:space="preserve">Host </w:t>
      </w:r>
      <w:r w:rsidR="006B0E22">
        <w:rPr>
          <w:bCs/>
          <w:iCs/>
          <w:lang w:val="en-US"/>
        </w:rPr>
        <w:t>1</w:t>
      </w:r>
      <w:r w:rsidR="000730AE">
        <w:rPr>
          <w:bCs/>
          <w:iCs/>
          <w:lang w:val="en-US"/>
        </w:rPr>
        <w:t>]</w:t>
      </w:r>
      <w:r w:rsidR="00010D09">
        <w:rPr>
          <w:bCs/>
          <w:iCs/>
          <w:lang w:val="en-US"/>
        </w:rPr>
        <w:t xml:space="preserve"> </w:t>
      </w:r>
      <w:r w:rsidRPr="00DF6E81">
        <w:rPr>
          <w:bCs/>
          <w:iCs/>
          <w:lang w:val="en-US"/>
        </w:rPr>
        <w:t xml:space="preserve">are therefore readily distinguishable from opinions offered by experts such as </w:t>
      </w:r>
      <w:r w:rsidR="000712A9">
        <w:rPr>
          <w:bCs/>
          <w:iCs/>
          <w:lang w:val="en-US"/>
        </w:rPr>
        <w:t>[Dr</w:t>
      </w:r>
      <w:r w:rsidR="00010D09">
        <w:rPr>
          <w:bCs/>
          <w:iCs/>
          <w:lang w:val="en-US"/>
        </w:rPr>
        <w:t>.</w:t>
      </w:r>
      <w:r w:rsidR="000712A9">
        <w:rPr>
          <w:bCs/>
          <w:iCs/>
          <w:lang w:val="en-US"/>
        </w:rPr>
        <w:t xml:space="preserve"> </w:t>
      </w:r>
      <w:r w:rsidR="006B0E22">
        <w:rPr>
          <w:bCs/>
          <w:iCs/>
          <w:lang w:val="en-US"/>
        </w:rPr>
        <w:t>A</w:t>
      </w:r>
      <w:r w:rsidR="000712A9">
        <w:rPr>
          <w:bCs/>
          <w:iCs/>
          <w:lang w:val="en-US"/>
        </w:rPr>
        <w:t xml:space="preserve">] </w:t>
      </w:r>
      <w:r w:rsidRPr="00DF6E81">
        <w:rPr>
          <w:bCs/>
          <w:iCs/>
          <w:lang w:val="en-US"/>
        </w:rPr>
        <w:t xml:space="preserve">and </w:t>
      </w:r>
      <w:r w:rsidR="000712A9">
        <w:rPr>
          <w:bCs/>
          <w:iCs/>
          <w:lang w:val="en-US"/>
        </w:rPr>
        <w:t>[Dr</w:t>
      </w:r>
      <w:r w:rsidR="00010D09">
        <w:rPr>
          <w:bCs/>
          <w:iCs/>
          <w:lang w:val="en-US"/>
        </w:rPr>
        <w:t>.</w:t>
      </w:r>
      <w:r w:rsidR="000712A9">
        <w:rPr>
          <w:bCs/>
          <w:iCs/>
          <w:lang w:val="en-US"/>
        </w:rPr>
        <w:t xml:space="preserve"> </w:t>
      </w:r>
      <w:r w:rsidR="006B0E22">
        <w:rPr>
          <w:bCs/>
          <w:iCs/>
          <w:lang w:val="en-US"/>
        </w:rPr>
        <w:t>B</w:t>
      </w:r>
      <w:r w:rsidR="000712A9">
        <w:rPr>
          <w:bCs/>
          <w:iCs/>
          <w:lang w:val="en-US"/>
        </w:rPr>
        <w:t>]</w:t>
      </w:r>
      <w:r w:rsidRPr="00DF6E81">
        <w:rPr>
          <w:bCs/>
          <w:iCs/>
          <w:lang w:val="en-US"/>
        </w:rPr>
        <w:t xml:space="preserve">. </w:t>
      </w:r>
      <w:r w:rsidR="000730AE">
        <w:rPr>
          <w:bCs/>
          <w:iCs/>
          <w:lang w:val="en-US"/>
        </w:rPr>
        <w:t>[</w:t>
      </w:r>
      <w:r w:rsidR="000712A9">
        <w:rPr>
          <w:bCs/>
          <w:iCs/>
          <w:lang w:val="en-US"/>
        </w:rPr>
        <w:t>Host</w:t>
      </w:r>
      <w:r w:rsidR="004703FE">
        <w:rPr>
          <w:bCs/>
          <w:iCs/>
          <w:lang w:val="en-US"/>
        </w:rPr>
        <w:t xml:space="preserve"> </w:t>
      </w:r>
      <w:r w:rsidR="006B0E22">
        <w:rPr>
          <w:bCs/>
          <w:iCs/>
          <w:lang w:val="en-US"/>
        </w:rPr>
        <w:t>1</w:t>
      </w:r>
      <w:r w:rsidR="000730AE">
        <w:rPr>
          <w:bCs/>
          <w:iCs/>
          <w:lang w:val="en-US"/>
        </w:rPr>
        <w:t>’s]</w:t>
      </w:r>
      <w:r w:rsidRPr="00DF6E81">
        <w:rPr>
          <w:bCs/>
          <w:iCs/>
          <w:lang w:val="en-US"/>
        </w:rPr>
        <w:t xml:space="preserve"> statements should be regarded as pure commentary rather than the presentation of factual material.</w:t>
      </w:r>
    </w:p>
    <w:p w14:paraId="5382725C" w14:textId="39F36E0A" w:rsidR="00DF6E81" w:rsidRPr="00DF6E81" w:rsidRDefault="00DF6E81" w:rsidP="00DF6E81">
      <w:pPr>
        <w:pStyle w:val="ACMABodyText"/>
        <w:numPr>
          <w:ilvl w:val="0"/>
          <w:numId w:val="29"/>
        </w:numPr>
        <w:ind w:left="709"/>
        <w:rPr>
          <w:b/>
          <w:bCs/>
          <w:i/>
          <w:iCs/>
          <w:lang w:val="en-US"/>
        </w:rPr>
      </w:pPr>
      <w:r w:rsidRPr="00DF6E81">
        <w:rPr>
          <w:b/>
          <w:bCs/>
          <w:i/>
          <w:iCs/>
          <w:lang w:val="en-US"/>
        </w:rPr>
        <w:t>The FDA broke the rules in approving this… tons of rules, so this is a rushed, provisional approval, with no long</w:t>
      </w:r>
      <w:r w:rsidRPr="00DF6E81">
        <w:rPr>
          <w:rFonts w:ascii="Cambria Math" w:hAnsi="Cambria Math" w:cs="Cambria Math"/>
          <w:b/>
          <w:bCs/>
          <w:i/>
          <w:iCs/>
          <w:lang w:val="en-US"/>
        </w:rPr>
        <w:t>‐</w:t>
      </w:r>
      <w:r w:rsidRPr="00DF6E81">
        <w:rPr>
          <w:b/>
          <w:bCs/>
          <w:i/>
          <w:iCs/>
          <w:lang w:val="en-US"/>
        </w:rPr>
        <w:t>term safety.</w:t>
      </w:r>
    </w:p>
    <w:p w14:paraId="4E6A1B59" w14:textId="77777777" w:rsidR="00DF6E81" w:rsidRDefault="00DF6E81" w:rsidP="00DF6E81">
      <w:pPr>
        <w:pStyle w:val="ACMABodyText"/>
      </w:pPr>
      <w:r>
        <w:t>This statement is clearly an expression of opinion based on the limited time available between discovery of the virus and availability of the vaccine.</w:t>
      </w:r>
    </w:p>
    <w:p w14:paraId="46537E82" w14:textId="6193D48A" w:rsidR="00DF6E81" w:rsidRDefault="00DF6E81" w:rsidP="00DF6E81">
      <w:pPr>
        <w:pStyle w:val="ACMABodyText"/>
      </w:pPr>
      <w:r>
        <w:lastRenderedPageBreak/>
        <w:t>The process through which the FDA granted approval to the COVID‐19 vaccines used in the United States is widely known to have departed from the FDA’s usual approval procedure due to the COVID‐ 19 public health emergency.</w:t>
      </w:r>
    </w:p>
    <w:p w14:paraId="4B5B56FC" w14:textId="0171EBB4" w:rsidR="00DF6E81" w:rsidRPr="00DF6E81" w:rsidRDefault="00DF6E81" w:rsidP="00DF6E81">
      <w:pPr>
        <w:pStyle w:val="ACMABodyText"/>
        <w:rPr>
          <w:lang w:val="en-US"/>
        </w:rPr>
      </w:pPr>
      <w:r w:rsidRPr="00DF6E81">
        <w:rPr>
          <w:lang w:val="en-US"/>
        </w:rPr>
        <w:t>The FDA did not approve the first COVID</w:t>
      </w:r>
      <w:r w:rsidRPr="00DF6E81">
        <w:rPr>
          <w:rFonts w:ascii="Cambria Math" w:hAnsi="Cambria Math" w:cs="Cambria Math"/>
          <w:lang w:val="en-US"/>
        </w:rPr>
        <w:t>‐</w:t>
      </w:r>
      <w:r w:rsidRPr="00DF6E81">
        <w:rPr>
          <w:lang w:val="en-US"/>
        </w:rPr>
        <w:t>19 vaccine (Pfizer</w:t>
      </w:r>
      <w:r w:rsidRPr="00DF6E81">
        <w:rPr>
          <w:rFonts w:ascii="Cambria Math" w:hAnsi="Cambria Math" w:cs="Cambria Math"/>
          <w:lang w:val="en-US"/>
        </w:rPr>
        <w:t>‐</w:t>
      </w:r>
      <w:r w:rsidRPr="00DF6E81">
        <w:rPr>
          <w:lang w:val="en-US"/>
        </w:rPr>
        <w:t>BioNTech) until 23 August 2021. However, the Pfizer</w:t>
      </w:r>
      <w:r w:rsidRPr="00DF6E81">
        <w:rPr>
          <w:rFonts w:ascii="Cambria Math" w:hAnsi="Cambria Math" w:cs="Cambria Math"/>
          <w:lang w:val="en-US"/>
        </w:rPr>
        <w:t>‐</w:t>
      </w:r>
      <w:r w:rsidRPr="00DF6E81">
        <w:rPr>
          <w:lang w:val="en-US"/>
        </w:rPr>
        <w:t xml:space="preserve">BioNTech vaccine had been available in the United States under an </w:t>
      </w:r>
      <w:r w:rsidRPr="00DF6E81">
        <w:rPr>
          <w:rFonts w:cs="Arial"/>
          <w:lang w:val="en-US"/>
        </w:rPr>
        <w:t>“</w:t>
      </w:r>
      <w:r w:rsidRPr="00DF6E81">
        <w:rPr>
          <w:lang w:val="en-US"/>
        </w:rPr>
        <w:t>emergency use authorisation</w:t>
      </w:r>
      <w:r w:rsidRPr="00DF6E81">
        <w:rPr>
          <w:rFonts w:cs="Arial"/>
          <w:lang w:val="en-US"/>
        </w:rPr>
        <w:t>”</w:t>
      </w:r>
      <w:r w:rsidRPr="00DF6E81">
        <w:rPr>
          <w:lang w:val="en-US"/>
        </w:rPr>
        <w:t xml:space="preserve"> (</w:t>
      </w:r>
      <w:r w:rsidRPr="00DF6E81">
        <w:rPr>
          <w:b/>
          <w:lang w:val="en-US"/>
        </w:rPr>
        <w:t>EUA</w:t>
      </w:r>
      <w:r w:rsidRPr="00DF6E81">
        <w:rPr>
          <w:lang w:val="en-US"/>
        </w:rPr>
        <w:t>) from 11 December 2020.</w:t>
      </w:r>
      <w:r w:rsidR="00DC2FB5">
        <w:rPr>
          <w:rStyle w:val="FootnoteReference"/>
          <w:lang w:val="en-US"/>
        </w:rPr>
        <w:footnoteReference w:id="39"/>
      </w:r>
      <w:r w:rsidRPr="00DF6E81">
        <w:rPr>
          <w:lang w:val="en-US"/>
        </w:rPr>
        <w:t xml:space="preserve"> Under an EUA, the FDA may allow the use of unapproved medical products, or unapproved uses of approved medical products, in an emergency when certain statutory criteria have been met, including that there are no adequate, approved and</w:t>
      </w:r>
      <w:r>
        <w:rPr>
          <w:lang w:val="en-US"/>
        </w:rPr>
        <w:t xml:space="preserve"> </w:t>
      </w:r>
      <w:r w:rsidRPr="00DF6E81">
        <w:rPr>
          <w:lang w:val="en-US"/>
        </w:rPr>
        <w:t>available alternatives</w:t>
      </w:r>
      <w:r>
        <w:rPr>
          <w:lang w:val="en-US"/>
        </w:rPr>
        <w:t>.</w:t>
      </w:r>
      <w:r w:rsidR="00DC2FB5">
        <w:rPr>
          <w:rStyle w:val="FootnoteReference"/>
          <w:lang w:val="en-US"/>
        </w:rPr>
        <w:footnoteReference w:id="40"/>
      </w:r>
    </w:p>
    <w:p w14:paraId="42A53AC6" w14:textId="77777777" w:rsidR="00DF6E81" w:rsidRPr="00DF6E81" w:rsidRDefault="00DF6E81" w:rsidP="00DF6E81">
      <w:pPr>
        <w:pStyle w:val="ACMABodyText"/>
        <w:rPr>
          <w:lang w:val="en-US"/>
        </w:rPr>
      </w:pPr>
      <w:r w:rsidRPr="00DF6E81">
        <w:rPr>
          <w:lang w:val="en-US"/>
        </w:rPr>
        <w:t>This statement does not suggest that the COVID</w:t>
      </w:r>
      <w:r w:rsidRPr="00DF6E81">
        <w:rPr>
          <w:rFonts w:ascii="Cambria Math" w:hAnsi="Cambria Math" w:cs="Cambria Math"/>
          <w:lang w:val="en-US"/>
        </w:rPr>
        <w:t>‐</w:t>
      </w:r>
      <w:r w:rsidRPr="00DF6E81">
        <w:rPr>
          <w:lang w:val="en-US"/>
        </w:rPr>
        <w:t>19 vaccines which were the subject of an EUA were not rigorously tested. However, on the basis that the EUA allows medicines to be provisionally approved for use within a far shorter time frame than the usual approval process, the description of the FDA’s approval process as “</w:t>
      </w:r>
      <w:r w:rsidRPr="00DF6E81">
        <w:rPr>
          <w:i/>
          <w:lang w:val="en-US"/>
        </w:rPr>
        <w:t>rushed</w:t>
      </w:r>
      <w:r w:rsidRPr="00DF6E81">
        <w:rPr>
          <w:lang w:val="en-US"/>
        </w:rPr>
        <w:t>” and “</w:t>
      </w:r>
      <w:r w:rsidRPr="00DF6E81">
        <w:rPr>
          <w:i/>
          <w:lang w:val="en-US"/>
        </w:rPr>
        <w:t>provisional</w:t>
      </w:r>
      <w:r w:rsidRPr="00DF6E81">
        <w:rPr>
          <w:lang w:val="en-US"/>
        </w:rPr>
        <w:t>” in this context was accurate.</w:t>
      </w:r>
    </w:p>
    <w:p w14:paraId="6159D60B" w14:textId="77777777" w:rsidR="00DF6E81" w:rsidRPr="00DF6E81" w:rsidRDefault="00DF6E81" w:rsidP="00DF6E81">
      <w:pPr>
        <w:pStyle w:val="ACMABodyText"/>
        <w:rPr>
          <w:lang w:val="en-US"/>
        </w:rPr>
      </w:pPr>
      <w:r w:rsidRPr="00DF6E81">
        <w:rPr>
          <w:lang w:val="en-US"/>
        </w:rPr>
        <w:t>Further, it is undisputable that the long</w:t>
      </w:r>
      <w:r w:rsidRPr="00DF6E81">
        <w:rPr>
          <w:rFonts w:ascii="Cambria Math" w:hAnsi="Cambria Math" w:cs="Cambria Math"/>
          <w:lang w:val="en-US"/>
        </w:rPr>
        <w:t>‐</w:t>
      </w:r>
      <w:r w:rsidRPr="00DF6E81">
        <w:rPr>
          <w:lang w:val="en-US"/>
        </w:rPr>
        <w:t>term safety effects of the COVID</w:t>
      </w:r>
      <w:r w:rsidRPr="00DF6E81">
        <w:rPr>
          <w:rFonts w:ascii="Cambria Math" w:hAnsi="Cambria Math" w:cs="Cambria Math"/>
          <w:lang w:val="en-US"/>
        </w:rPr>
        <w:t>‐</w:t>
      </w:r>
      <w:r w:rsidRPr="00DF6E81">
        <w:rPr>
          <w:lang w:val="en-US"/>
        </w:rPr>
        <w:t>19 vaccines have not yet been able to be fully assessed, given the short time within which the vaccines were approved for use and the still relatively young life of the current pandemic. This statement does not suggest that the current COVID</w:t>
      </w:r>
      <w:r w:rsidRPr="00DF6E81">
        <w:rPr>
          <w:rFonts w:ascii="Cambria Math" w:hAnsi="Cambria Math" w:cs="Cambria Math"/>
          <w:lang w:val="en-US"/>
        </w:rPr>
        <w:t>‐</w:t>
      </w:r>
      <w:r w:rsidRPr="00DF6E81">
        <w:rPr>
          <w:lang w:val="en-US"/>
        </w:rPr>
        <w:t>19 vaccines will cause long</w:t>
      </w:r>
      <w:r w:rsidRPr="00DF6E81">
        <w:rPr>
          <w:rFonts w:ascii="Cambria Math" w:hAnsi="Cambria Math" w:cs="Cambria Math"/>
          <w:lang w:val="en-US"/>
        </w:rPr>
        <w:t>‐</w:t>
      </w:r>
      <w:r w:rsidRPr="00DF6E81">
        <w:rPr>
          <w:lang w:val="en-US"/>
        </w:rPr>
        <w:t>term problems in years to come, nor does it suggest that the vaccines are not effective at preventing severe illness and death from COVID</w:t>
      </w:r>
      <w:r w:rsidRPr="00DF6E81">
        <w:rPr>
          <w:rFonts w:ascii="Cambria Math" w:hAnsi="Cambria Math" w:cs="Cambria Math"/>
          <w:lang w:val="en-US"/>
        </w:rPr>
        <w:t>‐</w:t>
      </w:r>
      <w:r w:rsidRPr="00DF6E81">
        <w:rPr>
          <w:lang w:val="en-US"/>
        </w:rPr>
        <w:t>19, only that there is currently a lack of long</w:t>
      </w:r>
      <w:r w:rsidRPr="00DF6E81">
        <w:rPr>
          <w:rFonts w:ascii="Cambria Math" w:hAnsi="Cambria Math" w:cs="Cambria Math"/>
          <w:lang w:val="en-US"/>
        </w:rPr>
        <w:t>‐</w:t>
      </w:r>
      <w:r w:rsidRPr="00DF6E81">
        <w:rPr>
          <w:lang w:val="en-US"/>
        </w:rPr>
        <w:t>term safety data given that the vaccines have been developed and approved within two years.</w:t>
      </w:r>
    </w:p>
    <w:p w14:paraId="72FA5CC1" w14:textId="77777777" w:rsidR="0061771A" w:rsidRDefault="003E5417" w:rsidP="00DF6E81">
      <w:pPr>
        <w:pStyle w:val="ACMABodyText"/>
        <w:rPr>
          <w:lang w:val="en-US"/>
        </w:rPr>
      </w:pPr>
      <w:r>
        <w:rPr>
          <w:lang w:val="en-US"/>
        </w:rPr>
        <w:t>[…]</w:t>
      </w:r>
    </w:p>
    <w:p w14:paraId="2F734435" w14:textId="77777777" w:rsidR="0023218B" w:rsidRPr="0023218B" w:rsidRDefault="0023218B" w:rsidP="0023218B">
      <w:pPr>
        <w:pStyle w:val="ACMABodyText"/>
        <w:numPr>
          <w:ilvl w:val="0"/>
          <w:numId w:val="29"/>
        </w:numPr>
        <w:ind w:left="709"/>
        <w:rPr>
          <w:b/>
          <w:bCs/>
          <w:i/>
          <w:iCs/>
          <w:lang w:val="en-US"/>
        </w:rPr>
      </w:pPr>
      <w:r w:rsidRPr="0023218B">
        <w:rPr>
          <w:b/>
          <w:bCs/>
          <w:i/>
          <w:iCs/>
          <w:lang w:val="en-US"/>
        </w:rPr>
        <w:t>The shots are not proven long term in pregnancy, the long</w:t>
      </w:r>
      <w:r w:rsidRPr="0023218B">
        <w:rPr>
          <w:rFonts w:ascii="Cambria Math" w:hAnsi="Cambria Math" w:cs="Cambria Math"/>
          <w:b/>
          <w:bCs/>
          <w:i/>
          <w:iCs/>
          <w:lang w:val="en-US"/>
        </w:rPr>
        <w:t>‐</w:t>
      </w:r>
      <w:r w:rsidRPr="0023218B">
        <w:rPr>
          <w:b/>
          <w:bCs/>
          <w:i/>
          <w:iCs/>
          <w:lang w:val="en-US"/>
        </w:rPr>
        <w:t>term outcomes for the foetus are not proved. To force a patient to get a shot is evil.</w:t>
      </w:r>
    </w:p>
    <w:p w14:paraId="1E4F2F13" w14:textId="77777777" w:rsidR="0023218B" w:rsidRPr="0023218B" w:rsidRDefault="0023218B" w:rsidP="0023218B">
      <w:pPr>
        <w:pStyle w:val="ACMABodyText"/>
        <w:rPr>
          <w:bCs/>
          <w:iCs/>
          <w:lang w:val="en-US"/>
        </w:rPr>
      </w:pPr>
      <w:r w:rsidRPr="0023218B">
        <w:rPr>
          <w:bCs/>
          <w:iCs/>
          <w:lang w:val="en-US"/>
        </w:rPr>
        <w:t>These statements are accurate in so far as they refer to the hypothetical long term vaccine data, and support the firmly expressed opinion regarding mandatory vaccination.</w:t>
      </w:r>
    </w:p>
    <w:p w14:paraId="13A1444E" w14:textId="77777777" w:rsidR="0023218B" w:rsidRPr="0023218B" w:rsidRDefault="0023218B" w:rsidP="0023218B">
      <w:pPr>
        <w:pStyle w:val="ACMABodyText"/>
        <w:rPr>
          <w:bCs/>
          <w:iCs/>
          <w:lang w:val="en-US"/>
        </w:rPr>
      </w:pPr>
      <w:r w:rsidRPr="0023218B">
        <w:rPr>
          <w:bCs/>
          <w:iCs/>
          <w:lang w:val="en-US"/>
        </w:rPr>
        <w:t>As above, statements regarding a lack of long</w:t>
      </w:r>
      <w:r w:rsidRPr="0023218B">
        <w:rPr>
          <w:rFonts w:ascii="Cambria Math" w:hAnsi="Cambria Math" w:cs="Cambria Math"/>
          <w:bCs/>
          <w:iCs/>
          <w:lang w:val="en-US"/>
        </w:rPr>
        <w:t>‐</w:t>
      </w:r>
      <w:r w:rsidRPr="0023218B">
        <w:rPr>
          <w:bCs/>
          <w:iCs/>
          <w:lang w:val="en-US"/>
        </w:rPr>
        <w:t>term safety data regarding the COVID</w:t>
      </w:r>
      <w:r w:rsidRPr="0023218B">
        <w:rPr>
          <w:rFonts w:ascii="Cambria Math" w:hAnsi="Cambria Math" w:cs="Cambria Math"/>
          <w:bCs/>
          <w:iCs/>
          <w:lang w:val="en-US"/>
        </w:rPr>
        <w:t>‐</w:t>
      </w:r>
      <w:r w:rsidRPr="0023218B">
        <w:rPr>
          <w:bCs/>
          <w:iCs/>
          <w:lang w:val="en-US"/>
        </w:rPr>
        <w:t>19 vaccines are accurate given that the length of time between the vaccines being developed and approved for use.</w:t>
      </w:r>
    </w:p>
    <w:p w14:paraId="4AAE28A4" w14:textId="77777777" w:rsidR="0023218B" w:rsidRPr="0023218B" w:rsidRDefault="0023218B" w:rsidP="0023218B">
      <w:pPr>
        <w:pStyle w:val="ACMABodyText"/>
        <w:rPr>
          <w:bCs/>
          <w:iCs/>
          <w:lang w:val="en-US"/>
        </w:rPr>
      </w:pPr>
      <w:r w:rsidRPr="0023218B">
        <w:rPr>
          <w:bCs/>
          <w:iCs/>
          <w:lang w:val="en-US"/>
        </w:rPr>
        <w:t>In relation to the effects of the COVID</w:t>
      </w:r>
      <w:r w:rsidRPr="0023218B">
        <w:rPr>
          <w:rFonts w:ascii="Cambria Math" w:hAnsi="Cambria Math" w:cs="Cambria Math"/>
          <w:bCs/>
          <w:iCs/>
          <w:lang w:val="en-US"/>
        </w:rPr>
        <w:t>‐</w:t>
      </w:r>
      <w:r w:rsidRPr="0023218B">
        <w:rPr>
          <w:bCs/>
          <w:iCs/>
          <w:lang w:val="en-US"/>
        </w:rPr>
        <w:t xml:space="preserve">19 vaccines during pregnancy, the </w:t>
      </w:r>
      <w:r w:rsidRPr="0023218B">
        <w:rPr>
          <w:rFonts w:cs="Arial"/>
          <w:bCs/>
          <w:iCs/>
          <w:lang w:val="en-US"/>
        </w:rPr>
        <w:t>“</w:t>
      </w:r>
      <w:r w:rsidRPr="0023218B">
        <w:rPr>
          <w:bCs/>
          <w:i/>
          <w:iCs/>
          <w:lang w:val="en-US"/>
        </w:rPr>
        <w:t>COVID</w:t>
      </w:r>
      <w:r w:rsidRPr="0023218B">
        <w:rPr>
          <w:rFonts w:ascii="Cambria Math" w:hAnsi="Cambria Math" w:cs="Cambria Math"/>
          <w:bCs/>
          <w:i/>
          <w:iCs/>
          <w:lang w:val="en-US"/>
        </w:rPr>
        <w:t>‐</w:t>
      </w:r>
      <w:r w:rsidRPr="0023218B">
        <w:rPr>
          <w:bCs/>
          <w:i/>
          <w:iCs/>
          <w:lang w:val="en-US"/>
        </w:rPr>
        <w:t>19 vaccination decision guide for people who are pregnant, breastfeeding or planning pregnancy</w:t>
      </w:r>
      <w:r w:rsidRPr="0023218B">
        <w:rPr>
          <w:bCs/>
          <w:iCs/>
          <w:lang w:val="en-US"/>
        </w:rPr>
        <w:t>” released by the Department of Health on 19 August 2021, for example, states the following:</w:t>
      </w:r>
    </w:p>
    <w:p w14:paraId="16C97D49" w14:textId="528405E1" w:rsidR="0023218B" w:rsidRPr="0023218B" w:rsidRDefault="0023218B" w:rsidP="0023218B">
      <w:pPr>
        <w:pStyle w:val="ACMABodyText"/>
        <w:spacing w:before="240" w:line="240" w:lineRule="auto"/>
        <w:ind w:left="425"/>
        <w:rPr>
          <w:rFonts w:cs="Arial"/>
          <w:bCs/>
          <w:i/>
          <w:iCs/>
          <w:sz w:val="18"/>
          <w:szCs w:val="18"/>
          <w:lang w:val="en-US"/>
        </w:rPr>
      </w:pPr>
      <w:r w:rsidRPr="0023218B">
        <w:rPr>
          <w:rFonts w:cs="Arial"/>
          <w:bCs/>
          <w:i/>
          <w:iCs/>
          <w:sz w:val="18"/>
          <w:szCs w:val="18"/>
          <w:lang w:val="en-US"/>
        </w:rPr>
        <w:t>Pregnant people were not included in the first clinical trials for COVID</w:t>
      </w:r>
      <w:r w:rsidRPr="0023218B">
        <w:rPr>
          <w:rFonts w:ascii="Cambria Math" w:hAnsi="Cambria Math" w:cs="Cambria Math"/>
          <w:bCs/>
          <w:i/>
          <w:iCs/>
          <w:sz w:val="18"/>
          <w:szCs w:val="18"/>
          <w:lang w:val="en-US"/>
        </w:rPr>
        <w:t>‐</w:t>
      </w:r>
      <w:r w:rsidRPr="0023218B">
        <w:rPr>
          <w:rFonts w:cs="Arial"/>
          <w:bCs/>
          <w:i/>
          <w:iCs/>
          <w:sz w:val="18"/>
          <w:szCs w:val="18"/>
          <w:lang w:val="en-US"/>
        </w:rPr>
        <w:t>19 vaccines, so at the time of initial guidance there was limited evidence confirming the safety of COVID</w:t>
      </w:r>
      <w:r w:rsidRPr="0023218B">
        <w:rPr>
          <w:rFonts w:ascii="Cambria Math" w:hAnsi="Cambria Math" w:cs="Cambria Math"/>
          <w:bCs/>
          <w:i/>
          <w:iCs/>
          <w:sz w:val="18"/>
          <w:szCs w:val="18"/>
          <w:lang w:val="en-US"/>
        </w:rPr>
        <w:t>‐</w:t>
      </w:r>
      <w:r w:rsidRPr="0023218B">
        <w:rPr>
          <w:rFonts w:cs="Arial"/>
          <w:bCs/>
          <w:i/>
          <w:iCs/>
          <w:sz w:val="18"/>
          <w:szCs w:val="18"/>
          <w:lang w:val="en-US"/>
        </w:rPr>
        <w:t>19 vaccines during pregnancy. The initial advice from immunisation expert groups was therefore cautious, and COVID</w:t>
      </w:r>
      <w:r w:rsidRPr="0023218B">
        <w:rPr>
          <w:rFonts w:ascii="Cambria Math" w:hAnsi="Cambria Math" w:cs="Cambria Math"/>
          <w:bCs/>
          <w:i/>
          <w:iCs/>
          <w:sz w:val="18"/>
          <w:szCs w:val="18"/>
          <w:lang w:val="en-US"/>
        </w:rPr>
        <w:t>‐</w:t>
      </w:r>
      <w:r w:rsidRPr="0023218B">
        <w:rPr>
          <w:rFonts w:cs="Arial"/>
          <w:bCs/>
          <w:i/>
          <w:iCs/>
          <w:sz w:val="18"/>
          <w:szCs w:val="18"/>
          <w:lang w:val="en-US"/>
        </w:rPr>
        <w:t>19 vaccines were not routinely recommended in pregnancy.</w:t>
      </w:r>
      <w:r w:rsidR="00B966BC">
        <w:rPr>
          <w:rStyle w:val="FootnoteReference"/>
          <w:rFonts w:cs="Arial"/>
          <w:bCs/>
          <w:i/>
          <w:iCs/>
          <w:sz w:val="18"/>
          <w:szCs w:val="18"/>
          <w:lang w:val="en-US"/>
        </w:rPr>
        <w:footnoteReference w:id="41"/>
      </w:r>
    </w:p>
    <w:p w14:paraId="5C9CEE23" w14:textId="77777777" w:rsidR="0023218B" w:rsidRPr="0023218B" w:rsidRDefault="0023218B" w:rsidP="0023218B">
      <w:pPr>
        <w:pStyle w:val="ACMABodyText"/>
        <w:rPr>
          <w:bCs/>
          <w:iCs/>
          <w:lang w:val="en-US"/>
        </w:rPr>
      </w:pPr>
      <w:r w:rsidRPr="0023218B">
        <w:rPr>
          <w:bCs/>
          <w:iCs/>
          <w:lang w:val="en-US"/>
        </w:rPr>
        <w:t>Further, the Department of Health guidance released on 26 November 2021 indicates that studies regarding the efficacy of vaccines in relation to the effects of vaccination during pregnancy are yet to be conducted:</w:t>
      </w:r>
    </w:p>
    <w:p w14:paraId="317D229A" w14:textId="1CBCA666" w:rsidR="0023218B" w:rsidRPr="0023218B" w:rsidRDefault="0023218B" w:rsidP="0023218B">
      <w:pPr>
        <w:pStyle w:val="ACMABodyText"/>
        <w:spacing w:before="240" w:line="240" w:lineRule="auto"/>
        <w:ind w:left="425"/>
        <w:rPr>
          <w:rFonts w:cs="Arial"/>
          <w:bCs/>
          <w:i/>
          <w:iCs/>
          <w:sz w:val="18"/>
          <w:szCs w:val="18"/>
          <w:lang w:val="en-US"/>
        </w:rPr>
      </w:pPr>
      <w:r w:rsidRPr="0023218B">
        <w:rPr>
          <w:rFonts w:cs="Arial"/>
          <w:bCs/>
          <w:i/>
          <w:iCs/>
          <w:sz w:val="18"/>
          <w:szCs w:val="18"/>
          <w:lang w:val="en-US"/>
        </w:rPr>
        <w:lastRenderedPageBreak/>
        <w:t>Several studies have shown that the antibodies induced by COVID</w:t>
      </w:r>
      <w:r w:rsidRPr="0023218B">
        <w:rPr>
          <w:rFonts w:ascii="Cambria Math" w:hAnsi="Cambria Math" w:cs="Cambria Math"/>
          <w:bCs/>
          <w:i/>
          <w:iCs/>
          <w:sz w:val="18"/>
          <w:szCs w:val="18"/>
          <w:lang w:val="en-US"/>
        </w:rPr>
        <w:t>‐</w:t>
      </w:r>
      <w:r w:rsidRPr="0023218B">
        <w:rPr>
          <w:rFonts w:cs="Arial"/>
          <w:bCs/>
          <w:i/>
          <w:iCs/>
          <w:sz w:val="18"/>
          <w:szCs w:val="18"/>
          <w:lang w:val="en-US"/>
        </w:rPr>
        <w:t>19 vaccine can cross the placenta, particularly in those vaccinated early in pregnancy, and who received both doses prior to delivery. These antibodies may provide your baby with some protection against COVID</w:t>
      </w:r>
      <w:r w:rsidRPr="0023218B">
        <w:rPr>
          <w:rFonts w:ascii="Cambria Math" w:hAnsi="Cambria Math" w:cs="Cambria Math"/>
          <w:bCs/>
          <w:i/>
          <w:iCs/>
          <w:sz w:val="18"/>
          <w:szCs w:val="18"/>
          <w:lang w:val="en-US"/>
        </w:rPr>
        <w:t>‐</w:t>
      </w:r>
      <w:r w:rsidRPr="0023218B">
        <w:rPr>
          <w:rFonts w:cs="Arial"/>
          <w:bCs/>
          <w:i/>
          <w:iCs/>
          <w:sz w:val="18"/>
          <w:szCs w:val="18"/>
          <w:lang w:val="en-US"/>
        </w:rPr>
        <w:t>19 for the first few months of life. However, there have not yet been any studies to confirm such protection.</w:t>
      </w:r>
      <w:r w:rsidR="00B966BC">
        <w:rPr>
          <w:rStyle w:val="FootnoteReference"/>
          <w:rFonts w:cs="Arial"/>
          <w:bCs/>
          <w:i/>
          <w:iCs/>
          <w:sz w:val="18"/>
          <w:szCs w:val="18"/>
          <w:lang w:val="en-US"/>
        </w:rPr>
        <w:footnoteReference w:id="42"/>
      </w:r>
    </w:p>
    <w:p w14:paraId="6483E0EF" w14:textId="77777777" w:rsidR="0023218B" w:rsidRPr="0023218B" w:rsidRDefault="0023218B" w:rsidP="0023218B">
      <w:pPr>
        <w:pStyle w:val="ACMABodyText"/>
        <w:rPr>
          <w:bCs/>
          <w:iCs/>
          <w:lang w:val="en-US"/>
        </w:rPr>
      </w:pPr>
      <w:r w:rsidRPr="0023218B">
        <w:rPr>
          <w:bCs/>
          <w:iCs/>
          <w:lang w:val="en-US"/>
        </w:rPr>
        <w:t>The statement “</w:t>
      </w:r>
      <w:r w:rsidRPr="0023218B">
        <w:rPr>
          <w:bCs/>
          <w:i/>
          <w:iCs/>
          <w:lang w:val="en-US"/>
        </w:rPr>
        <w:t>To force a patient to get a shot is evil</w:t>
      </w:r>
      <w:r w:rsidRPr="0023218B">
        <w:rPr>
          <w:bCs/>
          <w:iCs/>
          <w:lang w:val="en-US"/>
        </w:rPr>
        <w:t>” is an expression of opinion by a qualified medical professional which is clearly distinguishable as commentary and therefore incapable of breaching the STV Code.</w:t>
      </w:r>
    </w:p>
    <w:p w14:paraId="7C24ABAA" w14:textId="77777777" w:rsidR="0023218B" w:rsidRPr="0023218B" w:rsidRDefault="0023218B" w:rsidP="0023218B">
      <w:pPr>
        <w:pStyle w:val="ACMABodyText"/>
        <w:numPr>
          <w:ilvl w:val="0"/>
          <w:numId w:val="29"/>
        </w:numPr>
        <w:ind w:left="709"/>
        <w:rPr>
          <w:b/>
          <w:bCs/>
          <w:i/>
          <w:iCs/>
          <w:lang w:val="en-US"/>
        </w:rPr>
      </w:pPr>
      <w:r w:rsidRPr="0023218B">
        <w:rPr>
          <w:b/>
          <w:bCs/>
          <w:i/>
          <w:iCs/>
          <w:lang w:val="en-US"/>
        </w:rPr>
        <w:t>It has chemicals inside that will lead to infertility… and leads to miscarriages</w:t>
      </w:r>
    </w:p>
    <w:p w14:paraId="4DE5EA38" w14:textId="2E1FCEE5" w:rsidR="0023218B" w:rsidRPr="0023218B" w:rsidRDefault="0023218B" w:rsidP="0023218B">
      <w:pPr>
        <w:pStyle w:val="ACMABodyText"/>
        <w:rPr>
          <w:bCs/>
          <w:iCs/>
          <w:lang w:val="en-US"/>
        </w:rPr>
      </w:pPr>
      <w:r w:rsidRPr="0023218B">
        <w:rPr>
          <w:bCs/>
          <w:iCs/>
          <w:lang w:val="en-US"/>
        </w:rPr>
        <w:t>It is accepted that claims that the COVID</w:t>
      </w:r>
      <w:r w:rsidRPr="0023218B">
        <w:rPr>
          <w:rFonts w:ascii="Cambria Math" w:hAnsi="Cambria Math" w:cs="Cambria Math"/>
          <w:bCs/>
          <w:iCs/>
          <w:lang w:val="en-US"/>
        </w:rPr>
        <w:t>‐</w:t>
      </w:r>
      <w:r w:rsidRPr="0023218B">
        <w:rPr>
          <w:bCs/>
          <w:iCs/>
          <w:lang w:val="en-US"/>
        </w:rPr>
        <w:t xml:space="preserve">19 vaccination can affect fertility are speculative. However, these claims regarding infertility originally came to prominence as a result of a petition authored in December 2020 by former </w:t>
      </w:r>
      <w:r w:rsidR="00A97236">
        <w:rPr>
          <w:bCs/>
          <w:iCs/>
          <w:lang w:val="en-US"/>
        </w:rPr>
        <w:t>[drug company]</w:t>
      </w:r>
      <w:r w:rsidR="00A97236" w:rsidRPr="0023218B">
        <w:rPr>
          <w:bCs/>
          <w:iCs/>
          <w:lang w:val="en-US"/>
        </w:rPr>
        <w:t xml:space="preserve"> </w:t>
      </w:r>
      <w:r w:rsidRPr="0023218B">
        <w:rPr>
          <w:bCs/>
          <w:iCs/>
          <w:lang w:val="en-US"/>
        </w:rPr>
        <w:t xml:space="preserve">executive </w:t>
      </w:r>
      <w:r w:rsidR="004703FE">
        <w:rPr>
          <w:bCs/>
          <w:iCs/>
          <w:lang w:val="en-US"/>
        </w:rPr>
        <w:t>[…]</w:t>
      </w:r>
      <w:r w:rsidRPr="0023218B">
        <w:rPr>
          <w:bCs/>
          <w:iCs/>
          <w:lang w:val="en-US"/>
        </w:rPr>
        <w:t xml:space="preserve"> and </w:t>
      </w:r>
      <w:r w:rsidRPr="0061771A">
        <w:rPr>
          <w:bCs/>
          <w:iCs/>
          <w:lang w:val="en-US"/>
        </w:rPr>
        <w:t>doctor and politician</w:t>
      </w:r>
      <w:r w:rsidRPr="0023218B">
        <w:rPr>
          <w:bCs/>
          <w:iCs/>
          <w:lang w:val="en-US"/>
        </w:rPr>
        <w:t xml:space="preserve"> </w:t>
      </w:r>
      <w:r w:rsidR="004703FE">
        <w:rPr>
          <w:bCs/>
          <w:iCs/>
          <w:lang w:val="en-US"/>
        </w:rPr>
        <w:t>[…]</w:t>
      </w:r>
      <w:r w:rsidRPr="0023218B">
        <w:rPr>
          <w:bCs/>
          <w:iCs/>
          <w:lang w:val="en-US"/>
        </w:rPr>
        <w:t>. Although the claims in this petition have since been largely discredited, this petition was authored by two seemingly credible sources and was reported extensively in the media and online.</w:t>
      </w:r>
    </w:p>
    <w:p w14:paraId="094E48E2" w14:textId="5D481BCE" w:rsidR="0023218B" w:rsidRPr="0023218B" w:rsidRDefault="0023218B" w:rsidP="0023218B">
      <w:pPr>
        <w:pStyle w:val="ACMABodyText"/>
        <w:rPr>
          <w:bCs/>
          <w:iCs/>
          <w:lang w:val="en-US"/>
        </w:rPr>
      </w:pPr>
      <w:r w:rsidRPr="0023218B">
        <w:rPr>
          <w:bCs/>
          <w:iCs/>
          <w:lang w:val="en-US"/>
        </w:rPr>
        <w:t>In relation to claims of both infertility and miscarriage, a paper published in Nature (a peer</w:t>
      </w:r>
      <w:r w:rsidRPr="0023218B">
        <w:rPr>
          <w:rFonts w:ascii="Cambria Math" w:hAnsi="Cambria Math" w:cs="Cambria Math"/>
          <w:bCs/>
          <w:iCs/>
          <w:lang w:val="en-US"/>
        </w:rPr>
        <w:t>‐</w:t>
      </w:r>
      <w:r w:rsidRPr="0023218B">
        <w:rPr>
          <w:bCs/>
          <w:iCs/>
          <w:lang w:val="en-US"/>
        </w:rPr>
        <w:t>reviewed scientific journal that is renowned for maintaining high research standards) in April 2021 noted that, although evidence suggests that vaccination is safe during pregnancy and does not affect fertility, data is currently sparse and monitoring of further outcomes will be required before evidence</w:t>
      </w:r>
      <w:r w:rsidRPr="0023218B">
        <w:rPr>
          <w:rFonts w:ascii="Cambria Math" w:hAnsi="Cambria Math" w:cs="Cambria Math"/>
          <w:bCs/>
          <w:iCs/>
          <w:lang w:val="en-US"/>
        </w:rPr>
        <w:t>‐</w:t>
      </w:r>
      <w:r w:rsidRPr="0023218B">
        <w:rPr>
          <w:bCs/>
          <w:iCs/>
          <w:lang w:val="en-US"/>
        </w:rPr>
        <w:t>based recommendations are able to be made.</w:t>
      </w:r>
      <w:r w:rsidR="00B966BC">
        <w:rPr>
          <w:rStyle w:val="FootnoteReference"/>
          <w:bCs/>
          <w:iCs/>
          <w:lang w:val="en-US"/>
        </w:rPr>
        <w:footnoteReference w:id="43"/>
      </w:r>
      <w:r>
        <w:rPr>
          <w:bCs/>
          <w:iCs/>
          <w:lang w:val="en-US"/>
        </w:rPr>
        <w:t xml:space="preserve"> </w:t>
      </w:r>
      <w:r w:rsidR="00EA42C9">
        <w:rPr>
          <w:bCs/>
          <w:iCs/>
          <w:lang w:val="en-US"/>
        </w:rPr>
        <w:t xml:space="preserve">[Dr. </w:t>
      </w:r>
      <w:r w:rsidR="006B0E22">
        <w:rPr>
          <w:bCs/>
          <w:iCs/>
          <w:lang w:val="en-US"/>
        </w:rPr>
        <w:t>B</w:t>
      </w:r>
      <w:r w:rsidR="00EA42C9">
        <w:rPr>
          <w:bCs/>
          <w:iCs/>
          <w:lang w:val="en-US"/>
        </w:rPr>
        <w:t>’s]</w:t>
      </w:r>
      <w:r w:rsidRPr="0023218B">
        <w:rPr>
          <w:bCs/>
          <w:iCs/>
          <w:lang w:val="en-US"/>
        </w:rPr>
        <w:t xml:space="preserve"> statements were not intended to go further than to suggest that further monitoring of the effects of the COVID</w:t>
      </w:r>
      <w:r w:rsidRPr="0023218B">
        <w:rPr>
          <w:rFonts w:ascii="Cambria Math" w:hAnsi="Cambria Math" w:cs="Cambria Math"/>
          <w:bCs/>
          <w:iCs/>
          <w:lang w:val="en-US"/>
        </w:rPr>
        <w:t>‐</w:t>
      </w:r>
      <w:r w:rsidRPr="0023218B">
        <w:rPr>
          <w:bCs/>
          <w:iCs/>
          <w:lang w:val="en-US"/>
        </w:rPr>
        <w:t>19 vaccines is required.</w:t>
      </w:r>
    </w:p>
    <w:p w14:paraId="1B4ECA5D" w14:textId="77777777" w:rsidR="0023218B" w:rsidRPr="0023218B" w:rsidRDefault="0023218B" w:rsidP="0023218B">
      <w:pPr>
        <w:pStyle w:val="ACMABodyText"/>
        <w:numPr>
          <w:ilvl w:val="0"/>
          <w:numId w:val="29"/>
        </w:numPr>
        <w:ind w:left="709"/>
        <w:rPr>
          <w:b/>
          <w:bCs/>
          <w:i/>
          <w:iCs/>
          <w:lang w:val="en-US"/>
        </w:rPr>
      </w:pPr>
      <w:r w:rsidRPr="0023218B">
        <w:rPr>
          <w:b/>
          <w:bCs/>
          <w:i/>
          <w:iCs/>
          <w:lang w:val="en-US"/>
        </w:rPr>
        <w:t>We’ve seen a 400% increase in miscarriage… not a miscarriage, it’s murder.</w:t>
      </w:r>
    </w:p>
    <w:p w14:paraId="3CAF2D96" w14:textId="46150D80" w:rsidR="0023218B" w:rsidRPr="0023218B" w:rsidRDefault="0023218B" w:rsidP="0023218B">
      <w:pPr>
        <w:pStyle w:val="ACMABodyText"/>
        <w:rPr>
          <w:bCs/>
          <w:iCs/>
          <w:lang w:val="en-US"/>
        </w:rPr>
      </w:pPr>
      <w:r w:rsidRPr="0023218B">
        <w:rPr>
          <w:bCs/>
          <w:iCs/>
          <w:lang w:val="en-US"/>
        </w:rPr>
        <w:t>This claim was based on an article published on 31 March 2021 which claimed that the number of miscarriages following vaccination against COVID</w:t>
      </w:r>
      <w:r w:rsidRPr="0023218B">
        <w:rPr>
          <w:rFonts w:ascii="Cambria Math" w:hAnsi="Cambria Math" w:cs="Cambria Math"/>
          <w:bCs/>
          <w:iCs/>
          <w:lang w:val="en-US"/>
        </w:rPr>
        <w:t>‐</w:t>
      </w:r>
      <w:r w:rsidRPr="0023218B">
        <w:rPr>
          <w:bCs/>
          <w:iCs/>
          <w:lang w:val="en-US"/>
        </w:rPr>
        <w:t>19 had increased by 366% over three weeks. The conclusions in this article were based on publicly available data published by the UK Government.</w:t>
      </w:r>
      <w:r w:rsidR="00B966BC">
        <w:rPr>
          <w:rStyle w:val="FootnoteReference"/>
          <w:bCs/>
          <w:iCs/>
          <w:lang w:val="en-US"/>
        </w:rPr>
        <w:footnoteReference w:id="44"/>
      </w:r>
    </w:p>
    <w:p w14:paraId="4180CF2E" w14:textId="7E64CB4B" w:rsidR="0023218B" w:rsidRPr="0023218B" w:rsidRDefault="0023218B" w:rsidP="0023218B">
      <w:pPr>
        <w:pStyle w:val="ACMABodyText"/>
        <w:rPr>
          <w:bCs/>
          <w:iCs/>
          <w:lang w:val="en-US"/>
        </w:rPr>
      </w:pPr>
      <w:r w:rsidRPr="0023218B">
        <w:rPr>
          <w:bCs/>
          <w:iCs/>
          <w:lang w:val="en-US"/>
        </w:rPr>
        <w:t xml:space="preserve">This article did not adequately account for the increase in vaccination rates over time in the UK or the average number of miscarriages that occur naturally and that, in these circumstances, correlation is not necessarily causation. However, the statement was made by </w:t>
      </w:r>
      <w:r w:rsidR="000712A9">
        <w:rPr>
          <w:bCs/>
          <w:iCs/>
          <w:lang w:val="en-US"/>
        </w:rPr>
        <w:t>[Dr</w:t>
      </w:r>
      <w:r w:rsidR="003E5417">
        <w:rPr>
          <w:bCs/>
          <w:iCs/>
          <w:lang w:val="en-US"/>
        </w:rPr>
        <w:t>.</w:t>
      </w:r>
      <w:r w:rsidR="000712A9">
        <w:rPr>
          <w:bCs/>
          <w:iCs/>
          <w:lang w:val="en-US"/>
        </w:rPr>
        <w:t xml:space="preserve"> </w:t>
      </w:r>
      <w:r w:rsidR="006B0E22">
        <w:rPr>
          <w:bCs/>
          <w:iCs/>
          <w:lang w:val="en-US"/>
        </w:rPr>
        <w:t>B</w:t>
      </w:r>
      <w:r w:rsidR="000712A9">
        <w:rPr>
          <w:bCs/>
          <w:iCs/>
          <w:lang w:val="en-US"/>
        </w:rPr>
        <w:t>]</w:t>
      </w:r>
      <w:r w:rsidRPr="0023218B">
        <w:rPr>
          <w:bCs/>
          <w:iCs/>
          <w:lang w:val="en-US"/>
        </w:rPr>
        <w:t xml:space="preserve">, a qualified medical professional, based on </w:t>
      </w:r>
      <w:r w:rsidR="00FA4BBF">
        <w:rPr>
          <w:bCs/>
          <w:iCs/>
          <w:lang w:val="en-US"/>
        </w:rPr>
        <w:t>their</w:t>
      </w:r>
      <w:r w:rsidR="00FA4BBF" w:rsidRPr="0023218B">
        <w:rPr>
          <w:bCs/>
          <w:iCs/>
          <w:lang w:val="en-US"/>
        </w:rPr>
        <w:t xml:space="preserve"> </w:t>
      </w:r>
      <w:r w:rsidRPr="0023218B">
        <w:rPr>
          <w:bCs/>
          <w:iCs/>
          <w:lang w:val="en-US"/>
        </w:rPr>
        <w:t>assessment of the data that was available at the time and in circumstances where the effects of vaccination against COVID</w:t>
      </w:r>
      <w:r w:rsidRPr="0023218B">
        <w:rPr>
          <w:rFonts w:ascii="Cambria Math" w:hAnsi="Cambria Math" w:cs="Cambria Math"/>
          <w:bCs/>
          <w:iCs/>
          <w:lang w:val="en-US"/>
        </w:rPr>
        <w:t>‐</w:t>
      </w:r>
      <w:r w:rsidRPr="0023218B">
        <w:rPr>
          <w:bCs/>
          <w:iCs/>
          <w:lang w:val="en-US"/>
        </w:rPr>
        <w:t>19 on pregnancy have not been conclusively established (as identified above).</w:t>
      </w:r>
    </w:p>
    <w:p w14:paraId="59578A4C" w14:textId="77777777" w:rsidR="0023218B" w:rsidRPr="0023218B" w:rsidRDefault="0023218B" w:rsidP="0023218B">
      <w:pPr>
        <w:pStyle w:val="ACMABodyText"/>
        <w:numPr>
          <w:ilvl w:val="0"/>
          <w:numId w:val="29"/>
        </w:numPr>
        <w:ind w:left="709"/>
        <w:rPr>
          <w:b/>
          <w:bCs/>
          <w:i/>
          <w:iCs/>
          <w:lang w:val="en-US"/>
        </w:rPr>
      </w:pPr>
      <w:r w:rsidRPr="0023218B">
        <w:rPr>
          <w:b/>
          <w:bCs/>
          <w:i/>
          <w:iCs/>
          <w:lang w:val="en-US"/>
        </w:rPr>
        <w:t>No one has studied the shot to see what happens to it when it’s injected into the body</w:t>
      </w:r>
    </w:p>
    <w:p w14:paraId="3E6DBC6F" w14:textId="02AFEE3C" w:rsidR="0023218B" w:rsidRPr="0023218B" w:rsidRDefault="0023218B" w:rsidP="0023218B">
      <w:pPr>
        <w:pStyle w:val="ACMABodyText"/>
        <w:rPr>
          <w:bCs/>
          <w:iCs/>
          <w:lang w:val="en-US"/>
        </w:rPr>
      </w:pPr>
      <w:r w:rsidRPr="0023218B">
        <w:rPr>
          <w:bCs/>
          <w:iCs/>
          <w:lang w:val="en-US"/>
        </w:rPr>
        <w:t>As set out above, the circumstances surrounding the development and approval of COVID</w:t>
      </w:r>
      <w:r w:rsidRPr="0023218B">
        <w:rPr>
          <w:rFonts w:ascii="Cambria Math" w:hAnsi="Cambria Math" w:cs="Cambria Math"/>
          <w:bCs/>
          <w:iCs/>
          <w:lang w:val="en-US"/>
        </w:rPr>
        <w:t>‐</w:t>
      </w:r>
      <w:r w:rsidRPr="0023218B">
        <w:rPr>
          <w:bCs/>
          <w:iCs/>
          <w:lang w:val="en-US"/>
        </w:rPr>
        <w:t>19 vaccines necessarily means that long</w:t>
      </w:r>
      <w:r w:rsidRPr="0023218B">
        <w:rPr>
          <w:rFonts w:ascii="Cambria Math" w:hAnsi="Cambria Math" w:cs="Cambria Math"/>
          <w:bCs/>
          <w:iCs/>
          <w:lang w:val="en-US"/>
        </w:rPr>
        <w:t>‐</w:t>
      </w:r>
      <w:r w:rsidRPr="0023218B">
        <w:rPr>
          <w:bCs/>
          <w:iCs/>
          <w:lang w:val="en-US"/>
        </w:rPr>
        <w:t>term safety data has not yet been able to be obtained. This statement was not intended to suggest that vaccination against COVID</w:t>
      </w:r>
      <w:r w:rsidRPr="0023218B">
        <w:rPr>
          <w:rFonts w:ascii="Cambria Math" w:hAnsi="Cambria Math" w:cs="Cambria Math"/>
          <w:bCs/>
          <w:iCs/>
          <w:lang w:val="en-US"/>
        </w:rPr>
        <w:t>‐</w:t>
      </w:r>
      <w:r w:rsidRPr="0023218B">
        <w:rPr>
          <w:bCs/>
          <w:iCs/>
          <w:lang w:val="en-US"/>
        </w:rPr>
        <w:t>19 would not reduce the severity of illness or decrease the likelihood of death, only that the long</w:t>
      </w:r>
      <w:r w:rsidRPr="0023218B">
        <w:rPr>
          <w:rFonts w:ascii="Cambria Math" w:hAnsi="Cambria Math" w:cs="Cambria Math"/>
          <w:bCs/>
          <w:iCs/>
          <w:lang w:val="en-US"/>
        </w:rPr>
        <w:t>‐</w:t>
      </w:r>
      <w:r w:rsidRPr="0023218B">
        <w:rPr>
          <w:bCs/>
          <w:iCs/>
          <w:lang w:val="en-US"/>
        </w:rPr>
        <w:t>term health effects have not yet been conclusively determined.</w:t>
      </w:r>
    </w:p>
    <w:p w14:paraId="12E2C5EB" w14:textId="77777777" w:rsidR="0023218B" w:rsidRPr="0023218B" w:rsidRDefault="0023218B" w:rsidP="0023218B">
      <w:pPr>
        <w:pStyle w:val="ACMABodyText"/>
        <w:numPr>
          <w:ilvl w:val="0"/>
          <w:numId w:val="29"/>
        </w:numPr>
        <w:ind w:left="709"/>
        <w:rPr>
          <w:b/>
          <w:bCs/>
          <w:i/>
          <w:iCs/>
          <w:lang w:val="en-US"/>
        </w:rPr>
      </w:pPr>
      <w:r w:rsidRPr="0023218B">
        <w:rPr>
          <w:b/>
          <w:bCs/>
          <w:i/>
          <w:iCs/>
          <w:lang w:val="en-US"/>
        </w:rPr>
        <w:lastRenderedPageBreak/>
        <w:t>We are seeing women who are in menopause beginning to bleed and We are seeing women with regular period getting heavy bleeds and blood clots</w:t>
      </w:r>
    </w:p>
    <w:p w14:paraId="54C04F21" w14:textId="1B83181E" w:rsidR="0023218B" w:rsidRPr="0023218B" w:rsidRDefault="0023218B" w:rsidP="0023218B">
      <w:pPr>
        <w:pStyle w:val="ACMABodyText"/>
        <w:rPr>
          <w:bCs/>
          <w:iCs/>
          <w:lang w:val="en-US"/>
        </w:rPr>
      </w:pPr>
      <w:r w:rsidRPr="0023218B">
        <w:rPr>
          <w:bCs/>
          <w:iCs/>
          <w:lang w:val="en-US"/>
        </w:rPr>
        <w:t>In addition to various anecdotal information, the links between COVID</w:t>
      </w:r>
      <w:r w:rsidRPr="0023218B">
        <w:rPr>
          <w:rFonts w:ascii="Cambria Math" w:hAnsi="Cambria Math" w:cs="Cambria Math"/>
          <w:bCs/>
          <w:iCs/>
          <w:lang w:val="en-US"/>
        </w:rPr>
        <w:t>‐</w:t>
      </w:r>
      <w:r w:rsidRPr="0023218B">
        <w:rPr>
          <w:bCs/>
          <w:iCs/>
          <w:lang w:val="en-US"/>
        </w:rPr>
        <w:t>19 vaccination and menstruation have been the subject of extensive scientific study. In addition, as of 2 September 2021, it had been reported that more than 30,000 reports of adverse events relating to changes to periods and unexpected vaginal bleeding had been made to the UK’s Medicines and Healthcare Products Regulatory Agency yellow card surveillance scheme for adverse drug reactions across all COVID</w:t>
      </w:r>
      <w:r w:rsidRPr="0023218B">
        <w:rPr>
          <w:rFonts w:ascii="Cambria Math" w:hAnsi="Cambria Math" w:cs="Cambria Math"/>
          <w:bCs/>
          <w:iCs/>
          <w:lang w:val="en-US"/>
        </w:rPr>
        <w:t>‐</w:t>
      </w:r>
      <w:r w:rsidRPr="0023218B">
        <w:rPr>
          <w:bCs/>
          <w:iCs/>
          <w:lang w:val="en-US"/>
        </w:rPr>
        <w:t>19 vaccinations currently offered. As a result, it has been recommended that information regarding menstrual cycles and other vaginal bleeding be actively solicited in future clinical trials of COVID</w:t>
      </w:r>
      <w:r w:rsidRPr="0023218B">
        <w:rPr>
          <w:rFonts w:ascii="Cambria Math" w:hAnsi="Cambria Math" w:cs="Cambria Math"/>
          <w:bCs/>
          <w:iCs/>
          <w:lang w:val="en-US"/>
        </w:rPr>
        <w:t>‐</w:t>
      </w:r>
      <w:r w:rsidRPr="0023218B">
        <w:rPr>
          <w:bCs/>
          <w:iCs/>
          <w:lang w:val="en-US"/>
        </w:rPr>
        <w:t>19 vaccines.</w:t>
      </w:r>
      <w:r w:rsidR="006811BA">
        <w:rPr>
          <w:rStyle w:val="FootnoteReference"/>
          <w:bCs/>
          <w:iCs/>
          <w:lang w:val="en-US"/>
        </w:rPr>
        <w:footnoteReference w:id="45"/>
      </w:r>
      <w:r>
        <w:rPr>
          <w:bCs/>
          <w:iCs/>
          <w:vertAlign w:val="superscript"/>
          <w:lang w:val="en-US"/>
        </w:rPr>
        <w:t xml:space="preserve"> </w:t>
      </w:r>
      <w:r w:rsidRPr="0023218B">
        <w:rPr>
          <w:bCs/>
          <w:iCs/>
          <w:lang w:val="en-US"/>
        </w:rPr>
        <w:t>Additionally, similar concerns have also been reported through other voluntary self</w:t>
      </w:r>
      <w:r w:rsidRPr="0023218B">
        <w:rPr>
          <w:rFonts w:ascii="Cambria Math" w:hAnsi="Cambria Math" w:cs="Cambria Math"/>
          <w:bCs/>
          <w:iCs/>
          <w:lang w:val="en-US"/>
        </w:rPr>
        <w:t>‐</w:t>
      </w:r>
      <w:r w:rsidRPr="0023218B">
        <w:rPr>
          <w:bCs/>
          <w:iCs/>
          <w:lang w:val="en-US"/>
        </w:rPr>
        <w:t>reporting databases such as the United States</w:t>
      </w:r>
      <w:r w:rsidRPr="0023218B">
        <w:rPr>
          <w:rFonts w:cs="Arial"/>
          <w:bCs/>
          <w:iCs/>
          <w:lang w:val="en-US"/>
        </w:rPr>
        <w:t>’</w:t>
      </w:r>
      <w:r w:rsidRPr="0023218B">
        <w:rPr>
          <w:bCs/>
          <w:iCs/>
          <w:lang w:val="en-US"/>
        </w:rPr>
        <w:t xml:space="preserve"> Vaccine Adverse Event Reporting System and the Canada Vigilance Adverse Reaction Database.</w:t>
      </w:r>
    </w:p>
    <w:p w14:paraId="7F4D8FF1" w14:textId="3BC04C2F" w:rsidR="00DF6E81" w:rsidRDefault="0023218B" w:rsidP="0023218B">
      <w:pPr>
        <w:pStyle w:val="ACMABodyText"/>
        <w:rPr>
          <w:bCs/>
          <w:iCs/>
          <w:lang w:val="en-US"/>
        </w:rPr>
      </w:pPr>
      <w:r w:rsidRPr="0023218B">
        <w:rPr>
          <w:bCs/>
          <w:iCs/>
          <w:lang w:val="en-US"/>
        </w:rPr>
        <w:t>The American College of Obstetricians and Gynecologists have also reported that “There have been anecdotal reports of temporary changes in menstruation patterns (</w:t>
      </w:r>
      <w:r w:rsidR="006811BA" w:rsidRPr="0023218B">
        <w:rPr>
          <w:bCs/>
          <w:iCs/>
          <w:lang w:val="en-US"/>
        </w:rPr>
        <w:t>e.g.</w:t>
      </w:r>
      <w:r w:rsidRPr="0023218B">
        <w:rPr>
          <w:bCs/>
          <w:iCs/>
          <w:lang w:val="en-US"/>
        </w:rPr>
        <w:t>, heavier menses, early or late onset, and dysmenorrhea) in individuals who have recently been vaccinated for COVID</w:t>
      </w:r>
      <w:r w:rsidRPr="0023218B">
        <w:rPr>
          <w:rFonts w:ascii="Cambria Math" w:hAnsi="Cambria Math" w:cs="Cambria Math"/>
          <w:bCs/>
          <w:iCs/>
          <w:lang w:val="en-US"/>
        </w:rPr>
        <w:t>‐</w:t>
      </w:r>
      <w:r w:rsidRPr="0023218B">
        <w:rPr>
          <w:bCs/>
          <w:iCs/>
          <w:lang w:val="en-US"/>
        </w:rPr>
        <w:t>19” and that evidence regarding this issue will be continually monitored and evaluated.</w:t>
      </w:r>
      <w:r w:rsidR="006811BA">
        <w:rPr>
          <w:rStyle w:val="FootnoteReference"/>
          <w:bCs/>
          <w:iCs/>
          <w:lang w:val="en-US"/>
        </w:rPr>
        <w:footnoteReference w:id="46"/>
      </w:r>
    </w:p>
    <w:p w14:paraId="14C3324B" w14:textId="77777777" w:rsidR="0023218B" w:rsidRPr="0023218B" w:rsidRDefault="0023218B" w:rsidP="0023218B">
      <w:pPr>
        <w:pStyle w:val="ACMABodyText"/>
        <w:rPr>
          <w:bCs/>
          <w:iCs/>
          <w:lang w:val="en-US"/>
        </w:rPr>
      </w:pPr>
      <w:r w:rsidRPr="0023218B">
        <w:rPr>
          <w:bCs/>
          <w:iCs/>
          <w:lang w:val="en-US"/>
        </w:rPr>
        <w:t>In relation to effects on menopause specifically, the University of British Columbia’s Women’s Health Research Blog notes the following:</w:t>
      </w:r>
    </w:p>
    <w:p w14:paraId="27A97583" w14:textId="06BBF731" w:rsidR="0023218B" w:rsidRPr="0023218B" w:rsidRDefault="0023218B" w:rsidP="0023218B">
      <w:pPr>
        <w:pStyle w:val="ACMABodyText"/>
        <w:spacing w:before="240" w:line="240" w:lineRule="auto"/>
        <w:ind w:left="425"/>
        <w:rPr>
          <w:rFonts w:cs="Arial"/>
          <w:bCs/>
          <w:i/>
          <w:iCs/>
          <w:sz w:val="18"/>
          <w:szCs w:val="18"/>
          <w:lang w:val="en-US"/>
        </w:rPr>
      </w:pPr>
      <w:r w:rsidRPr="0023218B">
        <w:rPr>
          <w:rFonts w:cs="Arial"/>
          <w:bCs/>
          <w:i/>
          <w:iCs/>
          <w:sz w:val="18"/>
          <w:szCs w:val="18"/>
          <w:lang w:val="en-US"/>
        </w:rPr>
        <w:t>Just like there is a lack of research into the impact of COVID</w:t>
      </w:r>
      <w:r w:rsidRPr="0023218B">
        <w:rPr>
          <w:rFonts w:ascii="Cambria Math" w:hAnsi="Cambria Math" w:cs="Cambria Math"/>
          <w:bCs/>
          <w:i/>
          <w:iCs/>
          <w:sz w:val="18"/>
          <w:szCs w:val="18"/>
          <w:lang w:val="en-US"/>
        </w:rPr>
        <w:t>‐</w:t>
      </w:r>
      <w:r w:rsidRPr="0023218B">
        <w:rPr>
          <w:rFonts w:cs="Arial"/>
          <w:bCs/>
          <w:i/>
          <w:iCs/>
          <w:sz w:val="18"/>
          <w:szCs w:val="18"/>
          <w:lang w:val="en-US"/>
        </w:rPr>
        <w:t>19 infection/vaccination on menstruation, even less is known about how this may affect post</w:t>
      </w:r>
      <w:r w:rsidRPr="0023218B">
        <w:rPr>
          <w:rFonts w:ascii="Cambria Math" w:hAnsi="Cambria Math" w:cs="Cambria Math"/>
          <w:bCs/>
          <w:i/>
          <w:iCs/>
          <w:sz w:val="18"/>
          <w:szCs w:val="18"/>
          <w:lang w:val="en-US"/>
        </w:rPr>
        <w:t>‐</w:t>
      </w:r>
      <w:r w:rsidRPr="0023218B">
        <w:rPr>
          <w:rFonts w:cs="Arial"/>
          <w:bCs/>
          <w:i/>
          <w:iCs/>
          <w:sz w:val="18"/>
          <w:szCs w:val="18"/>
          <w:lang w:val="en-US"/>
        </w:rPr>
        <w:t>menopausal women … Recently, post</w:t>
      </w:r>
      <w:r w:rsidRPr="0023218B">
        <w:rPr>
          <w:rFonts w:ascii="Cambria Math" w:hAnsi="Cambria Math" w:cs="Cambria Math"/>
          <w:bCs/>
          <w:i/>
          <w:iCs/>
          <w:sz w:val="18"/>
          <w:szCs w:val="18"/>
          <w:lang w:val="en-US"/>
        </w:rPr>
        <w:t>‐</w:t>
      </w:r>
      <w:r w:rsidRPr="0023218B">
        <w:rPr>
          <w:rFonts w:cs="Arial"/>
          <w:bCs/>
          <w:i/>
          <w:iCs/>
          <w:sz w:val="18"/>
          <w:szCs w:val="18"/>
          <w:lang w:val="en-US"/>
        </w:rPr>
        <w:t>menopausal women have taken to social media to report abnormal bleeding following a COVID</w:t>
      </w:r>
      <w:r w:rsidRPr="0023218B">
        <w:rPr>
          <w:rFonts w:ascii="Cambria Math" w:hAnsi="Cambria Math" w:cs="Cambria Math"/>
          <w:bCs/>
          <w:i/>
          <w:iCs/>
          <w:sz w:val="18"/>
          <w:szCs w:val="18"/>
          <w:lang w:val="en-US"/>
        </w:rPr>
        <w:t>‐</w:t>
      </w:r>
      <w:r w:rsidRPr="0023218B">
        <w:rPr>
          <w:rFonts w:cs="Arial"/>
          <w:bCs/>
          <w:i/>
          <w:iCs/>
          <w:sz w:val="18"/>
          <w:szCs w:val="18"/>
          <w:lang w:val="en-US"/>
        </w:rPr>
        <w:t>19 infection or vaccination … There is, however, a scarcity of research on this subject.</w:t>
      </w:r>
      <w:r w:rsidR="006811BA">
        <w:rPr>
          <w:rStyle w:val="FootnoteReference"/>
          <w:rFonts w:cs="Arial"/>
          <w:bCs/>
          <w:i/>
          <w:iCs/>
          <w:sz w:val="18"/>
          <w:szCs w:val="18"/>
          <w:lang w:val="en-US"/>
        </w:rPr>
        <w:footnoteReference w:id="47"/>
      </w:r>
    </w:p>
    <w:p w14:paraId="517D466F" w14:textId="2FCE9766" w:rsidR="0023218B" w:rsidRPr="0023218B" w:rsidRDefault="0023218B" w:rsidP="0023218B">
      <w:pPr>
        <w:pStyle w:val="ACMABodyText"/>
        <w:rPr>
          <w:bCs/>
          <w:iCs/>
          <w:lang w:val="en-US"/>
        </w:rPr>
      </w:pPr>
      <w:r w:rsidRPr="0023218B">
        <w:rPr>
          <w:bCs/>
          <w:iCs/>
          <w:lang w:val="en-US"/>
        </w:rPr>
        <w:t>In September 2021, the National Institutes of Health (</w:t>
      </w:r>
      <w:r w:rsidRPr="0023218B">
        <w:rPr>
          <w:b/>
          <w:bCs/>
          <w:iCs/>
          <w:lang w:val="en-US"/>
        </w:rPr>
        <w:t>NIH</w:t>
      </w:r>
      <w:r w:rsidRPr="0023218B">
        <w:rPr>
          <w:bCs/>
          <w:iCs/>
          <w:lang w:val="en-US"/>
        </w:rPr>
        <w:t>) also awarded $1.67 million to five universities in the United States to research the potential connection between COVID</w:t>
      </w:r>
      <w:r w:rsidRPr="0023218B">
        <w:rPr>
          <w:rFonts w:ascii="Cambria Math" w:hAnsi="Cambria Math" w:cs="Cambria Math"/>
          <w:bCs/>
          <w:iCs/>
          <w:lang w:val="en-US"/>
        </w:rPr>
        <w:t>‐</w:t>
      </w:r>
      <w:r w:rsidRPr="0023218B">
        <w:rPr>
          <w:bCs/>
          <w:iCs/>
          <w:lang w:val="en-US"/>
        </w:rPr>
        <w:t>19 vaccination and changes in menstruation. Although the NIH notes that there could be several reasons for these types of menstrual</w:t>
      </w:r>
      <w:r w:rsidRPr="0023218B">
        <w:rPr>
          <w:rFonts w:ascii="Cambria Math" w:hAnsi="Cambria Math" w:cs="Cambria Math"/>
          <w:bCs/>
          <w:iCs/>
          <w:lang w:val="en-US"/>
        </w:rPr>
        <w:t>‐</w:t>
      </w:r>
      <w:r w:rsidRPr="0023218B">
        <w:rPr>
          <w:bCs/>
          <w:iCs/>
          <w:lang w:val="en-US"/>
        </w:rPr>
        <w:t>related events, this nonetheless displays that the effect of COVID</w:t>
      </w:r>
      <w:r w:rsidRPr="0023218B">
        <w:rPr>
          <w:rFonts w:ascii="Cambria Math" w:hAnsi="Cambria Math" w:cs="Cambria Math"/>
          <w:bCs/>
          <w:iCs/>
          <w:lang w:val="en-US"/>
        </w:rPr>
        <w:t>‐</w:t>
      </w:r>
      <w:r w:rsidRPr="0023218B">
        <w:rPr>
          <w:bCs/>
          <w:iCs/>
          <w:lang w:val="en-US"/>
        </w:rPr>
        <w:t xml:space="preserve">19 vaccination on menstruation is not conclusively established and is subject to ongoing review and assessment. As such, the statements made by </w:t>
      </w:r>
      <w:r w:rsidR="000712A9">
        <w:rPr>
          <w:bCs/>
          <w:iCs/>
          <w:lang w:val="en-US"/>
        </w:rPr>
        <w:t>[Dr</w:t>
      </w:r>
      <w:r w:rsidR="003E5417">
        <w:rPr>
          <w:bCs/>
          <w:iCs/>
          <w:lang w:val="en-US"/>
        </w:rPr>
        <w:t>.</w:t>
      </w:r>
      <w:r w:rsidR="000712A9">
        <w:rPr>
          <w:bCs/>
          <w:iCs/>
          <w:lang w:val="en-US"/>
        </w:rPr>
        <w:t xml:space="preserve"> </w:t>
      </w:r>
      <w:r w:rsidR="006B0E22">
        <w:rPr>
          <w:bCs/>
          <w:iCs/>
          <w:lang w:val="en-US"/>
        </w:rPr>
        <w:t>B</w:t>
      </w:r>
      <w:r w:rsidR="000712A9">
        <w:rPr>
          <w:bCs/>
          <w:iCs/>
          <w:lang w:val="en-US"/>
        </w:rPr>
        <w:t>]</w:t>
      </w:r>
      <w:r w:rsidRPr="0023218B">
        <w:rPr>
          <w:bCs/>
          <w:iCs/>
          <w:lang w:val="en-US"/>
        </w:rPr>
        <w:t xml:space="preserve"> are accurate and fair descriptions of available data.</w:t>
      </w:r>
    </w:p>
    <w:p w14:paraId="4E040211" w14:textId="77777777" w:rsidR="0023218B" w:rsidRPr="0023218B" w:rsidRDefault="0023218B" w:rsidP="0023218B">
      <w:pPr>
        <w:pStyle w:val="ACMABodyText"/>
        <w:numPr>
          <w:ilvl w:val="0"/>
          <w:numId w:val="29"/>
        </w:numPr>
        <w:ind w:left="709"/>
        <w:rPr>
          <w:b/>
          <w:bCs/>
          <w:i/>
          <w:iCs/>
          <w:lang w:val="en-US"/>
        </w:rPr>
      </w:pPr>
      <w:r w:rsidRPr="0023218B">
        <w:rPr>
          <w:b/>
          <w:bCs/>
          <w:i/>
          <w:iCs/>
          <w:lang w:val="en-US"/>
        </w:rPr>
        <w:t>We have no information about the shot</w:t>
      </w:r>
    </w:p>
    <w:p w14:paraId="4C214323" w14:textId="4ACF0567" w:rsidR="0023218B" w:rsidRDefault="0023218B" w:rsidP="0023218B">
      <w:pPr>
        <w:pStyle w:val="ACMABodyText"/>
        <w:rPr>
          <w:bCs/>
          <w:iCs/>
          <w:lang w:val="en-US"/>
        </w:rPr>
      </w:pPr>
      <w:r w:rsidRPr="0023218B">
        <w:rPr>
          <w:bCs/>
          <w:iCs/>
          <w:lang w:val="en-US"/>
        </w:rPr>
        <w:t>This statement is clearly hyperbole inspired by the limited long</w:t>
      </w:r>
      <w:r w:rsidRPr="0023218B">
        <w:rPr>
          <w:rFonts w:ascii="Cambria Math" w:hAnsi="Cambria Math" w:cs="Cambria Math"/>
          <w:bCs/>
          <w:iCs/>
          <w:lang w:val="en-US"/>
        </w:rPr>
        <w:t>‐</w:t>
      </w:r>
      <w:r w:rsidRPr="0023218B">
        <w:rPr>
          <w:bCs/>
          <w:iCs/>
          <w:lang w:val="en-US"/>
        </w:rPr>
        <w:t>term safety data that is available for COVID</w:t>
      </w:r>
      <w:r w:rsidRPr="0023218B">
        <w:rPr>
          <w:rFonts w:ascii="Cambria Math" w:hAnsi="Cambria Math" w:cs="Cambria Math"/>
          <w:bCs/>
          <w:iCs/>
          <w:lang w:val="en-US"/>
        </w:rPr>
        <w:t>‐</w:t>
      </w:r>
      <w:r w:rsidRPr="0023218B">
        <w:rPr>
          <w:bCs/>
          <w:iCs/>
          <w:lang w:val="en-US"/>
        </w:rPr>
        <w:t xml:space="preserve">19 vaccines. Although information regarding the vaccines is readily available, </w:t>
      </w:r>
      <w:r w:rsidR="000712A9">
        <w:rPr>
          <w:bCs/>
          <w:iCs/>
          <w:lang w:val="en-US"/>
        </w:rPr>
        <w:t>[Dr</w:t>
      </w:r>
      <w:r w:rsidR="003E5417">
        <w:rPr>
          <w:bCs/>
          <w:iCs/>
          <w:lang w:val="en-US"/>
        </w:rPr>
        <w:t>.</w:t>
      </w:r>
      <w:r w:rsidR="000712A9">
        <w:rPr>
          <w:bCs/>
          <w:iCs/>
          <w:lang w:val="en-US"/>
        </w:rPr>
        <w:t xml:space="preserve"> </w:t>
      </w:r>
      <w:r w:rsidR="006B0E22">
        <w:rPr>
          <w:bCs/>
          <w:iCs/>
          <w:lang w:val="en-US"/>
        </w:rPr>
        <w:t>B</w:t>
      </w:r>
      <w:r w:rsidRPr="0023218B">
        <w:rPr>
          <w:rFonts w:cs="Arial"/>
          <w:bCs/>
          <w:iCs/>
          <w:lang w:val="en-US"/>
        </w:rPr>
        <w:t>’</w:t>
      </w:r>
      <w:r w:rsidRPr="0023218B">
        <w:rPr>
          <w:bCs/>
          <w:iCs/>
          <w:lang w:val="en-US"/>
        </w:rPr>
        <w:t>s</w:t>
      </w:r>
      <w:r w:rsidR="003E5417">
        <w:rPr>
          <w:bCs/>
          <w:iCs/>
          <w:lang w:val="en-US"/>
        </w:rPr>
        <w:t>]</w:t>
      </w:r>
      <w:r w:rsidRPr="0023218B">
        <w:rPr>
          <w:bCs/>
          <w:iCs/>
          <w:lang w:val="en-US"/>
        </w:rPr>
        <w:t xml:space="preserve"> statements must be viewed in the context of the </w:t>
      </w:r>
      <w:r w:rsidRPr="0023218B">
        <w:rPr>
          <w:bCs/>
          <w:i/>
          <w:iCs/>
          <w:lang w:val="en-US"/>
        </w:rPr>
        <w:t xml:space="preserve">Joni Table Talk </w:t>
      </w:r>
      <w:r w:rsidRPr="0023218B">
        <w:rPr>
          <w:bCs/>
          <w:iCs/>
          <w:lang w:val="en-US"/>
        </w:rPr>
        <w:t xml:space="preserve">program as a whole. When viewed in context, it is clear that </w:t>
      </w:r>
      <w:r w:rsidR="000712A9">
        <w:rPr>
          <w:bCs/>
          <w:iCs/>
          <w:lang w:val="en-US"/>
        </w:rPr>
        <w:t>[Dr</w:t>
      </w:r>
      <w:r w:rsidR="003E5417">
        <w:rPr>
          <w:bCs/>
          <w:iCs/>
          <w:lang w:val="en-US"/>
        </w:rPr>
        <w:t>.</w:t>
      </w:r>
      <w:r w:rsidR="000712A9">
        <w:rPr>
          <w:bCs/>
          <w:iCs/>
          <w:lang w:val="en-US"/>
        </w:rPr>
        <w:t xml:space="preserve"> </w:t>
      </w:r>
      <w:r w:rsidR="006B0E22">
        <w:rPr>
          <w:bCs/>
          <w:iCs/>
          <w:lang w:val="en-US"/>
        </w:rPr>
        <w:t>B</w:t>
      </w:r>
      <w:r w:rsidR="000712A9">
        <w:rPr>
          <w:bCs/>
          <w:iCs/>
          <w:lang w:val="en-US"/>
        </w:rPr>
        <w:t>]</w:t>
      </w:r>
      <w:r w:rsidRPr="0023218B">
        <w:rPr>
          <w:bCs/>
          <w:iCs/>
          <w:lang w:val="en-US"/>
        </w:rPr>
        <w:t xml:space="preserve"> was referring only to information regarding the specific matters discussed during the program (for example, infertility, miscarriage, menopause and menstruation) and offered </w:t>
      </w:r>
      <w:r w:rsidR="00FA4BBF">
        <w:rPr>
          <w:bCs/>
          <w:iCs/>
          <w:lang w:val="en-US"/>
        </w:rPr>
        <w:t>their</w:t>
      </w:r>
      <w:r w:rsidR="00FA4BBF" w:rsidRPr="0023218B">
        <w:rPr>
          <w:bCs/>
          <w:iCs/>
          <w:lang w:val="en-US"/>
        </w:rPr>
        <w:t xml:space="preserve"> </w:t>
      </w:r>
      <w:r w:rsidRPr="0023218B">
        <w:rPr>
          <w:bCs/>
          <w:iCs/>
          <w:lang w:val="en-US"/>
        </w:rPr>
        <w:t xml:space="preserve">opinion regarding the apparent lack of information regarding these matters. It is submitted that no reasonable viewer would have taken </w:t>
      </w:r>
      <w:r w:rsidR="000712A9">
        <w:rPr>
          <w:bCs/>
          <w:iCs/>
          <w:lang w:val="en-US"/>
        </w:rPr>
        <w:t>[Dr</w:t>
      </w:r>
      <w:r w:rsidR="003E5417">
        <w:rPr>
          <w:bCs/>
          <w:iCs/>
          <w:lang w:val="en-US"/>
        </w:rPr>
        <w:t>.</w:t>
      </w:r>
      <w:r w:rsidR="000712A9">
        <w:rPr>
          <w:bCs/>
          <w:iCs/>
          <w:lang w:val="en-US"/>
        </w:rPr>
        <w:t xml:space="preserve"> </w:t>
      </w:r>
      <w:r w:rsidR="006B0E22">
        <w:rPr>
          <w:bCs/>
          <w:iCs/>
          <w:lang w:val="en-US"/>
        </w:rPr>
        <w:t>B</w:t>
      </w:r>
      <w:r w:rsidRPr="0023218B">
        <w:rPr>
          <w:bCs/>
          <w:iCs/>
          <w:lang w:val="en-US"/>
        </w:rPr>
        <w:t>’s</w:t>
      </w:r>
      <w:r w:rsidR="003E5417">
        <w:rPr>
          <w:bCs/>
          <w:iCs/>
          <w:lang w:val="en-US"/>
        </w:rPr>
        <w:t>]</w:t>
      </w:r>
      <w:r w:rsidRPr="0023218B">
        <w:rPr>
          <w:bCs/>
          <w:iCs/>
          <w:lang w:val="en-US"/>
        </w:rPr>
        <w:t xml:space="preserve"> statement as a literal blanket statement given the breadth of information that is currently available regarding the COVID</w:t>
      </w:r>
      <w:r w:rsidRPr="0023218B">
        <w:rPr>
          <w:rFonts w:ascii="Cambria Math" w:hAnsi="Cambria Math" w:cs="Cambria Math"/>
          <w:bCs/>
          <w:iCs/>
          <w:lang w:val="en-US"/>
        </w:rPr>
        <w:t>‐</w:t>
      </w:r>
      <w:r w:rsidRPr="0023218B">
        <w:rPr>
          <w:bCs/>
          <w:iCs/>
          <w:lang w:val="en-US"/>
        </w:rPr>
        <w:t>19 vaccines.</w:t>
      </w:r>
    </w:p>
    <w:p w14:paraId="334A897D" w14:textId="128F409E" w:rsidR="009F498E" w:rsidRPr="0013388E" w:rsidRDefault="009F498E" w:rsidP="009F498E">
      <w:pPr>
        <w:pStyle w:val="ACMABodyTextBold"/>
      </w:pPr>
      <w:r w:rsidRPr="0013388E">
        <w:t xml:space="preserve">Extracts of the Licensee response to the ACMA dated </w:t>
      </w:r>
      <w:r>
        <w:t xml:space="preserve">3 November </w:t>
      </w:r>
      <w:r w:rsidRPr="0013388E">
        <w:t>202</w:t>
      </w:r>
      <w:r>
        <w:t>2</w:t>
      </w:r>
    </w:p>
    <w:p w14:paraId="483D1EE5" w14:textId="77777777" w:rsidR="003F1BA6" w:rsidRDefault="003F1BA6" w:rsidP="003F1BA6">
      <w:pPr>
        <w:pStyle w:val="ACMABodyText"/>
        <w:rPr>
          <w:bCs/>
          <w:iCs/>
          <w:lang w:val="en-US"/>
        </w:rPr>
      </w:pPr>
      <w:r>
        <w:rPr>
          <w:bCs/>
          <w:iCs/>
          <w:lang w:val="en-US"/>
        </w:rPr>
        <w:lastRenderedPageBreak/>
        <w:t>[…]</w:t>
      </w:r>
    </w:p>
    <w:p w14:paraId="2D9CCC7A" w14:textId="70AD07D5" w:rsidR="003F1BA6" w:rsidRPr="003F1BA6" w:rsidRDefault="003F1BA6" w:rsidP="003F1BA6">
      <w:pPr>
        <w:pStyle w:val="ACMABodyText"/>
        <w:rPr>
          <w:bCs/>
          <w:iCs/>
          <w:lang w:val="en-US"/>
        </w:rPr>
      </w:pPr>
      <w:r w:rsidRPr="003F1BA6">
        <w:rPr>
          <w:bCs/>
          <w:iCs/>
          <w:lang w:val="en-US"/>
        </w:rPr>
        <w:t>Foxtel respectfully disagrees with the Preliminary Findings. In particular, as more fully detailed below, Foxtel submits that the classification of the Programs as “</w:t>
      </w:r>
      <w:r w:rsidRPr="003F1BA6">
        <w:rPr>
          <w:bCs/>
          <w:i/>
          <w:iCs/>
          <w:lang w:val="en-US"/>
        </w:rPr>
        <w:t>news and current affairs programs</w:t>
      </w:r>
      <w:r w:rsidRPr="003F1BA6">
        <w:rPr>
          <w:bCs/>
          <w:iCs/>
          <w:lang w:val="en-US"/>
        </w:rPr>
        <w:t>” by the ACMA under the Code is incorrect and unsupported by the facts. Accordingly, no breach of clause 1.2 is capable of arising.</w:t>
      </w:r>
    </w:p>
    <w:p w14:paraId="437A02EF" w14:textId="638D6CE7" w:rsidR="00A677B2" w:rsidRPr="00A677B2" w:rsidRDefault="00A677B2" w:rsidP="00A677B2">
      <w:pPr>
        <w:pStyle w:val="ACMABodyText"/>
        <w:rPr>
          <w:bCs/>
          <w:iCs/>
          <w:lang w:val="en-US"/>
        </w:rPr>
      </w:pPr>
      <w:r w:rsidRPr="00A677B2">
        <w:rPr>
          <w:bCs/>
          <w:iCs/>
          <w:lang w:val="en-US"/>
        </w:rPr>
        <w:t>In any event, and on the basis that the Programs would in fact be classified as news and current affairs programs under the Code (which is denied), Foxtel submits that the interpretation of clause</w:t>
      </w:r>
      <w:r>
        <w:rPr>
          <w:bCs/>
          <w:iCs/>
          <w:lang w:val="en-US"/>
        </w:rPr>
        <w:t xml:space="preserve"> </w:t>
      </w:r>
      <w:r w:rsidRPr="00A677B2">
        <w:rPr>
          <w:bCs/>
          <w:iCs/>
          <w:lang w:val="en-US"/>
        </w:rPr>
        <w:t>1.2 of the Code which arises from the Report and the Preliminary Findings – namely, that any statement made within a news and current affairs program which is found to be inaccurate necessarily means that the program as a whole is also inaccurate – is erroneous and would lead to an absurd result, especially when considering similar provisions found in the Commercial Television Industry Code of Practice 2015 (</w:t>
      </w:r>
      <w:r w:rsidRPr="00A677B2">
        <w:rPr>
          <w:b/>
          <w:bCs/>
          <w:iCs/>
          <w:lang w:val="en-US"/>
        </w:rPr>
        <w:t>Commercial TV Code</w:t>
      </w:r>
      <w:r w:rsidRPr="00A677B2">
        <w:rPr>
          <w:bCs/>
          <w:iCs/>
          <w:lang w:val="en-US"/>
        </w:rPr>
        <w:t>). Further, even if the interpretation of clause</w:t>
      </w:r>
      <w:r>
        <w:rPr>
          <w:bCs/>
          <w:iCs/>
          <w:lang w:val="en-US"/>
        </w:rPr>
        <w:t xml:space="preserve"> </w:t>
      </w:r>
      <w:r w:rsidRPr="00A677B2">
        <w:rPr>
          <w:bCs/>
          <w:iCs/>
          <w:lang w:val="en-US"/>
        </w:rPr>
        <w:t>which has been adopted by the ACMA is correct, Foxtel also submits that it may rely on clause 1.9 of the Code.</w:t>
      </w:r>
    </w:p>
    <w:p w14:paraId="7EA49374" w14:textId="77777777" w:rsidR="00A677B2" w:rsidRPr="00A677B2" w:rsidRDefault="00A677B2" w:rsidP="00A677B2">
      <w:pPr>
        <w:pStyle w:val="ACMABodyText"/>
        <w:rPr>
          <w:b/>
          <w:bCs/>
          <w:iCs/>
          <w:lang w:val="en-US"/>
        </w:rPr>
      </w:pPr>
      <w:r w:rsidRPr="00A677B2">
        <w:rPr>
          <w:b/>
          <w:bCs/>
          <w:iCs/>
          <w:u w:val="single"/>
          <w:lang w:val="en-US"/>
        </w:rPr>
        <w:t>Classification of the Programs as “</w:t>
      </w:r>
      <w:r w:rsidRPr="00A677B2">
        <w:rPr>
          <w:b/>
          <w:bCs/>
          <w:i/>
          <w:iCs/>
          <w:u w:val="single"/>
          <w:lang w:val="en-US"/>
        </w:rPr>
        <w:t>News and Current Affairs Programs</w:t>
      </w:r>
      <w:r w:rsidRPr="00A677B2">
        <w:rPr>
          <w:b/>
          <w:bCs/>
          <w:iCs/>
          <w:u w:val="single"/>
          <w:lang w:val="en-US"/>
        </w:rPr>
        <w:t>”</w:t>
      </w:r>
    </w:p>
    <w:p w14:paraId="16343249" w14:textId="7D0618DD" w:rsidR="00A677B2" w:rsidRPr="00A677B2" w:rsidRDefault="00A677B2" w:rsidP="00A677B2">
      <w:pPr>
        <w:pStyle w:val="ACMABodyText"/>
        <w:rPr>
          <w:bCs/>
          <w:iCs/>
          <w:lang w:val="en-US"/>
        </w:rPr>
      </w:pPr>
      <w:r w:rsidRPr="00A677B2">
        <w:rPr>
          <w:bCs/>
          <w:iCs/>
          <w:lang w:val="en-US"/>
        </w:rPr>
        <w:t xml:space="preserve">As noted in Foxtel’s response dated 20 October 2021, the Programs were broadcast on the Daystar Television Network (the </w:t>
      </w:r>
      <w:r w:rsidRPr="00A677B2">
        <w:rPr>
          <w:b/>
          <w:bCs/>
          <w:iCs/>
          <w:lang w:val="en-US"/>
        </w:rPr>
        <w:t>Channel</w:t>
      </w:r>
      <w:r w:rsidRPr="00A677B2">
        <w:rPr>
          <w:bCs/>
          <w:iCs/>
          <w:lang w:val="en-US"/>
        </w:rPr>
        <w:t>). The Channel is an evangelical Christian</w:t>
      </w:r>
      <w:r w:rsidRPr="00A677B2">
        <w:rPr>
          <w:rFonts w:ascii="Cambria Math" w:hAnsi="Cambria Math" w:cs="Cambria Math"/>
          <w:bCs/>
          <w:iCs/>
          <w:lang w:val="en-US"/>
        </w:rPr>
        <w:t>‐</w:t>
      </w:r>
      <w:r w:rsidRPr="00A677B2">
        <w:rPr>
          <w:bCs/>
          <w:iCs/>
          <w:lang w:val="en-US"/>
        </w:rPr>
        <w:t>based religious television network which exclusively broadcasts faith</w:t>
      </w:r>
      <w:r w:rsidRPr="00A677B2">
        <w:rPr>
          <w:rFonts w:ascii="Cambria Math" w:hAnsi="Cambria Math" w:cs="Cambria Math"/>
          <w:bCs/>
          <w:iCs/>
          <w:lang w:val="en-US"/>
        </w:rPr>
        <w:t>‐</w:t>
      </w:r>
      <w:r w:rsidRPr="00A677B2">
        <w:rPr>
          <w:bCs/>
          <w:iCs/>
          <w:lang w:val="en-US"/>
        </w:rPr>
        <w:t>based programming. Although episodes of the Programs may, on occasion, discuss current issues or events, such discussion always has a faith</w:t>
      </w:r>
      <w:r w:rsidRPr="00A677B2">
        <w:rPr>
          <w:rFonts w:ascii="Cambria Math" w:hAnsi="Cambria Math" w:cs="Cambria Math"/>
          <w:bCs/>
          <w:iCs/>
          <w:lang w:val="en-US"/>
        </w:rPr>
        <w:t>‐</w:t>
      </w:r>
      <w:r w:rsidRPr="00A677B2">
        <w:rPr>
          <w:bCs/>
          <w:iCs/>
          <w:lang w:val="en-US"/>
        </w:rPr>
        <w:t>based focus (and no other focus) and is firmly based in a religious context. The fact that the Channel, and the Programs in particular, are religious and are intended to promote Christianity is explicit and would be clear to any reasonable viewer. The name “Daystar” itself is self</w:t>
      </w:r>
      <w:r w:rsidRPr="00A677B2">
        <w:rPr>
          <w:rFonts w:ascii="Cambria Math" w:hAnsi="Cambria Math" w:cs="Cambria Math"/>
          <w:bCs/>
          <w:iCs/>
          <w:lang w:val="en-US"/>
        </w:rPr>
        <w:t>‐</w:t>
      </w:r>
      <w:r w:rsidRPr="00A677B2">
        <w:rPr>
          <w:bCs/>
          <w:iCs/>
          <w:lang w:val="en-US"/>
        </w:rPr>
        <w:t xml:space="preserve">described on the Daystar website at </w:t>
      </w:r>
      <w:hyperlink r:id="rId29">
        <w:r w:rsidRPr="00A8568A">
          <w:rPr>
            <w:rStyle w:val="Hyperlink"/>
            <w:bCs/>
            <w:iCs/>
            <w:color w:val="auto"/>
            <w:lang w:val="en-US"/>
          </w:rPr>
          <w:t>https://www.da</w:t>
        </w:r>
      </w:hyperlink>
      <w:r w:rsidRPr="00A8568A">
        <w:rPr>
          <w:bCs/>
          <w:iCs/>
          <w:u w:val="single"/>
          <w:lang w:val="en-US"/>
        </w:rPr>
        <w:t>ystar.co</w:t>
      </w:r>
      <w:hyperlink r:id="rId30">
        <w:r w:rsidRPr="00A8568A">
          <w:rPr>
            <w:rStyle w:val="Hyperlink"/>
            <w:bCs/>
            <w:iCs/>
            <w:color w:val="auto"/>
            <w:lang w:val="en-US"/>
          </w:rPr>
          <w:t xml:space="preserve">m/about/ </w:t>
        </w:r>
      </w:hyperlink>
      <w:r w:rsidRPr="00A677B2">
        <w:rPr>
          <w:bCs/>
          <w:iCs/>
          <w:lang w:val="en-US"/>
        </w:rPr>
        <w:t>as having religious connotations:</w:t>
      </w:r>
    </w:p>
    <w:p w14:paraId="3C02D43F" w14:textId="4E336568" w:rsidR="00A677B2" w:rsidRPr="00A677B2" w:rsidRDefault="00A677B2" w:rsidP="00A677B2">
      <w:pPr>
        <w:pStyle w:val="ACMABodyText"/>
        <w:ind w:left="851"/>
        <w:rPr>
          <w:bCs/>
          <w:i/>
          <w:iCs/>
          <w:sz w:val="18"/>
          <w:szCs w:val="18"/>
          <w:lang w:val="en-US"/>
        </w:rPr>
      </w:pPr>
      <w:r w:rsidRPr="00A677B2">
        <w:rPr>
          <w:bCs/>
          <w:i/>
          <w:iCs/>
          <w:sz w:val="18"/>
          <w:szCs w:val="18"/>
          <w:lang w:val="en-US"/>
        </w:rPr>
        <w:t>If you look at 2 Peter 1:19 (KJV) understanding it was written in Greek originally…. “Daystar” derives from the Greek word “phosphoros” phos – meaning “light” (Figuratively, meaning moral and spiritual light and knowledge which enlightens the mind, soul or conscience, including the idea of purity, holiness and of consequent reward and happiness.) and phero or phosoros – meaning “to bring” (Figuratively, meaning an absolute sense, a way or gate said to lead somewhere.) This verse in the spiritual sense is referring to that clear and comfortable knowledge of and strong faith in Christ which is the harbinger of an eternal day in life and blessedness. … Peter is referring to Jesus as our “Daystar”. One who brings light to a lost and dying world. Daystar and Morningstar are both names that the Greeks assigned to the Planet Venus because while passing from it’s lower to it’s upper conjunction with the sun, during which time it appears to the west of the sun and consequently rises before it and ushers in the light of day. Thus, “Daystar”.</w:t>
      </w:r>
    </w:p>
    <w:p w14:paraId="22C8FDEF" w14:textId="792E4402" w:rsidR="00A677B2" w:rsidRPr="00A677B2" w:rsidRDefault="00A677B2" w:rsidP="00A677B2">
      <w:pPr>
        <w:pStyle w:val="ACMABodyText"/>
        <w:ind w:left="851"/>
        <w:rPr>
          <w:bCs/>
          <w:i/>
          <w:iCs/>
          <w:sz w:val="18"/>
          <w:szCs w:val="18"/>
          <w:lang w:val="en-US"/>
        </w:rPr>
      </w:pPr>
      <w:r w:rsidRPr="00A677B2">
        <w:rPr>
          <w:bCs/>
          <w:i/>
          <w:iCs/>
          <w:sz w:val="18"/>
          <w:szCs w:val="18"/>
          <w:lang w:val="en-US"/>
        </w:rPr>
        <w:t>We do know that Lucifer held the TITLE “Daystar”, “Son of the Morning”, and “Morningstar” BEFORE he fell from Heaven but was stripped of any and all titles of honor when he was cast out of heaven. Thus, because of Satan’s decision to destroy mankind to get back at God…. At Calvary Jesus became the light that shineth in the darkness…and mankind was redeemed by His precious blood. Peter felt this description best described everything Jesus would be to us. Satan is reminded of the title and position he lost every time “Daystar” is whispered thru the airwaves as we know He is the prince and power of the air.</w:t>
      </w:r>
    </w:p>
    <w:p w14:paraId="4301F58E" w14:textId="77777777" w:rsidR="00A677B2" w:rsidRPr="00A677B2" w:rsidRDefault="00A677B2" w:rsidP="00A677B2">
      <w:pPr>
        <w:pStyle w:val="ACMABodyText"/>
        <w:rPr>
          <w:bCs/>
          <w:iCs/>
          <w:lang w:val="en-US"/>
        </w:rPr>
      </w:pPr>
      <w:r w:rsidRPr="00A677B2">
        <w:rPr>
          <w:bCs/>
          <w:iCs/>
          <w:lang w:val="en-US"/>
        </w:rPr>
        <w:t>As noted in the Report, the Code does not provide a definition of “</w:t>
      </w:r>
      <w:r w:rsidRPr="00A677B2">
        <w:rPr>
          <w:bCs/>
          <w:i/>
          <w:iCs/>
          <w:lang w:val="en-US"/>
        </w:rPr>
        <w:t>news and current affairs programs</w:t>
      </w:r>
      <w:r w:rsidRPr="00A677B2">
        <w:rPr>
          <w:bCs/>
          <w:iCs/>
          <w:lang w:val="en-US"/>
        </w:rPr>
        <w:t>”, however a definition is included in the Subscription Broadcast Television Codes of Practice 2013 (</w:t>
      </w:r>
      <w:r w:rsidRPr="00A677B2">
        <w:rPr>
          <w:b/>
          <w:bCs/>
          <w:iCs/>
          <w:lang w:val="en-US"/>
        </w:rPr>
        <w:t>Subscription Broadcast Code</w:t>
      </w:r>
      <w:r w:rsidRPr="00A677B2">
        <w:rPr>
          <w:bCs/>
          <w:iCs/>
          <w:lang w:val="en-US"/>
        </w:rPr>
        <w:t>), clause 7 of which provides as follows:</w:t>
      </w:r>
    </w:p>
    <w:p w14:paraId="6123FDA6" w14:textId="77777777" w:rsidR="00A677B2" w:rsidRPr="00A677B2" w:rsidRDefault="00A677B2" w:rsidP="00A677B2">
      <w:pPr>
        <w:pStyle w:val="ACMABodyText"/>
        <w:ind w:left="851"/>
        <w:rPr>
          <w:bCs/>
          <w:i/>
          <w:iCs/>
          <w:sz w:val="18"/>
          <w:szCs w:val="18"/>
          <w:lang w:val="en-US"/>
        </w:rPr>
      </w:pPr>
      <w:r w:rsidRPr="00A677B2">
        <w:rPr>
          <w:bCs/>
          <w:i/>
          <w:iCs/>
          <w:sz w:val="18"/>
          <w:szCs w:val="18"/>
          <w:lang w:val="en-US"/>
        </w:rPr>
        <w:lastRenderedPageBreak/>
        <w:t>"</w:t>
      </w:r>
      <w:r w:rsidRPr="00A677B2">
        <w:rPr>
          <w:b/>
          <w:bCs/>
          <w:i/>
          <w:iCs/>
          <w:sz w:val="18"/>
          <w:szCs w:val="18"/>
          <w:lang w:val="en-US"/>
        </w:rPr>
        <w:t>news and current affairs programs</w:t>
      </w:r>
      <w:r w:rsidRPr="00A677B2">
        <w:rPr>
          <w:bCs/>
          <w:i/>
          <w:iCs/>
          <w:sz w:val="18"/>
          <w:szCs w:val="18"/>
          <w:lang w:val="en-US"/>
        </w:rPr>
        <w:t>" means programs which report on current or recent happenings and include short bulletins, filmed coverage of international, national and local events, report on weather and essential services.</w:t>
      </w:r>
    </w:p>
    <w:p w14:paraId="2B50D568" w14:textId="77777777" w:rsidR="00A677B2" w:rsidRPr="00A677B2" w:rsidRDefault="00A677B2" w:rsidP="00A677B2">
      <w:pPr>
        <w:pStyle w:val="ACMABodyText"/>
        <w:rPr>
          <w:bCs/>
          <w:iCs/>
          <w:lang w:val="en-US"/>
        </w:rPr>
      </w:pPr>
      <w:r w:rsidRPr="00A677B2">
        <w:rPr>
          <w:bCs/>
          <w:iCs/>
          <w:lang w:val="en-US"/>
        </w:rPr>
        <w:t>We also note that section 130ZK of the Broadcasting Services Act 1992 (Cth) (</w:t>
      </w:r>
      <w:r w:rsidRPr="00A677B2">
        <w:rPr>
          <w:b/>
          <w:bCs/>
          <w:iCs/>
          <w:lang w:val="en-US"/>
        </w:rPr>
        <w:t>BSA</w:t>
      </w:r>
      <w:r w:rsidRPr="00A677B2">
        <w:rPr>
          <w:bCs/>
          <w:iCs/>
          <w:lang w:val="en-US"/>
        </w:rPr>
        <w:t>), which relates only to captioning requirements but nonetheless provides useful background as to the meaning of “news or current affairs program”, provides as follows:</w:t>
      </w:r>
    </w:p>
    <w:p w14:paraId="4807314C" w14:textId="77777777" w:rsidR="00A677B2" w:rsidRPr="00A677B2" w:rsidRDefault="00A677B2" w:rsidP="00A677B2">
      <w:pPr>
        <w:pStyle w:val="ACMABodyText"/>
        <w:ind w:left="851"/>
        <w:rPr>
          <w:bCs/>
          <w:i/>
          <w:iCs/>
          <w:sz w:val="18"/>
          <w:szCs w:val="18"/>
          <w:lang w:val="en-US"/>
        </w:rPr>
      </w:pPr>
      <w:r w:rsidRPr="00A677B2">
        <w:rPr>
          <w:b/>
          <w:bCs/>
          <w:i/>
          <w:iCs/>
          <w:sz w:val="18"/>
          <w:szCs w:val="18"/>
          <w:lang w:val="en-US"/>
        </w:rPr>
        <w:t xml:space="preserve">news or current affairs program </w:t>
      </w:r>
      <w:r w:rsidRPr="00A677B2">
        <w:rPr>
          <w:bCs/>
          <w:i/>
          <w:iCs/>
          <w:sz w:val="18"/>
          <w:szCs w:val="18"/>
          <w:lang w:val="en-US"/>
        </w:rPr>
        <w:t>means any of the following:</w:t>
      </w:r>
    </w:p>
    <w:p w14:paraId="75378D31" w14:textId="77777777" w:rsidR="00A677B2" w:rsidRPr="00A677B2" w:rsidRDefault="00A677B2" w:rsidP="00A677B2">
      <w:pPr>
        <w:pStyle w:val="ACMABodyText"/>
        <w:numPr>
          <w:ilvl w:val="2"/>
          <w:numId w:val="40"/>
        </w:numPr>
        <w:ind w:left="1134"/>
        <w:rPr>
          <w:bCs/>
          <w:i/>
          <w:iCs/>
          <w:lang w:val="en-US"/>
        </w:rPr>
      </w:pPr>
      <w:r w:rsidRPr="00A677B2">
        <w:rPr>
          <w:bCs/>
          <w:i/>
          <w:iCs/>
          <w:lang w:val="en-US"/>
        </w:rPr>
        <w:t>a news bulletin;</w:t>
      </w:r>
    </w:p>
    <w:p w14:paraId="33773949" w14:textId="77777777" w:rsidR="00A677B2" w:rsidRPr="00A677B2" w:rsidRDefault="00A677B2" w:rsidP="00A677B2">
      <w:pPr>
        <w:pStyle w:val="ACMABodyText"/>
        <w:numPr>
          <w:ilvl w:val="2"/>
          <w:numId w:val="40"/>
        </w:numPr>
        <w:ind w:left="1134"/>
        <w:rPr>
          <w:bCs/>
          <w:i/>
          <w:iCs/>
          <w:lang w:val="en-US"/>
        </w:rPr>
      </w:pPr>
      <w:r w:rsidRPr="00A677B2">
        <w:rPr>
          <w:bCs/>
          <w:i/>
          <w:iCs/>
          <w:lang w:val="en-US"/>
        </w:rPr>
        <w:t>a program (whether presenter</w:t>
      </w:r>
      <w:r w:rsidRPr="00A677B2">
        <w:rPr>
          <w:rFonts w:ascii="Cambria Math" w:hAnsi="Cambria Math" w:cs="Cambria Math"/>
          <w:bCs/>
          <w:i/>
          <w:iCs/>
          <w:lang w:val="en-US"/>
        </w:rPr>
        <w:t>‐</w:t>
      </w:r>
      <w:r w:rsidRPr="00A677B2">
        <w:rPr>
          <w:bCs/>
          <w:i/>
          <w:iCs/>
          <w:lang w:val="en-US"/>
        </w:rPr>
        <w:t>based or not) whose sole or dominant purpose is to provide analysis, commentary or discussion principally designed to inform the general community about social, economic or political issues of current relevance to the general community.</w:t>
      </w:r>
    </w:p>
    <w:p w14:paraId="6F0442BF" w14:textId="629C3630" w:rsidR="00A677B2" w:rsidRPr="00A677B2" w:rsidRDefault="00A677B2" w:rsidP="00A677B2">
      <w:pPr>
        <w:pStyle w:val="ACMABodyText"/>
        <w:rPr>
          <w:bCs/>
          <w:iCs/>
          <w:lang w:val="en-US"/>
        </w:rPr>
      </w:pPr>
      <w:r w:rsidRPr="00A677B2">
        <w:rPr>
          <w:bCs/>
          <w:iCs/>
          <w:lang w:val="en-US"/>
        </w:rPr>
        <w:t xml:space="preserve">The above definitions provide clear indication that in order for a television program to constitute a news or current affairs program, the nature of the program must be objective in that it </w:t>
      </w:r>
      <w:r w:rsidRPr="00A677B2">
        <w:rPr>
          <w:bCs/>
          <w:iCs/>
          <w:u w:val="single"/>
          <w:lang w:val="en-US"/>
        </w:rPr>
        <w:t>reports on</w:t>
      </w:r>
      <w:r w:rsidRPr="00A677B2">
        <w:rPr>
          <w:bCs/>
          <w:iCs/>
          <w:lang w:val="en-US"/>
        </w:rPr>
        <w:t xml:space="preserve"> or provides analysis, commentary or discussion </w:t>
      </w:r>
      <w:r w:rsidRPr="00A677B2">
        <w:rPr>
          <w:bCs/>
          <w:iCs/>
          <w:u w:val="single"/>
          <w:lang w:val="en-US"/>
        </w:rPr>
        <w:t>designed to inform the general community</w:t>
      </w:r>
      <w:r w:rsidRPr="00A677B2">
        <w:rPr>
          <w:bCs/>
          <w:iCs/>
          <w:lang w:val="en-US"/>
        </w:rPr>
        <w:t xml:space="preserve">. These definitions are reflective of the ordinary meaning of those words as would be understood by a reasonable member of the public who recognises the words to describe programs such as </w:t>
      </w:r>
      <w:r w:rsidRPr="00A677B2">
        <w:rPr>
          <w:bCs/>
          <w:i/>
          <w:iCs/>
          <w:lang w:val="en-US"/>
        </w:rPr>
        <w:t>A Current Affair</w:t>
      </w:r>
      <w:r w:rsidRPr="00A677B2">
        <w:rPr>
          <w:bCs/>
          <w:iCs/>
          <w:lang w:val="en-US"/>
        </w:rPr>
        <w:t xml:space="preserve">, </w:t>
      </w:r>
      <w:r w:rsidRPr="00A677B2">
        <w:rPr>
          <w:bCs/>
          <w:i/>
          <w:iCs/>
          <w:lang w:val="en-US"/>
        </w:rPr>
        <w:t>730</w:t>
      </w:r>
      <w:r w:rsidRPr="00A677B2">
        <w:rPr>
          <w:bCs/>
          <w:iCs/>
          <w:lang w:val="en-US"/>
        </w:rPr>
        <w:t xml:space="preserve">, </w:t>
      </w:r>
      <w:r w:rsidRPr="00A677B2">
        <w:rPr>
          <w:bCs/>
          <w:i/>
          <w:iCs/>
          <w:lang w:val="en-US"/>
        </w:rPr>
        <w:t>4 Corners</w:t>
      </w:r>
      <w:r w:rsidRPr="00A677B2">
        <w:rPr>
          <w:bCs/>
          <w:iCs/>
          <w:lang w:val="en-US"/>
        </w:rPr>
        <w:t xml:space="preserve">, </w:t>
      </w:r>
      <w:r w:rsidRPr="00A677B2">
        <w:rPr>
          <w:bCs/>
          <w:i/>
          <w:iCs/>
          <w:lang w:val="en-US"/>
        </w:rPr>
        <w:t>Insiders</w:t>
      </w:r>
      <w:r w:rsidRPr="00A677B2">
        <w:rPr>
          <w:bCs/>
          <w:iCs/>
          <w:lang w:val="en-US"/>
        </w:rPr>
        <w:t xml:space="preserve">, </w:t>
      </w:r>
      <w:r w:rsidRPr="00A677B2">
        <w:rPr>
          <w:bCs/>
          <w:i/>
          <w:iCs/>
          <w:lang w:val="en-US"/>
        </w:rPr>
        <w:t>Foreign Correspondent</w:t>
      </w:r>
      <w:r w:rsidRPr="00A677B2">
        <w:rPr>
          <w:bCs/>
          <w:iCs/>
          <w:lang w:val="en-US"/>
        </w:rPr>
        <w:t xml:space="preserve">, </w:t>
      </w:r>
      <w:r w:rsidRPr="00A677B2">
        <w:rPr>
          <w:bCs/>
          <w:i/>
          <w:iCs/>
          <w:lang w:val="en-US"/>
        </w:rPr>
        <w:t>60 Minutes</w:t>
      </w:r>
      <w:r w:rsidRPr="00A677B2">
        <w:rPr>
          <w:bCs/>
          <w:iCs/>
          <w:lang w:val="en-US"/>
        </w:rPr>
        <w:t xml:space="preserve">, </w:t>
      </w:r>
      <w:r w:rsidRPr="00A677B2">
        <w:rPr>
          <w:bCs/>
          <w:i/>
          <w:iCs/>
          <w:lang w:val="en-US"/>
        </w:rPr>
        <w:t>Spotlight</w:t>
      </w:r>
      <w:r w:rsidRPr="00A677B2">
        <w:rPr>
          <w:bCs/>
          <w:iCs/>
          <w:lang w:val="en-US"/>
        </w:rPr>
        <w:t xml:space="preserve">, </w:t>
      </w:r>
      <w:r w:rsidRPr="00A677B2">
        <w:rPr>
          <w:bCs/>
          <w:i/>
          <w:iCs/>
          <w:lang w:val="en-US"/>
        </w:rPr>
        <w:t>Dateline</w:t>
      </w:r>
      <w:r w:rsidRPr="00A677B2">
        <w:rPr>
          <w:bCs/>
          <w:iCs/>
          <w:lang w:val="en-US"/>
        </w:rPr>
        <w:t xml:space="preserve">, </w:t>
      </w:r>
      <w:r w:rsidRPr="00A677B2">
        <w:rPr>
          <w:bCs/>
          <w:i/>
          <w:iCs/>
          <w:lang w:val="en-US"/>
        </w:rPr>
        <w:t>The Bolt Report</w:t>
      </w:r>
      <w:r w:rsidRPr="00A677B2">
        <w:rPr>
          <w:bCs/>
          <w:iCs/>
          <w:lang w:val="en-US"/>
        </w:rPr>
        <w:t xml:space="preserve">, </w:t>
      </w:r>
      <w:r w:rsidRPr="00A677B2">
        <w:rPr>
          <w:bCs/>
          <w:i/>
          <w:iCs/>
          <w:lang w:val="en-US"/>
        </w:rPr>
        <w:t>Credlin</w:t>
      </w:r>
      <w:r w:rsidRPr="00A677B2">
        <w:rPr>
          <w:bCs/>
          <w:iCs/>
          <w:lang w:val="en-US"/>
        </w:rPr>
        <w:t xml:space="preserve">, </w:t>
      </w:r>
      <w:r w:rsidRPr="00A677B2">
        <w:rPr>
          <w:bCs/>
          <w:i/>
          <w:iCs/>
          <w:lang w:val="en-US"/>
        </w:rPr>
        <w:t>Q&amp;A</w:t>
      </w:r>
      <w:r w:rsidRPr="00A677B2">
        <w:rPr>
          <w:bCs/>
          <w:iCs/>
          <w:lang w:val="en-US"/>
        </w:rPr>
        <w:t>.</w:t>
      </w:r>
    </w:p>
    <w:p w14:paraId="67A930B4" w14:textId="77777777" w:rsidR="00A677B2" w:rsidRPr="00A677B2" w:rsidRDefault="00A677B2" w:rsidP="00A677B2">
      <w:pPr>
        <w:pStyle w:val="ACMABodyText"/>
        <w:rPr>
          <w:bCs/>
          <w:lang w:val="en-US"/>
        </w:rPr>
      </w:pPr>
      <w:r w:rsidRPr="00A677B2">
        <w:rPr>
          <w:bCs/>
          <w:iCs/>
          <w:lang w:val="en-US"/>
        </w:rPr>
        <w:t>In order for a program to be considered to be a news and current affairs program, whether on the basis of the specific definitions above or the natural and ordinary meaning of those words, the program must necessarily contain reports on current or recent happenings (such as bulletins or filmed coverage of events of public importance). The sole or dominant purpose of the program must</w:t>
      </w:r>
      <w:r>
        <w:rPr>
          <w:bCs/>
          <w:iCs/>
          <w:lang w:val="en-US"/>
        </w:rPr>
        <w:t xml:space="preserve"> </w:t>
      </w:r>
      <w:r w:rsidRPr="00A677B2">
        <w:rPr>
          <w:bCs/>
          <w:lang w:val="en-US"/>
        </w:rPr>
        <w:t>also be to provide analysis, commentary or discussion to inform the general public as to relevant social, economic or political issues. The mere discussion of current events or issues of public importance in an episode of a program which otherwise clearly does not constitute a current affairs program is incapable, without more, of rendering that program as a news and current affairs program.</w:t>
      </w:r>
    </w:p>
    <w:p w14:paraId="50B2ABF3" w14:textId="4B4C3BEE" w:rsidR="00A677B2" w:rsidRPr="00A677B2" w:rsidRDefault="00A677B2" w:rsidP="00A677B2">
      <w:pPr>
        <w:pStyle w:val="ACMABodyText"/>
        <w:rPr>
          <w:bCs/>
          <w:iCs/>
          <w:lang w:val="en-US"/>
        </w:rPr>
      </w:pPr>
      <w:r w:rsidRPr="00A677B2">
        <w:rPr>
          <w:bCs/>
          <w:iCs/>
          <w:lang w:val="en-US"/>
        </w:rPr>
        <w:t>In the present case, it is clear on the face of the Programs themselves, the description of the Programs on the Daystar website and the general nature of the programming which is broadcast on the Channel that the Programs do not constitute news and current affairs programs. Instead, the Programs are faith</w:t>
      </w:r>
      <w:r w:rsidRPr="00A677B2">
        <w:rPr>
          <w:rFonts w:ascii="Cambria Math" w:hAnsi="Cambria Math" w:cs="Cambria Math"/>
          <w:bCs/>
          <w:iCs/>
          <w:lang w:val="en-US"/>
        </w:rPr>
        <w:t>‐</w:t>
      </w:r>
      <w:r w:rsidRPr="00A677B2">
        <w:rPr>
          <w:bCs/>
          <w:iCs/>
          <w:lang w:val="en-US"/>
        </w:rPr>
        <w:t>based televangelist programs broadcast from the United States, directed primarily at a United States audience and exclusively designed to promote, and spread the message of, Christianity. As noted in Foxtel’s previous response, any discussion of current or relevant newsworthy issues is conducted always through a religious lens and the Programs do not seek to engage in discussion of relevance to the general public and do not appeal to the general public.</w:t>
      </w:r>
    </w:p>
    <w:p w14:paraId="4BE83085" w14:textId="77777777" w:rsidR="00A677B2" w:rsidRPr="00A677B2" w:rsidRDefault="00A677B2" w:rsidP="00A677B2">
      <w:pPr>
        <w:pStyle w:val="ACMABodyText"/>
        <w:rPr>
          <w:bCs/>
          <w:iCs/>
          <w:lang w:val="en-US"/>
        </w:rPr>
      </w:pPr>
      <w:r w:rsidRPr="00A677B2">
        <w:rPr>
          <w:bCs/>
          <w:iCs/>
          <w:lang w:val="en-US"/>
        </w:rPr>
        <w:t>The Report appears to assert that any program which is mainly devoted to discussion of current social, economic or political events of interest or importance to the public constitutes a current affairs program. Foxtel has concerns with the breadth of such a definition, which disregards the context of the relevant program and its intended audience. This approach erroneously focusses on a single episode of each program, rather than looking at each program as a whole, including its style, focus, purpose and intended audience.</w:t>
      </w:r>
    </w:p>
    <w:p w14:paraId="26E7F989" w14:textId="77777777" w:rsidR="00A677B2" w:rsidRPr="00A677B2" w:rsidRDefault="00A677B2" w:rsidP="00A677B2">
      <w:pPr>
        <w:pStyle w:val="ACMABodyText"/>
        <w:rPr>
          <w:bCs/>
          <w:iCs/>
          <w:lang w:val="en-US"/>
        </w:rPr>
      </w:pPr>
      <w:r w:rsidRPr="00A677B2">
        <w:rPr>
          <w:bCs/>
          <w:iCs/>
          <w:lang w:val="en-US"/>
        </w:rPr>
        <w:t>As a result, the definition of current affairs program which has been adopted by the ACMA in the Report would appear to capture a wide variety of programs which, in Foxtel’s view, the Code was never intended to capture. In the context of the issue of COVID</w:t>
      </w:r>
      <w:r w:rsidRPr="00A677B2">
        <w:rPr>
          <w:rFonts w:ascii="Cambria Math" w:hAnsi="Cambria Math" w:cs="Cambria Math"/>
          <w:bCs/>
          <w:iCs/>
          <w:lang w:val="en-US"/>
        </w:rPr>
        <w:t>‐</w:t>
      </w:r>
      <w:r w:rsidRPr="00A677B2">
        <w:rPr>
          <w:bCs/>
          <w:iCs/>
          <w:lang w:val="en-US"/>
        </w:rPr>
        <w:t>19, this would erroneously include the following programs:</w:t>
      </w:r>
    </w:p>
    <w:p w14:paraId="69BDCABA" w14:textId="7F18EA30" w:rsidR="00A677B2" w:rsidRPr="00A677B2" w:rsidRDefault="00A677B2" w:rsidP="00A677B2">
      <w:pPr>
        <w:pStyle w:val="ACMABodyText"/>
        <w:numPr>
          <w:ilvl w:val="0"/>
          <w:numId w:val="42"/>
        </w:numPr>
        <w:ind w:left="1134"/>
        <w:rPr>
          <w:bCs/>
          <w:iCs/>
          <w:lang w:val="en-US"/>
        </w:rPr>
      </w:pPr>
      <w:r w:rsidRPr="00A677B2">
        <w:rPr>
          <w:bCs/>
          <w:iCs/>
          <w:lang w:val="en-US"/>
        </w:rPr>
        <w:lastRenderedPageBreak/>
        <w:t>Any program which features or relies on social satire of real</w:t>
      </w:r>
      <w:r w:rsidRPr="00A677B2">
        <w:rPr>
          <w:rFonts w:ascii="Cambria Math" w:hAnsi="Cambria Math" w:cs="Cambria Math"/>
          <w:bCs/>
          <w:iCs/>
          <w:lang w:val="en-US"/>
        </w:rPr>
        <w:t>‐</w:t>
      </w:r>
      <w:r w:rsidRPr="00A677B2">
        <w:rPr>
          <w:bCs/>
          <w:iCs/>
          <w:lang w:val="en-US"/>
        </w:rPr>
        <w:t>world events or personalities or otherwise incorporates such elements into its programming</w:t>
      </w:r>
      <w:r w:rsidR="00161430">
        <w:rPr>
          <w:bCs/>
          <w:iCs/>
          <w:lang w:val="en-US"/>
        </w:rPr>
        <w:t xml:space="preserve"> </w:t>
      </w:r>
      <w:r w:rsidR="003F104C">
        <w:rPr>
          <w:bCs/>
          <w:iCs/>
          <w:lang w:val="en-US"/>
        </w:rPr>
        <w:t>[…]</w:t>
      </w:r>
    </w:p>
    <w:p w14:paraId="63576534" w14:textId="2D7ED33C" w:rsidR="00A677B2" w:rsidRPr="00A677B2" w:rsidRDefault="00A677B2" w:rsidP="00A677B2">
      <w:pPr>
        <w:pStyle w:val="ACMABodyText"/>
        <w:ind w:left="851"/>
        <w:rPr>
          <w:bCs/>
          <w:iCs/>
          <w:lang w:val="en-US"/>
        </w:rPr>
      </w:pPr>
      <w:r w:rsidRPr="00A677B2">
        <w:rPr>
          <w:bCs/>
          <w:iCs/>
          <w:lang w:val="en-US"/>
        </w:rPr>
        <w:t xml:space="preserve">For example, </w:t>
      </w:r>
      <w:r w:rsidRPr="00A677B2">
        <w:rPr>
          <w:bCs/>
          <w:i/>
          <w:iCs/>
          <w:lang w:val="en-US"/>
        </w:rPr>
        <w:t xml:space="preserve">Have You Been Paying Attention </w:t>
      </w:r>
      <w:r w:rsidRPr="00A677B2">
        <w:rPr>
          <w:bCs/>
          <w:iCs/>
          <w:lang w:val="en-US"/>
        </w:rPr>
        <w:t>broadcast on the Ten Network is a weekly discussion of current social, economic and political events of interest or importance to the public, conveyed mostly through a comedic question and answer format. Whilst the entire factual content of the program comprises current affairs topics, no reasonable person would consider the program to be a “current affairs program”.</w:t>
      </w:r>
    </w:p>
    <w:p w14:paraId="66C483D7" w14:textId="7B5145C5" w:rsidR="00A677B2" w:rsidRPr="00A677B2" w:rsidRDefault="00A677B2" w:rsidP="002D101A">
      <w:pPr>
        <w:pStyle w:val="ACMABodyText"/>
        <w:ind w:left="851"/>
        <w:rPr>
          <w:bCs/>
          <w:iCs/>
          <w:lang w:val="en-US"/>
        </w:rPr>
      </w:pPr>
      <w:r w:rsidRPr="00A677B2">
        <w:rPr>
          <w:bCs/>
          <w:iCs/>
          <w:lang w:val="en-US"/>
        </w:rPr>
        <w:t>Another example specifically related to the discussion of COVID</w:t>
      </w:r>
      <w:r w:rsidRPr="00A677B2">
        <w:rPr>
          <w:rFonts w:ascii="Cambria Math" w:hAnsi="Cambria Math" w:cs="Cambria Math"/>
          <w:bCs/>
          <w:iCs/>
          <w:lang w:val="en-US"/>
        </w:rPr>
        <w:t>‐</w:t>
      </w:r>
      <w:r w:rsidRPr="00A677B2">
        <w:rPr>
          <w:bCs/>
          <w:iCs/>
          <w:lang w:val="en-US"/>
        </w:rPr>
        <w:t xml:space="preserve">19 issues is </w:t>
      </w:r>
      <w:r w:rsidRPr="00A677B2">
        <w:rPr>
          <w:bCs/>
          <w:i/>
          <w:iCs/>
          <w:lang w:val="en-US"/>
        </w:rPr>
        <w:t>South Park</w:t>
      </w:r>
      <w:r w:rsidRPr="00A677B2">
        <w:rPr>
          <w:bCs/>
          <w:iCs/>
          <w:lang w:val="en-US"/>
        </w:rPr>
        <w:t>, a well</w:t>
      </w:r>
      <w:r w:rsidRPr="00A677B2">
        <w:rPr>
          <w:rFonts w:ascii="Cambria Math" w:hAnsi="Cambria Math" w:cs="Cambria Math"/>
          <w:bCs/>
          <w:iCs/>
          <w:lang w:val="en-US"/>
        </w:rPr>
        <w:t>‐</w:t>
      </w:r>
      <w:r w:rsidRPr="00A677B2">
        <w:rPr>
          <w:bCs/>
          <w:iCs/>
          <w:lang w:val="en-US"/>
        </w:rPr>
        <w:t xml:space="preserve">known adult comedy program which relies extensively on controversial humour to satirise current events, ideologies and mindsets both within the United States and globally. For instance, </w:t>
      </w:r>
      <w:r w:rsidRPr="00A677B2">
        <w:rPr>
          <w:bCs/>
          <w:i/>
          <w:iCs/>
          <w:lang w:val="en-US"/>
        </w:rPr>
        <w:t xml:space="preserve">South Park </w:t>
      </w:r>
      <w:r w:rsidRPr="00A677B2">
        <w:rPr>
          <w:bCs/>
          <w:iCs/>
          <w:lang w:val="en-US"/>
        </w:rPr>
        <w:t>broadcast three specials across 2020 and 2021 relating to the COVID</w:t>
      </w:r>
      <w:r w:rsidRPr="00A677B2">
        <w:rPr>
          <w:rFonts w:ascii="Cambria Math" w:hAnsi="Cambria Math" w:cs="Cambria Math"/>
          <w:bCs/>
          <w:iCs/>
          <w:lang w:val="en-US"/>
        </w:rPr>
        <w:t>‐</w:t>
      </w:r>
      <w:r w:rsidRPr="00A677B2">
        <w:rPr>
          <w:bCs/>
          <w:iCs/>
          <w:lang w:val="en-US"/>
        </w:rPr>
        <w:t>19 pandemic:</w:t>
      </w:r>
    </w:p>
    <w:p w14:paraId="4AE62719" w14:textId="17EE6799" w:rsidR="00A677B2" w:rsidRPr="00A677B2" w:rsidRDefault="00A677B2" w:rsidP="004703FE">
      <w:pPr>
        <w:pStyle w:val="ACMABodyText"/>
        <w:numPr>
          <w:ilvl w:val="1"/>
          <w:numId w:val="42"/>
        </w:numPr>
        <w:ind w:left="1560"/>
        <w:rPr>
          <w:bCs/>
          <w:iCs/>
          <w:lang w:val="en-US"/>
        </w:rPr>
      </w:pPr>
      <w:r w:rsidRPr="00A677B2">
        <w:rPr>
          <w:bCs/>
          <w:i/>
          <w:iCs/>
          <w:lang w:val="en-US"/>
        </w:rPr>
        <w:t>The Pandemic Special</w:t>
      </w:r>
      <w:r w:rsidRPr="00A677B2">
        <w:rPr>
          <w:bCs/>
          <w:iCs/>
          <w:lang w:val="en-US"/>
        </w:rPr>
        <w:t>, which primarily concerned the impact of the COVID</w:t>
      </w:r>
      <w:r w:rsidRPr="00A677B2">
        <w:rPr>
          <w:rFonts w:ascii="Cambria Math" w:hAnsi="Cambria Math" w:cs="Cambria Math"/>
          <w:bCs/>
          <w:iCs/>
          <w:lang w:val="en-US"/>
        </w:rPr>
        <w:t>‐</w:t>
      </w:r>
      <w:r w:rsidRPr="00A677B2">
        <w:rPr>
          <w:bCs/>
          <w:iCs/>
          <w:lang w:val="en-US"/>
        </w:rPr>
        <w:t>19 pandemic and corresponding public health measures (such as lockdowns and mask wearing) and also satirised events of current social importance such as police brutality, racial unrest and divestment from the police;</w:t>
      </w:r>
      <w:r>
        <w:rPr>
          <w:rStyle w:val="FootnoteReference"/>
          <w:bCs/>
          <w:iCs/>
          <w:lang w:val="en-US"/>
        </w:rPr>
        <w:footnoteReference w:id="48"/>
      </w:r>
    </w:p>
    <w:p w14:paraId="3863F0A0" w14:textId="4C798F56" w:rsidR="00A677B2" w:rsidRPr="00A677B2" w:rsidRDefault="00A677B2" w:rsidP="004703FE">
      <w:pPr>
        <w:pStyle w:val="ACMABodyText"/>
        <w:numPr>
          <w:ilvl w:val="1"/>
          <w:numId w:val="42"/>
        </w:numPr>
        <w:ind w:left="1560"/>
        <w:rPr>
          <w:bCs/>
          <w:iCs/>
          <w:lang w:val="en-US"/>
        </w:rPr>
      </w:pPr>
      <w:r w:rsidRPr="00A677B2">
        <w:rPr>
          <w:bCs/>
          <w:i/>
          <w:iCs/>
          <w:lang w:val="en-US"/>
        </w:rPr>
        <w:t>South ParQ Vaccination Special</w:t>
      </w:r>
      <w:r w:rsidRPr="00A677B2">
        <w:rPr>
          <w:bCs/>
          <w:iCs/>
          <w:lang w:val="en-US"/>
        </w:rPr>
        <w:t>, which primarily concerned the rollout of COVID</w:t>
      </w:r>
      <w:r w:rsidRPr="00A677B2">
        <w:rPr>
          <w:rFonts w:ascii="Cambria Math" w:hAnsi="Cambria Math" w:cs="Cambria Math"/>
          <w:bCs/>
          <w:iCs/>
          <w:lang w:val="en-US"/>
        </w:rPr>
        <w:t>‐</w:t>
      </w:r>
      <w:r w:rsidRPr="00A677B2">
        <w:rPr>
          <w:bCs/>
          <w:iCs/>
          <w:lang w:val="en-US"/>
        </w:rPr>
        <w:t>19 vaccination in the United States;</w:t>
      </w:r>
      <w:r>
        <w:rPr>
          <w:rStyle w:val="FootnoteReference"/>
          <w:bCs/>
          <w:iCs/>
          <w:lang w:val="en-US"/>
        </w:rPr>
        <w:footnoteReference w:id="49"/>
      </w:r>
      <w:r w:rsidRPr="00A677B2">
        <w:rPr>
          <w:bCs/>
          <w:iCs/>
          <w:lang w:val="en-US"/>
        </w:rPr>
        <w:t xml:space="preserve"> and</w:t>
      </w:r>
    </w:p>
    <w:p w14:paraId="0A898F11" w14:textId="3446131A" w:rsidR="00A677B2" w:rsidRPr="00A677B2" w:rsidRDefault="00A677B2" w:rsidP="004703FE">
      <w:pPr>
        <w:pStyle w:val="ACMABodyText"/>
        <w:numPr>
          <w:ilvl w:val="1"/>
          <w:numId w:val="42"/>
        </w:numPr>
        <w:ind w:left="1560"/>
        <w:rPr>
          <w:bCs/>
          <w:iCs/>
          <w:lang w:val="en-US"/>
        </w:rPr>
      </w:pPr>
      <w:r w:rsidRPr="00A677B2">
        <w:rPr>
          <w:bCs/>
          <w:i/>
          <w:iCs/>
          <w:lang w:val="en-US"/>
        </w:rPr>
        <w:t>South Park: Post Covid: The Return of Covid</w:t>
      </w:r>
      <w:r w:rsidRPr="00A677B2">
        <w:rPr>
          <w:bCs/>
          <w:iCs/>
          <w:lang w:val="en-US"/>
        </w:rPr>
        <w:t>, which concerned, among other issues, the onset of the COVID</w:t>
      </w:r>
      <w:r w:rsidRPr="00A677B2">
        <w:rPr>
          <w:rFonts w:ascii="Cambria Math" w:hAnsi="Cambria Math" w:cs="Cambria Math"/>
          <w:bCs/>
          <w:iCs/>
          <w:lang w:val="en-US"/>
        </w:rPr>
        <w:t>‐</w:t>
      </w:r>
      <w:r w:rsidRPr="00A677B2">
        <w:rPr>
          <w:bCs/>
          <w:iCs/>
          <w:lang w:val="en-US"/>
        </w:rPr>
        <w:t>19 pandemic and the impact of new COVID</w:t>
      </w:r>
      <w:r w:rsidRPr="00A677B2">
        <w:rPr>
          <w:rFonts w:ascii="Cambria Math" w:hAnsi="Cambria Math" w:cs="Cambria Math"/>
          <w:bCs/>
          <w:iCs/>
          <w:lang w:val="en-US"/>
        </w:rPr>
        <w:t>‐</w:t>
      </w:r>
      <w:r w:rsidRPr="00A677B2">
        <w:rPr>
          <w:bCs/>
          <w:iCs/>
          <w:lang w:val="en-US"/>
        </w:rPr>
        <w:t>19 variants;</w:t>
      </w:r>
    </w:p>
    <w:p w14:paraId="6ECF8EB1" w14:textId="4F9BFC5D" w:rsidR="00A677B2" w:rsidRDefault="00A677B2" w:rsidP="00A677B2">
      <w:pPr>
        <w:pStyle w:val="BodyText"/>
        <w:ind w:left="851"/>
      </w:pPr>
      <w:r>
        <w:t>Similarly:</w:t>
      </w:r>
    </w:p>
    <w:p w14:paraId="03E7814E" w14:textId="79303451" w:rsidR="00A677B2" w:rsidRPr="007F4A78" w:rsidRDefault="00A677B2" w:rsidP="00C4325E">
      <w:pPr>
        <w:pStyle w:val="ListParagraph"/>
        <w:widowControl w:val="0"/>
        <w:numPr>
          <w:ilvl w:val="1"/>
          <w:numId w:val="42"/>
        </w:numPr>
        <w:autoSpaceDE w:val="0"/>
        <w:autoSpaceDN w:val="0"/>
        <w:spacing w:before="1" w:after="240" w:line="240" w:lineRule="atLeast"/>
        <w:ind w:left="1701" w:right="342"/>
        <w:contextualSpacing w:val="0"/>
        <w:rPr>
          <w:rFonts w:ascii="Arial" w:hAnsi="Arial" w:cs="Arial"/>
          <w:sz w:val="20"/>
          <w:szCs w:val="20"/>
        </w:rPr>
      </w:pPr>
      <w:r w:rsidRPr="007F4A78">
        <w:rPr>
          <w:rFonts w:ascii="Arial" w:hAnsi="Arial" w:cs="Arial"/>
          <w:sz w:val="20"/>
          <w:szCs w:val="20"/>
        </w:rPr>
        <w:t>in</w:t>
      </w:r>
      <w:r w:rsidRPr="007F4A78">
        <w:rPr>
          <w:rFonts w:ascii="Arial" w:hAnsi="Arial" w:cs="Arial"/>
          <w:spacing w:val="-7"/>
          <w:sz w:val="20"/>
          <w:szCs w:val="20"/>
        </w:rPr>
        <w:t xml:space="preserve"> </w:t>
      </w:r>
      <w:r w:rsidRPr="007F4A78">
        <w:rPr>
          <w:rFonts w:ascii="Arial" w:hAnsi="Arial" w:cs="Arial"/>
          <w:sz w:val="20"/>
          <w:szCs w:val="20"/>
        </w:rPr>
        <w:t>2021,</w:t>
      </w:r>
      <w:r w:rsidRPr="007F4A78">
        <w:rPr>
          <w:rFonts w:ascii="Arial" w:hAnsi="Arial" w:cs="Arial"/>
          <w:spacing w:val="-8"/>
          <w:sz w:val="20"/>
          <w:szCs w:val="20"/>
        </w:rPr>
        <w:t xml:space="preserve"> </w:t>
      </w:r>
      <w:r w:rsidRPr="007F4A78">
        <w:rPr>
          <w:rFonts w:ascii="Arial" w:hAnsi="Arial" w:cs="Arial"/>
          <w:sz w:val="20"/>
          <w:szCs w:val="20"/>
        </w:rPr>
        <w:t>the</w:t>
      </w:r>
      <w:r w:rsidRPr="007F4A78">
        <w:rPr>
          <w:rFonts w:ascii="Arial" w:hAnsi="Arial" w:cs="Arial"/>
          <w:spacing w:val="-6"/>
          <w:sz w:val="20"/>
          <w:szCs w:val="20"/>
        </w:rPr>
        <w:t xml:space="preserve"> </w:t>
      </w:r>
      <w:r w:rsidRPr="007F4A78">
        <w:rPr>
          <w:rFonts w:ascii="Arial" w:hAnsi="Arial" w:cs="Arial"/>
          <w:sz w:val="20"/>
          <w:szCs w:val="20"/>
        </w:rPr>
        <w:t>sitcom</w:t>
      </w:r>
      <w:r w:rsidRPr="007F4A78">
        <w:rPr>
          <w:rFonts w:ascii="Arial" w:hAnsi="Arial" w:cs="Arial"/>
          <w:spacing w:val="-6"/>
          <w:sz w:val="20"/>
          <w:szCs w:val="20"/>
        </w:rPr>
        <w:t xml:space="preserve"> </w:t>
      </w:r>
      <w:r w:rsidRPr="007F4A78">
        <w:rPr>
          <w:rFonts w:ascii="Arial" w:hAnsi="Arial" w:cs="Arial"/>
          <w:i/>
          <w:sz w:val="20"/>
          <w:szCs w:val="20"/>
        </w:rPr>
        <w:t>It’s</w:t>
      </w:r>
      <w:r w:rsidRPr="007F4A78">
        <w:rPr>
          <w:rFonts w:ascii="Arial" w:hAnsi="Arial" w:cs="Arial"/>
          <w:i/>
          <w:spacing w:val="-7"/>
          <w:sz w:val="20"/>
          <w:szCs w:val="20"/>
        </w:rPr>
        <w:t xml:space="preserve"> </w:t>
      </w:r>
      <w:r w:rsidRPr="007F4A78">
        <w:rPr>
          <w:rFonts w:ascii="Arial" w:hAnsi="Arial" w:cs="Arial"/>
          <w:i/>
          <w:sz w:val="20"/>
          <w:szCs w:val="20"/>
        </w:rPr>
        <w:t>Always</w:t>
      </w:r>
      <w:r w:rsidRPr="007F4A78">
        <w:rPr>
          <w:rFonts w:ascii="Arial" w:hAnsi="Arial" w:cs="Arial"/>
          <w:i/>
          <w:spacing w:val="-8"/>
          <w:sz w:val="20"/>
          <w:szCs w:val="20"/>
        </w:rPr>
        <w:t xml:space="preserve"> </w:t>
      </w:r>
      <w:r w:rsidRPr="007F4A78">
        <w:rPr>
          <w:rFonts w:ascii="Arial" w:hAnsi="Arial" w:cs="Arial"/>
          <w:i/>
          <w:sz w:val="20"/>
          <w:szCs w:val="20"/>
        </w:rPr>
        <w:t>Sunny</w:t>
      </w:r>
      <w:r w:rsidRPr="007F4A78">
        <w:rPr>
          <w:rFonts w:ascii="Arial" w:hAnsi="Arial" w:cs="Arial"/>
          <w:i/>
          <w:spacing w:val="-8"/>
          <w:sz w:val="20"/>
          <w:szCs w:val="20"/>
        </w:rPr>
        <w:t xml:space="preserve"> </w:t>
      </w:r>
      <w:r w:rsidRPr="007F4A78">
        <w:rPr>
          <w:rFonts w:ascii="Arial" w:hAnsi="Arial" w:cs="Arial"/>
          <w:i/>
          <w:sz w:val="20"/>
          <w:szCs w:val="20"/>
        </w:rPr>
        <w:t>in</w:t>
      </w:r>
      <w:r w:rsidRPr="007F4A78">
        <w:rPr>
          <w:rFonts w:ascii="Arial" w:hAnsi="Arial" w:cs="Arial"/>
          <w:i/>
          <w:spacing w:val="-6"/>
          <w:sz w:val="20"/>
          <w:szCs w:val="20"/>
        </w:rPr>
        <w:t xml:space="preserve"> </w:t>
      </w:r>
      <w:r w:rsidRPr="007F4A78">
        <w:rPr>
          <w:rFonts w:ascii="Arial" w:hAnsi="Arial" w:cs="Arial"/>
          <w:i/>
          <w:sz w:val="20"/>
          <w:szCs w:val="20"/>
        </w:rPr>
        <w:t>Philadelphia</w:t>
      </w:r>
      <w:r w:rsidRPr="007F4A78">
        <w:rPr>
          <w:rFonts w:ascii="Arial" w:hAnsi="Arial" w:cs="Arial"/>
          <w:i/>
          <w:spacing w:val="-7"/>
          <w:sz w:val="20"/>
          <w:szCs w:val="20"/>
        </w:rPr>
        <w:t xml:space="preserve"> </w:t>
      </w:r>
      <w:r w:rsidRPr="007F4A78">
        <w:rPr>
          <w:rFonts w:ascii="Arial" w:hAnsi="Arial" w:cs="Arial"/>
          <w:sz w:val="20"/>
          <w:szCs w:val="20"/>
        </w:rPr>
        <w:t>broadcast</w:t>
      </w:r>
      <w:r w:rsidRPr="007F4A78">
        <w:rPr>
          <w:rFonts w:ascii="Arial" w:hAnsi="Arial" w:cs="Arial"/>
          <w:spacing w:val="-7"/>
          <w:sz w:val="20"/>
          <w:szCs w:val="20"/>
        </w:rPr>
        <w:t xml:space="preserve"> </w:t>
      </w:r>
      <w:r w:rsidRPr="007F4A78">
        <w:rPr>
          <w:rFonts w:ascii="Arial" w:hAnsi="Arial" w:cs="Arial"/>
          <w:sz w:val="20"/>
          <w:szCs w:val="20"/>
        </w:rPr>
        <w:t>an</w:t>
      </w:r>
      <w:r w:rsidRPr="007F4A78">
        <w:rPr>
          <w:rFonts w:ascii="Arial" w:hAnsi="Arial" w:cs="Arial"/>
          <w:spacing w:val="-6"/>
          <w:sz w:val="20"/>
          <w:szCs w:val="20"/>
        </w:rPr>
        <w:t xml:space="preserve"> </w:t>
      </w:r>
      <w:r w:rsidRPr="007F4A78">
        <w:rPr>
          <w:rFonts w:ascii="Arial" w:hAnsi="Arial" w:cs="Arial"/>
          <w:sz w:val="20"/>
          <w:szCs w:val="20"/>
        </w:rPr>
        <w:t>episode</w:t>
      </w:r>
      <w:r w:rsidRPr="007F4A78">
        <w:rPr>
          <w:rFonts w:ascii="Arial" w:hAnsi="Arial" w:cs="Arial"/>
          <w:spacing w:val="-7"/>
          <w:sz w:val="20"/>
          <w:szCs w:val="20"/>
        </w:rPr>
        <w:t xml:space="preserve"> </w:t>
      </w:r>
      <w:r w:rsidRPr="007F4A78">
        <w:rPr>
          <w:rFonts w:ascii="Arial" w:hAnsi="Arial" w:cs="Arial"/>
          <w:sz w:val="20"/>
          <w:szCs w:val="20"/>
        </w:rPr>
        <w:t>which concerned,</w:t>
      </w:r>
      <w:r w:rsidRPr="007F4A78">
        <w:rPr>
          <w:rFonts w:ascii="Arial" w:hAnsi="Arial" w:cs="Arial"/>
          <w:spacing w:val="-5"/>
          <w:sz w:val="20"/>
          <w:szCs w:val="20"/>
        </w:rPr>
        <w:t xml:space="preserve"> </w:t>
      </w:r>
      <w:r w:rsidRPr="007F4A78">
        <w:rPr>
          <w:rFonts w:ascii="Arial" w:hAnsi="Arial" w:cs="Arial"/>
          <w:sz w:val="20"/>
          <w:szCs w:val="20"/>
        </w:rPr>
        <w:t>in</w:t>
      </w:r>
      <w:r w:rsidRPr="007F4A78">
        <w:rPr>
          <w:rFonts w:ascii="Arial" w:hAnsi="Arial" w:cs="Arial"/>
          <w:spacing w:val="-6"/>
          <w:sz w:val="20"/>
          <w:szCs w:val="20"/>
        </w:rPr>
        <w:t xml:space="preserve"> </w:t>
      </w:r>
      <w:r w:rsidRPr="007F4A78">
        <w:rPr>
          <w:rFonts w:ascii="Arial" w:hAnsi="Arial" w:cs="Arial"/>
          <w:sz w:val="20"/>
          <w:szCs w:val="20"/>
        </w:rPr>
        <w:t>part,</w:t>
      </w:r>
      <w:r w:rsidRPr="007F4A78">
        <w:rPr>
          <w:rFonts w:ascii="Arial" w:hAnsi="Arial" w:cs="Arial"/>
          <w:spacing w:val="-6"/>
          <w:sz w:val="20"/>
          <w:szCs w:val="20"/>
        </w:rPr>
        <w:t xml:space="preserve"> </w:t>
      </w:r>
      <w:r w:rsidRPr="007F4A78">
        <w:rPr>
          <w:rFonts w:ascii="Arial" w:hAnsi="Arial" w:cs="Arial"/>
          <w:sz w:val="20"/>
          <w:szCs w:val="20"/>
        </w:rPr>
        <w:t>a</w:t>
      </w:r>
      <w:r w:rsidRPr="007F4A78">
        <w:rPr>
          <w:rFonts w:ascii="Arial" w:hAnsi="Arial" w:cs="Arial"/>
          <w:spacing w:val="-4"/>
          <w:sz w:val="20"/>
          <w:szCs w:val="20"/>
        </w:rPr>
        <w:t xml:space="preserve"> </w:t>
      </w:r>
      <w:r w:rsidRPr="007F4A78">
        <w:rPr>
          <w:rFonts w:ascii="Arial" w:hAnsi="Arial" w:cs="Arial"/>
          <w:sz w:val="20"/>
          <w:szCs w:val="20"/>
        </w:rPr>
        <w:t>character’s</w:t>
      </w:r>
      <w:r w:rsidRPr="007F4A78">
        <w:rPr>
          <w:rFonts w:ascii="Arial" w:hAnsi="Arial" w:cs="Arial"/>
          <w:spacing w:val="-4"/>
          <w:sz w:val="20"/>
          <w:szCs w:val="20"/>
        </w:rPr>
        <w:t xml:space="preserve"> </w:t>
      </w:r>
      <w:r w:rsidRPr="007F4A78">
        <w:rPr>
          <w:rFonts w:ascii="Arial" w:hAnsi="Arial" w:cs="Arial"/>
          <w:sz w:val="20"/>
          <w:szCs w:val="20"/>
        </w:rPr>
        <w:t>refusal</w:t>
      </w:r>
      <w:r w:rsidRPr="007F4A78">
        <w:rPr>
          <w:rFonts w:ascii="Arial" w:hAnsi="Arial" w:cs="Arial"/>
          <w:spacing w:val="-4"/>
          <w:sz w:val="20"/>
          <w:szCs w:val="20"/>
        </w:rPr>
        <w:t xml:space="preserve"> </w:t>
      </w:r>
      <w:r w:rsidRPr="007F4A78">
        <w:rPr>
          <w:rFonts w:ascii="Arial" w:hAnsi="Arial" w:cs="Arial"/>
          <w:sz w:val="20"/>
          <w:szCs w:val="20"/>
        </w:rPr>
        <w:t>to</w:t>
      </w:r>
      <w:r w:rsidRPr="007F4A78">
        <w:rPr>
          <w:rFonts w:ascii="Arial" w:hAnsi="Arial" w:cs="Arial"/>
          <w:spacing w:val="-8"/>
          <w:sz w:val="20"/>
          <w:szCs w:val="20"/>
        </w:rPr>
        <w:t xml:space="preserve"> </w:t>
      </w:r>
      <w:r w:rsidRPr="007F4A78">
        <w:rPr>
          <w:rFonts w:ascii="Arial" w:hAnsi="Arial" w:cs="Arial"/>
          <w:sz w:val="20"/>
          <w:szCs w:val="20"/>
        </w:rPr>
        <w:t>receive</w:t>
      </w:r>
      <w:r w:rsidRPr="007F4A78">
        <w:rPr>
          <w:rFonts w:ascii="Arial" w:hAnsi="Arial" w:cs="Arial"/>
          <w:spacing w:val="-4"/>
          <w:sz w:val="20"/>
          <w:szCs w:val="20"/>
        </w:rPr>
        <w:t xml:space="preserve"> </w:t>
      </w:r>
      <w:r w:rsidRPr="007F4A78">
        <w:rPr>
          <w:rFonts w:ascii="Arial" w:hAnsi="Arial" w:cs="Arial"/>
          <w:sz w:val="20"/>
          <w:szCs w:val="20"/>
        </w:rPr>
        <w:t>the</w:t>
      </w:r>
      <w:r w:rsidRPr="007F4A78">
        <w:rPr>
          <w:rFonts w:ascii="Arial" w:hAnsi="Arial" w:cs="Arial"/>
          <w:spacing w:val="-7"/>
          <w:sz w:val="20"/>
          <w:szCs w:val="20"/>
        </w:rPr>
        <w:t xml:space="preserve"> </w:t>
      </w:r>
      <w:r w:rsidRPr="007F4A78">
        <w:rPr>
          <w:rFonts w:ascii="Arial" w:hAnsi="Arial" w:cs="Arial"/>
          <w:sz w:val="20"/>
          <w:szCs w:val="20"/>
        </w:rPr>
        <w:t>COVID</w:t>
      </w:r>
      <w:r w:rsidRPr="007F4A78">
        <w:rPr>
          <w:rFonts w:ascii="Cambria Math" w:hAnsi="Cambria Math" w:cs="Cambria Math"/>
          <w:sz w:val="20"/>
          <w:szCs w:val="20"/>
        </w:rPr>
        <w:t>‐</w:t>
      </w:r>
      <w:r w:rsidRPr="007F4A78">
        <w:rPr>
          <w:rFonts w:ascii="Arial" w:hAnsi="Arial" w:cs="Arial"/>
          <w:sz w:val="20"/>
          <w:szCs w:val="20"/>
        </w:rPr>
        <w:t>19</w:t>
      </w:r>
      <w:r w:rsidRPr="007F4A78">
        <w:rPr>
          <w:rFonts w:ascii="Arial" w:hAnsi="Arial" w:cs="Arial"/>
          <w:spacing w:val="-4"/>
          <w:sz w:val="20"/>
          <w:szCs w:val="20"/>
        </w:rPr>
        <w:t xml:space="preserve"> </w:t>
      </w:r>
      <w:r w:rsidRPr="007F4A78">
        <w:rPr>
          <w:rFonts w:ascii="Arial" w:hAnsi="Arial" w:cs="Arial"/>
          <w:sz w:val="20"/>
          <w:szCs w:val="20"/>
        </w:rPr>
        <w:t>vaccine</w:t>
      </w:r>
      <w:r w:rsidRPr="007F4A78">
        <w:rPr>
          <w:rFonts w:ascii="Arial" w:hAnsi="Arial" w:cs="Arial"/>
          <w:spacing w:val="-5"/>
          <w:sz w:val="20"/>
          <w:szCs w:val="20"/>
        </w:rPr>
        <w:t xml:space="preserve"> </w:t>
      </w:r>
      <w:r w:rsidRPr="007F4A78">
        <w:rPr>
          <w:rFonts w:ascii="Arial" w:hAnsi="Arial" w:cs="Arial"/>
          <w:sz w:val="20"/>
          <w:szCs w:val="20"/>
        </w:rPr>
        <w:t>and</w:t>
      </w:r>
      <w:r w:rsidR="007F4A78">
        <w:rPr>
          <w:rFonts w:ascii="Arial" w:hAnsi="Arial" w:cs="Arial"/>
          <w:sz w:val="20"/>
          <w:szCs w:val="20"/>
        </w:rPr>
        <w:t xml:space="preserve"> </w:t>
      </w:r>
      <w:r w:rsidR="007F4A78" w:rsidRPr="007F4A78">
        <w:rPr>
          <w:rFonts w:ascii="Arial" w:hAnsi="Arial" w:cs="Arial"/>
          <w:i/>
          <w:sz w:val="20"/>
          <w:szCs w:val="20"/>
          <w:lang w:val="en-US"/>
        </w:rPr>
        <w:t>symptoms associated with COVID</w:t>
      </w:r>
      <w:r w:rsidR="007F4A78" w:rsidRPr="007F4A78">
        <w:rPr>
          <w:rFonts w:ascii="Cambria Math" w:hAnsi="Cambria Math" w:cs="Cambria Math"/>
          <w:i/>
          <w:sz w:val="20"/>
          <w:szCs w:val="20"/>
          <w:lang w:val="en-US"/>
        </w:rPr>
        <w:t>‐</w:t>
      </w:r>
      <w:r w:rsidR="007F4A78" w:rsidRPr="007F4A78">
        <w:rPr>
          <w:rFonts w:ascii="Arial" w:hAnsi="Arial" w:cs="Arial"/>
          <w:i/>
          <w:sz w:val="20"/>
          <w:szCs w:val="20"/>
          <w:lang w:val="en-US"/>
        </w:rPr>
        <w:t>19;</w:t>
      </w:r>
      <w:r w:rsidR="007F4A78">
        <w:rPr>
          <w:rStyle w:val="FootnoteReference"/>
          <w:rFonts w:ascii="Arial" w:hAnsi="Arial" w:cs="Arial"/>
          <w:i/>
          <w:sz w:val="20"/>
          <w:szCs w:val="20"/>
          <w:lang w:val="en-US"/>
        </w:rPr>
        <w:footnoteReference w:id="50"/>
      </w:r>
    </w:p>
    <w:p w14:paraId="0177020F" w14:textId="5215DC33" w:rsidR="007F4A78" w:rsidRPr="007F4A78" w:rsidRDefault="007F4A78" w:rsidP="00C4325E">
      <w:pPr>
        <w:pStyle w:val="ACMABodyText"/>
        <w:numPr>
          <w:ilvl w:val="1"/>
          <w:numId w:val="42"/>
        </w:numPr>
        <w:ind w:left="1701"/>
        <w:rPr>
          <w:bCs/>
          <w:iCs/>
          <w:lang w:val="en-US"/>
        </w:rPr>
      </w:pPr>
      <w:r w:rsidRPr="007F4A78">
        <w:rPr>
          <w:bCs/>
          <w:iCs/>
          <w:lang w:val="en-US"/>
        </w:rPr>
        <w:t xml:space="preserve">medical drama </w:t>
      </w:r>
      <w:r w:rsidRPr="007F4A78">
        <w:rPr>
          <w:bCs/>
          <w:i/>
          <w:iCs/>
          <w:lang w:val="en-US"/>
        </w:rPr>
        <w:t xml:space="preserve">Grey’s Anatomy </w:t>
      </w:r>
      <w:r w:rsidRPr="007F4A78">
        <w:rPr>
          <w:bCs/>
          <w:iCs/>
          <w:lang w:val="en-US"/>
        </w:rPr>
        <w:t>featured plotlines dealing with “</w:t>
      </w:r>
      <w:r w:rsidRPr="007F4A78">
        <w:rPr>
          <w:bCs/>
          <w:i/>
          <w:iCs/>
          <w:lang w:val="en-US"/>
        </w:rPr>
        <w:t>the professional and personal toll the crisis had on the lives of their characters by featuring PPE shortages, overflowing hospital wards and having the beloved Meredith Grey contract the virus herself</w:t>
      </w:r>
      <w:r w:rsidRPr="007F4A78">
        <w:rPr>
          <w:bCs/>
          <w:iCs/>
          <w:lang w:val="en-US"/>
        </w:rPr>
        <w:t>”;</w:t>
      </w:r>
      <w:r>
        <w:rPr>
          <w:rStyle w:val="FootnoteReference"/>
          <w:bCs/>
          <w:iCs/>
          <w:lang w:val="en-US"/>
        </w:rPr>
        <w:footnoteReference w:id="51"/>
      </w:r>
    </w:p>
    <w:p w14:paraId="2A467CD2" w14:textId="1CC6C0E8" w:rsidR="007F4A78" w:rsidRPr="007F4A78" w:rsidRDefault="007F4A78" w:rsidP="00C4325E">
      <w:pPr>
        <w:pStyle w:val="ACMABodyText"/>
        <w:numPr>
          <w:ilvl w:val="1"/>
          <w:numId w:val="42"/>
        </w:numPr>
        <w:ind w:left="1701"/>
        <w:rPr>
          <w:bCs/>
          <w:iCs/>
          <w:lang w:val="en-US"/>
        </w:rPr>
      </w:pPr>
      <w:r w:rsidRPr="007F4A78">
        <w:rPr>
          <w:bCs/>
          <w:iCs/>
          <w:lang w:val="en-US"/>
        </w:rPr>
        <w:t xml:space="preserve">sitcom </w:t>
      </w:r>
      <w:r w:rsidRPr="007F4A78">
        <w:rPr>
          <w:bCs/>
          <w:i/>
          <w:iCs/>
          <w:lang w:val="en-US"/>
        </w:rPr>
        <w:t xml:space="preserve">Superstore </w:t>
      </w:r>
      <w:r w:rsidRPr="007F4A78">
        <w:rPr>
          <w:bCs/>
          <w:iCs/>
          <w:lang w:val="en-US"/>
        </w:rPr>
        <w:t>“</w:t>
      </w:r>
      <w:r w:rsidRPr="007F4A78">
        <w:rPr>
          <w:bCs/>
          <w:i/>
          <w:iCs/>
          <w:lang w:val="en-US"/>
        </w:rPr>
        <w:t>leaned heavily to its pandemic plot lines</w:t>
      </w:r>
      <w:r w:rsidRPr="007F4A78">
        <w:rPr>
          <w:bCs/>
          <w:iCs/>
          <w:lang w:val="en-US"/>
        </w:rPr>
        <w:t>” and featured scenes displaying customers fighting over toilet paper due to shortages associated with the COVID</w:t>
      </w:r>
      <w:r w:rsidRPr="007F4A78">
        <w:rPr>
          <w:rFonts w:ascii="Cambria Math" w:hAnsi="Cambria Math" w:cs="Cambria Math"/>
          <w:bCs/>
          <w:iCs/>
          <w:lang w:val="en-US"/>
        </w:rPr>
        <w:t>‐</w:t>
      </w:r>
      <w:r w:rsidRPr="007F4A78">
        <w:rPr>
          <w:bCs/>
          <w:iCs/>
          <w:lang w:val="en-US"/>
        </w:rPr>
        <w:t>19 pandemic;</w:t>
      </w:r>
      <w:r>
        <w:rPr>
          <w:rStyle w:val="FootnoteReference"/>
          <w:bCs/>
          <w:iCs/>
          <w:lang w:val="en-US"/>
        </w:rPr>
        <w:footnoteReference w:id="52"/>
      </w:r>
    </w:p>
    <w:p w14:paraId="4F18ACDC" w14:textId="3A413967" w:rsidR="007F4A78" w:rsidRDefault="007F4A78" w:rsidP="00C4325E">
      <w:pPr>
        <w:pStyle w:val="ACMABodyText"/>
        <w:numPr>
          <w:ilvl w:val="1"/>
          <w:numId w:val="42"/>
        </w:numPr>
        <w:ind w:left="1701"/>
        <w:rPr>
          <w:bCs/>
          <w:iCs/>
          <w:lang w:val="en-US"/>
        </w:rPr>
      </w:pPr>
      <w:r w:rsidRPr="007F4A78">
        <w:rPr>
          <w:bCs/>
          <w:iCs/>
          <w:lang w:val="en-US"/>
        </w:rPr>
        <w:t xml:space="preserve">comedy drama </w:t>
      </w:r>
      <w:r w:rsidRPr="007F4A78">
        <w:rPr>
          <w:bCs/>
          <w:i/>
          <w:iCs/>
          <w:lang w:val="en-US"/>
        </w:rPr>
        <w:t xml:space="preserve">Shameless </w:t>
      </w:r>
      <w:r w:rsidRPr="007F4A78">
        <w:rPr>
          <w:bCs/>
          <w:iCs/>
          <w:lang w:val="en-US"/>
        </w:rPr>
        <w:t>incorporated storylines related to the COVID</w:t>
      </w:r>
      <w:r w:rsidRPr="007F4A78">
        <w:rPr>
          <w:rFonts w:ascii="Cambria Math" w:hAnsi="Cambria Math" w:cs="Cambria Math"/>
          <w:bCs/>
          <w:iCs/>
          <w:lang w:val="en-US"/>
        </w:rPr>
        <w:t>‐</w:t>
      </w:r>
      <w:r w:rsidRPr="007F4A78">
        <w:rPr>
          <w:bCs/>
          <w:iCs/>
          <w:lang w:val="en-US"/>
        </w:rPr>
        <w:t>19 pandemic during its final season;</w:t>
      </w:r>
      <w:r>
        <w:rPr>
          <w:rStyle w:val="FootnoteReference"/>
          <w:bCs/>
          <w:iCs/>
          <w:lang w:val="en-US"/>
        </w:rPr>
        <w:footnoteReference w:id="53"/>
      </w:r>
      <w:r w:rsidRPr="007F4A78">
        <w:rPr>
          <w:bCs/>
          <w:iCs/>
          <w:lang w:val="en-US"/>
        </w:rPr>
        <w:t xml:space="preserve"> and</w:t>
      </w:r>
    </w:p>
    <w:p w14:paraId="11819433" w14:textId="6EC6E079" w:rsidR="00A677B2" w:rsidRPr="007F4A78" w:rsidRDefault="007F4A78" w:rsidP="00C4325E">
      <w:pPr>
        <w:pStyle w:val="ACMABodyText"/>
        <w:numPr>
          <w:ilvl w:val="1"/>
          <w:numId w:val="42"/>
        </w:numPr>
        <w:ind w:left="1701"/>
        <w:rPr>
          <w:bCs/>
          <w:iCs/>
          <w:lang w:val="en-US"/>
        </w:rPr>
      </w:pPr>
      <w:r w:rsidRPr="007F4A78">
        <w:rPr>
          <w:bCs/>
          <w:lang w:val="en-US"/>
        </w:rPr>
        <w:lastRenderedPageBreak/>
        <w:t>family drama</w:t>
      </w:r>
      <w:r w:rsidRPr="007F4A78">
        <w:rPr>
          <w:bCs/>
          <w:i/>
          <w:iCs/>
          <w:lang w:val="en-US"/>
        </w:rPr>
        <w:t xml:space="preserve"> This Is Us “weaved the pandemic into their fifth season by showing their characters wearing masks and isolating at home”.</w:t>
      </w:r>
      <w:r>
        <w:rPr>
          <w:rStyle w:val="FootnoteReference"/>
          <w:bCs/>
          <w:i/>
          <w:iCs/>
          <w:lang w:val="en-US"/>
        </w:rPr>
        <w:footnoteReference w:id="54"/>
      </w:r>
    </w:p>
    <w:p w14:paraId="3306FE7C" w14:textId="2A487892" w:rsidR="007F4A78" w:rsidRPr="00C4325E" w:rsidRDefault="007F4A78" w:rsidP="00C4325E">
      <w:pPr>
        <w:pStyle w:val="ListParagraph"/>
        <w:widowControl w:val="0"/>
        <w:numPr>
          <w:ilvl w:val="0"/>
          <w:numId w:val="42"/>
        </w:numPr>
        <w:autoSpaceDE w:val="0"/>
        <w:autoSpaceDN w:val="0"/>
        <w:spacing w:after="0" w:line="237" w:lineRule="auto"/>
        <w:ind w:left="851" w:right="159"/>
        <w:contextualSpacing w:val="0"/>
        <w:rPr>
          <w:rFonts w:ascii="Arial" w:hAnsi="Arial" w:cs="Arial"/>
          <w:sz w:val="20"/>
          <w:szCs w:val="20"/>
        </w:rPr>
      </w:pPr>
      <w:r w:rsidRPr="00C4325E">
        <w:rPr>
          <w:rFonts w:ascii="Arial" w:hAnsi="Arial" w:cs="Arial"/>
          <w:sz w:val="20"/>
          <w:szCs w:val="20"/>
        </w:rPr>
        <w:t>Any reality</w:t>
      </w:r>
      <w:r w:rsidRPr="00C4325E">
        <w:rPr>
          <w:rFonts w:ascii="Cambria Math" w:hAnsi="Cambria Math" w:cs="Cambria Math"/>
          <w:sz w:val="20"/>
          <w:szCs w:val="20"/>
        </w:rPr>
        <w:t>‐</w:t>
      </w:r>
      <w:r w:rsidRPr="00C4325E">
        <w:rPr>
          <w:rFonts w:ascii="Arial" w:hAnsi="Arial" w:cs="Arial"/>
          <w:sz w:val="20"/>
          <w:szCs w:val="20"/>
        </w:rPr>
        <w:t xml:space="preserve">style television program within which the contestants or participants discuss issues of current importance </w:t>
      </w:r>
      <w:r w:rsidR="002D101A">
        <w:rPr>
          <w:rFonts w:ascii="Arial" w:hAnsi="Arial" w:cs="Arial"/>
          <w:sz w:val="20"/>
          <w:szCs w:val="20"/>
        </w:rPr>
        <w:t>[…]</w:t>
      </w:r>
      <w:r w:rsidRPr="00C4325E">
        <w:rPr>
          <w:rFonts w:ascii="Arial" w:hAnsi="Arial" w:cs="Arial"/>
          <w:sz w:val="20"/>
          <w:szCs w:val="20"/>
        </w:rPr>
        <w:t xml:space="preserve">For instance, Australian reality television programs </w:t>
      </w:r>
      <w:r w:rsidRPr="00C4325E">
        <w:rPr>
          <w:rFonts w:ascii="Arial" w:hAnsi="Arial" w:cs="Arial"/>
          <w:i/>
          <w:sz w:val="20"/>
          <w:szCs w:val="20"/>
        </w:rPr>
        <w:t xml:space="preserve">The Block </w:t>
      </w:r>
      <w:r w:rsidRPr="00C4325E">
        <w:rPr>
          <w:rFonts w:ascii="Arial" w:hAnsi="Arial" w:cs="Arial"/>
          <w:sz w:val="20"/>
          <w:szCs w:val="20"/>
        </w:rPr>
        <w:t>and</w:t>
      </w:r>
      <w:r w:rsidRPr="00C4325E">
        <w:rPr>
          <w:rFonts w:ascii="Arial" w:hAnsi="Arial" w:cs="Arial"/>
          <w:spacing w:val="-8"/>
          <w:sz w:val="20"/>
          <w:szCs w:val="20"/>
        </w:rPr>
        <w:t xml:space="preserve"> </w:t>
      </w:r>
      <w:r w:rsidRPr="00C4325E">
        <w:rPr>
          <w:rFonts w:ascii="Arial" w:hAnsi="Arial" w:cs="Arial"/>
          <w:i/>
          <w:sz w:val="20"/>
          <w:szCs w:val="20"/>
        </w:rPr>
        <w:t>The</w:t>
      </w:r>
      <w:r w:rsidRPr="00C4325E">
        <w:rPr>
          <w:rFonts w:ascii="Arial" w:hAnsi="Arial" w:cs="Arial"/>
          <w:i/>
          <w:spacing w:val="-8"/>
          <w:sz w:val="20"/>
          <w:szCs w:val="20"/>
        </w:rPr>
        <w:t xml:space="preserve"> </w:t>
      </w:r>
      <w:r w:rsidRPr="00C4325E">
        <w:rPr>
          <w:rFonts w:ascii="Arial" w:hAnsi="Arial" w:cs="Arial"/>
          <w:i/>
          <w:sz w:val="20"/>
          <w:szCs w:val="20"/>
        </w:rPr>
        <w:t>Bachelor</w:t>
      </w:r>
      <w:r w:rsidRPr="00C4325E">
        <w:rPr>
          <w:rFonts w:ascii="Arial" w:hAnsi="Arial" w:cs="Arial"/>
          <w:i/>
          <w:spacing w:val="-9"/>
          <w:sz w:val="20"/>
          <w:szCs w:val="20"/>
        </w:rPr>
        <w:t xml:space="preserve"> </w:t>
      </w:r>
      <w:r w:rsidRPr="00C4325E">
        <w:rPr>
          <w:rFonts w:ascii="Arial" w:hAnsi="Arial" w:cs="Arial"/>
          <w:sz w:val="20"/>
          <w:szCs w:val="20"/>
        </w:rPr>
        <w:t>featured</w:t>
      </w:r>
      <w:r w:rsidRPr="00C4325E">
        <w:rPr>
          <w:rFonts w:ascii="Arial" w:hAnsi="Arial" w:cs="Arial"/>
          <w:spacing w:val="-7"/>
          <w:sz w:val="20"/>
          <w:szCs w:val="20"/>
        </w:rPr>
        <w:t xml:space="preserve"> </w:t>
      </w:r>
      <w:r w:rsidRPr="00C4325E">
        <w:rPr>
          <w:rFonts w:ascii="Arial" w:hAnsi="Arial" w:cs="Arial"/>
          <w:sz w:val="20"/>
          <w:szCs w:val="20"/>
        </w:rPr>
        <w:t>extensive</w:t>
      </w:r>
      <w:r w:rsidRPr="00C4325E">
        <w:rPr>
          <w:rFonts w:ascii="Arial" w:hAnsi="Arial" w:cs="Arial"/>
          <w:spacing w:val="-7"/>
          <w:sz w:val="20"/>
          <w:szCs w:val="20"/>
        </w:rPr>
        <w:t xml:space="preserve"> </w:t>
      </w:r>
      <w:r w:rsidRPr="00C4325E">
        <w:rPr>
          <w:rFonts w:ascii="Arial" w:hAnsi="Arial" w:cs="Arial"/>
          <w:sz w:val="20"/>
          <w:szCs w:val="20"/>
        </w:rPr>
        <w:t>coverage</w:t>
      </w:r>
      <w:r w:rsidRPr="00C4325E">
        <w:rPr>
          <w:rFonts w:ascii="Arial" w:hAnsi="Arial" w:cs="Arial"/>
          <w:spacing w:val="-9"/>
          <w:sz w:val="20"/>
          <w:szCs w:val="20"/>
        </w:rPr>
        <w:t xml:space="preserve"> </w:t>
      </w:r>
      <w:r w:rsidRPr="00C4325E">
        <w:rPr>
          <w:rFonts w:ascii="Arial" w:hAnsi="Arial" w:cs="Arial"/>
          <w:sz w:val="20"/>
          <w:szCs w:val="20"/>
        </w:rPr>
        <w:t>related</w:t>
      </w:r>
      <w:r w:rsidRPr="00C4325E">
        <w:rPr>
          <w:rFonts w:ascii="Arial" w:hAnsi="Arial" w:cs="Arial"/>
          <w:spacing w:val="-7"/>
          <w:sz w:val="20"/>
          <w:szCs w:val="20"/>
        </w:rPr>
        <w:t xml:space="preserve"> </w:t>
      </w:r>
      <w:r w:rsidRPr="00C4325E">
        <w:rPr>
          <w:rFonts w:ascii="Arial" w:hAnsi="Arial" w:cs="Arial"/>
          <w:sz w:val="20"/>
          <w:szCs w:val="20"/>
        </w:rPr>
        <w:t>to</w:t>
      </w:r>
      <w:r w:rsidRPr="00C4325E">
        <w:rPr>
          <w:rFonts w:ascii="Arial" w:hAnsi="Arial" w:cs="Arial"/>
          <w:spacing w:val="-8"/>
          <w:sz w:val="20"/>
          <w:szCs w:val="20"/>
        </w:rPr>
        <w:t xml:space="preserve"> </w:t>
      </w:r>
      <w:r w:rsidRPr="00C4325E">
        <w:rPr>
          <w:rFonts w:ascii="Arial" w:hAnsi="Arial" w:cs="Arial"/>
          <w:sz w:val="20"/>
          <w:szCs w:val="20"/>
        </w:rPr>
        <w:t>the</w:t>
      </w:r>
      <w:r w:rsidRPr="00C4325E">
        <w:rPr>
          <w:rFonts w:ascii="Arial" w:hAnsi="Arial" w:cs="Arial"/>
          <w:spacing w:val="-7"/>
          <w:sz w:val="20"/>
          <w:szCs w:val="20"/>
        </w:rPr>
        <w:t xml:space="preserve"> </w:t>
      </w:r>
      <w:r w:rsidRPr="00C4325E">
        <w:rPr>
          <w:rFonts w:ascii="Arial" w:hAnsi="Arial" w:cs="Arial"/>
          <w:sz w:val="20"/>
          <w:szCs w:val="20"/>
        </w:rPr>
        <w:t>effects</w:t>
      </w:r>
      <w:r w:rsidRPr="00C4325E">
        <w:rPr>
          <w:rFonts w:ascii="Arial" w:hAnsi="Arial" w:cs="Arial"/>
          <w:spacing w:val="-7"/>
          <w:sz w:val="20"/>
          <w:szCs w:val="20"/>
        </w:rPr>
        <w:t xml:space="preserve"> </w:t>
      </w:r>
      <w:r w:rsidRPr="00C4325E">
        <w:rPr>
          <w:rFonts w:ascii="Arial" w:hAnsi="Arial" w:cs="Arial"/>
          <w:sz w:val="20"/>
          <w:szCs w:val="20"/>
        </w:rPr>
        <w:t>of</w:t>
      </w:r>
      <w:r w:rsidRPr="00C4325E">
        <w:rPr>
          <w:rFonts w:ascii="Arial" w:hAnsi="Arial" w:cs="Arial"/>
          <w:spacing w:val="-10"/>
          <w:sz w:val="20"/>
          <w:szCs w:val="20"/>
        </w:rPr>
        <w:t xml:space="preserve"> </w:t>
      </w:r>
      <w:r w:rsidRPr="00C4325E">
        <w:rPr>
          <w:rFonts w:ascii="Arial" w:hAnsi="Arial" w:cs="Arial"/>
          <w:sz w:val="20"/>
          <w:szCs w:val="20"/>
        </w:rPr>
        <w:t>COVID</w:t>
      </w:r>
      <w:r w:rsidRPr="00C4325E">
        <w:rPr>
          <w:rFonts w:ascii="Cambria Math" w:hAnsi="Cambria Math" w:cs="Cambria Math"/>
          <w:sz w:val="20"/>
          <w:szCs w:val="20"/>
        </w:rPr>
        <w:t>‐</w:t>
      </w:r>
      <w:r w:rsidRPr="00C4325E">
        <w:rPr>
          <w:rFonts w:ascii="Arial" w:hAnsi="Arial" w:cs="Arial"/>
          <w:sz w:val="20"/>
          <w:szCs w:val="20"/>
        </w:rPr>
        <w:t>19</w:t>
      </w:r>
      <w:r w:rsidRPr="00C4325E">
        <w:rPr>
          <w:rFonts w:ascii="Arial" w:hAnsi="Arial" w:cs="Arial"/>
          <w:spacing w:val="-7"/>
          <w:sz w:val="20"/>
          <w:szCs w:val="20"/>
        </w:rPr>
        <w:t xml:space="preserve"> </w:t>
      </w:r>
      <w:r w:rsidRPr="00C4325E">
        <w:rPr>
          <w:rFonts w:ascii="Arial" w:hAnsi="Arial" w:cs="Arial"/>
          <w:sz w:val="20"/>
          <w:szCs w:val="20"/>
        </w:rPr>
        <w:t>pandemic, such as the contestants’ responses to an address by the Prime Minister in 2020,</w:t>
      </w:r>
      <w:r w:rsidR="00C4325E">
        <w:rPr>
          <w:rStyle w:val="FootnoteReference"/>
          <w:rFonts w:ascii="Arial" w:hAnsi="Arial" w:cs="Arial"/>
          <w:sz w:val="20"/>
          <w:szCs w:val="20"/>
        </w:rPr>
        <w:footnoteReference w:id="55"/>
      </w:r>
      <w:r w:rsidRPr="00C4325E">
        <w:rPr>
          <w:rFonts w:ascii="Arial" w:hAnsi="Arial" w:cs="Arial"/>
          <w:position w:val="6"/>
          <w:sz w:val="20"/>
          <w:szCs w:val="20"/>
        </w:rPr>
        <w:t xml:space="preserve"> </w:t>
      </w:r>
      <w:r w:rsidRPr="00C4325E">
        <w:rPr>
          <w:rFonts w:ascii="Arial" w:hAnsi="Arial" w:cs="Arial"/>
          <w:sz w:val="20"/>
          <w:szCs w:val="20"/>
        </w:rPr>
        <w:t>news of COVID</w:t>
      </w:r>
      <w:r w:rsidRPr="00C4325E">
        <w:rPr>
          <w:rFonts w:ascii="Cambria Math" w:hAnsi="Cambria Math" w:cs="Cambria Math"/>
          <w:sz w:val="20"/>
          <w:szCs w:val="20"/>
        </w:rPr>
        <w:t>‐</w:t>
      </w:r>
      <w:r w:rsidRPr="00C4325E">
        <w:rPr>
          <w:rFonts w:ascii="Arial" w:hAnsi="Arial" w:cs="Arial"/>
          <w:sz w:val="20"/>
          <w:szCs w:val="20"/>
        </w:rPr>
        <w:t>19</w:t>
      </w:r>
      <w:r w:rsidRPr="00C4325E">
        <w:rPr>
          <w:rFonts w:ascii="Arial" w:hAnsi="Arial" w:cs="Arial"/>
          <w:spacing w:val="-8"/>
          <w:sz w:val="20"/>
          <w:szCs w:val="20"/>
        </w:rPr>
        <w:t xml:space="preserve"> </w:t>
      </w:r>
      <w:r w:rsidRPr="00C4325E">
        <w:rPr>
          <w:rFonts w:ascii="Arial" w:hAnsi="Arial" w:cs="Arial"/>
          <w:sz w:val="20"/>
          <w:szCs w:val="20"/>
        </w:rPr>
        <w:t>being</w:t>
      </w:r>
      <w:r w:rsidRPr="00C4325E">
        <w:rPr>
          <w:rFonts w:ascii="Arial" w:hAnsi="Arial" w:cs="Arial"/>
          <w:spacing w:val="-7"/>
          <w:sz w:val="20"/>
          <w:szCs w:val="20"/>
        </w:rPr>
        <w:t xml:space="preserve"> </w:t>
      </w:r>
      <w:r w:rsidRPr="00C4325E">
        <w:rPr>
          <w:rFonts w:ascii="Arial" w:hAnsi="Arial" w:cs="Arial"/>
          <w:sz w:val="20"/>
          <w:szCs w:val="20"/>
        </w:rPr>
        <w:t>declared</w:t>
      </w:r>
      <w:r w:rsidRPr="00C4325E">
        <w:rPr>
          <w:rFonts w:ascii="Arial" w:hAnsi="Arial" w:cs="Arial"/>
          <w:spacing w:val="-9"/>
          <w:sz w:val="20"/>
          <w:szCs w:val="20"/>
        </w:rPr>
        <w:t xml:space="preserve"> </w:t>
      </w:r>
      <w:r w:rsidRPr="00C4325E">
        <w:rPr>
          <w:rFonts w:ascii="Arial" w:hAnsi="Arial" w:cs="Arial"/>
          <w:sz w:val="20"/>
          <w:szCs w:val="20"/>
        </w:rPr>
        <w:t>by</w:t>
      </w:r>
      <w:r w:rsidRPr="00C4325E">
        <w:rPr>
          <w:rFonts w:ascii="Arial" w:hAnsi="Arial" w:cs="Arial"/>
          <w:spacing w:val="-7"/>
          <w:sz w:val="20"/>
          <w:szCs w:val="20"/>
        </w:rPr>
        <w:t xml:space="preserve"> </w:t>
      </w:r>
      <w:r w:rsidRPr="00C4325E">
        <w:rPr>
          <w:rFonts w:ascii="Arial" w:hAnsi="Arial" w:cs="Arial"/>
          <w:sz w:val="20"/>
          <w:szCs w:val="20"/>
        </w:rPr>
        <w:t>the</w:t>
      </w:r>
      <w:r w:rsidRPr="00C4325E">
        <w:rPr>
          <w:rFonts w:ascii="Arial" w:hAnsi="Arial" w:cs="Arial"/>
          <w:spacing w:val="-8"/>
          <w:sz w:val="20"/>
          <w:szCs w:val="20"/>
        </w:rPr>
        <w:t xml:space="preserve"> </w:t>
      </w:r>
      <w:r w:rsidRPr="00C4325E">
        <w:rPr>
          <w:rFonts w:ascii="Arial" w:hAnsi="Arial" w:cs="Arial"/>
          <w:sz w:val="20"/>
          <w:szCs w:val="20"/>
        </w:rPr>
        <w:t>World</w:t>
      </w:r>
      <w:r w:rsidRPr="00C4325E">
        <w:rPr>
          <w:rFonts w:ascii="Arial" w:hAnsi="Arial" w:cs="Arial"/>
          <w:spacing w:val="-7"/>
          <w:sz w:val="20"/>
          <w:szCs w:val="20"/>
        </w:rPr>
        <w:t xml:space="preserve"> </w:t>
      </w:r>
      <w:r w:rsidRPr="00C4325E">
        <w:rPr>
          <w:rFonts w:ascii="Arial" w:hAnsi="Arial" w:cs="Arial"/>
          <w:sz w:val="20"/>
          <w:szCs w:val="20"/>
        </w:rPr>
        <w:t>Health</w:t>
      </w:r>
      <w:r w:rsidRPr="00C4325E">
        <w:rPr>
          <w:rFonts w:ascii="Arial" w:hAnsi="Arial" w:cs="Arial"/>
          <w:spacing w:val="-8"/>
          <w:sz w:val="20"/>
          <w:szCs w:val="20"/>
        </w:rPr>
        <w:t xml:space="preserve"> </w:t>
      </w:r>
      <w:r w:rsidRPr="00C4325E">
        <w:rPr>
          <w:rFonts w:ascii="Arial" w:hAnsi="Arial" w:cs="Arial"/>
          <w:sz w:val="20"/>
          <w:szCs w:val="20"/>
        </w:rPr>
        <w:t>Organisation</w:t>
      </w:r>
      <w:r w:rsidRPr="00C4325E">
        <w:rPr>
          <w:rFonts w:ascii="Arial" w:hAnsi="Arial" w:cs="Arial"/>
          <w:spacing w:val="-8"/>
          <w:sz w:val="20"/>
          <w:szCs w:val="20"/>
        </w:rPr>
        <w:t xml:space="preserve"> </w:t>
      </w:r>
      <w:r w:rsidRPr="00C4325E">
        <w:rPr>
          <w:rFonts w:ascii="Arial" w:hAnsi="Arial" w:cs="Arial"/>
          <w:sz w:val="20"/>
          <w:szCs w:val="20"/>
        </w:rPr>
        <w:t>as</w:t>
      </w:r>
      <w:r w:rsidRPr="00C4325E">
        <w:rPr>
          <w:rFonts w:ascii="Arial" w:hAnsi="Arial" w:cs="Arial"/>
          <w:spacing w:val="-8"/>
          <w:sz w:val="20"/>
          <w:szCs w:val="20"/>
        </w:rPr>
        <w:t xml:space="preserve"> </w:t>
      </w:r>
      <w:r w:rsidRPr="00C4325E">
        <w:rPr>
          <w:rFonts w:ascii="Arial" w:hAnsi="Arial" w:cs="Arial"/>
          <w:sz w:val="20"/>
          <w:szCs w:val="20"/>
        </w:rPr>
        <w:t>a</w:t>
      </w:r>
      <w:r w:rsidRPr="00C4325E">
        <w:rPr>
          <w:rFonts w:ascii="Arial" w:hAnsi="Arial" w:cs="Arial"/>
          <w:spacing w:val="-8"/>
          <w:sz w:val="20"/>
          <w:szCs w:val="20"/>
        </w:rPr>
        <w:t xml:space="preserve"> </w:t>
      </w:r>
      <w:r w:rsidRPr="00C4325E">
        <w:rPr>
          <w:rFonts w:ascii="Arial" w:hAnsi="Arial" w:cs="Arial"/>
          <w:sz w:val="20"/>
          <w:szCs w:val="20"/>
        </w:rPr>
        <w:t>pandemic</w:t>
      </w:r>
      <w:r w:rsidR="00C4325E">
        <w:rPr>
          <w:rStyle w:val="FootnoteReference"/>
          <w:rFonts w:ascii="Arial" w:hAnsi="Arial" w:cs="Arial"/>
          <w:sz w:val="20"/>
          <w:szCs w:val="20"/>
        </w:rPr>
        <w:footnoteReference w:id="56"/>
      </w:r>
      <w:r w:rsidRPr="00C4325E">
        <w:rPr>
          <w:rFonts w:ascii="Arial" w:hAnsi="Arial" w:cs="Arial"/>
          <w:spacing w:val="9"/>
          <w:position w:val="6"/>
          <w:sz w:val="20"/>
          <w:szCs w:val="20"/>
        </w:rPr>
        <w:t xml:space="preserve"> </w:t>
      </w:r>
      <w:r w:rsidRPr="00C4325E">
        <w:rPr>
          <w:rFonts w:ascii="Arial" w:hAnsi="Arial" w:cs="Arial"/>
          <w:sz w:val="20"/>
          <w:szCs w:val="20"/>
        </w:rPr>
        <w:t>and</w:t>
      </w:r>
      <w:r w:rsidRPr="00C4325E">
        <w:rPr>
          <w:rFonts w:ascii="Arial" w:hAnsi="Arial" w:cs="Arial"/>
          <w:spacing w:val="-8"/>
          <w:sz w:val="20"/>
          <w:szCs w:val="20"/>
        </w:rPr>
        <w:t xml:space="preserve"> </w:t>
      </w:r>
      <w:r w:rsidRPr="00C4325E">
        <w:rPr>
          <w:rFonts w:ascii="Arial" w:hAnsi="Arial" w:cs="Arial"/>
          <w:sz w:val="20"/>
          <w:szCs w:val="20"/>
        </w:rPr>
        <w:t>the</w:t>
      </w:r>
      <w:r w:rsidRPr="00C4325E">
        <w:rPr>
          <w:rFonts w:ascii="Arial" w:hAnsi="Arial" w:cs="Arial"/>
          <w:spacing w:val="-7"/>
          <w:sz w:val="20"/>
          <w:szCs w:val="20"/>
        </w:rPr>
        <w:t xml:space="preserve"> </w:t>
      </w:r>
      <w:r w:rsidRPr="00C4325E">
        <w:rPr>
          <w:rFonts w:ascii="Arial" w:hAnsi="Arial" w:cs="Arial"/>
          <w:sz w:val="20"/>
          <w:szCs w:val="20"/>
        </w:rPr>
        <w:t>shutting down of production as a result of</w:t>
      </w:r>
      <w:r w:rsidRPr="00C4325E">
        <w:rPr>
          <w:rFonts w:ascii="Arial" w:hAnsi="Arial" w:cs="Arial"/>
          <w:spacing w:val="-11"/>
          <w:sz w:val="20"/>
          <w:szCs w:val="20"/>
        </w:rPr>
        <w:t xml:space="preserve"> </w:t>
      </w:r>
      <w:r w:rsidRPr="00C4325E">
        <w:rPr>
          <w:rFonts w:ascii="Arial" w:hAnsi="Arial" w:cs="Arial"/>
          <w:sz w:val="20"/>
          <w:szCs w:val="20"/>
        </w:rPr>
        <w:t>COVID</w:t>
      </w:r>
      <w:r w:rsidRPr="00C4325E">
        <w:rPr>
          <w:rFonts w:ascii="Cambria Math" w:hAnsi="Cambria Math" w:cs="Cambria Math"/>
          <w:sz w:val="20"/>
          <w:szCs w:val="20"/>
        </w:rPr>
        <w:t>‐</w:t>
      </w:r>
      <w:r w:rsidRPr="00C4325E">
        <w:rPr>
          <w:rFonts w:ascii="Arial" w:hAnsi="Arial" w:cs="Arial"/>
          <w:sz w:val="20"/>
          <w:szCs w:val="20"/>
        </w:rPr>
        <w:t>19.</w:t>
      </w:r>
      <w:r w:rsidR="00C4325E">
        <w:rPr>
          <w:rStyle w:val="FootnoteReference"/>
          <w:rFonts w:ascii="Arial" w:hAnsi="Arial" w:cs="Arial"/>
          <w:sz w:val="20"/>
          <w:szCs w:val="20"/>
        </w:rPr>
        <w:footnoteReference w:id="57"/>
      </w:r>
    </w:p>
    <w:p w14:paraId="1F44736C" w14:textId="77777777" w:rsidR="00C4325E" w:rsidRPr="00C4325E" w:rsidRDefault="00C4325E" w:rsidP="00C4325E">
      <w:pPr>
        <w:pStyle w:val="ACMABodyText"/>
        <w:spacing w:before="240"/>
        <w:rPr>
          <w:bCs/>
          <w:iCs/>
          <w:lang w:val="en-US"/>
        </w:rPr>
      </w:pPr>
      <w:r w:rsidRPr="00C4325E">
        <w:rPr>
          <w:bCs/>
          <w:iCs/>
          <w:lang w:val="en-US"/>
        </w:rPr>
        <w:t>Many, if not all, of the above episodes of the programs were mainly devoted to discussions or coverage of economic or political events such that they would be capable of satisfying the definition of a current affairs program advanced in the Report. As would be clear from the nature of the above programs, such a result would lead to an absurdity and would be inconsistent with both the definitions of that term under the Subscription Broadcast Code and the BSA, as well as the natural and ordinary meaning of those words.</w:t>
      </w:r>
    </w:p>
    <w:p w14:paraId="21C33230" w14:textId="1AD73872" w:rsidR="00C4325E" w:rsidRPr="00C4325E" w:rsidRDefault="00C4325E" w:rsidP="00C4325E">
      <w:pPr>
        <w:pStyle w:val="ACMABodyText"/>
        <w:rPr>
          <w:bCs/>
          <w:iCs/>
          <w:lang w:val="en-US"/>
        </w:rPr>
      </w:pPr>
      <w:r w:rsidRPr="00C4325E">
        <w:rPr>
          <w:bCs/>
          <w:iCs/>
          <w:lang w:val="en-US"/>
        </w:rPr>
        <w:t>Like the above examples, the sole or dominant purpose of the Channel and the Programs is not to provide objective analysis of current events of public interest for the general community. Rather, the Channel and the Programs are informed by a different sole purpose, namely the application of faith to issues of relevance to the lives of their Christian viewers. The Programs are clearly religious in nature and discuss current or relevant issues only from the perspective of Christianity. They do not purport to, and do not in fact, appeal to any wider audience. The Programs should therefore be considered as niche discursive and entertainment</w:t>
      </w:r>
      <w:r w:rsidRPr="00C4325E">
        <w:rPr>
          <w:rFonts w:ascii="Cambria Math" w:hAnsi="Cambria Math" w:cs="Cambria Math"/>
          <w:bCs/>
          <w:iCs/>
          <w:lang w:val="en-US"/>
        </w:rPr>
        <w:t>‐</w:t>
      </w:r>
      <w:r w:rsidRPr="00C4325E">
        <w:rPr>
          <w:bCs/>
          <w:iCs/>
          <w:lang w:val="en-US"/>
        </w:rPr>
        <w:t xml:space="preserve">style programs which are designed to stimulate discussion of current issues on the basis of how they may impact on adherents of the Christian faith. In this context, it would be clear to any reasonable viewer that the Programs are not intended, and do not constitute, news or current affairs programs. The fact that the Programs featured, in part, discussions of </w:t>
      </w:r>
      <w:r w:rsidRPr="00C4325E">
        <w:rPr>
          <w:bCs/>
          <w:iCs/>
          <w:u w:val="single"/>
          <w:lang w:val="en-US"/>
        </w:rPr>
        <w:t>content</w:t>
      </w:r>
      <w:r w:rsidRPr="00C4325E">
        <w:rPr>
          <w:bCs/>
          <w:iCs/>
          <w:lang w:val="en-US"/>
        </w:rPr>
        <w:t xml:space="preserve"> of current relevance is incapable of altering the obvious and clear </w:t>
      </w:r>
      <w:r w:rsidRPr="00C4325E">
        <w:rPr>
          <w:bCs/>
          <w:iCs/>
          <w:u w:val="single"/>
          <w:lang w:val="en-US"/>
        </w:rPr>
        <w:t>nature</w:t>
      </w:r>
      <w:r w:rsidRPr="00C4325E">
        <w:rPr>
          <w:bCs/>
          <w:iCs/>
          <w:lang w:val="en-US"/>
        </w:rPr>
        <w:t xml:space="preserve"> of the Programs themselves.</w:t>
      </w:r>
    </w:p>
    <w:p w14:paraId="7A3DE496" w14:textId="77777777" w:rsidR="00C4325E" w:rsidRPr="00C4325E" w:rsidRDefault="00C4325E" w:rsidP="00C4325E">
      <w:pPr>
        <w:pStyle w:val="ACMABodyText"/>
        <w:rPr>
          <w:b/>
          <w:bCs/>
          <w:iCs/>
          <w:lang w:val="en-US"/>
        </w:rPr>
      </w:pPr>
      <w:r w:rsidRPr="00C4325E">
        <w:rPr>
          <w:b/>
          <w:bCs/>
          <w:iCs/>
          <w:u w:val="single"/>
          <w:lang w:val="en-US"/>
        </w:rPr>
        <w:t>Application of Clause 1.2 of the Code to the Programs</w:t>
      </w:r>
    </w:p>
    <w:p w14:paraId="02329E81" w14:textId="77777777" w:rsidR="00C4325E" w:rsidRPr="00C4325E" w:rsidRDefault="00C4325E" w:rsidP="00C4325E">
      <w:pPr>
        <w:pStyle w:val="ACMABodyText"/>
        <w:rPr>
          <w:bCs/>
          <w:iCs/>
          <w:lang w:val="en-US"/>
        </w:rPr>
      </w:pPr>
      <w:r w:rsidRPr="00C4325E">
        <w:rPr>
          <w:bCs/>
          <w:iCs/>
          <w:lang w:val="en-US"/>
        </w:rPr>
        <w:t>Even if the Programs were classified as news and current affairs programs, which classification is strongly rejected, Foxtel submits that the manner in which the Report has applied clause 1.2 of the Code is incorrect. Further, Foxtel submits that the Programs were incapable of breaching clause 1.2 of the Code as alleged.</w:t>
      </w:r>
    </w:p>
    <w:p w14:paraId="0AB37382" w14:textId="31BF21E9" w:rsidR="00C4325E" w:rsidRDefault="00C4325E" w:rsidP="0023218B">
      <w:pPr>
        <w:pStyle w:val="ACMABodyText"/>
        <w:rPr>
          <w:bCs/>
          <w:lang w:val="en-US"/>
        </w:rPr>
      </w:pPr>
      <w:r w:rsidRPr="00C4325E">
        <w:rPr>
          <w:bCs/>
          <w:lang w:val="en-US"/>
        </w:rPr>
        <w:t>As the ACMA is aware, clause 1.2 of the Code is expressed as follows:</w:t>
      </w:r>
    </w:p>
    <w:p w14:paraId="752C6F10" w14:textId="77777777" w:rsidR="00C4325E" w:rsidRPr="00C4325E" w:rsidRDefault="00C4325E" w:rsidP="00C4325E">
      <w:pPr>
        <w:pStyle w:val="ACMABodyText"/>
        <w:ind w:left="851"/>
        <w:rPr>
          <w:bCs/>
          <w:i/>
          <w:lang w:val="en-US"/>
        </w:rPr>
      </w:pPr>
      <w:r w:rsidRPr="00C4325E">
        <w:rPr>
          <w:bCs/>
          <w:i/>
          <w:sz w:val="18"/>
          <w:szCs w:val="18"/>
          <w:lang w:val="en-US"/>
        </w:rPr>
        <w:t>Narrowcasters will present accurate and fair news and current affairs programs, and where practicable, will ensure that</w:t>
      </w:r>
      <w:r w:rsidRPr="00C4325E">
        <w:rPr>
          <w:bCs/>
          <w:i/>
          <w:lang w:val="en-US"/>
        </w:rPr>
        <w:t>:</w:t>
      </w:r>
    </w:p>
    <w:p w14:paraId="57C21EA6" w14:textId="77777777" w:rsidR="00C4325E" w:rsidRPr="00C4325E" w:rsidRDefault="00C4325E" w:rsidP="00C4325E">
      <w:pPr>
        <w:pStyle w:val="ACMABodyText"/>
        <w:numPr>
          <w:ilvl w:val="0"/>
          <w:numId w:val="43"/>
        </w:numPr>
        <w:ind w:left="1560"/>
        <w:rPr>
          <w:bCs/>
          <w:iCs/>
          <w:sz w:val="18"/>
          <w:szCs w:val="18"/>
          <w:lang w:val="en-US"/>
        </w:rPr>
      </w:pPr>
      <w:r w:rsidRPr="00C4325E">
        <w:rPr>
          <w:bCs/>
          <w:iCs/>
          <w:sz w:val="18"/>
          <w:szCs w:val="18"/>
          <w:lang w:val="en-US"/>
        </w:rPr>
        <w:t>factual material will be clearly distinguished from commentary, analysis or simulations; and</w:t>
      </w:r>
    </w:p>
    <w:p w14:paraId="2A432501" w14:textId="77777777" w:rsidR="00C4325E" w:rsidRPr="00C4325E" w:rsidRDefault="00C4325E" w:rsidP="00C4325E">
      <w:pPr>
        <w:pStyle w:val="ACMABodyText"/>
        <w:numPr>
          <w:ilvl w:val="0"/>
          <w:numId w:val="43"/>
        </w:numPr>
        <w:ind w:left="1560"/>
        <w:rPr>
          <w:bCs/>
          <w:iCs/>
          <w:sz w:val="18"/>
          <w:szCs w:val="18"/>
          <w:lang w:val="en-US"/>
        </w:rPr>
      </w:pPr>
      <w:r w:rsidRPr="00C4325E">
        <w:rPr>
          <w:bCs/>
          <w:iCs/>
          <w:sz w:val="18"/>
          <w:szCs w:val="18"/>
          <w:lang w:val="en-US"/>
        </w:rPr>
        <w:t>news or events are not simulated in a way that misleads or alarms the audience.</w:t>
      </w:r>
    </w:p>
    <w:p w14:paraId="7CD99394" w14:textId="77777777" w:rsidR="00C4325E" w:rsidRPr="000D081A" w:rsidRDefault="00C4325E" w:rsidP="000D081A">
      <w:pPr>
        <w:pStyle w:val="BodyText"/>
        <w:spacing w:before="0" w:after="240" w:line="240" w:lineRule="atLeast"/>
        <w:rPr>
          <w:bCs/>
          <w:i w:val="0"/>
          <w:iCs/>
          <w:snapToGrid w:val="0"/>
          <w:szCs w:val="20"/>
          <w:lang w:val="en-US"/>
        </w:rPr>
      </w:pPr>
      <w:r w:rsidRPr="000D081A">
        <w:rPr>
          <w:bCs/>
          <w:i w:val="0"/>
          <w:iCs/>
          <w:snapToGrid w:val="0"/>
          <w:szCs w:val="20"/>
          <w:lang w:val="en-US"/>
        </w:rPr>
        <w:t xml:space="preserve">The requirements of clause 1.2 are clear – namely, narrowcasters must ensure that programs are presented accurately. Clause 1.2 therefore requires an examination of the presentation of </w:t>
      </w:r>
      <w:r w:rsidRPr="000D081A">
        <w:rPr>
          <w:bCs/>
          <w:i w:val="0"/>
          <w:iCs/>
          <w:snapToGrid w:val="0"/>
          <w:szCs w:val="20"/>
          <w:lang w:val="en-US"/>
        </w:rPr>
        <w:lastRenderedPageBreak/>
        <w:t>a program as a whole. Clause 1.2 does not permit a conclusion to the effect that any statement within a program which is found to be inaccurate necessarily means that the program itself, as a whole, would also be inaccurate and in breach of the clause. Rather, as indicated by sub</w:t>
      </w:r>
      <w:r w:rsidRPr="000D081A">
        <w:rPr>
          <w:rFonts w:ascii="Cambria Math" w:hAnsi="Cambria Math" w:cs="Cambria Math"/>
          <w:bCs/>
          <w:i w:val="0"/>
          <w:iCs/>
          <w:snapToGrid w:val="0"/>
          <w:szCs w:val="20"/>
          <w:lang w:val="en-US"/>
        </w:rPr>
        <w:t>‐</w:t>
      </w:r>
      <w:r w:rsidRPr="000D081A">
        <w:rPr>
          <w:bCs/>
          <w:i w:val="0"/>
          <w:iCs/>
          <w:snapToGrid w:val="0"/>
          <w:szCs w:val="20"/>
          <w:lang w:val="en-US"/>
        </w:rPr>
        <w:t>clauses (a) and (b), whether clause 1.2 has in fact been breached will depend on an examination of the statement in question and the nature of the program as a whole.</w:t>
      </w:r>
    </w:p>
    <w:p w14:paraId="2BE22EA0" w14:textId="038A7769" w:rsidR="00C4325E" w:rsidRPr="000D081A" w:rsidRDefault="00C4325E" w:rsidP="000D081A">
      <w:pPr>
        <w:pStyle w:val="ACMABodyText"/>
        <w:rPr>
          <w:bCs/>
          <w:iCs/>
          <w:lang w:val="en-US"/>
        </w:rPr>
      </w:pPr>
      <w:r w:rsidRPr="000D081A">
        <w:rPr>
          <w:bCs/>
          <w:iCs/>
          <w:lang w:val="en-US"/>
        </w:rPr>
        <w:t>The Report does not sufficiently detail the basis upon which a breach of clause 1.2 has been established in the case of the Programs. Rather, the impression which arises from the Report is that a breach of clause 1.2 of the Code has been found on the basis that the Programs each contained statements which were found to be factually inaccurate. An examination of whether those statements were in fact capable of rendering the Programs themselves to be in breach of clause 1.2 does not appear to have been conducted or, at least, is not evident on the face of the Report.</w:t>
      </w:r>
    </w:p>
    <w:p w14:paraId="1F238D90" w14:textId="524C207F" w:rsidR="00C4325E" w:rsidRPr="000D081A" w:rsidRDefault="00C4325E" w:rsidP="000D081A">
      <w:pPr>
        <w:pStyle w:val="ACMABodyText"/>
        <w:rPr>
          <w:bCs/>
          <w:iCs/>
          <w:lang w:val="en-US"/>
        </w:rPr>
      </w:pPr>
      <w:r w:rsidRPr="000D081A">
        <w:rPr>
          <w:bCs/>
          <w:iCs/>
          <w:lang w:val="en-US"/>
        </w:rPr>
        <w:t xml:space="preserve">The Report pertains to an investigation under the Code, being the code that applies to narrowcast broadcasters. </w:t>
      </w:r>
    </w:p>
    <w:p w14:paraId="18D81726" w14:textId="77777777" w:rsidR="000D081A" w:rsidRPr="000D081A" w:rsidRDefault="000D081A" w:rsidP="000D081A">
      <w:pPr>
        <w:widowControl w:val="0"/>
        <w:autoSpaceDE w:val="0"/>
        <w:autoSpaceDN w:val="0"/>
        <w:spacing w:before="0" w:after="0" w:line="240" w:lineRule="auto"/>
        <w:ind w:left="851" w:right="16"/>
        <w:rPr>
          <w:rFonts w:eastAsia="Calibri" w:cs="Arial"/>
          <w:sz w:val="18"/>
          <w:szCs w:val="18"/>
          <w:lang w:val="en-US"/>
        </w:rPr>
      </w:pPr>
      <w:r w:rsidRPr="000D081A">
        <w:rPr>
          <w:rFonts w:eastAsia="Calibri" w:cs="Arial"/>
          <w:sz w:val="18"/>
          <w:szCs w:val="18"/>
          <w:lang w:val="en-US"/>
        </w:rPr>
        <w:t>Narrowcasting services provide a wide range of innovative services, catering to specialised interest. As these services have narrowly defined audiences and appeal, they come under a class licence regime, with lesser levels of regulation.</w:t>
      </w:r>
    </w:p>
    <w:p w14:paraId="34FCDC28" w14:textId="77777777" w:rsidR="000D081A" w:rsidRPr="000D081A" w:rsidRDefault="000D081A" w:rsidP="000D081A">
      <w:pPr>
        <w:widowControl w:val="0"/>
        <w:autoSpaceDE w:val="0"/>
        <w:autoSpaceDN w:val="0"/>
        <w:spacing w:before="9" w:after="0" w:line="240" w:lineRule="auto"/>
        <w:ind w:left="851"/>
        <w:rPr>
          <w:rFonts w:eastAsia="Calibri" w:cs="Arial"/>
          <w:sz w:val="18"/>
          <w:szCs w:val="18"/>
          <w:lang w:val="en-US"/>
        </w:rPr>
      </w:pPr>
    </w:p>
    <w:p w14:paraId="6396ABB8" w14:textId="77777777" w:rsidR="000D081A" w:rsidRPr="000D081A" w:rsidRDefault="000D081A" w:rsidP="000D081A">
      <w:pPr>
        <w:widowControl w:val="0"/>
        <w:autoSpaceDE w:val="0"/>
        <w:autoSpaceDN w:val="0"/>
        <w:spacing w:before="0" w:after="0" w:line="240" w:lineRule="auto"/>
        <w:ind w:left="851" w:right="244"/>
        <w:rPr>
          <w:rFonts w:eastAsia="Calibri" w:cs="Arial"/>
          <w:sz w:val="18"/>
          <w:szCs w:val="18"/>
          <w:lang w:val="en-US"/>
        </w:rPr>
      </w:pPr>
      <w:r w:rsidRPr="000D081A">
        <w:rPr>
          <w:rFonts w:eastAsia="Calibri" w:cs="Arial"/>
          <w:sz w:val="18"/>
          <w:szCs w:val="18"/>
          <w:lang w:val="en-US"/>
        </w:rPr>
        <w:t>Sections 17 and 18 of the [BSA] define narrowcasting services as broadcasting services whose reception is limited by:</w:t>
      </w:r>
    </w:p>
    <w:p w14:paraId="26468CBC" w14:textId="77777777" w:rsidR="000D081A" w:rsidRPr="000D081A" w:rsidRDefault="000D081A" w:rsidP="000D081A">
      <w:pPr>
        <w:widowControl w:val="0"/>
        <w:autoSpaceDE w:val="0"/>
        <w:autoSpaceDN w:val="0"/>
        <w:spacing w:before="11" w:after="0" w:line="240" w:lineRule="auto"/>
        <w:ind w:left="851"/>
        <w:rPr>
          <w:rFonts w:eastAsia="Calibri" w:cs="Arial"/>
          <w:sz w:val="18"/>
          <w:szCs w:val="18"/>
          <w:lang w:val="en-US"/>
        </w:rPr>
      </w:pPr>
    </w:p>
    <w:p w14:paraId="7B91C86F" w14:textId="77777777" w:rsidR="000D081A" w:rsidRPr="000D081A" w:rsidRDefault="000D081A" w:rsidP="000D081A">
      <w:pPr>
        <w:widowControl w:val="0"/>
        <w:numPr>
          <w:ilvl w:val="1"/>
          <w:numId w:val="43"/>
        </w:numPr>
        <w:tabs>
          <w:tab w:val="left" w:pos="3505"/>
          <w:tab w:val="left" w:pos="3506"/>
        </w:tabs>
        <w:autoSpaceDE w:val="0"/>
        <w:autoSpaceDN w:val="0"/>
        <w:spacing w:before="0" w:after="0" w:line="240" w:lineRule="auto"/>
        <w:ind w:left="1418" w:hanging="341"/>
        <w:rPr>
          <w:rFonts w:eastAsia="Calibri" w:cs="Arial"/>
          <w:sz w:val="18"/>
          <w:szCs w:val="18"/>
          <w:lang w:val="en-US"/>
        </w:rPr>
      </w:pPr>
      <w:r w:rsidRPr="000D081A">
        <w:rPr>
          <w:rFonts w:eastAsia="Calibri" w:cs="Arial"/>
          <w:sz w:val="18"/>
          <w:szCs w:val="18"/>
          <w:lang w:val="en-US"/>
        </w:rPr>
        <w:t>being targeted to special interest</w:t>
      </w:r>
      <w:r w:rsidRPr="000D081A">
        <w:rPr>
          <w:rFonts w:eastAsia="Calibri" w:cs="Arial"/>
          <w:spacing w:val="-5"/>
          <w:sz w:val="18"/>
          <w:szCs w:val="18"/>
          <w:lang w:val="en-US"/>
        </w:rPr>
        <w:t xml:space="preserve"> </w:t>
      </w:r>
      <w:r w:rsidRPr="000D081A">
        <w:rPr>
          <w:rFonts w:eastAsia="Calibri" w:cs="Arial"/>
          <w:sz w:val="18"/>
          <w:szCs w:val="18"/>
          <w:lang w:val="en-US"/>
        </w:rPr>
        <w:t>groups;</w:t>
      </w:r>
    </w:p>
    <w:p w14:paraId="22C336BF" w14:textId="77777777" w:rsidR="000D081A" w:rsidRPr="000D081A" w:rsidRDefault="000D081A" w:rsidP="000D081A">
      <w:pPr>
        <w:widowControl w:val="0"/>
        <w:autoSpaceDE w:val="0"/>
        <w:autoSpaceDN w:val="0"/>
        <w:spacing w:before="9" w:after="0" w:line="240" w:lineRule="auto"/>
        <w:ind w:left="1418"/>
        <w:rPr>
          <w:rFonts w:eastAsia="Calibri" w:cs="Arial"/>
          <w:sz w:val="18"/>
          <w:szCs w:val="18"/>
          <w:lang w:val="en-US"/>
        </w:rPr>
      </w:pPr>
    </w:p>
    <w:p w14:paraId="361810EF" w14:textId="77777777" w:rsidR="000D081A" w:rsidRPr="000D081A" w:rsidRDefault="000D081A" w:rsidP="000D081A">
      <w:pPr>
        <w:widowControl w:val="0"/>
        <w:numPr>
          <w:ilvl w:val="1"/>
          <w:numId w:val="43"/>
        </w:numPr>
        <w:tabs>
          <w:tab w:val="left" w:pos="3505"/>
          <w:tab w:val="left" w:pos="3506"/>
        </w:tabs>
        <w:autoSpaceDE w:val="0"/>
        <w:autoSpaceDN w:val="0"/>
        <w:spacing w:before="0" w:after="0" w:line="240" w:lineRule="auto"/>
        <w:ind w:left="1418" w:hanging="341"/>
        <w:rPr>
          <w:rFonts w:eastAsia="Calibri" w:cs="Arial"/>
          <w:sz w:val="18"/>
          <w:szCs w:val="18"/>
          <w:lang w:val="en-US"/>
        </w:rPr>
      </w:pPr>
      <w:r w:rsidRPr="000D081A">
        <w:rPr>
          <w:rFonts w:eastAsia="Calibri" w:cs="Arial"/>
          <w:sz w:val="18"/>
          <w:szCs w:val="18"/>
          <w:lang w:val="en-US"/>
        </w:rPr>
        <w:t>intended only for limited</w:t>
      </w:r>
      <w:r w:rsidRPr="000D081A">
        <w:rPr>
          <w:rFonts w:eastAsia="Calibri" w:cs="Arial"/>
          <w:spacing w:val="-1"/>
          <w:sz w:val="18"/>
          <w:szCs w:val="18"/>
          <w:lang w:val="en-US"/>
        </w:rPr>
        <w:t xml:space="preserve"> </w:t>
      </w:r>
      <w:r w:rsidRPr="000D081A">
        <w:rPr>
          <w:rFonts w:eastAsia="Calibri" w:cs="Arial"/>
          <w:sz w:val="18"/>
          <w:szCs w:val="18"/>
          <w:lang w:val="en-US"/>
        </w:rPr>
        <w:t>locations;</w:t>
      </w:r>
    </w:p>
    <w:p w14:paraId="544E689B" w14:textId="77777777" w:rsidR="000D081A" w:rsidRPr="000D081A" w:rsidRDefault="000D081A" w:rsidP="000D081A">
      <w:pPr>
        <w:widowControl w:val="0"/>
        <w:autoSpaceDE w:val="0"/>
        <w:autoSpaceDN w:val="0"/>
        <w:spacing w:before="11" w:after="0" w:line="240" w:lineRule="auto"/>
        <w:ind w:left="1418"/>
        <w:rPr>
          <w:rFonts w:eastAsia="Calibri" w:cs="Arial"/>
          <w:sz w:val="18"/>
          <w:szCs w:val="18"/>
          <w:lang w:val="en-US"/>
        </w:rPr>
      </w:pPr>
    </w:p>
    <w:p w14:paraId="5F0FDC98" w14:textId="77777777" w:rsidR="000D081A" w:rsidRPr="000D081A" w:rsidRDefault="000D081A" w:rsidP="000D081A">
      <w:pPr>
        <w:widowControl w:val="0"/>
        <w:numPr>
          <w:ilvl w:val="1"/>
          <w:numId w:val="43"/>
        </w:numPr>
        <w:tabs>
          <w:tab w:val="left" w:pos="3505"/>
          <w:tab w:val="left" w:pos="3506"/>
        </w:tabs>
        <w:autoSpaceDE w:val="0"/>
        <w:autoSpaceDN w:val="0"/>
        <w:spacing w:before="0" w:after="0" w:line="240" w:lineRule="auto"/>
        <w:ind w:left="1418" w:hanging="341"/>
        <w:rPr>
          <w:rFonts w:eastAsia="Calibri" w:cs="Arial"/>
          <w:sz w:val="18"/>
          <w:szCs w:val="18"/>
          <w:lang w:val="en-US"/>
        </w:rPr>
      </w:pPr>
      <w:r w:rsidRPr="000D081A">
        <w:rPr>
          <w:rFonts w:eastAsia="Calibri" w:cs="Arial"/>
          <w:sz w:val="18"/>
          <w:szCs w:val="18"/>
          <w:lang w:val="en-US"/>
        </w:rPr>
        <w:t>provided during a limited period of time or to cover a special</w:t>
      </w:r>
      <w:r w:rsidRPr="000D081A">
        <w:rPr>
          <w:rFonts w:eastAsia="Calibri" w:cs="Arial"/>
          <w:spacing w:val="-15"/>
          <w:sz w:val="18"/>
          <w:szCs w:val="18"/>
          <w:lang w:val="en-US"/>
        </w:rPr>
        <w:t xml:space="preserve"> </w:t>
      </w:r>
      <w:r w:rsidRPr="000D081A">
        <w:rPr>
          <w:rFonts w:eastAsia="Calibri" w:cs="Arial"/>
          <w:sz w:val="18"/>
          <w:szCs w:val="18"/>
          <w:lang w:val="en-US"/>
        </w:rPr>
        <w:t>event;</w:t>
      </w:r>
    </w:p>
    <w:p w14:paraId="7E8EAEB2" w14:textId="77777777" w:rsidR="000D081A" w:rsidRPr="000D081A" w:rsidRDefault="000D081A" w:rsidP="000D081A">
      <w:pPr>
        <w:widowControl w:val="0"/>
        <w:autoSpaceDE w:val="0"/>
        <w:autoSpaceDN w:val="0"/>
        <w:spacing w:before="11" w:after="0" w:line="240" w:lineRule="auto"/>
        <w:ind w:left="1418"/>
        <w:rPr>
          <w:rFonts w:eastAsia="Calibri" w:cs="Arial"/>
          <w:sz w:val="18"/>
          <w:szCs w:val="18"/>
          <w:lang w:val="en-US"/>
        </w:rPr>
      </w:pPr>
    </w:p>
    <w:p w14:paraId="42D0F00E" w14:textId="77777777" w:rsidR="000D081A" w:rsidRPr="000D081A" w:rsidRDefault="000D081A" w:rsidP="000D081A">
      <w:pPr>
        <w:widowControl w:val="0"/>
        <w:numPr>
          <w:ilvl w:val="1"/>
          <w:numId w:val="43"/>
        </w:numPr>
        <w:tabs>
          <w:tab w:val="left" w:pos="3504"/>
          <w:tab w:val="left" w:pos="3506"/>
        </w:tabs>
        <w:autoSpaceDE w:val="0"/>
        <w:autoSpaceDN w:val="0"/>
        <w:spacing w:before="1" w:after="0" w:line="240" w:lineRule="auto"/>
        <w:ind w:left="1418" w:hanging="341"/>
        <w:rPr>
          <w:rFonts w:eastAsia="Calibri" w:cs="Arial"/>
          <w:sz w:val="18"/>
          <w:szCs w:val="18"/>
          <w:lang w:val="en-US"/>
        </w:rPr>
      </w:pPr>
      <w:r w:rsidRPr="000D081A">
        <w:rPr>
          <w:rFonts w:eastAsia="Calibri" w:cs="Arial"/>
          <w:sz w:val="18"/>
          <w:szCs w:val="18"/>
          <w:lang w:val="en-US"/>
        </w:rPr>
        <w:t>because they provide programs of limited</w:t>
      </w:r>
      <w:r w:rsidRPr="000D081A">
        <w:rPr>
          <w:rFonts w:eastAsia="Calibri" w:cs="Arial"/>
          <w:spacing w:val="-2"/>
          <w:sz w:val="18"/>
          <w:szCs w:val="18"/>
          <w:lang w:val="en-US"/>
        </w:rPr>
        <w:t xml:space="preserve"> </w:t>
      </w:r>
      <w:r w:rsidRPr="000D081A">
        <w:rPr>
          <w:rFonts w:eastAsia="Calibri" w:cs="Arial"/>
          <w:sz w:val="18"/>
          <w:szCs w:val="18"/>
          <w:lang w:val="en-US"/>
        </w:rPr>
        <w:t>appeal;</w:t>
      </w:r>
    </w:p>
    <w:p w14:paraId="649619A2" w14:textId="77777777" w:rsidR="000D081A" w:rsidRPr="000D081A" w:rsidRDefault="000D081A" w:rsidP="000D081A">
      <w:pPr>
        <w:widowControl w:val="0"/>
        <w:autoSpaceDE w:val="0"/>
        <w:autoSpaceDN w:val="0"/>
        <w:spacing w:before="10" w:after="0" w:line="240" w:lineRule="auto"/>
        <w:ind w:left="1418"/>
        <w:rPr>
          <w:rFonts w:eastAsia="Calibri" w:cs="Arial"/>
          <w:sz w:val="18"/>
          <w:szCs w:val="18"/>
          <w:lang w:val="en-US"/>
        </w:rPr>
      </w:pPr>
    </w:p>
    <w:p w14:paraId="6D623FCE" w14:textId="77777777" w:rsidR="000D081A" w:rsidRPr="000D081A" w:rsidRDefault="000D081A" w:rsidP="000D081A">
      <w:pPr>
        <w:widowControl w:val="0"/>
        <w:numPr>
          <w:ilvl w:val="1"/>
          <w:numId w:val="43"/>
        </w:numPr>
        <w:tabs>
          <w:tab w:val="left" w:pos="3504"/>
          <w:tab w:val="left" w:pos="3506"/>
        </w:tabs>
        <w:autoSpaceDE w:val="0"/>
        <w:autoSpaceDN w:val="0"/>
        <w:spacing w:before="0" w:after="0" w:line="240" w:lineRule="auto"/>
        <w:ind w:left="1418" w:hanging="341"/>
        <w:rPr>
          <w:rFonts w:eastAsia="Calibri" w:cs="Arial"/>
          <w:sz w:val="18"/>
          <w:szCs w:val="18"/>
          <w:lang w:val="en-US"/>
        </w:rPr>
      </w:pPr>
      <w:r w:rsidRPr="000D081A">
        <w:rPr>
          <w:rFonts w:eastAsia="Calibri" w:cs="Arial"/>
          <w:sz w:val="18"/>
          <w:szCs w:val="18"/>
          <w:lang w:val="en-US"/>
        </w:rPr>
        <w:t>or for some other</w:t>
      </w:r>
      <w:r w:rsidRPr="000D081A">
        <w:rPr>
          <w:rFonts w:eastAsia="Calibri" w:cs="Arial"/>
          <w:spacing w:val="-5"/>
          <w:sz w:val="18"/>
          <w:szCs w:val="18"/>
          <w:lang w:val="en-US"/>
        </w:rPr>
        <w:t xml:space="preserve"> </w:t>
      </w:r>
      <w:r w:rsidRPr="000D081A">
        <w:rPr>
          <w:rFonts w:eastAsia="Calibri" w:cs="Arial"/>
          <w:sz w:val="18"/>
          <w:szCs w:val="18"/>
          <w:lang w:val="en-US"/>
        </w:rPr>
        <w:t>reason.</w:t>
      </w:r>
    </w:p>
    <w:p w14:paraId="17C78117" w14:textId="77777777" w:rsidR="000D081A" w:rsidRPr="000D081A" w:rsidRDefault="000D081A" w:rsidP="000D081A">
      <w:pPr>
        <w:pStyle w:val="ACMABodyText"/>
        <w:spacing w:before="240"/>
        <w:rPr>
          <w:bCs/>
          <w:iCs/>
          <w:lang w:val="en-US"/>
        </w:rPr>
      </w:pPr>
      <w:r w:rsidRPr="000D081A">
        <w:rPr>
          <w:bCs/>
          <w:iCs/>
          <w:lang w:val="en-US"/>
        </w:rPr>
        <w:t>The approach to the regulation of narrowcasting services under the Code can therefore, as a matter of policy, be distinguished from the regulation of broadcasters of content under the Commercial TV Code. This is on the basis that the Commercial TV Code applies to broadcasters with a wide audience who provide general content of wide appeal, whereas narrowcast broadcasters cater exclusively to a niche audience. It follows that the regulation of commercial television broadcasters should consequently be stricter.</w:t>
      </w:r>
    </w:p>
    <w:p w14:paraId="0CF039F5" w14:textId="77777777" w:rsidR="000D081A" w:rsidRPr="000D081A" w:rsidRDefault="000D081A" w:rsidP="000D081A">
      <w:pPr>
        <w:pStyle w:val="BodyText"/>
        <w:rPr>
          <w:i w:val="0"/>
          <w:iCs/>
        </w:rPr>
      </w:pPr>
      <w:r w:rsidRPr="000D081A">
        <w:rPr>
          <w:i w:val="0"/>
          <w:iCs/>
        </w:rPr>
        <w:t>Clause 3.3 of the Commercial TV Code provides, in part, as follows:</w:t>
      </w:r>
    </w:p>
    <w:p w14:paraId="5CA79BB1" w14:textId="13E96CCF" w:rsidR="000D081A" w:rsidRPr="007B37DA" w:rsidRDefault="000D081A" w:rsidP="007B37DA">
      <w:pPr>
        <w:pStyle w:val="ListParagraph"/>
        <w:widowControl w:val="0"/>
        <w:numPr>
          <w:ilvl w:val="2"/>
          <w:numId w:val="44"/>
        </w:numPr>
        <w:tabs>
          <w:tab w:val="left" w:pos="3119"/>
        </w:tabs>
        <w:autoSpaceDE w:val="0"/>
        <w:autoSpaceDN w:val="0"/>
        <w:spacing w:before="1" w:after="0" w:line="240" w:lineRule="auto"/>
        <w:ind w:left="1418" w:right="101" w:hanging="567"/>
        <w:contextualSpacing w:val="0"/>
        <w:rPr>
          <w:rFonts w:ascii="Arial" w:hAnsi="Arial" w:cs="Arial"/>
          <w:iCs/>
          <w:sz w:val="18"/>
          <w:szCs w:val="18"/>
        </w:rPr>
      </w:pPr>
      <w:r w:rsidRPr="000D081A">
        <w:rPr>
          <w:rFonts w:ascii="Arial" w:hAnsi="Arial" w:cs="Arial"/>
          <w:iCs/>
          <w:sz w:val="18"/>
          <w:szCs w:val="18"/>
        </w:rPr>
        <w:t>In</w:t>
      </w:r>
      <w:r w:rsidRPr="000D081A">
        <w:rPr>
          <w:rFonts w:ascii="Arial" w:hAnsi="Arial" w:cs="Arial"/>
          <w:iCs/>
          <w:spacing w:val="-5"/>
          <w:sz w:val="18"/>
          <w:szCs w:val="18"/>
        </w:rPr>
        <w:t xml:space="preserve"> </w:t>
      </w:r>
      <w:r w:rsidRPr="000D081A">
        <w:rPr>
          <w:rFonts w:ascii="Arial" w:hAnsi="Arial" w:cs="Arial"/>
          <w:iCs/>
          <w:sz w:val="18"/>
          <w:szCs w:val="18"/>
        </w:rPr>
        <w:t>broadcasting</w:t>
      </w:r>
      <w:r w:rsidRPr="000D081A">
        <w:rPr>
          <w:rFonts w:ascii="Arial" w:hAnsi="Arial" w:cs="Arial"/>
          <w:iCs/>
          <w:spacing w:val="-4"/>
          <w:sz w:val="18"/>
          <w:szCs w:val="18"/>
        </w:rPr>
        <w:t xml:space="preserve"> </w:t>
      </w:r>
      <w:r w:rsidRPr="000D081A">
        <w:rPr>
          <w:rFonts w:ascii="Arial" w:hAnsi="Arial" w:cs="Arial"/>
          <w:iCs/>
          <w:sz w:val="18"/>
          <w:szCs w:val="18"/>
        </w:rPr>
        <w:t>a</w:t>
      </w:r>
      <w:r w:rsidRPr="000D081A">
        <w:rPr>
          <w:rFonts w:ascii="Arial" w:hAnsi="Arial" w:cs="Arial"/>
          <w:iCs/>
          <w:spacing w:val="-6"/>
          <w:sz w:val="18"/>
          <w:szCs w:val="18"/>
        </w:rPr>
        <w:t xml:space="preserve"> </w:t>
      </w:r>
      <w:r w:rsidRPr="000D081A">
        <w:rPr>
          <w:rFonts w:ascii="Arial" w:hAnsi="Arial" w:cs="Arial"/>
          <w:iCs/>
          <w:sz w:val="18"/>
          <w:szCs w:val="18"/>
        </w:rPr>
        <w:t>news</w:t>
      </w:r>
      <w:r w:rsidRPr="000D081A">
        <w:rPr>
          <w:rFonts w:ascii="Arial" w:hAnsi="Arial" w:cs="Arial"/>
          <w:iCs/>
          <w:spacing w:val="-6"/>
          <w:sz w:val="18"/>
          <w:szCs w:val="18"/>
        </w:rPr>
        <w:t xml:space="preserve"> </w:t>
      </w:r>
      <w:r w:rsidRPr="000D081A">
        <w:rPr>
          <w:rFonts w:ascii="Arial" w:hAnsi="Arial" w:cs="Arial"/>
          <w:iCs/>
          <w:sz w:val="18"/>
          <w:szCs w:val="18"/>
        </w:rPr>
        <w:t>or</w:t>
      </w:r>
      <w:r w:rsidRPr="000D081A">
        <w:rPr>
          <w:rFonts w:ascii="Arial" w:hAnsi="Arial" w:cs="Arial"/>
          <w:iCs/>
          <w:spacing w:val="-6"/>
          <w:sz w:val="18"/>
          <w:szCs w:val="18"/>
        </w:rPr>
        <w:t xml:space="preserve"> </w:t>
      </w:r>
      <w:r w:rsidRPr="000D081A">
        <w:rPr>
          <w:rFonts w:ascii="Arial" w:hAnsi="Arial" w:cs="Arial"/>
          <w:iCs/>
          <w:sz w:val="18"/>
          <w:szCs w:val="18"/>
        </w:rPr>
        <w:t>Current</w:t>
      </w:r>
      <w:r w:rsidRPr="000D081A">
        <w:rPr>
          <w:rFonts w:ascii="Arial" w:hAnsi="Arial" w:cs="Arial"/>
          <w:iCs/>
          <w:spacing w:val="-5"/>
          <w:sz w:val="18"/>
          <w:szCs w:val="18"/>
        </w:rPr>
        <w:t xml:space="preserve"> </w:t>
      </w:r>
      <w:r w:rsidRPr="000D081A">
        <w:rPr>
          <w:rFonts w:ascii="Arial" w:hAnsi="Arial" w:cs="Arial"/>
          <w:iCs/>
          <w:sz w:val="18"/>
          <w:szCs w:val="18"/>
        </w:rPr>
        <w:t>Affairs</w:t>
      </w:r>
      <w:r w:rsidRPr="000D081A">
        <w:rPr>
          <w:rFonts w:ascii="Arial" w:hAnsi="Arial" w:cs="Arial"/>
          <w:iCs/>
          <w:spacing w:val="-7"/>
          <w:sz w:val="18"/>
          <w:szCs w:val="18"/>
        </w:rPr>
        <w:t xml:space="preserve"> </w:t>
      </w:r>
      <w:r w:rsidRPr="000D081A">
        <w:rPr>
          <w:rFonts w:ascii="Arial" w:hAnsi="Arial" w:cs="Arial"/>
          <w:iCs/>
          <w:sz w:val="18"/>
          <w:szCs w:val="18"/>
        </w:rPr>
        <w:t>Program,</w:t>
      </w:r>
      <w:r w:rsidRPr="000D081A">
        <w:rPr>
          <w:rFonts w:ascii="Arial" w:hAnsi="Arial" w:cs="Arial"/>
          <w:iCs/>
          <w:spacing w:val="-6"/>
          <w:sz w:val="18"/>
          <w:szCs w:val="18"/>
        </w:rPr>
        <w:t xml:space="preserve"> </w:t>
      </w:r>
      <w:r w:rsidRPr="000D081A">
        <w:rPr>
          <w:rFonts w:ascii="Arial" w:hAnsi="Arial" w:cs="Arial"/>
          <w:iCs/>
          <w:sz w:val="18"/>
          <w:szCs w:val="18"/>
        </w:rPr>
        <w:t>a</w:t>
      </w:r>
      <w:r w:rsidRPr="000D081A">
        <w:rPr>
          <w:rFonts w:ascii="Arial" w:hAnsi="Arial" w:cs="Arial"/>
          <w:iCs/>
          <w:spacing w:val="-6"/>
          <w:sz w:val="18"/>
          <w:szCs w:val="18"/>
        </w:rPr>
        <w:t xml:space="preserve"> </w:t>
      </w:r>
      <w:r w:rsidRPr="000D081A">
        <w:rPr>
          <w:rFonts w:ascii="Arial" w:hAnsi="Arial" w:cs="Arial"/>
          <w:iCs/>
          <w:sz w:val="18"/>
          <w:szCs w:val="18"/>
        </w:rPr>
        <w:t>Licensee</w:t>
      </w:r>
      <w:r w:rsidRPr="000D081A">
        <w:rPr>
          <w:rFonts w:ascii="Arial" w:hAnsi="Arial" w:cs="Arial"/>
          <w:iCs/>
          <w:spacing w:val="-4"/>
          <w:sz w:val="18"/>
          <w:szCs w:val="18"/>
        </w:rPr>
        <w:t xml:space="preserve"> </w:t>
      </w:r>
      <w:r w:rsidRPr="000D081A">
        <w:rPr>
          <w:rFonts w:ascii="Arial" w:hAnsi="Arial" w:cs="Arial"/>
          <w:iCs/>
          <w:sz w:val="18"/>
          <w:szCs w:val="18"/>
        </w:rPr>
        <w:t>must</w:t>
      </w:r>
      <w:r w:rsidRPr="000D081A">
        <w:rPr>
          <w:rFonts w:ascii="Arial" w:hAnsi="Arial" w:cs="Arial"/>
          <w:iCs/>
          <w:spacing w:val="-6"/>
          <w:sz w:val="18"/>
          <w:szCs w:val="18"/>
        </w:rPr>
        <w:t xml:space="preserve"> </w:t>
      </w:r>
      <w:r w:rsidRPr="000D081A">
        <w:rPr>
          <w:rFonts w:ascii="Arial" w:hAnsi="Arial" w:cs="Arial"/>
          <w:iCs/>
          <w:sz w:val="18"/>
          <w:szCs w:val="18"/>
        </w:rPr>
        <w:t>present</w:t>
      </w:r>
      <w:r w:rsidRPr="000D081A">
        <w:rPr>
          <w:rFonts w:ascii="Arial" w:hAnsi="Arial" w:cs="Arial"/>
          <w:iCs/>
          <w:spacing w:val="-6"/>
          <w:sz w:val="18"/>
          <w:szCs w:val="18"/>
        </w:rPr>
        <w:t xml:space="preserve"> </w:t>
      </w:r>
      <w:r w:rsidRPr="000D081A">
        <w:rPr>
          <w:rFonts w:ascii="Arial" w:hAnsi="Arial" w:cs="Arial"/>
          <w:iCs/>
          <w:sz w:val="18"/>
          <w:szCs w:val="18"/>
        </w:rPr>
        <w:t>factual</w:t>
      </w:r>
      <w:r w:rsidRPr="000D081A">
        <w:rPr>
          <w:rFonts w:ascii="Arial" w:hAnsi="Arial" w:cs="Arial"/>
          <w:iCs/>
          <w:spacing w:val="-6"/>
          <w:sz w:val="18"/>
          <w:szCs w:val="18"/>
        </w:rPr>
        <w:t xml:space="preserve"> </w:t>
      </w:r>
      <w:r w:rsidRPr="000D081A">
        <w:rPr>
          <w:rFonts w:ascii="Arial" w:hAnsi="Arial" w:cs="Arial"/>
          <w:iCs/>
          <w:sz w:val="18"/>
          <w:szCs w:val="18"/>
        </w:rPr>
        <w:t>material accurately and ensure viewpoints included in the Program are not</w:t>
      </w:r>
      <w:r w:rsidRPr="000D081A">
        <w:rPr>
          <w:rFonts w:ascii="Arial" w:hAnsi="Arial" w:cs="Arial"/>
          <w:iCs/>
          <w:spacing w:val="-23"/>
          <w:sz w:val="18"/>
          <w:szCs w:val="18"/>
        </w:rPr>
        <w:t xml:space="preserve"> </w:t>
      </w:r>
      <w:r w:rsidRPr="000D081A">
        <w:rPr>
          <w:rFonts w:ascii="Arial" w:hAnsi="Arial" w:cs="Arial"/>
          <w:iCs/>
          <w:sz w:val="18"/>
          <w:szCs w:val="18"/>
        </w:rPr>
        <w:t>misrepresented.</w:t>
      </w:r>
    </w:p>
    <w:p w14:paraId="727CABB0" w14:textId="4CA11EEA" w:rsidR="000D081A" w:rsidRPr="007B37DA" w:rsidRDefault="000D081A" w:rsidP="007B37DA">
      <w:pPr>
        <w:pStyle w:val="ListParagraph"/>
        <w:widowControl w:val="0"/>
        <w:numPr>
          <w:ilvl w:val="2"/>
          <w:numId w:val="44"/>
        </w:numPr>
        <w:tabs>
          <w:tab w:val="left" w:pos="3119"/>
        </w:tabs>
        <w:autoSpaceDE w:val="0"/>
        <w:autoSpaceDN w:val="0"/>
        <w:spacing w:after="0" w:line="240" w:lineRule="auto"/>
        <w:ind w:left="1418" w:hanging="567"/>
        <w:contextualSpacing w:val="0"/>
        <w:rPr>
          <w:rFonts w:ascii="Arial" w:hAnsi="Arial" w:cs="Arial"/>
          <w:iCs/>
          <w:sz w:val="18"/>
          <w:szCs w:val="18"/>
        </w:rPr>
      </w:pPr>
      <w:r w:rsidRPr="000D081A">
        <w:rPr>
          <w:rFonts w:ascii="Arial" w:hAnsi="Arial" w:cs="Arial"/>
          <w:iCs/>
          <w:sz w:val="18"/>
          <w:szCs w:val="18"/>
        </w:rPr>
        <w:t>Clause</w:t>
      </w:r>
      <w:r w:rsidRPr="000D081A">
        <w:rPr>
          <w:rFonts w:ascii="Arial" w:hAnsi="Arial" w:cs="Arial"/>
          <w:iCs/>
          <w:spacing w:val="-4"/>
          <w:sz w:val="18"/>
          <w:szCs w:val="18"/>
        </w:rPr>
        <w:t xml:space="preserve"> </w:t>
      </w:r>
      <w:r w:rsidRPr="000D081A">
        <w:rPr>
          <w:rFonts w:ascii="Arial" w:hAnsi="Arial" w:cs="Arial"/>
          <w:iCs/>
          <w:sz w:val="18"/>
          <w:szCs w:val="18"/>
        </w:rPr>
        <w:t>3.3.1</w:t>
      </w:r>
      <w:r w:rsidRPr="000D081A">
        <w:rPr>
          <w:rFonts w:ascii="Arial" w:hAnsi="Arial" w:cs="Arial"/>
          <w:iCs/>
          <w:spacing w:val="-3"/>
          <w:sz w:val="18"/>
          <w:szCs w:val="18"/>
        </w:rPr>
        <w:t xml:space="preserve"> </w:t>
      </w:r>
      <w:r w:rsidRPr="000D081A">
        <w:rPr>
          <w:rFonts w:ascii="Arial" w:hAnsi="Arial" w:cs="Arial"/>
          <w:iCs/>
          <w:sz w:val="18"/>
          <w:szCs w:val="18"/>
        </w:rPr>
        <w:t>applies</w:t>
      </w:r>
      <w:r w:rsidRPr="000D081A">
        <w:rPr>
          <w:rFonts w:ascii="Arial" w:hAnsi="Arial" w:cs="Arial"/>
          <w:iCs/>
          <w:spacing w:val="-3"/>
          <w:sz w:val="18"/>
          <w:szCs w:val="18"/>
        </w:rPr>
        <w:t xml:space="preserve"> </w:t>
      </w:r>
      <w:r w:rsidRPr="000D081A">
        <w:rPr>
          <w:rFonts w:ascii="Arial" w:hAnsi="Arial" w:cs="Arial"/>
          <w:iCs/>
          <w:sz w:val="18"/>
          <w:szCs w:val="18"/>
        </w:rPr>
        <w:t>to</w:t>
      </w:r>
      <w:r w:rsidRPr="000D081A">
        <w:rPr>
          <w:rFonts w:ascii="Arial" w:hAnsi="Arial" w:cs="Arial"/>
          <w:iCs/>
          <w:spacing w:val="-4"/>
          <w:sz w:val="18"/>
          <w:szCs w:val="18"/>
        </w:rPr>
        <w:t xml:space="preserve"> </w:t>
      </w:r>
      <w:r w:rsidRPr="000D081A">
        <w:rPr>
          <w:rFonts w:ascii="Arial" w:hAnsi="Arial" w:cs="Arial"/>
          <w:iCs/>
          <w:sz w:val="18"/>
          <w:szCs w:val="18"/>
        </w:rPr>
        <w:t>material</w:t>
      </w:r>
      <w:r w:rsidRPr="000D081A">
        <w:rPr>
          <w:rFonts w:ascii="Arial" w:hAnsi="Arial" w:cs="Arial"/>
          <w:iCs/>
          <w:spacing w:val="-5"/>
          <w:sz w:val="18"/>
          <w:szCs w:val="18"/>
        </w:rPr>
        <w:t xml:space="preserve"> </w:t>
      </w:r>
      <w:r w:rsidRPr="000D081A">
        <w:rPr>
          <w:rFonts w:ascii="Arial" w:hAnsi="Arial" w:cs="Arial"/>
          <w:iCs/>
          <w:sz w:val="18"/>
          <w:szCs w:val="18"/>
        </w:rPr>
        <w:t>facts</w:t>
      </w:r>
      <w:r w:rsidRPr="000D081A">
        <w:rPr>
          <w:rFonts w:ascii="Arial" w:hAnsi="Arial" w:cs="Arial"/>
          <w:iCs/>
          <w:spacing w:val="-5"/>
          <w:sz w:val="18"/>
          <w:szCs w:val="18"/>
        </w:rPr>
        <w:t xml:space="preserve"> </w:t>
      </w:r>
      <w:r w:rsidRPr="000D081A">
        <w:rPr>
          <w:rFonts w:ascii="Arial" w:hAnsi="Arial" w:cs="Arial"/>
          <w:iCs/>
          <w:sz w:val="18"/>
          <w:szCs w:val="18"/>
        </w:rPr>
        <w:t>and</w:t>
      </w:r>
      <w:r w:rsidRPr="000D081A">
        <w:rPr>
          <w:rFonts w:ascii="Arial" w:hAnsi="Arial" w:cs="Arial"/>
          <w:iCs/>
          <w:spacing w:val="-4"/>
          <w:sz w:val="18"/>
          <w:szCs w:val="18"/>
        </w:rPr>
        <w:t xml:space="preserve"> </w:t>
      </w:r>
      <w:r w:rsidRPr="000D081A">
        <w:rPr>
          <w:rFonts w:ascii="Arial" w:hAnsi="Arial" w:cs="Arial"/>
          <w:iCs/>
          <w:sz w:val="18"/>
          <w:szCs w:val="18"/>
        </w:rPr>
        <w:t>material</w:t>
      </w:r>
      <w:r w:rsidRPr="000D081A">
        <w:rPr>
          <w:rFonts w:ascii="Arial" w:hAnsi="Arial" w:cs="Arial"/>
          <w:iCs/>
          <w:spacing w:val="-4"/>
          <w:sz w:val="18"/>
          <w:szCs w:val="18"/>
        </w:rPr>
        <w:t xml:space="preserve"> </w:t>
      </w:r>
      <w:r w:rsidRPr="000D081A">
        <w:rPr>
          <w:rFonts w:ascii="Arial" w:hAnsi="Arial" w:cs="Arial"/>
          <w:iCs/>
          <w:sz w:val="18"/>
          <w:szCs w:val="18"/>
        </w:rPr>
        <w:t>misrepresentations</w:t>
      </w:r>
      <w:r w:rsidRPr="000D081A">
        <w:rPr>
          <w:rFonts w:ascii="Arial" w:hAnsi="Arial" w:cs="Arial"/>
          <w:iCs/>
          <w:spacing w:val="-3"/>
          <w:sz w:val="18"/>
          <w:szCs w:val="18"/>
        </w:rPr>
        <w:t xml:space="preserve"> </w:t>
      </w:r>
      <w:r w:rsidRPr="000D081A">
        <w:rPr>
          <w:rFonts w:ascii="Arial" w:hAnsi="Arial" w:cs="Arial"/>
          <w:iCs/>
          <w:sz w:val="18"/>
          <w:szCs w:val="18"/>
        </w:rPr>
        <w:t>of</w:t>
      </w:r>
      <w:r w:rsidRPr="000D081A">
        <w:rPr>
          <w:rFonts w:ascii="Arial" w:hAnsi="Arial" w:cs="Arial"/>
          <w:iCs/>
          <w:spacing w:val="-3"/>
          <w:sz w:val="18"/>
          <w:szCs w:val="18"/>
        </w:rPr>
        <w:t xml:space="preserve"> </w:t>
      </w:r>
      <w:r w:rsidRPr="000D081A">
        <w:rPr>
          <w:rFonts w:ascii="Arial" w:hAnsi="Arial" w:cs="Arial"/>
          <w:iCs/>
          <w:sz w:val="18"/>
          <w:szCs w:val="18"/>
        </w:rPr>
        <w:t>viewpoints</w:t>
      </w:r>
      <w:r w:rsidRPr="000D081A">
        <w:rPr>
          <w:rFonts w:ascii="Arial" w:hAnsi="Arial" w:cs="Arial"/>
          <w:iCs/>
          <w:spacing w:val="-3"/>
          <w:sz w:val="18"/>
          <w:szCs w:val="18"/>
        </w:rPr>
        <w:t xml:space="preserve"> </w:t>
      </w:r>
      <w:r w:rsidRPr="000D081A">
        <w:rPr>
          <w:rFonts w:ascii="Arial" w:hAnsi="Arial" w:cs="Arial"/>
          <w:iCs/>
          <w:sz w:val="18"/>
          <w:szCs w:val="18"/>
        </w:rPr>
        <w:t>only.</w:t>
      </w:r>
    </w:p>
    <w:p w14:paraId="33D36FC8" w14:textId="77777777" w:rsidR="000D081A" w:rsidRPr="000D081A" w:rsidRDefault="000D081A" w:rsidP="000D081A">
      <w:pPr>
        <w:pStyle w:val="BodyText"/>
        <w:rPr>
          <w:i w:val="0"/>
          <w:iCs/>
        </w:rPr>
      </w:pPr>
      <w:r w:rsidRPr="000D081A">
        <w:rPr>
          <w:i w:val="0"/>
          <w:iCs/>
        </w:rPr>
        <w:t>We also note that Clause 2.2 of the Subscription Broadcast Code provides, in part, as follows:</w:t>
      </w:r>
    </w:p>
    <w:p w14:paraId="6D3FE84B" w14:textId="40BA32CF" w:rsidR="000D081A" w:rsidRPr="007B37DA" w:rsidRDefault="000D081A" w:rsidP="007B37DA">
      <w:pPr>
        <w:spacing w:after="120"/>
        <w:ind w:left="851"/>
        <w:rPr>
          <w:i w:val="0"/>
          <w:iCs/>
          <w:sz w:val="18"/>
          <w:szCs w:val="18"/>
        </w:rPr>
      </w:pPr>
      <w:r w:rsidRPr="007B37DA">
        <w:rPr>
          <w:i w:val="0"/>
          <w:iCs/>
          <w:sz w:val="18"/>
          <w:szCs w:val="18"/>
        </w:rPr>
        <w:t>News and current affairs programs, including news updates, broadcast by Licensees must:</w:t>
      </w:r>
    </w:p>
    <w:p w14:paraId="70E50187" w14:textId="77777777" w:rsidR="000D081A" w:rsidRPr="007B37DA" w:rsidRDefault="000D081A" w:rsidP="007B37DA">
      <w:pPr>
        <w:pStyle w:val="ACMABodyText"/>
        <w:numPr>
          <w:ilvl w:val="0"/>
          <w:numId w:val="45"/>
        </w:numPr>
        <w:spacing w:after="120"/>
        <w:ind w:left="1985"/>
        <w:rPr>
          <w:iCs/>
          <w:sz w:val="18"/>
          <w:szCs w:val="18"/>
          <w:lang w:val="en-US"/>
        </w:rPr>
      </w:pPr>
      <w:r w:rsidRPr="007B37DA">
        <w:rPr>
          <w:iCs/>
          <w:sz w:val="18"/>
          <w:szCs w:val="18"/>
          <w:lang w:val="en-US"/>
        </w:rPr>
        <w:t>present news accurately, fairly and impartially;</w:t>
      </w:r>
    </w:p>
    <w:p w14:paraId="575BF2BE" w14:textId="77777777" w:rsidR="000D081A" w:rsidRPr="007B37DA" w:rsidRDefault="000D081A" w:rsidP="007B37DA">
      <w:pPr>
        <w:pStyle w:val="ACMABodyText"/>
        <w:numPr>
          <w:ilvl w:val="0"/>
          <w:numId w:val="45"/>
        </w:numPr>
        <w:spacing w:after="120"/>
        <w:ind w:left="1985"/>
        <w:rPr>
          <w:iCs/>
          <w:sz w:val="18"/>
          <w:szCs w:val="18"/>
          <w:lang w:val="en-US"/>
        </w:rPr>
      </w:pPr>
      <w:r w:rsidRPr="007B37DA">
        <w:rPr>
          <w:iCs/>
          <w:sz w:val="18"/>
          <w:szCs w:val="18"/>
          <w:lang w:val="en-US"/>
        </w:rPr>
        <w:t>clearly distinguish the reporting of factual material from commentary, analysis or simulations;</w:t>
      </w:r>
    </w:p>
    <w:p w14:paraId="22A7D6EA" w14:textId="77777777" w:rsidR="000D081A" w:rsidRPr="007B37DA" w:rsidRDefault="000D081A" w:rsidP="007B37DA">
      <w:pPr>
        <w:pStyle w:val="ACMABodyText"/>
        <w:numPr>
          <w:ilvl w:val="0"/>
          <w:numId w:val="45"/>
        </w:numPr>
        <w:spacing w:after="120"/>
        <w:ind w:left="1985"/>
        <w:rPr>
          <w:iCs/>
          <w:sz w:val="18"/>
          <w:szCs w:val="18"/>
          <w:lang w:val="en-US"/>
        </w:rPr>
      </w:pPr>
      <w:r w:rsidRPr="007B37DA">
        <w:rPr>
          <w:iCs/>
          <w:sz w:val="18"/>
          <w:szCs w:val="18"/>
          <w:lang w:val="en-US"/>
        </w:rPr>
        <w:t>not simulate news or events in a way that misleads or alarms the audience.</w:t>
      </w:r>
    </w:p>
    <w:p w14:paraId="6E114DBF" w14:textId="77777777" w:rsidR="000D081A" w:rsidRPr="000D081A" w:rsidRDefault="000D081A" w:rsidP="000D081A">
      <w:pPr>
        <w:pStyle w:val="ACMABodyText"/>
        <w:rPr>
          <w:rFonts w:cs="Arial"/>
          <w:iCs/>
        </w:rPr>
      </w:pPr>
      <w:r w:rsidRPr="000D081A">
        <w:rPr>
          <w:rFonts w:cs="Arial"/>
          <w:iCs/>
        </w:rPr>
        <w:lastRenderedPageBreak/>
        <w:t>As is made clear in the relevant codes, the accuracy provisions of the Subscription Broadcast Code and the Commercial TV Code only apply to specific types of factual statements in certain contexts – the presentation of “news” and “material facts” respectively. The difference between those provisions and the requirements in clause 1.2 of the Code make it necessary for the ACMA to adopt a different approach when analysing questions of accuracy in a narrowcast program.</w:t>
      </w:r>
    </w:p>
    <w:p w14:paraId="423C0597" w14:textId="48FA853E" w:rsidR="000D081A" w:rsidRPr="000D081A" w:rsidRDefault="000D081A" w:rsidP="000D081A">
      <w:pPr>
        <w:pStyle w:val="ACMABodyText"/>
        <w:rPr>
          <w:rFonts w:cs="Arial"/>
          <w:iCs/>
        </w:rPr>
      </w:pPr>
      <w:r w:rsidRPr="000D081A">
        <w:rPr>
          <w:rFonts w:cs="Arial"/>
          <w:iCs/>
        </w:rPr>
        <w:t>In any event, each of the statements which have been relied on by the ACMA in making the Preliminary Findings were made in the context of programs which involved panel</w:t>
      </w:r>
      <w:r w:rsidRPr="000D081A">
        <w:rPr>
          <w:rFonts w:ascii="Cambria Math" w:hAnsi="Cambria Math" w:cs="Cambria Math"/>
          <w:iCs/>
        </w:rPr>
        <w:t>‐</w:t>
      </w:r>
      <w:r w:rsidRPr="000D081A">
        <w:rPr>
          <w:rFonts w:cs="Arial"/>
          <w:iCs/>
        </w:rPr>
        <w:t>style discussions with a religious focus. In this context, the statements made within the programs would not have been interpreted by any reasonable viewer to be statements of fact, especially when one considers the nature of programs that are ordinarily broadcast on the Channel. When viewed in context, Foxtel submits that each of the statements referred to in the Report properly constitute commentary or analysis under clause 1.2(a) of the Code.</w:t>
      </w:r>
    </w:p>
    <w:p w14:paraId="36657B7A" w14:textId="77777777" w:rsidR="000D081A" w:rsidRPr="000D081A" w:rsidRDefault="000D081A" w:rsidP="000D081A">
      <w:pPr>
        <w:pStyle w:val="ACMABodyText"/>
        <w:rPr>
          <w:b/>
          <w:bCs/>
          <w:lang w:val="en-US"/>
        </w:rPr>
      </w:pPr>
      <w:r w:rsidRPr="000D081A">
        <w:rPr>
          <w:b/>
          <w:bCs/>
          <w:u w:val="single"/>
          <w:lang w:val="en-US"/>
        </w:rPr>
        <w:t>Reliance on Clause 1.9 of the Code</w:t>
      </w:r>
    </w:p>
    <w:p w14:paraId="78869F1C" w14:textId="77777777" w:rsidR="000D081A" w:rsidRPr="000D081A" w:rsidRDefault="000D081A" w:rsidP="000D081A">
      <w:pPr>
        <w:pStyle w:val="ACMABodyText"/>
        <w:rPr>
          <w:bCs/>
          <w:lang w:val="en-US"/>
        </w:rPr>
      </w:pPr>
      <w:r w:rsidRPr="000D081A">
        <w:rPr>
          <w:bCs/>
          <w:lang w:val="en-US"/>
        </w:rPr>
        <w:t>Foxtel submits that the ACMA’s preliminary findings with respect to clause 1.9 of the Code are also erroneous.</w:t>
      </w:r>
    </w:p>
    <w:p w14:paraId="231E7E29" w14:textId="77777777" w:rsidR="000D081A" w:rsidRPr="000D081A" w:rsidRDefault="000D081A" w:rsidP="000D081A">
      <w:pPr>
        <w:pStyle w:val="ACMABodyText"/>
        <w:rPr>
          <w:bCs/>
          <w:lang w:val="en-US"/>
        </w:rPr>
      </w:pPr>
      <w:r w:rsidRPr="000D081A">
        <w:rPr>
          <w:bCs/>
          <w:lang w:val="en-US"/>
        </w:rPr>
        <w:t>The ACMA’s preliminary finding is that Foxtel “</w:t>
      </w:r>
      <w:r w:rsidRPr="000D081A">
        <w:rPr>
          <w:bCs/>
          <w:i/>
          <w:lang w:val="en-US"/>
        </w:rPr>
        <w:t>has not provided sufficient information to satisfy the ACMA that the failures to comply with provisions of the Code identified in this report were due to causes beyond the Licensee’s control, or that the Licensee took reasonable precautions and exercised due diligence to avoid the non</w:t>
      </w:r>
      <w:r w:rsidRPr="000D081A">
        <w:rPr>
          <w:rFonts w:ascii="Cambria Math" w:hAnsi="Cambria Math" w:cs="Cambria Math"/>
          <w:bCs/>
          <w:i/>
          <w:lang w:val="en-US"/>
        </w:rPr>
        <w:t>‐</w:t>
      </w:r>
      <w:r w:rsidRPr="000D081A">
        <w:rPr>
          <w:bCs/>
          <w:i/>
          <w:lang w:val="en-US"/>
        </w:rPr>
        <w:t>compliance.</w:t>
      </w:r>
      <w:r w:rsidRPr="000D081A">
        <w:rPr>
          <w:bCs/>
          <w:lang w:val="en-US"/>
        </w:rPr>
        <w:t>”</w:t>
      </w:r>
    </w:p>
    <w:p w14:paraId="5678C2FB" w14:textId="77777777" w:rsidR="000D081A" w:rsidRPr="000D081A" w:rsidRDefault="000D081A" w:rsidP="000D081A">
      <w:pPr>
        <w:pStyle w:val="ACMABodyText"/>
        <w:rPr>
          <w:bCs/>
          <w:lang w:val="en-US"/>
        </w:rPr>
      </w:pPr>
      <w:r w:rsidRPr="000D081A">
        <w:rPr>
          <w:bCs/>
          <w:lang w:val="en-US"/>
        </w:rPr>
        <w:t>In this submission, we provide further information to satisfy the ACMA that any failures to comply with the Code were due to causes beyond Foxtel’s control and that Foxtel had taken reasonable precautions and exercised due diligence to avoid a breach of the Code.</w:t>
      </w:r>
    </w:p>
    <w:p w14:paraId="481F366C" w14:textId="77777777" w:rsidR="000D081A" w:rsidRPr="000D081A" w:rsidRDefault="000D081A" w:rsidP="000D081A">
      <w:pPr>
        <w:pStyle w:val="ACMABodyText"/>
        <w:rPr>
          <w:bCs/>
          <w:i/>
          <w:lang w:val="en-US"/>
        </w:rPr>
      </w:pPr>
      <w:r w:rsidRPr="000D081A">
        <w:rPr>
          <w:bCs/>
          <w:i/>
          <w:u w:val="single"/>
          <w:lang w:val="en-US"/>
        </w:rPr>
        <w:t>Beyond the Licensee’s Control</w:t>
      </w:r>
    </w:p>
    <w:p w14:paraId="3BC3F962" w14:textId="77777777" w:rsidR="000D081A" w:rsidRPr="000D081A" w:rsidRDefault="000D081A" w:rsidP="000D081A">
      <w:pPr>
        <w:pStyle w:val="ACMABodyText"/>
        <w:rPr>
          <w:bCs/>
          <w:lang w:val="en-US"/>
        </w:rPr>
      </w:pPr>
      <w:r w:rsidRPr="000D081A">
        <w:rPr>
          <w:bCs/>
          <w:lang w:val="en-US"/>
        </w:rPr>
        <w:t>As set out in our previous submission, the Channel is operated as a completely separate business from Foxtel. In this submission we explain how the mechanics of broadcasting the Channel meant that any breach was beyond Foxtel's control.</w:t>
      </w:r>
    </w:p>
    <w:p w14:paraId="6AAFA32C" w14:textId="77777777" w:rsidR="000D081A" w:rsidRPr="000D081A" w:rsidRDefault="000D081A" w:rsidP="000D081A">
      <w:pPr>
        <w:pStyle w:val="ACMABodyText"/>
        <w:rPr>
          <w:bCs/>
          <w:lang w:val="en-US"/>
        </w:rPr>
      </w:pPr>
      <w:r w:rsidRPr="000D081A">
        <w:rPr>
          <w:bCs/>
          <w:lang w:val="en-US"/>
        </w:rPr>
        <w:t>The Channel is provided to Foxtel on a live pass</w:t>
      </w:r>
      <w:r w:rsidRPr="000D081A">
        <w:rPr>
          <w:rFonts w:ascii="Cambria Math" w:hAnsi="Cambria Math" w:cs="Cambria Math"/>
          <w:bCs/>
          <w:lang w:val="en-US"/>
        </w:rPr>
        <w:t>‐</w:t>
      </w:r>
      <w:r w:rsidRPr="000D081A">
        <w:rPr>
          <w:bCs/>
          <w:lang w:val="en-US"/>
        </w:rPr>
        <w:t>through basis. This means that the Channel feed is provided to Foxtel simultaneously with the broadcast of the Channel to Foxtel subscribers, in that it is made available on a satellite which is effectively retransmitted simultaneously to subscribers.</w:t>
      </w:r>
    </w:p>
    <w:p w14:paraId="63D28F32" w14:textId="77777777" w:rsidR="000D081A" w:rsidRPr="000D081A" w:rsidRDefault="000D081A" w:rsidP="000D081A">
      <w:pPr>
        <w:pStyle w:val="ACMABodyText"/>
        <w:rPr>
          <w:bCs/>
          <w:lang w:val="en-US"/>
        </w:rPr>
      </w:pPr>
      <w:r w:rsidRPr="000D081A">
        <w:rPr>
          <w:bCs/>
          <w:lang w:val="en-US"/>
        </w:rPr>
        <w:t>We also confirm that at the time of the broadcast of the Programs, this feed was the same feed as was provided to numerous broadcasters throughout Western Europe, Middle East, Africa, India, Southeast Asia and New Zealand.</w:t>
      </w:r>
    </w:p>
    <w:p w14:paraId="00290035" w14:textId="3E652A2D" w:rsidR="000D081A" w:rsidRPr="000D081A" w:rsidRDefault="000D081A" w:rsidP="000D081A">
      <w:pPr>
        <w:pStyle w:val="ACMABodyText"/>
        <w:rPr>
          <w:bCs/>
          <w:lang w:val="en-US"/>
        </w:rPr>
      </w:pPr>
      <w:r w:rsidRPr="000D081A">
        <w:rPr>
          <w:bCs/>
          <w:lang w:val="en-US"/>
        </w:rPr>
        <w:t>In addition, and in accordance with standard industry practice, Foxtel is not provided with episodes of the relevant Programs (or any programs on the Channel) prior to their incorporation by Daystar into the Channel feed. Accordingly, Foxtel had no ability to review the Programs prior to broadcast.</w:t>
      </w:r>
    </w:p>
    <w:p w14:paraId="63FB5098" w14:textId="331E25D1" w:rsidR="000D081A" w:rsidRPr="000D081A" w:rsidRDefault="000D081A" w:rsidP="000D081A">
      <w:pPr>
        <w:pStyle w:val="ACMABodyText"/>
        <w:rPr>
          <w:bCs/>
          <w:lang w:val="en-US"/>
        </w:rPr>
      </w:pPr>
      <w:r w:rsidRPr="00FA4BBF">
        <w:rPr>
          <w:bCs/>
          <w:lang w:val="en-US"/>
        </w:rPr>
        <w:t>In the absence of any ability to review the programs before they were broadcast, any failure by Daystar to comply with the Code in relation to the Programs was beyond Foxtel’s control.</w:t>
      </w:r>
    </w:p>
    <w:p w14:paraId="7BC6D86D" w14:textId="77777777" w:rsidR="000D081A" w:rsidRPr="000D081A" w:rsidRDefault="000D081A" w:rsidP="000D081A">
      <w:pPr>
        <w:pStyle w:val="ACMABodyText"/>
        <w:rPr>
          <w:bCs/>
          <w:i/>
          <w:lang w:val="en-US"/>
        </w:rPr>
      </w:pPr>
      <w:r w:rsidRPr="000D081A">
        <w:rPr>
          <w:bCs/>
          <w:i/>
          <w:u w:val="single"/>
          <w:lang w:val="en-US"/>
        </w:rPr>
        <w:t>Reasonable Precautions</w:t>
      </w:r>
    </w:p>
    <w:p w14:paraId="524007D9" w14:textId="630E2781" w:rsidR="00C20DB1" w:rsidRPr="00C20DB1" w:rsidRDefault="000D081A" w:rsidP="00C20DB1">
      <w:pPr>
        <w:pStyle w:val="ACMABodyText"/>
        <w:rPr>
          <w:bCs/>
          <w:lang w:val="en-US"/>
        </w:rPr>
      </w:pPr>
      <w:r w:rsidRPr="000D081A">
        <w:rPr>
          <w:bCs/>
          <w:lang w:val="en-US"/>
        </w:rPr>
        <w:t>The question of what constitutes “</w:t>
      </w:r>
      <w:r w:rsidRPr="000D081A">
        <w:rPr>
          <w:bCs/>
          <w:i/>
          <w:lang w:val="en-US"/>
        </w:rPr>
        <w:t>reasonable precautions</w:t>
      </w:r>
      <w:r w:rsidRPr="000D081A">
        <w:rPr>
          <w:bCs/>
          <w:lang w:val="en-US"/>
        </w:rPr>
        <w:t xml:space="preserve">” must take into account the context in which the broadcast is made. As explained above, the broadcast was made in </w:t>
      </w:r>
      <w:r w:rsidRPr="000D081A">
        <w:rPr>
          <w:bCs/>
          <w:lang w:val="en-US"/>
        </w:rPr>
        <w:lastRenderedPageBreak/>
        <w:t>circumstances in</w:t>
      </w:r>
      <w:r w:rsidR="00C20DB1">
        <w:rPr>
          <w:bCs/>
          <w:lang w:val="en-US"/>
        </w:rPr>
        <w:t xml:space="preserve"> </w:t>
      </w:r>
      <w:r w:rsidR="00C20DB1" w:rsidRPr="00C20DB1">
        <w:rPr>
          <w:bCs/>
          <w:lang w:val="en-US"/>
        </w:rPr>
        <w:t>which Foxtel did not have an opportunity to preview the material prior to broadcast.</w:t>
      </w:r>
    </w:p>
    <w:p w14:paraId="488AA2B8" w14:textId="77777777" w:rsidR="00C20DB1" w:rsidRPr="00C20DB1" w:rsidRDefault="00C20DB1" w:rsidP="00C20DB1">
      <w:pPr>
        <w:pStyle w:val="ACMABodyText"/>
        <w:rPr>
          <w:bCs/>
          <w:lang w:val="en-US"/>
        </w:rPr>
      </w:pPr>
      <w:r w:rsidRPr="00C20DB1">
        <w:rPr>
          <w:bCs/>
          <w:lang w:val="en-US"/>
        </w:rPr>
        <w:t>Furthermore, even if Foxtel did have an opportunity to preview every program before broadcast, the time and cost of doing so would be prohibitive.</w:t>
      </w:r>
    </w:p>
    <w:p w14:paraId="2312931D" w14:textId="77777777" w:rsidR="00C20DB1" w:rsidRPr="00C20DB1" w:rsidRDefault="00C20DB1" w:rsidP="00C20DB1">
      <w:pPr>
        <w:pStyle w:val="ACMABodyText"/>
        <w:rPr>
          <w:bCs/>
          <w:lang w:val="en-US"/>
        </w:rPr>
      </w:pPr>
      <w:r w:rsidRPr="00C20DB1">
        <w:rPr>
          <w:bCs/>
          <w:lang w:val="en-US"/>
        </w:rPr>
        <w:t>In this context, and consistently with the “Do Not Call” obligations explained in more detail below, the obligation to exercise “</w:t>
      </w:r>
      <w:r w:rsidRPr="00C20DB1">
        <w:rPr>
          <w:bCs/>
          <w:i/>
          <w:lang w:val="en-US"/>
        </w:rPr>
        <w:t>reasonable precautions</w:t>
      </w:r>
      <w:r w:rsidRPr="00C20DB1">
        <w:rPr>
          <w:bCs/>
          <w:lang w:val="en-US"/>
        </w:rPr>
        <w:t>” can only practically be satisfied by imposing appropriate contractual obligations on channel providers.</w:t>
      </w:r>
    </w:p>
    <w:p w14:paraId="67DAAC76" w14:textId="40629620" w:rsidR="00C20DB1" w:rsidRPr="00C20DB1" w:rsidRDefault="00C20DB1" w:rsidP="00C20DB1">
      <w:pPr>
        <w:pStyle w:val="ACMABodyText"/>
        <w:rPr>
          <w:bCs/>
          <w:lang w:val="en-US"/>
        </w:rPr>
      </w:pPr>
      <w:r w:rsidRPr="00C20DB1">
        <w:rPr>
          <w:bCs/>
          <w:lang w:val="en-US"/>
        </w:rPr>
        <w:t>In this case, Foxtel took all reasonable precautions to avoid any failure to comply with the Code. In particular, Foxtel required Daystar to enter into a channel supply agreement (</w:t>
      </w:r>
      <w:r w:rsidRPr="00C20DB1">
        <w:rPr>
          <w:b/>
          <w:bCs/>
          <w:lang w:val="en-US"/>
        </w:rPr>
        <w:t>Agreement</w:t>
      </w:r>
      <w:r w:rsidRPr="00C20DB1">
        <w:rPr>
          <w:bCs/>
          <w:lang w:val="en-US"/>
        </w:rPr>
        <w:t>) prior to providing the Channel to Foxtel for broadcast in Australia which obliged Daystar to avoid a failure to comply with the Code.</w:t>
      </w:r>
    </w:p>
    <w:p w14:paraId="1CC45D7D" w14:textId="1156B65E" w:rsidR="00744B41" w:rsidRDefault="00C20DB1" w:rsidP="00744B41">
      <w:pPr>
        <w:pStyle w:val="ACMABodyText"/>
        <w:rPr>
          <w:bCs/>
          <w:lang w:val="en-US"/>
        </w:rPr>
      </w:pPr>
      <w:r w:rsidRPr="00C20DB1">
        <w:rPr>
          <w:bCs/>
          <w:lang w:val="en-US"/>
        </w:rPr>
        <w:t xml:space="preserve">The Agreement contains a provision requiring the Channel Supplier to represent and warrant that the Channel will comply at all times during the term of the Agreement with applicable Australian laws and regulations, specifically referring to the Code </w:t>
      </w:r>
      <w:r w:rsidR="004369F7">
        <w:rPr>
          <w:bCs/>
          <w:lang w:val="en-US"/>
        </w:rPr>
        <w:t>[…]</w:t>
      </w:r>
      <w:r w:rsidR="008C7463">
        <w:rPr>
          <w:bCs/>
          <w:lang w:val="en-US"/>
        </w:rPr>
        <w:t>.</w:t>
      </w:r>
    </w:p>
    <w:p w14:paraId="469EFEA1" w14:textId="1C56850D" w:rsidR="0061771A" w:rsidRPr="0061771A" w:rsidRDefault="0061771A" w:rsidP="00744B41">
      <w:pPr>
        <w:pStyle w:val="ACMABodyText"/>
        <w:rPr>
          <w:bCs/>
          <w:lang w:val="en-US"/>
        </w:rPr>
      </w:pPr>
      <w:r w:rsidRPr="0061771A">
        <w:rPr>
          <w:bCs/>
          <w:lang w:val="en-US"/>
        </w:rPr>
        <w:t>[…]</w:t>
      </w:r>
    </w:p>
    <w:p w14:paraId="44488D78" w14:textId="48B3C309" w:rsidR="00C20DB1" w:rsidRPr="00C20DB1" w:rsidRDefault="00C20DB1" w:rsidP="00C20DB1">
      <w:pPr>
        <w:pStyle w:val="ACMABodyText"/>
        <w:rPr>
          <w:bCs/>
          <w:i/>
          <w:lang w:val="en-US"/>
        </w:rPr>
      </w:pPr>
      <w:r w:rsidRPr="00C20DB1">
        <w:rPr>
          <w:bCs/>
          <w:lang w:val="en-US"/>
        </w:rPr>
        <w:t>We submit that these specific contractual provisions constitute “reasonable precautions” for the purposes of clause 1.9 of the Code, particularly given that Foxtel had no opportunity to review the Channel content prior to broadcast and is reliant on Daystar, as the Channel supplier, to ensure that</w:t>
      </w:r>
      <w:r>
        <w:rPr>
          <w:bCs/>
          <w:lang w:val="en-US"/>
        </w:rPr>
        <w:t xml:space="preserve"> </w:t>
      </w:r>
      <w:r w:rsidRPr="00C20DB1">
        <w:rPr>
          <w:bCs/>
          <w:i/>
          <w:lang w:val="en-US"/>
        </w:rPr>
        <w:t>all programming on the Channel complies with the Code.</w:t>
      </w:r>
    </w:p>
    <w:p w14:paraId="66D6A2D3" w14:textId="77777777" w:rsidR="00C20DB1" w:rsidRPr="00C20DB1" w:rsidRDefault="00C20DB1" w:rsidP="00C20DB1">
      <w:pPr>
        <w:pStyle w:val="ACMABodyText"/>
        <w:rPr>
          <w:bCs/>
          <w:lang w:val="en-US"/>
        </w:rPr>
      </w:pPr>
      <w:r w:rsidRPr="00C20DB1">
        <w:rPr>
          <w:bCs/>
          <w:lang w:val="en-US"/>
        </w:rPr>
        <w:t>We note that contractual provisions requiring a content supplier to ensure compliance with relevant laws and regulations is a standard industry wide practice. This reflects the fact that content suppliers and producers are those best placed practically to ensure compliance with relevant laws and obligations.</w:t>
      </w:r>
    </w:p>
    <w:p w14:paraId="29BD14D7" w14:textId="77777777" w:rsidR="00C20DB1" w:rsidRPr="00C20DB1" w:rsidRDefault="00C20DB1" w:rsidP="00C20DB1">
      <w:pPr>
        <w:pStyle w:val="ACMABodyText"/>
        <w:rPr>
          <w:bCs/>
          <w:lang w:val="en-US"/>
        </w:rPr>
      </w:pPr>
      <w:r w:rsidRPr="00C20DB1">
        <w:rPr>
          <w:bCs/>
          <w:lang w:val="en-US"/>
        </w:rPr>
        <w:t>We note that the Report states that a licensee’s responsibility to comply with the Code cannot be divested through contractual arrangements with a channel provider. Foxtel respectfully disagrees with any suggestion that a licensee cannot obtain the benefit of clause 1.9 of the Code on the basis of contractual provisions with its content suppliers which require such suppliers to comply with all applicable Australian laws and regulations. The suggestion that Foxtel’s responsibility to comply with the Code cannot be satisfied through contractual arrangements with the Channel therefore cannot be correct when one has regard to the matters explained above.</w:t>
      </w:r>
    </w:p>
    <w:p w14:paraId="31D1D2F6" w14:textId="77777777" w:rsidR="00C20DB1" w:rsidRPr="00C20DB1" w:rsidRDefault="00C20DB1" w:rsidP="00C20DB1">
      <w:pPr>
        <w:pStyle w:val="ACMABodyText"/>
        <w:rPr>
          <w:bCs/>
          <w:lang w:val="en-US"/>
        </w:rPr>
      </w:pPr>
      <w:r w:rsidRPr="00C20DB1">
        <w:rPr>
          <w:bCs/>
          <w:lang w:val="en-US"/>
        </w:rPr>
        <w:t>The availability of a defence in circumstances where an allegedly contravening party takes “</w:t>
      </w:r>
      <w:r w:rsidRPr="00C20DB1">
        <w:rPr>
          <w:bCs/>
          <w:i/>
          <w:lang w:val="en-US"/>
        </w:rPr>
        <w:t>reasonable precautions</w:t>
      </w:r>
      <w:r w:rsidRPr="00C20DB1">
        <w:rPr>
          <w:bCs/>
          <w:lang w:val="en-US"/>
        </w:rPr>
        <w:t>” is not something which is unique to the Code. For instance, useful insight is provided by the Explanatory Memorandum to the Do Not Call Register Act 2006 (Cth) (</w:t>
      </w:r>
      <w:r w:rsidRPr="00C20DB1">
        <w:rPr>
          <w:b/>
          <w:bCs/>
          <w:lang w:val="en-US"/>
        </w:rPr>
        <w:t>DNCR Act</w:t>
      </w:r>
      <w:r w:rsidRPr="00C20DB1">
        <w:rPr>
          <w:bCs/>
          <w:lang w:val="en-US"/>
        </w:rPr>
        <w:t>) (being another Act administered and regulated by the ACMA), subclause 11(5) of which provides an exception to the general prohibitions under that Act in circumstances where a person takes reasonable precautions, and exercises due diligence, to avoid a contravention. The Explanatory Memorandum provides as follows in relation to subclause 11(5) of the DNCR Act:</w:t>
      </w:r>
    </w:p>
    <w:p w14:paraId="0F69D333" w14:textId="77777777" w:rsidR="00C20DB1" w:rsidRPr="00C20DB1" w:rsidRDefault="00C20DB1" w:rsidP="00C20DB1">
      <w:pPr>
        <w:pStyle w:val="ACMABodyText"/>
        <w:ind w:left="851"/>
        <w:rPr>
          <w:bCs/>
          <w:sz w:val="18"/>
          <w:szCs w:val="18"/>
          <w:lang w:val="en-US"/>
        </w:rPr>
      </w:pPr>
      <w:r w:rsidRPr="00C20DB1">
        <w:rPr>
          <w:bCs/>
          <w:i/>
          <w:sz w:val="18"/>
          <w:szCs w:val="18"/>
          <w:lang w:val="en-US"/>
        </w:rPr>
        <w:t xml:space="preserve">Subclause 11(5) provides an exception if the person took reasonable precautions, and exercised due diligence, to avoid the contravention. For example, if a person contracted a third party to undertake telemarketing services on their behalf, </w:t>
      </w:r>
      <w:r w:rsidRPr="00C20DB1">
        <w:rPr>
          <w:b/>
          <w:bCs/>
          <w:i/>
          <w:sz w:val="18"/>
          <w:szCs w:val="18"/>
          <w:u w:val="single"/>
          <w:lang w:val="en-US"/>
        </w:rPr>
        <w:t>and they included a contractual provision which required the</w:t>
      </w:r>
      <w:r w:rsidRPr="00C20DB1">
        <w:rPr>
          <w:b/>
          <w:bCs/>
          <w:i/>
          <w:sz w:val="18"/>
          <w:szCs w:val="18"/>
          <w:lang w:val="en-US"/>
        </w:rPr>
        <w:t xml:space="preserve"> </w:t>
      </w:r>
      <w:r w:rsidRPr="00C20DB1">
        <w:rPr>
          <w:b/>
          <w:bCs/>
          <w:i/>
          <w:sz w:val="18"/>
          <w:szCs w:val="18"/>
          <w:u w:val="single"/>
          <w:lang w:val="en-US"/>
        </w:rPr>
        <w:t>telemarketer to comply with the provisions of this Bill, then this may be used to point to evidence</w:t>
      </w:r>
      <w:r w:rsidRPr="00C20DB1">
        <w:rPr>
          <w:b/>
          <w:bCs/>
          <w:i/>
          <w:sz w:val="18"/>
          <w:szCs w:val="18"/>
          <w:lang w:val="en-US"/>
        </w:rPr>
        <w:t xml:space="preserve"> </w:t>
      </w:r>
      <w:r w:rsidRPr="00C20DB1">
        <w:rPr>
          <w:b/>
          <w:bCs/>
          <w:i/>
          <w:sz w:val="18"/>
          <w:szCs w:val="18"/>
          <w:u w:val="single"/>
          <w:lang w:val="en-US"/>
        </w:rPr>
        <w:t>that they had taken reasonable precautions to avoid a contravention</w:t>
      </w:r>
      <w:r w:rsidRPr="00C20DB1">
        <w:rPr>
          <w:bCs/>
          <w:i/>
          <w:sz w:val="18"/>
          <w:szCs w:val="18"/>
          <w:lang w:val="en-US"/>
        </w:rPr>
        <w:t xml:space="preserve">, and could not be said to have caused a telemarketing call to be made in contravention of clause 11. However, if the contracting party </w:t>
      </w:r>
      <w:r w:rsidRPr="00C20DB1">
        <w:rPr>
          <w:bCs/>
          <w:i/>
          <w:sz w:val="18"/>
          <w:szCs w:val="18"/>
          <w:lang w:val="en-US"/>
        </w:rPr>
        <w:lastRenderedPageBreak/>
        <w:t xml:space="preserve">became aware that the telemarketer was contravening clause 11 and did nothing to enforce the contract, then it could not be said that they had exercised due diligence in avoiding the contravention, and they could not make use of this exception. </w:t>
      </w:r>
      <w:r w:rsidRPr="00C20DB1">
        <w:rPr>
          <w:bCs/>
          <w:sz w:val="18"/>
          <w:szCs w:val="18"/>
          <w:lang w:val="en-US"/>
        </w:rPr>
        <w:t>(Emphasis added)</w:t>
      </w:r>
    </w:p>
    <w:p w14:paraId="1E55FB6D" w14:textId="40D43DD2" w:rsidR="00C20DB1" w:rsidRPr="00C20DB1" w:rsidRDefault="00C20DB1" w:rsidP="00C20DB1">
      <w:pPr>
        <w:pStyle w:val="ACMABodyText"/>
        <w:rPr>
          <w:bCs/>
          <w:lang w:val="en-US"/>
        </w:rPr>
      </w:pPr>
      <w:r w:rsidRPr="00C20DB1">
        <w:rPr>
          <w:bCs/>
          <w:lang w:val="en-US"/>
        </w:rPr>
        <w:t>This Explanatory Memorandum makes clear that “</w:t>
      </w:r>
      <w:r w:rsidRPr="00C20DB1">
        <w:rPr>
          <w:bCs/>
          <w:i/>
          <w:lang w:val="en-US"/>
        </w:rPr>
        <w:t>reasonable precautions</w:t>
      </w:r>
      <w:r w:rsidRPr="00C20DB1">
        <w:rPr>
          <w:bCs/>
          <w:lang w:val="en-US"/>
        </w:rPr>
        <w:t>” can be established if a party requires the relevant third party supplier to comply with applicable laws and regulations pursuant to a contractual arrangement between the parties, provided that such provisions are enforced in the event of non</w:t>
      </w:r>
      <w:r w:rsidRPr="00C20DB1">
        <w:rPr>
          <w:rFonts w:ascii="Cambria Math" w:hAnsi="Cambria Math" w:cs="Cambria Math"/>
          <w:bCs/>
          <w:lang w:val="en-US"/>
        </w:rPr>
        <w:t>‐</w:t>
      </w:r>
      <w:r w:rsidRPr="00C20DB1">
        <w:rPr>
          <w:bCs/>
          <w:lang w:val="en-US"/>
        </w:rPr>
        <w:t>compliance. The provisions of the Agreement detailed in this submission were promptly brought to the attention of Daystar by Foxtel following the initiation of the ACMA</w:t>
      </w:r>
      <w:r w:rsidRPr="00C20DB1">
        <w:rPr>
          <w:rFonts w:cs="Arial"/>
          <w:bCs/>
          <w:lang w:val="en-US"/>
        </w:rPr>
        <w:t>’</w:t>
      </w:r>
      <w:r w:rsidRPr="00C20DB1">
        <w:rPr>
          <w:bCs/>
          <w:lang w:val="en-US"/>
        </w:rPr>
        <w:t>s inquiry into the Programs</w:t>
      </w:r>
      <w:r w:rsidRPr="00C20DB1">
        <w:rPr>
          <w:rFonts w:cs="Arial"/>
          <w:bCs/>
          <w:lang w:val="en-US"/>
        </w:rPr>
        <w:t>’</w:t>
      </w:r>
      <w:r w:rsidRPr="00C20DB1">
        <w:rPr>
          <w:bCs/>
          <w:lang w:val="en-US"/>
        </w:rPr>
        <w:t xml:space="preserve"> compliance with the Code.</w:t>
      </w:r>
    </w:p>
    <w:p w14:paraId="568C0E03" w14:textId="77777777" w:rsidR="00C20DB1" w:rsidRPr="00C20DB1" w:rsidRDefault="00C20DB1" w:rsidP="00C20DB1">
      <w:pPr>
        <w:pStyle w:val="ACMABodyText"/>
        <w:rPr>
          <w:bCs/>
          <w:i/>
          <w:lang w:val="en-US"/>
        </w:rPr>
      </w:pPr>
      <w:r w:rsidRPr="00C20DB1">
        <w:rPr>
          <w:bCs/>
          <w:i/>
          <w:u w:val="single"/>
          <w:lang w:val="en-US"/>
        </w:rPr>
        <w:t>Exercised Due Diligence</w:t>
      </w:r>
    </w:p>
    <w:p w14:paraId="3412FC36" w14:textId="77777777" w:rsidR="00C20DB1" w:rsidRPr="00C20DB1" w:rsidRDefault="00C20DB1" w:rsidP="00C20DB1">
      <w:pPr>
        <w:pStyle w:val="ACMABodyText"/>
        <w:rPr>
          <w:bCs/>
          <w:lang w:val="en-US"/>
        </w:rPr>
      </w:pPr>
      <w:r w:rsidRPr="00C20DB1">
        <w:rPr>
          <w:bCs/>
          <w:lang w:val="en-US"/>
        </w:rPr>
        <w:t>Foxtel also submits that it has exercised due diligence in respect of the Programs for the purposes of clause 1.9 of the Code.</w:t>
      </w:r>
    </w:p>
    <w:p w14:paraId="78AA60B7" w14:textId="77777777" w:rsidR="00C20DB1" w:rsidRPr="00C20DB1" w:rsidRDefault="00C20DB1" w:rsidP="00C20DB1">
      <w:pPr>
        <w:pStyle w:val="ACMABodyText"/>
        <w:rPr>
          <w:bCs/>
          <w:lang w:val="en-US"/>
        </w:rPr>
      </w:pPr>
      <w:r w:rsidRPr="00C20DB1">
        <w:rPr>
          <w:bCs/>
          <w:lang w:val="en-US"/>
        </w:rPr>
        <w:t>Prior to the initiation of the ACMA’s investigation into the Programs, Foxtel had not been put on notice of any instances of non</w:t>
      </w:r>
      <w:r w:rsidRPr="00C20DB1">
        <w:rPr>
          <w:rFonts w:ascii="Cambria Math" w:hAnsi="Cambria Math" w:cs="Cambria Math"/>
          <w:bCs/>
          <w:lang w:val="en-US"/>
        </w:rPr>
        <w:t>‐</w:t>
      </w:r>
      <w:r w:rsidRPr="00C20DB1">
        <w:rPr>
          <w:bCs/>
          <w:lang w:val="en-US"/>
        </w:rPr>
        <w:t>compliance with respect to the Channel. Foxtel also understands that the Channel has never previously been subject to any ACMA investigation or, as far as we are aware, any informal ACMA inquiry.</w:t>
      </w:r>
    </w:p>
    <w:p w14:paraId="1F360ABD" w14:textId="7D879049" w:rsidR="00C20DB1" w:rsidRPr="00C20DB1" w:rsidRDefault="00C20DB1" w:rsidP="00C20DB1">
      <w:pPr>
        <w:pStyle w:val="ACMABodyText"/>
        <w:rPr>
          <w:bCs/>
          <w:lang w:val="en-US"/>
        </w:rPr>
      </w:pPr>
      <w:r w:rsidRPr="00C20DB1">
        <w:rPr>
          <w:bCs/>
          <w:lang w:val="en-US"/>
        </w:rPr>
        <w:t>As noted above, at the time the ACMA commenced its investigation into the Programs in October 2021, Foxtel raised the ACMA’s concerns with Daystar in writing and received written assurances from Daystar that the provision of COVID</w:t>
      </w:r>
      <w:r w:rsidRPr="00C20DB1">
        <w:rPr>
          <w:rFonts w:ascii="Cambria Math" w:hAnsi="Cambria Math" w:cs="Cambria Math"/>
          <w:bCs/>
          <w:lang w:val="en-US"/>
        </w:rPr>
        <w:t>‐</w:t>
      </w:r>
      <w:r w:rsidRPr="00C20DB1">
        <w:rPr>
          <w:bCs/>
          <w:lang w:val="en-US"/>
        </w:rPr>
        <w:t>19 related programming on the Channel complied with the Code. Foxtel submits that this constitutes sufficient due diligence for the purposes of clause 1.9 of the Code.</w:t>
      </w:r>
    </w:p>
    <w:p w14:paraId="71C8FD8A" w14:textId="77777777" w:rsidR="00C20DB1" w:rsidRPr="00C20DB1" w:rsidRDefault="00C20DB1" w:rsidP="00C20DB1">
      <w:pPr>
        <w:pStyle w:val="ACMABodyText"/>
        <w:rPr>
          <w:bCs/>
          <w:lang w:val="en-US"/>
        </w:rPr>
      </w:pPr>
      <w:r w:rsidRPr="00C20DB1">
        <w:rPr>
          <w:bCs/>
          <w:lang w:val="en-US"/>
        </w:rPr>
        <w:t>Foxtel is extremely cognisant of its regulatory obligations. Whenever Foxtel is put on notice of any clear issues of non</w:t>
      </w:r>
      <w:r w:rsidRPr="00C20DB1">
        <w:rPr>
          <w:rFonts w:ascii="Cambria Math" w:hAnsi="Cambria Math" w:cs="Cambria Math"/>
          <w:bCs/>
          <w:lang w:val="en-US"/>
        </w:rPr>
        <w:t>‐</w:t>
      </w:r>
      <w:r w:rsidRPr="00C20DB1">
        <w:rPr>
          <w:bCs/>
          <w:lang w:val="en-US"/>
        </w:rPr>
        <w:t>compliance, Foxtel exercises due diligence and takes prompt remedial steps as necessary.</w:t>
      </w:r>
    </w:p>
    <w:p w14:paraId="69ECDA2D" w14:textId="46780E9E" w:rsidR="00C20DB1" w:rsidRPr="00C20DB1" w:rsidRDefault="00C20DB1" w:rsidP="00C20DB1">
      <w:pPr>
        <w:pStyle w:val="ACMABodyText"/>
        <w:rPr>
          <w:bCs/>
          <w:lang w:val="en-US"/>
        </w:rPr>
      </w:pPr>
      <w:r w:rsidRPr="00C20DB1">
        <w:rPr>
          <w:bCs/>
          <w:lang w:val="en-US"/>
        </w:rPr>
        <w:t>Finally, with respect to the ACMA’s preliminary finding that a licensee must have systems in place to</w:t>
      </w:r>
      <w:r>
        <w:rPr>
          <w:bCs/>
          <w:lang w:val="en-US"/>
        </w:rPr>
        <w:t xml:space="preserve"> </w:t>
      </w:r>
      <w:r w:rsidRPr="00C20DB1">
        <w:rPr>
          <w:bCs/>
          <w:lang w:val="en-US"/>
        </w:rPr>
        <w:t>monitor whether programming supplied by another person for broadcast by the licensee is compliant with the Code, for the reasons explained above we submit that in this instance “</w:t>
      </w:r>
      <w:r w:rsidRPr="00C20DB1">
        <w:rPr>
          <w:bCs/>
          <w:i/>
          <w:lang w:val="en-US"/>
        </w:rPr>
        <w:t>reasonable precautions and due diligence</w:t>
      </w:r>
      <w:r w:rsidRPr="00C20DB1">
        <w:rPr>
          <w:bCs/>
          <w:lang w:val="en-US"/>
        </w:rPr>
        <w:t>” do not require pre</w:t>
      </w:r>
      <w:r w:rsidRPr="00C20DB1">
        <w:rPr>
          <w:rFonts w:ascii="Cambria Math" w:hAnsi="Cambria Math" w:cs="Cambria Math"/>
          <w:bCs/>
          <w:lang w:val="en-US"/>
        </w:rPr>
        <w:t>‐</w:t>
      </w:r>
      <w:r w:rsidRPr="00C20DB1">
        <w:rPr>
          <w:bCs/>
          <w:lang w:val="en-US"/>
        </w:rPr>
        <w:t>vetting by Foxtel of all content which will be broadcast on the Channel prior to broadcast. Whether monitoring is warranted in a particular instance is a question of fact which, among other matters, will depend on the compliance record of the relevant program in question and the extent to which other mitigation tools are in place.</w:t>
      </w:r>
    </w:p>
    <w:p w14:paraId="0CA4CBD2" w14:textId="5F9B56A6" w:rsidR="00C20DB1" w:rsidRPr="00C20DB1" w:rsidRDefault="00C20DB1" w:rsidP="00C20DB1">
      <w:pPr>
        <w:pStyle w:val="ACMABodyText"/>
        <w:rPr>
          <w:bCs/>
          <w:lang w:val="en-US"/>
        </w:rPr>
      </w:pPr>
      <w:r w:rsidRPr="00C20DB1">
        <w:rPr>
          <w:bCs/>
          <w:lang w:val="en-US"/>
        </w:rPr>
        <w:t xml:space="preserve">We are extremely concerned that the Report seems to suggest that licensees must monitor all programming supplied by third parties for compliance with the Code. Ongoing monitoring of all content broadcast on a licensee’s platform is entirely impractical and is simply not feasible, particularly when it is often the case that third party channel content is provided to multiple licensees via a live feed. The ACMA’s suggestion would require Foxtel to review content on every channel provided to Foxtel by a third party on a live basis, which would represent a mammoth compliance burden which Foxtel (and we suspect other licensees </w:t>
      </w:r>
      <w:r w:rsidR="00AF0E7F">
        <w:rPr>
          <w:bCs/>
          <w:lang w:val="en-US"/>
        </w:rPr>
        <w:t>[…]</w:t>
      </w:r>
      <w:r w:rsidRPr="00C20DB1">
        <w:rPr>
          <w:bCs/>
          <w:lang w:val="en-US"/>
        </w:rPr>
        <w:t>) is simply not resourced to meet.</w:t>
      </w:r>
    </w:p>
    <w:p w14:paraId="1727785E" w14:textId="77777777" w:rsidR="00C20DB1" w:rsidRPr="00C20DB1" w:rsidRDefault="00C20DB1" w:rsidP="00C20DB1">
      <w:pPr>
        <w:pStyle w:val="ACMABodyText"/>
        <w:rPr>
          <w:b/>
          <w:bCs/>
          <w:lang w:val="en-US"/>
        </w:rPr>
      </w:pPr>
      <w:r w:rsidRPr="00C20DB1">
        <w:rPr>
          <w:b/>
          <w:bCs/>
          <w:u w:val="single"/>
          <w:lang w:val="en-US"/>
        </w:rPr>
        <w:t>Conclusion and remedial action</w:t>
      </w:r>
    </w:p>
    <w:p w14:paraId="471A2AFF" w14:textId="77777777" w:rsidR="00C20DB1" w:rsidRPr="00C20DB1" w:rsidRDefault="00C20DB1" w:rsidP="00C20DB1">
      <w:pPr>
        <w:pStyle w:val="ACMABodyText"/>
        <w:rPr>
          <w:bCs/>
          <w:lang w:val="en-US"/>
        </w:rPr>
      </w:pPr>
      <w:r w:rsidRPr="00C20DB1">
        <w:rPr>
          <w:bCs/>
          <w:lang w:val="en-US"/>
        </w:rPr>
        <w:t>In the circumstances, Foxtel submits that:</w:t>
      </w:r>
    </w:p>
    <w:p w14:paraId="0A87D048" w14:textId="77777777" w:rsidR="00C20DB1" w:rsidRPr="00C20DB1" w:rsidRDefault="00C20DB1" w:rsidP="00C20DB1">
      <w:pPr>
        <w:pStyle w:val="ACMABodyText"/>
        <w:numPr>
          <w:ilvl w:val="0"/>
          <w:numId w:val="42"/>
        </w:numPr>
        <w:ind w:left="1134"/>
        <w:rPr>
          <w:bCs/>
          <w:lang w:val="en-US"/>
        </w:rPr>
      </w:pPr>
      <w:r w:rsidRPr="00C20DB1">
        <w:rPr>
          <w:bCs/>
          <w:lang w:val="en-US"/>
        </w:rPr>
        <w:t>the Programs do not constitute “</w:t>
      </w:r>
      <w:r w:rsidRPr="00C20DB1">
        <w:rPr>
          <w:bCs/>
          <w:i/>
          <w:lang w:val="en-US"/>
        </w:rPr>
        <w:t>news or current affairs programs</w:t>
      </w:r>
      <w:r w:rsidRPr="00C20DB1">
        <w:rPr>
          <w:bCs/>
          <w:lang w:val="en-US"/>
        </w:rPr>
        <w:t>” under the Code;</w:t>
      </w:r>
    </w:p>
    <w:p w14:paraId="3D46CE3F" w14:textId="016D1C6E" w:rsidR="00C20DB1" w:rsidRPr="00C20DB1" w:rsidRDefault="00C20DB1" w:rsidP="00C20DB1">
      <w:pPr>
        <w:pStyle w:val="ACMABodyText"/>
        <w:numPr>
          <w:ilvl w:val="0"/>
          <w:numId w:val="42"/>
        </w:numPr>
        <w:ind w:left="1134"/>
        <w:rPr>
          <w:bCs/>
          <w:lang w:val="en-US"/>
        </w:rPr>
      </w:pPr>
      <w:r w:rsidRPr="00C20DB1">
        <w:rPr>
          <w:bCs/>
          <w:lang w:val="en-US"/>
        </w:rPr>
        <w:lastRenderedPageBreak/>
        <w:t>the findings in the Report do not provide a sufficient basis for establishing a breach of clause</w:t>
      </w:r>
      <w:r>
        <w:rPr>
          <w:bCs/>
          <w:lang w:val="en-US"/>
        </w:rPr>
        <w:t xml:space="preserve"> </w:t>
      </w:r>
      <w:r w:rsidRPr="00C20DB1">
        <w:rPr>
          <w:bCs/>
          <w:lang w:val="en-US"/>
        </w:rPr>
        <w:t>1.2 of the Code; and</w:t>
      </w:r>
    </w:p>
    <w:p w14:paraId="53FCE77C" w14:textId="77777777" w:rsidR="00C20DB1" w:rsidRPr="00C20DB1" w:rsidRDefault="00C20DB1" w:rsidP="00C20DB1">
      <w:pPr>
        <w:pStyle w:val="ACMABodyText"/>
        <w:numPr>
          <w:ilvl w:val="0"/>
          <w:numId w:val="42"/>
        </w:numPr>
        <w:ind w:left="1134"/>
        <w:rPr>
          <w:bCs/>
          <w:lang w:val="en-US"/>
        </w:rPr>
      </w:pPr>
      <w:r w:rsidRPr="00C20DB1">
        <w:rPr>
          <w:bCs/>
          <w:lang w:val="en-US"/>
        </w:rPr>
        <w:t>even if a breach of clause 1.2 of the Code could be established, which we deny, Foxtel took reasonable precautions and exercised due diligence to avoid a breach of the Code in accordance with clause 1.9 of the Code.</w:t>
      </w:r>
    </w:p>
    <w:p w14:paraId="46B39BAE" w14:textId="784E34A3" w:rsidR="00C20DB1" w:rsidRPr="00C20DB1" w:rsidRDefault="00C20DB1" w:rsidP="00C20DB1">
      <w:pPr>
        <w:pStyle w:val="ACMABodyText"/>
        <w:rPr>
          <w:bCs/>
          <w:lang w:val="en-US"/>
        </w:rPr>
      </w:pPr>
      <w:r>
        <w:rPr>
          <w:bCs/>
          <w:lang w:val="en-US"/>
        </w:rPr>
        <w:t>[…]</w:t>
      </w:r>
    </w:p>
    <w:p w14:paraId="08ECBC32" w14:textId="700AA7BA" w:rsidR="00C20DB1" w:rsidRPr="00C4325E" w:rsidRDefault="00C20DB1" w:rsidP="000D081A">
      <w:pPr>
        <w:pStyle w:val="ACMABodyText"/>
        <w:rPr>
          <w:bCs/>
          <w:lang w:val="en-US"/>
        </w:rPr>
      </w:pPr>
    </w:p>
    <w:p w14:paraId="40A41ACC" w14:textId="77777777" w:rsidR="006A02B1" w:rsidRPr="00153F9D" w:rsidRDefault="006A02B1" w:rsidP="00075F5D">
      <w:pPr>
        <w:pStyle w:val="ACMAHeading2"/>
        <w:pageBreakBefore/>
        <w:spacing w:after="240"/>
        <w:jc w:val="right"/>
      </w:pPr>
      <w:r w:rsidRPr="00153F9D">
        <w:lastRenderedPageBreak/>
        <w:t>Attachment C</w:t>
      </w:r>
    </w:p>
    <w:p w14:paraId="72A4DA20" w14:textId="77777777" w:rsidR="001845B1" w:rsidRDefault="001845B1" w:rsidP="001845B1">
      <w:pPr>
        <w:pStyle w:val="ACMAHeading3"/>
        <w:spacing w:after="120"/>
        <w:rPr>
          <w:sz w:val="28"/>
          <w:szCs w:val="28"/>
        </w:rPr>
      </w:pPr>
      <w:r w:rsidRPr="00263F24">
        <w:rPr>
          <w:sz w:val="28"/>
          <w:szCs w:val="28"/>
        </w:rPr>
        <w:t>Relevant provisions</w:t>
      </w:r>
    </w:p>
    <w:p w14:paraId="4BD7FB9C" w14:textId="7798C03E" w:rsidR="000A436F" w:rsidRPr="00CC4610" w:rsidRDefault="000A436F" w:rsidP="00CC4610">
      <w:pPr>
        <w:pStyle w:val="ACMABodyText0"/>
        <w:spacing w:before="240" w:after="240" w:line="240" w:lineRule="atLeast"/>
        <w:rPr>
          <w:rFonts w:ascii="Arial" w:hAnsi="Arial" w:cs="Arial"/>
          <w:b/>
          <w:bCs/>
          <w:sz w:val="19"/>
          <w:szCs w:val="19"/>
        </w:rPr>
      </w:pPr>
      <w:r w:rsidRPr="00CC4610">
        <w:rPr>
          <w:rFonts w:ascii="Arial" w:hAnsi="Arial" w:cs="Arial"/>
          <w:b/>
          <w:bCs/>
          <w:sz w:val="19"/>
          <w:szCs w:val="19"/>
        </w:rPr>
        <w:t xml:space="preserve">Extracts from </w:t>
      </w:r>
      <w:r w:rsidR="00066E39">
        <w:rPr>
          <w:rFonts w:ascii="Arial" w:hAnsi="Arial" w:cs="Arial"/>
          <w:b/>
          <w:bCs/>
          <w:sz w:val="19"/>
          <w:szCs w:val="19"/>
        </w:rPr>
        <w:t xml:space="preserve">the </w:t>
      </w:r>
      <w:r w:rsidRPr="00CC4610">
        <w:rPr>
          <w:rFonts w:ascii="Arial" w:hAnsi="Arial" w:cs="Arial"/>
          <w:b/>
          <w:bCs/>
          <w:sz w:val="19"/>
          <w:szCs w:val="19"/>
        </w:rPr>
        <w:t>Subscription Narrowcast Television Codes of Practice 2013</w:t>
      </w:r>
    </w:p>
    <w:p w14:paraId="49F48BB1" w14:textId="37F69953" w:rsidR="000A436F" w:rsidRPr="00CC4610" w:rsidRDefault="000A436F" w:rsidP="00066E39">
      <w:pPr>
        <w:widowControl w:val="0"/>
        <w:autoSpaceDE w:val="0"/>
        <w:autoSpaceDN w:val="0"/>
        <w:adjustRightInd w:val="0"/>
        <w:spacing w:before="70" w:after="0" w:line="240" w:lineRule="atLeast"/>
        <w:ind w:right="-49"/>
        <w:rPr>
          <w:rFonts w:cs="Arial"/>
          <w:color w:val="000000"/>
          <w:sz w:val="19"/>
          <w:szCs w:val="19"/>
        </w:rPr>
      </w:pPr>
      <w:r w:rsidRPr="00CC4610">
        <w:rPr>
          <w:rFonts w:cs="Arial"/>
          <w:b/>
          <w:bCs/>
          <w:color w:val="000000"/>
          <w:sz w:val="19"/>
          <w:szCs w:val="19"/>
        </w:rPr>
        <w:t>C</w:t>
      </w:r>
      <w:r w:rsidRPr="00CC4610">
        <w:rPr>
          <w:rFonts w:cs="Arial"/>
          <w:b/>
          <w:bCs/>
          <w:color w:val="000000"/>
          <w:spacing w:val="-1"/>
          <w:sz w:val="19"/>
          <w:szCs w:val="19"/>
        </w:rPr>
        <w:t>O</w:t>
      </w:r>
      <w:r w:rsidRPr="00CC4610">
        <w:rPr>
          <w:rFonts w:cs="Arial"/>
          <w:b/>
          <w:bCs/>
          <w:color w:val="000000"/>
          <w:sz w:val="19"/>
          <w:szCs w:val="19"/>
        </w:rPr>
        <w:t>DE NO. 1</w:t>
      </w:r>
      <w:r w:rsidR="00066E39">
        <w:rPr>
          <w:rFonts w:cs="Arial"/>
          <w:color w:val="000000"/>
          <w:sz w:val="19"/>
          <w:szCs w:val="19"/>
        </w:rPr>
        <w:t xml:space="preserve"> </w:t>
      </w:r>
      <w:r w:rsidRPr="00CC4610">
        <w:rPr>
          <w:rFonts w:cs="Arial"/>
          <w:b/>
          <w:bCs/>
          <w:color w:val="000000"/>
          <w:sz w:val="19"/>
          <w:szCs w:val="19"/>
        </w:rPr>
        <w:t>GENERAL GUIDELINES</w:t>
      </w:r>
      <w:r w:rsidRPr="00CC4610">
        <w:rPr>
          <w:rFonts w:cs="Arial"/>
          <w:b/>
          <w:bCs/>
          <w:color w:val="000000"/>
          <w:spacing w:val="-2"/>
          <w:sz w:val="19"/>
          <w:szCs w:val="19"/>
        </w:rPr>
        <w:t xml:space="preserve"> </w:t>
      </w:r>
      <w:r w:rsidRPr="00CC4610">
        <w:rPr>
          <w:rFonts w:cs="Arial"/>
          <w:b/>
          <w:bCs/>
          <w:color w:val="000000"/>
          <w:sz w:val="19"/>
          <w:szCs w:val="19"/>
        </w:rPr>
        <w:t>FOR</w:t>
      </w:r>
      <w:r w:rsidR="00066E39">
        <w:rPr>
          <w:rFonts w:cs="Arial"/>
          <w:b/>
          <w:bCs/>
          <w:color w:val="000000"/>
          <w:sz w:val="19"/>
          <w:szCs w:val="19"/>
        </w:rPr>
        <w:t xml:space="preserve"> </w:t>
      </w:r>
      <w:r w:rsidRPr="00CC4610">
        <w:rPr>
          <w:rFonts w:cs="Arial"/>
          <w:b/>
          <w:bCs/>
          <w:color w:val="000000"/>
          <w:sz w:val="19"/>
          <w:szCs w:val="19"/>
        </w:rPr>
        <w:t>PROGRAMMING</w:t>
      </w:r>
    </w:p>
    <w:p w14:paraId="2A7CFDD9" w14:textId="77777777" w:rsidR="000A436F" w:rsidRPr="00CC4610" w:rsidRDefault="000A436F" w:rsidP="00CC4610">
      <w:pPr>
        <w:widowControl w:val="0"/>
        <w:tabs>
          <w:tab w:val="left" w:pos="940"/>
        </w:tabs>
        <w:autoSpaceDE w:val="0"/>
        <w:autoSpaceDN w:val="0"/>
        <w:adjustRightInd w:val="0"/>
        <w:spacing w:after="0" w:line="240" w:lineRule="atLeast"/>
        <w:ind w:left="940" w:right="819" w:hanging="817"/>
        <w:rPr>
          <w:rFonts w:cs="Arial"/>
          <w:i w:val="0"/>
          <w:iCs/>
          <w:color w:val="000000"/>
          <w:sz w:val="19"/>
          <w:szCs w:val="19"/>
        </w:rPr>
      </w:pPr>
      <w:r w:rsidRPr="00CC4610">
        <w:rPr>
          <w:rFonts w:cs="Arial"/>
          <w:i w:val="0"/>
          <w:iCs/>
          <w:color w:val="000000"/>
          <w:sz w:val="19"/>
          <w:szCs w:val="19"/>
        </w:rPr>
        <w:t>1.2</w:t>
      </w:r>
      <w:r w:rsidRPr="00CC4610">
        <w:rPr>
          <w:rFonts w:cs="Arial"/>
          <w:i w:val="0"/>
          <w:iCs/>
          <w:color w:val="000000"/>
          <w:sz w:val="19"/>
          <w:szCs w:val="19"/>
        </w:rPr>
        <w:tab/>
        <w:t>Narr</w:t>
      </w:r>
      <w:r w:rsidRPr="00CC4610">
        <w:rPr>
          <w:rFonts w:cs="Arial"/>
          <w:i w:val="0"/>
          <w:iCs/>
          <w:color w:val="000000"/>
          <w:spacing w:val="-1"/>
          <w:sz w:val="19"/>
          <w:szCs w:val="19"/>
        </w:rPr>
        <w:t>ow</w:t>
      </w:r>
      <w:r w:rsidRPr="00CC4610">
        <w:rPr>
          <w:rFonts w:cs="Arial"/>
          <w:i w:val="0"/>
          <w:iCs/>
          <w:color w:val="000000"/>
          <w:sz w:val="19"/>
          <w:szCs w:val="19"/>
        </w:rPr>
        <w:t>c</w:t>
      </w:r>
      <w:r w:rsidRPr="00CC4610">
        <w:rPr>
          <w:rFonts w:cs="Arial"/>
          <w:i w:val="0"/>
          <w:iCs/>
          <w:color w:val="000000"/>
          <w:spacing w:val="-1"/>
          <w:sz w:val="19"/>
          <w:szCs w:val="19"/>
        </w:rPr>
        <w:t>a</w:t>
      </w:r>
      <w:r w:rsidRPr="00CC4610">
        <w:rPr>
          <w:rFonts w:cs="Arial"/>
          <w:i w:val="0"/>
          <w:iCs/>
          <w:color w:val="000000"/>
          <w:sz w:val="19"/>
          <w:szCs w:val="19"/>
        </w:rPr>
        <w:t>sters will present accurate and</w:t>
      </w:r>
      <w:r w:rsidRPr="00CC4610">
        <w:rPr>
          <w:rFonts w:cs="Arial"/>
          <w:i w:val="0"/>
          <w:iCs/>
          <w:color w:val="000000"/>
          <w:spacing w:val="-1"/>
          <w:sz w:val="19"/>
          <w:szCs w:val="19"/>
        </w:rPr>
        <w:t xml:space="preserve"> </w:t>
      </w:r>
      <w:r w:rsidRPr="00CC4610">
        <w:rPr>
          <w:rFonts w:cs="Arial"/>
          <w:i w:val="0"/>
          <w:iCs/>
          <w:color w:val="000000"/>
          <w:sz w:val="19"/>
          <w:szCs w:val="19"/>
        </w:rPr>
        <w:t>fair news a</w:t>
      </w:r>
      <w:r w:rsidRPr="00CC4610">
        <w:rPr>
          <w:rFonts w:cs="Arial"/>
          <w:i w:val="0"/>
          <w:iCs/>
          <w:color w:val="000000"/>
          <w:spacing w:val="-1"/>
          <w:sz w:val="19"/>
          <w:szCs w:val="19"/>
        </w:rPr>
        <w:t>n</w:t>
      </w:r>
      <w:r w:rsidRPr="00CC4610">
        <w:rPr>
          <w:rFonts w:cs="Arial"/>
          <w:i w:val="0"/>
          <w:iCs/>
          <w:color w:val="000000"/>
          <w:sz w:val="19"/>
          <w:szCs w:val="19"/>
        </w:rPr>
        <w:t>d</w:t>
      </w:r>
      <w:r w:rsidRPr="00CC4610">
        <w:rPr>
          <w:rFonts w:cs="Arial"/>
          <w:i w:val="0"/>
          <w:iCs/>
          <w:color w:val="000000"/>
          <w:spacing w:val="-1"/>
          <w:sz w:val="19"/>
          <w:szCs w:val="19"/>
        </w:rPr>
        <w:t xml:space="preserve"> </w:t>
      </w:r>
      <w:r w:rsidRPr="00CC4610">
        <w:rPr>
          <w:rFonts w:cs="Arial"/>
          <w:i w:val="0"/>
          <w:iCs/>
          <w:color w:val="000000"/>
          <w:sz w:val="19"/>
          <w:szCs w:val="19"/>
        </w:rPr>
        <w:t>current affairs pr</w:t>
      </w:r>
      <w:r w:rsidRPr="00CC4610">
        <w:rPr>
          <w:rFonts w:cs="Arial"/>
          <w:i w:val="0"/>
          <w:iCs/>
          <w:color w:val="000000"/>
          <w:spacing w:val="-1"/>
          <w:sz w:val="19"/>
          <w:szCs w:val="19"/>
        </w:rPr>
        <w:t>o</w:t>
      </w:r>
      <w:r w:rsidRPr="00CC4610">
        <w:rPr>
          <w:rFonts w:cs="Arial"/>
          <w:i w:val="0"/>
          <w:iCs/>
          <w:color w:val="000000"/>
          <w:sz w:val="19"/>
          <w:szCs w:val="19"/>
        </w:rPr>
        <w:t xml:space="preserve">grams, </w:t>
      </w:r>
      <w:r w:rsidRPr="00CC4610">
        <w:rPr>
          <w:rFonts w:cs="Arial"/>
          <w:i w:val="0"/>
          <w:iCs/>
          <w:color w:val="000000"/>
          <w:spacing w:val="-1"/>
          <w:sz w:val="19"/>
          <w:szCs w:val="19"/>
        </w:rPr>
        <w:t>a</w:t>
      </w:r>
      <w:r w:rsidRPr="00CC4610">
        <w:rPr>
          <w:rFonts w:cs="Arial"/>
          <w:i w:val="0"/>
          <w:iCs/>
          <w:color w:val="000000"/>
          <w:sz w:val="19"/>
          <w:szCs w:val="19"/>
        </w:rPr>
        <w:t>nd where practicable, will ensure that:</w:t>
      </w:r>
    </w:p>
    <w:p w14:paraId="1C28472B" w14:textId="77777777" w:rsidR="000A436F" w:rsidRPr="00CC4610" w:rsidRDefault="000A436F" w:rsidP="00CC4610">
      <w:pPr>
        <w:widowControl w:val="0"/>
        <w:tabs>
          <w:tab w:val="left" w:pos="1640"/>
        </w:tabs>
        <w:autoSpaceDE w:val="0"/>
        <w:autoSpaceDN w:val="0"/>
        <w:adjustRightInd w:val="0"/>
        <w:spacing w:after="0" w:line="240" w:lineRule="atLeast"/>
        <w:ind w:left="1650" w:right="1039" w:hanging="709"/>
        <w:rPr>
          <w:rFonts w:cs="Arial"/>
          <w:i w:val="0"/>
          <w:iCs/>
          <w:color w:val="000000"/>
          <w:sz w:val="19"/>
          <w:szCs w:val="19"/>
        </w:rPr>
      </w:pPr>
      <w:r w:rsidRPr="00CC4610">
        <w:rPr>
          <w:rFonts w:cs="Arial"/>
          <w:i w:val="0"/>
          <w:iCs/>
          <w:color w:val="000000"/>
          <w:sz w:val="19"/>
          <w:szCs w:val="19"/>
        </w:rPr>
        <w:t>(a)</w:t>
      </w:r>
      <w:r w:rsidRPr="00CC4610">
        <w:rPr>
          <w:rFonts w:cs="Arial"/>
          <w:i w:val="0"/>
          <w:iCs/>
          <w:color w:val="000000"/>
          <w:sz w:val="19"/>
          <w:szCs w:val="19"/>
        </w:rPr>
        <w:tab/>
        <w:t>factual mat</w:t>
      </w:r>
      <w:r w:rsidRPr="00CC4610">
        <w:rPr>
          <w:rFonts w:cs="Arial"/>
          <w:i w:val="0"/>
          <w:iCs/>
          <w:color w:val="000000"/>
          <w:spacing w:val="-1"/>
          <w:sz w:val="19"/>
          <w:szCs w:val="19"/>
        </w:rPr>
        <w:t>e</w:t>
      </w:r>
      <w:r w:rsidRPr="00CC4610">
        <w:rPr>
          <w:rFonts w:cs="Arial"/>
          <w:i w:val="0"/>
          <w:iCs/>
          <w:color w:val="000000"/>
          <w:sz w:val="19"/>
          <w:szCs w:val="19"/>
        </w:rPr>
        <w:t>r</w:t>
      </w:r>
      <w:r w:rsidRPr="00CC4610">
        <w:rPr>
          <w:rFonts w:cs="Arial"/>
          <w:i w:val="0"/>
          <w:iCs/>
          <w:color w:val="000000"/>
          <w:spacing w:val="-1"/>
          <w:sz w:val="19"/>
          <w:szCs w:val="19"/>
        </w:rPr>
        <w:t>i</w:t>
      </w:r>
      <w:r w:rsidRPr="00CC4610">
        <w:rPr>
          <w:rFonts w:cs="Arial"/>
          <w:i w:val="0"/>
          <w:iCs/>
          <w:color w:val="000000"/>
          <w:sz w:val="19"/>
          <w:szCs w:val="19"/>
        </w:rPr>
        <w:t>al will be c</w:t>
      </w:r>
      <w:r w:rsidRPr="00CC4610">
        <w:rPr>
          <w:rFonts w:cs="Arial"/>
          <w:i w:val="0"/>
          <w:iCs/>
          <w:color w:val="000000"/>
          <w:spacing w:val="-1"/>
          <w:sz w:val="19"/>
          <w:szCs w:val="19"/>
        </w:rPr>
        <w:t>l</w:t>
      </w:r>
      <w:r w:rsidRPr="00CC4610">
        <w:rPr>
          <w:rFonts w:cs="Arial"/>
          <w:i w:val="0"/>
          <w:iCs/>
          <w:color w:val="000000"/>
          <w:sz w:val="19"/>
          <w:szCs w:val="19"/>
        </w:rPr>
        <w:t>e</w:t>
      </w:r>
      <w:r w:rsidRPr="00CC4610">
        <w:rPr>
          <w:rFonts w:cs="Arial"/>
          <w:i w:val="0"/>
          <w:iCs/>
          <w:color w:val="000000"/>
          <w:spacing w:val="-1"/>
          <w:sz w:val="19"/>
          <w:szCs w:val="19"/>
        </w:rPr>
        <w:t>a</w:t>
      </w:r>
      <w:r w:rsidRPr="00CC4610">
        <w:rPr>
          <w:rFonts w:cs="Arial"/>
          <w:i w:val="0"/>
          <w:iCs/>
          <w:color w:val="000000"/>
          <w:sz w:val="19"/>
          <w:szCs w:val="19"/>
        </w:rPr>
        <w:t>rly distingu</w:t>
      </w:r>
      <w:r w:rsidRPr="00CC4610">
        <w:rPr>
          <w:rFonts w:cs="Arial"/>
          <w:i w:val="0"/>
          <w:iCs/>
          <w:color w:val="000000"/>
          <w:spacing w:val="-1"/>
          <w:sz w:val="19"/>
          <w:szCs w:val="19"/>
        </w:rPr>
        <w:t>i</w:t>
      </w:r>
      <w:r w:rsidRPr="00CC4610">
        <w:rPr>
          <w:rFonts w:cs="Arial"/>
          <w:i w:val="0"/>
          <w:iCs/>
          <w:color w:val="000000"/>
          <w:sz w:val="19"/>
          <w:szCs w:val="19"/>
        </w:rPr>
        <w:t>s</w:t>
      </w:r>
      <w:r w:rsidRPr="00CC4610">
        <w:rPr>
          <w:rFonts w:cs="Arial"/>
          <w:i w:val="0"/>
          <w:iCs/>
          <w:color w:val="000000"/>
          <w:spacing w:val="-1"/>
          <w:sz w:val="19"/>
          <w:szCs w:val="19"/>
        </w:rPr>
        <w:t>h</w:t>
      </w:r>
      <w:r w:rsidRPr="00CC4610">
        <w:rPr>
          <w:rFonts w:cs="Arial"/>
          <w:i w:val="0"/>
          <w:iCs/>
          <w:color w:val="000000"/>
          <w:sz w:val="19"/>
          <w:szCs w:val="19"/>
        </w:rPr>
        <w:t>ed from co</w:t>
      </w:r>
      <w:r w:rsidRPr="00CC4610">
        <w:rPr>
          <w:rFonts w:cs="Arial"/>
          <w:i w:val="0"/>
          <w:iCs/>
          <w:color w:val="000000"/>
          <w:spacing w:val="-1"/>
          <w:sz w:val="19"/>
          <w:szCs w:val="19"/>
        </w:rPr>
        <w:t>m</w:t>
      </w:r>
      <w:r w:rsidRPr="00CC4610">
        <w:rPr>
          <w:rFonts w:cs="Arial"/>
          <w:i w:val="0"/>
          <w:iCs/>
          <w:color w:val="000000"/>
          <w:sz w:val="19"/>
          <w:szCs w:val="19"/>
        </w:rPr>
        <w:t>mentary, ana</w:t>
      </w:r>
      <w:r w:rsidRPr="00CC4610">
        <w:rPr>
          <w:rFonts w:cs="Arial"/>
          <w:i w:val="0"/>
          <w:iCs/>
          <w:color w:val="000000"/>
          <w:spacing w:val="-1"/>
          <w:sz w:val="19"/>
          <w:szCs w:val="19"/>
        </w:rPr>
        <w:t>l</w:t>
      </w:r>
      <w:r w:rsidRPr="00CC4610">
        <w:rPr>
          <w:rFonts w:cs="Arial"/>
          <w:i w:val="0"/>
          <w:iCs/>
          <w:color w:val="000000"/>
          <w:sz w:val="19"/>
          <w:szCs w:val="19"/>
        </w:rPr>
        <w:t>ysis or simulati</w:t>
      </w:r>
      <w:r w:rsidRPr="00CC4610">
        <w:rPr>
          <w:rFonts w:cs="Arial"/>
          <w:i w:val="0"/>
          <w:iCs/>
          <w:color w:val="000000"/>
          <w:spacing w:val="-1"/>
          <w:sz w:val="19"/>
          <w:szCs w:val="19"/>
        </w:rPr>
        <w:t>o</w:t>
      </w:r>
      <w:r w:rsidRPr="00CC4610">
        <w:rPr>
          <w:rFonts w:cs="Arial"/>
          <w:i w:val="0"/>
          <w:iCs/>
          <w:color w:val="000000"/>
          <w:sz w:val="19"/>
          <w:szCs w:val="19"/>
        </w:rPr>
        <w:t>ns;</w:t>
      </w:r>
      <w:r w:rsidRPr="00CC4610">
        <w:rPr>
          <w:rFonts w:cs="Arial"/>
          <w:i w:val="0"/>
          <w:iCs/>
          <w:color w:val="000000"/>
          <w:spacing w:val="-1"/>
          <w:sz w:val="19"/>
          <w:szCs w:val="19"/>
        </w:rPr>
        <w:t xml:space="preserve"> a</w:t>
      </w:r>
      <w:r w:rsidRPr="00CC4610">
        <w:rPr>
          <w:rFonts w:cs="Arial"/>
          <w:i w:val="0"/>
          <w:iCs/>
          <w:color w:val="000000"/>
          <w:sz w:val="19"/>
          <w:szCs w:val="19"/>
        </w:rPr>
        <w:t>nd</w:t>
      </w:r>
    </w:p>
    <w:p w14:paraId="1B624BAD" w14:textId="2E9FE785" w:rsidR="000A436F" w:rsidRDefault="000A436F" w:rsidP="00CC4610">
      <w:pPr>
        <w:widowControl w:val="0"/>
        <w:tabs>
          <w:tab w:val="left" w:pos="1640"/>
        </w:tabs>
        <w:autoSpaceDE w:val="0"/>
        <w:autoSpaceDN w:val="0"/>
        <w:adjustRightInd w:val="0"/>
        <w:spacing w:after="0" w:line="240" w:lineRule="atLeast"/>
        <w:ind w:left="1650" w:right="1357" w:hanging="709"/>
        <w:rPr>
          <w:rFonts w:cs="Arial"/>
          <w:i w:val="0"/>
          <w:iCs/>
          <w:color w:val="000000"/>
          <w:sz w:val="19"/>
          <w:szCs w:val="19"/>
        </w:rPr>
      </w:pPr>
      <w:r w:rsidRPr="00CC4610">
        <w:rPr>
          <w:rFonts w:cs="Arial"/>
          <w:i w:val="0"/>
          <w:iCs/>
          <w:color w:val="000000"/>
          <w:sz w:val="19"/>
          <w:szCs w:val="19"/>
        </w:rPr>
        <w:t>(b)</w:t>
      </w:r>
      <w:r w:rsidRPr="00CC4610">
        <w:rPr>
          <w:rFonts w:cs="Arial"/>
          <w:i w:val="0"/>
          <w:iCs/>
          <w:color w:val="000000"/>
          <w:sz w:val="19"/>
          <w:szCs w:val="19"/>
        </w:rPr>
        <w:tab/>
        <w:t>news or ev</w:t>
      </w:r>
      <w:r w:rsidRPr="00CC4610">
        <w:rPr>
          <w:rFonts w:cs="Arial"/>
          <w:i w:val="0"/>
          <w:iCs/>
          <w:color w:val="000000"/>
          <w:spacing w:val="-1"/>
          <w:sz w:val="19"/>
          <w:szCs w:val="19"/>
        </w:rPr>
        <w:t>en</w:t>
      </w:r>
      <w:r w:rsidRPr="00CC4610">
        <w:rPr>
          <w:rFonts w:cs="Arial"/>
          <w:i w:val="0"/>
          <w:iCs/>
          <w:color w:val="000000"/>
          <w:sz w:val="19"/>
          <w:szCs w:val="19"/>
        </w:rPr>
        <w:t xml:space="preserve">ts are </w:t>
      </w:r>
      <w:r w:rsidRPr="00CC4610">
        <w:rPr>
          <w:rFonts w:cs="Arial"/>
          <w:i w:val="0"/>
          <w:iCs/>
          <w:color w:val="000000"/>
          <w:spacing w:val="-1"/>
          <w:sz w:val="19"/>
          <w:szCs w:val="19"/>
        </w:rPr>
        <w:t>n</w:t>
      </w:r>
      <w:r w:rsidRPr="00CC4610">
        <w:rPr>
          <w:rFonts w:cs="Arial"/>
          <w:i w:val="0"/>
          <w:iCs/>
          <w:color w:val="000000"/>
          <w:sz w:val="19"/>
          <w:szCs w:val="19"/>
        </w:rPr>
        <w:t>ot si</w:t>
      </w:r>
      <w:r w:rsidRPr="00CC4610">
        <w:rPr>
          <w:rFonts w:cs="Arial"/>
          <w:i w:val="0"/>
          <w:iCs/>
          <w:color w:val="000000"/>
          <w:spacing w:val="-1"/>
          <w:sz w:val="19"/>
          <w:szCs w:val="19"/>
        </w:rPr>
        <w:t>m</w:t>
      </w:r>
      <w:r w:rsidRPr="00CC4610">
        <w:rPr>
          <w:rFonts w:cs="Arial"/>
          <w:i w:val="0"/>
          <w:iCs/>
          <w:color w:val="000000"/>
          <w:sz w:val="19"/>
          <w:szCs w:val="19"/>
        </w:rPr>
        <w:t xml:space="preserve">ulated in a way that misleads </w:t>
      </w:r>
      <w:r w:rsidRPr="00CC4610">
        <w:rPr>
          <w:rFonts w:cs="Arial"/>
          <w:i w:val="0"/>
          <w:iCs/>
          <w:color w:val="000000"/>
          <w:spacing w:val="-1"/>
          <w:sz w:val="19"/>
          <w:szCs w:val="19"/>
        </w:rPr>
        <w:t>o</w:t>
      </w:r>
      <w:r w:rsidRPr="00CC4610">
        <w:rPr>
          <w:rFonts w:cs="Arial"/>
          <w:i w:val="0"/>
          <w:iCs/>
          <w:color w:val="000000"/>
          <w:sz w:val="19"/>
          <w:szCs w:val="19"/>
        </w:rPr>
        <w:t>r al</w:t>
      </w:r>
      <w:r w:rsidRPr="00CC4610">
        <w:rPr>
          <w:rFonts w:cs="Arial"/>
          <w:i w:val="0"/>
          <w:iCs/>
          <w:color w:val="000000"/>
          <w:spacing w:val="-1"/>
          <w:sz w:val="19"/>
          <w:szCs w:val="19"/>
        </w:rPr>
        <w:t>a</w:t>
      </w:r>
      <w:r w:rsidRPr="00CC4610">
        <w:rPr>
          <w:rFonts w:cs="Arial"/>
          <w:i w:val="0"/>
          <w:iCs/>
          <w:color w:val="000000"/>
          <w:sz w:val="19"/>
          <w:szCs w:val="19"/>
        </w:rPr>
        <w:t>rms the audi</w:t>
      </w:r>
      <w:r w:rsidRPr="00CC4610">
        <w:rPr>
          <w:rFonts w:cs="Arial"/>
          <w:i w:val="0"/>
          <w:iCs/>
          <w:color w:val="000000"/>
          <w:spacing w:val="-1"/>
          <w:sz w:val="19"/>
          <w:szCs w:val="19"/>
        </w:rPr>
        <w:t>e</w:t>
      </w:r>
      <w:r w:rsidRPr="00CC4610">
        <w:rPr>
          <w:rFonts w:cs="Arial"/>
          <w:i w:val="0"/>
          <w:iCs/>
          <w:color w:val="000000"/>
          <w:sz w:val="19"/>
          <w:szCs w:val="19"/>
        </w:rPr>
        <w:t>nce.</w:t>
      </w:r>
    </w:p>
    <w:p w14:paraId="7E8EB8E9" w14:textId="434DA9C7" w:rsidR="000A436F" w:rsidRPr="00505782" w:rsidRDefault="00066E39" w:rsidP="00505782">
      <w:pPr>
        <w:pStyle w:val="ACMABodyText"/>
      </w:pPr>
      <w:r>
        <w:t>[…]</w:t>
      </w:r>
    </w:p>
    <w:p w14:paraId="199CEE96" w14:textId="77777777" w:rsidR="000A436F" w:rsidRPr="00CC4610" w:rsidRDefault="000A436F" w:rsidP="00CC4610">
      <w:pPr>
        <w:widowControl w:val="0"/>
        <w:tabs>
          <w:tab w:val="left" w:pos="940"/>
        </w:tabs>
        <w:autoSpaceDE w:val="0"/>
        <w:autoSpaceDN w:val="0"/>
        <w:adjustRightInd w:val="0"/>
        <w:spacing w:after="0" w:line="240" w:lineRule="atLeast"/>
        <w:ind w:left="940" w:right="619" w:hanging="817"/>
        <w:rPr>
          <w:rFonts w:cs="Arial"/>
          <w:i w:val="0"/>
          <w:iCs/>
          <w:color w:val="000000"/>
          <w:sz w:val="19"/>
          <w:szCs w:val="19"/>
        </w:rPr>
      </w:pPr>
      <w:r w:rsidRPr="00CC4610">
        <w:rPr>
          <w:rFonts w:cs="Arial"/>
          <w:i w:val="0"/>
          <w:iCs/>
          <w:color w:val="000000"/>
          <w:sz w:val="19"/>
          <w:szCs w:val="19"/>
        </w:rPr>
        <w:t>1.8</w:t>
      </w:r>
      <w:r w:rsidRPr="00CC4610">
        <w:rPr>
          <w:rFonts w:cs="Arial"/>
          <w:i w:val="0"/>
          <w:iCs/>
          <w:color w:val="000000"/>
          <w:sz w:val="19"/>
          <w:szCs w:val="19"/>
        </w:rPr>
        <w:tab/>
        <w:t>A narrowcaster will not breach</w:t>
      </w:r>
      <w:r w:rsidRPr="00CC4610">
        <w:rPr>
          <w:rFonts w:cs="Arial"/>
          <w:i w:val="0"/>
          <w:iCs/>
          <w:color w:val="000000"/>
          <w:spacing w:val="-1"/>
          <w:sz w:val="19"/>
          <w:szCs w:val="19"/>
        </w:rPr>
        <w:t xml:space="preserve"> </w:t>
      </w:r>
      <w:r w:rsidRPr="00CC4610">
        <w:rPr>
          <w:rFonts w:cs="Arial"/>
          <w:i w:val="0"/>
          <w:iCs/>
          <w:color w:val="000000"/>
          <w:sz w:val="19"/>
          <w:szCs w:val="19"/>
        </w:rPr>
        <w:t>clause 1</w:t>
      </w:r>
      <w:r w:rsidRPr="00CC4610">
        <w:rPr>
          <w:rFonts w:cs="Arial"/>
          <w:i w:val="0"/>
          <w:iCs/>
          <w:color w:val="000000"/>
          <w:spacing w:val="-2"/>
          <w:sz w:val="19"/>
          <w:szCs w:val="19"/>
        </w:rPr>
        <w:t>.</w:t>
      </w:r>
      <w:r w:rsidRPr="00CC4610">
        <w:rPr>
          <w:rFonts w:cs="Arial"/>
          <w:i w:val="0"/>
          <w:iCs/>
          <w:color w:val="000000"/>
          <w:sz w:val="19"/>
          <w:szCs w:val="19"/>
        </w:rPr>
        <w:t>2(b), 1.4, 1.5, 1.6(a) or</w:t>
      </w:r>
      <w:r w:rsidRPr="00CC4610">
        <w:rPr>
          <w:rFonts w:cs="Arial"/>
          <w:i w:val="0"/>
          <w:iCs/>
          <w:color w:val="000000"/>
          <w:spacing w:val="1"/>
          <w:sz w:val="19"/>
          <w:szCs w:val="19"/>
        </w:rPr>
        <w:t xml:space="preserve"> </w:t>
      </w:r>
      <w:r w:rsidRPr="00CC4610">
        <w:rPr>
          <w:rFonts w:cs="Arial"/>
          <w:i w:val="0"/>
          <w:iCs/>
          <w:color w:val="000000"/>
          <w:sz w:val="19"/>
          <w:szCs w:val="19"/>
        </w:rPr>
        <w:t>1.6(c) if a program includes matter sa</w:t>
      </w:r>
      <w:r w:rsidRPr="00CC4610">
        <w:rPr>
          <w:rFonts w:cs="Arial"/>
          <w:i w:val="0"/>
          <w:iCs/>
          <w:color w:val="000000"/>
          <w:spacing w:val="-1"/>
          <w:sz w:val="19"/>
          <w:szCs w:val="19"/>
        </w:rPr>
        <w:t>i</w:t>
      </w:r>
      <w:r w:rsidRPr="00CC4610">
        <w:rPr>
          <w:rFonts w:cs="Arial"/>
          <w:i w:val="0"/>
          <w:iCs/>
          <w:color w:val="000000"/>
          <w:sz w:val="19"/>
          <w:szCs w:val="19"/>
        </w:rPr>
        <w:t>d or done r</w:t>
      </w:r>
      <w:r w:rsidRPr="00CC4610">
        <w:rPr>
          <w:rFonts w:cs="Arial"/>
          <w:i w:val="0"/>
          <w:iCs/>
          <w:color w:val="000000"/>
          <w:spacing w:val="-1"/>
          <w:sz w:val="19"/>
          <w:szCs w:val="19"/>
        </w:rPr>
        <w:t>e</w:t>
      </w:r>
      <w:r w:rsidRPr="00CC4610">
        <w:rPr>
          <w:rFonts w:cs="Arial"/>
          <w:i w:val="0"/>
          <w:iCs/>
          <w:color w:val="000000"/>
          <w:sz w:val="19"/>
          <w:szCs w:val="19"/>
        </w:rPr>
        <w:t>aso</w:t>
      </w:r>
      <w:r w:rsidRPr="00CC4610">
        <w:rPr>
          <w:rFonts w:cs="Arial"/>
          <w:i w:val="0"/>
          <w:iCs/>
          <w:color w:val="000000"/>
          <w:spacing w:val="-1"/>
          <w:sz w:val="19"/>
          <w:szCs w:val="19"/>
        </w:rPr>
        <w:t>n</w:t>
      </w:r>
      <w:r w:rsidRPr="00CC4610">
        <w:rPr>
          <w:rFonts w:cs="Arial"/>
          <w:i w:val="0"/>
          <w:iCs/>
          <w:color w:val="000000"/>
          <w:sz w:val="19"/>
          <w:szCs w:val="19"/>
        </w:rPr>
        <w:t xml:space="preserve">ably and in </w:t>
      </w:r>
      <w:r w:rsidRPr="00CC4610">
        <w:rPr>
          <w:rFonts w:cs="Arial"/>
          <w:i w:val="0"/>
          <w:iCs/>
          <w:color w:val="000000"/>
          <w:spacing w:val="-1"/>
          <w:sz w:val="19"/>
          <w:szCs w:val="19"/>
        </w:rPr>
        <w:t>g</w:t>
      </w:r>
      <w:r w:rsidRPr="00CC4610">
        <w:rPr>
          <w:rFonts w:cs="Arial"/>
          <w:i w:val="0"/>
          <w:iCs/>
          <w:color w:val="000000"/>
          <w:sz w:val="19"/>
          <w:szCs w:val="19"/>
        </w:rPr>
        <w:t>ood faith:</w:t>
      </w:r>
    </w:p>
    <w:p w14:paraId="3A1B4CB0" w14:textId="77777777" w:rsidR="000A436F" w:rsidRPr="00CC4610" w:rsidRDefault="000A436F" w:rsidP="00CC4610">
      <w:pPr>
        <w:widowControl w:val="0"/>
        <w:tabs>
          <w:tab w:val="left" w:pos="1640"/>
        </w:tabs>
        <w:autoSpaceDE w:val="0"/>
        <w:autoSpaceDN w:val="0"/>
        <w:adjustRightInd w:val="0"/>
        <w:spacing w:after="0" w:line="240" w:lineRule="atLeast"/>
        <w:ind w:left="940"/>
        <w:rPr>
          <w:rFonts w:cs="Arial"/>
          <w:i w:val="0"/>
          <w:iCs/>
          <w:color w:val="000000"/>
          <w:sz w:val="19"/>
          <w:szCs w:val="19"/>
        </w:rPr>
      </w:pPr>
      <w:r w:rsidRPr="00CC4610">
        <w:rPr>
          <w:rFonts w:cs="Arial"/>
          <w:i w:val="0"/>
          <w:iCs/>
          <w:color w:val="000000"/>
          <w:sz w:val="19"/>
          <w:szCs w:val="19"/>
        </w:rPr>
        <w:t>(a)</w:t>
      </w:r>
      <w:r w:rsidRPr="00CC4610">
        <w:rPr>
          <w:rFonts w:cs="Arial"/>
          <w:i w:val="0"/>
          <w:iCs/>
          <w:color w:val="000000"/>
          <w:sz w:val="19"/>
          <w:szCs w:val="19"/>
        </w:rPr>
        <w:tab/>
        <w:t>in bro</w:t>
      </w:r>
      <w:r w:rsidRPr="00CC4610">
        <w:rPr>
          <w:rFonts w:cs="Arial"/>
          <w:i w:val="0"/>
          <w:iCs/>
          <w:color w:val="000000"/>
          <w:spacing w:val="-1"/>
          <w:sz w:val="19"/>
          <w:szCs w:val="19"/>
        </w:rPr>
        <w:t>a</w:t>
      </w:r>
      <w:r w:rsidRPr="00CC4610">
        <w:rPr>
          <w:rFonts w:cs="Arial"/>
          <w:i w:val="0"/>
          <w:iCs/>
          <w:color w:val="000000"/>
          <w:sz w:val="19"/>
          <w:szCs w:val="19"/>
        </w:rPr>
        <w:t>dcast</w:t>
      </w:r>
      <w:r w:rsidRPr="00CC4610">
        <w:rPr>
          <w:rFonts w:cs="Arial"/>
          <w:i w:val="0"/>
          <w:iCs/>
          <w:color w:val="000000"/>
          <w:spacing w:val="-1"/>
          <w:sz w:val="19"/>
          <w:szCs w:val="19"/>
        </w:rPr>
        <w:t>i</w:t>
      </w:r>
      <w:r w:rsidRPr="00CC4610">
        <w:rPr>
          <w:rFonts w:cs="Arial"/>
          <w:i w:val="0"/>
          <w:iCs/>
          <w:color w:val="000000"/>
          <w:sz w:val="19"/>
          <w:szCs w:val="19"/>
        </w:rPr>
        <w:t>ng an artistic work i</w:t>
      </w:r>
      <w:r w:rsidRPr="00CC4610">
        <w:rPr>
          <w:rFonts w:cs="Arial"/>
          <w:i w:val="0"/>
          <w:iCs/>
          <w:color w:val="000000"/>
          <w:spacing w:val="-1"/>
          <w:sz w:val="19"/>
          <w:szCs w:val="19"/>
        </w:rPr>
        <w:t>n</w:t>
      </w:r>
      <w:r w:rsidRPr="00CC4610">
        <w:rPr>
          <w:rFonts w:cs="Arial"/>
          <w:i w:val="0"/>
          <w:iCs/>
          <w:color w:val="000000"/>
          <w:sz w:val="19"/>
          <w:szCs w:val="19"/>
        </w:rPr>
        <w:t>clud</w:t>
      </w:r>
      <w:r w:rsidRPr="00CC4610">
        <w:rPr>
          <w:rFonts w:cs="Arial"/>
          <w:i w:val="0"/>
          <w:iCs/>
          <w:color w:val="000000"/>
          <w:spacing w:val="-1"/>
          <w:sz w:val="19"/>
          <w:szCs w:val="19"/>
        </w:rPr>
        <w:t>in</w:t>
      </w:r>
      <w:r w:rsidRPr="00CC4610">
        <w:rPr>
          <w:rFonts w:cs="Arial"/>
          <w:i w:val="0"/>
          <w:iCs/>
          <w:color w:val="000000"/>
          <w:sz w:val="19"/>
          <w:szCs w:val="19"/>
        </w:rPr>
        <w:t>g com</w:t>
      </w:r>
      <w:r w:rsidRPr="00CC4610">
        <w:rPr>
          <w:rFonts w:cs="Arial"/>
          <w:i w:val="0"/>
          <w:iCs/>
          <w:color w:val="000000"/>
          <w:spacing w:val="-1"/>
          <w:sz w:val="19"/>
          <w:szCs w:val="19"/>
        </w:rPr>
        <w:t>e</w:t>
      </w:r>
      <w:r w:rsidRPr="00CC4610">
        <w:rPr>
          <w:rFonts w:cs="Arial"/>
          <w:i w:val="0"/>
          <w:iCs/>
          <w:color w:val="000000"/>
          <w:sz w:val="19"/>
          <w:szCs w:val="19"/>
        </w:rPr>
        <w:t>dy a</w:t>
      </w:r>
      <w:r w:rsidRPr="00CC4610">
        <w:rPr>
          <w:rFonts w:cs="Arial"/>
          <w:i w:val="0"/>
          <w:iCs/>
          <w:color w:val="000000"/>
          <w:spacing w:val="-1"/>
          <w:sz w:val="19"/>
          <w:szCs w:val="19"/>
        </w:rPr>
        <w:t>n</w:t>
      </w:r>
      <w:r w:rsidRPr="00CC4610">
        <w:rPr>
          <w:rFonts w:cs="Arial"/>
          <w:i w:val="0"/>
          <w:iCs/>
          <w:color w:val="000000"/>
          <w:sz w:val="19"/>
          <w:szCs w:val="19"/>
        </w:rPr>
        <w:t>d satire;</w:t>
      </w:r>
    </w:p>
    <w:p w14:paraId="4511E8F9" w14:textId="77777777" w:rsidR="000A436F" w:rsidRPr="00CC4610" w:rsidRDefault="000A436F" w:rsidP="00CC4610">
      <w:pPr>
        <w:widowControl w:val="0"/>
        <w:tabs>
          <w:tab w:val="left" w:pos="1640"/>
        </w:tabs>
        <w:autoSpaceDE w:val="0"/>
        <w:autoSpaceDN w:val="0"/>
        <w:adjustRightInd w:val="0"/>
        <w:spacing w:after="0" w:line="240" w:lineRule="atLeast"/>
        <w:ind w:left="1650" w:right="955" w:hanging="709"/>
        <w:rPr>
          <w:rFonts w:cs="Arial"/>
          <w:i w:val="0"/>
          <w:iCs/>
          <w:color w:val="000000"/>
          <w:sz w:val="19"/>
          <w:szCs w:val="19"/>
        </w:rPr>
      </w:pPr>
      <w:r w:rsidRPr="00CC4610">
        <w:rPr>
          <w:rFonts w:cs="Arial"/>
          <w:i w:val="0"/>
          <w:iCs/>
          <w:color w:val="000000"/>
          <w:sz w:val="19"/>
          <w:szCs w:val="19"/>
        </w:rPr>
        <w:t>(b)</w:t>
      </w:r>
      <w:r w:rsidRPr="00CC4610">
        <w:rPr>
          <w:rFonts w:cs="Arial"/>
          <w:i w:val="0"/>
          <w:iCs/>
          <w:color w:val="000000"/>
          <w:sz w:val="19"/>
          <w:szCs w:val="19"/>
        </w:rPr>
        <w:tab/>
        <w:t>in the co</w:t>
      </w:r>
      <w:r w:rsidRPr="00CC4610">
        <w:rPr>
          <w:rFonts w:cs="Arial"/>
          <w:i w:val="0"/>
          <w:iCs/>
          <w:color w:val="000000"/>
          <w:spacing w:val="-1"/>
          <w:sz w:val="19"/>
          <w:szCs w:val="19"/>
        </w:rPr>
        <w:t>u</w:t>
      </w:r>
      <w:r w:rsidRPr="00CC4610">
        <w:rPr>
          <w:rFonts w:cs="Arial"/>
          <w:i w:val="0"/>
          <w:iCs/>
          <w:color w:val="000000"/>
          <w:sz w:val="19"/>
          <w:szCs w:val="19"/>
        </w:rPr>
        <w:t>rse of any broa</w:t>
      </w:r>
      <w:r w:rsidRPr="00CC4610">
        <w:rPr>
          <w:rFonts w:cs="Arial"/>
          <w:i w:val="0"/>
          <w:iCs/>
          <w:color w:val="000000"/>
          <w:spacing w:val="-1"/>
          <w:sz w:val="19"/>
          <w:szCs w:val="19"/>
        </w:rPr>
        <w:t>d</w:t>
      </w:r>
      <w:r w:rsidRPr="00CC4610">
        <w:rPr>
          <w:rFonts w:cs="Arial"/>
          <w:i w:val="0"/>
          <w:iCs/>
          <w:color w:val="000000"/>
          <w:sz w:val="19"/>
          <w:szCs w:val="19"/>
        </w:rPr>
        <w:t>cast or</w:t>
      </w:r>
      <w:r w:rsidRPr="00CC4610">
        <w:rPr>
          <w:rFonts w:cs="Arial"/>
          <w:i w:val="0"/>
          <w:iCs/>
          <w:color w:val="000000"/>
          <w:spacing w:val="1"/>
          <w:sz w:val="19"/>
          <w:szCs w:val="19"/>
        </w:rPr>
        <w:t xml:space="preserve"> </w:t>
      </w:r>
      <w:r w:rsidRPr="00CC4610">
        <w:rPr>
          <w:rFonts w:cs="Arial"/>
          <w:i w:val="0"/>
          <w:iCs/>
          <w:color w:val="000000"/>
          <w:sz w:val="19"/>
          <w:szCs w:val="19"/>
        </w:rPr>
        <w:t>state</w:t>
      </w:r>
      <w:r w:rsidRPr="00CC4610">
        <w:rPr>
          <w:rFonts w:cs="Arial"/>
          <w:i w:val="0"/>
          <w:iCs/>
          <w:color w:val="000000"/>
          <w:spacing w:val="-1"/>
          <w:sz w:val="19"/>
          <w:szCs w:val="19"/>
        </w:rPr>
        <w:t>m</w:t>
      </w:r>
      <w:r w:rsidRPr="00CC4610">
        <w:rPr>
          <w:rFonts w:cs="Arial"/>
          <w:i w:val="0"/>
          <w:iCs/>
          <w:color w:val="000000"/>
          <w:sz w:val="19"/>
          <w:szCs w:val="19"/>
        </w:rPr>
        <w:t>ent, discussi</w:t>
      </w:r>
      <w:r w:rsidRPr="00CC4610">
        <w:rPr>
          <w:rFonts w:cs="Arial"/>
          <w:i w:val="0"/>
          <w:iCs/>
          <w:color w:val="000000"/>
          <w:spacing w:val="-1"/>
          <w:sz w:val="19"/>
          <w:szCs w:val="19"/>
        </w:rPr>
        <w:t>o</w:t>
      </w:r>
      <w:r w:rsidRPr="00CC4610">
        <w:rPr>
          <w:rFonts w:cs="Arial"/>
          <w:i w:val="0"/>
          <w:iCs/>
          <w:color w:val="000000"/>
          <w:sz w:val="19"/>
          <w:szCs w:val="19"/>
        </w:rPr>
        <w:t>n or de</w:t>
      </w:r>
      <w:r w:rsidRPr="00CC4610">
        <w:rPr>
          <w:rFonts w:cs="Arial"/>
          <w:i w:val="0"/>
          <w:iCs/>
          <w:color w:val="000000"/>
          <w:spacing w:val="-1"/>
          <w:sz w:val="19"/>
          <w:szCs w:val="19"/>
        </w:rPr>
        <w:t>b</w:t>
      </w:r>
      <w:r w:rsidRPr="00CC4610">
        <w:rPr>
          <w:rFonts w:cs="Arial"/>
          <w:i w:val="0"/>
          <w:iCs/>
          <w:color w:val="000000"/>
          <w:sz w:val="19"/>
          <w:szCs w:val="19"/>
        </w:rPr>
        <w:t xml:space="preserve">ate made </w:t>
      </w:r>
      <w:r w:rsidRPr="00CC4610">
        <w:rPr>
          <w:rFonts w:cs="Arial"/>
          <w:i w:val="0"/>
          <w:iCs/>
          <w:color w:val="000000"/>
          <w:spacing w:val="-1"/>
          <w:sz w:val="19"/>
          <w:szCs w:val="19"/>
        </w:rPr>
        <w:t>o</w:t>
      </w:r>
      <w:r w:rsidRPr="00CC4610">
        <w:rPr>
          <w:rFonts w:cs="Arial"/>
          <w:i w:val="0"/>
          <w:iCs/>
          <w:color w:val="000000"/>
          <w:sz w:val="19"/>
          <w:szCs w:val="19"/>
        </w:rPr>
        <w:t xml:space="preserve">r held for an </w:t>
      </w:r>
      <w:r w:rsidRPr="00CC4610">
        <w:rPr>
          <w:rFonts w:cs="Arial"/>
          <w:i w:val="0"/>
          <w:iCs/>
          <w:color w:val="000000"/>
          <w:spacing w:val="-1"/>
          <w:sz w:val="19"/>
          <w:szCs w:val="19"/>
        </w:rPr>
        <w:t>ac</w:t>
      </w:r>
      <w:r w:rsidRPr="00CC4610">
        <w:rPr>
          <w:rFonts w:cs="Arial"/>
          <w:i w:val="0"/>
          <w:iCs/>
          <w:color w:val="000000"/>
          <w:sz w:val="19"/>
          <w:szCs w:val="19"/>
        </w:rPr>
        <w:t>adem</w:t>
      </w:r>
      <w:r w:rsidRPr="00CC4610">
        <w:rPr>
          <w:rFonts w:cs="Arial"/>
          <w:i w:val="0"/>
          <w:iCs/>
          <w:color w:val="000000"/>
          <w:spacing w:val="-1"/>
          <w:sz w:val="19"/>
          <w:szCs w:val="19"/>
        </w:rPr>
        <w:t>i</w:t>
      </w:r>
      <w:r w:rsidRPr="00CC4610">
        <w:rPr>
          <w:rFonts w:cs="Arial"/>
          <w:i w:val="0"/>
          <w:iCs/>
          <w:color w:val="000000"/>
          <w:spacing w:val="1"/>
          <w:sz w:val="19"/>
          <w:szCs w:val="19"/>
        </w:rPr>
        <w:t>c</w:t>
      </w:r>
      <w:r w:rsidRPr="00CC4610">
        <w:rPr>
          <w:rFonts w:cs="Arial"/>
          <w:i w:val="0"/>
          <w:iCs/>
          <w:color w:val="000000"/>
          <w:sz w:val="19"/>
          <w:szCs w:val="19"/>
        </w:rPr>
        <w:t>, artis</w:t>
      </w:r>
      <w:r w:rsidRPr="00CC4610">
        <w:rPr>
          <w:rFonts w:cs="Arial"/>
          <w:i w:val="0"/>
          <w:iCs/>
          <w:color w:val="000000"/>
          <w:spacing w:val="-2"/>
          <w:sz w:val="19"/>
          <w:szCs w:val="19"/>
        </w:rPr>
        <w:t>t</w:t>
      </w:r>
      <w:r w:rsidRPr="00CC4610">
        <w:rPr>
          <w:rFonts w:cs="Arial"/>
          <w:i w:val="0"/>
          <w:iCs/>
          <w:color w:val="000000"/>
          <w:sz w:val="19"/>
          <w:szCs w:val="19"/>
        </w:rPr>
        <w:t>ic or</w:t>
      </w:r>
      <w:r w:rsidRPr="00CC4610">
        <w:rPr>
          <w:rFonts w:cs="Arial"/>
          <w:i w:val="0"/>
          <w:iCs/>
          <w:color w:val="000000"/>
          <w:spacing w:val="-1"/>
          <w:sz w:val="19"/>
          <w:szCs w:val="19"/>
        </w:rPr>
        <w:t xml:space="preserve"> </w:t>
      </w:r>
      <w:r w:rsidRPr="00CC4610">
        <w:rPr>
          <w:rFonts w:cs="Arial"/>
          <w:i w:val="0"/>
          <w:iCs/>
          <w:color w:val="000000"/>
          <w:sz w:val="19"/>
          <w:szCs w:val="19"/>
        </w:rPr>
        <w:t>sci</w:t>
      </w:r>
      <w:r w:rsidRPr="00CC4610">
        <w:rPr>
          <w:rFonts w:cs="Arial"/>
          <w:i w:val="0"/>
          <w:iCs/>
          <w:color w:val="000000"/>
          <w:spacing w:val="-1"/>
          <w:sz w:val="19"/>
          <w:szCs w:val="19"/>
        </w:rPr>
        <w:t>e</w:t>
      </w:r>
      <w:r w:rsidRPr="00CC4610">
        <w:rPr>
          <w:rFonts w:cs="Arial"/>
          <w:i w:val="0"/>
          <w:iCs/>
          <w:color w:val="000000"/>
          <w:sz w:val="19"/>
          <w:szCs w:val="19"/>
        </w:rPr>
        <w:t>ntific purp</w:t>
      </w:r>
      <w:r w:rsidRPr="00CC4610">
        <w:rPr>
          <w:rFonts w:cs="Arial"/>
          <w:i w:val="0"/>
          <w:iCs/>
          <w:color w:val="000000"/>
          <w:spacing w:val="-1"/>
          <w:sz w:val="19"/>
          <w:szCs w:val="19"/>
        </w:rPr>
        <w:t>o</w:t>
      </w:r>
      <w:r w:rsidRPr="00CC4610">
        <w:rPr>
          <w:rFonts w:cs="Arial"/>
          <w:i w:val="0"/>
          <w:iCs/>
          <w:color w:val="000000"/>
          <w:sz w:val="19"/>
          <w:szCs w:val="19"/>
        </w:rPr>
        <w:t xml:space="preserve">se </w:t>
      </w:r>
      <w:r w:rsidRPr="00CC4610">
        <w:rPr>
          <w:rFonts w:cs="Arial"/>
          <w:i w:val="0"/>
          <w:iCs/>
          <w:color w:val="000000"/>
          <w:spacing w:val="-1"/>
          <w:sz w:val="19"/>
          <w:szCs w:val="19"/>
        </w:rPr>
        <w:t>o</w:t>
      </w:r>
      <w:r w:rsidRPr="00CC4610">
        <w:rPr>
          <w:rFonts w:cs="Arial"/>
          <w:i w:val="0"/>
          <w:iCs/>
          <w:color w:val="000000"/>
          <w:sz w:val="19"/>
          <w:szCs w:val="19"/>
        </w:rPr>
        <w:t xml:space="preserve">r </w:t>
      </w:r>
      <w:r w:rsidRPr="00CC4610">
        <w:rPr>
          <w:rFonts w:cs="Arial"/>
          <w:i w:val="0"/>
          <w:iCs/>
          <w:color w:val="000000"/>
          <w:spacing w:val="-1"/>
          <w:sz w:val="19"/>
          <w:szCs w:val="19"/>
        </w:rPr>
        <w:t>a</w:t>
      </w:r>
      <w:r w:rsidRPr="00CC4610">
        <w:rPr>
          <w:rFonts w:cs="Arial"/>
          <w:i w:val="0"/>
          <w:iCs/>
          <w:color w:val="000000"/>
          <w:sz w:val="19"/>
          <w:szCs w:val="19"/>
        </w:rPr>
        <w:t>ny other iden</w:t>
      </w:r>
      <w:r w:rsidRPr="00CC4610">
        <w:rPr>
          <w:rFonts w:cs="Arial"/>
          <w:i w:val="0"/>
          <w:iCs/>
          <w:color w:val="000000"/>
          <w:spacing w:val="-2"/>
          <w:sz w:val="19"/>
          <w:szCs w:val="19"/>
        </w:rPr>
        <w:t>t</w:t>
      </w:r>
      <w:r w:rsidRPr="00CC4610">
        <w:rPr>
          <w:rFonts w:cs="Arial"/>
          <w:i w:val="0"/>
          <w:iCs/>
          <w:color w:val="000000"/>
          <w:sz w:val="19"/>
          <w:szCs w:val="19"/>
        </w:rPr>
        <w:t>ifiable publ</w:t>
      </w:r>
      <w:r w:rsidRPr="00CC4610">
        <w:rPr>
          <w:rFonts w:cs="Arial"/>
          <w:i w:val="0"/>
          <w:iCs/>
          <w:color w:val="000000"/>
          <w:spacing w:val="-1"/>
          <w:sz w:val="19"/>
          <w:szCs w:val="19"/>
        </w:rPr>
        <w:t>i</w:t>
      </w:r>
      <w:r w:rsidRPr="00CC4610">
        <w:rPr>
          <w:rFonts w:cs="Arial"/>
          <w:i w:val="0"/>
          <w:iCs/>
          <w:color w:val="000000"/>
          <w:sz w:val="19"/>
          <w:szCs w:val="19"/>
        </w:rPr>
        <w:t>c inter</w:t>
      </w:r>
      <w:r w:rsidRPr="00CC4610">
        <w:rPr>
          <w:rFonts w:cs="Arial"/>
          <w:i w:val="0"/>
          <w:iCs/>
          <w:color w:val="000000"/>
          <w:spacing w:val="-1"/>
          <w:sz w:val="19"/>
          <w:szCs w:val="19"/>
        </w:rPr>
        <w:t>e</w:t>
      </w:r>
      <w:r w:rsidRPr="00CC4610">
        <w:rPr>
          <w:rFonts w:cs="Arial"/>
          <w:i w:val="0"/>
          <w:iCs/>
          <w:color w:val="000000"/>
          <w:sz w:val="19"/>
          <w:szCs w:val="19"/>
        </w:rPr>
        <w:t>st purp</w:t>
      </w:r>
      <w:r w:rsidRPr="00CC4610">
        <w:rPr>
          <w:rFonts w:cs="Arial"/>
          <w:i w:val="0"/>
          <w:iCs/>
          <w:color w:val="000000"/>
          <w:spacing w:val="-1"/>
          <w:sz w:val="19"/>
          <w:szCs w:val="19"/>
        </w:rPr>
        <w:t>o</w:t>
      </w:r>
      <w:r w:rsidRPr="00CC4610">
        <w:rPr>
          <w:rFonts w:cs="Arial"/>
          <w:i w:val="0"/>
          <w:iCs/>
          <w:color w:val="000000"/>
          <w:sz w:val="19"/>
          <w:szCs w:val="19"/>
        </w:rPr>
        <w:t>se;</w:t>
      </w:r>
    </w:p>
    <w:p w14:paraId="7BB92A33" w14:textId="77777777" w:rsidR="000A436F" w:rsidRPr="00CC4610" w:rsidRDefault="000A436F" w:rsidP="00CC4610">
      <w:pPr>
        <w:widowControl w:val="0"/>
        <w:tabs>
          <w:tab w:val="left" w:pos="1640"/>
        </w:tabs>
        <w:autoSpaceDE w:val="0"/>
        <w:autoSpaceDN w:val="0"/>
        <w:adjustRightInd w:val="0"/>
        <w:spacing w:after="0" w:line="240" w:lineRule="atLeast"/>
        <w:ind w:left="1650" w:right="878" w:hanging="709"/>
        <w:rPr>
          <w:rFonts w:cs="Arial"/>
          <w:i w:val="0"/>
          <w:iCs/>
          <w:color w:val="000000"/>
          <w:sz w:val="19"/>
          <w:szCs w:val="19"/>
        </w:rPr>
      </w:pPr>
      <w:r w:rsidRPr="00CC4610">
        <w:rPr>
          <w:rFonts w:cs="Arial"/>
          <w:i w:val="0"/>
          <w:iCs/>
          <w:color w:val="000000"/>
          <w:sz w:val="19"/>
          <w:szCs w:val="19"/>
        </w:rPr>
        <w:t>(c)</w:t>
      </w:r>
      <w:r w:rsidRPr="00CC4610">
        <w:rPr>
          <w:rFonts w:cs="Arial"/>
          <w:i w:val="0"/>
          <w:iCs/>
          <w:color w:val="000000"/>
          <w:sz w:val="19"/>
          <w:szCs w:val="19"/>
        </w:rPr>
        <w:tab/>
        <w:t>in bro</w:t>
      </w:r>
      <w:r w:rsidRPr="00CC4610">
        <w:rPr>
          <w:rFonts w:cs="Arial"/>
          <w:i w:val="0"/>
          <w:iCs/>
          <w:color w:val="000000"/>
          <w:spacing w:val="-1"/>
          <w:sz w:val="19"/>
          <w:szCs w:val="19"/>
        </w:rPr>
        <w:t>a</w:t>
      </w:r>
      <w:r w:rsidRPr="00CC4610">
        <w:rPr>
          <w:rFonts w:cs="Arial"/>
          <w:i w:val="0"/>
          <w:iCs/>
          <w:color w:val="000000"/>
          <w:sz w:val="19"/>
          <w:szCs w:val="19"/>
        </w:rPr>
        <w:t>dcast</w:t>
      </w:r>
      <w:r w:rsidRPr="00CC4610">
        <w:rPr>
          <w:rFonts w:cs="Arial"/>
          <w:i w:val="0"/>
          <w:iCs/>
          <w:color w:val="000000"/>
          <w:spacing w:val="-1"/>
          <w:sz w:val="19"/>
          <w:szCs w:val="19"/>
        </w:rPr>
        <w:t>i</w:t>
      </w:r>
      <w:r w:rsidRPr="00CC4610">
        <w:rPr>
          <w:rFonts w:cs="Arial"/>
          <w:i w:val="0"/>
          <w:iCs/>
          <w:color w:val="000000"/>
          <w:sz w:val="19"/>
          <w:szCs w:val="19"/>
        </w:rPr>
        <w:t>ng a fair r</w:t>
      </w:r>
      <w:r w:rsidRPr="00CC4610">
        <w:rPr>
          <w:rFonts w:cs="Arial"/>
          <w:i w:val="0"/>
          <w:iCs/>
          <w:color w:val="000000"/>
          <w:spacing w:val="-1"/>
          <w:sz w:val="19"/>
          <w:szCs w:val="19"/>
        </w:rPr>
        <w:t>e</w:t>
      </w:r>
      <w:r w:rsidRPr="00CC4610">
        <w:rPr>
          <w:rFonts w:cs="Arial"/>
          <w:i w:val="0"/>
          <w:iCs/>
          <w:color w:val="000000"/>
          <w:sz w:val="19"/>
          <w:szCs w:val="19"/>
        </w:rPr>
        <w:t>p</w:t>
      </w:r>
      <w:r w:rsidRPr="00CC4610">
        <w:rPr>
          <w:rFonts w:cs="Arial"/>
          <w:i w:val="0"/>
          <w:iCs/>
          <w:color w:val="000000"/>
          <w:spacing w:val="-1"/>
          <w:sz w:val="19"/>
          <w:szCs w:val="19"/>
        </w:rPr>
        <w:t>o</w:t>
      </w:r>
      <w:r w:rsidRPr="00CC4610">
        <w:rPr>
          <w:rFonts w:cs="Arial"/>
          <w:i w:val="0"/>
          <w:iCs/>
          <w:color w:val="000000"/>
          <w:sz w:val="19"/>
          <w:szCs w:val="19"/>
        </w:rPr>
        <w:t>rt of, or a</w:t>
      </w:r>
      <w:r w:rsidRPr="00CC4610">
        <w:rPr>
          <w:rFonts w:cs="Arial"/>
          <w:i w:val="0"/>
          <w:iCs/>
          <w:color w:val="000000"/>
          <w:spacing w:val="2"/>
          <w:sz w:val="19"/>
          <w:szCs w:val="19"/>
        </w:rPr>
        <w:t xml:space="preserve"> </w:t>
      </w:r>
      <w:r w:rsidRPr="00CC4610">
        <w:rPr>
          <w:rFonts w:cs="Arial"/>
          <w:i w:val="0"/>
          <w:iCs/>
          <w:color w:val="000000"/>
          <w:sz w:val="19"/>
          <w:szCs w:val="19"/>
        </w:rPr>
        <w:t>fair com</w:t>
      </w:r>
      <w:r w:rsidRPr="00CC4610">
        <w:rPr>
          <w:rFonts w:cs="Arial"/>
          <w:i w:val="0"/>
          <w:iCs/>
          <w:color w:val="000000"/>
          <w:spacing w:val="-1"/>
          <w:sz w:val="19"/>
          <w:szCs w:val="19"/>
        </w:rPr>
        <w:t>m</w:t>
      </w:r>
      <w:r w:rsidRPr="00CC4610">
        <w:rPr>
          <w:rFonts w:cs="Arial"/>
          <w:i w:val="0"/>
          <w:iCs/>
          <w:color w:val="000000"/>
          <w:sz w:val="19"/>
          <w:szCs w:val="19"/>
        </w:rPr>
        <w:t xml:space="preserve">ent on, any event or matter of identifiable </w:t>
      </w:r>
      <w:r w:rsidRPr="00CC4610">
        <w:rPr>
          <w:rFonts w:cs="Arial"/>
          <w:i w:val="0"/>
          <w:iCs/>
          <w:color w:val="000000"/>
          <w:spacing w:val="-1"/>
          <w:sz w:val="19"/>
          <w:szCs w:val="19"/>
        </w:rPr>
        <w:t>p</w:t>
      </w:r>
      <w:r w:rsidRPr="00CC4610">
        <w:rPr>
          <w:rFonts w:cs="Arial"/>
          <w:i w:val="0"/>
          <w:iCs/>
          <w:color w:val="000000"/>
          <w:sz w:val="19"/>
          <w:szCs w:val="19"/>
        </w:rPr>
        <w:t>ublic int</w:t>
      </w:r>
      <w:r w:rsidRPr="00CC4610">
        <w:rPr>
          <w:rFonts w:cs="Arial"/>
          <w:i w:val="0"/>
          <w:iCs/>
          <w:color w:val="000000"/>
          <w:spacing w:val="-1"/>
          <w:sz w:val="19"/>
          <w:szCs w:val="19"/>
        </w:rPr>
        <w:t>e</w:t>
      </w:r>
      <w:r w:rsidRPr="00CC4610">
        <w:rPr>
          <w:rFonts w:cs="Arial"/>
          <w:i w:val="0"/>
          <w:iCs/>
          <w:color w:val="000000"/>
          <w:sz w:val="19"/>
          <w:szCs w:val="19"/>
        </w:rPr>
        <w:t>r</w:t>
      </w:r>
      <w:r w:rsidRPr="00CC4610">
        <w:rPr>
          <w:rFonts w:cs="Arial"/>
          <w:i w:val="0"/>
          <w:iCs/>
          <w:color w:val="000000"/>
          <w:spacing w:val="-1"/>
          <w:sz w:val="19"/>
          <w:szCs w:val="19"/>
        </w:rPr>
        <w:t>e</w:t>
      </w:r>
      <w:r w:rsidRPr="00CC4610">
        <w:rPr>
          <w:rFonts w:cs="Arial"/>
          <w:i w:val="0"/>
          <w:iCs/>
          <w:color w:val="000000"/>
          <w:sz w:val="19"/>
          <w:szCs w:val="19"/>
        </w:rPr>
        <w:t>st.</w:t>
      </w:r>
    </w:p>
    <w:p w14:paraId="132A53E5" w14:textId="77777777" w:rsidR="000A436F" w:rsidRPr="00CC4610" w:rsidRDefault="000A436F" w:rsidP="00CC4610">
      <w:pPr>
        <w:widowControl w:val="0"/>
        <w:tabs>
          <w:tab w:val="left" w:pos="940"/>
        </w:tabs>
        <w:autoSpaceDE w:val="0"/>
        <w:autoSpaceDN w:val="0"/>
        <w:adjustRightInd w:val="0"/>
        <w:spacing w:after="0" w:line="240" w:lineRule="atLeast"/>
        <w:ind w:left="940" w:right="633" w:hanging="817"/>
        <w:rPr>
          <w:rFonts w:cs="Arial"/>
          <w:i w:val="0"/>
          <w:iCs/>
          <w:color w:val="000000"/>
          <w:sz w:val="19"/>
          <w:szCs w:val="19"/>
        </w:rPr>
      </w:pPr>
      <w:r w:rsidRPr="00CC4610">
        <w:rPr>
          <w:rFonts w:cs="Arial"/>
          <w:i w:val="0"/>
          <w:iCs/>
          <w:color w:val="000000"/>
          <w:sz w:val="19"/>
          <w:szCs w:val="19"/>
        </w:rPr>
        <w:t>1.9</w:t>
      </w:r>
      <w:r w:rsidRPr="00CC4610">
        <w:rPr>
          <w:rFonts w:cs="Arial"/>
          <w:i w:val="0"/>
          <w:iCs/>
          <w:color w:val="000000"/>
          <w:sz w:val="19"/>
          <w:szCs w:val="19"/>
        </w:rPr>
        <w:tab/>
        <w:t>Narrowcasters m</w:t>
      </w:r>
      <w:r w:rsidRPr="00CC4610">
        <w:rPr>
          <w:rFonts w:cs="Arial"/>
          <w:i w:val="0"/>
          <w:iCs/>
          <w:color w:val="000000"/>
          <w:spacing w:val="-2"/>
          <w:sz w:val="19"/>
          <w:szCs w:val="19"/>
        </w:rPr>
        <w:t>u</w:t>
      </w:r>
      <w:r w:rsidRPr="00CC4610">
        <w:rPr>
          <w:rFonts w:cs="Arial"/>
          <w:i w:val="0"/>
          <w:iCs/>
          <w:color w:val="000000"/>
          <w:sz w:val="19"/>
          <w:szCs w:val="19"/>
        </w:rPr>
        <w:t>st seek to comply fully with all C</w:t>
      </w:r>
      <w:r w:rsidRPr="00CC4610">
        <w:rPr>
          <w:rFonts w:cs="Arial"/>
          <w:i w:val="0"/>
          <w:iCs/>
          <w:color w:val="000000"/>
          <w:spacing w:val="2"/>
          <w:sz w:val="19"/>
          <w:szCs w:val="19"/>
        </w:rPr>
        <w:t>o</w:t>
      </w:r>
      <w:r w:rsidRPr="00CC4610">
        <w:rPr>
          <w:rFonts w:cs="Arial"/>
          <w:i w:val="0"/>
          <w:iCs/>
          <w:color w:val="000000"/>
          <w:sz w:val="19"/>
          <w:szCs w:val="19"/>
        </w:rPr>
        <w:t>des, but a failure to comply will not be a br</w:t>
      </w:r>
      <w:r w:rsidRPr="00CC4610">
        <w:rPr>
          <w:rFonts w:cs="Arial"/>
          <w:i w:val="0"/>
          <w:iCs/>
          <w:color w:val="000000"/>
          <w:spacing w:val="-1"/>
          <w:sz w:val="19"/>
          <w:szCs w:val="19"/>
        </w:rPr>
        <w:t>e</w:t>
      </w:r>
      <w:r w:rsidRPr="00CC4610">
        <w:rPr>
          <w:rFonts w:cs="Arial"/>
          <w:i w:val="0"/>
          <w:iCs/>
          <w:color w:val="000000"/>
          <w:sz w:val="19"/>
          <w:szCs w:val="19"/>
        </w:rPr>
        <w:t xml:space="preserve">ach </w:t>
      </w:r>
      <w:r w:rsidRPr="00CC4610">
        <w:rPr>
          <w:rFonts w:cs="Arial"/>
          <w:i w:val="0"/>
          <w:iCs/>
          <w:color w:val="000000"/>
          <w:spacing w:val="-1"/>
          <w:sz w:val="19"/>
          <w:szCs w:val="19"/>
        </w:rPr>
        <w:t>o</w:t>
      </w:r>
      <w:r w:rsidRPr="00CC4610">
        <w:rPr>
          <w:rFonts w:cs="Arial"/>
          <w:i w:val="0"/>
          <w:iCs/>
          <w:color w:val="000000"/>
          <w:sz w:val="19"/>
          <w:szCs w:val="19"/>
        </w:rPr>
        <w:t>f</w:t>
      </w:r>
      <w:r w:rsidRPr="00CC4610">
        <w:rPr>
          <w:rFonts w:cs="Arial"/>
          <w:i w:val="0"/>
          <w:iCs/>
          <w:color w:val="000000"/>
          <w:spacing w:val="-1"/>
          <w:sz w:val="19"/>
          <w:szCs w:val="19"/>
        </w:rPr>
        <w:t xml:space="preserve"> </w:t>
      </w:r>
      <w:r w:rsidRPr="00CC4610">
        <w:rPr>
          <w:rFonts w:cs="Arial"/>
          <w:i w:val="0"/>
          <w:iCs/>
          <w:color w:val="000000"/>
          <w:sz w:val="19"/>
          <w:szCs w:val="19"/>
        </w:rPr>
        <w:t>the Cod</w:t>
      </w:r>
      <w:r w:rsidRPr="00CC4610">
        <w:rPr>
          <w:rFonts w:cs="Arial"/>
          <w:i w:val="0"/>
          <w:iCs/>
          <w:color w:val="000000"/>
          <w:spacing w:val="-1"/>
          <w:sz w:val="19"/>
          <w:szCs w:val="19"/>
        </w:rPr>
        <w:t>e</w:t>
      </w:r>
      <w:r w:rsidRPr="00CC4610">
        <w:rPr>
          <w:rFonts w:cs="Arial"/>
          <w:i w:val="0"/>
          <w:iCs/>
          <w:color w:val="000000"/>
          <w:sz w:val="19"/>
          <w:szCs w:val="19"/>
        </w:rPr>
        <w:t>s if that failure was d</w:t>
      </w:r>
      <w:r w:rsidRPr="00CC4610">
        <w:rPr>
          <w:rFonts w:cs="Arial"/>
          <w:i w:val="0"/>
          <w:iCs/>
          <w:color w:val="000000"/>
          <w:spacing w:val="-1"/>
          <w:sz w:val="19"/>
          <w:szCs w:val="19"/>
        </w:rPr>
        <w:t>u</w:t>
      </w:r>
      <w:r w:rsidRPr="00CC4610">
        <w:rPr>
          <w:rFonts w:cs="Arial"/>
          <w:i w:val="0"/>
          <w:iCs/>
          <w:color w:val="000000"/>
          <w:sz w:val="19"/>
          <w:szCs w:val="19"/>
        </w:rPr>
        <w:t>e to:</w:t>
      </w:r>
    </w:p>
    <w:p w14:paraId="2ED94AD8" w14:textId="77777777" w:rsidR="000A436F" w:rsidRPr="00CC4610" w:rsidRDefault="000A436F" w:rsidP="00CC4610">
      <w:pPr>
        <w:widowControl w:val="0"/>
        <w:tabs>
          <w:tab w:val="left" w:pos="1640"/>
        </w:tabs>
        <w:autoSpaceDE w:val="0"/>
        <w:autoSpaceDN w:val="0"/>
        <w:adjustRightInd w:val="0"/>
        <w:spacing w:after="0" w:line="240" w:lineRule="atLeast"/>
        <w:ind w:left="940"/>
        <w:rPr>
          <w:rFonts w:cs="Arial"/>
          <w:i w:val="0"/>
          <w:iCs/>
          <w:color w:val="000000"/>
          <w:sz w:val="19"/>
          <w:szCs w:val="19"/>
        </w:rPr>
      </w:pPr>
      <w:r w:rsidRPr="00CC4610">
        <w:rPr>
          <w:rFonts w:cs="Arial"/>
          <w:i w:val="0"/>
          <w:iCs/>
          <w:color w:val="000000"/>
          <w:sz w:val="19"/>
          <w:szCs w:val="19"/>
        </w:rPr>
        <w:t>(a)</w:t>
      </w:r>
      <w:r w:rsidRPr="00CC4610">
        <w:rPr>
          <w:rFonts w:cs="Arial"/>
          <w:i w:val="0"/>
          <w:iCs/>
          <w:color w:val="000000"/>
          <w:sz w:val="19"/>
          <w:szCs w:val="19"/>
        </w:rPr>
        <w:tab/>
        <w:t>a re</w:t>
      </w:r>
      <w:r w:rsidRPr="00CC4610">
        <w:rPr>
          <w:rFonts w:cs="Arial"/>
          <w:i w:val="0"/>
          <w:iCs/>
          <w:color w:val="000000"/>
          <w:spacing w:val="-1"/>
          <w:sz w:val="19"/>
          <w:szCs w:val="19"/>
        </w:rPr>
        <w:t>a</w:t>
      </w:r>
      <w:r w:rsidRPr="00CC4610">
        <w:rPr>
          <w:rFonts w:cs="Arial"/>
          <w:i w:val="0"/>
          <w:iCs/>
          <w:color w:val="000000"/>
          <w:spacing w:val="1"/>
          <w:sz w:val="19"/>
          <w:szCs w:val="19"/>
        </w:rPr>
        <w:t>s</w:t>
      </w:r>
      <w:r w:rsidRPr="00CC4610">
        <w:rPr>
          <w:rFonts w:cs="Arial"/>
          <w:i w:val="0"/>
          <w:iCs/>
          <w:color w:val="000000"/>
          <w:sz w:val="19"/>
          <w:szCs w:val="19"/>
        </w:rPr>
        <w:t>o</w:t>
      </w:r>
      <w:r w:rsidRPr="00CC4610">
        <w:rPr>
          <w:rFonts w:cs="Arial"/>
          <w:i w:val="0"/>
          <w:iCs/>
          <w:color w:val="000000"/>
          <w:spacing w:val="-1"/>
          <w:sz w:val="19"/>
          <w:szCs w:val="19"/>
        </w:rPr>
        <w:t>n</w:t>
      </w:r>
      <w:r w:rsidRPr="00CC4610">
        <w:rPr>
          <w:rFonts w:cs="Arial"/>
          <w:i w:val="0"/>
          <w:iCs/>
          <w:color w:val="000000"/>
          <w:sz w:val="19"/>
          <w:szCs w:val="19"/>
        </w:rPr>
        <w:t>able</w:t>
      </w:r>
      <w:r w:rsidRPr="00CC4610">
        <w:rPr>
          <w:rFonts w:cs="Arial"/>
          <w:i w:val="0"/>
          <w:iCs/>
          <w:color w:val="000000"/>
          <w:spacing w:val="-1"/>
          <w:sz w:val="19"/>
          <w:szCs w:val="19"/>
        </w:rPr>
        <w:t xml:space="preserve"> </w:t>
      </w:r>
      <w:r w:rsidRPr="00CC4610">
        <w:rPr>
          <w:rFonts w:cs="Arial"/>
          <w:i w:val="0"/>
          <w:iCs/>
          <w:color w:val="000000"/>
          <w:sz w:val="19"/>
          <w:szCs w:val="19"/>
        </w:rPr>
        <w:t>mistake;</w:t>
      </w:r>
    </w:p>
    <w:p w14:paraId="1B581745" w14:textId="77777777" w:rsidR="000A436F" w:rsidRPr="00CC4610" w:rsidRDefault="000A436F" w:rsidP="00CC4610">
      <w:pPr>
        <w:widowControl w:val="0"/>
        <w:tabs>
          <w:tab w:val="left" w:pos="1640"/>
        </w:tabs>
        <w:autoSpaceDE w:val="0"/>
        <w:autoSpaceDN w:val="0"/>
        <w:adjustRightInd w:val="0"/>
        <w:spacing w:after="0" w:line="240" w:lineRule="atLeast"/>
        <w:ind w:left="940"/>
        <w:rPr>
          <w:rFonts w:cs="Arial"/>
          <w:i w:val="0"/>
          <w:iCs/>
          <w:color w:val="000000"/>
          <w:sz w:val="19"/>
          <w:szCs w:val="19"/>
        </w:rPr>
      </w:pPr>
      <w:r w:rsidRPr="00CC4610">
        <w:rPr>
          <w:rFonts w:cs="Arial"/>
          <w:i w:val="0"/>
          <w:iCs/>
          <w:color w:val="000000"/>
          <w:position w:val="-1"/>
          <w:sz w:val="19"/>
          <w:szCs w:val="19"/>
        </w:rPr>
        <w:t>(b)</w:t>
      </w:r>
      <w:r w:rsidRPr="00CC4610">
        <w:rPr>
          <w:rFonts w:cs="Arial"/>
          <w:i w:val="0"/>
          <w:iCs/>
          <w:color w:val="000000"/>
          <w:position w:val="-1"/>
          <w:sz w:val="19"/>
          <w:szCs w:val="19"/>
        </w:rPr>
        <w:tab/>
        <w:t>re</w:t>
      </w:r>
      <w:r w:rsidRPr="00CC4610">
        <w:rPr>
          <w:rFonts w:cs="Arial"/>
          <w:i w:val="0"/>
          <w:iCs/>
          <w:color w:val="000000"/>
          <w:spacing w:val="-1"/>
          <w:position w:val="-1"/>
          <w:sz w:val="19"/>
          <w:szCs w:val="19"/>
        </w:rPr>
        <w:t>a</w:t>
      </w:r>
      <w:r w:rsidRPr="00CC4610">
        <w:rPr>
          <w:rFonts w:cs="Arial"/>
          <w:i w:val="0"/>
          <w:iCs/>
          <w:color w:val="000000"/>
          <w:spacing w:val="1"/>
          <w:position w:val="-1"/>
          <w:sz w:val="19"/>
          <w:szCs w:val="19"/>
        </w:rPr>
        <w:t>s</w:t>
      </w:r>
      <w:r w:rsidRPr="00CC4610">
        <w:rPr>
          <w:rFonts w:cs="Arial"/>
          <w:i w:val="0"/>
          <w:iCs/>
          <w:color w:val="000000"/>
          <w:position w:val="-1"/>
          <w:sz w:val="19"/>
          <w:szCs w:val="19"/>
        </w:rPr>
        <w:t>o</w:t>
      </w:r>
      <w:r w:rsidRPr="00CC4610">
        <w:rPr>
          <w:rFonts w:cs="Arial"/>
          <w:i w:val="0"/>
          <w:iCs/>
          <w:color w:val="000000"/>
          <w:spacing w:val="-1"/>
          <w:position w:val="-1"/>
          <w:sz w:val="19"/>
          <w:szCs w:val="19"/>
        </w:rPr>
        <w:t>n</w:t>
      </w:r>
      <w:r w:rsidRPr="00CC4610">
        <w:rPr>
          <w:rFonts w:cs="Arial"/>
          <w:i w:val="0"/>
          <w:iCs/>
          <w:color w:val="000000"/>
          <w:position w:val="-1"/>
          <w:sz w:val="19"/>
          <w:szCs w:val="19"/>
        </w:rPr>
        <w:t>able</w:t>
      </w:r>
      <w:r w:rsidRPr="00CC4610">
        <w:rPr>
          <w:rFonts w:cs="Arial"/>
          <w:i w:val="0"/>
          <w:iCs/>
          <w:color w:val="000000"/>
          <w:spacing w:val="-1"/>
          <w:position w:val="-1"/>
          <w:sz w:val="19"/>
          <w:szCs w:val="19"/>
        </w:rPr>
        <w:t xml:space="preserve"> </w:t>
      </w:r>
      <w:r w:rsidRPr="00CC4610">
        <w:rPr>
          <w:rFonts w:cs="Arial"/>
          <w:i w:val="0"/>
          <w:iCs/>
          <w:color w:val="000000"/>
          <w:position w:val="-1"/>
          <w:sz w:val="19"/>
          <w:szCs w:val="19"/>
        </w:rPr>
        <w:t>r</w:t>
      </w:r>
      <w:r w:rsidRPr="00CC4610">
        <w:rPr>
          <w:rFonts w:cs="Arial"/>
          <w:i w:val="0"/>
          <w:iCs/>
          <w:color w:val="000000"/>
          <w:spacing w:val="-1"/>
          <w:position w:val="-1"/>
          <w:sz w:val="19"/>
          <w:szCs w:val="19"/>
        </w:rPr>
        <w:t>e</w:t>
      </w:r>
      <w:r w:rsidRPr="00CC4610">
        <w:rPr>
          <w:rFonts w:cs="Arial"/>
          <w:i w:val="0"/>
          <w:iCs/>
          <w:color w:val="000000"/>
          <w:position w:val="-1"/>
          <w:sz w:val="19"/>
          <w:szCs w:val="19"/>
        </w:rPr>
        <w:t>liance on inf</w:t>
      </w:r>
      <w:r w:rsidRPr="00CC4610">
        <w:rPr>
          <w:rFonts w:cs="Arial"/>
          <w:i w:val="0"/>
          <w:iCs/>
          <w:color w:val="000000"/>
          <w:spacing w:val="-1"/>
          <w:position w:val="-1"/>
          <w:sz w:val="19"/>
          <w:szCs w:val="19"/>
        </w:rPr>
        <w:t>o</w:t>
      </w:r>
      <w:r w:rsidRPr="00CC4610">
        <w:rPr>
          <w:rFonts w:cs="Arial"/>
          <w:i w:val="0"/>
          <w:iCs/>
          <w:color w:val="000000"/>
          <w:position w:val="-1"/>
          <w:sz w:val="19"/>
          <w:szCs w:val="19"/>
        </w:rPr>
        <w:t>rmation</w:t>
      </w:r>
      <w:r w:rsidRPr="00CC4610">
        <w:rPr>
          <w:rFonts w:cs="Arial"/>
          <w:i w:val="0"/>
          <w:iCs/>
          <w:color w:val="000000"/>
          <w:spacing w:val="-1"/>
          <w:position w:val="-1"/>
          <w:sz w:val="19"/>
          <w:szCs w:val="19"/>
        </w:rPr>
        <w:t xml:space="preserve"> </w:t>
      </w:r>
      <w:r w:rsidRPr="00CC4610">
        <w:rPr>
          <w:rFonts w:cs="Arial"/>
          <w:i w:val="0"/>
          <w:iCs/>
          <w:color w:val="000000"/>
          <w:position w:val="-1"/>
          <w:sz w:val="19"/>
          <w:szCs w:val="19"/>
        </w:rPr>
        <w:t>su</w:t>
      </w:r>
      <w:r w:rsidRPr="00CC4610">
        <w:rPr>
          <w:rFonts w:cs="Arial"/>
          <w:i w:val="0"/>
          <w:iCs/>
          <w:color w:val="000000"/>
          <w:spacing w:val="-1"/>
          <w:position w:val="-1"/>
          <w:sz w:val="19"/>
          <w:szCs w:val="19"/>
        </w:rPr>
        <w:t>p</w:t>
      </w:r>
      <w:r w:rsidRPr="00CC4610">
        <w:rPr>
          <w:rFonts w:cs="Arial"/>
          <w:i w:val="0"/>
          <w:iCs/>
          <w:color w:val="000000"/>
          <w:position w:val="-1"/>
          <w:sz w:val="19"/>
          <w:szCs w:val="19"/>
        </w:rPr>
        <w:t>p</w:t>
      </w:r>
      <w:r w:rsidRPr="00CC4610">
        <w:rPr>
          <w:rFonts w:cs="Arial"/>
          <w:i w:val="0"/>
          <w:iCs/>
          <w:color w:val="000000"/>
          <w:spacing w:val="-1"/>
          <w:position w:val="-1"/>
          <w:sz w:val="19"/>
          <w:szCs w:val="19"/>
        </w:rPr>
        <w:t>l</w:t>
      </w:r>
      <w:r w:rsidRPr="00CC4610">
        <w:rPr>
          <w:rFonts w:cs="Arial"/>
          <w:i w:val="0"/>
          <w:iCs/>
          <w:color w:val="000000"/>
          <w:position w:val="-1"/>
          <w:sz w:val="19"/>
          <w:szCs w:val="19"/>
        </w:rPr>
        <w:t>ied by anoth</w:t>
      </w:r>
      <w:r w:rsidRPr="00CC4610">
        <w:rPr>
          <w:rFonts w:cs="Arial"/>
          <w:i w:val="0"/>
          <w:iCs/>
          <w:color w:val="000000"/>
          <w:spacing w:val="-1"/>
          <w:position w:val="-1"/>
          <w:sz w:val="19"/>
          <w:szCs w:val="19"/>
        </w:rPr>
        <w:t>e</w:t>
      </w:r>
      <w:r w:rsidRPr="00CC4610">
        <w:rPr>
          <w:rFonts w:cs="Arial"/>
          <w:i w:val="0"/>
          <w:iCs/>
          <w:color w:val="000000"/>
          <w:position w:val="-1"/>
          <w:sz w:val="19"/>
          <w:szCs w:val="19"/>
        </w:rPr>
        <w:t>r pers</w:t>
      </w:r>
      <w:r w:rsidRPr="00CC4610">
        <w:rPr>
          <w:rFonts w:cs="Arial"/>
          <w:i w:val="0"/>
          <w:iCs/>
          <w:color w:val="000000"/>
          <w:spacing w:val="-1"/>
          <w:position w:val="-1"/>
          <w:sz w:val="19"/>
          <w:szCs w:val="19"/>
        </w:rPr>
        <w:t>o</w:t>
      </w:r>
      <w:r w:rsidRPr="00CC4610">
        <w:rPr>
          <w:rFonts w:cs="Arial"/>
          <w:i w:val="0"/>
          <w:iCs/>
          <w:color w:val="000000"/>
          <w:position w:val="-1"/>
          <w:sz w:val="19"/>
          <w:szCs w:val="19"/>
        </w:rPr>
        <w:t>n;</w:t>
      </w:r>
    </w:p>
    <w:p w14:paraId="0A7CFC03" w14:textId="77777777" w:rsidR="000A436F" w:rsidRPr="00CC4610" w:rsidRDefault="000A436F" w:rsidP="00CC4610">
      <w:pPr>
        <w:widowControl w:val="0"/>
        <w:tabs>
          <w:tab w:val="left" w:pos="1640"/>
        </w:tabs>
        <w:autoSpaceDE w:val="0"/>
        <w:autoSpaceDN w:val="0"/>
        <w:adjustRightInd w:val="0"/>
        <w:spacing w:before="73" w:after="0" w:line="240" w:lineRule="atLeast"/>
        <w:ind w:left="1646" w:right="424" w:hanging="706"/>
        <w:rPr>
          <w:rFonts w:cs="Arial"/>
          <w:i w:val="0"/>
          <w:iCs/>
          <w:color w:val="000000"/>
          <w:sz w:val="19"/>
          <w:szCs w:val="19"/>
        </w:rPr>
      </w:pPr>
      <w:r w:rsidRPr="00CC4610">
        <w:rPr>
          <w:rFonts w:cs="Arial"/>
          <w:i w:val="0"/>
          <w:iCs/>
          <w:color w:val="000000"/>
          <w:sz w:val="19"/>
          <w:szCs w:val="19"/>
        </w:rPr>
        <w:t>(c)</w:t>
      </w:r>
      <w:r w:rsidRPr="00CC4610">
        <w:rPr>
          <w:rFonts w:cs="Arial"/>
          <w:i w:val="0"/>
          <w:iCs/>
          <w:color w:val="000000"/>
          <w:sz w:val="19"/>
          <w:szCs w:val="19"/>
        </w:rPr>
        <w:tab/>
        <w:t xml:space="preserve">an act </w:t>
      </w:r>
      <w:r w:rsidRPr="00CC4610">
        <w:rPr>
          <w:rFonts w:cs="Arial"/>
          <w:i w:val="0"/>
          <w:iCs/>
          <w:color w:val="000000"/>
          <w:spacing w:val="-1"/>
          <w:sz w:val="19"/>
          <w:szCs w:val="19"/>
        </w:rPr>
        <w:t>o</w:t>
      </w:r>
      <w:r w:rsidRPr="00CC4610">
        <w:rPr>
          <w:rFonts w:cs="Arial"/>
          <w:i w:val="0"/>
          <w:iCs/>
          <w:color w:val="000000"/>
          <w:sz w:val="19"/>
          <w:szCs w:val="19"/>
        </w:rPr>
        <w:t>r failure to act of a</w:t>
      </w:r>
      <w:r w:rsidRPr="00CC4610">
        <w:rPr>
          <w:rFonts w:cs="Arial"/>
          <w:i w:val="0"/>
          <w:iCs/>
          <w:color w:val="000000"/>
          <w:spacing w:val="-1"/>
          <w:sz w:val="19"/>
          <w:szCs w:val="19"/>
        </w:rPr>
        <w:t>n</w:t>
      </w:r>
      <w:r w:rsidRPr="00CC4610">
        <w:rPr>
          <w:rFonts w:cs="Arial"/>
          <w:i w:val="0"/>
          <w:iCs/>
          <w:color w:val="000000"/>
          <w:sz w:val="19"/>
          <w:szCs w:val="19"/>
        </w:rPr>
        <w:t>other p</w:t>
      </w:r>
      <w:r w:rsidRPr="00CC4610">
        <w:rPr>
          <w:rFonts w:cs="Arial"/>
          <w:i w:val="0"/>
          <w:iCs/>
          <w:color w:val="000000"/>
          <w:spacing w:val="2"/>
          <w:sz w:val="19"/>
          <w:szCs w:val="19"/>
        </w:rPr>
        <w:t>e</w:t>
      </w:r>
      <w:r w:rsidRPr="00CC4610">
        <w:rPr>
          <w:rFonts w:cs="Arial"/>
          <w:i w:val="0"/>
          <w:iCs/>
          <w:color w:val="000000"/>
          <w:sz w:val="19"/>
          <w:szCs w:val="19"/>
        </w:rPr>
        <w:t>rson,</w:t>
      </w:r>
      <w:r w:rsidRPr="00CC4610">
        <w:rPr>
          <w:rFonts w:cs="Arial"/>
          <w:i w:val="0"/>
          <w:iCs/>
          <w:color w:val="000000"/>
          <w:spacing w:val="-2"/>
          <w:sz w:val="19"/>
          <w:szCs w:val="19"/>
        </w:rPr>
        <w:t xml:space="preserve"> </w:t>
      </w:r>
      <w:r w:rsidRPr="00CC4610">
        <w:rPr>
          <w:rFonts w:cs="Arial"/>
          <w:i w:val="0"/>
          <w:iCs/>
          <w:color w:val="000000"/>
          <w:sz w:val="19"/>
          <w:szCs w:val="19"/>
        </w:rPr>
        <w:t xml:space="preserve">or an </w:t>
      </w:r>
      <w:r w:rsidRPr="00CC4610">
        <w:rPr>
          <w:rFonts w:cs="Arial"/>
          <w:i w:val="0"/>
          <w:iCs/>
          <w:color w:val="000000"/>
          <w:spacing w:val="-1"/>
          <w:sz w:val="19"/>
          <w:szCs w:val="19"/>
        </w:rPr>
        <w:t>a</w:t>
      </w:r>
      <w:r w:rsidRPr="00CC4610">
        <w:rPr>
          <w:rFonts w:cs="Arial"/>
          <w:i w:val="0"/>
          <w:iCs/>
          <w:color w:val="000000"/>
          <w:sz w:val="19"/>
          <w:szCs w:val="19"/>
        </w:rPr>
        <w:t>cci</w:t>
      </w:r>
      <w:r w:rsidRPr="00CC4610">
        <w:rPr>
          <w:rFonts w:cs="Arial"/>
          <w:i w:val="0"/>
          <w:iCs/>
          <w:color w:val="000000"/>
          <w:spacing w:val="-1"/>
          <w:sz w:val="19"/>
          <w:szCs w:val="19"/>
        </w:rPr>
        <w:t>de</w:t>
      </w:r>
      <w:r w:rsidRPr="00CC4610">
        <w:rPr>
          <w:rFonts w:cs="Arial"/>
          <w:i w:val="0"/>
          <w:iCs/>
          <w:color w:val="000000"/>
          <w:sz w:val="19"/>
          <w:szCs w:val="19"/>
        </w:rPr>
        <w:t>nt or so</w:t>
      </w:r>
      <w:r w:rsidRPr="00CC4610">
        <w:rPr>
          <w:rFonts w:cs="Arial"/>
          <w:i w:val="0"/>
          <w:iCs/>
          <w:color w:val="000000"/>
          <w:spacing w:val="-1"/>
          <w:sz w:val="19"/>
          <w:szCs w:val="19"/>
        </w:rPr>
        <w:t>m</w:t>
      </w:r>
      <w:r w:rsidRPr="00CC4610">
        <w:rPr>
          <w:rFonts w:cs="Arial"/>
          <w:i w:val="0"/>
          <w:iCs/>
          <w:color w:val="000000"/>
          <w:sz w:val="19"/>
          <w:szCs w:val="19"/>
        </w:rPr>
        <w:t>e other ca</w:t>
      </w:r>
      <w:r w:rsidRPr="00CC4610">
        <w:rPr>
          <w:rFonts w:cs="Arial"/>
          <w:i w:val="0"/>
          <w:iCs/>
          <w:color w:val="000000"/>
          <w:spacing w:val="-1"/>
          <w:sz w:val="19"/>
          <w:szCs w:val="19"/>
        </w:rPr>
        <w:t>u</w:t>
      </w:r>
      <w:r w:rsidRPr="00CC4610">
        <w:rPr>
          <w:rFonts w:cs="Arial"/>
          <w:i w:val="0"/>
          <w:iCs/>
          <w:color w:val="000000"/>
          <w:spacing w:val="1"/>
          <w:sz w:val="19"/>
          <w:szCs w:val="19"/>
        </w:rPr>
        <w:t>s</w:t>
      </w:r>
      <w:r w:rsidRPr="00CC4610">
        <w:rPr>
          <w:rFonts w:cs="Arial"/>
          <w:i w:val="0"/>
          <w:iCs/>
          <w:color w:val="000000"/>
          <w:sz w:val="19"/>
          <w:szCs w:val="19"/>
        </w:rPr>
        <w:t xml:space="preserve">e beyond the </w:t>
      </w:r>
      <w:r w:rsidRPr="00CC4610">
        <w:rPr>
          <w:rFonts w:cs="Arial"/>
          <w:i w:val="0"/>
          <w:iCs/>
          <w:color w:val="000000"/>
          <w:spacing w:val="-1"/>
          <w:sz w:val="19"/>
          <w:szCs w:val="19"/>
        </w:rPr>
        <w:t>n</w:t>
      </w:r>
      <w:r w:rsidRPr="00CC4610">
        <w:rPr>
          <w:rFonts w:cs="Arial"/>
          <w:i w:val="0"/>
          <w:iCs/>
          <w:color w:val="000000"/>
          <w:sz w:val="19"/>
          <w:szCs w:val="19"/>
        </w:rPr>
        <w:t>arrowc</w:t>
      </w:r>
      <w:r w:rsidRPr="00CC4610">
        <w:rPr>
          <w:rFonts w:cs="Arial"/>
          <w:i w:val="0"/>
          <w:iCs/>
          <w:color w:val="000000"/>
          <w:spacing w:val="-1"/>
          <w:sz w:val="19"/>
          <w:szCs w:val="19"/>
        </w:rPr>
        <w:t>a</w:t>
      </w:r>
      <w:r w:rsidRPr="00CC4610">
        <w:rPr>
          <w:rFonts w:cs="Arial"/>
          <w:i w:val="0"/>
          <w:iCs/>
          <w:color w:val="000000"/>
          <w:sz w:val="19"/>
          <w:szCs w:val="19"/>
        </w:rPr>
        <w:t>ster</w:t>
      </w:r>
      <w:r w:rsidRPr="00CC4610">
        <w:rPr>
          <w:rFonts w:cs="Arial"/>
          <w:i w:val="0"/>
          <w:iCs/>
          <w:color w:val="000000"/>
          <w:spacing w:val="-1"/>
          <w:sz w:val="19"/>
          <w:szCs w:val="19"/>
        </w:rPr>
        <w:t>’</w:t>
      </w:r>
      <w:r w:rsidRPr="00CC4610">
        <w:rPr>
          <w:rFonts w:cs="Arial"/>
          <w:i w:val="0"/>
          <w:iCs/>
          <w:color w:val="000000"/>
          <w:sz w:val="19"/>
          <w:szCs w:val="19"/>
        </w:rPr>
        <w:t>s</w:t>
      </w:r>
      <w:r w:rsidRPr="00CC4610">
        <w:rPr>
          <w:rFonts w:cs="Arial"/>
          <w:i w:val="0"/>
          <w:iCs/>
          <w:color w:val="000000"/>
          <w:spacing w:val="-1"/>
          <w:sz w:val="19"/>
          <w:szCs w:val="19"/>
        </w:rPr>
        <w:t xml:space="preserve"> </w:t>
      </w:r>
      <w:r w:rsidRPr="00CC4610">
        <w:rPr>
          <w:rFonts w:cs="Arial"/>
          <w:i w:val="0"/>
          <w:iCs/>
          <w:color w:val="000000"/>
          <w:sz w:val="19"/>
          <w:szCs w:val="19"/>
        </w:rPr>
        <w:t>c</w:t>
      </w:r>
      <w:r w:rsidRPr="00CC4610">
        <w:rPr>
          <w:rFonts w:cs="Arial"/>
          <w:i w:val="0"/>
          <w:iCs/>
          <w:color w:val="000000"/>
          <w:spacing w:val="-1"/>
          <w:sz w:val="19"/>
          <w:szCs w:val="19"/>
        </w:rPr>
        <w:t>o</w:t>
      </w:r>
      <w:r w:rsidRPr="00CC4610">
        <w:rPr>
          <w:rFonts w:cs="Arial"/>
          <w:i w:val="0"/>
          <w:iCs/>
          <w:color w:val="000000"/>
          <w:sz w:val="19"/>
          <w:szCs w:val="19"/>
        </w:rPr>
        <w:t xml:space="preserve">ntrol, provided </w:t>
      </w:r>
      <w:r w:rsidRPr="00CC4610">
        <w:rPr>
          <w:rFonts w:cs="Arial"/>
          <w:i w:val="0"/>
          <w:iCs/>
          <w:color w:val="000000"/>
          <w:spacing w:val="-2"/>
          <w:sz w:val="19"/>
          <w:szCs w:val="19"/>
        </w:rPr>
        <w:t>t</w:t>
      </w:r>
      <w:r w:rsidRPr="00CC4610">
        <w:rPr>
          <w:rFonts w:cs="Arial"/>
          <w:i w:val="0"/>
          <w:iCs/>
          <w:color w:val="000000"/>
          <w:sz w:val="19"/>
          <w:szCs w:val="19"/>
        </w:rPr>
        <w:t>hat the narr</w:t>
      </w:r>
      <w:r w:rsidRPr="00CC4610">
        <w:rPr>
          <w:rFonts w:cs="Arial"/>
          <w:i w:val="0"/>
          <w:iCs/>
          <w:color w:val="000000"/>
          <w:spacing w:val="-1"/>
          <w:sz w:val="19"/>
          <w:szCs w:val="19"/>
        </w:rPr>
        <w:t>o</w:t>
      </w:r>
      <w:r w:rsidRPr="00CC4610">
        <w:rPr>
          <w:rFonts w:cs="Arial"/>
          <w:i w:val="0"/>
          <w:iCs/>
          <w:color w:val="000000"/>
          <w:sz w:val="19"/>
          <w:szCs w:val="19"/>
        </w:rPr>
        <w:t>wcast</w:t>
      </w:r>
      <w:r w:rsidRPr="00CC4610">
        <w:rPr>
          <w:rFonts w:cs="Arial"/>
          <w:i w:val="0"/>
          <w:iCs/>
          <w:color w:val="000000"/>
          <w:spacing w:val="-1"/>
          <w:sz w:val="19"/>
          <w:szCs w:val="19"/>
        </w:rPr>
        <w:t>e</w:t>
      </w:r>
      <w:r w:rsidRPr="00CC4610">
        <w:rPr>
          <w:rFonts w:cs="Arial"/>
          <w:i w:val="0"/>
          <w:iCs/>
          <w:color w:val="000000"/>
          <w:sz w:val="19"/>
          <w:szCs w:val="19"/>
        </w:rPr>
        <w:t>r took re</w:t>
      </w:r>
      <w:r w:rsidRPr="00CC4610">
        <w:rPr>
          <w:rFonts w:cs="Arial"/>
          <w:i w:val="0"/>
          <w:iCs/>
          <w:color w:val="000000"/>
          <w:spacing w:val="-1"/>
          <w:sz w:val="19"/>
          <w:szCs w:val="19"/>
        </w:rPr>
        <w:t>a</w:t>
      </w:r>
      <w:r w:rsidRPr="00CC4610">
        <w:rPr>
          <w:rFonts w:cs="Arial"/>
          <w:i w:val="0"/>
          <w:iCs/>
          <w:color w:val="000000"/>
          <w:spacing w:val="1"/>
          <w:sz w:val="19"/>
          <w:szCs w:val="19"/>
        </w:rPr>
        <w:t>s</w:t>
      </w:r>
      <w:r w:rsidRPr="00CC4610">
        <w:rPr>
          <w:rFonts w:cs="Arial"/>
          <w:i w:val="0"/>
          <w:iCs/>
          <w:color w:val="000000"/>
          <w:sz w:val="19"/>
          <w:szCs w:val="19"/>
        </w:rPr>
        <w:t>o</w:t>
      </w:r>
      <w:r w:rsidRPr="00CC4610">
        <w:rPr>
          <w:rFonts w:cs="Arial"/>
          <w:i w:val="0"/>
          <w:iCs/>
          <w:color w:val="000000"/>
          <w:spacing w:val="-1"/>
          <w:sz w:val="19"/>
          <w:szCs w:val="19"/>
        </w:rPr>
        <w:t>n</w:t>
      </w:r>
      <w:r w:rsidRPr="00CC4610">
        <w:rPr>
          <w:rFonts w:cs="Arial"/>
          <w:i w:val="0"/>
          <w:iCs/>
          <w:color w:val="000000"/>
          <w:sz w:val="19"/>
          <w:szCs w:val="19"/>
        </w:rPr>
        <w:t xml:space="preserve">able </w:t>
      </w:r>
      <w:r w:rsidRPr="00CC4610">
        <w:rPr>
          <w:rFonts w:cs="Arial"/>
          <w:i w:val="0"/>
          <w:iCs/>
          <w:color w:val="000000"/>
          <w:spacing w:val="-1"/>
          <w:sz w:val="19"/>
          <w:szCs w:val="19"/>
        </w:rPr>
        <w:t>p</w:t>
      </w:r>
      <w:r w:rsidRPr="00CC4610">
        <w:rPr>
          <w:rFonts w:cs="Arial"/>
          <w:i w:val="0"/>
          <w:iCs/>
          <w:color w:val="000000"/>
          <w:sz w:val="19"/>
          <w:szCs w:val="19"/>
        </w:rPr>
        <w:t>r</w:t>
      </w:r>
      <w:r w:rsidRPr="00CC4610">
        <w:rPr>
          <w:rFonts w:cs="Arial"/>
          <w:i w:val="0"/>
          <w:iCs/>
          <w:color w:val="000000"/>
          <w:spacing w:val="-1"/>
          <w:sz w:val="19"/>
          <w:szCs w:val="19"/>
        </w:rPr>
        <w:t>ec</w:t>
      </w:r>
      <w:r w:rsidRPr="00CC4610">
        <w:rPr>
          <w:rFonts w:cs="Arial"/>
          <w:i w:val="0"/>
          <w:iCs/>
          <w:color w:val="000000"/>
          <w:sz w:val="19"/>
          <w:szCs w:val="19"/>
        </w:rPr>
        <w:t>autio</w:t>
      </w:r>
      <w:r w:rsidRPr="00CC4610">
        <w:rPr>
          <w:rFonts w:cs="Arial"/>
          <w:i w:val="0"/>
          <w:iCs/>
          <w:color w:val="000000"/>
          <w:spacing w:val="-1"/>
          <w:sz w:val="19"/>
          <w:szCs w:val="19"/>
        </w:rPr>
        <w:t>n</w:t>
      </w:r>
      <w:r w:rsidRPr="00CC4610">
        <w:rPr>
          <w:rFonts w:cs="Arial"/>
          <w:i w:val="0"/>
          <w:iCs/>
          <w:color w:val="000000"/>
          <w:sz w:val="19"/>
          <w:szCs w:val="19"/>
        </w:rPr>
        <w:t xml:space="preserve">s and </w:t>
      </w:r>
      <w:r w:rsidRPr="00CC4610">
        <w:rPr>
          <w:rFonts w:cs="Arial"/>
          <w:i w:val="0"/>
          <w:iCs/>
          <w:color w:val="000000"/>
          <w:spacing w:val="-1"/>
          <w:sz w:val="19"/>
          <w:szCs w:val="19"/>
        </w:rPr>
        <w:t>ex</w:t>
      </w:r>
      <w:r w:rsidRPr="00CC4610">
        <w:rPr>
          <w:rFonts w:cs="Arial"/>
          <w:i w:val="0"/>
          <w:iCs/>
          <w:color w:val="000000"/>
          <w:sz w:val="19"/>
          <w:szCs w:val="19"/>
        </w:rPr>
        <w:t>erc</w:t>
      </w:r>
      <w:r w:rsidRPr="00CC4610">
        <w:rPr>
          <w:rFonts w:cs="Arial"/>
          <w:i w:val="0"/>
          <w:iCs/>
          <w:color w:val="000000"/>
          <w:spacing w:val="-1"/>
          <w:sz w:val="19"/>
          <w:szCs w:val="19"/>
        </w:rPr>
        <w:t>i</w:t>
      </w:r>
      <w:r w:rsidRPr="00CC4610">
        <w:rPr>
          <w:rFonts w:cs="Arial"/>
          <w:i w:val="0"/>
          <w:iCs/>
          <w:color w:val="000000"/>
          <w:sz w:val="19"/>
          <w:szCs w:val="19"/>
        </w:rPr>
        <w:t xml:space="preserve">sed </w:t>
      </w:r>
      <w:r w:rsidRPr="00CC4610">
        <w:rPr>
          <w:rFonts w:cs="Arial"/>
          <w:i w:val="0"/>
          <w:iCs/>
          <w:color w:val="000000"/>
          <w:spacing w:val="-1"/>
          <w:sz w:val="19"/>
          <w:szCs w:val="19"/>
        </w:rPr>
        <w:t>d</w:t>
      </w:r>
      <w:r w:rsidRPr="00CC4610">
        <w:rPr>
          <w:rFonts w:cs="Arial"/>
          <w:i w:val="0"/>
          <w:iCs/>
          <w:color w:val="000000"/>
          <w:sz w:val="19"/>
          <w:szCs w:val="19"/>
        </w:rPr>
        <w:t>ue dilige</w:t>
      </w:r>
      <w:r w:rsidRPr="00CC4610">
        <w:rPr>
          <w:rFonts w:cs="Arial"/>
          <w:i w:val="0"/>
          <w:iCs/>
          <w:color w:val="000000"/>
          <w:spacing w:val="-1"/>
          <w:sz w:val="19"/>
          <w:szCs w:val="19"/>
        </w:rPr>
        <w:t>n</w:t>
      </w:r>
      <w:r w:rsidRPr="00CC4610">
        <w:rPr>
          <w:rFonts w:cs="Arial"/>
          <w:i w:val="0"/>
          <w:iCs/>
          <w:color w:val="000000"/>
          <w:sz w:val="19"/>
          <w:szCs w:val="19"/>
        </w:rPr>
        <w:t xml:space="preserve">ce to </w:t>
      </w:r>
      <w:r w:rsidRPr="00CC4610">
        <w:rPr>
          <w:rFonts w:cs="Arial"/>
          <w:i w:val="0"/>
          <w:iCs/>
          <w:color w:val="000000"/>
          <w:spacing w:val="-1"/>
          <w:sz w:val="19"/>
          <w:szCs w:val="19"/>
        </w:rPr>
        <w:t>av</w:t>
      </w:r>
      <w:r w:rsidRPr="00CC4610">
        <w:rPr>
          <w:rFonts w:cs="Arial"/>
          <w:i w:val="0"/>
          <w:iCs/>
          <w:color w:val="000000"/>
          <w:sz w:val="19"/>
          <w:szCs w:val="19"/>
        </w:rPr>
        <w:t>oid the failure; or</w:t>
      </w:r>
    </w:p>
    <w:p w14:paraId="6B3399E5" w14:textId="77777777" w:rsidR="000A436F" w:rsidRPr="00CC4610" w:rsidRDefault="000A436F" w:rsidP="00CC4610">
      <w:pPr>
        <w:widowControl w:val="0"/>
        <w:tabs>
          <w:tab w:val="left" w:pos="1640"/>
        </w:tabs>
        <w:autoSpaceDE w:val="0"/>
        <w:autoSpaceDN w:val="0"/>
        <w:adjustRightInd w:val="0"/>
        <w:spacing w:after="0" w:line="240" w:lineRule="atLeast"/>
        <w:ind w:left="1650" w:right="579" w:hanging="709"/>
        <w:rPr>
          <w:rFonts w:cs="Arial"/>
          <w:i w:val="0"/>
          <w:iCs/>
          <w:color w:val="000000"/>
          <w:sz w:val="19"/>
          <w:szCs w:val="19"/>
        </w:rPr>
      </w:pPr>
      <w:r w:rsidRPr="00CC4610">
        <w:rPr>
          <w:rFonts w:cs="Arial"/>
          <w:i w:val="0"/>
          <w:iCs/>
          <w:color w:val="000000"/>
          <w:sz w:val="19"/>
          <w:szCs w:val="19"/>
        </w:rPr>
        <w:t>(d)</w:t>
      </w:r>
      <w:r w:rsidRPr="00CC4610">
        <w:rPr>
          <w:rFonts w:cs="Arial"/>
          <w:i w:val="0"/>
          <w:iCs/>
          <w:color w:val="000000"/>
          <w:sz w:val="19"/>
          <w:szCs w:val="19"/>
        </w:rPr>
        <w:tab/>
        <w:t>an a</w:t>
      </w:r>
      <w:r w:rsidRPr="00CC4610">
        <w:rPr>
          <w:rFonts w:cs="Arial"/>
          <w:i w:val="0"/>
          <w:iCs/>
          <w:color w:val="000000"/>
          <w:spacing w:val="1"/>
          <w:sz w:val="19"/>
          <w:szCs w:val="19"/>
        </w:rPr>
        <w:t>c</w:t>
      </w:r>
      <w:r w:rsidRPr="00CC4610">
        <w:rPr>
          <w:rFonts w:cs="Arial"/>
          <w:i w:val="0"/>
          <w:iCs/>
          <w:color w:val="000000"/>
          <w:sz w:val="19"/>
          <w:szCs w:val="19"/>
        </w:rPr>
        <w:t>t or failure to a</w:t>
      </w:r>
      <w:r w:rsidRPr="00CC4610">
        <w:rPr>
          <w:rFonts w:cs="Arial"/>
          <w:i w:val="0"/>
          <w:iCs/>
          <w:color w:val="000000"/>
          <w:spacing w:val="1"/>
          <w:sz w:val="19"/>
          <w:szCs w:val="19"/>
        </w:rPr>
        <w:t>c</w:t>
      </w:r>
      <w:r w:rsidRPr="00CC4610">
        <w:rPr>
          <w:rFonts w:cs="Arial"/>
          <w:i w:val="0"/>
          <w:iCs/>
          <w:color w:val="000000"/>
          <w:sz w:val="19"/>
          <w:szCs w:val="19"/>
        </w:rPr>
        <w:t>t which, in all</w:t>
      </w:r>
      <w:r w:rsidRPr="00CC4610">
        <w:rPr>
          <w:rFonts w:cs="Arial"/>
          <w:i w:val="0"/>
          <w:iCs/>
          <w:color w:val="000000"/>
          <w:spacing w:val="2"/>
          <w:sz w:val="19"/>
          <w:szCs w:val="19"/>
        </w:rPr>
        <w:t xml:space="preserve"> </w:t>
      </w:r>
      <w:r w:rsidRPr="00CC4610">
        <w:rPr>
          <w:rFonts w:cs="Arial"/>
          <w:i w:val="0"/>
          <w:iCs/>
          <w:color w:val="000000"/>
          <w:sz w:val="19"/>
          <w:szCs w:val="19"/>
        </w:rPr>
        <w:t>the circ</w:t>
      </w:r>
      <w:r w:rsidRPr="00CC4610">
        <w:rPr>
          <w:rFonts w:cs="Arial"/>
          <w:i w:val="0"/>
          <w:iCs/>
          <w:color w:val="000000"/>
          <w:spacing w:val="-1"/>
          <w:sz w:val="19"/>
          <w:szCs w:val="19"/>
        </w:rPr>
        <w:t>u</w:t>
      </w:r>
      <w:r w:rsidRPr="00CC4610">
        <w:rPr>
          <w:rFonts w:cs="Arial"/>
          <w:i w:val="0"/>
          <w:iCs/>
          <w:color w:val="000000"/>
          <w:sz w:val="19"/>
          <w:szCs w:val="19"/>
        </w:rPr>
        <w:t>mst</w:t>
      </w:r>
      <w:r w:rsidRPr="00CC4610">
        <w:rPr>
          <w:rFonts w:cs="Arial"/>
          <w:i w:val="0"/>
          <w:iCs/>
          <w:color w:val="000000"/>
          <w:spacing w:val="-1"/>
          <w:sz w:val="19"/>
          <w:szCs w:val="19"/>
        </w:rPr>
        <w:t>a</w:t>
      </w:r>
      <w:r w:rsidRPr="00CC4610">
        <w:rPr>
          <w:rFonts w:cs="Arial"/>
          <w:i w:val="0"/>
          <w:iCs/>
          <w:color w:val="000000"/>
          <w:sz w:val="19"/>
          <w:szCs w:val="19"/>
        </w:rPr>
        <w:t>n</w:t>
      </w:r>
      <w:r w:rsidRPr="00CC4610">
        <w:rPr>
          <w:rFonts w:cs="Arial"/>
          <w:i w:val="0"/>
          <w:iCs/>
          <w:color w:val="000000"/>
          <w:spacing w:val="-1"/>
          <w:sz w:val="19"/>
          <w:szCs w:val="19"/>
        </w:rPr>
        <w:t>c</w:t>
      </w:r>
      <w:r w:rsidRPr="00CC4610">
        <w:rPr>
          <w:rFonts w:cs="Arial"/>
          <w:i w:val="0"/>
          <w:iCs/>
          <w:color w:val="000000"/>
          <w:sz w:val="19"/>
          <w:szCs w:val="19"/>
        </w:rPr>
        <w:t>es,</w:t>
      </w:r>
      <w:r w:rsidRPr="00CC4610">
        <w:rPr>
          <w:rFonts w:cs="Arial"/>
          <w:i w:val="0"/>
          <w:iCs/>
          <w:color w:val="000000"/>
          <w:spacing w:val="-2"/>
          <w:sz w:val="19"/>
          <w:szCs w:val="19"/>
        </w:rPr>
        <w:t xml:space="preserve"> </w:t>
      </w:r>
      <w:r w:rsidRPr="00CC4610">
        <w:rPr>
          <w:rFonts w:cs="Arial"/>
          <w:i w:val="0"/>
          <w:iCs/>
          <w:color w:val="000000"/>
          <w:sz w:val="19"/>
          <w:szCs w:val="19"/>
        </w:rPr>
        <w:t>was</w:t>
      </w:r>
      <w:r w:rsidRPr="00CC4610">
        <w:rPr>
          <w:rFonts w:cs="Arial"/>
          <w:i w:val="0"/>
          <w:iCs/>
          <w:color w:val="000000"/>
          <w:spacing w:val="-1"/>
          <w:sz w:val="19"/>
          <w:szCs w:val="19"/>
        </w:rPr>
        <w:t xml:space="preserve"> </w:t>
      </w:r>
      <w:r w:rsidRPr="00CC4610">
        <w:rPr>
          <w:rFonts w:cs="Arial"/>
          <w:i w:val="0"/>
          <w:iCs/>
          <w:color w:val="000000"/>
          <w:sz w:val="19"/>
          <w:szCs w:val="19"/>
        </w:rPr>
        <w:t>cle</w:t>
      </w:r>
      <w:r w:rsidRPr="00CC4610">
        <w:rPr>
          <w:rFonts w:cs="Arial"/>
          <w:i w:val="0"/>
          <w:iCs/>
          <w:color w:val="000000"/>
          <w:spacing w:val="-1"/>
          <w:sz w:val="19"/>
          <w:szCs w:val="19"/>
        </w:rPr>
        <w:t>a</w:t>
      </w:r>
      <w:r w:rsidRPr="00CC4610">
        <w:rPr>
          <w:rFonts w:cs="Arial"/>
          <w:i w:val="0"/>
          <w:iCs/>
          <w:color w:val="000000"/>
          <w:sz w:val="19"/>
          <w:szCs w:val="19"/>
        </w:rPr>
        <w:t>rly</w:t>
      </w:r>
      <w:r w:rsidRPr="00CC4610">
        <w:rPr>
          <w:rFonts w:cs="Arial"/>
          <w:i w:val="0"/>
          <w:iCs/>
          <w:color w:val="000000"/>
          <w:spacing w:val="-1"/>
          <w:sz w:val="19"/>
          <w:szCs w:val="19"/>
        </w:rPr>
        <w:t xml:space="preserve"> </w:t>
      </w:r>
      <w:r w:rsidRPr="00CC4610">
        <w:rPr>
          <w:rFonts w:cs="Arial"/>
          <w:i w:val="0"/>
          <w:iCs/>
          <w:color w:val="000000"/>
          <w:sz w:val="19"/>
          <w:szCs w:val="19"/>
        </w:rPr>
        <w:t>perip</w:t>
      </w:r>
      <w:r w:rsidRPr="00CC4610">
        <w:rPr>
          <w:rFonts w:cs="Arial"/>
          <w:i w:val="0"/>
          <w:iCs/>
          <w:color w:val="000000"/>
          <w:spacing w:val="-1"/>
          <w:sz w:val="19"/>
          <w:szCs w:val="19"/>
        </w:rPr>
        <w:t>h</w:t>
      </w:r>
      <w:r w:rsidRPr="00CC4610">
        <w:rPr>
          <w:rFonts w:cs="Arial"/>
          <w:i w:val="0"/>
          <w:iCs/>
          <w:color w:val="000000"/>
          <w:sz w:val="19"/>
          <w:szCs w:val="19"/>
        </w:rPr>
        <w:t>e</w:t>
      </w:r>
      <w:r w:rsidRPr="00CC4610">
        <w:rPr>
          <w:rFonts w:cs="Arial"/>
          <w:i w:val="0"/>
          <w:iCs/>
          <w:color w:val="000000"/>
          <w:spacing w:val="-1"/>
          <w:sz w:val="19"/>
          <w:szCs w:val="19"/>
        </w:rPr>
        <w:t>r</w:t>
      </w:r>
      <w:r w:rsidRPr="00CC4610">
        <w:rPr>
          <w:rFonts w:cs="Arial"/>
          <w:i w:val="0"/>
          <w:iCs/>
          <w:color w:val="000000"/>
          <w:sz w:val="19"/>
          <w:szCs w:val="19"/>
        </w:rPr>
        <w:t>al or inci</w:t>
      </w:r>
      <w:r w:rsidRPr="00CC4610">
        <w:rPr>
          <w:rFonts w:cs="Arial"/>
          <w:i w:val="0"/>
          <w:iCs/>
          <w:color w:val="000000"/>
          <w:spacing w:val="-1"/>
          <w:sz w:val="19"/>
          <w:szCs w:val="19"/>
        </w:rPr>
        <w:t>d</w:t>
      </w:r>
      <w:r w:rsidRPr="00CC4610">
        <w:rPr>
          <w:rFonts w:cs="Arial"/>
          <w:i w:val="0"/>
          <w:iCs/>
          <w:color w:val="000000"/>
          <w:sz w:val="19"/>
          <w:szCs w:val="19"/>
        </w:rPr>
        <w:t>ental, a</w:t>
      </w:r>
      <w:r w:rsidRPr="00CC4610">
        <w:rPr>
          <w:rFonts w:cs="Arial"/>
          <w:i w:val="0"/>
          <w:iCs/>
          <w:color w:val="000000"/>
          <w:spacing w:val="-1"/>
          <w:sz w:val="19"/>
          <w:szCs w:val="19"/>
        </w:rPr>
        <w:t>n</w:t>
      </w:r>
      <w:r w:rsidRPr="00CC4610">
        <w:rPr>
          <w:rFonts w:cs="Arial"/>
          <w:i w:val="0"/>
          <w:iCs/>
          <w:color w:val="000000"/>
          <w:sz w:val="19"/>
          <w:szCs w:val="19"/>
        </w:rPr>
        <w:t>d unlikely to offend or mat</w:t>
      </w:r>
      <w:r w:rsidRPr="00CC4610">
        <w:rPr>
          <w:rFonts w:cs="Arial"/>
          <w:i w:val="0"/>
          <w:iCs/>
          <w:color w:val="000000"/>
          <w:spacing w:val="-1"/>
          <w:sz w:val="19"/>
          <w:szCs w:val="19"/>
        </w:rPr>
        <w:t>e</w:t>
      </w:r>
      <w:r w:rsidRPr="00CC4610">
        <w:rPr>
          <w:rFonts w:cs="Arial"/>
          <w:i w:val="0"/>
          <w:iCs/>
          <w:color w:val="000000"/>
          <w:sz w:val="19"/>
          <w:szCs w:val="19"/>
        </w:rPr>
        <w:t>rially misl</w:t>
      </w:r>
      <w:r w:rsidRPr="00CC4610">
        <w:rPr>
          <w:rFonts w:cs="Arial"/>
          <w:i w:val="0"/>
          <w:iCs/>
          <w:color w:val="000000"/>
          <w:spacing w:val="-1"/>
          <w:sz w:val="19"/>
          <w:szCs w:val="19"/>
        </w:rPr>
        <w:t>e</w:t>
      </w:r>
      <w:r w:rsidRPr="00CC4610">
        <w:rPr>
          <w:rFonts w:cs="Arial"/>
          <w:i w:val="0"/>
          <w:iCs/>
          <w:color w:val="000000"/>
          <w:sz w:val="19"/>
          <w:szCs w:val="19"/>
        </w:rPr>
        <w:t>ad</w:t>
      </w:r>
      <w:r w:rsidRPr="00CC4610">
        <w:rPr>
          <w:rFonts w:cs="Arial"/>
          <w:i w:val="0"/>
          <w:iCs/>
          <w:color w:val="000000"/>
          <w:spacing w:val="-1"/>
          <w:sz w:val="19"/>
          <w:szCs w:val="19"/>
        </w:rPr>
        <w:t xml:space="preserve"> </w:t>
      </w:r>
      <w:r w:rsidRPr="00CC4610">
        <w:rPr>
          <w:rFonts w:cs="Arial"/>
          <w:i w:val="0"/>
          <w:iCs/>
          <w:color w:val="000000"/>
          <w:sz w:val="19"/>
          <w:szCs w:val="19"/>
        </w:rPr>
        <w:t>viewers.</w:t>
      </w:r>
    </w:p>
    <w:p w14:paraId="681BACDB" w14:textId="77777777" w:rsidR="000A436F" w:rsidRPr="00CC4610" w:rsidRDefault="000A436F" w:rsidP="00CC4610">
      <w:pPr>
        <w:widowControl w:val="0"/>
        <w:autoSpaceDE w:val="0"/>
        <w:autoSpaceDN w:val="0"/>
        <w:adjustRightInd w:val="0"/>
        <w:spacing w:after="0" w:line="240" w:lineRule="atLeast"/>
        <w:ind w:left="940" w:right="650"/>
        <w:rPr>
          <w:rFonts w:cs="Arial"/>
          <w:i w:val="0"/>
          <w:iCs/>
          <w:color w:val="000000"/>
          <w:sz w:val="19"/>
          <w:szCs w:val="19"/>
        </w:rPr>
      </w:pPr>
      <w:r w:rsidRPr="00CC4610">
        <w:rPr>
          <w:rFonts w:cs="Arial"/>
          <w:i w:val="0"/>
          <w:iCs/>
          <w:color w:val="000000"/>
          <w:sz w:val="19"/>
          <w:szCs w:val="19"/>
        </w:rPr>
        <w:t>Wh</w:t>
      </w:r>
      <w:r w:rsidRPr="00CC4610">
        <w:rPr>
          <w:rFonts w:cs="Arial"/>
          <w:i w:val="0"/>
          <w:iCs/>
          <w:color w:val="000000"/>
          <w:spacing w:val="-1"/>
          <w:sz w:val="19"/>
          <w:szCs w:val="19"/>
        </w:rPr>
        <w:t>e</w:t>
      </w:r>
      <w:r w:rsidRPr="00CC4610">
        <w:rPr>
          <w:rFonts w:cs="Arial"/>
          <w:i w:val="0"/>
          <w:iCs/>
          <w:color w:val="000000"/>
          <w:sz w:val="19"/>
          <w:szCs w:val="19"/>
        </w:rPr>
        <w:t>re it is p</w:t>
      </w:r>
      <w:r w:rsidRPr="00CC4610">
        <w:rPr>
          <w:rFonts w:cs="Arial"/>
          <w:i w:val="0"/>
          <w:iCs/>
          <w:color w:val="000000"/>
          <w:spacing w:val="-1"/>
          <w:sz w:val="19"/>
          <w:szCs w:val="19"/>
        </w:rPr>
        <w:t>o</w:t>
      </w:r>
      <w:r w:rsidRPr="00CC4610">
        <w:rPr>
          <w:rFonts w:cs="Arial"/>
          <w:i w:val="0"/>
          <w:iCs/>
          <w:color w:val="000000"/>
          <w:sz w:val="19"/>
          <w:szCs w:val="19"/>
        </w:rPr>
        <w:t>ss</w:t>
      </w:r>
      <w:r w:rsidRPr="00CC4610">
        <w:rPr>
          <w:rFonts w:cs="Arial"/>
          <w:i w:val="0"/>
          <w:iCs/>
          <w:color w:val="000000"/>
          <w:spacing w:val="-1"/>
          <w:sz w:val="19"/>
          <w:szCs w:val="19"/>
        </w:rPr>
        <w:t>i</w:t>
      </w:r>
      <w:r w:rsidRPr="00CC4610">
        <w:rPr>
          <w:rFonts w:cs="Arial"/>
          <w:i w:val="0"/>
          <w:iCs/>
          <w:color w:val="000000"/>
          <w:sz w:val="19"/>
          <w:szCs w:val="19"/>
        </w:rPr>
        <w:t>ble to re</w:t>
      </w:r>
      <w:r w:rsidRPr="00CC4610">
        <w:rPr>
          <w:rFonts w:cs="Arial"/>
          <w:i w:val="0"/>
          <w:iCs/>
          <w:color w:val="000000"/>
          <w:spacing w:val="-1"/>
          <w:sz w:val="19"/>
          <w:szCs w:val="19"/>
        </w:rPr>
        <w:t>m</w:t>
      </w:r>
      <w:r w:rsidRPr="00CC4610">
        <w:rPr>
          <w:rFonts w:cs="Arial"/>
          <w:i w:val="0"/>
          <w:iCs/>
          <w:color w:val="000000"/>
          <w:sz w:val="19"/>
          <w:szCs w:val="19"/>
        </w:rPr>
        <w:t>edy a failure to</w:t>
      </w:r>
      <w:r w:rsidRPr="00CC4610">
        <w:rPr>
          <w:rFonts w:cs="Arial"/>
          <w:i w:val="0"/>
          <w:iCs/>
          <w:color w:val="000000"/>
          <w:spacing w:val="2"/>
          <w:sz w:val="19"/>
          <w:szCs w:val="19"/>
        </w:rPr>
        <w:t xml:space="preserve"> </w:t>
      </w:r>
      <w:r w:rsidRPr="00CC4610">
        <w:rPr>
          <w:rFonts w:cs="Arial"/>
          <w:i w:val="0"/>
          <w:iCs/>
          <w:color w:val="000000"/>
          <w:sz w:val="19"/>
          <w:szCs w:val="19"/>
        </w:rPr>
        <w:t>comply</w:t>
      </w:r>
      <w:r w:rsidRPr="00CC4610">
        <w:rPr>
          <w:rFonts w:cs="Arial"/>
          <w:i w:val="0"/>
          <w:iCs/>
          <w:color w:val="000000"/>
          <w:spacing w:val="-1"/>
          <w:sz w:val="19"/>
          <w:szCs w:val="19"/>
        </w:rPr>
        <w:t xml:space="preserve"> </w:t>
      </w:r>
      <w:r w:rsidRPr="00CC4610">
        <w:rPr>
          <w:rFonts w:cs="Arial"/>
          <w:i w:val="0"/>
          <w:iCs/>
          <w:color w:val="000000"/>
          <w:sz w:val="19"/>
          <w:szCs w:val="19"/>
        </w:rPr>
        <w:t>with</w:t>
      </w:r>
      <w:r w:rsidRPr="00CC4610">
        <w:rPr>
          <w:rFonts w:cs="Arial"/>
          <w:i w:val="0"/>
          <w:iCs/>
          <w:color w:val="000000"/>
          <w:spacing w:val="-1"/>
          <w:sz w:val="19"/>
          <w:szCs w:val="19"/>
        </w:rPr>
        <w:t xml:space="preserve"> </w:t>
      </w:r>
      <w:r w:rsidRPr="00CC4610">
        <w:rPr>
          <w:rFonts w:cs="Arial"/>
          <w:i w:val="0"/>
          <w:iCs/>
          <w:color w:val="000000"/>
          <w:sz w:val="19"/>
          <w:szCs w:val="19"/>
        </w:rPr>
        <w:t>the Cod</w:t>
      </w:r>
      <w:r w:rsidRPr="00CC4610">
        <w:rPr>
          <w:rFonts w:cs="Arial"/>
          <w:i w:val="0"/>
          <w:iCs/>
          <w:color w:val="000000"/>
          <w:spacing w:val="-1"/>
          <w:sz w:val="19"/>
          <w:szCs w:val="19"/>
        </w:rPr>
        <w:t>e</w:t>
      </w:r>
      <w:r w:rsidRPr="00CC4610">
        <w:rPr>
          <w:rFonts w:cs="Arial"/>
          <w:i w:val="0"/>
          <w:iCs/>
          <w:color w:val="000000"/>
          <w:sz w:val="19"/>
          <w:szCs w:val="19"/>
        </w:rPr>
        <w:t>s,</w:t>
      </w:r>
      <w:r w:rsidRPr="00CC4610">
        <w:rPr>
          <w:rFonts w:cs="Arial"/>
          <w:i w:val="0"/>
          <w:iCs/>
          <w:color w:val="000000"/>
          <w:spacing w:val="-1"/>
          <w:sz w:val="19"/>
          <w:szCs w:val="19"/>
        </w:rPr>
        <w:t xml:space="preserve"> n</w:t>
      </w:r>
      <w:r w:rsidRPr="00CC4610">
        <w:rPr>
          <w:rFonts w:cs="Arial"/>
          <w:i w:val="0"/>
          <w:iCs/>
          <w:color w:val="000000"/>
          <w:sz w:val="19"/>
          <w:szCs w:val="19"/>
        </w:rPr>
        <w:t>ar</w:t>
      </w:r>
      <w:r w:rsidRPr="00CC4610">
        <w:rPr>
          <w:rFonts w:cs="Arial"/>
          <w:i w:val="0"/>
          <w:iCs/>
          <w:color w:val="000000"/>
          <w:spacing w:val="-1"/>
          <w:sz w:val="19"/>
          <w:szCs w:val="19"/>
        </w:rPr>
        <w:t>r</w:t>
      </w:r>
      <w:r w:rsidRPr="00CC4610">
        <w:rPr>
          <w:rFonts w:cs="Arial"/>
          <w:i w:val="0"/>
          <w:iCs/>
          <w:color w:val="000000"/>
          <w:sz w:val="19"/>
          <w:szCs w:val="19"/>
        </w:rPr>
        <w:t>o</w:t>
      </w:r>
      <w:r w:rsidRPr="00CC4610">
        <w:rPr>
          <w:rFonts w:cs="Arial"/>
          <w:i w:val="0"/>
          <w:iCs/>
          <w:color w:val="000000"/>
          <w:spacing w:val="-1"/>
          <w:sz w:val="19"/>
          <w:szCs w:val="19"/>
        </w:rPr>
        <w:t>w</w:t>
      </w:r>
      <w:r w:rsidRPr="00CC4610">
        <w:rPr>
          <w:rFonts w:cs="Arial"/>
          <w:i w:val="0"/>
          <w:iCs/>
          <w:color w:val="000000"/>
          <w:sz w:val="19"/>
          <w:szCs w:val="19"/>
        </w:rPr>
        <w:t>c</w:t>
      </w:r>
      <w:r w:rsidRPr="00CC4610">
        <w:rPr>
          <w:rFonts w:cs="Arial"/>
          <w:i w:val="0"/>
          <w:iCs/>
          <w:color w:val="000000"/>
          <w:spacing w:val="-1"/>
          <w:sz w:val="19"/>
          <w:szCs w:val="19"/>
        </w:rPr>
        <w:t>a</w:t>
      </w:r>
      <w:r w:rsidRPr="00CC4610">
        <w:rPr>
          <w:rFonts w:cs="Arial"/>
          <w:i w:val="0"/>
          <w:iCs/>
          <w:color w:val="000000"/>
          <w:sz w:val="19"/>
          <w:szCs w:val="19"/>
        </w:rPr>
        <w:t>ste</w:t>
      </w:r>
      <w:r w:rsidRPr="00CC4610">
        <w:rPr>
          <w:rFonts w:cs="Arial"/>
          <w:i w:val="0"/>
          <w:iCs/>
          <w:color w:val="000000"/>
          <w:spacing w:val="-1"/>
          <w:sz w:val="19"/>
          <w:szCs w:val="19"/>
        </w:rPr>
        <w:t>r</w:t>
      </w:r>
      <w:r w:rsidRPr="00CC4610">
        <w:rPr>
          <w:rFonts w:cs="Arial"/>
          <w:i w:val="0"/>
          <w:iCs/>
          <w:color w:val="000000"/>
          <w:sz w:val="19"/>
          <w:szCs w:val="19"/>
        </w:rPr>
        <w:t>s</w:t>
      </w:r>
      <w:r w:rsidRPr="00CC4610">
        <w:rPr>
          <w:rFonts w:cs="Arial"/>
          <w:i w:val="0"/>
          <w:iCs/>
          <w:color w:val="000000"/>
          <w:spacing w:val="-1"/>
          <w:sz w:val="19"/>
          <w:szCs w:val="19"/>
        </w:rPr>
        <w:t xml:space="preserve"> </w:t>
      </w:r>
      <w:r w:rsidRPr="00CC4610">
        <w:rPr>
          <w:rFonts w:cs="Arial"/>
          <w:i w:val="0"/>
          <w:iCs/>
          <w:color w:val="000000"/>
          <w:sz w:val="19"/>
          <w:szCs w:val="19"/>
        </w:rPr>
        <w:t xml:space="preserve">must do so </w:t>
      </w:r>
      <w:r w:rsidRPr="00CC4610">
        <w:rPr>
          <w:rFonts w:cs="Arial"/>
          <w:i w:val="0"/>
          <w:iCs/>
          <w:color w:val="000000"/>
          <w:spacing w:val="-1"/>
          <w:sz w:val="19"/>
          <w:szCs w:val="19"/>
        </w:rPr>
        <w:t>p</w:t>
      </w:r>
      <w:r w:rsidRPr="00CC4610">
        <w:rPr>
          <w:rFonts w:cs="Arial"/>
          <w:i w:val="0"/>
          <w:iCs/>
          <w:color w:val="000000"/>
          <w:sz w:val="19"/>
          <w:szCs w:val="19"/>
        </w:rPr>
        <w:t>ro</w:t>
      </w:r>
      <w:r w:rsidRPr="00CC4610">
        <w:rPr>
          <w:rFonts w:cs="Arial"/>
          <w:i w:val="0"/>
          <w:iCs/>
          <w:color w:val="000000"/>
          <w:spacing w:val="-1"/>
          <w:sz w:val="19"/>
          <w:szCs w:val="19"/>
        </w:rPr>
        <w:t>m</w:t>
      </w:r>
      <w:r w:rsidRPr="00CC4610">
        <w:rPr>
          <w:rFonts w:cs="Arial"/>
          <w:i w:val="0"/>
          <w:iCs/>
          <w:color w:val="000000"/>
          <w:sz w:val="19"/>
          <w:szCs w:val="19"/>
        </w:rPr>
        <w:t>ptly.</w:t>
      </w:r>
    </w:p>
    <w:p w14:paraId="441E4AF5" w14:textId="14DD1478" w:rsidR="000A436F" w:rsidRPr="00CC4610" w:rsidRDefault="000A436F" w:rsidP="00CC4610">
      <w:pPr>
        <w:widowControl w:val="0"/>
        <w:tabs>
          <w:tab w:val="left" w:pos="940"/>
        </w:tabs>
        <w:autoSpaceDE w:val="0"/>
        <w:autoSpaceDN w:val="0"/>
        <w:adjustRightInd w:val="0"/>
        <w:spacing w:after="0" w:line="240" w:lineRule="atLeast"/>
        <w:ind w:left="940" w:right="553" w:hanging="817"/>
        <w:rPr>
          <w:rFonts w:cs="Arial"/>
          <w:i w:val="0"/>
          <w:iCs/>
          <w:color w:val="000000"/>
          <w:sz w:val="19"/>
          <w:szCs w:val="19"/>
        </w:rPr>
      </w:pPr>
    </w:p>
    <w:p w14:paraId="584FA85A" w14:textId="77777777" w:rsidR="000A436F" w:rsidRPr="00CC4610" w:rsidRDefault="000A436F" w:rsidP="00CC4610">
      <w:pPr>
        <w:pStyle w:val="ACMABodyText0"/>
        <w:spacing w:before="240" w:after="240" w:line="240" w:lineRule="atLeast"/>
        <w:rPr>
          <w:rFonts w:ascii="Arial" w:hAnsi="Arial" w:cs="Arial"/>
          <w:b/>
          <w:bCs/>
          <w:sz w:val="19"/>
          <w:szCs w:val="19"/>
        </w:rPr>
      </w:pPr>
      <w:r w:rsidRPr="00CC4610">
        <w:rPr>
          <w:rFonts w:ascii="Arial" w:hAnsi="Arial" w:cs="Arial"/>
          <w:b/>
          <w:bCs/>
          <w:sz w:val="19"/>
          <w:szCs w:val="19"/>
        </w:rPr>
        <w:t>Extracts from Subscription Broadcast Television Codes of Practice 2013</w:t>
      </w:r>
    </w:p>
    <w:p w14:paraId="5CAA212D" w14:textId="77777777" w:rsidR="000A436F" w:rsidRPr="00CC4610" w:rsidRDefault="000A436F" w:rsidP="00CC4610">
      <w:pPr>
        <w:pStyle w:val="ACMABodyText0"/>
        <w:spacing w:line="240" w:lineRule="atLeast"/>
        <w:rPr>
          <w:rFonts w:ascii="Arial" w:hAnsi="Arial" w:cs="Arial"/>
          <w:sz w:val="19"/>
          <w:szCs w:val="19"/>
          <w:lang w:val="en-US"/>
        </w:rPr>
      </w:pPr>
      <w:r w:rsidRPr="00CC4610">
        <w:rPr>
          <w:rFonts w:ascii="Arial" w:hAnsi="Arial" w:cs="Arial"/>
          <w:sz w:val="19"/>
          <w:szCs w:val="19"/>
          <w:lang w:val="en-US"/>
        </w:rPr>
        <w:t>2.2 News and Current Affairs Programs</w:t>
      </w:r>
    </w:p>
    <w:p w14:paraId="05C7B5DD" w14:textId="77777777" w:rsidR="000A436F" w:rsidRPr="00CC4610" w:rsidRDefault="000A436F" w:rsidP="00CC4610">
      <w:pPr>
        <w:pStyle w:val="ACMABodyText0"/>
        <w:spacing w:line="240" w:lineRule="atLeast"/>
        <w:ind w:left="720"/>
        <w:rPr>
          <w:rFonts w:ascii="Arial" w:hAnsi="Arial" w:cs="Arial"/>
          <w:sz w:val="19"/>
          <w:szCs w:val="19"/>
          <w:lang w:val="en-US"/>
        </w:rPr>
      </w:pPr>
      <w:r w:rsidRPr="00CC4610">
        <w:rPr>
          <w:rFonts w:ascii="Arial" w:hAnsi="Arial" w:cs="Arial"/>
          <w:sz w:val="19"/>
          <w:szCs w:val="19"/>
          <w:lang w:val="en-US"/>
        </w:rPr>
        <w:t>(a) News and current affairs programs, including news updates, broadcast by Licensees must:</w:t>
      </w:r>
    </w:p>
    <w:p w14:paraId="599882BA" w14:textId="77777777" w:rsidR="000A436F" w:rsidRPr="00CC4610" w:rsidRDefault="000A436F" w:rsidP="00CC4610">
      <w:pPr>
        <w:pStyle w:val="ACMABodyText0"/>
        <w:spacing w:line="240" w:lineRule="atLeast"/>
        <w:ind w:left="720" w:firstLine="720"/>
        <w:rPr>
          <w:rFonts w:ascii="Arial" w:hAnsi="Arial" w:cs="Arial"/>
          <w:sz w:val="19"/>
          <w:szCs w:val="19"/>
          <w:lang w:val="en-US"/>
        </w:rPr>
      </w:pPr>
      <w:r w:rsidRPr="00CC4610">
        <w:rPr>
          <w:rFonts w:ascii="Arial" w:hAnsi="Arial" w:cs="Arial"/>
          <w:sz w:val="19"/>
          <w:szCs w:val="19"/>
          <w:lang w:val="en-US"/>
        </w:rPr>
        <w:t>(i) present news accurately, fairly and impartially;</w:t>
      </w:r>
    </w:p>
    <w:p w14:paraId="4ADBF030" w14:textId="77777777" w:rsidR="000A436F" w:rsidRPr="00CC4610" w:rsidRDefault="000A436F" w:rsidP="00CC4610">
      <w:pPr>
        <w:pStyle w:val="ACMABodyText0"/>
        <w:spacing w:line="240" w:lineRule="atLeast"/>
        <w:ind w:left="1440"/>
        <w:rPr>
          <w:rFonts w:ascii="Arial" w:hAnsi="Arial" w:cs="Arial"/>
          <w:sz w:val="19"/>
          <w:szCs w:val="19"/>
          <w:lang w:val="en-US"/>
        </w:rPr>
      </w:pPr>
      <w:r w:rsidRPr="00CC4610">
        <w:rPr>
          <w:rFonts w:ascii="Arial" w:hAnsi="Arial" w:cs="Arial"/>
          <w:sz w:val="19"/>
          <w:szCs w:val="19"/>
          <w:lang w:val="en-US"/>
        </w:rPr>
        <w:t>(ii) clearly distinguish the reporting of factual material from commentary, analysis or simulations;</w:t>
      </w:r>
    </w:p>
    <w:p w14:paraId="729A3A60" w14:textId="77777777" w:rsidR="000A436F" w:rsidRPr="00CC4610" w:rsidRDefault="000A436F" w:rsidP="00CC4610">
      <w:pPr>
        <w:pStyle w:val="ACMABodyText0"/>
        <w:spacing w:line="240" w:lineRule="atLeast"/>
        <w:ind w:left="1440"/>
        <w:rPr>
          <w:rFonts w:ascii="Arial" w:hAnsi="Arial" w:cs="Arial"/>
          <w:sz w:val="19"/>
          <w:szCs w:val="19"/>
          <w:lang w:val="en-US"/>
        </w:rPr>
      </w:pPr>
      <w:r w:rsidRPr="00CC4610">
        <w:rPr>
          <w:rFonts w:ascii="Arial" w:hAnsi="Arial" w:cs="Arial"/>
          <w:sz w:val="19"/>
          <w:szCs w:val="19"/>
          <w:lang w:val="en-US"/>
        </w:rPr>
        <w:t>(iii) not simulate news or events in a way that misleads or alarms the audience.</w:t>
      </w:r>
    </w:p>
    <w:p w14:paraId="21BE6605" w14:textId="77777777" w:rsidR="000A436F" w:rsidRPr="00CC4610" w:rsidRDefault="000A436F" w:rsidP="00CC4610">
      <w:pPr>
        <w:pStyle w:val="ACMABodyText0"/>
        <w:spacing w:line="240" w:lineRule="atLeast"/>
        <w:ind w:left="720"/>
        <w:rPr>
          <w:rFonts w:ascii="Arial" w:hAnsi="Arial" w:cs="Arial"/>
          <w:sz w:val="19"/>
          <w:szCs w:val="19"/>
          <w:lang w:val="en-US"/>
        </w:rPr>
      </w:pPr>
      <w:r w:rsidRPr="00CC4610">
        <w:rPr>
          <w:rFonts w:ascii="Arial" w:hAnsi="Arial" w:cs="Arial"/>
          <w:sz w:val="19"/>
          <w:szCs w:val="19"/>
          <w:lang w:val="en-US"/>
        </w:rPr>
        <w:t>(b) In broadcasting news and current affairs programs to the extent practicable Licensees:</w:t>
      </w:r>
    </w:p>
    <w:p w14:paraId="205C8C16" w14:textId="77777777" w:rsidR="000A436F" w:rsidRPr="00CC4610" w:rsidRDefault="000A436F" w:rsidP="00CC4610">
      <w:pPr>
        <w:pStyle w:val="ACMABodyText0"/>
        <w:spacing w:line="240" w:lineRule="atLeast"/>
        <w:ind w:left="720" w:firstLine="720"/>
        <w:rPr>
          <w:rFonts w:ascii="Arial" w:hAnsi="Arial" w:cs="Arial"/>
          <w:sz w:val="19"/>
          <w:szCs w:val="19"/>
          <w:lang w:val="en-US"/>
        </w:rPr>
      </w:pPr>
      <w:r w:rsidRPr="00CC4610">
        <w:rPr>
          <w:rFonts w:ascii="Arial" w:hAnsi="Arial" w:cs="Arial"/>
          <w:sz w:val="19"/>
          <w:szCs w:val="19"/>
          <w:lang w:val="en-US"/>
        </w:rPr>
        <w:lastRenderedPageBreak/>
        <w:t>(i) must not present material in a manner which creates public panic;</w:t>
      </w:r>
    </w:p>
    <w:p w14:paraId="1976D94C" w14:textId="77777777" w:rsidR="000A436F" w:rsidRPr="00CC4610" w:rsidRDefault="000A436F" w:rsidP="00CC4610">
      <w:pPr>
        <w:pStyle w:val="ACMABodyText0"/>
        <w:spacing w:line="240" w:lineRule="atLeast"/>
        <w:ind w:left="1440"/>
        <w:rPr>
          <w:rFonts w:ascii="Arial" w:hAnsi="Arial" w:cs="Arial"/>
          <w:sz w:val="19"/>
          <w:szCs w:val="19"/>
          <w:lang w:val="en-US"/>
        </w:rPr>
      </w:pPr>
      <w:r w:rsidRPr="00CC4610">
        <w:rPr>
          <w:rFonts w:ascii="Arial" w:hAnsi="Arial" w:cs="Arial"/>
          <w:sz w:val="19"/>
          <w:szCs w:val="19"/>
          <w:lang w:val="en-US"/>
        </w:rPr>
        <w:t>(ii) must include only sparingly material likely to cause some distress to a substantial number of viewers;</w:t>
      </w:r>
    </w:p>
    <w:p w14:paraId="7F7B0003" w14:textId="77777777" w:rsidR="000A436F" w:rsidRPr="00CC4610" w:rsidRDefault="000A436F" w:rsidP="00CC4610">
      <w:pPr>
        <w:pStyle w:val="ACMABodyText0"/>
        <w:spacing w:line="240" w:lineRule="atLeast"/>
        <w:ind w:left="1440"/>
        <w:rPr>
          <w:rFonts w:ascii="Arial" w:hAnsi="Arial" w:cs="Arial"/>
          <w:sz w:val="19"/>
          <w:szCs w:val="19"/>
          <w:lang w:val="en-US"/>
        </w:rPr>
      </w:pPr>
      <w:r w:rsidRPr="00CC4610">
        <w:rPr>
          <w:rFonts w:ascii="Arial" w:hAnsi="Arial" w:cs="Arial"/>
          <w:sz w:val="19"/>
          <w:szCs w:val="19"/>
          <w:lang w:val="en-US"/>
        </w:rPr>
        <w:t>(iii) must exercise sensitivity in broadcasting images of, or interviews with, bereaved relatives and survivors or witnesses of traumatic incidents;</w:t>
      </w:r>
    </w:p>
    <w:p w14:paraId="2CBC7744" w14:textId="77777777" w:rsidR="000A436F" w:rsidRPr="00CC4610" w:rsidRDefault="000A436F" w:rsidP="00CC4610">
      <w:pPr>
        <w:pStyle w:val="ACMABodyText0"/>
        <w:spacing w:line="240" w:lineRule="atLeast"/>
        <w:ind w:left="1440"/>
        <w:rPr>
          <w:rFonts w:ascii="Arial" w:hAnsi="Arial" w:cs="Arial"/>
          <w:sz w:val="19"/>
          <w:szCs w:val="19"/>
          <w:lang w:val="en-US"/>
        </w:rPr>
      </w:pPr>
      <w:r w:rsidRPr="00CC4610">
        <w:rPr>
          <w:rFonts w:ascii="Arial" w:hAnsi="Arial" w:cs="Arial"/>
          <w:sz w:val="19"/>
          <w:szCs w:val="19"/>
          <w:lang w:val="en-US"/>
        </w:rPr>
        <w:t>(iv) will take all reasonable efforts to provide warnings when there are identifiable public interest reasons for broadcasting material which may seriously distress or seriously offend a substantial number of viewers;</w:t>
      </w:r>
    </w:p>
    <w:p w14:paraId="55382F10" w14:textId="77777777" w:rsidR="000A436F" w:rsidRPr="00CC4610" w:rsidRDefault="000A436F" w:rsidP="00CC4610">
      <w:pPr>
        <w:pStyle w:val="ACMABodyText0"/>
        <w:spacing w:line="240" w:lineRule="atLeast"/>
        <w:ind w:left="1440"/>
        <w:rPr>
          <w:rFonts w:ascii="Arial" w:hAnsi="Arial" w:cs="Arial"/>
          <w:sz w:val="19"/>
          <w:szCs w:val="19"/>
          <w:lang w:val="en-US"/>
        </w:rPr>
      </w:pPr>
      <w:r w:rsidRPr="00CC4610">
        <w:rPr>
          <w:rFonts w:ascii="Arial" w:hAnsi="Arial" w:cs="Arial"/>
          <w:sz w:val="19"/>
          <w:szCs w:val="19"/>
          <w:lang w:val="en-US"/>
        </w:rPr>
        <w:t>(v) will only broadcast reports of suicide or attempted suicide where there is an identifiable public interest to do so and will exclude any detailed description of the method used and any graphic details and will not glamourise suicide in any way; and</w:t>
      </w:r>
    </w:p>
    <w:p w14:paraId="67725DF7" w14:textId="77777777" w:rsidR="000A436F" w:rsidRPr="00CC4610" w:rsidRDefault="000A436F" w:rsidP="00CC4610">
      <w:pPr>
        <w:pStyle w:val="ACMABodyText0"/>
        <w:spacing w:line="240" w:lineRule="atLeast"/>
        <w:ind w:left="1440"/>
        <w:rPr>
          <w:rFonts w:ascii="Arial" w:hAnsi="Arial" w:cs="Arial"/>
          <w:sz w:val="19"/>
          <w:szCs w:val="19"/>
          <w:lang w:val="en-US"/>
        </w:rPr>
      </w:pPr>
      <w:r w:rsidRPr="00CC4610">
        <w:rPr>
          <w:rFonts w:ascii="Arial" w:hAnsi="Arial" w:cs="Arial"/>
          <w:sz w:val="19"/>
          <w:szCs w:val="19"/>
          <w:lang w:val="en-US"/>
        </w:rPr>
        <w:t>(vi) will make reasonable efforts to correct significant errors of fact at the earliest opportunity.</w:t>
      </w:r>
    </w:p>
    <w:p w14:paraId="6EBE327C" w14:textId="77777777" w:rsidR="000A436F" w:rsidRPr="00CC4610" w:rsidRDefault="000A436F" w:rsidP="00CC4610">
      <w:pPr>
        <w:pStyle w:val="ACMABodyText0"/>
        <w:spacing w:after="0" w:line="240" w:lineRule="atLeast"/>
        <w:rPr>
          <w:rFonts w:ascii="Arial" w:hAnsi="Arial" w:cs="Arial"/>
          <w:sz w:val="19"/>
          <w:szCs w:val="19"/>
          <w:lang w:val="en-US"/>
        </w:rPr>
      </w:pPr>
      <w:r w:rsidRPr="00CC4610">
        <w:rPr>
          <w:rFonts w:ascii="Arial" w:hAnsi="Arial" w:cs="Arial"/>
          <w:sz w:val="19"/>
          <w:szCs w:val="19"/>
          <w:lang w:val="en-US"/>
        </w:rPr>
        <w:t>[…]</w:t>
      </w:r>
    </w:p>
    <w:p w14:paraId="11A39F7C" w14:textId="77777777" w:rsidR="000A436F" w:rsidRPr="00CC4610" w:rsidRDefault="000A436F" w:rsidP="00CC4610">
      <w:pPr>
        <w:pStyle w:val="ACMABodyText0"/>
        <w:spacing w:after="0" w:line="240" w:lineRule="atLeast"/>
        <w:rPr>
          <w:rFonts w:ascii="Arial" w:hAnsi="Arial" w:cs="Arial"/>
          <w:sz w:val="19"/>
          <w:szCs w:val="19"/>
          <w:lang w:val="en-US"/>
        </w:rPr>
      </w:pPr>
    </w:p>
    <w:p w14:paraId="4D2A02D5" w14:textId="427E7110" w:rsidR="000A436F" w:rsidRDefault="000A436F" w:rsidP="00CC4610">
      <w:pPr>
        <w:pStyle w:val="ACMABodyText0"/>
        <w:spacing w:after="0" w:line="240" w:lineRule="atLeast"/>
        <w:rPr>
          <w:rFonts w:ascii="Arial" w:hAnsi="Arial" w:cs="Arial"/>
          <w:sz w:val="19"/>
          <w:szCs w:val="19"/>
        </w:rPr>
      </w:pPr>
      <w:r w:rsidRPr="00CC4610">
        <w:rPr>
          <w:rFonts w:ascii="Arial" w:hAnsi="Arial" w:cs="Arial"/>
          <w:b/>
          <w:bCs/>
          <w:sz w:val="19"/>
          <w:szCs w:val="19"/>
        </w:rPr>
        <w:t>"news and current affairs programs"</w:t>
      </w:r>
      <w:r w:rsidRPr="00CC4610">
        <w:rPr>
          <w:rFonts w:ascii="Arial" w:hAnsi="Arial" w:cs="Arial"/>
          <w:sz w:val="19"/>
          <w:szCs w:val="19"/>
        </w:rPr>
        <w:t xml:space="preserve"> means programs which report on current or recent happenings and include short bulletins, filmed coverage of international, national and local events, report on weather and essential services.</w:t>
      </w:r>
    </w:p>
    <w:p w14:paraId="1725A8C9" w14:textId="77777777" w:rsidR="006A02B1" w:rsidRPr="00D86A14" w:rsidRDefault="006A02B1" w:rsidP="001164DF">
      <w:pPr>
        <w:pStyle w:val="ACMAHeading2"/>
        <w:pageBreakBefore/>
        <w:jc w:val="right"/>
      </w:pPr>
      <w:r w:rsidRPr="00D86A14">
        <w:lastRenderedPageBreak/>
        <w:t>Attachment D</w:t>
      </w:r>
    </w:p>
    <w:p w14:paraId="1AC8F28D" w14:textId="77777777" w:rsidR="006A02B1" w:rsidRPr="00D86A14" w:rsidRDefault="00E71217" w:rsidP="006A02B1">
      <w:pPr>
        <w:pStyle w:val="ACMABodyTextBold"/>
      </w:pPr>
      <w:r>
        <w:t>ACMA considerations for determining factual content:</w:t>
      </w:r>
    </w:p>
    <w:p w14:paraId="2A0DC24C" w14:textId="77777777" w:rsidR="006A02B1" w:rsidRPr="00D86A14" w:rsidRDefault="006A02B1" w:rsidP="006A02B1">
      <w:pPr>
        <w:pStyle w:val="ACMABulletLevel1"/>
      </w:pPr>
      <w:r w:rsidRPr="00D86A14">
        <w:t xml:space="preserve">In practice, distinguishing between factual material and other material, such as opinion, can be a matter of fine judgement. </w:t>
      </w:r>
    </w:p>
    <w:p w14:paraId="6CE3A47D" w14:textId="77777777" w:rsidR="006A02B1" w:rsidRPr="00D86A14" w:rsidRDefault="006A02B1" w:rsidP="006A02B1">
      <w:pPr>
        <w:pStyle w:val="ACMABulletLevel1"/>
      </w:pPr>
      <w:r w:rsidRPr="00D86A14">
        <w:t xml:space="preserve">The ACMA will have regard to all contextual indications (including subject, language, tenor and tone and inferences that may be drawn) in making its assessment. </w:t>
      </w:r>
    </w:p>
    <w:p w14:paraId="742A492A" w14:textId="77777777" w:rsidR="006A02B1" w:rsidRPr="00D86A14" w:rsidRDefault="006A02B1" w:rsidP="006A02B1">
      <w:pPr>
        <w:pStyle w:val="ACMABulletLevel1"/>
      </w:pPr>
      <w:r w:rsidRPr="00D86A14">
        <w:t>The ACMA will first look to the natural and ordinary meaning of the language used.</w:t>
      </w:r>
    </w:p>
    <w:p w14:paraId="1545D6E8" w14:textId="77777777" w:rsidR="006A02B1" w:rsidRPr="00D86A14" w:rsidRDefault="006A02B1" w:rsidP="006A02B1">
      <w:pPr>
        <w:pStyle w:val="ACMABulletLevel1"/>
      </w:pPr>
      <w:r w:rsidRPr="00D86A14">
        <w:t xml:space="preserve">Factual material will usually be specific, unequivocal and capable of independent verification. </w:t>
      </w:r>
    </w:p>
    <w:p w14:paraId="3352457E" w14:textId="77777777" w:rsidR="006A02B1" w:rsidRPr="00D86A14" w:rsidRDefault="006A02B1" w:rsidP="006A02B1">
      <w:pPr>
        <w:pStyle w:val="ACMABulletLevel1"/>
      </w:pPr>
      <w:r w:rsidRPr="00D86A14">
        <w:t>The use of language such as ‘it seems to me’ or ‘we consider/think/believe’ will tend to indicate that the content is contestable and presented as an expression of opinion or personal judgement. However, a common sense judgement is required and the form of words introducing the relevant content is not conclusive.</w:t>
      </w:r>
    </w:p>
    <w:p w14:paraId="7640C9FD" w14:textId="77777777" w:rsidR="006A02B1" w:rsidRPr="00D86A14" w:rsidRDefault="006A02B1" w:rsidP="006A02B1">
      <w:pPr>
        <w:pStyle w:val="ACMABulletLevel1"/>
      </w:pPr>
      <w:r w:rsidRPr="00D86A14">
        <w:t xml:space="preserve">Statements in the nature of predictions as to future events will rarely be characterised as factual material. </w:t>
      </w:r>
    </w:p>
    <w:p w14:paraId="2E91D93C" w14:textId="77777777" w:rsidR="006A02B1" w:rsidRPr="00D86A14" w:rsidRDefault="006A02B1" w:rsidP="006A02B1">
      <w:pPr>
        <w:pStyle w:val="ACMABulletLevel1"/>
      </w:pPr>
      <w:r w:rsidRPr="00D86A14">
        <w:t xml:space="preserve">Statements containing </w:t>
      </w:r>
      <w:r w:rsidR="00C65EB0">
        <w:t xml:space="preserve">argumentative and exaggerated </w:t>
      </w:r>
      <w:r w:rsidR="003169B0">
        <w:t xml:space="preserve">language </w:t>
      </w:r>
      <w:r w:rsidR="00C65EB0">
        <w:t>or hyperbole will usually indicate a subjective opinion and will rarely</w:t>
      </w:r>
      <w:r w:rsidRPr="00D86A14">
        <w:t xml:space="preserve"> be characterised as factual material.</w:t>
      </w:r>
    </w:p>
    <w:p w14:paraId="2C47A30C" w14:textId="77777777" w:rsidR="006A02B1" w:rsidRPr="00D86A14" w:rsidRDefault="006A02B1" w:rsidP="006A02B1">
      <w:pPr>
        <w:pStyle w:val="ACMABulletLevel1"/>
      </w:pPr>
      <w:r w:rsidRPr="00D86A14">
        <w:t xml:space="preserve">The identity of the person making a statement (whether as interviewer or interviewee) will often be relevant but not determinative of whether a statement is factual material. </w:t>
      </w:r>
    </w:p>
    <w:p w14:paraId="5346CB71" w14:textId="77777777" w:rsidR="006A02B1" w:rsidRPr="00D86A14" w:rsidRDefault="006A02B1" w:rsidP="006A02B1">
      <w:pPr>
        <w:pStyle w:val="ACMABulletLevel1"/>
      </w:pPr>
      <w:r w:rsidRPr="00D86A14">
        <w:t>Where it is clear in the broadcast that an interviewee’s account is subjective and contestable, and it is not endorsed or corroborated, their allegations will not be considered as factual assertions.</w:t>
      </w:r>
    </w:p>
    <w:p w14:paraId="5DF77DD9" w14:textId="77777777" w:rsidR="006A02B1" w:rsidRPr="00D86A14" w:rsidRDefault="006A02B1" w:rsidP="006A02B1">
      <w:pPr>
        <w:pStyle w:val="ACMABulletLevel1"/>
      </w:pPr>
      <w:r w:rsidRPr="00D86A14">
        <w:t>Where an interviewee’s stance is separately asserted or reinforced by the reporter or presenter, or proof of an allegation is offered so that it becomes the foundation on which a program or a critical element of the program is built, it may be considered a factual assertion.</w:t>
      </w:r>
      <w:r w:rsidRPr="00D86A14">
        <w:rPr>
          <w:rStyle w:val="FootnoteReference"/>
          <w:rFonts w:cs="Arial"/>
        </w:rPr>
        <w:footnoteReference w:id="58"/>
      </w:r>
      <w:r w:rsidRPr="00D86A14">
        <w:t xml:space="preserve"> </w:t>
      </w:r>
    </w:p>
    <w:p w14:paraId="7AA3D8D4" w14:textId="77777777" w:rsidR="006A02B1" w:rsidRPr="00D86A14" w:rsidRDefault="006A02B1" w:rsidP="006A02B1">
      <w:pPr>
        <w:pStyle w:val="ACMABulletLevel1"/>
      </w:pPr>
      <w:r w:rsidRPr="00D86A14">
        <w:t>Sources with expertise may be relied on more heavily than those without, in determining whether material is factual, but this will depend on:</w:t>
      </w:r>
    </w:p>
    <w:p w14:paraId="7AC2258A" w14:textId="77777777" w:rsidR="006A02B1" w:rsidRPr="00D86A14" w:rsidRDefault="006A02B1" w:rsidP="006A02B1">
      <w:pPr>
        <w:pStyle w:val="ACMABulletLevel2"/>
      </w:pPr>
      <w:r w:rsidRPr="00D86A14">
        <w:t>whether the statements are merely corroborative of ‘lay’ accou</w:t>
      </w:r>
      <w:r w:rsidR="00EF7A2A">
        <w:t>nts given by other interviewees</w:t>
      </w:r>
      <w:r w:rsidRPr="00D86A14">
        <w:t xml:space="preserve"> </w:t>
      </w:r>
    </w:p>
    <w:p w14:paraId="052707F6" w14:textId="77777777" w:rsidR="006A02B1" w:rsidRPr="00D86A14" w:rsidRDefault="006A02B1" w:rsidP="006A02B1">
      <w:pPr>
        <w:pStyle w:val="ACMABulletLevel2"/>
      </w:pPr>
      <w:r w:rsidRPr="00D86A14">
        <w:t>th</w:t>
      </w:r>
      <w:r w:rsidR="00EF7A2A">
        <w:t>e qualifications of the expert</w:t>
      </w:r>
    </w:p>
    <w:p w14:paraId="45692057" w14:textId="77777777" w:rsidR="006A02B1" w:rsidRPr="00D86A14" w:rsidRDefault="006A02B1" w:rsidP="006A02B1">
      <w:pPr>
        <w:pStyle w:val="ACMABulletLevel2"/>
      </w:pPr>
      <w:r w:rsidRPr="00D86A14">
        <w:t>whether their stat</w:t>
      </w:r>
      <w:r w:rsidR="00EF7A2A">
        <w:t>ements are described as opinion</w:t>
      </w:r>
      <w:r w:rsidRPr="00D86A14">
        <w:t xml:space="preserve"> </w:t>
      </w:r>
    </w:p>
    <w:p w14:paraId="6D0A7761" w14:textId="77777777" w:rsidR="006A02B1" w:rsidRPr="00D86A14" w:rsidRDefault="006A02B1" w:rsidP="006A02B1">
      <w:pPr>
        <w:pStyle w:val="ACMABulletLevel2"/>
      </w:pPr>
      <w:r w:rsidRPr="00D86A14">
        <w:t>whether their statements concern past or future events</w:t>
      </w:r>
      <w:r w:rsidRPr="00D86A14">
        <w:rPr>
          <w:rStyle w:val="FootnoteReference"/>
        </w:rPr>
        <w:footnoteReference w:id="59"/>
      </w:r>
      <w:r w:rsidRPr="00D86A14">
        <w:t xml:space="preserve"> </w:t>
      </w:r>
    </w:p>
    <w:p w14:paraId="4592B2E8" w14:textId="68F49BFC" w:rsidR="00934ECC" w:rsidRDefault="006A02B1" w:rsidP="006877FC">
      <w:pPr>
        <w:pStyle w:val="ACMABulletLevel2"/>
      </w:pPr>
      <w:r w:rsidRPr="00D86A14">
        <w:t>whether they are simply comments made on another person’s account of events or a separate assertion about matters within their expertise.</w:t>
      </w:r>
      <w:r w:rsidR="006877FC">
        <w:t xml:space="preserve"> </w:t>
      </w:r>
    </w:p>
    <w:sectPr w:rsidR="00934ECC" w:rsidSect="00660069">
      <w:footnotePr>
        <w:numRestart w:val="eachSect"/>
      </w:footnotePr>
      <w:type w:val="continuous"/>
      <w:pgSz w:w="11909" w:h="16834" w:code="9"/>
      <w:pgMar w:top="1741" w:right="1797" w:bottom="1418" w:left="1797" w:header="709" w:footer="454"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7C61DF" w14:textId="77777777" w:rsidR="009B70CF" w:rsidRDefault="009B70CF">
      <w:r>
        <w:separator/>
      </w:r>
    </w:p>
  </w:endnote>
  <w:endnote w:type="continuationSeparator" w:id="0">
    <w:p w14:paraId="2E8A0C29" w14:textId="77777777" w:rsidR="009B70CF" w:rsidRDefault="009B70CF">
      <w:r>
        <w:continuationSeparator/>
      </w:r>
    </w:p>
  </w:endnote>
  <w:endnote w:type="continuationNotice" w:id="1">
    <w:p w14:paraId="29B84A5A" w14:textId="77777777" w:rsidR="009B70CF" w:rsidRDefault="009B70CF">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BC Sans Nova">
    <w:altName w:val="Calibri"/>
    <w:charset w:val="00"/>
    <w:family w:val="auto"/>
    <w:pitch w:val="default"/>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C094C" w14:textId="54A427B5" w:rsidR="0061569D" w:rsidRDefault="0061569D">
    <w:pPr>
      <w:framePr w:wrap="around" w:vAnchor="text" w:hAnchor="margin" w:xAlign="right" w:y="1"/>
    </w:pPr>
    <w:r>
      <w:fldChar w:fldCharType="begin"/>
    </w:r>
    <w:r>
      <w:instrText xml:space="preserve">PAGE  </w:instrText>
    </w:r>
    <w:r>
      <w:fldChar w:fldCharType="separate"/>
    </w:r>
    <w:r w:rsidR="00193967">
      <w:rPr>
        <w:noProof/>
      </w:rPr>
      <w:t>2</w:t>
    </w:r>
    <w:r>
      <w:fldChar w:fldCharType="end"/>
    </w:r>
  </w:p>
  <w:p w14:paraId="5F2D84C5" w14:textId="77777777" w:rsidR="0061569D" w:rsidRDefault="0061569D">
    <w:pPr>
      <w:ind w:right="360"/>
    </w:pPr>
  </w:p>
  <w:p w14:paraId="52F2CB1D" w14:textId="77777777" w:rsidR="00E723D6" w:rsidRDefault="00E723D6"/>
  <w:p w14:paraId="72C6FF4F" w14:textId="77777777" w:rsidR="00E723D6" w:rsidRDefault="00E723D6"/>
  <w:p w14:paraId="6372C031" w14:textId="77777777" w:rsidR="00E723D6" w:rsidRDefault="00E723D6"/>
  <w:p w14:paraId="12B5B35A" w14:textId="77777777" w:rsidR="00E723D6" w:rsidRDefault="00E723D6"/>
  <w:p w14:paraId="18118AC6" w14:textId="77777777" w:rsidR="00E723D6" w:rsidRDefault="00E723D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980BC" w14:textId="45E1245C" w:rsidR="00E723D6" w:rsidRPr="005A31A1" w:rsidRDefault="006A02B1" w:rsidP="005A31A1">
    <w:pPr>
      <w:pStyle w:val="ACMAFooter"/>
      <w:rPr>
        <w:sz w:val="16"/>
        <w:szCs w:val="16"/>
      </w:rPr>
    </w:pPr>
    <w:r w:rsidRPr="00816ADF">
      <w:rPr>
        <w:sz w:val="16"/>
        <w:szCs w:val="16"/>
      </w:rPr>
      <w:t xml:space="preserve">ACMA Investigation </w:t>
    </w:r>
    <w:r w:rsidR="0079419E">
      <w:rPr>
        <w:sz w:val="16"/>
        <w:szCs w:val="16"/>
      </w:rPr>
      <w:t>r</w:t>
    </w:r>
    <w:r w:rsidRPr="00816ADF">
      <w:rPr>
        <w:sz w:val="16"/>
        <w:szCs w:val="16"/>
      </w:rPr>
      <w:t>eport—</w:t>
    </w:r>
    <w:r w:rsidR="00912B31" w:rsidRPr="00912B31">
      <w:rPr>
        <w:i/>
        <w:iCs/>
      </w:rPr>
      <w:t xml:space="preserve"> </w:t>
    </w:r>
    <w:r w:rsidR="00912B31" w:rsidRPr="00912B31">
      <w:rPr>
        <w:i/>
        <w:iCs/>
        <w:sz w:val="16"/>
        <w:szCs w:val="16"/>
      </w:rPr>
      <w:t>Ministry Now</w:t>
    </w:r>
    <w:r w:rsidR="00912B31" w:rsidRPr="00912B31">
      <w:rPr>
        <w:sz w:val="16"/>
        <w:szCs w:val="16"/>
      </w:rPr>
      <w:t xml:space="preserve"> and </w:t>
    </w:r>
    <w:r w:rsidR="00912B31" w:rsidRPr="00912B31">
      <w:rPr>
        <w:i/>
        <w:iCs/>
        <w:sz w:val="16"/>
        <w:szCs w:val="16"/>
      </w:rPr>
      <w:t>Joni Table Talk</w:t>
    </w:r>
    <w:r w:rsidRPr="00816ADF">
      <w:rPr>
        <w:sz w:val="16"/>
        <w:szCs w:val="16"/>
      </w:rPr>
      <w:t xml:space="preserve"> broadcast </w:t>
    </w:r>
    <w:r w:rsidR="006162E4">
      <w:rPr>
        <w:sz w:val="16"/>
        <w:szCs w:val="16"/>
      </w:rPr>
      <w:t>on</w:t>
    </w:r>
    <w:r w:rsidRPr="00816ADF">
      <w:rPr>
        <w:sz w:val="16"/>
        <w:szCs w:val="16"/>
      </w:rPr>
      <w:t xml:space="preserve"> </w:t>
    </w:r>
    <w:r w:rsidR="00912B31">
      <w:rPr>
        <w:sz w:val="16"/>
        <w:szCs w:val="16"/>
      </w:rPr>
      <w:t xml:space="preserve">Daystar </w:t>
    </w:r>
    <w:r w:rsidRPr="00816ADF">
      <w:rPr>
        <w:sz w:val="16"/>
        <w:szCs w:val="16"/>
      </w:rPr>
      <w:t xml:space="preserve">on </w:t>
    </w:r>
    <w:r w:rsidR="00912B31">
      <w:rPr>
        <w:sz w:val="16"/>
        <w:szCs w:val="16"/>
      </w:rPr>
      <w:t>Foxtel on 1 and 24 September 2021</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3470D1">
      <w:rPr>
        <w:noProof/>
        <w:sz w:val="16"/>
        <w:szCs w:val="16"/>
      </w:rPr>
      <w:t>8</w:t>
    </w:r>
    <w:r w:rsidRPr="00997E79">
      <w:rPr>
        <w:noProof/>
        <w:sz w:val="16"/>
        <w:szCs w:val="16"/>
      </w:rPr>
      <w:fldChar w:fldCharType="end"/>
    </w:r>
    <w:r w:rsidRPr="00997E79">
      <w:rPr>
        <w:noProof/>
        <w:sz w:val="16"/>
        <w:szCs w:val="16"/>
      </w:rPr>
      <w:t xml:space="preserve"> of </w:t>
    </w:r>
    <w:r w:rsidR="00D77E9F">
      <w:rPr>
        <w:noProof/>
        <w:sz w:val="16"/>
        <w:szCs w:val="16"/>
      </w:rPr>
      <w:t>50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A11B8" w14:textId="22556E9C" w:rsidR="0061569D" w:rsidRPr="00211185" w:rsidRDefault="00193967" w:rsidP="00193967">
    <w:pPr>
      <w:pStyle w:val="Footer"/>
      <w:jc w:val="right"/>
    </w:pPr>
    <w:r w:rsidRPr="005E250B">
      <w:rPr>
        <w:noProof/>
        <w:vertAlign w:val="subscript"/>
      </w:rPr>
      <w:drawing>
        <wp:inline distT="0" distB="0" distL="0" distR="0" wp14:anchorId="312CB153" wp14:editId="1A9B7C3F">
          <wp:extent cx="1066800" cy="277368"/>
          <wp:effectExtent l="0" t="0" r="0" b="0"/>
          <wp:docPr id="5" name="Picture 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5D1D14" w14:textId="77777777" w:rsidR="009B70CF" w:rsidRDefault="009B70CF">
      <w:r>
        <w:separator/>
      </w:r>
    </w:p>
  </w:footnote>
  <w:footnote w:type="continuationSeparator" w:id="0">
    <w:p w14:paraId="1153FA12" w14:textId="77777777" w:rsidR="009B70CF" w:rsidRDefault="009B70CF">
      <w:r>
        <w:continuationSeparator/>
      </w:r>
    </w:p>
  </w:footnote>
  <w:footnote w:type="continuationNotice" w:id="1">
    <w:p w14:paraId="5A13FA12" w14:textId="77777777" w:rsidR="009B70CF" w:rsidRDefault="009B70CF">
      <w:pPr>
        <w:spacing w:before="0" w:after="0" w:line="240" w:lineRule="auto"/>
      </w:pPr>
    </w:p>
  </w:footnote>
  <w:footnote w:id="2">
    <w:p w14:paraId="04F8F3B1" w14:textId="04B5EE75" w:rsidR="00072912" w:rsidRDefault="00072912" w:rsidP="00A74BEF">
      <w:pPr>
        <w:pStyle w:val="FootnoteText"/>
      </w:pPr>
      <w:r>
        <w:rPr>
          <w:rStyle w:val="FootnoteReference"/>
        </w:rPr>
        <w:footnoteRef/>
      </w:r>
      <w:r>
        <w:t xml:space="preserve"> </w:t>
      </w:r>
      <w:hyperlink r:id="rId1" w:anchor=":~:text=Latest%20research%20the%20%27death%20knell%27%20for%20aspirin%20use%20as%20primary%20prevention,-Matt%20Woodley&amp;text=More%20results%20from%20the%20landmark,people%20aged%2070%20and%20older" w:history="1">
        <w:r w:rsidR="00F52DA9" w:rsidRPr="00055FDD">
          <w:rPr>
            <w:rStyle w:val="Hyperlink"/>
          </w:rPr>
          <w:t>https://www1.racgp.org.au/newsgp/clinical/latest-research-the-death-knell-for-aspirin-use-as#:~:text=Latest%20research%20the%20%27death%20knell%27%20for%20aspirin%20use%20as%20primary%20prevention,-Matt%20Woodley&amp;text=More%20results%20from%20the%20landmark,people%20aged%2070%20and%20older</w:t>
        </w:r>
      </w:hyperlink>
      <w:r w:rsidR="00F52DA9">
        <w:t xml:space="preserve"> </w:t>
      </w:r>
    </w:p>
  </w:footnote>
  <w:footnote w:id="3">
    <w:p w14:paraId="524BD5B8" w14:textId="05026E1F" w:rsidR="007D6458" w:rsidRDefault="007D6458" w:rsidP="00A74BEF">
      <w:pPr>
        <w:pStyle w:val="FootnoteText"/>
      </w:pPr>
      <w:r>
        <w:rPr>
          <w:rStyle w:val="FootnoteReference"/>
        </w:rPr>
        <w:footnoteRef/>
      </w:r>
      <w:r>
        <w:t xml:space="preserve"> Effect of Aspirin on Cardiovascular Events and Bleeding in the Healthy Elderly, The New England Journal of Medicine, </w:t>
      </w:r>
      <w:hyperlink r:id="rId2" w:history="1">
        <w:r w:rsidRPr="00107EF7">
          <w:rPr>
            <w:rStyle w:val="Hyperlink"/>
          </w:rPr>
          <w:t>https://www.nejm.org/doi/full/10.1056/nejmoa1805819</w:t>
        </w:r>
      </w:hyperlink>
    </w:p>
  </w:footnote>
  <w:footnote w:id="4">
    <w:p w14:paraId="7C094CBA" w14:textId="39FDC920" w:rsidR="00E416A1" w:rsidRDefault="00E416A1">
      <w:pPr>
        <w:pStyle w:val="FootnoteText"/>
      </w:pPr>
      <w:r>
        <w:rPr>
          <w:rStyle w:val="FootnoteReference"/>
        </w:rPr>
        <w:footnoteRef/>
      </w:r>
      <w:r>
        <w:t xml:space="preserve"> </w:t>
      </w:r>
      <w:hyperlink r:id="rId3" w:history="1">
        <w:r>
          <w:rPr>
            <w:rStyle w:val="Hyperlink"/>
          </w:rPr>
          <w:t>Updated guidelines for the management of paracetamol poisoning in Australia and New Zealand (mja.com.au)</w:t>
        </w:r>
      </w:hyperlink>
    </w:p>
  </w:footnote>
  <w:footnote w:id="5">
    <w:p w14:paraId="23655669" w14:textId="3F7D5ED9" w:rsidR="001C1FFD" w:rsidRDefault="001C1FFD">
      <w:pPr>
        <w:pStyle w:val="FootnoteText"/>
      </w:pPr>
      <w:r>
        <w:rPr>
          <w:rStyle w:val="FootnoteReference"/>
        </w:rPr>
        <w:footnoteRef/>
      </w:r>
      <w:r>
        <w:t xml:space="preserve"> </w:t>
      </w:r>
      <w:hyperlink r:id="rId4" w:history="1">
        <w:r w:rsidRPr="001F4872">
          <w:rPr>
            <w:rStyle w:val="Hyperlink"/>
          </w:rPr>
          <w:t>https://www.ncbi.nlm.nih.gov/pmc/articles/PMC5929173/</w:t>
        </w:r>
      </w:hyperlink>
    </w:p>
  </w:footnote>
  <w:footnote w:id="6">
    <w:p w14:paraId="51AEE36A" w14:textId="3582A45A" w:rsidR="004A596E" w:rsidRDefault="004A596E">
      <w:pPr>
        <w:pStyle w:val="FootnoteText"/>
      </w:pPr>
      <w:r>
        <w:rPr>
          <w:rStyle w:val="FootnoteReference"/>
        </w:rPr>
        <w:footnoteRef/>
      </w:r>
      <w:r>
        <w:t xml:space="preserve"> See </w:t>
      </w:r>
      <w:hyperlink r:id="rId5" w:history="1">
        <w:r w:rsidRPr="008D20BA">
          <w:rPr>
            <w:rStyle w:val="Hyperlink"/>
          </w:rPr>
          <w:t>https://www.health.gov.au/health-alerts/covid-19/treatments/about</w:t>
        </w:r>
      </w:hyperlink>
      <w:r>
        <w:t xml:space="preserve">, </w:t>
      </w:r>
      <w:hyperlink r:id="rId6" w:history="1">
        <w:r w:rsidRPr="008D20BA">
          <w:rPr>
            <w:rStyle w:val="Hyperlink"/>
          </w:rPr>
          <w:t>https://www.tga.gov.au/news/media-releases/new-restrictions-prescribing-ivermectin-covid-19</w:t>
        </w:r>
      </w:hyperlink>
      <w:r>
        <w:t xml:space="preserve">, </w:t>
      </w:r>
      <w:hyperlink r:id="rId7" w:anchor=":~:text=Ivermectin%20has%20not%20been%20shown,medications%2C%20like%20blood-thinners" w:history="1">
        <w:r w:rsidRPr="008D20BA">
          <w:rPr>
            <w:rStyle w:val="Hyperlink"/>
          </w:rPr>
          <w:t>https://www.fda.gov/consumers/consumer-updates/why-you-should-not-use-ivermectin-treat-or-prevent-covid-19#:~:text=Ivermectin%20has%20not%20been%20shown,medications%2C%20like%20blood-thinners</w:t>
        </w:r>
      </w:hyperlink>
      <w:r>
        <w:t xml:space="preserve">, </w:t>
      </w:r>
      <w:hyperlink r:id="rId8" w:history="1">
        <w:r w:rsidRPr="001F4872">
          <w:rPr>
            <w:rStyle w:val="Hyperlink"/>
          </w:rPr>
          <w:t>https://www.who.int/news-room/feature-stories/detail/who-advises-that-ivermectin-only-be-used-to-treat-covid-19-within-clinical-trials</w:t>
        </w:r>
      </w:hyperlink>
      <w:r>
        <w:t xml:space="preserve">, and </w:t>
      </w:r>
      <w:hyperlink r:id="rId9" w:history="1">
        <w:r w:rsidRPr="008D20BA">
          <w:rPr>
            <w:rStyle w:val="Hyperlink"/>
          </w:rPr>
          <w:t>https://www.ascot-trial.edu.au/blogs/news/oxford-is-trialling-ivermectin-the-path-to-this-point-has-been-rocky-why</w:t>
        </w:r>
      </w:hyperlink>
      <w:r>
        <w:t>, accessed 29 September 2022.</w:t>
      </w:r>
    </w:p>
  </w:footnote>
  <w:footnote w:id="7">
    <w:p w14:paraId="27F67313" w14:textId="77777777" w:rsidR="009E1168" w:rsidRDefault="009E1168" w:rsidP="009E1168">
      <w:pPr>
        <w:pStyle w:val="FootnoteText"/>
      </w:pPr>
      <w:r>
        <w:rPr>
          <w:rStyle w:val="FootnoteReference"/>
        </w:rPr>
        <w:footnoteRef/>
      </w:r>
      <w:r>
        <w:t xml:space="preserve"> See </w:t>
      </w:r>
      <w:hyperlink r:id="rId10" w:history="1">
        <w:r w:rsidRPr="00CD2AD1">
          <w:rPr>
            <w:rStyle w:val="Hyperlink"/>
          </w:rPr>
          <w:t>https://pubmed.ncbi.nlm.nih.gov/1449278/</w:t>
        </w:r>
      </w:hyperlink>
      <w:r>
        <w:t xml:space="preserve"> , accessed 15 June 2022.</w:t>
      </w:r>
    </w:p>
  </w:footnote>
  <w:footnote w:id="8">
    <w:p w14:paraId="1575EAAF" w14:textId="5469A14C" w:rsidR="009305B2" w:rsidRDefault="009305B2" w:rsidP="009305B2">
      <w:pPr>
        <w:pStyle w:val="FootnoteText"/>
      </w:pPr>
      <w:r>
        <w:rPr>
          <w:rStyle w:val="FootnoteReference"/>
        </w:rPr>
        <w:footnoteRef/>
      </w:r>
      <w:r>
        <w:t xml:space="preserve"> See </w:t>
      </w:r>
      <w:hyperlink r:id="rId11" w:history="1">
        <w:r w:rsidR="003E3796" w:rsidRPr="00581784">
          <w:rPr>
            <w:rStyle w:val="Hyperlink"/>
          </w:rPr>
          <w:t>https://www.mdpi.com/2076-0817/10/6/763</w:t>
        </w:r>
      </w:hyperlink>
      <w:r w:rsidR="003E3796">
        <w:t xml:space="preserve">, accessed </w:t>
      </w:r>
      <w:r w:rsidR="00907040">
        <w:t xml:space="preserve">5 </w:t>
      </w:r>
      <w:r w:rsidR="003E3796">
        <w:t>July 2022</w:t>
      </w:r>
    </w:p>
  </w:footnote>
  <w:footnote w:id="9">
    <w:p w14:paraId="63F56A66" w14:textId="1B250087" w:rsidR="009305B2" w:rsidRDefault="009305B2">
      <w:pPr>
        <w:pStyle w:val="FootnoteText"/>
      </w:pPr>
      <w:r>
        <w:rPr>
          <w:rStyle w:val="FootnoteReference"/>
        </w:rPr>
        <w:footnoteRef/>
      </w:r>
      <w:r>
        <w:t xml:space="preserve"> See </w:t>
      </w:r>
      <w:hyperlink r:id="rId12" w:history="1">
        <w:r w:rsidRPr="00E95D61">
          <w:rPr>
            <w:rStyle w:val="Hyperlink"/>
          </w:rPr>
          <w:t>https://www.ncbi.nlm.nih.gov/pmc/articles/PMC8379763/</w:t>
        </w:r>
      </w:hyperlink>
      <w:r>
        <w:t xml:space="preserve"> and</w:t>
      </w:r>
      <w:r w:rsidR="003E3796">
        <w:t xml:space="preserve"> </w:t>
      </w:r>
      <w:hyperlink r:id="rId13" w:history="1">
        <w:r w:rsidRPr="001F4872">
          <w:rPr>
            <w:rStyle w:val="Hyperlink"/>
          </w:rPr>
          <w:t>https://casereports.bmj.com/content/14/9/e245792</w:t>
        </w:r>
      </w:hyperlink>
      <w:r w:rsidR="00A15980">
        <w:t xml:space="preserve">, accessed </w:t>
      </w:r>
      <w:r w:rsidR="00907040">
        <w:t>5 July</w:t>
      </w:r>
      <w:r w:rsidR="00A15980">
        <w:t xml:space="preserve"> 2022</w:t>
      </w:r>
    </w:p>
  </w:footnote>
  <w:footnote w:id="10">
    <w:p w14:paraId="73634E38" w14:textId="4BB00A2B" w:rsidR="00967FE5" w:rsidRDefault="00967FE5">
      <w:pPr>
        <w:pStyle w:val="FootnoteText"/>
      </w:pPr>
      <w:r>
        <w:rPr>
          <w:rStyle w:val="FootnoteReference"/>
        </w:rPr>
        <w:footnoteRef/>
      </w:r>
      <w:r>
        <w:t xml:space="preserve"> See </w:t>
      </w:r>
      <w:hyperlink r:id="rId14" w:history="1">
        <w:r w:rsidRPr="00960E60">
          <w:rPr>
            <w:rStyle w:val="Hyperlink"/>
          </w:rPr>
          <w:t>https://www.canceraustralia.gov.au/sites/default/files/publications/frequently-asked-questions-about-covid-19-vaccines-people-affected-cancer/pdf/covid-19_faq_updated_1_april_2022.pdf</w:t>
        </w:r>
      </w:hyperlink>
      <w:r>
        <w:t>, accessed August 2022.</w:t>
      </w:r>
    </w:p>
  </w:footnote>
  <w:footnote w:id="11">
    <w:p w14:paraId="3522B7A3" w14:textId="46960B56" w:rsidR="00967FE5" w:rsidRDefault="00967FE5">
      <w:pPr>
        <w:pStyle w:val="FootnoteText"/>
      </w:pPr>
      <w:r>
        <w:rPr>
          <w:rStyle w:val="FootnoteReference"/>
        </w:rPr>
        <w:footnoteRef/>
      </w:r>
      <w:r>
        <w:t xml:space="preserve"> See </w:t>
      </w:r>
      <w:hyperlink r:id="rId15" w:history="1">
        <w:r w:rsidRPr="00960E60">
          <w:rPr>
            <w:rStyle w:val="Hyperlink"/>
          </w:rPr>
          <w:t>https://apnews.com/article/fact-checking-afs:Content:9994785135</w:t>
        </w:r>
      </w:hyperlink>
      <w:r>
        <w:t>, accessed 1 August 2022.</w:t>
      </w:r>
    </w:p>
  </w:footnote>
  <w:footnote w:id="12">
    <w:p w14:paraId="0B605D95" w14:textId="75AA6AAE" w:rsidR="00967FE5" w:rsidRDefault="00967FE5">
      <w:pPr>
        <w:pStyle w:val="FootnoteText"/>
      </w:pPr>
      <w:r>
        <w:rPr>
          <w:rStyle w:val="FootnoteReference"/>
        </w:rPr>
        <w:footnoteRef/>
      </w:r>
      <w:r>
        <w:t xml:space="preserve"> See </w:t>
      </w:r>
      <w:hyperlink r:id="rId16" w:history="1">
        <w:r w:rsidRPr="00960E60">
          <w:rPr>
            <w:rStyle w:val="Hyperlink"/>
          </w:rPr>
          <w:t>https://www.itnonline.com/article/covid-19-vaccine-can-cause-false-positive-cancer-diagnosis</w:t>
        </w:r>
      </w:hyperlink>
      <w:r>
        <w:t>, accessed   August 2022.</w:t>
      </w:r>
    </w:p>
  </w:footnote>
  <w:footnote w:id="13">
    <w:p w14:paraId="62F10F5D" w14:textId="5B3E279E" w:rsidR="00971770" w:rsidRDefault="00971770">
      <w:pPr>
        <w:pStyle w:val="FootnoteText"/>
      </w:pPr>
      <w:r>
        <w:rPr>
          <w:rStyle w:val="FootnoteReference"/>
        </w:rPr>
        <w:footnoteRef/>
      </w:r>
      <w:r>
        <w:t xml:space="preserve"> For example, see </w:t>
      </w:r>
      <w:hyperlink r:id="rId17" w:history="1">
        <w:r w:rsidRPr="00AA72DE">
          <w:rPr>
            <w:rStyle w:val="Hyperlink"/>
          </w:rPr>
          <w:t>https://www.reuters.com/article/factcheck-covid-vaccine-animal-idUSL2N2NJ1IK</w:t>
        </w:r>
      </w:hyperlink>
      <w:r>
        <w:t xml:space="preserve"> and </w:t>
      </w:r>
      <w:hyperlink r:id="rId18" w:history="1">
        <w:r w:rsidR="002A4911" w:rsidRPr="00AA72DE">
          <w:rPr>
            <w:rStyle w:val="Hyperlink"/>
          </w:rPr>
          <w:t>https://www.usatoday.com/story/news/factcheck/2021/09/10/fact-check-pfizer-moderna-johnson-johnson-covid-vaccines-animal-studies/8262536002/</w:t>
        </w:r>
      </w:hyperlink>
      <w:r w:rsidR="002A4911">
        <w:t>, both accessed on 4 July 2022</w:t>
      </w:r>
      <w:r>
        <w:t xml:space="preserve">. </w:t>
      </w:r>
    </w:p>
  </w:footnote>
  <w:footnote w:id="14">
    <w:p w14:paraId="56335CCC" w14:textId="5F21CEC7" w:rsidR="003479D3" w:rsidRDefault="003479D3">
      <w:pPr>
        <w:pStyle w:val="FootnoteText"/>
      </w:pPr>
      <w:r>
        <w:rPr>
          <w:rStyle w:val="FootnoteReference"/>
        </w:rPr>
        <w:footnoteRef/>
      </w:r>
      <w:r>
        <w:t xml:space="preserve"> See </w:t>
      </w:r>
      <w:hyperlink r:id="rId19" w:history="1">
        <w:r w:rsidRPr="00C32C2D">
          <w:rPr>
            <w:rStyle w:val="Hyperlink"/>
          </w:rPr>
          <w:t>https://www.fda.gov/vaccines-blood-biologics/vaccines/emergency-use-authorization-vaccines-explained</w:t>
        </w:r>
      </w:hyperlink>
      <w:r>
        <w:t>, accessed on 7 September 2022.</w:t>
      </w:r>
    </w:p>
  </w:footnote>
  <w:footnote w:id="15">
    <w:p w14:paraId="7CA5DB78" w14:textId="77777777" w:rsidR="00190CE2" w:rsidRDefault="00190CE2" w:rsidP="00190CE2">
      <w:pPr>
        <w:pStyle w:val="FootnoteText"/>
      </w:pPr>
      <w:r>
        <w:rPr>
          <w:rStyle w:val="FootnoteReference"/>
        </w:rPr>
        <w:footnoteRef/>
      </w:r>
      <w:r>
        <w:t xml:space="preserve"> See </w:t>
      </w:r>
      <w:hyperlink r:id="rId20" w:history="1">
        <w:r w:rsidRPr="00C32C2D">
          <w:rPr>
            <w:rStyle w:val="Hyperlink"/>
          </w:rPr>
          <w:t>https://www.fda.gov/news-events/press-announcements/fda-approves-first-covid-19-vaccine</w:t>
        </w:r>
      </w:hyperlink>
      <w:r>
        <w:t>, accessed on 7 September 2022.</w:t>
      </w:r>
    </w:p>
  </w:footnote>
  <w:footnote w:id="16">
    <w:p w14:paraId="40115ED7" w14:textId="521CBD49" w:rsidR="000A3A79" w:rsidRPr="006C669F" w:rsidRDefault="000A3A79">
      <w:pPr>
        <w:pStyle w:val="FootnoteText"/>
      </w:pPr>
      <w:r w:rsidRPr="006C669F">
        <w:rPr>
          <w:rStyle w:val="FootnoteReference"/>
        </w:rPr>
        <w:footnoteRef/>
      </w:r>
      <w:r w:rsidR="006C669F" w:rsidRPr="006C669F">
        <w:rPr>
          <w:rStyle w:val="Hyperlink"/>
          <w:u w:val="none"/>
        </w:rPr>
        <w:t xml:space="preserve"> </w:t>
      </w:r>
      <w:r w:rsidR="006C669F" w:rsidRPr="006C669F">
        <w:rPr>
          <w:rStyle w:val="Hyperlink"/>
          <w:color w:val="auto"/>
          <w:u w:val="none"/>
        </w:rPr>
        <w:t xml:space="preserve">See </w:t>
      </w:r>
      <w:hyperlink r:id="rId21" w:history="1">
        <w:r w:rsidR="00D000D1" w:rsidRPr="00602B17">
          <w:rPr>
            <w:rStyle w:val="Hyperlink"/>
          </w:rPr>
          <w:t>https://www.health.gov.au/resources/publications/covid-19-vaccination-shared-decision-making-guide-for-women-who-are-pregnant-breastfeeding-or-planning-pregnancy</w:t>
        </w:r>
      </w:hyperlink>
      <w:r w:rsidR="006C669F" w:rsidRPr="006C669F">
        <w:rPr>
          <w:rStyle w:val="Hyperlink"/>
          <w:color w:val="auto"/>
          <w:u w:val="none"/>
        </w:rPr>
        <w:t>, accessed 6 July 2022</w:t>
      </w:r>
    </w:p>
  </w:footnote>
  <w:footnote w:id="17">
    <w:p w14:paraId="58DD4F8F" w14:textId="3D4BD509" w:rsidR="002D71AE" w:rsidRDefault="002D71AE">
      <w:pPr>
        <w:pStyle w:val="FootnoteText"/>
      </w:pPr>
      <w:r>
        <w:rPr>
          <w:rStyle w:val="FootnoteReference"/>
        </w:rPr>
        <w:footnoteRef/>
      </w:r>
      <w:r>
        <w:t xml:space="preserve"> See </w:t>
      </w:r>
      <w:hyperlink r:id="rId22" w:history="1">
        <w:r w:rsidRPr="00C55979">
          <w:rPr>
            <w:rStyle w:val="Hyperlink"/>
          </w:rPr>
          <w:t>https://www.nature.com/articles/s41577-021-00525-y.pdf?origin=ppub</w:t>
        </w:r>
      </w:hyperlink>
      <w:r>
        <w:t>, accessed 6 July 2022</w:t>
      </w:r>
      <w:r w:rsidR="00932D28">
        <w:t>.</w:t>
      </w:r>
    </w:p>
  </w:footnote>
  <w:footnote w:id="18">
    <w:p w14:paraId="35AD812D" w14:textId="6E7A8BB6" w:rsidR="006B51EA" w:rsidRDefault="006B51EA" w:rsidP="006B51EA">
      <w:pPr>
        <w:pStyle w:val="FootnoteText"/>
      </w:pPr>
      <w:r>
        <w:rPr>
          <w:rStyle w:val="FootnoteReference"/>
        </w:rPr>
        <w:footnoteRef/>
      </w:r>
      <w:r>
        <w:t xml:space="preserve"> For example, see </w:t>
      </w:r>
      <w:hyperlink r:id="rId23" w:history="1">
        <w:r w:rsidRPr="00113F49">
          <w:rPr>
            <w:rStyle w:val="Hyperlink"/>
          </w:rPr>
          <w:t>https://www.usatoday.com/story/news/factcheck/2021/04/12/fact-check-no-evidence-surge-miscarriages-since-vaccine-rollout/7062549002/</w:t>
        </w:r>
      </w:hyperlink>
      <w:r>
        <w:t xml:space="preserve">, </w:t>
      </w:r>
      <w:hyperlink r:id="rId24" w:history="1">
        <w:r w:rsidRPr="00113F49">
          <w:rPr>
            <w:rStyle w:val="Hyperlink"/>
          </w:rPr>
          <w:t>https://www.reuters.com/article/factcheck-health-coronavirus-idUSL2N2NP1RJ</w:t>
        </w:r>
      </w:hyperlink>
      <w:r>
        <w:t xml:space="preserve"> </w:t>
      </w:r>
      <w:r w:rsidR="00B33EEB">
        <w:t xml:space="preserve">and </w:t>
      </w:r>
      <w:hyperlink r:id="rId25" w:history="1">
        <w:r w:rsidR="00A37A62" w:rsidRPr="00A37A62">
          <w:rPr>
            <w:rStyle w:val="Hyperlink"/>
          </w:rPr>
          <w:t>https://www.abc.net.au/news/2021-04-01/coronacheck-malcolm-roberts-vaccine-side-effects-yellow-card/100041806</w:t>
        </w:r>
      </w:hyperlink>
      <w:r>
        <w:t>, accessed 4 August 2022.</w:t>
      </w:r>
    </w:p>
  </w:footnote>
  <w:footnote w:id="19">
    <w:p w14:paraId="28E03356" w14:textId="7B564967" w:rsidR="006B51EA" w:rsidRDefault="006B51EA">
      <w:pPr>
        <w:pStyle w:val="FootnoteText"/>
      </w:pPr>
      <w:r>
        <w:rPr>
          <w:rStyle w:val="FootnoteReference"/>
        </w:rPr>
        <w:footnoteRef/>
      </w:r>
      <w:r>
        <w:t xml:space="preserve"> See </w:t>
      </w:r>
      <w:hyperlink r:id="rId26" w:history="1">
        <w:r w:rsidRPr="00113F49">
          <w:rPr>
            <w:rStyle w:val="Hyperlink"/>
          </w:rPr>
          <w:t>https://expose-news.com/2020/12/08/itv-reporter-robert-peston-confirms-what-we-already-know-there-is-no-pandemic-and-were-being-conned/</w:t>
        </w:r>
      </w:hyperlink>
      <w:r>
        <w:t xml:space="preserve">, accessed 4 August 2022. </w:t>
      </w:r>
    </w:p>
  </w:footnote>
  <w:footnote w:id="20">
    <w:p w14:paraId="077704EA" w14:textId="32103A25" w:rsidR="00571C18" w:rsidRDefault="00571C18">
      <w:pPr>
        <w:pStyle w:val="FootnoteText"/>
      </w:pPr>
      <w:r>
        <w:rPr>
          <w:rStyle w:val="FootnoteReference"/>
        </w:rPr>
        <w:footnoteRef/>
      </w:r>
      <w:r>
        <w:t xml:space="preserve"> See </w:t>
      </w:r>
      <w:hyperlink r:id="rId27" w:history="1">
        <w:r w:rsidRPr="00113F49">
          <w:rPr>
            <w:rStyle w:val="Hyperlink"/>
          </w:rPr>
          <w:t>https://www.cdc.gov/coronavirus/2019-ncov/vaccines/facts.html</w:t>
        </w:r>
      </w:hyperlink>
      <w:r>
        <w:t>, accessed 04 August 2022.</w:t>
      </w:r>
    </w:p>
  </w:footnote>
  <w:footnote w:id="21">
    <w:p w14:paraId="4DF1302B" w14:textId="49BC534E" w:rsidR="00741029" w:rsidRDefault="00741029">
      <w:pPr>
        <w:pStyle w:val="FootnoteText"/>
      </w:pPr>
      <w:r>
        <w:rPr>
          <w:rStyle w:val="FootnoteReference"/>
        </w:rPr>
        <w:footnoteRef/>
      </w:r>
      <w:r>
        <w:t xml:space="preserve"> See </w:t>
      </w:r>
      <w:hyperlink r:id="rId28" w:history="1">
        <w:r w:rsidRPr="00882D75">
          <w:rPr>
            <w:rStyle w:val="Hyperlink"/>
          </w:rPr>
          <w:t>https://www.science.org.au/curious/people-medicine/pregnancies-periods-and-covid-19-vaccines-what-you-need-know</w:t>
        </w:r>
      </w:hyperlink>
      <w:r>
        <w:t>, accessed 19 August 2022.</w:t>
      </w:r>
    </w:p>
  </w:footnote>
  <w:footnote w:id="22">
    <w:p w14:paraId="775144F8" w14:textId="1ADA8BAF" w:rsidR="00851185" w:rsidRDefault="00851185" w:rsidP="00851185">
      <w:pPr>
        <w:pStyle w:val="FootnoteText"/>
      </w:pPr>
      <w:r>
        <w:rPr>
          <w:rStyle w:val="FootnoteReference"/>
        </w:rPr>
        <w:footnoteRef/>
      </w:r>
      <w:r>
        <w:t xml:space="preserve"> See </w:t>
      </w:r>
      <w:hyperlink r:id="rId29" w:history="1">
        <w:r w:rsidRPr="00C55979">
          <w:rPr>
            <w:rStyle w:val="Hyperlink"/>
          </w:rPr>
          <w:t>https://womenshealthresearch.ubc.ca/blog/menstrual-irregularities-and-covid-19-vaccine</w:t>
        </w:r>
      </w:hyperlink>
      <w:r>
        <w:t>, accessed 6 July 2022</w:t>
      </w:r>
    </w:p>
  </w:footnote>
  <w:footnote w:id="23">
    <w:p w14:paraId="54AD45F9" w14:textId="47EC9FC2" w:rsidR="00EF2296" w:rsidRDefault="00EF2296" w:rsidP="00EF2296">
      <w:pPr>
        <w:pStyle w:val="FootnoteText"/>
      </w:pPr>
      <w:r>
        <w:rPr>
          <w:rStyle w:val="FootnoteReference"/>
        </w:rPr>
        <w:footnoteRef/>
      </w:r>
      <w:r>
        <w:t xml:space="preserve"> </w:t>
      </w:r>
      <w:r w:rsidRPr="0051652B">
        <w:rPr>
          <w:i/>
        </w:rPr>
        <w:t>The</w:t>
      </w:r>
      <w:r>
        <w:t xml:space="preserve"> </w:t>
      </w:r>
      <w:r w:rsidRPr="00ED1B98">
        <w:rPr>
          <w:i/>
          <w:iCs/>
        </w:rPr>
        <w:t>BMJ</w:t>
      </w:r>
      <w:r>
        <w:t xml:space="preserve"> published 16 September 2022 - </w:t>
      </w:r>
      <w:hyperlink r:id="rId30" w:history="1">
        <w:r w:rsidR="00851185" w:rsidRPr="00C55979">
          <w:rPr>
            <w:rStyle w:val="Hyperlink"/>
          </w:rPr>
          <w:t>https://www.bmj.com/content/374/bmj.n2211</w:t>
        </w:r>
      </w:hyperlink>
      <w:r w:rsidR="00851185">
        <w:t>, accessed 6 July 2022</w:t>
      </w:r>
    </w:p>
  </w:footnote>
  <w:footnote w:id="24">
    <w:p w14:paraId="55C089DD" w14:textId="49AB6D79" w:rsidR="00831ED3" w:rsidRDefault="00831ED3" w:rsidP="0013388E">
      <w:pPr>
        <w:pStyle w:val="FootnoteText"/>
        <w:tabs>
          <w:tab w:val="center" w:pos="4157"/>
        </w:tabs>
      </w:pPr>
      <w:r>
        <w:rPr>
          <w:rStyle w:val="FootnoteReference"/>
        </w:rPr>
        <w:footnoteRef/>
      </w:r>
      <w:r>
        <w:t xml:space="preserve"> </w:t>
      </w:r>
      <w:hyperlink r:id="rId31" w:history="1">
        <w:r w:rsidR="0013388E" w:rsidRPr="0057063A">
          <w:rPr>
            <w:rStyle w:val="Hyperlink"/>
          </w:rPr>
          <w:t>https://www.daystar.com/about/</w:t>
        </w:r>
      </w:hyperlink>
      <w:r w:rsidR="0013388E">
        <w:t xml:space="preserve"> </w:t>
      </w:r>
      <w:r w:rsidR="0013388E">
        <w:tab/>
      </w:r>
    </w:p>
  </w:footnote>
  <w:footnote w:id="25">
    <w:p w14:paraId="21B28BA3" w14:textId="2BEEF7F7" w:rsidR="00831ED3" w:rsidRDefault="00831ED3">
      <w:pPr>
        <w:pStyle w:val="FootnoteText"/>
      </w:pPr>
      <w:r>
        <w:rPr>
          <w:rStyle w:val="FootnoteReference"/>
        </w:rPr>
        <w:footnoteRef/>
      </w:r>
      <w:r>
        <w:t xml:space="preserve"> </w:t>
      </w:r>
      <w:hyperlink r:id="rId32" w:history="1">
        <w:r w:rsidR="0013388E" w:rsidRPr="0057063A">
          <w:rPr>
            <w:rStyle w:val="Hyperlink"/>
          </w:rPr>
          <w:t>https://www.youtube.com/c/daystar/about</w:t>
        </w:r>
      </w:hyperlink>
      <w:r w:rsidR="0013388E">
        <w:t xml:space="preserve"> </w:t>
      </w:r>
    </w:p>
  </w:footnote>
  <w:footnote w:id="26">
    <w:p w14:paraId="4AE658DE" w14:textId="1D7C92E7" w:rsidR="00831ED3" w:rsidRDefault="00831ED3">
      <w:pPr>
        <w:pStyle w:val="FootnoteText"/>
      </w:pPr>
      <w:r>
        <w:rPr>
          <w:rStyle w:val="FootnoteReference"/>
        </w:rPr>
        <w:footnoteRef/>
      </w:r>
      <w:r>
        <w:t xml:space="preserve"> </w:t>
      </w:r>
      <w:hyperlink r:id="rId33" w:history="1">
        <w:r w:rsidR="001A0A1F" w:rsidRPr="00796DB2">
          <w:rPr>
            <w:rStyle w:val="Hyperlink"/>
          </w:rPr>
          <w:t>https://www1.racgp.org.au/newsgp/clinical/what-now-for-ivermectin</w:t>
        </w:r>
      </w:hyperlink>
    </w:p>
  </w:footnote>
  <w:footnote w:id="27">
    <w:p w14:paraId="249036ED" w14:textId="69DA6C09" w:rsidR="001A0A1F" w:rsidRDefault="001A0A1F" w:rsidP="00796DB2">
      <w:pPr>
        <w:pStyle w:val="FootnoteText"/>
      </w:pPr>
      <w:r>
        <w:rPr>
          <w:rStyle w:val="FootnoteReference"/>
        </w:rPr>
        <w:footnoteRef/>
      </w:r>
      <w:r>
        <w:t xml:space="preserve"> </w:t>
      </w:r>
      <w:r w:rsidR="00796DB2">
        <w:t>Ivermectin for the Treatment of Coronavirus Disease 2019: A Systematic Review and Meta</w:t>
      </w:r>
      <w:r w:rsidR="00796DB2">
        <w:rPr>
          <w:rFonts w:ascii="Cambria Math" w:hAnsi="Cambria Math" w:cs="Cambria Math"/>
        </w:rPr>
        <w:t>‐</w:t>
      </w:r>
      <w:r w:rsidR="00796DB2">
        <w:t xml:space="preserve">analysis of Randomized Controlled Trials, Clinical Infectious Diseases, </w:t>
      </w:r>
      <w:hyperlink r:id="rId34" w:history="1">
        <w:r w:rsidR="00796DB2" w:rsidRPr="00796DB2">
          <w:rPr>
            <w:rStyle w:val="Hyperlink"/>
          </w:rPr>
          <w:t>https://pubmed.ncbi.nlm.nih.gov/34181716/</w:t>
        </w:r>
      </w:hyperlink>
    </w:p>
  </w:footnote>
  <w:footnote w:id="28">
    <w:p w14:paraId="7BFEE61F" w14:textId="5B22E434" w:rsidR="001A0A1F" w:rsidRDefault="001A0A1F" w:rsidP="00FB0C05">
      <w:pPr>
        <w:pStyle w:val="FootnoteText"/>
      </w:pPr>
      <w:r>
        <w:rPr>
          <w:rStyle w:val="FootnoteReference"/>
        </w:rPr>
        <w:footnoteRef/>
      </w:r>
      <w:r>
        <w:t xml:space="preserve"> </w:t>
      </w:r>
      <w:r w:rsidR="00FB0C05">
        <w:t>Review of the Emerging Evidence Demonstrating the Efficacy of Ivermectin in the Prophylaxis and Treatment of COVID</w:t>
      </w:r>
      <w:r w:rsidR="00FB0C05">
        <w:rPr>
          <w:rFonts w:ascii="Cambria Math" w:hAnsi="Cambria Math" w:cs="Cambria Math"/>
        </w:rPr>
        <w:t>‐</w:t>
      </w:r>
      <w:r w:rsidR="00FB0C05">
        <w:t xml:space="preserve">19, American Journal of Therapeutics, </w:t>
      </w:r>
      <w:hyperlink r:id="rId35" w:history="1">
        <w:r w:rsidR="00FB0C05" w:rsidRPr="00796DB2">
          <w:rPr>
            <w:rStyle w:val="Hyperlink"/>
          </w:rPr>
          <w:t>https://www.ncbi.nlm.nih.gov/pmc/articles/PMC8088823/</w:t>
        </w:r>
      </w:hyperlink>
    </w:p>
  </w:footnote>
  <w:footnote w:id="29">
    <w:p w14:paraId="22F4214C" w14:textId="11DCEEB5" w:rsidR="00FB0C05" w:rsidRDefault="00FB0C05">
      <w:pPr>
        <w:pStyle w:val="FootnoteText"/>
      </w:pPr>
      <w:r>
        <w:rPr>
          <w:rStyle w:val="FootnoteReference"/>
        </w:rPr>
        <w:footnoteRef/>
      </w:r>
      <w:r>
        <w:t xml:space="preserve"> </w:t>
      </w:r>
      <w:hyperlink r:id="rId36" w:anchor=":~:text=Latest%20research%20the%20%27death%20knell%27%20for%20aspirin%20use%20as%20primary%20prevention,-Matt%20Woodley&amp;text=More%20results%20from%20the%20landmark,people%20aged%2070%20and%20older" w:history="1">
        <w:r w:rsidR="00796DB2">
          <w:rPr>
            <w:rStyle w:val="Hyperlink"/>
          </w:rPr>
          <w:t>RACGP - Latest research the ‘death knell’ for aspirin use as primary prevention</w:t>
        </w:r>
      </w:hyperlink>
      <w:r w:rsidR="00796DB2">
        <w:t xml:space="preserve"> </w:t>
      </w:r>
      <w:hyperlink r:id="rId37" w:anchor=":~:text=Latest%20research%20the%20%27death%20knell%27%20for%20aspirin%20use%20as%20primary%20prevention,-Matt%20Woodley&amp;text=More%20results%20from%20the%20landmark,people%20aged%2070%20and%20older" w:history="1">
        <w:r w:rsidR="0013388E" w:rsidRPr="0057063A">
          <w:rPr>
            <w:rStyle w:val="Hyperlink"/>
          </w:rPr>
          <w:t>https://www1.racgp.org.au/newsgp/clinical/latest-research-the-death-knell-for-aspirin-use-as#:~:text=Latest%20research%20the%20%27death%20knell%27%20for%20aspirin%20use%20as%20primary%20prevention,-Matt%20Woodley&amp;text=More%20results%20from%20the%20landmark,people%20aged%2070%20and%20older</w:t>
        </w:r>
      </w:hyperlink>
      <w:r w:rsidR="0013388E">
        <w:t xml:space="preserve"> </w:t>
      </w:r>
    </w:p>
  </w:footnote>
  <w:footnote w:id="30">
    <w:p w14:paraId="65C2A2E2" w14:textId="0F6BE7DD" w:rsidR="00796DB2" w:rsidRDefault="00796DB2" w:rsidP="00796DB2">
      <w:pPr>
        <w:pStyle w:val="FootnoteText"/>
      </w:pPr>
      <w:r>
        <w:rPr>
          <w:rStyle w:val="FootnoteReference"/>
        </w:rPr>
        <w:footnoteRef/>
      </w:r>
      <w:r>
        <w:t xml:space="preserve"> Effect of Aspirin on Cardiovascular Events and Bleeding in the Healthy Elderly, The New England Journal of Medicine, </w:t>
      </w:r>
      <w:hyperlink r:id="rId38" w:history="1">
        <w:r w:rsidRPr="00796DB2">
          <w:rPr>
            <w:rStyle w:val="Hyperlink"/>
          </w:rPr>
          <w:t>https://www.nejm.org/doi/full/10.1056/nejmoa1805819</w:t>
        </w:r>
      </w:hyperlink>
      <w:r>
        <w:t xml:space="preserve"> </w:t>
      </w:r>
    </w:p>
  </w:footnote>
  <w:footnote w:id="31">
    <w:p w14:paraId="2026E48A" w14:textId="6EBCDC63" w:rsidR="00796DB2" w:rsidRDefault="00796DB2">
      <w:pPr>
        <w:pStyle w:val="FootnoteText"/>
      </w:pPr>
      <w:r>
        <w:rPr>
          <w:rStyle w:val="FootnoteReference"/>
        </w:rPr>
        <w:footnoteRef/>
      </w:r>
      <w:r>
        <w:t xml:space="preserve"> </w:t>
      </w:r>
      <w:hyperlink r:id="rId39" w:history="1">
        <w:r w:rsidRPr="00CC2FA4">
          <w:rPr>
            <w:rStyle w:val="Hyperlink"/>
          </w:rPr>
          <w:t>https://www.mja.com.au/system/files/issues/212_04/mja250428.pdf</w:t>
        </w:r>
      </w:hyperlink>
      <w:r>
        <w:t xml:space="preserve"> </w:t>
      </w:r>
    </w:p>
  </w:footnote>
  <w:footnote w:id="32">
    <w:p w14:paraId="3FF850C5" w14:textId="3E1B8D65" w:rsidR="00796DB2" w:rsidRDefault="00796DB2" w:rsidP="00796DB2">
      <w:pPr>
        <w:pStyle w:val="FootnoteText"/>
      </w:pPr>
      <w:r>
        <w:rPr>
          <w:rStyle w:val="FootnoteReference"/>
        </w:rPr>
        <w:footnoteRef/>
      </w:r>
      <w:r>
        <w:t xml:space="preserve"> Serious Neurological Adverse Events after Ivermectin—Do They Occur beyond the Indication of Onchocerciasis?</w:t>
      </w:r>
      <w:r w:rsidR="005C4BCD">
        <w:t xml:space="preserve"> </w:t>
      </w:r>
      <w:r>
        <w:t>The American Journal of Tropical Medicine and Hygiene,</w:t>
      </w:r>
      <w:r w:rsidR="00CF2018">
        <w:t xml:space="preserve"> </w:t>
      </w:r>
      <w:hyperlink r:id="rId40" w:history="1">
        <w:r w:rsidR="00CF2018" w:rsidRPr="00A51107">
          <w:rPr>
            <w:rStyle w:val="Hyperlink"/>
          </w:rPr>
          <w:t>https://www.ncbi.nlm.nih.gov/pmc/articles/PMC5929173/</w:t>
        </w:r>
      </w:hyperlink>
      <w:r>
        <w:t xml:space="preserve"> </w:t>
      </w:r>
    </w:p>
  </w:footnote>
  <w:footnote w:id="33">
    <w:p w14:paraId="7A492749" w14:textId="7FF4D050" w:rsidR="00796DB2" w:rsidRDefault="00796DB2" w:rsidP="005C4BCD">
      <w:pPr>
        <w:pStyle w:val="FootnoteText"/>
      </w:pPr>
      <w:r>
        <w:rPr>
          <w:rStyle w:val="FootnoteReference"/>
        </w:rPr>
        <w:footnoteRef/>
      </w:r>
      <w:r>
        <w:t xml:space="preserve"> </w:t>
      </w:r>
      <w:r w:rsidR="005C4BCD">
        <w:t>The Pharmacokinetics and Interactions of Ivermectin in Humans—A Mini</w:t>
      </w:r>
      <w:r w:rsidR="005C4BCD">
        <w:rPr>
          <w:rFonts w:ascii="Cambria Math" w:hAnsi="Cambria Math" w:cs="Cambria Math"/>
        </w:rPr>
        <w:t>‐</w:t>
      </w:r>
      <w:r w:rsidR="005C4BCD">
        <w:t xml:space="preserve">review, American Association of Pharmaceutical Scientists, </w:t>
      </w:r>
      <w:hyperlink r:id="rId41" w:history="1">
        <w:r w:rsidR="005C4BCD" w:rsidRPr="00CC2FA4">
          <w:rPr>
            <w:rStyle w:val="Hyperlink"/>
          </w:rPr>
          <w:t>https://www.ncbi.nlm.nih.gov/pmc/articles/PMC2751445/</w:t>
        </w:r>
      </w:hyperlink>
      <w:r w:rsidR="005C4BCD">
        <w:t xml:space="preserve"> </w:t>
      </w:r>
    </w:p>
  </w:footnote>
  <w:footnote w:id="34">
    <w:p w14:paraId="1485AE56" w14:textId="6B3C4268" w:rsidR="005C4BCD" w:rsidRDefault="005C4BCD" w:rsidP="005C4BCD">
      <w:pPr>
        <w:pStyle w:val="FootnoteText"/>
      </w:pPr>
      <w:r>
        <w:rPr>
          <w:rStyle w:val="FootnoteReference"/>
        </w:rPr>
        <w:footnoteRef/>
      </w:r>
      <w:r>
        <w:t xml:space="preserve"> Investigation of Long COVID Prevalence and Its Relationship to Epstein</w:t>
      </w:r>
      <w:r>
        <w:rPr>
          <w:rFonts w:ascii="Cambria Math" w:hAnsi="Cambria Math" w:cs="Cambria Math"/>
        </w:rPr>
        <w:t>‐</w:t>
      </w:r>
      <w:r>
        <w:t xml:space="preserve">Barr Virus Reactivation, Pathogens, </w:t>
      </w:r>
      <w:hyperlink r:id="rId42" w:history="1">
        <w:r w:rsidRPr="00CC2FA4">
          <w:rPr>
            <w:rStyle w:val="Hyperlink"/>
          </w:rPr>
          <w:t>https://pubmed.ncbi.nlm.nih.gov/34204243/</w:t>
        </w:r>
      </w:hyperlink>
      <w:r>
        <w:t xml:space="preserve">  </w:t>
      </w:r>
    </w:p>
  </w:footnote>
  <w:footnote w:id="35">
    <w:p w14:paraId="0637BE83" w14:textId="24D38EBC" w:rsidR="005C4BCD" w:rsidRDefault="005C4BCD">
      <w:pPr>
        <w:pStyle w:val="FootnoteText"/>
      </w:pPr>
      <w:r>
        <w:rPr>
          <w:rStyle w:val="FootnoteReference"/>
        </w:rPr>
        <w:footnoteRef/>
      </w:r>
      <w:r>
        <w:t xml:space="preserve"> </w:t>
      </w:r>
      <w:r w:rsidRPr="005C4BCD">
        <w:t xml:space="preserve">Herpes zoster after COVID vaccination, International Journal of Infectious Diseases, </w:t>
      </w:r>
      <w:hyperlink r:id="rId43" w:history="1">
        <w:r w:rsidRPr="00CC2FA4">
          <w:rPr>
            <w:rStyle w:val="Hyperlink"/>
          </w:rPr>
          <w:t>https://www.ncbi.nlm.nih.gov/pmc/articles/PMC8379763/</w:t>
        </w:r>
      </w:hyperlink>
      <w:r>
        <w:t xml:space="preserve"> </w:t>
      </w:r>
    </w:p>
  </w:footnote>
  <w:footnote w:id="36">
    <w:p w14:paraId="6C52B4EF" w14:textId="2E84E508" w:rsidR="005C4BCD" w:rsidRDefault="005C4BCD">
      <w:pPr>
        <w:pStyle w:val="FootnoteText"/>
      </w:pPr>
      <w:r>
        <w:rPr>
          <w:rStyle w:val="FootnoteReference"/>
        </w:rPr>
        <w:footnoteRef/>
      </w:r>
      <w:r>
        <w:t xml:space="preserve"> </w:t>
      </w:r>
      <w:r w:rsidRPr="005C4BCD">
        <w:t>Reactivation of herpes simplex keratitis following vaccination for COVID</w:t>
      </w:r>
      <w:r w:rsidRPr="005C4BCD">
        <w:rPr>
          <w:rFonts w:ascii="Cambria Math" w:hAnsi="Cambria Math" w:cs="Cambria Math"/>
        </w:rPr>
        <w:t>‐</w:t>
      </w:r>
      <w:r w:rsidRPr="005C4BCD">
        <w:t xml:space="preserve">19, BMJ Case Reports, </w:t>
      </w:r>
      <w:hyperlink r:id="rId44" w:history="1">
        <w:r w:rsidRPr="00CC2FA4">
          <w:rPr>
            <w:rStyle w:val="Hyperlink"/>
          </w:rPr>
          <w:t>https://casereports.bmj.com/content/14/9/e245792</w:t>
        </w:r>
      </w:hyperlink>
      <w:r>
        <w:t xml:space="preserve"> </w:t>
      </w:r>
    </w:p>
  </w:footnote>
  <w:footnote w:id="37">
    <w:p w14:paraId="0B759415" w14:textId="0109F2B2" w:rsidR="005C4BCD" w:rsidRDefault="005C4BCD">
      <w:pPr>
        <w:pStyle w:val="FootnoteText"/>
      </w:pPr>
      <w:r>
        <w:rPr>
          <w:rStyle w:val="FootnoteReference"/>
        </w:rPr>
        <w:footnoteRef/>
      </w:r>
      <w:r>
        <w:t xml:space="preserve"> </w:t>
      </w:r>
      <w:hyperlink r:id="rId45" w:history="1">
        <w:r w:rsidR="00DC2FB5" w:rsidRPr="00CC2FA4">
          <w:rPr>
            <w:rStyle w:val="Hyperlink"/>
          </w:rPr>
          <w:t xml:space="preserve">https://www.health.gov.au/initiatives-and-programs/covid-19-vaccines/is-it-true/is-it-true-are-covid-19-vaccines-not-effective </w:t>
        </w:r>
      </w:hyperlink>
      <w:r w:rsidR="00DC2FB5">
        <w:t xml:space="preserve"> </w:t>
      </w:r>
    </w:p>
  </w:footnote>
  <w:footnote w:id="38">
    <w:p w14:paraId="6DC565EB" w14:textId="444D587D" w:rsidR="00DC2FB5" w:rsidRDefault="00DC2FB5">
      <w:pPr>
        <w:pStyle w:val="FootnoteText"/>
      </w:pPr>
      <w:r>
        <w:rPr>
          <w:rStyle w:val="FootnoteReference"/>
        </w:rPr>
        <w:footnoteRef/>
      </w:r>
      <w:r>
        <w:t xml:space="preserve"> </w:t>
      </w:r>
      <w:hyperlink r:id="rId46" w:history="1">
        <w:r w:rsidRPr="00CC2FA4">
          <w:rPr>
            <w:rStyle w:val="Hyperlink"/>
          </w:rPr>
          <w:t>https://www.health.gov.au/initiatives-and-programs/covid-19-vaccines/approved-vaccines/how-they-work</w:t>
        </w:r>
      </w:hyperlink>
      <w:r>
        <w:t xml:space="preserve"> </w:t>
      </w:r>
    </w:p>
  </w:footnote>
  <w:footnote w:id="39">
    <w:p w14:paraId="4D61B8E2" w14:textId="376AB872" w:rsidR="00DC2FB5" w:rsidRDefault="00DC2FB5">
      <w:pPr>
        <w:pStyle w:val="FootnoteText"/>
      </w:pPr>
      <w:r>
        <w:rPr>
          <w:rStyle w:val="FootnoteReference"/>
        </w:rPr>
        <w:footnoteRef/>
      </w:r>
      <w:r>
        <w:t xml:space="preserve"> </w:t>
      </w:r>
      <w:hyperlink r:id="rId47" w:history="1">
        <w:r w:rsidRPr="00CC2FA4">
          <w:rPr>
            <w:rStyle w:val="Hyperlink"/>
          </w:rPr>
          <w:t>https://www.fda.gov/news-events/press-announcements/fda-approves-first-covid-19-vaccine</w:t>
        </w:r>
      </w:hyperlink>
      <w:r>
        <w:t xml:space="preserve"> </w:t>
      </w:r>
    </w:p>
  </w:footnote>
  <w:footnote w:id="40">
    <w:p w14:paraId="0A6C08DF" w14:textId="72DFA56C" w:rsidR="00DC2FB5" w:rsidRDefault="00DC2FB5">
      <w:pPr>
        <w:pStyle w:val="FootnoteText"/>
      </w:pPr>
      <w:r>
        <w:rPr>
          <w:rStyle w:val="FootnoteReference"/>
        </w:rPr>
        <w:footnoteRef/>
      </w:r>
      <w:r>
        <w:t xml:space="preserve"> </w:t>
      </w:r>
      <w:hyperlink r:id="rId48" w:history="1">
        <w:r w:rsidRPr="00DC2FB5">
          <w:rPr>
            <w:rStyle w:val="Hyperlink"/>
          </w:rPr>
          <w:t>https://www.fda.gov/vaccines-blood-biologics/vaccines/emergency-use-authorization-vaccines-explained</w:t>
        </w:r>
      </w:hyperlink>
    </w:p>
  </w:footnote>
  <w:footnote w:id="41">
    <w:p w14:paraId="16B6C862" w14:textId="41BD7F9E" w:rsidR="00B966BC" w:rsidRDefault="00B966BC" w:rsidP="00B966BC">
      <w:pPr>
        <w:pStyle w:val="FootnoteText"/>
      </w:pPr>
      <w:r>
        <w:rPr>
          <w:rStyle w:val="FootnoteReference"/>
        </w:rPr>
        <w:footnoteRef/>
      </w:r>
      <w:r>
        <w:t xml:space="preserve"> Note the </w:t>
      </w:r>
      <w:hyperlink r:id="rId49" w:history="1">
        <w:r w:rsidRPr="00B966BC">
          <w:rPr>
            <w:rStyle w:val="Hyperlink"/>
          </w:rPr>
          <w:t>link</w:t>
        </w:r>
      </w:hyperlink>
      <w:r>
        <w:t xml:space="preserve"> provided does not work.  </w:t>
      </w:r>
    </w:p>
  </w:footnote>
  <w:footnote w:id="42">
    <w:p w14:paraId="0C485BD8" w14:textId="0BF7525B" w:rsidR="00B966BC" w:rsidRDefault="00B966BC">
      <w:pPr>
        <w:pStyle w:val="FootnoteText"/>
      </w:pPr>
      <w:r>
        <w:rPr>
          <w:rStyle w:val="FootnoteReference"/>
        </w:rPr>
        <w:footnoteRef/>
      </w:r>
      <w:r>
        <w:t xml:space="preserve"> </w:t>
      </w:r>
      <w:hyperlink r:id="rId50" w:history="1">
        <w:r w:rsidRPr="00CC2FA4">
          <w:rPr>
            <w:rStyle w:val="Hyperlink"/>
          </w:rPr>
          <w:t>https://www.health.gov.au/resources/publications/covid-19-vaccination-shared-decision-making-guide-for-women-who-are-pregnant-breastfeeding-or-planning-pregnancy</w:t>
        </w:r>
      </w:hyperlink>
    </w:p>
  </w:footnote>
  <w:footnote w:id="43">
    <w:p w14:paraId="1243F83A" w14:textId="76A50052" w:rsidR="00B966BC" w:rsidRDefault="00B966BC">
      <w:pPr>
        <w:pStyle w:val="FootnoteText"/>
      </w:pPr>
      <w:r>
        <w:rPr>
          <w:rStyle w:val="FootnoteReference"/>
        </w:rPr>
        <w:footnoteRef/>
      </w:r>
      <w:r>
        <w:t xml:space="preserve"> </w:t>
      </w:r>
      <w:r w:rsidRPr="00B966BC">
        <w:t>Are COVID</w:t>
      </w:r>
      <w:r w:rsidRPr="00B966BC">
        <w:rPr>
          <w:rFonts w:ascii="Cambria Math" w:hAnsi="Cambria Math" w:cs="Cambria Math"/>
        </w:rPr>
        <w:t>‐</w:t>
      </w:r>
      <w:r w:rsidRPr="00B966BC">
        <w:t xml:space="preserve">19 vaccines safe in pregnancy?, Nature, </w:t>
      </w:r>
      <w:hyperlink r:id="rId51" w:history="1">
        <w:r w:rsidRPr="00CC2FA4">
          <w:rPr>
            <w:rStyle w:val="Hyperlink"/>
          </w:rPr>
          <w:t>https://www.nature.com/articles/s41577</w:t>
        </w:r>
        <w:r w:rsidRPr="00CC2FA4">
          <w:rPr>
            <w:rStyle w:val="Hyperlink"/>
            <w:rFonts w:ascii="Cambria Math" w:hAnsi="Cambria Math" w:cs="Cambria Math"/>
          </w:rPr>
          <w:t>‐</w:t>
        </w:r>
        <w:r w:rsidRPr="00CC2FA4">
          <w:rPr>
            <w:rStyle w:val="Hyperlink"/>
          </w:rPr>
          <w:t>021</w:t>
        </w:r>
        <w:r w:rsidRPr="00CC2FA4">
          <w:rPr>
            <w:rStyle w:val="Hyperlink"/>
            <w:rFonts w:ascii="Cambria Math" w:hAnsi="Cambria Math" w:cs="Cambria Math"/>
          </w:rPr>
          <w:t>‐</w:t>
        </w:r>
        <w:r w:rsidRPr="00CC2FA4">
          <w:rPr>
            <w:rStyle w:val="Hyperlink"/>
          </w:rPr>
          <w:t>00525</w:t>
        </w:r>
        <w:r w:rsidRPr="00CC2FA4">
          <w:rPr>
            <w:rStyle w:val="Hyperlink"/>
            <w:rFonts w:ascii="Cambria Math" w:hAnsi="Cambria Math" w:cs="Cambria Math"/>
          </w:rPr>
          <w:t>‐</w:t>
        </w:r>
        <w:r w:rsidRPr="00CC2FA4">
          <w:rPr>
            <w:rStyle w:val="Hyperlink"/>
          </w:rPr>
          <w:t>y.pdf?origin=ppub</w:t>
        </w:r>
      </w:hyperlink>
      <w:r>
        <w:t xml:space="preserve"> </w:t>
      </w:r>
    </w:p>
  </w:footnote>
  <w:footnote w:id="44">
    <w:p w14:paraId="30B3C53D" w14:textId="7E9C7915" w:rsidR="00B966BC" w:rsidRDefault="00B966BC">
      <w:pPr>
        <w:pStyle w:val="FootnoteText"/>
      </w:pPr>
      <w:r>
        <w:rPr>
          <w:rStyle w:val="FootnoteReference"/>
        </w:rPr>
        <w:footnoteRef/>
      </w:r>
      <w:r>
        <w:t xml:space="preserve"> </w:t>
      </w:r>
      <w:hyperlink r:id="rId52" w:history="1">
        <w:r w:rsidRPr="00CC2FA4">
          <w:rPr>
            <w:rStyle w:val="Hyperlink"/>
          </w:rPr>
          <w:t>https://archive.ph/RHXXV</w:t>
        </w:r>
      </w:hyperlink>
      <w:r>
        <w:t xml:space="preserve"> </w:t>
      </w:r>
    </w:p>
  </w:footnote>
  <w:footnote w:id="45">
    <w:p w14:paraId="0F40EA74" w14:textId="3E7DB0A0" w:rsidR="006811BA" w:rsidRDefault="006811BA">
      <w:pPr>
        <w:pStyle w:val="FootnoteText"/>
      </w:pPr>
      <w:r>
        <w:rPr>
          <w:rStyle w:val="FootnoteReference"/>
        </w:rPr>
        <w:footnoteRef/>
      </w:r>
      <w:r>
        <w:t xml:space="preserve"> </w:t>
      </w:r>
      <w:r w:rsidRPr="006811BA">
        <w:t>Menstrual changes after covid</w:t>
      </w:r>
      <w:r w:rsidRPr="006811BA">
        <w:rPr>
          <w:rFonts w:ascii="Cambria Math" w:hAnsi="Cambria Math" w:cs="Cambria Math"/>
        </w:rPr>
        <w:t>‐</w:t>
      </w:r>
      <w:r w:rsidRPr="006811BA">
        <w:t xml:space="preserve">19 vaccination, British Medical Journal, </w:t>
      </w:r>
      <w:hyperlink r:id="rId53" w:history="1">
        <w:r w:rsidRPr="00CC2FA4">
          <w:rPr>
            <w:rStyle w:val="Hyperlink"/>
          </w:rPr>
          <w:t>https://www.bmj.com/content/374/bmj.n2211</w:t>
        </w:r>
      </w:hyperlink>
      <w:r>
        <w:t xml:space="preserve"> </w:t>
      </w:r>
    </w:p>
  </w:footnote>
  <w:footnote w:id="46">
    <w:p w14:paraId="0AA8E10A" w14:textId="77DBE3A7" w:rsidR="006811BA" w:rsidRDefault="006811BA">
      <w:pPr>
        <w:pStyle w:val="FootnoteText"/>
      </w:pPr>
      <w:r>
        <w:rPr>
          <w:rStyle w:val="FootnoteReference"/>
        </w:rPr>
        <w:footnoteRef/>
      </w:r>
      <w:r>
        <w:t xml:space="preserve"> </w:t>
      </w:r>
      <w:hyperlink r:id="rId54" w:history="1">
        <w:r w:rsidRPr="00CC2FA4">
          <w:rPr>
            <w:rStyle w:val="Hyperlink"/>
          </w:rPr>
          <w:t>https://www.acog.org/clinical/clinical-guidance/practice-advisory/articles/2020/12/covid-19-vaccination-considerations-for-obstetric-gynecologic-care</w:t>
        </w:r>
      </w:hyperlink>
      <w:r>
        <w:t xml:space="preserve"> </w:t>
      </w:r>
    </w:p>
  </w:footnote>
  <w:footnote w:id="47">
    <w:p w14:paraId="7406BA6F" w14:textId="7A132E5F" w:rsidR="006811BA" w:rsidRDefault="006811BA">
      <w:pPr>
        <w:pStyle w:val="FootnoteText"/>
      </w:pPr>
      <w:r>
        <w:rPr>
          <w:rStyle w:val="FootnoteReference"/>
        </w:rPr>
        <w:footnoteRef/>
      </w:r>
      <w:r>
        <w:t xml:space="preserve"> </w:t>
      </w:r>
      <w:hyperlink r:id="rId55" w:history="1">
        <w:r w:rsidRPr="00CC2FA4">
          <w:rPr>
            <w:rStyle w:val="Hyperlink"/>
          </w:rPr>
          <w:t>https://womenshealthresearch.ubc.ca/blog/menstrual-irregularities-and-covid-19-vaccine</w:t>
        </w:r>
      </w:hyperlink>
      <w:r>
        <w:t xml:space="preserve"> </w:t>
      </w:r>
    </w:p>
  </w:footnote>
  <w:footnote w:id="48">
    <w:p w14:paraId="3FA6D63F" w14:textId="0810FCB8" w:rsidR="00A677B2" w:rsidRDefault="00A677B2">
      <w:pPr>
        <w:pStyle w:val="FootnoteText"/>
      </w:pPr>
      <w:r>
        <w:rPr>
          <w:rStyle w:val="FootnoteReference"/>
        </w:rPr>
        <w:footnoteRef/>
      </w:r>
      <w:r w:rsidR="007F4A78">
        <w:rPr>
          <w:color w:val="0562C1"/>
          <w:szCs w:val="16"/>
          <w:u w:val="single" w:color="0562C1"/>
        </w:rPr>
        <w:t xml:space="preserve"> </w:t>
      </w:r>
      <w:r w:rsidRPr="00854EFE">
        <w:rPr>
          <w:szCs w:val="16"/>
          <w:u w:val="single" w:color="0562C1"/>
        </w:rPr>
        <w:t>https://en.wikipedia.org/wiki/The_Pandemic_Specia</w:t>
      </w:r>
      <w:r w:rsidRPr="00854EFE">
        <w:rPr>
          <w:szCs w:val="16"/>
        </w:rPr>
        <w:t>l.</w:t>
      </w:r>
      <w:r w:rsidRPr="00854EFE">
        <w:t xml:space="preserve"> </w:t>
      </w:r>
    </w:p>
  </w:footnote>
  <w:footnote w:id="49">
    <w:p w14:paraId="3D6EC6DB" w14:textId="3CCAF53A" w:rsidR="00A677B2" w:rsidRDefault="00A677B2" w:rsidP="007F4A78">
      <w:pPr>
        <w:pStyle w:val="FootnoteText"/>
      </w:pPr>
      <w:r>
        <w:rPr>
          <w:rStyle w:val="FootnoteReference"/>
        </w:rPr>
        <w:footnoteRef/>
      </w:r>
      <w:r>
        <w:t xml:space="preserve"> </w:t>
      </w:r>
      <w:r w:rsidRPr="00A677B2">
        <w:rPr>
          <w:u w:val="single"/>
          <w:lang w:val="en-US"/>
        </w:rPr>
        <w:t>https://en.wikipedia.org/wiki/South_ParQ_Vaccination_Specia</w:t>
      </w:r>
      <w:r w:rsidRPr="00A677B2">
        <w:rPr>
          <w:lang w:val="en-US"/>
        </w:rPr>
        <w:t>l.</w:t>
      </w:r>
    </w:p>
  </w:footnote>
  <w:footnote w:id="50">
    <w:p w14:paraId="41E3916D" w14:textId="5A8CDDCA" w:rsidR="007F4A78" w:rsidRDefault="007F4A78">
      <w:pPr>
        <w:pStyle w:val="FootnoteText"/>
      </w:pPr>
      <w:r>
        <w:rPr>
          <w:rStyle w:val="FootnoteReference"/>
        </w:rPr>
        <w:footnoteRef/>
      </w:r>
      <w:r>
        <w:t xml:space="preserve"> </w:t>
      </w:r>
      <w:r w:rsidRPr="007F4A78">
        <w:rPr>
          <w:i/>
          <w:u w:val="single"/>
          <w:lang w:val="en-US"/>
        </w:rPr>
        <w:t>https://en.wikipedia.org/wiki/The_Gang_Goes_to_Ireland</w:t>
      </w:r>
      <w:r w:rsidRPr="007F4A78">
        <w:rPr>
          <w:i/>
          <w:lang w:val="en-US"/>
        </w:rPr>
        <w:t>.</w:t>
      </w:r>
    </w:p>
  </w:footnote>
  <w:footnote w:id="51">
    <w:p w14:paraId="795A7399" w14:textId="0C22CEA9" w:rsidR="007F4A78" w:rsidRDefault="007F4A78">
      <w:pPr>
        <w:pStyle w:val="FootnoteText"/>
      </w:pPr>
      <w:r w:rsidRPr="00854EFE">
        <w:rPr>
          <w:rStyle w:val="FootnoteReference"/>
        </w:rPr>
        <w:footnoteRef/>
      </w:r>
      <w:r w:rsidRPr="00854EFE">
        <w:t xml:space="preserve"> </w:t>
      </w:r>
      <w:hyperlink r:id="rId56">
        <w:r w:rsidRPr="00854EFE">
          <w:rPr>
            <w:rStyle w:val="Hyperlink"/>
            <w:color w:val="auto"/>
            <w:lang w:val="en-US"/>
          </w:rPr>
          <w:t>https://ww</w:t>
        </w:r>
      </w:hyperlink>
      <w:r w:rsidRPr="00854EFE">
        <w:rPr>
          <w:u w:val="single"/>
          <w:lang w:val="en-US"/>
        </w:rPr>
        <w:t>w.abc.</w:t>
      </w:r>
      <w:hyperlink r:id="rId57">
        <w:r w:rsidRPr="00854EFE">
          <w:rPr>
            <w:rStyle w:val="Hyperlink"/>
            <w:color w:val="auto"/>
            <w:lang w:val="en-US"/>
          </w:rPr>
          <w:t>net.au</w:t>
        </w:r>
      </w:hyperlink>
      <w:r w:rsidRPr="00854EFE">
        <w:rPr>
          <w:u w:val="single"/>
          <w:lang w:val="en-US"/>
        </w:rPr>
        <w:t>/n</w:t>
      </w:r>
      <w:hyperlink r:id="rId58">
        <w:r w:rsidRPr="00854EFE">
          <w:rPr>
            <w:rStyle w:val="Hyperlink"/>
            <w:color w:val="auto"/>
            <w:lang w:val="en-US"/>
          </w:rPr>
          <w:t>ews/2021</w:t>
        </w:r>
      </w:hyperlink>
      <w:r w:rsidRPr="007F4A78">
        <w:rPr>
          <w:rFonts w:ascii="Cambria Math" w:hAnsi="Cambria Math" w:cs="Cambria Math"/>
          <w:u w:val="single"/>
          <w:lang w:val="en-US"/>
        </w:rPr>
        <w:t>‐</w:t>
      </w:r>
      <w:r w:rsidRPr="007F4A78">
        <w:rPr>
          <w:u w:val="single"/>
          <w:lang w:val="en-US"/>
        </w:rPr>
        <w:t>09</w:t>
      </w:r>
      <w:r w:rsidRPr="007F4A78">
        <w:rPr>
          <w:rFonts w:ascii="Cambria Math" w:hAnsi="Cambria Math" w:cs="Cambria Math"/>
          <w:u w:val="single"/>
          <w:lang w:val="en-US"/>
        </w:rPr>
        <w:t>‐</w:t>
      </w:r>
      <w:r w:rsidRPr="007F4A78">
        <w:rPr>
          <w:u w:val="single"/>
          <w:lang w:val="en-US"/>
        </w:rPr>
        <w:t>15/how</w:t>
      </w:r>
      <w:r w:rsidRPr="007F4A78">
        <w:rPr>
          <w:rFonts w:ascii="Cambria Math" w:hAnsi="Cambria Math" w:cs="Cambria Math"/>
          <w:u w:val="single"/>
          <w:lang w:val="en-US"/>
        </w:rPr>
        <w:t>‐</w:t>
      </w:r>
      <w:r w:rsidRPr="007F4A78">
        <w:rPr>
          <w:u w:val="single"/>
          <w:lang w:val="en-US"/>
        </w:rPr>
        <w:t>tv</w:t>
      </w:r>
      <w:r w:rsidRPr="007F4A78">
        <w:rPr>
          <w:rFonts w:ascii="Cambria Math" w:hAnsi="Cambria Math" w:cs="Cambria Math"/>
          <w:u w:val="single"/>
          <w:lang w:val="en-US"/>
        </w:rPr>
        <w:t>‐</w:t>
      </w:r>
      <w:r w:rsidRPr="007F4A78">
        <w:rPr>
          <w:u w:val="single"/>
          <w:lang w:val="en-US"/>
        </w:rPr>
        <w:t>shows</w:t>
      </w:r>
      <w:r w:rsidRPr="007F4A78">
        <w:rPr>
          <w:rFonts w:ascii="Cambria Math" w:hAnsi="Cambria Math" w:cs="Cambria Math"/>
          <w:u w:val="single"/>
          <w:lang w:val="en-US"/>
        </w:rPr>
        <w:t>‐</w:t>
      </w:r>
      <w:r w:rsidRPr="007F4A78">
        <w:rPr>
          <w:u w:val="single"/>
          <w:lang w:val="en-US"/>
        </w:rPr>
        <w:t>are</w:t>
      </w:r>
      <w:r w:rsidRPr="007F4A78">
        <w:rPr>
          <w:rFonts w:ascii="Cambria Math" w:hAnsi="Cambria Math" w:cs="Cambria Math"/>
          <w:u w:val="single"/>
          <w:lang w:val="en-US"/>
        </w:rPr>
        <w:t>‐</w:t>
      </w:r>
      <w:r w:rsidRPr="007F4A78">
        <w:rPr>
          <w:u w:val="single"/>
          <w:lang w:val="en-US"/>
        </w:rPr>
        <w:t>tackling</w:t>
      </w:r>
      <w:r w:rsidRPr="007F4A78">
        <w:rPr>
          <w:rFonts w:ascii="Cambria Math" w:hAnsi="Cambria Math" w:cs="Cambria Math"/>
          <w:u w:val="single"/>
          <w:lang w:val="en-US"/>
        </w:rPr>
        <w:t>‐</w:t>
      </w:r>
      <w:r w:rsidRPr="007F4A78">
        <w:rPr>
          <w:u w:val="single"/>
          <w:lang w:val="en-US"/>
        </w:rPr>
        <w:t>the</w:t>
      </w:r>
      <w:r w:rsidRPr="007F4A78">
        <w:rPr>
          <w:rFonts w:ascii="Cambria Math" w:hAnsi="Cambria Math" w:cs="Cambria Math"/>
          <w:u w:val="single"/>
          <w:lang w:val="en-US"/>
        </w:rPr>
        <w:t>‐</w:t>
      </w:r>
      <w:r w:rsidRPr="007F4A78">
        <w:rPr>
          <w:u w:val="single"/>
          <w:lang w:val="en-US"/>
        </w:rPr>
        <w:t>covid</w:t>
      </w:r>
      <w:r w:rsidRPr="007F4A78">
        <w:rPr>
          <w:rFonts w:ascii="Cambria Math" w:hAnsi="Cambria Math" w:cs="Cambria Math"/>
          <w:u w:val="single"/>
          <w:lang w:val="en-US"/>
        </w:rPr>
        <w:t>‐</w:t>
      </w:r>
      <w:r w:rsidRPr="007F4A78">
        <w:rPr>
          <w:u w:val="single"/>
          <w:lang w:val="en-US"/>
        </w:rPr>
        <w:t>pandemic/100453994</w:t>
      </w:r>
      <w:r>
        <w:rPr>
          <w:u w:val="single"/>
          <w:lang w:val="en-US"/>
        </w:rPr>
        <w:t>.</w:t>
      </w:r>
    </w:p>
  </w:footnote>
  <w:footnote w:id="52">
    <w:p w14:paraId="4D188A1C" w14:textId="6D4CDC06" w:rsidR="007F4A78" w:rsidRPr="00854EFE" w:rsidRDefault="007F4A78">
      <w:pPr>
        <w:pStyle w:val="FootnoteText"/>
      </w:pPr>
      <w:r>
        <w:rPr>
          <w:rStyle w:val="FootnoteReference"/>
        </w:rPr>
        <w:footnoteRef/>
      </w:r>
      <w:r>
        <w:t xml:space="preserve"> </w:t>
      </w:r>
      <w:hyperlink r:id="rId59">
        <w:r w:rsidRPr="00854EFE">
          <w:rPr>
            <w:rStyle w:val="Hyperlink"/>
            <w:i/>
            <w:color w:val="auto"/>
            <w:lang w:val="en-US"/>
          </w:rPr>
          <w:t>https://ww</w:t>
        </w:r>
      </w:hyperlink>
      <w:r w:rsidRPr="00854EFE">
        <w:rPr>
          <w:i/>
          <w:u w:val="single"/>
          <w:lang w:val="en-US"/>
        </w:rPr>
        <w:t>w.abc.</w:t>
      </w:r>
      <w:hyperlink r:id="rId60">
        <w:r w:rsidRPr="00854EFE">
          <w:rPr>
            <w:rStyle w:val="Hyperlink"/>
            <w:i/>
            <w:color w:val="auto"/>
            <w:lang w:val="en-US"/>
          </w:rPr>
          <w:t>net.au</w:t>
        </w:r>
      </w:hyperlink>
      <w:r w:rsidRPr="00854EFE">
        <w:rPr>
          <w:i/>
          <w:u w:val="single"/>
          <w:lang w:val="en-US"/>
        </w:rPr>
        <w:t>/n</w:t>
      </w:r>
      <w:hyperlink r:id="rId61">
        <w:r w:rsidRPr="00854EFE">
          <w:rPr>
            <w:rStyle w:val="Hyperlink"/>
            <w:i/>
            <w:color w:val="auto"/>
            <w:lang w:val="en-US"/>
          </w:rPr>
          <w:t>ews/2021</w:t>
        </w:r>
      </w:hyperlink>
      <w:r w:rsidRPr="00854EFE">
        <w:rPr>
          <w:rFonts w:ascii="Cambria Math" w:hAnsi="Cambria Math" w:cs="Cambria Math"/>
          <w:i/>
          <w:u w:val="single"/>
          <w:lang w:val="en-US"/>
        </w:rPr>
        <w:t>‐</w:t>
      </w:r>
      <w:r w:rsidRPr="00854EFE">
        <w:rPr>
          <w:i/>
          <w:u w:val="single"/>
          <w:lang w:val="en-US"/>
        </w:rPr>
        <w:t>09</w:t>
      </w:r>
      <w:r w:rsidRPr="00854EFE">
        <w:rPr>
          <w:rFonts w:ascii="Cambria Math" w:hAnsi="Cambria Math" w:cs="Cambria Math"/>
          <w:i/>
          <w:u w:val="single"/>
          <w:lang w:val="en-US"/>
        </w:rPr>
        <w:t>‐</w:t>
      </w:r>
      <w:r w:rsidRPr="00854EFE">
        <w:rPr>
          <w:i/>
          <w:u w:val="single"/>
          <w:lang w:val="en-US"/>
        </w:rPr>
        <w:t>15/how</w:t>
      </w:r>
      <w:r w:rsidRPr="00854EFE">
        <w:rPr>
          <w:rFonts w:ascii="Cambria Math" w:hAnsi="Cambria Math" w:cs="Cambria Math"/>
          <w:i/>
          <w:u w:val="single"/>
          <w:lang w:val="en-US"/>
        </w:rPr>
        <w:t>‐</w:t>
      </w:r>
      <w:r w:rsidRPr="00854EFE">
        <w:rPr>
          <w:i/>
          <w:u w:val="single"/>
          <w:lang w:val="en-US"/>
        </w:rPr>
        <w:t>tv</w:t>
      </w:r>
      <w:r w:rsidRPr="00854EFE">
        <w:rPr>
          <w:rFonts w:ascii="Cambria Math" w:hAnsi="Cambria Math" w:cs="Cambria Math"/>
          <w:i/>
          <w:u w:val="single"/>
          <w:lang w:val="en-US"/>
        </w:rPr>
        <w:t>‐</w:t>
      </w:r>
      <w:r w:rsidRPr="00854EFE">
        <w:rPr>
          <w:i/>
          <w:u w:val="single"/>
          <w:lang w:val="en-US"/>
        </w:rPr>
        <w:t>shows</w:t>
      </w:r>
      <w:r w:rsidRPr="00854EFE">
        <w:rPr>
          <w:rFonts w:ascii="Cambria Math" w:hAnsi="Cambria Math" w:cs="Cambria Math"/>
          <w:i/>
          <w:u w:val="single"/>
          <w:lang w:val="en-US"/>
        </w:rPr>
        <w:t>‐</w:t>
      </w:r>
      <w:r w:rsidRPr="00854EFE">
        <w:rPr>
          <w:i/>
          <w:u w:val="single"/>
          <w:lang w:val="en-US"/>
        </w:rPr>
        <w:t>are</w:t>
      </w:r>
      <w:r w:rsidRPr="00854EFE">
        <w:rPr>
          <w:rFonts w:ascii="Cambria Math" w:hAnsi="Cambria Math" w:cs="Cambria Math"/>
          <w:i/>
          <w:u w:val="single"/>
          <w:lang w:val="en-US"/>
        </w:rPr>
        <w:t>‐</w:t>
      </w:r>
      <w:r w:rsidRPr="00854EFE">
        <w:rPr>
          <w:i/>
          <w:u w:val="single"/>
          <w:lang w:val="en-US"/>
        </w:rPr>
        <w:t>tackling</w:t>
      </w:r>
      <w:r w:rsidRPr="00854EFE">
        <w:rPr>
          <w:rFonts w:ascii="Cambria Math" w:hAnsi="Cambria Math" w:cs="Cambria Math"/>
          <w:i/>
          <w:u w:val="single"/>
          <w:lang w:val="en-US"/>
        </w:rPr>
        <w:t>‐</w:t>
      </w:r>
      <w:r w:rsidRPr="00854EFE">
        <w:rPr>
          <w:i/>
          <w:u w:val="single"/>
          <w:lang w:val="en-US"/>
        </w:rPr>
        <w:t>the</w:t>
      </w:r>
      <w:r w:rsidRPr="00854EFE">
        <w:rPr>
          <w:rFonts w:ascii="Cambria Math" w:hAnsi="Cambria Math" w:cs="Cambria Math"/>
          <w:i/>
          <w:u w:val="single"/>
          <w:lang w:val="en-US"/>
        </w:rPr>
        <w:t>‐</w:t>
      </w:r>
      <w:r w:rsidRPr="00854EFE">
        <w:rPr>
          <w:i/>
          <w:u w:val="single"/>
          <w:lang w:val="en-US"/>
        </w:rPr>
        <w:t>covid</w:t>
      </w:r>
      <w:r w:rsidRPr="00854EFE">
        <w:rPr>
          <w:rFonts w:ascii="Cambria Math" w:hAnsi="Cambria Math" w:cs="Cambria Math"/>
          <w:i/>
          <w:u w:val="single"/>
          <w:lang w:val="en-US"/>
        </w:rPr>
        <w:t>‐</w:t>
      </w:r>
      <w:r w:rsidRPr="00854EFE">
        <w:rPr>
          <w:i/>
          <w:u w:val="single"/>
          <w:lang w:val="en-US"/>
        </w:rPr>
        <w:t>pandemic/100453994</w:t>
      </w:r>
      <w:r w:rsidRPr="00854EFE">
        <w:rPr>
          <w:i/>
          <w:lang w:val="en-US"/>
        </w:rPr>
        <w:t>.</w:t>
      </w:r>
    </w:p>
  </w:footnote>
  <w:footnote w:id="53">
    <w:p w14:paraId="7B5EC0BE" w14:textId="29A497CE" w:rsidR="007F4A78" w:rsidRPr="00854EFE" w:rsidRDefault="007F4A78">
      <w:pPr>
        <w:pStyle w:val="FootnoteText"/>
      </w:pPr>
      <w:r w:rsidRPr="00854EFE">
        <w:rPr>
          <w:rStyle w:val="FootnoteReference"/>
        </w:rPr>
        <w:footnoteRef/>
      </w:r>
      <w:r w:rsidRPr="00854EFE">
        <w:rPr>
          <w:i/>
          <w:lang w:val="en-US"/>
        </w:rPr>
        <w:t xml:space="preserve"> </w:t>
      </w:r>
      <w:hyperlink r:id="rId62" w:history="1">
        <w:r w:rsidRPr="00854EFE">
          <w:rPr>
            <w:rStyle w:val="Hyperlink"/>
            <w:i/>
            <w:color w:val="auto"/>
            <w:lang w:val="en-US"/>
          </w:rPr>
          <w:t>https://ww</w:t>
        </w:r>
      </w:hyperlink>
      <w:r w:rsidRPr="00854EFE">
        <w:rPr>
          <w:i/>
          <w:u w:val="single"/>
          <w:lang w:val="en-US"/>
        </w:rPr>
        <w:t>w.abc.</w:t>
      </w:r>
      <w:hyperlink r:id="rId63">
        <w:r w:rsidRPr="00854EFE">
          <w:rPr>
            <w:rStyle w:val="Hyperlink"/>
            <w:i/>
            <w:color w:val="auto"/>
            <w:lang w:val="en-US"/>
          </w:rPr>
          <w:t>net.au</w:t>
        </w:r>
      </w:hyperlink>
      <w:r w:rsidRPr="00854EFE">
        <w:rPr>
          <w:i/>
          <w:u w:val="single"/>
          <w:lang w:val="en-US"/>
        </w:rPr>
        <w:t>/n</w:t>
      </w:r>
      <w:hyperlink r:id="rId64">
        <w:r w:rsidRPr="00854EFE">
          <w:rPr>
            <w:rStyle w:val="Hyperlink"/>
            <w:i/>
            <w:color w:val="auto"/>
            <w:lang w:val="en-US"/>
          </w:rPr>
          <w:t>ews/2021</w:t>
        </w:r>
      </w:hyperlink>
      <w:r w:rsidRPr="00854EFE">
        <w:rPr>
          <w:rFonts w:ascii="Cambria Math" w:hAnsi="Cambria Math" w:cs="Cambria Math"/>
          <w:i/>
          <w:u w:val="single"/>
          <w:lang w:val="en-US"/>
        </w:rPr>
        <w:t>‐</w:t>
      </w:r>
      <w:r w:rsidRPr="00854EFE">
        <w:rPr>
          <w:i/>
          <w:u w:val="single"/>
          <w:lang w:val="en-US"/>
        </w:rPr>
        <w:t>09</w:t>
      </w:r>
      <w:r w:rsidRPr="00854EFE">
        <w:rPr>
          <w:rFonts w:ascii="Cambria Math" w:hAnsi="Cambria Math" w:cs="Cambria Math"/>
          <w:i/>
          <w:u w:val="single"/>
          <w:lang w:val="en-US"/>
        </w:rPr>
        <w:t>‐</w:t>
      </w:r>
      <w:r w:rsidRPr="00854EFE">
        <w:rPr>
          <w:i/>
          <w:u w:val="single"/>
          <w:lang w:val="en-US"/>
        </w:rPr>
        <w:t>15/how</w:t>
      </w:r>
      <w:r w:rsidRPr="00854EFE">
        <w:rPr>
          <w:rFonts w:ascii="Cambria Math" w:hAnsi="Cambria Math" w:cs="Cambria Math"/>
          <w:i/>
          <w:u w:val="single"/>
          <w:lang w:val="en-US"/>
        </w:rPr>
        <w:t>‐</w:t>
      </w:r>
      <w:r w:rsidRPr="00854EFE">
        <w:rPr>
          <w:i/>
          <w:u w:val="single"/>
          <w:lang w:val="en-US"/>
        </w:rPr>
        <w:t>tv</w:t>
      </w:r>
      <w:r w:rsidRPr="00854EFE">
        <w:rPr>
          <w:rFonts w:ascii="Cambria Math" w:hAnsi="Cambria Math" w:cs="Cambria Math"/>
          <w:i/>
          <w:u w:val="single"/>
          <w:lang w:val="en-US"/>
        </w:rPr>
        <w:t>‐</w:t>
      </w:r>
      <w:r w:rsidRPr="00854EFE">
        <w:rPr>
          <w:i/>
          <w:u w:val="single"/>
          <w:lang w:val="en-US"/>
        </w:rPr>
        <w:t>shows</w:t>
      </w:r>
      <w:r w:rsidRPr="00854EFE">
        <w:rPr>
          <w:rFonts w:ascii="Cambria Math" w:hAnsi="Cambria Math" w:cs="Cambria Math"/>
          <w:i/>
          <w:u w:val="single"/>
          <w:lang w:val="en-US"/>
        </w:rPr>
        <w:t>‐</w:t>
      </w:r>
      <w:r w:rsidRPr="00854EFE">
        <w:rPr>
          <w:i/>
          <w:u w:val="single"/>
          <w:lang w:val="en-US"/>
        </w:rPr>
        <w:t>are</w:t>
      </w:r>
      <w:r w:rsidRPr="00854EFE">
        <w:rPr>
          <w:rFonts w:ascii="Cambria Math" w:hAnsi="Cambria Math" w:cs="Cambria Math"/>
          <w:i/>
          <w:u w:val="single"/>
          <w:lang w:val="en-US"/>
        </w:rPr>
        <w:t>‐</w:t>
      </w:r>
      <w:r w:rsidRPr="00854EFE">
        <w:rPr>
          <w:i/>
          <w:u w:val="single"/>
          <w:lang w:val="en-US"/>
        </w:rPr>
        <w:t>tackling</w:t>
      </w:r>
      <w:r w:rsidRPr="00854EFE">
        <w:rPr>
          <w:rFonts w:ascii="Cambria Math" w:hAnsi="Cambria Math" w:cs="Cambria Math"/>
          <w:i/>
          <w:u w:val="single"/>
          <w:lang w:val="en-US"/>
        </w:rPr>
        <w:t>‐</w:t>
      </w:r>
      <w:r w:rsidRPr="00854EFE">
        <w:rPr>
          <w:i/>
          <w:u w:val="single"/>
          <w:lang w:val="en-US"/>
        </w:rPr>
        <w:t>the</w:t>
      </w:r>
      <w:r w:rsidRPr="00854EFE">
        <w:rPr>
          <w:rFonts w:ascii="Cambria Math" w:hAnsi="Cambria Math" w:cs="Cambria Math"/>
          <w:i/>
          <w:u w:val="single"/>
          <w:lang w:val="en-US"/>
        </w:rPr>
        <w:t>‐</w:t>
      </w:r>
      <w:r w:rsidRPr="00854EFE">
        <w:rPr>
          <w:i/>
          <w:u w:val="single"/>
          <w:lang w:val="en-US"/>
        </w:rPr>
        <w:t>covid</w:t>
      </w:r>
      <w:r w:rsidRPr="00854EFE">
        <w:rPr>
          <w:rFonts w:ascii="Cambria Math" w:hAnsi="Cambria Math" w:cs="Cambria Math"/>
          <w:i/>
          <w:u w:val="single"/>
          <w:lang w:val="en-US"/>
        </w:rPr>
        <w:t>‐</w:t>
      </w:r>
      <w:r w:rsidRPr="00854EFE">
        <w:rPr>
          <w:i/>
          <w:u w:val="single"/>
          <w:lang w:val="en-US"/>
        </w:rPr>
        <w:t>pandemic/100453994</w:t>
      </w:r>
      <w:r w:rsidRPr="00854EFE">
        <w:rPr>
          <w:i/>
          <w:lang w:val="en-US"/>
        </w:rPr>
        <w:t>.</w:t>
      </w:r>
      <w:r w:rsidRPr="00854EFE">
        <w:t xml:space="preserve"> </w:t>
      </w:r>
    </w:p>
  </w:footnote>
  <w:footnote w:id="54">
    <w:p w14:paraId="2428811D" w14:textId="54C1B605" w:rsidR="007F4A78" w:rsidRPr="00854EFE" w:rsidRDefault="007F4A78">
      <w:pPr>
        <w:pStyle w:val="FootnoteText"/>
        <w:rPr>
          <w:iCs/>
        </w:rPr>
      </w:pPr>
      <w:r w:rsidRPr="00854EFE">
        <w:rPr>
          <w:rStyle w:val="FootnoteReference"/>
        </w:rPr>
        <w:footnoteRef/>
      </w:r>
      <w:r w:rsidRPr="00854EFE">
        <w:t xml:space="preserve"> </w:t>
      </w:r>
      <w:hyperlink r:id="rId65">
        <w:r w:rsidRPr="00854EFE">
          <w:rPr>
            <w:rStyle w:val="Hyperlink"/>
            <w:iCs/>
            <w:color w:val="auto"/>
            <w:lang w:val="en-US"/>
          </w:rPr>
          <w:t>https://ww</w:t>
        </w:r>
      </w:hyperlink>
      <w:r w:rsidRPr="00854EFE">
        <w:rPr>
          <w:iCs/>
          <w:u w:val="single"/>
          <w:lang w:val="en-US"/>
        </w:rPr>
        <w:t>w.abc.</w:t>
      </w:r>
      <w:hyperlink r:id="rId66">
        <w:r w:rsidRPr="00854EFE">
          <w:rPr>
            <w:rStyle w:val="Hyperlink"/>
            <w:iCs/>
            <w:color w:val="auto"/>
            <w:lang w:val="en-US"/>
          </w:rPr>
          <w:t>net.au</w:t>
        </w:r>
      </w:hyperlink>
      <w:r w:rsidRPr="00854EFE">
        <w:rPr>
          <w:iCs/>
          <w:u w:val="single"/>
          <w:lang w:val="en-US"/>
        </w:rPr>
        <w:t>/n</w:t>
      </w:r>
      <w:hyperlink r:id="rId67">
        <w:r w:rsidRPr="00854EFE">
          <w:rPr>
            <w:rStyle w:val="Hyperlink"/>
            <w:iCs/>
            <w:color w:val="auto"/>
            <w:lang w:val="en-US"/>
          </w:rPr>
          <w:t>ews/2021</w:t>
        </w:r>
      </w:hyperlink>
      <w:r w:rsidRPr="00854EFE">
        <w:rPr>
          <w:rFonts w:ascii="Cambria Math" w:hAnsi="Cambria Math" w:cs="Cambria Math"/>
          <w:iCs/>
          <w:u w:val="single"/>
          <w:lang w:val="en-US"/>
        </w:rPr>
        <w:t>‐</w:t>
      </w:r>
      <w:r w:rsidRPr="00854EFE">
        <w:rPr>
          <w:iCs/>
          <w:u w:val="single"/>
          <w:lang w:val="en-US"/>
        </w:rPr>
        <w:t>09</w:t>
      </w:r>
      <w:r w:rsidRPr="00854EFE">
        <w:rPr>
          <w:rFonts w:ascii="Cambria Math" w:hAnsi="Cambria Math" w:cs="Cambria Math"/>
          <w:iCs/>
          <w:u w:val="single"/>
          <w:lang w:val="en-US"/>
        </w:rPr>
        <w:t>‐</w:t>
      </w:r>
      <w:r w:rsidRPr="00854EFE">
        <w:rPr>
          <w:iCs/>
          <w:u w:val="single"/>
          <w:lang w:val="en-US"/>
        </w:rPr>
        <w:t>15/how</w:t>
      </w:r>
      <w:r w:rsidRPr="00854EFE">
        <w:rPr>
          <w:rFonts w:ascii="Cambria Math" w:hAnsi="Cambria Math" w:cs="Cambria Math"/>
          <w:iCs/>
          <w:u w:val="single"/>
          <w:lang w:val="en-US"/>
        </w:rPr>
        <w:t>‐</w:t>
      </w:r>
      <w:r w:rsidRPr="00854EFE">
        <w:rPr>
          <w:iCs/>
          <w:u w:val="single"/>
          <w:lang w:val="en-US"/>
        </w:rPr>
        <w:t>tv</w:t>
      </w:r>
      <w:r w:rsidRPr="00854EFE">
        <w:rPr>
          <w:rFonts w:ascii="Cambria Math" w:hAnsi="Cambria Math" w:cs="Cambria Math"/>
          <w:iCs/>
          <w:u w:val="single"/>
          <w:lang w:val="en-US"/>
        </w:rPr>
        <w:t>‐</w:t>
      </w:r>
      <w:r w:rsidRPr="00854EFE">
        <w:rPr>
          <w:iCs/>
          <w:u w:val="single"/>
          <w:lang w:val="en-US"/>
        </w:rPr>
        <w:t>shows</w:t>
      </w:r>
      <w:r w:rsidRPr="00854EFE">
        <w:rPr>
          <w:rFonts w:ascii="Cambria Math" w:hAnsi="Cambria Math" w:cs="Cambria Math"/>
          <w:iCs/>
          <w:u w:val="single"/>
          <w:lang w:val="en-US"/>
        </w:rPr>
        <w:t>‐</w:t>
      </w:r>
      <w:r w:rsidRPr="00854EFE">
        <w:rPr>
          <w:iCs/>
          <w:u w:val="single"/>
          <w:lang w:val="en-US"/>
        </w:rPr>
        <w:t>are</w:t>
      </w:r>
      <w:r w:rsidRPr="00854EFE">
        <w:rPr>
          <w:rFonts w:ascii="Cambria Math" w:hAnsi="Cambria Math" w:cs="Cambria Math"/>
          <w:iCs/>
          <w:u w:val="single"/>
          <w:lang w:val="en-US"/>
        </w:rPr>
        <w:t>‐</w:t>
      </w:r>
      <w:r w:rsidRPr="00854EFE">
        <w:rPr>
          <w:iCs/>
          <w:u w:val="single"/>
          <w:lang w:val="en-US"/>
        </w:rPr>
        <w:t>tackling</w:t>
      </w:r>
      <w:r w:rsidRPr="00854EFE">
        <w:rPr>
          <w:rFonts w:ascii="Cambria Math" w:hAnsi="Cambria Math" w:cs="Cambria Math"/>
          <w:iCs/>
          <w:u w:val="single"/>
          <w:lang w:val="en-US"/>
        </w:rPr>
        <w:t>‐</w:t>
      </w:r>
      <w:r w:rsidRPr="00854EFE">
        <w:rPr>
          <w:iCs/>
          <w:u w:val="single"/>
          <w:lang w:val="en-US"/>
        </w:rPr>
        <w:t>the</w:t>
      </w:r>
      <w:r w:rsidRPr="00854EFE">
        <w:rPr>
          <w:rFonts w:ascii="Cambria Math" w:hAnsi="Cambria Math" w:cs="Cambria Math"/>
          <w:iCs/>
          <w:u w:val="single"/>
          <w:lang w:val="en-US"/>
        </w:rPr>
        <w:t>‐</w:t>
      </w:r>
      <w:r w:rsidRPr="00854EFE">
        <w:rPr>
          <w:iCs/>
          <w:u w:val="single"/>
          <w:lang w:val="en-US"/>
        </w:rPr>
        <w:t>covid</w:t>
      </w:r>
      <w:r w:rsidRPr="00854EFE">
        <w:rPr>
          <w:rFonts w:ascii="Cambria Math" w:hAnsi="Cambria Math" w:cs="Cambria Math"/>
          <w:iCs/>
          <w:u w:val="single"/>
          <w:lang w:val="en-US"/>
        </w:rPr>
        <w:t>‐</w:t>
      </w:r>
      <w:r w:rsidRPr="00854EFE">
        <w:rPr>
          <w:iCs/>
          <w:u w:val="single"/>
          <w:lang w:val="en-US"/>
        </w:rPr>
        <w:t>pandemic/100453994</w:t>
      </w:r>
      <w:r w:rsidRPr="00854EFE">
        <w:rPr>
          <w:iCs/>
          <w:lang w:val="en-US"/>
        </w:rPr>
        <w:t>.</w:t>
      </w:r>
    </w:p>
  </w:footnote>
  <w:footnote w:id="55">
    <w:p w14:paraId="7A7412D2" w14:textId="48605E50" w:rsidR="00C4325E" w:rsidRPr="00854EFE" w:rsidRDefault="00C4325E">
      <w:pPr>
        <w:pStyle w:val="FootnoteText"/>
        <w:rPr>
          <w:iCs/>
        </w:rPr>
      </w:pPr>
      <w:r w:rsidRPr="00854EFE">
        <w:rPr>
          <w:rStyle w:val="FootnoteReference"/>
          <w:iCs/>
        </w:rPr>
        <w:footnoteRef/>
      </w:r>
      <w:r w:rsidRPr="00854EFE">
        <w:rPr>
          <w:iCs/>
        </w:rPr>
        <w:t xml:space="preserve"> </w:t>
      </w:r>
      <w:r w:rsidRPr="00854EFE">
        <w:rPr>
          <w:iCs/>
          <w:u w:val="single"/>
          <w:lang w:val="en-US"/>
        </w:rPr>
        <w:t>http</w:t>
      </w:r>
      <w:hyperlink r:id="rId68">
        <w:r w:rsidRPr="00854EFE">
          <w:rPr>
            <w:rStyle w:val="Hyperlink"/>
            <w:iCs/>
            <w:color w:val="auto"/>
            <w:lang w:val="en-US"/>
          </w:rPr>
          <w:t>s://www.yout</w:t>
        </w:r>
      </w:hyperlink>
      <w:r w:rsidRPr="00854EFE">
        <w:rPr>
          <w:iCs/>
          <w:u w:val="single"/>
          <w:lang w:val="en-US"/>
        </w:rPr>
        <w:t>ube</w:t>
      </w:r>
      <w:hyperlink r:id="rId69">
        <w:r w:rsidRPr="00854EFE">
          <w:rPr>
            <w:rStyle w:val="Hyperlink"/>
            <w:iCs/>
            <w:color w:val="auto"/>
            <w:lang w:val="en-US"/>
          </w:rPr>
          <w:t>.com/watch?v=</w:t>
        </w:r>
      </w:hyperlink>
      <w:r w:rsidRPr="00854EFE">
        <w:rPr>
          <w:iCs/>
          <w:u w:val="single"/>
          <w:lang w:val="en-US"/>
        </w:rPr>
        <w:t>k</w:t>
      </w:r>
      <w:hyperlink r:id="rId70">
        <w:r w:rsidRPr="00854EFE">
          <w:rPr>
            <w:rStyle w:val="Hyperlink"/>
            <w:iCs/>
            <w:color w:val="auto"/>
            <w:lang w:val="en-US"/>
          </w:rPr>
          <w:t>FOtVgQ68Lc.</w:t>
        </w:r>
      </w:hyperlink>
    </w:p>
  </w:footnote>
  <w:footnote w:id="56">
    <w:p w14:paraId="1DC7214F" w14:textId="695D82A2" w:rsidR="00C4325E" w:rsidRPr="00854EFE" w:rsidRDefault="00C4325E">
      <w:pPr>
        <w:pStyle w:val="FootnoteText"/>
        <w:rPr>
          <w:iCs/>
        </w:rPr>
      </w:pPr>
      <w:r w:rsidRPr="00854EFE">
        <w:rPr>
          <w:rStyle w:val="FootnoteReference"/>
          <w:iCs/>
        </w:rPr>
        <w:footnoteRef/>
      </w:r>
      <w:r w:rsidRPr="00854EFE">
        <w:rPr>
          <w:iCs/>
        </w:rPr>
        <w:t xml:space="preserve"> </w:t>
      </w:r>
      <w:r w:rsidRPr="00854EFE">
        <w:rPr>
          <w:iCs/>
          <w:u w:val="single"/>
          <w:lang w:val="en-US"/>
        </w:rPr>
        <w:t>http</w:t>
      </w:r>
      <w:hyperlink r:id="rId71">
        <w:r w:rsidRPr="00854EFE">
          <w:rPr>
            <w:rStyle w:val="Hyperlink"/>
            <w:iCs/>
            <w:color w:val="auto"/>
            <w:lang w:val="en-US"/>
          </w:rPr>
          <w:t>s://www.yout</w:t>
        </w:r>
      </w:hyperlink>
      <w:r w:rsidRPr="00854EFE">
        <w:rPr>
          <w:iCs/>
          <w:u w:val="single"/>
          <w:lang w:val="en-US"/>
        </w:rPr>
        <w:t>ube</w:t>
      </w:r>
      <w:hyperlink r:id="rId72">
        <w:r w:rsidRPr="00854EFE">
          <w:rPr>
            <w:rStyle w:val="Hyperlink"/>
            <w:iCs/>
            <w:color w:val="auto"/>
            <w:lang w:val="en-US"/>
          </w:rPr>
          <w:t>.com/watch?v=</w:t>
        </w:r>
      </w:hyperlink>
      <w:r w:rsidRPr="00854EFE">
        <w:rPr>
          <w:iCs/>
          <w:u w:val="single"/>
          <w:lang w:val="en-US"/>
        </w:rPr>
        <w:t>x</w:t>
      </w:r>
      <w:hyperlink r:id="rId73">
        <w:r w:rsidRPr="00854EFE">
          <w:rPr>
            <w:rStyle w:val="Hyperlink"/>
            <w:iCs/>
            <w:color w:val="auto"/>
            <w:lang w:val="en-US"/>
          </w:rPr>
          <w:t>y2QsvTSQPQ.</w:t>
        </w:r>
      </w:hyperlink>
    </w:p>
  </w:footnote>
  <w:footnote w:id="57">
    <w:p w14:paraId="2433FE30" w14:textId="4E4E4389" w:rsidR="00C4325E" w:rsidRPr="00854EFE" w:rsidRDefault="00C4325E" w:rsidP="00C4325E">
      <w:pPr>
        <w:pStyle w:val="FootnoteText"/>
      </w:pPr>
      <w:r w:rsidRPr="00854EFE">
        <w:rPr>
          <w:rStyle w:val="FootnoteReference"/>
          <w:iCs/>
        </w:rPr>
        <w:footnoteRef/>
      </w:r>
      <w:r w:rsidRPr="00854EFE">
        <w:rPr>
          <w:iCs/>
        </w:rPr>
        <w:t xml:space="preserve"> </w:t>
      </w:r>
      <w:r w:rsidRPr="00854EFE">
        <w:rPr>
          <w:iCs/>
          <w:u w:val="single"/>
          <w:lang w:val="en-US"/>
        </w:rPr>
        <w:t>http</w:t>
      </w:r>
      <w:hyperlink r:id="rId74">
        <w:r w:rsidRPr="00854EFE">
          <w:rPr>
            <w:rStyle w:val="Hyperlink"/>
            <w:iCs/>
            <w:color w:val="auto"/>
            <w:lang w:val="en-US"/>
          </w:rPr>
          <w:t>s://www.yout</w:t>
        </w:r>
      </w:hyperlink>
      <w:r w:rsidRPr="00854EFE">
        <w:rPr>
          <w:iCs/>
          <w:u w:val="single"/>
          <w:lang w:val="en-US"/>
        </w:rPr>
        <w:t>ube</w:t>
      </w:r>
      <w:hyperlink r:id="rId75">
        <w:r w:rsidRPr="00854EFE">
          <w:rPr>
            <w:rStyle w:val="Hyperlink"/>
            <w:iCs/>
            <w:color w:val="auto"/>
            <w:lang w:val="en-US"/>
          </w:rPr>
          <w:t>.com/watch?v=</w:t>
        </w:r>
      </w:hyperlink>
      <w:r w:rsidRPr="00854EFE">
        <w:rPr>
          <w:iCs/>
          <w:u w:val="single"/>
          <w:lang w:val="en-US"/>
        </w:rPr>
        <w:t>o</w:t>
      </w:r>
      <w:hyperlink r:id="rId76">
        <w:r w:rsidRPr="00854EFE">
          <w:rPr>
            <w:rStyle w:val="Hyperlink"/>
            <w:iCs/>
            <w:color w:val="auto"/>
            <w:lang w:val="en-US"/>
          </w:rPr>
          <w:t>KbstLIybKo.</w:t>
        </w:r>
      </w:hyperlink>
    </w:p>
  </w:footnote>
  <w:footnote w:id="58">
    <w:p w14:paraId="638E6F68" w14:textId="1645FE93" w:rsidR="006A02B1" w:rsidRPr="003C7500" w:rsidRDefault="006A02B1" w:rsidP="00E46944">
      <w:pPr>
        <w:pStyle w:val="FootnoteText"/>
        <w:rPr>
          <w:rFonts w:cs="Arial"/>
          <w:sz w:val="18"/>
          <w:szCs w:val="18"/>
          <w:lang w:val="en-US"/>
        </w:rPr>
      </w:pPr>
      <w:r>
        <w:rPr>
          <w:rStyle w:val="FootnoteReference"/>
        </w:rPr>
        <w:footnoteRef/>
      </w:r>
      <w:r>
        <w:t xml:space="preserve"> </w:t>
      </w:r>
      <w:r w:rsidR="008F2EEF">
        <w:t>See I</w:t>
      </w:r>
      <w:r w:rsidRPr="006A02B1">
        <w:t>nvestigation 2712</w:t>
      </w:r>
      <w:r w:rsidR="00E46944" w:rsidRPr="00E46944">
        <w:t xml:space="preserve"> </w:t>
      </w:r>
      <w:r w:rsidR="00E46944" w:rsidRPr="003956A9">
        <w:rPr>
          <w:lang w:eastAsia="en-AU"/>
        </w:rPr>
        <w:t>(</w:t>
      </w:r>
      <w:r w:rsidR="00E46944">
        <w:rPr>
          <w:i/>
          <w:lang w:eastAsia="en-AU"/>
        </w:rPr>
        <w:t>Today Tonight</w:t>
      </w:r>
      <w:r w:rsidR="00E46944" w:rsidRPr="003956A9">
        <w:rPr>
          <w:lang w:eastAsia="en-AU"/>
        </w:rPr>
        <w:t xml:space="preserve"> broadcast </w:t>
      </w:r>
      <w:r w:rsidR="00E46944" w:rsidRPr="00ED4A70">
        <w:rPr>
          <w:lang w:eastAsia="en-AU"/>
        </w:rPr>
        <w:t>on Seven on 25 July 2011)</w:t>
      </w:r>
      <w:r w:rsidR="00E46944" w:rsidRPr="00ED4A70">
        <w:t xml:space="preserve">; </w:t>
      </w:r>
      <w:r w:rsidRPr="006A02B1">
        <w:t>Channel Seven Adelaide Pty Limited v Australian Communications and Media Authority</w:t>
      </w:r>
      <w:r>
        <w:t xml:space="preserve"> [2014] </w:t>
      </w:r>
      <w:r w:rsidRPr="001164DF">
        <w:rPr>
          <w:i/>
        </w:rPr>
        <w:t>FCA</w:t>
      </w:r>
      <w:r>
        <w:t xml:space="preserve"> 667.</w:t>
      </w:r>
    </w:p>
  </w:footnote>
  <w:footnote w:id="59">
    <w:p w14:paraId="6A54D86C" w14:textId="77777777" w:rsidR="006A02B1" w:rsidRPr="00E46944" w:rsidRDefault="006A02B1" w:rsidP="00E46944">
      <w:pPr>
        <w:pStyle w:val="FootnoteText"/>
        <w:ind w:left="284" w:hanging="284"/>
        <w:rPr>
          <w:rFonts w:cs="Arial"/>
          <w:szCs w:val="22"/>
        </w:rPr>
      </w:pPr>
      <w:r w:rsidRPr="00207F07">
        <w:rPr>
          <w:rStyle w:val="FootnoteReference"/>
          <w:rFonts w:cs="Arial"/>
          <w:sz w:val="18"/>
          <w:szCs w:val="18"/>
        </w:rPr>
        <w:footnoteRef/>
      </w:r>
      <w:r w:rsidRPr="00207F07">
        <w:rPr>
          <w:rFonts w:cs="Arial"/>
          <w:sz w:val="18"/>
          <w:szCs w:val="18"/>
        </w:rPr>
        <w:t xml:space="preserve"> </w:t>
      </w:r>
      <w:r w:rsidR="00E46944">
        <w:rPr>
          <w:lang w:eastAsia="en-AU"/>
        </w:rPr>
        <w:t>See</w:t>
      </w:r>
      <w:r w:rsidR="00E46944" w:rsidRPr="003956A9">
        <w:rPr>
          <w:rFonts w:cs="Arial"/>
          <w:lang w:eastAsia="en-AU"/>
        </w:rPr>
        <w:t xml:space="preserve"> Investigation</w:t>
      </w:r>
      <w:r w:rsidR="00E46944" w:rsidRPr="003956A9">
        <w:rPr>
          <w:lang w:eastAsia="en-AU"/>
        </w:rPr>
        <w:t xml:space="preserve"> 3066 (</w:t>
      </w:r>
      <w:r w:rsidR="00E46944" w:rsidRPr="003956A9">
        <w:rPr>
          <w:i/>
          <w:lang w:eastAsia="en-AU"/>
        </w:rPr>
        <w:t>Four Corners</w:t>
      </w:r>
      <w:r w:rsidR="00E46944" w:rsidRPr="003956A9">
        <w:rPr>
          <w:lang w:eastAsia="en-AU"/>
        </w:rPr>
        <w:t xml:space="preserve"> broadcast on ABC on 23 J</w:t>
      </w:r>
      <w:r w:rsidR="00E46944">
        <w:rPr>
          <w:lang w:eastAsia="en-AU"/>
        </w:rPr>
        <w:t xml:space="preserve">uly 2012) and Investigation 2961 </w:t>
      </w:r>
      <w:r w:rsidR="00E46944" w:rsidRPr="003956A9">
        <w:rPr>
          <w:lang w:eastAsia="en-AU"/>
        </w:rPr>
        <w:t>(</w:t>
      </w:r>
      <w:r w:rsidR="00E46944" w:rsidRPr="003956A9">
        <w:rPr>
          <w:i/>
          <w:lang w:eastAsia="en-AU"/>
        </w:rPr>
        <w:t xml:space="preserve">The Alan Jones </w:t>
      </w:r>
      <w:r w:rsidR="00E46944">
        <w:rPr>
          <w:i/>
          <w:lang w:eastAsia="en-AU"/>
        </w:rPr>
        <w:t xml:space="preserve">   </w:t>
      </w:r>
      <w:r w:rsidR="00E46944" w:rsidRPr="003956A9">
        <w:rPr>
          <w:i/>
          <w:lang w:eastAsia="en-AU"/>
        </w:rPr>
        <w:t>Breakfast Show</w:t>
      </w:r>
      <w:r w:rsidR="00E46944" w:rsidRPr="003956A9">
        <w:rPr>
          <w:lang w:eastAsia="en-AU"/>
        </w:rPr>
        <w:t xml:space="preserve"> broadcast on 2GB on 19 October 2012).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56D22" w14:textId="7FE8AD3C" w:rsidR="0061569D" w:rsidRDefault="0061569D">
    <w:r>
      <w:fldChar w:fldCharType="begin"/>
    </w:r>
    <w:r>
      <w:instrText xml:space="preserve"> REF ReportTitle \h </w:instrText>
    </w:r>
    <w:r>
      <w:fldChar w:fldCharType="separate"/>
    </w:r>
    <w:r w:rsidR="00AF13E2">
      <w:rPr>
        <w:b/>
        <w:bCs/>
        <w:lang w:val="en-US"/>
      </w:rPr>
      <w:t>Error! Reference source not found.</w:t>
    </w:r>
    <w:r>
      <w:fldChar w:fldCharType="end"/>
    </w:r>
  </w:p>
  <w:p w14:paraId="0BC8B17C" w14:textId="77777777" w:rsidR="0061569D" w:rsidRDefault="0061569D"/>
  <w:p w14:paraId="5E1BD618" w14:textId="77777777" w:rsidR="00E723D6" w:rsidRDefault="00E723D6"/>
  <w:p w14:paraId="235058F0" w14:textId="77777777" w:rsidR="00E723D6" w:rsidRDefault="00E723D6"/>
  <w:p w14:paraId="0847A5E3" w14:textId="77777777" w:rsidR="00E723D6" w:rsidRDefault="00E723D6"/>
  <w:p w14:paraId="5EE3CB14" w14:textId="77777777" w:rsidR="00E723D6" w:rsidRDefault="00E723D6"/>
  <w:p w14:paraId="52B568E8" w14:textId="77777777" w:rsidR="00E723D6" w:rsidRDefault="00E723D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47A44" w14:textId="77777777" w:rsidR="00B30A6C" w:rsidRDefault="00B30A6C" w:rsidP="00B16FB1">
    <w:pPr>
      <w:pStyle w:val="ACMAInConfidence"/>
      <w:jc w:val="left"/>
    </w:pPr>
  </w:p>
  <w:p w14:paraId="6F534E74" w14:textId="77777777" w:rsidR="0061569D" w:rsidRPr="005F22AA" w:rsidRDefault="004D4EEE" w:rsidP="005F22AA">
    <w:pPr>
      <w:pStyle w:val="ACMAHeaderGraphicSpace"/>
    </w:pPr>
    <w:r>
      <w:rPr>
        <w:noProof/>
      </w:rPr>
      <w:drawing>
        <wp:inline distT="0" distB="0" distL="0" distR="0" wp14:anchorId="48639F0F" wp14:editId="30D9DE2A">
          <wp:extent cx="5874532" cy="540000"/>
          <wp:effectExtent l="0" t="0" r="0" b="0"/>
          <wp:docPr id="4" name="Picture 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874532" cy="54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5111E68"/>
    <w:multiLevelType w:val="hybridMultilevel"/>
    <w:tmpl w:val="4E8E0CD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903F18"/>
    <w:multiLevelType w:val="hybridMultilevel"/>
    <w:tmpl w:val="716478A8"/>
    <w:lvl w:ilvl="0" w:tplc="3094036C">
      <w:start w:val="1"/>
      <w:numFmt w:val="lowerLetter"/>
      <w:lvlText w:val="(%1)"/>
      <w:lvlJc w:val="left"/>
      <w:pPr>
        <w:ind w:left="3505" w:hanging="678"/>
      </w:pPr>
      <w:rPr>
        <w:rFonts w:ascii="Calibri" w:eastAsia="Calibri" w:hAnsi="Calibri" w:cs="Calibri" w:hint="default"/>
        <w:i/>
        <w:w w:val="99"/>
        <w:sz w:val="17"/>
        <w:szCs w:val="17"/>
      </w:rPr>
    </w:lvl>
    <w:lvl w:ilvl="1" w:tplc="9036E350">
      <w:numFmt w:val="bullet"/>
      <w:lvlText w:val=""/>
      <w:lvlJc w:val="left"/>
      <w:pPr>
        <w:ind w:left="3505" w:hanging="340"/>
      </w:pPr>
      <w:rPr>
        <w:rFonts w:ascii="Symbol" w:eastAsia="Symbol" w:hAnsi="Symbol" w:cs="Symbol" w:hint="default"/>
        <w:w w:val="99"/>
        <w:sz w:val="17"/>
        <w:szCs w:val="17"/>
      </w:rPr>
    </w:lvl>
    <w:lvl w:ilvl="2" w:tplc="FFB67E1C">
      <w:numFmt w:val="bullet"/>
      <w:lvlText w:val="•"/>
      <w:lvlJc w:val="left"/>
      <w:pPr>
        <w:ind w:left="4796" w:hanging="340"/>
      </w:pPr>
      <w:rPr>
        <w:rFonts w:hint="default"/>
      </w:rPr>
    </w:lvl>
    <w:lvl w:ilvl="3" w:tplc="8AAC729E">
      <w:numFmt w:val="bullet"/>
      <w:lvlText w:val="•"/>
      <w:lvlJc w:val="left"/>
      <w:pPr>
        <w:ind w:left="5444" w:hanging="340"/>
      </w:pPr>
      <w:rPr>
        <w:rFonts w:hint="default"/>
      </w:rPr>
    </w:lvl>
    <w:lvl w:ilvl="4" w:tplc="B70CCE9C">
      <w:numFmt w:val="bullet"/>
      <w:lvlText w:val="•"/>
      <w:lvlJc w:val="left"/>
      <w:pPr>
        <w:ind w:left="6092" w:hanging="340"/>
      </w:pPr>
      <w:rPr>
        <w:rFonts w:hint="default"/>
      </w:rPr>
    </w:lvl>
    <w:lvl w:ilvl="5" w:tplc="D39CC4E0">
      <w:numFmt w:val="bullet"/>
      <w:lvlText w:val="•"/>
      <w:lvlJc w:val="left"/>
      <w:pPr>
        <w:ind w:left="6740" w:hanging="340"/>
      </w:pPr>
      <w:rPr>
        <w:rFonts w:hint="default"/>
      </w:rPr>
    </w:lvl>
    <w:lvl w:ilvl="6" w:tplc="38A4594A">
      <w:numFmt w:val="bullet"/>
      <w:lvlText w:val="•"/>
      <w:lvlJc w:val="left"/>
      <w:pPr>
        <w:ind w:left="7388" w:hanging="340"/>
      </w:pPr>
      <w:rPr>
        <w:rFonts w:hint="default"/>
      </w:rPr>
    </w:lvl>
    <w:lvl w:ilvl="7" w:tplc="DEEEF842">
      <w:numFmt w:val="bullet"/>
      <w:lvlText w:val="•"/>
      <w:lvlJc w:val="left"/>
      <w:pPr>
        <w:ind w:left="8036" w:hanging="340"/>
      </w:pPr>
      <w:rPr>
        <w:rFonts w:hint="default"/>
      </w:rPr>
    </w:lvl>
    <w:lvl w:ilvl="8" w:tplc="AA307FF8">
      <w:numFmt w:val="bullet"/>
      <w:lvlText w:val="•"/>
      <w:lvlJc w:val="left"/>
      <w:pPr>
        <w:ind w:left="8684" w:hanging="340"/>
      </w:pPr>
      <w:rPr>
        <w:rFonts w:hint="default"/>
      </w:rPr>
    </w:lvl>
  </w:abstractNum>
  <w:abstractNum w:abstractNumId="3" w15:restartNumberingAfterBreak="0">
    <w:nsid w:val="08EA2A00"/>
    <w:multiLevelType w:val="hybridMultilevel"/>
    <w:tmpl w:val="89A4EC6C"/>
    <w:lvl w:ilvl="0" w:tplc="FFFFFFFF">
      <w:start w:val="1"/>
      <w:numFmt w:val="lowerLetter"/>
      <w:lvlText w:val="(%1)"/>
      <w:lvlJc w:val="left"/>
      <w:pPr>
        <w:ind w:left="2918" w:hanging="708"/>
      </w:pPr>
      <w:rPr>
        <w:rFonts w:ascii="Calibri" w:eastAsia="Calibri" w:hAnsi="Calibri" w:cs="Calibri" w:hint="default"/>
        <w:b/>
        <w:bCs/>
        <w:spacing w:val="-1"/>
        <w:w w:val="99"/>
        <w:sz w:val="19"/>
        <w:szCs w:val="19"/>
      </w:rPr>
    </w:lvl>
    <w:lvl w:ilvl="1" w:tplc="FFFFFFFF">
      <w:numFmt w:val="bullet"/>
      <w:lvlText w:val=""/>
      <w:lvlJc w:val="left"/>
      <w:pPr>
        <w:ind w:left="2918" w:hanging="534"/>
      </w:pPr>
      <w:rPr>
        <w:rFonts w:ascii="Symbol" w:eastAsia="Symbol" w:hAnsi="Symbol" w:cs="Symbol" w:hint="default"/>
        <w:w w:val="99"/>
        <w:sz w:val="19"/>
        <w:szCs w:val="19"/>
      </w:rPr>
    </w:lvl>
    <w:lvl w:ilvl="2" w:tplc="FFFFFFFF">
      <w:numFmt w:val="bullet"/>
      <w:lvlText w:val="•"/>
      <w:lvlJc w:val="left"/>
      <w:pPr>
        <w:ind w:left="4332" w:hanging="534"/>
      </w:pPr>
      <w:rPr>
        <w:rFonts w:hint="default"/>
      </w:rPr>
    </w:lvl>
    <w:lvl w:ilvl="3" w:tplc="FFFFFFFF">
      <w:numFmt w:val="bullet"/>
      <w:lvlText w:val="•"/>
      <w:lvlJc w:val="left"/>
      <w:pPr>
        <w:ind w:left="5038" w:hanging="534"/>
      </w:pPr>
      <w:rPr>
        <w:rFonts w:hint="default"/>
      </w:rPr>
    </w:lvl>
    <w:lvl w:ilvl="4" w:tplc="FFFFFFFF">
      <w:numFmt w:val="bullet"/>
      <w:lvlText w:val="•"/>
      <w:lvlJc w:val="left"/>
      <w:pPr>
        <w:ind w:left="5744" w:hanging="534"/>
      </w:pPr>
      <w:rPr>
        <w:rFonts w:hint="default"/>
      </w:rPr>
    </w:lvl>
    <w:lvl w:ilvl="5" w:tplc="FFFFFFFF">
      <w:numFmt w:val="bullet"/>
      <w:lvlText w:val="•"/>
      <w:lvlJc w:val="left"/>
      <w:pPr>
        <w:ind w:left="6450" w:hanging="534"/>
      </w:pPr>
      <w:rPr>
        <w:rFonts w:hint="default"/>
      </w:rPr>
    </w:lvl>
    <w:lvl w:ilvl="6" w:tplc="FFFFFFFF">
      <w:numFmt w:val="bullet"/>
      <w:lvlText w:val="•"/>
      <w:lvlJc w:val="left"/>
      <w:pPr>
        <w:ind w:left="7156" w:hanging="534"/>
      </w:pPr>
      <w:rPr>
        <w:rFonts w:hint="default"/>
      </w:rPr>
    </w:lvl>
    <w:lvl w:ilvl="7" w:tplc="FFFFFFFF">
      <w:numFmt w:val="bullet"/>
      <w:lvlText w:val="•"/>
      <w:lvlJc w:val="left"/>
      <w:pPr>
        <w:ind w:left="7862" w:hanging="534"/>
      </w:pPr>
      <w:rPr>
        <w:rFonts w:hint="default"/>
      </w:rPr>
    </w:lvl>
    <w:lvl w:ilvl="8" w:tplc="FFFFFFFF">
      <w:numFmt w:val="bullet"/>
      <w:lvlText w:val="•"/>
      <w:lvlJc w:val="left"/>
      <w:pPr>
        <w:ind w:left="8568" w:hanging="534"/>
      </w:pPr>
      <w:rPr>
        <w:rFonts w:hint="default"/>
      </w:rPr>
    </w:lvl>
  </w:abstractNum>
  <w:abstractNum w:abstractNumId="4" w15:restartNumberingAfterBreak="0">
    <w:nsid w:val="0AFE5968"/>
    <w:multiLevelType w:val="hybridMultilevel"/>
    <w:tmpl w:val="5A12EEAE"/>
    <w:lvl w:ilvl="0" w:tplc="0CAA4C62">
      <w:start w:val="1"/>
      <w:numFmt w:val="lowerLetter"/>
      <w:lvlText w:val="(%1)"/>
      <w:lvlJc w:val="left"/>
      <w:pPr>
        <w:ind w:left="2488" w:hanging="340"/>
      </w:pPr>
      <w:rPr>
        <w:rFonts w:ascii="Calibri" w:eastAsia="Calibri" w:hAnsi="Calibri" w:cs="Calibri" w:hint="default"/>
        <w:w w:val="99"/>
        <w:sz w:val="19"/>
        <w:szCs w:val="19"/>
      </w:rPr>
    </w:lvl>
    <w:lvl w:ilvl="1" w:tplc="DE504EDC">
      <w:start w:val="1"/>
      <w:numFmt w:val="lowerRoman"/>
      <w:lvlText w:val="(%2)"/>
      <w:lvlJc w:val="left"/>
      <w:pPr>
        <w:ind w:left="3166" w:hanging="339"/>
      </w:pPr>
      <w:rPr>
        <w:rFonts w:ascii="Calibri" w:eastAsia="Calibri" w:hAnsi="Calibri" w:cs="Calibri" w:hint="default"/>
        <w:w w:val="99"/>
        <w:sz w:val="19"/>
        <w:szCs w:val="19"/>
      </w:rPr>
    </w:lvl>
    <w:lvl w:ilvl="2" w:tplc="B540E584">
      <w:numFmt w:val="bullet"/>
      <w:lvlText w:val="•"/>
      <w:lvlJc w:val="left"/>
      <w:pPr>
        <w:ind w:left="3917" w:hanging="339"/>
      </w:pPr>
      <w:rPr>
        <w:rFonts w:hint="default"/>
      </w:rPr>
    </w:lvl>
    <w:lvl w:ilvl="3" w:tplc="9AE0105E">
      <w:numFmt w:val="bullet"/>
      <w:lvlText w:val="•"/>
      <w:lvlJc w:val="left"/>
      <w:pPr>
        <w:ind w:left="4675" w:hanging="339"/>
      </w:pPr>
      <w:rPr>
        <w:rFonts w:hint="default"/>
      </w:rPr>
    </w:lvl>
    <w:lvl w:ilvl="4" w:tplc="2B604B5C">
      <w:numFmt w:val="bullet"/>
      <w:lvlText w:val="•"/>
      <w:lvlJc w:val="left"/>
      <w:pPr>
        <w:ind w:left="5433" w:hanging="339"/>
      </w:pPr>
      <w:rPr>
        <w:rFonts w:hint="default"/>
      </w:rPr>
    </w:lvl>
    <w:lvl w:ilvl="5" w:tplc="79F66E9A">
      <w:numFmt w:val="bullet"/>
      <w:lvlText w:val="•"/>
      <w:lvlJc w:val="left"/>
      <w:pPr>
        <w:ind w:left="6191" w:hanging="339"/>
      </w:pPr>
      <w:rPr>
        <w:rFonts w:hint="default"/>
      </w:rPr>
    </w:lvl>
    <w:lvl w:ilvl="6" w:tplc="7ECAA27E">
      <w:numFmt w:val="bullet"/>
      <w:lvlText w:val="•"/>
      <w:lvlJc w:val="left"/>
      <w:pPr>
        <w:ind w:left="6948" w:hanging="339"/>
      </w:pPr>
      <w:rPr>
        <w:rFonts w:hint="default"/>
      </w:rPr>
    </w:lvl>
    <w:lvl w:ilvl="7" w:tplc="6BA2A410">
      <w:numFmt w:val="bullet"/>
      <w:lvlText w:val="•"/>
      <w:lvlJc w:val="left"/>
      <w:pPr>
        <w:ind w:left="7706" w:hanging="339"/>
      </w:pPr>
      <w:rPr>
        <w:rFonts w:hint="default"/>
      </w:rPr>
    </w:lvl>
    <w:lvl w:ilvl="8" w:tplc="67D01322">
      <w:numFmt w:val="bullet"/>
      <w:lvlText w:val="•"/>
      <w:lvlJc w:val="left"/>
      <w:pPr>
        <w:ind w:left="8464" w:hanging="339"/>
      </w:pPr>
      <w:rPr>
        <w:rFonts w:hint="default"/>
      </w:rPr>
    </w:lvl>
  </w:abstractNum>
  <w:abstractNum w:abstractNumId="5" w15:restartNumberingAfterBreak="0">
    <w:nsid w:val="0CCA4F9F"/>
    <w:multiLevelType w:val="hybridMultilevel"/>
    <w:tmpl w:val="5314942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0D14CDA"/>
    <w:multiLevelType w:val="hybridMultilevel"/>
    <w:tmpl w:val="E26E25D0"/>
    <w:lvl w:ilvl="0" w:tplc="0C09000F">
      <w:start w:val="1"/>
      <w:numFmt w:val="decimal"/>
      <w:lvlText w:val="%1."/>
      <w:lvlJc w:val="left"/>
      <w:pPr>
        <w:ind w:left="720" w:hanging="360"/>
      </w:pPr>
      <w:rPr>
        <w:rFonts w:hint="default"/>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359764D"/>
    <w:multiLevelType w:val="hybridMultilevel"/>
    <w:tmpl w:val="4F54DF4C"/>
    <w:lvl w:ilvl="0" w:tplc="1BBA1D82">
      <w:numFmt w:val="bullet"/>
      <w:lvlText w:val=""/>
      <w:lvlJc w:val="left"/>
      <w:pPr>
        <w:ind w:left="2918" w:hanging="534"/>
      </w:pPr>
      <w:rPr>
        <w:rFonts w:ascii="Symbol" w:eastAsia="Symbol" w:hAnsi="Symbol" w:cs="Symbol" w:hint="default"/>
        <w:w w:val="99"/>
        <w:sz w:val="19"/>
        <w:szCs w:val="19"/>
      </w:rPr>
    </w:lvl>
    <w:lvl w:ilvl="1" w:tplc="854E9BF2">
      <w:start w:val="2"/>
      <w:numFmt w:val="lowerLetter"/>
      <w:lvlText w:val="(%2)"/>
      <w:lvlJc w:val="left"/>
      <w:pPr>
        <w:ind w:left="2651" w:hanging="255"/>
      </w:pPr>
      <w:rPr>
        <w:rFonts w:ascii="Calibri" w:eastAsia="Calibri" w:hAnsi="Calibri" w:cs="Calibri" w:hint="default"/>
        <w:i/>
        <w:w w:val="99"/>
        <w:sz w:val="19"/>
        <w:szCs w:val="19"/>
      </w:rPr>
    </w:lvl>
    <w:lvl w:ilvl="2" w:tplc="43BE39B2">
      <w:numFmt w:val="bullet"/>
      <w:lvlText w:val="•"/>
      <w:lvlJc w:val="left"/>
      <w:pPr>
        <w:ind w:left="3704" w:hanging="255"/>
      </w:pPr>
      <w:rPr>
        <w:rFonts w:hint="default"/>
      </w:rPr>
    </w:lvl>
    <w:lvl w:ilvl="3" w:tplc="F14EFDCA">
      <w:numFmt w:val="bullet"/>
      <w:lvlText w:val="•"/>
      <w:lvlJc w:val="left"/>
      <w:pPr>
        <w:ind w:left="4488" w:hanging="255"/>
      </w:pPr>
      <w:rPr>
        <w:rFonts w:hint="default"/>
      </w:rPr>
    </w:lvl>
    <w:lvl w:ilvl="4" w:tplc="B0AC5F84">
      <w:numFmt w:val="bullet"/>
      <w:lvlText w:val="•"/>
      <w:lvlJc w:val="left"/>
      <w:pPr>
        <w:ind w:left="5273" w:hanging="255"/>
      </w:pPr>
      <w:rPr>
        <w:rFonts w:hint="default"/>
      </w:rPr>
    </w:lvl>
    <w:lvl w:ilvl="5" w:tplc="C3E6E3EE">
      <w:numFmt w:val="bullet"/>
      <w:lvlText w:val="•"/>
      <w:lvlJc w:val="left"/>
      <w:pPr>
        <w:ind w:left="6057" w:hanging="255"/>
      </w:pPr>
      <w:rPr>
        <w:rFonts w:hint="default"/>
      </w:rPr>
    </w:lvl>
    <w:lvl w:ilvl="6" w:tplc="DC2C0FC4">
      <w:numFmt w:val="bullet"/>
      <w:lvlText w:val="•"/>
      <w:lvlJc w:val="left"/>
      <w:pPr>
        <w:ind w:left="6842" w:hanging="255"/>
      </w:pPr>
      <w:rPr>
        <w:rFonts w:hint="default"/>
      </w:rPr>
    </w:lvl>
    <w:lvl w:ilvl="7" w:tplc="1CC05AAE">
      <w:numFmt w:val="bullet"/>
      <w:lvlText w:val="•"/>
      <w:lvlJc w:val="left"/>
      <w:pPr>
        <w:ind w:left="7626" w:hanging="255"/>
      </w:pPr>
      <w:rPr>
        <w:rFonts w:hint="default"/>
      </w:rPr>
    </w:lvl>
    <w:lvl w:ilvl="8" w:tplc="24B6DB78">
      <w:numFmt w:val="bullet"/>
      <w:lvlText w:val="•"/>
      <w:lvlJc w:val="left"/>
      <w:pPr>
        <w:ind w:left="8411" w:hanging="255"/>
      </w:pPr>
      <w:rPr>
        <w:rFonts w:hint="default"/>
      </w:rPr>
    </w:lvl>
  </w:abstractNum>
  <w:abstractNum w:abstractNumId="8" w15:restartNumberingAfterBreak="0">
    <w:nsid w:val="15A04AE4"/>
    <w:multiLevelType w:val="hybridMultilevel"/>
    <w:tmpl w:val="9E2692A8"/>
    <w:lvl w:ilvl="0" w:tplc="6D8C0A58">
      <w:start w:val="1"/>
      <w:numFmt w:val="bullet"/>
      <w:lvlText w:val=""/>
      <w:lvlJc w:val="left"/>
      <w:pPr>
        <w:ind w:left="1287" w:hanging="360"/>
      </w:pPr>
      <w:rPr>
        <w:rFonts w:ascii="Symbol" w:hAnsi="Symbol" w:hint="default"/>
      </w:rPr>
    </w:lvl>
    <w:lvl w:ilvl="1" w:tplc="FFFFFFFF" w:tentative="1">
      <w:start w:val="1"/>
      <w:numFmt w:val="bullet"/>
      <w:lvlText w:val="o"/>
      <w:lvlJc w:val="left"/>
      <w:pPr>
        <w:ind w:left="2007" w:hanging="360"/>
      </w:pPr>
      <w:rPr>
        <w:rFonts w:ascii="Courier New" w:hAnsi="Courier New" w:cs="Courier New" w:hint="default"/>
      </w:rPr>
    </w:lvl>
    <w:lvl w:ilvl="2" w:tplc="FFFFFFFF" w:tentative="1">
      <w:start w:val="1"/>
      <w:numFmt w:val="bullet"/>
      <w:lvlText w:val=""/>
      <w:lvlJc w:val="left"/>
      <w:pPr>
        <w:ind w:left="2727" w:hanging="360"/>
      </w:pPr>
      <w:rPr>
        <w:rFonts w:ascii="Wingdings" w:hAnsi="Wingdings" w:hint="default"/>
      </w:rPr>
    </w:lvl>
    <w:lvl w:ilvl="3" w:tplc="FFFFFFFF" w:tentative="1">
      <w:start w:val="1"/>
      <w:numFmt w:val="bullet"/>
      <w:lvlText w:val=""/>
      <w:lvlJc w:val="left"/>
      <w:pPr>
        <w:ind w:left="3447" w:hanging="360"/>
      </w:pPr>
      <w:rPr>
        <w:rFonts w:ascii="Symbol" w:hAnsi="Symbol" w:hint="default"/>
      </w:rPr>
    </w:lvl>
    <w:lvl w:ilvl="4" w:tplc="FFFFFFFF" w:tentative="1">
      <w:start w:val="1"/>
      <w:numFmt w:val="bullet"/>
      <w:lvlText w:val="o"/>
      <w:lvlJc w:val="left"/>
      <w:pPr>
        <w:ind w:left="4167" w:hanging="360"/>
      </w:pPr>
      <w:rPr>
        <w:rFonts w:ascii="Courier New" w:hAnsi="Courier New" w:cs="Courier New" w:hint="default"/>
      </w:rPr>
    </w:lvl>
    <w:lvl w:ilvl="5" w:tplc="FFFFFFFF" w:tentative="1">
      <w:start w:val="1"/>
      <w:numFmt w:val="bullet"/>
      <w:lvlText w:val=""/>
      <w:lvlJc w:val="left"/>
      <w:pPr>
        <w:ind w:left="4887" w:hanging="360"/>
      </w:pPr>
      <w:rPr>
        <w:rFonts w:ascii="Wingdings" w:hAnsi="Wingdings" w:hint="default"/>
      </w:rPr>
    </w:lvl>
    <w:lvl w:ilvl="6" w:tplc="FFFFFFFF" w:tentative="1">
      <w:start w:val="1"/>
      <w:numFmt w:val="bullet"/>
      <w:lvlText w:val=""/>
      <w:lvlJc w:val="left"/>
      <w:pPr>
        <w:ind w:left="5607" w:hanging="360"/>
      </w:pPr>
      <w:rPr>
        <w:rFonts w:ascii="Symbol" w:hAnsi="Symbol" w:hint="default"/>
      </w:rPr>
    </w:lvl>
    <w:lvl w:ilvl="7" w:tplc="FFFFFFFF" w:tentative="1">
      <w:start w:val="1"/>
      <w:numFmt w:val="bullet"/>
      <w:lvlText w:val="o"/>
      <w:lvlJc w:val="left"/>
      <w:pPr>
        <w:ind w:left="6327" w:hanging="360"/>
      </w:pPr>
      <w:rPr>
        <w:rFonts w:ascii="Courier New" w:hAnsi="Courier New" w:cs="Courier New" w:hint="default"/>
      </w:rPr>
    </w:lvl>
    <w:lvl w:ilvl="8" w:tplc="FFFFFFFF" w:tentative="1">
      <w:start w:val="1"/>
      <w:numFmt w:val="bullet"/>
      <w:lvlText w:val=""/>
      <w:lvlJc w:val="left"/>
      <w:pPr>
        <w:ind w:left="7047" w:hanging="360"/>
      </w:pPr>
      <w:rPr>
        <w:rFonts w:ascii="Wingdings" w:hAnsi="Wingdings" w:hint="default"/>
      </w:rPr>
    </w:lvl>
  </w:abstractNum>
  <w:abstractNum w:abstractNumId="9" w15:restartNumberingAfterBreak="0">
    <w:nsid w:val="175B2B86"/>
    <w:multiLevelType w:val="hybridMultilevel"/>
    <w:tmpl w:val="EDE8704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8995BB8"/>
    <w:multiLevelType w:val="multilevel"/>
    <w:tmpl w:val="C924F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B1A6C8D"/>
    <w:multiLevelType w:val="hybridMultilevel"/>
    <w:tmpl w:val="7326047E"/>
    <w:lvl w:ilvl="0" w:tplc="C51A2CCC">
      <w:start w:val="1"/>
      <w:numFmt w:val="lowerRoman"/>
      <w:lvlText w:val="(%1)"/>
      <w:lvlJc w:val="left"/>
      <w:pPr>
        <w:ind w:left="3505" w:hanging="678"/>
      </w:pPr>
      <w:rPr>
        <w:rFonts w:ascii="Arial" w:eastAsia="Calibri" w:hAnsi="Arial" w:cs="Arial" w:hint="default"/>
        <w:i/>
        <w:spacing w:val="-1"/>
        <w:w w:val="99"/>
        <w:sz w:val="18"/>
        <w:szCs w:val="18"/>
      </w:rPr>
    </w:lvl>
    <w:lvl w:ilvl="1" w:tplc="B2307DE4">
      <w:numFmt w:val="bullet"/>
      <w:lvlText w:val="•"/>
      <w:lvlJc w:val="left"/>
      <w:pPr>
        <w:ind w:left="4148" w:hanging="678"/>
      </w:pPr>
      <w:rPr>
        <w:rFonts w:hint="default"/>
      </w:rPr>
    </w:lvl>
    <w:lvl w:ilvl="2" w:tplc="0322952A">
      <w:numFmt w:val="bullet"/>
      <w:lvlText w:val="•"/>
      <w:lvlJc w:val="left"/>
      <w:pPr>
        <w:ind w:left="4796" w:hanging="678"/>
      </w:pPr>
      <w:rPr>
        <w:rFonts w:hint="default"/>
      </w:rPr>
    </w:lvl>
    <w:lvl w:ilvl="3" w:tplc="F30C97A8">
      <w:numFmt w:val="bullet"/>
      <w:lvlText w:val="•"/>
      <w:lvlJc w:val="left"/>
      <w:pPr>
        <w:ind w:left="5444" w:hanging="678"/>
      </w:pPr>
      <w:rPr>
        <w:rFonts w:hint="default"/>
      </w:rPr>
    </w:lvl>
    <w:lvl w:ilvl="4" w:tplc="7CF42FC8">
      <w:numFmt w:val="bullet"/>
      <w:lvlText w:val="•"/>
      <w:lvlJc w:val="left"/>
      <w:pPr>
        <w:ind w:left="6092" w:hanging="678"/>
      </w:pPr>
      <w:rPr>
        <w:rFonts w:hint="default"/>
      </w:rPr>
    </w:lvl>
    <w:lvl w:ilvl="5" w:tplc="7E7A90A6">
      <w:numFmt w:val="bullet"/>
      <w:lvlText w:val="•"/>
      <w:lvlJc w:val="left"/>
      <w:pPr>
        <w:ind w:left="6740" w:hanging="678"/>
      </w:pPr>
      <w:rPr>
        <w:rFonts w:hint="default"/>
      </w:rPr>
    </w:lvl>
    <w:lvl w:ilvl="6" w:tplc="C36A57E2">
      <w:numFmt w:val="bullet"/>
      <w:lvlText w:val="•"/>
      <w:lvlJc w:val="left"/>
      <w:pPr>
        <w:ind w:left="7388" w:hanging="678"/>
      </w:pPr>
      <w:rPr>
        <w:rFonts w:hint="default"/>
      </w:rPr>
    </w:lvl>
    <w:lvl w:ilvl="7" w:tplc="EC064C22">
      <w:numFmt w:val="bullet"/>
      <w:lvlText w:val="•"/>
      <w:lvlJc w:val="left"/>
      <w:pPr>
        <w:ind w:left="8036" w:hanging="678"/>
      </w:pPr>
      <w:rPr>
        <w:rFonts w:hint="default"/>
      </w:rPr>
    </w:lvl>
    <w:lvl w:ilvl="8" w:tplc="07DA6F84">
      <w:numFmt w:val="bullet"/>
      <w:lvlText w:val="•"/>
      <w:lvlJc w:val="left"/>
      <w:pPr>
        <w:ind w:left="8684" w:hanging="678"/>
      </w:pPr>
      <w:rPr>
        <w:rFonts w:hint="default"/>
      </w:rPr>
    </w:lvl>
  </w:abstractNum>
  <w:abstractNum w:abstractNumId="12" w15:restartNumberingAfterBreak="0">
    <w:nsid w:val="1E1E09AB"/>
    <w:multiLevelType w:val="hybridMultilevel"/>
    <w:tmpl w:val="2B4C7B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1E857EDA"/>
    <w:multiLevelType w:val="hybridMultilevel"/>
    <w:tmpl w:val="89A4EC6C"/>
    <w:lvl w:ilvl="0" w:tplc="976EEC10">
      <w:start w:val="1"/>
      <w:numFmt w:val="lowerLetter"/>
      <w:lvlText w:val="(%1)"/>
      <w:lvlJc w:val="left"/>
      <w:pPr>
        <w:ind w:left="2918" w:hanging="708"/>
      </w:pPr>
      <w:rPr>
        <w:rFonts w:ascii="Calibri" w:eastAsia="Calibri" w:hAnsi="Calibri" w:cs="Calibri" w:hint="default"/>
        <w:b/>
        <w:bCs/>
        <w:spacing w:val="-1"/>
        <w:w w:val="99"/>
        <w:sz w:val="19"/>
        <w:szCs w:val="19"/>
      </w:rPr>
    </w:lvl>
    <w:lvl w:ilvl="1" w:tplc="C79E7AFA">
      <w:numFmt w:val="bullet"/>
      <w:lvlText w:val=""/>
      <w:lvlJc w:val="left"/>
      <w:pPr>
        <w:ind w:left="2918" w:hanging="534"/>
      </w:pPr>
      <w:rPr>
        <w:rFonts w:ascii="Symbol" w:eastAsia="Symbol" w:hAnsi="Symbol" w:cs="Symbol" w:hint="default"/>
        <w:w w:val="99"/>
        <w:sz w:val="19"/>
        <w:szCs w:val="19"/>
      </w:rPr>
    </w:lvl>
    <w:lvl w:ilvl="2" w:tplc="5DD0877E">
      <w:numFmt w:val="bullet"/>
      <w:lvlText w:val="•"/>
      <w:lvlJc w:val="left"/>
      <w:pPr>
        <w:ind w:left="4332" w:hanging="534"/>
      </w:pPr>
      <w:rPr>
        <w:rFonts w:hint="default"/>
      </w:rPr>
    </w:lvl>
    <w:lvl w:ilvl="3" w:tplc="59625658">
      <w:numFmt w:val="bullet"/>
      <w:lvlText w:val="•"/>
      <w:lvlJc w:val="left"/>
      <w:pPr>
        <w:ind w:left="5038" w:hanging="534"/>
      </w:pPr>
      <w:rPr>
        <w:rFonts w:hint="default"/>
      </w:rPr>
    </w:lvl>
    <w:lvl w:ilvl="4" w:tplc="D1D8CF2E">
      <w:numFmt w:val="bullet"/>
      <w:lvlText w:val="•"/>
      <w:lvlJc w:val="left"/>
      <w:pPr>
        <w:ind w:left="5744" w:hanging="534"/>
      </w:pPr>
      <w:rPr>
        <w:rFonts w:hint="default"/>
      </w:rPr>
    </w:lvl>
    <w:lvl w:ilvl="5" w:tplc="91BC4C92">
      <w:numFmt w:val="bullet"/>
      <w:lvlText w:val="•"/>
      <w:lvlJc w:val="left"/>
      <w:pPr>
        <w:ind w:left="6450" w:hanging="534"/>
      </w:pPr>
      <w:rPr>
        <w:rFonts w:hint="default"/>
      </w:rPr>
    </w:lvl>
    <w:lvl w:ilvl="6" w:tplc="F1281BBA">
      <w:numFmt w:val="bullet"/>
      <w:lvlText w:val="•"/>
      <w:lvlJc w:val="left"/>
      <w:pPr>
        <w:ind w:left="7156" w:hanging="534"/>
      </w:pPr>
      <w:rPr>
        <w:rFonts w:hint="default"/>
      </w:rPr>
    </w:lvl>
    <w:lvl w:ilvl="7" w:tplc="1F0095B6">
      <w:numFmt w:val="bullet"/>
      <w:lvlText w:val="•"/>
      <w:lvlJc w:val="left"/>
      <w:pPr>
        <w:ind w:left="7862" w:hanging="534"/>
      </w:pPr>
      <w:rPr>
        <w:rFonts w:hint="default"/>
      </w:rPr>
    </w:lvl>
    <w:lvl w:ilvl="8" w:tplc="0B8C75DA">
      <w:numFmt w:val="bullet"/>
      <w:lvlText w:val="•"/>
      <w:lvlJc w:val="left"/>
      <w:pPr>
        <w:ind w:left="8568" w:hanging="534"/>
      </w:pPr>
      <w:rPr>
        <w:rFonts w:hint="default"/>
      </w:rPr>
    </w:lvl>
  </w:abstractNum>
  <w:abstractNum w:abstractNumId="14" w15:restartNumberingAfterBreak="0">
    <w:nsid w:val="28015AD6"/>
    <w:multiLevelType w:val="hybridMultilevel"/>
    <w:tmpl w:val="40AA277C"/>
    <w:lvl w:ilvl="0" w:tplc="0C090001">
      <w:start w:val="1"/>
      <w:numFmt w:val="bullet"/>
      <w:lvlText w:val=""/>
      <w:lvlJc w:val="left"/>
      <w:pPr>
        <w:ind w:left="776" w:hanging="360"/>
      </w:pPr>
      <w:rPr>
        <w:rFonts w:ascii="Symbol" w:hAnsi="Symbol" w:hint="default"/>
      </w:rPr>
    </w:lvl>
    <w:lvl w:ilvl="1" w:tplc="0C090003" w:tentative="1">
      <w:start w:val="1"/>
      <w:numFmt w:val="bullet"/>
      <w:lvlText w:val="o"/>
      <w:lvlJc w:val="left"/>
      <w:pPr>
        <w:ind w:left="1496" w:hanging="360"/>
      </w:pPr>
      <w:rPr>
        <w:rFonts w:ascii="Courier New" w:hAnsi="Courier New" w:cs="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cs="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cs="Courier New" w:hint="default"/>
      </w:rPr>
    </w:lvl>
    <w:lvl w:ilvl="8" w:tplc="0C090005" w:tentative="1">
      <w:start w:val="1"/>
      <w:numFmt w:val="bullet"/>
      <w:lvlText w:val=""/>
      <w:lvlJc w:val="left"/>
      <w:pPr>
        <w:ind w:left="6536" w:hanging="360"/>
      </w:pPr>
      <w:rPr>
        <w:rFonts w:ascii="Wingdings" w:hAnsi="Wingdings" w:hint="default"/>
      </w:rPr>
    </w:lvl>
  </w:abstractNum>
  <w:abstractNum w:abstractNumId="15"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B482280"/>
    <w:multiLevelType w:val="hybridMultilevel"/>
    <w:tmpl w:val="A2703106"/>
    <w:lvl w:ilvl="0" w:tplc="8390C9DC">
      <w:numFmt w:val="bullet"/>
      <w:lvlText w:val="-"/>
      <w:lvlJc w:val="left"/>
      <w:pPr>
        <w:ind w:left="720" w:hanging="360"/>
      </w:pPr>
      <w:rPr>
        <w:rFonts w:ascii="ABC Sans Nova" w:eastAsia="Calibri" w:hAnsi="ABC Sans Nova"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2ECA2C2E"/>
    <w:multiLevelType w:val="hybridMultilevel"/>
    <w:tmpl w:val="3886F36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9" w15:restartNumberingAfterBreak="0">
    <w:nsid w:val="33CD702B"/>
    <w:multiLevelType w:val="hybridMultilevel"/>
    <w:tmpl w:val="89A4EC6C"/>
    <w:lvl w:ilvl="0" w:tplc="FFFFFFFF">
      <w:start w:val="1"/>
      <w:numFmt w:val="lowerLetter"/>
      <w:lvlText w:val="(%1)"/>
      <w:lvlJc w:val="left"/>
      <w:pPr>
        <w:ind w:left="2918" w:hanging="708"/>
      </w:pPr>
      <w:rPr>
        <w:rFonts w:ascii="Calibri" w:eastAsia="Calibri" w:hAnsi="Calibri" w:cs="Calibri" w:hint="default"/>
        <w:b/>
        <w:bCs/>
        <w:spacing w:val="-1"/>
        <w:w w:val="99"/>
        <w:sz w:val="19"/>
        <w:szCs w:val="19"/>
      </w:rPr>
    </w:lvl>
    <w:lvl w:ilvl="1" w:tplc="FFFFFFFF">
      <w:numFmt w:val="bullet"/>
      <w:lvlText w:val=""/>
      <w:lvlJc w:val="left"/>
      <w:pPr>
        <w:ind w:left="2918" w:hanging="534"/>
      </w:pPr>
      <w:rPr>
        <w:rFonts w:ascii="Symbol" w:eastAsia="Symbol" w:hAnsi="Symbol" w:cs="Symbol" w:hint="default"/>
        <w:w w:val="99"/>
        <w:sz w:val="19"/>
        <w:szCs w:val="19"/>
      </w:rPr>
    </w:lvl>
    <w:lvl w:ilvl="2" w:tplc="FFFFFFFF">
      <w:numFmt w:val="bullet"/>
      <w:lvlText w:val="•"/>
      <w:lvlJc w:val="left"/>
      <w:pPr>
        <w:ind w:left="4332" w:hanging="534"/>
      </w:pPr>
      <w:rPr>
        <w:rFonts w:hint="default"/>
      </w:rPr>
    </w:lvl>
    <w:lvl w:ilvl="3" w:tplc="FFFFFFFF">
      <w:numFmt w:val="bullet"/>
      <w:lvlText w:val="•"/>
      <w:lvlJc w:val="left"/>
      <w:pPr>
        <w:ind w:left="5038" w:hanging="534"/>
      </w:pPr>
      <w:rPr>
        <w:rFonts w:hint="default"/>
      </w:rPr>
    </w:lvl>
    <w:lvl w:ilvl="4" w:tplc="FFFFFFFF">
      <w:numFmt w:val="bullet"/>
      <w:lvlText w:val="•"/>
      <w:lvlJc w:val="left"/>
      <w:pPr>
        <w:ind w:left="5744" w:hanging="534"/>
      </w:pPr>
      <w:rPr>
        <w:rFonts w:hint="default"/>
      </w:rPr>
    </w:lvl>
    <w:lvl w:ilvl="5" w:tplc="FFFFFFFF">
      <w:numFmt w:val="bullet"/>
      <w:lvlText w:val="•"/>
      <w:lvlJc w:val="left"/>
      <w:pPr>
        <w:ind w:left="6450" w:hanging="534"/>
      </w:pPr>
      <w:rPr>
        <w:rFonts w:hint="default"/>
      </w:rPr>
    </w:lvl>
    <w:lvl w:ilvl="6" w:tplc="FFFFFFFF">
      <w:numFmt w:val="bullet"/>
      <w:lvlText w:val="•"/>
      <w:lvlJc w:val="left"/>
      <w:pPr>
        <w:ind w:left="7156" w:hanging="534"/>
      </w:pPr>
      <w:rPr>
        <w:rFonts w:hint="default"/>
      </w:rPr>
    </w:lvl>
    <w:lvl w:ilvl="7" w:tplc="FFFFFFFF">
      <w:numFmt w:val="bullet"/>
      <w:lvlText w:val="•"/>
      <w:lvlJc w:val="left"/>
      <w:pPr>
        <w:ind w:left="7862" w:hanging="534"/>
      </w:pPr>
      <w:rPr>
        <w:rFonts w:hint="default"/>
      </w:rPr>
    </w:lvl>
    <w:lvl w:ilvl="8" w:tplc="FFFFFFFF">
      <w:numFmt w:val="bullet"/>
      <w:lvlText w:val="•"/>
      <w:lvlJc w:val="left"/>
      <w:pPr>
        <w:ind w:left="8568" w:hanging="534"/>
      </w:pPr>
      <w:rPr>
        <w:rFonts w:hint="default"/>
      </w:rPr>
    </w:lvl>
  </w:abstractNum>
  <w:abstractNum w:abstractNumId="20" w15:restartNumberingAfterBreak="0">
    <w:nsid w:val="33E47CEF"/>
    <w:multiLevelType w:val="hybridMultilevel"/>
    <w:tmpl w:val="600E73A0"/>
    <w:lvl w:ilvl="0" w:tplc="1ED407B4">
      <w:start w:val="1"/>
      <w:numFmt w:val="decimal"/>
      <w:lvlText w:val="%1."/>
      <w:lvlJc w:val="left"/>
      <w:pPr>
        <w:ind w:left="2490" w:hanging="340"/>
      </w:pPr>
      <w:rPr>
        <w:rFonts w:ascii="Calibri" w:eastAsia="Calibri" w:hAnsi="Calibri" w:cs="Calibri" w:hint="default"/>
        <w:b/>
        <w:bCs/>
        <w:w w:val="99"/>
        <w:sz w:val="19"/>
        <w:szCs w:val="19"/>
      </w:rPr>
    </w:lvl>
    <w:lvl w:ilvl="1" w:tplc="F7D2F2E2">
      <w:numFmt w:val="bullet"/>
      <w:lvlText w:val="•"/>
      <w:lvlJc w:val="left"/>
      <w:pPr>
        <w:ind w:left="3248" w:hanging="340"/>
      </w:pPr>
      <w:rPr>
        <w:rFonts w:hint="default"/>
      </w:rPr>
    </w:lvl>
    <w:lvl w:ilvl="2" w:tplc="645C7BAE">
      <w:numFmt w:val="bullet"/>
      <w:lvlText w:val="•"/>
      <w:lvlJc w:val="left"/>
      <w:pPr>
        <w:ind w:left="3996" w:hanging="340"/>
      </w:pPr>
      <w:rPr>
        <w:rFonts w:hint="default"/>
      </w:rPr>
    </w:lvl>
    <w:lvl w:ilvl="3" w:tplc="4C50241C">
      <w:numFmt w:val="bullet"/>
      <w:lvlText w:val="•"/>
      <w:lvlJc w:val="left"/>
      <w:pPr>
        <w:ind w:left="4744" w:hanging="340"/>
      </w:pPr>
      <w:rPr>
        <w:rFonts w:hint="default"/>
      </w:rPr>
    </w:lvl>
    <w:lvl w:ilvl="4" w:tplc="9CE69D4E">
      <w:numFmt w:val="bullet"/>
      <w:lvlText w:val="•"/>
      <w:lvlJc w:val="left"/>
      <w:pPr>
        <w:ind w:left="5492" w:hanging="340"/>
      </w:pPr>
      <w:rPr>
        <w:rFonts w:hint="default"/>
      </w:rPr>
    </w:lvl>
    <w:lvl w:ilvl="5" w:tplc="25E05E6E">
      <w:numFmt w:val="bullet"/>
      <w:lvlText w:val="•"/>
      <w:lvlJc w:val="left"/>
      <w:pPr>
        <w:ind w:left="6240" w:hanging="340"/>
      </w:pPr>
      <w:rPr>
        <w:rFonts w:hint="default"/>
      </w:rPr>
    </w:lvl>
    <w:lvl w:ilvl="6" w:tplc="302ED72A">
      <w:numFmt w:val="bullet"/>
      <w:lvlText w:val="•"/>
      <w:lvlJc w:val="left"/>
      <w:pPr>
        <w:ind w:left="6988" w:hanging="340"/>
      </w:pPr>
      <w:rPr>
        <w:rFonts w:hint="default"/>
      </w:rPr>
    </w:lvl>
    <w:lvl w:ilvl="7" w:tplc="FDB6C6B0">
      <w:numFmt w:val="bullet"/>
      <w:lvlText w:val="•"/>
      <w:lvlJc w:val="left"/>
      <w:pPr>
        <w:ind w:left="7736" w:hanging="340"/>
      </w:pPr>
      <w:rPr>
        <w:rFonts w:hint="default"/>
      </w:rPr>
    </w:lvl>
    <w:lvl w:ilvl="8" w:tplc="F0D48334">
      <w:numFmt w:val="bullet"/>
      <w:lvlText w:val="•"/>
      <w:lvlJc w:val="left"/>
      <w:pPr>
        <w:ind w:left="8484" w:hanging="340"/>
      </w:pPr>
      <w:rPr>
        <w:rFonts w:hint="default"/>
      </w:rPr>
    </w:lvl>
  </w:abstractNum>
  <w:abstractNum w:abstractNumId="21" w15:restartNumberingAfterBreak="0">
    <w:nsid w:val="34D455AC"/>
    <w:multiLevelType w:val="hybridMultilevel"/>
    <w:tmpl w:val="E402A6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7020905"/>
    <w:multiLevelType w:val="hybridMultilevel"/>
    <w:tmpl w:val="54AA93A0"/>
    <w:lvl w:ilvl="0" w:tplc="FA94A91C">
      <w:start w:val="1"/>
      <w:numFmt w:val="decimal"/>
      <w:lvlText w:val="%1."/>
      <w:lvlJc w:val="left"/>
      <w:pPr>
        <w:ind w:left="360" w:hanging="360"/>
      </w:pPr>
      <w:rPr>
        <w:rFonts w:ascii="Arial" w:hAnsi="Arial" w:cs="Arial"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379166E0"/>
    <w:multiLevelType w:val="hybridMultilevel"/>
    <w:tmpl w:val="89A4EC6C"/>
    <w:lvl w:ilvl="0" w:tplc="FFFFFFFF">
      <w:start w:val="1"/>
      <w:numFmt w:val="lowerLetter"/>
      <w:lvlText w:val="(%1)"/>
      <w:lvlJc w:val="left"/>
      <w:pPr>
        <w:ind w:left="2918" w:hanging="708"/>
      </w:pPr>
      <w:rPr>
        <w:rFonts w:ascii="Calibri" w:eastAsia="Calibri" w:hAnsi="Calibri" w:cs="Calibri" w:hint="default"/>
        <w:b/>
        <w:bCs/>
        <w:spacing w:val="-1"/>
        <w:w w:val="99"/>
        <w:sz w:val="19"/>
        <w:szCs w:val="19"/>
      </w:rPr>
    </w:lvl>
    <w:lvl w:ilvl="1" w:tplc="FFFFFFFF">
      <w:numFmt w:val="bullet"/>
      <w:lvlText w:val=""/>
      <w:lvlJc w:val="left"/>
      <w:pPr>
        <w:ind w:left="2918" w:hanging="534"/>
      </w:pPr>
      <w:rPr>
        <w:rFonts w:ascii="Symbol" w:eastAsia="Symbol" w:hAnsi="Symbol" w:cs="Symbol" w:hint="default"/>
        <w:w w:val="99"/>
        <w:sz w:val="19"/>
        <w:szCs w:val="19"/>
      </w:rPr>
    </w:lvl>
    <w:lvl w:ilvl="2" w:tplc="FFFFFFFF">
      <w:numFmt w:val="bullet"/>
      <w:lvlText w:val="•"/>
      <w:lvlJc w:val="left"/>
      <w:pPr>
        <w:ind w:left="4332" w:hanging="534"/>
      </w:pPr>
      <w:rPr>
        <w:rFonts w:hint="default"/>
      </w:rPr>
    </w:lvl>
    <w:lvl w:ilvl="3" w:tplc="FFFFFFFF">
      <w:numFmt w:val="bullet"/>
      <w:lvlText w:val="•"/>
      <w:lvlJc w:val="left"/>
      <w:pPr>
        <w:ind w:left="5038" w:hanging="534"/>
      </w:pPr>
      <w:rPr>
        <w:rFonts w:hint="default"/>
      </w:rPr>
    </w:lvl>
    <w:lvl w:ilvl="4" w:tplc="FFFFFFFF">
      <w:numFmt w:val="bullet"/>
      <w:lvlText w:val="•"/>
      <w:lvlJc w:val="left"/>
      <w:pPr>
        <w:ind w:left="5744" w:hanging="534"/>
      </w:pPr>
      <w:rPr>
        <w:rFonts w:hint="default"/>
      </w:rPr>
    </w:lvl>
    <w:lvl w:ilvl="5" w:tplc="FFFFFFFF">
      <w:numFmt w:val="bullet"/>
      <w:lvlText w:val="•"/>
      <w:lvlJc w:val="left"/>
      <w:pPr>
        <w:ind w:left="6450" w:hanging="534"/>
      </w:pPr>
      <w:rPr>
        <w:rFonts w:hint="default"/>
      </w:rPr>
    </w:lvl>
    <w:lvl w:ilvl="6" w:tplc="FFFFFFFF">
      <w:numFmt w:val="bullet"/>
      <w:lvlText w:val="•"/>
      <w:lvlJc w:val="left"/>
      <w:pPr>
        <w:ind w:left="7156" w:hanging="534"/>
      </w:pPr>
      <w:rPr>
        <w:rFonts w:hint="default"/>
      </w:rPr>
    </w:lvl>
    <w:lvl w:ilvl="7" w:tplc="FFFFFFFF">
      <w:numFmt w:val="bullet"/>
      <w:lvlText w:val="•"/>
      <w:lvlJc w:val="left"/>
      <w:pPr>
        <w:ind w:left="7862" w:hanging="534"/>
      </w:pPr>
      <w:rPr>
        <w:rFonts w:hint="default"/>
      </w:rPr>
    </w:lvl>
    <w:lvl w:ilvl="8" w:tplc="FFFFFFFF">
      <w:numFmt w:val="bullet"/>
      <w:lvlText w:val="•"/>
      <w:lvlJc w:val="left"/>
      <w:pPr>
        <w:ind w:left="8568" w:hanging="534"/>
      </w:pPr>
      <w:rPr>
        <w:rFonts w:hint="default"/>
      </w:rPr>
    </w:lvl>
  </w:abstractNum>
  <w:abstractNum w:abstractNumId="24" w15:restartNumberingAfterBreak="0">
    <w:nsid w:val="38473E79"/>
    <w:multiLevelType w:val="hybridMultilevel"/>
    <w:tmpl w:val="DA6636CC"/>
    <w:lvl w:ilvl="0" w:tplc="FFFFFFF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3A90613B"/>
    <w:multiLevelType w:val="hybridMultilevel"/>
    <w:tmpl w:val="18860C7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3C791BA5"/>
    <w:multiLevelType w:val="hybridMultilevel"/>
    <w:tmpl w:val="1796268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3E3959F9"/>
    <w:multiLevelType w:val="multilevel"/>
    <w:tmpl w:val="BE3E0220"/>
    <w:lvl w:ilvl="0">
      <w:start w:val="1"/>
      <w:numFmt w:val="decimal"/>
      <w:lvlText w:val="%1"/>
      <w:lvlJc w:val="left"/>
      <w:pPr>
        <w:ind w:left="2120" w:hanging="282"/>
      </w:pPr>
      <w:rPr>
        <w:rFonts w:hint="default"/>
      </w:rPr>
    </w:lvl>
    <w:lvl w:ilvl="1">
      <w:start w:val="2"/>
      <w:numFmt w:val="decimal"/>
      <w:lvlText w:val="%1.%2"/>
      <w:lvlJc w:val="left"/>
      <w:pPr>
        <w:ind w:left="2120" w:hanging="282"/>
      </w:pPr>
      <w:rPr>
        <w:rFonts w:ascii="Calibri" w:eastAsia="Calibri" w:hAnsi="Calibri" w:cs="Calibri" w:hint="default"/>
        <w:spacing w:val="-1"/>
        <w:w w:val="99"/>
        <w:sz w:val="19"/>
        <w:szCs w:val="19"/>
      </w:rPr>
    </w:lvl>
    <w:lvl w:ilvl="2">
      <w:start w:val="1"/>
      <w:numFmt w:val="lowerLetter"/>
      <w:lvlText w:val="(%3)"/>
      <w:lvlJc w:val="left"/>
      <w:pPr>
        <w:ind w:left="3165" w:hanging="339"/>
      </w:pPr>
      <w:rPr>
        <w:rFonts w:ascii="Calibri" w:eastAsia="Calibri" w:hAnsi="Calibri" w:cs="Calibri" w:hint="default"/>
        <w:i/>
        <w:w w:val="99"/>
        <w:sz w:val="17"/>
        <w:szCs w:val="17"/>
      </w:rPr>
    </w:lvl>
    <w:lvl w:ilvl="3">
      <w:numFmt w:val="bullet"/>
      <w:lvlText w:val="•"/>
      <w:lvlJc w:val="left"/>
      <w:pPr>
        <w:ind w:left="4675" w:hanging="339"/>
      </w:pPr>
      <w:rPr>
        <w:rFonts w:hint="default"/>
      </w:rPr>
    </w:lvl>
    <w:lvl w:ilvl="4">
      <w:numFmt w:val="bullet"/>
      <w:lvlText w:val="•"/>
      <w:lvlJc w:val="left"/>
      <w:pPr>
        <w:ind w:left="5433" w:hanging="339"/>
      </w:pPr>
      <w:rPr>
        <w:rFonts w:hint="default"/>
      </w:rPr>
    </w:lvl>
    <w:lvl w:ilvl="5">
      <w:numFmt w:val="bullet"/>
      <w:lvlText w:val="•"/>
      <w:lvlJc w:val="left"/>
      <w:pPr>
        <w:ind w:left="6191" w:hanging="339"/>
      </w:pPr>
      <w:rPr>
        <w:rFonts w:hint="default"/>
      </w:rPr>
    </w:lvl>
    <w:lvl w:ilvl="6">
      <w:numFmt w:val="bullet"/>
      <w:lvlText w:val="•"/>
      <w:lvlJc w:val="left"/>
      <w:pPr>
        <w:ind w:left="6948" w:hanging="339"/>
      </w:pPr>
      <w:rPr>
        <w:rFonts w:hint="default"/>
      </w:rPr>
    </w:lvl>
    <w:lvl w:ilvl="7">
      <w:numFmt w:val="bullet"/>
      <w:lvlText w:val="•"/>
      <w:lvlJc w:val="left"/>
      <w:pPr>
        <w:ind w:left="7706" w:hanging="339"/>
      </w:pPr>
      <w:rPr>
        <w:rFonts w:hint="default"/>
      </w:rPr>
    </w:lvl>
    <w:lvl w:ilvl="8">
      <w:numFmt w:val="bullet"/>
      <w:lvlText w:val="•"/>
      <w:lvlJc w:val="left"/>
      <w:pPr>
        <w:ind w:left="8464" w:hanging="339"/>
      </w:pPr>
      <w:rPr>
        <w:rFonts w:hint="default"/>
      </w:rPr>
    </w:lvl>
  </w:abstractNum>
  <w:abstractNum w:abstractNumId="28" w15:restartNumberingAfterBreak="0">
    <w:nsid w:val="40233A86"/>
    <w:multiLevelType w:val="multilevel"/>
    <w:tmpl w:val="EB282048"/>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404F5A52"/>
    <w:multiLevelType w:val="multilevel"/>
    <w:tmpl w:val="73364292"/>
    <w:lvl w:ilvl="0">
      <w:start w:val="3"/>
      <w:numFmt w:val="decimal"/>
      <w:lvlText w:val="%1"/>
      <w:lvlJc w:val="left"/>
      <w:pPr>
        <w:ind w:left="3585" w:hanging="801"/>
      </w:pPr>
      <w:rPr>
        <w:rFonts w:hint="default"/>
      </w:rPr>
    </w:lvl>
    <w:lvl w:ilvl="1">
      <w:start w:val="3"/>
      <w:numFmt w:val="decimal"/>
      <w:lvlText w:val="%1.%2"/>
      <w:lvlJc w:val="left"/>
      <w:pPr>
        <w:ind w:left="3585" w:hanging="801"/>
      </w:pPr>
      <w:rPr>
        <w:rFonts w:hint="default"/>
      </w:rPr>
    </w:lvl>
    <w:lvl w:ilvl="2">
      <w:start w:val="1"/>
      <w:numFmt w:val="decimal"/>
      <w:lvlText w:val="%1.%2.%3"/>
      <w:lvlJc w:val="left"/>
      <w:pPr>
        <w:ind w:left="3585" w:hanging="801"/>
      </w:pPr>
      <w:rPr>
        <w:rFonts w:ascii="Arial" w:eastAsia="Calibri" w:hAnsi="Arial" w:cs="Arial" w:hint="default"/>
        <w:i/>
        <w:spacing w:val="-1"/>
        <w:w w:val="99"/>
        <w:sz w:val="18"/>
        <w:szCs w:val="18"/>
      </w:rPr>
    </w:lvl>
    <w:lvl w:ilvl="3">
      <w:numFmt w:val="bullet"/>
      <w:lvlText w:val="•"/>
      <w:lvlJc w:val="left"/>
      <w:pPr>
        <w:ind w:left="5500" w:hanging="801"/>
      </w:pPr>
      <w:rPr>
        <w:rFonts w:hint="default"/>
      </w:rPr>
    </w:lvl>
    <w:lvl w:ilvl="4">
      <w:numFmt w:val="bullet"/>
      <w:lvlText w:val="•"/>
      <w:lvlJc w:val="left"/>
      <w:pPr>
        <w:ind w:left="6140" w:hanging="801"/>
      </w:pPr>
      <w:rPr>
        <w:rFonts w:hint="default"/>
      </w:rPr>
    </w:lvl>
    <w:lvl w:ilvl="5">
      <w:numFmt w:val="bullet"/>
      <w:lvlText w:val="•"/>
      <w:lvlJc w:val="left"/>
      <w:pPr>
        <w:ind w:left="6780" w:hanging="801"/>
      </w:pPr>
      <w:rPr>
        <w:rFonts w:hint="default"/>
      </w:rPr>
    </w:lvl>
    <w:lvl w:ilvl="6">
      <w:numFmt w:val="bullet"/>
      <w:lvlText w:val="•"/>
      <w:lvlJc w:val="left"/>
      <w:pPr>
        <w:ind w:left="7420" w:hanging="801"/>
      </w:pPr>
      <w:rPr>
        <w:rFonts w:hint="default"/>
      </w:rPr>
    </w:lvl>
    <w:lvl w:ilvl="7">
      <w:numFmt w:val="bullet"/>
      <w:lvlText w:val="•"/>
      <w:lvlJc w:val="left"/>
      <w:pPr>
        <w:ind w:left="8060" w:hanging="801"/>
      </w:pPr>
      <w:rPr>
        <w:rFonts w:hint="default"/>
      </w:rPr>
    </w:lvl>
    <w:lvl w:ilvl="8">
      <w:numFmt w:val="bullet"/>
      <w:lvlText w:val="•"/>
      <w:lvlJc w:val="left"/>
      <w:pPr>
        <w:ind w:left="8700" w:hanging="801"/>
      </w:pPr>
      <w:rPr>
        <w:rFonts w:hint="default"/>
      </w:rPr>
    </w:lvl>
  </w:abstractNum>
  <w:abstractNum w:abstractNumId="30" w15:restartNumberingAfterBreak="0">
    <w:nsid w:val="45A22279"/>
    <w:multiLevelType w:val="hybridMultilevel"/>
    <w:tmpl w:val="8698EA8C"/>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4DB60E94"/>
    <w:multiLevelType w:val="hybridMultilevel"/>
    <w:tmpl w:val="DA6636CC"/>
    <w:lvl w:ilvl="0" w:tplc="FFFFFFF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4DD52338"/>
    <w:multiLevelType w:val="hybridMultilevel"/>
    <w:tmpl w:val="F458707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4F872C9B"/>
    <w:multiLevelType w:val="hybridMultilevel"/>
    <w:tmpl w:val="4C6636C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05879C7"/>
    <w:multiLevelType w:val="hybridMultilevel"/>
    <w:tmpl w:val="077A50E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53BF7C90"/>
    <w:multiLevelType w:val="hybridMultilevel"/>
    <w:tmpl w:val="89A4EC6C"/>
    <w:lvl w:ilvl="0" w:tplc="FFFFFFFF">
      <w:start w:val="1"/>
      <w:numFmt w:val="lowerLetter"/>
      <w:lvlText w:val="(%1)"/>
      <w:lvlJc w:val="left"/>
      <w:pPr>
        <w:ind w:left="2918" w:hanging="708"/>
      </w:pPr>
      <w:rPr>
        <w:rFonts w:ascii="Calibri" w:eastAsia="Calibri" w:hAnsi="Calibri" w:cs="Calibri" w:hint="default"/>
        <w:b/>
        <w:bCs/>
        <w:spacing w:val="-1"/>
        <w:w w:val="99"/>
        <w:sz w:val="19"/>
        <w:szCs w:val="19"/>
      </w:rPr>
    </w:lvl>
    <w:lvl w:ilvl="1" w:tplc="FFFFFFFF">
      <w:numFmt w:val="bullet"/>
      <w:lvlText w:val=""/>
      <w:lvlJc w:val="left"/>
      <w:pPr>
        <w:ind w:left="2918" w:hanging="534"/>
      </w:pPr>
      <w:rPr>
        <w:rFonts w:ascii="Symbol" w:eastAsia="Symbol" w:hAnsi="Symbol" w:cs="Symbol" w:hint="default"/>
        <w:w w:val="99"/>
        <w:sz w:val="19"/>
        <w:szCs w:val="19"/>
      </w:rPr>
    </w:lvl>
    <w:lvl w:ilvl="2" w:tplc="FFFFFFFF">
      <w:numFmt w:val="bullet"/>
      <w:lvlText w:val="•"/>
      <w:lvlJc w:val="left"/>
      <w:pPr>
        <w:ind w:left="4332" w:hanging="534"/>
      </w:pPr>
      <w:rPr>
        <w:rFonts w:hint="default"/>
      </w:rPr>
    </w:lvl>
    <w:lvl w:ilvl="3" w:tplc="FFFFFFFF">
      <w:numFmt w:val="bullet"/>
      <w:lvlText w:val="•"/>
      <w:lvlJc w:val="left"/>
      <w:pPr>
        <w:ind w:left="5038" w:hanging="534"/>
      </w:pPr>
      <w:rPr>
        <w:rFonts w:hint="default"/>
      </w:rPr>
    </w:lvl>
    <w:lvl w:ilvl="4" w:tplc="FFFFFFFF">
      <w:numFmt w:val="bullet"/>
      <w:lvlText w:val="•"/>
      <w:lvlJc w:val="left"/>
      <w:pPr>
        <w:ind w:left="5744" w:hanging="534"/>
      </w:pPr>
      <w:rPr>
        <w:rFonts w:hint="default"/>
      </w:rPr>
    </w:lvl>
    <w:lvl w:ilvl="5" w:tplc="FFFFFFFF">
      <w:numFmt w:val="bullet"/>
      <w:lvlText w:val="•"/>
      <w:lvlJc w:val="left"/>
      <w:pPr>
        <w:ind w:left="6450" w:hanging="534"/>
      </w:pPr>
      <w:rPr>
        <w:rFonts w:hint="default"/>
      </w:rPr>
    </w:lvl>
    <w:lvl w:ilvl="6" w:tplc="FFFFFFFF">
      <w:numFmt w:val="bullet"/>
      <w:lvlText w:val="•"/>
      <w:lvlJc w:val="left"/>
      <w:pPr>
        <w:ind w:left="7156" w:hanging="534"/>
      </w:pPr>
      <w:rPr>
        <w:rFonts w:hint="default"/>
      </w:rPr>
    </w:lvl>
    <w:lvl w:ilvl="7" w:tplc="FFFFFFFF">
      <w:numFmt w:val="bullet"/>
      <w:lvlText w:val="•"/>
      <w:lvlJc w:val="left"/>
      <w:pPr>
        <w:ind w:left="7862" w:hanging="534"/>
      </w:pPr>
      <w:rPr>
        <w:rFonts w:hint="default"/>
      </w:rPr>
    </w:lvl>
    <w:lvl w:ilvl="8" w:tplc="FFFFFFFF">
      <w:numFmt w:val="bullet"/>
      <w:lvlText w:val="•"/>
      <w:lvlJc w:val="left"/>
      <w:pPr>
        <w:ind w:left="8568" w:hanging="534"/>
      </w:pPr>
      <w:rPr>
        <w:rFonts w:hint="default"/>
      </w:rPr>
    </w:lvl>
  </w:abstractNum>
  <w:abstractNum w:abstractNumId="36" w15:restartNumberingAfterBreak="0">
    <w:nsid w:val="59AF5791"/>
    <w:multiLevelType w:val="hybridMultilevel"/>
    <w:tmpl w:val="2DB292F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5BF168B3"/>
    <w:multiLevelType w:val="hybridMultilevel"/>
    <w:tmpl w:val="07BAB40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5D171738"/>
    <w:multiLevelType w:val="hybridMultilevel"/>
    <w:tmpl w:val="EF9CCF70"/>
    <w:lvl w:ilvl="0" w:tplc="B2D4E50A">
      <w:numFmt w:val="bullet"/>
      <w:lvlText w:val=""/>
      <w:lvlJc w:val="left"/>
      <w:pPr>
        <w:ind w:left="2797" w:hanging="340"/>
      </w:pPr>
      <w:rPr>
        <w:rFonts w:ascii="Symbol" w:eastAsia="Symbol" w:hAnsi="Symbol" w:cs="Symbol" w:hint="default"/>
        <w:w w:val="99"/>
        <w:sz w:val="19"/>
        <w:szCs w:val="19"/>
      </w:rPr>
    </w:lvl>
    <w:lvl w:ilvl="1" w:tplc="2C90F264">
      <w:numFmt w:val="bullet"/>
      <w:lvlText w:val="o"/>
      <w:lvlJc w:val="left"/>
      <w:pPr>
        <w:ind w:left="3474" w:hanging="339"/>
      </w:pPr>
      <w:rPr>
        <w:rFonts w:ascii="Courier New" w:eastAsia="Courier New" w:hAnsi="Courier New" w:cs="Courier New" w:hint="default"/>
        <w:w w:val="99"/>
        <w:sz w:val="19"/>
        <w:szCs w:val="19"/>
      </w:rPr>
    </w:lvl>
    <w:lvl w:ilvl="2" w:tplc="89F4C6EA">
      <w:numFmt w:val="bullet"/>
      <w:lvlText w:val="•"/>
      <w:lvlJc w:val="left"/>
      <w:pPr>
        <w:ind w:left="4202" w:hanging="339"/>
      </w:pPr>
      <w:rPr>
        <w:rFonts w:hint="default"/>
      </w:rPr>
    </w:lvl>
    <w:lvl w:ilvl="3" w:tplc="A2AE9346">
      <w:numFmt w:val="bullet"/>
      <w:lvlText w:val="•"/>
      <w:lvlJc w:val="left"/>
      <w:pPr>
        <w:ind w:left="4924" w:hanging="339"/>
      </w:pPr>
      <w:rPr>
        <w:rFonts w:hint="default"/>
      </w:rPr>
    </w:lvl>
    <w:lvl w:ilvl="4" w:tplc="4B3CC1C8">
      <w:numFmt w:val="bullet"/>
      <w:lvlText w:val="•"/>
      <w:lvlJc w:val="left"/>
      <w:pPr>
        <w:ind w:left="5646" w:hanging="339"/>
      </w:pPr>
      <w:rPr>
        <w:rFonts w:hint="default"/>
      </w:rPr>
    </w:lvl>
    <w:lvl w:ilvl="5" w:tplc="B3F8D21E">
      <w:numFmt w:val="bullet"/>
      <w:lvlText w:val="•"/>
      <w:lvlJc w:val="left"/>
      <w:pPr>
        <w:ind w:left="6368" w:hanging="339"/>
      </w:pPr>
      <w:rPr>
        <w:rFonts w:hint="default"/>
      </w:rPr>
    </w:lvl>
    <w:lvl w:ilvl="6" w:tplc="614624B6">
      <w:numFmt w:val="bullet"/>
      <w:lvlText w:val="•"/>
      <w:lvlJc w:val="left"/>
      <w:pPr>
        <w:ind w:left="7091" w:hanging="339"/>
      </w:pPr>
      <w:rPr>
        <w:rFonts w:hint="default"/>
      </w:rPr>
    </w:lvl>
    <w:lvl w:ilvl="7" w:tplc="DE62D32E">
      <w:numFmt w:val="bullet"/>
      <w:lvlText w:val="•"/>
      <w:lvlJc w:val="left"/>
      <w:pPr>
        <w:ind w:left="7813" w:hanging="339"/>
      </w:pPr>
      <w:rPr>
        <w:rFonts w:hint="default"/>
      </w:rPr>
    </w:lvl>
    <w:lvl w:ilvl="8" w:tplc="121E5FA4">
      <w:numFmt w:val="bullet"/>
      <w:lvlText w:val="•"/>
      <w:lvlJc w:val="left"/>
      <w:pPr>
        <w:ind w:left="8535" w:hanging="339"/>
      </w:pPr>
      <w:rPr>
        <w:rFonts w:hint="default"/>
      </w:rPr>
    </w:lvl>
  </w:abstractNum>
  <w:abstractNum w:abstractNumId="39"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7A32386"/>
    <w:multiLevelType w:val="hybridMultilevel"/>
    <w:tmpl w:val="DA6636C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697A3EFF"/>
    <w:multiLevelType w:val="hybridMultilevel"/>
    <w:tmpl w:val="89A4EC6C"/>
    <w:lvl w:ilvl="0" w:tplc="FFFFFFFF">
      <w:start w:val="1"/>
      <w:numFmt w:val="lowerLetter"/>
      <w:lvlText w:val="(%1)"/>
      <w:lvlJc w:val="left"/>
      <w:pPr>
        <w:ind w:left="2918" w:hanging="708"/>
      </w:pPr>
      <w:rPr>
        <w:rFonts w:ascii="Calibri" w:eastAsia="Calibri" w:hAnsi="Calibri" w:cs="Calibri" w:hint="default"/>
        <w:b/>
        <w:bCs/>
        <w:spacing w:val="-1"/>
        <w:w w:val="99"/>
        <w:sz w:val="19"/>
        <w:szCs w:val="19"/>
      </w:rPr>
    </w:lvl>
    <w:lvl w:ilvl="1" w:tplc="FFFFFFFF">
      <w:numFmt w:val="bullet"/>
      <w:lvlText w:val=""/>
      <w:lvlJc w:val="left"/>
      <w:pPr>
        <w:ind w:left="2918" w:hanging="534"/>
      </w:pPr>
      <w:rPr>
        <w:rFonts w:ascii="Symbol" w:eastAsia="Symbol" w:hAnsi="Symbol" w:cs="Symbol" w:hint="default"/>
        <w:w w:val="99"/>
        <w:sz w:val="19"/>
        <w:szCs w:val="19"/>
      </w:rPr>
    </w:lvl>
    <w:lvl w:ilvl="2" w:tplc="FFFFFFFF">
      <w:numFmt w:val="bullet"/>
      <w:lvlText w:val="•"/>
      <w:lvlJc w:val="left"/>
      <w:pPr>
        <w:ind w:left="4332" w:hanging="534"/>
      </w:pPr>
      <w:rPr>
        <w:rFonts w:hint="default"/>
      </w:rPr>
    </w:lvl>
    <w:lvl w:ilvl="3" w:tplc="FFFFFFFF">
      <w:numFmt w:val="bullet"/>
      <w:lvlText w:val="•"/>
      <w:lvlJc w:val="left"/>
      <w:pPr>
        <w:ind w:left="5038" w:hanging="534"/>
      </w:pPr>
      <w:rPr>
        <w:rFonts w:hint="default"/>
      </w:rPr>
    </w:lvl>
    <w:lvl w:ilvl="4" w:tplc="FFFFFFFF">
      <w:numFmt w:val="bullet"/>
      <w:lvlText w:val="•"/>
      <w:lvlJc w:val="left"/>
      <w:pPr>
        <w:ind w:left="5744" w:hanging="534"/>
      </w:pPr>
      <w:rPr>
        <w:rFonts w:hint="default"/>
      </w:rPr>
    </w:lvl>
    <w:lvl w:ilvl="5" w:tplc="FFFFFFFF">
      <w:numFmt w:val="bullet"/>
      <w:lvlText w:val="•"/>
      <w:lvlJc w:val="left"/>
      <w:pPr>
        <w:ind w:left="6450" w:hanging="534"/>
      </w:pPr>
      <w:rPr>
        <w:rFonts w:hint="default"/>
      </w:rPr>
    </w:lvl>
    <w:lvl w:ilvl="6" w:tplc="FFFFFFFF">
      <w:numFmt w:val="bullet"/>
      <w:lvlText w:val="•"/>
      <w:lvlJc w:val="left"/>
      <w:pPr>
        <w:ind w:left="7156" w:hanging="534"/>
      </w:pPr>
      <w:rPr>
        <w:rFonts w:hint="default"/>
      </w:rPr>
    </w:lvl>
    <w:lvl w:ilvl="7" w:tplc="FFFFFFFF">
      <w:numFmt w:val="bullet"/>
      <w:lvlText w:val="•"/>
      <w:lvlJc w:val="left"/>
      <w:pPr>
        <w:ind w:left="7862" w:hanging="534"/>
      </w:pPr>
      <w:rPr>
        <w:rFonts w:hint="default"/>
      </w:rPr>
    </w:lvl>
    <w:lvl w:ilvl="8" w:tplc="FFFFFFFF">
      <w:numFmt w:val="bullet"/>
      <w:lvlText w:val="•"/>
      <w:lvlJc w:val="left"/>
      <w:pPr>
        <w:ind w:left="8568" w:hanging="534"/>
      </w:pPr>
      <w:rPr>
        <w:rFonts w:hint="default"/>
      </w:rPr>
    </w:lvl>
  </w:abstractNum>
  <w:abstractNum w:abstractNumId="42"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3" w15:restartNumberingAfterBreak="0">
    <w:nsid w:val="6F7C271C"/>
    <w:multiLevelType w:val="hybridMultilevel"/>
    <w:tmpl w:val="2E444E62"/>
    <w:lvl w:ilvl="0" w:tplc="0C090001">
      <w:start w:val="1"/>
      <w:numFmt w:val="bullet"/>
      <w:lvlText w:val=""/>
      <w:lvlJc w:val="left"/>
      <w:pPr>
        <w:ind w:left="773" w:hanging="360"/>
      </w:pPr>
      <w:rPr>
        <w:rFonts w:ascii="Symbol" w:hAnsi="Symbol" w:hint="default"/>
      </w:rPr>
    </w:lvl>
    <w:lvl w:ilvl="1" w:tplc="0C090003">
      <w:start w:val="1"/>
      <w:numFmt w:val="bullet"/>
      <w:lvlText w:val="o"/>
      <w:lvlJc w:val="left"/>
      <w:pPr>
        <w:ind w:left="1493" w:hanging="360"/>
      </w:pPr>
      <w:rPr>
        <w:rFonts w:ascii="Courier New" w:hAnsi="Courier New" w:cs="Courier New" w:hint="default"/>
      </w:rPr>
    </w:lvl>
    <w:lvl w:ilvl="2" w:tplc="0C090005" w:tentative="1">
      <w:start w:val="1"/>
      <w:numFmt w:val="bullet"/>
      <w:lvlText w:val=""/>
      <w:lvlJc w:val="left"/>
      <w:pPr>
        <w:ind w:left="2213" w:hanging="360"/>
      </w:pPr>
      <w:rPr>
        <w:rFonts w:ascii="Wingdings" w:hAnsi="Wingdings" w:hint="default"/>
      </w:rPr>
    </w:lvl>
    <w:lvl w:ilvl="3" w:tplc="0C090001" w:tentative="1">
      <w:start w:val="1"/>
      <w:numFmt w:val="bullet"/>
      <w:lvlText w:val=""/>
      <w:lvlJc w:val="left"/>
      <w:pPr>
        <w:ind w:left="2933" w:hanging="360"/>
      </w:pPr>
      <w:rPr>
        <w:rFonts w:ascii="Symbol" w:hAnsi="Symbol" w:hint="default"/>
      </w:rPr>
    </w:lvl>
    <w:lvl w:ilvl="4" w:tplc="0C090003" w:tentative="1">
      <w:start w:val="1"/>
      <w:numFmt w:val="bullet"/>
      <w:lvlText w:val="o"/>
      <w:lvlJc w:val="left"/>
      <w:pPr>
        <w:ind w:left="3653" w:hanging="360"/>
      </w:pPr>
      <w:rPr>
        <w:rFonts w:ascii="Courier New" w:hAnsi="Courier New" w:cs="Courier New" w:hint="default"/>
      </w:rPr>
    </w:lvl>
    <w:lvl w:ilvl="5" w:tplc="0C090005" w:tentative="1">
      <w:start w:val="1"/>
      <w:numFmt w:val="bullet"/>
      <w:lvlText w:val=""/>
      <w:lvlJc w:val="left"/>
      <w:pPr>
        <w:ind w:left="4373" w:hanging="360"/>
      </w:pPr>
      <w:rPr>
        <w:rFonts w:ascii="Wingdings" w:hAnsi="Wingdings" w:hint="default"/>
      </w:rPr>
    </w:lvl>
    <w:lvl w:ilvl="6" w:tplc="0C090001" w:tentative="1">
      <w:start w:val="1"/>
      <w:numFmt w:val="bullet"/>
      <w:lvlText w:val=""/>
      <w:lvlJc w:val="left"/>
      <w:pPr>
        <w:ind w:left="5093" w:hanging="360"/>
      </w:pPr>
      <w:rPr>
        <w:rFonts w:ascii="Symbol" w:hAnsi="Symbol" w:hint="default"/>
      </w:rPr>
    </w:lvl>
    <w:lvl w:ilvl="7" w:tplc="0C090003" w:tentative="1">
      <w:start w:val="1"/>
      <w:numFmt w:val="bullet"/>
      <w:lvlText w:val="o"/>
      <w:lvlJc w:val="left"/>
      <w:pPr>
        <w:ind w:left="5813" w:hanging="360"/>
      </w:pPr>
      <w:rPr>
        <w:rFonts w:ascii="Courier New" w:hAnsi="Courier New" w:cs="Courier New" w:hint="default"/>
      </w:rPr>
    </w:lvl>
    <w:lvl w:ilvl="8" w:tplc="0C090005" w:tentative="1">
      <w:start w:val="1"/>
      <w:numFmt w:val="bullet"/>
      <w:lvlText w:val=""/>
      <w:lvlJc w:val="left"/>
      <w:pPr>
        <w:ind w:left="6533" w:hanging="360"/>
      </w:pPr>
      <w:rPr>
        <w:rFonts w:ascii="Wingdings" w:hAnsi="Wingdings" w:hint="default"/>
      </w:rPr>
    </w:lvl>
  </w:abstractNum>
  <w:abstractNum w:abstractNumId="44" w15:restartNumberingAfterBreak="0">
    <w:nsid w:val="71970E6D"/>
    <w:multiLevelType w:val="hybridMultilevel"/>
    <w:tmpl w:val="34D8B6B8"/>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5244A66"/>
    <w:multiLevelType w:val="hybridMultilevel"/>
    <w:tmpl w:val="4FAE3B72"/>
    <w:lvl w:ilvl="0" w:tplc="0C09000F">
      <w:start w:val="1"/>
      <w:numFmt w:val="decimal"/>
      <w:lvlText w:val="%1."/>
      <w:lvlJc w:val="left"/>
      <w:pPr>
        <w:ind w:left="720" w:hanging="360"/>
      </w:pPr>
      <w:rPr>
        <w:rFonts w:eastAsia="Times New Roman"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D6F6BD2"/>
    <w:multiLevelType w:val="hybridMultilevel"/>
    <w:tmpl w:val="6C6CC318"/>
    <w:lvl w:ilvl="0" w:tplc="0C09000F">
      <w:start w:val="1"/>
      <w:numFmt w:val="decimal"/>
      <w:lvlText w:val="%1."/>
      <w:lvlJc w:val="left"/>
      <w:pPr>
        <w:ind w:left="360" w:hanging="360"/>
      </w:pPr>
    </w:lvl>
    <w:lvl w:ilvl="1" w:tplc="0C09000F">
      <w:start w:val="1"/>
      <w:numFmt w:val="decimal"/>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16cid:durableId="2044860779">
    <w:abstractNumId w:val="18"/>
  </w:num>
  <w:num w:numId="2" w16cid:durableId="1907261328">
    <w:abstractNumId w:val="39"/>
  </w:num>
  <w:num w:numId="3" w16cid:durableId="86773310">
    <w:abstractNumId w:val="42"/>
  </w:num>
  <w:num w:numId="4" w16cid:durableId="1079449563">
    <w:abstractNumId w:val="16"/>
  </w:num>
  <w:num w:numId="5" w16cid:durableId="11224199">
    <w:abstractNumId w:val="9"/>
  </w:num>
  <w:num w:numId="6" w16cid:durableId="1665011909">
    <w:abstractNumId w:val="30"/>
  </w:num>
  <w:num w:numId="7" w16cid:durableId="1375232280">
    <w:abstractNumId w:val="8"/>
  </w:num>
  <w:num w:numId="8" w16cid:durableId="1826623836">
    <w:abstractNumId w:val="5"/>
  </w:num>
  <w:num w:numId="9" w16cid:durableId="1940600076">
    <w:abstractNumId w:val="17"/>
  </w:num>
  <w:num w:numId="10" w16cid:durableId="1508205171">
    <w:abstractNumId w:val="24"/>
  </w:num>
  <w:num w:numId="11" w16cid:durableId="1659724128">
    <w:abstractNumId w:val="40"/>
  </w:num>
  <w:num w:numId="12" w16cid:durableId="220337031">
    <w:abstractNumId w:val="46"/>
  </w:num>
  <w:num w:numId="13" w16cid:durableId="2139492351">
    <w:abstractNumId w:val="44"/>
  </w:num>
  <w:num w:numId="14" w16cid:durableId="1550533374">
    <w:abstractNumId w:val="32"/>
  </w:num>
  <w:num w:numId="15" w16cid:durableId="100035722">
    <w:abstractNumId w:val="34"/>
  </w:num>
  <w:num w:numId="16" w16cid:durableId="260795193">
    <w:abstractNumId w:val="45"/>
  </w:num>
  <w:num w:numId="17" w16cid:durableId="1462266207">
    <w:abstractNumId w:val="10"/>
  </w:num>
  <w:num w:numId="18" w16cid:durableId="542376232">
    <w:abstractNumId w:val="6"/>
  </w:num>
  <w:num w:numId="19" w16cid:durableId="1995450884">
    <w:abstractNumId w:val="31"/>
  </w:num>
  <w:num w:numId="20" w16cid:durableId="1344740631">
    <w:abstractNumId w:val="21"/>
  </w:num>
  <w:num w:numId="21" w16cid:durableId="131412783">
    <w:abstractNumId w:val="37"/>
  </w:num>
  <w:num w:numId="22" w16cid:durableId="531236342">
    <w:abstractNumId w:val="26"/>
  </w:num>
  <w:num w:numId="23" w16cid:durableId="958419533">
    <w:abstractNumId w:val="1"/>
  </w:num>
  <w:num w:numId="24" w16cid:durableId="1816100619">
    <w:abstractNumId w:val="25"/>
  </w:num>
  <w:num w:numId="25" w16cid:durableId="2093968388">
    <w:abstractNumId w:val="4"/>
  </w:num>
  <w:num w:numId="26" w16cid:durableId="1565600164">
    <w:abstractNumId w:val="20"/>
  </w:num>
  <w:num w:numId="27" w16cid:durableId="240530928">
    <w:abstractNumId w:val="33"/>
  </w:num>
  <w:num w:numId="28" w16cid:durableId="1793287968">
    <w:abstractNumId w:val="7"/>
  </w:num>
  <w:num w:numId="29" w16cid:durableId="1519657290">
    <w:abstractNumId w:val="13"/>
  </w:num>
  <w:num w:numId="30" w16cid:durableId="793208501">
    <w:abstractNumId w:val="41"/>
  </w:num>
  <w:num w:numId="31" w16cid:durableId="17776858">
    <w:abstractNumId w:val="19"/>
  </w:num>
  <w:num w:numId="32" w16cid:durableId="1724333774">
    <w:abstractNumId w:val="3"/>
  </w:num>
  <w:num w:numId="33" w16cid:durableId="1865364524">
    <w:abstractNumId w:val="23"/>
  </w:num>
  <w:num w:numId="34" w16cid:durableId="448742994">
    <w:abstractNumId w:val="35"/>
  </w:num>
  <w:num w:numId="35" w16cid:durableId="1058242526">
    <w:abstractNumId w:val="22"/>
  </w:num>
  <w:num w:numId="36" w16cid:durableId="1522814732">
    <w:abstractNumId w:val="0"/>
  </w:num>
  <w:num w:numId="37" w16cid:durableId="610403168">
    <w:abstractNumId w:val="15"/>
  </w:num>
  <w:num w:numId="38" w16cid:durableId="620920257">
    <w:abstractNumId w:val="36"/>
  </w:num>
  <w:num w:numId="39" w16cid:durableId="1072972047">
    <w:abstractNumId w:val="43"/>
  </w:num>
  <w:num w:numId="40" w16cid:durableId="287903610">
    <w:abstractNumId w:val="27"/>
  </w:num>
  <w:num w:numId="41" w16cid:durableId="1514566770">
    <w:abstractNumId w:val="28"/>
  </w:num>
  <w:num w:numId="42" w16cid:durableId="1701393578">
    <w:abstractNumId w:val="38"/>
  </w:num>
  <w:num w:numId="43" w16cid:durableId="478304487">
    <w:abstractNumId w:val="2"/>
  </w:num>
  <w:num w:numId="44" w16cid:durableId="723984525">
    <w:abstractNumId w:val="29"/>
  </w:num>
  <w:num w:numId="45" w16cid:durableId="1140734948">
    <w:abstractNumId w:val="11"/>
  </w:num>
  <w:num w:numId="46" w16cid:durableId="2042970837">
    <w:abstractNumId w:val="14"/>
  </w:num>
  <w:num w:numId="47" w16cid:durableId="756828983">
    <w:abstractNumId w:val="1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e8FS/kDjTdBELeBYj6cGKjn5FLlraE5OhHRwrkJXoaITCKAUCXO6VKQsxTzywpCdusjfe2J8/Rj/c7GdtCpB6w==" w:saltValue="curBLF6bQPmx4dLjvKuVzw==" w:algorithmName="SHA-512"/>
  <w:defaultTabStop w:val="720"/>
  <w:characterSpacingControl w:val="doNotCompress"/>
  <w:hdrShapeDefaults>
    <o:shapedefaults v:ext="edit" spidmax="2050"/>
  </w:hdrShapeDefaults>
  <w:footnotePr>
    <w:numRestart w:val="eachSect"/>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5B0C"/>
    <w:rsid w:val="00000420"/>
    <w:rsid w:val="000005B1"/>
    <w:rsid w:val="000008F9"/>
    <w:rsid w:val="00000ABE"/>
    <w:rsid w:val="00000DFC"/>
    <w:rsid w:val="00001254"/>
    <w:rsid w:val="00001648"/>
    <w:rsid w:val="000016EB"/>
    <w:rsid w:val="00002125"/>
    <w:rsid w:val="000023E9"/>
    <w:rsid w:val="0000271B"/>
    <w:rsid w:val="00002D00"/>
    <w:rsid w:val="00004A0E"/>
    <w:rsid w:val="00004AB9"/>
    <w:rsid w:val="0000588E"/>
    <w:rsid w:val="00005BF8"/>
    <w:rsid w:val="00006085"/>
    <w:rsid w:val="0000661F"/>
    <w:rsid w:val="00007519"/>
    <w:rsid w:val="00007E6F"/>
    <w:rsid w:val="000101EF"/>
    <w:rsid w:val="00010D09"/>
    <w:rsid w:val="000126D4"/>
    <w:rsid w:val="000137CC"/>
    <w:rsid w:val="00013E8B"/>
    <w:rsid w:val="00013EAC"/>
    <w:rsid w:val="000156EC"/>
    <w:rsid w:val="00016212"/>
    <w:rsid w:val="000165E2"/>
    <w:rsid w:val="000167EC"/>
    <w:rsid w:val="000173BD"/>
    <w:rsid w:val="00017498"/>
    <w:rsid w:val="00020428"/>
    <w:rsid w:val="00021717"/>
    <w:rsid w:val="00021B28"/>
    <w:rsid w:val="00022FFE"/>
    <w:rsid w:val="000233C4"/>
    <w:rsid w:val="000237E6"/>
    <w:rsid w:val="00024AC7"/>
    <w:rsid w:val="00024E1D"/>
    <w:rsid w:val="00026BAB"/>
    <w:rsid w:val="00030014"/>
    <w:rsid w:val="000307EE"/>
    <w:rsid w:val="00032625"/>
    <w:rsid w:val="00033051"/>
    <w:rsid w:val="000332CF"/>
    <w:rsid w:val="000338EA"/>
    <w:rsid w:val="00035241"/>
    <w:rsid w:val="00035A95"/>
    <w:rsid w:val="00035C3A"/>
    <w:rsid w:val="000370C8"/>
    <w:rsid w:val="00037760"/>
    <w:rsid w:val="00037A31"/>
    <w:rsid w:val="000402AD"/>
    <w:rsid w:val="0004043D"/>
    <w:rsid w:val="0004064F"/>
    <w:rsid w:val="000413C9"/>
    <w:rsid w:val="000414ED"/>
    <w:rsid w:val="00041C9D"/>
    <w:rsid w:val="00042DD2"/>
    <w:rsid w:val="00042FB9"/>
    <w:rsid w:val="00043DE2"/>
    <w:rsid w:val="00044568"/>
    <w:rsid w:val="000448B0"/>
    <w:rsid w:val="00046E03"/>
    <w:rsid w:val="000471B8"/>
    <w:rsid w:val="000475AA"/>
    <w:rsid w:val="00047861"/>
    <w:rsid w:val="00047EA4"/>
    <w:rsid w:val="00050025"/>
    <w:rsid w:val="0005095A"/>
    <w:rsid w:val="00050ECB"/>
    <w:rsid w:val="000518BA"/>
    <w:rsid w:val="00051ED3"/>
    <w:rsid w:val="000528D5"/>
    <w:rsid w:val="00052BEC"/>
    <w:rsid w:val="00053457"/>
    <w:rsid w:val="00053DFD"/>
    <w:rsid w:val="0005411D"/>
    <w:rsid w:val="00054CB8"/>
    <w:rsid w:val="000555E2"/>
    <w:rsid w:val="000559FF"/>
    <w:rsid w:val="00055A3A"/>
    <w:rsid w:val="000561BB"/>
    <w:rsid w:val="00056392"/>
    <w:rsid w:val="0005689A"/>
    <w:rsid w:val="000577F6"/>
    <w:rsid w:val="00057E29"/>
    <w:rsid w:val="00060427"/>
    <w:rsid w:val="00061759"/>
    <w:rsid w:val="000625F0"/>
    <w:rsid w:val="0006282D"/>
    <w:rsid w:val="00063AFD"/>
    <w:rsid w:val="00063BA6"/>
    <w:rsid w:val="0006416C"/>
    <w:rsid w:val="00064316"/>
    <w:rsid w:val="00064E06"/>
    <w:rsid w:val="00064EA7"/>
    <w:rsid w:val="00064FC9"/>
    <w:rsid w:val="00065706"/>
    <w:rsid w:val="000658ED"/>
    <w:rsid w:val="00066E39"/>
    <w:rsid w:val="0006739D"/>
    <w:rsid w:val="00067C7A"/>
    <w:rsid w:val="0007064E"/>
    <w:rsid w:val="000712A9"/>
    <w:rsid w:val="000719EB"/>
    <w:rsid w:val="00072433"/>
    <w:rsid w:val="000724C6"/>
    <w:rsid w:val="00072912"/>
    <w:rsid w:val="000730AE"/>
    <w:rsid w:val="00074594"/>
    <w:rsid w:val="00074746"/>
    <w:rsid w:val="00074823"/>
    <w:rsid w:val="00074E6D"/>
    <w:rsid w:val="000752B6"/>
    <w:rsid w:val="0007584F"/>
    <w:rsid w:val="0007592B"/>
    <w:rsid w:val="00075F5D"/>
    <w:rsid w:val="000762F6"/>
    <w:rsid w:val="00076CB6"/>
    <w:rsid w:val="00077AE8"/>
    <w:rsid w:val="00077D56"/>
    <w:rsid w:val="00080073"/>
    <w:rsid w:val="000804DE"/>
    <w:rsid w:val="000806FA"/>
    <w:rsid w:val="0008071D"/>
    <w:rsid w:val="00080CD7"/>
    <w:rsid w:val="00081D29"/>
    <w:rsid w:val="00082687"/>
    <w:rsid w:val="00082834"/>
    <w:rsid w:val="00082C48"/>
    <w:rsid w:val="00083213"/>
    <w:rsid w:val="00083E9B"/>
    <w:rsid w:val="00083F79"/>
    <w:rsid w:val="000845A8"/>
    <w:rsid w:val="000845B4"/>
    <w:rsid w:val="00084627"/>
    <w:rsid w:val="00084806"/>
    <w:rsid w:val="000850F0"/>
    <w:rsid w:val="000859B9"/>
    <w:rsid w:val="00085B15"/>
    <w:rsid w:val="0008609E"/>
    <w:rsid w:val="000869BA"/>
    <w:rsid w:val="00087521"/>
    <w:rsid w:val="0008773E"/>
    <w:rsid w:val="00087FAC"/>
    <w:rsid w:val="00090F0E"/>
    <w:rsid w:val="00091613"/>
    <w:rsid w:val="000925D1"/>
    <w:rsid w:val="000928AD"/>
    <w:rsid w:val="00093CAD"/>
    <w:rsid w:val="00094589"/>
    <w:rsid w:val="00096700"/>
    <w:rsid w:val="00097596"/>
    <w:rsid w:val="000979AB"/>
    <w:rsid w:val="000A071B"/>
    <w:rsid w:val="000A0747"/>
    <w:rsid w:val="000A2139"/>
    <w:rsid w:val="000A2230"/>
    <w:rsid w:val="000A26A0"/>
    <w:rsid w:val="000A2DDA"/>
    <w:rsid w:val="000A3655"/>
    <w:rsid w:val="000A3A79"/>
    <w:rsid w:val="000A3DC6"/>
    <w:rsid w:val="000A436F"/>
    <w:rsid w:val="000A752B"/>
    <w:rsid w:val="000B0279"/>
    <w:rsid w:val="000B0C93"/>
    <w:rsid w:val="000B110F"/>
    <w:rsid w:val="000B111C"/>
    <w:rsid w:val="000B13E7"/>
    <w:rsid w:val="000B234E"/>
    <w:rsid w:val="000B2580"/>
    <w:rsid w:val="000B2671"/>
    <w:rsid w:val="000B379B"/>
    <w:rsid w:val="000B37E2"/>
    <w:rsid w:val="000B3809"/>
    <w:rsid w:val="000B4390"/>
    <w:rsid w:val="000B4E16"/>
    <w:rsid w:val="000B54EE"/>
    <w:rsid w:val="000B6047"/>
    <w:rsid w:val="000B6A90"/>
    <w:rsid w:val="000B72F9"/>
    <w:rsid w:val="000B75E5"/>
    <w:rsid w:val="000B7654"/>
    <w:rsid w:val="000C05D8"/>
    <w:rsid w:val="000C1D26"/>
    <w:rsid w:val="000C2E0E"/>
    <w:rsid w:val="000C33F8"/>
    <w:rsid w:val="000C377A"/>
    <w:rsid w:val="000C409E"/>
    <w:rsid w:val="000C4149"/>
    <w:rsid w:val="000C4AF4"/>
    <w:rsid w:val="000C4D29"/>
    <w:rsid w:val="000C5C85"/>
    <w:rsid w:val="000C65FB"/>
    <w:rsid w:val="000C680C"/>
    <w:rsid w:val="000D018D"/>
    <w:rsid w:val="000D0271"/>
    <w:rsid w:val="000D0502"/>
    <w:rsid w:val="000D0758"/>
    <w:rsid w:val="000D081A"/>
    <w:rsid w:val="000D0CE3"/>
    <w:rsid w:val="000D0E4B"/>
    <w:rsid w:val="000D0E70"/>
    <w:rsid w:val="000D15DC"/>
    <w:rsid w:val="000D193D"/>
    <w:rsid w:val="000D2771"/>
    <w:rsid w:val="000D3649"/>
    <w:rsid w:val="000D3B64"/>
    <w:rsid w:val="000D43A4"/>
    <w:rsid w:val="000D4908"/>
    <w:rsid w:val="000D4E2E"/>
    <w:rsid w:val="000D4FD7"/>
    <w:rsid w:val="000D53BC"/>
    <w:rsid w:val="000D60C3"/>
    <w:rsid w:val="000D624C"/>
    <w:rsid w:val="000D6A5E"/>
    <w:rsid w:val="000D71CF"/>
    <w:rsid w:val="000E0C29"/>
    <w:rsid w:val="000E103F"/>
    <w:rsid w:val="000E1819"/>
    <w:rsid w:val="000E19A4"/>
    <w:rsid w:val="000E2321"/>
    <w:rsid w:val="000E3ACD"/>
    <w:rsid w:val="000E4D77"/>
    <w:rsid w:val="000E4F0D"/>
    <w:rsid w:val="000E582B"/>
    <w:rsid w:val="000E63C5"/>
    <w:rsid w:val="000E6F51"/>
    <w:rsid w:val="000E70FB"/>
    <w:rsid w:val="000E7EC7"/>
    <w:rsid w:val="000E7F62"/>
    <w:rsid w:val="000F0996"/>
    <w:rsid w:val="000F0F2E"/>
    <w:rsid w:val="000F12E8"/>
    <w:rsid w:val="000F1409"/>
    <w:rsid w:val="000F2EF8"/>
    <w:rsid w:val="000F3189"/>
    <w:rsid w:val="000F34C7"/>
    <w:rsid w:val="000F35D3"/>
    <w:rsid w:val="000F380C"/>
    <w:rsid w:val="000F38DB"/>
    <w:rsid w:val="000F46F2"/>
    <w:rsid w:val="000F55D9"/>
    <w:rsid w:val="000F6045"/>
    <w:rsid w:val="000F6CEC"/>
    <w:rsid w:val="000F767A"/>
    <w:rsid w:val="000F7DF4"/>
    <w:rsid w:val="0010011C"/>
    <w:rsid w:val="0010016E"/>
    <w:rsid w:val="001008DB"/>
    <w:rsid w:val="0010176B"/>
    <w:rsid w:val="001021C8"/>
    <w:rsid w:val="00102AB2"/>
    <w:rsid w:val="00103EA0"/>
    <w:rsid w:val="001057AF"/>
    <w:rsid w:val="0010595B"/>
    <w:rsid w:val="00105C54"/>
    <w:rsid w:val="00106B51"/>
    <w:rsid w:val="00111381"/>
    <w:rsid w:val="001114C0"/>
    <w:rsid w:val="00113573"/>
    <w:rsid w:val="0011401F"/>
    <w:rsid w:val="00114582"/>
    <w:rsid w:val="00114A60"/>
    <w:rsid w:val="00114C70"/>
    <w:rsid w:val="00114CB7"/>
    <w:rsid w:val="00116005"/>
    <w:rsid w:val="0011614E"/>
    <w:rsid w:val="001164DF"/>
    <w:rsid w:val="00116A36"/>
    <w:rsid w:val="0011733F"/>
    <w:rsid w:val="001208F0"/>
    <w:rsid w:val="00121DDD"/>
    <w:rsid w:val="00121EDF"/>
    <w:rsid w:val="00122EDC"/>
    <w:rsid w:val="0012464D"/>
    <w:rsid w:val="001247A1"/>
    <w:rsid w:val="001261CC"/>
    <w:rsid w:val="00126222"/>
    <w:rsid w:val="001262BD"/>
    <w:rsid w:val="0012689C"/>
    <w:rsid w:val="00127CB8"/>
    <w:rsid w:val="001305FB"/>
    <w:rsid w:val="00130987"/>
    <w:rsid w:val="00131277"/>
    <w:rsid w:val="0013198F"/>
    <w:rsid w:val="00131C42"/>
    <w:rsid w:val="00131DA6"/>
    <w:rsid w:val="0013275A"/>
    <w:rsid w:val="00132850"/>
    <w:rsid w:val="00132A6A"/>
    <w:rsid w:val="0013354D"/>
    <w:rsid w:val="0013388E"/>
    <w:rsid w:val="00135478"/>
    <w:rsid w:val="001370F7"/>
    <w:rsid w:val="00137FCD"/>
    <w:rsid w:val="00140C10"/>
    <w:rsid w:val="00140D25"/>
    <w:rsid w:val="00142D7E"/>
    <w:rsid w:val="00143E87"/>
    <w:rsid w:val="001450FB"/>
    <w:rsid w:val="00145214"/>
    <w:rsid w:val="00145630"/>
    <w:rsid w:val="001459C9"/>
    <w:rsid w:val="001464C7"/>
    <w:rsid w:val="00146895"/>
    <w:rsid w:val="00146977"/>
    <w:rsid w:val="00146E30"/>
    <w:rsid w:val="001476B2"/>
    <w:rsid w:val="001479EB"/>
    <w:rsid w:val="00147E0F"/>
    <w:rsid w:val="001503F5"/>
    <w:rsid w:val="001520F2"/>
    <w:rsid w:val="001528B2"/>
    <w:rsid w:val="00153624"/>
    <w:rsid w:val="001537FD"/>
    <w:rsid w:val="0015479F"/>
    <w:rsid w:val="00154921"/>
    <w:rsid w:val="00155317"/>
    <w:rsid w:val="0015546E"/>
    <w:rsid w:val="00155A86"/>
    <w:rsid w:val="001573E1"/>
    <w:rsid w:val="001578F4"/>
    <w:rsid w:val="00160831"/>
    <w:rsid w:val="00161411"/>
    <w:rsid w:val="00161430"/>
    <w:rsid w:val="00161941"/>
    <w:rsid w:val="00161F35"/>
    <w:rsid w:val="001622E5"/>
    <w:rsid w:val="00162AE8"/>
    <w:rsid w:val="0016390A"/>
    <w:rsid w:val="001639C6"/>
    <w:rsid w:val="00163D16"/>
    <w:rsid w:val="00164782"/>
    <w:rsid w:val="001647B1"/>
    <w:rsid w:val="00164D55"/>
    <w:rsid w:val="00165A8C"/>
    <w:rsid w:val="00165ABC"/>
    <w:rsid w:val="00165C0F"/>
    <w:rsid w:val="00165CAE"/>
    <w:rsid w:val="00165FC5"/>
    <w:rsid w:val="00166A41"/>
    <w:rsid w:val="00167344"/>
    <w:rsid w:val="00167EA5"/>
    <w:rsid w:val="00170B01"/>
    <w:rsid w:val="0017124C"/>
    <w:rsid w:val="00171463"/>
    <w:rsid w:val="00172366"/>
    <w:rsid w:val="00174162"/>
    <w:rsid w:val="00175660"/>
    <w:rsid w:val="0017573C"/>
    <w:rsid w:val="00175D19"/>
    <w:rsid w:val="00176E8E"/>
    <w:rsid w:val="0017743D"/>
    <w:rsid w:val="00177D5E"/>
    <w:rsid w:val="00180D0F"/>
    <w:rsid w:val="00181557"/>
    <w:rsid w:val="00181DE8"/>
    <w:rsid w:val="001822F6"/>
    <w:rsid w:val="0018258C"/>
    <w:rsid w:val="001845B1"/>
    <w:rsid w:val="0018510E"/>
    <w:rsid w:val="00186781"/>
    <w:rsid w:val="00186C26"/>
    <w:rsid w:val="001870C4"/>
    <w:rsid w:val="00187224"/>
    <w:rsid w:val="00187306"/>
    <w:rsid w:val="001877CD"/>
    <w:rsid w:val="00187E47"/>
    <w:rsid w:val="0019014F"/>
    <w:rsid w:val="00190A75"/>
    <w:rsid w:val="00190C00"/>
    <w:rsid w:val="00190CE2"/>
    <w:rsid w:val="00191353"/>
    <w:rsid w:val="0019161A"/>
    <w:rsid w:val="00191976"/>
    <w:rsid w:val="00191BDE"/>
    <w:rsid w:val="00191E26"/>
    <w:rsid w:val="00192A95"/>
    <w:rsid w:val="00193093"/>
    <w:rsid w:val="0019362D"/>
    <w:rsid w:val="0019374C"/>
    <w:rsid w:val="00193967"/>
    <w:rsid w:val="00193E06"/>
    <w:rsid w:val="00194A4F"/>
    <w:rsid w:val="00195C89"/>
    <w:rsid w:val="00195DD6"/>
    <w:rsid w:val="0019709E"/>
    <w:rsid w:val="00197457"/>
    <w:rsid w:val="00197E2F"/>
    <w:rsid w:val="00197F64"/>
    <w:rsid w:val="001A0A1F"/>
    <w:rsid w:val="001A0F52"/>
    <w:rsid w:val="001A1743"/>
    <w:rsid w:val="001A2113"/>
    <w:rsid w:val="001A269C"/>
    <w:rsid w:val="001A2F23"/>
    <w:rsid w:val="001A366A"/>
    <w:rsid w:val="001A375C"/>
    <w:rsid w:val="001A3768"/>
    <w:rsid w:val="001A3A26"/>
    <w:rsid w:val="001A52E3"/>
    <w:rsid w:val="001A5B73"/>
    <w:rsid w:val="001A6E19"/>
    <w:rsid w:val="001B0537"/>
    <w:rsid w:val="001B060E"/>
    <w:rsid w:val="001B0AEC"/>
    <w:rsid w:val="001B20D4"/>
    <w:rsid w:val="001B2524"/>
    <w:rsid w:val="001B2EA7"/>
    <w:rsid w:val="001B32E6"/>
    <w:rsid w:val="001B3889"/>
    <w:rsid w:val="001B4CD2"/>
    <w:rsid w:val="001B525B"/>
    <w:rsid w:val="001B556E"/>
    <w:rsid w:val="001B65E9"/>
    <w:rsid w:val="001B71C4"/>
    <w:rsid w:val="001B745B"/>
    <w:rsid w:val="001B7A27"/>
    <w:rsid w:val="001B7B29"/>
    <w:rsid w:val="001B7E7F"/>
    <w:rsid w:val="001C074F"/>
    <w:rsid w:val="001C183E"/>
    <w:rsid w:val="001C197A"/>
    <w:rsid w:val="001C1EE6"/>
    <w:rsid w:val="001C1FFD"/>
    <w:rsid w:val="001C2486"/>
    <w:rsid w:val="001C266E"/>
    <w:rsid w:val="001C285C"/>
    <w:rsid w:val="001C332B"/>
    <w:rsid w:val="001C3910"/>
    <w:rsid w:val="001C3D64"/>
    <w:rsid w:val="001C3EC9"/>
    <w:rsid w:val="001C47C7"/>
    <w:rsid w:val="001C4D10"/>
    <w:rsid w:val="001C58F7"/>
    <w:rsid w:val="001C5A2D"/>
    <w:rsid w:val="001C6466"/>
    <w:rsid w:val="001C6546"/>
    <w:rsid w:val="001C6830"/>
    <w:rsid w:val="001C6ED7"/>
    <w:rsid w:val="001C6F1F"/>
    <w:rsid w:val="001C7D45"/>
    <w:rsid w:val="001D047E"/>
    <w:rsid w:val="001D0A20"/>
    <w:rsid w:val="001D1704"/>
    <w:rsid w:val="001D27A3"/>
    <w:rsid w:val="001D2AEB"/>
    <w:rsid w:val="001D2F0C"/>
    <w:rsid w:val="001D37C3"/>
    <w:rsid w:val="001D430E"/>
    <w:rsid w:val="001D453C"/>
    <w:rsid w:val="001D48E0"/>
    <w:rsid w:val="001D4A62"/>
    <w:rsid w:val="001D4F8F"/>
    <w:rsid w:val="001D53CE"/>
    <w:rsid w:val="001D5D49"/>
    <w:rsid w:val="001D5D4A"/>
    <w:rsid w:val="001D657D"/>
    <w:rsid w:val="001D686E"/>
    <w:rsid w:val="001D6937"/>
    <w:rsid w:val="001D6F3F"/>
    <w:rsid w:val="001D706B"/>
    <w:rsid w:val="001D7727"/>
    <w:rsid w:val="001E034B"/>
    <w:rsid w:val="001E121A"/>
    <w:rsid w:val="001E144E"/>
    <w:rsid w:val="001E1AF3"/>
    <w:rsid w:val="001E2025"/>
    <w:rsid w:val="001E2119"/>
    <w:rsid w:val="001E2141"/>
    <w:rsid w:val="001E21C1"/>
    <w:rsid w:val="001E23F5"/>
    <w:rsid w:val="001E2D6A"/>
    <w:rsid w:val="001E3098"/>
    <w:rsid w:val="001E390D"/>
    <w:rsid w:val="001E3911"/>
    <w:rsid w:val="001E3D54"/>
    <w:rsid w:val="001E3D58"/>
    <w:rsid w:val="001E4A77"/>
    <w:rsid w:val="001E4DE9"/>
    <w:rsid w:val="001E4F16"/>
    <w:rsid w:val="001E504A"/>
    <w:rsid w:val="001E51A4"/>
    <w:rsid w:val="001E53F0"/>
    <w:rsid w:val="001E5EC9"/>
    <w:rsid w:val="001E60B6"/>
    <w:rsid w:val="001E63DF"/>
    <w:rsid w:val="001E6A4F"/>
    <w:rsid w:val="001E6B75"/>
    <w:rsid w:val="001E6D2C"/>
    <w:rsid w:val="001E708C"/>
    <w:rsid w:val="001E773E"/>
    <w:rsid w:val="001F1493"/>
    <w:rsid w:val="001F14E2"/>
    <w:rsid w:val="001F2D3F"/>
    <w:rsid w:val="001F2D5B"/>
    <w:rsid w:val="001F336F"/>
    <w:rsid w:val="001F3713"/>
    <w:rsid w:val="001F3C96"/>
    <w:rsid w:val="001F423C"/>
    <w:rsid w:val="001F4288"/>
    <w:rsid w:val="001F46AC"/>
    <w:rsid w:val="001F4872"/>
    <w:rsid w:val="001F626D"/>
    <w:rsid w:val="001F6652"/>
    <w:rsid w:val="001F6D53"/>
    <w:rsid w:val="001F7002"/>
    <w:rsid w:val="001F71DC"/>
    <w:rsid w:val="001F75D2"/>
    <w:rsid w:val="002003D7"/>
    <w:rsid w:val="00200889"/>
    <w:rsid w:val="00200AE2"/>
    <w:rsid w:val="00200D7C"/>
    <w:rsid w:val="00200DAD"/>
    <w:rsid w:val="00201003"/>
    <w:rsid w:val="00201F00"/>
    <w:rsid w:val="002029C6"/>
    <w:rsid w:val="002042BC"/>
    <w:rsid w:val="00204D97"/>
    <w:rsid w:val="002059A2"/>
    <w:rsid w:val="00205CDE"/>
    <w:rsid w:val="00205E20"/>
    <w:rsid w:val="00206416"/>
    <w:rsid w:val="00206811"/>
    <w:rsid w:val="00206E51"/>
    <w:rsid w:val="00207213"/>
    <w:rsid w:val="0020723B"/>
    <w:rsid w:val="00207EE4"/>
    <w:rsid w:val="00210199"/>
    <w:rsid w:val="00211185"/>
    <w:rsid w:val="002114D9"/>
    <w:rsid w:val="00211803"/>
    <w:rsid w:val="00211D40"/>
    <w:rsid w:val="00211EA0"/>
    <w:rsid w:val="00212564"/>
    <w:rsid w:val="00212A01"/>
    <w:rsid w:val="0021377B"/>
    <w:rsid w:val="00213985"/>
    <w:rsid w:val="00213AFF"/>
    <w:rsid w:val="00213FCD"/>
    <w:rsid w:val="002146FF"/>
    <w:rsid w:val="00214950"/>
    <w:rsid w:val="0021587F"/>
    <w:rsid w:val="00215CC9"/>
    <w:rsid w:val="002160F9"/>
    <w:rsid w:val="00216476"/>
    <w:rsid w:val="0021654A"/>
    <w:rsid w:val="00216C72"/>
    <w:rsid w:val="00216DBF"/>
    <w:rsid w:val="00220243"/>
    <w:rsid w:val="00220F9D"/>
    <w:rsid w:val="002212D4"/>
    <w:rsid w:val="0022141C"/>
    <w:rsid w:val="002217C5"/>
    <w:rsid w:val="002219D4"/>
    <w:rsid w:val="0022270E"/>
    <w:rsid w:val="00222C3B"/>
    <w:rsid w:val="00222E54"/>
    <w:rsid w:val="002240A1"/>
    <w:rsid w:val="002243C5"/>
    <w:rsid w:val="00224A5E"/>
    <w:rsid w:val="002257FE"/>
    <w:rsid w:val="00225D49"/>
    <w:rsid w:val="00226B0B"/>
    <w:rsid w:val="00226C0D"/>
    <w:rsid w:val="002271B0"/>
    <w:rsid w:val="00227744"/>
    <w:rsid w:val="002303CD"/>
    <w:rsid w:val="00230D12"/>
    <w:rsid w:val="002316C1"/>
    <w:rsid w:val="00231BC0"/>
    <w:rsid w:val="0023201A"/>
    <w:rsid w:val="0023218B"/>
    <w:rsid w:val="002325DB"/>
    <w:rsid w:val="00232E16"/>
    <w:rsid w:val="00232F12"/>
    <w:rsid w:val="0023314F"/>
    <w:rsid w:val="0023359C"/>
    <w:rsid w:val="00233F31"/>
    <w:rsid w:val="0023487E"/>
    <w:rsid w:val="00234965"/>
    <w:rsid w:val="0023593F"/>
    <w:rsid w:val="0023745A"/>
    <w:rsid w:val="00237FD0"/>
    <w:rsid w:val="0024000F"/>
    <w:rsid w:val="0024060D"/>
    <w:rsid w:val="00240988"/>
    <w:rsid w:val="00240B79"/>
    <w:rsid w:val="00240E43"/>
    <w:rsid w:val="0024161D"/>
    <w:rsid w:val="0024167D"/>
    <w:rsid w:val="00241793"/>
    <w:rsid w:val="00241808"/>
    <w:rsid w:val="00242A90"/>
    <w:rsid w:val="002437EB"/>
    <w:rsid w:val="002443C5"/>
    <w:rsid w:val="00245CE7"/>
    <w:rsid w:val="0024640E"/>
    <w:rsid w:val="00247A5E"/>
    <w:rsid w:val="00247EC0"/>
    <w:rsid w:val="00250810"/>
    <w:rsid w:val="002508A6"/>
    <w:rsid w:val="002521A3"/>
    <w:rsid w:val="002526DF"/>
    <w:rsid w:val="00252F58"/>
    <w:rsid w:val="00253219"/>
    <w:rsid w:val="00253814"/>
    <w:rsid w:val="00255460"/>
    <w:rsid w:val="00257015"/>
    <w:rsid w:val="002574CD"/>
    <w:rsid w:val="00257B77"/>
    <w:rsid w:val="00262270"/>
    <w:rsid w:val="002625B0"/>
    <w:rsid w:val="00262A4D"/>
    <w:rsid w:val="00263196"/>
    <w:rsid w:val="00263312"/>
    <w:rsid w:val="002646D7"/>
    <w:rsid w:val="002662F3"/>
    <w:rsid w:val="002670C9"/>
    <w:rsid w:val="00267125"/>
    <w:rsid w:val="002672F6"/>
    <w:rsid w:val="00270105"/>
    <w:rsid w:val="00270182"/>
    <w:rsid w:val="002706F8"/>
    <w:rsid w:val="00270D82"/>
    <w:rsid w:val="002711E7"/>
    <w:rsid w:val="002719E4"/>
    <w:rsid w:val="0027209F"/>
    <w:rsid w:val="00272DAA"/>
    <w:rsid w:val="00272F79"/>
    <w:rsid w:val="002730A3"/>
    <w:rsid w:val="0027365A"/>
    <w:rsid w:val="0027366A"/>
    <w:rsid w:val="0027375C"/>
    <w:rsid w:val="002737B1"/>
    <w:rsid w:val="0027469E"/>
    <w:rsid w:val="00274B59"/>
    <w:rsid w:val="00276E89"/>
    <w:rsid w:val="00276FD7"/>
    <w:rsid w:val="00277B71"/>
    <w:rsid w:val="00280131"/>
    <w:rsid w:val="002802F7"/>
    <w:rsid w:val="00280473"/>
    <w:rsid w:val="00280E6C"/>
    <w:rsid w:val="002810AE"/>
    <w:rsid w:val="00281A6E"/>
    <w:rsid w:val="00281F78"/>
    <w:rsid w:val="002824CD"/>
    <w:rsid w:val="002834BC"/>
    <w:rsid w:val="00284EC9"/>
    <w:rsid w:val="00286AFC"/>
    <w:rsid w:val="00286CA7"/>
    <w:rsid w:val="002871FA"/>
    <w:rsid w:val="002875FA"/>
    <w:rsid w:val="0028781C"/>
    <w:rsid w:val="0028798A"/>
    <w:rsid w:val="002879DF"/>
    <w:rsid w:val="0029139C"/>
    <w:rsid w:val="002914E7"/>
    <w:rsid w:val="00291772"/>
    <w:rsid w:val="002920A9"/>
    <w:rsid w:val="002926AD"/>
    <w:rsid w:val="0029301F"/>
    <w:rsid w:val="00293E37"/>
    <w:rsid w:val="00293E3F"/>
    <w:rsid w:val="00294901"/>
    <w:rsid w:val="00294A76"/>
    <w:rsid w:val="00295377"/>
    <w:rsid w:val="00296ACC"/>
    <w:rsid w:val="002A0276"/>
    <w:rsid w:val="002A0FF5"/>
    <w:rsid w:val="002A10AF"/>
    <w:rsid w:val="002A16C9"/>
    <w:rsid w:val="002A2807"/>
    <w:rsid w:val="002A2AC7"/>
    <w:rsid w:val="002A40C5"/>
    <w:rsid w:val="002A4279"/>
    <w:rsid w:val="002A4894"/>
    <w:rsid w:val="002A4911"/>
    <w:rsid w:val="002A4C5E"/>
    <w:rsid w:val="002A4DA4"/>
    <w:rsid w:val="002A621F"/>
    <w:rsid w:val="002A668F"/>
    <w:rsid w:val="002A6A62"/>
    <w:rsid w:val="002A73AC"/>
    <w:rsid w:val="002A74FD"/>
    <w:rsid w:val="002A752F"/>
    <w:rsid w:val="002A7C46"/>
    <w:rsid w:val="002A7CF5"/>
    <w:rsid w:val="002A7DA8"/>
    <w:rsid w:val="002A7FAA"/>
    <w:rsid w:val="002B023E"/>
    <w:rsid w:val="002B03EA"/>
    <w:rsid w:val="002B0831"/>
    <w:rsid w:val="002B0CE0"/>
    <w:rsid w:val="002B13EB"/>
    <w:rsid w:val="002B1843"/>
    <w:rsid w:val="002B2488"/>
    <w:rsid w:val="002B380A"/>
    <w:rsid w:val="002B5303"/>
    <w:rsid w:val="002B5C24"/>
    <w:rsid w:val="002B6E45"/>
    <w:rsid w:val="002B7101"/>
    <w:rsid w:val="002B7D91"/>
    <w:rsid w:val="002C00EA"/>
    <w:rsid w:val="002C0721"/>
    <w:rsid w:val="002C18E1"/>
    <w:rsid w:val="002C2E89"/>
    <w:rsid w:val="002C351D"/>
    <w:rsid w:val="002C3721"/>
    <w:rsid w:val="002C3B2E"/>
    <w:rsid w:val="002C41F6"/>
    <w:rsid w:val="002C5825"/>
    <w:rsid w:val="002C6235"/>
    <w:rsid w:val="002C636C"/>
    <w:rsid w:val="002C7607"/>
    <w:rsid w:val="002C7690"/>
    <w:rsid w:val="002D047C"/>
    <w:rsid w:val="002D101A"/>
    <w:rsid w:val="002D12BF"/>
    <w:rsid w:val="002D1F99"/>
    <w:rsid w:val="002D2DC2"/>
    <w:rsid w:val="002D3179"/>
    <w:rsid w:val="002D32E2"/>
    <w:rsid w:val="002D3BFE"/>
    <w:rsid w:val="002D3DB6"/>
    <w:rsid w:val="002D45F1"/>
    <w:rsid w:val="002D4987"/>
    <w:rsid w:val="002D6181"/>
    <w:rsid w:val="002D71AE"/>
    <w:rsid w:val="002D7E3D"/>
    <w:rsid w:val="002E025F"/>
    <w:rsid w:val="002E16D4"/>
    <w:rsid w:val="002E16EC"/>
    <w:rsid w:val="002E1A33"/>
    <w:rsid w:val="002E229D"/>
    <w:rsid w:val="002E254C"/>
    <w:rsid w:val="002E273A"/>
    <w:rsid w:val="002E2B26"/>
    <w:rsid w:val="002E3B76"/>
    <w:rsid w:val="002E3C6A"/>
    <w:rsid w:val="002E4410"/>
    <w:rsid w:val="002E46F5"/>
    <w:rsid w:val="002E4F0A"/>
    <w:rsid w:val="002E5567"/>
    <w:rsid w:val="002E5BDF"/>
    <w:rsid w:val="002E64F5"/>
    <w:rsid w:val="002E666F"/>
    <w:rsid w:val="002E702A"/>
    <w:rsid w:val="002E7490"/>
    <w:rsid w:val="002E749E"/>
    <w:rsid w:val="002F0125"/>
    <w:rsid w:val="002F0F13"/>
    <w:rsid w:val="002F1211"/>
    <w:rsid w:val="002F14DA"/>
    <w:rsid w:val="002F1908"/>
    <w:rsid w:val="002F23D6"/>
    <w:rsid w:val="002F3123"/>
    <w:rsid w:val="002F3B30"/>
    <w:rsid w:val="002F3B38"/>
    <w:rsid w:val="002F3E75"/>
    <w:rsid w:val="002F4695"/>
    <w:rsid w:val="002F510F"/>
    <w:rsid w:val="002F5778"/>
    <w:rsid w:val="002F7729"/>
    <w:rsid w:val="003013CC"/>
    <w:rsid w:val="00301641"/>
    <w:rsid w:val="0030164B"/>
    <w:rsid w:val="003037CE"/>
    <w:rsid w:val="00303C24"/>
    <w:rsid w:val="003047D6"/>
    <w:rsid w:val="003048B3"/>
    <w:rsid w:val="00306042"/>
    <w:rsid w:val="00306173"/>
    <w:rsid w:val="00306878"/>
    <w:rsid w:val="00306BE8"/>
    <w:rsid w:val="00307303"/>
    <w:rsid w:val="0030732A"/>
    <w:rsid w:val="00310123"/>
    <w:rsid w:val="00310BFB"/>
    <w:rsid w:val="00310EB6"/>
    <w:rsid w:val="0031106B"/>
    <w:rsid w:val="00311E31"/>
    <w:rsid w:val="00311E6E"/>
    <w:rsid w:val="003121FA"/>
    <w:rsid w:val="0031304B"/>
    <w:rsid w:val="003135C1"/>
    <w:rsid w:val="0031488D"/>
    <w:rsid w:val="00314C3C"/>
    <w:rsid w:val="003151E5"/>
    <w:rsid w:val="003151E9"/>
    <w:rsid w:val="00315BE6"/>
    <w:rsid w:val="00316346"/>
    <w:rsid w:val="003163A9"/>
    <w:rsid w:val="003169B0"/>
    <w:rsid w:val="00317498"/>
    <w:rsid w:val="00317499"/>
    <w:rsid w:val="00320122"/>
    <w:rsid w:val="003214F8"/>
    <w:rsid w:val="00321A85"/>
    <w:rsid w:val="00321B12"/>
    <w:rsid w:val="00322490"/>
    <w:rsid w:val="00322865"/>
    <w:rsid w:val="00322BFB"/>
    <w:rsid w:val="00322C79"/>
    <w:rsid w:val="00322CA3"/>
    <w:rsid w:val="0032489B"/>
    <w:rsid w:val="0032562B"/>
    <w:rsid w:val="00325700"/>
    <w:rsid w:val="00325F27"/>
    <w:rsid w:val="00326135"/>
    <w:rsid w:val="0032624E"/>
    <w:rsid w:val="0032669F"/>
    <w:rsid w:val="00326D5C"/>
    <w:rsid w:val="00326F29"/>
    <w:rsid w:val="0032761F"/>
    <w:rsid w:val="00327B13"/>
    <w:rsid w:val="0033029B"/>
    <w:rsid w:val="0033104B"/>
    <w:rsid w:val="00331133"/>
    <w:rsid w:val="0033156A"/>
    <w:rsid w:val="003318D5"/>
    <w:rsid w:val="003326B7"/>
    <w:rsid w:val="0033285C"/>
    <w:rsid w:val="003329A6"/>
    <w:rsid w:val="00332CC9"/>
    <w:rsid w:val="00333094"/>
    <w:rsid w:val="00333512"/>
    <w:rsid w:val="003336B4"/>
    <w:rsid w:val="003348C1"/>
    <w:rsid w:val="00334B39"/>
    <w:rsid w:val="00334B5A"/>
    <w:rsid w:val="00334F55"/>
    <w:rsid w:val="003362FD"/>
    <w:rsid w:val="003364DB"/>
    <w:rsid w:val="0033652F"/>
    <w:rsid w:val="00337811"/>
    <w:rsid w:val="003410B3"/>
    <w:rsid w:val="00341249"/>
    <w:rsid w:val="0034283B"/>
    <w:rsid w:val="00343472"/>
    <w:rsid w:val="00344FBE"/>
    <w:rsid w:val="00346159"/>
    <w:rsid w:val="00346A8C"/>
    <w:rsid w:val="003470D1"/>
    <w:rsid w:val="00347106"/>
    <w:rsid w:val="00347678"/>
    <w:rsid w:val="003479D3"/>
    <w:rsid w:val="003505C0"/>
    <w:rsid w:val="0035104D"/>
    <w:rsid w:val="00351132"/>
    <w:rsid w:val="003511BA"/>
    <w:rsid w:val="00352150"/>
    <w:rsid w:val="0035248A"/>
    <w:rsid w:val="00352B35"/>
    <w:rsid w:val="003533BB"/>
    <w:rsid w:val="00353852"/>
    <w:rsid w:val="00354390"/>
    <w:rsid w:val="00354660"/>
    <w:rsid w:val="00354B10"/>
    <w:rsid w:val="00354D12"/>
    <w:rsid w:val="00354E00"/>
    <w:rsid w:val="003553C4"/>
    <w:rsid w:val="00355805"/>
    <w:rsid w:val="00356624"/>
    <w:rsid w:val="00356AF5"/>
    <w:rsid w:val="00357507"/>
    <w:rsid w:val="00360825"/>
    <w:rsid w:val="003609D1"/>
    <w:rsid w:val="003614D5"/>
    <w:rsid w:val="003615D1"/>
    <w:rsid w:val="00362022"/>
    <w:rsid w:val="003625D8"/>
    <w:rsid w:val="00362789"/>
    <w:rsid w:val="003634AA"/>
    <w:rsid w:val="003639B5"/>
    <w:rsid w:val="00363A3E"/>
    <w:rsid w:val="00363AF0"/>
    <w:rsid w:val="0036412A"/>
    <w:rsid w:val="00364E7A"/>
    <w:rsid w:val="00365276"/>
    <w:rsid w:val="00365B76"/>
    <w:rsid w:val="003660A9"/>
    <w:rsid w:val="00366916"/>
    <w:rsid w:val="00366971"/>
    <w:rsid w:val="0036716B"/>
    <w:rsid w:val="0036739A"/>
    <w:rsid w:val="00367601"/>
    <w:rsid w:val="003702B1"/>
    <w:rsid w:val="003704A1"/>
    <w:rsid w:val="00370ECD"/>
    <w:rsid w:val="00370FC9"/>
    <w:rsid w:val="00371520"/>
    <w:rsid w:val="00371957"/>
    <w:rsid w:val="00371C04"/>
    <w:rsid w:val="00372508"/>
    <w:rsid w:val="003727E6"/>
    <w:rsid w:val="00372A14"/>
    <w:rsid w:val="0037411B"/>
    <w:rsid w:val="003742CA"/>
    <w:rsid w:val="003747D3"/>
    <w:rsid w:val="00375291"/>
    <w:rsid w:val="00375386"/>
    <w:rsid w:val="00375D26"/>
    <w:rsid w:val="00375F8C"/>
    <w:rsid w:val="00376C45"/>
    <w:rsid w:val="0037714B"/>
    <w:rsid w:val="00377BAA"/>
    <w:rsid w:val="00380F1E"/>
    <w:rsid w:val="0038105D"/>
    <w:rsid w:val="00381495"/>
    <w:rsid w:val="0038201E"/>
    <w:rsid w:val="00382846"/>
    <w:rsid w:val="003832F2"/>
    <w:rsid w:val="00383361"/>
    <w:rsid w:val="003848FD"/>
    <w:rsid w:val="0038590F"/>
    <w:rsid w:val="00386493"/>
    <w:rsid w:val="00387D16"/>
    <w:rsid w:val="00387E94"/>
    <w:rsid w:val="003902A1"/>
    <w:rsid w:val="003903E8"/>
    <w:rsid w:val="00390645"/>
    <w:rsid w:val="003907E3"/>
    <w:rsid w:val="0039369E"/>
    <w:rsid w:val="003937D2"/>
    <w:rsid w:val="0039406A"/>
    <w:rsid w:val="00394D03"/>
    <w:rsid w:val="003956BD"/>
    <w:rsid w:val="00395815"/>
    <w:rsid w:val="003958BD"/>
    <w:rsid w:val="00395A85"/>
    <w:rsid w:val="00395ADA"/>
    <w:rsid w:val="00397D3C"/>
    <w:rsid w:val="003A0050"/>
    <w:rsid w:val="003A0123"/>
    <w:rsid w:val="003A14D7"/>
    <w:rsid w:val="003A1FD2"/>
    <w:rsid w:val="003A1FF5"/>
    <w:rsid w:val="003A2097"/>
    <w:rsid w:val="003A22C0"/>
    <w:rsid w:val="003A2693"/>
    <w:rsid w:val="003A2BD7"/>
    <w:rsid w:val="003A43B8"/>
    <w:rsid w:val="003A4C94"/>
    <w:rsid w:val="003A5178"/>
    <w:rsid w:val="003A6512"/>
    <w:rsid w:val="003A72FB"/>
    <w:rsid w:val="003A7666"/>
    <w:rsid w:val="003A78E6"/>
    <w:rsid w:val="003A7DBD"/>
    <w:rsid w:val="003B033A"/>
    <w:rsid w:val="003B11AD"/>
    <w:rsid w:val="003B13B2"/>
    <w:rsid w:val="003B1842"/>
    <w:rsid w:val="003B1977"/>
    <w:rsid w:val="003B1A9A"/>
    <w:rsid w:val="003B248F"/>
    <w:rsid w:val="003B2595"/>
    <w:rsid w:val="003B3F29"/>
    <w:rsid w:val="003B4483"/>
    <w:rsid w:val="003B62EF"/>
    <w:rsid w:val="003B6843"/>
    <w:rsid w:val="003B68FA"/>
    <w:rsid w:val="003B748D"/>
    <w:rsid w:val="003B7793"/>
    <w:rsid w:val="003B7CAF"/>
    <w:rsid w:val="003B7FD3"/>
    <w:rsid w:val="003B7FD5"/>
    <w:rsid w:val="003C0345"/>
    <w:rsid w:val="003C0558"/>
    <w:rsid w:val="003C0DF2"/>
    <w:rsid w:val="003C0F6B"/>
    <w:rsid w:val="003C1096"/>
    <w:rsid w:val="003C25F9"/>
    <w:rsid w:val="003C2798"/>
    <w:rsid w:val="003C2DCC"/>
    <w:rsid w:val="003C34F8"/>
    <w:rsid w:val="003C3C90"/>
    <w:rsid w:val="003C3FB1"/>
    <w:rsid w:val="003C3FED"/>
    <w:rsid w:val="003C42DA"/>
    <w:rsid w:val="003C42DB"/>
    <w:rsid w:val="003C5326"/>
    <w:rsid w:val="003C678A"/>
    <w:rsid w:val="003C6F60"/>
    <w:rsid w:val="003D137D"/>
    <w:rsid w:val="003D1954"/>
    <w:rsid w:val="003D1CBC"/>
    <w:rsid w:val="003D1F2E"/>
    <w:rsid w:val="003D230B"/>
    <w:rsid w:val="003D2486"/>
    <w:rsid w:val="003D2A76"/>
    <w:rsid w:val="003D3993"/>
    <w:rsid w:val="003D5824"/>
    <w:rsid w:val="003D79D2"/>
    <w:rsid w:val="003D7A22"/>
    <w:rsid w:val="003E03F1"/>
    <w:rsid w:val="003E070E"/>
    <w:rsid w:val="003E08A5"/>
    <w:rsid w:val="003E0AC5"/>
    <w:rsid w:val="003E0DFE"/>
    <w:rsid w:val="003E242C"/>
    <w:rsid w:val="003E34DC"/>
    <w:rsid w:val="003E3796"/>
    <w:rsid w:val="003E3922"/>
    <w:rsid w:val="003E4825"/>
    <w:rsid w:val="003E5417"/>
    <w:rsid w:val="003E583A"/>
    <w:rsid w:val="003E5945"/>
    <w:rsid w:val="003E5E52"/>
    <w:rsid w:val="003E6C02"/>
    <w:rsid w:val="003E7E7F"/>
    <w:rsid w:val="003F0150"/>
    <w:rsid w:val="003F104C"/>
    <w:rsid w:val="003F1440"/>
    <w:rsid w:val="003F1BA6"/>
    <w:rsid w:val="003F1C36"/>
    <w:rsid w:val="003F21FC"/>
    <w:rsid w:val="003F2AC4"/>
    <w:rsid w:val="003F4F33"/>
    <w:rsid w:val="003F5683"/>
    <w:rsid w:val="003F5901"/>
    <w:rsid w:val="003F6D33"/>
    <w:rsid w:val="003F740C"/>
    <w:rsid w:val="003F7483"/>
    <w:rsid w:val="003F7538"/>
    <w:rsid w:val="003F78AA"/>
    <w:rsid w:val="00400509"/>
    <w:rsid w:val="00400588"/>
    <w:rsid w:val="00400C38"/>
    <w:rsid w:val="00401340"/>
    <w:rsid w:val="00401821"/>
    <w:rsid w:val="00401CB5"/>
    <w:rsid w:val="00402A31"/>
    <w:rsid w:val="004030A3"/>
    <w:rsid w:val="00403D27"/>
    <w:rsid w:val="00403F0E"/>
    <w:rsid w:val="00404825"/>
    <w:rsid w:val="004048C9"/>
    <w:rsid w:val="00404CBA"/>
    <w:rsid w:val="00404D12"/>
    <w:rsid w:val="0040529A"/>
    <w:rsid w:val="004054CE"/>
    <w:rsid w:val="00405586"/>
    <w:rsid w:val="00405E2D"/>
    <w:rsid w:val="0040610A"/>
    <w:rsid w:val="004065C2"/>
    <w:rsid w:val="00406CC7"/>
    <w:rsid w:val="00406FA1"/>
    <w:rsid w:val="00407009"/>
    <w:rsid w:val="00407F25"/>
    <w:rsid w:val="004100B0"/>
    <w:rsid w:val="00410600"/>
    <w:rsid w:val="00410BBD"/>
    <w:rsid w:val="00410FBD"/>
    <w:rsid w:val="00411A4B"/>
    <w:rsid w:val="00412A68"/>
    <w:rsid w:val="00413031"/>
    <w:rsid w:val="004132DE"/>
    <w:rsid w:val="004158C2"/>
    <w:rsid w:val="0041644B"/>
    <w:rsid w:val="004173B0"/>
    <w:rsid w:val="00420681"/>
    <w:rsid w:val="00420BA9"/>
    <w:rsid w:val="00420F9B"/>
    <w:rsid w:val="004210D3"/>
    <w:rsid w:val="00421370"/>
    <w:rsid w:val="00421558"/>
    <w:rsid w:val="004224C0"/>
    <w:rsid w:val="00422872"/>
    <w:rsid w:val="004247DF"/>
    <w:rsid w:val="00424DC6"/>
    <w:rsid w:val="004266E1"/>
    <w:rsid w:val="00426A3E"/>
    <w:rsid w:val="00426B6F"/>
    <w:rsid w:val="00426F20"/>
    <w:rsid w:val="004274A5"/>
    <w:rsid w:val="004309E6"/>
    <w:rsid w:val="00430B9F"/>
    <w:rsid w:val="00431026"/>
    <w:rsid w:val="00431520"/>
    <w:rsid w:val="00431A2D"/>
    <w:rsid w:val="00431A55"/>
    <w:rsid w:val="00431E14"/>
    <w:rsid w:val="0043363C"/>
    <w:rsid w:val="00433FEA"/>
    <w:rsid w:val="0043476A"/>
    <w:rsid w:val="00435426"/>
    <w:rsid w:val="00435578"/>
    <w:rsid w:val="004360DD"/>
    <w:rsid w:val="004362CE"/>
    <w:rsid w:val="004369F7"/>
    <w:rsid w:val="00436CEB"/>
    <w:rsid w:val="0043717A"/>
    <w:rsid w:val="00440888"/>
    <w:rsid w:val="004413F1"/>
    <w:rsid w:val="004413F7"/>
    <w:rsid w:val="00441634"/>
    <w:rsid w:val="00441B06"/>
    <w:rsid w:val="00441DFD"/>
    <w:rsid w:val="004422DB"/>
    <w:rsid w:val="00444370"/>
    <w:rsid w:val="00444968"/>
    <w:rsid w:val="00444B23"/>
    <w:rsid w:val="00444C27"/>
    <w:rsid w:val="00444F5E"/>
    <w:rsid w:val="004476A3"/>
    <w:rsid w:val="00447AEF"/>
    <w:rsid w:val="00447E56"/>
    <w:rsid w:val="00450B6B"/>
    <w:rsid w:val="00451427"/>
    <w:rsid w:val="00452413"/>
    <w:rsid w:val="0045265B"/>
    <w:rsid w:val="0045514E"/>
    <w:rsid w:val="00455178"/>
    <w:rsid w:val="0045561E"/>
    <w:rsid w:val="00457380"/>
    <w:rsid w:val="004574E5"/>
    <w:rsid w:val="00457701"/>
    <w:rsid w:val="0046059A"/>
    <w:rsid w:val="00460E68"/>
    <w:rsid w:val="00460E69"/>
    <w:rsid w:val="00461440"/>
    <w:rsid w:val="00461685"/>
    <w:rsid w:val="004616E2"/>
    <w:rsid w:val="00461B8E"/>
    <w:rsid w:val="00461D17"/>
    <w:rsid w:val="00461DBE"/>
    <w:rsid w:val="0046231E"/>
    <w:rsid w:val="00462793"/>
    <w:rsid w:val="00463FAD"/>
    <w:rsid w:val="0046419A"/>
    <w:rsid w:val="00464D8D"/>
    <w:rsid w:val="00465720"/>
    <w:rsid w:val="00465E4B"/>
    <w:rsid w:val="00466187"/>
    <w:rsid w:val="004666C5"/>
    <w:rsid w:val="004703FE"/>
    <w:rsid w:val="0047046D"/>
    <w:rsid w:val="004705C9"/>
    <w:rsid w:val="00470EA8"/>
    <w:rsid w:val="004714E6"/>
    <w:rsid w:val="00471E91"/>
    <w:rsid w:val="00473C6F"/>
    <w:rsid w:val="004745B2"/>
    <w:rsid w:val="004754E2"/>
    <w:rsid w:val="004764FA"/>
    <w:rsid w:val="00476AC8"/>
    <w:rsid w:val="00477394"/>
    <w:rsid w:val="004779D3"/>
    <w:rsid w:val="00477EB8"/>
    <w:rsid w:val="00477FA9"/>
    <w:rsid w:val="00480113"/>
    <w:rsid w:val="00480278"/>
    <w:rsid w:val="00480458"/>
    <w:rsid w:val="004806A2"/>
    <w:rsid w:val="00480705"/>
    <w:rsid w:val="0048193D"/>
    <w:rsid w:val="00481A3A"/>
    <w:rsid w:val="00482724"/>
    <w:rsid w:val="0048294E"/>
    <w:rsid w:val="00483487"/>
    <w:rsid w:val="00484F21"/>
    <w:rsid w:val="004852B0"/>
    <w:rsid w:val="00486A1D"/>
    <w:rsid w:val="00486D2A"/>
    <w:rsid w:val="00486EFC"/>
    <w:rsid w:val="00486FB1"/>
    <w:rsid w:val="0049070C"/>
    <w:rsid w:val="0049080F"/>
    <w:rsid w:val="00491616"/>
    <w:rsid w:val="00491C4A"/>
    <w:rsid w:val="00492307"/>
    <w:rsid w:val="00492780"/>
    <w:rsid w:val="00492E97"/>
    <w:rsid w:val="00492FC9"/>
    <w:rsid w:val="00493121"/>
    <w:rsid w:val="004931F4"/>
    <w:rsid w:val="00493308"/>
    <w:rsid w:val="004944CB"/>
    <w:rsid w:val="00494CA4"/>
    <w:rsid w:val="00495505"/>
    <w:rsid w:val="00495660"/>
    <w:rsid w:val="004957AC"/>
    <w:rsid w:val="00497312"/>
    <w:rsid w:val="004974E9"/>
    <w:rsid w:val="0049754C"/>
    <w:rsid w:val="00497E61"/>
    <w:rsid w:val="00497E7C"/>
    <w:rsid w:val="004A02A8"/>
    <w:rsid w:val="004A0782"/>
    <w:rsid w:val="004A08E1"/>
    <w:rsid w:val="004A0CDD"/>
    <w:rsid w:val="004A0E6D"/>
    <w:rsid w:val="004A140C"/>
    <w:rsid w:val="004A17B3"/>
    <w:rsid w:val="004A1C84"/>
    <w:rsid w:val="004A282B"/>
    <w:rsid w:val="004A2AB8"/>
    <w:rsid w:val="004A3390"/>
    <w:rsid w:val="004A4F6F"/>
    <w:rsid w:val="004A502B"/>
    <w:rsid w:val="004A5458"/>
    <w:rsid w:val="004A596E"/>
    <w:rsid w:val="004A6DD8"/>
    <w:rsid w:val="004A7B8B"/>
    <w:rsid w:val="004B1D65"/>
    <w:rsid w:val="004B35AE"/>
    <w:rsid w:val="004B3841"/>
    <w:rsid w:val="004B4B03"/>
    <w:rsid w:val="004B54FE"/>
    <w:rsid w:val="004B5CD8"/>
    <w:rsid w:val="004B7617"/>
    <w:rsid w:val="004B7C09"/>
    <w:rsid w:val="004B7D57"/>
    <w:rsid w:val="004C0470"/>
    <w:rsid w:val="004C08C8"/>
    <w:rsid w:val="004C0AFA"/>
    <w:rsid w:val="004C1208"/>
    <w:rsid w:val="004C153F"/>
    <w:rsid w:val="004C1EB2"/>
    <w:rsid w:val="004C3256"/>
    <w:rsid w:val="004C3443"/>
    <w:rsid w:val="004C3A71"/>
    <w:rsid w:val="004C3EF1"/>
    <w:rsid w:val="004C59FA"/>
    <w:rsid w:val="004C6406"/>
    <w:rsid w:val="004C7567"/>
    <w:rsid w:val="004D04F7"/>
    <w:rsid w:val="004D0659"/>
    <w:rsid w:val="004D0F7F"/>
    <w:rsid w:val="004D0FDF"/>
    <w:rsid w:val="004D1505"/>
    <w:rsid w:val="004D1D66"/>
    <w:rsid w:val="004D2430"/>
    <w:rsid w:val="004D2990"/>
    <w:rsid w:val="004D2D3C"/>
    <w:rsid w:val="004D4587"/>
    <w:rsid w:val="004D4993"/>
    <w:rsid w:val="004D4EEE"/>
    <w:rsid w:val="004D5342"/>
    <w:rsid w:val="004D56A6"/>
    <w:rsid w:val="004D5A2C"/>
    <w:rsid w:val="004D5DCB"/>
    <w:rsid w:val="004D61FC"/>
    <w:rsid w:val="004D6BA9"/>
    <w:rsid w:val="004D6C6A"/>
    <w:rsid w:val="004D7383"/>
    <w:rsid w:val="004D779A"/>
    <w:rsid w:val="004D7C14"/>
    <w:rsid w:val="004D7D34"/>
    <w:rsid w:val="004E08CB"/>
    <w:rsid w:val="004E0B99"/>
    <w:rsid w:val="004E1601"/>
    <w:rsid w:val="004E1630"/>
    <w:rsid w:val="004E2598"/>
    <w:rsid w:val="004E25AD"/>
    <w:rsid w:val="004E2A31"/>
    <w:rsid w:val="004E4597"/>
    <w:rsid w:val="004E4B1E"/>
    <w:rsid w:val="004E6D23"/>
    <w:rsid w:val="004E715E"/>
    <w:rsid w:val="004E75CC"/>
    <w:rsid w:val="004E7647"/>
    <w:rsid w:val="004F0753"/>
    <w:rsid w:val="004F0D5A"/>
    <w:rsid w:val="004F14F1"/>
    <w:rsid w:val="004F1AF0"/>
    <w:rsid w:val="004F1D96"/>
    <w:rsid w:val="004F1E21"/>
    <w:rsid w:val="004F28B7"/>
    <w:rsid w:val="004F330E"/>
    <w:rsid w:val="004F38D8"/>
    <w:rsid w:val="004F4DF7"/>
    <w:rsid w:val="004F6507"/>
    <w:rsid w:val="004F76C2"/>
    <w:rsid w:val="004F7703"/>
    <w:rsid w:val="004F7883"/>
    <w:rsid w:val="004F7A2B"/>
    <w:rsid w:val="0050049F"/>
    <w:rsid w:val="00500DBD"/>
    <w:rsid w:val="00501DE4"/>
    <w:rsid w:val="005020CD"/>
    <w:rsid w:val="00503415"/>
    <w:rsid w:val="005036E0"/>
    <w:rsid w:val="00505782"/>
    <w:rsid w:val="00505922"/>
    <w:rsid w:val="0050597A"/>
    <w:rsid w:val="00505E61"/>
    <w:rsid w:val="005067FF"/>
    <w:rsid w:val="0050688D"/>
    <w:rsid w:val="005076FF"/>
    <w:rsid w:val="00507982"/>
    <w:rsid w:val="005122AF"/>
    <w:rsid w:val="00513B64"/>
    <w:rsid w:val="00513C1A"/>
    <w:rsid w:val="005141C1"/>
    <w:rsid w:val="0051492A"/>
    <w:rsid w:val="00515743"/>
    <w:rsid w:val="005158CB"/>
    <w:rsid w:val="0051652B"/>
    <w:rsid w:val="005166EF"/>
    <w:rsid w:val="00516767"/>
    <w:rsid w:val="00516BB3"/>
    <w:rsid w:val="00516EBA"/>
    <w:rsid w:val="00517A80"/>
    <w:rsid w:val="00520AE0"/>
    <w:rsid w:val="00521BCF"/>
    <w:rsid w:val="00522026"/>
    <w:rsid w:val="00522D77"/>
    <w:rsid w:val="0052380E"/>
    <w:rsid w:val="0052393A"/>
    <w:rsid w:val="00523BAD"/>
    <w:rsid w:val="0052475F"/>
    <w:rsid w:val="00525288"/>
    <w:rsid w:val="005255B4"/>
    <w:rsid w:val="00525B53"/>
    <w:rsid w:val="00526490"/>
    <w:rsid w:val="00530DB1"/>
    <w:rsid w:val="005317A9"/>
    <w:rsid w:val="00531A15"/>
    <w:rsid w:val="005342B7"/>
    <w:rsid w:val="0053432A"/>
    <w:rsid w:val="00535423"/>
    <w:rsid w:val="00535536"/>
    <w:rsid w:val="00535DC7"/>
    <w:rsid w:val="00535EE2"/>
    <w:rsid w:val="0053640E"/>
    <w:rsid w:val="00536818"/>
    <w:rsid w:val="005369D8"/>
    <w:rsid w:val="00536C74"/>
    <w:rsid w:val="00536DEC"/>
    <w:rsid w:val="005400B7"/>
    <w:rsid w:val="0054064A"/>
    <w:rsid w:val="00540CC5"/>
    <w:rsid w:val="00541F3C"/>
    <w:rsid w:val="0054218A"/>
    <w:rsid w:val="0054226B"/>
    <w:rsid w:val="00542857"/>
    <w:rsid w:val="00543270"/>
    <w:rsid w:val="0054367E"/>
    <w:rsid w:val="0054478B"/>
    <w:rsid w:val="00544905"/>
    <w:rsid w:val="0054526B"/>
    <w:rsid w:val="00546428"/>
    <w:rsid w:val="00546759"/>
    <w:rsid w:val="00546F9F"/>
    <w:rsid w:val="00546FDB"/>
    <w:rsid w:val="00550001"/>
    <w:rsid w:val="005501AD"/>
    <w:rsid w:val="005504E9"/>
    <w:rsid w:val="00550666"/>
    <w:rsid w:val="00551985"/>
    <w:rsid w:val="005528DA"/>
    <w:rsid w:val="005528FF"/>
    <w:rsid w:val="00554755"/>
    <w:rsid w:val="005549A0"/>
    <w:rsid w:val="00554C21"/>
    <w:rsid w:val="00554E5F"/>
    <w:rsid w:val="0055530E"/>
    <w:rsid w:val="005555CE"/>
    <w:rsid w:val="00555633"/>
    <w:rsid w:val="00556188"/>
    <w:rsid w:val="005566FE"/>
    <w:rsid w:val="00556F98"/>
    <w:rsid w:val="00557B5F"/>
    <w:rsid w:val="00557E40"/>
    <w:rsid w:val="005604C7"/>
    <w:rsid w:val="0056057C"/>
    <w:rsid w:val="005608F3"/>
    <w:rsid w:val="005610A6"/>
    <w:rsid w:val="005610B5"/>
    <w:rsid w:val="00561849"/>
    <w:rsid w:val="00561D14"/>
    <w:rsid w:val="00562751"/>
    <w:rsid w:val="00562A47"/>
    <w:rsid w:val="00562D24"/>
    <w:rsid w:val="005631CB"/>
    <w:rsid w:val="00563A90"/>
    <w:rsid w:val="00564932"/>
    <w:rsid w:val="00564AD7"/>
    <w:rsid w:val="00565785"/>
    <w:rsid w:val="00567CE1"/>
    <w:rsid w:val="00570053"/>
    <w:rsid w:val="005703D8"/>
    <w:rsid w:val="005703E5"/>
    <w:rsid w:val="005710D7"/>
    <w:rsid w:val="00571396"/>
    <w:rsid w:val="005719FB"/>
    <w:rsid w:val="00571C18"/>
    <w:rsid w:val="00573174"/>
    <w:rsid w:val="005736E4"/>
    <w:rsid w:val="00573F80"/>
    <w:rsid w:val="00574235"/>
    <w:rsid w:val="00574497"/>
    <w:rsid w:val="00574D43"/>
    <w:rsid w:val="005756CF"/>
    <w:rsid w:val="00575BE1"/>
    <w:rsid w:val="00576080"/>
    <w:rsid w:val="00577199"/>
    <w:rsid w:val="00581154"/>
    <w:rsid w:val="005813F5"/>
    <w:rsid w:val="00581649"/>
    <w:rsid w:val="005832CE"/>
    <w:rsid w:val="00584BBC"/>
    <w:rsid w:val="0058568A"/>
    <w:rsid w:val="00585EC5"/>
    <w:rsid w:val="00585F2F"/>
    <w:rsid w:val="005867B2"/>
    <w:rsid w:val="00586E25"/>
    <w:rsid w:val="005943E8"/>
    <w:rsid w:val="005944FC"/>
    <w:rsid w:val="0059512C"/>
    <w:rsid w:val="005951B5"/>
    <w:rsid w:val="005953C4"/>
    <w:rsid w:val="0059556E"/>
    <w:rsid w:val="00595F17"/>
    <w:rsid w:val="00596992"/>
    <w:rsid w:val="00597DC5"/>
    <w:rsid w:val="005A05EE"/>
    <w:rsid w:val="005A08A4"/>
    <w:rsid w:val="005A1322"/>
    <w:rsid w:val="005A227A"/>
    <w:rsid w:val="005A2628"/>
    <w:rsid w:val="005A285E"/>
    <w:rsid w:val="005A31A1"/>
    <w:rsid w:val="005A34DF"/>
    <w:rsid w:val="005A3712"/>
    <w:rsid w:val="005A3834"/>
    <w:rsid w:val="005A4346"/>
    <w:rsid w:val="005A4D81"/>
    <w:rsid w:val="005A4DD9"/>
    <w:rsid w:val="005A58D4"/>
    <w:rsid w:val="005A5AE5"/>
    <w:rsid w:val="005A613B"/>
    <w:rsid w:val="005A68D4"/>
    <w:rsid w:val="005A6C89"/>
    <w:rsid w:val="005A6D0A"/>
    <w:rsid w:val="005A7BDE"/>
    <w:rsid w:val="005A7E8A"/>
    <w:rsid w:val="005B176B"/>
    <w:rsid w:val="005B269A"/>
    <w:rsid w:val="005B3437"/>
    <w:rsid w:val="005B37BD"/>
    <w:rsid w:val="005B3BB8"/>
    <w:rsid w:val="005B448B"/>
    <w:rsid w:val="005B4D1E"/>
    <w:rsid w:val="005B4F9A"/>
    <w:rsid w:val="005B4FC8"/>
    <w:rsid w:val="005B5150"/>
    <w:rsid w:val="005B547E"/>
    <w:rsid w:val="005B565B"/>
    <w:rsid w:val="005B5846"/>
    <w:rsid w:val="005B5C4B"/>
    <w:rsid w:val="005B7D9B"/>
    <w:rsid w:val="005C054C"/>
    <w:rsid w:val="005C1BF8"/>
    <w:rsid w:val="005C2171"/>
    <w:rsid w:val="005C2D6E"/>
    <w:rsid w:val="005C32D5"/>
    <w:rsid w:val="005C3922"/>
    <w:rsid w:val="005C3B14"/>
    <w:rsid w:val="005C404C"/>
    <w:rsid w:val="005C4B0A"/>
    <w:rsid w:val="005C4BCD"/>
    <w:rsid w:val="005C4E3E"/>
    <w:rsid w:val="005C515E"/>
    <w:rsid w:val="005C58EA"/>
    <w:rsid w:val="005C5EB3"/>
    <w:rsid w:val="005C61FE"/>
    <w:rsid w:val="005C62B0"/>
    <w:rsid w:val="005C699E"/>
    <w:rsid w:val="005C6E4E"/>
    <w:rsid w:val="005C701A"/>
    <w:rsid w:val="005C7B96"/>
    <w:rsid w:val="005D0258"/>
    <w:rsid w:val="005D0A26"/>
    <w:rsid w:val="005D1D95"/>
    <w:rsid w:val="005D267B"/>
    <w:rsid w:val="005D27DC"/>
    <w:rsid w:val="005D2BC0"/>
    <w:rsid w:val="005D3161"/>
    <w:rsid w:val="005D3234"/>
    <w:rsid w:val="005D3B2D"/>
    <w:rsid w:val="005D3EE1"/>
    <w:rsid w:val="005D49B5"/>
    <w:rsid w:val="005D4EFD"/>
    <w:rsid w:val="005D68C7"/>
    <w:rsid w:val="005D6965"/>
    <w:rsid w:val="005E0D12"/>
    <w:rsid w:val="005E1A3A"/>
    <w:rsid w:val="005E38A7"/>
    <w:rsid w:val="005E3DF9"/>
    <w:rsid w:val="005E4775"/>
    <w:rsid w:val="005E47E5"/>
    <w:rsid w:val="005E48D9"/>
    <w:rsid w:val="005E4CF3"/>
    <w:rsid w:val="005E5662"/>
    <w:rsid w:val="005E63FA"/>
    <w:rsid w:val="005E66D8"/>
    <w:rsid w:val="005F22AA"/>
    <w:rsid w:val="005F2C90"/>
    <w:rsid w:val="005F3E7C"/>
    <w:rsid w:val="005F4330"/>
    <w:rsid w:val="005F4353"/>
    <w:rsid w:val="005F58B7"/>
    <w:rsid w:val="005F5D30"/>
    <w:rsid w:val="005F5DC1"/>
    <w:rsid w:val="005F6421"/>
    <w:rsid w:val="005F72C8"/>
    <w:rsid w:val="005F75DA"/>
    <w:rsid w:val="005F75F0"/>
    <w:rsid w:val="00600AFA"/>
    <w:rsid w:val="0060210D"/>
    <w:rsid w:val="0060215E"/>
    <w:rsid w:val="00602A63"/>
    <w:rsid w:val="00602AE0"/>
    <w:rsid w:val="00602B17"/>
    <w:rsid w:val="00603684"/>
    <w:rsid w:val="00604D09"/>
    <w:rsid w:val="00604F36"/>
    <w:rsid w:val="00604F4D"/>
    <w:rsid w:val="006053ED"/>
    <w:rsid w:val="006055AC"/>
    <w:rsid w:val="00605611"/>
    <w:rsid w:val="00605B9D"/>
    <w:rsid w:val="00605E62"/>
    <w:rsid w:val="00606039"/>
    <w:rsid w:val="00606F9A"/>
    <w:rsid w:val="006074ED"/>
    <w:rsid w:val="00607F4C"/>
    <w:rsid w:val="006100A1"/>
    <w:rsid w:val="00611015"/>
    <w:rsid w:val="00611C6E"/>
    <w:rsid w:val="0061318A"/>
    <w:rsid w:val="00613202"/>
    <w:rsid w:val="0061343C"/>
    <w:rsid w:val="006139D3"/>
    <w:rsid w:val="00614008"/>
    <w:rsid w:val="00614626"/>
    <w:rsid w:val="0061539A"/>
    <w:rsid w:val="0061569D"/>
    <w:rsid w:val="00615915"/>
    <w:rsid w:val="006162E4"/>
    <w:rsid w:val="006163AD"/>
    <w:rsid w:val="00617198"/>
    <w:rsid w:val="0061771A"/>
    <w:rsid w:val="00617BA3"/>
    <w:rsid w:val="00620488"/>
    <w:rsid w:val="00620D2A"/>
    <w:rsid w:val="006211BF"/>
    <w:rsid w:val="006215F4"/>
    <w:rsid w:val="00621738"/>
    <w:rsid w:val="00622D38"/>
    <w:rsid w:val="00622D5A"/>
    <w:rsid w:val="00623117"/>
    <w:rsid w:val="0062330B"/>
    <w:rsid w:val="006234DE"/>
    <w:rsid w:val="006241B1"/>
    <w:rsid w:val="006243A7"/>
    <w:rsid w:val="00624A6F"/>
    <w:rsid w:val="00625E1E"/>
    <w:rsid w:val="00626752"/>
    <w:rsid w:val="006308A9"/>
    <w:rsid w:val="00630A73"/>
    <w:rsid w:val="00630C1A"/>
    <w:rsid w:val="00631C26"/>
    <w:rsid w:val="00632404"/>
    <w:rsid w:val="0063358B"/>
    <w:rsid w:val="00635AF0"/>
    <w:rsid w:val="00636CED"/>
    <w:rsid w:val="00637419"/>
    <w:rsid w:val="00637492"/>
    <w:rsid w:val="0063788F"/>
    <w:rsid w:val="00640263"/>
    <w:rsid w:val="0064055A"/>
    <w:rsid w:val="00640E59"/>
    <w:rsid w:val="00640E83"/>
    <w:rsid w:val="0064101F"/>
    <w:rsid w:val="0064179D"/>
    <w:rsid w:val="00642838"/>
    <w:rsid w:val="00642AC3"/>
    <w:rsid w:val="006431D0"/>
    <w:rsid w:val="00643C2A"/>
    <w:rsid w:val="00643DF0"/>
    <w:rsid w:val="00644E33"/>
    <w:rsid w:val="00645588"/>
    <w:rsid w:val="00645703"/>
    <w:rsid w:val="0064571F"/>
    <w:rsid w:val="00645F94"/>
    <w:rsid w:val="0064625F"/>
    <w:rsid w:val="006476BE"/>
    <w:rsid w:val="00647DD3"/>
    <w:rsid w:val="006500B9"/>
    <w:rsid w:val="00650847"/>
    <w:rsid w:val="006512CC"/>
    <w:rsid w:val="00652451"/>
    <w:rsid w:val="006526F9"/>
    <w:rsid w:val="00652E08"/>
    <w:rsid w:val="006533F6"/>
    <w:rsid w:val="00654680"/>
    <w:rsid w:val="00654D32"/>
    <w:rsid w:val="00655763"/>
    <w:rsid w:val="00655A48"/>
    <w:rsid w:val="0065614A"/>
    <w:rsid w:val="0065633C"/>
    <w:rsid w:val="0065735E"/>
    <w:rsid w:val="006574AB"/>
    <w:rsid w:val="00657C87"/>
    <w:rsid w:val="00657D94"/>
    <w:rsid w:val="00660069"/>
    <w:rsid w:val="006601D3"/>
    <w:rsid w:val="0066045D"/>
    <w:rsid w:val="00661B2E"/>
    <w:rsid w:val="00662616"/>
    <w:rsid w:val="00662617"/>
    <w:rsid w:val="0066298E"/>
    <w:rsid w:val="00662B90"/>
    <w:rsid w:val="00663B44"/>
    <w:rsid w:val="00663E83"/>
    <w:rsid w:val="00663F3B"/>
    <w:rsid w:val="00665109"/>
    <w:rsid w:val="006655EA"/>
    <w:rsid w:val="0066598D"/>
    <w:rsid w:val="00666945"/>
    <w:rsid w:val="00667114"/>
    <w:rsid w:val="00667769"/>
    <w:rsid w:val="006708CE"/>
    <w:rsid w:val="00672369"/>
    <w:rsid w:val="00672470"/>
    <w:rsid w:val="00672EBB"/>
    <w:rsid w:val="00673AEA"/>
    <w:rsid w:val="0067455A"/>
    <w:rsid w:val="006746EA"/>
    <w:rsid w:val="006759EA"/>
    <w:rsid w:val="00676E00"/>
    <w:rsid w:val="00680BDC"/>
    <w:rsid w:val="006811BA"/>
    <w:rsid w:val="0068164D"/>
    <w:rsid w:val="00681F2E"/>
    <w:rsid w:val="00682045"/>
    <w:rsid w:val="00682E3A"/>
    <w:rsid w:val="00683F6C"/>
    <w:rsid w:val="00684AC1"/>
    <w:rsid w:val="00684B32"/>
    <w:rsid w:val="00687158"/>
    <w:rsid w:val="0068727C"/>
    <w:rsid w:val="006873B8"/>
    <w:rsid w:val="006877FC"/>
    <w:rsid w:val="00687B7D"/>
    <w:rsid w:val="00687BC8"/>
    <w:rsid w:val="00687E6F"/>
    <w:rsid w:val="00687FFB"/>
    <w:rsid w:val="00690EAF"/>
    <w:rsid w:val="006917DE"/>
    <w:rsid w:val="00691A2E"/>
    <w:rsid w:val="00691EDE"/>
    <w:rsid w:val="00692772"/>
    <w:rsid w:val="00693320"/>
    <w:rsid w:val="006936DD"/>
    <w:rsid w:val="006940AB"/>
    <w:rsid w:val="006941F7"/>
    <w:rsid w:val="006947B1"/>
    <w:rsid w:val="006958B4"/>
    <w:rsid w:val="0069604A"/>
    <w:rsid w:val="00696AF3"/>
    <w:rsid w:val="00696AFB"/>
    <w:rsid w:val="0069729C"/>
    <w:rsid w:val="0069773F"/>
    <w:rsid w:val="006A02B1"/>
    <w:rsid w:val="006A02E6"/>
    <w:rsid w:val="006A03F5"/>
    <w:rsid w:val="006A1365"/>
    <w:rsid w:val="006A17DE"/>
    <w:rsid w:val="006A2968"/>
    <w:rsid w:val="006A40B9"/>
    <w:rsid w:val="006A44DC"/>
    <w:rsid w:val="006A4768"/>
    <w:rsid w:val="006A4A0C"/>
    <w:rsid w:val="006A4B7B"/>
    <w:rsid w:val="006A5629"/>
    <w:rsid w:val="006A6433"/>
    <w:rsid w:val="006A6597"/>
    <w:rsid w:val="006A7331"/>
    <w:rsid w:val="006B0E22"/>
    <w:rsid w:val="006B1800"/>
    <w:rsid w:val="006B1EF7"/>
    <w:rsid w:val="006B351E"/>
    <w:rsid w:val="006B4331"/>
    <w:rsid w:val="006B4F1A"/>
    <w:rsid w:val="006B5114"/>
    <w:rsid w:val="006B51EA"/>
    <w:rsid w:val="006B5DFA"/>
    <w:rsid w:val="006B66D4"/>
    <w:rsid w:val="006B6752"/>
    <w:rsid w:val="006B7982"/>
    <w:rsid w:val="006C21BB"/>
    <w:rsid w:val="006C4318"/>
    <w:rsid w:val="006C4416"/>
    <w:rsid w:val="006C52FE"/>
    <w:rsid w:val="006C6254"/>
    <w:rsid w:val="006C669F"/>
    <w:rsid w:val="006C704E"/>
    <w:rsid w:val="006C78D0"/>
    <w:rsid w:val="006D03A8"/>
    <w:rsid w:val="006D0C34"/>
    <w:rsid w:val="006D11E9"/>
    <w:rsid w:val="006D3144"/>
    <w:rsid w:val="006D4585"/>
    <w:rsid w:val="006D476F"/>
    <w:rsid w:val="006D4EB4"/>
    <w:rsid w:val="006D54BB"/>
    <w:rsid w:val="006D57AE"/>
    <w:rsid w:val="006D6203"/>
    <w:rsid w:val="006D696E"/>
    <w:rsid w:val="006D789A"/>
    <w:rsid w:val="006D7C5C"/>
    <w:rsid w:val="006D7DB1"/>
    <w:rsid w:val="006E03AA"/>
    <w:rsid w:val="006E0908"/>
    <w:rsid w:val="006E13C8"/>
    <w:rsid w:val="006E14F9"/>
    <w:rsid w:val="006E195E"/>
    <w:rsid w:val="006E1969"/>
    <w:rsid w:val="006E1A36"/>
    <w:rsid w:val="006E1C68"/>
    <w:rsid w:val="006E2405"/>
    <w:rsid w:val="006E249C"/>
    <w:rsid w:val="006E257F"/>
    <w:rsid w:val="006E29CC"/>
    <w:rsid w:val="006E2A8E"/>
    <w:rsid w:val="006E2D96"/>
    <w:rsid w:val="006E340C"/>
    <w:rsid w:val="006E3ACA"/>
    <w:rsid w:val="006E521A"/>
    <w:rsid w:val="006E6BE4"/>
    <w:rsid w:val="006E6D28"/>
    <w:rsid w:val="006E7452"/>
    <w:rsid w:val="006E7F30"/>
    <w:rsid w:val="006F0FA4"/>
    <w:rsid w:val="006F1175"/>
    <w:rsid w:val="006F1B3A"/>
    <w:rsid w:val="006F2163"/>
    <w:rsid w:val="006F24EE"/>
    <w:rsid w:val="006F29BB"/>
    <w:rsid w:val="006F2C9C"/>
    <w:rsid w:val="006F3066"/>
    <w:rsid w:val="006F341D"/>
    <w:rsid w:val="006F3A17"/>
    <w:rsid w:val="006F3D67"/>
    <w:rsid w:val="006F409D"/>
    <w:rsid w:val="006F44DF"/>
    <w:rsid w:val="006F58CB"/>
    <w:rsid w:val="006F6CA7"/>
    <w:rsid w:val="006F6D23"/>
    <w:rsid w:val="006F7166"/>
    <w:rsid w:val="00701270"/>
    <w:rsid w:val="00701E0D"/>
    <w:rsid w:val="007024E8"/>
    <w:rsid w:val="00702AAA"/>
    <w:rsid w:val="0070433A"/>
    <w:rsid w:val="0070453D"/>
    <w:rsid w:val="00704745"/>
    <w:rsid w:val="00705211"/>
    <w:rsid w:val="00705ACE"/>
    <w:rsid w:val="00705B59"/>
    <w:rsid w:val="007067F9"/>
    <w:rsid w:val="007073C4"/>
    <w:rsid w:val="00707E9F"/>
    <w:rsid w:val="007102F6"/>
    <w:rsid w:val="00710F45"/>
    <w:rsid w:val="007110C2"/>
    <w:rsid w:val="00711996"/>
    <w:rsid w:val="007123A1"/>
    <w:rsid w:val="007129F5"/>
    <w:rsid w:val="00712B18"/>
    <w:rsid w:val="00712D13"/>
    <w:rsid w:val="00712D1D"/>
    <w:rsid w:val="00712EB8"/>
    <w:rsid w:val="0071386C"/>
    <w:rsid w:val="00713916"/>
    <w:rsid w:val="00714AD5"/>
    <w:rsid w:val="00715231"/>
    <w:rsid w:val="00715297"/>
    <w:rsid w:val="00715C35"/>
    <w:rsid w:val="0071630F"/>
    <w:rsid w:val="00716774"/>
    <w:rsid w:val="00716D16"/>
    <w:rsid w:val="00717243"/>
    <w:rsid w:val="00717316"/>
    <w:rsid w:val="00717471"/>
    <w:rsid w:val="0072052B"/>
    <w:rsid w:val="00720C24"/>
    <w:rsid w:val="00720CC7"/>
    <w:rsid w:val="0072120E"/>
    <w:rsid w:val="007215AA"/>
    <w:rsid w:val="00721FF0"/>
    <w:rsid w:val="007232C6"/>
    <w:rsid w:val="007239FA"/>
    <w:rsid w:val="00723E9B"/>
    <w:rsid w:val="00724722"/>
    <w:rsid w:val="00724C35"/>
    <w:rsid w:val="00724D80"/>
    <w:rsid w:val="00725A0C"/>
    <w:rsid w:val="00725D8A"/>
    <w:rsid w:val="00725FFA"/>
    <w:rsid w:val="0072677D"/>
    <w:rsid w:val="00726869"/>
    <w:rsid w:val="007268BA"/>
    <w:rsid w:val="007304FD"/>
    <w:rsid w:val="007306BA"/>
    <w:rsid w:val="00731D8C"/>
    <w:rsid w:val="0073258A"/>
    <w:rsid w:val="007335E8"/>
    <w:rsid w:val="00733663"/>
    <w:rsid w:val="00733F89"/>
    <w:rsid w:val="00734596"/>
    <w:rsid w:val="00734881"/>
    <w:rsid w:val="007351C9"/>
    <w:rsid w:val="007351F8"/>
    <w:rsid w:val="007354ED"/>
    <w:rsid w:val="00735AE1"/>
    <w:rsid w:val="007368A9"/>
    <w:rsid w:val="007373F1"/>
    <w:rsid w:val="007379F4"/>
    <w:rsid w:val="00737BFF"/>
    <w:rsid w:val="00740F4B"/>
    <w:rsid w:val="00741029"/>
    <w:rsid w:val="007411F1"/>
    <w:rsid w:val="00741721"/>
    <w:rsid w:val="00741FF1"/>
    <w:rsid w:val="00742A79"/>
    <w:rsid w:val="0074313B"/>
    <w:rsid w:val="00744B41"/>
    <w:rsid w:val="00744F89"/>
    <w:rsid w:val="007451C5"/>
    <w:rsid w:val="0074621F"/>
    <w:rsid w:val="0074696D"/>
    <w:rsid w:val="00747C1D"/>
    <w:rsid w:val="00747CC0"/>
    <w:rsid w:val="00750354"/>
    <w:rsid w:val="00750A9F"/>
    <w:rsid w:val="00750AC4"/>
    <w:rsid w:val="00750C8C"/>
    <w:rsid w:val="00750D40"/>
    <w:rsid w:val="00751159"/>
    <w:rsid w:val="007513E8"/>
    <w:rsid w:val="00751D87"/>
    <w:rsid w:val="0075219A"/>
    <w:rsid w:val="00752A4C"/>
    <w:rsid w:val="00752CF0"/>
    <w:rsid w:val="00754C70"/>
    <w:rsid w:val="007553D8"/>
    <w:rsid w:val="007559CF"/>
    <w:rsid w:val="00755B0C"/>
    <w:rsid w:val="00755D87"/>
    <w:rsid w:val="007561EB"/>
    <w:rsid w:val="007563E8"/>
    <w:rsid w:val="007564F4"/>
    <w:rsid w:val="007566CE"/>
    <w:rsid w:val="00756F89"/>
    <w:rsid w:val="007579B1"/>
    <w:rsid w:val="00757A08"/>
    <w:rsid w:val="00757D3A"/>
    <w:rsid w:val="00760F2B"/>
    <w:rsid w:val="00761702"/>
    <w:rsid w:val="00761880"/>
    <w:rsid w:val="00762854"/>
    <w:rsid w:val="00762BA6"/>
    <w:rsid w:val="00762BD5"/>
    <w:rsid w:val="00762BF8"/>
    <w:rsid w:val="007631A6"/>
    <w:rsid w:val="00763632"/>
    <w:rsid w:val="00763D9D"/>
    <w:rsid w:val="00764BEE"/>
    <w:rsid w:val="00765476"/>
    <w:rsid w:val="00765572"/>
    <w:rsid w:val="00765897"/>
    <w:rsid w:val="00765FA5"/>
    <w:rsid w:val="00765FDF"/>
    <w:rsid w:val="00766D75"/>
    <w:rsid w:val="00767A7D"/>
    <w:rsid w:val="00767F13"/>
    <w:rsid w:val="00767F2D"/>
    <w:rsid w:val="00770503"/>
    <w:rsid w:val="007706EC"/>
    <w:rsid w:val="007709B0"/>
    <w:rsid w:val="007713B8"/>
    <w:rsid w:val="00772E29"/>
    <w:rsid w:val="00772F05"/>
    <w:rsid w:val="007737A8"/>
    <w:rsid w:val="007745B7"/>
    <w:rsid w:val="007746C7"/>
    <w:rsid w:val="00774DBD"/>
    <w:rsid w:val="00775052"/>
    <w:rsid w:val="00775213"/>
    <w:rsid w:val="007753CC"/>
    <w:rsid w:val="00775C2C"/>
    <w:rsid w:val="00775E15"/>
    <w:rsid w:val="00775E90"/>
    <w:rsid w:val="00780101"/>
    <w:rsid w:val="007801BA"/>
    <w:rsid w:val="00780966"/>
    <w:rsid w:val="007826CA"/>
    <w:rsid w:val="00783189"/>
    <w:rsid w:val="0078319F"/>
    <w:rsid w:val="00784469"/>
    <w:rsid w:val="00785DDD"/>
    <w:rsid w:val="00785E5E"/>
    <w:rsid w:val="007866F4"/>
    <w:rsid w:val="00786EF9"/>
    <w:rsid w:val="00786FD1"/>
    <w:rsid w:val="007873B8"/>
    <w:rsid w:val="00790192"/>
    <w:rsid w:val="007905B2"/>
    <w:rsid w:val="0079065C"/>
    <w:rsid w:val="00790A27"/>
    <w:rsid w:val="00792001"/>
    <w:rsid w:val="0079221C"/>
    <w:rsid w:val="007927E5"/>
    <w:rsid w:val="0079419E"/>
    <w:rsid w:val="00794398"/>
    <w:rsid w:val="00795627"/>
    <w:rsid w:val="00796405"/>
    <w:rsid w:val="00796DB2"/>
    <w:rsid w:val="007976B7"/>
    <w:rsid w:val="00797863"/>
    <w:rsid w:val="00797974"/>
    <w:rsid w:val="007A0098"/>
    <w:rsid w:val="007A01C2"/>
    <w:rsid w:val="007A0919"/>
    <w:rsid w:val="007A138D"/>
    <w:rsid w:val="007A19B3"/>
    <w:rsid w:val="007A1B70"/>
    <w:rsid w:val="007A217F"/>
    <w:rsid w:val="007A379E"/>
    <w:rsid w:val="007A3949"/>
    <w:rsid w:val="007A3FE6"/>
    <w:rsid w:val="007A4683"/>
    <w:rsid w:val="007A48DD"/>
    <w:rsid w:val="007A4A1A"/>
    <w:rsid w:val="007A4F37"/>
    <w:rsid w:val="007A56F7"/>
    <w:rsid w:val="007A6220"/>
    <w:rsid w:val="007A6470"/>
    <w:rsid w:val="007A6857"/>
    <w:rsid w:val="007A6CDB"/>
    <w:rsid w:val="007A79DD"/>
    <w:rsid w:val="007B0141"/>
    <w:rsid w:val="007B02A3"/>
    <w:rsid w:val="007B047A"/>
    <w:rsid w:val="007B0EAA"/>
    <w:rsid w:val="007B24CC"/>
    <w:rsid w:val="007B2861"/>
    <w:rsid w:val="007B368E"/>
    <w:rsid w:val="007B37DA"/>
    <w:rsid w:val="007B4828"/>
    <w:rsid w:val="007B65BF"/>
    <w:rsid w:val="007B678B"/>
    <w:rsid w:val="007B67BA"/>
    <w:rsid w:val="007B7BF1"/>
    <w:rsid w:val="007B7E21"/>
    <w:rsid w:val="007B7ECB"/>
    <w:rsid w:val="007C025E"/>
    <w:rsid w:val="007C0525"/>
    <w:rsid w:val="007C113F"/>
    <w:rsid w:val="007C1B62"/>
    <w:rsid w:val="007C232F"/>
    <w:rsid w:val="007C24B0"/>
    <w:rsid w:val="007C2607"/>
    <w:rsid w:val="007C2992"/>
    <w:rsid w:val="007C2A7A"/>
    <w:rsid w:val="007C2C3D"/>
    <w:rsid w:val="007C3326"/>
    <w:rsid w:val="007C3648"/>
    <w:rsid w:val="007C3D2A"/>
    <w:rsid w:val="007C3E85"/>
    <w:rsid w:val="007C48FB"/>
    <w:rsid w:val="007C50C6"/>
    <w:rsid w:val="007C5F02"/>
    <w:rsid w:val="007C6408"/>
    <w:rsid w:val="007D0D91"/>
    <w:rsid w:val="007D1CF7"/>
    <w:rsid w:val="007D1E0F"/>
    <w:rsid w:val="007D2032"/>
    <w:rsid w:val="007D2644"/>
    <w:rsid w:val="007D309C"/>
    <w:rsid w:val="007D3920"/>
    <w:rsid w:val="007D3B90"/>
    <w:rsid w:val="007D4923"/>
    <w:rsid w:val="007D50AD"/>
    <w:rsid w:val="007D5CDF"/>
    <w:rsid w:val="007D6458"/>
    <w:rsid w:val="007D6B6D"/>
    <w:rsid w:val="007D7F0F"/>
    <w:rsid w:val="007E021A"/>
    <w:rsid w:val="007E0933"/>
    <w:rsid w:val="007E0F9D"/>
    <w:rsid w:val="007E13D9"/>
    <w:rsid w:val="007E1EAA"/>
    <w:rsid w:val="007E230F"/>
    <w:rsid w:val="007E2988"/>
    <w:rsid w:val="007E2E98"/>
    <w:rsid w:val="007E32AD"/>
    <w:rsid w:val="007E4779"/>
    <w:rsid w:val="007E4D5E"/>
    <w:rsid w:val="007E4E8C"/>
    <w:rsid w:val="007E5ABB"/>
    <w:rsid w:val="007E62F4"/>
    <w:rsid w:val="007E79F1"/>
    <w:rsid w:val="007F05A4"/>
    <w:rsid w:val="007F0946"/>
    <w:rsid w:val="007F275F"/>
    <w:rsid w:val="007F45FE"/>
    <w:rsid w:val="007F46AC"/>
    <w:rsid w:val="007F4A3D"/>
    <w:rsid w:val="007F4A78"/>
    <w:rsid w:val="007F505F"/>
    <w:rsid w:val="007F5DD5"/>
    <w:rsid w:val="007F60E9"/>
    <w:rsid w:val="007F617B"/>
    <w:rsid w:val="007F66DE"/>
    <w:rsid w:val="007F6A7F"/>
    <w:rsid w:val="007F76C0"/>
    <w:rsid w:val="007F797F"/>
    <w:rsid w:val="007F7C56"/>
    <w:rsid w:val="00800EE8"/>
    <w:rsid w:val="008022E5"/>
    <w:rsid w:val="00802E33"/>
    <w:rsid w:val="00803322"/>
    <w:rsid w:val="008040E3"/>
    <w:rsid w:val="00804574"/>
    <w:rsid w:val="00804D47"/>
    <w:rsid w:val="00805C72"/>
    <w:rsid w:val="00805F13"/>
    <w:rsid w:val="008071B6"/>
    <w:rsid w:val="00807A71"/>
    <w:rsid w:val="00807BAF"/>
    <w:rsid w:val="0081076F"/>
    <w:rsid w:val="00811608"/>
    <w:rsid w:val="0081181E"/>
    <w:rsid w:val="00811A85"/>
    <w:rsid w:val="00811E62"/>
    <w:rsid w:val="00812F04"/>
    <w:rsid w:val="00812F8E"/>
    <w:rsid w:val="00813392"/>
    <w:rsid w:val="00814259"/>
    <w:rsid w:val="008160C8"/>
    <w:rsid w:val="0081646E"/>
    <w:rsid w:val="00816ADF"/>
    <w:rsid w:val="008176DA"/>
    <w:rsid w:val="0082013F"/>
    <w:rsid w:val="00821006"/>
    <w:rsid w:val="00822564"/>
    <w:rsid w:val="00822906"/>
    <w:rsid w:val="008238FE"/>
    <w:rsid w:val="008246EA"/>
    <w:rsid w:val="00824FBC"/>
    <w:rsid w:val="008250CF"/>
    <w:rsid w:val="008251A8"/>
    <w:rsid w:val="008252BD"/>
    <w:rsid w:val="00825B32"/>
    <w:rsid w:val="00825D1E"/>
    <w:rsid w:val="008266DE"/>
    <w:rsid w:val="008268BC"/>
    <w:rsid w:val="008269DD"/>
    <w:rsid w:val="00827553"/>
    <w:rsid w:val="008278C9"/>
    <w:rsid w:val="00830621"/>
    <w:rsid w:val="008307D7"/>
    <w:rsid w:val="00830AA6"/>
    <w:rsid w:val="00830BA2"/>
    <w:rsid w:val="00830BB4"/>
    <w:rsid w:val="00831715"/>
    <w:rsid w:val="00831E5E"/>
    <w:rsid w:val="00831ED3"/>
    <w:rsid w:val="00832148"/>
    <w:rsid w:val="00832514"/>
    <w:rsid w:val="008328E0"/>
    <w:rsid w:val="00833059"/>
    <w:rsid w:val="00833BA1"/>
    <w:rsid w:val="00833C93"/>
    <w:rsid w:val="00834924"/>
    <w:rsid w:val="00836F09"/>
    <w:rsid w:val="008370DA"/>
    <w:rsid w:val="00840D76"/>
    <w:rsid w:val="00841157"/>
    <w:rsid w:val="00841A11"/>
    <w:rsid w:val="00841E3D"/>
    <w:rsid w:val="00842166"/>
    <w:rsid w:val="00842456"/>
    <w:rsid w:val="0084322B"/>
    <w:rsid w:val="00843548"/>
    <w:rsid w:val="008435E4"/>
    <w:rsid w:val="00843ADF"/>
    <w:rsid w:val="0084409A"/>
    <w:rsid w:val="00844606"/>
    <w:rsid w:val="00844D40"/>
    <w:rsid w:val="00844F3E"/>
    <w:rsid w:val="0084523F"/>
    <w:rsid w:val="00845A2A"/>
    <w:rsid w:val="00845F36"/>
    <w:rsid w:val="008475D9"/>
    <w:rsid w:val="008505DE"/>
    <w:rsid w:val="0085074F"/>
    <w:rsid w:val="00851185"/>
    <w:rsid w:val="008511A8"/>
    <w:rsid w:val="00851F1C"/>
    <w:rsid w:val="00851FD6"/>
    <w:rsid w:val="008531F9"/>
    <w:rsid w:val="00853492"/>
    <w:rsid w:val="0085498B"/>
    <w:rsid w:val="00854C5A"/>
    <w:rsid w:val="00854E55"/>
    <w:rsid w:val="00854EFE"/>
    <w:rsid w:val="0085542F"/>
    <w:rsid w:val="008563D8"/>
    <w:rsid w:val="00856F4F"/>
    <w:rsid w:val="00857421"/>
    <w:rsid w:val="00857E79"/>
    <w:rsid w:val="00860580"/>
    <w:rsid w:val="00861A95"/>
    <w:rsid w:val="00861D1A"/>
    <w:rsid w:val="00861DC4"/>
    <w:rsid w:val="00861E49"/>
    <w:rsid w:val="00861F1D"/>
    <w:rsid w:val="00861FB7"/>
    <w:rsid w:val="00862600"/>
    <w:rsid w:val="008640D6"/>
    <w:rsid w:val="00864499"/>
    <w:rsid w:val="00864896"/>
    <w:rsid w:val="008653B6"/>
    <w:rsid w:val="008654E9"/>
    <w:rsid w:val="0086647E"/>
    <w:rsid w:val="0087028F"/>
    <w:rsid w:val="00870CEB"/>
    <w:rsid w:val="00871561"/>
    <w:rsid w:val="008721A9"/>
    <w:rsid w:val="0087319D"/>
    <w:rsid w:val="0087360D"/>
    <w:rsid w:val="008738BB"/>
    <w:rsid w:val="00873F3E"/>
    <w:rsid w:val="00874227"/>
    <w:rsid w:val="008746E9"/>
    <w:rsid w:val="00876380"/>
    <w:rsid w:val="008764C7"/>
    <w:rsid w:val="008765BE"/>
    <w:rsid w:val="00876E3B"/>
    <w:rsid w:val="00876EA3"/>
    <w:rsid w:val="00876F4C"/>
    <w:rsid w:val="0087726C"/>
    <w:rsid w:val="008772CB"/>
    <w:rsid w:val="008775B9"/>
    <w:rsid w:val="0087786C"/>
    <w:rsid w:val="00880246"/>
    <w:rsid w:val="00880ECC"/>
    <w:rsid w:val="00881459"/>
    <w:rsid w:val="00881E0B"/>
    <w:rsid w:val="0088253F"/>
    <w:rsid w:val="008826EF"/>
    <w:rsid w:val="00882D6C"/>
    <w:rsid w:val="00883455"/>
    <w:rsid w:val="00883556"/>
    <w:rsid w:val="008837B5"/>
    <w:rsid w:val="00883967"/>
    <w:rsid w:val="00883981"/>
    <w:rsid w:val="00883C3A"/>
    <w:rsid w:val="0088427E"/>
    <w:rsid w:val="00884AA5"/>
    <w:rsid w:val="00884BEC"/>
    <w:rsid w:val="00884ED5"/>
    <w:rsid w:val="00885DFE"/>
    <w:rsid w:val="00886AB7"/>
    <w:rsid w:val="0088794E"/>
    <w:rsid w:val="00887EEC"/>
    <w:rsid w:val="008902B9"/>
    <w:rsid w:val="008916BB"/>
    <w:rsid w:val="00891EDF"/>
    <w:rsid w:val="00892B78"/>
    <w:rsid w:val="00893F59"/>
    <w:rsid w:val="008946C0"/>
    <w:rsid w:val="00894B87"/>
    <w:rsid w:val="00894BEE"/>
    <w:rsid w:val="00895A89"/>
    <w:rsid w:val="00895D26"/>
    <w:rsid w:val="00895F21"/>
    <w:rsid w:val="0089617A"/>
    <w:rsid w:val="00897CAC"/>
    <w:rsid w:val="008A094B"/>
    <w:rsid w:val="008A0950"/>
    <w:rsid w:val="008A0B49"/>
    <w:rsid w:val="008A0D47"/>
    <w:rsid w:val="008A1063"/>
    <w:rsid w:val="008A1117"/>
    <w:rsid w:val="008A2A50"/>
    <w:rsid w:val="008A318F"/>
    <w:rsid w:val="008A3422"/>
    <w:rsid w:val="008A3C3C"/>
    <w:rsid w:val="008A426B"/>
    <w:rsid w:val="008A44C2"/>
    <w:rsid w:val="008A5122"/>
    <w:rsid w:val="008A5BEE"/>
    <w:rsid w:val="008A64F4"/>
    <w:rsid w:val="008A68A5"/>
    <w:rsid w:val="008A7415"/>
    <w:rsid w:val="008B0373"/>
    <w:rsid w:val="008B0505"/>
    <w:rsid w:val="008B1F95"/>
    <w:rsid w:val="008B35C6"/>
    <w:rsid w:val="008B3F9D"/>
    <w:rsid w:val="008B42DA"/>
    <w:rsid w:val="008B4571"/>
    <w:rsid w:val="008B4A4A"/>
    <w:rsid w:val="008B4E25"/>
    <w:rsid w:val="008B67DB"/>
    <w:rsid w:val="008B68FC"/>
    <w:rsid w:val="008B6BBC"/>
    <w:rsid w:val="008B6C55"/>
    <w:rsid w:val="008B7F8A"/>
    <w:rsid w:val="008C1455"/>
    <w:rsid w:val="008C2123"/>
    <w:rsid w:val="008C30CC"/>
    <w:rsid w:val="008C3C8F"/>
    <w:rsid w:val="008C48FA"/>
    <w:rsid w:val="008C588C"/>
    <w:rsid w:val="008C6370"/>
    <w:rsid w:val="008C6484"/>
    <w:rsid w:val="008C6D63"/>
    <w:rsid w:val="008C7463"/>
    <w:rsid w:val="008D0891"/>
    <w:rsid w:val="008D0A27"/>
    <w:rsid w:val="008D1110"/>
    <w:rsid w:val="008D1173"/>
    <w:rsid w:val="008D1901"/>
    <w:rsid w:val="008D1BD5"/>
    <w:rsid w:val="008D25D8"/>
    <w:rsid w:val="008D26D3"/>
    <w:rsid w:val="008D2A0C"/>
    <w:rsid w:val="008D459A"/>
    <w:rsid w:val="008D4E01"/>
    <w:rsid w:val="008D5982"/>
    <w:rsid w:val="008D5C25"/>
    <w:rsid w:val="008D5E83"/>
    <w:rsid w:val="008D5F9A"/>
    <w:rsid w:val="008D615A"/>
    <w:rsid w:val="008D66B4"/>
    <w:rsid w:val="008D68AB"/>
    <w:rsid w:val="008D698F"/>
    <w:rsid w:val="008D6FC3"/>
    <w:rsid w:val="008D7BFB"/>
    <w:rsid w:val="008D7F7A"/>
    <w:rsid w:val="008E060E"/>
    <w:rsid w:val="008E0ADB"/>
    <w:rsid w:val="008E0C1C"/>
    <w:rsid w:val="008E1829"/>
    <w:rsid w:val="008E2DE8"/>
    <w:rsid w:val="008E3C5C"/>
    <w:rsid w:val="008E4329"/>
    <w:rsid w:val="008E4AEE"/>
    <w:rsid w:val="008E4F71"/>
    <w:rsid w:val="008E540A"/>
    <w:rsid w:val="008E5581"/>
    <w:rsid w:val="008E5B50"/>
    <w:rsid w:val="008F045A"/>
    <w:rsid w:val="008F0B37"/>
    <w:rsid w:val="008F0E8E"/>
    <w:rsid w:val="008F1647"/>
    <w:rsid w:val="008F1A44"/>
    <w:rsid w:val="008F2BA5"/>
    <w:rsid w:val="008F2C4B"/>
    <w:rsid w:val="008F2CB6"/>
    <w:rsid w:val="008F2E6A"/>
    <w:rsid w:val="008F2EEF"/>
    <w:rsid w:val="008F3292"/>
    <w:rsid w:val="008F3A4D"/>
    <w:rsid w:val="008F474E"/>
    <w:rsid w:val="008F4B7B"/>
    <w:rsid w:val="008F522B"/>
    <w:rsid w:val="008F5843"/>
    <w:rsid w:val="008F59AF"/>
    <w:rsid w:val="008F6E1C"/>
    <w:rsid w:val="008F6FCB"/>
    <w:rsid w:val="008F73B3"/>
    <w:rsid w:val="008F79AE"/>
    <w:rsid w:val="008F7AB9"/>
    <w:rsid w:val="008F7ECC"/>
    <w:rsid w:val="008F7EFD"/>
    <w:rsid w:val="00901217"/>
    <w:rsid w:val="009013FD"/>
    <w:rsid w:val="00901796"/>
    <w:rsid w:val="00901E3E"/>
    <w:rsid w:val="00901F33"/>
    <w:rsid w:val="00902C27"/>
    <w:rsid w:val="00902FDA"/>
    <w:rsid w:val="00903100"/>
    <w:rsid w:val="009036C0"/>
    <w:rsid w:val="009038B3"/>
    <w:rsid w:val="00903A62"/>
    <w:rsid w:val="0090427F"/>
    <w:rsid w:val="00904BF6"/>
    <w:rsid w:val="0090537E"/>
    <w:rsid w:val="00905554"/>
    <w:rsid w:val="009058BA"/>
    <w:rsid w:val="00906284"/>
    <w:rsid w:val="00907040"/>
    <w:rsid w:val="009071E0"/>
    <w:rsid w:val="00907CB0"/>
    <w:rsid w:val="0091082A"/>
    <w:rsid w:val="00910CC5"/>
    <w:rsid w:val="00911047"/>
    <w:rsid w:val="0091127E"/>
    <w:rsid w:val="00911696"/>
    <w:rsid w:val="009119E7"/>
    <w:rsid w:val="00912A51"/>
    <w:rsid w:val="00912B28"/>
    <w:rsid w:val="00912B31"/>
    <w:rsid w:val="00913183"/>
    <w:rsid w:val="009132F9"/>
    <w:rsid w:val="00913557"/>
    <w:rsid w:val="00913B27"/>
    <w:rsid w:val="00913D30"/>
    <w:rsid w:val="00913FE8"/>
    <w:rsid w:val="00914224"/>
    <w:rsid w:val="00915E0F"/>
    <w:rsid w:val="00916E9B"/>
    <w:rsid w:val="0091710B"/>
    <w:rsid w:val="0092003C"/>
    <w:rsid w:val="009200DB"/>
    <w:rsid w:val="00920322"/>
    <w:rsid w:val="00921855"/>
    <w:rsid w:val="00921F8E"/>
    <w:rsid w:val="0092321C"/>
    <w:rsid w:val="0092351D"/>
    <w:rsid w:val="00923810"/>
    <w:rsid w:val="009245C7"/>
    <w:rsid w:val="009254D3"/>
    <w:rsid w:val="00925E11"/>
    <w:rsid w:val="009268CE"/>
    <w:rsid w:val="00926C28"/>
    <w:rsid w:val="00926CFA"/>
    <w:rsid w:val="00927347"/>
    <w:rsid w:val="00927AC9"/>
    <w:rsid w:val="0093042F"/>
    <w:rsid w:val="009305B2"/>
    <w:rsid w:val="00930AD3"/>
    <w:rsid w:val="009310E6"/>
    <w:rsid w:val="0093227A"/>
    <w:rsid w:val="0093250B"/>
    <w:rsid w:val="00932D28"/>
    <w:rsid w:val="00933F2A"/>
    <w:rsid w:val="00934751"/>
    <w:rsid w:val="00934ECC"/>
    <w:rsid w:val="00935018"/>
    <w:rsid w:val="009359FA"/>
    <w:rsid w:val="00936049"/>
    <w:rsid w:val="009361D3"/>
    <w:rsid w:val="00936B2B"/>
    <w:rsid w:val="0093716A"/>
    <w:rsid w:val="00937A3A"/>
    <w:rsid w:val="00937C1F"/>
    <w:rsid w:val="00940125"/>
    <w:rsid w:val="0094013E"/>
    <w:rsid w:val="00940150"/>
    <w:rsid w:val="00940629"/>
    <w:rsid w:val="00942F6B"/>
    <w:rsid w:val="0094304E"/>
    <w:rsid w:val="00943677"/>
    <w:rsid w:val="00943DB6"/>
    <w:rsid w:val="00943E01"/>
    <w:rsid w:val="00944919"/>
    <w:rsid w:val="00945325"/>
    <w:rsid w:val="009464C6"/>
    <w:rsid w:val="009467EC"/>
    <w:rsid w:val="0094706D"/>
    <w:rsid w:val="00947411"/>
    <w:rsid w:val="00947752"/>
    <w:rsid w:val="00947985"/>
    <w:rsid w:val="0095012A"/>
    <w:rsid w:val="00950173"/>
    <w:rsid w:val="0095093C"/>
    <w:rsid w:val="00951125"/>
    <w:rsid w:val="0095122F"/>
    <w:rsid w:val="00951658"/>
    <w:rsid w:val="00951723"/>
    <w:rsid w:val="00951990"/>
    <w:rsid w:val="00951EB8"/>
    <w:rsid w:val="0095396A"/>
    <w:rsid w:val="0095415D"/>
    <w:rsid w:val="0095427A"/>
    <w:rsid w:val="009544FC"/>
    <w:rsid w:val="00954DA9"/>
    <w:rsid w:val="00955BFD"/>
    <w:rsid w:val="00955C5D"/>
    <w:rsid w:val="0095624F"/>
    <w:rsid w:val="00956AE4"/>
    <w:rsid w:val="00956E48"/>
    <w:rsid w:val="00957218"/>
    <w:rsid w:val="009574CF"/>
    <w:rsid w:val="009576D0"/>
    <w:rsid w:val="0095798C"/>
    <w:rsid w:val="00960184"/>
    <w:rsid w:val="00960C31"/>
    <w:rsid w:val="009619E2"/>
    <w:rsid w:val="00962A0A"/>
    <w:rsid w:val="00963260"/>
    <w:rsid w:val="00963D97"/>
    <w:rsid w:val="00964AD3"/>
    <w:rsid w:val="0096502B"/>
    <w:rsid w:val="00965284"/>
    <w:rsid w:val="009656B1"/>
    <w:rsid w:val="009661E4"/>
    <w:rsid w:val="009662C4"/>
    <w:rsid w:val="00966469"/>
    <w:rsid w:val="00966BF8"/>
    <w:rsid w:val="00967294"/>
    <w:rsid w:val="009677AF"/>
    <w:rsid w:val="00967FE5"/>
    <w:rsid w:val="0097061D"/>
    <w:rsid w:val="00971770"/>
    <w:rsid w:val="0097262E"/>
    <w:rsid w:val="00972DB3"/>
    <w:rsid w:val="0097353C"/>
    <w:rsid w:val="0097590F"/>
    <w:rsid w:val="009776F9"/>
    <w:rsid w:val="0098159F"/>
    <w:rsid w:val="00981A01"/>
    <w:rsid w:val="009822A1"/>
    <w:rsid w:val="00982BB0"/>
    <w:rsid w:val="0098391F"/>
    <w:rsid w:val="0098438E"/>
    <w:rsid w:val="0098473B"/>
    <w:rsid w:val="00984A51"/>
    <w:rsid w:val="00985266"/>
    <w:rsid w:val="009858F0"/>
    <w:rsid w:val="00985F46"/>
    <w:rsid w:val="0098699E"/>
    <w:rsid w:val="00986D8D"/>
    <w:rsid w:val="00987D46"/>
    <w:rsid w:val="009905CE"/>
    <w:rsid w:val="0099164E"/>
    <w:rsid w:val="009935D5"/>
    <w:rsid w:val="009937B4"/>
    <w:rsid w:val="00993B30"/>
    <w:rsid w:val="00995164"/>
    <w:rsid w:val="00995ABF"/>
    <w:rsid w:val="00996427"/>
    <w:rsid w:val="00996645"/>
    <w:rsid w:val="0099673D"/>
    <w:rsid w:val="00997218"/>
    <w:rsid w:val="0099749D"/>
    <w:rsid w:val="0099749F"/>
    <w:rsid w:val="00997A0C"/>
    <w:rsid w:val="00997E79"/>
    <w:rsid w:val="00997EA0"/>
    <w:rsid w:val="009A12F2"/>
    <w:rsid w:val="009A1BEB"/>
    <w:rsid w:val="009A1BFE"/>
    <w:rsid w:val="009A1C2B"/>
    <w:rsid w:val="009A1FCE"/>
    <w:rsid w:val="009A29EB"/>
    <w:rsid w:val="009A2BD0"/>
    <w:rsid w:val="009A35E5"/>
    <w:rsid w:val="009A4288"/>
    <w:rsid w:val="009A480F"/>
    <w:rsid w:val="009A4A0B"/>
    <w:rsid w:val="009A522D"/>
    <w:rsid w:val="009A58B6"/>
    <w:rsid w:val="009A5AC7"/>
    <w:rsid w:val="009A5BCE"/>
    <w:rsid w:val="009A5FEB"/>
    <w:rsid w:val="009A6751"/>
    <w:rsid w:val="009A6C1A"/>
    <w:rsid w:val="009A6D2F"/>
    <w:rsid w:val="009A73EB"/>
    <w:rsid w:val="009A76CD"/>
    <w:rsid w:val="009A7A1E"/>
    <w:rsid w:val="009A7B23"/>
    <w:rsid w:val="009A7DE3"/>
    <w:rsid w:val="009B0DC6"/>
    <w:rsid w:val="009B1084"/>
    <w:rsid w:val="009B2AB6"/>
    <w:rsid w:val="009B2B79"/>
    <w:rsid w:val="009B2F8C"/>
    <w:rsid w:val="009B3072"/>
    <w:rsid w:val="009B461B"/>
    <w:rsid w:val="009B46D4"/>
    <w:rsid w:val="009B47A7"/>
    <w:rsid w:val="009B5785"/>
    <w:rsid w:val="009B5C28"/>
    <w:rsid w:val="009B61B5"/>
    <w:rsid w:val="009B6205"/>
    <w:rsid w:val="009B6ECC"/>
    <w:rsid w:val="009B70CF"/>
    <w:rsid w:val="009C0107"/>
    <w:rsid w:val="009C055B"/>
    <w:rsid w:val="009C19DB"/>
    <w:rsid w:val="009C1BC4"/>
    <w:rsid w:val="009C2D38"/>
    <w:rsid w:val="009C3260"/>
    <w:rsid w:val="009C5DF6"/>
    <w:rsid w:val="009C662F"/>
    <w:rsid w:val="009C718D"/>
    <w:rsid w:val="009C72CE"/>
    <w:rsid w:val="009D0ACB"/>
    <w:rsid w:val="009D0EFF"/>
    <w:rsid w:val="009D1A15"/>
    <w:rsid w:val="009D2150"/>
    <w:rsid w:val="009D240A"/>
    <w:rsid w:val="009D2483"/>
    <w:rsid w:val="009D252F"/>
    <w:rsid w:val="009D283B"/>
    <w:rsid w:val="009D31BF"/>
    <w:rsid w:val="009D31EC"/>
    <w:rsid w:val="009D3591"/>
    <w:rsid w:val="009D38E6"/>
    <w:rsid w:val="009D4132"/>
    <w:rsid w:val="009D4BEE"/>
    <w:rsid w:val="009D5ABF"/>
    <w:rsid w:val="009D5DDC"/>
    <w:rsid w:val="009D5E3D"/>
    <w:rsid w:val="009D5EBE"/>
    <w:rsid w:val="009D7F70"/>
    <w:rsid w:val="009E016F"/>
    <w:rsid w:val="009E0DF3"/>
    <w:rsid w:val="009E1057"/>
    <w:rsid w:val="009E1168"/>
    <w:rsid w:val="009E14CA"/>
    <w:rsid w:val="009E1F57"/>
    <w:rsid w:val="009E31C7"/>
    <w:rsid w:val="009E4560"/>
    <w:rsid w:val="009E4616"/>
    <w:rsid w:val="009E467A"/>
    <w:rsid w:val="009E4BA9"/>
    <w:rsid w:val="009E4BB4"/>
    <w:rsid w:val="009E5956"/>
    <w:rsid w:val="009E59D3"/>
    <w:rsid w:val="009E5ECC"/>
    <w:rsid w:val="009E5F2B"/>
    <w:rsid w:val="009E6081"/>
    <w:rsid w:val="009E61B9"/>
    <w:rsid w:val="009E655D"/>
    <w:rsid w:val="009E6A9F"/>
    <w:rsid w:val="009E75E8"/>
    <w:rsid w:val="009E7994"/>
    <w:rsid w:val="009E7E53"/>
    <w:rsid w:val="009F00C3"/>
    <w:rsid w:val="009F0C1D"/>
    <w:rsid w:val="009F0DC6"/>
    <w:rsid w:val="009F154C"/>
    <w:rsid w:val="009F278E"/>
    <w:rsid w:val="009F3014"/>
    <w:rsid w:val="009F3C66"/>
    <w:rsid w:val="009F46D9"/>
    <w:rsid w:val="009F498E"/>
    <w:rsid w:val="009F55AA"/>
    <w:rsid w:val="009F5D03"/>
    <w:rsid w:val="009F695D"/>
    <w:rsid w:val="009F75D1"/>
    <w:rsid w:val="00A00234"/>
    <w:rsid w:val="00A00F65"/>
    <w:rsid w:val="00A010B5"/>
    <w:rsid w:val="00A017B5"/>
    <w:rsid w:val="00A01EB4"/>
    <w:rsid w:val="00A01ED4"/>
    <w:rsid w:val="00A039A7"/>
    <w:rsid w:val="00A04A54"/>
    <w:rsid w:val="00A05447"/>
    <w:rsid w:val="00A05564"/>
    <w:rsid w:val="00A05AF4"/>
    <w:rsid w:val="00A06A35"/>
    <w:rsid w:val="00A06BD4"/>
    <w:rsid w:val="00A06EAD"/>
    <w:rsid w:val="00A07949"/>
    <w:rsid w:val="00A07ADC"/>
    <w:rsid w:val="00A1013B"/>
    <w:rsid w:val="00A102D7"/>
    <w:rsid w:val="00A11FFF"/>
    <w:rsid w:val="00A136A8"/>
    <w:rsid w:val="00A13755"/>
    <w:rsid w:val="00A1392C"/>
    <w:rsid w:val="00A1473F"/>
    <w:rsid w:val="00A15205"/>
    <w:rsid w:val="00A15980"/>
    <w:rsid w:val="00A15D5D"/>
    <w:rsid w:val="00A162DF"/>
    <w:rsid w:val="00A1679E"/>
    <w:rsid w:val="00A16ECC"/>
    <w:rsid w:val="00A178EA"/>
    <w:rsid w:val="00A20069"/>
    <w:rsid w:val="00A205D8"/>
    <w:rsid w:val="00A20805"/>
    <w:rsid w:val="00A20BDA"/>
    <w:rsid w:val="00A211E9"/>
    <w:rsid w:val="00A2236D"/>
    <w:rsid w:val="00A22E1B"/>
    <w:rsid w:val="00A22E8B"/>
    <w:rsid w:val="00A23FA3"/>
    <w:rsid w:val="00A23FF1"/>
    <w:rsid w:val="00A24119"/>
    <w:rsid w:val="00A24408"/>
    <w:rsid w:val="00A2443C"/>
    <w:rsid w:val="00A24968"/>
    <w:rsid w:val="00A254B7"/>
    <w:rsid w:val="00A254DC"/>
    <w:rsid w:val="00A25F9A"/>
    <w:rsid w:val="00A261A5"/>
    <w:rsid w:val="00A2623E"/>
    <w:rsid w:val="00A26989"/>
    <w:rsid w:val="00A271C5"/>
    <w:rsid w:val="00A27B29"/>
    <w:rsid w:val="00A27B5F"/>
    <w:rsid w:val="00A30452"/>
    <w:rsid w:val="00A306C6"/>
    <w:rsid w:val="00A3083E"/>
    <w:rsid w:val="00A30F72"/>
    <w:rsid w:val="00A31ABC"/>
    <w:rsid w:val="00A31B1A"/>
    <w:rsid w:val="00A32977"/>
    <w:rsid w:val="00A32A63"/>
    <w:rsid w:val="00A33D8F"/>
    <w:rsid w:val="00A34352"/>
    <w:rsid w:val="00A36680"/>
    <w:rsid w:val="00A367A1"/>
    <w:rsid w:val="00A36F76"/>
    <w:rsid w:val="00A3743B"/>
    <w:rsid w:val="00A37A62"/>
    <w:rsid w:val="00A404B3"/>
    <w:rsid w:val="00A405EF"/>
    <w:rsid w:val="00A410FA"/>
    <w:rsid w:val="00A416C7"/>
    <w:rsid w:val="00A422A4"/>
    <w:rsid w:val="00A43098"/>
    <w:rsid w:val="00A43B10"/>
    <w:rsid w:val="00A43C0F"/>
    <w:rsid w:val="00A43C96"/>
    <w:rsid w:val="00A43EF7"/>
    <w:rsid w:val="00A44071"/>
    <w:rsid w:val="00A440CB"/>
    <w:rsid w:val="00A44117"/>
    <w:rsid w:val="00A44A1B"/>
    <w:rsid w:val="00A44ED8"/>
    <w:rsid w:val="00A44F4D"/>
    <w:rsid w:val="00A468A4"/>
    <w:rsid w:val="00A46B15"/>
    <w:rsid w:val="00A46B35"/>
    <w:rsid w:val="00A472AB"/>
    <w:rsid w:val="00A47E02"/>
    <w:rsid w:val="00A5055A"/>
    <w:rsid w:val="00A51821"/>
    <w:rsid w:val="00A52B23"/>
    <w:rsid w:val="00A5385A"/>
    <w:rsid w:val="00A548E5"/>
    <w:rsid w:val="00A563BF"/>
    <w:rsid w:val="00A5645A"/>
    <w:rsid w:val="00A56C5C"/>
    <w:rsid w:val="00A5726E"/>
    <w:rsid w:val="00A57D5D"/>
    <w:rsid w:val="00A60894"/>
    <w:rsid w:val="00A60A92"/>
    <w:rsid w:val="00A60B70"/>
    <w:rsid w:val="00A60F69"/>
    <w:rsid w:val="00A61007"/>
    <w:rsid w:val="00A61028"/>
    <w:rsid w:val="00A6291D"/>
    <w:rsid w:val="00A63286"/>
    <w:rsid w:val="00A654AC"/>
    <w:rsid w:val="00A65610"/>
    <w:rsid w:val="00A65B8A"/>
    <w:rsid w:val="00A65C16"/>
    <w:rsid w:val="00A662FE"/>
    <w:rsid w:val="00A670E5"/>
    <w:rsid w:val="00A677B2"/>
    <w:rsid w:val="00A7072D"/>
    <w:rsid w:val="00A70A4F"/>
    <w:rsid w:val="00A7236D"/>
    <w:rsid w:val="00A7238B"/>
    <w:rsid w:val="00A7280C"/>
    <w:rsid w:val="00A72BE6"/>
    <w:rsid w:val="00A73562"/>
    <w:rsid w:val="00A74233"/>
    <w:rsid w:val="00A74BEF"/>
    <w:rsid w:val="00A74F1C"/>
    <w:rsid w:val="00A76031"/>
    <w:rsid w:val="00A76102"/>
    <w:rsid w:val="00A768C4"/>
    <w:rsid w:val="00A76913"/>
    <w:rsid w:val="00A76BB6"/>
    <w:rsid w:val="00A76E3A"/>
    <w:rsid w:val="00A80F07"/>
    <w:rsid w:val="00A81578"/>
    <w:rsid w:val="00A81926"/>
    <w:rsid w:val="00A81C99"/>
    <w:rsid w:val="00A8293D"/>
    <w:rsid w:val="00A83AA9"/>
    <w:rsid w:val="00A83CF7"/>
    <w:rsid w:val="00A84BB4"/>
    <w:rsid w:val="00A8568A"/>
    <w:rsid w:val="00A858B6"/>
    <w:rsid w:val="00A85B88"/>
    <w:rsid w:val="00A86240"/>
    <w:rsid w:val="00A86AF1"/>
    <w:rsid w:val="00A87764"/>
    <w:rsid w:val="00A90063"/>
    <w:rsid w:val="00A9190A"/>
    <w:rsid w:val="00A92101"/>
    <w:rsid w:val="00A95349"/>
    <w:rsid w:val="00A95EBC"/>
    <w:rsid w:val="00A969AD"/>
    <w:rsid w:val="00A97236"/>
    <w:rsid w:val="00A977D6"/>
    <w:rsid w:val="00A97B13"/>
    <w:rsid w:val="00A97BE9"/>
    <w:rsid w:val="00AA0059"/>
    <w:rsid w:val="00AA0D04"/>
    <w:rsid w:val="00AA0EEA"/>
    <w:rsid w:val="00AA18E9"/>
    <w:rsid w:val="00AA3D14"/>
    <w:rsid w:val="00AA3E41"/>
    <w:rsid w:val="00AA4C6F"/>
    <w:rsid w:val="00AA538D"/>
    <w:rsid w:val="00AA5458"/>
    <w:rsid w:val="00AA5690"/>
    <w:rsid w:val="00AA5CF0"/>
    <w:rsid w:val="00AA770B"/>
    <w:rsid w:val="00AA7DAA"/>
    <w:rsid w:val="00AA7E71"/>
    <w:rsid w:val="00AB01E8"/>
    <w:rsid w:val="00AB061F"/>
    <w:rsid w:val="00AB197F"/>
    <w:rsid w:val="00AB2945"/>
    <w:rsid w:val="00AB3224"/>
    <w:rsid w:val="00AB3A25"/>
    <w:rsid w:val="00AB3ED6"/>
    <w:rsid w:val="00AB3F64"/>
    <w:rsid w:val="00AB4106"/>
    <w:rsid w:val="00AB465E"/>
    <w:rsid w:val="00AB5293"/>
    <w:rsid w:val="00AB5877"/>
    <w:rsid w:val="00AB602E"/>
    <w:rsid w:val="00AB6706"/>
    <w:rsid w:val="00AB6BC6"/>
    <w:rsid w:val="00AB71B0"/>
    <w:rsid w:val="00AB75FF"/>
    <w:rsid w:val="00AB7BFA"/>
    <w:rsid w:val="00AC0466"/>
    <w:rsid w:val="00AC110F"/>
    <w:rsid w:val="00AC188E"/>
    <w:rsid w:val="00AC2037"/>
    <w:rsid w:val="00AC22AF"/>
    <w:rsid w:val="00AC23DB"/>
    <w:rsid w:val="00AC2486"/>
    <w:rsid w:val="00AC254A"/>
    <w:rsid w:val="00AC3207"/>
    <w:rsid w:val="00AC33AC"/>
    <w:rsid w:val="00AC3A1A"/>
    <w:rsid w:val="00AC4AF1"/>
    <w:rsid w:val="00AC5010"/>
    <w:rsid w:val="00AC5056"/>
    <w:rsid w:val="00AC54B6"/>
    <w:rsid w:val="00AC6D38"/>
    <w:rsid w:val="00AD03BC"/>
    <w:rsid w:val="00AD198A"/>
    <w:rsid w:val="00AD1C18"/>
    <w:rsid w:val="00AD1DAB"/>
    <w:rsid w:val="00AD247E"/>
    <w:rsid w:val="00AD2A05"/>
    <w:rsid w:val="00AD2B67"/>
    <w:rsid w:val="00AD2CC3"/>
    <w:rsid w:val="00AD35CD"/>
    <w:rsid w:val="00AD451B"/>
    <w:rsid w:val="00AD49FD"/>
    <w:rsid w:val="00AD4DD9"/>
    <w:rsid w:val="00AD5825"/>
    <w:rsid w:val="00AD6276"/>
    <w:rsid w:val="00AD6506"/>
    <w:rsid w:val="00AD680C"/>
    <w:rsid w:val="00AD6A5B"/>
    <w:rsid w:val="00AD6F01"/>
    <w:rsid w:val="00AD74E0"/>
    <w:rsid w:val="00AD7600"/>
    <w:rsid w:val="00AE1357"/>
    <w:rsid w:val="00AE20DD"/>
    <w:rsid w:val="00AE2794"/>
    <w:rsid w:val="00AE299B"/>
    <w:rsid w:val="00AE3569"/>
    <w:rsid w:val="00AE3698"/>
    <w:rsid w:val="00AE47D7"/>
    <w:rsid w:val="00AE4CAF"/>
    <w:rsid w:val="00AE4E71"/>
    <w:rsid w:val="00AE526C"/>
    <w:rsid w:val="00AE52D3"/>
    <w:rsid w:val="00AE563A"/>
    <w:rsid w:val="00AE5CA2"/>
    <w:rsid w:val="00AE6CAE"/>
    <w:rsid w:val="00AE7E9E"/>
    <w:rsid w:val="00AF0068"/>
    <w:rsid w:val="00AF056F"/>
    <w:rsid w:val="00AF06CD"/>
    <w:rsid w:val="00AF0D57"/>
    <w:rsid w:val="00AF0E7F"/>
    <w:rsid w:val="00AF0EC3"/>
    <w:rsid w:val="00AF1159"/>
    <w:rsid w:val="00AF1184"/>
    <w:rsid w:val="00AF13E2"/>
    <w:rsid w:val="00AF2718"/>
    <w:rsid w:val="00AF27CD"/>
    <w:rsid w:val="00AF287E"/>
    <w:rsid w:val="00AF31D5"/>
    <w:rsid w:val="00AF4678"/>
    <w:rsid w:val="00AF46EF"/>
    <w:rsid w:val="00AF4738"/>
    <w:rsid w:val="00AF55C5"/>
    <w:rsid w:val="00AF6249"/>
    <w:rsid w:val="00AF7D13"/>
    <w:rsid w:val="00B00713"/>
    <w:rsid w:val="00B00E4D"/>
    <w:rsid w:val="00B014AF"/>
    <w:rsid w:val="00B0163B"/>
    <w:rsid w:val="00B0310E"/>
    <w:rsid w:val="00B03BA3"/>
    <w:rsid w:val="00B03FDB"/>
    <w:rsid w:val="00B063C8"/>
    <w:rsid w:val="00B06A96"/>
    <w:rsid w:val="00B07183"/>
    <w:rsid w:val="00B07D45"/>
    <w:rsid w:val="00B07DFB"/>
    <w:rsid w:val="00B1040B"/>
    <w:rsid w:val="00B104A7"/>
    <w:rsid w:val="00B11D61"/>
    <w:rsid w:val="00B125DA"/>
    <w:rsid w:val="00B1265E"/>
    <w:rsid w:val="00B12E87"/>
    <w:rsid w:val="00B15209"/>
    <w:rsid w:val="00B153E1"/>
    <w:rsid w:val="00B15C70"/>
    <w:rsid w:val="00B162A0"/>
    <w:rsid w:val="00B163D6"/>
    <w:rsid w:val="00B166FB"/>
    <w:rsid w:val="00B16A58"/>
    <w:rsid w:val="00B16F85"/>
    <w:rsid w:val="00B16FB1"/>
    <w:rsid w:val="00B17D42"/>
    <w:rsid w:val="00B20EB1"/>
    <w:rsid w:val="00B21119"/>
    <w:rsid w:val="00B215F4"/>
    <w:rsid w:val="00B22169"/>
    <w:rsid w:val="00B22F34"/>
    <w:rsid w:val="00B2332E"/>
    <w:rsid w:val="00B233C8"/>
    <w:rsid w:val="00B2411F"/>
    <w:rsid w:val="00B2488E"/>
    <w:rsid w:val="00B24F9D"/>
    <w:rsid w:val="00B265FD"/>
    <w:rsid w:val="00B266A8"/>
    <w:rsid w:val="00B274CC"/>
    <w:rsid w:val="00B30A6C"/>
    <w:rsid w:val="00B30C8A"/>
    <w:rsid w:val="00B31C3D"/>
    <w:rsid w:val="00B321EB"/>
    <w:rsid w:val="00B3243E"/>
    <w:rsid w:val="00B3245D"/>
    <w:rsid w:val="00B3264F"/>
    <w:rsid w:val="00B33666"/>
    <w:rsid w:val="00B33BF3"/>
    <w:rsid w:val="00B33EEB"/>
    <w:rsid w:val="00B34D3D"/>
    <w:rsid w:val="00B3570F"/>
    <w:rsid w:val="00B36378"/>
    <w:rsid w:val="00B36A9E"/>
    <w:rsid w:val="00B377B3"/>
    <w:rsid w:val="00B401D7"/>
    <w:rsid w:val="00B42E07"/>
    <w:rsid w:val="00B43208"/>
    <w:rsid w:val="00B43347"/>
    <w:rsid w:val="00B43CAC"/>
    <w:rsid w:val="00B43D8A"/>
    <w:rsid w:val="00B44770"/>
    <w:rsid w:val="00B44C45"/>
    <w:rsid w:val="00B44DC7"/>
    <w:rsid w:val="00B44E1D"/>
    <w:rsid w:val="00B4510F"/>
    <w:rsid w:val="00B45B94"/>
    <w:rsid w:val="00B45E8F"/>
    <w:rsid w:val="00B46344"/>
    <w:rsid w:val="00B46594"/>
    <w:rsid w:val="00B470F4"/>
    <w:rsid w:val="00B47BDC"/>
    <w:rsid w:val="00B47F0E"/>
    <w:rsid w:val="00B500D6"/>
    <w:rsid w:val="00B507BE"/>
    <w:rsid w:val="00B51A50"/>
    <w:rsid w:val="00B51DE5"/>
    <w:rsid w:val="00B52797"/>
    <w:rsid w:val="00B52FB9"/>
    <w:rsid w:val="00B531E0"/>
    <w:rsid w:val="00B53DFC"/>
    <w:rsid w:val="00B541D4"/>
    <w:rsid w:val="00B5433A"/>
    <w:rsid w:val="00B54608"/>
    <w:rsid w:val="00B54894"/>
    <w:rsid w:val="00B54ED3"/>
    <w:rsid w:val="00B55687"/>
    <w:rsid w:val="00B55972"/>
    <w:rsid w:val="00B560B9"/>
    <w:rsid w:val="00B564FD"/>
    <w:rsid w:val="00B56B9B"/>
    <w:rsid w:val="00B56C54"/>
    <w:rsid w:val="00B56D2E"/>
    <w:rsid w:val="00B5773B"/>
    <w:rsid w:val="00B600EB"/>
    <w:rsid w:val="00B6023E"/>
    <w:rsid w:val="00B605CD"/>
    <w:rsid w:val="00B62654"/>
    <w:rsid w:val="00B62F3A"/>
    <w:rsid w:val="00B63152"/>
    <w:rsid w:val="00B64205"/>
    <w:rsid w:val="00B6499A"/>
    <w:rsid w:val="00B65D8F"/>
    <w:rsid w:val="00B666C2"/>
    <w:rsid w:val="00B66835"/>
    <w:rsid w:val="00B66D9B"/>
    <w:rsid w:val="00B67192"/>
    <w:rsid w:val="00B674D9"/>
    <w:rsid w:val="00B676E6"/>
    <w:rsid w:val="00B718DB"/>
    <w:rsid w:val="00B71AE5"/>
    <w:rsid w:val="00B7300E"/>
    <w:rsid w:val="00B741C4"/>
    <w:rsid w:val="00B75492"/>
    <w:rsid w:val="00B7550A"/>
    <w:rsid w:val="00B76735"/>
    <w:rsid w:val="00B7699F"/>
    <w:rsid w:val="00B8072C"/>
    <w:rsid w:val="00B80A19"/>
    <w:rsid w:val="00B8133D"/>
    <w:rsid w:val="00B81964"/>
    <w:rsid w:val="00B81D9F"/>
    <w:rsid w:val="00B81E59"/>
    <w:rsid w:val="00B827C4"/>
    <w:rsid w:val="00B8317A"/>
    <w:rsid w:val="00B836FF"/>
    <w:rsid w:val="00B83C85"/>
    <w:rsid w:val="00B8418E"/>
    <w:rsid w:val="00B84BC2"/>
    <w:rsid w:val="00B85BAE"/>
    <w:rsid w:val="00B85F0A"/>
    <w:rsid w:val="00B86A58"/>
    <w:rsid w:val="00B86EE4"/>
    <w:rsid w:val="00B8785A"/>
    <w:rsid w:val="00B8787F"/>
    <w:rsid w:val="00B91CE4"/>
    <w:rsid w:val="00B92C4C"/>
    <w:rsid w:val="00B93F05"/>
    <w:rsid w:val="00B947F0"/>
    <w:rsid w:val="00B94DC3"/>
    <w:rsid w:val="00B9550B"/>
    <w:rsid w:val="00B95FBF"/>
    <w:rsid w:val="00B96090"/>
    <w:rsid w:val="00B961BA"/>
    <w:rsid w:val="00B9629D"/>
    <w:rsid w:val="00B966BC"/>
    <w:rsid w:val="00B976CF"/>
    <w:rsid w:val="00B97EB5"/>
    <w:rsid w:val="00BA00A2"/>
    <w:rsid w:val="00BA0A8D"/>
    <w:rsid w:val="00BA0C67"/>
    <w:rsid w:val="00BA18CA"/>
    <w:rsid w:val="00BA25A7"/>
    <w:rsid w:val="00BA32A2"/>
    <w:rsid w:val="00BA334A"/>
    <w:rsid w:val="00BA3AB0"/>
    <w:rsid w:val="00BA3B6A"/>
    <w:rsid w:val="00BA3BBA"/>
    <w:rsid w:val="00BA4CA6"/>
    <w:rsid w:val="00BA5918"/>
    <w:rsid w:val="00BA5C8F"/>
    <w:rsid w:val="00BA5D02"/>
    <w:rsid w:val="00BA6A9C"/>
    <w:rsid w:val="00BA6F63"/>
    <w:rsid w:val="00BB04DF"/>
    <w:rsid w:val="00BB1257"/>
    <w:rsid w:val="00BB1619"/>
    <w:rsid w:val="00BB25D8"/>
    <w:rsid w:val="00BB2A6A"/>
    <w:rsid w:val="00BB2DD9"/>
    <w:rsid w:val="00BB2F68"/>
    <w:rsid w:val="00BB335D"/>
    <w:rsid w:val="00BB5470"/>
    <w:rsid w:val="00BB5501"/>
    <w:rsid w:val="00BB679A"/>
    <w:rsid w:val="00BB7310"/>
    <w:rsid w:val="00BB79AA"/>
    <w:rsid w:val="00BB7B4D"/>
    <w:rsid w:val="00BC0C94"/>
    <w:rsid w:val="00BC1879"/>
    <w:rsid w:val="00BC2902"/>
    <w:rsid w:val="00BC355F"/>
    <w:rsid w:val="00BC4579"/>
    <w:rsid w:val="00BC4728"/>
    <w:rsid w:val="00BC48D7"/>
    <w:rsid w:val="00BC5563"/>
    <w:rsid w:val="00BC6740"/>
    <w:rsid w:val="00BC6A9C"/>
    <w:rsid w:val="00BC6BE3"/>
    <w:rsid w:val="00BC7520"/>
    <w:rsid w:val="00BC7A8C"/>
    <w:rsid w:val="00BC7D86"/>
    <w:rsid w:val="00BD02AA"/>
    <w:rsid w:val="00BD039B"/>
    <w:rsid w:val="00BD07DC"/>
    <w:rsid w:val="00BD11DE"/>
    <w:rsid w:val="00BD1B1E"/>
    <w:rsid w:val="00BD20A4"/>
    <w:rsid w:val="00BD2B8D"/>
    <w:rsid w:val="00BD2D95"/>
    <w:rsid w:val="00BD2E70"/>
    <w:rsid w:val="00BD31DB"/>
    <w:rsid w:val="00BD360C"/>
    <w:rsid w:val="00BD680C"/>
    <w:rsid w:val="00BD683A"/>
    <w:rsid w:val="00BD6B4B"/>
    <w:rsid w:val="00BD72FF"/>
    <w:rsid w:val="00BD7305"/>
    <w:rsid w:val="00BD77BE"/>
    <w:rsid w:val="00BD7D19"/>
    <w:rsid w:val="00BD7DB2"/>
    <w:rsid w:val="00BE136D"/>
    <w:rsid w:val="00BE1423"/>
    <w:rsid w:val="00BE1F00"/>
    <w:rsid w:val="00BE24BC"/>
    <w:rsid w:val="00BE2A3C"/>
    <w:rsid w:val="00BE2E03"/>
    <w:rsid w:val="00BE3273"/>
    <w:rsid w:val="00BE33AE"/>
    <w:rsid w:val="00BE33CA"/>
    <w:rsid w:val="00BE3EBD"/>
    <w:rsid w:val="00BE4338"/>
    <w:rsid w:val="00BE459D"/>
    <w:rsid w:val="00BE4CAD"/>
    <w:rsid w:val="00BE4EA2"/>
    <w:rsid w:val="00BE5402"/>
    <w:rsid w:val="00BE54BE"/>
    <w:rsid w:val="00BE5CEA"/>
    <w:rsid w:val="00BE73EE"/>
    <w:rsid w:val="00BE7638"/>
    <w:rsid w:val="00BF2141"/>
    <w:rsid w:val="00BF2F2B"/>
    <w:rsid w:val="00BF3486"/>
    <w:rsid w:val="00BF3A34"/>
    <w:rsid w:val="00BF3CC8"/>
    <w:rsid w:val="00BF410A"/>
    <w:rsid w:val="00BF554B"/>
    <w:rsid w:val="00BF653B"/>
    <w:rsid w:val="00BF7076"/>
    <w:rsid w:val="00BF74C7"/>
    <w:rsid w:val="00C004BE"/>
    <w:rsid w:val="00C0075E"/>
    <w:rsid w:val="00C00B70"/>
    <w:rsid w:val="00C0205F"/>
    <w:rsid w:val="00C03118"/>
    <w:rsid w:val="00C0320D"/>
    <w:rsid w:val="00C038E9"/>
    <w:rsid w:val="00C03DE1"/>
    <w:rsid w:val="00C04AF0"/>
    <w:rsid w:val="00C05671"/>
    <w:rsid w:val="00C06247"/>
    <w:rsid w:val="00C07073"/>
    <w:rsid w:val="00C07B88"/>
    <w:rsid w:val="00C11CE2"/>
    <w:rsid w:val="00C11E61"/>
    <w:rsid w:val="00C12251"/>
    <w:rsid w:val="00C13DEA"/>
    <w:rsid w:val="00C141C9"/>
    <w:rsid w:val="00C14310"/>
    <w:rsid w:val="00C14623"/>
    <w:rsid w:val="00C148EE"/>
    <w:rsid w:val="00C1494A"/>
    <w:rsid w:val="00C14B75"/>
    <w:rsid w:val="00C158B2"/>
    <w:rsid w:val="00C159E2"/>
    <w:rsid w:val="00C15C73"/>
    <w:rsid w:val="00C15E97"/>
    <w:rsid w:val="00C16B57"/>
    <w:rsid w:val="00C16EAF"/>
    <w:rsid w:val="00C1747A"/>
    <w:rsid w:val="00C201F2"/>
    <w:rsid w:val="00C202F0"/>
    <w:rsid w:val="00C20DB1"/>
    <w:rsid w:val="00C2160C"/>
    <w:rsid w:val="00C2177C"/>
    <w:rsid w:val="00C22874"/>
    <w:rsid w:val="00C22B6B"/>
    <w:rsid w:val="00C2307B"/>
    <w:rsid w:val="00C231FF"/>
    <w:rsid w:val="00C243D3"/>
    <w:rsid w:val="00C24A9A"/>
    <w:rsid w:val="00C24B21"/>
    <w:rsid w:val="00C2537D"/>
    <w:rsid w:val="00C264BF"/>
    <w:rsid w:val="00C26BD2"/>
    <w:rsid w:val="00C27369"/>
    <w:rsid w:val="00C30843"/>
    <w:rsid w:val="00C30A1A"/>
    <w:rsid w:val="00C30E51"/>
    <w:rsid w:val="00C31710"/>
    <w:rsid w:val="00C3223B"/>
    <w:rsid w:val="00C3226C"/>
    <w:rsid w:val="00C325EA"/>
    <w:rsid w:val="00C328D2"/>
    <w:rsid w:val="00C32FC1"/>
    <w:rsid w:val="00C3399F"/>
    <w:rsid w:val="00C33E60"/>
    <w:rsid w:val="00C34B4D"/>
    <w:rsid w:val="00C34F7D"/>
    <w:rsid w:val="00C353F5"/>
    <w:rsid w:val="00C35B8B"/>
    <w:rsid w:val="00C36A9C"/>
    <w:rsid w:val="00C3762C"/>
    <w:rsid w:val="00C3780E"/>
    <w:rsid w:val="00C37DDE"/>
    <w:rsid w:val="00C37FA7"/>
    <w:rsid w:val="00C40428"/>
    <w:rsid w:val="00C408DA"/>
    <w:rsid w:val="00C40AED"/>
    <w:rsid w:val="00C411B2"/>
    <w:rsid w:val="00C415B1"/>
    <w:rsid w:val="00C41698"/>
    <w:rsid w:val="00C41B49"/>
    <w:rsid w:val="00C4280D"/>
    <w:rsid w:val="00C42AC7"/>
    <w:rsid w:val="00C42E33"/>
    <w:rsid w:val="00C4325E"/>
    <w:rsid w:val="00C43449"/>
    <w:rsid w:val="00C44CC1"/>
    <w:rsid w:val="00C44E55"/>
    <w:rsid w:val="00C462C7"/>
    <w:rsid w:val="00C46639"/>
    <w:rsid w:val="00C46BB6"/>
    <w:rsid w:val="00C47141"/>
    <w:rsid w:val="00C51D63"/>
    <w:rsid w:val="00C523E9"/>
    <w:rsid w:val="00C523F0"/>
    <w:rsid w:val="00C53E5D"/>
    <w:rsid w:val="00C547ED"/>
    <w:rsid w:val="00C5672B"/>
    <w:rsid w:val="00C57CF8"/>
    <w:rsid w:val="00C60135"/>
    <w:rsid w:val="00C60941"/>
    <w:rsid w:val="00C60B32"/>
    <w:rsid w:val="00C61AF8"/>
    <w:rsid w:val="00C61F91"/>
    <w:rsid w:val="00C6299E"/>
    <w:rsid w:val="00C6314B"/>
    <w:rsid w:val="00C63772"/>
    <w:rsid w:val="00C63B03"/>
    <w:rsid w:val="00C65311"/>
    <w:rsid w:val="00C65B85"/>
    <w:rsid w:val="00C65EB0"/>
    <w:rsid w:val="00C66328"/>
    <w:rsid w:val="00C6787A"/>
    <w:rsid w:val="00C702A8"/>
    <w:rsid w:val="00C709D5"/>
    <w:rsid w:val="00C7106B"/>
    <w:rsid w:val="00C71A56"/>
    <w:rsid w:val="00C71AF9"/>
    <w:rsid w:val="00C72079"/>
    <w:rsid w:val="00C729D4"/>
    <w:rsid w:val="00C748A4"/>
    <w:rsid w:val="00C74AD8"/>
    <w:rsid w:val="00C74E10"/>
    <w:rsid w:val="00C75A17"/>
    <w:rsid w:val="00C7604E"/>
    <w:rsid w:val="00C763AB"/>
    <w:rsid w:val="00C76D75"/>
    <w:rsid w:val="00C771B7"/>
    <w:rsid w:val="00C77D4A"/>
    <w:rsid w:val="00C80989"/>
    <w:rsid w:val="00C809E5"/>
    <w:rsid w:val="00C80A70"/>
    <w:rsid w:val="00C81629"/>
    <w:rsid w:val="00C81E85"/>
    <w:rsid w:val="00C8204F"/>
    <w:rsid w:val="00C824B3"/>
    <w:rsid w:val="00C8352E"/>
    <w:rsid w:val="00C83ECF"/>
    <w:rsid w:val="00C84B1E"/>
    <w:rsid w:val="00C84B48"/>
    <w:rsid w:val="00C857F8"/>
    <w:rsid w:val="00C85C4F"/>
    <w:rsid w:val="00C8669E"/>
    <w:rsid w:val="00C86ABD"/>
    <w:rsid w:val="00C873A9"/>
    <w:rsid w:val="00C875AA"/>
    <w:rsid w:val="00C87888"/>
    <w:rsid w:val="00C91766"/>
    <w:rsid w:val="00C92017"/>
    <w:rsid w:val="00C92204"/>
    <w:rsid w:val="00C929A9"/>
    <w:rsid w:val="00C93238"/>
    <w:rsid w:val="00C937E8"/>
    <w:rsid w:val="00C93B40"/>
    <w:rsid w:val="00C93F3A"/>
    <w:rsid w:val="00C947BC"/>
    <w:rsid w:val="00C947E2"/>
    <w:rsid w:val="00C9525B"/>
    <w:rsid w:val="00C96469"/>
    <w:rsid w:val="00C97605"/>
    <w:rsid w:val="00CA0D09"/>
    <w:rsid w:val="00CA101F"/>
    <w:rsid w:val="00CA1071"/>
    <w:rsid w:val="00CA21A8"/>
    <w:rsid w:val="00CA22FC"/>
    <w:rsid w:val="00CA24CB"/>
    <w:rsid w:val="00CA2833"/>
    <w:rsid w:val="00CA2BE6"/>
    <w:rsid w:val="00CA2E7E"/>
    <w:rsid w:val="00CA32C9"/>
    <w:rsid w:val="00CA3AA6"/>
    <w:rsid w:val="00CA42DB"/>
    <w:rsid w:val="00CA484D"/>
    <w:rsid w:val="00CA539F"/>
    <w:rsid w:val="00CA543F"/>
    <w:rsid w:val="00CA569A"/>
    <w:rsid w:val="00CA570E"/>
    <w:rsid w:val="00CA57FF"/>
    <w:rsid w:val="00CB0A3D"/>
    <w:rsid w:val="00CB140A"/>
    <w:rsid w:val="00CB1A05"/>
    <w:rsid w:val="00CB2385"/>
    <w:rsid w:val="00CB3166"/>
    <w:rsid w:val="00CB336E"/>
    <w:rsid w:val="00CB39B3"/>
    <w:rsid w:val="00CB58D1"/>
    <w:rsid w:val="00CB5B2A"/>
    <w:rsid w:val="00CB5C1C"/>
    <w:rsid w:val="00CB687A"/>
    <w:rsid w:val="00CB7239"/>
    <w:rsid w:val="00CB79C6"/>
    <w:rsid w:val="00CB7AB4"/>
    <w:rsid w:val="00CC0256"/>
    <w:rsid w:val="00CC0371"/>
    <w:rsid w:val="00CC0531"/>
    <w:rsid w:val="00CC08CB"/>
    <w:rsid w:val="00CC0AEF"/>
    <w:rsid w:val="00CC16BE"/>
    <w:rsid w:val="00CC2798"/>
    <w:rsid w:val="00CC2804"/>
    <w:rsid w:val="00CC28D7"/>
    <w:rsid w:val="00CC4185"/>
    <w:rsid w:val="00CC4610"/>
    <w:rsid w:val="00CC52E5"/>
    <w:rsid w:val="00CC5871"/>
    <w:rsid w:val="00CC597A"/>
    <w:rsid w:val="00CC62A8"/>
    <w:rsid w:val="00CC6CC6"/>
    <w:rsid w:val="00CC7881"/>
    <w:rsid w:val="00CC7A32"/>
    <w:rsid w:val="00CC7FC6"/>
    <w:rsid w:val="00CD01EC"/>
    <w:rsid w:val="00CD132B"/>
    <w:rsid w:val="00CD1C59"/>
    <w:rsid w:val="00CD1E1E"/>
    <w:rsid w:val="00CD229E"/>
    <w:rsid w:val="00CD2711"/>
    <w:rsid w:val="00CD2F2B"/>
    <w:rsid w:val="00CD3183"/>
    <w:rsid w:val="00CD3452"/>
    <w:rsid w:val="00CD3E05"/>
    <w:rsid w:val="00CD4B2F"/>
    <w:rsid w:val="00CD5677"/>
    <w:rsid w:val="00CD6D2F"/>
    <w:rsid w:val="00CD7353"/>
    <w:rsid w:val="00CD7BB4"/>
    <w:rsid w:val="00CE03AE"/>
    <w:rsid w:val="00CE04AB"/>
    <w:rsid w:val="00CE07AB"/>
    <w:rsid w:val="00CE09E8"/>
    <w:rsid w:val="00CE0D62"/>
    <w:rsid w:val="00CE1422"/>
    <w:rsid w:val="00CE1AD3"/>
    <w:rsid w:val="00CE2DC3"/>
    <w:rsid w:val="00CE3025"/>
    <w:rsid w:val="00CE303D"/>
    <w:rsid w:val="00CE3485"/>
    <w:rsid w:val="00CE3A1E"/>
    <w:rsid w:val="00CE3DB5"/>
    <w:rsid w:val="00CE46BD"/>
    <w:rsid w:val="00CE5487"/>
    <w:rsid w:val="00CE630E"/>
    <w:rsid w:val="00CE6479"/>
    <w:rsid w:val="00CE7C11"/>
    <w:rsid w:val="00CF044F"/>
    <w:rsid w:val="00CF1BBB"/>
    <w:rsid w:val="00CF1DDC"/>
    <w:rsid w:val="00CF2018"/>
    <w:rsid w:val="00CF246A"/>
    <w:rsid w:val="00CF26F6"/>
    <w:rsid w:val="00CF3617"/>
    <w:rsid w:val="00CF3B78"/>
    <w:rsid w:val="00CF3CE3"/>
    <w:rsid w:val="00CF3E93"/>
    <w:rsid w:val="00CF40D3"/>
    <w:rsid w:val="00CF4C91"/>
    <w:rsid w:val="00CF5789"/>
    <w:rsid w:val="00CF5EB3"/>
    <w:rsid w:val="00CF69A7"/>
    <w:rsid w:val="00CF749B"/>
    <w:rsid w:val="00D000D1"/>
    <w:rsid w:val="00D00381"/>
    <w:rsid w:val="00D00BC9"/>
    <w:rsid w:val="00D0100B"/>
    <w:rsid w:val="00D01406"/>
    <w:rsid w:val="00D01837"/>
    <w:rsid w:val="00D026A2"/>
    <w:rsid w:val="00D03678"/>
    <w:rsid w:val="00D03B10"/>
    <w:rsid w:val="00D03B5A"/>
    <w:rsid w:val="00D0423C"/>
    <w:rsid w:val="00D048DB"/>
    <w:rsid w:val="00D04E55"/>
    <w:rsid w:val="00D04E8F"/>
    <w:rsid w:val="00D05118"/>
    <w:rsid w:val="00D05768"/>
    <w:rsid w:val="00D06FA2"/>
    <w:rsid w:val="00D0728E"/>
    <w:rsid w:val="00D079E1"/>
    <w:rsid w:val="00D07BC4"/>
    <w:rsid w:val="00D1078E"/>
    <w:rsid w:val="00D11455"/>
    <w:rsid w:val="00D12283"/>
    <w:rsid w:val="00D126A8"/>
    <w:rsid w:val="00D12CC4"/>
    <w:rsid w:val="00D132E5"/>
    <w:rsid w:val="00D1350F"/>
    <w:rsid w:val="00D13890"/>
    <w:rsid w:val="00D13D21"/>
    <w:rsid w:val="00D13DA6"/>
    <w:rsid w:val="00D152A9"/>
    <w:rsid w:val="00D152E2"/>
    <w:rsid w:val="00D15929"/>
    <w:rsid w:val="00D15E41"/>
    <w:rsid w:val="00D15E4C"/>
    <w:rsid w:val="00D1637C"/>
    <w:rsid w:val="00D166F2"/>
    <w:rsid w:val="00D16D2C"/>
    <w:rsid w:val="00D171F2"/>
    <w:rsid w:val="00D2007A"/>
    <w:rsid w:val="00D20116"/>
    <w:rsid w:val="00D2212F"/>
    <w:rsid w:val="00D227B1"/>
    <w:rsid w:val="00D2288C"/>
    <w:rsid w:val="00D2389F"/>
    <w:rsid w:val="00D23E29"/>
    <w:rsid w:val="00D24D99"/>
    <w:rsid w:val="00D257C2"/>
    <w:rsid w:val="00D258A0"/>
    <w:rsid w:val="00D25CFD"/>
    <w:rsid w:val="00D25FFC"/>
    <w:rsid w:val="00D26706"/>
    <w:rsid w:val="00D2686C"/>
    <w:rsid w:val="00D26CC0"/>
    <w:rsid w:val="00D27E7F"/>
    <w:rsid w:val="00D3071B"/>
    <w:rsid w:val="00D30C78"/>
    <w:rsid w:val="00D30E01"/>
    <w:rsid w:val="00D31250"/>
    <w:rsid w:val="00D3201E"/>
    <w:rsid w:val="00D320C7"/>
    <w:rsid w:val="00D32D9E"/>
    <w:rsid w:val="00D33526"/>
    <w:rsid w:val="00D3386E"/>
    <w:rsid w:val="00D33D38"/>
    <w:rsid w:val="00D3554A"/>
    <w:rsid w:val="00D36446"/>
    <w:rsid w:val="00D36B0A"/>
    <w:rsid w:val="00D378FD"/>
    <w:rsid w:val="00D37C93"/>
    <w:rsid w:val="00D40D47"/>
    <w:rsid w:val="00D41CC7"/>
    <w:rsid w:val="00D42124"/>
    <w:rsid w:val="00D425EA"/>
    <w:rsid w:val="00D4341B"/>
    <w:rsid w:val="00D43604"/>
    <w:rsid w:val="00D43EED"/>
    <w:rsid w:val="00D442B9"/>
    <w:rsid w:val="00D451B4"/>
    <w:rsid w:val="00D457D5"/>
    <w:rsid w:val="00D46561"/>
    <w:rsid w:val="00D4692A"/>
    <w:rsid w:val="00D46F22"/>
    <w:rsid w:val="00D4701F"/>
    <w:rsid w:val="00D50385"/>
    <w:rsid w:val="00D5041D"/>
    <w:rsid w:val="00D50DC7"/>
    <w:rsid w:val="00D51072"/>
    <w:rsid w:val="00D51FB1"/>
    <w:rsid w:val="00D5212B"/>
    <w:rsid w:val="00D529AB"/>
    <w:rsid w:val="00D52A40"/>
    <w:rsid w:val="00D530A5"/>
    <w:rsid w:val="00D53270"/>
    <w:rsid w:val="00D53FBB"/>
    <w:rsid w:val="00D544C6"/>
    <w:rsid w:val="00D54774"/>
    <w:rsid w:val="00D555C6"/>
    <w:rsid w:val="00D55F2D"/>
    <w:rsid w:val="00D56112"/>
    <w:rsid w:val="00D57CA7"/>
    <w:rsid w:val="00D57F63"/>
    <w:rsid w:val="00D6010C"/>
    <w:rsid w:val="00D603A6"/>
    <w:rsid w:val="00D605EB"/>
    <w:rsid w:val="00D60AE9"/>
    <w:rsid w:val="00D616AB"/>
    <w:rsid w:val="00D61C45"/>
    <w:rsid w:val="00D625A4"/>
    <w:rsid w:val="00D6266E"/>
    <w:rsid w:val="00D62F1F"/>
    <w:rsid w:val="00D632DC"/>
    <w:rsid w:val="00D63AC0"/>
    <w:rsid w:val="00D6468E"/>
    <w:rsid w:val="00D64E37"/>
    <w:rsid w:val="00D64EFC"/>
    <w:rsid w:val="00D65FC9"/>
    <w:rsid w:val="00D668C9"/>
    <w:rsid w:val="00D668E3"/>
    <w:rsid w:val="00D66E20"/>
    <w:rsid w:val="00D6705E"/>
    <w:rsid w:val="00D6718B"/>
    <w:rsid w:val="00D71E9B"/>
    <w:rsid w:val="00D71EE1"/>
    <w:rsid w:val="00D71FE4"/>
    <w:rsid w:val="00D726BA"/>
    <w:rsid w:val="00D73151"/>
    <w:rsid w:val="00D734C5"/>
    <w:rsid w:val="00D73F6C"/>
    <w:rsid w:val="00D740A6"/>
    <w:rsid w:val="00D76338"/>
    <w:rsid w:val="00D769E2"/>
    <w:rsid w:val="00D76B38"/>
    <w:rsid w:val="00D77B25"/>
    <w:rsid w:val="00D77E9F"/>
    <w:rsid w:val="00D80CCA"/>
    <w:rsid w:val="00D81BD0"/>
    <w:rsid w:val="00D82DCC"/>
    <w:rsid w:val="00D82E08"/>
    <w:rsid w:val="00D82EDF"/>
    <w:rsid w:val="00D840AC"/>
    <w:rsid w:val="00D84483"/>
    <w:rsid w:val="00D849D5"/>
    <w:rsid w:val="00D85AAD"/>
    <w:rsid w:val="00D8663B"/>
    <w:rsid w:val="00D86C46"/>
    <w:rsid w:val="00D86D24"/>
    <w:rsid w:val="00D87A47"/>
    <w:rsid w:val="00D87D37"/>
    <w:rsid w:val="00D87FC4"/>
    <w:rsid w:val="00D90164"/>
    <w:rsid w:val="00D9131F"/>
    <w:rsid w:val="00D91AD6"/>
    <w:rsid w:val="00D91E34"/>
    <w:rsid w:val="00D92CB8"/>
    <w:rsid w:val="00D93251"/>
    <w:rsid w:val="00D93974"/>
    <w:rsid w:val="00D93D5E"/>
    <w:rsid w:val="00D9534C"/>
    <w:rsid w:val="00D95880"/>
    <w:rsid w:val="00D9593A"/>
    <w:rsid w:val="00D95A0E"/>
    <w:rsid w:val="00D95C92"/>
    <w:rsid w:val="00D96A10"/>
    <w:rsid w:val="00D97BDA"/>
    <w:rsid w:val="00D97E05"/>
    <w:rsid w:val="00DA09C9"/>
    <w:rsid w:val="00DA2FE4"/>
    <w:rsid w:val="00DA4B9A"/>
    <w:rsid w:val="00DA5633"/>
    <w:rsid w:val="00DA6462"/>
    <w:rsid w:val="00DA6535"/>
    <w:rsid w:val="00DA682F"/>
    <w:rsid w:val="00DA6A49"/>
    <w:rsid w:val="00DA6B86"/>
    <w:rsid w:val="00DA6FDD"/>
    <w:rsid w:val="00DA7F3C"/>
    <w:rsid w:val="00DA7FE6"/>
    <w:rsid w:val="00DB177A"/>
    <w:rsid w:val="00DB34DB"/>
    <w:rsid w:val="00DB390D"/>
    <w:rsid w:val="00DB3984"/>
    <w:rsid w:val="00DB3C86"/>
    <w:rsid w:val="00DB3D19"/>
    <w:rsid w:val="00DB3EF6"/>
    <w:rsid w:val="00DB426D"/>
    <w:rsid w:val="00DB4D3B"/>
    <w:rsid w:val="00DB52B5"/>
    <w:rsid w:val="00DB5E4D"/>
    <w:rsid w:val="00DB5F54"/>
    <w:rsid w:val="00DB64F1"/>
    <w:rsid w:val="00DB6546"/>
    <w:rsid w:val="00DB72AE"/>
    <w:rsid w:val="00DB74EC"/>
    <w:rsid w:val="00DB7710"/>
    <w:rsid w:val="00DB7D8D"/>
    <w:rsid w:val="00DB7FD4"/>
    <w:rsid w:val="00DC034D"/>
    <w:rsid w:val="00DC08A1"/>
    <w:rsid w:val="00DC099F"/>
    <w:rsid w:val="00DC14D3"/>
    <w:rsid w:val="00DC1638"/>
    <w:rsid w:val="00DC16E8"/>
    <w:rsid w:val="00DC18B2"/>
    <w:rsid w:val="00DC19CC"/>
    <w:rsid w:val="00DC19D6"/>
    <w:rsid w:val="00DC26E0"/>
    <w:rsid w:val="00DC2DE8"/>
    <w:rsid w:val="00DC2FB5"/>
    <w:rsid w:val="00DC300F"/>
    <w:rsid w:val="00DC4A25"/>
    <w:rsid w:val="00DC4A6C"/>
    <w:rsid w:val="00DC4D2E"/>
    <w:rsid w:val="00DC511A"/>
    <w:rsid w:val="00DC5614"/>
    <w:rsid w:val="00DC5743"/>
    <w:rsid w:val="00DC5B74"/>
    <w:rsid w:val="00DC5BDC"/>
    <w:rsid w:val="00DC6EA6"/>
    <w:rsid w:val="00DD0F9D"/>
    <w:rsid w:val="00DD1884"/>
    <w:rsid w:val="00DD2984"/>
    <w:rsid w:val="00DD342E"/>
    <w:rsid w:val="00DD3C9C"/>
    <w:rsid w:val="00DD42BA"/>
    <w:rsid w:val="00DD504D"/>
    <w:rsid w:val="00DD5096"/>
    <w:rsid w:val="00DD6345"/>
    <w:rsid w:val="00DD64E8"/>
    <w:rsid w:val="00DD6CCD"/>
    <w:rsid w:val="00DE032C"/>
    <w:rsid w:val="00DE033E"/>
    <w:rsid w:val="00DE1450"/>
    <w:rsid w:val="00DE316B"/>
    <w:rsid w:val="00DE3F03"/>
    <w:rsid w:val="00DE49D2"/>
    <w:rsid w:val="00DE503D"/>
    <w:rsid w:val="00DE5451"/>
    <w:rsid w:val="00DE5593"/>
    <w:rsid w:val="00DE5AAB"/>
    <w:rsid w:val="00DE620B"/>
    <w:rsid w:val="00DE63FC"/>
    <w:rsid w:val="00DE729A"/>
    <w:rsid w:val="00DF0622"/>
    <w:rsid w:val="00DF0C59"/>
    <w:rsid w:val="00DF0CFC"/>
    <w:rsid w:val="00DF1311"/>
    <w:rsid w:val="00DF13A1"/>
    <w:rsid w:val="00DF2135"/>
    <w:rsid w:val="00DF29B3"/>
    <w:rsid w:val="00DF2A49"/>
    <w:rsid w:val="00DF2D8C"/>
    <w:rsid w:val="00DF348D"/>
    <w:rsid w:val="00DF3CFE"/>
    <w:rsid w:val="00DF3DE3"/>
    <w:rsid w:val="00DF4061"/>
    <w:rsid w:val="00DF4260"/>
    <w:rsid w:val="00DF44E1"/>
    <w:rsid w:val="00DF44E6"/>
    <w:rsid w:val="00DF5321"/>
    <w:rsid w:val="00DF6087"/>
    <w:rsid w:val="00DF6854"/>
    <w:rsid w:val="00DF69DD"/>
    <w:rsid w:val="00DF6DB1"/>
    <w:rsid w:val="00DF6E81"/>
    <w:rsid w:val="00DF6EE2"/>
    <w:rsid w:val="00DF749A"/>
    <w:rsid w:val="00E0121F"/>
    <w:rsid w:val="00E01C3B"/>
    <w:rsid w:val="00E0219D"/>
    <w:rsid w:val="00E02625"/>
    <w:rsid w:val="00E02C6E"/>
    <w:rsid w:val="00E030B7"/>
    <w:rsid w:val="00E041C7"/>
    <w:rsid w:val="00E0423D"/>
    <w:rsid w:val="00E04662"/>
    <w:rsid w:val="00E04B4F"/>
    <w:rsid w:val="00E04D42"/>
    <w:rsid w:val="00E05060"/>
    <w:rsid w:val="00E063E8"/>
    <w:rsid w:val="00E0665D"/>
    <w:rsid w:val="00E0667E"/>
    <w:rsid w:val="00E06843"/>
    <w:rsid w:val="00E06BF1"/>
    <w:rsid w:val="00E06E0F"/>
    <w:rsid w:val="00E06E7A"/>
    <w:rsid w:val="00E07DDF"/>
    <w:rsid w:val="00E104BD"/>
    <w:rsid w:val="00E1071B"/>
    <w:rsid w:val="00E10F49"/>
    <w:rsid w:val="00E11692"/>
    <w:rsid w:val="00E12DD7"/>
    <w:rsid w:val="00E13EB4"/>
    <w:rsid w:val="00E14771"/>
    <w:rsid w:val="00E14D78"/>
    <w:rsid w:val="00E1638D"/>
    <w:rsid w:val="00E1674D"/>
    <w:rsid w:val="00E167D3"/>
    <w:rsid w:val="00E16FE6"/>
    <w:rsid w:val="00E171F9"/>
    <w:rsid w:val="00E2036B"/>
    <w:rsid w:val="00E20A52"/>
    <w:rsid w:val="00E21DA1"/>
    <w:rsid w:val="00E21F3C"/>
    <w:rsid w:val="00E226ED"/>
    <w:rsid w:val="00E2424F"/>
    <w:rsid w:val="00E248EA"/>
    <w:rsid w:val="00E25495"/>
    <w:rsid w:val="00E27E12"/>
    <w:rsid w:val="00E27F75"/>
    <w:rsid w:val="00E30230"/>
    <w:rsid w:val="00E306FC"/>
    <w:rsid w:val="00E3242B"/>
    <w:rsid w:val="00E3277A"/>
    <w:rsid w:val="00E32C14"/>
    <w:rsid w:val="00E3416E"/>
    <w:rsid w:val="00E34810"/>
    <w:rsid w:val="00E34E8C"/>
    <w:rsid w:val="00E35114"/>
    <w:rsid w:val="00E35210"/>
    <w:rsid w:val="00E3680B"/>
    <w:rsid w:val="00E36E41"/>
    <w:rsid w:val="00E36E81"/>
    <w:rsid w:val="00E37725"/>
    <w:rsid w:val="00E37C34"/>
    <w:rsid w:val="00E409D7"/>
    <w:rsid w:val="00E4148C"/>
    <w:rsid w:val="00E416A1"/>
    <w:rsid w:val="00E416C9"/>
    <w:rsid w:val="00E42F1C"/>
    <w:rsid w:val="00E42FF7"/>
    <w:rsid w:val="00E43492"/>
    <w:rsid w:val="00E437A9"/>
    <w:rsid w:val="00E43CBF"/>
    <w:rsid w:val="00E44705"/>
    <w:rsid w:val="00E44982"/>
    <w:rsid w:val="00E44ABE"/>
    <w:rsid w:val="00E45CCA"/>
    <w:rsid w:val="00E46944"/>
    <w:rsid w:val="00E46959"/>
    <w:rsid w:val="00E477C5"/>
    <w:rsid w:val="00E4782A"/>
    <w:rsid w:val="00E478B4"/>
    <w:rsid w:val="00E512C7"/>
    <w:rsid w:val="00E51633"/>
    <w:rsid w:val="00E52144"/>
    <w:rsid w:val="00E52605"/>
    <w:rsid w:val="00E5268C"/>
    <w:rsid w:val="00E52BEF"/>
    <w:rsid w:val="00E53166"/>
    <w:rsid w:val="00E53480"/>
    <w:rsid w:val="00E536D1"/>
    <w:rsid w:val="00E536EE"/>
    <w:rsid w:val="00E546B2"/>
    <w:rsid w:val="00E54A7F"/>
    <w:rsid w:val="00E54D27"/>
    <w:rsid w:val="00E55CD3"/>
    <w:rsid w:val="00E5633A"/>
    <w:rsid w:val="00E574DE"/>
    <w:rsid w:val="00E57FD8"/>
    <w:rsid w:val="00E6030F"/>
    <w:rsid w:val="00E6049E"/>
    <w:rsid w:val="00E6053C"/>
    <w:rsid w:val="00E6095B"/>
    <w:rsid w:val="00E62D20"/>
    <w:rsid w:val="00E63338"/>
    <w:rsid w:val="00E638B2"/>
    <w:rsid w:val="00E64144"/>
    <w:rsid w:val="00E64493"/>
    <w:rsid w:val="00E649DB"/>
    <w:rsid w:val="00E64A51"/>
    <w:rsid w:val="00E64C8E"/>
    <w:rsid w:val="00E661F1"/>
    <w:rsid w:val="00E66818"/>
    <w:rsid w:val="00E66F71"/>
    <w:rsid w:val="00E6755E"/>
    <w:rsid w:val="00E67B0F"/>
    <w:rsid w:val="00E67D3D"/>
    <w:rsid w:val="00E705BE"/>
    <w:rsid w:val="00E71217"/>
    <w:rsid w:val="00E71ADE"/>
    <w:rsid w:val="00E7200D"/>
    <w:rsid w:val="00E723D6"/>
    <w:rsid w:val="00E738AF"/>
    <w:rsid w:val="00E73B43"/>
    <w:rsid w:val="00E74434"/>
    <w:rsid w:val="00E750EA"/>
    <w:rsid w:val="00E754D4"/>
    <w:rsid w:val="00E7638D"/>
    <w:rsid w:val="00E76DFD"/>
    <w:rsid w:val="00E77748"/>
    <w:rsid w:val="00E77B28"/>
    <w:rsid w:val="00E77C85"/>
    <w:rsid w:val="00E77D72"/>
    <w:rsid w:val="00E80D8F"/>
    <w:rsid w:val="00E81524"/>
    <w:rsid w:val="00E82779"/>
    <w:rsid w:val="00E829F9"/>
    <w:rsid w:val="00E82EA0"/>
    <w:rsid w:val="00E8312E"/>
    <w:rsid w:val="00E8355C"/>
    <w:rsid w:val="00E85206"/>
    <w:rsid w:val="00E869EE"/>
    <w:rsid w:val="00E86DD4"/>
    <w:rsid w:val="00E86EF0"/>
    <w:rsid w:val="00E8705C"/>
    <w:rsid w:val="00E87159"/>
    <w:rsid w:val="00E87A2E"/>
    <w:rsid w:val="00E9095E"/>
    <w:rsid w:val="00E90EC8"/>
    <w:rsid w:val="00E919B2"/>
    <w:rsid w:val="00E9268C"/>
    <w:rsid w:val="00E92A4F"/>
    <w:rsid w:val="00E93EE3"/>
    <w:rsid w:val="00E94346"/>
    <w:rsid w:val="00E94BCF"/>
    <w:rsid w:val="00E958B2"/>
    <w:rsid w:val="00E95D2D"/>
    <w:rsid w:val="00E95DB4"/>
    <w:rsid w:val="00E95EAA"/>
    <w:rsid w:val="00E96A37"/>
    <w:rsid w:val="00E96EC0"/>
    <w:rsid w:val="00E97793"/>
    <w:rsid w:val="00EA0732"/>
    <w:rsid w:val="00EA0759"/>
    <w:rsid w:val="00EA3513"/>
    <w:rsid w:val="00EA3BC6"/>
    <w:rsid w:val="00EA42C9"/>
    <w:rsid w:val="00EA466E"/>
    <w:rsid w:val="00EA4C32"/>
    <w:rsid w:val="00EA51AB"/>
    <w:rsid w:val="00EA55A3"/>
    <w:rsid w:val="00EA70D9"/>
    <w:rsid w:val="00EA7F2C"/>
    <w:rsid w:val="00EB02CD"/>
    <w:rsid w:val="00EB0901"/>
    <w:rsid w:val="00EB1256"/>
    <w:rsid w:val="00EB3DA2"/>
    <w:rsid w:val="00EB5302"/>
    <w:rsid w:val="00EB5A03"/>
    <w:rsid w:val="00EB6F93"/>
    <w:rsid w:val="00EB7881"/>
    <w:rsid w:val="00EB7884"/>
    <w:rsid w:val="00EC0185"/>
    <w:rsid w:val="00EC0B41"/>
    <w:rsid w:val="00EC0BA4"/>
    <w:rsid w:val="00EC16ED"/>
    <w:rsid w:val="00EC1BF3"/>
    <w:rsid w:val="00EC2704"/>
    <w:rsid w:val="00EC2955"/>
    <w:rsid w:val="00EC2F82"/>
    <w:rsid w:val="00EC44AC"/>
    <w:rsid w:val="00EC48E7"/>
    <w:rsid w:val="00EC491A"/>
    <w:rsid w:val="00EC4E9F"/>
    <w:rsid w:val="00EC4F38"/>
    <w:rsid w:val="00EC55BB"/>
    <w:rsid w:val="00EC5C12"/>
    <w:rsid w:val="00EC6B23"/>
    <w:rsid w:val="00EC6C3A"/>
    <w:rsid w:val="00EC70A8"/>
    <w:rsid w:val="00EC7688"/>
    <w:rsid w:val="00EC772E"/>
    <w:rsid w:val="00EC7793"/>
    <w:rsid w:val="00EC78FA"/>
    <w:rsid w:val="00EC7F27"/>
    <w:rsid w:val="00ED079E"/>
    <w:rsid w:val="00ED1B98"/>
    <w:rsid w:val="00ED206D"/>
    <w:rsid w:val="00ED263C"/>
    <w:rsid w:val="00ED26E1"/>
    <w:rsid w:val="00ED341A"/>
    <w:rsid w:val="00ED35A3"/>
    <w:rsid w:val="00ED3C33"/>
    <w:rsid w:val="00ED43C0"/>
    <w:rsid w:val="00ED4B1D"/>
    <w:rsid w:val="00ED616B"/>
    <w:rsid w:val="00ED61EB"/>
    <w:rsid w:val="00ED716F"/>
    <w:rsid w:val="00ED74DD"/>
    <w:rsid w:val="00EE0F83"/>
    <w:rsid w:val="00EE1146"/>
    <w:rsid w:val="00EE20DA"/>
    <w:rsid w:val="00EE23EC"/>
    <w:rsid w:val="00EE26E2"/>
    <w:rsid w:val="00EE3FE9"/>
    <w:rsid w:val="00EE4380"/>
    <w:rsid w:val="00EE4EF7"/>
    <w:rsid w:val="00EE75BB"/>
    <w:rsid w:val="00EE7842"/>
    <w:rsid w:val="00EE7B90"/>
    <w:rsid w:val="00EE7FB7"/>
    <w:rsid w:val="00EF0165"/>
    <w:rsid w:val="00EF073A"/>
    <w:rsid w:val="00EF1D52"/>
    <w:rsid w:val="00EF2296"/>
    <w:rsid w:val="00EF41B0"/>
    <w:rsid w:val="00EF4B03"/>
    <w:rsid w:val="00EF50D3"/>
    <w:rsid w:val="00EF5D96"/>
    <w:rsid w:val="00EF73B7"/>
    <w:rsid w:val="00EF7A2A"/>
    <w:rsid w:val="00EF7AA0"/>
    <w:rsid w:val="00F008C9"/>
    <w:rsid w:val="00F01CD3"/>
    <w:rsid w:val="00F01D2C"/>
    <w:rsid w:val="00F027D6"/>
    <w:rsid w:val="00F02F4B"/>
    <w:rsid w:val="00F03192"/>
    <w:rsid w:val="00F03742"/>
    <w:rsid w:val="00F03900"/>
    <w:rsid w:val="00F03C48"/>
    <w:rsid w:val="00F03C6F"/>
    <w:rsid w:val="00F03CC7"/>
    <w:rsid w:val="00F042A8"/>
    <w:rsid w:val="00F04C4A"/>
    <w:rsid w:val="00F04DC7"/>
    <w:rsid w:val="00F05529"/>
    <w:rsid w:val="00F061CB"/>
    <w:rsid w:val="00F115D2"/>
    <w:rsid w:val="00F11D90"/>
    <w:rsid w:val="00F12038"/>
    <w:rsid w:val="00F133D0"/>
    <w:rsid w:val="00F13853"/>
    <w:rsid w:val="00F1388F"/>
    <w:rsid w:val="00F13AF3"/>
    <w:rsid w:val="00F13E7A"/>
    <w:rsid w:val="00F13ED1"/>
    <w:rsid w:val="00F14545"/>
    <w:rsid w:val="00F147EE"/>
    <w:rsid w:val="00F15634"/>
    <w:rsid w:val="00F15660"/>
    <w:rsid w:val="00F15D66"/>
    <w:rsid w:val="00F15EC7"/>
    <w:rsid w:val="00F16227"/>
    <w:rsid w:val="00F169A2"/>
    <w:rsid w:val="00F17356"/>
    <w:rsid w:val="00F21676"/>
    <w:rsid w:val="00F22CA2"/>
    <w:rsid w:val="00F22F41"/>
    <w:rsid w:val="00F23178"/>
    <w:rsid w:val="00F23344"/>
    <w:rsid w:val="00F23949"/>
    <w:rsid w:val="00F23DCC"/>
    <w:rsid w:val="00F23FDE"/>
    <w:rsid w:val="00F2430A"/>
    <w:rsid w:val="00F2443E"/>
    <w:rsid w:val="00F2457D"/>
    <w:rsid w:val="00F257E0"/>
    <w:rsid w:val="00F263CF"/>
    <w:rsid w:val="00F26E44"/>
    <w:rsid w:val="00F277E0"/>
    <w:rsid w:val="00F300D4"/>
    <w:rsid w:val="00F305D1"/>
    <w:rsid w:val="00F30F92"/>
    <w:rsid w:val="00F31489"/>
    <w:rsid w:val="00F31EE0"/>
    <w:rsid w:val="00F321CF"/>
    <w:rsid w:val="00F328D4"/>
    <w:rsid w:val="00F32CDA"/>
    <w:rsid w:val="00F33152"/>
    <w:rsid w:val="00F3319C"/>
    <w:rsid w:val="00F333AB"/>
    <w:rsid w:val="00F33B71"/>
    <w:rsid w:val="00F33FDA"/>
    <w:rsid w:val="00F341DF"/>
    <w:rsid w:val="00F34474"/>
    <w:rsid w:val="00F34791"/>
    <w:rsid w:val="00F34CC7"/>
    <w:rsid w:val="00F354B4"/>
    <w:rsid w:val="00F35B96"/>
    <w:rsid w:val="00F35C1A"/>
    <w:rsid w:val="00F35DF9"/>
    <w:rsid w:val="00F364E9"/>
    <w:rsid w:val="00F36BE8"/>
    <w:rsid w:val="00F37180"/>
    <w:rsid w:val="00F37C6E"/>
    <w:rsid w:val="00F37E34"/>
    <w:rsid w:val="00F40427"/>
    <w:rsid w:val="00F4077C"/>
    <w:rsid w:val="00F40CE0"/>
    <w:rsid w:val="00F40E2A"/>
    <w:rsid w:val="00F40E72"/>
    <w:rsid w:val="00F414E6"/>
    <w:rsid w:val="00F41A3F"/>
    <w:rsid w:val="00F41C97"/>
    <w:rsid w:val="00F42D92"/>
    <w:rsid w:val="00F43C41"/>
    <w:rsid w:val="00F44FBF"/>
    <w:rsid w:val="00F45E05"/>
    <w:rsid w:val="00F4702E"/>
    <w:rsid w:val="00F479AD"/>
    <w:rsid w:val="00F47E1A"/>
    <w:rsid w:val="00F50308"/>
    <w:rsid w:val="00F50785"/>
    <w:rsid w:val="00F50788"/>
    <w:rsid w:val="00F50C2F"/>
    <w:rsid w:val="00F5139C"/>
    <w:rsid w:val="00F514B8"/>
    <w:rsid w:val="00F51648"/>
    <w:rsid w:val="00F5264A"/>
    <w:rsid w:val="00F5282B"/>
    <w:rsid w:val="00F52D4D"/>
    <w:rsid w:val="00F52DA9"/>
    <w:rsid w:val="00F52EBE"/>
    <w:rsid w:val="00F53C21"/>
    <w:rsid w:val="00F54020"/>
    <w:rsid w:val="00F54B13"/>
    <w:rsid w:val="00F55592"/>
    <w:rsid w:val="00F56232"/>
    <w:rsid w:val="00F56960"/>
    <w:rsid w:val="00F56AAB"/>
    <w:rsid w:val="00F56BA2"/>
    <w:rsid w:val="00F57ABC"/>
    <w:rsid w:val="00F57B6F"/>
    <w:rsid w:val="00F60045"/>
    <w:rsid w:val="00F60155"/>
    <w:rsid w:val="00F6042D"/>
    <w:rsid w:val="00F60E1B"/>
    <w:rsid w:val="00F61484"/>
    <w:rsid w:val="00F621FB"/>
    <w:rsid w:val="00F627A9"/>
    <w:rsid w:val="00F634C8"/>
    <w:rsid w:val="00F63556"/>
    <w:rsid w:val="00F63813"/>
    <w:rsid w:val="00F63F09"/>
    <w:rsid w:val="00F64338"/>
    <w:rsid w:val="00F6504D"/>
    <w:rsid w:val="00F6528C"/>
    <w:rsid w:val="00F65994"/>
    <w:rsid w:val="00F65EC5"/>
    <w:rsid w:val="00F6742A"/>
    <w:rsid w:val="00F70777"/>
    <w:rsid w:val="00F72042"/>
    <w:rsid w:val="00F72684"/>
    <w:rsid w:val="00F72A8A"/>
    <w:rsid w:val="00F7406F"/>
    <w:rsid w:val="00F74097"/>
    <w:rsid w:val="00F745AC"/>
    <w:rsid w:val="00F74FC2"/>
    <w:rsid w:val="00F754F8"/>
    <w:rsid w:val="00F75603"/>
    <w:rsid w:val="00F75949"/>
    <w:rsid w:val="00F7672C"/>
    <w:rsid w:val="00F76817"/>
    <w:rsid w:val="00F76B60"/>
    <w:rsid w:val="00F76CC0"/>
    <w:rsid w:val="00F80519"/>
    <w:rsid w:val="00F80927"/>
    <w:rsid w:val="00F80FAE"/>
    <w:rsid w:val="00F82933"/>
    <w:rsid w:val="00F834D4"/>
    <w:rsid w:val="00F84D0C"/>
    <w:rsid w:val="00F85194"/>
    <w:rsid w:val="00F8542B"/>
    <w:rsid w:val="00F85955"/>
    <w:rsid w:val="00F8621C"/>
    <w:rsid w:val="00F87662"/>
    <w:rsid w:val="00F87C75"/>
    <w:rsid w:val="00F90456"/>
    <w:rsid w:val="00F90764"/>
    <w:rsid w:val="00F908DD"/>
    <w:rsid w:val="00F90BDC"/>
    <w:rsid w:val="00F91068"/>
    <w:rsid w:val="00F916D5"/>
    <w:rsid w:val="00F918B3"/>
    <w:rsid w:val="00F91B9C"/>
    <w:rsid w:val="00F91FED"/>
    <w:rsid w:val="00F92458"/>
    <w:rsid w:val="00F927C8"/>
    <w:rsid w:val="00F931F8"/>
    <w:rsid w:val="00F93CB1"/>
    <w:rsid w:val="00F93D09"/>
    <w:rsid w:val="00F957A8"/>
    <w:rsid w:val="00F95D2E"/>
    <w:rsid w:val="00F9629D"/>
    <w:rsid w:val="00F965A9"/>
    <w:rsid w:val="00F96D92"/>
    <w:rsid w:val="00FA0227"/>
    <w:rsid w:val="00FA02F4"/>
    <w:rsid w:val="00FA0E61"/>
    <w:rsid w:val="00FA20DC"/>
    <w:rsid w:val="00FA21A3"/>
    <w:rsid w:val="00FA3301"/>
    <w:rsid w:val="00FA33B3"/>
    <w:rsid w:val="00FA36D1"/>
    <w:rsid w:val="00FA4BBF"/>
    <w:rsid w:val="00FA520F"/>
    <w:rsid w:val="00FA5261"/>
    <w:rsid w:val="00FA6326"/>
    <w:rsid w:val="00FA6579"/>
    <w:rsid w:val="00FA6689"/>
    <w:rsid w:val="00FA66D2"/>
    <w:rsid w:val="00FA7198"/>
    <w:rsid w:val="00FB0212"/>
    <w:rsid w:val="00FB0C05"/>
    <w:rsid w:val="00FB21EA"/>
    <w:rsid w:val="00FB2608"/>
    <w:rsid w:val="00FB2CE9"/>
    <w:rsid w:val="00FB2F70"/>
    <w:rsid w:val="00FB3D6D"/>
    <w:rsid w:val="00FB49B5"/>
    <w:rsid w:val="00FB49BE"/>
    <w:rsid w:val="00FB57A1"/>
    <w:rsid w:val="00FB5C78"/>
    <w:rsid w:val="00FB716D"/>
    <w:rsid w:val="00FB71F4"/>
    <w:rsid w:val="00FC0163"/>
    <w:rsid w:val="00FC0DE9"/>
    <w:rsid w:val="00FC1AA3"/>
    <w:rsid w:val="00FC32A9"/>
    <w:rsid w:val="00FC7330"/>
    <w:rsid w:val="00FC733A"/>
    <w:rsid w:val="00FC7340"/>
    <w:rsid w:val="00FD16B4"/>
    <w:rsid w:val="00FD2A55"/>
    <w:rsid w:val="00FD2DFA"/>
    <w:rsid w:val="00FD3386"/>
    <w:rsid w:val="00FD3843"/>
    <w:rsid w:val="00FD4482"/>
    <w:rsid w:val="00FD451C"/>
    <w:rsid w:val="00FD4C4A"/>
    <w:rsid w:val="00FD5545"/>
    <w:rsid w:val="00FD5A5A"/>
    <w:rsid w:val="00FD6149"/>
    <w:rsid w:val="00FD6639"/>
    <w:rsid w:val="00FD72C8"/>
    <w:rsid w:val="00FD745E"/>
    <w:rsid w:val="00FD78BE"/>
    <w:rsid w:val="00FD7D1C"/>
    <w:rsid w:val="00FE0B2E"/>
    <w:rsid w:val="00FE13D8"/>
    <w:rsid w:val="00FE159A"/>
    <w:rsid w:val="00FE1EC5"/>
    <w:rsid w:val="00FE1FBB"/>
    <w:rsid w:val="00FE254E"/>
    <w:rsid w:val="00FE2623"/>
    <w:rsid w:val="00FE26B3"/>
    <w:rsid w:val="00FE2762"/>
    <w:rsid w:val="00FE335E"/>
    <w:rsid w:val="00FE43C9"/>
    <w:rsid w:val="00FE4515"/>
    <w:rsid w:val="00FE4732"/>
    <w:rsid w:val="00FE520E"/>
    <w:rsid w:val="00FE527A"/>
    <w:rsid w:val="00FE5622"/>
    <w:rsid w:val="00FE5761"/>
    <w:rsid w:val="00FE5C98"/>
    <w:rsid w:val="00FE5E8B"/>
    <w:rsid w:val="00FE5F47"/>
    <w:rsid w:val="00FE5F94"/>
    <w:rsid w:val="00FE6073"/>
    <w:rsid w:val="00FF05D9"/>
    <w:rsid w:val="00FF08DD"/>
    <w:rsid w:val="00FF0D10"/>
    <w:rsid w:val="00FF139C"/>
    <w:rsid w:val="00FF1B92"/>
    <w:rsid w:val="00FF1D52"/>
    <w:rsid w:val="00FF1E38"/>
    <w:rsid w:val="00FF28DF"/>
    <w:rsid w:val="00FF3AAD"/>
    <w:rsid w:val="00FF3B2D"/>
    <w:rsid w:val="00FF42B0"/>
    <w:rsid w:val="00FF4948"/>
    <w:rsid w:val="00FF4C2E"/>
    <w:rsid w:val="00FF4DDD"/>
    <w:rsid w:val="00FF4F6D"/>
    <w:rsid w:val="00FF4FD0"/>
    <w:rsid w:val="00FF570B"/>
    <w:rsid w:val="00FF5DAE"/>
    <w:rsid w:val="00FF617F"/>
    <w:rsid w:val="00FF6377"/>
    <w:rsid w:val="00FF6A7E"/>
    <w:rsid w:val="00FF6C50"/>
    <w:rsid w:val="00FF745D"/>
    <w:rsid w:val="00FF781F"/>
    <w:rsid w:val="00FF7EAA"/>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3EAD6B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paragraph" w:styleId="Heading3">
    <w:name w:val="heading 3"/>
    <w:basedOn w:val="Normal"/>
    <w:next w:val="Normal"/>
    <w:link w:val="Heading3Char"/>
    <w:semiHidden/>
    <w:unhideWhenUsed/>
    <w:qFormat/>
    <w:rsid w:val="008B0373"/>
    <w:pPr>
      <w:keepNext/>
      <w:keepLines/>
      <w:spacing w:before="40" w:after="0"/>
      <w:outlineLvl w:val="2"/>
    </w:pPr>
    <w:rPr>
      <w:rFonts w:asciiTheme="majorHAnsi" w:eastAsiaTheme="majorEastAsia" w:hAnsiTheme="majorHAnsi" w:cstheme="majorBidi"/>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uiPriority w:val="20"/>
    <w:qFormat/>
    <w:rsid w:val="00B507BE"/>
    <w:rPr>
      <w:i/>
      <w:iCs/>
    </w:rPr>
  </w:style>
  <w:style w:type="character" w:styleId="Strong">
    <w:name w:val="Strong"/>
    <w:basedOn w:val="DefaultParagraphFont"/>
    <w:uiPriority w:val="22"/>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iPriority w:val="99"/>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uiPriority w:val="99"/>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iPriority w:val="99"/>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2"/>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ms-crm-lookup-item">
    <w:name w:val="ms-crm-lookup-item"/>
    <w:basedOn w:val="DefaultParagraphFont"/>
    <w:rsid w:val="00B8785A"/>
  </w:style>
  <w:style w:type="character" w:customStyle="1" w:styleId="cf01">
    <w:name w:val="cf01"/>
    <w:basedOn w:val="DefaultParagraphFont"/>
    <w:rsid w:val="002F1211"/>
    <w:rPr>
      <w:rFonts w:ascii="Segoe UI" w:hAnsi="Segoe UI" w:cs="Segoe UI" w:hint="default"/>
      <w:sz w:val="18"/>
      <w:szCs w:val="18"/>
    </w:rPr>
  </w:style>
  <w:style w:type="paragraph" w:styleId="ListParagraph">
    <w:name w:val="List Paragraph"/>
    <w:basedOn w:val="Normal"/>
    <w:link w:val="ListParagraphChar"/>
    <w:uiPriority w:val="34"/>
    <w:qFormat/>
    <w:rsid w:val="00FF4948"/>
    <w:pPr>
      <w:spacing w:before="0" w:after="200" w:line="276" w:lineRule="auto"/>
      <w:ind w:left="720"/>
      <w:contextualSpacing/>
    </w:pPr>
    <w:rPr>
      <w:rFonts w:ascii="Calibri" w:eastAsia="Calibri" w:hAnsi="Calibri"/>
      <w:i w:val="0"/>
      <w:sz w:val="22"/>
      <w:szCs w:val="22"/>
    </w:rPr>
  </w:style>
  <w:style w:type="character" w:customStyle="1" w:styleId="ListParagraphChar">
    <w:name w:val="List Paragraph Char"/>
    <w:basedOn w:val="DefaultParagraphFont"/>
    <w:link w:val="ListParagraph"/>
    <w:uiPriority w:val="34"/>
    <w:locked/>
    <w:rsid w:val="00FF4948"/>
    <w:rPr>
      <w:rFonts w:ascii="Calibri" w:eastAsia="Calibri" w:hAnsi="Calibri"/>
      <w:sz w:val="22"/>
      <w:szCs w:val="22"/>
      <w:lang w:eastAsia="en-US"/>
    </w:rPr>
  </w:style>
  <w:style w:type="character" w:styleId="UnresolvedMention">
    <w:name w:val="Unresolved Mention"/>
    <w:basedOn w:val="DefaultParagraphFont"/>
    <w:uiPriority w:val="99"/>
    <w:semiHidden/>
    <w:unhideWhenUsed/>
    <w:rsid w:val="00516EBA"/>
    <w:rPr>
      <w:color w:val="605E5C"/>
      <w:shd w:val="clear" w:color="auto" w:fill="E1DFDD"/>
    </w:rPr>
  </w:style>
  <w:style w:type="paragraph" w:customStyle="1" w:styleId="pf0">
    <w:name w:val="pf0"/>
    <w:basedOn w:val="Normal"/>
    <w:rsid w:val="003E4825"/>
    <w:pPr>
      <w:spacing w:before="100" w:beforeAutospacing="1" w:after="100" w:afterAutospacing="1" w:line="240" w:lineRule="auto"/>
    </w:pPr>
    <w:rPr>
      <w:rFonts w:ascii="Times New Roman" w:hAnsi="Times New Roman"/>
      <w:i w:val="0"/>
      <w:sz w:val="24"/>
      <w:lang w:eastAsia="en-AU"/>
    </w:rPr>
  </w:style>
  <w:style w:type="paragraph" w:customStyle="1" w:styleId="ssrcss-1q0x1qg-paragraph">
    <w:name w:val="ssrcss-1q0x1qg-paragraph"/>
    <w:basedOn w:val="Normal"/>
    <w:rsid w:val="00E546B2"/>
    <w:pPr>
      <w:spacing w:before="100" w:beforeAutospacing="1" w:after="100" w:afterAutospacing="1" w:line="240" w:lineRule="auto"/>
    </w:pPr>
    <w:rPr>
      <w:rFonts w:ascii="Times New Roman" w:hAnsi="Times New Roman"/>
      <w:i w:val="0"/>
      <w:sz w:val="24"/>
      <w:lang w:eastAsia="en-AU"/>
    </w:rPr>
  </w:style>
  <w:style w:type="paragraph" w:customStyle="1" w:styleId="1hzxw">
    <w:name w:val="_1hzxw"/>
    <w:basedOn w:val="Normal"/>
    <w:rsid w:val="00D51FB1"/>
    <w:pPr>
      <w:spacing w:before="100" w:beforeAutospacing="1" w:after="100" w:afterAutospacing="1" w:line="240" w:lineRule="auto"/>
    </w:pPr>
    <w:rPr>
      <w:rFonts w:ascii="Times New Roman" w:hAnsi="Times New Roman"/>
      <w:i w:val="0"/>
      <w:sz w:val="24"/>
      <w:lang w:eastAsia="en-AU"/>
    </w:rPr>
  </w:style>
  <w:style w:type="paragraph" w:styleId="BodyText">
    <w:name w:val="Body Text"/>
    <w:basedOn w:val="Normal"/>
    <w:link w:val="BodyTextChar"/>
    <w:semiHidden/>
    <w:unhideWhenUsed/>
    <w:rsid w:val="00667114"/>
    <w:pPr>
      <w:spacing w:after="120"/>
    </w:pPr>
  </w:style>
  <w:style w:type="character" w:customStyle="1" w:styleId="BodyTextChar">
    <w:name w:val="Body Text Char"/>
    <w:basedOn w:val="DefaultParagraphFont"/>
    <w:link w:val="BodyText"/>
    <w:semiHidden/>
    <w:rsid w:val="00667114"/>
    <w:rPr>
      <w:rFonts w:ascii="Arial" w:hAnsi="Arial"/>
      <w:i/>
      <w:szCs w:val="24"/>
      <w:lang w:eastAsia="en-US"/>
    </w:rPr>
  </w:style>
  <w:style w:type="character" w:customStyle="1" w:styleId="Heading3Char">
    <w:name w:val="Heading 3 Char"/>
    <w:basedOn w:val="DefaultParagraphFont"/>
    <w:link w:val="Heading3"/>
    <w:semiHidden/>
    <w:rsid w:val="008B0373"/>
    <w:rPr>
      <w:rFonts w:asciiTheme="majorHAnsi" w:eastAsiaTheme="majorEastAsia" w:hAnsiTheme="majorHAnsi" w:cstheme="majorBidi"/>
      <w:i/>
      <w:color w:val="243F60" w:themeColor="accent1" w:themeShade="7F"/>
      <w:sz w:val="24"/>
      <w:szCs w:val="24"/>
      <w:lang w:eastAsia="en-US"/>
    </w:rPr>
  </w:style>
  <w:style w:type="paragraph" w:customStyle="1" w:styleId="ACMANumberedList">
    <w:name w:val="ACMA Numbered List"/>
    <w:qFormat/>
    <w:rsid w:val="00C771B7"/>
    <w:pPr>
      <w:numPr>
        <w:numId w:val="37"/>
      </w:numPr>
      <w:spacing w:before="20" w:after="20"/>
    </w:pPr>
    <w:rPr>
      <w:sz w:val="24"/>
      <w:lang w:eastAsia="en-US"/>
    </w:rPr>
  </w:style>
  <w:style w:type="character" w:styleId="LineNumber">
    <w:name w:val="line number"/>
    <w:basedOn w:val="DefaultParagraphFont"/>
    <w:semiHidden/>
    <w:unhideWhenUsed/>
    <w:rsid w:val="005B3BB8"/>
  </w:style>
  <w:style w:type="paragraph" w:customStyle="1" w:styleId="ABABodyText">
    <w:name w:val="ABA Body Text"/>
    <w:link w:val="ABABodyTextChar"/>
    <w:rsid w:val="00945325"/>
    <w:pPr>
      <w:suppressAutoHyphens/>
      <w:spacing w:before="80" w:after="120" w:line="280" w:lineRule="atLeast"/>
    </w:pPr>
    <w:rPr>
      <w:snapToGrid w:val="0"/>
      <w:sz w:val="24"/>
      <w:lang w:eastAsia="en-US"/>
    </w:rPr>
  </w:style>
  <w:style w:type="character" w:customStyle="1" w:styleId="ABABodyTextChar">
    <w:name w:val="ABA Body Text Char"/>
    <w:basedOn w:val="DefaultParagraphFont"/>
    <w:link w:val="ABABodyText"/>
    <w:locked/>
    <w:rsid w:val="00945325"/>
    <w:rPr>
      <w:snapToGrid w:val="0"/>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47393">
      <w:bodyDiv w:val="1"/>
      <w:marLeft w:val="0"/>
      <w:marRight w:val="0"/>
      <w:marTop w:val="0"/>
      <w:marBottom w:val="0"/>
      <w:divBdr>
        <w:top w:val="none" w:sz="0" w:space="0" w:color="auto"/>
        <w:left w:val="none" w:sz="0" w:space="0" w:color="auto"/>
        <w:bottom w:val="none" w:sz="0" w:space="0" w:color="auto"/>
        <w:right w:val="none" w:sz="0" w:space="0" w:color="auto"/>
      </w:divBdr>
    </w:div>
    <w:div w:id="62408679">
      <w:bodyDiv w:val="1"/>
      <w:marLeft w:val="0"/>
      <w:marRight w:val="0"/>
      <w:marTop w:val="0"/>
      <w:marBottom w:val="0"/>
      <w:divBdr>
        <w:top w:val="none" w:sz="0" w:space="0" w:color="auto"/>
        <w:left w:val="none" w:sz="0" w:space="0" w:color="auto"/>
        <w:bottom w:val="none" w:sz="0" w:space="0" w:color="auto"/>
        <w:right w:val="none" w:sz="0" w:space="0" w:color="auto"/>
      </w:divBdr>
    </w:div>
    <w:div w:id="123351642">
      <w:bodyDiv w:val="1"/>
      <w:marLeft w:val="0"/>
      <w:marRight w:val="0"/>
      <w:marTop w:val="0"/>
      <w:marBottom w:val="0"/>
      <w:divBdr>
        <w:top w:val="none" w:sz="0" w:space="0" w:color="auto"/>
        <w:left w:val="none" w:sz="0" w:space="0" w:color="auto"/>
        <w:bottom w:val="none" w:sz="0" w:space="0" w:color="auto"/>
        <w:right w:val="none" w:sz="0" w:space="0" w:color="auto"/>
      </w:divBdr>
    </w:div>
    <w:div w:id="165482237">
      <w:bodyDiv w:val="1"/>
      <w:marLeft w:val="0"/>
      <w:marRight w:val="0"/>
      <w:marTop w:val="0"/>
      <w:marBottom w:val="0"/>
      <w:divBdr>
        <w:top w:val="none" w:sz="0" w:space="0" w:color="auto"/>
        <w:left w:val="none" w:sz="0" w:space="0" w:color="auto"/>
        <w:bottom w:val="none" w:sz="0" w:space="0" w:color="auto"/>
        <w:right w:val="none" w:sz="0" w:space="0" w:color="auto"/>
      </w:divBdr>
      <w:divsChild>
        <w:div w:id="1394507458">
          <w:marLeft w:val="0"/>
          <w:marRight w:val="0"/>
          <w:marTop w:val="0"/>
          <w:marBottom w:val="0"/>
          <w:divBdr>
            <w:top w:val="none" w:sz="0" w:space="0" w:color="auto"/>
            <w:left w:val="none" w:sz="0" w:space="0" w:color="auto"/>
            <w:bottom w:val="none" w:sz="0" w:space="0" w:color="auto"/>
            <w:right w:val="none" w:sz="0" w:space="0" w:color="auto"/>
          </w:divBdr>
          <w:divsChild>
            <w:div w:id="1242525976">
              <w:marLeft w:val="0"/>
              <w:marRight w:val="0"/>
              <w:marTop w:val="0"/>
              <w:marBottom w:val="0"/>
              <w:divBdr>
                <w:top w:val="none" w:sz="0" w:space="0" w:color="auto"/>
                <w:left w:val="none" w:sz="0" w:space="0" w:color="auto"/>
                <w:bottom w:val="none" w:sz="0" w:space="0" w:color="auto"/>
                <w:right w:val="none" w:sz="0" w:space="0" w:color="auto"/>
              </w:divBdr>
              <w:divsChild>
                <w:div w:id="1119182663">
                  <w:marLeft w:val="0"/>
                  <w:marRight w:val="0"/>
                  <w:marTop w:val="0"/>
                  <w:marBottom w:val="0"/>
                  <w:divBdr>
                    <w:top w:val="none" w:sz="0" w:space="0" w:color="auto"/>
                    <w:left w:val="none" w:sz="0" w:space="0" w:color="auto"/>
                    <w:bottom w:val="none" w:sz="0" w:space="0" w:color="auto"/>
                    <w:right w:val="none" w:sz="0" w:space="0" w:color="auto"/>
                  </w:divBdr>
                  <w:divsChild>
                    <w:div w:id="1361395882">
                      <w:marLeft w:val="0"/>
                      <w:marRight w:val="0"/>
                      <w:marTop w:val="0"/>
                      <w:marBottom w:val="0"/>
                      <w:divBdr>
                        <w:top w:val="none" w:sz="0" w:space="0" w:color="auto"/>
                        <w:left w:val="none" w:sz="0" w:space="0" w:color="auto"/>
                        <w:bottom w:val="none" w:sz="0" w:space="0" w:color="auto"/>
                        <w:right w:val="none" w:sz="0" w:space="0" w:color="auto"/>
                      </w:divBdr>
                      <w:divsChild>
                        <w:div w:id="821428856">
                          <w:marLeft w:val="0"/>
                          <w:marRight w:val="0"/>
                          <w:marTop w:val="0"/>
                          <w:marBottom w:val="0"/>
                          <w:divBdr>
                            <w:top w:val="none" w:sz="0" w:space="0" w:color="auto"/>
                            <w:left w:val="none" w:sz="0" w:space="0" w:color="auto"/>
                            <w:bottom w:val="none" w:sz="0" w:space="0" w:color="auto"/>
                            <w:right w:val="none" w:sz="0" w:space="0" w:color="auto"/>
                          </w:divBdr>
                          <w:divsChild>
                            <w:div w:id="916941072">
                              <w:marLeft w:val="0"/>
                              <w:marRight w:val="0"/>
                              <w:marTop w:val="0"/>
                              <w:marBottom w:val="0"/>
                              <w:divBdr>
                                <w:top w:val="none" w:sz="0" w:space="0" w:color="auto"/>
                                <w:left w:val="none" w:sz="0" w:space="0" w:color="auto"/>
                                <w:bottom w:val="none" w:sz="0" w:space="0" w:color="auto"/>
                                <w:right w:val="none" w:sz="0" w:space="0" w:color="auto"/>
                              </w:divBdr>
                              <w:divsChild>
                                <w:div w:id="1696347234">
                                  <w:marLeft w:val="0"/>
                                  <w:marRight w:val="0"/>
                                  <w:marTop w:val="0"/>
                                  <w:marBottom w:val="0"/>
                                  <w:divBdr>
                                    <w:top w:val="none" w:sz="0" w:space="0" w:color="auto"/>
                                    <w:left w:val="none" w:sz="0" w:space="0" w:color="auto"/>
                                    <w:bottom w:val="none" w:sz="0" w:space="0" w:color="auto"/>
                                    <w:right w:val="none" w:sz="0" w:space="0" w:color="auto"/>
                                  </w:divBdr>
                                  <w:divsChild>
                                    <w:div w:id="962272684">
                                      <w:marLeft w:val="0"/>
                                      <w:marRight w:val="0"/>
                                      <w:marTop w:val="0"/>
                                      <w:marBottom w:val="0"/>
                                      <w:divBdr>
                                        <w:top w:val="none" w:sz="0" w:space="0" w:color="auto"/>
                                        <w:left w:val="none" w:sz="0" w:space="0" w:color="auto"/>
                                        <w:bottom w:val="none" w:sz="0" w:space="0" w:color="auto"/>
                                        <w:right w:val="none" w:sz="0" w:space="0" w:color="auto"/>
                                      </w:divBdr>
                                      <w:divsChild>
                                        <w:div w:id="1194075076">
                                          <w:marLeft w:val="0"/>
                                          <w:marRight w:val="0"/>
                                          <w:marTop w:val="0"/>
                                          <w:marBottom w:val="0"/>
                                          <w:divBdr>
                                            <w:top w:val="none" w:sz="0" w:space="0" w:color="auto"/>
                                            <w:left w:val="none" w:sz="0" w:space="0" w:color="auto"/>
                                            <w:bottom w:val="none" w:sz="0" w:space="0" w:color="auto"/>
                                            <w:right w:val="none" w:sz="0" w:space="0" w:color="auto"/>
                                          </w:divBdr>
                                          <w:divsChild>
                                            <w:div w:id="1507743165">
                                              <w:marLeft w:val="0"/>
                                              <w:marRight w:val="0"/>
                                              <w:marTop w:val="0"/>
                                              <w:marBottom w:val="0"/>
                                              <w:divBdr>
                                                <w:top w:val="none" w:sz="0" w:space="0" w:color="auto"/>
                                                <w:left w:val="none" w:sz="0" w:space="0" w:color="auto"/>
                                                <w:bottom w:val="none" w:sz="0" w:space="0" w:color="auto"/>
                                                <w:right w:val="none" w:sz="0" w:space="0" w:color="auto"/>
                                              </w:divBdr>
                                              <w:divsChild>
                                                <w:div w:id="196898172">
                                                  <w:marLeft w:val="0"/>
                                                  <w:marRight w:val="0"/>
                                                  <w:marTop w:val="0"/>
                                                  <w:marBottom w:val="0"/>
                                                  <w:divBdr>
                                                    <w:top w:val="none" w:sz="0" w:space="0" w:color="auto"/>
                                                    <w:left w:val="none" w:sz="0" w:space="0" w:color="auto"/>
                                                    <w:bottom w:val="none" w:sz="0" w:space="0" w:color="auto"/>
                                                    <w:right w:val="none" w:sz="0" w:space="0" w:color="auto"/>
                                                  </w:divBdr>
                                                  <w:divsChild>
                                                    <w:div w:id="870267955">
                                                      <w:marLeft w:val="0"/>
                                                      <w:marRight w:val="0"/>
                                                      <w:marTop w:val="0"/>
                                                      <w:marBottom w:val="0"/>
                                                      <w:divBdr>
                                                        <w:top w:val="none" w:sz="0" w:space="0" w:color="auto"/>
                                                        <w:left w:val="none" w:sz="0" w:space="0" w:color="auto"/>
                                                        <w:bottom w:val="none" w:sz="0" w:space="0" w:color="auto"/>
                                                        <w:right w:val="none" w:sz="0" w:space="0" w:color="auto"/>
                                                      </w:divBdr>
                                                      <w:divsChild>
                                                        <w:div w:id="1547713892">
                                                          <w:marLeft w:val="0"/>
                                                          <w:marRight w:val="0"/>
                                                          <w:marTop w:val="0"/>
                                                          <w:marBottom w:val="0"/>
                                                          <w:divBdr>
                                                            <w:top w:val="none" w:sz="0" w:space="0" w:color="auto"/>
                                                            <w:left w:val="none" w:sz="0" w:space="0" w:color="auto"/>
                                                            <w:bottom w:val="none" w:sz="0" w:space="0" w:color="auto"/>
                                                            <w:right w:val="none" w:sz="0" w:space="0" w:color="auto"/>
                                                          </w:divBdr>
                                                          <w:divsChild>
                                                            <w:div w:id="964847942">
                                                              <w:marLeft w:val="0"/>
                                                              <w:marRight w:val="0"/>
                                                              <w:marTop w:val="0"/>
                                                              <w:marBottom w:val="0"/>
                                                              <w:divBdr>
                                                                <w:top w:val="none" w:sz="0" w:space="0" w:color="auto"/>
                                                                <w:left w:val="none" w:sz="0" w:space="0" w:color="auto"/>
                                                                <w:bottom w:val="none" w:sz="0" w:space="0" w:color="auto"/>
                                                                <w:right w:val="none" w:sz="0" w:space="0" w:color="auto"/>
                                                              </w:divBdr>
                                                              <w:divsChild>
                                                                <w:div w:id="1572999864">
                                                                  <w:marLeft w:val="0"/>
                                                                  <w:marRight w:val="0"/>
                                                                  <w:marTop w:val="0"/>
                                                                  <w:marBottom w:val="0"/>
                                                                  <w:divBdr>
                                                                    <w:top w:val="none" w:sz="0" w:space="0" w:color="auto"/>
                                                                    <w:left w:val="none" w:sz="0" w:space="0" w:color="auto"/>
                                                                    <w:bottom w:val="none" w:sz="0" w:space="0" w:color="auto"/>
                                                                    <w:right w:val="none" w:sz="0" w:space="0" w:color="auto"/>
                                                                  </w:divBdr>
                                                                  <w:divsChild>
                                                                    <w:div w:id="1465536463">
                                                                      <w:marLeft w:val="0"/>
                                                                      <w:marRight w:val="0"/>
                                                                      <w:marTop w:val="0"/>
                                                                      <w:marBottom w:val="0"/>
                                                                      <w:divBdr>
                                                                        <w:top w:val="none" w:sz="0" w:space="0" w:color="auto"/>
                                                                        <w:left w:val="none" w:sz="0" w:space="0" w:color="auto"/>
                                                                        <w:bottom w:val="none" w:sz="0" w:space="0" w:color="auto"/>
                                                                        <w:right w:val="none" w:sz="0" w:space="0" w:color="auto"/>
                                                                      </w:divBdr>
                                                                      <w:divsChild>
                                                                        <w:div w:id="562102356">
                                                                          <w:marLeft w:val="0"/>
                                                                          <w:marRight w:val="0"/>
                                                                          <w:marTop w:val="0"/>
                                                                          <w:marBottom w:val="0"/>
                                                                          <w:divBdr>
                                                                            <w:top w:val="none" w:sz="0" w:space="0" w:color="auto"/>
                                                                            <w:left w:val="none" w:sz="0" w:space="0" w:color="auto"/>
                                                                            <w:bottom w:val="none" w:sz="0" w:space="0" w:color="auto"/>
                                                                            <w:right w:val="none" w:sz="0" w:space="0" w:color="auto"/>
                                                                          </w:divBdr>
                                                                          <w:divsChild>
                                                                            <w:div w:id="1332877141">
                                                                              <w:marLeft w:val="0"/>
                                                                              <w:marRight w:val="0"/>
                                                                              <w:marTop w:val="0"/>
                                                                              <w:marBottom w:val="0"/>
                                                                              <w:divBdr>
                                                                                <w:top w:val="none" w:sz="0" w:space="0" w:color="auto"/>
                                                                                <w:left w:val="none" w:sz="0" w:space="0" w:color="auto"/>
                                                                                <w:bottom w:val="none" w:sz="0" w:space="0" w:color="auto"/>
                                                                                <w:right w:val="none" w:sz="0" w:space="0" w:color="auto"/>
                                                                              </w:divBdr>
                                                                              <w:divsChild>
                                                                                <w:div w:id="883952743">
                                                                                  <w:marLeft w:val="0"/>
                                                                                  <w:marRight w:val="0"/>
                                                                                  <w:marTop w:val="0"/>
                                                                                  <w:marBottom w:val="0"/>
                                                                                  <w:divBdr>
                                                                                    <w:top w:val="none" w:sz="0" w:space="0" w:color="auto"/>
                                                                                    <w:left w:val="none" w:sz="0" w:space="0" w:color="auto"/>
                                                                                    <w:bottom w:val="none" w:sz="0" w:space="0" w:color="auto"/>
                                                                                    <w:right w:val="none" w:sz="0" w:space="0" w:color="auto"/>
                                                                                  </w:divBdr>
                                                                                  <w:divsChild>
                                                                                    <w:div w:id="1724984124">
                                                                                      <w:marLeft w:val="0"/>
                                                                                      <w:marRight w:val="0"/>
                                                                                      <w:marTop w:val="0"/>
                                                                                      <w:marBottom w:val="0"/>
                                                                                      <w:divBdr>
                                                                                        <w:top w:val="none" w:sz="0" w:space="0" w:color="auto"/>
                                                                                        <w:left w:val="none" w:sz="0" w:space="0" w:color="auto"/>
                                                                                        <w:bottom w:val="none" w:sz="0" w:space="0" w:color="auto"/>
                                                                                        <w:right w:val="none" w:sz="0" w:space="0" w:color="auto"/>
                                                                                      </w:divBdr>
                                                                                      <w:divsChild>
                                                                                        <w:div w:id="1425762307">
                                                                                          <w:marLeft w:val="0"/>
                                                                                          <w:marRight w:val="0"/>
                                                                                          <w:marTop w:val="0"/>
                                                                                          <w:marBottom w:val="0"/>
                                                                                          <w:divBdr>
                                                                                            <w:top w:val="none" w:sz="0" w:space="0" w:color="auto"/>
                                                                                            <w:left w:val="none" w:sz="0" w:space="0" w:color="auto"/>
                                                                                            <w:bottom w:val="none" w:sz="0" w:space="0" w:color="auto"/>
                                                                                            <w:right w:val="none" w:sz="0" w:space="0" w:color="auto"/>
                                                                                          </w:divBdr>
                                                                                          <w:divsChild>
                                                                                            <w:div w:id="1801802183">
                                                                                              <w:marLeft w:val="0"/>
                                                                                              <w:marRight w:val="0"/>
                                                                                              <w:marTop w:val="0"/>
                                                                                              <w:marBottom w:val="0"/>
                                                                                              <w:divBdr>
                                                                                                <w:top w:val="none" w:sz="0" w:space="0" w:color="auto"/>
                                                                                                <w:left w:val="none" w:sz="0" w:space="0" w:color="auto"/>
                                                                                                <w:bottom w:val="none" w:sz="0" w:space="0" w:color="auto"/>
                                                                                                <w:right w:val="none" w:sz="0" w:space="0" w:color="auto"/>
                                                                                              </w:divBdr>
                                                                                              <w:divsChild>
                                                                                                <w:div w:id="792482407">
                                                                                                  <w:marLeft w:val="0"/>
                                                                                                  <w:marRight w:val="0"/>
                                                                                                  <w:marTop w:val="0"/>
                                                                                                  <w:marBottom w:val="0"/>
                                                                                                  <w:divBdr>
                                                                                                    <w:top w:val="none" w:sz="0" w:space="0" w:color="auto"/>
                                                                                                    <w:left w:val="none" w:sz="0" w:space="0" w:color="auto"/>
                                                                                                    <w:bottom w:val="none" w:sz="0" w:space="0" w:color="auto"/>
                                                                                                    <w:right w:val="none" w:sz="0" w:space="0" w:color="auto"/>
                                                                                                  </w:divBdr>
                                                                                                  <w:divsChild>
                                                                                                    <w:div w:id="1234001337">
                                                                                                      <w:marLeft w:val="0"/>
                                                                                                      <w:marRight w:val="0"/>
                                                                                                      <w:marTop w:val="0"/>
                                                                                                      <w:marBottom w:val="0"/>
                                                                                                      <w:divBdr>
                                                                                                        <w:top w:val="none" w:sz="0" w:space="0" w:color="auto"/>
                                                                                                        <w:left w:val="none" w:sz="0" w:space="0" w:color="auto"/>
                                                                                                        <w:bottom w:val="none" w:sz="0" w:space="0" w:color="auto"/>
                                                                                                        <w:right w:val="none" w:sz="0" w:space="0" w:color="auto"/>
                                                                                                      </w:divBdr>
                                                                                                      <w:divsChild>
                                                                                                        <w:div w:id="120271203">
                                                                                                          <w:marLeft w:val="0"/>
                                                                                                          <w:marRight w:val="0"/>
                                                                                                          <w:marTop w:val="0"/>
                                                                                                          <w:marBottom w:val="0"/>
                                                                                                          <w:divBdr>
                                                                                                            <w:top w:val="none" w:sz="0" w:space="0" w:color="auto"/>
                                                                                                            <w:left w:val="none" w:sz="0" w:space="0" w:color="auto"/>
                                                                                                            <w:bottom w:val="none" w:sz="0" w:space="0" w:color="auto"/>
                                                                                                            <w:right w:val="none" w:sz="0" w:space="0" w:color="auto"/>
                                                                                                          </w:divBdr>
                                                                                                          <w:divsChild>
                                                                                                            <w:div w:id="1089428026">
                                                                                                              <w:marLeft w:val="0"/>
                                                                                                              <w:marRight w:val="0"/>
                                                                                                              <w:marTop w:val="0"/>
                                                                                                              <w:marBottom w:val="0"/>
                                                                                                              <w:divBdr>
                                                                                                                <w:top w:val="none" w:sz="0" w:space="0" w:color="auto"/>
                                                                                                                <w:left w:val="none" w:sz="0" w:space="0" w:color="auto"/>
                                                                                                                <w:bottom w:val="none" w:sz="0" w:space="0" w:color="auto"/>
                                                                                                                <w:right w:val="none" w:sz="0" w:space="0" w:color="auto"/>
                                                                                                              </w:divBdr>
                                                                                                              <w:divsChild>
                                                                                                                <w:div w:id="1952515724">
                                                                                                                  <w:marLeft w:val="0"/>
                                                                                                                  <w:marRight w:val="0"/>
                                                                                                                  <w:marTop w:val="0"/>
                                                                                                                  <w:marBottom w:val="0"/>
                                                                                                                  <w:divBdr>
                                                                                                                    <w:top w:val="none" w:sz="0" w:space="0" w:color="auto"/>
                                                                                                                    <w:left w:val="none" w:sz="0" w:space="0" w:color="auto"/>
                                                                                                                    <w:bottom w:val="none" w:sz="0" w:space="0" w:color="auto"/>
                                                                                                                    <w:right w:val="none" w:sz="0" w:space="0" w:color="auto"/>
                                                                                                                  </w:divBdr>
                                                                                                                  <w:divsChild>
                                                                                                                    <w:div w:id="1173566458">
                                                                                                                      <w:marLeft w:val="0"/>
                                                                                                                      <w:marRight w:val="0"/>
                                                                                                                      <w:marTop w:val="0"/>
                                                                                                                      <w:marBottom w:val="0"/>
                                                                                                                      <w:divBdr>
                                                                                                                        <w:top w:val="none" w:sz="0" w:space="0" w:color="auto"/>
                                                                                                                        <w:left w:val="none" w:sz="0" w:space="0" w:color="auto"/>
                                                                                                                        <w:bottom w:val="none" w:sz="0" w:space="0" w:color="auto"/>
                                                                                                                        <w:right w:val="none" w:sz="0" w:space="0" w:color="auto"/>
                                                                                                                      </w:divBdr>
                                                                                                                      <w:divsChild>
                                                                                                                        <w:div w:id="452024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659732">
      <w:bodyDiv w:val="1"/>
      <w:marLeft w:val="0"/>
      <w:marRight w:val="0"/>
      <w:marTop w:val="0"/>
      <w:marBottom w:val="0"/>
      <w:divBdr>
        <w:top w:val="none" w:sz="0" w:space="0" w:color="auto"/>
        <w:left w:val="none" w:sz="0" w:space="0" w:color="auto"/>
        <w:bottom w:val="none" w:sz="0" w:space="0" w:color="auto"/>
        <w:right w:val="none" w:sz="0" w:space="0" w:color="auto"/>
      </w:divBdr>
    </w:div>
    <w:div w:id="204876072">
      <w:bodyDiv w:val="1"/>
      <w:marLeft w:val="0"/>
      <w:marRight w:val="0"/>
      <w:marTop w:val="0"/>
      <w:marBottom w:val="0"/>
      <w:divBdr>
        <w:top w:val="none" w:sz="0" w:space="0" w:color="auto"/>
        <w:left w:val="none" w:sz="0" w:space="0" w:color="auto"/>
        <w:bottom w:val="none" w:sz="0" w:space="0" w:color="auto"/>
        <w:right w:val="none" w:sz="0" w:space="0" w:color="auto"/>
      </w:divBdr>
    </w:div>
    <w:div w:id="273363136">
      <w:bodyDiv w:val="1"/>
      <w:marLeft w:val="0"/>
      <w:marRight w:val="0"/>
      <w:marTop w:val="0"/>
      <w:marBottom w:val="0"/>
      <w:divBdr>
        <w:top w:val="none" w:sz="0" w:space="0" w:color="auto"/>
        <w:left w:val="none" w:sz="0" w:space="0" w:color="auto"/>
        <w:bottom w:val="none" w:sz="0" w:space="0" w:color="auto"/>
        <w:right w:val="none" w:sz="0" w:space="0" w:color="auto"/>
      </w:divBdr>
    </w:div>
    <w:div w:id="299657282">
      <w:bodyDiv w:val="1"/>
      <w:marLeft w:val="0"/>
      <w:marRight w:val="0"/>
      <w:marTop w:val="0"/>
      <w:marBottom w:val="0"/>
      <w:divBdr>
        <w:top w:val="none" w:sz="0" w:space="0" w:color="auto"/>
        <w:left w:val="none" w:sz="0" w:space="0" w:color="auto"/>
        <w:bottom w:val="none" w:sz="0" w:space="0" w:color="auto"/>
        <w:right w:val="none" w:sz="0" w:space="0" w:color="auto"/>
      </w:divBdr>
    </w:div>
    <w:div w:id="333144813">
      <w:bodyDiv w:val="1"/>
      <w:marLeft w:val="0"/>
      <w:marRight w:val="0"/>
      <w:marTop w:val="0"/>
      <w:marBottom w:val="0"/>
      <w:divBdr>
        <w:top w:val="none" w:sz="0" w:space="0" w:color="auto"/>
        <w:left w:val="none" w:sz="0" w:space="0" w:color="auto"/>
        <w:bottom w:val="none" w:sz="0" w:space="0" w:color="auto"/>
        <w:right w:val="none" w:sz="0" w:space="0" w:color="auto"/>
      </w:divBdr>
      <w:divsChild>
        <w:div w:id="1331518971">
          <w:marLeft w:val="0"/>
          <w:marRight w:val="0"/>
          <w:marTop w:val="0"/>
          <w:marBottom w:val="0"/>
          <w:divBdr>
            <w:top w:val="none" w:sz="0" w:space="0" w:color="auto"/>
            <w:left w:val="none" w:sz="0" w:space="0" w:color="auto"/>
            <w:bottom w:val="none" w:sz="0" w:space="0" w:color="auto"/>
            <w:right w:val="none" w:sz="0" w:space="0" w:color="auto"/>
          </w:divBdr>
        </w:div>
        <w:div w:id="101416853">
          <w:marLeft w:val="0"/>
          <w:marRight w:val="0"/>
          <w:marTop w:val="0"/>
          <w:marBottom w:val="0"/>
          <w:divBdr>
            <w:top w:val="none" w:sz="0" w:space="0" w:color="auto"/>
            <w:left w:val="none" w:sz="0" w:space="0" w:color="auto"/>
            <w:bottom w:val="none" w:sz="0" w:space="0" w:color="auto"/>
            <w:right w:val="none" w:sz="0" w:space="0" w:color="auto"/>
          </w:divBdr>
        </w:div>
      </w:divsChild>
    </w:div>
    <w:div w:id="452140485">
      <w:bodyDiv w:val="1"/>
      <w:marLeft w:val="0"/>
      <w:marRight w:val="0"/>
      <w:marTop w:val="0"/>
      <w:marBottom w:val="0"/>
      <w:divBdr>
        <w:top w:val="none" w:sz="0" w:space="0" w:color="auto"/>
        <w:left w:val="none" w:sz="0" w:space="0" w:color="auto"/>
        <w:bottom w:val="none" w:sz="0" w:space="0" w:color="auto"/>
        <w:right w:val="none" w:sz="0" w:space="0" w:color="auto"/>
      </w:divBdr>
    </w:div>
    <w:div w:id="493572846">
      <w:bodyDiv w:val="1"/>
      <w:marLeft w:val="0"/>
      <w:marRight w:val="0"/>
      <w:marTop w:val="0"/>
      <w:marBottom w:val="0"/>
      <w:divBdr>
        <w:top w:val="none" w:sz="0" w:space="0" w:color="auto"/>
        <w:left w:val="none" w:sz="0" w:space="0" w:color="auto"/>
        <w:bottom w:val="none" w:sz="0" w:space="0" w:color="auto"/>
        <w:right w:val="none" w:sz="0" w:space="0" w:color="auto"/>
      </w:divBdr>
    </w:div>
    <w:div w:id="579605833">
      <w:bodyDiv w:val="1"/>
      <w:marLeft w:val="0"/>
      <w:marRight w:val="0"/>
      <w:marTop w:val="0"/>
      <w:marBottom w:val="0"/>
      <w:divBdr>
        <w:top w:val="none" w:sz="0" w:space="0" w:color="auto"/>
        <w:left w:val="none" w:sz="0" w:space="0" w:color="auto"/>
        <w:bottom w:val="none" w:sz="0" w:space="0" w:color="auto"/>
        <w:right w:val="none" w:sz="0" w:space="0" w:color="auto"/>
      </w:divBdr>
    </w:div>
    <w:div w:id="817260235">
      <w:bodyDiv w:val="1"/>
      <w:marLeft w:val="0"/>
      <w:marRight w:val="0"/>
      <w:marTop w:val="0"/>
      <w:marBottom w:val="0"/>
      <w:divBdr>
        <w:top w:val="none" w:sz="0" w:space="0" w:color="auto"/>
        <w:left w:val="none" w:sz="0" w:space="0" w:color="auto"/>
        <w:bottom w:val="none" w:sz="0" w:space="0" w:color="auto"/>
        <w:right w:val="none" w:sz="0" w:space="0" w:color="auto"/>
      </w:divBdr>
    </w:div>
    <w:div w:id="899705692">
      <w:bodyDiv w:val="1"/>
      <w:marLeft w:val="0"/>
      <w:marRight w:val="0"/>
      <w:marTop w:val="0"/>
      <w:marBottom w:val="0"/>
      <w:divBdr>
        <w:top w:val="none" w:sz="0" w:space="0" w:color="auto"/>
        <w:left w:val="none" w:sz="0" w:space="0" w:color="auto"/>
        <w:bottom w:val="none" w:sz="0" w:space="0" w:color="auto"/>
        <w:right w:val="none" w:sz="0" w:space="0" w:color="auto"/>
      </w:divBdr>
    </w:div>
    <w:div w:id="959186093">
      <w:bodyDiv w:val="1"/>
      <w:marLeft w:val="0"/>
      <w:marRight w:val="0"/>
      <w:marTop w:val="0"/>
      <w:marBottom w:val="0"/>
      <w:divBdr>
        <w:top w:val="none" w:sz="0" w:space="0" w:color="auto"/>
        <w:left w:val="none" w:sz="0" w:space="0" w:color="auto"/>
        <w:bottom w:val="none" w:sz="0" w:space="0" w:color="auto"/>
        <w:right w:val="none" w:sz="0" w:space="0" w:color="auto"/>
      </w:divBdr>
    </w:div>
    <w:div w:id="1081368489">
      <w:bodyDiv w:val="1"/>
      <w:marLeft w:val="0"/>
      <w:marRight w:val="0"/>
      <w:marTop w:val="0"/>
      <w:marBottom w:val="0"/>
      <w:divBdr>
        <w:top w:val="none" w:sz="0" w:space="0" w:color="auto"/>
        <w:left w:val="none" w:sz="0" w:space="0" w:color="auto"/>
        <w:bottom w:val="none" w:sz="0" w:space="0" w:color="auto"/>
        <w:right w:val="none" w:sz="0" w:space="0" w:color="auto"/>
      </w:divBdr>
    </w:div>
    <w:div w:id="1292789642">
      <w:bodyDiv w:val="1"/>
      <w:marLeft w:val="0"/>
      <w:marRight w:val="0"/>
      <w:marTop w:val="0"/>
      <w:marBottom w:val="0"/>
      <w:divBdr>
        <w:top w:val="none" w:sz="0" w:space="0" w:color="auto"/>
        <w:left w:val="none" w:sz="0" w:space="0" w:color="auto"/>
        <w:bottom w:val="none" w:sz="0" w:space="0" w:color="auto"/>
        <w:right w:val="none" w:sz="0" w:space="0" w:color="auto"/>
      </w:divBdr>
    </w:div>
    <w:div w:id="1321957773">
      <w:bodyDiv w:val="1"/>
      <w:marLeft w:val="0"/>
      <w:marRight w:val="0"/>
      <w:marTop w:val="0"/>
      <w:marBottom w:val="0"/>
      <w:divBdr>
        <w:top w:val="none" w:sz="0" w:space="0" w:color="auto"/>
        <w:left w:val="none" w:sz="0" w:space="0" w:color="auto"/>
        <w:bottom w:val="none" w:sz="0" w:space="0" w:color="auto"/>
        <w:right w:val="none" w:sz="0" w:space="0" w:color="auto"/>
      </w:divBdr>
    </w:div>
    <w:div w:id="1469283626">
      <w:bodyDiv w:val="1"/>
      <w:marLeft w:val="0"/>
      <w:marRight w:val="0"/>
      <w:marTop w:val="0"/>
      <w:marBottom w:val="0"/>
      <w:divBdr>
        <w:top w:val="none" w:sz="0" w:space="0" w:color="auto"/>
        <w:left w:val="none" w:sz="0" w:space="0" w:color="auto"/>
        <w:bottom w:val="none" w:sz="0" w:space="0" w:color="auto"/>
        <w:right w:val="none" w:sz="0" w:space="0" w:color="auto"/>
      </w:divBdr>
      <w:divsChild>
        <w:div w:id="1643001282">
          <w:marLeft w:val="0"/>
          <w:marRight w:val="0"/>
          <w:marTop w:val="0"/>
          <w:marBottom w:val="0"/>
          <w:divBdr>
            <w:top w:val="single" w:sz="2" w:space="0" w:color="auto"/>
            <w:left w:val="single" w:sz="2" w:space="0" w:color="auto"/>
            <w:bottom w:val="single" w:sz="2" w:space="0" w:color="auto"/>
            <w:right w:val="single" w:sz="2" w:space="0" w:color="auto"/>
          </w:divBdr>
          <w:divsChild>
            <w:div w:id="384330582">
              <w:marLeft w:val="0"/>
              <w:marRight w:val="0"/>
              <w:marTop w:val="0"/>
              <w:marBottom w:val="0"/>
              <w:divBdr>
                <w:top w:val="single" w:sz="2" w:space="0" w:color="auto"/>
                <w:left w:val="single" w:sz="2" w:space="0" w:color="auto"/>
                <w:bottom w:val="single" w:sz="2" w:space="0" w:color="auto"/>
                <w:right w:val="single" w:sz="2" w:space="0" w:color="auto"/>
              </w:divBdr>
              <w:divsChild>
                <w:div w:id="23411797">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492522542">
          <w:marLeft w:val="0"/>
          <w:marRight w:val="0"/>
          <w:marTop w:val="0"/>
          <w:marBottom w:val="0"/>
          <w:divBdr>
            <w:top w:val="single" w:sz="2" w:space="0" w:color="auto"/>
            <w:left w:val="single" w:sz="2" w:space="0" w:color="auto"/>
            <w:bottom w:val="single" w:sz="2" w:space="0" w:color="auto"/>
            <w:right w:val="single" w:sz="2" w:space="0" w:color="auto"/>
          </w:divBdr>
          <w:divsChild>
            <w:div w:id="724107633">
              <w:marLeft w:val="0"/>
              <w:marRight w:val="0"/>
              <w:marTop w:val="0"/>
              <w:marBottom w:val="0"/>
              <w:divBdr>
                <w:top w:val="single" w:sz="2" w:space="0" w:color="auto"/>
                <w:left w:val="single" w:sz="2" w:space="0" w:color="auto"/>
                <w:bottom w:val="single" w:sz="2" w:space="0" w:color="auto"/>
                <w:right w:val="single" w:sz="2" w:space="0" w:color="auto"/>
              </w:divBdr>
              <w:divsChild>
                <w:div w:id="204809336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16921831">
          <w:marLeft w:val="0"/>
          <w:marRight w:val="0"/>
          <w:marTop w:val="0"/>
          <w:marBottom w:val="0"/>
          <w:divBdr>
            <w:top w:val="single" w:sz="2" w:space="0" w:color="auto"/>
            <w:left w:val="single" w:sz="2" w:space="0" w:color="auto"/>
            <w:bottom w:val="single" w:sz="2" w:space="0" w:color="auto"/>
            <w:right w:val="single" w:sz="2" w:space="0" w:color="auto"/>
          </w:divBdr>
          <w:divsChild>
            <w:div w:id="759059439">
              <w:marLeft w:val="0"/>
              <w:marRight w:val="0"/>
              <w:marTop w:val="0"/>
              <w:marBottom w:val="0"/>
              <w:divBdr>
                <w:top w:val="single" w:sz="2" w:space="0" w:color="auto"/>
                <w:left w:val="single" w:sz="2" w:space="0" w:color="auto"/>
                <w:bottom w:val="single" w:sz="2" w:space="0" w:color="auto"/>
                <w:right w:val="single" w:sz="2" w:space="0" w:color="auto"/>
              </w:divBdr>
              <w:divsChild>
                <w:div w:id="187947197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1323702649">
          <w:marLeft w:val="0"/>
          <w:marRight w:val="0"/>
          <w:marTop w:val="0"/>
          <w:marBottom w:val="0"/>
          <w:divBdr>
            <w:top w:val="single" w:sz="2" w:space="0" w:color="auto"/>
            <w:left w:val="single" w:sz="2" w:space="0" w:color="auto"/>
            <w:bottom w:val="single" w:sz="2" w:space="0" w:color="auto"/>
            <w:right w:val="single" w:sz="2" w:space="0" w:color="auto"/>
          </w:divBdr>
          <w:divsChild>
            <w:div w:id="1556427404">
              <w:marLeft w:val="0"/>
              <w:marRight w:val="0"/>
              <w:marTop w:val="0"/>
              <w:marBottom w:val="0"/>
              <w:divBdr>
                <w:top w:val="single" w:sz="2" w:space="0" w:color="auto"/>
                <w:left w:val="single" w:sz="2" w:space="0" w:color="auto"/>
                <w:bottom w:val="single" w:sz="2" w:space="0" w:color="auto"/>
                <w:right w:val="single" w:sz="2" w:space="0" w:color="auto"/>
              </w:divBdr>
              <w:divsChild>
                <w:div w:id="151441457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510679309">
      <w:bodyDiv w:val="1"/>
      <w:marLeft w:val="0"/>
      <w:marRight w:val="0"/>
      <w:marTop w:val="0"/>
      <w:marBottom w:val="0"/>
      <w:divBdr>
        <w:top w:val="none" w:sz="0" w:space="0" w:color="auto"/>
        <w:left w:val="none" w:sz="0" w:space="0" w:color="auto"/>
        <w:bottom w:val="none" w:sz="0" w:space="0" w:color="auto"/>
        <w:right w:val="none" w:sz="0" w:space="0" w:color="auto"/>
      </w:divBdr>
      <w:divsChild>
        <w:div w:id="807748399">
          <w:marLeft w:val="0"/>
          <w:marRight w:val="0"/>
          <w:marTop w:val="0"/>
          <w:marBottom w:val="0"/>
          <w:divBdr>
            <w:top w:val="none" w:sz="0" w:space="0" w:color="auto"/>
            <w:left w:val="none" w:sz="0" w:space="0" w:color="auto"/>
            <w:bottom w:val="none" w:sz="0" w:space="0" w:color="auto"/>
            <w:right w:val="none" w:sz="0" w:space="0" w:color="auto"/>
          </w:divBdr>
          <w:divsChild>
            <w:div w:id="2034455722">
              <w:marLeft w:val="0"/>
              <w:marRight w:val="0"/>
              <w:marTop w:val="0"/>
              <w:marBottom w:val="0"/>
              <w:divBdr>
                <w:top w:val="none" w:sz="0" w:space="0" w:color="auto"/>
                <w:left w:val="none" w:sz="0" w:space="0" w:color="auto"/>
                <w:bottom w:val="none" w:sz="0" w:space="0" w:color="auto"/>
                <w:right w:val="none" w:sz="0" w:space="0" w:color="auto"/>
              </w:divBdr>
            </w:div>
          </w:divsChild>
        </w:div>
        <w:div w:id="348678986">
          <w:marLeft w:val="0"/>
          <w:marRight w:val="0"/>
          <w:marTop w:val="0"/>
          <w:marBottom w:val="0"/>
          <w:divBdr>
            <w:top w:val="none" w:sz="0" w:space="0" w:color="auto"/>
            <w:left w:val="none" w:sz="0" w:space="0" w:color="auto"/>
            <w:bottom w:val="none" w:sz="0" w:space="0" w:color="auto"/>
            <w:right w:val="none" w:sz="0" w:space="0" w:color="auto"/>
          </w:divBdr>
          <w:divsChild>
            <w:div w:id="2103141647">
              <w:marLeft w:val="0"/>
              <w:marRight w:val="0"/>
              <w:marTop w:val="0"/>
              <w:marBottom w:val="0"/>
              <w:divBdr>
                <w:top w:val="none" w:sz="0" w:space="0" w:color="auto"/>
                <w:left w:val="none" w:sz="0" w:space="0" w:color="auto"/>
                <w:bottom w:val="none" w:sz="0" w:space="0" w:color="auto"/>
                <w:right w:val="none" w:sz="0" w:space="0" w:color="auto"/>
              </w:divBdr>
            </w:div>
          </w:divsChild>
        </w:div>
        <w:div w:id="865170624">
          <w:marLeft w:val="0"/>
          <w:marRight w:val="0"/>
          <w:marTop w:val="0"/>
          <w:marBottom w:val="0"/>
          <w:divBdr>
            <w:top w:val="none" w:sz="0" w:space="0" w:color="auto"/>
            <w:left w:val="none" w:sz="0" w:space="0" w:color="auto"/>
            <w:bottom w:val="none" w:sz="0" w:space="0" w:color="auto"/>
            <w:right w:val="none" w:sz="0" w:space="0" w:color="auto"/>
          </w:divBdr>
          <w:divsChild>
            <w:div w:id="777674987">
              <w:marLeft w:val="0"/>
              <w:marRight w:val="0"/>
              <w:marTop w:val="0"/>
              <w:marBottom w:val="0"/>
              <w:divBdr>
                <w:top w:val="none" w:sz="0" w:space="0" w:color="auto"/>
                <w:left w:val="none" w:sz="0" w:space="0" w:color="auto"/>
                <w:bottom w:val="none" w:sz="0" w:space="0" w:color="auto"/>
                <w:right w:val="none" w:sz="0" w:space="0" w:color="auto"/>
              </w:divBdr>
            </w:div>
          </w:divsChild>
        </w:div>
        <w:div w:id="1585723511">
          <w:marLeft w:val="0"/>
          <w:marRight w:val="0"/>
          <w:marTop w:val="0"/>
          <w:marBottom w:val="0"/>
          <w:divBdr>
            <w:top w:val="none" w:sz="0" w:space="0" w:color="auto"/>
            <w:left w:val="none" w:sz="0" w:space="0" w:color="auto"/>
            <w:bottom w:val="none" w:sz="0" w:space="0" w:color="auto"/>
            <w:right w:val="none" w:sz="0" w:space="0" w:color="auto"/>
          </w:divBdr>
          <w:divsChild>
            <w:div w:id="524827985">
              <w:marLeft w:val="0"/>
              <w:marRight w:val="0"/>
              <w:marTop w:val="0"/>
              <w:marBottom w:val="0"/>
              <w:divBdr>
                <w:top w:val="none" w:sz="0" w:space="0" w:color="auto"/>
                <w:left w:val="none" w:sz="0" w:space="0" w:color="auto"/>
                <w:bottom w:val="none" w:sz="0" w:space="0" w:color="auto"/>
                <w:right w:val="none" w:sz="0" w:space="0" w:color="auto"/>
              </w:divBdr>
            </w:div>
          </w:divsChild>
        </w:div>
        <w:div w:id="1443306627">
          <w:marLeft w:val="0"/>
          <w:marRight w:val="0"/>
          <w:marTop w:val="0"/>
          <w:marBottom w:val="0"/>
          <w:divBdr>
            <w:top w:val="none" w:sz="0" w:space="0" w:color="auto"/>
            <w:left w:val="none" w:sz="0" w:space="0" w:color="auto"/>
            <w:bottom w:val="none" w:sz="0" w:space="0" w:color="auto"/>
            <w:right w:val="none" w:sz="0" w:space="0" w:color="auto"/>
          </w:divBdr>
          <w:divsChild>
            <w:div w:id="123570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7492359">
      <w:bodyDiv w:val="1"/>
      <w:marLeft w:val="0"/>
      <w:marRight w:val="0"/>
      <w:marTop w:val="0"/>
      <w:marBottom w:val="0"/>
      <w:divBdr>
        <w:top w:val="none" w:sz="0" w:space="0" w:color="auto"/>
        <w:left w:val="none" w:sz="0" w:space="0" w:color="auto"/>
        <w:bottom w:val="none" w:sz="0" w:space="0" w:color="auto"/>
        <w:right w:val="none" w:sz="0" w:space="0" w:color="auto"/>
      </w:divBdr>
    </w:div>
    <w:div w:id="1776169676">
      <w:bodyDiv w:val="1"/>
      <w:marLeft w:val="0"/>
      <w:marRight w:val="0"/>
      <w:marTop w:val="0"/>
      <w:marBottom w:val="0"/>
      <w:divBdr>
        <w:top w:val="none" w:sz="0" w:space="0" w:color="auto"/>
        <w:left w:val="none" w:sz="0" w:space="0" w:color="auto"/>
        <w:bottom w:val="none" w:sz="0" w:space="0" w:color="auto"/>
        <w:right w:val="none" w:sz="0" w:space="0" w:color="auto"/>
      </w:divBdr>
    </w:div>
    <w:div w:id="1849247258">
      <w:bodyDiv w:val="1"/>
      <w:marLeft w:val="0"/>
      <w:marRight w:val="0"/>
      <w:marTop w:val="0"/>
      <w:marBottom w:val="0"/>
      <w:divBdr>
        <w:top w:val="none" w:sz="0" w:space="0" w:color="auto"/>
        <w:left w:val="none" w:sz="0" w:space="0" w:color="auto"/>
        <w:bottom w:val="none" w:sz="0" w:space="0" w:color="auto"/>
        <w:right w:val="none" w:sz="0" w:space="0" w:color="auto"/>
      </w:divBdr>
    </w:div>
    <w:div w:id="1885215381">
      <w:bodyDiv w:val="1"/>
      <w:marLeft w:val="0"/>
      <w:marRight w:val="0"/>
      <w:marTop w:val="0"/>
      <w:marBottom w:val="0"/>
      <w:divBdr>
        <w:top w:val="none" w:sz="0" w:space="0" w:color="auto"/>
        <w:left w:val="none" w:sz="0" w:space="0" w:color="auto"/>
        <w:bottom w:val="none" w:sz="0" w:space="0" w:color="auto"/>
        <w:right w:val="none" w:sz="0" w:space="0" w:color="auto"/>
      </w:divBdr>
    </w:div>
    <w:div w:id="1893954020">
      <w:bodyDiv w:val="1"/>
      <w:marLeft w:val="0"/>
      <w:marRight w:val="0"/>
      <w:marTop w:val="0"/>
      <w:marBottom w:val="0"/>
      <w:divBdr>
        <w:top w:val="none" w:sz="0" w:space="0" w:color="auto"/>
        <w:left w:val="none" w:sz="0" w:space="0" w:color="auto"/>
        <w:bottom w:val="none" w:sz="0" w:space="0" w:color="auto"/>
        <w:right w:val="none" w:sz="0" w:space="0" w:color="auto"/>
      </w:divBdr>
    </w:div>
    <w:div w:id="1894582339">
      <w:bodyDiv w:val="1"/>
      <w:marLeft w:val="0"/>
      <w:marRight w:val="0"/>
      <w:marTop w:val="0"/>
      <w:marBottom w:val="0"/>
      <w:divBdr>
        <w:top w:val="none" w:sz="0" w:space="0" w:color="auto"/>
        <w:left w:val="none" w:sz="0" w:space="0" w:color="auto"/>
        <w:bottom w:val="none" w:sz="0" w:space="0" w:color="auto"/>
        <w:right w:val="none" w:sz="0" w:space="0" w:color="auto"/>
      </w:divBdr>
    </w:div>
    <w:div w:id="1941910885">
      <w:bodyDiv w:val="1"/>
      <w:marLeft w:val="0"/>
      <w:marRight w:val="0"/>
      <w:marTop w:val="0"/>
      <w:marBottom w:val="0"/>
      <w:divBdr>
        <w:top w:val="none" w:sz="0" w:space="0" w:color="auto"/>
        <w:left w:val="none" w:sz="0" w:space="0" w:color="auto"/>
        <w:bottom w:val="none" w:sz="0" w:space="0" w:color="auto"/>
        <w:right w:val="none" w:sz="0" w:space="0" w:color="auto"/>
      </w:divBdr>
    </w:div>
    <w:div w:id="1945721388">
      <w:bodyDiv w:val="1"/>
      <w:marLeft w:val="0"/>
      <w:marRight w:val="0"/>
      <w:marTop w:val="0"/>
      <w:marBottom w:val="0"/>
      <w:divBdr>
        <w:top w:val="none" w:sz="0" w:space="0" w:color="auto"/>
        <w:left w:val="none" w:sz="0" w:space="0" w:color="auto"/>
        <w:bottom w:val="none" w:sz="0" w:space="0" w:color="auto"/>
        <w:right w:val="none" w:sz="0" w:space="0" w:color="auto"/>
      </w:divBdr>
    </w:div>
    <w:div w:id="1949893899">
      <w:bodyDiv w:val="1"/>
      <w:marLeft w:val="0"/>
      <w:marRight w:val="0"/>
      <w:marTop w:val="0"/>
      <w:marBottom w:val="0"/>
      <w:divBdr>
        <w:top w:val="none" w:sz="0" w:space="0" w:color="auto"/>
        <w:left w:val="none" w:sz="0" w:space="0" w:color="auto"/>
        <w:bottom w:val="none" w:sz="0" w:space="0" w:color="auto"/>
        <w:right w:val="none" w:sz="0" w:space="0" w:color="auto"/>
      </w:divBdr>
    </w:div>
    <w:div w:id="1956592789">
      <w:bodyDiv w:val="1"/>
      <w:marLeft w:val="0"/>
      <w:marRight w:val="0"/>
      <w:marTop w:val="0"/>
      <w:marBottom w:val="0"/>
      <w:divBdr>
        <w:top w:val="none" w:sz="0" w:space="0" w:color="auto"/>
        <w:left w:val="none" w:sz="0" w:space="0" w:color="auto"/>
        <w:bottom w:val="none" w:sz="0" w:space="0" w:color="auto"/>
        <w:right w:val="none" w:sz="0" w:space="0" w:color="auto"/>
      </w:divBdr>
    </w:div>
    <w:div w:id="1969895093">
      <w:bodyDiv w:val="1"/>
      <w:marLeft w:val="0"/>
      <w:marRight w:val="0"/>
      <w:marTop w:val="0"/>
      <w:marBottom w:val="0"/>
      <w:divBdr>
        <w:top w:val="none" w:sz="0" w:space="0" w:color="auto"/>
        <w:left w:val="none" w:sz="0" w:space="0" w:color="auto"/>
        <w:bottom w:val="none" w:sz="0" w:space="0" w:color="auto"/>
        <w:right w:val="none" w:sz="0" w:space="0" w:color="auto"/>
      </w:divBdr>
    </w:div>
    <w:div w:id="2031639326">
      <w:bodyDiv w:val="1"/>
      <w:marLeft w:val="0"/>
      <w:marRight w:val="0"/>
      <w:marTop w:val="0"/>
      <w:marBottom w:val="0"/>
      <w:divBdr>
        <w:top w:val="none" w:sz="0" w:space="0" w:color="auto"/>
        <w:left w:val="none" w:sz="0" w:space="0" w:color="auto"/>
        <w:bottom w:val="none" w:sz="0" w:space="0" w:color="auto"/>
        <w:right w:val="none" w:sz="0" w:space="0" w:color="auto"/>
      </w:divBdr>
    </w:div>
    <w:div w:id="207411262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healthline.com/health/coronavirus-and-blood-clots" TargetMode="External"/><Relationship Id="rId18" Type="http://schemas.openxmlformats.org/officeDocument/2006/relationships/header" Target="header2.xml"/><Relationship Id="rId26" Type="http://schemas.openxmlformats.org/officeDocument/2006/relationships/hyperlink" Target="http://www.healthline.com/health/coronavirus" TargetMode="External"/><Relationship Id="rId3" Type="http://schemas.openxmlformats.org/officeDocument/2006/relationships/customXml" Target="../customXml/item3.xml"/><Relationship Id="rId21" Type="http://schemas.openxmlformats.org/officeDocument/2006/relationships/hyperlink" Target="http://www.hopkinsmedicine.org/health/conditions" TargetMode="External"/><Relationship Id="rId7" Type="http://schemas.openxmlformats.org/officeDocument/2006/relationships/webSettings" Target="webSettings.xml"/><Relationship Id="rId12" Type="http://schemas.openxmlformats.org/officeDocument/2006/relationships/hyperlink" Target="https://www1.racgp.org.au/newsgp/clinical/blood-clots-up-to-10-times-more-common-with-covid" TargetMode="External"/><Relationship Id="rId17" Type="http://schemas.openxmlformats.org/officeDocument/2006/relationships/footer" Target="footer2.xml"/><Relationship Id="rId25" Type="http://schemas.openxmlformats.org/officeDocument/2006/relationships/hyperlink" Target="http://www.healthline.com/health/coronavirus" TargetMode="Externa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http://www.hopkinsmedicine.org/health/conditions" TargetMode="External"/><Relationship Id="rId29" Type="http://schemas.openxmlformats.org/officeDocument/2006/relationships/hyperlink" Target="http://www.daystar.com/abou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hopkinsmedicine.org/health/conditions-and-diseases/coronavirus/what-does-covid-do-to-your-blood" TargetMode="External"/><Relationship Id="rId24" Type="http://schemas.openxmlformats.org/officeDocument/2006/relationships/hyperlink" Target="http://www.healthline.com/health/coronavirus" TargetMode="External"/><Relationship Id="rId32"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eader" Target="header1.xml"/><Relationship Id="rId23" Type="http://schemas.openxmlformats.org/officeDocument/2006/relationships/hyperlink" Target="http://www.hopkinsmedicine.org/health/conditions" TargetMode="External"/><Relationship Id="rId28" Type="http://schemas.openxmlformats.org/officeDocument/2006/relationships/hyperlink" Target="http://www.hri.org.au/health/your" TargetMode="External"/><Relationship Id="rId10" Type="http://schemas.openxmlformats.org/officeDocument/2006/relationships/image" Target="media/image1.gif"/><Relationship Id="rId19" Type="http://schemas.openxmlformats.org/officeDocument/2006/relationships/footer" Target="footer3.xml"/><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hri.org.au/health/your-health/lifestyle/people-with-coronavirus-are-at-risk-of-blood-clots-and-strokes" TargetMode="External"/><Relationship Id="rId22" Type="http://schemas.openxmlformats.org/officeDocument/2006/relationships/hyperlink" Target="http://www.hopkinsmedicine.org/health/conditions" TargetMode="External"/><Relationship Id="rId27" Type="http://schemas.openxmlformats.org/officeDocument/2006/relationships/hyperlink" Target="http://www.healthline.com/health/coronavirus" TargetMode="External"/><Relationship Id="rId30" Type="http://schemas.openxmlformats.org/officeDocument/2006/relationships/hyperlink" Target="http://www.daystar.com/about/" TargetMode="External"/></Relationships>
</file>

<file path=word/_rels/foot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26" Type="http://schemas.openxmlformats.org/officeDocument/2006/relationships/hyperlink" Target="https://expose-news.com/2020/12/08/itv-reporter-robert-peston-confirms-what-we-already-know-there-is-no-pandemic-and-were-being-conned/" TargetMode="External"/><Relationship Id="rId21" Type="http://schemas.openxmlformats.org/officeDocument/2006/relationships/hyperlink" Target="https://www.health.gov.au/resources/publications/covid-19-vaccination-shared-decision-making-guide-for-women-who-are-pregnant-breastfeeding-or-planning-pregnancy" TargetMode="External"/><Relationship Id="rId42" Type="http://schemas.openxmlformats.org/officeDocument/2006/relationships/hyperlink" Target="https://pubmed.ncbi.nlm.nih.gov/34204243/" TargetMode="External"/><Relationship Id="rId47" Type="http://schemas.openxmlformats.org/officeDocument/2006/relationships/hyperlink" Target="https://www.fda.gov/news-events/press-announcements/fda-approves-first-covid-19-vaccine" TargetMode="External"/><Relationship Id="rId63" Type="http://schemas.openxmlformats.org/officeDocument/2006/relationships/hyperlink" Target="http://www.abc.net.au/news/2021" TargetMode="External"/><Relationship Id="rId68" Type="http://schemas.openxmlformats.org/officeDocument/2006/relationships/hyperlink" Target="http://www.youtube.com/watch?v=kFOtVgQ68Lc" TargetMode="External"/><Relationship Id="rId2" Type="http://schemas.openxmlformats.org/officeDocument/2006/relationships/hyperlink" Target="https://www.nejm.org/doi/full/10.1056/nejmoa1805819" TargetMode="External"/><Relationship Id="rId16" Type="http://schemas.openxmlformats.org/officeDocument/2006/relationships/hyperlink" Target="https://www.itnonline.com/article/covid-19-vaccine-can-cause-false-positive-cancer-diagnosis" TargetMode="External"/><Relationship Id="rId29" Type="http://schemas.openxmlformats.org/officeDocument/2006/relationships/hyperlink" Target="https://womenshealthresearch.ubc.ca/blog/menstrual-irregularities-and-covid-19-vaccine" TargetMode="External"/><Relationship Id="rId11" Type="http://schemas.openxmlformats.org/officeDocument/2006/relationships/hyperlink" Target="https://www.mdpi.com/2076-0817/10/6/763" TargetMode="External"/><Relationship Id="rId24" Type="http://schemas.openxmlformats.org/officeDocument/2006/relationships/hyperlink" Target="https://www.reuters.com/article/factcheck-health-coronavirus-idUSL2N2NP1RJ" TargetMode="External"/><Relationship Id="rId32" Type="http://schemas.openxmlformats.org/officeDocument/2006/relationships/hyperlink" Target="https://www.youtube.com/c/daystar/about" TargetMode="External"/><Relationship Id="rId37" Type="http://schemas.openxmlformats.org/officeDocument/2006/relationships/hyperlink" Target="https://www1.racgp.org.au/newsgp/clinical/latest-research-the-death-knell-for-aspirin-use-as" TargetMode="External"/><Relationship Id="rId40" Type="http://schemas.openxmlformats.org/officeDocument/2006/relationships/hyperlink" Target="https://www.ncbi.nlm.nih.gov/pmc/articles/PMC5929173/" TargetMode="External"/><Relationship Id="rId45" Type="http://schemas.openxmlformats.org/officeDocument/2006/relationships/hyperlink" Target="https://www.health.gov.au/initiatives-and-programs/covid-19-vaccines/is-it-true/is-it-true-are-covid-19-vaccines-not-effective%20" TargetMode="External"/><Relationship Id="rId53" Type="http://schemas.openxmlformats.org/officeDocument/2006/relationships/hyperlink" Target="https://www.bmj.com/content/374/bmj.n2211" TargetMode="External"/><Relationship Id="rId58" Type="http://schemas.openxmlformats.org/officeDocument/2006/relationships/hyperlink" Target="http://www.abc.net.au/news/2021" TargetMode="External"/><Relationship Id="rId66" Type="http://schemas.openxmlformats.org/officeDocument/2006/relationships/hyperlink" Target="http://www.abc.net.au/news/2021" TargetMode="External"/><Relationship Id="rId74" Type="http://schemas.openxmlformats.org/officeDocument/2006/relationships/hyperlink" Target="http://www.youtube.com/watch?v=oKbstLIybKo" TargetMode="External"/><Relationship Id="rId5" Type="http://schemas.openxmlformats.org/officeDocument/2006/relationships/hyperlink" Target="https://www.health.gov.au/health-alerts/covid-19/treatments/about" TargetMode="External"/><Relationship Id="rId61" Type="http://schemas.openxmlformats.org/officeDocument/2006/relationships/hyperlink" Target="http://www.abc.net.au/news/2021" TargetMode="External"/><Relationship Id="rId19" Type="http://schemas.openxmlformats.org/officeDocument/2006/relationships/hyperlink" Target="https://www.fda.gov/vaccines-blood-biologics/vaccines/emergency-use-authorization-vaccines-explained" TargetMode="External"/><Relationship Id="rId14" Type="http://schemas.openxmlformats.org/officeDocument/2006/relationships/hyperlink" Target="https://www.canceraustralia.gov.au/sites/default/files/publications/frequently-asked-questions-about-covid-19-vaccines-people-affected-cancer/pdf/covid-19_faq_updated_1_april_2022.pdf" TargetMode="External"/><Relationship Id="rId22" Type="http://schemas.openxmlformats.org/officeDocument/2006/relationships/hyperlink" Target="https://www.nature.com/articles/s41577-021-00525-y.pdf?origin=ppub" TargetMode="External"/><Relationship Id="rId27" Type="http://schemas.openxmlformats.org/officeDocument/2006/relationships/hyperlink" Target="https://www.cdc.gov/coronavirus/2019-ncov/vaccines/facts.html" TargetMode="External"/><Relationship Id="rId30" Type="http://schemas.openxmlformats.org/officeDocument/2006/relationships/hyperlink" Target="https://www.bmj.com/content/374/bmj.n2211" TargetMode="External"/><Relationship Id="rId35" Type="http://schemas.openxmlformats.org/officeDocument/2006/relationships/hyperlink" Target="https://www.ncbi.nlm.nih.gov/pmc/articles/PMC8088823/" TargetMode="External"/><Relationship Id="rId43" Type="http://schemas.openxmlformats.org/officeDocument/2006/relationships/hyperlink" Target="https://www.ncbi.nlm.nih.gov/pmc/articles/PMC8379763/" TargetMode="External"/><Relationship Id="rId48" Type="http://schemas.openxmlformats.org/officeDocument/2006/relationships/hyperlink" Target="https://www.fda.gov/vaccines-blood-biologics/vaccines/emergency-use-authorization-vaccines-explained" TargetMode="External"/><Relationship Id="rId56" Type="http://schemas.openxmlformats.org/officeDocument/2006/relationships/hyperlink" Target="http://www.abc.net.au/news/2021" TargetMode="External"/><Relationship Id="rId64" Type="http://schemas.openxmlformats.org/officeDocument/2006/relationships/hyperlink" Target="http://www.abc.net.au/news/2021" TargetMode="External"/><Relationship Id="rId69" Type="http://schemas.openxmlformats.org/officeDocument/2006/relationships/hyperlink" Target="http://www.youtube.com/watch?v=kFOtVgQ68Lc" TargetMode="External"/><Relationship Id="rId8" Type="http://schemas.openxmlformats.org/officeDocument/2006/relationships/hyperlink" Target="https://www.who.int/news-room/feature-stories/detail/who-advises-that-ivermectin-only-be-used-to-treat-covid-19-within-clinical-trials" TargetMode="External"/><Relationship Id="rId51" Type="http://schemas.openxmlformats.org/officeDocument/2006/relationships/hyperlink" Target="https://www.nature.com/articles/s41577&#8208;021&#8208;00525&#8208;y.pdf?origin=ppub" TargetMode="External"/><Relationship Id="rId72" Type="http://schemas.openxmlformats.org/officeDocument/2006/relationships/hyperlink" Target="http://www.youtube.com/watch?v=xy2QsvTSQPQ" TargetMode="External"/><Relationship Id="rId3" Type="http://schemas.openxmlformats.org/officeDocument/2006/relationships/hyperlink" Target="https://www.mja.com.au/system/files/issues/212_04/mja250428.pdf" TargetMode="External"/><Relationship Id="rId12" Type="http://schemas.openxmlformats.org/officeDocument/2006/relationships/hyperlink" Target="https://www.ncbi.nlm.nih.gov/pmc/articles/PMC8379763/" TargetMode="External"/><Relationship Id="rId17" Type="http://schemas.openxmlformats.org/officeDocument/2006/relationships/hyperlink" Target="https://www.reuters.com/article/factcheck-covid-vaccine-animal-idUSL2N2NJ1IK" TargetMode="External"/><Relationship Id="rId25" Type="http://schemas.openxmlformats.org/officeDocument/2006/relationships/hyperlink" Target="https://www.abc.net.au/news/2021-04-01/coronacheck-malcolm-roberts-vaccine-side-effects-yellow-card/100041806" TargetMode="External"/><Relationship Id="rId33" Type="http://schemas.openxmlformats.org/officeDocument/2006/relationships/hyperlink" Target="https://www1.racgp.org.au/newsgp/clinical/what-now-for-ivermectin" TargetMode="External"/><Relationship Id="rId38" Type="http://schemas.openxmlformats.org/officeDocument/2006/relationships/hyperlink" Target="https://www.nejm.org/doi/full/10.1056/nejmoa1805819" TargetMode="External"/><Relationship Id="rId46" Type="http://schemas.openxmlformats.org/officeDocument/2006/relationships/hyperlink" Target="https://www.health.gov.au/initiatives-and-programs/covid-19-vaccines/approved-vaccines/how-they-work" TargetMode="External"/><Relationship Id="rId59" Type="http://schemas.openxmlformats.org/officeDocument/2006/relationships/hyperlink" Target="http://www.abc.net.au/news/2021" TargetMode="External"/><Relationship Id="rId67" Type="http://schemas.openxmlformats.org/officeDocument/2006/relationships/hyperlink" Target="http://www.abc.net.au/news/2021" TargetMode="External"/><Relationship Id="rId20" Type="http://schemas.openxmlformats.org/officeDocument/2006/relationships/hyperlink" Target="https://www.fda.gov/news-events/press-announcements/fda-approves-first-covid-19-vaccine" TargetMode="External"/><Relationship Id="rId41" Type="http://schemas.openxmlformats.org/officeDocument/2006/relationships/hyperlink" Target="https://www.ncbi.nlm.nih.gov/pmc/articles/PMC2751445/" TargetMode="External"/><Relationship Id="rId54" Type="http://schemas.openxmlformats.org/officeDocument/2006/relationships/hyperlink" Target="https://www.acog.org/clinical/clinical-guidance/practice-advisory/articles/2020/12/covid-19-vaccination-considerations-for-obstetric-gynecologic-care" TargetMode="External"/><Relationship Id="rId62" Type="http://schemas.openxmlformats.org/officeDocument/2006/relationships/hyperlink" Target="https://ww" TargetMode="External"/><Relationship Id="rId70" Type="http://schemas.openxmlformats.org/officeDocument/2006/relationships/hyperlink" Target="http://www.youtube.com/watch?v=kFOtVgQ68Lc" TargetMode="External"/><Relationship Id="rId75" Type="http://schemas.openxmlformats.org/officeDocument/2006/relationships/hyperlink" Target="http://www.youtube.com/watch?v=oKbstLIybKo" TargetMode="External"/><Relationship Id="rId1" Type="http://schemas.openxmlformats.org/officeDocument/2006/relationships/hyperlink" Target="https://www1.racgp.org.au/newsgp/clinical/latest-research-the-death-knell-for-aspirin-use-as" TargetMode="External"/><Relationship Id="rId6" Type="http://schemas.openxmlformats.org/officeDocument/2006/relationships/hyperlink" Target="https://www.tga.gov.au/news/media-releases/new-restrictions-prescribing-ivermectin-covid-19" TargetMode="External"/><Relationship Id="rId15" Type="http://schemas.openxmlformats.org/officeDocument/2006/relationships/hyperlink" Target="https://apnews.com/article/fact-checking-afs:Content:9994785135" TargetMode="External"/><Relationship Id="rId23" Type="http://schemas.openxmlformats.org/officeDocument/2006/relationships/hyperlink" Target="https://www.usatoday.com/story/news/factcheck/2021/04/12/fact-check-no-evidence-surge-miscarriages-since-vaccine-rollout/7062549002/" TargetMode="External"/><Relationship Id="rId28" Type="http://schemas.openxmlformats.org/officeDocument/2006/relationships/hyperlink" Target="https://www.science.org.au/curious/people-medicine/pregnancies-periods-and-covid-19-vaccines-what-you-need-know" TargetMode="External"/><Relationship Id="rId36" Type="http://schemas.openxmlformats.org/officeDocument/2006/relationships/hyperlink" Target="https://www1.racgp.org.au/newsgp/clinical/latest-research-the-death-knell-for-aspirin-use-as" TargetMode="External"/><Relationship Id="rId49" Type="http://schemas.openxmlformats.org/officeDocument/2006/relationships/hyperlink" Target="https://www.health.gov.au/sites/default/files/documents/2021/08/covid&#8208;19&#8208;vaccination&#8208;shared&#8208;decision&#8208;making&#8208;guide&#8208;for&#8208;women&#8208;who&#8208;are&#8208;pregnantbreastfeeding&#8208;" TargetMode="External"/><Relationship Id="rId57" Type="http://schemas.openxmlformats.org/officeDocument/2006/relationships/hyperlink" Target="http://www.abc.net.au/news/2021" TargetMode="External"/><Relationship Id="rId10" Type="http://schemas.openxmlformats.org/officeDocument/2006/relationships/hyperlink" Target="https://pubmed.ncbi.nlm.nih.gov/1449278/" TargetMode="External"/><Relationship Id="rId31" Type="http://schemas.openxmlformats.org/officeDocument/2006/relationships/hyperlink" Target="https://www.daystar.com/about/" TargetMode="External"/><Relationship Id="rId44" Type="http://schemas.openxmlformats.org/officeDocument/2006/relationships/hyperlink" Target="https://casereports.bmj.com/content/14/9/e245792" TargetMode="External"/><Relationship Id="rId52" Type="http://schemas.openxmlformats.org/officeDocument/2006/relationships/hyperlink" Target="https://archive.ph/RHXXV" TargetMode="External"/><Relationship Id="rId60" Type="http://schemas.openxmlformats.org/officeDocument/2006/relationships/hyperlink" Target="http://www.abc.net.au/news/2021" TargetMode="External"/><Relationship Id="rId65" Type="http://schemas.openxmlformats.org/officeDocument/2006/relationships/hyperlink" Target="http://www.abc.net.au/news/2021" TargetMode="External"/><Relationship Id="rId73" Type="http://schemas.openxmlformats.org/officeDocument/2006/relationships/hyperlink" Target="http://www.youtube.com/watch?v=xy2QsvTSQPQ" TargetMode="External"/><Relationship Id="rId4" Type="http://schemas.openxmlformats.org/officeDocument/2006/relationships/hyperlink" Target="https://www.ncbi.nlm.nih.gov/pmc/articles/PMC5929173/" TargetMode="External"/><Relationship Id="rId9" Type="http://schemas.openxmlformats.org/officeDocument/2006/relationships/hyperlink" Target="https://www.ascot-trial.edu.au/blogs/news/oxford-is-trialling-ivermectin-the-path-to-this-point-has-been-rocky-why" TargetMode="External"/><Relationship Id="rId13" Type="http://schemas.openxmlformats.org/officeDocument/2006/relationships/hyperlink" Target="https://casereports.bmj.com/content/14/9/e245792" TargetMode="External"/><Relationship Id="rId18" Type="http://schemas.openxmlformats.org/officeDocument/2006/relationships/hyperlink" Target="https://www.usatoday.com/story/news/factcheck/2021/09/10/fact-check-pfizer-moderna-johnson-johnson-covid-vaccines-animal-studies/8262536002/" TargetMode="External"/><Relationship Id="rId39" Type="http://schemas.openxmlformats.org/officeDocument/2006/relationships/hyperlink" Target="https://www.mja.com.au/system/files/issues/212_04/mja250428.pdf" TargetMode="External"/><Relationship Id="rId34" Type="http://schemas.openxmlformats.org/officeDocument/2006/relationships/hyperlink" Target="https://pubmed.ncbi.nlm.nih.gov/34181716/" TargetMode="External"/><Relationship Id="rId50" Type="http://schemas.openxmlformats.org/officeDocument/2006/relationships/hyperlink" Target="https://www.health.gov.au/resources/publications/covid-19-vaccination-shared-decision-making-guide-for-women-who-are-pregnant-breastfeeding-or-planning-pregnancy" TargetMode="External"/><Relationship Id="rId55" Type="http://schemas.openxmlformats.org/officeDocument/2006/relationships/hyperlink" Target="https://womenshealthresearch.ubc.ca/blog/menstrual-irregularities-and-covid-19-vaccine" TargetMode="External"/><Relationship Id="rId76" Type="http://schemas.openxmlformats.org/officeDocument/2006/relationships/hyperlink" Target="http://www.youtube.com/watch?v=oKbstLIybKo" TargetMode="External"/><Relationship Id="rId7" Type="http://schemas.openxmlformats.org/officeDocument/2006/relationships/hyperlink" Target="https://www.fda.gov/consumers/consumer-updates/why-you-should-not-use-ivermectin-treat-or-prevent-covid-19" TargetMode="External"/><Relationship Id="rId71" Type="http://schemas.openxmlformats.org/officeDocument/2006/relationships/hyperlink" Target="http://www.youtube.com/watch?v=xy2QsvTSQPQ"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CD23B03-88F2-4CAC-8946-3C36DC5FF8EE}">
  <ds:schemaRefs>
    <ds:schemaRef ds:uri="http://schemas.microsoft.com/office/2006/metadata/properties"/>
    <ds:schemaRef ds:uri="http://schemas.openxmlformats.org/package/2006/metadata/core-properties"/>
    <ds:schemaRef ds:uri="http://purl.org/dc/elements/1.1/"/>
    <ds:schemaRef ds:uri="http://schemas.microsoft.com/office/2006/documentManagement/types"/>
    <ds:schemaRef ds:uri="ed7d9cf6-3f11-49f0-89bc-89075fac8e8a"/>
    <ds:schemaRef ds:uri="http://purl.org/dc/terms/"/>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9A902CB1-424F-4AB8-B93A-A57701581F56}">
  <ds:schemaRefs>
    <ds:schemaRef ds:uri="http://schemas.microsoft.com/sharepoint/v3/contenttype/forms"/>
  </ds:schemaRefs>
</ds:datastoreItem>
</file>

<file path=customXml/itemProps3.xml><?xml version="1.0" encoding="utf-8"?>
<ds:datastoreItem xmlns:ds="http://schemas.openxmlformats.org/officeDocument/2006/customXml" ds:itemID="{DE925942-1C1E-4197-8580-6F0D2982B7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d7d9cf6-3f11-49f0-89bc-89075fac8e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49</Pages>
  <Words>21143</Words>
  <Characters>120520</Characters>
  <Application>Microsoft Office Word</Application>
  <DocSecurity>8</DocSecurity>
  <Lines>1004</Lines>
  <Paragraphs>282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141381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2023-04-20T06:10:00Z</dcterms:created>
  <dcterms:modified xsi:type="dcterms:W3CDTF">2023-04-20T06:10:00Z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