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7A6D14" w14:textId="6FA8B762" w:rsidR="00185D29" w:rsidRDefault="00756287" w:rsidP="007A5938">
      <w:pPr>
        <w:pStyle w:val="Reportsubtitle"/>
        <w:spacing w:after="0"/>
        <w:rPr>
          <w:b/>
          <w:color w:val="auto"/>
        </w:rPr>
      </w:pPr>
      <w:r>
        <w:rPr>
          <w:b/>
          <w:color w:val="auto"/>
        </w:rPr>
        <w:t>Proposed changes to apparatus licence pricing structures</w:t>
      </w:r>
    </w:p>
    <w:p w14:paraId="3857A77B" w14:textId="541086E8" w:rsidR="00F06E14" w:rsidRDefault="00AE3E16" w:rsidP="00F06E14">
      <w:pPr>
        <w:pStyle w:val="Reportsubtitle"/>
      </w:pPr>
      <w:r>
        <w:t>Consultation paper</w:t>
      </w:r>
    </w:p>
    <w:p w14:paraId="15C0F82C" w14:textId="59C7132D" w:rsidR="00C97736" w:rsidRPr="000D76E0" w:rsidRDefault="00AE3E16"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March 2023</w:t>
      </w:r>
    </w:p>
    <w:p w14:paraId="26FD7C57" w14:textId="77777777" w:rsidR="0005011A" w:rsidRPr="00F44F3A" w:rsidRDefault="0005011A" w:rsidP="00FC07B9">
      <w:pPr>
        <w:pStyle w:val="ACMACorporateAddressHeader"/>
      </w:pPr>
      <w:r w:rsidRPr="00F44F3A">
        <w:lastRenderedPageBreak/>
        <w:t>Canberra</w:t>
      </w:r>
    </w:p>
    <w:p w14:paraId="6597CC9A"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0B91163A" w14:textId="77777777" w:rsidR="0005011A" w:rsidRPr="00FC07B9" w:rsidRDefault="0005011A" w:rsidP="00FC07B9">
      <w:pPr>
        <w:pStyle w:val="ACMACorporateAddresses"/>
      </w:pPr>
      <w:r w:rsidRPr="00FC07B9">
        <w:t>PO Box 78</w:t>
      </w:r>
      <w:r w:rsidRPr="00FC07B9">
        <w:br/>
        <w:t>Belconnen ACT 2616</w:t>
      </w:r>
    </w:p>
    <w:p w14:paraId="580E6039"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3A8E4A8A" w14:textId="77777777" w:rsidR="0005011A" w:rsidRPr="00F44F3A" w:rsidRDefault="0005011A" w:rsidP="00FC07B9">
      <w:pPr>
        <w:pStyle w:val="ACMACorporateAddressHeader"/>
      </w:pPr>
      <w:r w:rsidRPr="00F44F3A">
        <w:t>Melbourne</w:t>
      </w:r>
    </w:p>
    <w:p w14:paraId="7FCE762E"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2E98D20D"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7BF02A2"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5D4C663" w14:textId="77777777" w:rsidR="0005011A" w:rsidRPr="00F44F3A" w:rsidRDefault="0005011A" w:rsidP="00FC07B9">
      <w:pPr>
        <w:pStyle w:val="ACMACorporateAddressHeader"/>
      </w:pPr>
      <w:r w:rsidRPr="00F44F3A">
        <w:t>Sydney</w:t>
      </w:r>
    </w:p>
    <w:p w14:paraId="3ECB8D05"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21EDD67B"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C49E21C"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79741333" w14:textId="77777777" w:rsidR="00140318" w:rsidRPr="006D46E5" w:rsidRDefault="00140318" w:rsidP="00FC07B9">
      <w:pPr>
        <w:pStyle w:val="ACMACopyrightHeader"/>
      </w:pPr>
      <w:r w:rsidRPr="00140318">
        <w:t>Copyright notice</w:t>
      </w:r>
    </w:p>
    <w:p w14:paraId="75119338" w14:textId="77777777" w:rsidR="00140318" w:rsidRPr="006D46E5" w:rsidRDefault="00623FF9" w:rsidP="00623FF9">
      <w:pPr>
        <w:pStyle w:val="ACMACClogo"/>
      </w:pPr>
      <w:r w:rsidRPr="00623FF9">
        <w:rPr>
          <w:noProof/>
        </w:rPr>
        <w:drawing>
          <wp:inline distT="0" distB="0" distL="0" distR="0" wp14:anchorId="2A91EA0F" wp14:editId="3ACD142C">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E49C9C0" w14:textId="77777777" w:rsidR="00AA2DE5" w:rsidRDefault="006A0CCE" w:rsidP="00AA2DE5">
      <w:pPr>
        <w:pStyle w:val="ACMACorporateAddresses"/>
        <w:rPr>
          <w:rStyle w:val="Hyperlink"/>
        </w:rPr>
      </w:pPr>
      <w:hyperlink r:id="rId13" w:history="1">
        <w:r w:rsidR="00AA2DE5">
          <w:rPr>
            <w:rStyle w:val="Hyperlink"/>
          </w:rPr>
          <w:t>https://creativecommons.org/licenses/by/4.0/</w:t>
        </w:r>
      </w:hyperlink>
    </w:p>
    <w:p w14:paraId="2FCD8EB6"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BE8AC4A" w14:textId="362E8988" w:rsidR="00AA2DE5" w:rsidRDefault="00AA2DE5" w:rsidP="00AA2DE5">
      <w:pPr>
        <w:pStyle w:val="ACMACorporateAddresses"/>
      </w:pPr>
      <w:r>
        <w:t xml:space="preserve">We request attribution as © Commonwealth of Australia (Australian Communications and Media Authority) </w:t>
      </w:r>
      <w:r w:rsidR="009575A0">
        <w:t>2023</w:t>
      </w:r>
      <w:r>
        <w:t>.</w:t>
      </w:r>
    </w:p>
    <w:p w14:paraId="28267A5C" w14:textId="77777777" w:rsidR="00AA2DE5" w:rsidRDefault="00AA2DE5" w:rsidP="00AA2DE5">
      <w:pPr>
        <w:pStyle w:val="ACMACorporateAddresses"/>
      </w:pPr>
      <w:r>
        <w:t>All other rights are reserved.</w:t>
      </w:r>
    </w:p>
    <w:p w14:paraId="6730EF6A"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B5DA719" w14:textId="77777777" w:rsidR="00AA2DE5" w:rsidRDefault="00AA2DE5" w:rsidP="00AA2DE5">
      <w:pPr>
        <w:pStyle w:val="ACMACorporateAddresses"/>
      </w:pPr>
      <w:r>
        <w:t>Written enquiries may be sent to:</w:t>
      </w:r>
    </w:p>
    <w:p w14:paraId="32E05202"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62B6EE17" w14:textId="77777777" w:rsidR="00D16FE3" w:rsidRDefault="00D16FE3" w:rsidP="00D16FE3">
      <w:pPr>
        <w:pStyle w:val="ACMACorporateAddresses"/>
        <w:rPr>
          <w:rStyle w:val="Hyperlink"/>
        </w:rPr>
      </w:pPr>
    </w:p>
    <w:p w14:paraId="1ED8E09E"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4769277F" w14:textId="29FD96D4" w:rsidR="00D5571F" w:rsidRDefault="006A3ECF">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\h \z \t "Exec summary heading,1" </w:instrText>
      </w:r>
      <w:r>
        <w:rPr>
          <w:rFonts w:cs="Arial"/>
        </w:rPr>
        <w:fldChar w:fldCharType="separate"/>
      </w:r>
      <w:hyperlink w:anchor="_Toc130220325" w:history="1">
        <w:r w:rsidR="00D5571F" w:rsidRPr="00B47B16">
          <w:rPr>
            <w:rStyle w:val="Hyperlink"/>
          </w:rPr>
          <w:t>Executive summary</w:t>
        </w:r>
        <w:r w:rsidR="00D5571F">
          <w:rPr>
            <w:webHidden/>
          </w:rPr>
          <w:tab/>
        </w:r>
        <w:r w:rsidR="00D5571F">
          <w:rPr>
            <w:webHidden/>
          </w:rPr>
          <w:fldChar w:fldCharType="begin"/>
        </w:r>
        <w:r w:rsidR="00D5571F">
          <w:rPr>
            <w:webHidden/>
          </w:rPr>
          <w:instrText xml:space="preserve"> PAGEREF _Toc130220325 \h </w:instrText>
        </w:r>
        <w:r w:rsidR="00D5571F">
          <w:rPr>
            <w:webHidden/>
          </w:rPr>
        </w:r>
        <w:r w:rsidR="00D5571F">
          <w:rPr>
            <w:webHidden/>
          </w:rPr>
          <w:fldChar w:fldCharType="separate"/>
        </w:r>
        <w:r w:rsidR="00D5571F">
          <w:rPr>
            <w:webHidden/>
          </w:rPr>
          <w:t>1</w:t>
        </w:r>
        <w:r w:rsidR="00D5571F">
          <w:rPr>
            <w:webHidden/>
          </w:rPr>
          <w:fldChar w:fldCharType="end"/>
        </w:r>
      </w:hyperlink>
    </w:p>
    <w:p w14:paraId="281D0ABB" w14:textId="3382E95E" w:rsidR="00D5571F" w:rsidRDefault="006A0CCE">
      <w:pPr>
        <w:pStyle w:val="TOC1"/>
        <w:rPr>
          <w:rFonts w:asciiTheme="minorHAnsi" w:eastAsiaTheme="minorEastAsia" w:hAnsiTheme="minorHAnsi" w:cstheme="minorBidi"/>
          <w:b w:val="0"/>
          <w:spacing w:val="0"/>
          <w:sz w:val="22"/>
          <w:szCs w:val="22"/>
        </w:rPr>
      </w:pPr>
      <w:hyperlink w:anchor="_Toc130220326" w:history="1">
        <w:r w:rsidR="00D5571F" w:rsidRPr="00B47B16">
          <w:rPr>
            <w:rStyle w:val="Hyperlink"/>
          </w:rPr>
          <w:t>Issues for comment</w:t>
        </w:r>
        <w:r w:rsidR="00D5571F">
          <w:rPr>
            <w:webHidden/>
          </w:rPr>
          <w:tab/>
        </w:r>
        <w:r w:rsidR="00D5571F">
          <w:rPr>
            <w:webHidden/>
          </w:rPr>
          <w:fldChar w:fldCharType="begin"/>
        </w:r>
        <w:r w:rsidR="00D5571F">
          <w:rPr>
            <w:webHidden/>
          </w:rPr>
          <w:instrText xml:space="preserve"> PAGEREF _Toc130220326 \h </w:instrText>
        </w:r>
        <w:r w:rsidR="00D5571F">
          <w:rPr>
            <w:webHidden/>
          </w:rPr>
        </w:r>
        <w:r w:rsidR="00D5571F">
          <w:rPr>
            <w:webHidden/>
          </w:rPr>
          <w:fldChar w:fldCharType="separate"/>
        </w:r>
        <w:r w:rsidR="00D5571F">
          <w:rPr>
            <w:webHidden/>
          </w:rPr>
          <w:t>3</w:t>
        </w:r>
        <w:r w:rsidR="00D5571F">
          <w:rPr>
            <w:webHidden/>
          </w:rPr>
          <w:fldChar w:fldCharType="end"/>
        </w:r>
      </w:hyperlink>
    </w:p>
    <w:p w14:paraId="7D31685E" w14:textId="124FAB8E" w:rsidR="00D5571F" w:rsidRDefault="006A0CCE">
      <w:pPr>
        <w:pStyle w:val="TOC1"/>
        <w:rPr>
          <w:rFonts w:asciiTheme="minorHAnsi" w:eastAsiaTheme="minorEastAsia" w:hAnsiTheme="minorHAnsi" w:cstheme="minorBidi"/>
          <w:b w:val="0"/>
          <w:spacing w:val="0"/>
          <w:sz w:val="22"/>
          <w:szCs w:val="22"/>
        </w:rPr>
      </w:pPr>
      <w:hyperlink w:anchor="_Toc130220327" w:history="1">
        <w:r w:rsidR="00D5571F" w:rsidRPr="00B47B16">
          <w:rPr>
            <w:rStyle w:val="Hyperlink"/>
          </w:rPr>
          <w:t>Updating apparatus licence taxes by population</w:t>
        </w:r>
        <w:r w:rsidR="00D5571F">
          <w:rPr>
            <w:webHidden/>
          </w:rPr>
          <w:tab/>
        </w:r>
        <w:r w:rsidR="00D5571F">
          <w:rPr>
            <w:webHidden/>
          </w:rPr>
          <w:fldChar w:fldCharType="begin"/>
        </w:r>
        <w:r w:rsidR="00D5571F">
          <w:rPr>
            <w:webHidden/>
          </w:rPr>
          <w:instrText xml:space="preserve"> PAGEREF _Toc130220327 \h </w:instrText>
        </w:r>
        <w:r w:rsidR="00D5571F">
          <w:rPr>
            <w:webHidden/>
          </w:rPr>
        </w:r>
        <w:r w:rsidR="00D5571F">
          <w:rPr>
            <w:webHidden/>
          </w:rPr>
          <w:fldChar w:fldCharType="separate"/>
        </w:r>
        <w:r w:rsidR="00D5571F">
          <w:rPr>
            <w:webHidden/>
          </w:rPr>
          <w:t>4</w:t>
        </w:r>
        <w:r w:rsidR="00D5571F">
          <w:rPr>
            <w:webHidden/>
          </w:rPr>
          <w:fldChar w:fldCharType="end"/>
        </w:r>
      </w:hyperlink>
    </w:p>
    <w:p w14:paraId="6B7DE671" w14:textId="007BB93B" w:rsidR="00D5571F" w:rsidRDefault="006A0CCE">
      <w:pPr>
        <w:pStyle w:val="TOC2"/>
        <w:rPr>
          <w:rFonts w:asciiTheme="minorHAnsi" w:eastAsiaTheme="minorEastAsia" w:hAnsiTheme="minorHAnsi" w:cstheme="minorBidi"/>
          <w:spacing w:val="0"/>
          <w:sz w:val="22"/>
          <w:szCs w:val="22"/>
        </w:rPr>
      </w:pPr>
      <w:hyperlink w:anchor="_Toc130220328" w:history="1">
        <w:r w:rsidR="00D5571F" w:rsidRPr="00B47B16">
          <w:rPr>
            <w:rStyle w:val="Hyperlink"/>
          </w:rPr>
          <w:t>Change from using CPI to population</w:t>
        </w:r>
        <w:r w:rsidR="00D5571F">
          <w:rPr>
            <w:webHidden/>
          </w:rPr>
          <w:tab/>
        </w:r>
        <w:r w:rsidR="00D5571F">
          <w:rPr>
            <w:webHidden/>
          </w:rPr>
          <w:fldChar w:fldCharType="begin"/>
        </w:r>
        <w:r w:rsidR="00D5571F">
          <w:rPr>
            <w:webHidden/>
          </w:rPr>
          <w:instrText xml:space="preserve"> PAGEREF _Toc130220328 \h </w:instrText>
        </w:r>
        <w:r w:rsidR="00D5571F">
          <w:rPr>
            <w:webHidden/>
          </w:rPr>
        </w:r>
        <w:r w:rsidR="00D5571F">
          <w:rPr>
            <w:webHidden/>
          </w:rPr>
          <w:fldChar w:fldCharType="separate"/>
        </w:r>
        <w:r w:rsidR="00D5571F">
          <w:rPr>
            <w:webHidden/>
          </w:rPr>
          <w:t>4</w:t>
        </w:r>
        <w:r w:rsidR="00D5571F">
          <w:rPr>
            <w:webHidden/>
          </w:rPr>
          <w:fldChar w:fldCharType="end"/>
        </w:r>
      </w:hyperlink>
    </w:p>
    <w:p w14:paraId="57FE6679" w14:textId="2159FE8B" w:rsidR="00D5571F" w:rsidRDefault="006A0CCE">
      <w:pPr>
        <w:pStyle w:val="TOC2"/>
        <w:rPr>
          <w:rFonts w:asciiTheme="minorHAnsi" w:eastAsiaTheme="minorEastAsia" w:hAnsiTheme="minorHAnsi" w:cstheme="minorBidi"/>
          <w:spacing w:val="0"/>
          <w:sz w:val="22"/>
          <w:szCs w:val="22"/>
        </w:rPr>
      </w:pPr>
      <w:hyperlink w:anchor="_Toc130220329" w:history="1">
        <w:r w:rsidR="00D5571F" w:rsidRPr="00B47B16">
          <w:rPr>
            <w:rStyle w:val="Hyperlink"/>
          </w:rPr>
          <w:t>Dataset and framework</w:t>
        </w:r>
        <w:r w:rsidR="00D5571F">
          <w:rPr>
            <w:webHidden/>
          </w:rPr>
          <w:tab/>
        </w:r>
        <w:r w:rsidR="00D5571F">
          <w:rPr>
            <w:webHidden/>
          </w:rPr>
          <w:fldChar w:fldCharType="begin"/>
        </w:r>
        <w:r w:rsidR="00D5571F">
          <w:rPr>
            <w:webHidden/>
          </w:rPr>
          <w:instrText xml:space="preserve"> PAGEREF _Toc130220329 \h </w:instrText>
        </w:r>
        <w:r w:rsidR="00D5571F">
          <w:rPr>
            <w:webHidden/>
          </w:rPr>
        </w:r>
        <w:r w:rsidR="00D5571F">
          <w:rPr>
            <w:webHidden/>
          </w:rPr>
          <w:fldChar w:fldCharType="separate"/>
        </w:r>
        <w:r w:rsidR="00D5571F">
          <w:rPr>
            <w:webHidden/>
          </w:rPr>
          <w:t>6</w:t>
        </w:r>
        <w:r w:rsidR="00D5571F">
          <w:rPr>
            <w:webHidden/>
          </w:rPr>
          <w:fldChar w:fldCharType="end"/>
        </w:r>
      </w:hyperlink>
    </w:p>
    <w:p w14:paraId="55AE1FAD" w14:textId="130FD359" w:rsidR="00D5571F" w:rsidRDefault="006A0CCE">
      <w:pPr>
        <w:pStyle w:val="TOC2"/>
        <w:rPr>
          <w:rFonts w:asciiTheme="minorHAnsi" w:eastAsiaTheme="minorEastAsia" w:hAnsiTheme="minorHAnsi" w:cstheme="minorBidi"/>
          <w:spacing w:val="0"/>
          <w:sz w:val="22"/>
          <w:szCs w:val="22"/>
        </w:rPr>
      </w:pPr>
      <w:hyperlink w:anchor="_Toc130220330" w:history="1">
        <w:r w:rsidR="00D5571F" w:rsidRPr="00B47B16">
          <w:rPr>
            <w:rStyle w:val="Hyperlink"/>
          </w:rPr>
          <w:t>Comparison of current and proposed frameworks</w:t>
        </w:r>
        <w:r w:rsidR="00D5571F">
          <w:rPr>
            <w:webHidden/>
          </w:rPr>
          <w:tab/>
        </w:r>
        <w:r w:rsidR="00D5571F">
          <w:rPr>
            <w:webHidden/>
          </w:rPr>
          <w:fldChar w:fldCharType="begin"/>
        </w:r>
        <w:r w:rsidR="00D5571F">
          <w:rPr>
            <w:webHidden/>
          </w:rPr>
          <w:instrText xml:space="preserve"> PAGEREF _Toc130220330 \h </w:instrText>
        </w:r>
        <w:r w:rsidR="00D5571F">
          <w:rPr>
            <w:webHidden/>
          </w:rPr>
        </w:r>
        <w:r w:rsidR="00D5571F">
          <w:rPr>
            <w:webHidden/>
          </w:rPr>
          <w:fldChar w:fldCharType="separate"/>
        </w:r>
        <w:r w:rsidR="00D5571F">
          <w:rPr>
            <w:webHidden/>
          </w:rPr>
          <w:t>12</w:t>
        </w:r>
        <w:r w:rsidR="00D5571F">
          <w:rPr>
            <w:webHidden/>
          </w:rPr>
          <w:fldChar w:fldCharType="end"/>
        </w:r>
      </w:hyperlink>
    </w:p>
    <w:p w14:paraId="14020305" w14:textId="2FC9BB9B" w:rsidR="00D5571F" w:rsidRDefault="006A0CCE">
      <w:pPr>
        <w:pStyle w:val="TOC2"/>
        <w:rPr>
          <w:rFonts w:asciiTheme="minorHAnsi" w:eastAsiaTheme="minorEastAsia" w:hAnsiTheme="minorHAnsi" w:cstheme="minorBidi"/>
          <w:spacing w:val="0"/>
          <w:sz w:val="22"/>
          <w:szCs w:val="22"/>
        </w:rPr>
      </w:pPr>
      <w:hyperlink w:anchor="_Toc130220331" w:history="1">
        <w:r w:rsidR="00D5571F" w:rsidRPr="00B47B16">
          <w:rPr>
            <w:rStyle w:val="Hyperlink"/>
          </w:rPr>
          <w:t>Indicative future timing</w:t>
        </w:r>
        <w:r w:rsidR="00D5571F">
          <w:rPr>
            <w:webHidden/>
          </w:rPr>
          <w:tab/>
        </w:r>
        <w:r w:rsidR="00D5571F">
          <w:rPr>
            <w:webHidden/>
          </w:rPr>
          <w:fldChar w:fldCharType="begin"/>
        </w:r>
        <w:r w:rsidR="00D5571F">
          <w:rPr>
            <w:webHidden/>
          </w:rPr>
          <w:instrText xml:space="preserve"> PAGEREF _Toc130220331 \h </w:instrText>
        </w:r>
        <w:r w:rsidR="00D5571F">
          <w:rPr>
            <w:webHidden/>
          </w:rPr>
        </w:r>
        <w:r w:rsidR="00D5571F">
          <w:rPr>
            <w:webHidden/>
          </w:rPr>
          <w:fldChar w:fldCharType="separate"/>
        </w:r>
        <w:r w:rsidR="00D5571F">
          <w:rPr>
            <w:webHidden/>
          </w:rPr>
          <w:t>16</w:t>
        </w:r>
        <w:r w:rsidR="00D5571F">
          <w:rPr>
            <w:webHidden/>
          </w:rPr>
          <w:fldChar w:fldCharType="end"/>
        </w:r>
      </w:hyperlink>
    </w:p>
    <w:p w14:paraId="2C3AA21F" w14:textId="5CD218CA" w:rsidR="00D5571F" w:rsidRDefault="006A0CCE">
      <w:pPr>
        <w:pStyle w:val="TOC1"/>
        <w:rPr>
          <w:rFonts w:asciiTheme="minorHAnsi" w:eastAsiaTheme="minorEastAsia" w:hAnsiTheme="minorHAnsi" w:cstheme="minorBidi"/>
          <w:b w:val="0"/>
          <w:spacing w:val="0"/>
          <w:sz w:val="22"/>
          <w:szCs w:val="22"/>
        </w:rPr>
      </w:pPr>
      <w:hyperlink w:anchor="_Toc130220332" w:history="1">
        <w:r w:rsidR="00D5571F" w:rsidRPr="00B47B16">
          <w:rPr>
            <w:rStyle w:val="Hyperlink"/>
          </w:rPr>
          <w:t>Television outside broadcast network</w:t>
        </w:r>
        <w:r w:rsidR="00D5571F">
          <w:rPr>
            <w:webHidden/>
          </w:rPr>
          <w:tab/>
        </w:r>
        <w:r w:rsidR="00D5571F">
          <w:rPr>
            <w:webHidden/>
          </w:rPr>
          <w:fldChar w:fldCharType="begin"/>
        </w:r>
        <w:r w:rsidR="00D5571F">
          <w:rPr>
            <w:webHidden/>
          </w:rPr>
          <w:instrText xml:space="preserve"> PAGEREF _Toc130220332 \h </w:instrText>
        </w:r>
        <w:r w:rsidR="00D5571F">
          <w:rPr>
            <w:webHidden/>
          </w:rPr>
        </w:r>
        <w:r w:rsidR="00D5571F">
          <w:rPr>
            <w:webHidden/>
          </w:rPr>
          <w:fldChar w:fldCharType="separate"/>
        </w:r>
        <w:r w:rsidR="00D5571F">
          <w:rPr>
            <w:webHidden/>
          </w:rPr>
          <w:t>17</w:t>
        </w:r>
        <w:r w:rsidR="00D5571F">
          <w:rPr>
            <w:webHidden/>
          </w:rPr>
          <w:fldChar w:fldCharType="end"/>
        </w:r>
      </w:hyperlink>
    </w:p>
    <w:p w14:paraId="606A47CA" w14:textId="7FACE26B" w:rsidR="00D5571F" w:rsidRDefault="006A0CCE">
      <w:pPr>
        <w:pStyle w:val="TOC2"/>
        <w:rPr>
          <w:rFonts w:asciiTheme="minorHAnsi" w:eastAsiaTheme="minorEastAsia" w:hAnsiTheme="minorHAnsi" w:cstheme="minorBidi"/>
          <w:spacing w:val="0"/>
          <w:sz w:val="22"/>
          <w:szCs w:val="22"/>
        </w:rPr>
      </w:pPr>
      <w:hyperlink w:anchor="_Toc130220333" w:history="1">
        <w:r w:rsidR="00D5571F" w:rsidRPr="00B47B16">
          <w:rPr>
            <w:rStyle w:val="Hyperlink"/>
          </w:rPr>
          <w:t>Calculation of the licence tax rate</w:t>
        </w:r>
        <w:r w:rsidR="00D5571F">
          <w:rPr>
            <w:webHidden/>
          </w:rPr>
          <w:tab/>
        </w:r>
        <w:r w:rsidR="00D5571F">
          <w:rPr>
            <w:webHidden/>
          </w:rPr>
          <w:fldChar w:fldCharType="begin"/>
        </w:r>
        <w:r w:rsidR="00D5571F">
          <w:rPr>
            <w:webHidden/>
          </w:rPr>
          <w:instrText xml:space="preserve"> PAGEREF _Toc130220333 \h </w:instrText>
        </w:r>
        <w:r w:rsidR="00D5571F">
          <w:rPr>
            <w:webHidden/>
          </w:rPr>
        </w:r>
        <w:r w:rsidR="00D5571F">
          <w:rPr>
            <w:webHidden/>
          </w:rPr>
          <w:fldChar w:fldCharType="separate"/>
        </w:r>
        <w:r w:rsidR="00D5571F">
          <w:rPr>
            <w:webHidden/>
          </w:rPr>
          <w:t>17</w:t>
        </w:r>
        <w:r w:rsidR="00D5571F">
          <w:rPr>
            <w:webHidden/>
          </w:rPr>
          <w:fldChar w:fldCharType="end"/>
        </w:r>
      </w:hyperlink>
    </w:p>
    <w:p w14:paraId="685109FD" w14:textId="66261289" w:rsidR="00D5571F" w:rsidRDefault="006A0CCE">
      <w:pPr>
        <w:pStyle w:val="TOC2"/>
        <w:rPr>
          <w:rFonts w:asciiTheme="minorHAnsi" w:eastAsiaTheme="minorEastAsia" w:hAnsiTheme="minorHAnsi" w:cstheme="minorBidi"/>
          <w:spacing w:val="0"/>
          <w:sz w:val="22"/>
          <w:szCs w:val="22"/>
        </w:rPr>
      </w:pPr>
      <w:hyperlink w:anchor="_Toc130220334" w:history="1">
        <w:r w:rsidR="00D5571F" w:rsidRPr="00B47B16">
          <w:rPr>
            <w:rStyle w:val="Hyperlink"/>
          </w:rPr>
          <w:t>Location weighting updates</w:t>
        </w:r>
        <w:r w:rsidR="00D5571F">
          <w:rPr>
            <w:webHidden/>
          </w:rPr>
          <w:tab/>
        </w:r>
        <w:r w:rsidR="00D5571F">
          <w:rPr>
            <w:webHidden/>
          </w:rPr>
          <w:fldChar w:fldCharType="begin"/>
        </w:r>
        <w:r w:rsidR="00D5571F">
          <w:rPr>
            <w:webHidden/>
          </w:rPr>
          <w:instrText xml:space="preserve"> PAGEREF _Toc130220334 \h </w:instrText>
        </w:r>
        <w:r w:rsidR="00D5571F">
          <w:rPr>
            <w:webHidden/>
          </w:rPr>
        </w:r>
        <w:r w:rsidR="00D5571F">
          <w:rPr>
            <w:webHidden/>
          </w:rPr>
          <w:fldChar w:fldCharType="separate"/>
        </w:r>
        <w:r w:rsidR="00D5571F">
          <w:rPr>
            <w:webHidden/>
          </w:rPr>
          <w:t>18</w:t>
        </w:r>
        <w:r w:rsidR="00D5571F">
          <w:rPr>
            <w:webHidden/>
          </w:rPr>
          <w:fldChar w:fldCharType="end"/>
        </w:r>
      </w:hyperlink>
    </w:p>
    <w:p w14:paraId="07F9278C" w14:textId="57B53397" w:rsidR="00D5571F" w:rsidRDefault="006A0CCE">
      <w:pPr>
        <w:pStyle w:val="TOC2"/>
        <w:rPr>
          <w:rFonts w:asciiTheme="minorHAnsi" w:eastAsiaTheme="minorEastAsia" w:hAnsiTheme="minorHAnsi" w:cstheme="minorBidi"/>
          <w:spacing w:val="0"/>
          <w:sz w:val="22"/>
          <w:szCs w:val="22"/>
        </w:rPr>
      </w:pPr>
      <w:hyperlink w:anchor="_Toc130220335" w:history="1">
        <w:r w:rsidR="00D5571F" w:rsidRPr="00B47B16">
          <w:rPr>
            <w:rStyle w:val="Hyperlink"/>
          </w:rPr>
          <w:t>Proposed adjustment to the licence tax rate</w:t>
        </w:r>
        <w:r w:rsidR="00D5571F">
          <w:rPr>
            <w:webHidden/>
          </w:rPr>
          <w:tab/>
        </w:r>
        <w:r w:rsidR="00D5571F">
          <w:rPr>
            <w:webHidden/>
          </w:rPr>
          <w:fldChar w:fldCharType="begin"/>
        </w:r>
        <w:r w:rsidR="00D5571F">
          <w:rPr>
            <w:webHidden/>
          </w:rPr>
          <w:instrText xml:space="preserve"> PAGEREF _Toc130220335 \h </w:instrText>
        </w:r>
        <w:r w:rsidR="00D5571F">
          <w:rPr>
            <w:webHidden/>
          </w:rPr>
        </w:r>
        <w:r w:rsidR="00D5571F">
          <w:rPr>
            <w:webHidden/>
          </w:rPr>
          <w:fldChar w:fldCharType="separate"/>
        </w:r>
        <w:r w:rsidR="00D5571F">
          <w:rPr>
            <w:webHidden/>
          </w:rPr>
          <w:t>20</w:t>
        </w:r>
        <w:r w:rsidR="00D5571F">
          <w:rPr>
            <w:webHidden/>
          </w:rPr>
          <w:fldChar w:fldCharType="end"/>
        </w:r>
      </w:hyperlink>
    </w:p>
    <w:p w14:paraId="7C6EEA44" w14:textId="04560682" w:rsidR="00D5571F" w:rsidRDefault="006A0CCE">
      <w:pPr>
        <w:pStyle w:val="TOC1"/>
        <w:rPr>
          <w:rFonts w:asciiTheme="minorHAnsi" w:eastAsiaTheme="minorEastAsia" w:hAnsiTheme="minorHAnsi" w:cstheme="minorBidi"/>
          <w:b w:val="0"/>
          <w:spacing w:val="0"/>
          <w:sz w:val="22"/>
          <w:szCs w:val="22"/>
        </w:rPr>
      </w:pPr>
      <w:hyperlink w:anchor="_Toc130220336" w:history="1">
        <w:r w:rsidR="00D5571F" w:rsidRPr="00B47B16">
          <w:rPr>
            <w:rStyle w:val="Hyperlink"/>
          </w:rPr>
          <w:t>Pricing for varying levels of interference</w:t>
        </w:r>
        <w:r w:rsidR="00D5571F">
          <w:rPr>
            <w:webHidden/>
          </w:rPr>
          <w:tab/>
        </w:r>
        <w:r w:rsidR="00D5571F">
          <w:rPr>
            <w:webHidden/>
          </w:rPr>
          <w:fldChar w:fldCharType="begin"/>
        </w:r>
        <w:r w:rsidR="00D5571F">
          <w:rPr>
            <w:webHidden/>
          </w:rPr>
          <w:instrText xml:space="preserve"> PAGEREF _Toc130220336 \h </w:instrText>
        </w:r>
        <w:r w:rsidR="00D5571F">
          <w:rPr>
            <w:webHidden/>
          </w:rPr>
        </w:r>
        <w:r w:rsidR="00D5571F">
          <w:rPr>
            <w:webHidden/>
          </w:rPr>
          <w:fldChar w:fldCharType="separate"/>
        </w:r>
        <w:r w:rsidR="00D5571F">
          <w:rPr>
            <w:webHidden/>
          </w:rPr>
          <w:t>21</w:t>
        </w:r>
        <w:r w:rsidR="00D5571F">
          <w:rPr>
            <w:webHidden/>
          </w:rPr>
          <w:fldChar w:fldCharType="end"/>
        </w:r>
      </w:hyperlink>
    </w:p>
    <w:p w14:paraId="461E2CB0" w14:textId="7BC08B19" w:rsidR="00D5571F" w:rsidRDefault="006A0CCE">
      <w:pPr>
        <w:pStyle w:val="TOC2"/>
        <w:rPr>
          <w:rFonts w:asciiTheme="minorHAnsi" w:eastAsiaTheme="minorEastAsia" w:hAnsiTheme="minorHAnsi" w:cstheme="minorBidi"/>
          <w:spacing w:val="0"/>
          <w:sz w:val="22"/>
          <w:szCs w:val="22"/>
        </w:rPr>
      </w:pPr>
      <w:hyperlink w:anchor="_Toc130220337" w:history="1">
        <w:r w:rsidR="00D5571F" w:rsidRPr="00B47B16">
          <w:rPr>
            <w:rStyle w:val="Hyperlink"/>
          </w:rPr>
          <w:t>Context and discussion</w:t>
        </w:r>
        <w:r w:rsidR="00D5571F">
          <w:rPr>
            <w:webHidden/>
          </w:rPr>
          <w:tab/>
        </w:r>
        <w:r w:rsidR="00D5571F">
          <w:rPr>
            <w:webHidden/>
          </w:rPr>
          <w:fldChar w:fldCharType="begin"/>
        </w:r>
        <w:r w:rsidR="00D5571F">
          <w:rPr>
            <w:webHidden/>
          </w:rPr>
          <w:instrText xml:space="preserve"> PAGEREF _Toc130220337 \h </w:instrText>
        </w:r>
        <w:r w:rsidR="00D5571F">
          <w:rPr>
            <w:webHidden/>
          </w:rPr>
        </w:r>
        <w:r w:rsidR="00D5571F">
          <w:rPr>
            <w:webHidden/>
          </w:rPr>
          <w:fldChar w:fldCharType="separate"/>
        </w:r>
        <w:r w:rsidR="00D5571F">
          <w:rPr>
            <w:webHidden/>
          </w:rPr>
          <w:t>21</w:t>
        </w:r>
        <w:r w:rsidR="00D5571F">
          <w:rPr>
            <w:webHidden/>
          </w:rPr>
          <w:fldChar w:fldCharType="end"/>
        </w:r>
      </w:hyperlink>
    </w:p>
    <w:p w14:paraId="0EA52AB1" w14:textId="06809E69" w:rsidR="00D5571F" w:rsidRDefault="006A0CCE">
      <w:pPr>
        <w:pStyle w:val="TOC2"/>
        <w:rPr>
          <w:rFonts w:asciiTheme="minorHAnsi" w:eastAsiaTheme="minorEastAsia" w:hAnsiTheme="minorHAnsi" w:cstheme="minorBidi"/>
          <w:spacing w:val="0"/>
          <w:sz w:val="22"/>
          <w:szCs w:val="22"/>
        </w:rPr>
      </w:pPr>
      <w:hyperlink w:anchor="_Toc130220338" w:history="1">
        <w:r w:rsidR="00D5571F" w:rsidRPr="00B47B16">
          <w:rPr>
            <w:rStyle w:val="Hyperlink"/>
          </w:rPr>
          <w:t>Low-power and micro-power discounts</w:t>
        </w:r>
        <w:r w:rsidR="00D5571F">
          <w:rPr>
            <w:webHidden/>
          </w:rPr>
          <w:tab/>
        </w:r>
        <w:r w:rsidR="00D5571F">
          <w:rPr>
            <w:webHidden/>
          </w:rPr>
          <w:fldChar w:fldCharType="begin"/>
        </w:r>
        <w:r w:rsidR="00D5571F">
          <w:rPr>
            <w:webHidden/>
          </w:rPr>
          <w:instrText xml:space="preserve"> PAGEREF _Toc130220338 \h </w:instrText>
        </w:r>
        <w:r w:rsidR="00D5571F">
          <w:rPr>
            <w:webHidden/>
          </w:rPr>
        </w:r>
        <w:r w:rsidR="00D5571F">
          <w:rPr>
            <w:webHidden/>
          </w:rPr>
          <w:fldChar w:fldCharType="separate"/>
        </w:r>
        <w:r w:rsidR="00D5571F">
          <w:rPr>
            <w:webHidden/>
          </w:rPr>
          <w:t>22</w:t>
        </w:r>
        <w:r w:rsidR="00D5571F">
          <w:rPr>
            <w:webHidden/>
          </w:rPr>
          <w:fldChar w:fldCharType="end"/>
        </w:r>
      </w:hyperlink>
    </w:p>
    <w:p w14:paraId="7163781A" w14:textId="43BDF310" w:rsidR="00D5571F" w:rsidRDefault="006A0CCE">
      <w:pPr>
        <w:pStyle w:val="TOC2"/>
        <w:rPr>
          <w:rFonts w:asciiTheme="minorHAnsi" w:eastAsiaTheme="minorEastAsia" w:hAnsiTheme="minorHAnsi" w:cstheme="minorBidi"/>
          <w:spacing w:val="0"/>
          <w:sz w:val="22"/>
          <w:szCs w:val="22"/>
        </w:rPr>
      </w:pPr>
      <w:hyperlink w:anchor="_Toc130220339" w:history="1">
        <w:r w:rsidR="00D5571F" w:rsidRPr="00B47B16">
          <w:rPr>
            <w:rStyle w:val="Hyperlink"/>
          </w:rPr>
          <w:t>Interference protection pricing</w:t>
        </w:r>
        <w:r w:rsidR="00D5571F">
          <w:rPr>
            <w:webHidden/>
          </w:rPr>
          <w:tab/>
        </w:r>
        <w:r w:rsidR="00D5571F">
          <w:rPr>
            <w:webHidden/>
          </w:rPr>
          <w:fldChar w:fldCharType="begin"/>
        </w:r>
        <w:r w:rsidR="00D5571F">
          <w:rPr>
            <w:webHidden/>
          </w:rPr>
          <w:instrText xml:space="preserve"> PAGEREF _Toc130220339 \h </w:instrText>
        </w:r>
        <w:r w:rsidR="00D5571F">
          <w:rPr>
            <w:webHidden/>
          </w:rPr>
        </w:r>
        <w:r w:rsidR="00D5571F">
          <w:rPr>
            <w:webHidden/>
          </w:rPr>
          <w:fldChar w:fldCharType="separate"/>
        </w:r>
        <w:r w:rsidR="00D5571F">
          <w:rPr>
            <w:webHidden/>
          </w:rPr>
          <w:t>23</w:t>
        </w:r>
        <w:r w:rsidR="00D5571F">
          <w:rPr>
            <w:webHidden/>
          </w:rPr>
          <w:fldChar w:fldCharType="end"/>
        </w:r>
      </w:hyperlink>
    </w:p>
    <w:p w14:paraId="1003794E" w14:textId="030A039D" w:rsidR="00D5571F" w:rsidRDefault="006A0CCE">
      <w:pPr>
        <w:pStyle w:val="TOC1"/>
        <w:rPr>
          <w:rFonts w:asciiTheme="minorHAnsi" w:eastAsiaTheme="minorEastAsia" w:hAnsiTheme="minorHAnsi" w:cstheme="minorBidi"/>
          <w:b w:val="0"/>
          <w:spacing w:val="0"/>
          <w:sz w:val="22"/>
          <w:szCs w:val="22"/>
        </w:rPr>
      </w:pPr>
      <w:hyperlink w:anchor="_Toc130220340" w:history="1">
        <w:r w:rsidR="00D5571F" w:rsidRPr="00B47B16">
          <w:rPr>
            <w:rStyle w:val="Hyperlink"/>
          </w:rPr>
          <w:t>Work program</w:t>
        </w:r>
        <w:r w:rsidR="00D5571F">
          <w:rPr>
            <w:webHidden/>
          </w:rPr>
          <w:tab/>
        </w:r>
        <w:r w:rsidR="00D5571F">
          <w:rPr>
            <w:webHidden/>
          </w:rPr>
          <w:fldChar w:fldCharType="begin"/>
        </w:r>
        <w:r w:rsidR="00D5571F">
          <w:rPr>
            <w:webHidden/>
          </w:rPr>
          <w:instrText xml:space="preserve"> PAGEREF _Toc130220340 \h </w:instrText>
        </w:r>
        <w:r w:rsidR="00D5571F">
          <w:rPr>
            <w:webHidden/>
          </w:rPr>
        </w:r>
        <w:r w:rsidR="00D5571F">
          <w:rPr>
            <w:webHidden/>
          </w:rPr>
          <w:fldChar w:fldCharType="separate"/>
        </w:r>
        <w:r w:rsidR="00D5571F">
          <w:rPr>
            <w:webHidden/>
          </w:rPr>
          <w:t>24</w:t>
        </w:r>
        <w:r w:rsidR="00D5571F">
          <w:rPr>
            <w:webHidden/>
          </w:rPr>
          <w:fldChar w:fldCharType="end"/>
        </w:r>
      </w:hyperlink>
    </w:p>
    <w:p w14:paraId="7051628D" w14:textId="57EF460B" w:rsidR="00D5571F" w:rsidRDefault="006A0CCE">
      <w:pPr>
        <w:pStyle w:val="TOC2"/>
        <w:rPr>
          <w:rFonts w:asciiTheme="minorHAnsi" w:eastAsiaTheme="minorEastAsia" w:hAnsiTheme="minorHAnsi" w:cstheme="minorBidi"/>
          <w:spacing w:val="0"/>
          <w:sz w:val="22"/>
          <w:szCs w:val="22"/>
        </w:rPr>
      </w:pPr>
      <w:hyperlink w:anchor="_Toc130220341" w:history="1">
        <w:r w:rsidR="00D5571F" w:rsidRPr="00B47B16">
          <w:rPr>
            <w:rStyle w:val="Hyperlink"/>
          </w:rPr>
          <w:t>Next steps</w:t>
        </w:r>
        <w:r w:rsidR="00D5571F">
          <w:rPr>
            <w:webHidden/>
          </w:rPr>
          <w:tab/>
        </w:r>
        <w:r w:rsidR="00D5571F">
          <w:rPr>
            <w:webHidden/>
          </w:rPr>
          <w:fldChar w:fldCharType="begin"/>
        </w:r>
        <w:r w:rsidR="00D5571F">
          <w:rPr>
            <w:webHidden/>
          </w:rPr>
          <w:instrText xml:space="preserve"> PAGEREF _Toc130220341 \h </w:instrText>
        </w:r>
        <w:r w:rsidR="00D5571F">
          <w:rPr>
            <w:webHidden/>
          </w:rPr>
        </w:r>
        <w:r w:rsidR="00D5571F">
          <w:rPr>
            <w:webHidden/>
          </w:rPr>
          <w:fldChar w:fldCharType="separate"/>
        </w:r>
        <w:r w:rsidR="00D5571F">
          <w:rPr>
            <w:webHidden/>
          </w:rPr>
          <w:t>24</w:t>
        </w:r>
        <w:r w:rsidR="00D5571F">
          <w:rPr>
            <w:webHidden/>
          </w:rPr>
          <w:fldChar w:fldCharType="end"/>
        </w:r>
      </w:hyperlink>
    </w:p>
    <w:p w14:paraId="7D3EA46B" w14:textId="60AF6508" w:rsidR="00D5571F" w:rsidRDefault="006A0CCE">
      <w:pPr>
        <w:pStyle w:val="TOC1"/>
        <w:rPr>
          <w:rFonts w:asciiTheme="minorHAnsi" w:eastAsiaTheme="minorEastAsia" w:hAnsiTheme="minorHAnsi" w:cstheme="minorBidi"/>
          <w:b w:val="0"/>
          <w:spacing w:val="0"/>
          <w:sz w:val="22"/>
          <w:szCs w:val="22"/>
        </w:rPr>
      </w:pPr>
      <w:hyperlink w:anchor="_Toc130220342" w:history="1">
        <w:r w:rsidR="00D5571F" w:rsidRPr="00B47B16">
          <w:rPr>
            <w:rStyle w:val="Hyperlink"/>
          </w:rPr>
          <w:t>Invitation to comment</w:t>
        </w:r>
        <w:r w:rsidR="00D5571F">
          <w:rPr>
            <w:webHidden/>
          </w:rPr>
          <w:tab/>
        </w:r>
        <w:r w:rsidR="00D5571F">
          <w:rPr>
            <w:webHidden/>
          </w:rPr>
          <w:fldChar w:fldCharType="begin"/>
        </w:r>
        <w:r w:rsidR="00D5571F">
          <w:rPr>
            <w:webHidden/>
          </w:rPr>
          <w:instrText xml:space="preserve"> PAGEREF _Toc130220342 \h </w:instrText>
        </w:r>
        <w:r w:rsidR="00D5571F">
          <w:rPr>
            <w:webHidden/>
          </w:rPr>
        </w:r>
        <w:r w:rsidR="00D5571F">
          <w:rPr>
            <w:webHidden/>
          </w:rPr>
          <w:fldChar w:fldCharType="separate"/>
        </w:r>
        <w:r w:rsidR="00D5571F">
          <w:rPr>
            <w:webHidden/>
          </w:rPr>
          <w:t>25</w:t>
        </w:r>
        <w:r w:rsidR="00D5571F">
          <w:rPr>
            <w:webHidden/>
          </w:rPr>
          <w:fldChar w:fldCharType="end"/>
        </w:r>
      </w:hyperlink>
    </w:p>
    <w:p w14:paraId="67369DF8" w14:textId="61F31DFB" w:rsidR="00D5571F" w:rsidRDefault="006A0CCE">
      <w:pPr>
        <w:pStyle w:val="TOC2"/>
        <w:rPr>
          <w:rFonts w:asciiTheme="minorHAnsi" w:eastAsiaTheme="minorEastAsia" w:hAnsiTheme="minorHAnsi" w:cstheme="minorBidi"/>
          <w:spacing w:val="0"/>
          <w:sz w:val="22"/>
          <w:szCs w:val="22"/>
        </w:rPr>
      </w:pPr>
      <w:hyperlink w:anchor="_Toc130220343" w:history="1">
        <w:r w:rsidR="00D5571F" w:rsidRPr="00B47B16">
          <w:rPr>
            <w:rStyle w:val="Hyperlink"/>
          </w:rPr>
          <w:t>Making a submission</w:t>
        </w:r>
        <w:r w:rsidR="00D5571F">
          <w:rPr>
            <w:webHidden/>
          </w:rPr>
          <w:tab/>
        </w:r>
        <w:r w:rsidR="00D5571F">
          <w:rPr>
            <w:webHidden/>
          </w:rPr>
          <w:fldChar w:fldCharType="begin"/>
        </w:r>
        <w:r w:rsidR="00D5571F">
          <w:rPr>
            <w:webHidden/>
          </w:rPr>
          <w:instrText xml:space="preserve"> PAGEREF _Toc130220343 \h </w:instrText>
        </w:r>
        <w:r w:rsidR="00D5571F">
          <w:rPr>
            <w:webHidden/>
          </w:rPr>
        </w:r>
        <w:r w:rsidR="00D5571F">
          <w:rPr>
            <w:webHidden/>
          </w:rPr>
          <w:fldChar w:fldCharType="separate"/>
        </w:r>
        <w:r w:rsidR="00D5571F">
          <w:rPr>
            <w:webHidden/>
          </w:rPr>
          <w:t>25</w:t>
        </w:r>
        <w:r w:rsidR="00D5571F">
          <w:rPr>
            <w:webHidden/>
          </w:rPr>
          <w:fldChar w:fldCharType="end"/>
        </w:r>
      </w:hyperlink>
    </w:p>
    <w:p w14:paraId="4C1E73E1" w14:textId="35573219" w:rsidR="004D56FF" w:rsidRPr="000D76E0" w:rsidRDefault="006A3ECF">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47506F35" w14:textId="77777777" w:rsidR="009D6C71" w:rsidRPr="009174F3" w:rsidRDefault="009D6C71" w:rsidP="009174F3">
      <w:pPr>
        <w:pStyle w:val="Execsummaryheading"/>
      </w:pPr>
      <w:bookmarkStart w:id="0" w:name="_Toc130220325"/>
      <w:r w:rsidRPr="009174F3">
        <w:lastRenderedPageBreak/>
        <w:t>Executive summary</w:t>
      </w:r>
      <w:bookmarkEnd w:id="0"/>
    </w:p>
    <w:p w14:paraId="01DA948E" w14:textId="1E4598A2" w:rsidR="00FB1EB3" w:rsidRPr="00DE5CE4" w:rsidRDefault="00FB1EB3" w:rsidP="007A5938">
      <w:pPr>
        <w:pStyle w:val="Paragraphbeforelist"/>
      </w:pPr>
      <w:bookmarkStart w:id="1" w:name="_Toc433122125"/>
      <w:r w:rsidRPr="00DE5CE4">
        <w:t xml:space="preserve">The </w:t>
      </w:r>
      <w:r w:rsidR="001931C1">
        <w:t>Australian Communications and Media Authority (</w:t>
      </w:r>
      <w:r w:rsidRPr="00DE5CE4">
        <w:t>ACMA</w:t>
      </w:r>
      <w:r w:rsidR="001931C1">
        <w:t>)</w:t>
      </w:r>
      <w:r w:rsidRPr="00DE5CE4">
        <w:t xml:space="preserve"> concluded the implementation of the Spectrum Pricing Review, a multi-year review into the pricing of apparatus licences, in mid-2022. Most of the reforms proposed in the process have been implemented</w:t>
      </w:r>
      <w:r w:rsidR="00B21546">
        <w:t>.</w:t>
      </w:r>
      <w:r w:rsidRPr="00DE5CE4">
        <w:t xml:space="preserve"> In concluding the review</w:t>
      </w:r>
      <w:r w:rsidR="00925BB0">
        <w:t>,</w:t>
      </w:r>
      <w:r w:rsidRPr="00DE5CE4">
        <w:t xml:space="preserve"> </w:t>
      </w:r>
      <w:r w:rsidR="001931C1">
        <w:t>we</w:t>
      </w:r>
      <w:r w:rsidRPr="00DE5CE4">
        <w:t xml:space="preserve"> noted that there would be further work on matters</w:t>
      </w:r>
      <w:r w:rsidR="004958AC">
        <w:t>,</w:t>
      </w:r>
      <w:r w:rsidRPr="00DE5CE4">
        <w:t xml:space="preserve"> </w:t>
      </w:r>
      <w:r w:rsidR="00C33A71">
        <w:t>including</w:t>
      </w:r>
      <w:r w:rsidRPr="00DE5CE4">
        <w:t>:</w:t>
      </w:r>
    </w:p>
    <w:p w14:paraId="3F105711" w14:textId="6EFD304E" w:rsidR="00FB1EB3" w:rsidRPr="004C6400" w:rsidRDefault="00FB1EB3" w:rsidP="00BB5CCD">
      <w:pPr>
        <w:pStyle w:val="Bulletlevel1"/>
      </w:pPr>
      <w:r w:rsidRPr="004C6400">
        <w:t xml:space="preserve">implementing the proposal to update apparatus licence taxes on an annual basis using changes in geography-specific population data </w:t>
      </w:r>
    </w:p>
    <w:p w14:paraId="70E90D9A" w14:textId="7B7A6239" w:rsidR="00FB1EB3" w:rsidRDefault="00B81FFC" w:rsidP="00BB5CCD">
      <w:pPr>
        <w:pStyle w:val="Bulletlevel1"/>
      </w:pPr>
      <w:r>
        <w:t>i</w:t>
      </w:r>
      <w:r w:rsidR="00FB1EB3" w:rsidRPr="004C6400">
        <w:t>mplementing other consequential changes to refine the pricing framework</w:t>
      </w:r>
    </w:p>
    <w:p w14:paraId="65E9C6E2" w14:textId="0582D7E1" w:rsidR="006718DA" w:rsidRDefault="00220084" w:rsidP="006718DA">
      <w:pPr>
        <w:pStyle w:val="Bulletlevel1last"/>
      </w:pPr>
      <w:r w:rsidRPr="004C6400">
        <w:t xml:space="preserve">considering different frameworks to extend the concept of </w:t>
      </w:r>
      <w:r w:rsidR="00BD2779">
        <w:t>pricing for varying levels of interference</w:t>
      </w:r>
      <w:r w:rsidRPr="004C6400">
        <w:t xml:space="preserve"> through new pricing structures for apparatus licences</w:t>
      </w:r>
      <w:r w:rsidR="00C81BE0">
        <w:t>.</w:t>
      </w:r>
    </w:p>
    <w:p w14:paraId="0698615B" w14:textId="0BC68CD4" w:rsidR="002F7AD1" w:rsidRDefault="009A11AB" w:rsidP="007A5938">
      <w:pPr>
        <w:pStyle w:val="Heading4"/>
      </w:pPr>
      <w:r>
        <w:t>Updat</w:t>
      </w:r>
      <w:r w:rsidR="0084534D">
        <w:t>i</w:t>
      </w:r>
      <w:r>
        <w:t>ng apparatus licence</w:t>
      </w:r>
      <w:r w:rsidR="004B0BE2">
        <w:t xml:space="preserve"> taxes by population</w:t>
      </w:r>
    </w:p>
    <w:p w14:paraId="3265F6D0" w14:textId="6D157121" w:rsidR="00514BB7" w:rsidRPr="00D647DE" w:rsidRDefault="00D647DE" w:rsidP="00514BB7">
      <w:pPr>
        <w:rPr>
          <w:szCs w:val="20"/>
        </w:rPr>
      </w:pPr>
      <w:r w:rsidRPr="005229BD">
        <w:rPr>
          <w:rFonts w:eastAsia="Arial" w:cs="Arial"/>
          <w:color w:val="000000" w:themeColor="text1"/>
          <w:szCs w:val="20"/>
        </w:rPr>
        <w:t>With the release of the</w:t>
      </w:r>
      <w:r w:rsidRPr="005229BD">
        <w:rPr>
          <w:rFonts w:eastAsia="Arial" w:cs="Arial"/>
          <w:i/>
          <w:iCs/>
          <w:color w:val="000000" w:themeColor="text1"/>
          <w:szCs w:val="20"/>
        </w:rPr>
        <w:t xml:space="preserve"> </w:t>
      </w:r>
      <w:hyperlink r:id="rId24" w:history="1">
        <w:r w:rsidR="00C97ACF" w:rsidRPr="007A5938">
          <w:rPr>
            <w:rStyle w:val="Hyperlink"/>
            <w:rFonts w:cs="Arial"/>
            <w:i/>
            <w:iCs/>
            <w:szCs w:val="20"/>
          </w:rPr>
          <w:t>Outcomes of the implementation of the Spectrum Pricing Review</w:t>
        </w:r>
      </w:hyperlink>
      <w:r w:rsidRPr="00D647DE">
        <w:rPr>
          <w:rFonts w:cs="Arial"/>
          <w:szCs w:val="20"/>
        </w:rPr>
        <w:t xml:space="preserve"> </w:t>
      </w:r>
      <w:r w:rsidRPr="005229BD">
        <w:rPr>
          <w:rFonts w:eastAsia="Arial" w:cs="Arial"/>
          <w:color w:val="000000" w:themeColor="text1"/>
          <w:szCs w:val="20"/>
        </w:rPr>
        <w:t>paper</w:t>
      </w:r>
      <w:r w:rsidRPr="005229BD">
        <w:rPr>
          <w:rFonts w:eastAsia="Arial" w:cs="Arial"/>
          <w:i/>
          <w:iCs/>
          <w:color w:val="000000" w:themeColor="text1"/>
          <w:szCs w:val="20"/>
        </w:rPr>
        <w:t xml:space="preserve"> </w:t>
      </w:r>
      <w:r w:rsidRPr="005229BD">
        <w:rPr>
          <w:rFonts w:eastAsia="Arial" w:cs="Arial"/>
          <w:color w:val="000000" w:themeColor="text1"/>
          <w:szCs w:val="20"/>
        </w:rPr>
        <w:t xml:space="preserve">(the </w:t>
      </w:r>
      <w:r w:rsidR="001931C1">
        <w:rPr>
          <w:rFonts w:eastAsia="Arial" w:cs="Arial"/>
          <w:color w:val="000000" w:themeColor="text1"/>
          <w:szCs w:val="20"/>
        </w:rPr>
        <w:t>o</w:t>
      </w:r>
      <w:r w:rsidRPr="005229BD">
        <w:rPr>
          <w:rFonts w:eastAsia="Arial" w:cs="Arial"/>
          <w:color w:val="000000" w:themeColor="text1"/>
          <w:szCs w:val="20"/>
        </w:rPr>
        <w:t xml:space="preserve">utcomes </w:t>
      </w:r>
      <w:r w:rsidR="001931C1">
        <w:rPr>
          <w:rFonts w:eastAsia="Arial" w:cs="Arial"/>
          <w:color w:val="000000" w:themeColor="text1"/>
          <w:szCs w:val="20"/>
        </w:rPr>
        <w:t>p</w:t>
      </w:r>
      <w:r w:rsidRPr="005229BD">
        <w:rPr>
          <w:rFonts w:eastAsia="Arial" w:cs="Arial"/>
          <w:color w:val="000000" w:themeColor="text1"/>
          <w:szCs w:val="20"/>
        </w:rPr>
        <w:t>aper)</w:t>
      </w:r>
      <w:r w:rsidR="001931C1">
        <w:rPr>
          <w:rFonts w:eastAsia="Arial" w:cs="Arial"/>
          <w:color w:val="000000" w:themeColor="text1"/>
          <w:szCs w:val="20"/>
        </w:rPr>
        <w:t xml:space="preserve"> in July 2022</w:t>
      </w:r>
      <w:r w:rsidR="00683DB1" w:rsidRPr="00D647DE">
        <w:rPr>
          <w:szCs w:val="20"/>
        </w:rPr>
        <w:t xml:space="preserve">, </w:t>
      </w:r>
      <w:r w:rsidR="001931C1">
        <w:rPr>
          <w:szCs w:val="20"/>
        </w:rPr>
        <w:t>we</w:t>
      </w:r>
      <w:r w:rsidR="00683DB1" w:rsidRPr="00D647DE">
        <w:rPr>
          <w:szCs w:val="20"/>
        </w:rPr>
        <w:t xml:space="preserve"> expressed an </w:t>
      </w:r>
      <w:r w:rsidR="008B6011" w:rsidRPr="00D647DE">
        <w:rPr>
          <w:szCs w:val="20"/>
        </w:rPr>
        <w:t>intention</w:t>
      </w:r>
      <w:r w:rsidR="00683DB1" w:rsidRPr="00D647DE">
        <w:rPr>
          <w:szCs w:val="20"/>
        </w:rPr>
        <w:t xml:space="preserve"> to adopt a framework that updated a</w:t>
      </w:r>
      <w:r w:rsidR="008B6011" w:rsidRPr="00D647DE">
        <w:rPr>
          <w:szCs w:val="20"/>
        </w:rPr>
        <w:t>pparatus licence</w:t>
      </w:r>
      <w:r w:rsidR="00683DB1" w:rsidRPr="00D647DE">
        <w:rPr>
          <w:szCs w:val="20"/>
        </w:rPr>
        <w:t xml:space="preserve"> tax </w:t>
      </w:r>
      <w:r w:rsidR="008B6011" w:rsidRPr="00D647DE">
        <w:rPr>
          <w:szCs w:val="20"/>
        </w:rPr>
        <w:t>rates annually based on changes to geography-specific population</w:t>
      </w:r>
      <w:r w:rsidR="001931C1">
        <w:rPr>
          <w:szCs w:val="20"/>
        </w:rPr>
        <w:t>,</w:t>
      </w:r>
      <w:r w:rsidR="008B6011" w:rsidRPr="00D647DE">
        <w:rPr>
          <w:szCs w:val="20"/>
        </w:rPr>
        <w:t xml:space="preserve"> instead of </w:t>
      </w:r>
      <w:r w:rsidR="00EE3F03" w:rsidRPr="00D647DE">
        <w:rPr>
          <w:szCs w:val="20"/>
        </w:rPr>
        <w:t>the Consumer Price Index (</w:t>
      </w:r>
      <w:r w:rsidR="008B6011" w:rsidRPr="00D647DE">
        <w:rPr>
          <w:szCs w:val="20"/>
        </w:rPr>
        <w:t>CPI</w:t>
      </w:r>
      <w:r w:rsidR="00EE3F03" w:rsidRPr="00D647DE">
        <w:rPr>
          <w:szCs w:val="20"/>
        </w:rPr>
        <w:t>)</w:t>
      </w:r>
      <w:r w:rsidR="008B6011" w:rsidRPr="00D647DE">
        <w:rPr>
          <w:szCs w:val="20"/>
        </w:rPr>
        <w:t>.</w:t>
      </w:r>
    </w:p>
    <w:p w14:paraId="4AF9F43E" w14:textId="4E518930" w:rsidR="004F3C68" w:rsidRDefault="004F3C68" w:rsidP="00514BB7">
      <w:r w:rsidRPr="004F3C68">
        <w:t xml:space="preserve">The responses received to the Spectrum Pricing Review process largely agreed with the merit of the proposed framework, although some stakeholders were concerned that the change could lead to significant increases in tax rates over time for some licences, compared </w:t>
      </w:r>
      <w:r w:rsidR="001931C1">
        <w:t>to</w:t>
      </w:r>
      <w:r w:rsidRPr="004F3C68">
        <w:t xml:space="preserve"> the previous mechanism of updating using changes to CPI.</w:t>
      </w:r>
    </w:p>
    <w:p w14:paraId="2523B993" w14:textId="275C7B8D" w:rsidR="0084534D" w:rsidRDefault="004F3C68" w:rsidP="00514BB7">
      <w:r>
        <w:t>T</w:t>
      </w:r>
      <w:r w:rsidR="00E71D1D">
        <w:t xml:space="preserve">his paper provides the </w:t>
      </w:r>
      <w:r w:rsidR="005E392B">
        <w:t xml:space="preserve">proposed </w:t>
      </w:r>
      <w:r w:rsidR="00E71D1D">
        <w:t xml:space="preserve">details of the mechanism </w:t>
      </w:r>
      <w:r w:rsidR="007B55DC">
        <w:t>to implement the</w:t>
      </w:r>
      <w:r w:rsidR="003718C6">
        <w:t xml:space="preserve"> </w:t>
      </w:r>
      <w:r w:rsidR="00B20D16">
        <w:t>change</w:t>
      </w:r>
      <w:r w:rsidR="00BB4802">
        <w:t xml:space="preserve"> and</w:t>
      </w:r>
      <w:r w:rsidR="00B20D16">
        <w:t xml:space="preserve"> </w:t>
      </w:r>
      <w:r w:rsidR="00300A6B">
        <w:t xml:space="preserve">responds to </w:t>
      </w:r>
      <w:r w:rsidR="00E45F11">
        <w:t xml:space="preserve">concerns that </w:t>
      </w:r>
      <w:r w:rsidR="00D37823">
        <w:t>this proposed framework could lead to significant increases in tax rates</w:t>
      </w:r>
      <w:r w:rsidR="00E557F9">
        <w:t xml:space="preserve"> for some licences.</w:t>
      </w:r>
    </w:p>
    <w:p w14:paraId="369DB4F6" w14:textId="35D8650D" w:rsidR="002F7AD1" w:rsidRDefault="0084534D" w:rsidP="007A5938">
      <w:pPr>
        <w:pStyle w:val="Heading4"/>
      </w:pPr>
      <w:r>
        <w:t>Television outside broadcast network licences</w:t>
      </w:r>
    </w:p>
    <w:p w14:paraId="43D73514" w14:textId="7F538F36" w:rsidR="00514BB7" w:rsidRDefault="00BC4E91" w:rsidP="00514BB7">
      <w:r>
        <w:t xml:space="preserve">Another reform proposed </w:t>
      </w:r>
      <w:r w:rsidR="00C146EB">
        <w:t xml:space="preserve">within the </w:t>
      </w:r>
      <w:r w:rsidR="0000782C">
        <w:t xml:space="preserve">Spectrum Pricing Review that has already </w:t>
      </w:r>
      <w:r w:rsidR="00514BB7">
        <w:t>been implemented is changes to several location weightings that are an input in the apparatus licence tax formula. The reform resulted in a reduction in licence taxes</w:t>
      </w:r>
      <w:r w:rsidR="001931C1">
        <w:t xml:space="preserve"> of between 50 </w:t>
      </w:r>
      <w:r w:rsidR="00C57CEE">
        <w:t>and</w:t>
      </w:r>
      <w:r w:rsidR="001931C1">
        <w:t xml:space="preserve"> 90%</w:t>
      </w:r>
      <w:r w:rsidR="00514BB7">
        <w:t xml:space="preserve"> for services above 5.0 GHz that use the licence tax formula.</w:t>
      </w:r>
    </w:p>
    <w:p w14:paraId="3095DF0E" w14:textId="7523420B" w:rsidR="0084534D" w:rsidRDefault="00F21843" w:rsidP="002F7AD1">
      <w:r w:rsidRPr="00F21843">
        <w:t xml:space="preserve">As these location weightings were an input into the </w:t>
      </w:r>
      <w:r w:rsidR="00440983">
        <w:t xml:space="preserve">calculation of </w:t>
      </w:r>
      <w:r w:rsidRPr="00F21843">
        <w:t xml:space="preserve">the tax rate for </w:t>
      </w:r>
      <w:r w:rsidR="00181316">
        <w:t>t</w:t>
      </w:r>
      <w:r w:rsidRPr="00F21843">
        <w:t>elevision outside broadcast network</w:t>
      </w:r>
      <w:r w:rsidR="004958AC">
        <w:t xml:space="preserve"> (TOBN)</w:t>
      </w:r>
      <w:r w:rsidRPr="00F21843">
        <w:t xml:space="preserve"> licences</w:t>
      </w:r>
      <w:r w:rsidR="00C57CEE">
        <w:t xml:space="preserve"> (</w:t>
      </w:r>
      <w:r w:rsidRPr="00F21843">
        <w:t>currently a fixed rate of $415,899</w:t>
      </w:r>
      <w:r w:rsidR="00C57CEE">
        <w:t>)</w:t>
      </w:r>
      <w:r w:rsidRPr="00F21843">
        <w:t>, stakeholders have requested that the updated location weightings be used in a revised calculation of the tax rate.</w:t>
      </w:r>
    </w:p>
    <w:p w14:paraId="65598D41" w14:textId="58EEF7C7" w:rsidR="00C718A8" w:rsidRPr="00C718A8" w:rsidRDefault="00AC580A" w:rsidP="002F7AD1">
      <w:pPr>
        <w:rPr>
          <w:rStyle w:val="CommentReference"/>
          <w:sz w:val="20"/>
          <w:szCs w:val="24"/>
        </w:rPr>
      </w:pPr>
      <w:r>
        <w:t xml:space="preserve">In addition to the </w:t>
      </w:r>
      <w:r w:rsidR="00663518">
        <w:t>update to location weightings</w:t>
      </w:r>
      <w:r w:rsidR="00353A6F">
        <w:t xml:space="preserve">, </w:t>
      </w:r>
      <w:r w:rsidR="001931C1">
        <w:t>we</w:t>
      </w:r>
      <w:r w:rsidR="00353A6F">
        <w:t xml:space="preserve"> also reviewed how other inputs into the calculations may have changed</w:t>
      </w:r>
      <w:r w:rsidR="001931C1">
        <w:t>,</w:t>
      </w:r>
      <w:r w:rsidR="00353A6F">
        <w:t xml:space="preserve"> and found other factors that have since been </w:t>
      </w:r>
      <w:r w:rsidR="006E7992">
        <w:t xml:space="preserve">updated. </w:t>
      </w:r>
      <w:r w:rsidR="004A5E84">
        <w:t>This paper pr</w:t>
      </w:r>
      <w:r w:rsidR="009E69AC">
        <w:t xml:space="preserve">oposes an updated </w:t>
      </w:r>
      <w:r w:rsidR="00BF6A6B">
        <w:t xml:space="preserve">tax rate for </w:t>
      </w:r>
      <w:r w:rsidR="004958AC">
        <w:t>TOBN</w:t>
      </w:r>
      <w:r w:rsidR="00BF6A6B">
        <w:t xml:space="preserve"> licences</w:t>
      </w:r>
      <w:r w:rsidR="0005314F">
        <w:t xml:space="preserve"> based on </w:t>
      </w:r>
      <w:r w:rsidR="00813B0B">
        <w:t xml:space="preserve">new </w:t>
      </w:r>
      <w:r w:rsidR="00972403">
        <w:t>updated location weightings and additional factors.</w:t>
      </w:r>
      <w:r w:rsidR="005C2F87">
        <w:t xml:space="preserve"> The paper also outlines the proposed amendment to the </w:t>
      </w:r>
      <w:r w:rsidR="005C2F87" w:rsidRPr="007A5938">
        <w:t>Radiocommunications (Transmitter Licence Tax) Determination 2015</w:t>
      </w:r>
      <w:r w:rsidR="00460086">
        <w:t xml:space="preserve"> (the Determination).</w:t>
      </w:r>
    </w:p>
    <w:p w14:paraId="65884FAC" w14:textId="46414E90" w:rsidR="009A2CB6" w:rsidRPr="00023A36" w:rsidRDefault="0084534D" w:rsidP="007A5938">
      <w:pPr>
        <w:pStyle w:val="Heading4"/>
      </w:pPr>
      <w:r>
        <w:t>Pricing for varying levels of interference</w:t>
      </w:r>
    </w:p>
    <w:p w14:paraId="3ED80F12" w14:textId="28C86D2E" w:rsidR="004B32E0" w:rsidRDefault="009A2CB6" w:rsidP="009A2CB6">
      <w:r w:rsidRPr="004B32E0">
        <w:t xml:space="preserve">As part of general spectrum management practices, </w:t>
      </w:r>
      <w:r w:rsidR="002871E6">
        <w:t>we have</w:t>
      </w:r>
      <w:r w:rsidRPr="004B32E0">
        <w:t xml:space="preserve"> been considering ways to better use pricing signals to promote more efficient spectrum use </w:t>
      </w:r>
      <w:r w:rsidR="00C57CEE">
        <w:t>by</w:t>
      </w:r>
      <w:r w:rsidR="00C57CEE" w:rsidRPr="004B32E0">
        <w:t xml:space="preserve"> </w:t>
      </w:r>
      <w:r w:rsidRPr="004B32E0">
        <w:t xml:space="preserve">pricing for </w:t>
      </w:r>
      <w:r w:rsidRPr="004B32E0">
        <w:lastRenderedPageBreak/>
        <w:t xml:space="preserve">varying levels of interference. The issue was flagged for future consultation in the </w:t>
      </w:r>
      <w:r w:rsidR="001931C1">
        <w:t>o</w:t>
      </w:r>
      <w:r w:rsidRPr="004B32E0">
        <w:t xml:space="preserve">utcomes </w:t>
      </w:r>
      <w:r w:rsidR="001931C1">
        <w:t>p</w:t>
      </w:r>
      <w:r w:rsidRPr="004B32E0">
        <w:t xml:space="preserve">aper. </w:t>
      </w:r>
    </w:p>
    <w:p w14:paraId="05E16F45" w14:textId="471884B3" w:rsidR="00FC2899" w:rsidRDefault="002871E6" w:rsidP="009A2CB6">
      <w:r>
        <w:t>We are</w:t>
      </w:r>
      <w:r w:rsidR="009A2CB6" w:rsidRPr="004B32E0">
        <w:t xml:space="preserve"> interested in exploring th</w:t>
      </w:r>
      <w:r w:rsidR="00A537F4">
        <w:t xml:space="preserve">e application of this pricing concept across </w:t>
      </w:r>
      <w:r w:rsidR="009A2CB6" w:rsidRPr="004B32E0">
        <w:t>more services</w:t>
      </w:r>
      <w:r w:rsidR="00855CF4">
        <w:t xml:space="preserve">. </w:t>
      </w:r>
      <w:r w:rsidR="00FC2899">
        <w:t xml:space="preserve">Changes </w:t>
      </w:r>
      <w:r w:rsidR="006F4B13" w:rsidRPr="001715DD">
        <w:t xml:space="preserve">to the relevant planning and licensing arrangements </w:t>
      </w:r>
      <w:r w:rsidR="00FC2899">
        <w:t xml:space="preserve">provide an opportunity to also consider pricing changes for </w:t>
      </w:r>
      <w:r w:rsidR="006F4B13" w:rsidRPr="001715DD">
        <w:t>services and licences</w:t>
      </w:r>
      <w:r w:rsidR="004809FD">
        <w:t>,</w:t>
      </w:r>
      <w:r w:rsidR="00816C09">
        <w:t xml:space="preserve"> where they </w:t>
      </w:r>
      <w:r w:rsidR="004809FD">
        <w:br/>
      </w:r>
      <w:r w:rsidR="00816C09">
        <w:t>may</w:t>
      </w:r>
      <w:r w:rsidR="006F4B13" w:rsidRPr="001715DD">
        <w:t xml:space="preserve"> apply.  </w:t>
      </w:r>
    </w:p>
    <w:p w14:paraId="39655F63" w14:textId="07F79B83" w:rsidR="009A2CB6" w:rsidRPr="00023A36" w:rsidRDefault="006F4B13" w:rsidP="009A2CB6">
      <w:r w:rsidRPr="001715DD">
        <w:t xml:space="preserve">Based on the outcome of this consultation, </w:t>
      </w:r>
      <w:r w:rsidR="002871E6">
        <w:t>we</w:t>
      </w:r>
      <w:r w:rsidR="00FC2899">
        <w:t xml:space="preserve"> </w:t>
      </w:r>
      <w:r w:rsidRPr="001715DD">
        <w:t xml:space="preserve">will develop a work program to consider </w:t>
      </w:r>
      <w:r w:rsidR="005445B4">
        <w:t>any</w:t>
      </w:r>
      <w:r w:rsidRPr="001715DD">
        <w:t xml:space="preserve"> appropriate changes to our planning, licensing and pricing arrangements. This work program will </w:t>
      </w:r>
      <w:r w:rsidR="002871E6">
        <w:t>include</w:t>
      </w:r>
      <w:r w:rsidRPr="001715DD">
        <w:t xml:space="preserve"> further consultation</w:t>
      </w:r>
      <w:r>
        <w:t xml:space="preserve">. </w:t>
      </w:r>
      <w:r w:rsidR="00855CF4">
        <w:t xml:space="preserve">As such, this paper </w:t>
      </w:r>
      <w:r w:rsidR="00012577">
        <w:t xml:space="preserve">seeks to </w:t>
      </w:r>
      <w:r w:rsidR="0012577A">
        <w:t xml:space="preserve">engage </w:t>
      </w:r>
      <w:r w:rsidR="002338B6">
        <w:t>with stakeholders o</w:t>
      </w:r>
      <w:r w:rsidR="00D669B1">
        <w:t xml:space="preserve">n their views </w:t>
      </w:r>
      <w:r w:rsidR="008859FC">
        <w:t>as to</w:t>
      </w:r>
      <w:r w:rsidR="00D669B1">
        <w:t xml:space="preserve"> how </w:t>
      </w:r>
      <w:r w:rsidR="001D7320">
        <w:t>and where the ACMA may cons</w:t>
      </w:r>
      <w:r w:rsidR="005661D7">
        <w:t xml:space="preserve">ider </w:t>
      </w:r>
      <w:r w:rsidR="00973407">
        <w:t>further</w:t>
      </w:r>
      <w:r w:rsidR="003C12B0">
        <w:t xml:space="preserve"> </w:t>
      </w:r>
      <w:r w:rsidR="008859FC">
        <w:t>re</w:t>
      </w:r>
      <w:r w:rsidR="00557845">
        <w:t>form</w:t>
      </w:r>
      <w:r w:rsidR="003C12B0">
        <w:t xml:space="preserve"> </w:t>
      </w:r>
      <w:r w:rsidR="00CB505E">
        <w:t>in pricing for varying levels of interference.</w:t>
      </w:r>
      <w:r w:rsidR="003C12B0">
        <w:t xml:space="preserve"> </w:t>
      </w:r>
    </w:p>
    <w:p w14:paraId="15E66136" w14:textId="01093402" w:rsidR="003043B6" w:rsidRDefault="003043B6" w:rsidP="00514BB7"/>
    <w:p w14:paraId="4FC0CA5B" w14:textId="39CC5301" w:rsidR="00715722" w:rsidRPr="00023A36" w:rsidRDefault="00715722" w:rsidP="00715722">
      <w:pPr>
        <w:pStyle w:val="Heading1"/>
      </w:pPr>
      <w:bookmarkStart w:id="2" w:name="_Toc130220326"/>
      <w:r>
        <w:lastRenderedPageBreak/>
        <w:t>Issue</w:t>
      </w:r>
      <w:r w:rsidRPr="003253EE">
        <w:t>s</w:t>
      </w:r>
      <w:r w:rsidRPr="00023A36">
        <w:t xml:space="preserve"> for comment</w:t>
      </w:r>
      <w:bookmarkEnd w:id="1"/>
      <w:bookmarkEnd w:id="2"/>
    </w:p>
    <w:p w14:paraId="3401E62C" w14:textId="441FE6FA" w:rsidR="00AC46FB" w:rsidRPr="00023A36" w:rsidRDefault="002871E6" w:rsidP="007A5938">
      <w:pPr>
        <w:pStyle w:val="Paragraph"/>
      </w:pPr>
      <w:r w:rsidRPr="007A5938">
        <w:t>We</w:t>
      </w:r>
      <w:r w:rsidR="00AC46FB" w:rsidRPr="007A5938">
        <w:t xml:space="preserve"> invite</w:t>
      </w:r>
      <w:r w:rsidR="00AC46FB" w:rsidRPr="00023A36">
        <w:t xml:space="preserve"> comments on the issues set out in this paper</w:t>
      </w:r>
      <w:r w:rsidR="00E95166">
        <w:t>.</w:t>
      </w:r>
      <w:r w:rsidR="00C57CEE">
        <w:t xml:space="preserve"> </w:t>
      </w:r>
      <w:r w:rsidR="00C57CEE" w:rsidRPr="00451A79">
        <w:t>Questions are listed throughout the paper in relevant sections</w:t>
      </w:r>
      <w:r w:rsidR="00C57CEE">
        <w:t xml:space="preserve"> and collated below</w:t>
      </w:r>
      <w:r w:rsidR="00C57CEE" w:rsidRPr="00451A79">
        <w:t>.</w:t>
      </w:r>
    </w:p>
    <w:p w14:paraId="654A96D8" w14:textId="49227CF7" w:rsidR="008731CD" w:rsidRPr="00395023" w:rsidRDefault="008731CD" w:rsidP="007A5938">
      <w:pPr>
        <w:pStyle w:val="Heading3"/>
      </w:pPr>
      <w:r w:rsidRPr="00351DC7">
        <w:t xml:space="preserve">Question </w:t>
      </w:r>
      <w:r w:rsidR="008A717B">
        <w:t>1</w:t>
      </w:r>
    </w:p>
    <w:p w14:paraId="65F0DF3A" w14:textId="4792F9F6" w:rsidR="00DF5DFE" w:rsidRDefault="00DF5DFE" w:rsidP="007A5938">
      <w:pPr>
        <w:pStyle w:val="Paragraph"/>
      </w:pPr>
      <w:r>
        <w:t>Do you have any comments on the</w:t>
      </w:r>
      <w:r w:rsidR="00DB5B0A">
        <w:t xml:space="preserve"> proposed usage of the ABS dataset ‘Estimated resident population, Significant Urban Areas’ </w:t>
      </w:r>
      <w:r w:rsidR="007708BE">
        <w:t xml:space="preserve">as the basis for the framework to update </w:t>
      </w:r>
      <w:r w:rsidR="008E7EBD">
        <w:t>a</w:t>
      </w:r>
      <w:r w:rsidR="00F452C3">
        <w:t xml:space="preserve">pparatus licence </w:t>
      </w:r>
      <w:r w:rsidR="007708BE">
        <w:t>taxes annually using changes in geography-specific population?</w:t>
      </w:r>
    </w:p>
    <w:p w14:paraId="01C2E84A" w14:textId="4B20EC31" w:rsidR="00AC657C" w:rsidRDefault="00AC657C" w:rsidP="007A5938">
      <w:pPr>
        <w:pStyle w:val="Heading3"/>
      </w:pPr>
      <w:r>
        <w:t xml:space="preserve">Question </w:t>
      </w:r>
      <w:r w:rsidR="008A717B">
        <w:t>2</w:t>
      </w:r>
    </w:p>
    <w:p w14:paraId="36512E8E" w14:textId="58FE999F" w:rsidR="00EB1867" w:rsidRDefault="00EB1867" w:rsidP="007A5938">
      <w:pPr>
        <w:pStyle w:val="Paragraph"/>
      </w:pPr>
      <w:r>
        <w:t xml:space="preserve">Do you have any comments </w:t>
      </w:r>
      <w:r w:rsidR="00E437E8">
        <w:t xml:space="preserve">on </w:t>
      </w:r>
      <w:r w:rsidR="00466E38">
        <w:t xml:space="preserve">the indicative timing </w:t>
      </w:r>
      <w:r w:rsidR="00F452C3">
        <w:t>of annual updates to</w:t>
      </w:r>
      <w:r w:rsidR="0030600C">
        <w:t xml:space="preserve"> </w:t>
      </w:r>
      <w:r w:rsidR="008E7EBD">
        <w:t>a</w:t>
      </w:r>
      <w:r w:rsidR="0030600C">
        <w:t>pparatus licence taxes using changes in geography-specific population?</w:t>
      </w:r>
    </w:p>
    <w:p w14:paraId="45529550" w14:textId="4911F32F" w:rsidR="00411836" w:rsidRPr="00395023" w:rsidRDefault="00411836" w:rsidP="007A5938">
      <w:pPr>
        <w:pStyle w:val="Heading3"/>
      </w:pPr>
      <w:r w:rsidRPr="00351DC7">
        <w:t xml:space="preserve">Question </w:t>
      </w:r>
      <w:r w:rsidR="008A717B">
        <w:t>3</w:t>
      </w:r>
    </w:p>
    <w:p w14:paraId="3C913365" w14:textId="77777777" w:rsidR="007B6FE8" w:rsidRDefault="005E1318" w:rsidP="007A5938">
      <w:pPr>
        <w:pStyle w:val="Paragraph"/>
      </w:pPr>
      <w:r>
        <w:t>Do you have any comments on the proposal to update the annual licence tax amount for television outside broadcast network licences and the proposed amendment to the Determination?</w:t>
      </w:r>
    </w:p>
    <w:p w14:paraId="6A78E8F1" w14:textId="50AB34AE" w:rsidR="00AF180C" w:rsidRDefault="00AF180C" w:rsidP="007A5938">
      <w:pPr>
        <w:pStyle w:val="Heading3"/>
      </w:pPr>
      <w:r>
        <w:t xml:space="preserve">Question </w:t>
      </w:r>
      <w:r w:rsidR="008A717B">
        <w:t>4</w:t>
      </w:r>
    </w:p>
    <w:p w14:paraId="7CCF278B" w14:textId="76A9D15D" w:rsidR="008E054E" w:rsidRDefault="008E054E" w:rsidP="007A5938">
      <w:pPr>
        <w:pStyle w:val="Paragraph"/>
      </w:pPr>
      <w:r>
        <w:t xml:space="preserve">Do you have any suggestions </w:t>
      </w:r>
      <w:r w:rsidR="0003179A">
        <w:t xml:space="preserve">on </w:t>
      </w:r>
      <w:r w:rsidR="00AE0160">
        <w:t xml:space="preserve">how the ACMA </w:t>
      </w:r>
      <w:r w:rsidR="00EB3C02">
        <w:t xml:space="preserve">could </w:t>
      </w:r>
      <w:r w:rsidR="00C6747A">
        <w:t xml:space="preserve">introduce </w:t>
      </w:r>
      <w:r w:rsidR="00E463F4">
        <w:t xml:space="preserve">additional </w:t>
      </w:r>
      <w:r w:rsidR="009638E5">
        <w:t xml:space="preserve">measures to further </w:t>
      </w:r>
      <w:r w:rsidR="006F526F">
        <w:t xml:space="preserve">the </w:t>
      </w:r>
      <w:r w:rsidR="00B90159">
        <w:t xml:space="preserve">pricing of </w:t>
      </w:r>
      <w:r w:rsidR="00A178C3">
        <w:t>licences for varying levels of interference</w:t>
      </w:r>
      <w:r w:rsidR="004E0767">
        <w:t xml:space="preserve"> </w:t>
      </w:r>
      <w:r w:rsidR="00147FFD">
        <w:t xml:space="preserve">or examples </w:t>
      </w:r>
      <w:r w:rsidR="00237B2F">
        <w:t xml:space="preserve">of </w:t>
      </w:r>
      <w:r w:rsidR="007C274A">
        <w:t>mechanism</w:t>
      </w:r>
      <w:r w:rsidR="005701C5">
        <w:t>s</w:t>
      </w:r>
      <w:r w:rsidR="00E119CC">
        <w:t xml:space="preserve"> </w:t>
      </w:r>
      <w:r w:rsidR="003F082A">
        <w:t xml:space="preserve">that </w:t>
      </w:r>
      <w:r w:rsidR="000C310E">
        <w:t>you think the ACMA should consider for implementation?</w:t>
      </w:r>
    </w:p>
    <w:p w14:paraId="578AB10D" w14:textId="5310D28C" w:rsidR="00242645" w:rsidRDefault="00242645" w:rsidP="007A5938">
      <w:pPr>
        <w:pStyle w:val="Heading3"/>
      </w:pPr>
      <w:r>
        <w:t xml:space="preserve">Question </w:t>
      </w:r>
      <w:r w:rsidR="008A717B">
        <w:t>5</w:t>
      </w:r>
    </w:p>
    <w:p w14:paraId="44AED044" w14:textId="10DCAEC1" w:rsidR="00EF0B50" w:rsidRDefault="00EF0B50" w:rsidP="007A5938">
      <w:pPr>
        <w:pStyle w:val="Paragraph"/>
      </w:pPr>
      <w:r>
        <w:t xml:space="preserve">Do you have any suggestions on which licence types </w:t>
      </w:r>
      <w:r w:rsidR="007E05D9">
        <w:t xml:space="preserve">and sub-types </w:t>
      </w:r>
      <w:r>
        <w:t>should be considered by the ACMA for implementation of mechanisms that price for varying levels of interference?</w:t>
      </w:r>
    </w:p>
    <w:p w14:paraId="2F7C2D59" w14:textId="37973B23" w:rsidR="00411836" w:rsidRDefault="00411836" w:rsidP="007A5938">
      <w:pPr>
        <w:pStyle w:val="Heading3"/>
      </w:pPr>
      <w:r w:rsidDel="00AC657C">
        <w:t xml:space="preserve">Question </w:t>
      </w:r>
      <w:r w:rsidR="00EC4293">
        <w:t>6</w:t>
      </w:r>
    </w:p>
    <w:p w14:paraId="49E47EFB" w14:textId="7BCBE63A" w:rsidR="00411836" w:rsidRPr="00C02F26" w:rsidRDefault="00124C58" w:rsidP="007A5938">
      <w:pPr>
        <w:pStyle w:val="Paragraph"/>
      </w:pPr>
      <w:r>
        <w:t xml:space="preserve">Do you have any comments on the </w:t>
      </w:r>
      <w:r w:rsidR="005134B1">
        <w:t>potential ex</w:t>
      </w:r>
      <w:r w:rsidR="00A87361">
        <w:t>ten</w:t>
      </w:r>
      <w:r w:rsidR="005134B1">
        <w:t>sion of</w:t>
      </w:r>
      <w:r>
        <w:t xml:space="preserve"> the low-</w:t>
      </w:r>
      <w:r w:rsidR="002E7FA0">
        <w:t>power</w:t>
      </w:r>
      <w:r>
        <w:t xml:space="preserve"> and micro-power discounts </w:t>
      </w:r>
      <w:r w:rsidR="005134B1">
        <w:t>to additional</w:t>
      </w:r>
      <w:r w:rsidR="008E7EBD">
        <w:t xml:space="preserve"> services</w:t>
      </w:r>
      <w:r w:rsidR="005220E4">
        <w:t>?</w:t>
      </w:r>
    </w:p>
    <w:p w14:paraId="17F27741" w14:textId="476A2ECF" w:rsidR="007C0ED9" w:rsidRDefault="007C0ED9" w:rsidP="007A5938">
      <w:pPr>
        <w:pStyle w:val="Heading3"/>
      </w:pPr>
      <w:r w:rsidDel="00AC657C">
        <w:t xml:space="preserve">Question </w:t>
      </w:r>
      <w:r w:rsidR="00EC4293">
        <w:t>7</w:t>
      </w:r>
    </w:p>
    <w:p w14:paraId="4BD5B036" w14:textId="17E9CBD3" w:rsidR="007C0ED9" w:rsidRDefault="007C0ED9" w:rsidP="007A5938">
      <w:pPr>
        <w:pStyle w:val="Paragraph"/>
      </w:pPr>
      <w:r>
        <w:t xml:space="preserve">Do you have any suggestions on how and where the ACMA could introduce interference protection pricing </w:t>
      </w:r>
      <w:r w:rsidR="00796000">
        <w:t>mechanisms</w:t>
      </w:r>
      <w:r>
        <w:t xml:space="preserve"> to the apparatus licencing framework?</w:t>
      </w:r>
    </w:p>
    <w:p w14:paraId="60554932" w14:textId="4F928EE5" w:rsidR="00C90655" w:rsidRPr="00395023" w:rsidRDefault="00C90655" w:rsidP="007A5938">
      <w:pPr>
        <w:pStyle w:val="Heading3"/>
      </w:pPr>
      <w:r w:rsidRPr="00351DC7">
        <w:t xml:space="preserve">Question </w:t>
      </w:r>
      <w:r w:rsidR="00EC4293">
        <w:t>8</w:t>
      </w:r>
    </w:p>
    <w:p w14:paraId="2460A409" w14:textId="656A71A9" w:rsidR="00001053" w:rsidRDefault="0056489C" w:rsidP="007A5938">
      <w:pPr>
        <w:pStyle w:val="Paragraph"/>
      </w:pPr>
      <w:r>
        <w:t xml:space="preserve">Do you have </w:t>
      </w:r>
      <w:r w:rsidR="008E7EBD">
        <w:t xml:space="preserve">any </w:t>
      </w:r>
      <w:r>
        <w:t>suggestions for additional pricing measures the ACMA could consider to encourage spectrally efficient technology deployments?</w:t>
      </w:r>
    </w:p>
    <w:p w14:paraId="340971DD" w14:textId="4480BCE9" w:rsidR="00C90655" w:rsidRPr="00235D23" w:rsidRDefault="00C90655" w:rsidP="007A5938">
      <w:pPr>
        <w:pStyle w:val="Heading3"/>
      </w:pPr>
      <w:r w:rsidRPr="00235D23">
        <w:t xml:space="preserve">Question </w:t>
      </w:r>
      <w:r w:rsidR="00EC4293">
        <w:t>9</w:t>
      </w:r>
    </w:p>
    <w:p w14:paraId="57F8AEA3" w14:textId="16ECCF9B" w:rsidR="00C22F1C" w:rsidRPr="00D24B6E" w:rsidRDefault="0056489C" w:rsidP="007A5938">
      <w:pPr>
        <w:pStyle w:val="Paragraph"/>
      </w:pPr>
      <w:r>
        <w:t xml:space="preserve">Are there any other comments that you would like </w:t>
      </w:r>
      <w:r w:rsidR="00087A45">
        <w:t>to give</w:t>
      </w:r>
      <w:r>
        <w:t xml:space="preserve"> relating to the proposals in this paper or other aspects of the apparatus licence tax regime?</w:t>
      </w:r>
    </w:p>
    <w:p w14:paraId="649EE648" w14:textId="6E97FCF7" w:rsidR="0078332D" w:rsidRDefault="00B03B74" w:rsidP="0078332D">
      <w:pPr>
        <w:pStyle w:val="Heading1"/>
      </w:pPr>
      <w:bookmarkStart w:id="3" w:name="_Toc130220327"/>
      <w:r>
        <w:lastRenderedPageBreak/>
        <w:t>Updating apparatus licence taxes by population</w:t>
      </w:r>
      <w:bookmarkEnd w:id="3"/>
    </w:p>
    <w:p w14:paraId="51CF4E25" w14:textId="70F9E74B" w:rsidR="00A368C0" w:rsidRDefault="00B03B74" w:rsidP="00A368C0">
      <w:pPr>
        <w:pStyle w:val="Heading2"/>
      </w:pPr>
      <w:bookmarkStart w:id="4" w:name="_Toc130220328"/>
      <w:r>
        <w:t>Change from using CPI to population</w:t>
      </w:r>
      <w:bookmarkEnd w:id="4"/>
    </w:p>
    <w:p w14:paraId="5F2139E2" w14:textId="403BE883" w:rsidR="009D05BD" w:rsidRDefault="005D60C2" w:rsidP="00723DB8">
      <w:pPr>
        <w:pStyle w:val="Paragraph"/>
      </w:pPr>
      <w:r>
        <w:t xml:space="preserve">In October 2021, the ACMA proposed to </w:t>
      </w:r>
      <w:r w:rsidR="00CF6747">
        <w:t xml:space="preserve">move from a framework of updating apparatus licence taxes annually based on </w:t>
      </w:r>
      <w:r w:rsidR="00DD1D9C">
        <w:t xml:space="preserve">changes in </w:t>
      </w:r>
      <w:r w:rsidR="00F40153">
        <w:t xml:space="preserve">the </w:t>
      </w:r>
      <w:r w:rsidR="00DD1D9C">
        <w:t xml:space="preserve">CPI to a framework based on changes in </w:t>
      </w:r>
      <w:bookmarkStart w:id="5" w:name="_Hlk126222885"/>
      <w:r w:rsidR="009D05BD">
        <w:t>geography-specific population data</w:t>
      </w:r>
      <w:bookmarkEnd w:id="5"/>
      <w:r w:rsidR="009D05BD">
        <w:t>. Th</w:t>
      </w:r>
      <w:r w:rsidR="00634722">
        <w:t xml:space="preserve">is proposal was outlined </w:t>
      </w:r>
      <w:r w:rsidR="009D05BD">
        <w:t xml:space="preserve">in </w:t>
      </w:r>
      <w:r w:rsidR="00CF5EA2">
        <w:t xml:space="preserve">our </w:t>
      </w:r>
      <w:hyperlink r:id="rId25" w:history="1">
        <w:r w:rsidR="00B30CA5" w:rsidRPr="00CF5EA2">
          <w:rPr>
            <w:rStyle w:val="Hyperlink"/>
          </w:rPr>
          <w:t>consultation paper</w:t>
        </w:r>
      </w:hyperlink>
      <w:r w:rsidR="006F526F">
        <w:t>.</w:t>
      </w:r>
      <w:r w:rsidR="00B30CA5">
        <w:t xml:space="preserve"> </w:t>
      </w:r>
    </w:p>
    <w:p w14:paraId="074DCC6F" w14:textId="404DB624" w:rsidR="00640B93" w:rsidRDefault="00640B93" w:rsidP="00640B93">
      <w:pPr>
        <w:pStyle w:val="Paragraph"/>
      </w:pPr>
      <w:r w:rsidRPr="00F4378B">
        <w:t xml:space="preserve">The </w:t>
      </w:r>
      <w:r>
        <w:t xml:space="preserve">intention in proposing </w:t>
      </w:r>
      <w:r w:rsidRPr="00F4378B">
        <w:t xml:space="preserve">a framework based on changes in geography-specific population data is to provide more efficient prices by </w:t>
      </w:r>
      <w:r>
        <w:t>enabling a spectrum price to reflect differential underlying demand for spectrum across geographic areas.</w:t>
      </w:r>
      <w:r w:rsidRPr="00F4378B">
        <w:t xml:space="preserve"> The proposal was developed in response to the Spectrum Pricing Review</w:t>
      </w:r>
      <w:r w:rsidR="006A0CCE">
        <w:t>, which</w:t>
      </w:r>
      <w:r w:rsidRPr="00F4378B">
        <w:t xml:space="preserve"> recommended ‘the ACMA should implement regular updates to the location and band weightings to reflect changes in density, demography and demand</w:t>
      </w:r>
      <w:r w:rsidR="006A0CCE">
        <w:t>’</w:t>
      </w:r>
      <w:r w:rsidRPr="00F4378B">
        <w:t xml:space="preserve">. This proposal </w:t>
      </w:r>
      <w:r w:rsidR="00507F47">
        <w:t>would update</w:t>
      </w:r>
      <w:r w:rsidRPr="00F4378B">
        <w:t xml:space="preserve"> apparatus licence fees in line with the underlying data that informs density and demography, and also uses geography-specific population figures as a proxy for demand in each region.</w:t>
      </w:r>
    </w:p>
    <w:p w14:paraId="40A4ED77" w14:textId="750B5EBD" w:rsidR="003C09EE" w:rsidRDefault="004D68D4" w:rsidP="00723DB8">
      <w:pPr>
        <w:pStyle w:val="Paragraph"/>
      </w:pPr>
      <w:r>
        <w:t xml:space="preserve">In proposing this change, </w:t>
      </w:r>
      <w:r w:rsidR="002871E6">
        <w:t>we</w:t>
      </w:r>
      <w:r>
        <w:t xml:space="preserve"> noted that o</w:t>
      </w:r>
      <w:r w:rsidR="00EE4849">
        <w:t xml:space="preserve">ne of the key </w:t>
      </w:r>
      <w:r>
        <w:t>disadvantages</w:t>
      </w:r>
      <w:r w:rsidR="00EE4849">
        <w:t xml:space="preserve"> </w:t>
      </w:r>
      <w:r w:rsidR="00B30CA5">
        <w:t>of</w:t>
      </w:r>
      <w:r w:rsidR="00F40153">
        <w:t xml:space="preserve"> </w:t>
      </w:r>
      <w:r w:rsidR="001C65A3">
        <w:t>adjusting</w:t>
      </w:r>
      <w:r w:rsidR="0045742C">
        <w:t xml:space="preserve"> apparatus licence taxes by CPI</w:t>
      </w:r>
      <w:r w:rsidR="00F40153">
        <w:t xml:space="preserve"> </w:t>
      </w:r>
      <w:r w:rsidR="00173EFC">
        <w:t>is</w:t>
      </w:r>
      <w:r w:rsidR="00DD10BE">
        <w:t xml:space="preserve"> that it treat</w:t>
      </w:r>
      <w:r w:rsidR="00173EFC">
        <w:t>s</w:t>
      </w:r>
      <w:r w:rsidR="00DD10BE">
        <w:t xml:space="preserve"> all licences equally when updating tax rates</w:t>
      </w:r>
      <w:r w:rsidR="00D3060D">
        <w:t xml:space="preserve">, </w:t>
      </w:r>
      <w:r w:rsidR="00DD10BE">
        <w:t>regardless of the different demand for spectrum in different areas</w:t>
      </w:r>
      <w:r>
        <w:t xml:space="preserve"> and spectrum denial characteristics</w:t>
      </w:r>
      <w:r w:rsidR="00DD10BE">
        <w:t xml:space="preserve">. The issue was highlighted </w:t>
      </w:r>
      <w:r w:rsidR="0076766F" w:rsidRPr="0076766F">
        <w:t>by stakeholders in lower</w:t>
      </w:r>
      <w:r w:rsidR="00C57CEE">
        <w:t>-</w:t>
      </w:r>
      <w:r w:rsidR="0076766F" w:rsidRPr="0076766F">
        <w:t>density areas continuing to face increases on their licence taxes</w:t>
      </w:r>
      <w:r w:rsidR="00C57CEE">
        <w:t>,</w:t>
      </w:r>
      <w:r w:rsidR="0076766F" w:rsidRPr="0076766F">
        <w:t xml:space="preserve"> despite spectrum availability remaining high and </w:t>
      </w:r>
      <w:r w:rsidR="00741C18">
        <w:t xml:space="preserve">there being </w:t>
      </w:r>
      <w:r w:rsidR="0076766F" w:rsidRPr="0076766F">
        <w:t>limited or no change to the spectrum denial characteristics of their spectrum use.</w:t>
      </w:r>
    </w:p>
    <w:p w14:paraId="58646634" w14:textId="18BC1274" w:rsidR="003C09EE" w:rsidRDefault="004A5769" w:rsidP="007A5938">
      <w:pPr>
        <w:pStyle w:val="Paragraphbeforelist"/>
      </w:pPr>
      <w:r>
        <w:t xml:space="preserve">Based on this feedback, </w:t>
      </w:r>
      <w:r w:rsidR="00523D0D">
        <w:t>we</w:t>
      </w:r>
      <w:r>
        <w:t xml:space="preserve"> proposed </w:t>
      </w:r>
      <w:r w:rsidR="00593943">
        <w:t>the following set of reforms:</w:t>
      </w:r>
    </w:p>
    <w:p w14:paraId="19D561BA" w14:textId="62AD4926" w:rsidR="00593943" w:rsidRDefault="00593943" w:rsidP="00BB5CCD">
      <w:pPr>
        <w:pStyle w:val="Bulletlevel1"/>
      </w:pPr>
      <w:r>
        <w:t>Removing the link between the normalisation factor and adjustments to CPI</w:t>
      </w:r>
      <w:r w:rsidR="002D3010">
        <w:t xml:space="preserve">; the normalisation factor </w:t>
      </w:r>
      <w:r w:rsidR="005817E1">
        <w:t>is a factor in the a</w:t>
      </w:r>
      <w:r w:rsidR="006B444F">
        <w:t>ssigned licence tax formula that adjusts relative values to a dollar figure.</w:t>
      </w:r>
    </w:p>
    <w:p w14:paraId="3F08F88D" w14:textId="212815B4" w:rsidR="00593943" w:rsidRDefault="00593943" w:rsidP="00BB5CCD">
      <w:pPr>
        <w:pStyle w:val="Bulletlevel1"/>
      </w:pPr>
      <w:r>
        <w:t>Introducing unique normalisation factors for high, medium, low and remote-density areas and Australia-wide linked to adjustments in population.</w:t>
      </w:r>
    </w:p>
    <w:p w14:paraId="5633FE9B" w14:textId="2E513335" w:rsidR="00593943" w:rsidRDefault="00593943" w:rsidP="00BB5CCD">
      <w:pPr>
        <w:pStyle w:val="Bulletlevel1"/>
      </w:pPr>
      <w:r>
        <w:t>Adjusting each normalisation factor annually on a more granular level by changes in area-specific population for each density classification.</w:t>
      </w:r>
    </w:p>
    <w:p w14:paraId="37C57A69" w14:textId="7DFDCA4D" w:rsidR="00593943" w:rsidRDefault="00593943" w:rsidP="00BB5CCD">
      <w:pPr>
        <w:pStyle w:val="Bulletlevel1last"/>
      </w:pPr>
      <w:r>
        <w:t xml:space="preserve">Using </w:t>
      </w:r>
      <w:r w:rsidR="00741C18">
        <w:t xml:space="preserve">the </w:t>
      </w:r>
      <w:r>
        <w:t>Australian Bureau of Statistics (ABS) dataset ‘Population estimates by significant urban areas’ to track annual changes in area-specific population.</w:t>
      </w:r>
    </w:p>
    <w:p w14:paraId="2BA9B0CB" w14:textId="0FA74D4C" w:rsidR="00C570D5" w:rsidRDefault="007B3B7A" w:rsidP="00723DB8">
      <w:pPr>
        <w:pStyle w:val="Paragraph"/>
      </w:pPr>
      <w:r>
        <w:t>The proposed changes ha</w:t>
      </w:r>
      <w:r w:rsidR="002F138A">
        <w:t>ve</w:t>
      </w:r>
      <w:r>
        <w:t xml:space="preserve"> the benefit of </w:t>
      </w:r>
      <w:r w:rsidR="006A5404">
        <w:t xml:space="preserve">allowing different adjustments for different </w:t>
      </w:r>
      <w:r w:rsidR="00866EA1">
        <w:t>geographic area classifications, as well as providin</w:t>
      </w:r>
      <w:r w:rsidR="00866EA1" w:rsidRPr="00C57CEE">
        <w:t xml:space="preserve">g </w:t>
      </w:r>
      <w:r w:rsidR="00523D0D" w:rsidRPr="007A5938">
        <w:t xml:space="preserve">a </w:t>
      </w:r>
      <w:r w:rsidR="00B30CA5" w:rsidRPr="00C57CEE">
        <w:t xml:space="preserve">smoother </w:t>
      </w:r>
      <w:r w:rsidR="00523D0D" w:rsidRPr="007A5938">
        <w:t>(</w:t>
      </w:r>
      <w:r w:rsidR="00B30CA5" w:rsidRPr="00C57CEE">
        <w:t>and thus anticipatable</w:t>
      </w:r>
      <w:r w:rsidR="00523D0D" w:rsidRPr="007A5938">
        <w:t>)</w:t>
      </w:r>
      <w:r w:rsidR="00B30CA5">
        <w:t xml:space="preserve"> change when compared to changes in CPI.</w:t>
      </w:r>
    </w:p>
    <w:p w14:paraId="75814629" w14:textId="19D57BE8" w:rsidR="002254D5" w:rsidRDefault="00B30CA5" w:rsidP="003A7758">
      <w:pPr>
        <w:pStyle w:val="Paragraph"/>
      </w:pPr>
      <w:r>
        <w:t xml:space="preserve">The majority of submissions received to the proposal were supportive, however, some submissions expressed </w:t>
      </w:r>
      <w:r w:rsidR="005539BD">
        <w:t>concern</w:t>
      </w:r>
      <w:r>
        <w:t xml:space="preserve"> that the change may lead to significant price increases compared to the prior mechanism, especially for higher</w:t>
      </w:r>
      <w:r w:rsidR="00C57CEE">
        <w:t>-</w:t>
      </w:r>
      <w:r>
        <w:t xml:space="preserve">density areas such as capital cities. </w:t>
      </w:r>
    </w:p>
    <w:p w14:paraId="36A54CC3" w14:textId="42CFD11B" w:rsidR="002254D5" w:rsidRDefault="00523D0D" w:rsidP="003A7758">
      <w:pPr>
        <w:pStyle w:val="Paragraph"/>
      </w:pPr>
      <w:r>
        <w:t>We</w:t>
      </w:r>
      <w:r w:rsidR="002254D5">
        <w:t xml:space="preserve"> presented the </w:t>
      </w:r>
      <w:r>
        <w:t>2</w:t>
      </w:r>
      <w:r w:rsidR="002254D5">
        <w:t xml:space="preserve"> figures below </w:t>
      </w:r>
      <w:r>
        <w:t>to</w:t>
      </w:r>
      <w:r w:rsidR="002254D5">
        <w:t xml:space="preserve"> support </w:t>
      </w:r>
      <w:r>
        <w:t>our</w:t>
      </w:r>
      <w:r w:rsidR="002254D5">
        <w:t xml:space="preserve"> argument that the changes would likely result in lower taxes over time when compared </w:t>
      </w:r>
      <w:r>
        <w:t>to</w:t>
      </w:r>
      <w:r w:rsidR="002254D5">
        <w:t xml:space="preserve"> the </w:t>
      </w:r>
      <w:r>
        <w:t>previous</w:t>
      </w:r>
      <w:r w:rsidR="002254D5">
        <w:t xml:space="preserve"> framework of updating tax rates in line with changes in CPI. The</w:t>
      </w:r>
      <w:r w:rsidR="00806B01">
        <w:t>se</w:t>
      </w:r>
      <w:r w:rsidR="002254D5">
        <w:t xml:space="preserve"> show that annual changes in CPI have consistently been more volatile and mostly higher than changes in population, even for Melbourne, Sydney, and Brisbane. On a cumulative basis over time, changes </w:t>
      </w:r>
      <w:r w:rsidR="002254D5">
        <w:lastRenderedPageBreak/>
        <w:t>in CPI have shown to be significantly higher. This view has been further validated</w:t>
      </w:r>
      <w:r w:rsidR="00D069FF">
        <w:t xml:space="preserve"> </w:t>
      </w:r>
      <w:r w:rsidR="008E0685">
        <w:t>since the framework</w:t>
      </w:r>
      <w:r w:rsidR="00414263">
        <w:t xml:space="preserve"> was initially proposed</w:t>
      </w:r>
      <w:r w:rsidR="002254D5">
        <w:t>, with the publication of CPI data show</w:t>
      </w:r>
      <w:r w:rsidR="001A466B">
        <w:t>ing</w:t>
      </w:r>
      <w:r w:rsidR="002254D5">
        <w:t xml:space="preserve"> a 6.1% annual increase in the year to June 2022</w:t>
      </w:r>
      <w:r w:rsidR="00C603C5">
        <w:t>,</w:t>
      </w:r>
      <w:r w:rsidR="002254D5">
        <w:t xml:space="preserve"> whereas total population change was 1.1% over the same period.</w:t>
      </w:r>
    </w:p>
    <w:p w14:paraId="684C6AD2" w14:textId="070673EE" w:rsidR="002254D5" w:rsidRPr="00D11BE2" w:rsidRDefault="003F094A" w:rsidP="007A5938">
      <w:pPr>
        <w:pStyle w:val="Figureheading"/>
      </w:pPr>
      <w:r w:rsidRPr="00A64787">
        <w:t>Annual percentage changes in population for Sydney, Melbourne, and Brisbane mapped against annual percentage changes in CPI (1976 to 2016)</w:t>
      </w:r>
      <w:r w:rsidR="00F45414">
        <w:t xml:space="preserve"> from the prior Spectrum Pricing Review </w:t>
      </w:r>
      <w:r w:rsidR="004809FD">
        <w:br/>
      </w:r>
      <w:r w:rsidR="00F45414">
        <w:t>outcomes paper</w:t>
      </w:r>
    </w:p>
    <w:p w14:paraId="77B73BAB" w14:textId="77777777" w:rsidR="003F094A" w:rsidRDefault="003F094A" w:rsidP="003F094A">
      <w:pPr>
        <w:pStyle w:val="Paragraph"/>
        <w:spacing w:after="360"/>
        <w:rPr>
          <w:color w:val="FF0000"/>
        </w:rPr>
      </w:pPr>
      <w:r>
        <w:rPr>
          <w:noProof/>
        </w:rPr>
        <w:drawing>
          <wp:inline distT="0" distB="0" distL="0" distR="0" wp14:anchorId="4B78F8EB" wp14:editId="7B97EAE3">
            <wp:extent cx="4572000" cy="2048494"/>
            <wp:effectExtent l="0" t="0" r="0" b="9525"/>
            <wp:docPr id="2" name="Chart 2" descr="If you need help accessing or reading this diagram, please contact the ACMA's Customer Service Centre by phone on 1300 850 115 or by email at info@acma.gov.au">
              <a:extLst xmlns:a="http://schemas.openxmlformats.org/drawingml/2006/main">
                <a:ext uri="{FF2B5EF4-FFF2-40B4-BE49-F238E27FC236}">
                  <a16:creationId xmlns:a16="http://schemas.microsoft.com/office/drawing/2014/main" id="{E23CE8FE-C302-439C-9ADB-0E39C44B51E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4251454B" w14:textId="3DC28EB0" w:rsidR="002254D5" w:rsidRPr="00D11BE2" w:rsidRDefault="002254D5" w:rsidP="007A5938">
      <w:pPr>
        <w:pStyle w:val="Figureheading"/>
      </w:pPr>
      <w:r w:rsidRPr="00D11BE2">
        <w:t>Cumulative percentage changes in population for Sydney, Melbourne, Brisbane mapped against cumulative percentage changes in CPI normalised to 1975 (1976 to 2016)</w:t>
      </w:r>
      <w:r w:rsidR="00F45414">
        <w:t xml:space="preserve"> from the prior Spectrum Pricing Review outcomes paper</w:t>
      </w:r>
    </w:p>
    <w:p w14:paraId="60093047" w14:textId="61F31DFB" w:rsidR="0068054B" w:rsidRDefault="0068054B" w:rsidP="0068054B">
      <w:pPr>
        <w:pStyle w:val="Paragraph"/>
        <w:rPr>
          <w:color w:val="FF0000"/>
        </w:rPr>
      </w:pPr>
      <w:r>
        <w:rPr>
          <w:noProof/>
        </w:rPr>
        <w:drawing>
          <wp:inline distT="0" distB="0" distL="0" distR="0" wp14:anchorId="5B8DFB58" wp14:editId="430A5D46">
            <wp:extent cx="4572000" cy="1953491"/>
            <wp:effectExtent l="0" t="0" r="0" b="8890"/>
            <wp:docPr id="3" name="Chart 3" descr="If you need help accessing or reading this diagram, please contact the ACMA's Customer Service Centre by phone on 1300 850 115 or by email at info@acma.gov.au">
              <a:extLst xmlns:a="http://schemas.openxmlformats.org/drawingml/2006/main">
                <a:ext uri="{FF2B5EF4-FFF2-40B4-BE49-F238E27FC236}">
                  <a16:creationId xmlns:a16="http://schemas.microsoft.com/office/drawing/2014/main" id="{48472F0A-FF12-44FA-B54B-9C889B77E2C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4719CD57" w14:textId="1D1B2034" w:rsidR="001F6316" w:rsidRDefault="008F5383" w:rsidP="001F6316">
      <w:pPr>
        <w:pStyle w:val="Paragraph"/>
      </w:pPr>
      <w:r>
        <w:t>T</w:t>
      </w:r>
      <w:r w:rsidR="00EE7161">
        <w:t xml:space="preserve">he ACMA confirmed in July 2022 in the </w:t>
      </w:r>
      <w:hyperlink r:id="rId28" w:history="1">
        <w:r w:rsidR="00F80468" w:rsidRPr="00F80468">
          <w:rPr>
            <w:rStyle w:val="Hyperlink"/>
          </w:rPr>
          <w:t>o</w:t>
        </w:r>
        <w:r w:rsidR="003B506F" w:rsidRPr="00F80468">
          <w:rPr>
            <w:rStyle w:val="Hyperlink"/>
          </w:rPr>
          <w:t xml:space="preserve">utcomes </w:t>
        </w:r>
        <w:r w:rsidR="00F80468" w:rsidRPr="00F80468">
          <w:rPr>
            <w:rStyle w:val="Hyperlink"/>
          </w:rPr>
          <w:t>p</w:t>
        </w:r>
        <w:r w:rsidR="003B506F" w:rsidRPr="00F80468">
          <w:rPr>
            <w:rStyle w:val="Hyperlink"/>
          </w:rPr>
          <w:t>aper</w:t>
        </w:r>
      </w:hyperlink>
      <w:r w:rsidR="003B506F">
        <w:t xml:space="preserve"> </w:t>
      </w:r>
      <w:r w:rsidR="00F80468">
        <w:t xml:space="preserve">for </w:t>
      </w:r>
      <w:r w:rsidR="00EE7161">
        <w:t xml:space="preserve">the Spectrum Pricing Review that there would be a change to a new framework of updating apparatus licence taxes annually based on changes in geography-specific population. </w:t>
      </w:r>
    </w:p>
    <w:p w14:paraId="0B9E6FC6" w14:textId="3DCDC694" w:rsidR="002254D5" w:rsidRDefault="007C5D16" w:rsidP="001F6316">
      <w:pPr>
        <w:pStyle w:val="Paragraph"/>
      </w:pPr>
      <w:r>
        <w:t xml:space="preserve">We indicated we would release </w:t>
      </w:r>
      <w:r w:rsidR="001F6316">
        <w:t>further details before moving to the new framework. This paper presents those further details of the framework</w:t>
      </w:r>
      <w:r w:rsidR="00102128">
        <w:t xml:space="preserve"> and seeks stakeholder comments</w:t>
      </w:r>
      <w:r w:rsidR="001F6316">
        <w:t>.</w:t>
      </w:r>
    </w:p>
    <w:p w14:paraId="0FEE76D9" w14:textId="365A5859" w:rsidR="00B30CA5" w:rsidRDefault="00B03B74" w:rsidP="007A5938">
      <w:pPr>
        <w:pStyle w:val="Heading2"/>
        <w:keepLines/>
      </w:pPr>
      <w:bookmarkStart w:id="6" w:name="_Toc130220329"/>
      <w:r>
        <w:lastRenderedPageBreak/>
        <w:t>Dataset and framework</w:t>
      </w:r>
      <w:bookmarkEnd w:id="6"/>
    </w:p>
    <w:p w14:paraId="3B86A343" w14:textId="557DCECA" w:rsidR="00E95BCE" w:rsidRDefault="00F80468" w:rsidP="007A5938">
      <w:pPr>
        <w:keepNext/>
        <w:keepLines/>
        <w:rPr>
          <w:rFonts w:cs="Arial"/>
          <w:szCs w:val="20"/>
        </w:rPr>
      </w:pPr>
      <w:r>
        <w:rPr>
          <w:rFonts w:cs="Arial"/>
          <w:szCs w:val="20"/>
        </w:rPr>
        <w:t xml:space="preserve">We </w:t>
      </w:r>
      <w:r w:rsidR="00E95BCE">
        <w:rPr>
          <w:rFonts w:cs="Arial"/>
          <w:szCs w:val="20"/>
        </w:rPr>
        <w:t>propose to use the Australian Bureau of Statistics (ABS) dataset ‘Estimated resident population, Significant Urban Areas’ as the underlying basis for the framework to update apparatus licence tax rates annually in line with geography-specific population.</w:t>
      </w:r>
    </w:p>
    <w:p w14:paraId="46576903" w14:textId="34F96813" w:rsidR="00E95BCE" w:rsidRDefault="00EE1923" w:rsidP="007A5938">
      <w:pPr>
        <w:keepNext/>
        <w:keepLines/>
        <w:rPr>
          <w:rFonts w:cs="Arial"/>
          <w:szCs w:val="20"/>
        </w:rPr>
      </w:pPr>
      <w:r>
        <w:rPr>
          <w:rFonts w:cs="Arial"/>
          <w:szCs w:val="20"/>
        </w:rPr>
        <w:t xml:space="preserve">Significant Urban Areas (SUAs) </w:t>
      </w:r>
      <w:r w:rsidR="00E95BCE">
        <w:rPr>
          <w:rFonts w:cs="Arial"/>
          <w:szCs w:val="20"/>
        </w:rPr>
        <w:t>are a geographic statistical construct of the ABS that divides the population of Australia into urban centres or groups of urban centres. They classify the Australian population as belonging to one of 110 SUAs</w:t>
      </w:r>
      <w:r w:rsidR="00741C18">
        <w:rPr>
          <w:rFonts w:cs="Arial"/>
          <w:szCs w:val="20"/>
        </w:rPr>
        <w:t>.</w:t>
      </w:r>
      <w:r w:rsidR="00E95BCE">
        <w:rPr>
          <w:rFonts w:cs="Arial"/>
          <w:szCs w:val="20"/>
        </w:rPr>
        <w:t xml:space="preserve"> </w:t>
      </w:r>
      <w:r w:rsidR="00741C18">
        <w:rPr>
          <w:rFonts w:cs="Arial"/>
          <w:szCs w:val="20"/>
        </w:rPr>
        <w:t>F</w:t>
      </w:r>
      <w:r w:rsidR="00E95BCE">
        <w:rPr>
          <w:rFonts w:cs="Arial"/>
          <w:szCs w:val="20"/>
        </w:rPr>
        <w:t xml:space="preserve">urther information about </w:t>
      </w:r>
      <w:hyperlink r:id="rId29" w:history="1">
        <w:r w:rsidR="00E95BCE" w:rsidRPr="00F80468">
          <w:rPr>
            <w:rStyle w:val="Hyperlink"/>
            <w:rFonts w:cs="Arial"/>
            <w:szCs w:val="20"/>
          </w:rPr>
          <w:t>SUAs</w:t>
        </w:r>
      </w:hyperlink>
      <w:r w:rsidR="00E95BCE">
        <w:rPr>
          <w:rFonts w:cs="Arial"/>
          <w:szCs w:val="20"/>
        </w:rPr>
        <w:t xml:space="preserve"> can be found on the ABS website</w:t>
      </w:r>
      <w:r w:rsidR="00F80468">
        <w:rPr>
          <w:rFonts w:cs="Arial"/>
          <w:szCs w:val="20"/>
        </w:rPr>
        <w:t>.</w:t>
      </w:r>
    </w:p>
    <w:p w14:paraId="68EA56DB" w14:textId="16CC7239" w:rsidR="00F845DD" w:rsidRDefault="00F845DD" w:rsidP="00F845DD">
      <w:pPr>
        <w:rPr>
          <w:rFonts w:cs="Arial"/>
          <w:szCs w:val="20"/>
        </w:rPr>
      </w:pPr>
      <w:r>
        <w:rPr>
          <w:rFonts w:cs="Arial"/>
          <w:szCs w:val="20"/>
        </w:rPr>
        <w:t>This particular dataset has been selected as the preferred option as it provides a good balance between transparency, granularity, and accountability for our use</w:t>
      </w:r>
      <w:r w:rsidR="00F80468">
        <w:rPr>
          <w:rFonts w:cs="Arial"/>
          <w:szCs w:val="20"/>
        </w:rPr>
        <w:t>-</w:t>
      </w:r>
      <w:r>
        <w:rPr>
          <w:rFonts w:cs="Arial"/>
          <w:szCs w:val="20"/>
        </w:rPr>
        <w:t xml:space="preserve">case. As this is a dataset provided and managed by the ABS, it offers a degree of transparency for the proposed framework beyond that </w:t>
      </w:r>
      <w:r w:rsidR="00F80468">
        <w:rPr>
          <w:rFonts w:cs="Arial"/>
          <w:szCs w:val="20"/>
        </w:rPr>
        <w:t xml:space="preserve">of </w:t>
      </w:r>
      <w:r>
        <w:rPr>
          <w:rFonts w:cs="Arial"/>
          <w:szCs w:val="20"/>
        </w:rPr>
        <w:t>an internal ACMA dataset. The dataset is built on the Australian Statistical Geography Standard (ASGS) framework</w:t>
      </w:r>
      <w:r w:rsidR="00F80468">
        <w:rPr>
          <w:rFonts w:cs="Arial"/>
          <w:szCs w:val="20"/>
        </w:rPr>
        <w:t>,</w:t>
      </w:r>
      <w:r>
        <w:rPr>
          <w:rFonts w:cs="Arial"/>
          <w:szCs w:val="20"/>
        </w:rPr>
        <w:t xml:space="preserve"> which is able to maximise the geographic detail available, covers the whole of Australia without gaps or overlaps, and provides adequate granularity for a wide range of purposes. The framework splits the whole of Australia into 61,845 areas called Statistical Areas Level 1 (SA1)</w:t>
      </w:r>
      <w:r w:rsidR="00296498">
        <w:rPr>
          <w:rFonts w:cs="Arial"/>
          <w:szCs w:val="20"/>
        </w:rPr>
        <w:t>.</w:t>
      </w:r>
      <w:r>
        <w:rPr>
          <w:rFonts w:cs="Arial"/>
          <w:szCs w:val="20"/>
        </w:rPr>
        <w:t xml:space="preserve"> </w:t>
      </w:r>
      <w:r w:rsidR="00296498">
        <w:rPr>
          <w:rFonts w:cs="Arial"/>
          <w:szCs w:val="20"/>
        </w:rPr>
        <w:t>T</w:t>
      </w:r>
      <w:r>
        <w:rPr>
          <w:rFonts w:cs="Arial"/>
          <w:szCs w:val="20"/>
        </w:rPr>
        <w:t>hese form the building blocks for many ABS population structures used in other government agencies.</w:t>
      </w:r>
    </w:p>
    <w:p w14:paraId="01130CD8" w14:textId="7F5571BB" w:rsidR="00F845DD" w:rsidRDefault="00F845DD" w:rsidP="00F845DD">
      <w:pPr>
        <w:rPr>
          <w:rFonts w:cs="Arial"/>
          <w:szCs w:val="20"/>
        </w:rPr>
      </w:pPr>
      <w:r>
        <w:rPr>
          <w:rFonts w:cs="Arial"/>
          <w:szCs w:val="20"/>
        </w:rPr>
        <w:t>The SUA construct is built from Statistical Areas Level 2 (SA2)</w:t>
      </w:r>
      <w:r w:rsidR="00F80468">
        <w:rPr>
          <w:rFonts w:cs="Arial"/>
          <w:szCs w:val="20"/>
        </w:rPr>
        <w:t>,</w:t>
      </w:r>
      <w:r>
        <w:rPr>
          <w:rFonts w:cs="Arial"/>
          <w:szCs w:val="20"/>
        </w:rPr>
        <w:t xml:space="preserve"> which are built on SA1. However, our view is that SUAs strike a better balance between granularity and accountability than using either SA2 or SA1 approaches. There are 110 SUAs, each of which are named to corresponding urban centres that would be familiar to a broad range of people – </w:t>
      </w:r>
      <w:r w:rsidR="00F80468">
        <w:rPr>
          <w:rFonts w:cs="Arial"/>
          <w:szCs w:val="20"/>
        </w:rPr>
        <w:t xml:space="preserve">for example, </w:t>
      </w:r>
      <w:r>
        <w:rPr>
          <w:rFonts w:cs="Arial"/>
          <w:szCs w:val="20"/>
        </w:rPr>
        <w:t xml:space="preserve">Melbourne or Sunshine Coast. Compared </w:t>
      </w:r>
      <w:r w:rsidR="00E61B08">
        <w:rPr>
          <w:rFonts w:cs="Arial"/>
          <w:szCs w:val="20"/>
        </w:rPr>
        <w:t xml:space="preserve">to </w:t>
      </w:r>
      <w:r>
        <w:rPr>
          <w:rFonts w:cs="Arial"/>
          <w:szCs w:val="20"/>
        </w:rPr>
        <w:t>2,473 total SA2s and 61,845 total SA1s, SUAs provide better accountability as stakeholders can more easily work with the dataset and match SUAs with corresponding groupings</w:t>
      </w:r>
      <w:r w:rsidR="00F80468">
        <w:rPr>
          <w:rFonts w:cs="Arial"/>
          <w:szCs w:val="20"/>
        </w:rPr>
        <w:t>,</w:t>
      </w:r>
      <w:r>
        <w:rPr>
          <w:rFonts w:cs="Arial"/>
          <w:szCs w:val="20"/>
        </w:rPr>
        <w:t xml:space="preserve"> such as by state</w:t>
      </w:r>
      <w:r w:rsidR="00F80468">
        <w:rPr>
          <w:rFonts w:cs="Arial"/>
          <w:szCs w:val="20"/>
        </w:rPr>
        <w:t>,</w:t>
      </w:r>
      <w:r>
        <w:rPr>
          <w:rFonts w:cs="Arial"/>
          <w:szCs w:val="20"/>
        </w:rPr>
        <w:t xml:space="preserve"> if they wish to verify any calculations.</w:t>
      </w:r>
    </w:p>
    <w:p w14:paraId="22646B0A" w14:textId="5FF297E9" w:rsidR="00E95BCE" w:rsidRDefault="00E95BCE" w:rsidP="00E95BCE">
      <w:pPr>
        <w:rPr>
          <w:rFonts w:cs="Arial"/>
          <w:szCs w:val="20"/>
        </w:rPr>
      </w:pPr>
      <w:r>
        <w:rPr>
          <w:rFonts w:cs="Arial"/>
          <w:szCs w:val="20"/>
        </w:rPr>
        <w:t xml:space="preserve">The ABS provides an annual dataset that contains information about the population </w:t>
      </w:r>
      <w:r w:rsidR="00C526D2">
        <w:rPr>
          <w:rFonts w:cs="Arial"/>
          <w:szCs w:val="20"/>
        </w:rPr>
        <w:t xml:space="preserve">of </w:t>
      </w:r>
      <w:r>
        <w:rPr>
          <w:rFonts w:cs="Arial"/>
          <w:szCs w:val="20"/>
        </w:rPr>
        <w:t xml:space="preserve">Australia’s capital cities and regions. As a part of this dataset, information is released for the estimated resident population for each SUA. This dataset is titled ‘Estimated resident population, Significant Urban Areas’ and is released on an annual basis, with the next release scheduled for 20 April 2023. Further information about the </w:t>
      </w:r>
      <w:hyperlink r:id="rId30" w:history="1">
        <w:r w:rsidRPr="00F80468">
          <w:rPr>
            <w:rStyle w:val="Hyperlink"/>
            <w:rFonts w:cs="Arial"/>
            <w:szCs w:val="20"/>
          </w:rPr>
          <w:t>ABS release of regional population data</w:t>
        </w:r>
      </w:hyperlink>
      <w:r>
        <w:rPr>
          <w:rFonts w:cs="Arial"/>
          <w:szCs w:val="20"/>
        </w:rPr>
        <w:t xml:space="preserve"> can be found on the ABS website</w:t>
      </w:r>
      <w:r w:rsidR="00F80468">
        <w:rPr>
          <w:rFonts w:cs="Arial"/>
          <w:szCs w:val="20"/>
        </w:rPr>
        <w:t>.</w:t>
      </w:r>
    </w:p>
    <w:p w14:paraId="39514BF2" w14:textId="21A9C6BF" w:rsidR="009D67DE" w:rsidRDefault="00E95BCE" w:rsidP="009D67DE">
      <w:pPr>
        <w:rPr>
          <w:rFonts w:cs="Arial"/>
          <w:szCs w:val="20"/>
        </w:rPr>
      </w:pPr>
      <w:r>
        <w:rPr>
          <w:rFonts w:cs="Arial"/>
          <w:szCs w:val="20"/>
        </w:rPr>
        <w:t xml:space="preserve">As this is an annual dataset for geography-specific population, it can be used to measure changes in population for different areas of Australia. The dataset is </w:t>
      </w:r>
      <w:r w:rsidR="00384A3B">
        <w:rPr>
          <w:rFonts w:cs="Arial"/>
          <w:szCs w:val="20"/>
        </w:rPr>
        <w:t>sufficiently disaggregated to enable it to align with existing pricing</w:t>
      </w:r>
      <w:r>
        <w:rPr>
          <w:rFonts w:cs="Arial"/>
          <w:szCs w:val="20"/>
        </w:rPr>
        <w:t xml:space="preserve"> constructs such as geographic density areas</w:t>
      </w:r>
      <w:r w:rsidR="009D67DE">
        <w:rPr>
          <w:rFonts w:cs="Arial"/>
          <w:szCs w:val="20"/>
        </w:rPr>
        <w:t xml:space="preserve">. A list of </w:t>
      </w:r>
      <w:r w:rsidR="00EA3793">
        <w:rPr>
          <w:rFonts w:cs="Arial"/>
          <w:szCs w:val="20"/>
        </w:rPr>
        <w:t xml:space="preserve">the 110 SUAs as </w:t>
      </w:r>
      <w:r w:rsidR="00290D28">
        <w:rPr>
          <w:rFonts w:cs="Arial"/>
          <w:szCs w:val="20"/>
        </w:rPr>
        <w:t xml:space="preserve">classified by the ABS </w:t>
      </w:r>
      <w:r w:rsidR="00C603C5">
        <w:rPr>
          <w:rFonts w:cs="Arial"/>
          <w:szCs w:val="20"/>
        </w:rPr>
        <w:t xml:space="preserve">is </w:t>
      </w:r>
      <w:r w:rsidR="00A64787" w:rsidRPr="00A64787">
        <w:rPr>
          <w:rFonts w:cs="Arial"/>
          <w:szCs w:val="20"/>
        </w:rPr>
        <w:t>in Table</w:t>
      </w:r>
      <w:r w:rsidR="00C603C5">
        <w:rPr>
          <w:rFonts w:cs="Arial"/>
          <w:szCs w:val="20"/>
        </w:rPr>
        <w:t> </w:t>
      </w:r>
      <w:r w:rsidR="00A64787" w:rsidRPr="00A64787">
        <w:rPr>
          <w:rFonts w:cs="Arial"/>
          <w:szCs w:val="20"/>
        </w:rPr>
        <w:t>1</w:t>
      </w:r>
      <w:r w:rsidR="00290D28" w:rsidRPr="00A64787">
        <w:rPr>
          <w:rFonts w:cs="Arial"/>
          <w:szCs w:val="20"/>
        </w:rPr>
        <w:t>.</w:t>
      </w:r>
    </w:p>
    <w:p w14:paraId="3AA086A0" w14:textId="3B597EF8" w:rsidR="00C31017" w:rsidRDefault="00C31017">
      <w:pPr>
        <w:spacing w:after="0" w:line="240" w:lineRule="auto"/>
        <w:rPr>
          <w:rFonts w:cs="Arial"/>
          <w:szCs w:val="20"/>
        </w:rPr>
      </w:pPr>
      <w:r>
        <w:rPr>
          <w:rFonts w:cs="Arial"/>
          <w:szCs w:val="20"/>
        </w:rPr>
        <w:br w:type="page"/>
      </w:r>
    </w:p>
    <w:p w14:paraId="709CFE08" w14:textId="1DB9EEB9" w:rsidR="0068167C" w:rsidRPr="00602E4A" w:rsidRDefault="00227F93" w:rsidP="007A5938">
      <w:pPr>
        <w:pStyle w:val="Tableheading"/>
        <w:rPr>
          <w:b w:val="0"/>
          <w:bCs w:val="0"/>
        </w:rPr>
        <w:sectPr w:rsidR="0068167C" w:rsidRPr="00602E4A" w:rsidSect="00C77380">
          <w:headerReference w:type="even" r:id="rId31"/>
          <w:headerReference w:type="default" r:id="rId32"/>
          <w:footerReference w:type="even" r:id="rId33"/>
          <w:footerReference w:type="default" r:id="rId34"/>
          <w:pgSz w:w="11906" w:h="16838" w:code="9"/>
          <w:pgMar w:top="1945" w:right="3101" w:bottom="1134" w:left="1134" w:header="709" w:footer="119" w:gutter="0"/>
          <w:pgNumType w:start="1"/>
          <w:cols w:space="708"/>
          <w:docGrid w:linePitch="360"/>
        </w:sectPr>
      </w:pPr>
      <w:r w:rsidRPr="00602E4A">
        <w:lastRenderedPageBreak/>
        <w:t xml:space="preserve">List of </w:t>
      </w:r>
      <w:r w:rsidR="00063F46" w:rsidRPr="00602E4A">
        <w:t xml:space="preserve">Significant Urban Areas </w:t>
      </w:r>
      <w:r w:rsidR="00063F46" w:rsidRPr="00A64787">
        <w:t>as defined by the ABS</w:t>
      </w:r>
    </w:p>
    <w:p w14:paraId="64518587" w14:textId="77777777" w:rsidR="00A342D6" w:rsidRPr="00A64787" w:rsidRDefault="00A342D6" w:rsidP="00A342D6">
      <w:pPr>
        <w:spacing w:after="0"/>
        <w:rPr>
          <w:rFonts w:cs="Arial"/>
          <w:szCs w:val="20"/>
        </w:rPr>
      </w:pPr>
      <w:r w:rsidRPr="00A64787">
        <w:rPr>
          <w:rFonts w:cs="Arial"/>
          <w:szCs w:val="20"/>
        </w:rPr>
        <w:t>Not in any SUA (NSW)</w:t>
      </w:r>
    </w:p>
    <w:p w14:paraId="267C7099" w14:textId="0107F14C" w:rsidR="00A342D6" w:rsidRPr="00A64787" w:rsidRDefault="00A342D6" w:rsidP="00A342D6">
      <w:pPr>
        <w:spacing w:after="0"/>
        <w:rPr>
          <w:rFonts w:cs="Arial"/>
          <w:szCs w:val="20"/>
        </w:rPr>
      </w:pPr>
      <w:r w:rsidRPr="00A64787">
        <w:rPr>
          <w:rFonts w:cs="Arial"/>
          <w:szCs w:val="20"/>
        </w:rPr>
        <w:t xml:space="preserve">Albury </w:t>
      </w:r>
      <w:r w:rsidR="003518EB">
        <w:rPr>
          <w:rFonts w:cs="Arial"/>
          <w:szCs w:val="20"/>
        </w:rPr>
        <w:t>–</w:t>
      </w:r>
      <w:r w:rsidRPr="00A64787">
        <w:rPr>
          <w:rFonts w:cs="Arial"/>
          <w:szCs w:val="20"/>
        </w:rPr>
        <w:t xml:space="preserve"> Wodonga</w:t>
      </w:r>
    </w:p>
    <w:p w14:paraId="0EF86E48" w14:textId="77777777" w:rsidR="00A342D6" w:rsidRPr="00A64787" w:rsidRDefault="00A342D6" w:rsidP="00A342D6">
      <w:pPr>
        <w:spacing w:after="0"/>
        <w:rPr>
          <w:rFonts w:cs="Arial"/>
          <w:szCs w:val="20"/>
        </w:rPr>
      </w:pPr>
      <w:r w:rsidRPr="00A64787">
        <w:rPr>
          <w:rFonts w:cs="Arial"/>
          <w:szCs w:val="20"/>
        </w:rPr>
        <w:t>Armidale</w:t>
      </w:r>
    </w:p>
    <w:p w14:paraId="6BAB8BAE" w14:textId="77777777" w:rsidR="00A342D6" w:rsidRPr="00A64787" w:rsidRDefault="00A342D6" w:rsidP="00A342D6">
      <w:pPr>
        <w:spacing w:after="0"/>
        <w:rPr>
          <w:rFonts w:cs="Arial"/>
          <w:szCs w:val="20"/>
        </w:rPr>
      </w:pPr>
      <w:r w:rsidRPr="00A64787">
        <w:rPr>
          <w:rFonts w:cs="Arial"/>
          <w:szCs w:val="20"/>
        </w:rPr>
        <w:t>Ballina</w:t>
      </w:r>
    </w:p>
    <w:p w14:paraId="2F1A9603" w14:textId="77777777" w:rsidR="00A342D6" w:rsidRPr="00A64787" w:rsidRDefault="00A342D6" w:rsidP="00A342D6">
      <w:pPr>
        <w:spacing w:after="0"/>
        <w:rPr>
          <w:rFonts w:cs="Arial"/>
          <w:szCs w:val="20"/>
        </w:rPr>
      </w:pPr>
      <w:r w:rsidRPr="00A64787">
        <w:rPr>
          <w:rFonts w:cs="Arial"/>
          <w:szCs w:val="20"/>
        </w:rPr>
        <w:t>Batemans Bay</w:t>
      </w:r>
    </w:p>
    <w:p w14:paraId="29F9B80C" w14:textId="77777777" w:rsidR="00A342D6" w:rsidRPr="00A64787" w:rsidRDefault="00A342D6" w:rsidP="00A342D6">
      <w:pPr>
        <w:spacing w:after="0"/>
        <w:rPr>
          <w:rFonts w:cs="Arial"/>
          <w:szCs w:val="20"/>
        </w:rPr>
      </w:pPr>
      <w:r w:rsidRPr="00A64787">
        <w:rPr>
          <w:rFonts w:cs="Arial"/>
          <w:szCs w:val="20"/>
        </w:rPr>
        <w:t>Bathurst</w:t>
      </w:r>
    </w:p>
    <w:p w14:paraId="6C167EB8" w14:textId="28C0AC07" w:rsidR="00A342D6" w:rsidRPr="00A64787" w:rsidRDefault="00A342D6" w:rsidP="00A342D6">
      <w:pPr>
        <w:spacing w:after="0"/>
        <w:rPr>
          <w:rFonts w:cs="Arial"/>
          <w:szCs w:val="20"/>
        </w:rPr>
      </w:pPr>
      <w:r w:rsidRPr="00A64787">
        <w:rPr>
          <w:rFonts w:cs="Arial"/>
          <w:szCs w:val="20"/>
        </w:rPr>
        <w:t>Bowral</w:t>
      </w:r>
      <w:r w:rsidR="00A64787" w:rsidRPr="00A64787">
        <w:rPr>
          <w:rFonts w:cs="Arial"/>
          <w:szCs w:val="20"/>
        </w:rPr>
        <w:t xml:space="preserve"> –</w:t>
      </w:r>
      <w:r w:rsidRPr="00A64787">
        <w:rPr>
          <w:rFonts w:cs="Arial"/>
          <w:szCs w:val="20"/>
        </w:rPr>
        <w:t xml:space="preserve"> Mittagong</w:t>
      </w:r>
    </w:p>
    <w:p w14:paraId="36085B4B" w14:textId="77777777" w:rsidR="00A342D6" w:rsidRPr="00A64787" w:rsidRDefault="00A342D6" w:rsidP="00A342D6">
      <w:pPr>
        <w:spacing w:after="0"/>
        <w:rPr>
          <w:rFonts w:cs="Arial"/>
          <w:szCs w:val="20"/>
        </w:rPr>
      </w:pPr>
      <w:r w:rsidRPr="00A64787">
        <w:rPr>
          <w:rFonts w:cs="Arial"/>
          <w:szCs w:val="20"/>
        </w:rPr>
        <w:t>Broken Hill</w:t>
      </w:r>
    </w:p>
    <w:p w14:paraId="79A32F39" w14:textId="77777777" w:rsidR="00A342D6" w:rsidRPr="00A64787" w:rsidRDefault="00A342D6" w:rsidP="00A342D6">
      <w:pPr>
        <w:spacing w:after="0"/>
        <w:rPr>
          <w:rFonts w:cs="Arial"/>
          <w:szCs w:val="20"/>
        </w:rPr>
      </w:pPr>
      <w:r w:rsidRPr="00A64787">
        <w:rPr>
          <w:rFonts w:cs="Arial"/>
          <w:szCs w:val="20"/>
        </w:rPr>
        <w:t>Camden Haven</w:t>
      </w:r>
    </w:p>
    <w:p w14:paraId="04579BE4" w14:textId="77777777" w:rsidR="00A342D6" w:rsidRPr="00A64787" w:rsidRDefault="00A342D6" w:rsidP="00A342D6">
      <w:pPr>
        <w:spacing w:after="0"/>
        <w:rPr>
          <w:rFonts w:cs="Arial"/>
          <w:szCs w:val="20"/>
        </w:rPr>
      </w:pPr>
      <w:r w:rsidRPr="00A64787">
        <w:rPr>
          <w:rFonts w:cs="Arial"/>
          <w:szCs w:val="20"/>
        </w:rPr>
        <w:t>Central Coast</w:t>
      </w:r>
    </w:p>
    <w:p w14:paraId="300428CF" w14:textId="77777777" w:rsidR="00A342D6" w:rsidRPr="00A64787" w:rsidRDefault="00A342D6" w:rsidP="00A342D6">
      <w:pPr>
        <w:spacing w:after="0"/>
        <w:rPr>
          <w:rFonts w:cs="Arial"/>
          <w:szCs w:val="20"/>
        </w:rPr>
      </w:pPr>
      <w:r w:rsidRPr="00A64787">
        <w:rPr>
          <w:rFonts w:cs="Arial"/>
          <w:szCs w:val="20"/>
        </w:rPr>
        <w:t>Coffs Harbour</w:t>
      </w:r>
    </w:p>
    <w:p w14:paraId="2A9E62C5" w14:textId="77777777" w:rsidR="00A342D6" w:rsidRPr="00A64787" w:rsidRDefault="00A342D6" w:rsidP="00A342D6">
      <w:pPr>
        <w:spacing w:after="0"/>
        <w:rPr>
          <w:rFonts w:cs="Arial"/>
          <w:szCs w:val="20"/>
        </w:rPr>
      </w:pPr>
      <w:r w:rsidRPr="00A64787">
        <w:rPr>
          <w:rFonts w:cs="Arial"/>
          <w:szCs w:val="20"/>
        </w:rPr>
        <w:t>Dubbo</w:t>
      </w:r>
    </w:p>
    <w:p w14:paraId="193FE3AE" w14:textId="029463F6" w:rsidR="00A342D6" w:rsidRPr="00A64787" w:rsidRDefault="00A342D6" w:rsidP="007A5938">
      <w:pPr>
        <w:tabs>
          <w:tab w:val="left" w:pos="142"/>
        </w:tabs>
        <w:spacing w:after="0"/>
        <w:rPr>
          <w:rFonts w:cs="Arial"/>
          <w:szCs w:val="20"/>
        </w:rPr>
      </w:pPr>
      <w:r w:rsidRPr="00A64787">
        <w:rPr>
          <w:rFonts w:cs="Arial"/>
          <w:szCs w:val="20"/>
        </w:rPr>
        <w:t xml:space="preserve">Forster </w:t>
      </w:r>
      <w:r w:rsidR="00A64787" w:rsidRPr="00A64787">
        <w:rPr>
          <w:rFonts w:cs="Arial"/>
          <w:szCs w:val="20"/>
        </w:rPr>
        <w:t>–</w:t>
      </w:r>
      <w:r w:rsidRPr="00A64787">
        <w:rPr>
          <w:rFonts w:cs="Arial"/>
          <w:szCs w:val="20"/>
        </w:rPr>
        <w:t xml:space="preserve"> Tuncurry</w:t>
      </w:r>
    </w:p>
    <w:p w14:paraId="430E41F5" w14:textId="77777777" w:rsidR="00A342D6" w:rsidRPr="00A64787" w:rsidRDefault="00A342D6" w:rsidP="00A342D6">
      <w:pPr>
        <w:spacing w:after="0"/>
        <w:rPr>
          <w:rFonts w:cs="Arial"/>
          <w:szCs w:val="20"/>
        </w:rPr>
      </w:pPr>
      <w:r w:rsidRPr="00A64787">
        <w:rPr>
          <w:rFonts w:cs="Arial"/>
          <w:szCs w:val="20"/>
        </w:rPr>
        <w:t>Goulburn</w:t>
      </w:r>
    </w:p>
    <w:p w14:paraId="1505333E" w14:textId="77777777" w:rsidR="00A342D6" w:rsidRPr="00A64787" w:rsidRDefault="00A342D6" w:rsidP="00A342D6">
      <w:pPr>
        <w:spacing w:after="0"/>
        <w:rPr>
          <w:rFonts w:cs="Arial"/>
          <w:szCs w:val="20"/>
        </w:rPr>
      </w:pPr>
      <w:r w:rsidRPr="00A64787">
        <w:rPr>
          <w:rFonts w:cs="Arial"/>
          <w:szCs w:val="20"/>
        </w:rPr>
        <w:t>Grafton</w:t>
      </w:r>
    </w:p>
    <w:p w14:paraId="038B7FD5" w14:textId="77777777" w:rsidR="00A342D6" w:rsidRPr="00A64787" w:rsidRDefault="00A342D6" w:rsidP="00A342D6">
      <w:pPr>
        <w:spacing w:after="0"/>
        <w:rPr>
          <w:rFonts w:cs="Arial"/>
          <w:szCs w:val="20"/>
        </w:rPr>
      </w:pPr>
      <w:r w:rsidRPr="00A64787">
        <w:rPr>
          <w:rFonts w:cs="Arial"/>
          <w:szCs w:val="20"/>
        </w:rPr>
        <w:t>Griffith</w:t>
      </w:r>
    </w:p>
    <w:p w14:paraId="19B3CB99" w14:textId="77777777" w:rsidR="00A342D6" w:rsidRPr="00A64787" w:rsidRDefault="00A342D6" w:rsidP="00A342D6">
      <w:pPr>
        <w:spacing w:after="0"/>
        <w:rPr>
          <w:rFonts w:cs="Arial"/>
          <w:szCs w:val="20"/>
        </w:rPr>
      </w:pPr>
      <w:r w:rsidRPr="00A64787">
        <w:rPr>
          <w:rFonts w:cs="Arial"/>
          <w:szCs w:val="20"/>
        </w:rPr>
        <w:t>Kempsey</w:t>
      </w:r>
    </w:p>
    <w:p w14:paraId="21966F6C" w14:textId="77777777" w:rsidR="00A342D6" w:rsidRPr="00A64787" w:rsidRDefault="00A342D6" w:rsidP="00A342D6">
      <w:pPr>
        <w:spacing w:after="0"/>
        <w:rPr>
          <w:rFonts w:cs="Arial"/>
          <w:szCs w:val="20"/>
        </w:rPr>
      </w:pPr>
      <w:r w:rsidRPr="00A64787">
        <w:rPr>
          <w:rFonts w:cs="Arial"/>
          <w:szCs w:val="20"/>
        </w:rPr>
        <w:t>Lismore</w:t>
      </w:r>
    </w:p>
    <w:p w14:paraId="233D369D" w14:textId="77777777" w:rsidR="00A342D6" w:rsidRPr="00A64787" w:rsidRDefault="00A342D6" w:rsidP="00A342D6">
      <w:pPr>
        <w:spacing w:after="0"/>
        <w:rPr>
          <w:rFonts w:cs="Arial"/>
          <w:szCs w:val="20"/>
        </w:rPr>
      </w:pPr>
      <w:r w:rsidRPr="00A64787">
        <w:rPr>
          <w:rFonts w:cs="Arial"/>
          <w:szCs w:val="20"/>
        </w:rPr>
        <w:t>Lithgow</w:t>
      </w:r>
    </w:p>
    <w:p w14:paraId="7E64D73C" w14:textId="11CB8410" w:rsidR="00A342D6" w:rsidRPr="00A64787" w:rsidRDefault="00A342D6" w:rsidP="00A342D6">
      <w:pPr>
        <w:spacing w:after="0"/>
        <w:rPr>
          <w:rFonts w:cs="Arial"/>
          <w:szCs w:val="20"/>
        </w:rPr>
      </w:pPr>
      <w:r w:rsidRPr="00A64787">
        <w:rPr>
          <w:rFonts w:cs="Arial"/>
          <w:szCs w:val="20"/>
        </w:rPr>
        <w:t xml:space="preserve">Morisset </w:t>
      </w:r>
      <w:r w:rsidR="00A64787" w:rsidRPr="00A64787">
        <w:rPr>
          <w:rFonts w:cs="Arial"/>
          <w:szCs w:val="20"/>
        </w:rPr>
        <w:t>–</w:t>
      </w:r>
      <w:r w:rsidRPr="00A64787">
        <w:rPr>
          <w:rFonts w:cs="Arial"/>
          <w:szCs w:val="20"/>
        </w:rPr>
        <w:t xml:space="preserve"> Cooranbong</w:t>
      </w:r>
    </w:p>
    <w:p w14:paraId="7DA20D75" w14:textId="77777777" w:rsidR="00A342D6" w:rsidRPr="00A64787" w:rsidRDefault="00A342D6" w:rsidP="00A342D6">
      <w:pPr>
        <w:spacing w:after="0"/>
        <w:rPr>
          <w:rFonts w:cs="Arial"/>
          <w:szCs w:val="20"/>
        </w:rPr>
      </w:pPr>
      <w:r w:rsidRPr="00A64787">
        <w:rPr>
          <w:rFonts w:cs="Arial"/>
          <w:szCs w:val="20"/>
        </w:rPr>
        <w:t>Mudgee</w:t>
      </w:r>
    </w:p>
    <w:p w14:paraId="4CEB3AAA" w14:textId="77777777" w:rsidR="00A342D6" w:rsidRPr="00A64787" w:rsidRDefault="00A342D6" w:rsidP="00A342D6">
      <w:pPr>
        <w:spacing w:after="0"/>
        <w:rPr>
          <w:rFonts w:cs="Arial"/>
          <w:szCs w:val="20"/>
        </w:rPr>
      </w:pPr>
      <w:r w:rsidRPr="00A64787">
        <w:rPr>
          <w:rFonts w:cs="Arial"/>
          <w:szCs w:val="20"/>
        </w:rPr>
        <w:t>Muswellbrook</w:t>
      </w:r>
    </w:p>
    <w:p w14:paraId="77365AA7" w14:textId="77777777" w:rsidR="00A342D6" w:rsidRPr="00A64787" w:rsidRDefault="00A342D6" w:rsidP="00A342D6">
      <w:pPr>
        <w:spacing w:after="0"/>
        <w:rPr>
          <w:rFonts w:cs="Arial"/>
          <w:szCs w:val="20"/>
        </w:rPr>
      </w:pPr>
      <w:r w:rsidRPr="00A64787">
        <w:rPr>
          <w:rFonts w:cs="Arial"/>
          <w:szCs w:val="20"/>
        </w:rPr>
        <w:t>Nelson Bay</w:t>
      </w:r>
    </w:p>
    <w:p w14:paraId="7B40C322" w14:textId="479611AC" w:rsidR="00A342D6" w:rsidRPr="00A64787" w:rsidRDefault="00A342D6" w:rsidP="00A342D6">
      <w:pPr>
        <w:spacing w:after="0"/>
        <w:rPr>
          <w:rFonts w:cs="Arial"/>
          <w:szCs w:val="20"/>
        </w:rPr>
      </w:pPr>
      <w:r w:rsidRPr="00A64787">
        <w:rPr>
          <w:rFonts w:cs="Arial"/>
          <w:szCs w:val="20"/>
        </w:rPr>
        <w:t xml:space="preserve">Newcastle </w:t>
      </w:r>
      <w:r w:rsidR="00A64787" w:rsidRPr="00A64787">
        <w:rPr>
          <w:rFonts w:cs="Arial"/>
          <w:szCs w:val="20"/>
        </w:rPr>
        <w:t>–</w:t>
      </w:r>
      <w:r w:rsidRPr="00A64787">
        <w:rPr>
          <w:rFonts w:cs="Arial"/>
          <w:szCs w:val="20"/>
        </w:rPr>
        <w:t xml:space="preserve"> Maitland</w:t>
      </w:r>
    </w:p>
    <w:p w14:paraId="7E8AE2F6" w14:textId="6330E0FE" w:rsidR="00A342D6" w:rsidRPr="00A64787" w:rsidRDefault="00A342D6" w:rsidP="00A342D6">
      <w:pPr>
        <w:spacing w:after="0"/>
        <w:rPr>
          <w:rFonts w:cs="Arial"/>
          <w:szCs w:val="20"/>
        </w:rPr>
      </w:pPr>
      <w:r w:rsidRPr="00A64787">
        <w:rPr>
          <w:rFonts w:cs="Arial"/>
          <w:szCs w:val="20"/>
        </w:rPr>
        <w:t xml:space="preserve">Nowra </w:t>
      </w:r>
      <w:r w:rsidR="00A64787" w:rsidRPr="00A64787">
        <w:rPr>
          <w:rFonts w:cs="Arial"/>
          <w:szCs w:val="20"/>
        </w:rPr>
        <w:t>–</w:t>
      </w:r>
      <w:r w:rsidRPr="00A64787">
        <w:rPr>
          <w:rFonts w:cs="Arial"/>
          <w:szCs w:val="20"/>
        </w:rPr>
        <w:t xml:space="preserve"> Bomaderry</w:t>
      </w:r>
    </w:p>
    <w:p w14:paraId="31320210" w14:textId="77777777" w:rsidR="00A342D6" w:rsidRPr="00A64787" w:rsidRDefault="00A342D6" w:rsidP="00A342D6">
      <w:pPr>
        <w:spacing w:after="0"/>
        <w:rPr>
          <w:rFonts w:cs="Arial"/>
          <w:szCs w:val="20"/>
        </w:rPr>
      </w:pPr>
      <w:r w:rsidRPr="00A64787">
        <w:rPr>
          <w:rFonts w:cs="Arial"/>
          <w:szCs w:val="20"/>
        </w:rPr>
        <w:t>Orange</w:t>
      </w:r>
    </w:p>
    <w:p w14:paraId="6685DBAE" w14:textId="77777777" w:rsidR="00A342D6" w:rsidRPr="00A64787" w:rsidRDefault="00A342D6" w:rsidP="00A342D6">
      <w:pPr>
        <w:spacing w:after="0"/>
        <w:rPr>
          <w:rFonts w:cs="Arial"/>
          <w:szCs w:val="20"/>
        </w:rPr>
      </w:pPr>
      <w:r w:rsidRPr="00A64787">
        <w:rPr>
          <w:rFonts w:cs="Arial"/>
          <w:szCs w:val="20"/>
        </w:rPr>
        <w:t>Parkes</w:t>
      </w:r>
    </w:p>
    <w:p w14:paraId="38498112" w14:textId="77777777" w:rsidR="00A342D6" w:rsidRPr="00A64787" w:rsidRDefault="00A342D6" w:rsidP="00A342D6">
      <w:pPr>
        <w:spacing w:after="0"/>
        <w:rPr>
          <w:rFonts w:cs="Arial"/>
          <w:szCs w:val="20"/>
        </w:rPr>
      </w:pPr>
      <w:r w:rsidRPr="00A64787">
        <w:rPr>
          <w:rFonts w:cs="Arial"/>
          <w:szCs w:val="20"/>
        </w:rPr>
        <w:t>Port Macquarie</w:t>
      </w:r>
    </w:p>
    <w:p w14:paraId="76E967BA" w14:textId="77777777" w:rsidR="00A342D6" w:rsidRPr="00A64787" w:rsidRDefault="00A342D6" w:rsidP="00A342D6">
      <w:pPr>
        <w:spacing w:after="0"/>
        <w:rPr>
          <w:rFonts w:cs="Arial"/>
          <w:szCs w:val="20"/>
        </w:rPr>
      </w:pPr>
      <w:r w:rsidRPr="00A64787">
        <w:rPr>
          <w:rFonts w:cs="Arial"/>
          <w:szCs w:val="20"/>
        </w:rPr>
        <w:t>Singleton</w:t>
      </w:r>
    </w:p>
    <w:p w14:paraId="5512D0C5" w14:textId="21DB2E68" w:rsidR="00A64787" w:rsidRPr="00A64787" w:rsidRDefault="00A342D6" w:rsidP="00A64787">
      <w:pPr>
        <w:spacing w:after="0"/>
        <w:rPr>
          <w:rFonts w:cs="Arial"/>
          <w:szCs w:val="20"/>
        </w:rPr>
      </w:pPr>
      <w:r w:rsidRPr="00A64787">
        <w:rPr>
          <w:rFonts w:cs="Arial"/>
          <w:szCs w:val="20"/>
        </w:rPr>
        <w:t xml:space="preserve">St Georges Basin </w:t>
      </w:r>
      <w:r w:rsidR="00A64787" w:rsidRPr="00A64787">
        <w:rPr>
          <w:rFonts w:cs="Arial"/>
          <w:szCs w:val="20"/>
        </w:rPr>
        <w:t>–</w:t>
      </w:r>
      <w:r w:rsidRPr="00A64787">
        <w:rPr>
          <w:rFonts w:cs="Arial"/>
          <w:szCs w:val="20"/>
        </w:rPr>
        <w:t xml:space="preserve"> </w:t>
      </w:r>
    </w:p>
    <w:p w14:paraId="733D42C1" w14:textId="157CB0DF" w:rsidR="00A342D6" w:rsidRPr="00A64787" w:rsidRDefault="00C603C5" w:rsidP="007A5938">
      <w:pPr>
        <w:tabs>
          <w:tab w:val="left" w:pos="142"/>
        </w:tabs>
        <w:spacing w:after="0"/>
        <w:rPr>
          <w:rFonts w:cs="Arial"/>
          <w:szCs w:val="20"/>
        </w:rPr>
      </w:pPr>
      <w:r>
        <w:rPr>
          <w:rFonts w:cs="Arial"/>
          <w:szCs w:val="20"/>
        </w:rPr>
        <w:t xml:space="preserve">   </w:t>
      </w:r>
      <w:r w:rsidR="00A342D6" w:rsidRPr="00A64787">
        <w:rPr>
          <w:rFonts w:cs="Arial"/>
          <w:szCs w:val="20"/>
        </w:rPr>
        <w:t>Sanctuary Point</w:t>
      </w:r>
    </w:p>
    <w:p w14:paraId="1036CD71" w14:textId="77777777" w:rsidR="00A342D6" w:rsidRPr="00A64787" w:rsidRDefault="00A342D6" w:rsidP="00A342D6">
      <w:pPr>
        <w:spacing w:after="0"/>
        <w:rPr>
          <w:rFonts w:cs="Arial"/>
          <w:szCs w:val="20"/>
        </w:rPr>
      </w:pPr>
      <w:r w:rsidRPr="00A64787">
        <w:rPr>
          <w:rFonts w:cs="Arial"/>
          <w:szCs w:val="20"/>
        </w:rPr>
        <w:t>Sydney</w:t>
      </w:r>
    </w:p>
    <w:p w14:paraId="21742E1C" w14:textId="77777777" w:rsidR="00A342D6" w:rsidRPr="00A64787" w:rsidRDefault="00A342D6" w:rsidP="00A342D6">
      <w:pPr>
        <w:spacing w:after="0"/>
        <w:rPr>
          <w:rFonts w:cs="Arial"/>
          <w:szCs w:val="20"/>
        </w:rPr>
      </w:pPr>
      <w:r w:rsidRPr="00A64787">
        <w:rPr>
          <w:rFonts w:cs="Arial"/>
          <w:szCs w:val="20"/>
        </w:rPr>
        <w:t>Tamworth</w:t>
      </w:r>
    </w:p>
    <w:p w14:paraId="0119BBA5" w14:textId="77777777" w:rsidR="00A342D6" w:rsidRPr="00A64787" w:rsidRDefault="00A342D6" w:rsidP="00A342D6">
      <w:pPr>
        <w:spacing w:after="0"/>
        <w:rPr>
          <w:rFonts w:cs="Arial"/>
          <w:szCs w:val="20"/>
        </w:rPr>
      </w:pPr>
      <w:r w:rsidRPr="00A64787">
        <w:rPr>
          <w:rFonts w:cs="Arial"/>
          <w:szCs w:val="20"/>
        </w:rPr>
        <w:t>Taree</w:t>
      </w:r>
    </w:p>
    <w:p w14:paraId="534069C1" w14:textId="77777777" w:rsidR="00A342D6" w:rsidRPr="00A64787" w:rsidRDefault="00A342D6" w:rsidP="00A342D6">
      <w:pPr>
        <w:spacing w:after="0"/>
        <w:rPr>
          <w:rFonts w:cs="Arial"/>
          <w:szCs w:val="20"/>
        </w:rPr>
      </w:pPr>
      <w:r w:rsidRPr="00A64787">
        <w:rPr>
          <w:rFonts w:cs="Arial"/>
          <w:szCs w:val="20"/>
        </w:rPr>
        <w:t>Ulladulla</w:t>
      </w:r>
    </w:p>
    <w:p w14:paraId="6925EF86" w14:textId="77777777" w:rsidR="00A342D6" w:rsidRPr="00A64787" w:rsidRDefault="00A342D6" w:rsidP="00A342D6">
      <w:pPr>
        <w:spacing w:after="0"/>
        <w:rPr>
          <w:rFonts w:cs="Arial"/>
          <w:szCs w:val="20"/>
        </w:rPr>
      </w:pPr>
      <w:r w:rsidRPr="00A64787">
        <w:rPr>
          <w:rFonts w:cs="Arial"/>
          <w:szCs w:val="20"/>
        </w:rPr>
        <w:t>Wagga Wagga</w:t>
      </w:r>
    </w:p>
    <w:p w14:paraId="6F62C7E3" w14:textId="77777777" w:rsidR="00A342D6" w:rsidRPr="00A64787" w:rsidRDefault="00A342D6" w:rsidP="00A342D6">
      <w:pPr>
        <w:spacing w:after="0"/>
        <w:rPr>
          <w:rFonts w:cs="Arial"/>
          <w:szCs w:val="20"/>
        </w:rPr>
      </w:pPr>
      <w:r w:rsidRPr="00A64787">
        <w:rPr>
          <w:rFonts w:cs="Arial"/>
          <w:szCs w:val="20"/>
        </w:rPr>
        <w:t>Wollongong</w:t>
      </w:r>
    </w:p>
    <w:p w14:paraId="3B9B31FF" w14:textId="63EF02B8" w:rsidR="00A342D6" w:rsidRPr="00A64787" w:rsidRDefault="00A342D6" w:rsidP="00A342D6">
      <w:pPr>
        <w:spacing w:after="0"/>
        <w:rPr>
          <w:rFonts w:cs="Arial"/>
          <w:szCs w:val="20"/>
        </w:rPr>
      </w:pPr>
      <w:r w:rsidRPr="00A64787">
        <w:rPr>
          <w:rFonts w:cs="Arial"/>
          <w:szCs w:val="20"/>
        </w:rPr>
        <w:t>Not in any SUA (Vic)</w:t>
      </w:r>
    </w:p>
    <w:p w14:paraId="4BD9D815" w14:textId="77777777" w:rsidR="00A342D6" w:rsidRPr="00A64787" w:rsidRDefault="00A342D6" w:rsidP="00A342D6">
      <w:pPr>
        <w:spacing w:after="0"/>
        <w:rPr>
          <w:rFonts w:cs="Arial"/>
          <w:szCs w:val="20"/>
        </w:rPr>
      </w:pPr>
      <w:r w:rsidRPr="00A64787">
        <w:rPr>
          <w:rFonts w:cs="Arial"/>
          <w:szCs w:val="20"/>
        </w:rPr>
        <w:t>Bacchus Marsh</w:t>
      </w:r>
    </w:p>
    <w:p w14:paraId="7F436C4D" w14:textId="77777777" w:rsidR="00A342D6" w:rsidRPr="00A64787" w:rsidRDefault="00A342D6" w:rsidP="00A342D6">
      <w:pPr>
        <w:spacing w:after="0"/>
        <w:rPr>
          <w:rFonts w:cs="Arial"/>
          <w:szCs w:val="20"/>
        </w:rPr>
      </w:pPr>
      <w:r w:rsidRPr="00A64787">
        <w:rPr>
          <w:rFonts w:cs="Arial"/>
          <w:szCs w:val="20"/>
        </w:rPr>
        <w:t>Bairnsdale</w:t>
      </w:r>
    </w:p>
    <w:p w14:paraId="589EBB89" w14:textId="77777777" w:rsidR="00A342D6" w:rsidRPr="00A64787" w:rsidRDefault="00A342D6" w:rsidP="00A342D6">
      <w:pPr>
        <w:spacing w:after="0"/>
        <w:rPr>
          <w:rFonts w:cs="Arial"/>
          <w:szCs w:val="20"/>
        </w:rPr>
      </w:pPr>
      <w:r w:rsidRPr="00A64787">
        <w:rPr>
          <w:rFonts w:cs="Arial"/>
          <w:szCs w:val="20"/>
        </w:rPr>
        <w:t>Ballarat</w:t>
      </w:r>
    </w:p>
    <w:p w14:paraId="5C8D5075" w14:textId="77777777" w:rsidR="00A342D6" w:rsidRPr="00A64787" w:rsidRDefault="00A342D6" w:rsidP="00A342D6">
      <w:pPr>
        <w:spacing w:after="0"/>
        <w:rPr>
          <w:rFonts w:cs="Arial"/>
          <w:szCs w:val="20"/>
        </w:rPr>
      </w:pPr>
      <w:r w:rsidRPr="00A64787">
        <w:rPr>
          <w:rFonts w:cs="Arial"/>
          <w:szCs w:val="20"/>
        </w:rPr>
        <w:t>Bendigo</w:t>
      </w:r>
    </w:p>
    <w:p w14:paraId="3454829A" w14:textId="77777777" w:rsidR="00A342D6" w:rsidRPr="00A64787" w:rsidRDefault="00A342D6" w:rsidP="00A342D6">
      <w:pPr>
        <w:spacing w:after="0"/>
        <w:rPr>
          <w:rFonts w:cs="Arial"/>
          <w:szCs w:val="20"/>
        </w:rPr>
      </w:pPr>
      <w:r w:rsidRPr="00A64787">
        <w:rPr>
          <w:rFonts w:cs="Arial"/>
          <w:szCs w:val="20"/>
        </w:rPr>
        <w:t>Colac</w:t>
      </w:r>
    </w:p>
    <w:p w14:paraId="29232F94" w14:textId="63482E2C" w:rsidR="00A342D6" w:rsidRPr="00A64787" w:rsidRDefault="00A342D6" w:rsidP="00A342D6">
      <w:pPr>
        <w:spacing w:after="0"/>
        <w:rPr>
          <w:rFonts w:cs="Arial"/>
          <w:szCs w:val="20"/>
        </w:rPr>
      </w:pPr>
      <w:r w:rsidRPr="00A64787">
        <w:rPr>
          <w:rFonts w:cs="Arial"/>
          <w:szCs w:val="20"/>
        </w:rPr>
        <w:t xml:space="preserve">Echuca </w:t>
      </w:r>
      <w:r w:rsidR="00A64787" w:rsidRPr="00A64787">
        <w:rPr>
          <w:rFonts w:cs="Arial"/>
          <w:szCs w:val="20"/>
        </w:rPr>
        <w:t>–</w:t>
      </w:r>
      <w:r w:rsidRPr="00A64787">
        <w:rPr>
          <w:rFonts w:cs="Arial"/>
          <w:szCs w:val="20"/>
        </w:rPr>
        <w:t xml:space="preserve"> Moama</w:t>
      </w:r>
    </w:p>
    <w:p w14:paraId="45E50E3E" w14:textId="77777777" w:rsidR="00A342D6" w:rsidRPr="00A64787" w:rsidRDefault="00A342D6" w:rsidP="00A342D6">
      <w:pPr>
        <w:spacing w:after="0"/>
        <w:rPr>
          <w:rFonts w:cs="Arial"/>
          <w:szCs w:val="20"/>
        </w:rPr>
      </w:pPr>
      <w:r w:rsidRPr="00A64787">
        <w:rPr>
          <w:rFonts w:cs="Arial"/>
          <w:szCs w:val="20"/>
        </w:rPr>
        <w:t>Geelong</w:t>
      </w:r>
    </w:p>
    <w:p w14:paraId="7F603351" w14:textId="63204C50" w:rsidR="00A342D6" w:rsidRPr="00A64787" w:rsidRDefault="00A342D6" w:rsidP="00A342D6">
      <w:pPr>
        <w:spacing w:after="0"/>
        <w:rPr>
          <w:rFonts w:cs="Arial"/>
          <w:szCs w:val="20"/>
        </w:rPr>
      </w:pPr>
      <w:r w:rsidRPr="00A64787">
        <w:rPr>
          <w:rFonts w:cs="Arial"/>
          <w:szCs w:val="20"/>
        </w:rPr>
        <w:t xml:space="preserve">Gisborne </w:t>
      </w:r>
      <w:r w:rsidR="00A64787" w:rsidRPr="00A64787">
        <w:rPr>
          <w:rFonts w:cs="Arial"/>
          <w:szCs w:val="20"/>
        </w:rPr>
        <w:t>–</w:t>
      </w:r>
      <w:r w:rsidRPr="00A64787">
        <w:rPr>
          <w:rFonts w:cs="Arial"/>
          <w:szCs w:val="20"/>
        </w:rPr>
        <w:t xml:space="preserve"> Macedon</w:t>
      </w:r>
    </w:p>
    <w:p w14:paraId="289D9F9E" w14:textId="77777777" w:rsidR="00A342D6" w:rsidRPr="00A64787" w:rsidRDefault="00A342D6" w:rsidP="00A342D6">
      <w:pPr>
        <w:spacing w:after="0"/>
        <w:rPr>
          <w:rFonts w:cs="Arial"/>
          <w:szCs w:val="20"/>
        </w:rPr>
      </w:pPr>
      <w:r w:rsidRPr="00A64787">
        <w:rPr>
          <w:rFonts w:cs="Arial"/>
          <w:szCs w:val="20"/>
        </w:rPr>
        <w:t>Horsham</w:t>
      </w:r>
    </w:p>
    <w:p w14:paraId="4201272C" w14:textId="77777777" w:rsidR="00A342D6" w:rsidRPr="00A64787" w:rsidRDefault="00A342D6" w:rsidP="00A342D6">
      <w:pPr>
        <w:spacing w:after="0"/>
        <w:rPr>
          <w:rFonts w:cs="Arial"/>
          <w:szCs w:val="20"/>
        </w:rPr>
      </w:pPr>
      <w:r w:rsidRPr="00A64787">
        <w:rPr>
          <w:rFonts w:cs="Arial"/>
          <w:szCs w:val="20"/>
        </w:rPr>
        <w:t>Melbourne</w:t>
      </w:r>
    </w:p>
    <w:p w14:paraId="4148945B" w14:textId="77777777" w:rsidR="00A342D6" w:rsidRPr="00A64787" w:rsidRDefault="00A342D6" w:rsidP="00A342D6">
      <w:pPr>
        <w:spacing w:after="0"/>
        <w:rPr>
          <w:rFonts w:cs="Arial"/>
          <w:szCs w:val="20"/>
        </w:rPr>
      </w:pPr>
      <w:r w:rsidRPr="00A64787">
        <w:rPr>
          <w:rFonts w:cs="Arial"/>
          <w:szCs w:val="20"/>
        </w:rPr>
        <w:t>Melton</w:t>
      </w:r>
    </w:p>
    <w:p w14:paraId="18704AF1" w14:textId="691C7C57" w:rsidR="00A342D6" w:rsidRPr="00A64787" w:rsidRDefault="00A342D6" w:rsidP="00A342D6">
      <w:pPr>
        <w:spacing w:after="0"/>
        <w:rPr>
          <w:rFonts w:cs="Arial"/>
          <w:szCs w:val="20"/>
        </w:rPr>
      </w:pPr>
      <w:r w:rsidRPr="00A64787">
        <w:rPr>
          <w:rFonts w:cs="Arial"/>
          <w:szCs w:val="20"/>
        </w:rPr>
        <w:t xml:space="preserve">Mildura </w:t>
      </w:r>
      <w:r w:rsidR="00A64787" w:rsidRPr="00A64787">
        <w:rPr>
          <w:rFonts w:cs="Arial"/>
          <w:szCs w:val="20"/>
        </w:rPr>
        <w:t>–</w:t>
      </w:r>
      <w:r w:rsidRPr="00A64787">
        <w:rPr>
          <w:rFonts w:cs="Arial"/>
          <w:szCs w:val="20"/>
        </w:rPr>
        <w:t xml:space="preserve"> Wentworth</w:t>
      </w:r>
    </w:p>
    <w:p w14:paraId="26F7B7E6" w14:textId="04DB094C" w:rsidR="00A342D6" w:rsidRPr="00A64787" w:rsidRDefault="00A342D6" w:rsidP="00A342D6">
      <w:pPr>
        <w:spacing w:after="0"/>
        <w:rPr>
          <w:rFonts w:cs="Arial"/>
          <w:szCs w:val="20"/>
        </w:rPr>
      </w:pPr>
      <w:r w:rsidRPr="00A64787">
        <w:rPr>
          <w:rFonts w:cs="Arial"/>
          <w:szCs w:val="20"/>
        </w:rPr>
        <w:t xml:space="preserve">Moe </w:t>
      </w:r>
      <w:r w:rsidR="00A64787" w:rsidRPr="00A64787">
        <w:rPr>
          <w:rFonts w:cs="Arial"/>
          <w:szCs w:val="20"/>
        </w:rPr>
        <w:t>–</w:t>
      </w:r>
      <w:r w:rsidRPr="00A64787">
        <w:rPr>
          <w:rFonts w:cs="Arial"/>
          <w:szCs w:val="20"/>
        </w:rPr>
        <w:t xml:space="preserve"> Newborough</w:t>
      </w:r>
    </w:p>
    <w:p w14:paraId="0856BCD0" w14:textId="77777777" w:rsidR="00A342D6" w:rsidRPr="00A64787" w:rsidRDefault="00A342D6" w:rsidP="00A342D6">
      <w:pPr>
        <w:spacing w:after="0"/>
        <w:rPr>
          <w:rFonts w:cs="Arial"/>
          <w:szCs w:val="20"/>
        </w:rPr>
      </w:pPr>
      <w:r w:rsidRPr="00A64787">
        <w:rPr>
          <w:rFonts w:cs="Arial"/>
          <w:szCs w:val="20"/>
        </w:rPr>
        <w:t>Portland</w:t>
      </w:r>
    </w:p>
    <w:p w14:paraId="02962B44" w14:textId="77777777" w:rsidR="00A342D6" w:rsidRPr="00A64787" w:rsidRDefault="00A342D6" w:rsidP="00A342D6">
      <w:pPr>
        <w:spacing w:after="0"/>
        <w:rPr>
          <w:rFonts w:cs="Arial"/>
          <w:szCs w:val="20"/>
        </w:rPr>
      </w:pPr>
      <w:r w:rsidRPr="00A64787">
        <w:rPr>
          <w:rFonts w:cs="Arial"/>
          <w:szCs w:val="20"/>
        </w:rPr>
        <w:t>Sale</w:t>
      </w:r>
    </w:p>
    <w:p w14:paraId="1BDBD908" w14:textId="62006D77" w:rsidR="00C603C5" w:rsidRDefault="00A342D6" w:rsidP="00C603C5">
      <w:pPr>
        <w:spacing w:after="0"/>
        <w:rPr>
          <w:rFonts w:cs="Arial"/>
          <w:szCs w:val="20"/>
        </w:rPr>
      </w:pPr>
      <w:r w:rsidRPr="00A64787">
        <w:rPr>
          <w:rFonts w:cs="Arial"/>
          <w:szCs w:val="20"/>
        </w:rPr>
        <w:t xml:space="preserve">Shepparton </w:t>
      </w:r>
      <w:r w:rsidR="00C603C5">
        <w:rPr>
          <w:rFonts w:cs="Arial"/>
          <w:szCs w:val="20"/>
        </w:rPr>
        <w:t>–</w:t>
      </w:r>
    </w:p>
    <w:p w14:paraId="56068FEA" w14:textId="45746BA9" w:rsidR="00A342D6" w:rsidRPr="00A64787" w:rsidRDefault="00C603C5" w:rsidP="00C603C5">
      <w:pPr>
        <w:spacing w:after="0"/>
        <w:rPr>
          <w:rFonts w:cs="Arial"/>
          <w:szCs w:val="20"/>
        </w:rPr>
      </w:pPr>
      <w:r>
        <w:rPr>
          <w:rFonts w:cs="Arial"/>
          <w:szCs w:val="20"/>
        </w:rPr>
        <w:t xml:space="preserve">   </w:t>
      </w:r>
      <w:r w:rsidR="00A342D6" w:rsidRPr="00A64787">
        <w:rPr>
          <w:rFonts w:cs="Arial"/>
          <w:szCs w:val="20"/>
        </w:rPr>
        <w:t>Mooroopna</w:t>
      </w:r>
    </w:p>
    <w:p w14:paraId="54CBF766" w14:textId="77777777" w:rsidR="00A342D6" w:rsidRPr="00A64787" w:rsidRDefault="00A342D6" w:rsidP="00A342D6">
      <w:pPr>
        <w:spacing w:after="0"/>
        <w:rPr>
          <w:rFonts w:cs="Arial"/>
          <w:szCs w:val="20"/>
        </w:rPr>
      </w:pPr>
      <w:r w:rsidRPr="00A64787">
        <w:rPr>
          <w:rFonts w:cs="Arial"/>
          <w:szCs w:val="20"/>
        </w:rPr>
        <w:t>Swan Hill</w:t>
      </w:r>
    </w:p>
    <w:p w14:paraId="2FDEEA68" w14:textId="1E530EC9" w:rsidR="00A342D6" w:rsidRPr="00A64787" w:rsidRDefault="00A342D6" w:rsidP="00A342D6">
      <w:pPr>
        <w:spacing w:after="0"/>
        <w:rPr>
          <w:rFonts w:cs="Arial"/>
          <w:szCs w:val="20"/>
        </w:rPr>
      </w:pPr>
      <w:r w:rsidRPr="00A64787">
        <w:rPr>
          <w:rFonts w:cs="Arial"/>
          <w:szCs w:val="20"/>
        </w:rPr>
        <w:t xml:space="preserve">Traralgon </w:t>
      </w:r>
      <w:r w:rsidR="00C603C5">
        <w:rPr>
          <w:rFonts w:cs="Arial"/>
          <w:szCs w:val="20"/>
        </w:rPr>
        <w:t>–</w:t>
      </w:r>
      <w:r w:rsidRPr="00A64787">
        <w:rPr>
          <w:rFonts w:cs="Arial"/>
          <w:szCs w:val="20"/>
        </w:rPr>
        <w:t xml:space="preserve"> Morwell</w:t>
      </w:r>
    </w:p>
    <w:p w14:paraId="15D37645" w14:textId="77777777" w:rsidR="00A342D6" w:rsidRPr="00A64787" w:rsidRDefault="00A342D6" w:rsidP="00A342D6">
      <w:pPr>
        <w:spacing w:after="0"/>
        <w:rPr>
          <w:rFonts w:cs="Arial"/>
          <w:szCs w:val="20"/>
        </w:rPr>
      </w:pPr>
      <w:r w:rsidRPr="00A64787">
        <w:rPr>
          <w:rFonts w:cs="Arial"/>
          <w:szCs w:val="20"/>
        </w:rPr>
        <w:t>Wangaratta</w:t>
      </w:r>
    </w:p>
    <w:p w14:paraId="6C6CEA6A" w14:textId="736AE712" w:rsidR="00A342D6" w:rsidRPr="00A64787" w:rsidRDefault="00A342D6" w:rsidP="00A342D6">
      <w:pPr>
        <w:spacing w:after="0"/>
        <w:rPr>
          <w:rFonts w:cs="Arial"/>
          <w:szCs w:val="20"/>
        </w:rPr>
      </w:pPr>
      <w:r w:rsidRPr="00A64787">
        <w:rPr>
          <w:rFonts w:cs="Arial"/>
          <w:szCs w:val="20"/>
        </w:rPr>
        <w:t xml:space="preserve">Warragul </w:t>
      </w:r>
      <w:r w:rsidR="00C603C5">
        <w:rPr>
          <w:rFonts w:cs="Arial"/>
          <w:szCs w:val="20"/>
        </w:rPr>
        <w:t>–</w:t>
      </w:r>
      <w:r w:rsidRPr="00A64787">
        <w:rPr>
          <w:rFonts w:cs="Arial"/>
          <w:szCs w:val="20"/>
        </w:rPr>
        <w:t xml:space="preserve"> Drouin</w:t>
      </w:r>
    </w:p>
    <w:p w14:paraId="2969CAF0" w14:textId="77777777" w:rsidR="00A342D6" w:rsidRPr="00A64787" w:rsidRDefault="00A342D6" w:rsidP="00A342D6">
      <w:pPr>
        <w:spacing w:after="0"/>
        <w:rPr>
          <w:rFonts w:cs="Arial"/>
          <w:szCs w:val="20"/>
        </w:rPr>
      </w:pPr>
      <w:r w:rsidRPr="00A64787">
        <w:rPr>
          <w:rFonts w:cs="Arial"/>
          <w:szCs w:val="20"/>
        </w:rPr>
        <w:t>Warrnambool</w:t>
      </w:r>
    </w:p>
    <w:p w14:paraId="5A9B185A" w14:textId="77777777" w:rsidR="00A342D6" w:rsidRPr="00A64787" w:rsidRDefault="00A342D6" w:rsidP="00A342D6">
      <w:pPr>
        <w:spacing w:after="0"/>
        <w:rPr>
          <w:rFonts w:cs="Arial"/>
          <w:szCs w:val="20"/>
        </w:rPr>
      </w:pPr>
      <w:r w:rsidRPr="00A64787">
        <w:rPr>
          <w:rFonts w:cs="Arial"/>
          <w:szCs w:val="20"/>
        </w:rPr>
        <w:t>Not in any SUA (Qld)</w:t>
      </w:r>
    </w:p>
    <w:p w14:paraId="0B021342" w14:textId="77777777" w:rsidR="00A342D6" w:rsidRPr="00A64787" w:rsidRDefault="00A342D6" w:rsidP="00A342D6">
      <w:pPr>
        <w:spacing w:after="0"/>
        <w:rPr>
          <w:rFonts w:cs="Arial"/>
          <w:szCs w:val="20"/>
        </w:rPr>
      </w:pPr>
      <w:r w:rsidRPr="00A64787">
        <w:rPr>
          <w:rFonts w:cs="Arial"/>
          <w:szCs w:val="20"/>
        </w:rPr>
        <w:t>Brisbane</w:t>
      </w:r>
    </w:p>
    <w:p w14:paraId="69A9874B" w14:textId="77777777" w:rsidR="00A342D6" w:rsidRPr="00A64787" w:rsidRDefault="00A342D6" w:rsidP="00A342D6">
      <w:pPr>
        <w:spacing w:after="0"/>
        <w:rPr>
          <w:rFonts w:cs="Arial"/>
          <w:szCs w:val="20"/>
        </w:rPr>
      </w:pPr>
      <w:r w:rsidRPr="00A64787">
        <w:rPr>
          <w:rFonts w:cs="Arial"/>
          <w:szCs w:val="20"/>
        </w:rPr>
        <w:t>Bundaberg</w:t>
      </w:r>
    </w:p>
    <w:p w14:paraId="27B82A8E" w14:textId="77777777" w:rsidR="00A342D6" w:rsidRPr="00A64787" w:rsidRDefault="00A342D6" w:rsidP="00A342D6">
      <w:pPr>
        <w:spacing w:after="0"/>
        <w:rPr>
          <w:rFonts w:cs="Arial"/>
          <w:szCs w:val="20"/>
        </w:rPr>
      </w:pPr>
      <w:r w:rsidRPr="00A64787">
        <w:rPr>
          <w:rFonts w:cs="Arial"/>
          <w:szCs w:val="20"/>
        </w:rPr>
        <w:t>Cairns</w:t>
      </w:r>
    </w:p>
    <w:p w14:paraId="5F45490C" w14:textId="77777777" w:rsidR="00A342D6" w:rsidRPr="00A64787" w:rsidRDefault="00A342D6" w:rsidP="00A342D6">
      <w:pPr>
        <w:spacing w:after="0"/>
        <w:rPr>
          <w:rFonts w:cs="Arial"/>
          <w:szCs w:val="20"/>
        </w:rPr>
      </w:pPr>
      <w:r w:rsidRPr="00A64787">
        <w:rPr>
          <w:rFonts w:cs="Arial"/>
          <w:szCs w:val="20"/>
        </w:rPr>
        <w:t>Emerald</w:t>
      </w:r>
    </w:p>
    <w:p w14:paraId="14CD6412" w14:textId="672F8444" w:rsidR="00C603C5" w:rsidRDefault="00A342D6" w:rsidP="00793CD6">
      <w:pPr>
        <w:tabs>
          <w:tab w:val="left" w:pos="142"/>
        </w:tabs>
        <w:spacing w:after="0"/>
        <w:rPr>
          <w:rFonts w:cs="Arial"/>
          <w:szCs w:val="20"/>
        </w:rPr>
      </w:pPr>
      <w:r w:rsidRPr="00A64787">
        <w:rPr>
          <w:rFonts w:cs="Arial"/>
          <w:szCs w:val="20"/>
        </w:rPr>
        <w:t xml:space="preserve">Gladstone </w:t>
      </w:r>
      <w:r w:rsidR="00A64787" w:rsidRPr="00A64787">
        <w:rPr>
          <w:rFonts w:cs="Arial"/>
          <w:szCs w:val="20"/>
        </w:rPr>
        <w:t>–</w:t>
      </w:r>
      <w:r w:rsidRPr="00A64787">
        <w:rPr>
          <w:rFonts w:cs="Arial"/>
          <w:szCs w:val="20"/>
        </w:rPr>
        <w:t xml:space="preserve"> Tannum</w:t>
      </w:r>
      <w:r w:rsidR="00C603C5">
        <w:rPr>
          <w:rFonts w:cs="Arial"/>
          <w:szCs w:val="20"/>
        </w:rPr>
        <w:t xml:space="preserve">      </w:t>
      </w:r>
    </w:p>
    <w:p w14:paraId="00104BCC" w14:textId="24F1FFBE" w:rsidR="00A342D6" w:rsidRPr="00A64787" w:rsidRDefault="00C603C5" w:rsidP="007A5938">
      <w:pPr>
        <w:tabs>
          <w:tab w:val="left" w:pos="142"/>
        </w:tabs>
        <w:spacing w:after="0"/>
        <w:rPr>
          <w:rFonts w:cs="Arial"/>
          <w:szCs w:val="20"/>
        </w:rPr>
      </w:pPr>
      <w:r>
        <w:rPr>
          <w:rFonts w:cs="Arial"/>
          <w:szCs w:val="20"/>
        </w:rPr>
        <w:t xml:space="preserve">   </w:t>
      </w:r>
      <w:r w:rsidR="00A342D6" w:rsidRPr="00A64787">
        <w:rPr>
          <w:rFonts w:cs="Arial"/>
          <w:szCs w:val="20"/>
        </w:rPr>
        <w:t>Sands</w:t>
      </w:r>
    </w:p>
    <w:p w14:paraId="6F99B7E6" w14:textId="72ECEA19" w:rsidR="00C603C5" w:rsidRDefault="00A342D6" w:rsidP="00A342D6">
      <w:pPr>
        <w:spacing w:after="0"/>
        <w:rPr>
          <w:rFonts w:cs="Arial"/>
          <w:szCs w:val="20"/>
        </w:rPr>
      </w:pPr>
      <w:r w:rsidRPr="00A64787">
        <w:rPr>
          <w:rFonts w:cs="Arial"/>
          <w:szCs w:val="20"/>
        </w:rPr>
        <w:t xml:space="preserve">Gold Coast </w:t>
      </w:r>
      <w:r w:rsidR="00A64787" w:rsidRPr="00A64787">
        <w:rPr>
          <w:rFonts w:cs="Arial"/>
          <w:szCs w:val="20"/>
        </w:rPr>
        <w:t>–</w:t>
      </w:r>
      <w:r w:rsidRPr="00A64787">
        <w:rPr>
          <w:rFonts w:cs="Arial"/>
          <w:szCs w:val="20"/>
        </w:rPr>
        <w:t xml:space="preserve"> Tweed</w:t>
      </w:r>
    </w:p>
    <w:p w14:paraId="0C387CF2" w14:textId="05DDA544" w:rsidR="00A342D6" w:rsidRPr="00A64787" w:rsidRDefault="00C603C5" w:rsidP="00A342D6">
      <w:pPr>
        <w:spacing w:after="0"/>
        <w:rPr>
          <w:rFonts w:cs="Arial"/>
          <w:szCs w:val="20"/>
        </w:rPr>
      </w:pPr>
      <w:r>
        <w:rPr>
          <w:rFonts w:cs="Arial"/>
          <w:szCs w:val="20"/>
        </w:rPr>
        <w:t xml:space="preserve">   </w:t>
      </w:r>
      <w:r w:rsidR="00A342D6" w:rsidRPr="00A64787">
        <w:rPr>
          <w:rFonts w:cs="Arial"/>
          <w:szCs w:val="20"/>
        </w:rPr>
        <w:t>Heads</w:t>
      </w:r>
    </w:p>
    <w:p w14:paraId="6E1E0D5B" w14:textId="77777777" w:rsidR="00A342D6" w:rsidRPr="00A64787" w:rsidRDefault="00A342D6" w:rsidP="00A342D6">
      <w:pPr>
        <w:spacing w:after="0"/>
        <w:rPr>
          <w:rFonts w:cs="Arial"/>
          <w:szCs w:val="20"/>
        </w:rPr>
      </w:pPr>
      <w:r w:rsidRPr="00A64787">
        <w:rPr>
          <w:rFonts w:cs="Arial"/>
          <w:szCs w:val="20"/>
        </w:rPr>
        <w:t>Gympie</w:t>
      </w:r>
    </w:p>
    <w:p w14:paraId="11F34175" w14:textId="77777777" w:rsidR="00A342D6" w:rsidRPr="00A64787" w:rsidRDefault="00A342D6" w:rsidP="00A342D6">
      <w:pPr>
        <w:spacing w:after="0"/>
        <w:rPr>
          <w:rFonts w:cs="Arial"/>
          <w:szCs w:val="20"/>
        </w:rPr>
      </w:pPr>
      <w:r w:rsidRPr="00A64787">
        <w:rPr>
          <w:rFonts w:cs="Arial"/>
          <w:szCs w:val="20"/>
        </w:rPr>
        <w:t>Hervey Bay</w:t>
      </w:r>
    </w:p>
    <w:p w14:paraId="3C22EE69" w14:textId="77777777" w:rsidR="00A342D6" w:rsidRPr="00A64787" w:rsidRDefault="00A342D6" w:rsidP="00A342D6">
      <w:pPr>
        <w:spacing w:after="0"/>
        <w:rPr>
          <w:rFonts w:cs="Arial"/>
          <w:szCs w:val="20"/>
        </w:rPr>
      </w:pPr>
      <w:r w:rsidRPr="00A64787">
        <w:rPr>
          <w:rFonts w:cs="Arial"/>
          <w:szCs w:val="20"/>
        </w:rPr>
        <w:t>Kingaroy</w:t>
      </w:r>
    </w:p>
    <w:p w14:paraId="232101DF" w14:textId="77777777" w:rsidR="00A342D6" w:rsidRPr="00A64787" w:rsidRDefault="00A342D6" w:rsidP="00A342D6">
      <w:pPr>
        <w:spacing w:after="0"/>
        <w:rPr>
          <w:rFonts w:cs="Arial"/>
          <w:szCs w:val="20"/>
        </w:rPr>
      </w:pPr>
      <w:r w:rsidRPr="00A64787">
        <w:rPr>
          <w:rFonts w:cs="Arial"/>
          <w:szCs w:val="20"/>
        </w:rPr>
        <w:t>Mackay</w:t>
      </w:r>
    </w:p>
    <w:p w14:paraId="445185AE" w14:textId="77777777" w:rsidR="00A342D6" w:rsidRPr="00A64787" w:rsidRDefault="00A342D6" w:rsidP="00A342D6">
      <w:pPr>
        <w:spacing w:after="0"/>
        <w:rPr>
          <w:rFonts w:cs="Arial"/>
          <w:szCs w:val="20"/>
        </w:rPr>
      </w:pPr>
      <w:r w:rsidRPr="00A64787">
        <w:rPr>
          <w:rFonts w:cs="Arial"/>
          <w:szCs w:val="20"/>
        </w:rPr>
        <w:t>Maryborough</w:t>
      </w:r>
    </w:p>
    <w:p w14:paraId="06822A7F" w14:textId="77777777" w:rsidR="00A342D6" w:rsidRPr="00A64787" w:rsidRDefault="00A342D6" w:rsidP="00A342D6">
      <w:pPr>
        <w:spacing w:after="0"/>
        <w:rPr>
          <w:rFonts w:cs="Arial"/>
          <w:szCs w:val="20"/>
        </w:rPr>
      </w:pPr>
      <w:r w:rsidRPr="00A64787">
        <w:rPr>
          <w:rFonts w:cs="Arial"/>
          <w:szCs w:val="20"/>
        </w:rPr>
        <w:t>Mount Isa</w:t>
      </w:r>
    </w:p>
    <w:p w14:paraId="4AA50C26" w14:textId="77777777" w:rsidR="00A342D6" w:rsidRPr="00A64787" w:rsidRDefault="00A342D6" w:rsidP="00A342D6">
      <w:pPr>
        <w:spacing w:after="0"/>
        <w:rPr>
          <w:rFonts w:cs="Arial"/>
          <w:szCs w:val="20"/>
        </w:rPr>
      </w:pPr>
      <w:r w:rsidRPr="00A64787">
        <w:rPr>
          <w:rFonts w:cs="Arial"/>
          <w:szCs w:val="20"/>
        </w:rPr>
        <w:t>Rockhampton</w:t>
      </w:r>
    </w:p>
    <w:p w14:paraId="38CFE89E" w14:textId="77777777" w:rsidR="00A342D6" w:rsidRPr="00A64787" w:rsidRDefault="00A342D6" w:rsidP="00A342D6">
      <w:pPr>
        <w:spacing w:after="0"/>
        <w:rPr>
          <w:rFonts w:cs="Arial"/>
          <w:szCs w:val="20"/>
        </w:rPr>
      </w:pPr>
      <w:r w:rsidRPr="00A64787">
        <w:rPr>
          <w:rFonts w:cs="Arial"/>
          <w:szCs w:val="20"/>
        </w:rPr>
        <w:t>Sunshine Coast</w:t>
      </w:r>
    </w:p>
    <w:p w14:paraId="1B1BD4EF" w14:textId="77777777" w:rsidR="00A342D6" w:rsidRPr="00A64787" w:rsidRDefault="00A342D6" w:rsidP="00A342D6">
      <w:pPr>
        <w:spacing w:after="0"/>
        <w:rPr>
          <w:rFonts w:cs="Arial"/>
          <w:szCs w:val="20"/>
        </w:rPr>
      </w:pPr>
      <w:r w:rsidRPr="00A64787">
        <w:rPr>
          <w:rFonts w:cs="Arial"/>
          <w:szCs w:val="20"/>
        </w:rPr>
        <w:t>Toowoomba</w:t>
      </w:r>
    </w:p>
    <w:p w14:paraId="15C49F02" w14:textId="77777777" w:rsidR="00A342D6" w:rsidRPr="00A64787" w:rsidRDefault="00A342D6" w:rsidP="00A342D6">
      <w:pPr>
        <w:spacing w:after="0"/>
        <w:rPr>
          <w:rFonts w:cs="Arial"/>
          <w:szCs w:val="20"/>
        </w:rPr>
      </w:pPr>
      <w:r w:rsidRPr="00A64787">
        <w:rPr>
          <w:rFonts w:cs="Arial"/>
          <w:szCs w:val="20"/>
        </w:rPr>
        <w:t>Townsville</w:t>
      </w:r>
    </w:p>
    <w:p w14:paraId="3314BC76" w14:textId="77777777" w:rsidR="00A342D6" w:rsidRPr="00A64787" w:rsidRDefault="00A342D6" w:rsidP="00A342D6">
      <w:pPr>
        <w:spacing w:after="0"/>
        <w:rPr>
          <w:rFonts w:cs="Arial"/>
          <w:szCs w:val="20"/>
        </w:rPr>
      </w:pPr>
      <w:r w:rsidRPr="00A64787">
        <w:rPr>
          <w:rFonts w:cs="Arial"/>
          <w:szCs w:val="20"/>
        </w:rPr>
        <w:t>Warwick</w:t>
      </w:r>
    </w:p>
    <w:p w14:paraId="3D8EBF34" w14:textId="77777777" w:rsidR="00A342D6" w:rsidRPr="00A64787" w:rsidRDefault="00A342D6" w:rsidP="00A342D6">
      <w:pPr>
        <w:spacing w:after="0"/>
        <w:rPr>
          <w:rFonts w:cs="Arial"/>
          <w:szCs w:val="20"/>
        </w:rPr>
      </w:pPr>
      <w:r w:rsidRPr="00A64787">
        <w:rPr>
          <w:rFonts w:cs="Arial"/>
          <w:szCs w:val="20"/>
        </w:rPr>
        <w:t>Yeppoon</w:t>
      </w:r>
    </w:p>
    <w:p w14:paraId="2849FA8B" w14:textId="77777777" w:rsidR="00A342D6" w:rsidRPr="00A64787" w:rsidRDefault="00A342D6" w:rsidP="00A342D6">
      <w:pPr>
        <w:spacing w:after="0"/>
        <w:rPr>
          <w:rFonts w:cs="Arial"/>
          <w:szCs w:val="20"/>
        </w:rPr>
      </w:pPr>
      <w:r w:rsidRPr="00A64787">
        <w:rPr>
          <w:rFonts w:cs="Arial"/>
          <w:szCs w:val="20"/>
        </w:rPr>
        <w:t>Not in any SUA (SA)</w:t>
      </w:r>
    </w:p>
    <w:p w14:paraId="391D795E" w14:textId="77777777" w:rsidR="00A342D6" w:rsidRPr="00A64787" w:rsidRDefault="00A342D6" w:rsidP="00A342D6">
      <w:pPr>
        <w:spacing w:after="0"/>
        <w:rPr>
          <w:rFonts w:cs="Arial"/>
          <w:szCs w:val="20"/>
        </w:rPr>
      </w:pPr>
      <w:r w:rsidRPr="00A64787">
        <w:rPr>
          <w:rFonts w:cs="Arial"/>
          <w:szCs w:val="20"/>
        </w:rPr>
        <w:t>Adelaide</w:t>
      </w:r>
    </w:p>
    <w:p w14:paraId="3AC5E0F1" w14:textId="5C769862" w:rsidR="00A342D6" w:rsidRPr="00A64787" w:rsidRDefault="00A342D6" w:rsidP="00A342D6">
      <w:pPr>
        <w:spacing w:after="0"/>
        <w:rPr>
          <w:rFonts w:cs="Arial"/>
          <w:szCs w:val="20"/>
        </w:rPr>
      </w:pPr>
      <w:r w:rsidRPr="00A64787">
        <w:rPr>
          <w:rFonts w:cs="Arial"/>
          <w:szCs w:val="20"/>
        </w:rPr>
        <w:t>Mount Gambi</w:t>
      </w:r>
      <w:r w:rsidR="004809FD">
        <w:rPr>
          <w:rFonts w:cs="Arial"/>
          <w:szCs w:val="20"/>
        </w:rPr>
        <w:tab/>
      </w:r>
      <w:r w:rsidRPr="00A64787">
        <w:rPr>
          <w:rFonts w:cs="Arial"/>
          <w:szCs w:val="20"/>
        </w:rPr>
        <w:t>er</w:t>
      </w:r>
    </w:p>
    <w:p w14:paraId="54535691" w14:textId="77777777" w:rsidR="00A342D6" w:rsidRPr="00A64787" w:rsidRDefault="00A342D6" w:rsidP="00A342D6">
      <w:pPr>
        <w:spacing w:after="0"/>
        <w:rPr>
          <w:rFonts w:cs="Arial"/>
          <w:szCs w:val="20"/>
        </w:rPr>
      </w:pPr>
      <w:r w:rsidRPr="00A64787">
        <w:rPr>
          <w:rFonts w:cs="Arial"/>
          <w:szCs w:val="20"/>
        </w:rPr>
        <w:t>Murray Bridge</w:t>
      </w:r>
    </w:p>
    <w:p w14:paraId="1C2CCA6D" w14:textId="77777777" w:rsidR="00A342D6" w:rsidRPr="00A64787" w:rsidRDefault="00A342D6" w:rsidP="00A342D6">
      <w:pPr>
        <w:spacing w:after="0"/>
        <w:rPr>
          <w:rFonts w:cs="Arial"/>
          <w:szCs w:val="20"/>
        </w:rPr>
      </w:pPr>
      <w:r w:rsidRPr="00A64787">
        <w:rPr>
          <w:rFonts w:cs="Arial"/>
          <w:szCs w:val="20"/>
        </w:rPr>
        <w:t>Port Augusta</w:t>
      </w:r>
    </w:p>
    <w:p w14:paraId="7D5E7197" w14:textId="77777777" w:rsidR="00A342D6" w:rsidRPr="00A64787" w:rsidRDefault="00A342D6" w:rsidP="00A342D6">
      <w:pPr>
        <w:spacing w:after="0"/>
        <w:rPr>
          <w:rFonts w:cs="Arial"/>
          <w:szCs w:val="20"/>
        </w:rPr>
      </w:pPr>
      <w:r w:rsidRPr="00A64787">
        <w:rPr>
          <w:rFonts w:cs="Arial"/>
          <w:szCs w:val="20"/>
        </w:rPr>
        <w:t>Port Lincoln</w:t>
      </w:r>
    </w:p>
    <w:p w14:paraId="2B389E53" w14:textId="77777777" w:rsidR="00A342D6" w:rsidRPr="00A64787" w:rsidRDefault="00A342D6" w:rsidP="00A342D6">
      <w:pPr>
        <w:spacing w:after="0"/>
        <w:rPr>
          <w:rFonts w:cs="Arial"/>
          <w:szCs w:val="20"/>
        </w:rPr>
      </w:pPr>
      <w:r w:rsidRPr="00A64787">
        <w:rPr>
          <w:rFonts w:cs="Arial"/>
          <w:szCs w:val="20"/>
        </w:rPr>
        <w:t>Port Pirie</w:t>
      </w:r>
    </w:p>
    <w:p w14:paraId="361EA25B" w14:textId="2319CFA3" w:rsidR="00A342D6" w:rsidRPr="00A64787" w:rsidRDefault="00A342D6" w:rsidP="00A342D6">
      <w:pPr>
        <w:spacing w:after="0"/>
        <w:rPr>
          <w:rFonts w:cs="Arial"/>
          <w:szCs w:val="20"/>
        </w:rPr>
      </w:pPr>
      <w:r w:rsidRPr="00A64787">
        <w:rPr>
          <w:rFonts w:cs="Arial"/>
          <w:szCs w:val="20"/>
        </w:rPr>
        <w:t xml:space="preserve">Victor Harbor </w:t>
      </w:r>
      <w:r w:rsidR="00A64787" w:rsidRPr="00A64787">
        <w:rPr>
          <w:rFonts w:cs="Arial"/>
          <w:szCs w:val="20"/>
        </w:rPr>
        <w:t>–</w:t>
      </w:r>
      <w:r w:rsidRPr="00A64787">
        <w:rPr>
          <w:rFonts w:cs="Arial"/>
          <w:szCs w:val="20"/>
        </w:rPr>
        <w:t xml:space="preserve"> Goolwa</w:t>
      </w:r>
    </w:p>
    <w:p w14:paraId="50474C7B" w14:textId="77777777" w:rsidR="00A342D6" w:rsidRPr="00A64787" w:rsidRDefault="00A342D6" w:rsidP="00A342D6">
      <w:pPr>
        <w:spacing w:after="0"/>
        <w:rPr>
          <w:rFonts w:cs="Arial"/>
          <w:szCs w:val="20"/>
        </w:rPr>
      </w:pPr>
      <w:r w:rsidRPr="00A64787">
        <w:rPr>
          <w:rFonts w:cs="Arial"/>
          <w:szCs w:val="20"/>
        </w:rPr>
        <w:t>Whyalla</w:t>
      </w:r>
    </w:p>
    <w:p w14:paraId="5A4DF934" w14:textId="77777777" w:rsidR="00A342D6" w:rsidRPr="00A64787" w:rsidRDefault="00A342D6" w:rsidP="00A342D6">
      <w:pPr>
        <w:spacing w:after="0"/>
        <w:rPr>
          <w:rFonts w:cs="Arial"/>
          <w:szCs w:val="20"/>
        </w:rPr>
      </w:pPr>
      <w:r w:rsidRPr="00A64787">
        <w:rPr>
          <w:rFonts w:cs="Arial"/>
          <w:szCs w:val="20"/>
        </w:rPr>
        <w:t>Not in any SUA (WA)</w:t>
      </w:r>
    </w:p>
    <w:p w14:paraId="7C5E16A7" w14:textId="77777777" w:rsidR="00A342D6" w:rsidRPr="00A64787" w:rsidRDefault="00A342D6" w:rsidP="00A342D6">
      <w:pPr>
        <w:spacing w:after="0"/>
        <w:rPr>
          <w:rFonts w:cs="Arial"/>
          <w:szCs w:val="20"/>
        </w:rPr>
      </w:pPr>
      <w:r w:rsidRPr="00A64787">
        <w:rPr>
          <w:rFonts w:cs="Arial"/>
          <w:szCs w:val="20"/>
        </w:rPr>
        <w:t>Albany</w:t>
      </w:r>
    </w:p>
    <w:p w14:paraId="409811E8" w14:textId="77777777" w:rsidR="00A342D6" w:rsidRPr="00A64787" w:rsidRDefault="00A342D6" w:rsidP="00A342D6">
      <w:pPr>
        <w:spacing w:after="0"/>
        <w:rPr>
          <w:rFonts w:cs="Arial"/>
          <w:szCs w:val="20"/>
        </w:rPr>
      </w:pPr>
      <w:r w:rsidRPr="00A64787">
        <w:rPr>
          <w:rFonts w:cs="Arial"/>
          <w:szCs w:val="20"/>
        </w:rPr>
        <w:t>Broome</w:t>
      </w:r>
    </w:p>
    <w:p w14:paraId="24F3DA42" w14:textId="77777777" w:rsidR="00A342D6" w:rsidRPr="00A64787" w:rsidRDefault="00A342D6" w:rsidP="00A342D6">
      <w:pPr>
        <w:spacing w:after="0"/>
        <w:rPr>
          <w:rFonts w:cs="Arial"/>
          <w:szCs w:val="20"/>
        </w:rPr>
      </w:pPr>
      <w:r w:rsidRPr="00A64787">
        <w:rPr>
          <w:rFonts w:cs="Arial"/>
          <w:szCs w:val="20"/>
        </w:rPr>
        <w:t>Bunbury</w:t>
      </w:r>
    </w:p>
    <w:p w14:paraId="3A08DBCF" w14:textId="77777777" w:rsidR="00A342D6" w:rsidRPr="00A64787" w:rsidRDefault="00A342D6" w:rsidP="00A342D6">
      <w:pPr>
        <w:spacing w:after="0"/>
        <w:rPr>
          <w:rFonts w:cs="Arial"/>
          <w:szCs w:val="20"/>
        </w:rPr>
      </w:pPr>
      <w:r w:rsidRPr="00A64787">
        <w:rPr>
          <w:rFonts w:cs="Arial"/>
          <w:szCs w:val="20"/>
        </w:rPr>
        <w:t>Busselton</w:t>
      </w:r>
    </w:p>
    <w:p w14:paraId="00E57922" w14:textId="77777777" w:rsidR="00A342D6" w:rsidRPr="00A64787" w:rsidRDefault="00A342D6" w:rsidP="00A342D6">
      <w:pPr>
        <w:spacing w:after="0"/>
        <w:rPr>
          <w:rFonts w:cs="Arial"/>
          <w:szCs w:val="20"/>
        </w:rPr>
      </w:pPr>
      <w:r w:rsidRPr="00A64787">
        <w:rPr>
          <w:rFonts w:cs="Arial"/>
          <w:szCs w:val="20"/>
        </w:rPr>
        <w:t>Esperance</w:t>
      </w:r>
    </w:p>
    <w:p w14:paraId="7E64B429" w14:textId="77777777" w:rsidR="00A342D6" w:rsidRPr="00A64787" w:rsidRDefault="00A342D6" w:rsidP="00A342D6">
      <w:pPr>
        <w:spacing w:after="0"/>
        <w:rPr>
          <w:rFonts w:cs="Arial"/>
          <w:szCs w:val="20"/>
        </w:rPr>
      </w:pPr>
      <w:r w:rsidRPr="00A64787">
        <w:rPr>
          <w:rFonts w:cs="Arial"/>
          <w:szCs w:val="20"/>
        </w:rPr>
        <w:t>Geraldton</w:t>
      </w:r>
    </w:p>
    <w:p w14:paraId="78608C8B" w14:textId="303F60F4" w:rsidR="00A342D6" w:rsidRPr="00A64787" w:rsidRDefault="00A342D6" w:rsidP="00A342D6">
      <w:pPr>
        <w:spacing w:after="0"/>
        <w:rPr>
          <w:rFonts w:cs="Arial"/>
          <w:szCs w:val="20"/>
        </w:rPr>
      </w:pPr>
      <w:r w:rsidRPr="00A64787">
        <w:rPr>
          <w:rFonts w:cs="Arial"/>
          <w:szCs w:val="20"/>
        </w:rPr>
        <w:t xml:space="preserve">Kalgoorlie </w:t>
      </w:r>
      <w:r w:rsidR="00A64787" w:rsidRPr="00A64787">
        <w:rPr>
          <w:rFonts w:cs="Arial"/>
          <w:szCs w:val="20"/>
        </w:rPr>
        <w:t>–</w:t>
      </w:r>
      <w:r w:rsidRPr="00A64787">
        <w:rPr>
          <w:rFonts w:cs="Arial"/>
          <w:szCs w:val="20"/>
        </w:rPr>
        <w:t xml:space="preserve"> Boulder</w:t>
      </w:r>
    </w:p>
    <w:p w14:paraId="2AFC9B6C" w14:textId="77777777" w:rsidR="00A342D6" w:rsidRPr="00A64787" w:rsidRDefault="00A342D6" w:rsidP="00A342D6">
      <w:pPr>
        <w:spacing w:after="0"/>
        <w:rPr>
          <w:rFonts w:cs="Arial"/>
          <w:szCs w:val="20"/>
        </w:rPr>
      </w:pPr>
      <w:r w:rsidRPr="00A64787">
        <w:rPr>
          <w:rFonts w:cs="Arial"/>
          <w:szCs w:val="20"/>
        </w:rPr>
        <w:t>Karratha</w:t>
      </w:r>
    </w:p>
    <w:p w14:paraId="37E33981" w14:textId="77777777" w:rsidR="00A342D6" w:rsidRPr="00A64787" w:rsidRDefault="00A342D6" w:rsidP="00A342D6">
      <w:pPr>
        <w:spacing w:after="0"/>
        <w:rPr>
          <w:rFonts w:cs="Arial"/>
          <w:szCs w:val="20"/>
        </w:rPr>
      </w:pPr>
      <w:r w:rsidRPr="00A64787">
        <w:rPr>
          <w:rFonts w:cs="Arial"/>
          <w:szCs w:val="20"/>
        </w:rPr>
        <w:t>Perth</w:t>
      </w:r>
    </w:p>
    <w:p w14:paraId="2321D757" w14:textId="77777777" w:rsidR="00A342D6" w:rsidRPr="00A64787" w:rsidRDefault="00A342D6" w:rsidP="00A342D6">
      <w:pPr>
        <w:spacing w:after="0"/>
        <w:rPr>
          <w:rFonts w:cs="Arial"/>
          <w:szCs w:val="20"/>
        </w:rPr>
      </w:pPr>
      <w:r w:rsidRPr="00A64787">
        <w:rPr>
          <w:rFonts w:cs="Arial"/>
          <w:szCs w:val="20"/>
        </w:rPr>
        <w:t>Port Hedland</w:t>
      </w:r>
    </w:p>
    <w:p w14:paraId="644EF766" w14:textId="77777777" w:rsidR="00A342D6" w:rsidRPr="00A64787" w:rsidRDefault="00A342D6" w:rsidP="00A342D6">
      <w:pPr>
        <w:spacing w:after="0"/>
        <w:rPr>
          <w:rFonts w:cs="Arial"/>
          <w:szCs w:val="20"/>
        </w:rPr>
      </w:pPr>
      <w:r w:rsidRPr="00A64787">
        <w:rPr>
          <w:rFonts w:cs="Arial"/>
          <w:szCs w:val="20"/>
        </w:rPr>
        <w:t>Yanchep</w:t>
      </w:r>
    </w:p>
    <w:p w14:paraId="4475F93E" w14:textId="0A774816" w:rsidR="00A342D6" w:rsidRPr="00A64787" w:rsidRDefault="00A342D6" w:rsidP="00A342D6">
      <w:pPr>
        <w:spacing w:after="0"/>
        <w:rPr>
          <w:rFonts w:cs="Arial"/>
          <w:szCs w:val="20"/>
        </w:rPr>
      </w:pPr>
      <w:r w:rsidRPr="00A64787">
        <w:rPr>
          <w:rFonts w:cs="Arial"/>
          <w:szCs w:val="20"/>
        </w:rPr>
        <w:t>Not in any SUA (Tas)</w:t>
      </w:r>
    </w:p>
    <w:p w14:paraId="7CE79CA8" w14:textId="1D15267F" w:rsidR="00A342D6" w:rsidRPr="00A64787" w:rsidRDefault="00A342D6" w:rsidP="00A342D6">
      <w:pPr>
        <w:spacing w:after="0"/>
        <w:rPr>
          <w:rFonts w:cs="Arial"/>
          <w:szCs w:val="20"/>
        </w:rPr>
      </w:pPr>
      <w:r w:rsidRPr="00A64787">
        <w:rPr>
          <w:rFonts w:cs="Arial"/>
          <w:szCs w:val="20"/>
        </w:rPr>
        <w:t xml:space="preserve">Burnie </w:t>
      </w:r>
      <w:r w:rsidR="00A64787" w:rsidRPr="00A64787">
        <w:rPr>
          <w:rFonts w:cs="Arial"/>
          <w:szCs w:val="20"/>
        </w:rPr>
        <w:t>–</w:t>
      </w:r>
      <w:r w:rsidRPr="00A64787">
        <w:rPr>
          <w:rFonts w:cs="Arial"/>
          <w:szCs w:val="20"/>
        </w:rPr>
        <w:t xml:space="preserve"> Wynyard</w:t>
      </w:r>
    </w:p>
    <w:p w14:paraId="5C71D0C4" w14:textId="77777777" w:rsidR="00A342D6" w:rsidRPr="00A64787" w:rsidRDefault="00A342D6" w:rsidP="00A342D6">
      <w:pPr>
        <w:spacing w:after="0"/>
        <w:rPr>
          <w:rFonts w:cs="Arial"/>
          <w:szCs w:val="20"/>
        </w:rPr>
      </w:pPr>
      <w:r w:rsidRPr="00A64787">
        <w:rPr>
          <w:rFonts w:cs="Arial"/>
          <w:szCs w:val="20"/>
        </w:rPr>
        <w:t>Devonport</w:t>
      </w:r>
    </w:p>
    <w:p w14:paraId="1562D33C" w14:textId="77777777" w:rsidR="00A342D6" w:rsidRPr="00A64787" w:rsidRDefault="00A342D6" w:rsidP="00A342D6">
      <w:pPr>
        <w:spacing w:after="0"/>
        <w:rPr>
          <w:rFonts w:cs="Arial"/>
          <w:szCs w:val="20"/>
        </w:rPr>
      </w:pPr>
      <w:r w:rsidRPr="00A64787">
        <w:rPr>
          <w:rFonts w:cs="Arial"/>
          <w:szCs w:val="20"/>
        </w:rPr>
        <w:t>Hobart</w:t>
      </w:r>
    </w:p>
    <w:p w14:paraId="0B4E6B15" w14:textId="77777777" w:rsidR="00A342D6" w:rsidRPr="00A64787" w:rsidRDefault="00A342D6" w:rsidP="00A342D6">
      <w:pPr>
        <w:spacing w:after="0"/>
        <w:rPr>
          <w:rFonts w:cs="Arial"/>
          <w:szCs w:val="20"/>
        </w:rPr>
      </w:pPr>
      <w:r w:rsidRPr="00A64787">
        <w:rPr>
          <w:rFonts w:cs="Arial"/>
          <w:szCs w:val="20"/>
        </w:rPr>
        <w:t>Launceston</w:t>
      </w:r>
    </w:p>
    <w:p w14:paraId="5A6EC6A4" w14:textId="77777777" w:rsidR="00A342D6" w:rsidRPr="00A64787" w:rsidRDefault="00A342D6" w:rsidP="00A342D6">
      <w:pPr>
        <w:spacing w:after="0"/>
        <w:rPr>
          <w:rFonts w:cs="Arial"/>
          <w:szCs w:val="20"/>
        </w:rPr>
      </w:pPr>
      <w:r w:rsidRPr="00A64787">
        <w:rPr>
          <w:rFonts w:cs="Arial"/>
          <w:szCs w:val="20"/>
        </w:rPr>
        <w:t>Ulverstone</w:t>
      </w:r>
    </w:p>
    <w:p w14:paraId="66C75C64" w14:textId="77777777" w:rsidR="00A342D6" w:rsidRPr="00A64787" w:rsidRDefault="00A342D6" w:rsidP="00A342D6">
      <w:pPr>
        <w:spacing w:after="0"/>
        <w:rPr>
          <w:rFonts w:cs="Arial"/>
          <w:szCs w:val="20"/>
        </w:rPr>
      </w:pPr>
      <w:r w:rsidRPr="00A64787">
        <w:rPr>
          <w:rFonts w:cs="Arial"/>
          <w:szCs w:val="20"/>
        </w:rPr>
        <w:t>Not in any SUA (NT)</w:t>
      </w:r>
    </w:p>
    <w:p w14:paraId="093047DE" w14:textId="77777777" w:rsidR="00A342D6" w:rsidRPr="00A64787" w:rsidRDefault="00A342D6" w:rsidP="00A342D6">
      <w:pPr>
        <w:spacing w:after="0"/>
        <w:rPr>
          <w:rFonts w:cs="Arial"/>
          <w:szCs w:val="20"/>
        </w:rPr>
      </w:pPr>
      <w:r w:rsidRPr="00A64787">
        <w:rPr>
          <w:rFonts w:cs="Arial"/>
          <w:szCs w:val="20"/>
        </w:rPr>
        <w:t>Alice Springs</w:t>
      </w:r>
    </w:p>
    <w:p w14:paraId="1C41B377" w14:textId="77777777" w:rsidR="00A342D6" w:rsidRPr="00A64787" w:rsidRDefault="00A342D6" w:rsidP="00A342D6">
      <w:pPr>
        <w:spacing w:after="0"/>
        <w:rPr>
          <w:rFonts w:cs="Arial"/>
          <w:szCs w:val="20"/>
        </w:rPr>
      </w:pPr>
      <w:r w:rsidRPr="00A64787">
        <w:rPr>
          <w:rFonts w:cs="Arial"/>
          <w:szCs w:val="20"/>
        </w:rPr>
        <w:t>Darwin</w:t>
      </w:r>
    </w:p>
    <w:p w14:paraId="1F8EAF54" w14:textId="77777777" w:rsidR="00A342D6" w:rsidRPr="00A64787" w:rsidRDefault="00A342D6" w:rsidP="00A342D6">
      <w:pPr>
        <w:spacing w:after="0"/>
        <w:rPr>
          <w:rFonts w:cs="Arial"/>
          <w:szCs w:val="20"/>
        </w:rPr>
      </w:pPr>
      <w:r w:rsidRPr="00A64787">
        <w:rPr>
          <w:rFonts w:cs="Arial"/>
          <w:szCs w:val="20"/>
        </w:rPr>
        <w:t>Not in any SUA (ACT)</w:t>
      </w:r>
    </w:p>
    <w:p w14:paraId="0775771C" w14:textId="77777777" w:rsidR="00C603C5" w:rsidRDefault="00A342D6" w:rsidP="00793CD6">
      <w:pPr>
        <w:tabs>
          <w:tab w:val="left" w:pos="142"/>
        </w:tabs>
        <w:spacing w:after="0"/>
        <w:rPr>
          <w:rFonts w:cs="Arial"/>
          <w:szCs w:val="20"/>
        </w:rPr>
      </w:pPr>
      <w:r w:rsidRPr="00A64787">
        <w:rPr>
          <w:rFonts w:cs="Arial"/>
          <w:szCs w:val="20"/>
        </w:rPr>
        <w:t xml:space="preserve">Canberra </w:t>
      </w:r>
      <w:r w:rsidR="00A64787" w:rsidRPr="00A64787">
        <w:rPr>
          <w:rFonts w:cs="Arial"/>
          <w:szCs w:val="20"/>
        </w:rPr>
        <w:t>–</w:t>
      </w:r>
    </w:p>
    <w:p w14:paraId="3FE8EDDA" w14:textId="7A88C183" w:rsidR="00A342D6" w:rsidRPr="00A64787" w:rsidRDefault="00C603C5" w:rsidP="007A5938">
      <w:pPr>
        <w:tabs>
          <w:tab w:val="left" w:pos="142"/>
        </w:tabs>
        <w:spacing w:after="0"/>
        <w:rPr>
          <w:rFonts w:cs="Arial"/>
          <w:szCs w:val="20"/>
        </w:rPr>
      </w:pPr>
      <w:r>
        <w:rPr>
          <w:rFonts w:cs="Arial"/>
          <w:szCs w:val="20"/>
        </w:rPr>
        <w:t xml:space="preserve">   </w:t>
      </w:r>
      <w:r w:rsidR="00A342D6" w:rsidRPr="00A64787">
        <w:rPr>
          <w:rFonts w:cs="Arial"/>
          <w:szCs w:val="20"/>
        </w:rPr>
        <w:t>Queanbeyan</w:t>
      </w:r>
    </w:p>
    <w:p w14:paraId="65F990D8" w14:textId="77777777" w:rsidR="00A342D6" w:rsidRPr="00A64787" w:rsidRDefault="00A342D6" w:rsidP="00A342D6">
      <w:pPr>
        <w:spacing w:after="0"/>
        <w:rPr>
          <w:rFonts w:cs="Arial"/>
          <w:szCs w:val="20"/>
        </w:rPr>
      </w:pPr>
      <w:r w:rsidRPr="00A64787">
        <w:rPr>
          <w:rFonts w:cs="Arial"/>
          <w:szCs w:val="20"/>
        </w:rPr>
        <w:t>Not in any SUA (OT)</w:t>
      </w:r>
    </w:p>
    <w:p w14:paraId="51CA5D9C" w14:textId="77777777" w:rsidR="009D67DE" w:rsidRDefault="009D67DE" w:rsidP="00E95BCE">
      <w:pPr>
        <w:rPr>
          <w:rFonts w:cs="Arial"/>
          <w:szCs w:val="20"/>
        </w:rPr>
        <w:sectPr w:rsidR="009D67DE" w:rsidSect="007E0F77">
          <w:type w:val="continuous"/>
          <w:pgSz w:w="11906" w:h="16838" w:code="9"/>
          <w:pgMar w:top="1945" w:right="3101" w:bottom="1134" w:left="1134" w:header="709" w:footer="119" w:gutter="0"/>
          <w:cols w:num="3" w:space="708"/>
          <w:docGrid w:linePitch="360"/>
        </w:sectPr>
      </w:pPr>
    </w:p>
    <w:p w14:paraId="6D3C2EBD" w14:textId="6B74AE4E" w:rsidR="00E95BCE" w:rsidRPr="00E95BCE" w:rsidRDefault="006F7294" w:rsidP="007A5938">
      <w:pPr>
        <w:pStyle w:val="Heading3"/>
        <w:spacing w:before="360"/>
      </w:pPr>
      <w:r>
        <w:br/>
      </w:r>
      <w:r w:rsidR="000B6166" w:rsidRPr="00145A0F">
        <w:t xml:space="preserve">Apparatus licence fee schedule </w:t>
      </w:r>
      <w:r w:rsidR="003A2135">
        <w:t xml:space="preserve">– </w:t>
      </w:r>
      <w:r w:rsidR="00CB57C9">
        <w:t>d</w:t>
      </w:r>
      <w:r w:rsidR="00E95BCE" w:rsidRPr="00E95BCE">
        <w:t>ivisions 1,</w:t>
      </w:r>
      <w:r w:rsidR="00935F71">
        <w:t xml:space="preserve"> </w:t>
      </w:r>
      <w:r w:rsidR="00E95BCE" w:rsidRPr="00E95BCE">
        <w:t>1A, 2, 3, 4, 5, 5A, 8A</w:t>
      </w:r>
    </w:p>
    <w:p w14:paraId="4D739976" w14:textId="77777777" w:rsidR="003F49EA" w:rsidRDefault="003A5541" w:rsidP="007A5938">
      <w:pPr>
        <w:pStyle w:val="Paragraphbeforelist"/>
      </w:pPr>
      <w:r>
        <w:t xml:space="preserve">Each of </w:t>
      </w:r>
      <w:r w:rsidR="003F49EA">
        <w:t>the following uses the location weightings factor of the assigned licence tax formula in its calculation of tax rates:</w:t>
      </w:r>
    </w:p>
    <w:p w14:paraId="52DBFE92" w14:textId="764FDFF1" w:rsidR="003F49EA" w:rsidRDefault="00E95BCE" w:rsidP="007A5938">
      <w:pPr>
        <w:pStyle w:val="Bulletlevel1"/>
      </w:pPr>
      <w:r>
        <w:t>Division 1: Generally assigned licences</w:t>
      </w:r>
    </w:p>
    <w:p w14:paraId="7FB53B0F" w14:textId="714F1942" w:rsidR="003F49EA" w:rsidRDefault="00E95BCE" w:rsidP="007A5938">
      <w:pPr>
        <w:pStyle w:val="Bulletlevel1"/>
      </w:pPr>
      <w:r>
        <w:t>Division 1A: Scientific assigned licences</w:t>
      </w:r>
    </w:p>
    <w:p w14:paraId="48B0041A" w14:textId="0288EACC" w:rsidR="003F49EA" w:rsidRDefault="00E95BCE" w:rsidP="007A5938">
      <w:pPr>
        <w:pStyle w:val="Bulletlevel1"/>
      </w:pPr>
      <w:r>
        <w:t>Division 2: Fixed point-to-point licences</w:t>
      </w:r>
    </w:p>
    <w:p w14:paraId="66A2AB8C" w14:textId="59A44449" w:rsidR="003F49EA" w:rsidRDefault="00E95BCE" w:rsidP="007A5938">
      <w:pPr>
        <w:pStyle w:val="Bulletlevel1"/>
      </w:pPr>
      <w:r>
        <w:t>Division 3: Fixed point-to-multipoint licences</w:t>
      </w:r>
    </w:p>
    <w:p w14:paraId="19F05A48" w14:textId="0DDC9CDC" w:rsidR="003F49EA" w:rsidRDefault="00E95BCE" w:rsidP="007A5938">
      <w:pPr>
        <w:pStyle w:val="Bulletlevel1"/>
      </w:pPr>
      <w:r>
        <w:t>Division 4: Assigned licences in high demand frequency bands</w:t>
      </w:r>
    </w:p>
    <w:p w14:paraId="7760BC03" w14:textId="637A6376" w:rsidR="003F49EA" w:rsidRDefault="00E95BCE" w:rsidP="007A5938">
      <w:pPr>
        <w:pStyle w:val="Bulletlevel1"/>
      </w:pPr>
      <w:r>
        <w:t>Division 5: Television outside broadcast station licences</w:t>
      </w:r>
    </w:p>
    <w:p w14:paraId="01DDD43D" w14:textId="50CC125B" w:rsidR="003F49EA" w:rsidRDefault="00E95BCE" w:rsidP="007A5938">
      <w:pPr>
        <w:pStyle w:val="Bulletlevel1"/>
      </w:pPr>
      <w:r>
        <w:t>Division 5A: Television outside broadcast network or system licences</w:t>
      </w:r>
      <w:r w:rsidR="009B68D9">
        <w:t xml:space="preserve"> </w:t>
      </w:r>
    </w:p>
    <w:p w14:paraId="51F511E0" w14:textId="6B472561" w:rsidR="00E95BCE" w:rsidRDefault="00E95BCE" w:rsidP="007A5938">
      <w:pPr>
        <w:pStyle w:val="Bulletlevel1last"/>
      </w:pPr>
      <w:r>
        <w:t>Division 8A: Space system licences</w:t>
      </w:r>
      <w:r w:rsidR="003F49EA">
        <w:t>.</w:t>
      </w:r>
      <w:r>
        <w:t xml:space="preserve"> </w:t>
      </w:r>
    </w:p>
    <w:p w14:paraId="3601CD39" w14:textId="34E2BAEA" w:rsidR="0095663E" w:rsidRDefault="003F49EA" w:rsidP="00E95BCE">
      <w:pPr>
        <w:rPr>
          <w:rFonts w:cs="Arial"/>
          <w:szCs w:val="20"/>
        </w:rPr>
      </w:pPr>
      <w:r>
        <w:rPr>
          <w:rFonts w:cs="Arial"/>
          <w:szCs w:val="20"/>
        </w:rPr>
        <w:lastRenderedPageBreak/>
        <w:t xml:space="preserve">We </w:t>
      </w:r>
      <w:r w:rsidR="00E95BCE">
        <w:rPr>
          <w:rFonts w:cs="Arial"/>
          <w:szCs w:val="20"/>
        </w:rPr>
        <w:t>propose to update the tax rate</w:t>
      </w:r>
      <w:r w:rsidR="006C3BB3">
        <w:rPr>
          <w:rFonts w:cs="Arial"/>
          <w:szCs w:val="20"/>
        </w:rPr>
        <w:t>s</w:t>
      </w:r>
      <w:r w:rsidR="00E95BCE">
        <w:rPr>
          <w:rFonts w:cs="Arial"/>
          <w:szCs w:val="20"/>
        </w:rPr>
        <w:t xml:space="preserve"> for </w:t>
      </w:r>
      <w:r>
        <w:rPr>
          <w:rFonts w:cs="Arial"/>
          <w:szCs w:val="20"/>
        </w:rPr>
        <w:t>d</w:t>
      </w:r>
      <w:r w:rsidR="00E95BCE">
        <w:rPr>
          <w:rFonts w:cs="Arial"/>
          <w:szCs w:val="20"/>
        </w:rPr>
        <w:t>ivisions 1, 1A, 2, 3, 4, 5, 5A</w:t>
      </w:r>
      <w:r w:rsidR="00A43F1D">
        <w:rPr>
          <w:rFonts w:cs="Arial"/>
          <w:szCs w:val="20"/>
        </w:rPr>
        <w:t xml:space="preserve"> and </w:t>
      </w:r>
      <w:r w:rsidR="00E95BCE">
        <w:rPr>
          <w:rFonts w:cs="Arial"/>
          <w:szCs w:val="20"/>
        </w:rPr>
        <w:t xml:space="preserve">8A according to their geographic density area – either high, medium, low, remote, or Australia-wide. The ‘Estimated resident population, Significant Urban Areas’ dataset can be </w:t>
      </w:r>
      <w:r w:rsidR="00900C43">
        <w:rPr>
          <w:rFonts w:cs="Arial"/>
          <w:szCs w:val="20"/>
        </w:rPr>
        <w:t>applied</w:t>
      </w:r>
      <w:r w:rsidR="00E95BCE">
        <w:rPr>
          <w:rFonts w:cs="Arial"/>
          <w:szCs w:val="20"/>
        </w:rPr>
        <w:t xml:space="preserve"> to fall within the geographic density area construct. As such, cumulative annual changes for population in each SUA that fall under the different density area groupings can be used to update annual tax rates on a geography-specific basis. For Australia-wide, the total population change for Australia would be used.</w:t>
      </w:r>
    </w:p>
    <w:p w14:paraId="40190F6D" w14:textId="79297A39" w:rsidR="00E95BCE" w:rsidRDefault="00935F71" w:rsidP="00935F71">
      <w:pPr>
        <w:rPr>
          <w:rFonts w:cs="Arial"/>
          <w:szCs w:val="20"/>
        </w:rPr>
      </w:pPr>
      <w:r>
        <w:rPr>
          <w:rFonts w:cs="Arial"/>
          <w:szCs w:val="20"/>
        </w:rPr>
        <w:t xml:space="preserve">Each of the 110 SUAs would be grouped according to density area as per </w:t>
      </w:r>
      <w:r w:rsidR="00A64787">
        <w:rPr>
          <w:rFonts w:cs="Arial"/>
          <w:szCs w:val="20"/>
        </w:rPr>
        <w:t>Table 2</w:t>
      </w:r>
      <w:r w:rsidR="00A43F1D">
        <w:rPr>
          <w:rFonts w:cs="Arial"/>
          <w:szCs w:val="20"/>
        </w:rPr>
        <w:t>.</w:t>
      </w:r>
      <w:r w:rsidR="003F49EA">
        <w:rPr>
          <w:rFonts w:cs="Arial"/>
          <w:szCs w:val="20"/>
        </w:rPr>
        <w:t xml:space="preserve"> </w:t>
      </w:r>
      <w:r w:rsidR="00A43F1D">
        <w:rPr>
          <w:rFonts w:cs="Arial"/>
          <w:szCs w:val="20"/>
        </w:rPr>
        <w:t>T</w:t>
      </w:r>
      <w:r>
        <w:rPr>
          <w:rFonts w:cs="Arial"/>
          <w:szCs w:val="20"/>
        </w:rPr>
        <w:t xml:space="preserve">he ABS releases data on the population of each SUA on an annual basis. The proposal is to </w:t>
      </w:r>
      <w:r w:rsidR="00427F29">
        <w:rPr>
          <w:rFonts w:cs="Arial"/>
          <w:szCs w:val="20"/>
        </w:rPr>
        <w:t>use</w:t>
      </w:r>
      <w:r>
        <w:rPr>
          <w:rFonts w:cs="Arial"/>
          <w:szCs w:val="20"/>
        </w:rPr>
        <w:t xml:space="preserve"> the cumulative population for each year for each density area, calculate the percentage change against the cumulative population from the previous year for each corresponding density area, and update the licence tax rate according to this percentage change.</w:t>
      </w:r>
    </w:p>
    <w:p w14:paraId="434E4299" w14:textId="087766AE" w:rsidR="00227F93" w:rsidRDefault="00105461" w:rsidP="00227F93">
      <w:pPr>
        <w:spacing w:after="160"/>
        <w:rPr>
          <w:rFonts w:cs="Arial"/>
          <w:szCs w:val="20"/>
        </w:rPr>
      </w:pPr>
      <w:r>
        <w:rPr>
          <w:rFonts w:cs="Arial"/>
          <w:szCs w:val="20"/>
        </w:rPr>
        <w:t xml:space="preserve">Note that some SUAs extend between different density areas, most notably the ‘Not in any SUA’ areas for each state. In these instances, we propose to classify the SUA into the density area where the majority of the SUA is located. For example, </w:t>
      </w:r>
      <w:r w:rsidR="000326E6">
        <w:rPr>
          <w:rFonts w:cs="Arial"/>
          <w:szCs w:val="20"/>
        </w:rPr>
        <w:t>‘N</w:t>
      </w:r>
      <w:r>
        <w:rPr>
          <w:rFonts w:cs="Arial"/>
          <w:szCs w:val="20"/>
        </w:rPr>
        <w:t>ot in any SUA (V</w:t>
      </w:r>
      <w:r w:rsidR="000326E6">
        <w:rPr>
          <w:rFonts w:cs="Arial"/>
          <w:szCs w:val="20"/>
        </w:rPr>
        <w:t>ic</w:t>
      </w:r>
      <w:r>
        <w:rPr>
          <w:rFonts w:cs="Arial"/>
          <w:szCs w:val="20"/>
        </w:rPr>
        <w:t>)</w:t>
      </w:r>
      <w:r w:rsidR="000326E6">
        <w:rPr>
          <w:rFonts w:cs="Arial"/>
          <w:szCs w:val="20"/>
        </w:rPr>
        <w:t>’</w:t>
      </w:r>
      <w:r>
        <w:rPr>
          <w:rFonts w:cs="Arial"/>
          <w:szCs w:val="20"/>
        </w:rPr>
        <w:t xml:space="preserve"> is classified as low</w:t>
      </w:r>
      <w:r w:rsidR="00C57CEE">
        <w:rPr>
          <w:rFonts w:cs="Arial"/>
          <w:szCs w:val="20"/>
        </w:rPr>
        <w:t xml:space="preserve"> </w:t>
      </w:r>
      <w:r>
        <w:rPr>
          <w:rFonts w:cs="Arial"/>
          <w:szCs w:val="20"/>
        </w:rPr>
        <w:t xml:space="preserve">density and </w:t>
      </w:r>
      <w:r w:rsidR="000326E6">
        <w:rPr>
          <w:rFonts w:cs="Arial"/>
          <w:szCs w:val="20"/>
        </w:rPr>
        <w:t>‘</w:t>
      </w:r>
      <w:r>
        <w:rPr>
          <w:rFonts w:cs="Arial"/>
          <w:szCs w:val="20"/>
        </w:rPr>
        <w:t>Not in any SUA (NSW)</w:t>
      </w:r>
      <w:r w:rsidR="000326E6">
        <w:rPr>
          <w:rFonts w:cs="Arial"/>
          <w:szCs w:val="20"/>
        </w:rPr>
        <w:t>’</w:t>
      </w:r>
      <w:r>
        <w:rPr>
          <w:rFonts w:cs="Arial"/>
          <w:szCs w:val="20"/>
        </w:rPr>
        <w:t xml:space="preserve"> is classified as remote</w:t>
      </w:r>
      <w:r w:rsidR="00C57CEE">
        <w:rPr>
          <w:rFonts w:cs="Arial"/>
          <w:szCs w:val="20"/>
        </w:rPr>
        <w:t xml:space="preserve"> </w:t>
      </w:r>
      <w:r>
        <w:rPr>
          <w:rFonts w:cs="Arial"/>
          <w:szCs w:val="20"/>
        </w:rPr>
        <w:t>density. As the population figure</w:t>
      </w:r>
      <w:r w:rsidR="00A43F1D">
        <w:rPr>
          <w:rFonts w:cs="Arial"/>
          <w:szCs w:val="20"/>
        </w:rPr>
        <w:t>s</w:t>
      </w:r>
      <w:r>
        <w:rPr>
          <w:rFonts w:cs="Arial"/>
          <w:szCs w:val="20"/>
        </w:rPr>
        <w:t xml:space="preserve"> for these SUAs are relatively low, the effect of classifying them in one area compared to another is</w:t>
      </w:r>
      <w:r w:rsidR="00F30BE0">
        <w:rPr>
          <w:rFonts w:cs="Arial"/>
          <w:szCs w:val="20"/>
        </w:rPr>
        <w:t xml:space="preserve"> </w:t>
      </w:r>
      <w:r>
        <w:rPr>
          <w:rFonts w:cs="Arial"/>
          <w:szCs w:val="20"/>
        </w:rPr>
        <w:t>marginal.</w:t>
      </w:r>
    </w:p>
    <w:p w14:paraId="1FD64EBF" w14:textId="21C7BD6D" w:rsidR="000D5118" w:rsidRPr="00D11BE2" w:rsidRDefault="00602E4A" w:rsidP="007A5938">
      <w:pPr>
        <w:pStyle w:val="Tableheading"/>
        <w:pageBreakBefore/>
        <w:rPr>
          <w:b w:val="0"/>
          <w:bCs w:val="0"/>
        </w:rPr>
        <w:sectPr w:rsidR="000D5118" w:rsidRPr="00D11BE2" w:rsidSect="007E0F77">
          <w:type w:val="continuous"/>
          <w:pgSz w:w="11906" w:h="16838" w:code="9"/>
          <w:pgMar w:top="1945" w:right="3101" w:bottom="1134" w:left="1134" w:header="709" w:footer="119" w:gutter="0"/>
          <w:cols w:space="708"/>
          <w:docGrid w:linePitch="360"/>
        </w:sectPr>
      </w:pPr>
      <w:r w:rsidRPr="00602E4A">
        <w:lastRenderedPageBreak/>
        <w:t>List of</w:t>
      </w:r>
      <w:r w:rsidR="003043B6" w:rsidRPr="00D11BE2">
        <w:t xml:space="preserve"> Significant </w:t>
      </w:r>
      <w:r w:rsidRPr="00602E4A">
        <w:t>Urban Areas grouped by density area</w:t>
      </w:r>
    </w:p>
    <w:p w14:paraId="09444699" w14:textId="77777777" w:rsidR="003D14C2" w:rsidRPr="00A64787" w:rsidRDefault="003D14C2" w:rsidP="003D14C2">
      <w:pPr>
        <w:spacing w:after="0" w:line="0" w:lineRule="atLeast"/>
        <w:rPr>
          <w:rFonts w:cs="Arial"/>
          <w:b/>
          <w:bCs/>
          <w:szCs w:val="20"/>
        </w:rPr>
      </w:pPr>
      <w:r w:rsidRPr="00A64787">
        <w:rPr>
          <w:rFonts w:cs="Arial"/>
          <w:b/>
          <w:bCs/>
          <w:szCs w:val="20"/>
        </w:rPr>
        <w:t>High-density area</w:t>
      </w:r>
    </w:p>
    <w:p w14:paraId="1B54FEA7" w14:textId="77777777" w:rsidR="003D14C2" w:rsidRPr="00A64787" w:rsidRDefault="003D14C2" w:rsidP="003D14C2">
      <w:pPr>
        <w:spacing w:after="0" w:line="0" w:lineRule="atLeast"/>
        <w:rPr>
          <w:rFonts w:cs="Arial"/>
          <w:szCs w:val="20"/>
        </w:rPr>
      </w:pPr>
      <w:r w:rsidRPr="00A64787">
        <w:rPr>
          <w:rFonts w:cs="Arial"/>
          <w:szCs w:val="20"/>
        </w:rPr>
        <w:t>Central Coast</w:t>
      </w:r>
    </w:p>
    <w:p w14:paraId="26BA0072" w14:textId="77777777" w:rsidR="003D14C2" w:rsidRPr="00A64787" w:rsidRDefault="003D14C2" w:rsidP="003D14C2">
      <w:pPr>
        <w:spacing w:after="0" w:line="0" w:lineRule="atLeast"/>
        <w:rPr>
          <w:rFonts w:cs="Arial"/>
          <w:szCs w:val="20"/>
        </w:rPr>
      </w:pPr>
      <w:r w:rsidRPr="00A64787">
        <w:rPr>
          <w:rFonts w:cs="Arial"/>
          <w:szCs w:val="20"/>
        </w:rPr>
        <w:t>Sydney</w:t>
      </w:r>
    </w:p>
    <w:p w14:paraId="48AFDC99" w14:textId="77777777" w:rsidR="003D14C2" w:rsidRPr="00A64787" w:rsidRDefault="003D14C2" w:rsidP="003D14C2">
      <w:pPr>
        <w:spacing w:after="0" w:line="0" w:lineRule="atLeast"/>
        <w:rPr>
          <w:rFonts w:cs="Arial"/>
          <w:szCs w:val="20"/>
        </w:rPr>
      </w:pPr>
      <w:r w:rsidRPr="00A64787">
        <w:rPr>
          <w:rFonts w:cs="Arial"/>
          <w:szCs w:val="20"/>
        </w:rPr>
        <w:t>Wollongong</w:t>
      </w:r>
    </w:p>
    <w:p w14:paraId="1DAEA27D" w14:textId="77777777" w:rsidR="003D14C2" w:rsidRPr="00A64787" w:rsidRDefault="003D14C2" w:rsidP="003D14C2">
      <w:pPr>
        <w:spacing w:after="0" w:line="0" w:lineRule="atLeast"/>
        <w:rPr>
          <w:rFonts w:cs="Arial"/>
          <w:szCs w:val="20"/>
        </w:rPr>
      </w:pPr>
      <w:r w:rsidRPr="00A64787">
        <w:rPr>
          <w:rFonts w:cs="Arial"/>
          <w:szCs w:val="20"/>
        </w:rPr>
        <w:t>Bacchus Marsh</w:t>
      </w:r>
    </w:p>
    <w:p w14:paraId="4F9C6522" w14:textId="77777777" w:rsidR="003D14C2" w:rsidRPr="00A64787" w:rsidRDefault="003D14C2" w:rsidP="003D14C2">
      <w:pPr>
        <w:spacing w:after="0" w:line="0" w:lineRule="atLeast"/>
        <w:rPr>
          <w:rFonts w:cs="Arial"/>
          <w:szCs w:val="20"/>
        </w:rPr>
      </w:pPr>
      <w:r w:rsidRPr="00A64787">
        <w:rPr>
          <w:rFonts w:cs="Arial"/>
          <w:szCs w:val="20"/>
        </w:rPr>
        <w:t>Geelong</w:t>
      </w:r>
    </w:p>
    <w:p w14:paraId="3DE0AD62" w14:textId="06BAD49F" w:rsidR="003D14C2" w:rsidRPr="00A64787" w:rsidRDefault="003D14C2" w:rsidP="003D14C2">
      <w:pPr>
        <w:spacing w:after="0" w:line="0" w:lineRule="atLeast"/>
        <w:rPr>
          <w:rFonts w:cs="Arial"/>
          <w:szCs w:val="20"/>
        </w:rPr>
      </w:pPr>
      <w:r w:rsidRPr="00A64787">
        <w:rPr>
          <w:rFonts w:cs="Arial"/>
          <w:szCs w:val="20"/>
        </w:rPr>
        <w:t xml:space="preserve">Gisborne </w:t>
      </w:r>
      <w:r w:rsidR="000326E6" w:rsidRPr="00A64787">
        <w:rPr>
          <w:rFonts w:cs="Arial"/>
          <w:szCs w:val="20"/>
        </w:rPr>
        <w:t>–</w:t>
      </w:r>
      <w:r w:rsidRPr="00A64787">
        <w:rPr>
          <w:rFonts w:cs="Arial"/>
          <w:szCs w:val="20"/>
        </w:rPr>
        <w:t xml:space="preserve"> Macedon</w:t>
      </w:r>
    </w:p>
    <w:p w14:paraId="6F684EE2" w14:textId="77777777" w:rsidR="003D14C2" w:rsidRPr="00A64787" w:rsidRDefault="003D14C2" w:rsidP="003D14C2">
      <w:pPr>
        <w:spacing w:after="0" w:line="0" w:lineRule="atLeast"/>
        <w:rPr>
          <w:rFonts w:cs="Arial"/>
          <w:szCs w:val="20"/>
        </w:rPr>
      </w:pPr>
      <w:r w:rsidRPr="00A64787">
        <w:rPr>
          <w:rFonts w:cs="Arial"/>
          <w:szCs w:val="20"/>
        </w:rPr>
        <w:t>Melbourne</w:t>
      </w:r>
    </w:p>
    <w:p w14:paraId="0FA71C7B" w14:textId="77777777" w:rsidR="003D14C2" w:rsidRPr="00A64787" w:rsidRDefault="003D14C2" w:rsidP="003D14C2">
      <w:pPr>
        <w:spacing w:after="0" w:line="0" w:lineRule="atLeast"/>
        <w:rPr>
          <w:rFonts w:cs="Arial"/>
          <w:szCs w:val="20"/>
        </w:rPr>
      </w:pPr>
      <w:r w:rsidRPr="00A64787">
        <w:rPr>
          <w:rFonts w:cs="Arial"/>
          <w:szCs w:val="20"/>
        </w:rPr>
        <w:t>Brisbane</w:t>
      </w:r>
    </w:p>
    <w:p w14:paraId="7FDC9954" w14:textId="487B78F4" w:rsidR="00C603C5" w:rsidRDefault="003D14C2" w:rsidP="003D14C2">
      <w:pPr>
        <w:spacing w:after="0" w:line="0" w:lineRule="atLeast"/>
        <w:rPr>
          <w:rFonts w:cs="Arial"/>
          <w:szCs w:val="20"/>
        </w:rPr>
      </w:pPr>
      <w:r w:rsidRPr="00A64787">
        <w:rPr>
          <w:rFonts w:cs="Arial"/>
          <w:szCs w:val="20"/>
        </w:rPr>
        <w:t xml:space="preserve">Gold Coast </w:t>
      </w:r>
      <w:r w:rsidR="000326E6" w:rsidRPr="00A64787">
        <w:rPr>
          <w:rFonts w:cs="Arial"/>
          <w:szCs w:val="20"/>
        </w:rPr>
        <w:t>–</w:t>
      </w:r>
      <w:r w:rsidRPr="00A64787">
        <w:rPr>
          <w:rFonts w:cs="Arial"/>
          <w:szCs w:val="20"/>
        </w:rPr>
        <w:t xml:space="preserve"> Tweed</w:t>
      </w:r>
    </w:p>
    <w:p w14:paraId="18FC4F36" w14:textId="43DC1463" w:rsidR="003D14C2" w:rsidRPr="00A64787" w:rsidRDefault="00C603C5" w:rsidP="003D14C2">
      <w:pPr>
        <w:spacing w:after="0" w:line="0" w:lineRule="atLeast"/>
        <w:rPr>
          <w:rFonts w:cs="Arial"/>
          <w:szCs w:val="20"/>
        </w:rPr>
      </w:pPr>
      <w:r>
        <w:rPr>
          <w:rFonts w:cs="Arial"/>
          <w:szCs w:val="20"/>
        </w:rPr>
        <w:t xml:space="preserve">   </w:t>
      </w:r>
      <w:r w:rsidR="003D14C2" w:rsidRPr="00A64787">
        <w:rPr>
          <w:rFonts w:cs="Arial"/>
          <w:szCs w:val="20"/>
        </w:rPr>
        <w:t>Heads</w:t>
      </w:r>
    </w:p>
    <w:p w14:paraId="22778AC2" w14:textId="77777777" w:rsidR="003D14C2" w:rsidRPr="00A64787" w:rsidRDefault="003D14C2" w:rsidP="003D14C2">
      <w:pPr>
        <w:spacing w:after="0" w:line="0" w:lineRule="atLeast"/>
        <w:rPr>
          <w:rFonts w:cs="Arial"/>
          <w:szCs w:val="20"/>
        </w:rPr>
      </w:pPr>
    </w:p>
    <w:p w14:paraId="5F12FA88" w14:textId="77777777" w:rsidR="003D14C2" w:rsidRPr="00A64787" w:rsidRDefault="003D14C2" w:rsidP="003D14C2">
      <w:pPr>
        <w:spacing w:after="0" w:line="0" w:lineRule="atLeast"/>
        <w:rPr>
          <w:rFonts w:cs="Arial"/>
          <w:b/>
          <w:bCs/>
          <w:szCs w:val="20"/>
        </w:rPr>
      </w:pPr>
      <w:r w:rsidRPr="00A64787">
        <w:rPr>
          <w:rFonts w:cs="Arial"/>
          <w:b/>
          <w:bCs/>
          <w:szCs w:val="20"/>
        </w:rPr>
        <w:t>Medium-density area</w:t>
      </w:r>
    </w:p>
    <w:p w14:paraId="76222D3D" w14:textId="6D06FB72" w:rsidR="003D14C2" w:rsidRPr="00A64787" w:rsidRDefault="003D14C2" w:rsidP="003D14C2">
      <w:pPr>
        <w:spacing w:after="0" w:line="0" w:lineRule="atLeast"/>
        <w:rPr>
          <w:rFonts w:cs="Arial"/>
          <w:szCs w:val="20"/>
        </w:rPr>
      </w:pPr>
      <w:r w:rsidRPr="00A64787">
        <w:rPr>
          <w:rFonts w:cs="Arial"/>
          <w:szCs w:val="20"/>
        </w:rPr>
        <w:t xml:space="preserve">Morisset </w:t>
      </w:r>
      <w:r w:rsidR="003F49EA" w:rsidRPr="00A64787">
        <w:rPr>
          <w:rFonts w:cs="Arial"/>
          <w:szCs w:val="20"/>
        </w:rPr>
        <w:t>–</w:t>
      </w:r>
      <w:r w:rsidRPr="00A64787">
        <w:rPr>
          <w:rFonts w:cs="Arial"/>
          <w:szCs w:val="20"/>
        </w:rPr>
        <w:t xml:space="preserve"> Cooranbong</w:t>
      </w:r>
    </w:p>
    <w:p w14:paraId="182E6457" w14:textId="77777777" w:rsidR="003D14C2" w:rsidRPr="00A64787" w:rsidRDefault="003D14C2" w:rsidP="003D14C2">
      <w:pPr>
        <w:spacing w:after="0" w:line="0" w:lineRule="atLeast"/>
        <w:rPr>
          <w:rFonts w:cs="Arial"/>
          <w:szCs w:val="20"/>
        </w:rPr>
      </w:pPr>
      <w:r w:rsidRPr="00A64787">
        <w:rPr>
          <w:rFonts w:cs="Arial"/>
          <w:szCs w:val="20"/>
        </w:rPr>
        <w:t>Nelson Bay</w:t>
      </w:r>
    </w:p>
    <w:p w14:paraId="46CC15BA" w14:textId="3FE92A51" w:rsidR="003D14C2" w:rsidRPr="00A64787" w:rsidRDefault="003D14C2" w:rsidP="003D14C2">
      <w:pPr>
        <w:spacing w:after="0" w:line="0" w:lineRule="atLeast"/>
        <w:rPr>
          <w:rFonts w:cs="Arial"/>
          <w:szCs w:val="20"/>
        </w:rPr>
      </w:pPr>
      <w:r w:rsidRPr="00A64787">
        <w:rPr>
          <w:rFonts w:cs="Arial"/>
          <w:szCs w:val="20"/>
        </w:rPr>
        <w:t xml:space="preserve">Newcastle </w:t>
      </w:r>
      <w:r w:rsidR="003F49EA" w:rsidRPr="00A64787">
        <w:rPr>
          <w:rFonts w:cs="Arial"/>
          <w:szCs w:val="20"/>
        </w:rPr>
        <w:t>–</w:t>
      </w:r>
      <w:r w:rsidRPr="00A64787">
        <w:rPr>
          <w:rFonts w:cs="Arial"/>
          <w:szCs w:val="20"/>
        </w:rPr>
        <w:t xml:space="preserve"> Maitland</w:t>
      </w:r>
    </w:p>
    <w:p w14:paraId="1E6A5C49" w14:textId="77777777" w:rsidR="003D14C2" w:rsidRPr="00A64787" w:rsidRDefault="003D14C2" w:rsidP="003D14C2">
      <w:pPr>
        <w:spacing w:after="0" w:line="0" w:lineRule="atLeast"/>
        <w:rPr>
          <w:rFonts w:cs="Arial"/>
          <w:szCs w:val="20"/>
        </w:rPr>
      </w:pPr>
      <w:r w:rsidRPr="00A64787">
        <w:rPr>
          <w:rFonts w:cs="Arial"/>
          <w:szCs w:val="20"/>
        </w:rPr>
        <w:t>Adelaide</w:t>
      </w:r>
    </w:p>
    <w:p w14:paraId="71631C95" w14:textId="77777777" w:rsidR="003D14C2" w:rsidRPr="00A64787" w:rsidRDefault="003D14C2" w:rsidP="003D14C2">
      <w:pPr>
        <w:spacing w:after="0" w:line="0" w:lineRule="atLeast"/>
        <w:rPr>
          <w:rFonts w:cs="Arial"/>
          <w:szCs w:val="20"/>
        </w:rPr>
      </w:pPr>
      <w:r w:rsidRPr="00A64787">
        <w:rPr>
          <w:rFonts w:cs="Arial"/>
          <w:szCs w:val="20"/>
        </w:rPr>
        <w:t>Perth</w:t>
      </w:r>
    </w:p>
    <w:p w14:paraId="024C6596" w14:textId="77777777" w:rsidR="003D14C2" w:rsidRPr="00A64787" w:rsidRDefault="003D14C2" w:rsidP="003D14C2">
      <w:pPr>
        <w:spacing w:after="0" w:line="0" w:lineRule="atLeast"/>
        <w:rPr>
          <w:rFonts w:cs="Arial"/>
          <w:szCs w:val="20"/>
        </w:rPr>
      </w:pPr>
    </w:p>
    <w:p w14:paraId="47E1DCDF" w14:textId="77777777" w:rsidR="003D14C2" w:rsidRPr="00A64787" w:rsidRDefault="003D14C2" w:rsidP="003D14C2">
      <w:pPr>
        <w:spacing w:after="0" w:line="0" w:lineRule="atLeast"/>
        <w:rPr>
          <w:rFonts w:cs="Arial"/>
          <w:b/>
          <w:bCs/>
          <w:szCs w:val="20"/>
        </w:rPr>
      </w:pPr>
      <w:r w:rsidRPr="00A64787">
        <w:rPr>
          <w:rFonts w:cs="Arial"/>
          <w:b/>
          <w:bCs/>
          <w:szCs w:val="20"/>
        </w:rPr>
        <w:t>Low-density area</w:t>
      </w:r>
    </w:p>
    <w:p w14:paraId="3EE32564" w14:textId="6F094076" w:rsidR="003D14C2" w:rsidRPr="00A64787" w:rsidRDefault="003D14C2" w:rsidP="003D14C2">
      <w:pPr>
        <w:spacing w:after="0" w:line="0" w:lineRule="atLeast"/>
        <w:rPr>
          <w:rFonts w:cs="Arial"/>
          <w:szCs w:val="20"/>
        </w:rPr>
      </w:pPr>
      <w:r w:rsidRPr="00A64787">
        <w:rPr>
          <w:rFonts w:cs="Arial"/>
          <w:szCs w:val="20"/>
        </w:rPr>
        <w:t xml:space="preserve">Albury </w:t>
      </w:r>
      <w:r w:rsidR="003518EB">
        <w:rPr>
          <w:rFonts w:cs="Arial"/>
          <w:szCs w:val="20"/>
        </w:rPr>
        <w:t>–</w:t>
      </w:r>
      <w:r w:rsidRPr="00A64787">
        <w:rPr>
          <w:rFonts w:cs="Arial"/>
          <w:szCs w:val="20"/>
        </w:rPr>
        <w:t xml:space="preserve"> Wodonga</w:t>
      </w:r>
    </w:p>
    <w:p w14:paraId="2B1E37A9" w14:textId="77777777" w:rsidR="003D14C2" w:rsidRPr="00A64787" w:rsidRDefault="003D14C2" w:rsidP="003D14C2">
      <w:pPr>
        <w:spacing w:after="0" w:line="0" w:lineRule="atLeast"/>
        <w:rPr>
          <w:rFonts w:cs="Arial"/>
          <w:szCs w:val="20"/>
        </w:rPr>
      </w:pPr>
      <w:r w:rsidRPr="00A64787">
        <w:rPr>
          <w:rFonts w:cs="Arial"/>
          <w:szCs w:val="20"/>
        </w:rPr>
        <w:t>Armidale</w:t>
      </w:r>
    </w:p>
    <w:p w14:paraId="414A0910" w14:textId="77777777" w:rsidR="003D14C2" w:rsidRPr="00A64787" w:rsidRDefault="003D14C2" w:rsidP="003D14C2">
      <w:pPr>
        <w:spacing w:after="0" w:line="0" w:lineRule="atLeast"/>
        <w:rPr>
          <w:rFonts w:cs="Arial"/>
          <w:szCs w:val="20"/>
        </w:rPr>
      </w:pPr>
      <w:r w:rsidRPr="00A64787">
        <w:rPr>
          <w:rFonts w:cs="Arial"/>
          <w:szCs w:val="20"/>
        </w:rPr>
        <w:t>Ballina</w:t>
      </w:r>
    </w:p>
    <w:p w14:paraId="504A8D45" w14:textId="77777777" w:rsidR="003D14C2" w:rsidRPr="00A64787" w:rsidRDefault="003D14C2" w:rsidP="003D14C2">
      <w:pPr>
        <w:spacing w:after="0" w:line="0" w:lineRule="atLeast"/>
        <w:rPr>
          <w:rFonts w:cs="Arial"/>
          <w:szCs w:val="20"/>
        </w:rPr>
      </w:pPr>
      <w:r w:rsidRPr="00A64787">
        <w:rPr>
          <w:rFonts w:cs="Arial"/>
          <w:szCs w:val="20"/>
        </w:rPr>
        <w:t>Batemans Bay</w:t>
      </w:r>
    </w:p>
    <w:p w14:paraId="571A5D77" w14:textId="77777777" w:rsidR="003D14C2" w:rsidRPr="00A64787" w:rsidRDefault="003D14C2" w:rsidP="003D14C2">
      <w:pPr>
        <w:spacing w:after="0" w:line="0" w:lineRule="atLeast"/>
        <w:rPr>
          <w:rFonts w:cs="Arial"/>
          <w:szCs w:val="20"/>
        </w:rPr>
      </w:pPr>
      <w:r w:rsidRPr="00A64787">
        <w:rPr>
          <w:rFonts w:cs="Arial"/>
          <w:szCs w:val="20"/>
        </w:rPr>
        <w:t>Bathurst</w:t>
      </w:r>
    </w:p>
    <w:p w14:paraId="2980906C" w14:textId="50FAE34E" w:rsidR="003D14C2" w:rsidRPr="00A64787" w:rsidRDefault="003D14C2" w:rsidP="003D14C2">
      <w:pPr>
        <w:spacing w:after="0" w:line="0" w:lineRule="atLeast"/>
        <w:rPr>
          <w:rFonts w:cs="Arial"/>
          <w:szCs w:val="20"/>
        </w:rPr>
      </w:pPr>
      <w:r w:rsidRPr="00A64787">
        <w:rPr>
          <w:rFonts w:cs="Arial"/>
          <w:szCs w:val="20"/>
        </w:rPr>
        <w:t xml:space="preserve">Bowral </w:t>
      </w:r>
      <w:r w:rsidR="000326E6" w:rsidRPr="00A64787">
        <w:rPr>
          <w:rFonts w:cs="Arial"/>
          <w:szCs w:val="20"/>
        </w:rPr>
        <w:t>–</w:t>
      </w:r>
      <w:r w:rsidRPr="00A64787">
        <w:rPr>
          <w:rFonts w:cs="Arial"/>
          <w:szCs w:val="20"/>
        </w:rPr>
        <w:t xml:space="preserve"> Mittagong</w:t>
      </w:r>
    </w:p>
    <w:p w14:paraId="4431522E" w14:textId="77777777" w:rsidR="003D14C2" w:rsidRPr="00A64787" w:rsidRDefault="003D14C2" w:rsidP="003D14C2">
      <w:pPr>
        <w:spacing w:after="0" w:line="0" w:lineRule="atLeast"/>
        <w:rPr>
          <w:rFonts w:cs="Arial"/>
          <w:szCs w:val="20"/>
        </w:rPr>
      </w:pPr>
      <w:r w:rsidRPr="00A64787">
        <w:rPr>
          <w:rFonts w:cs="Arial"/>
          <w:szCs w:val="20"/>
        </w:rPr>
        <w:t>Camden Haven</w:t>
      </w:r>
    </w:p>
    <w:p w14:paraId="332A8B79" w14:textId="77777777" w:rsidR="003D14C2" w:rsidRPr="00A64787" w:rsidRDefault="003D14C2" w:rsidP="003D14C2">
      <w:pPr>
        <w:spacing w:after="0" w:line="0" w:lineRule="atLeast"/>
        <w:rPr>
          <w:rFonts w:cs="Arial"/>
          <w:szCs w:val="20"/>
        </w:rPr>
      </w:pPr>
      <w:r w:rsidRPr="00A64787">
        <w:rPr>
          <w:rFonts w:cs="Arial"/>
          <w:szCs w:val="20"/>
        </w:rPr>
        <w:t>Coffs Harbour</w:t>
      </w:r>
    </w:p>
    <w:p w14:paraId="023575DB" w14:textId="77777777" w:rsidR="003D14C2" w:rsidRPr="00A64787" w:rsidRDefault="003D14C2" w:rsidP="003D14C2">
      <w:pPr>
        <w:spacing w:after="0" w:line="0" w:lineRule="atLeast"/>
        <w:rPr>
          <w:rFonts w:cs="Arial"/>
          <w:szCs w:val="20"/>
        </w:rPr>
      </w:pPr>
      <w:r w:rsidRPr="00A64787">
        <w:rPr>
          <w:rFonts w:cs="Arial"/>
          <w:szCs w:val="20"/>
        </w:rPr>
        <w:t>Dubbo</w:t>
      </w:r>
    </w:p>
    <w:p w14:paraId="57F6FE51" w14:textId="43EF0BAA" w:rsidR="003D14C2" w:rsidRPr="00A64787" w:rsidRDefault="003D14C2" w:rsidP="003D14C2">
      <w:pPr>
        <w:spacing w:after="0" w:line="0" w:lineRule="atLeast"/>
        <w:rPr>
          <w:rFonts w:cs="Arial"/>
          <w:szCs w:val="20"/>
        </w:rPr>
      </w:pPr>
      <w:r w:rsidRPr="00A64787">
        <w:rPr>
          <w:rFonts w:cs="Arial"/>
          <w:szCs w:val="20"/>
        </w:rPr>
        <w:t xml:space="preserve">Forster </w:t>
      </w:r>
      <w:r w:rsidR="000326E6" w:rsidRPr="00A64787">
        <w:rPr>
          <w:rFonts w:cs="Arial"/>
          <w:szCs w:val="20"/>
        </w:rPr>
        <w:t>–</w:t>
      </w:r>
      <w:r w:rsidRPr="00A64787">
        <w:rPr>
          <w:rFonts w:cs="Arial"/>
          <w:szCs w:val="20"/>
        </w:rPr>
        <w:t xml:space="preserve"> Tuncurry</w:t>
      </w:r>
    </w:p>
    <w:p w14:paraId="39874644" w14:textId="77777777" w:rsidR="003D14C2" w:rsidRPr="00A64787" w:rsidRDefault="003D14C2" w:rsidP="003D14C2">
      <w:pPr>
        <w:spacing w:after="0" w:line="0" w:lineRule="atLeast"/>
        <w:rPr>
          <w:rFonts w:cs="Arial"/>
          <w:szCs w:val="20"/>
        </w:rPr>
      </w:pPr>
      <w:r w:rsidRPr="00A64787">
        <w:rPr>
          <w:rFonts w:cs="Arial"/>
          <w:szCs w:val="20"/>
        </w:rPr>
        <w:t>Goulburn</w:t>
      </w:r>
    </w:p>
    <w:p w14:paraId="159F6B35" w14:textId="77777777" w:rsidR="003D14C2" w:rsidRPr="00A64787" w:rsidRDefault="003D14C2" w:rsidP="003D14C2">
      <w:pPr>
        <w:spacing w:after="0" w:line="0" w:lineRule="atLeast"/>
        <w:rPr>
          <w:rFonts w:cs="Arial"/>
          <w:szCs w:val="20"/>
        </w:rPr>
      </w:pPr>
      <w:r w:rsidRPr="00A64787">
        <w:rPr>
          <w:rFonts w:cs="Arial"/>
          <w:szCs w:val="20"/>
        </w:rPr>
        <w:t>Grafton</w:t>
      </w:r>
    </w:p>
    <w:p w14:paraId="1FE09531" w14:textId="77777777" w:rsidR="003D14C2" w:rsidRPr="00A64787" w:rsidRDefault="003D14C2" w:rsidP="003D14C2">
      <w:pPr>
        <w:spacing w:after="0" w:line="0" w:lineRule="atLeast"/>
        <w:rPr>
          <w:rFonts w:cs="Arial"/>
          <w:szCs w:val="20"/>
        </w:rPr>
      </w:pPr>
      <w:r w:rsidRPr="00A64787">
        <w:rPr>
          <w:rFonts w:cs="Arial"/>
          <w:szCs w:val="20"/>
        </w:rPr>
        <w:t>Griffith</w:t>
      </w:r>
    </w:p>
    <w:p w14:paraId="05C8307A" w14:textId="77777777" w:rsidR="003D14C2" w:rsidRPr="00A64787" w:rsidRDefault="003D14C2" w:rsidP="003D14C2">
      <w:pPr>
        <w:spacing w:after="0" w:line="0" w:lineRule="atLeast"/>
        <w:rPr>
          <w:rFonts w:cs="Arial"/>
          <w:szCs w:val="20"/>
        </w:rPr>
      </w:pPr>
      <w:r w:rsidRPr="00A64787">
        <w:rPr>
          <w:rFonts w:cs="Arial"/>
          <w:szCs w:val="20"/>
        </w:rPr>
        <w:t>Kempsey</w:t>
      </w:r>
    </w:p>
    <w:p w14:paraId="6BF86A38" w14:textId="77777777" w:rsidR="003D14C2" w:rsidRPr="00A64787" w:rsidRDefault="003D14C2" w:rsidP="003D14C2">
      <w:pPr>
        <w:spacing w:after="0" w:line="0" w:lineRule="atLeast"/>
        <w:rPr>
          <w:rFonts w:cs="Arial"/>
          <w:szCs w:val="20"/>
        </w:rPr>
      </w:pPr>
      <w:r w:rsidRPr="00A64787">
        <w:rPr>
          <w:rFonts w:cs="Arial"/>
          <w:szCs w:val="20"/>
        </w:rPr>
        <w:t>Lismore</w:t>
      </w:r>
    </w:p>
    <w:p w14:paraId="340FE580" w14:textId="77777777" w:rsidR="003D14C2" w:rsidRPr="00A64787" w:rsidRDefault="003D14C2" w:rsidP="003D14C2">
      <w:pPr>
        <w:spacing w:after="0" w:line="0" w:lineRule="atLeast"/>
        <w:rPr>
          <w:rFonts w:cs="Arial"/>
          <w:szCs w:val="20"/>
        </w:rPr>
      </w:pPr>
      <w:r w:rsidRPr="00A64787">
        <w:rPr>
          <w:rFonts w:cs="Arial"/>
          <w:szCs w:val="20"/>
        </w:rPr>
        <w:t>Lithgow</w:t>
      </w:r>
    </w:p>
    <w:p w14:paraId="60E41C6A" w14:textId="77777777" w:rsidR="003D14C2" w:rsidRPr="00A64787" w:rsidRDefault="003D14C2" w:rsidP="003D14C2">
      <w:pPr>
        <w:spacing w:after="0" w:line="0" w:lineRule="atLeast"/>
        <w:rPr>
          <w:rFonts w:cs="Arial"/>
          <w:szCs w:val="20"/>
        </w:rPr>
      </w:pPr>
      <w:r w:rsidRPr="00A64787">
        <w:rPr>
          <w:rFonts w:cs="Arial"/>
          <w:szCs w:val="20"/>
        </w:rPr>
        <w:t>Mudgee</w:t>
      </w:r>
    </w:p>
    <w:p w14:paraId="2A230233" w14:textId="77777777" w:rsidR="003D14C2" w:rsidRPr="00A64787" w:rsidRDefault="003D14C2" w:rsidP="003D14C2">
      <w:pPr>
        <w:spacing w:after="0" w:line="0" w:lineRule="atLeast"/>
        <w:rPr>
          <w:rFonts w:cs="Arial"/>
          <w:szCs w:val="20"/>
        </w:rPr>
      </w:pPr>
      <w:r w:rsidRPr="00A64787">
        <w:rPr>
          <w:rFonts w:cs="Arial"/>
          <w:szCs w:val="20"/>
        </w:rPr>
        <w:t>Muswellbrook</w:t>
      </w:r>
    </w:p>
    <w:p w14:paraId="1C182364" w14:textId="449F5AEA" w:rsidR="003D14C2" w:rsidRPr="00A64787" w:rsidRDefault="003D14C2" w:rsidP="003D14C2">
      <w:pPr>
        <w:spacing w:after="0" w:line="0" w:lineRule="atLeast"/>
        <w:rPr>
          <w:rFonts w:cs="Arial"/>
          <w:szCs w:val="20"/>
        </w:rPr>
      </w:pPr>
      <w:r w:rsidRPr="00A64787">
        <w:rPr>
          <w:rFonts w:cs="Arial"/>
          <w:szCs w:val="20"/>
        </w:rPr>
        <w:t xml:space="preserve">Nowra </w:t>
      </w:r>
      <w:r w:rsidR="003F49EA" w:rsidRPr="00A64787">
        <w:rPr>
          <w:rFonts w:cs="Arial"/>
          <w:szCs w:val="20"/>
        </w:rPr>
        <w:t>–</w:t>
      </w:r>
      <w:r w:rsidRPr="00A64787">
        <w:rPr>
          <w:rFonts w:cs="Arial"/>
          <w:szCs w:val="20"/>
        </w:rPr>
        <w:t xml:space="preserve"> Bomaderry</w:t>
      </w:r>
    </w:p>
    <w:p w14:paraId="65126408" w14:textId="77777777" w:rsidR="003D14C2" w:rsidRPr="00A64787" w:rsidRDefault="003D14C2" w:rsidP="003D14C2">
      <w:pPr>
        <w:spacing w:after="0" w:line="0" w:lineRule="atLeast"/>
        <w:rPr>
          <w:rFonts w:cs="Arial"/>
          <w:szCs w:val="20"/>
        </w:rPr>
      </w:pPr>
      <w:r w:rsidRPr="00A64787">
        <w:rPr>
          <w:rFonts w:cs="Arial"/>
          <w:szCs w:val="20"/>
        </w:rPr>
        <w:t>Orange</w:t>
      </w:r>
    </w:p>
    <w:p w14:paraId="0D94634C" w14:textId="77777777" w:rsidR="003D14C2" w:rsidRPr="00A64787" w:rsidRDefault="003D14C2" w:rsidP="003D14C2">
      <w:pPr>
        <w:spacing w:after="0" w:line="0" w:lineRule="atLeast"/>
        <w:rPr>
          <w:rFonts w:cs="Arial"/>
          <w:szCs w:val="20"/>
        </w:rPr>
      </w:pPr>
      <w:r w:rsidRPr="00A64787">
        <w:rPr>
          <w:rFonts w:cs="Arial"/>
          <w:szCs w:val="20"/>
        </w:rPr>
        <w:t>Parkes</w:t>
      </w:r>
    </w:p>
    <w:p w14:paraId="10B20CAA" w14:textId="77777777" w:rsidR="003D14C2" w:rsidRPr="00A64787" w:rsidRDefault="003D14C2" w:rsidP="003D14C2">
      <w:pPr>
        <w:spacing w:after="0" w:line="0" w:lineRule="atLeast"/>
        <w:rPr>
          <w:rFonts w:cs="Arial"/>
          <w:szCs w:val="20"/>
        </w:rPr>
      </w:pPr>
      <w:r w:rsidRPr="00A64787">
        <w:rPr>
          <w:rFonts w:cs="Arial"/>
          <w:szCs w:val="20"/>
        </w:rPr>
        <w:t>Port Macquarie</w:t>
      </w:r>
    </w:p>
    <w:p w14:paraId="199C9620" w14:textId="77777777" w:rsidR="003D14C2" w:rsidRPr="00A64787" w:rsidRDefault="003D14C2" w:rsidP="003D14C2">
      <w:pPr>
        <w:spacing w:after="0" w:line="0" w:lineRule="atLeast"/>
        <w:rPr>
          <w:rFonts w:cs="Arial"/>
          <w:szCs w:val="20"/>
        </w:rPr>
      </w:pPr>
      <w:r w:rsidRPr="00A64787">
        <w:rPr>
          <w:rFonts w:cs="Arial"/>
          <w:szCs w:val="20"/>
        </w:rPr>
        <w:t>Singleton</w:t>
      </w:r>
    </w:p>
    <w:p w14:paraId="50BAAB3C" w14:textId="17FFAE92" w:rsidR="00C603C5" w:rsidRDefault="003D14C2" w:rsidP="003D14C2">
      <w:pPr>
        <w:spacing w:after="0" w:line="0" w:lineRule="atLeast"/>
        <w:rPr>
          <w:rFonts w:cs="Arial"/>
          <w:szCs w:val="20"/>
        </w:rPr>
      </w:pPr>
      <w:r w:rsidRPr="00A64787">
        <w:rPr>
          <w:rFonts w:cs="Arial"/>
          <w:szCs w:val="20"/>
        </w:rPr>
        <w:t xml:space="preserve">St Georges Basin </w:t>
      </w:r>
      <w:r w:rsidR="003F49EA" w:rsidRPr="00A64787">
        <w:rPr>
          <w:rFonts w:cs="Arial"/>
          <w:szCs w:val="20"/>
        </w:rPr>
        <w:t>–</w:t>
      </w:r>
    </w:p>
    <w:p w14:paraId="2737FE3A" w14:textId="59DA1901" w:rsidR="003D14C2" w:rsidRPr="00A64787" w:rsidRDefault="00C603C5" w:rsidP="003D14C2">
      <w:pPr>
        <w:spacing w:after="0" w:line="0" w:lineRule="atLeast"/>
        <w:rPr>
          <w:rFonts w:cs="Arial"/>
          <w:szCs w:val="20"/>
        </w:rPr>
      </w:pPr>
      <w:r>
        <w:rPr>
          <w:rFonts w:cs="Arial"/>
          <w:szCs w:val="20"/>
        </w:rPr>
        <w:t xml:space="preserve">   S</w:t>
      </w:r>
      <w:r w:rsidR="003D14C2" w:rsidRPr="00A64787">
        <w:rPr>
          <w:rFonts w:cs="Arial"/>
          <w:szCs w:val="20"/>
        </w:rPr>
        <w:t>anctuary Point</w:t>
      </w:r>
    </w:p>
    <w:p w14:paraId="2A20BE2E" w14:textId="77777777" w:rsidR="003D14C2" w:rsidRPr="00A64787" w:rsidRDefault="003D14C2" w:rsidP="003D14C2">
      <w:pPr>
        <w:spacing w:after="0" w:line="0" w:lineRule="atLeast"/>
        <w:rPr>
          <w:rFonts w:cs="Arial"/>
          <w:szCs w:val="20"/>
        </w:rPr>
      </w:pPr>
      <w:r w:rsidRPr="00A64787">
        <w:rPr>
          <w:rFonts w:cs="Arial"/>
          <w:szCs w:val="20"/>
        </w:rPr>
        <w:t>Tamworth</w:t>
      </w:r>
    </w:p>
    <w:p w14:paraId="452CACA6" w14:textId="77777777" w:rsidR="003D14C2" w:rsidRPr="00A64787" w:rsidRDefault="003D14C2" w:rsidP="003D14C2">
      <w:pPr>
        <w:spacing w:after="0" w:line="0" w:lineRule="atLeast"/>
        <w:rPr>
          <w:rFonts w:cs="Arial"/>
          <w:szCs w:val="20"/>
        </w:rPr>
      </w:pPr>
      <w:r w:rsidRPr="00A64787">
        <w:rPr>
          <w:rFonts w:cs="Arial"/>
          <w:szCs w:val="20"/>
        </w:rPr>
        <w:t>Taree</w:t>
      </w:r>
    </w:p>
    <w:p w14:paraId="5DE83026" w14:textId="77777777" w:rsidR="003D14C2" w:rsidRPr="00A64787" w:rsidRDefault="003D14C2" w:rsidP="003D14C2">
      <w:pPr>
        <w:spacing w:after="0" w:line="0" w:lineRule="atLeast"/>
        <w:rPr>
          <w:rFonts w:cs="Arial"/>
          <w:szCs w:val="20"/>
        </w:rPr>
      </w:pPr>
      <w:r w:rsidRPr="00A64787">
        <w:rPr>
          <w:rFonts w:cs="Arial"/>
          <w:szCs w:val="20"/>
        </w:rPr>
        <w:t>Ulladulla</w:t>
      </w:r>
    </w:p>
    <w:p w14:paraId="2F8C0576" w14:textId="77777777" w:rsidR="003D14C2" w:rsidRPr="00A64787" w:rsidRDefault="003D14C2" w:rsidP="003D14C2">
      <w:pPr>
        <w:spacing w:after="0" w:line="0" w:lineRule="atLeast"/>
        <w:rPr>
          <w:rFonts w:cs="Arial"/>
          <w:szCs w:val="20"/>
        </w:rPr>
      </w:pPr>
      <w:r w:rsidRPr="00A64787">
        <w:rPr>
          <w:rFonts w:cs="Arial"/>
          <w:szCs w:val="20"/>
        </w:rPr>
        <w:t>Wagga Wagga</w:t>
      </w:r>
    </w:p>
    <w:p w14:paraId="29BA49AC" w14:textId="46D8CB44" w:rsidR="003D14C2" w:rsidRPr="00A64787" w:rsidRDefault="003D14C2" w:rsidP="003D14C2">
      <w:pPr>
        <w:spacing w:after="0" w:line="0" w:lineRule="atLeast"/>
        <w:rPr>
          <w:rFonts w:cs="Arial"/>
          <w:szCs w:val="20"/>
        </w:rPr>
      </w:pPr>
      <w:r w:rsidRPr="00A64787">
        <w:rPr>
          <w:rFonts w:cs="Arial"/>
          <w:szCs w:val="20"/>
        </w:rPr>
        <w:t>Not in any SUA (Vic)</w:t>
      </w:r>
    </w:p>
    <w:p w14:paraId="6AA92219" w14:textId="77777777" w:rsidR="003D14C2" w:rsidRPr="00A64787" w:rsidRDefault="003D14C2" w:rsidP="003D14C2">
      <w:pPr>
        <w:spacing w:after="0" w:line="0" w:lineRule="atLeast"/>
        <w:rPr>
          <w:rFonts w:cs="Arial"/>
          <w:szCs w:val="20"/>
        </w:rPr>
      </w:pPr>
      <w:r w:rsidRPr="00A64787">
        <w:rPr>
          <w:rFonts w:cs="Arial"/>
          <w:szCs w:val="20"/>
        </w:rPr>
        <w:t>Bairnsdale</w:t>
      </w:r>
    </w:p>
    <w:p w14:paraId="758E1862" w14:textId="77777777" w:rsidR="003D14C2" w:rsidRPr="00A64787" w:rsidRDefault="003D14C2" w:rsidP="003D14C2">
      <w:pPr>
        <w:spacing w:after="0" w:line="0" w:lineRule="atLeast"/>
        <w:rPr>
          <w:rFonts w:cs="Arial"/>
          <w:szCs w:val="20"/>
        </w:rPr>
      </w:pPr>
      <w:r w:rsidRPr="00A64787">
        <w:rPr>
          <w:rFonts w:cs="Arial"/>
          <w:szCs w:val="20"/>
        </w:rPr>
        <w:t>Ballarat</w:t>
      </w:r>
    </w:p>
    <w:p w14:paraId="674A58BE" w14:textId="77777777" w:rsidR="003D14C2" w:rsidRPr="00A64787" w:rsidRDefault="003D14C2" w:rsidP="003D14C2">
      <w:pPr>
        <w:spacing w:after="0" w:line="0" w:lineRule="atLeast"/>
        <w:rPr>
          <w:rFonts w:cs="Arial"/>
          <w:szCs w:val="20"/>
        </w:rPr>
      </w:pPr>
      <w:r w:rsidRPr="00A64787">
        <w:rPr>
          <w:rFonts w:cs="Arial"/>
          <w:szCs w:val="20"/>
        </w:rPr>
        <w:t>Bendigo</w:t>
      </w:r>
    </w:p>
    <w:p w14:paraId="2A3B55A7" w14:textId="77777777" w:rsidR="003D14C2" w:rsidRPr="00A64787" w:rsidRDefault="003D14C2" w:rsidP="003D14C2">
      <w:pPr>
        <w:spacing w:after="0" w:line="0" w:lineRule="atLeast"/>
        <w:rPr>
          <w:rFonts w:cs="Arial"/>
          <w:szCs w:val="20"/>
        </w:rPr>
      </w:pPr>
      <w:r w:rsidRPr="00A64787">
        <w:rPr>
          <w:rFonts w:cs="Arial"/>
          <w:szCs w:val="20"/>
        </w:rPr>
        <w:t>Colac</w:t>
      </w:r>
    </w:p>
    <w:p w14:paraId="4151BF56" w14:textId="05FABA56" w:rsidR="003D14C2" w:rsidRPr="00A64787" w:rsidRDefault="003D14C2" w:rsidP="003D14C2">
      <w:pPr>
        <w:spacing w:after="0" w:line="0" w:lineRule="atLeast"/>
        <w:rPr>
          <w:rFonts w:cs="Arial"/>
          <w:szCs w:val="20"/>
        </w:rPr>
      </w:pPr>
      <w:r w:rsidRPr="00A64787">
        <w:rPr>
          <w:rFonts w:cs="Arial"/>
          <w:szCs w:val="20"/>
        </w:rPr>
        <w:t xml:space="preserve">Echuca </w:t>
      </w:r>
      <w:r w:rsidR="000326E6" w:rsidRPr="00A64787">
        <w:rPr>
          <w:rFonts w:cs="Arial"/>
          <w:szCs w:val="20"/>
        </w:rPr>
        <w:t xml:space="preserve">– </w:t>
      </w:r>
      <w:r w:rsidRPr="00A64787">
        <w:rPr>
          <w:rFonts w:cs="Arial"/>
          <w:szCs w:val="20"/>
        </w:rPr>
        <w:t>Moama</w:t>
      </w:r>
    </w:p>
    <w:p w14:paraId="78260DA5" w14:textId="77777777" w:rsidR="003D14C2" w:rsidRPr="00A64787" w:rsidRDefault="003D14C2" w:rsidP="003D14C2">
      <w:pPr>
        <w:spacing w:after="0" w:line="0" w:lineRule="atLeast"/>
        <w:rPr>
          <w:rFonts w:cs="Arial"/>
          <w:szCs w:val="20"/>
        </w:rPr>
      </w:pPr>
      <w:r w:rsidRPr="00A64787">
        <w:rPr>
          <w:rFonts w:cs="Arial"/>
          <w:szCs w:val="20"/>
        </w:rPr>
        <w:t>Horsham</w:t>
      </w:r>
    </w:p>
    <w:p w14:paraId="66E6771D" w14:textId="77777777" w:rsidR="003D14C2" w:rsidRPr="00A64787" w:rsidRDefault="003D14C2" w:rsidP="003D14C2">
      <w:pPr>
        <w:spacing w:after="0" w:line="0" w:lineRule="atLeast"/>
        <w:rPr>
          <w:rFonts w:cs="Arial"/>
          <w:szCs w:val="20"/>
        </w:rPr>
      </w:pPr>
      <w:r w:rsidRPr="00A64787">
        <w:rPr>
          <w:rFonts w:cs="Arial"/>
          <w:szCs w:val="20"/>
        </w:rPr>
        <w:t>Melton</w:t>
      </w:r>
    </w:p>
    <w:p w14:paraId="32747D43" w14:textId="7ECB256B" w:rsidR="003D14C2" w:rsidRPr="00A64787" w:rsidRDefault="003D14C2" w:rsidP="003D14C2">
      <w:pPr>
        <w:spacing w:after="0" w:line="0" w:lineRule="atLeast"/>
        <w:rPr>
          <w:rFonts w:cs="Arial"/>
          <w:szCs w:val="20"/>
        </w:rPr>
      </w:pPr>
      <w:r w:rsidRPr="00A64787">
        <w:rPr>
          <w:rFonts w:cs="Arial"/>
          <w:szCs w:val="20"/>
        </w:rPr>
        <w:t xml:space="preserve">Mildura </w:t>
      </w:r>
      <w:r w:rsidR="003F49EA" w:rsidRPr="00A64787">
        <w:rPr>
          <w:rFonts w:cs="Arial"/>
          <w:szCs w:val="20"/>
        </w:rPr>
        <w:t>–</w:t>
      </w:r>
      <w:r w:rsidRPr="00A64787">
        <w:rPr>
          <w:rFonts w:cs="Arial"/>
          <w:szCs w:val="20"/>
        </w:rPr>
        <w:t xml:space="preserve"> Wentworth</w:t>
      </w:r>
    </w:p>
    <w:p w14:paraId="39F63221" w14:textId="52677235" w:rsidR="003D14C2" w:rsidRPr="00A64787" w:rsidRDefault="003D14C2" w:rsidP="003D14C2">
      <w:pPr>
        <w:spacing w:after="0" w:line="0" w:lineRule="atLeast"/>
        <w:rPr>
          <w:rFonts w:cs="Arial"/>
          <w:szCs w:val="20"/>
        </w:rPr>
      </w:pPr>
      <w:r w:rsidRPr="00A64787">
        <w:rPr>
          <w:rFonts w:cs="Arial"/>
          <w:szCs w:val="20"/>
        </w:rPr>
        <w:t xml:space="preserve">Moe </w:t>
      </w:r>
      <w:r w:rsidR="003F49EA" w:rsidRPr="00A64787">
        <w:rPr>
          <w:rFonts w:cs="Arial"/>
          <w:szCs w:val="20"/>
        </w:rPr>
        <w:t>–</w:t>
      </w:r>
      <w:r w:rsidRPr="00A64787">
        <w:rPr>
          <w:rFonts w:cs="Arial"/>
          <w:szCs w:val="20"/>
        </w:rPr>
        <w:t xml:space="preserve"> Newborough</w:t>
      </w:r>
    </w:p>
    <w:p w14:paraId="34EDFE12" w14:textId="77777777" w:rsidR="003D14C2" w:rsidRPr="00A64787" w:rsidRDefault="003D14C2" w:rsidP="003D14C2">
      <w:pPr>
        <w:spacing w:after="0" w:line="0" w:lineRule="atLeast"/>
        <w:rPr>
          <w:rFonts w:cs="Arial"/>
          <w:szCs w:val="20"/>
        </w:rPr>
      </w:pPr>
      <w:r w:rsidRPr="00A64787">
        <w:rPr>
          <w:rFonts w:cs="Arial"/>
          <w:szCs w:val="20"/>
        </w:rPr>
        <w:t>Portland</w:t>
      </w:r>
    </w:p>
    <w:p w14:paraId="2938C977" w14:textId="77777777" w:rsidR="003D14C2" w:rsidRPr="00A64787" w:rsidRDefault="003D14C2" w:rsidP="003D14C2">
      <w:pPr>
        <w:spacing w:after="0" w:line="0" w:lineRule="atLeast"/>
        <w:rPr>
          <w:rFonts w:cs="Arial"/>
          <w:szCs w:val="20"/>
        </w:rPr>
      </w:pPr>
      <w:r w:rsidRPr="00A64787">
        <w:rPr>
          <w:rFonts w:cs="Arial"/>
          <w:szCs w:val="20"/>
        </w:rPr>
        <w:t>Sale</w:t>
      </w:r>
    </w:p>
    <w:p w14:paraId="45277449" w14:textId="77777777" w:rsidR="00C603C5" w:rsidRDefault="003D14C2" w:rsidP="003D14C2">
      <w:pPr>
        <w:spacing w:after="0" w:line="0" w:lineRule="atLeast"/>
        <w:rPr>
          <w:rFonts w:cs="Arial"/>
          <w:szCs w:val="20"/>
        </w:rPr>
      </w:pPr>
      <w:r w:rsidRPr="00A64787">
        <w:rPr>
          <w:rFonts w:cs="Arial"/>
          <w:szCs w:val="20"/>
        </w:rPr>
        <w:t xml:space="preserve">Shepparton </w:t>
      </w:r>
      <w:r w:rsidR="000326E6" w:rsidRPr="00A64787">
        <w:rPr>
          <w:rFonts w:cs="Arial"/>
          <w:szCs w:val="20"/>
        </w:rPr>
        <w:t>–</w:t>
      </w:r>
    </w:p>
    <w:p w14:paraId="0295944E" w14:textId="2684BE04" w:rsidR="003D14C2" w:rsidRPr="00A64787" w:rsidRDefault="00C603C5" w:rsidP="003D14C2">
      <w:pPr>
        <w:spacing w:after="0" w:line="0" w:lineRule="atLeast"/>
        <w:rPr>
          <w:rFonts w:cs="Arial"/>
          <w:szCs w:val="20"/>
        </w:rPr>
      </w:pPr>
      <w:r>
        <w:rPr>
          <w:rFonts w:cs="Arial"/>
          <w:szCs w:val="20"/>
        </w:rPr>
        <w:t xml:space="preserve">   </w:t>
      </w:r>
      <w:r w:rsidR="003D14C2" w:rsidRPr="00A64787">
        <w:rPr>
          <w:rFonts w:cs="Arial"/>
          <w:szCs w:val="20"/>
        </w:rPr>
        <w:t>Mooroopna</w:t>
      </w:r>
    </w:p>
    <w:p w14:paraId="3F671F0C" w14:textId="77777777" w:rsidR="003D14C2" w:rsidRPr="00A64787" w:rsidRDefault="003D14C2" w:rsidP="003D14C2">
      <w:pPr>
        <w:spacing w:after="0" w:line="0" w:lineRule="atLeast"/>
        <w:rPr>
          <w:rFonts w:cs="Arial"/>
          <w:szCs w:val="20"/>
        </w:rPr>
      </w:pPr>
      <w:r w:rsidRPr="00A64787">
        <w:rPr>
          <w:rFonts w:cs="Arial"/>
          <w:szCs w:val="20"/>
        </w:rPr>
        <w:t>Swan Hill</w:t>
      </w:r>
    </w:p>
    <w:p w14:paraId="721ED75D" w14:textId="4D7A6476" w:rsidR="003D14C2" w:rsidRPr="00A64787" w:rsidRDefault="003D14C2" w:rsidP="003D14C2">
      <w:pPr>
        <w:spacing w:after="0" w:line="0" w:lineRule="atLeast"/>
        <w:rPr>
          <w:rFonts w:cs="Arial"/>
          <w:szCs w:val="20"/>
        </w:rPr>
      </w:pPr>
      <w:r w:rsidRPr="00A64787">
        <w:rPr>
          <w:rFonts w:cs="Arial"/>
          <w:szCs w:val="20"/>
        </w:rPr>
        <w:t xml:space="preserve">Traralgon </w:t>
      </w:r>
      <w:r w:rsidR="000326E6" w:rsidRPr="00A64787">
        <w:rPr>
          <w:rFonts w:cs="Arial"/>
          <w:szCs w:val="20"/>
        </w:rPr>
        <w:t xml:space="preserve">– </w:t>
      </w:r>
      <w:r w:rsidRPr="00A64787">
        <w:rPr>
          <w:rFonts w:cs="Arial"/>
          <w:szCs w:val="20"/>
        </w:rPr>
        <w:t>Morwell</w:t>
      </w:r>
    </w:p>
    <w:p w14:paraId="243910FC" w14:textId="77777777" w:rsidR="003D14C2" w:rsidRPr="00A64787" w:rsidRDefault="003D14C2" w:rsidP="003D14C2">
      <w:pPr>
        <w:spacing w:after="0" w:line="0" w:lineRule="atLeast"/>
        <w:rPr>
          <w:rFonts w:cs="Arial"/>
          <w:szCs w:val="20"/>
        </w:rPr>
      </w:pPr>
      <w:r w:rsidRPr="00A64787">
        <w:rPr>
          <w:rFonts w:cs="Arial"/>
          <w:szCs w:val="20"/>
        </w:rPr>
        <w:t>Wangaratta</w:t>
      </w:r>
    </w:p>
    <w:p w14:paraId="3C4D5350" w14:textId="6B6CE7DE" w:rsidR="003D14C2" w:rsidRPr="00A64787" w:rsidRDefault="003D14C2" w:rsidP="003D14C2">
      <w:pPr>
        <w:spacing w:after="0" w:line="0" w:lineRule="atLeast"/>
        <w:rPr>
          <w:rFonts w:cs="Arial"/>
          <w:szCs w:val="20"/>
        </w:rPr>
      </w:pPr>
      <w:r w:rsidRPr="00A64787">
        <w:rPr>
          <w:rFonts w:cs="Arial"/>
          <w:szCs w:val="20"/>
        </w:rPr>
        <w:t xml:space="preserve">Warragul </w:t>
      </w:r>
      <w:r w:rsidR="000326E6" w:rsidRPr="00A64787">
        <w:rPr>
          <w:rFonts w:cs="Arial"/>
          <w:szCs w:val="20"/>
        </w:rPr>
        <w:t xml:space="preserve">– </w:t>
      </w:r>
      <w:r w:rsidRPr="00A64787">
        <w:rPr>
          <w:rFonts w:cs="Arial"/>
          <w:szCs w:val="20"/>
        </w:rPr>
        <w:t>Drouin</w:t>
      </w:r>
    </w:p>
    <w:p w14:paraId="7D81EDA3" w14:textId="77777777" w:rsidR="003D14C2" w:rsidRPr="00A64787" w:rsidRDefault="003D14C2" w:rsidP="003D14C2">
      <w:pPr>
        <w:spacing w:after="0" w:line="0" w:lineRule="atLeast"/>
        <w:rPr>
          <w:rFonts w:cs="Arial"/>
          <w:szCs w:val="20"/>
        </w:rPr>
      </w:pPr>
      <w:r w:rsidRPr="00A64787">
        <w:rPr>
          <w:rFonts w:cs="Arial"/>
          <w:szCs w:val="20"/>
        </w:rPr>
        <w:t>Warrnambool</w:t>
      </w:r>
    </w:p>
    <w:p w14:paraId="7C8694A6" w14:textId="77777777" w:rsidR="003D14C2" w:rsidRPr="00A64787" w:rsidRDefault="003D14C2" w:rsidP="003D14C2">
      <w:pPr>
        <w:spacing w:after="0" w:line="0" w:lineRule="atLeast"/>
        <w:rPr>
          <w:rFonts w:cs="Arial"/>
          <w:szCs w:val="20"/>
        </w:rPr>
      </w:pPr>
      <w:r w:rsidRPr="00A64787">
        <w:rPr>
          <w:rFonts w:cs="Arial"/>
          <w:szCs w:val="20"/>
        </w:rPr>
        <w:t>Bundaberg</w:t>
      </w:r>
    </w:p>
    <w:p w14:paraId="5201B00C" w14:textId="77777777" w:rsidR="003D14C2" w:rsidRPr="00A64787" w:rsidRDefault="003D14C2" w:rsidP="003D14C2">
      <w:pPr>
        <w:spacing w:after="0" w:line="0" w:lineRule="atLeast"/>
        <w:rPr>
          <w:rFonts w:cs="Arial"/>
          <w:szCs w:val="20"/>
        </w:rPr>
      </w:pPr>
      <w:r w:rsidRPr="00A64787">
        <w:rPr>
          <w:rFonts w:cs="Arial"/>
          <w:szCs w:val="20"/>
        </w:rPr>
        <w:t>Cairns</w:t>
      </w:r>
    </w:p>
    <w:p w14:paraId="25CB8D0F" w14:textId="77777777" w:rsidR="003D14C2" w:rsidRPr="00A64787" w:rsidRDefault="003D14C2" w:rsidP="003D14C2">
      <w:pPr>
        <w:spacing w:after="0" w:line="0" w:lineRule="atLeast"/>
        <w:rPr>
          <w:rFonts w:cs="Arial"/>
          <w:szCs w:val="20"/>
        </w:rPr>
      </w:pPr>
      <w:r w:rsidRPr="00A64787">
        <w:rPr>
          <w:rFonts w:cs="Arial"/>
          <w:szCs w:val="20"/>
        </w:rPr>
        <w:t>Emerald</w:t>
      </w:r>
    </w:p>
    <w:p w14:paraId="4C831BB0" w14:textId="4C082A28" w:rsidR="00C603C5" w:rsidRDefault="003D14C2" w:rsidP="00793CD6">
      <w:pPr>
        <w:tabs>
          <w:tab w:val="left" w:pos="142"/>
        </w:tabs>
        <w:spacing w:after="0" w:line="0" w:lineRule="atLeast"/>
        <w:rPr>
          <w:rFonts w:cs="Arial"/>
          <w:szCs w:val="20"/>
        </w:rPr>
      </w:pPr>
      <w:r w:rsidRPr="00A64787">
        <w:rPr>
          <w:rFonts w:cs="Arial"/>
          <w:szCs w:val="20"/>
        </w:rPr>
        <w:t xml:space="preserve">Gladstone </w:t>
      </w:r>
      <w:r w:rsidR="003F49EA" w:rsidRPr="00A64787">
        <w:rPr>
          <w:rFonts w:cs="Arial"/>
          <w:szCs w:val="20"/>
        </w:rPr>
        <w:t>–</w:t>
      </w:r>
      <w:r w:rsidRPr="00A64787">
        <w:rPr>
          <w:rFonts w:cs="Arial"/>
          <w:szCs w:val="20"/>
        </w:rPr>
        <w:t xml:space="preserve"> Tannum</w:t>
      </w:r>
      <w:r w:rsidR="00C603C5">
        <w:rPr>
          <w:rFonts w:cs="Arial"/>
          <w:szCs w:val="20"/>
        </w:rPr>
        <w:t xml:space="preserve">   </w:t>
      </w:r>
    </w:p>
    <w:p w14:paraId="0CEF43FB" w14:textId="704619C5" w:rsidR="003D14C2" w:rsidRPr="00A64787" w:rsidRDefault="00C603C5" w:rsidP="007A5938">
      <w:pPr>
        <w:tabs>
          <w:tab w:val="left" w:pos="142"/>
        </w:tabs>
        <w:spacing w:after="0" w:line="0" w:lineRule="atLeast"/>
        <w:rPr>
          <w:rFonts w:cs="Arial"/>
          <w:szCs w:val="20"/>
        </w:rPr>
      </w:pPr>
      <w:r>
        <w:rPr>
          <w:rFonts w:cs="Arial"/>
          <w:szCs w:val="20"/>
        </w:rPr>
        <w:t xml:space="preserve">   </w:t>
      </w:r>
      <w:r w:rsidR="003D14C2" w:rsidRPr="00A64787">
        <w:rPr>
          <w:rFonts w:cs="Arial"/>
          <w:szCs w:val="20"/>
        </w:rPr>
        <w:t>Sands</w:t>
      </w:r>
    </w:p>
    <w:p w14:paraId="520FAB41" w14:textId="77777777" w:rsidR="003D14C2" w:rsidRPr="00A64787" w:rsidRDefault="003D14C2" w:rsidP="003D14C2">
      <w:pPr>
        <w:spacing w:after="0" w:line="0" w:lineRule="atLeast"/>
        <w:rPr>
          <w:rFonts w:cs="Arial"/>
          <w:szCs w:val="20"/>
        </w:rPr>
      </w:pPr>
      <w:r w:rsidRPr="00A64787">
        <w:rPr>
          <w:rFonts w:cs="Arial"/>
          <w:szCs w:val="20"/>
        </w:rPr>
        <w:t>Gympie</w:t>
      </w:r>
    </w:p>
    <w:p w14:paraId="3E29C9DC" w14:textId="77777777" w:rsidR="003D14C2" w:rsidRPr="00A64787" w:rsidRDefault="003D14C2" w:rsidP="003D14C2">
      <w:pPr>
        <w:spacing w:after="0" w:line="0" w:lineRule="atLeast"/>
        <w:rPr>
          <w:rFonts w:cs="Arial"/>
          <w:szCs w:val="20"/>
        </w:rPr>
      </w:pPr>
      <w:r w:rsidRPr="00A64787">
        <w:rPr>
          <w:rFonts w:cs="Arial"/>
          <w:szCs w:val="20"/>
        </w:rPr>
        <w:t>Hervey Bay</w:t>
      </w:r>
    </w:p>
    <w:p w14:paraId="6431D051" w14:textId="77777777" w:rsidR="003D14C2" w:rsidRPr="00A64787" w:rsidRDefault="003D14C2" w:rsidP="003D14C2">
      <w:pPr>
        <w:spacing w:after="0" w:line="0" w:lineRule="atLeast"/>
        <w:rPr>
          <w:rFonts w:cs="Arial"/>
          <w:szCs w:val="20"/>
        </w:rPr>
      </w:pPr>
      <w:r w:rsidRPr="00A64787">
        <w:rPr>
          <w:rFonts w:cs="Arial"/>
          <w:szCs w:val="20"/>
        </w:rPr>
        <w:t>Kingaroy</w:t>
      </w:r>
    </w:p>
    <w:p w14:paraId="661193A2" w14:textId="77777777" w:rsidR="003D14C2" w:rsidRPr="00A64787" w:rsidRDefault="003D14C2" w:rsidP="003D14C2">
      <w:pPr>
        <w:spacing w:after="0" w:line="0" w:lineRule="atLeast"/>
        <w:rPr>
          <w:rFonts w:cs="Arial"/>
          <w:szCs w:val="20"/>
        </w:rPr>
      </w:pPr>
      <w:r w:rsidRPr="00A64787">
        <w:rPr>
          <w:rFonts w:cs="Arial"/>
          <w:szCs w:val="20"/>
        </w:rPr>
        <w:t>Mackay</w:t>
      </w:r>
    </w:p>
    <w:p w14:paraId="4B599062" w14:textId="77777777" w:rsidR="003D14C2" w:rsidRPr="00A64787" w:rsidRDefault="003D14C2" w:rsidP="003D14C2">
      <w:pPr>
        <w:spacing w:after="0" w:line="0" w:lineRule="atLeast"/>
        <w:rPr>
          <w:rFonts w:cs="Arial"/>
          <w:szCs w:val="20"/>
        </w:rPr>
      </w:pPr>
      <w:r w:rsidRPr="00A64787">
        <w:rPr>
          <w:rFonts w:cs="Arial"/>
          <w:szCs w:val="20"/>
        </w:rPr>
        <w:t>Maryborough</w:t>
      </w:r>
    </w:p>
    <w:p w14:paraId="4604D3F9" w14:textId="77777777" w:rsidR="003D14C2" w:rsidRPr="00A64787" w:rsidRDefault="003D14C2" w:rsidP="003D14C2">
      <w:pPr>
        <w:spacing w:after="0" w:line="0" w:lineRule="atLeast"/>
        <w:rPr>
          <w:rFonts w:cs="Arial"/>
          <w:szCs w:val="20"/>
        </w:rPr>
      </w:pPr>
      <w:r w:rsidRPr="00A64787">
        <w:rPr>
          <w:rFonts w:cs="Arial"/>
          <w:szCs w:val="20"/>
        </w:rPr>
        <w:t>Rockhampton</w:t>
      </w:r>
    </w:p>
    <w:p w14:paraId="4244BF2A" w14:textId="77777777" w:rsidR="003D14C2" w:rsidRPr="00A64787" w:rsidRDefault="003D14C2" w:rsidP="003D14C2">
      <w:pPr>
        <w:spacing w:after="0" w:line="0" w:lineRule="atLeast"/>
        <w:rPr>
          <w:rFonts w:cs="Arial"/>
          <w:szCs w:val="20"/>
        </w:rPr>
      </w:pPr>
      <w:r w:rsidRPr="00A64787">
        <w:rPr>
          <w:rFonts w:cs="Arial"/>
          <w:szCs w:val="20"/>
        </w:rPr>
        <w:t>Sunshine Coast</w:t>
      </w:r>
    </w:p>
    <w:p w14:paraId="62668194" w14:textId="77777777" w:rsidR="003D14C2" w:rsidRPr="00A64787" w:rsidRDefault="003D14C2" w:rsidP="003D14C2">
      <w:pPr>
        <w:spacing w:after="0" w:line="0" w:lineRule="atLeast"/>
        <w:rPr>
          <w:rFonts w:cs="Arial"/>
          <w:szCs w:val="20"/>
        </w:rPr>
      </w:pPr>
      <w:r w:rsidRPr="00A64787">
        <w:rPr>
          <w:rFonts w:cs="Arial"/>
          <w:szCs w:val="20"/>
        </w:rPr>
        <w:t>Toowoomba</w:t>
      </w:r>
    </w:p>
    <w:p w14:paraId="1185E402" w14:textId="77777777" w:rsidR="003D14C2" w:rsidRPr="00A64787" w:rsidRDefault="003D14C2" w:rsidP="003D14C2">
      <w:pPr>
        <w:spacing w:after="0" w:line="0" w:lineRule="atLeast"/>
        <w:rPr>
          <w:rFonts w:cs="Arial"/>
          <w:szCs w:val="20"/>
        </w:rPr>
      </w:pPr>
      <w:r w:rsidRPr="00A64787">
        <w:rPr>
          <w:rFonts w:cs="Arial"/>
          <w:szCs w:val="20"/>
        </w:rPr>
        <w:t>Townsville</w:t>
      </w:r>
    </w:p>
    <w:p w14:paraId="5888E104" w14:textId="77777777" w:rsidR="003D14C2" w:rsidRPr="00A64787" w:rsidRDefault="003D14C2" w:rsidP="003D14C2">
      <w:pPr>
        <w:spacing w:after="0" w:line="0" w:lineRule="atLeast"/>
        <w:rPr>
          <w:rFonts w:cs="Arial"/>
          <w:szCs w:val="20"/>
        </w:rPr>
      </w:pPr>
      <w:r w:rsidRPr="00A64787">
        <w:rPr>
          <w:rFonts w:cs="Arial"/>
          <w:szCs w:val="20"/>
        </w:rPr>
        <w:t>Warwick</w:t>
      </w:r>
    </w:p>
    <w:p w14:paraId="162D2A73" w14:textId="77777777" w:rsidR="003D14C2" w:rsidRPr="00A64787" w:rsidRDefault="003D14C2" w:rsidP="003D14C2">
      <w:pPr>
        <w:spacing w:after="0" w:line="0" w:lineRule="atLeast"/>
        <w:rPr>
          <w:rFonts w:cs="Arial"/>
          <w:szCs w:val="20"/>
        </w:rPr>
      </w:pPr>
      <w:r w:rsidRPr="00A64787">
        <w:rPr>
          <w:rFonts w:cs="Arial"/>
          <w:szCs w:val="20"/>
        </w:rPr>
        <w:t>Yeppoon</w:t>
      </w:r>
    </w:p>
    <w:p w14:paraId="5DC24901" w14:textId="77777777" w:rsidR="003D14C2" w:rsidRPr="00A64787" w:rsidRDefault="003D14C2" w:rsidP="003D14C2">
      <w:pPr>
        <w:spacing w:after="0" w:line="0" w:lineRule="atLeast"/>
        <w:rPr>
          <w:rFonts w:cs="Arial"/>
          <w:szCs w:val="20"/>
        </w:rPr>
      </w:pPr>
      <w:r w:rsidRPr="00A64787">
        <w:rPr>
          <w:rFonts w:cs="Arial"/>
          <w:szCs w:val="20"/>
        </w:rPr>
        <w:t>Mount Gambier</w:t>
      </w:r>
    </w:p>
    <w:p w14:paraId="0177934B" w14:textId="77777777" w:rsidR="003D14C2" w:rsidRPr="00A64787" w:rsidRDefault="003D14C2" w:rsidP="003D14C2">
      <w:pPr>
        <w:spacing w:after="0" w:line="0" w:lineRule="atLeast"/>
        <w:rPr>
          <w:rFonts w:cs="Arial"/>
          <w:szCs w:val="20"/>
        </w:rPr>
      </w:pPr>
      <w:r w:rsidRPr="00A64787">
        <w:rPr>
          <w:rFonts w:cs="Arial"/>
          <w:szCs w:val="20"/>
        </w:rPr>
        <w:t>Murray Bridge</w:t>
      </w:r>
    </w:p>
    <w:p w14:paraId="635A553F" w14:textId="77777777" w:rsidR="003D14C2" w:rsidRPr="00A64787" w:rsidRDefault="003D14C2" w:rsidP="003D14C2">
      <w:pPr>
        <w:spacing w:after="0" w:line="0" w:lineRule="atLeast"/>
        <w:rPr>
          <w:rFonts w:cs="Arial"/>
          <w:szCs w:val="20"/>
        </w:rPr>
      </w:pPr>
      <w:r w:rsidRPr="00A64787">
        <w:rPr>
          <w:rFonts w:cs="Arial"/>
          <w:szCs w:val="20"/>
        </w:rPr>
        <w:t>Port Augusta</w:t>
      </w:r>
    </w:p>
    <w:p w14:paraId="1B854A26" w14:textId="77777777" w:rsidR="003D14C2" w:rsidRPr="00A64787" w:rsidRDefault="003D14C2" w:rsidP="003D14C2">
      <w:pPr>
        <w:spacing w:after="0" w:line="0" w:lineRule="atLeast"/>
        <w:rPr>
          <w:rFonts w:cs="Arial"/>
          <w:szCs w:val="20"/>
        </w:rPr>
      </w:pPr>
      <w:r w:rsidRPr="00A64787">
        <w:rPr>
          <w:rFonts w:cs="Arial"/>
          <w:szCs w:val="20"/>
        </w:rPr>
        <w:t>Port Pirie</w:t>
      </w:r>
    </w:p>
    <w:p w14:paraId="71E92268" w14:textId="4C578138" w:rsidR="00A64787" w:rsidRDefault="003D14C2" w:rsidP="003C2CFB">
      <w:pPr>
        <w:tabs>
          <w:tab w:val="left" w:pos="284"/>
        </w:tabs>
        <w:spacing w:after="0" w:line="0" w:lineRule="atLeast"/>
        <w:rPr>
          <w:rFonts w:cs="Arial"/>
          <w:szCs w:val="20"/>
        </w:rPr>
      </w:pPr>
      <w:r w:rsidRPr="00A64787">
        <w:rPr>
          <w:rFonts w:cs="Arial"/>
          <w:szCs w:val="20"/>
        </w:rPr>
        <w:t xml:space="preserve">Victor Harbor </w:t>
      </w:r>
      <w:r w:rsidR="003F49EA" w:rsidRPr="00A64787">
        <w:rPr>
          <w:rFonts w:cs="Arial"/>
          <w:szCs w:val="20"/>
        </w:rPr>
        <w:t>–</w:t>
      </w:r>
      <w:r w:rsidRPr="00A64787">
        <w:rPr>
          <w:rFonts w:cs="Arial"/>
          <w:szCs w:val="20"/>
        </w:rPr>
        <w:t xml:space="preserve"> </w:t>
      </w:r>
      <w:r w:rsidR="00A64787">
        <w:rPr>
          <w:rFonts w:cs="Arial"/>
          <w:szCs w:val="20"/>
        </w:rPr>
        <w:t xml:space="preserve"> </w:t>
      </w:r>
    </w:p>
    <w:p w14:paraId="637A6733" w14:textId="18AEB79E" w:rsidR="003D14C2" w:rsidRPr="00A64787" w:rsidRDefault="00A64787" w:rsidP="007A5938">
      <w:pPr>
        <w:tabs>
          <w:tab w:val="left" w:pos="284"/>
        </w:tabs>
        <w:spacing w:after="0" w:line="0" w:lineRule="atLeast"/>
        <w:rPr>
          <w:rFonts w:cs="Arial"/>
          <w:szCs w:val="20"/>
        </w:rPr>
      </w:pPr>
      <w:r>
        <w:rPr>
          <w:rFonts w:cs="Arial"/>
          <w:szCs w:val="20"/>
        </w:rPr>
        <w:t xml:space="preserve">   </w:t>
      </w:r>
      <w:r w:rsidR="003D14C2" w:rsidRPr="00A64787">
        <w:rPr>
          <w:rFonts w:cs="Arial"/>
          <w:szCs w:val="20"/>
        </w:rPr>
        <w:t>Goolwa</w:t>
      </w:r>
    </w:p>
    <w:p w14:paraId="69D5EFBC" w14:textId="77777777" w:rsidR="003D14C2" w:rsidRPr="00A64787" w:rsidRDefault="003D14C2" w:rsidP="003D14C2">
      <w:pPr>
        <w:spacing w:after="0" w:line="0" w:lineRule="atLeast"/>
        <w:rPr>
          <w:rFonts w:cs="Arial"/>
          <w:szCs w:val="20"/>
        </w:rPr>
      </w:pPr>
      <w:r w:rsidRPr="00A64787">
        <w:rPr>
          <w:rFonts w:cs="Arial"/>
          <w:szCs w:val="20"/>
        </w:rPr>
        <w:t>Whyalla</w:t>
      </w:r>
    </w:p>
    <w:p w14:paraId="4F5AE1D4" w14:textId="77777777" w:rsidR="003D14C2" w:rsidRPr="00A64787" w:rsidRDefault="003D14C2" w:rsidP="003D14C2">
      <w:pPr>
        <w:spacing w:after="0" w:line="0" w:lineRule="atLeast"/>
        <w:rPr>
          <w:rFonts w:cs="Arial"/>
          <w:szCs w:val="20"/>
        </w:rPr>
      </w:pPr>
      <w:r w:rsidRPr="00A64787">
        <w:rPr>
          <w:rFonts w:cs="Arial"/>
          <w:szCs w:val="20"/>
        </w:rPr>
        <w:t>Albany</w:t>
      </w:r>
    </w:p>
    <w:p w14:paraId="6C965662" w14:textId="77777777" w:rsidR="003D14C2" w:rsidRPr="00A64787" w:rsidRDefault="003D14C2" w:rsidP="003D14C2">
      <w:pPr>
        <w:spacing w:after="0" w:line="0" w:lineRule="atLeast"/>
        <w:rPr>
          <w:rFonts w:cs="Arial"/>
          <w:szCs w:val="20"/>
        </w:rPr>
      </w:pPr>
      <w:r w:rsidRPr="00A64787">
        <w:rPr>
          <w:rFonts w:cs="Arial"/>
          <w:szCs w:val="20"/>
        </w:rPr>
        <w:t>Bunbury</w:t>
      </w:r>
    </w:p>
    <w:p w14:paraId="5E7CDBAB" w14:textId="77777777" w:rsidR="003D14C2" w:rsidRPr="00A64787" w:rsidRDefault="003D14C2" w:rsidP="003D14C2">
      <w:pPr>
        <w:spacing w:after="0" w:line="0" w:lineRule="atLeast"/>
        <w:rPr>
          <w:rFonts w:cs="Arial"/>
          <w:szCs w:val="20"/>
        </w:rPr>
      </w:pPr>
      <w:r w:rsidRPr="00A64787">
        <w:rPr>
          <w:rFonts w:cs="Arial"/>
          <w:szCs w:val="20"/>
        </w:rPr>
        <w:t>Busselton</w:t>
      </w:r>
    </w:p>
    <w:p w14:paraId="770428E0" w14:textId="77777777" w:rsidR="003D14C2" w:rsidRPr="00A64787" w:rsidRDefault="003D14C2" w:rsidP="003D14C2">
      <w:pPr>
        <w:spacing w:after="0" w:line="0" w:lineRule="atLeast"/>
        <w:rPr>
          <w:rFonts w:cs="Arial"/>
          <w:szCs w:val="20"/>
        </w:rPr>
      </w:pPr>
      <w:r w:rsidRPr="00A64787">
        <w:rPr>
          <w:rFonts w:cs="Arial"/>
          <w:szCs w:val="20"/>
        </w:rPr>
        <w:t>Geraldton</w:t>
      </w:r>
    </w:p>
    <w:p w14:paraId="75A11FF1" w14:textId="77777777" w:rsidR="003D14C2" w:rsidRPr="00A64787" w:rsidRDefault="003D14C2" w:rsidP="003D14C2">
      <w:pPr>
        <w:spacing w:after="0" w:line="0" w:lineRule="atLeast"/>
        <w:rPr>
          <w:rFonts w:cs="Arial"/>
          <w:szCs w:val="20"/>
        </w:rPr>
      </w:pPr>
      <w:r w:rsidRPr="00A64787">
        <w:rPr>
          <w:rFonts w:cs="Arial"/>
          <w:szCs w:val="20"/>
        </w:rPr>
        <w:t>Yanchep</w:t>
      </w:r>
    </w:p>
    <w:p w14:paraId="41536972" w14:textId="5405157D" w:rsidR="003D14C2" w:rsidRPr="00A64787" w:rsidRDefault="003D14C2" w:rsidP="003D14C2">
      <w:pPr>
        <w:spacing w:after="0" w:line="0" w:lineRule="atLeast"/>
        <w:rPr>
          <w:rFonts w:cs="Arial"/>
          <w:szCs w:val="20"/>
        </w:rPr>
      </w:pPr>
      <w:r w:rsidRPr="00A64787">
        <w:rPr>
          <w:rFonts w:cs="Arial"/>
          <w:szCs w:val="20"/>
        </w:rPr>
        <w:t xml:space="preserve">Burnie </w:t>
      </w:r>
      <w:r w:rsidR="00C603C5">
        <w:rPr>
          <w:rFonts w:cs="Arial"/>
          <w:szCs w:val="20"/>
        </w:rPr>
        <w:t>–</w:t>
      </w:r>
      <w:r w:rsidRPr="00A64787">
        <w:rPr>
          <w:rFonts w:cs="Arial"/>
          <w:szCs w:val="20"/>
        </w:rPr>
        <w:t xml:space="preserve"> Wynyard</w:t>
      </w:r>
    </w:p>
    <w:p w14:paraId="38010EDC" w14:textId="77777777" w:rsidR="003D14C2" w:rsidRPr="00A64787" w:rsidRDefault="003D14C2" w:rsidP="003D14C2">
      <w:pPr>
        <w:spacing w:after="0" w:line="0" w:lineRule="atLeast"/>
        <w:rPr>
          <w:rFonts w:cs="Arial"/>
          <w:szCs w:val="20"/>
        </w:rPr>
      </w:pPr>
      <w:r w:rsidRPr="00A64787">
        <w:rPr>
          <w:rFonts w:cs="Arial"/>
          <w:szCs w:val="20"/>
        </w:rPr>
        <w:t>Devonport</w:t>
      </w:r>
    </w:p>
    <w:p w14:paraId="1BA3DC99" w14:textId="77777777" w:rsidR="003D14C2" w:rsidRPr="00A64787" w:rsidRDefault="003D14C2" w:rsidP="003D14C2">
      <w:pPr>
        <w:spacing w:after="0" w:line="0" w:lineRule="atLeast"/>
        <w:rPr>
          <w:rFonts w:cs="Arial"/>
          <w:szCs w:val="20"/>
        </w:rPr>
      </w:pPr>
      <w:r w:rsidRPr="00A64787">
        <w:rPr>
          <w:rFonts w:cs="Arial"/>
          <w:szCs w:val="20"/>
        </w:rPr>
        <w:t>Hobart</w:t>
      </w:r>
    </w:p>
    <w:p w14:paraId="7852A8C7" w14:textId="77777777" w:rsidR="003D14C2" w:rsidRPr="00A64787" w:rsidRDefault="003D14C2" w:rsidP="003D14C2">
      <w:pPr>
        <w:spacing w:after="0" w:line="0" w:lineRule="atLeast"/>
        <w:rPr>
          <w:rFonts w:cs="Arial"/>
          <w:szCs w:val="20"/>
        </w:rPr>
      </w:pPr>
      <w:r w:rsidRPr="00A64787">
        <w:rPr>
          <w:rFonts w:cs="Arial"/>
          <w:szCs w:val="20"/>
        </w:rPr>
        <w:t>Launceston</w:t>
      </w:r>
    </w:p>
    <w:p w14:paraId="1621DA46" w14:textId="77777777" w:rsidR="003D14C2" w:rsidRPr="00A64787" w:rsidRDefault="003D14C2" w:rsidP="003D14C2">
      <w:pPr>
        <w:spacing w:after="0" w:line="0" w:lineRule="atLeast"/>
        <w:rPr>
          <w:rFonts w:cs="Arial"/>
          <w:szCs w:val="20"/>
        </w:rPr>
      </w:pPr>
      <w:r w:rsidRPr="00A64787">
        <w:rPr>
          <w:rFonts w:cs="Arial"/>
          <w:szCs w:val="20"/>
        </w:rPr>
        <w:t>Ulverstone</w:t>
      </w:r>
    </w:p>
    <w:p w14:paraId="2BBF6C33" w14:textId="77777777" w:rsidR="003D14C2" w:rsidRPr="00A64787" w:rsidRDefault="003D14C2" w:rsidP="003D14C2">
      <w:pPr>
        <w:spacing w:after="0" w:line="0" w:lineRule="atLeast"/>
        <w:rPr>
          <w:rFonts w:cs="Arial"/>
          <w:szCs w:val="20"/>
        </w:rPr>
      </w:pPr>
      <w:r w:rsidRPr="00A64787">
        <w:rPr>
          <w:rFonts w:cs="Arial"/>
          <w:szCs w:val="20"/>
        </w:rPr>
        <w:t>Darwin</w:t>
      </w:r>
    </w:p>
    <w:p w14:paraId="69A69FEA" w14:textId="77777777" w:rsidR="003D14C2" w:rsidRPr="00A64787" w:rsidRDefault="003D14C2" w:rsidP="003D14C2">
      <w:pPr>
        <w:spacing w:after="0" w:line="0" w:lineRule="atLeast"/>
        <w:rPr>
          <w:rFonts w:cs="Arial"/>
          <w:szCs w:val="20"/>
        </w:rPr>
      </w:pPr>
      <w:r w:rsidRPr="00A64787">
        <w:rPr>
          <w:rFonts w:cs="Arial"/>
          <w:szCs w:val="20"/>
        </w:rPr>
        <w:t>Not in any SUA (ACT)</w:t>
      </w:r>
    </w:p>
    <w:p w14:paraId="656C189B" w14:textId="77777777" w:rsidR="00A64787" w:rsidRDefault="003D14C2" w:rsidP="003C2CFB">
      <w:pPr>
        <w:spacing w:after="0" w:line="0" w:lineRule="atLeast"/>
        <w:rPr>
          <w:rFonts w:cs="Arial"/>
          <w:szCs w:val="20"/>
        </w:rPr>
      </w:pPr>
      <w:r w:rsidRPr="00A64787">
        <w:rPr>
          <w:rFonts w:cs="Arial"/>
          <w:szCs w:val="20"/>
        </w:rPr>
        <w:t xml:space="preserve">Canberra – </w:t>
      </w:r>
      <w:r w:rsidR="00A64787">
        <w:rPr>
          <w:rFonts w:cs="Arial"/>
          <w:szCs w:val="20"/>
        </w:rPr>
        <w:t xml:space="preserve">     </w:t>
      </w:r>
    </w:p>
    <w:p w14:paraId="3851C779" w14:textId="6275144F" w:rsidR="003D14C2" w:rsidRPr="00A64787" w:rsidRDefault="00A64787" w:rsidP="007A5938">
      <w:pPr>
        <w:spacing w:after="0" w:line="0" w:lineRule="atLeast"/>
        <w:rPr>
          <w:rFonts w:cs="Arial"/>
          <w:szCs w:val="20"/>
        </w:rPr>
      </w:pPr>
      <w:r>
        <w:rPr>
          <w:rFonts w:cs="Arial"/>
          <w:szCs w:val="20"/>
        </w:rPr>
        <w:t xml:space="preserve">   </w:t>
      </w:r>
      <w:r w:rsidR="003D14C2" w:rsidRPr="00A64787">
        <w:rPr>
          <w:rFonts w:cs="Arial"/>
          <w:szCs w:val="20"/>
        </w:rPr>
        <w:t>Queanbeyan</w:t>
      </w:r>
    </w:p>
    <w:p w14:paraId="345E4347" w14:textId="77777777" w:rsidR="003D14C2" w:rsidRPr="00A64787" w:rsidRDefault="003D14C2" w:rsidP="003D14C2">
      <w:pPr>
        <w:spacing w:after="0" w:line="0" w:lineRule="atLeast"/>
        <w:rPr>
          <w:rFonts w:cs="Arial"/>
          <w:szCs w:val="20"/>
        </w:rPr>
      </w:pPr>
    </w:p>
    <w:p w14:paraId="1F47B7DD" w14:textId="77777777" w:rsidR="003D14C2" w:rsidRPr="00A64787" w:rsidRDefault="003D14C2" w:rsidP="003D14C2">
      <w:pPr>
        <w:spacing w:after="0" w:line="0" w:lineRule="atLeast"/>
        <w:rPr>
          <w:rFonts w:cs="Arial"/>
          <w:b/>
          <w:bCs/>
          <w:szCs w:val="20"/>
        </w:rPr>
      </w:pPr>
      <w:r w:rsidRPr="00A64787">
        <w:rPr>
          <w:rFonts w:cs="Arial"/>
          <w:b/>
          <w:bCs/>
          <w:szCs w:val="20"/>
        </w:rPr>
        <w:t>Remote-density area</w:t>
      </w:r>
    </w:p>
    <w:p w14:paraId="1D654E30" w14:textId="77777777" w:rsidR="003D14C2" w:rsidRPr="00A64787" w:rsidRDefault="003D14C2" w:rsidP="003D14C2">
      <w:pPr>
        <w:spacing w:after="0" w:line="0" w:lineRule="atLeast"/>
        <w:rPr>
          <w:rFonts w:cs="Arial"/>
          <w:szCs w:val="20"/>
        </w:rPr>
      </w:pPr>
      <w:r w:rsidRPr="00A64787">
        <w:rPr>
          <w:rFonts w:cs="Arial"/>
          <w:szCs w:val="20"/>
        </w:rPr>
        <w:t>Not in any SUA (NSW)</w:t>
      </w:r>
    </w:p>
    <w:p w14:paraId="5275440E" w14:textId="77777777" w:rsidR="003D14C2" w:rsidRPr="00A64787" w:rsidRDefault="003D14C2" w:rsidP="003D14C2">
      <w:pPr>
        <w:spacing w:after="0" w:line="0" w:lineRule="atLeast"/>
        <w:rPr>
          <w:rFonts w:cs="Arial"/>
          <w:szCs w:val="20"/>
        </w:rPr>
      </w:pPr>
      <w:r w:rsidRPr="00A64787">
        <w:rPr>
          <w:rFonts w:cs="Arial"/>
          <w:szCs w:val="20"/>
        </w:rPr>
        <w:t>Broken Hill</w:t>
      </w:r>
    </w:p>
    <w:p w14:paraId="77C0A4E6" w14:textId="77777777" w:rsidR="003D14C2" w:rsidRPr="00A64787" w:rsidRDefault="003D14C2" w:rsidP="003D14C2">
      <w:pPr>
        <w:spacing w:after="0" w:line="0" w:lineRule="atLeast"/>
        <w:rPr>
          <w:rFonts w:cs="Arial"/>
          <w:szCs w:val="20"/>
        </w:rPr>
      </w:pPr>
      <w:r w:rsidRPr="00A64787">
        <w:rPr>
          <w:rFonts w:cs="Arial"/>
          <w:szCs w:val="20"/>
        </w:rPr>
        <w:t>Not in any SUA (Qld)</w:t>
      </w:r>
    </w:p>
    <w:p w14:paraId="34830743" w14:textId="77777777" w:rsidR="003D14C2" w:rsidRPr="00A64787" w:rsidRDefault="003D14C2" w:rsidP="003D14C2">
      <w:pPr>
        <w:spacing w:after="0" w:line="0" w:lineRule="atLeast"/>
        <w:rPr>
          <w:rFonts w:cs="Arial"/>
          <w:szCs w:val="20"/>
        </w:rPr>
      </w:pPr>
      <w:r w:rsidRPr="00A64787">
        <w:rPr>
          <w:rFonts w:cs="Arial"/>
          <w:szCs w:val="20"/>
        </w:rPr>
        <w:t>Mount Isa</w:t>
      </w:r>
    </w:p>
    <w:p w14:paraId="21BA6AFC" w14:textId="77777777" w:rsidR="003D14C2" w:rsidRPr="00A64787" w:rsidRDefault="003D14C2" w:rsidP="003D14C2">
      <w:pPr>
        <w:spacing w:after="0" w:line="0" w:lineRule="atLeast"/>
        <w:rPr>
          <w:rFonts w:cs="Arial"/>
          <w:szCs w:val="20"/>
        </w:rPr>
      </w:pPr>
      <w:r w:rsidRPr="00A64787">
        <w:rPr>
          <w:rFonts w:cs="Arial"/>
          <w:szCs w:val="20"/>
        </w:rPr>
        <w:t>Not in any SUA (SA)</w:t>
      </w:r>
    </w:p>
    <w:p w14:paraId="07A710A1" w14:textId="77777777" w:rsidR="003D14C2" w:rsidRPr="00A64787" w:rsidRDefault="003D14C2" w:rsidP="003D14C2">
      <w:pPr>
        <w:spacing w:after="0" w:line="0" w:lineRule="atLeast"/>
        <w:rPr>
          <w:rFonts w:cs="Arial"/>
          <w:szCs w:val="20"/>
        </w:rPr>
      </w:pPr>
      <w:r w:rsidRPr="00A64787">
        <w:rPr>
          <w:rFonts w:cs="Arial"/>
          <w:szCs w:val="20"/>
        </w:rPr>
        <w:t>Port Lincoln</w:t>
      </w:r>
    </w:p>
    <w:p w14:paraId="2F35A41D" w14:textId="77777777" w:rsidR="003D14C2" w:rsidRPr="00A64787" w:rsidRDefault="003D14C2" w:rsidP="003D14C2">
      <w:pPr>
        <w:spacing w:after="0" w:line="0" w:lineRule="atLeast"/>
        <w:rPr>
          <w:rFonts w:cs="Arial"/>
          <w:szCs w:val="20"/>
        </w:rPr>
      </w:pPr>
      <w:r w:rsidRPr="00A64787">
        <w:rPr>
          <w:rFonts w:cs="Arial"/>
          <w:szCs w:val="20"/>
        </w:rPr>
        <w:t>Not in any SUA (WA)</w:t>
      </w:r>
    </w:p>
    <w:p w14:paraId="37E5CC25" w14:textId="77777777" w:rsidR="003D14C2" w:rsidRPr="00A64787" w:rsidRDefault="003D14C2" w:rsidP="003D14C2">
      <w:pPr>
        <w:spacing w:after="0" w:line="0" w:lineRule="atLeast"/>
        <w:rPr>
          <w:rFonts w:cs="Arial"/>
          <w:szCs w:val="20"/>
        </w:rPr>
      </w:pPr>
      <w:r w:rsidRPr="00A64787">
        <w:rPr>
          <w:rFonts w:cs="Arial"/>
          <w:szCs w:val="20"/>
        </w:rPr>
        <w:t>Broome</w:t>
      </w:r>
    </w:p>
    <w:p w14:paraId="05D57898" w14:textId="77777777" w:rsidR="003D14C2" w:rsidRPr="00A64787" w:rsidRDefault="003D14C2" w:rsidP="003D14C2">
      <w:pPr>
        <w:spacing w:after="0" w:line="0" w:lineRule="atLeast"/>
        <w:rPr>
          <w:rFonts w:cs="Arial"/>
          <w:szCs w:val="20"/>
        </w:rPr>
      </w:pPr>
      <w:r w:rsidRPr="00A64787">
        <w:rPr>
          <w:rFonts w:cs="Arial"/>
          <w:szCs w:val="20"/>
        </w:rPr>
        <w:t>Esperance</w:t>
      </w:r>
    </w:p>
    <w:p w14:paraId="698007D4" w14:textId="62163593" w:rsidR="003D14C2" w:rsidRPr="00A64787" w:rsidRDefault="003D14C2" w:rsidP="003D14C2">
      <w:pPr>
        <w:spacing w:after="0" w:line="0" w:lineRule="atLeast"/>
        <w:rPr>
          <w:rFonts w:cs="Arial"/>
          <w:szCs w:val="20"/>
        </w:rPr>
      </w:pPr>
      <w:r w:rsidRPr="00A64787">
        <w:rPr>
          <w:rFonts w:cs="Arial"/>
          <w:szCs w:val="20"/>
        </w:rPr>
        <w:t xml:space="preserve">Kalgoorlie </w:t>
      </w:r>
      <w:r w:rsidR="00A64787">
        <w:rPr>
          <w:rFonts w:cs="Arial"/>
          <w:sz w:val="16"/>
          <w:szCs w:val="16"/>
        </w:rPr>
        <w:t>–</w:t>
      </w:r>
      <w:r w:rsidRPr="00A64787">
        <w:rPr>
          <w:rFonts w:cs="Arial"/>
          <w:szCs w:val="20"/>
        </w:rPr>
        <w:t xml:space="preserve"> Boulder</w:t>
      </w:r>
    </w:p>
    <w:p w14:paraId="6FB93B16" w14:textId="77777777" w:rsidR="003D14C2" w:rsidRPr="00A64787" w:rsidRDefault="003D14C2" w:rsidP="003D14C2">
      <w:pPr>
        <w:spacing w:after="0" w:line="0" w:lineRule="atLeast"/>
        <w:rPr>
          <w:rFonts w:cs="Arial"/>
          <w:szCs w:val="20"/>
        </w:rPr>
      </w:pPr>
      <w:r w:rsidRPr="00A64787">
        <w:rPr>
          <w:rFonts w:cs="Arial"/>
          <w:szCs w:val="20"/>
        </w:rPr>
        <w:t>Karratha</w:t>
      </w:r>
    </w:p>
    <w:p w14:paraId="301CAA7D" w14:textId="77777777" w:rsidR="003D14C2" w:rsidRPr="00A64787" w:rsidRDefault="003D14C2" w:rsidP="003D14C2">
      <w:pPr>
        <w:spacing w:after="0" w:line="0" w:lineRule="atLeast"/>
        <w:rPr>
          <w:rFonts w:cs="Arial"/>
          <w:szCs w:val="20"/>
        </w:rPr>
      </w:pPr>
      <w:r w:rsidRPr="00A64787">
        <w:rPr>
          <w:rFonts w:cs="Arial"/>
          <w:szCs w:val="20"/>
        </w:rPr>
        <w:t>Port Hedland</w:t>
      </w:r>
    </w:p>
    <w:p w14:paraId="56C53BAD" w14:textId="09122817" w:rsidR="003D14C2" w:rsidRPr="00A64787" w:rsidRDefault="003D14C2" w:rsidP="003D14C2">
      <w:pPr>
        <w:spacing w:after="0" w:line="0" w:lineRule="atLeast"/>
        <w:rPr>
          <w:rFonts w:cs="Arial"/>
          <w:szCs w:val="20"/>
        </w:rPr>
      </w:pPr>
      <w:r w:rsidRPr="00A64787">
        <w:rPr>
          <w:rFonts w:cs="Arial"/>
          <w:szCs w:val="20"/>
        </w:rPr>
        <w:t>Not in any SUA (Tas)</w:t>
      </w:r>
    </w:p>
    <w:p w14:paraId="678F3383" w14:textId="77777777" w:rsidR="003D14C2" w:rsidRPr="00A64787" w:rsidRDefault="003D14C2" w:rsidP="003D14C2">
      <w:pPr>
        <w:spacing w:after="0" w:line="0" w:lineRule="atLeast"/>
        <w:rPr>
          <w:rFonts w:cs="Arial"/>
          <w:szCs w:val="20"/>
        </w:rPr>
      </w:pPr>
      <w:r w:rsidRPr="00A64787">
        <w:rPr>
          <w:rFonts w:cs="Arial"/>
          <w:szCs w:val="20"/>
        </w:rPr>
        <w:t>Not in any SUA (NT)</w:t>
      </w:r>
    </w:p>
    <w:p w14:paraId="7BB8165B" w14:textId="77777777" w:rsidR="003D14C2" w:rsidRPr="00A64787" w:rsidRDefault="003D14C2" w:rsidP="003D14C2">
      <w:pPr>
        <w:spacing w:after="0" w:line="0" w:lineRule="atLeast"/>
        <w:rPr>
          <w:rFonts w:cs="Arial"/>
          <w:szCs w:val="20"/>
        </w:rPr>
      </w:pPr>
      <w:r w:rsidRPr="00A64787">
        <w:rPr>
          <w:rFonts w:cs="Arial"/>
          <w:szCs w:val="20"/>
        </w:rPr>
        <w:t>Alice Springs</w:t>
      </w:r>
    </w:p>
    <w:p w14:paraId="603EA53B" w14:textId="77777777" w:rsidR="003D14C2" w:rsidRPr="00A64787" w:rsidRDefault="003D14C2" w:rsidP="003D14C2">
      <w:pPr>
        <w:spacing w:after="0" w:line="0" w:lineRule="atLeast"/>
        <w:rPr>
          <w:rFonts w:cs="Arial"/>
          <w:szCs w:val="20"/>
        </w:rPr>
      </w:pPr>
      <w:r w:rsidRPr="00A64787">
        <w:rPr>
          <w:rFonts w:cs="Arial"/>
          <w:szCs w:val="20"/>
        </w:rPr>
        <w:t>Not in any SUA (OT)</w:t>
      </w:r>
    </w:p>
    <w:p w14:paraId="7B97B0F4" w14:textId="77777777" w:rsidR="003D14C2" w:rsidRDefault="003D14C2" w:rsidP="00935F71">
      <w:pPr>
        <w:rPr>
          <w:rFonts w:cs="Arial"/>
          <w:szCs w:val="20"/>
        </w:rPr>
        <w:sectPr w:rsidR="003D14C2" w:rsidSect="00B03B74">
          <w:type w:val="continuous"/>
          <w:pgSz w:w="11906" w:h="16838" w:code="9"/>
          <w:pgMar w:top="1945" w:right="3101" w:bottom="1134" w:left="1134" w:header="709" w:footer="119" w:gutter="0"/>
          <w:cols w:num="3" w:space="708"/>
          <w:docGrid w:linePitch="360"/>
        </w:sectPr>
      </w:pPr>
    </w:p>
    <w:p w14:paraId="254A13E5" w14:textId="1898AC1C" w:rsidR="00935F71" w:rsidRDefault="00280AC9" w:rsidP="007A5938">
      <w:pPr>
        <w:spacing w:before="360"/>
        <w:rPr>
          <w:rFonts w:cs="Arial"/>
          <w:szCs w:val="20"/>
        </w:rPr>
      </w:pPr>
      <w:r>
        <w:rPr>
          <w:rFonts w:cs="Arial"/>
          <w:szCs w:val="20"/>
        </w:rPr>
        <w:br/>
      </w:r>
      <w:r w:rsidR="00AD5469" w:rsidRPr="00AD5469">
        <w:rPr>
          <w:rFonts w:cs="Arial"/>
          <w:szCs w:val="20"/>
        </w:rPr>
        <w:t xml:space="preserve">In order to highlight the </w:t>
      </w:r>
      <w:r w:rsidR="00D128DB">
        <w:rPr>
          <w:rFonts w:cs="Arial"/>
          <w:szCs w:val="20"/>
        </w:rPr>
        <w:t>calculation method</w:t>
      </w:r>
      <w:r w:rsidR="00AD5469" w:rsidRPr="00AD5469">
        <w:rPr>
          <w:rFonts w:cs="Arial"/>
          <w:szCs w:val="20"/>
        </w:rPr>
        <w:t>, consider a sample calculation using the medium-density area and 2020 to 2021 population figures. The population figures for medium-density area SUAs are</w:t>
      </w:r>
      <w:r w:rsidR="00C57CEE">
        <w:rPr>
          <w:rFonts w:cs="Arial"/>
          <w:szCs w:val="20"/>
        </w:rPr>
        <w:t xml:space="preserve"> shown in Table 3.</w:t>
      </w:r>
    </w:p>
    <w:p w14:paraId="3B524267" w14:textId="50A2C6A0" w:rsidR="0008690E" w:rsidRDefault="00B46622" w:rsidP="003C2CFB">
      <w:pPr>
        <w:pStyle w:val="Tableheading"/>
        <w:keepLines/>
        <w:pageBreakBefore/>
      </w:pPr>
      <w:r>
        <w:lastRenderedPageBreak/>
        <w:t xml:space="preserve">Sample calculation </w:t>
      </w:r>
      <w:r w:rsidR="00C65635">
        <w:t xml:space="preserve">of annual </w:t>
      </w:r>
      <w:r w:rsidR="002664DA">
        <w:t>tax rate change</w:t>
      </w:r>
      <w:r w:rsidR="00C65635">
        <w:t xml:space="preserve"> for medium-density area</w:t>
      </w:r>
      <w:r w:rsidR="002664DA">
        <w:t>s</w:t>
      </w:r>
    </w:p>
    <w:tbl>
      <w:tblPr>
        <w:tblW w:w="76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Pr>
      <w:tblGrid>
        <w:gridCol w:w="2550"/>
        <w:gridCol w:w="2550"/>
        <w:gridCol w:w="2550"/>
      </w:tblGrid>
      <w:tr w:rsidR="000C3107" w:rsidRPr="00A64787" w14:paraId="7737548D" w14:textId="77777777" w:rsidTr="007A5938">
        <w:trPr>
          <w:trHeight w:val="210"/>
        </w:trPr>
        <w:tc>
          <w:tcPr>
            <w:tcW w:w="2550" w:type="dxa"/>
            <w:shd w:val="clear" w:color="auto" w:fill="404040" w:themeFill="text1" w:themeFillTint="BF"/>
            <w:noWrap/>
            <w:vAlign w:val="bottom"/>
            <w:hideMark/>
          </w:tcPr>
          <w:p w14:paraId="1BE4893A" w14:textId="77777777" w:rsidR="000C3107" w:rsidRPr="007A5938" w:rsidRDefault="000C3107" w:rsidP="007A5938">
            <w:pPr>
              <w:keepNext/>
              <w:keepLines/>
              <w:spacing w:after="0" w:line="240" w:lineRule="auto"/>
              <w:rPr>
                <w:rFonts w:cs="Arial"/>
                <w:b/>
                <w:bCs/>
                <w:color w:val="FFFFFF" w:themeColor="background1"/>
                <w:szCs w:val="20"/>
              </w:rPr>
            </w:pPr>
            <w:r w:rsidRPr="007A5938">
              <w:rPr>
                <w:rFonts w:cs="Arial"/>
                <w:b/>
                <w:bCs/>
                <w:color w:val="FFFFFF" w:themeColor="background1"/>
                <w:szCs w:val="20"/>
              </w:rPr>
              <w:t>Significant Urban Area</w:t>
            </w:r>
          </w:p>
        </w:tc>
        <w:tc>
          <w:tcPr>
            <w:tcW w:w="2550" w:type="dxa"/>
            <w:shd w:val="clear" w:color="auto" w:fill="404040" w:themeFill="text1" w:themeFillTint="BF"/>
            <w:noWrap/>
            <w:vAlign w:val="bottom"/>
            <w:hideMark/>
          </w:tcPr>
          <w:p w14:paraId="297136BC" w14:textId="77777777" w:rsidR="000C3107" w:rsidRPr="007A5938" w:rsidRDefault="000C3107" w:rsidP="007A5938">
            <w:pPr>
              <w:keepNext/>
              <w:keepLines/>
              <w:spacing w:after="0" w:line="240" w:lineRule="auto"/>
              <w:jc w:val="right"/>
              <w:rPr>
                <w:rFonts w:cs="Arial"/>
                <w:b/>
                <w:bCs/>
                <w:color w:val="FFFFFF" w:themeColor="background1"/>
                <w:szCs w:val="20"/>
              </w:rPr>
            </w:pPr>
            <w:r w:rsidRPr="007A5938">
              <w:rPr>
                <w:rFonts w:cs="Arial"/>
                <w:b/>
                <w:bCs/>
                <w:color w:val="FFFFFF" w:themeColor="background1"/>
                <w:szCs w:val="20"/>
              </w:rPr>
              <w:t>2020 population</w:t>
            </w:r>
          </w:p>
        </w:tc>
        <w:tc>
          <w:tcPr>
            <w:tcW w:w="2550" w:type="dxa"/>
            <w:shd w:val="clear" w:color="auto" w:fill="404040" w:themeFill="text1" w:themeFillTint="BF"/>
            <w:noWrap/>
            <w:vAlign w:val="bottom"/>
            <w:hideMark/>
          </w:tcPr>
          <w:p w14:paraId="774D9AC4" w14:textId="77777777" w:rsidR="000C3107" w:rsidRPr="007A5938" w:rsidRDefault="000C3107" w:rsidP="007A5938">
            <w:pPr>
              <w:keepNext/>
              <w:keepLines/>
              <w:spacing w:after="0" w:line="240" w:lineRule="auto"/>
              <w:jc w:val="right"/>
              <w:rPr>
                <w:rFonts w:cs="Arial"/>
                <w:b/>
                <w:bCs/>
                <w:color w:val="FFFFFF" w:themeColor="background1"/>
                <w:szCs w:val="20"/>
              </w:rPr>
            </w:pPr>
            <w:r w:rsidRPr="007A5938">
              <w:rPr>
                <w:rFonts w:cs="Arial"/>
                <w:b/>
                <w:bCs/>
                <w:color w:val="FFFFFF" w:themeColor="background1"/>
                <w:szCs w:val="20"/>
              </w:rPr>
              <w:t>2021 population</w:t>
            </w:r>
          </w:p>
        </w:tc>
      </w:tr>
      <w:tr w:rsidR="000C3107" w:rsidRPr="00A64787" w14:paraId="5F34AC32" w14:textId="77777777" w:rsidTr="007A5938">
        <w:trPr>
          <w:trHeight w:val="210"/>
        </w:trPr>
        <w:tc>
          <w:tcPr>
            <w:tcW w:w="2550" w:type="dxa"/>
            <w:shd w:val="clear" w:color="auto" w:fill="auto"/>
            <w:noWrap/>
            <w:vAlign w:val="bottom"/>
            <w:hideMark/>
          </w:tcPr>
          <w:p w14:paraId="20B38F19" w14:textId="7CF34C58" w:rsidR="000C3107" w:rsidRPr="00060F23" w:rsidRDefault="000C3107" w:rsidP="007A5938">
            <w:pPr>
              <w:keepNext/>
              <w:keepLines/>
              <w:spacing w:after="0" w:line="240" w:lineRule="auto"/>
              <w:rPr>
                <w:rFonts w:cs="Arial"/>
                <w:color w:val="000000"/>
                <w:szCs w:val="20"/>
              </w:rPr>
            </w:pPr>
            <w:r w:rsidRPr="00060F23">
              <w:rPr>
                <w:rFonts w:cs="Arial"/>
                <w:color w:val="000000"/>
                <w:szCs w:val="20"/>
              </w:rPr>
              <w:t xml:space="preserve">Morisset </w:t>
            </w:r>
            <w:r w:rsidR="000326E6" w:rsidRPr="00060F23">
              <w:rPr>
                <w:rFonts w:cs="Arial"/>
                <w:szCs w:val="20"/>
              </w:rPr>
              <w:t>–</w:t>
            </w:r>
            <w:r w:rsidRPr="00060F23">
              <w:rPr>
                <w:rFonts w:cs="Arial"/>
                <w:color w:val="000000"/>
                <w:szCs w:val="20"/>
              </w:rPr>
              <w:t xml:space="preserve"> Cooranbong</w:t>
            </w:r>
          </w:p>
        </w:tc>
        <w:tc>
          <w:tcPr>
            <w:tcW w:w="2550" w:type="dxa"/>
            <w:shd w:val="clear" w:color="auto" w:fill="auto"/>
            <w:noWrap/>
            <w:vAlign w:val="bottom"/>
            <w:hideMark/>
          </w:tcPr>
          <w:p w14:paraId="23857EE3" w14:textId="6F60E772" w:rsidR="000C3107" w:rsidRPr="00060F23" w:rsidRDefault="000C3107" w:rsidP="007A5938">
            <w:pPr>
              <w:keepNext/>
              <w:keepLines/>
              <w:spacing w:after="0" w:line="240" w:lineRule="auto"/>
              <w:jc w:val="right"/>
              <w:rPr>
                <w:rFonts w:cs="Arial"/>
                <w:color w:val="000000"/>
                <w:szCs w:val="20"/>
              </w:rPr>
            </w:pPr>
            <w:r w:rsidRPr="00060F23">
              <w:rPr>
                <w:rFonts w:cs="Arial"/>
                <w:color w:val="000000"/>
                <w:szCs w:val="20"/>
              </w:rPr>
              <w:t xml:space="preserve">27,077 </w:t>
            </w:r>
          </w:p>
        </w:tc>
        <w:tc>
          <w:tcPr>
            <w:tcW w:w="2550" w:type="dxa"/>
            <w:shd w:val="clear" w:color="auto" w:fill="auto"/>
            <w:noWrap/>
            <w:vAlign w:val="bottom"/>
            <w:hideMark/>
          </w:tcPr>
          <w:p w14:paraId="536184E8" w14:textId="16A42C30" w:rsidR="000C3107" w:rsidRPr="00060F23" w:rsidRDefault="000C3107" w:rsidP="007A5938">
            <w:pPr>
              <w:keepNext/>
              <w:keepLines/>
              <w:spacing w:after="0" w:line="240" w:lineRule="auto"/>
              <w:jc w:val="right"/>
              <w:rPr>
                <w:rFonts w:cs="Arial"/>
                <w:color w:val="000000"/>
                <w:szCs w:val="20"/>
              </w:rPr>
            </w:pPr>
            <w:r w:rsidRPr="00060F23">
              <w:rPr>
                <w:rFonts w:cs="Arial"/>
                <w:color w:val="000000"/>
                <w:szCs w:val="20"/>
              </w:rPr>
              <w:t xml:space="preserve">27,771 </w:t>
            </w:r>
          </w:p>
        </w:tc>
      </w:tr>
      <w:tr w:rsidR="000C3107" w:rsidRPr="00A64787" w14:paraId="3F0EEE7F" w14:textId="77777777" w:rsidTr="007A5938">
        <w:trPr>
          <w:trHeight w:val="210"/>
        </w:trPr>
        <w:tc>
          <w:tcPr>
            <w:tcW w:w="2550" w:type="dxa"/>
            <w:shd w:val="clear" w:color="auto" w:fill="auto"/>
            <w:noWrap/>
            <w:vAlign w:val="bottom"/>
            <w:hideMark/>
          </w:tcPr>
          <w:p w14:paraId="02BED3EF" w14:textId="77777777" w:rsidR="000C3107" w:rsidRPr="00060F23" w:rsidRDefault="000C3107" w:rsidP="007A5938">
            <w:pPr>
              <w:keepNext/>
              <w:keepLines/>
              <w:spacing w:after="0" w:line="240" w:lineRule="auto"/>
              <w:rPr>
                <w:rFonts w:cs="Arial"/>
                <w:color w:val="000000"/>
                <w:szCs w:val="20"/>
              </w:rPr>
            </w:pPr>
            <w:r w:rsidRPr="00060F23">
              <w:rPr>
                <w:rFonts w:cs="Arial"/>
                <w:color w:val="000000"/>
                <w:szCs w:val="20"/>
              </w:rPr>
              <w:t>Nelson Bay</w:t>
            </w:r>
          </w:p>
        </w:tc>
        <w:tc>
          <w:tcPr>
            <w:tcW w:w="2550" w:type="dxa"/>
            <w:shd w:val="clear" w:color="auto" w:fill="auto"/>
            <w:noWrap/>
            <w:vAlign w:val="bottom"/>
            <w:hideMark/>
          </w:tcPr>
          <w:p w14:paraId="6DD51C29" w14:textId="341D7103" w:rsidR="000C3107" w:rsidRPr="00060F23" w:rsidRDefault="000C3107" w:rsidP="007A5938">
            <w:pPr>
              <w:keepNext/>
              <w:keepLines/>
              <w:spacing w:after="0" w:line="240" w:lineRule="auto"/>
              <w:jc w:val="right"/>
              <w:rPr>
                <w:rFonts w:cs="Arial"/>
                <w:color w:val="000000"/>
                <w:szCs w:val="20"/>
              </w:rPr>
            </w:pPr>
            <w:r w:rsidRPr="00060F23">
              <w:rPr>
                <w:rFonts w:cs="Arial"/>
                <w:color w:val="000000"/>
                <w:szCs w:val="20"/>
              </w:rPr>
              <w:t xml:space="preserve">28,140 </w:t>
            </w:r>
          </w:p>
        </w:tc>
        <w:tc>
          <w:tcPr>
            <w:tcW w:w="2550" w:type="dxa"/>
            <w:shd w:val="clear" w:color="auto" w:fill="auto"/>
            <w:noWrap/>
            <w:vAlign w:val="bottom"/>
            <w:hideMark/>
          </w:tcPr>
          <w:p w14:paraId="23A654C6" w14:textId="70F0EA89" w:rsidR="000C3107" w:rsidRPr="00060F23" w:rsidRDefault="000C3107" w:rsidP="007A5938">
            <w:pPr>
              <w:keepNext/>
              <w:keepLines/>
              <w:spacing w:after="0" w:line="240" w:lineRule="auto"/>
              <w:jc w:val="right"/>
              <w:rPr>
                <w:rFonts w:cs="Arial"/>
                <w:color w:val="000000"/>
                <w:szCs w:val="20"/>
              </w:rPr>
            </w:pPr>
            <w:r w:rsidRPr="00060F23">
              <w:rPr>
                <w:rFonts w:cs="Arial"/>
                <w:color w:val="000000"/>
                <w:szCs w:val="20"/>
              </w:rPr>
              <w:t xml:space="preserve">28,316 </w:t>
            </w:r>
          </w:p>
        </w:tc>
      </w:tr>
      <w:tr w:rsidR="000C3107" w:rsidRPr="00A64787" w14:paraId="4EF75137" w14:textId="77777777" w:rsidTr="007A5938">
        <w:trPr>
          <w:trHeight w:val="210"/>
        </w:trPr>
        <w:tc>
          <w:tcPr>
            <w:tcW w:w="2550" w:type="dxa"/>
            <w:shd w:val="clear" w:color="auto" w:fill="auto"/>
            <w:noWrap/>
            <w:vAlign w:val="bottom"/>
            <w:hideMark/>
          </w:tcPr>
          <w:p w14:paraId="3AE04B50" w14:textId="1CC4CE7F" w:rsidR="000C3107" w:rsidRPr="00060F23" w:rsidRDefault="000C3107" w:rsidP="007A5938">
            <w:pPr>
              <w:keepNext/>
              <w:keepLines/>
              <w:spacing w:after="0" w:line="240" w:lineRule="auto"/>
              <w:rPr>
                <w:rFonts w:cs="Arial"/>
                <w:color w:val="000000"/>
                <w:szCs w:val="20"/>
              </w:rPr>
            </w:pPr>
            <w:r w:rsidRPr="00060F23">
              <w:rPr>
                <w:rFonts w:cs="Arial"/>
                <w:color w:val="000000"/>
                <w:szCs w:val="20"/>
              </w:rPr>
              <w:t xml:space="preserve">Newcastle </w:t>
            </w:r>
            <w:r w:rsidR="000326E6" w:rsidRPr="00060F23">
              <w:rPr>
                <w:rFonts w:cs="Arial"/>
                <w:szCs w:val="20"/>
              </w:rPr>
              <w:t>–</w:t>
            </w:r>
            <w:r w:rsidRPr="00060F23">
              <w:rPr>
                <w:rFonts w:cs="Arial"/>
                <w:color w:val="000000"/>
                <w:szCs w:val="20"/>
              </w:rPr>
              <w:t xml:space="preserve"> Maitland</w:t>
            </w:r>
          </w:p>
        </w:tc>
        <w:tc>
          <w:tcPr>
            <w:tcW w:w="2550" w:type="dxa"/>
            <w:shd w:val="clear" w:color="auto" w:fill="auto"/>
            <w:noWrap/>
            <w:vAlign w:val="bottom"/>
            <w:hideMark/>
          </w:tcPr>
          <w:p w14:paraId="49B61959" w14:textId="5C997E1E" w:rsidR="000C3107" w:rsidRPr="00060F23" w:rsidRDefault="000C3107" w:rsidP="007A5938">
            <w:pPr>
              <w:keepNext/>
              <w:keepLines/>
              <w:spacing w:after="0" w:line="240" w:lineRule="auto"/>
              <w:jc w:val="right"/>
              <w:rPr>
                <w:rFonts w:cs="Arial"/>
                <w:color w:val="000000"/>
                <w:szCs w:val="20"/>
              </w:rPr>
            </w:pPr>
            <w:r w:rsidRPr="00060F23">
              <w:rPr>
                <w:rFonts w:cs="Arial"/>
                <w:color w:val="000000"/>
                <w:szCs w:val="20"/>
              </w:rPr>
              <w:t xml:space="preserve">502,468 </w:t>
            </w:r>
          </w:p>
        </w:tc>
        <w:tc>
          <w:tcPr>
            <w:tcW w:w="2550" w:type="dxa"/>
            <w:shd w:val="clear" w:color="auto" w:fill="auto"/>
            <w:noWrap/>
            <w:vAlign w:val="bottom"/>
            <w:hideMark/>
          </w:tcPr>
          <w:p w14:paraId="69F74AA3" w14:textId="6DA60CE6" w:rsidR="000C3107" w:rsidRPr="00060F23" w:rsidRDefault="000C3107" w:rsidP="007A5938">
            <w:pPr>
              <w:keepNext/>
              <w:keepLines/>
              <w:spacing w:after="0" w:line="240" w:lineRule="auto"/>
              <w:jc w:val="right"/>
              <w:rPr>
                <w:rFonts w:cs="Arial"/>
                <w:color w:val="000000"/>
                <w:szCs w:val="20"/>
              </w:rPr>
            </w:pPr>
            <w:r w:rsidRPr="00060F23">
              <w:rPr>
                <w:rFonts w:cs="Arial"/>
                <w:color w:val="000000"/>
                <w:szCs w:val="20"/>
              </w:rPr>
              <w:t xml:space="preserve">509,894 </w:t>
            </w:r>
          </w:p>
        </w:tc>
      </w:tr>
      <w:tr w:rsidR="000C3107" w:rsidRPr="00A64787" w14:paraId="63246E69" w14:textId="77777777" w:rsidTr="007A5938">
        <w:trPr>
          <w:trHeight w:val="210"/>
        </w:trPr>
        <w:tc>
          <w:tcPr>
            <w:tcW w:w="2550" w:type="dxa"/>
            <w:shd w:val="clear" w:color="auto" w:fill="auto"/>
            <w:noWrap/>
            <w:vAlign w:val="bottom"/>
            <w:hideMark/>
          </w:tcPr>
          <w:p w14:paraId="00F38A71" w14:textId="77777777" w:rsidR="000C3107" w:rsidRPr="00060F23" w:rsidRDefault="000C3107" w:rsidP="007A5938">
            <w:pPr>
              <w:keepNext/>
              <w:keepLines/>
              <w:spacing w:after="0" w:line="240" w:lineRule="auto"/>
              <w:rPr>
                <w:rFonts w:cs="Arial"/>
                <w:color w:val="000000"/>
                <w:szCs w:val="20"/>
              </w:rPr>
            </w:pPr>
            <w:r w:rsidRPr="00060F23">
              <w:rPr>
                <w:rFonts w:cs="Arial"/>
                <w:color w:val="000000"/>
                <w:szCs w:val="20"/>
              </w:rPr>
              <w:t>Adelaide</w:t>
            </w:r>
          </w:p>
        </w:tc>
        <w:tc>
          <w:tcPr>
            <w:tcW w:w="2550" w:type="dxa"/>
            <w:shd w:val="clear" w:color="auto" w:fill="auto"/>
            <w:noWrap/>
            <w:vAlign w:val="bottom"/>
            <w:hideMark/>
          </w:tcPr>
          <w:p w14:paraId="1A12D444" w14:textId="63D6CB6B" w:rsidR="000C3107" w:rsidRPr="00060F23" w:rsidRDefault="000C3107" w:rsidP="007A5938">
            <w:pPr>
              <w:keepNext/>
              <w:keepLines/>
              <w:spacing w:after="0" w:line="240" w:lineRule="auto"/>
              <w:jc w:val="right"/>
              <w:rPr>
                <w:rFonts w:cs="Arial"/>
                <w:color w:val="000000"/>
                <w:szCs w:val="20"/>
              </w:rPr>
            </w:pPr>
            <w:r w:rsidRPr="00060F23">
              <w:rPr>
                <w:rFonts w:cs="Arial"/>
                <w:color w:val="000000"/>
                <w:szCs w:val="20"/>
              </w:rPr>
              <w:t xml:space="preserve">1,376,260 </w:t>
            </w:r>
          </w:p>
        </w:tc>
        <w:tc>
          <w:tcPr>
            <w:tcW w:w="2550" w:type="dxa"/>
            <w:shd w:val="clear" w:color="auto" w:fill="auto"/>
            <w:noWrap/>
            <w:vAlign w:val="bottom"/>
            <w:hideMark/>
          </w:tcPr>
          <w:p w14:paraId="5F65E58E" w14:textId="3075D7E5" w:rsidR="000C3107" w:rsidRPr="00060F23" w:rsidRDefault="000C3107" w:rsidP="007A5938">
            <w:pPr>
              <w:keepNext/>
              <w:keepLines/>
              <w:spacing w:after="0" w:line="240" w:lineRule="auto"/>
              <w:jc w:val="right"/>
              <w:rPr>
                <w:rFonts w:cs="Arial"/>
                <w:color w:val="000000"/>
                <w:szCs w:val="20"/>
              </w:rPr>
            </w:pPr>
            <w:r w:rsidRPr="00060F23">
              <w:rPr>
                <w:rFonts w:cs="Arial"/>
                <w:color w:val="000000"/>
                <w:szCs w:val="20"/>
              </w:rPr>
              <w:t xml:space="preserve">1,383,209 </w:t>
            </w:r>
          </w:p>
        </w:tc>
      </w:tr>
      <w:tr w:rsidR="000C3107" w:rsidRPr="00A64787" w14:paraId="5795D51C" w14:textId="77777777" w:rsidTr="007A5938">
        <w:trPr>
          <w:trHeight w:val="210"/>
        </w:trPr>
        <w:tc>
          <w:tcPr>
            <w:tcW w:w="2550" w:type="dxa"/>
            <w:shd w:val="clear" w:color="auto" w:fill="auto"/>
            <w:noWrap/>
            <w:vAlign w:val="bottom"/>
            <w:hideMark/>
          </w:tcPr>
          <w:p w14:paraId="07AC9102" w14:textId="77777777" w:rsidR="000C3107" w:rsidRPr="00060F23" w:rsidRDefault="000C3107" w:rsidP="007A5938">
            <w:pPr>
              <w:keepNext/>
              <w:keepLines/>
              <w:spacing w:after="0" w:line="240" w:lineRule="auto"/>
              <w:rPr>
                <w:rFonts w:cs="Arial"/>
                <w:color w:val="000000"/>
                <w:szCs w:val="20"/>
              </w:rPr>
            </w:pPr>
            <w:r w:rsidRPr="00060F23">
              <w:rPr>
                <w:rFonts w:cs="Arial"/>
                <w:color w:val="000000"/>
                <w:szCs w:val="20"/>
              </w:rPr>
              <w:t>Perth</w:t>
            </w:r>
          </w:p>
        </w:tc>
        <w:tc>
          <w:tcPr>
            <w:tcW w:w="2550" w:type="dxa"/>
            <w:shd w:val="clear" w:color="auto" w:fill="auto"/>
            <w:noWrap/>
            <w:vAlign w:val="bottom"/>
            <w:hideMark/>
          </w:tcPr>
          <w:p w14:paraId="0243AB8F" w14:textId="0F4885AC" w:rsidR="000C3107" w:rsidRPr="00060F23" w:rsidRDefault="000C3107" w:rsidP="007A5938">
            <w:pPr>
              <w:keepNext/>
              <w:keepLines/>
              <w:spacing w:after="0" w:line="240" w:lineRule="auto"/>
              <w:jc w:val="right"/>
              <w:rPr>
                <w:rFonts w:cs="Arial"/>
                <w:color w:val="000000"/>
                <w:szCs w:val="20"/>
              </w:rPr>
            </w:pPr>
            <w:r w:rsidRPr="00060F23">
              <w:rPr>
                <w:rFonts w:cs="Arial"/>
                <w:color w:val="000000"/>
                <w:szCs w:val="20"/>
              </w:rPr>
              <w:t xml:space="preserve">2,124,852 </w:t>
            </w:r>
          </w:p>
        </w:tc>
        <w:tc>
          <w:tcPr>
            <w:tcW w:w="2550" w:type="dxa"/>
            <w:shd w:val="clear" w:color="auto" w:fill="auto"/>
            <w:noWrap/>
            <w:vAlign w:val="bottom"/>
            <w:hideMark/>
          </w:tcPr>
          <w:p w14:paraId="79193868" w14:textId="49D435B6" w:rsidR="000C3107" w:rsidRPr="00060F23" w:rsidRDefault="000C3107" w:rsidP="007A5938">
            <w:pPr>
              <w:keepNext/>
              <w:keepLines/>
              <w:spacing w:after="0" w:line="240" w:lineRule="auto"/>
              <w:jc w:val="right"/>
              <w:rPr>
                <w:rFonts w:cs="Arial"/>
                <w:color w:val="000000"/>
                <w:szCs w:val="20"/>
              </w:rPr>
            </w:pPr>
            <w:r w:rsidRPr="00060F23">
              <w:rPr>
                <w:rFonts w:cs="Arial"/>
                <w:color w:val="000000"/>
                <w:szCs w:val="20"/>
              </w:rPr>
              <w:t xml:space="preserve">2,150,403 </w:t>
            </w:r>
          </w:p>
        </w:tc>
      </w:tr>
      <w:tr w:rsidR="000C3107" w:rsidRPr="00A64787" w14:paraId="2DE8DD2D" w14:textId="77777777" w:rsidTr="007A5938">
        <w:trPr>
          <w:trHeight w:val="210"/>
        </w:trPr>
        <w:tc>
          <w:tcPr>
            <w:tcW w:w="2550" w:type="dxa"/>
            <w:shd w:val="clear" w:color="auto" w:fill="auto"/>
            <w:noWrap/>
            <w:vAlign w:val="bottom"/>
            <w:hideMark/>
          </w:tcPr>
          <w:p w14:paraId="2A1D7029" w14:textId="77777777" w:rsidR="000C3107" w:rsidRPr="007A5938" w:rsidRDefault="000C3107" w:rsidP="007A5938">
            <w:pPr>
              <w:keepNext/>
              <w:keepLines/>
              <w:spacing w:after="0" w:line="240" w:lineRule="auto"/>
              <w:rPr>
                <w:rFonts w:cs="Arial"/>
                <w:b/>
                <w:bCs/>
                <w:color w:val="000000"/>
                <w:szCs w:val="20"/>
              </w:rPr>
            </w:pPr>
            <w:r w:rsidRPr="007A5938">
              <w:rPr>
                <w:rFonts w:cs="Arial"/>
                <w:b/>
                <w:bCs/>
                <w:color w:val="000000"/>
                <w:szCs w:val="20"/>
              </w:rPr>
              <w:t>Total population</w:t>
            </w:r>
          </w:p>
        </w:tc>
        <w:tc>
          <w:tcPr>
            <w:tcW w:w="2550" w:type="dxa"/>
            <w:shd w:val="clear" w:color="auto" w:fill="auto"/>
            <w:noWrap/>
            <w:vAlign w:val="bottom"/>
            <w:hideMark/>
          </w:tcPr>
          <w:p w14:paraId="46649854" w14:textId="00AD8C31" w:rsidR="000C3107" w:rsidRPr="00060F23" w:rsidRDefault="000C3107" w:rsidP="007A5938">
            <w:pPr>
              <w:keepNext/>
              <w:keepLines/>
              <w:spacing w:after="0" w:line="240" w:lineRule="auto"/>
              <w:jc w:val="right"/>
              <w:rPr>
                <w:rFonts w:cs="Arial"/>
                <w:b/>
                <w:bCs/>
                <w:color w:val="000000"/>
                <w:szCs w:val="20"/>
              </w:rPr>
            </w:pPr>
            <w:r w:rsidRPr="00060F23">
              <w:rPr>
                <w:rFonts w:cs="Arial"/>
                <w:b/>
                <w:bCs/>
                <w:color w:val="000000"/>
                <w:szCs w:val="20"/>
              </w:rPr>
              <w:t xml:space="preserve">4,058,797 </w:t>
            </w:r>
          </w:p>
        </w:tc>
        <w:tc>
          <w:tcPr>
            <w:tcW w:w="2550" w:type="dxa"/>
            <w:shd w:val="clear" w:color="auto" w:fill="auto"/>
            <w:noWrap/>
            <w:vAlign w:val="bottom"/>
            <w:hideMark/>
          </w:tcPr>
          <w:p w14:paraId="1C34BAA4" w14:textId="5C3A505A" w:rsidR="000C3107" w:rsidRPr="00060F23" w:rsidRDefault="000C3107" w:rsidP="007A5938">
            <w:pPr>
              <w:keepNext/>
              <w:keepLines/>
              <w:spacing w:after="0" w:line="240" w:lineRule="auto"/>
              <w:jc w:val="right"/>
              <w:rPr>
                <w:rFonts w:cs="Arial"/>
                <w:b/>
                <w:bCs/>
                <w:color w:val="000000"/>
                <w:szCs w:val="20"/>
              </w:rPr>
            </w:pPr>
            <w:r w:rsidRPr="00060F23">
              <w:rPr>
                <w:rFonts w:cs="Arial"/>
                <w:b/>
                <w:bCs/>
                <w:color w:val="000000"/>
                <w:szCs w:val="20"/>
              </w:rPr>
              <w:t xml:space="preserve">4,099,593 </w:t>
            </w:r>
          </w:p>
        </w:tc>
      </w:tr>
      <w:tr w:rsidR="00060F23" w:rsidRPr="00A64787" w14:paraId="30106A6C" w14:textId="77777777" w:rsidTr="007E743D">
        <w:trPr>
          <w:trHeight w:val="210"/>
        </w:trPr>
        <w:tc>
          <w:tcPr>
            <w:tcW w:w="2550" w:type="dxa"/>
            <w:shd w:val="clear" w:color="auto" w:fill="auto"/>
            <w:noWrap/>
            <w:vAlign w:val="bottom"/>
            <w:hideMark/>
          </w:tcPr>
          <w:p w14:paraId="5979D8A5" w14:textId="77777777" w:rsidR="00060F23" w:rsidRPr="007A5938" w:rsidRDefault="00060F23" w:rsidP="007A5938">
            <w:pPr>
              <w:keepNext/>
              <w:keepLines/>
              <w:spacing w:after="0" w:line="240" w:lineRule="auto"/>
              <w:rPr>
                <w:rFonts w:cs="Arial"/>
                <w:b/>
                <w:bCs/>
                <w:color w:val="000000"/>
                <w:szCs w:val="20"/>
              </w:rPr>
            </w:pPr>
            <w:r w:rsidRPr="007A5938">
              <w:rPr>
                <w:rFonts w:cs="Arial"/>
                <w:b/>
                <w:bCs/>
                <w:color w:val="000000"/>
                <w:szCs w:val="20"/>
              </w:rPr>
              <w:t>Change (%)</w:t>
            </w:r>
          </w:p>
        </w:tc>
        <w:tc>
          <w:tcPr>
            <w:tcW w:w="5100" w:type="dxa"/>
            <w:gridSpan w:val="2"/>
            <w:shd w:val="clear" w:color="auto" w:fill="auto"/>
            <w:noWrap/>
            <w:vAlign w:val="bottom"/>
            <w:hideMark/>
          </w:tcPr>
          <w:p w14:paraId="693BA406" w14:textId="77777777" w:rsidR="00060F23" w:rsidRPr="00060F23" w:rsidRDefault="00060F23" w:rsidP="007A5938">
            <w:pPr>
              <w:keepNext/>
              <w:keepLines/>
              <w:spacing w:after="0" w:line="240" w:lineRule="auto"/>
              <w:jc w:val="right"/>
              <w:rPr>
                <w:rFonts w:cs="Arial"/>
                <w:b/>
                <w:bCs/>
                <w:color w:val="000000"/>
                <w:szCs w:val="20"/>
              </w:rPr>
            </w:pPr>
            <w:r w:rsidRPr="00060F23">
              <w:rPr>
                <w:rFonts w:cs="Arial"/>
                <w:b/>
                <w:bCs/>
                <w:color w:val="000000"/>
                <w:szCs w:val="20"/>
              </w:rPr>
              <w:t>1.0051%</w:t>
            </w:r>
          </w:p>
        </w:tc>
      </w:tr>
    </w:tbl>
    <w:p w14:paraId="0E403BF4" w14:textId="77777777" w:rsidR="00060F23" w:rsidRDefault="00060F23" w:rsidP="00935F71">
      <w:pPr>
        <w:rPr>
          <w:rFonts w:cs="Arial"/>
          <w:szCs w:val="20"/>
        </w:rPr>
      </w:pPr>
    </w:p>
    <w:p w14:paraId="55EDEE20" w14:textId="49091294" w:rsidR="00612E95" w:rsidRPr="00612E95" w:rsidRDefault="00612E95" w:rsidP="00935F71">
      <w:pPr>
        <w:rPr>
          <w:rFonts w:cs="Arial"/>
          <w:szCs w:val="20"/>
        </w:rPr>
      </w:pPr>
      <w:r w:rsidRPr="00612E95">
        <w:rPr>
          <w:rFonts w:cs="Arial"/>
          <w:szCs w:val="20"/>
        </w:rPr>
        <w:t xml:space="preserve">The ABS dataset ‘Estimated resident population, Significant Urban Areas’ provides population data for each SUA. </w:t>
      </w:r>
      <w:r w:rsidR="000326E6">
        <w:rPr>
          <w:rFonts w:cs="Arial"/>
          <w:szCs w:val="20"/>
        </w:rPr>
        <w:t xml:space="preserve">We </w:t>
      </w:r>
      <w:r w:rsidR="00A628AB">
        <w:rPr>
          <w:rFonts w:cs="Arial"/>
          <w:szCs w:val="20"/>
        </w:rPr>
        <w:t xml:space="preserve">would </w:t>
      </w:r>
      <w:r w:rsidRPr="00612E95">
        <w:rPr>
          <w:rFonts w:cs="Arial"/>
          <w:szCs w:val="20"/>
        </w:rPr>
        <w:t xml:space="preserve">then </w:t>
      </w:r>
      <w:r w:rsidR="00A628AB">
        <w:rPr>
          <w:rFonts w:cs="Arial"/>
          <w:szCs w:val="20"/>
        </w:rPr>
        <w:t>group</w:t>
      </w:r>
      <w:r w:rsidRPr="00612E95">
        <w:rPr>
          <w:rFonts w:cs="Arial"/>
          <w:szCs w:val="20"/>
        </w:rPr>
        <w:t xml:space="preserve"> the above SUAs into a medium-density area classification and take the total population of all SUAs within the classification. The percentage change of the total population between one year and the next will then be used to update apparatus licence tax rates for medium-density areas. In this case, medium-density area tax rates would increase</w:t>
      </w:r>
      <w:r w:rsidR="000326E6">
        <w:rPr>
          <w:rFonts w:cs="Arial"/>
          <w:szCs w:val="20"/>
        </w:rPr>
        <w:t xml:space="preserve"> </w:t>
      </w:r>
      <w:r w:rsidRPr="00612E95">
        <w:rPr>
          <w:rFonts w:cs="Arial"/>
          <w:szCs w:val="20"/>
        </w:rPr>
        <w:t>by 1.0051%.</w:t>
      </w:r>
      <w:r w:rsidR="003E7903">
        <w:rPr>
          <w:rFonts w:cs="Arial"/>
          <w:szCs w:val="20"/>
        </w:rPr>
        <w:t xml:space="preserve"> </w:t>
      </w:r>
      <w:r w:rsidR="005A49CD">
        <w:rPr>
          <w:rFonts w:cs="Arial"/>
          <w:szCs w:val="20"/>
        </w:rPr>
        <w:t>For comparison, a uniform update to apparatus licence tax rates using annual changes in CPI would result in an increase of 3.8% over the same period.</w:t>
      </w:r>
    </w:p>
    <w:p w14:paraId="14F40BBC" w14:textId="767AE2AF" w:rsidR="00935F71" w:rsidRPr="00935F71" w:rsidRDefault="00CE7FB6" w:rsidP="007A5938">
      <w:pPr>
        <w:pStyle w:val="Heading3"/>
      </w:pPr>
      <w:r w:rsidRPr="008670BD">
        <w:t>A</w:t>
      </w:r>
      <w:r w:rsidR="003A2135">
        <w:t>pparatus licence fee schedule</w:t>
      </w:r>
      <w:r w:rsidRPr="008670BD">
        <w:t xml:space="preserve"> </w:t>
      </w:r>
      <w:r w:rsidR="003A2135">
        <w:t xml:space="preserve">– </w:t>
      </w:r>
      <w:r w:rsidR="00935F71" w:rsidRPr="00935F71">
        <w:t>Division 4A</w:t>
      </w:r>
    </w:p>
    <w:p w14:paraId="7201E01D" w14:textId="77777777" w:rsidR="00935F71" w:rsidRDefault="00935F71" w:rsidP="00935F71">
      <w:pPr>
        <w:rPr>
          <w:rFonts w:cs="Arial"/>
          <w:szCs w:val="20"/>
        </w:rPr>
      </w:pPr>
      <w:r>
        <w:rPr>
          <w:rFonts w:cs="Arial"/>
          <w:szCs w:val="20"/>
        </w:rPr>
        <w:t>Division 4A: Harmonised government spectrum area licences differ in tax rate for different states. Australian Capital Territory, New South Wales, Northern Territory, Queensland, South Australia, Tasmania, Victoria, and Western Australia all differ in annual licence tax.</w:t>
      </w:r>
    </w:p>
    <w:p w14:paraId="114D49B7" w14:textId="057074C4" w:rsidR="000326E6" w:rsidRDefault="000326E6" w:rsidP="00935F71">
      <w:pPr>
        <w:rPr>
          <w:rFonts w:cs="Arial"/>
          <w:szCs w:val="20"/>
        </w:rPr>
      </w:pPr>
      <w:r>
        <w:rPr>
          <w:rFonts w:cs="Arial"/>
          <w:szCs w:val="20"/>
        </w:rPr>
        <w:t xml:space="preserve">We </w:t>
      </w:r>
      <w:r w:rsidR="00935F71">
        <w:rPr>
          <w:rFonts w:cs="Arial"/>
          <w:szCs w:val="20"/>
        </w:rPr>
        <w:t>propose to update the tax rate for Division 4A according to changes in population for each state</w:t>
      </w:r>
      <w:r w:rsidR="006B7E2F">
        <w:rPr>
          <w:rFonts w:cs="Arial"/>
          <w:szCs w:val="20"/>
        </w:rPr>
        <w:t xml:space="preserve"> or territory</w:t>
      </w:r>
      <w:r w:rsidR="00935F71">
        <w:rPr>
          <w:rFonts w:cs="Arial"/>
          <w:szCs w:val="20"/>
        </w:rPr>
        <w:t xml:space="preserve">. The ‘Estimated resident population, Significant Urban Areas’ dataset can be </w:t>
      </w:r>
      <w:r w:rsidR="00653B25">
        <w:rPr>
          <w:rFonts w:cs="Arial"/>
          <w:szCs w:val="20"/>
        </w:rPr>
        <w:t>applied</w:t>
      </w:r>
      <w:r w:rsidR="00935F71">
        <w:rPr>
          <w:rFonts w:cs="Arial"/>
          <w:szCs w:val="20"/>
        </w:rPr>
        <w:t xml:space="preserve"> </w:t>
      </w:r>
      <w:r w:rsidR="00935F71" w:rsidRPr="000326E6">
        <w:rPr>
          <w:rFonts w:cs="Arial"/>
          <w:szCs w:val="20"/>
        </w:rPr>
        <w:t>to group by state</w:t>
      </w:r>
      <w:r w:rsidR="005E6857" w:rsidRPr="000326E6">
        <w:rPr>
          <w:rFonts w:cs="Arial"/>
          <w:szCs w:val="20"/>
        </w:rPr>
        <w:t xml:space="preserve"> or territory</w:t>
      </w:r>
      <w:r w:rsidR="00935F71" w:rsidRPr="000326E6">
        <w:rPr>
          <w:rFonts w:cs="Arial"/>
          <w:szCs w:val="20"/>
        </w:rPr>
        <w:t>.</w:t>
      </w:r>
      <w:r w:rsidR="00935F71">
        <w:rPr>
          <w:rFonts w:cs="Arial"/>
          <w:szCs w:val="20"/>
        </w:rPr>
        <w:t xml:space="preserve"> As such, cumulative annual changes for population in each state can be used to update annual tax rates on a specific basis</w:t>
      </w:r>
      <w:r w:rsidR="00C93A8D">
        <w:rPr>
          <w:rFonts w:cs="Arial"/>
          <w:szCs w:val="20"/>
        </w:rPr>
        <w:t>, in line with the annual ABS releases of data on the population of each SUA</w:t>
      </w:r>
      <w:r w:rsidR="00935F71">
        <w:rPr>
          <w:rFonts w:cs="Arial"/>
          <w:szCs w:val="20"/>
        </w:rPr>
        <w:t>.</w:t>
      </w:r>
    </w:p>
    <w:p w14:paraId="4BE50F3B" w14:textId="463C29F1" w:rsidR="00935F71" w:rsidRDefault="00935F71" w:rsidP="00935F71">
      <w:pPr>
        <w:rPr>
          <w:rFonts w:cs="Arial"/>
          <w:szCs w:val="20"/>
        </w:rPr>
      </w:pPr>
      <w:r>
        <w:rPr>
          <w:rFonts w:cs="Arial"/>
          <w:szCs w:val="20"/>
        </w:rPr>
        <w:t>Each of the 110 SUAs would be grouped according to their state</w:t>
      </w:r>
      <w:r w:rsidR="005E6857">
        <w:rPr>
          <w:rFonts w:cs="Arial"/>
          <w:szCs w:val="20"/>
        </w:rPr>
        <w:t xml:space="preserve"> or territory</w:t>
      </w:r>
      <w:r>
        <w:rPr>
          <w:rFonts w:cs="Arial"/>
          <w:szCs w:val="20"/>
        </w:rPr>
        <w:t xml:space="preserve"> as per </w:t>
      </w:r>
      <w:r w:rsidR="000326E6">
        <w:rPr>
          <w:rFonts w:cs="Arial"/>
          <w:szCs w:val="20"/>
        </w:rPr>
        <w:t>Table 4</w:t>
      </w:r>
      <w:r>
        <w:rPr>
          <w:rFonts w:cs="Arial"/>
          <w:szCs w:val="20"/>
        </w:rPr>
        <w:t>. The proposal is to take the cumulative population for each year for each state</w:t>
      </w:r>
      <w:r w:rsidR="00CF4C5A">
        <w:rPr>
          <w:rFonts w:cs="Arial"/>
          <w:szCs w:val="20"/>
        </w:rPr>
        <w:t xml:space="preserve"> or territory</w:t>
      </w:r>
      <w:r>
        <w:rPr>
          <w:rFonts w:cs="Arial"/>
          <w:szCs w:val="20"/>
        </w:rPr>
        <w:t>, calculate the percentage change against the cumulative population from the previous year for each corresponding state</w:t>
      </w:r>
      <w:r w:rsidR="00CF4C5A">
        <w:rPr>
          <w:rFonts w:cs="Arial"/>
          <w:szCs w:val="20"/>
        </w:rPr>
        <w:t xml:space="preserve"> or territory</w:t>
      </w:r>
      <w:r>
        <w:rPr>
          <w:rFonts w:cs="Arial"/>
          <w:szCs w:val="20"/>
        </w:rPr>
        <w:t>, and update the licence tax rate according to this percentage change.</w:t>
      </w:r>
    </w:p>
    <w:p w14:paraId="780FC8EB" w14:textId="0E635E83" w:rsidR="007A7755" w:rsidRPr="006B5472" w:rsidRDefault="007A7755" w:rsidP="008F109F">
      <w:pPr>
        <w:rPr>
          <w:rFonts w:cs="Arial"/>
          <w:szCs w:val="20"/>
        </w:rPr>
      </w:pPr>
      <w:r>
        <w:rPr>
          <w:rFonts w:cs="Arial"/>
          <w:szCs w:val="20"/>
        </w:rPr>
        <w:t>Note that some SUAs extend</w:t>
      </w:r>
      <w:r w:rsidR="000326E6">
        <w:rPr>
          <w:rFonts w:cs="Arial"/>
          <w:szCs w:val="20"/>
        </w:rPr>
        <w:t xml:space="preserve"> </w:t>
      </w:r>
      <w:r w:rsidR="00CF4C5A">
        <w:rPr>
          <w:rFonts w:cs="Arial"/>
          <w:szCs w:val="20"/>
        </w:rPr>
        <w:t>across</w:t>
      </w:r>
      <w:r>
        <w:rPr>
          <w:rFonts w:cs="Arial"/>
          <w:szCs w:val="20"/>
        </w:rPr>
        <w:t xml:space="preserve"> different states</w:t>
      </w:r>
      <w:r w:rsidR="00CF4C5A">
        <w:rPr>
          <w:rFonts w:cs="Arial"/>
          <w:szCs w:val="20"/>
        </w:rPr>
        <w:t xml:space="preserve"> or territories</w:t>
      </w:r>
      <w:r>
        <w:rPr>
          <w:rFonts w:cs="Arial"/>
          <w:szCs w:val="20"/>
        </w:rPr>
        <w:t>, for example</w:t>
      </w:r>
      <w:r w:rsidR="000326E6">
        <w:rPr>
          <w:rFonts w:cs="Arial"/>
          <w:szCs w:val="20"/>
        </w:rPr>
        <w:t>,</w:t>
      </w:r>
      <w:r>
        <w:rPr>
          <w:rFonts w:cs="Arial"/>
          <w:szCs w:val="20"/>
        </w:rPr>
        <w:t xml:space="preserve"> the Albury-Wodonga SUA spans both Victoria and New South Wales. In these instances, we propose to classify the SUA into the density area where the majority of the SUA is located. As the population figure for these SUAs are relatively low, the effect of classifying them in one area compared to another is marginal.</w:t>
      </w:r>
    </w:p>
    <w:p w14:paraId="6FC277B3" w14:textId="48CEFA87" w:rsidR="003043B6" w:rsidRPr="001448F8" w:rsidRDefault="008F109F" w:rsidP="007A5938">
      <w:pPr>
        <w:pStyle w:val="Tableheading"/>
        <w:pageBreakBefore/>
      </w:pPr>
      <w:r>
        <w:lastRenderedPageBreak/>
        <w:t>List of</w:t>
      </w:r>
      <w:r w:rsidR="003043B6" w:rsidRPr="001448F8">
        <w:t xml:space="preserve"> Significant </w:t>
      </w:r>
      <w:r>
        <w:t>Urban Areas</w:t>
      </w:r>
      <w:r w:rsidR="006C12DD">
        <w:t xml:space="preserve"> grouped by state</w:t>
      </w:r>
    </w:p>
    <w:p w14:paraId="48ABCC43" w14:textId="77777777" w:rsidR="003D14C2" w:rsidRDefault="003D14C2" w:rsidP="003D14C2">
      <w:pPr>
        <w:spacing w:after="0"/>
        <w:rPr>
          <w:rFonts w:cs="Arial"/>
          <w:b/>
          <w:bCs/>
          <w:sz w:val="16"/>
          <w:szCs w:val="16"/>
        </w:rPr>
        <w:sectPr w:rsidR="003D14C2" w:rsidSect="00B03B74">
          <w:headerReference w:type="even" r:id="rId35"/>
          <w:headerReference w:type="default" r:id="rId36"/>
          <w:footerReference w:type="even" r:id="rId37"/>
          <w:footerReference w:type="default" r:id="rId38"/>
          <w:type w:val="continuous"/>
          <w:pgSz w:w="11906" w:h="16838" w:code="9"/>
          <w:pgMar w:top="1945" w:right="3101" w:bottom="1134" w:left="1134" w:header="709" w:footer="119" w:gutter="0"/>
          <w:cols w:space="708"/>
          <w:docGrid w:linePitch="360"/>
        </w:sectPr>
      </w:pPr>
    </w:p>
    <w:p w14:paraId="1A464E1F" w14:textId="77777777" w:rsidR="003D14C2" w:rsidRPr="00060F23" w:rsidRDefault="003D14C2" w:rsidP="003D14C2">
      <w:pPr>
        <w:spacing w:after="0" w:line="0" w:lineRule="atLeast"/>
        <w:rPr>
          <w:rFonts w:cs="Arial"/>
          <w:b/>
          <w:bCs/>
          <w:szCs w:val="20"/>
        </w:rPr>
      </w:pPr>
      <w:r w:rsidRPr="00060F23">
        <w:rPr>
          <w:rFonts w:cs="Arial"/>
          <w:b/>
          <w:bCs/>
          <w:szCs w:val="20"/>
        </w:rPr>
        <w:t>New South Wales</w:t>
      </w:r>
    </w:p>
    <w:p w14:paraId="162FB795" w14:textId="77777777" w:rsidR="003D14C2" w:rsidRPr="00060F23" w:rsidRDefault="003D14C2" w:rsidP="003D14C2">
      <w:pPr>
        <w:spacing w:after="0" w:line="0" w:lineRule="atLeast"/>
        <w:rPr>
          <w:rFonts w:cs="Arial"/>
          <w:szCs w:val="20"/>
        </w:rPr>
      </w:pPr>
      <w:r w:rsidRPr="00060F23">
        <w:rPr>
          <w:rFonts w:cs="Arial"/>
          <w:szCs w:val="20"/>
        </w:rPr>
        <w:t>Not in any SUA (NSW)</w:t>
      </w:r>
    </w:p>
    <w:p w14:paraId="3FA28B12" w14:textId="476DF006" w:rsidR="003D14C2" w:rsidRPr="00060F23" w:rsidRDefault="003D14C2" w:rsidP="003D14C2">
      <w:pPr>
        <w:spacing w:after="0" w:line="0" w:lineRule="atLeast"/>
        <w:rPr>
          <w:rFonts w:cs="Arial"/>
          <w:szCs w:val="20"/>
        </w:rPr>
      </w:pPr>
      <w:r w:rsidRPr="00060F23">
        <w:rPr>
          <w:rFonts w:cs="Arial"/>
          <w:szCs w:val="20"/>
        </w:rPr>
        <w:t xml:space="preserve">Albury </w:t>
      </w:r>
      <w:r w:rsidR="000326E6" w:rsidRPr="00060F23">
        <w:rPr>
          <w:rFonts w:cs="Arial"/>
          <w:szCs w:val="20"/>
        </w:rPr>
        <w:t xml:space="preserve">– </w:t>
      </w:r>
      <w:r w:rsidRPr="00060F23">
        <w:rPr>
          <w:rFonts w:cs="Arial"/>
          <w:szCs w:val="20"/>
        </w:rPr>
        <w:t>Wodonga</w:t>
      </w:r>
    </w:p>
    <w:p w14:paraId="59BE175E" w14:textId="77777777" w:rsidR="003D14C2" w:rsidRPr="00060F23" w:rsidRDefault="003D14C2" w:rsidP="003D14C2">
      <w:pPr>
        <w:spacing w:after="0" w:line="0" w:lineRule="atLeast"/>
        <w:rPr>
          <w:rFonts w:cs="Arial"/>
          <w:szCs w:val="20"/>
        </w:rPr>
      </w:pPr>
      <w:r w:rsidRPr="00060F23">
        <w:rPr>
          <w:rFonts w:cs="Arial"/>
          <w:szCs w:val="20"/>
        </w:rPr>
        <w:t>Armidale</w:t>
      </w:r>
    </w:p>
    <w:p w14:paraId="6C934537" w14:textId="77777777" w:rsidR="003D14C2" w:rsidRPr="00060F23" w:rsidRDefault="003D14C2" w:rsidP="003D14C2">
      <w:pPr>
        <w:spacing w:after="0" w:line="0" w:lineRule="atLeast"/>
        <w:rPr>
          <w:rFonts w:cs="Arial"/>
          <w:szCs w:val="20"/>
        </w:rPr>
      </w:pPr>
      <w:r w:rsidRPr="00060F23">
        <w:rPr>
          <w:rFonts w:cs="Arial"/>
          <w:szCs w:val="20"/>
        </w:rPr>
        <w:t>Ballina</w:t>
      </w:r>
    </w:p>
    <w:p w14:paraId="68D3478A" w14:textId="77777777" w:rsidR="003D14C2" w:rsidRPr="00060F23" w:rsidRDefault="003D14C2" w:rsidP="003D14C2">
      <w:pPr>
        <w:spacing w:after="0" w:line="0" w:lineRule="atLeast"/>
        <w:rPr>
          <w:rFonts w:cs="Arial"/>
          <w:szCs w:val="20"/>
        </w:rPr>
      </w:pPr>
      <w:r w:rsidRPr="00060F23">
        <w:rPr>
          <w:rFonts w:cs="Arial"/>
          <w:szCs w:val="20"/>
        </w:rPr>
        <w:t>Batemans Bay</w:t>
      </w:r>
    </w:p>
    <w:p w14:paraId="0C6C5D04" w14:textId="77777777" w:rsidR="003D14C2" w:rsidRPr="00060F23" w:rsidRDefault="003D14C2" w:rsidP="003D14C2">
      <w:pPr>
        <w:spacing w:after="0" w:line="0" w:lineRule="atLeast"/>
        <w:rPr>
          <w:rFonts w:cs="Arial"/>
          <w:szCs w:val="20"/>
        </w:rPr>
      </w:pPr>
      <w:r w:rsidRPr="00060F23">
        <w:rPr>
          <w:rFonts w:cs="Arial"/>
          <w:szCs w:val="20"/>
        </w:rPr>
        <w:t>Bathurst</w:t>
      </w:r>
    </w:p>
    <w:p w14:paraId="34391ACD" w14:textId="5F9DEDFE" w:rsidR="003D14C2" w:rsidRPr="00060F23" w:rsidRDefault="003D14C2" w:rsidP="003D14C2">
      <w:pPr>
        <w:spacing w:after="0" w:line="0" w:lineRule="atLeast"/>
        <w:rPr>
          <w:rFonts w:cs="Arial"/>
          <w:szCs w:val="20"/>
        </w:rPr>
      </w:pPr>
      <w:r w:rsidRPr="00060F23">
        <w:rPr>
          <w:rFonts w:cs="Arial"/>
          <w:szCs w:val="20"/>
        </w:rPr>
        <w:t xml:space="preserve">Bowral </w:t>
      </w:r>
      <w:r w:rsidR="000326E6" w:rsidRPr="00060F23">
        <w:rPr>
          <w:rFonts w:cs="Arial"/>
          <w:szCs w:val="20"/>
        </w:rPr>
        <w:t xml:space="preserve">– </w:t>
      </w:r>
      <w:r w:rsidRPr="00060F23">
        <w:rPr>
          <w:rFonts w:cs="Arial"/>
          <w:szCs w:val="20"/>
        </w:rPr>
        <w:t>Mittagong</w:t>
      </w:r>
    </w:p>
    <w:p w14:paraId="0DC5F4BB" w14:textId="77777777" w:rsidR="003D14C2" w:rsidRPr="00060F23" w:rsidRDefault="003D14C2" w:rsidP="003D14C2">
      <w:pPr>
        <w:spacing w:after="0" w:line="0" w:lineRule="atLeast"/>
        <w:rPr>
          <w:rFonts w:cs="Arial"/>
          <w:szCs w:val="20"/>
        </w:rPr>
      </w:pPr>
      <w:r w:rsidRPr="00060F23">
        <w:rPr>
          <w:rFonts w:cs="Arial"/>
          <w:szCs w:val="20"/>
        </w:rPr>
        <w:t>Broken Hill</w:t>
      </w:r>
    </w:p>
    <w:p w14:paraId="7E4A5DA1" w14:textId="77777777" w:rsidR="003D14C2" w:rsidRPr="00060F23" w:rsidRDefault="003D14C2" w:rsidP="003D14C2">
      <w:pPr>
        <w:spacing w:after="0" w:line="0" w:lineRule="atLeast"/>
        <w:rPr>
          <w:rFonts w:cs="Arial"/>
          <w:szCs w:val="20"/>
        </w:rPr>
      </w:pPr>
      <w:r w:rsidRPr="00060F23">
        <w:rPr>
          <w:rFonts w:cs="Arial"/>
          <w:szCs w:val="20"/>
        </w:rPr>
        <w:t>Camden Haven</w:t>
      </w:r>
    </w:p>
    <w:p w14:paraId="05F6F66F" w14:textId="77777777" w:rsidR="003D14C2" w:rsidRPr="00060F23" w:rsidRDefault="003D14C2" w:rsidP="003D14C2">
      <w:pPr>
        <w:spacing w:after="0" w:line="0" w:lineRule="atLeast"/>
        <w:rPr>
          <w:rFonts w:cs="Arial"/>
          <w:szCs w:val="20"/>
        </w:rPr>
      </w:pPr>
      <w:r w:rsidRPr="00060F23">
        <w:rPr>
          <w:rFonts w:cs="Arial"/>
          <w:szCs w:val="20"/>
        </w:rPr>
        <w:t>Central Coast</w:t>
      </w:r>
    </w:p>
    <w:p w14:paraId="6E58A70F" w14:textId="77777777" w:rsidR="003D14C2" w:rsidRPr="00060F23" w:rsidRDefault="003D14C2" w:rsidP="003D14C2">
      <w:pPr>
        <w:spacing w:after="0" w:line="0" w:lineRule="atLeast"/>
        <w:rPr>
          <w:rFonts w:cs="Arial"/>
          <w:szCs w:val="20"/>
        </w:rPr>
      </w:pPr>
      <w:r w:rsidRPr="00060F23">
        <w:rPr>
          <w:rFonts w:cs="Arial"/>
          <w:szCs w:val="20"/>
        </w:rPr>
        <w:t>Coffs Harbour</w:t>
      </w:r>
    </w:p>
    <w:p w14:paraId="5A0DE721" w14:textId="77777777" w:rsidR="003D14C2" w:rsidRPr="00060F23" w:rsidRDefault="003D14C2" w:rsidP="003D14C2">
      <w:pPr>
        <w:spacing w:after="0" w:line="0" w:lineRule="atLeast"/>
        <w:rPr>
          <w:rFonts w:cs="Arial"/>
          <w:szCs w:val="20"/>
        </w:rPr>
      </w:pPr>
      <w:r w:rsidRPr="00060F23">
        <w:rPr>
          <w:rFonts w:cs="Arial"/>
          <w:szCs w:val="20"/>
        </w:rPr>
        <w:t>Dubbo</w:t>
      </w:r>
    </w:p>
    <w:p w14:paraId="6268C06B" w14:textId="48C024FB" w:rsidR="003D14C2" w:rsidRPr="00060F23" w:rsidRDefault="003D14C2" w:rsidP="003D14C2">
      <w:pPr>
        <w:spacing w:after="0" w:line="0" w:lineRule="atLeast"/>
        <w:rPr>
          <w:rFonts w:cs="Arial"/>
          <w:szCs w:val="20"/>
        </w:rPr>
      </w:pPr>
      <w:r w:rsidRPr="00060F23">
        <w:rPr>
          <w:rFonts w:cs="Arial"/>
          <w:szCs w:val="20"/>
        </w:rPr>
        <w:t xml:space="preserve">Forster </w:t>
      </w:r>
      <w:r w:rsidR="000326E6" w:rsidRPr="00060F23">
        <w:rPr>
          <w:rFonts w:cs="Arial"/>
          <w:szCs w:val="20"/>
        </w:rPr>
        <w:t>–</w:t>
      </w:r>
      <w:r w:rsidRPr="00060F23">
        <w:rPr>
          <w:rFonts w:cs="Arial"/>
          <w:szCs w:val="20"/>
        </w:rPr>
        <w:t>Tuncurry</w:t>
      </w:r>
    </w:p>
    <w:p w14:paraId="67AAA422" w14:textId="77777777" w:rsidR="003D14C2" w:rsidRPr="00060F23" w:rsidRDefault="003D14C2" w:rsidP="003D14C2">
      <w:pPr>
        <w:spacing w:after="0" w:line="0" w:lineRule="atLeast"/>
        <w:rPr>
          <w:rFonts w:cs="Arial"/>
          <w:szCs w:val="20"/>
        </w:rPr>
      </w:pPr>
      <w:r w:rsidRPr="00060F23">
        <w:rPr>
          <w:rFonts w:cs="Arial"/>
          <w:szCs w:val="20"/>
        </w:rPr>
        <w:t>Goulburn</w:t>
      </w:r>
    </w:p>
    <w:p w14:paraId="18678F56" w14:textId="77777777" w:rsidR="003D14C2" w:rsidRPr="00060F23" w:rsidRDefault="003D14C2" w:rsidP="003D14C2">
      <w:pPr>
        <w:spacing w:after="0" w:line="0" w:lineRule="atLeast"/>
        <w:rPr>
          <w:rFonts w:cs="Arial"/>
          <w:szCs w:val="20"/>
        </w:rPr>
      </w:pPr>
      <w:r w:rsidRPr="00060F23">
        <w:rPr>
          <w:rFonts w:cs="Arial"/>
          <w:szCs w:val="20"/>
        </w:rPr>
        <w:t>Grafton</w:t>
      </w:r>
    </w:p>
    <w:p w14:paraId="57F287B2" w14:textId="77777777" w:rsidR="003D14C2" w:rsidRPr="00060F23" w:rsidRDefault="003D14C2" w:rsidP="003D14C2">
      <w:pPr>
        <w:spacing w:after="0" w:line="0" w:lineRule="atLeast"/>
        <w:rPr>
          <w:rFonts w:cs="Arial"/>
          <w:szCs w:val="20"/>
        </w:rPr>
      </w:pPr>
      <w:r w:rsidRPr="00060F23">
        <w:rPr>
          <w:rFonts w:cs="Arial"/>
          <w:szCs w:val="20"/>
        </w:rPr>
        <w:t>Griffith</w:t>
      </w:r>
    </w:p>
    <w:p w14:paraId="0E4C8D03" w14:textId="77777777" w:rsidR="003D14C2" w:rsidRPr="00060F23" w:rsidRDefault="003D14C2" w:rsidP="003D14C2">
      <w:pPr>
        <w:spacing w:after="0" w:line="0" w:lineRule="atLeast"/>
        <w:rPr>
          <w:rFonts w:cs="Arial"/>
          <w:szCs w:val="20"/>
        </w:rPr>
      </w:pPr>
      <w:r w:rsidRPr="00060F23">
        <w:rPr>
          <w:rFonts w:cs="Arial"/>
          <w:szCs w:val="20"/>
        </w:rPr>
        <w:t>Kempsey</w:t>
      </w:r>
    </w:p>
    <w:p w14:paraId="29CA5B4C" w14:textId="77777777" w:rsidR="003D14C2" w:rsidRPr="00060F23" w:rsidRDefault="003D14C2" w:rsidP="003D14C2">
      <w:pPr>
        <w:spacing w:after="0" w:line="0" w:lineRule="atLeast"/>
        <w:rPr>
          <w:rFonts w:cs="Arial"/>
          <w:szCs w:val="20"/>
        </w:rPr>
      </w:pPr>
      <w:r w:rsidRPr="00060F23">
        <w:rPr>
          <w:rFonts w:cs="Arial"/>
          <w:szCs w:val="20"/>
        </w:rPr>
        <w:t>Lismore</w:t>
      </w:r>
    </w:p>
    <w:p w14:paraId="531D36B8" w14:textId="77777777" w:rsidR="003D14C2" w:rsidRPr="00060F23" w:rsidRDefault="003D14C2" w:rsidP="003D14C2">
      <w:pPr>
        <w:spacing w:after="0" w:line="0" w:lineRule="atLeast"/>
        <w:rPr>
          <w:rFonts w:cs="Arial"/>
          <w:szCs w:val="20"/>
        </w:rPr>
      </w:pPr>
      <w:r w:rsidRPr="00060F23">
        <w:rPr>
          <w:rFonts w:cs="Arial"/>
          <w:szCs w:val="20"/>
        </w:rPr>
        <w:t>Lithgow</w:t>
      </w:r>
    </w:p>
    <w:p w14:paraId="22C90EF5" w14:textId="0E5786C1" w:rsidR="003D14C2" w:rsidRPr="00060F23" w:rsidRDefault="003D14C2" w:rsidP="003D14C2">
      <w:pPr>
        <w:spacing w:after="0" w:line="0" w:lineRule="atLeast"/>
        <w:rPr>
          <w:rFonts w:cs="Arial"/>
          <w:szCs w:val="20"/>
        </w:rPr>
      </w:pPr>
      <w:r w:rsidRPr="00060F23">
        <w:rPr>
          <w:rFonts w:cs="Arial"/>
          <w:szCs w:val="20"/>
        </w:rPr>
        <w:t xml:space="preserve">Morisset </w:t>
      </w:r>
      <w:r w:rsidR="000326E6" w:rsidRPr="00060F23">
        <w:rPr>
          <w:rFonts w:cs="Arial"/>
          <w:szCs w:val="20"/>
        </w:rPr>
        <w:t xml:space="preserve">– </w:t>
      </w:r>
      <w:r w:rsidRPr="00060F23">
        <w:rPr>
          <w:rFonts w:cs="Arial"/>
          <w:szCs w:val="20"/>
        </w:rPr>
        <w:t>Cooranbong</w:t>
      </w:r>
    </w:p>
    <w:p w14:paraId="164F85E1" w14:textId="77777777" w:rsidR="003D14C2" w:rsidRPr="00060F23" w:rsidRDefault="003D14C2" w:rsidP="003D14C2">
      <w:pPr>
        <w:spacing w:after="0" w:line="0" w:lineRule="atLeast"/>
        <w:rPr>
          <w:rFonts w:cs="Arial"/>
          <w:szCs w:val="20"/>
        </w:rPr>
      </w:pPr>
      <w:r w:rsidRPr="00060F23">
        <w:rPr>
          <w:rFonts w:cs="Arial"/>
          <w:szCs w:val="20"/>
        </w:rPr>
        <w:t>Mudgee</w:t>
      </w:r>
    </w:p>
    <w:p w14:paraId="03CFB70C" w14:textId="77777777" w:rsidR="003D14C2" w:rsidRPr="00060F23" w:rsidRDefault="003D14C2" w:rsidP="003D14C2">
      <w:pPr>
        <w:spacing w:after="0" w:line="0" w:lineRule="atLeast"/>
        <w:rPr>
          <w:rFonts w:cs="Arial"/>
          <w:szCs w:val="20"/>
        </w:rPr>
      </w:pPr>
      <w:r w:rsidRPr="00060F23">
        <w:rPr>
          <w:rFonts w:cs="Arial"/>
          <w:szCs w:val="20"/>
        </w:rPr>
        <w:t>Muswellbrook</w:t>
      </w:r>
    </w:p>
    <w:p w14:paraId="52AE0493" w14:textId="77777777" w:rsidR="003D14C2" w:rsidRPr="00060F23" w:rsidRDefault="003D14C2" w:rsidP="003D14C2">
      <w:pPr>
        <w:spacing w:after="0" w:line="0" w:lineRule="atLeast"/>
        <w:rPr>
          <w:rFonts w:cs="Arial"/>
          <w:szCs w:val="20"/>
        </w:rPr>
      </w:pPr>
      <w:r w:rsidRPr="00060F23">
        <w:rPr>
          <w:rFonts w:cs="Arial"/>
          <w:szCs w:val="20"/>
        </w:rPr>
        <w:t>Nelson Bay</w:t>
      </w:r>
    </w:p>
    <w:p w14:paraId="78F26499" w14:textId="4ED95E39" w:rsidR="003D14C2" w:rsidRPr="00060F23" w:rsidRDefault="003D14C2" w:rsidP="003D14C2">
      <w:pPr>
        <w:spacing w:after="0" w:line="0" w:lineRule="atLeast"/>
        <w:rPr>
          <w:rFonts w:cs="Arial"/>
          <w:szCs w:val="20"/>
        </w:rPr>
      </w:pPr>
      <w:r w:rsidRPr="00060F23">
        <w:rPr>
          <w:rFonts w:cs="Arial"/>
          <w:szCs w:val="20"/>
        </w:rPr>
        <w:t xml:space="preserve">Newcastle </w:t>
      </w:r>
      <w:r w:rsidR="000326E6" w:rsidRPr="00060F23">
        <w:rPr>
          <w:rFonts w:cs="Arial"/>
          <w:szCs w:val="20"/>
        </w:rPr>
        <w:t xml:space="preserve">– </w:t>
      </w:r>
      <w:r w:rsidRPr="00060F23">
        <w:rPr>
          <w:rFonts w:cs="Arial"/>
          <w:szCs w:val="20"/>
        </w:rPr>
        <w:t>Maitland</w:t>
      </w:r>
    </w:p>
    <w:p w14:paraId="060A42B0" w14:textId="04008ED2" w:rsidR="003D14C2" w:rsidRPr="00060F23" w:rsidRDefault="003D14C2" w:rsidP="003D14C2">
      <w:pPr>
        <w:spacing w:after="0" w:line="0" w:lineRule="atLeast"/>
        <w:rPr>
          <w:rFonts w:cs="Arial"/>
          <w:szCs w:val="20"/>
        </w:rPr>
      </w:pPr>
      <w:r w:rsidRPr="00060F23">
        <w:rPr>
          <w:rFonts w:cs="Arial"/>
          <w:szCs w:val="20"/>
        </w:rPr>
        <w:t xml:space="preserve">Nowra </w:t>
      </w:r>
      <w:r w:rsidR="000326E6" w:rsidRPr="00060F23">
        <w:rPr>
          <w:rFonts w:cs="Arial"/>
          <w:szCs w:val="20"/>
        </w:rPr>
        <w:t xml:space="preserve">– </w:t>
      </w:r>
      <w:r w:rsidRPr="00060F23">
        <w:rPr>
          <w:rFonts w:cs="Arial"/>
          <w:szCs w:val="20"/>
        </w:rPr>
        <w:t>Bomaderry</w:t>
      </w:r>
    </w:p>
    <w:p w14:paraId="52AD0C37" w14:textId="77777777" w:rsidR="003D14C2" w:rsidRPr="00060F23" w:rsidRDefault="003D14C2" w:rsidP="003D14C2">
      <w:pPr>
        <w:spacing w:after="0" w:line="0" w:lineRule="atLeast"/>
        <w:rPr>
          <w:rFonts w:cs="Arial"/>
          <w:szCs w:val="20"/>
        </w:rPr>
      </w:pPr>
      <w:r w:rsidRPr="00060F23">
        <w:rPr>
          <w:rFonts w:cs="Arial"/>
          <w:szCs w:val="20"/>
        </w:rPr>
        <w:t>Orange</w:t>
      </w:r>
    </w:p>
    <w:p w14:paraId="53BA6F3F" w14:textId="77777777" w:rsidR="003D14C2" w:rsidRPr="00060F23" w:rsidRDefault="003D14C2" w:rsidP="003D14C2">
      <w:pPr>
        <w:spacing w:after="0" w:line="0" w:lineRule="atLeast"/>
        <w:rPr>
          <w:rFonts w:cs="Arial"/>
          <w:szCs w:val="20"/>
        </w:rPr>
      </w:pPr>
      <w:r w:rsidRPr="00060F23">
        <w:rPr>
          <w:rFonts w:cs="Arial"/>
          <w:szCs w:val="20"/>
        </w:rPr>
        <w:t>Parkes</w:t>
      </w:r>
    </w:p>
    <w:p w14:paraId="324AB8DA" w14:textId="77777777" w:rsidR="003D14C2" w:rsidRPr="00060F23" w:rsidRDefault="003D14C2" w:rsidP="003D14C2">
      <w:pPr>
        <w:spacing w:after="0" w:line="0" w:lineRule="atLeast"/>
        <w:rPr>
          <w:rFonts w:cs="Arial"/>
          <w:szCs w:val="20"/>
        </w:rPr>
      </w:pPr>
      <w:r w:rsidRPr="00060F23">
        <w:rPr>
          <w:rFonts w:cs="Arial"/>
          <w:szCs w:val="20"/>
        </w:rPr>
        <w:t>Port Macquarie</w:t>
      </w:r>
    </w:p>
    <w:p w14:paraId="77A24B6C" w14:textId="77777777" w:rsidR="003D14C2" w:rsidRPr="00060F23" w:rsidRDefault="003D14C2" w:rsidP="003D14C2">
      <w:pPr>
        <w:spacing w:after="0" w:line="0" w:lineRule="atLeast"/>
        <w:rPr>
          <w:rFonts w:cs="Arial"/>
          <w:szCs w:val="20"/>
        </w:rPr>
      </w:pPr>
      <w:r w:rsidRPr="00060F23">
        <w:rPr>
          <w:rFonts w:cs="Arial"/>
          <w:szCs w:val="20"/>
        </w:rPr>
        <w:t>Singleton</w:t>
      </w:r>
    </w:p>
    <w:p w14:paraId="28347256" w14:textId="4CC0C749" w:rsidR="003D14C2" w:rsidRPr="00060F23" w:rsidRDefault="003D14C2" w:rsidP="003D14C2">
      <w:pPr>
        <w:spacing w:after="0" w:line="0" w:lineRule="atLeast"/>
        <w:rPr>
          <w:rFonts w:cs="Arial"/>
          <w:szCs w:val="20"/>
        </w:rPr>
      </w:pPr>
      <w:r w:rsidRPr="00060F23">
        <w:rPr>
          <w:rFonts w:cs="Arial"/>
          <w:szCs w:val="20"/>
        </w:rPr>
        <w:t xml:space="preserve">St Georges Basin </w:t>
      </w:r>
      <w:r w:rsidR="000326E6" w:rsidRPr="00060F23">
        <w:rPr>
          <w:rFonts w:cs="Arial"/>
          <w:szCs w:val="20"/>
        </w:rPr>
        <w:t>–</w:t>
      </w:r>
      <w:r w:rsidRPr="00060F23">
        <w:rPr>
          <w:rFonts w:cs="Arial"/>
          <w:szCs w:val="20"/>
        </w:rPr>
        <w:t xml:space="preserve"> </w:t>
      </w:r>
      <w:r w:rsidR="004809FD">
        <w:rPr>
          <w:rFonts w:cs="Arial"/>
          <w:szCs w:val="20"/>
        </w:rPr>
        <w:tab/>
      </w:r>
      <w:r w:rsidRPr="00060F23">
        <w:rPr>
          <w:rFonts w:cs="Arial"/>
          <w:szCs w:val="20"/>
        </w:rPr>
        <w:t>Sanctuary Point</w:t>
      </w:r>
    </w:p>
    <w:p w14:paraId="7F1309B5" w14:textId="77777777" w:rsidR="003D14C2" w:rsidRPr="00060F23" w:rsidRDefault="003D14C2" w:rsidP="003D14C2">
      <w:pPr>
        <w:spacing w:after="0" w:line="0" w:lineRule="atLeast"/>
        <w:rPr>
          <w:rFonts w:cs="Arial"/>
          <w:szCs w:val="20"/>
        </w:rPr>
      </w:pPr>
      <w:r w:rsidRPr="00060F23">
        <w:rPr>
          <w:rFonts w:cs="Arial"/>
          <w:szCs w:val="20"/>
        </w:rPr>
        <w:t>Sydney</w:t>
      </w:r>
    </w:p>
    <w:p w14:paraId="18685500" w14:textId="77777777" w:rsidR="003D14C2" w:rsidRPr="00060F23" w:rsidRDefault="003D14C2" w:rsidP="003D14C2">
      <w:pPr>
        <w:spacing w:after="0" w:line="0" w:lineRule="atLeast"/>
        <w:rPr>
          <w:rFonts w:cs="Arial"/>
          <w:szCs w:val="20"/>
        </w:rPr>
      </w:pPr>
      <w:r w:rsidRPr="00060F23">
        <w:rPr>
          <w:rFonts w:cs="Arial"/>
          <w:szCs w:val="20"/>
        </w:rPr>
        <w:t>Tamworth</w:t>
      </w:r>
    </w:p>
    <w:p w14:paraId="7591985E" w14:textId="77777777" w:rsidR="003D14C2" w:rsidRPr="00060F23" w:rsidRDefault="003D14C2" w:rsidP="003D14C2">
      <w:pPr>
        <w:spacing w:after="0" w:line="0" w:lineRule="atLeast"/>
        <w:rPr>
          <w:rFonts w:cs="Arial"/>
          <w:szCs w:val="20"/>
        </w:rPr>
      </w:pPr>
      <w:r w:rsidRPr="00060F23">
        <w:rPr>
          <w:rFonts w:cs="Arial"/>
          <w:szCs w:val="20"/>
        </w:rPr>
        <w:t>Taree</w:t>
      </w:r>
    </w:p>
    <w:p w14:paraId="6D8F5744" w14:textId="77777777" w:rsidR="003D14C2" w:rsidRPr="00060F23" w:rsidRDefault="003D14C2" w:rsidP="003D14C2">
      <w:pPr>
        <w:spacing w:after="0" w:line="0" w:lineRule="atLeast"/>
        <w:rPr>
          <w:rFonts w:cs="Arial"/>
          <w:szCs w:val="20"/>
        </w:rPr>
      </w:pPr>
      <w:r w:rsidRPr="00060F23">
        <w:rPr>
          <w:rFonts w:cs="Arial"/>
          <w:szCs w:val="20"/>
        </w:rPr>
        <w:t>Ulladulla</w:t>
      </w:r>
    </w:p>
    <w:p w14:paraId="2F13B521" w14:textId="77777777" w:rsidR="003D14C2" w:rsidRPr="00060F23" w:rsidRDefault="003D14C2" w:rsidP="003D14C2">
      <w:pPr>
        <w:spacing w:after="0" w:line="0" w:lineRule="atLeast"/>
        <w:rPr>
          <w:rFonts w:cs="Arial"/>
          <w:szCs w:val="20"/>
        </w:rPr>
      </w:pPr>
      <w:r w:rsidRPr="00060F23">
        <w:rPr>
          <w:rFonts w:cs="Arial"/>
          <w:szCs w:val="20"/>
        </w:rPr>
        <w:t>Wagga Wagga</w:t>
      </w:r>
    </w:p>
    <w:p w14:paraId="22187C58" w14:textId="77777777" w:rsidR="003D14C2" w:rsidRPr="00060F23" w:rsidRDefault="003D14C2" w:rsidP="003D14C2">
      <w:pPr>
        <w:spacing w:after="0" w:line="0" w:lineRule="atLeast"/>
        <w:rPr>
          <w:rFonts w:cs="Arial"/>
          <w:szCs w:val="20"/>
        </w:rPr>
      </w:pPr>
      <w:r w:rsidRPr="00060F23">
        <w:rPr>
          <w:rFonts w:cs="Arial"/>
          <w:szCs w:val="20"/>
        </w:rPr>
        <w:t>Wollongong</w:t>
      </w:r>
    </w:p>
    <w:p w14:paraId="20670F24" w14:textId="77777777" w:rsidR="003D14C2" w:rsidRPr="00060F23" w:rsidRDefault="003D14C2" w:rsidP="003D14C2">
      <w:pPr>
        <w:spacing w:after="0" w:line="0" w:lineRule="atLeast"/>
        <w:rPr>
          <w:rFonts w:cs="Arial"/>
          <w:szCs w:val="20"/>
        </w:rPr>
      </w:pPr>
    </w:p>
    <w:p w14:paraId="2CBCA362" w14:textId="77777777" w:rsidR="003D14C2" w:rsidRPr="00060F23" w:rsidRDefault="003D14C2" w:rsidP="003D14C2">
      <w:pPr>
        <w:spacing w:after="0" w:line="0" w:lineRule="atLeast"/>
        <w:rPr>
          <w:rFonts w:cs="Arial"/>
          <w:b/>
          <w:bCs/>
          <w:szCs w:val="20"/>
        </w:rPr>
      </w:pPr>
      <w:r w:rsidRPr="00060F23">
        <w:rPr>
          <w:rFonts w:cs="Arial"/>
          <w:b/>
          <w:bCs/>
          <w:szCs w:val="20"/>
        </w:rPr>
        <w:t>Victoria</w:t>
      </w:r>
    </w:p>
    <w:p w14:paraId="5BD4AF21" w14:textId="08AC4491" w:rsidR="003D14C2" w:rsidRPr="00060F23" w:rsidRDefault="003D14C2" w:rsidP="003D14C2">
      <w:pPr>
        <w:spacing w:after="0" w:line="0" w:lineRule="atLeast"/>
        <w:rPr>
          <w:rFonts w:cs="Arial"/>
          <w:szCs w:val="20"/>
        </w:rPr>
      </w:pPr>
      <w:r w:rsidRPr="00060F23">
        <w:rPr>
          <w:rFonts w:cs="Arial"/>
          <w:szCs w:val="20"/>
        </w:rPr>
        <w:t>Not in any SUA (Vic)</w:t>
      </w:r>
    </w:p>
    <w:p w14:paraId="094F7E9A" w14:textId="77777777" w:rsidR="003D14C2" w:rsidRPr="00060F23" w:rsidRDefault="003D14C2" w:rsidP="003D14C2">
      <w:pPr>
        <w:spacing w:after="0" w:line="0" w:lineRule="atLeast"/>
        <w:rPr>
          <w:rFonts w:cs="Arial"/>
          <w:szCs w:val="20"/>
        </w:rPr>
      </w:pPr>
      <w:r w:rsidRPr="00060F23">
        <w:rPr>
          <w:rFonts w:cs="Arial"/>
          <w:szCs w:val="20"/>
        </w:rPr>
        <w:t>Bacchus Marsh</w:t>
      </w:r>
    </w:p>
    <w:p w14:paraId="46F3E6F8" w14:textId="77777777" w:rsidR="003D14C2" w:rsidRPr="00060F23" w:rsidRDefault="003D14C2" w:rsidP="003D14C2">
      <w:pPr>
        <w:spacing w:after="0" w:line="0" w:lineRule="atLeast"/>
        <w:rPr>
          <w:rFonts w:cs="Arial"/>
          <w:szCs w:val="20"/>
        </w:rPr>
      </w:pPr>
      <w:r w:rsidRPr="00060F23">
        <w:rPr>
          <w:rFonts w:cs="Arial"/>
          <w:szCs w:val="20"/>
        </w:rPr>
        <w:t>Bairnsdale</w:t>
      </w:r>
    </w:p>
    <w:p w14:paraId="15F08BB7" w14:textId="77777777" w:rsidR="003D14C2" w:rsidRPr="00060F23" w:rsidRDefault="003D14C2" w:rsidP="003D14C2">
      <w:pPr>
        <w:spacing w:after="0" w:line="0" w:lineRule="atLeast"/>
        <w:rPr>
          <w:rFonts w:cs="Arial"/>
          <w:szCs w:val="20"/>
        </w:rPr>
      </w:pPr>
      <w:r w:rsidRPr="00060F23">
        <w:rPr>
          <w:rFonts w:cs="Arial"/>
          <w:szCs w:val="20"/>
        </w:rPr>
        <w:t>Ballarat</w:t>
      </w:r>
    </w:p>
    <w:p w14:paraId="482CBA3B" w14:textId="77777777" w:rsidR="003D14C2" w:rsidRPr="00060F23" w:rsidRDefault="003D14C2" w:rsidP="003D14C2">
      <w:pPr>
        <w:spacing w:after="0" w:line="0" w:lineRule="atLeast"/>
        <w:rPr>
          <w:rFonts w:cs="Arial"/>
          <w:szCs w:val="20"/>
        </w:rPr>
      </w:pPr>
      <w:r w:rsidRPr="00060F23">
        <w:rPr>
          <w:rFonts w:cs="Arial"/>
          <w:szCs w:val="20"/>
        </w:rPr>
        <w:t>Bendigo</w:t>
      </w:r>
    </w:p>
    <w:p w14:paraId="76F13F99" w14:textId="77777777" w:rsidR="003D14C2" w:rsidRPr="00060F23" w:rsidRDefault="003D14C2" w:rsidP="003D14C2">
      <w:pPr>
        <w:spacing w:after="0" w:line="0" w:lineRule="atLeast"/>
        <w:rPr>
          <w:rFonts w:cs="Arial"/>
          <w:szCs w:val="20"/>
        </w:rPr>
      </w:pPr>
      <w:r w:rsidRPr="00060F23">
        <w:rPr>
          <w:rFonts w:cs="Arial"/>
          <w:szCs w:val="20"/>
        </w:rPr>
        <w:t>Colac</w:t>
      </w:r>
    </w:p>
    <w:p w14:paraId="2021CC71" w14:textId="53CF2BE4" w:rsidR="003D14C2" w:rsidRPr="00060F23" w:rsidRDefault="003D14C2" w:rsidP="003D14C2">
      <w:pPr>
        <w:spacing w:after="0" w:line="0" w:lineRule="atLeast"/>
        <w:rPr>
          <w:rFonts w:cs="Arial"/>
          <w:szCs w:val="20"/>
        </w:rPr>
      </w:pPr>
      <w:r w:rsidRPr="00060F23">
        <w:rPr>
          <w:rFonts w:cs="Arial"/>
          <w:szCs w:val="20"/>
        </w:rPr>
        <w:t xml:space="preserve">Echuca </w:t>
      </w:r>
      <w:r w:rsidR="000326E6" w:rsidRPr="00060F23">
        <w:rPr>
          <w:rFonts w:cs="Arial"/>
          <w:szCs w:val="20"/>
        </w:rPr>
        <w:t xml:space="preserve">– </w:t>
      </w:r>
      <w:r w:rsidRPr="00060F23">
        <w:rPr>
          <w:rFonts w:cs="Arial"/>
          <w:szCs w:val="20"/>
        </w:rPr>
        <w:t>Moama</w:t>
      </w:r>
    </w:p>
    <w:p w14:paraId="4BACC844" w14:textId="77777777" w:rsidR="003D14C2" w:rsidRPr="00060F23" w:rsidRDefault="003D14C2" w:rsidP="003D14C2">
      <w:pPr>
        <w:spacing w:after="0" w:line="0" w:lineRule="atLeast"/>
        <w:rPr>
          <w:rFonts w:cs="Arial"/>
          <w:szCs w:val="20"/>
        </w:rPr>
      </w:pPr>
      <w:r w:rsidRPr="00060F23">
        <w:rPr>
          <w:rFonts w:cs="Arial"/>
          <w:szCs w:val="20"/>
        </w:rPr>
        <w:t>Geelong</w:t>
      </w:r>
    </w:p>
    <w:p w14:paraId="3E8BC1E7" w14:textId="4DD3B307" w:rsidR="003D14C2" w:rsidRPr="00060F23" w:rsidRDefault="003D14C2" w:rsidP="003D14C2">
      <w:pPr>
        <w:spacing w:after="0" w:line="0" w:lineRule="atLeast"/>
        <w:rPr>
          <w:rFonts w:cs="Arial"/>
          <w:szCs w:val="20"/>
        </w:rPr>
      </w:pPr>
      <w:r w:rsidRPr="00060F23">
        <w:rPr>
          <w:rFonts w:cs="Arial"/>
          <w:szCs w:val="20"/>
        </w:rPr>
        <w:t xml:space="preserve">Gisborne </w:t>
      </w:r>
      <w:r w:rsidR="000326E6" w:rsidRPr="00060F23">
        <w:rPr>
          <w:rFonts w:cs="Arial"/>
          <w:szCs w:val="20"/>
        </w:rPr>
        <w:t xml:space="preserve">– </w:t>
      </w:r>
      <w:r w:rsidRPr="00060F23">
        <w:rPr>
          <w:rFonts w:cs="Arial"/>
          <w:szCs w:val="20"/>
        </w:rPr>
        <w:t>Macedon</w:t>
      </w:r>
    </w:p>
    <w:p w14:paraId="129A95A9" w14:textId="77777777" w:rsidR="003D14C2" w:rsidRPr="00060F23" w:rsidRDefault="003D14C2" w:rsidP="003D14C2">
      <w:pPr>
        <w:spacing w:after="0" w:line="0" w:lineRule="atLeast"/>
        <w:rPr>
          <w:rFonts w:cs="Arial"/>
          <w:szCs w:val="20"/>
        </w:rPr>
      </w:pPr>
      <w:r w:rsidRPr="00060F23">
        <w:rPr>
          <w:rFonts w:cs="Arial"/>
          <w:szCs w:val="20"/>
        </w:rPr>
        <w:t>Horsham</w:t>
      </w:r>
    </w:p>
    <w:p w14:paraId="4F6C2699" w14:textId="77777777" w:rsidR="003D14C2" w:rsidRPr="00060F23" w:rsidRDefault="003D14C2" w:rsidP="003D14C2">
      <w:pPr>
        <w:spacing w:after="0" w:line="0" w:lineRule="atLeast"/>
        <w:rPr>
          <w:rFonts w:cs="Arial"/>
          <w:szCs w:val="20"/>
        </w:rPr>
      </w:pPr>
      <w:r w:rsidRPr="00060F23">
        <w:rPr>
          <w:rFonts w:cs="Arial"/>
          <w:szCs w:val="20"/>
        </w:rPr>
        <w:t>Melbourne</w:t>
      </w:r>
    </w:p>
    <w:p w14:paraId="031189E3" w14:textId="77777777" w:rsidR="003D14C2" w:rsidRPr="00060F23" w:rsidRDefault="003D14C2" w:rsidP="003D14C2">
      <w:pPr>
        <w:spacing w:after="0" w:line="0" w:lineRule="atLeast"/>
        <w:rPr>
          <w:rFonts w:cs="Arial"/>
          <w:szCs w:val="20"/>
        </w:rPr>
      </w:pPr>
      <w:r w:rsidRPr="00060F23">
        <w:rPr>
          <w:rFonts w:cs="Arial"/>
          <w:szCs w:val="20"/>
        </w:rPr>
        <w:t>Melton</w:t>
      </w:r>
    </w:p>
    <w:p w14:paraId="52E375D2" w14:textId="4D87EE48" w:rsidR="003D14C2" w:rsidRPr="00060F23" w:rsidRDefault="003D14C2" w:rsidP="003D14C2">
      <w:pPr>
        <w:spacing w:after="0" w:line="0" w:lineRule="atLeast"/>
        <w:rPr>
          <w:rFonts w:cs="Arial"/>
          <w:szCs w:val="20"/>
        </w:rPr>
      </w:pPr>
      <w:r w:rsidRPr="00060F23">
        <w:rPr>
          <w:rFonts w:cs="Arial"/>
          <w:szCs w:val="20"/>
        </w:rPr>
        <w:t xml:space="preserve">Mildura </w:t>
      </w:r>
      <w:r w:rsidR="000326E6" w:rsidRPr="00060F23">
        <w:rPr>
          <w:rFonts w:cs="Arial"/>
          <w:szCs w:val="20"/>
        </w:rPr>
        <w:t xml:space="preserve">– </w:t>
      </w:r>
      <w:r w:rsidRPr="00060F23">
        <w:rPr>
          <w:rFonts w:cs="Arial"/>
          <w:szCs w:val="20"/>
        </w:rPr>
        <w:t>Wentworth</w:t>
      </w:r>
    </w:p>
    <w:p w14:paraId="7B2BE782" w14:textId="72CD18B8" w:rsidR="003D14C2" w:rsidRPr="00060F23" w:rsidRDefault="003D14C2" w:rsidP="003D14C2">
      <w:pPr>
        <w:spacing w:after="0" w:line="0" w:lineRule="atLeast"/>
        <w:rPr>
          <w:rFonts w:cs="Arial"/>
          <w:szCs w:val="20"/>
        </w:rPr>
      </w:pPr>
      <w:r w:rsidRPr="00060F23">
        <w:rPr>
          <w:rFonts w:cs="Arial"/>
          <w:szCs w:val="20"/>
        </w:rPr>
        <w:t xml:space="preserve">Moe </w:t>
      </w:r>
      <w:r w:rsidR="000326E6" w:rsidRPr="00060F23">
        <w:rPr>
          <w:rFonts w:cs="Arial"/>
          <w:szCs w:val="20"/>
        </w:rPr>
        <w:t xml:space="preserve">– </w:t>
      </w:r>
      <w:r w:rsidRPr="00060F23">
        <w:rPr>
          <w:rFonts w:cs="Arial"/>
          <w:szCs w:val="20"/>
        </w:rPr>
        <w:t>Newborough</w:t>
      </w:r>
    </w:p>
    <w:p w14:paraId="5E5D5E7C" w14:textId="77777777" w:rsidR="003D14C2" w:rsidRPr="00060F23" w:rsidRDefault="003D14C2" w:rsidP="003D14C2">
      <w:pPr>
        <w:spacing w:after="0" w:line="0" w:lineRule="atLeast"/>
        <w:rPr>
          <w:rFonts w:cs="Arial"/>
          <w:szCs w:val="20"/>
        </w:rPr>
      </w:pPr>
      <w:r w:rsidRPr="00060F23">
        <w:rPr>
          <w:rFonts w:cs="Arial"/>
          <w:szCs w:val="20"/>
        </w:rPr>
        <w:t>Portland</w:t>
      </w:r>
    </w:p>
    <w:p w14:paraId="3EFEA96B" w14:textId="77777777" w:rsidR="003D14C2" w:rsidRPr="00060F23" w:rsidRDefault="003D14C2" w:rsidP="003D14C2">
      <w:pPr>
        <w:spacing w:after="0" w:line="0" w:lineRule="atLeast"/>
        <w:rPr>
          <w:rFonts w:cs="Arial"/>
          <w:szCs w:val="20"/>
        </w:rPr>
      </w:pPr>
      <w:r w:rsidRPr="00060F23">
        <w:rPr>
          <w:rFonts w:cs="Arial"/>
          <w:szCs w:val="20"/>
        </w:rPr>
        <w:t>Sale</w:t>
      </w:r>
    </w:p>
    <w:p w14:paraId="06AE9376" w14:textId="413A3F82" w:rsidR="003518EB" w:rsidRDefault="003D14C2" w:rsidP="003D14C2">
      <w:pPr>
        <w:spacing w:after="0" w:line="0" w:lineRule="atLeast"/>
        <w:rPr>
          <w:rFonts w:cs="Arial"/>
          <w:szCs w:val="20"/>
        </w:rPr>
      </w:pPr>
      <w:r w:rsidRPr="00060F23">
        <w:rPr>
          <w:rFonts w:cs="Arial"/>
          <w:szCs w:val="20"/>
        </w:rPr>
        <w:t xml:space="preserve">Shepparton </w:t>
      </w:r>
      <w:r w:rsidR="000326E6" w:rsidRPr="00060F23">
        <w:rPr>
          <w:rFonts w:cs="Arial"/>
          <w:szCs w:val="20"/>
        </w:rPr>
        <w:t>–</w:t>
      </w:r>
    </w:p>
    <w:p w14:paraId="4AB636B3" w14:textId="72A33105" w:rsidR="003D14C2" w:rsidRPr="00060F23" w:rsidRDefault="003518EB" w:rsidP="003D14C2">
      <w:pPr>
        <w:spacing w:after="0" w:line="0" w:lineRule="atLeast"/>
        <w:rPr>
          <w:rFonts w:cs="Arial"/>
          <w:szCs w:val="20"/>
        </w:rPr>
      </w:pPr>
      <w:r>
        <w:rPr>
          <w:rFonts w:cs="Arial"/>
          <w:szCs w:val="20"/>
        </w:rPr>
        <w:t xml:space="preserve">   </w:t>
      </w:r>
      <w:r w:rsidR="003D14C2" w:rsidRPr="00060F23">
        <w:rPr>
          <w:rFonts w:cs="Arial"/>
          <w:szCs w:val="20"/>
        </w:rPr>
        <w:t>Mooroopna</w:t>
      </w:r>
    </w:p>
    <w:p w14:paraId="4B5D6025" w14:textId="77777777" w:rsidR="003D14C2" w:rsidRPr="00060F23" w:rsidRDefault="003D14C2" w:rsidP="003D14C2">
      <w:pPr>
        <w:spacing w:after="0" w:line="0" w:lineRule="atLeast"/>
        <w:rPr>
          <w:rFonts w:cs="Arial"/>
          <w:szCs w:val="20"/>
        </w:rPr>
      </w:pPr>
      <w:r w:rsidRPr="00060F23">
        <w:rPr>
          <w:rFonts w:cs="Arial"/>
          <w:szCs w:val="20"/>
        </w:rPr>
        <w:t>Swan Hill</w:t>
      </w:r>
    </w:p>
    <w:p w14:paraId="583E5397" w14:textId="799C8200" w:rsidR="003D14C2" w:rsidRPr="00060F23" w:rsidRDefault="003D14C2" w:rsidP="003D14C2">
      <w:pPr>
        <w:spacing w:after="0" w:line="0" w:lineRule="atLeast"/>
        <w:rPr>
          <w:rFonts w:cs="Arial"/>
          <w:szCs w:val="20"/>
        </w:rPr>
      </w:pPr>
      <w:r w:rsidRPr="00060F23">
        <w:rPr>
          <w:rFonts w:cs="Arial"/>
          <w:szCs w:val="20"/>
        </w:rPr>
        <w:t xml:space="preserve">Traralgon </w:t>
      </w:r>
      <w:r w:rsidR="000326E6" w:rsidRPr="00060F23">
        <w:rPr>
          <w:rFonts w:cs="Arial"/>
          <w:szCs w:val="20"/>
        </w:rPr>
        <w:t>–</w:t>
      </w:r>
      <w:r w:rsidRPr="00060F23">
        <w:rPr>
          <w:rFonts w:cs="Arial"/>
          <w:szCs w:val="20"/>
        </w:rPr>
        <w:t xml:space="preserve"> Morwell</w:t>
      </w:r>
    </w:p>
    <w:p w14:paraId="6A19B420" w14:textId="77777777" w:rsidR="003D14C2" w:rsidRPr="00060F23" w:rsidRDefault="003D14C2" w:rsidP="003D14C2">
      <w:pPr>
        <w:spacing w:after="0" w:line="0" w:lineRule="atLeast"/>
        <w:rPr>
          <w:rFonts w:cs="Arial"/>
          <w:szCs w:val="20"/>
        </w:rPr>
      </w:pPr>
      <w:r w:rsidRPr="00060F23">
        <w:rPr>
          <w:rFonts w:cs="Arial"/>
          <w:szCs w:val="20"/>
        </w:rPr>
        <w:t>Wangaratta</w:t>
      </w:r>
    </w:p>
    <w:p w14:paraId="77201B85" w14:textId="04343D81" w:rsidR="003D14C2" w:rsidRPr="00060F23" w:rsidRDefault="003D14C2" w:rsidP="003D14C2">
      <w:pPr>
        <w:spacing w:after="0" w:line="0" w:lineRule="atLeast"/>
        <w:rPr>
          <w:rFonts w:cs="Arial"/>
          <w:szCs w:val="20"/>
        </w:rPr>
      </w:pPr>
      <w:r w:rsidRPr="00060F23">
        <w:rPr>
          <w:rFonts w:cs="Arial"/>
          <w:szCs w:val="20"/>
        </w:rPr>
        <w:t xml:space="preserve">Warragul </w:t>
      </w:r>
      <w:r w:rsidR="000326E6" w:rsidRPr="00060F23">
        <w:rPr>
          <w:rFonts w:cs="Arial"/>
          <w:szCs w:val="20"/>
        </w:rPr>
        <w:t>–</w:t>
      </w:r>
      <w:r w:rsidRPr="00060F23">
        <w:rPr>
          <w:rFonts w:cs="Arial"/>
          <w:szCs w:val="20"/>
        </w:rPr>
        <w:t xml:space="preserve"> Drouin</w:t>
      </w:r>
    </w:p>
    <w:p w14:paraId="25CCACBD" w14:textId="77777777" w:rsidR="003D14C2" w:rsidRPr="00060F23" w:rsidRDefault="003D14C2" w:rsidP="003D14C2">
      <w:pPr>
        <w:spacing w:after="0" w:line="0" w:lineRule="atLeast"/>
        <w:rPr>
          <w:rFonts w:cs="Arial"/>
          <w:szCs w:val="20"/>
        </w:rPr>
      </w:pPr>
      <w:r w:rsidRPr="00060F23">
        <w:rPr>
          <w:rFonts w:cs="Arial"/>
          <w:szCs w:val="20"/>
        </w:rPr>
        <w:t>Warrnambool</w:t>
      </w:r>
    </w:p>
    <w:p w14:paraId="380B8608" w14:textId="77777777" w:rsidR="003D14C2" w:rsidRPr="00060F23" w:rsidRDefault="003D14C2" w:rsidP="003D14C2">
      <w:pPr>
        <w:spacing w:after="0" w:line="0" w:lineRule="atLeast"/>
        <w:rPr>
          <w:rFonts w:cs="Arial"/>
          <w:szCs w:val="20"/>
        </w:rPr>
      </w:pPr>
    </w:p>
    <w:p w14:paraId="2D21C3AA" w14:textId="77777777" w:rsidR="003D14C2" w:rsidRPr="00060F23" w:rsidRDefault="003D14C2" w:rsidP="003D14C2">
      <w:pPr>
        <w:spacing w:after="0" w:line="0" w:lineRule="atLeast"/>
        <w:rPr>
          <w:rFonts w:cs="Arial"/>
          <w:b/>
          <w:bCs/>
          <w:szCs w:val="20"/>
        </w:rPr>
      </w:pPr>
      <w:r w:rsidRPr="00060F23">
        <w:rPr>
          <w:rFonts w:cs="Arial"/>
          <w:b/>
          <w:bCs/>
          <w:szCs w:val="20"/>
        </w:rPr>
        <w:t>Queensland</w:t>
      </w:r>
    </w:p>
    <w:p w14:paraId="035C13AC" w14:textId="77777777" w:rsidR="003D14C2" w:rsidRPr="00060F23" w:rsidRDefault="003D14C2" w:rsidP="003D14C2">
      <w:pPr>
        <w:spacing w:after="0" w:line="0" w:lineRule="atLeast"/>
        <w:rPr>
          <w:rFonts w:cs="Arial"/>
          <w:szCs w:val="20"/>
        </w:rPr>
      </w:pPr>
      <w:r w:rsidRPr="00060F23">
        <w:rPr>
          <w:rFonts w:cs="Arial"/>
          <w:szCs w:val="20"/>
        </w:rPr>
        <w:t>Not in any SUA (Qld)</w:t>
      </w:r>
    </w:p>
    <w:p w14:paraId="7E6B68D3" w14:textId="77777777" w:rsidR="003D14C2" w:rsidRPr="00060F23" w:rsidRDefault="003D14C2" w:rsidP="003D14C2">
      <w:pPr>
        <w:spacing w:after="0" w:line="0" w:lineRule="atLeast"/>
        <w:rPr>
          <w:rFonts w:cs="Arial"/>
          <w:szCs w:val="20"/>
        </w:rPr>
      </w:pPr>
      <w:r w:rsidRPr="00060F23">
        <w:rPr>
          <w:rFonts w:cs="Arial"/>
          <w:szCs w:val="20"/>
        </w:rPr>
        <w:t>Brisbane</w:t>
      </w:r>
    </w:p>
    <w:p w14:paraId="79A16175" w14:textId="77777777" w:rsidR="003D14C2" w:rsidRPr="00060F23" w:rsidRDefault="003D14C2" w:rsidP="003D14C2">
      <w:pPr>
        <w:spacing w:after="0" w:line="0" w:lineRule="atLeast"/>
        <w:rPr>
          <w:rFonts w:cs="Arial"/>
          <w:szCs w:val="20"/>
        </w:rPr>
      </w:pPr>
      <w:r w:rsidRPr="00060F23">
        <w:rPr>
          <w:rFonts w:cs="Arial"/>
          <w:szCs w:val="20"/>
        </w:rPr>
        <w:t>Bundaberg</w:t>
      </w:r>
    </w:p>
    <w:p w14:paraId="3F24BA9E" w14:textId="77777777" w:rsidR="003D14C2" w:rsidRPr="00060F23" w:rsidRDefault="003D14C2" w:rsidP="003D14C2">
      <w:pPr>
        <w:spacing w:after="0" w:line="0" w:lineRule="atLeast"/>
        <w:rPr>
          <w:rFonts w:cs="Arial"/>
          <w:szCs w:val="20"/>
        </w:rPr>
      </w:pPr>
      <w:r w:rsidRPr="00060F23">
        <w:rPr>
          <w:rFonts w:cs="Arial"/>
          <w:szCs w:val="20"/>
        </w:rPr>
        <w:t>Cairns</w:t>
      </w:r>
    </w:p>
    <w:p w14:paraId="7F1815A3" w14:textId="77777777" w:rsidR="003D14C2" w:rsidRPr="00060F23" w:rsidRDefault="003D14C2" w:rsidP="003D14C2">
      <w:pPr>
        <w:spacing w:after="0" w:line="0" w:lineRule="atLeast"/>
        <w:rPr>
          <w:rFonts w:cs="Arial"/>
          <w:szCs w:val="20"/>
        </w:rPr>
      </w:pPr>
      <w:r w:rsidRPr="00060F23">
        <w:rPr>
          <w:rFonts w:cs="Arial"/>
          <w:szCs w:val="20"/>
        </w:rPr>
        <w:t>Emerald</w:t>
      </w:r>
    </w:p>
    <w:p w14:paraId="5A03110A" w14:textId="632828F2" w:rsidR="003D14C2" w:rsidRPr="00060F23" w:rsidRDefault="003D14C2" w:rsidP="003D14C2">
      <w:pPr>
        <w:spacing w:after="0" w:line="0" w:lineRule="atLeast"/>
        <w:rPr>
          <w:rFonts w:cs="Arial"/>
          <w:szCs w:val="20"/>
        </w:rPr>
      </w:pPr>
      <w:r w:rsidRPr="00060F23">
        <w:rPr>
          <w:rFonts w:cs="Arial"/>
          <w:szCs w:val="20"/>
        </w:rPr>
        <w:t xml:space="preserve">Gladstone </w:t>
      </w:r>
      <w:r w:rsidR="000326E6" w:rsidRPr="00060F23">
        <w:rPr>
          <w:rFonts w:cs="Arial"/>
          <w:szCs w:val="20"/>
        </w:rPr>
        <w:t>–</w:t>
      </w:r>
      <w:r w:rsidRPr="00060F23">
        <w:rPr>
          <w:rFonts w:cs="Arial"/>
          <w:szCs w:val="20"/>
        </w:rPr>
        <w:t xml:space="preserve"> Tannum Sands</w:t>
      </w:r>
    </w:p>
    <w:p w14:paraId="3A6BC2AA" w14:textId="16B7B6C4" w:rsidR="003518EB" w:rsidRDefault="003D14C2" w:rsidP="003D14C2">
      <w:pPr>
        <w:spacing w:after="0" w:line="0" w:lineRule="atLeast"/>
        <w:rPr>
          <w:rFonts w:cs="Arial"/>
          <w:szCs w:val="20"/>
        </w:rPr>
      </w:pPr>
      <w:r w:rsidRPr="00060F23">
        <w:rPr>
          <w:rFonts w:cs="Arial"/>
          <w:szCs w:val="20"/>
        </w:rPr>
        <w:t xml:space="preserve">Gold Coast </w:t>
      </w:r>
      <w:r w:rsidR="000326E6" w:rsidRPr="00060F23">
        <w:rPr>
          <w:rFonts w:cs="Arial"/>
          <w:szCs w:val="20"/>
        </w:rPr>
        <w:t>–</w:t>
      </w:r>
      <w:r w:rsidRPr="00060F23">
        <w:rPr>
          <w:rFonts w:cs="Arial"/>
          <w:szCs w:val="20"/>
        </w:rPr>
        <w:t xml:space="preserve"> Tweed</w:t>
      </w:r>
    </w:p>
    <w:p w14:paraId="42B18C2B" w14:textId="20EB316E" w:rsidR="003D14C2" w:rsidRPr="00060F23" w:rsidRDefault="003518EB" w:rsidP="003D14C2">
      <w:pPr>
        <w:spacing w:after="0" w:line="0" w:lineRule="atLeast"/>
        <w:rPr>
          <w:rFonts w:cs="Arial"/>
          <w:szCs w:val="20"/>
        </w:rPr>
      </w:pPr>
      <w:r>
        <w:rPr>
          <w:rFonts w:cs="Arial"/>
          <w:szCs w:val="20"/>
        </w:rPr>
        <w:t xml:space="preserve">   </w:t>
      </w:r>
      <w:r w:rsidR="003D14C2" w:rsidRPr="00060F23">
        <w:rPr>
          <w:rFonts w:cs="Arial"/>
          <w:szCs w:val="20"/>
        </w:rPr>
        <w:t>Heads</w:t>
      </w:r>
    </w:p>
    <w:p w14:paraId="305B17CD" w14:textId="77777777" w:rsidR="003D14C2" w:rsidRPr="00060F23" w:rsidRDefault="003D14C2" w:rsidP="003D14C2">
      <w:pPr>
        <w:spacing w:after="0" w:line="0" w:lineRule="atLeast"/>
        <w:rPr>
          <w:rFonts w:cs="Arial"/>
          <w:szCs w:val="20"/>
        </w:rPr>
      </w:pPr>
      <w:r w:rsidRPr="00060F23">
        <w:rPr>
          <w:rFonts w:cs="Arial"/>
          <w:szCs w:val="20"/>
        </w:rPr>
        <w:t>Gympie</w:t>
      </w:r>
    </w:p>
    <w:p w14:paraId="31ACE692" w14:textId="77777777" w:rsidR="003D14C2" w:rsidRPr="00060F23" w:rsidRDefault="003D14C2" w:rsidP="003D14C2">
      <w:pPr>
        <w:spacing w:after="0" w:line="0" w:lineRule="atLeast"/>
        <w:rPr>
          <w:rFonts w:cs="Arial"/>
          <w:szCs w:val="20"/>
        </w:rPr>
      </w:pPr>
      <w:r w:rsidRPr="00060F23">
        <w:rPr>
          <w:rFonts w:cs="Arial"/>
          <w:szCs w:val="20"/>
        </w:rPr>
        <w:t>Hervey Bay</w:t>
      </w:r>
    </w:p>
    <w:p w14:paraId="5116335F" w14:textId="77777777" w:rsidR="003D14C2" w:rsidRPr="00060F23" w:rsidRDefault="003D14C2" w:rsidP="003D14C2">
      <w:pPr>
        <w:spacing w:after="0" w:line="0" w:lineRule="atLeast"/>
        <w:rPr>
          <w:rFonts w:cs="Arial"/>
          <w:szCs w:val="20"/>
        </w:rPr>
      </w:pPr>
      <w:r w:rsidRPr="00060F23">
        <w:rPr>
          <w:rFonts w:cs="Arial"/>
          <w:szCs w:val="20"/>
        </w:rPr>
        <w:t>Kingaroy</w:t>
      </w:r>
    </w:p>
    <w:p w14:paraId="5BBDB686" w14:textId="77777777" w:rsidR="003D14C2" w:rsidRPr="00060F23" w:rsidRDefault="003D14C2" w:rsidP="003D14C2">
      <w:pPr>
        <w:spacing w:after="0" w:line="0" w:lineRule="atLeast"/>
        <w:rPr>
          <w:rFonts w:cs="Arial"/>
          <w:szCs w:val="20"/>
        </w:rPr>
      </w:pPr>
      <w:r w:rsidRPr="00060F23">
        <w:rPr>
          <w:rFonts w:cs="Arial"/>
          <w:szCs w:val="20"/>
        </w:rPr>
        <w:t>Mackay</w:t>
      </w:r>
    </w:p>
    <w:p w14:paraId="18102BEB" w14:textId="77777777" w:rsidR="003D14C2" w:rsidRPr="00060F23" w:rsidRDefault="003D14C2" w:rsidP="003D14C2">
      <w:pPr>
        <w:spacing w:after="0" w:line="0" w:lineRule="atLeast"/>
        <w:rPr>
          <w:rFonts w:cs="Arial"/>
          <w:szCs w:val="20"/>
        </w:rPr>
      </w:pPr>
      <w:r w:rsidRPr="00060F23">
        <w:rPr>
          <w:rFonts w:cs="Arial"/>
          <w:szCs w:val="20"/>
        </w:rPr>
        <w:t>Maryborough</w:t>
      </w:r>
    </w:p>
    <w:p w14:paraId="3F7185CD" w14:textId="77777777" w:rsidR="003D14C2" w:rsidRPr="00060F23" w:rsidRDefault="003D14C2" w:rsidP="003D14C2">
      <w:pPr>
        <w:spacing w:after="0" w:line="0" w:lineRule="atLeast"/>
        <w:rPr>
          <w:rFonts w:cs="Arial"/>
          <w:szCs w:val="20"/>
        </w:rPr>
      </w:pPr>
      <w:r w:rsidRPr="00060F23">
        <w:rPr>
          <w:rFonts w:cs="Arial"/>
          <w:szCs w:val="20"/>
        </w:rPr>
        <w:t>Mount Isa</w:t>
      </w:r>
    </w:p>
    <w:p w14:paraId="0126E27E" w14:textId="77777777" w:rsidR="003D14C2" w:rsidRPr="00060F23" w:rsidRDefault="003D14C2" w:rsidP="003D14C2">
      <w:pPr>
        <w:spacing w:after="0" w:line="0" w:lineRule="atLeast"/>
        <w:rPr>
          <w:rFonts w:cs="Arial"/>
          <w:szCs w:val="20"/>
        </w:rPr>
      </w:pPr>
      <w:r w:rsidRPr="00060F23">
        <w:rPr>
          <w:rFonts w:cs="Arial"/>
          <w:szCs w:val="20"/>
        </w:rPr>
        <w:t>Rockhampton</w:t>
      </w:r>
    </w:p>
    <w:p w14:paraId="4BCBA728" w14:textId="77777777" w:rsidR="003D14C2" w:rsidRPr="00060F23" w:rsidRDefault="003D14C2" w:rsidP="003D14C2">
      <w:pPr>
        <w:spacing w:after="0" w:line="0" w:lineRule="atLeast"/>
        <w:rPr>
          <w:rFonts w:cs="Arial"/>
          <w:szCs w:val="20"/>
        </w:rPr>
      </w:pPr>
      <w:r w:rsidRPr="00060F23">
        <w:rPr>
          <w:rFonts w:cs="Arial"/>
          <w:szCs w:val="20"/>
        </w:rPr>
        <w:t>Sunshine Coast</w:t>
      </w:r>
    </w:p>
    <w:p w14:paraId="5ED889E3" w14:textId="77777777" w:rsidR="003D14C2" w:rsidRPr="00060F23" w:rsidRDefault="003D14C2" w:rsidP="003D14C2">
      <w:pPr>
        <w:spacing w:after="0" w:line="0" w:lineRule="atLeast"/>
        <w:rPr>
          <w:rFonts w:cs="Arial"/>
          <w:szCs w:val="20"/>
        </w:rPr>
      </w:pPr>
      <w:r w:rsidRPr="00060F23">
        <w:rPr>
          <w:rFonts w:cs="Arial"/>
          <w:szCs w:val="20"/>
        </w:rPr>
        <w:t>Toowoomba</w:t>
      </w:r>
    </w:p>
    <w:p w14:paraId="342EC566" w14:textId="77777777" w:rsidR="003D14C2" w:rsidRPr="00060F23" w:rsidRDefault="003D14C2" w:rsidP="003D14C2">
      <w:pPr>
        <w:spacing w:after="0" w:line="0" w:lineRule="atLeast"/>
        <w:rPr>
          <w:rFonts w:cs="Arial"/>
          <w:szCs w:val="20"/>
        </w:rPr>
      </w:pPr>
      <w:r w:rsidRPr="00060F23">
        <w:rPr>
          <w:rFonts w:cs="Arial"/>
          <w:szCs w:val="20"/>
        </w:rPr>
        <w:t>Townsville</w:t>
      </w:r>
    </w:p>
    <w:p w14:paraId="01579E2B" w14:textId="77777777" w:rsidR="003D14C2" w:rsidRPr="00060F23" w:rsidRDefault="003D14C2" w:rsidP="003D14C2">
      <w:pPr>
        <w:spacing w:after="0" w:line="0" w:lineRule="atLeast"/>
        <w:rPr>
          <w:rFonts w:cs="Arial"/>
          <w:szCs w:val="20"/>
        </w:rPr>
      </w:pPr>
      <w:r w:rsidRPr="00060F23">
        <w:rPr>
          <w:rFonts w:cs="Arial"/>
          <w:szCs w:val="20"/>
        </w:rPr>
        <w:t>Warwick</w:t>
      </w:r>
    </w:p>
    <w:p w14:paraId="195B8F5F" w14:textId="77777777" w:rsidR="003D14C2" w:rsidRPr="00060F23" w:rsidRDefault="003D14C2" w:rsidP="003D14C2">
      <w:pPr>
        <w:spacing w:after="0" w:line="0" w:lineRule="atLeast"/>
        <w:rPr>
          <w:rFonts w:cs="Arial"/>
          <w:szCs w:val="20"/>
        </w:rPr>
      </w:pPr>
      <w:r w:rsidRPr="00060F23">
        <w:rPr>
          <w:rFonts w:cs="Arial"/>
          <w:szCs w:val="20"/>
        </w:rPr>
        <w:t>Yeppoon</w:t>
      </w:r>
    </w:p>
    <w:p w14:paraId="6897E862" w14:textId="77777777" w:rsidR="003D14C2" w:rsidRPr="00060F23" w:rsidRDefault="003D14C2" w:rsidP="003D14C2">
      <w:pPr>
        <w:spacing w:after="0" w:line="0" w:lineRule="atLeast"/>
        <w:rPr>
          <w:rFonts w:cs="Arial"/>
          <w:szCs w:val="20"/>
        </w:rPr>
      </w:pPr>
    </w:p>
    <w:p w14:paraId="26BAD7C6" w14:textId="77777777" w:rsidR="003D14C2" w:rsidRPr="00060F23" w:rsidRDefault="003D14C2" w:rsidP="00060F23">
      <w:pPr>
        <w:keepNext/>
        <w:keepLines/>
        <w:spacing w:after="0" w:line="0" w:lineRule="atLeast"/>
        <w:rPr>
          <w:rFonts w:cs="Arial"/>
          <w:b/>
          <w:bCs/>
          <w:szCs w:val="20"/>
        </w:rPr>
      </w:pPr>
      <w:r w:rsidRPr="00060F23">
        <w:rPr>
          <w:rFonts w:cs="Arial"/>
          <w:b/>
          <w:bCs/>
          <w:szCs w:val="20"/>
        </w:rPr>
        <w:t>South Australia</w:t>
      </w:r>
    </w:p>
    <w:p w14:paraId="68F492C1" w14:textId="77777777" w:rsidR="003D14C2" w:rsidRPr="00060F23" w:rsidRDefault="003D14C2" w:rsidP="003D14C2">
      <w:pPr>
        <w:spacing w:after="0" w:line="0" w:lineRule="atLeast"/>
        <w:rPr>
          <w:rFonts w:cs="Arial"/>
          <w:szCs w:val="20"/>
        </w:rPr>
      </w:pPr>
      <w:r w:rsidRPr="00060F23">
        <w:rPr>
          <w:rFonts w:cs="Arial"/>
          <w:szCs w:val="20"/>
        </w:rPr>
        <w:t>Not in any SUA (SA)</w:t>
      </w:r>
    </w:p>
    <w:p w14:paraId="09AEEF6D" w14:textId="77777777" w:rsidR="003D14C2" w:rsidRPr="00060F23" w:rsidRDefault="003D14C2" w:rsidP="003D14C2">
      <w:pPr>
        <w:spacing w:after="0" w:line="0" w:lineRule="atLeast"/>
        <w:rPr>
          <w:rFonts w:cs="Arial"/>
          <w:szCs w:val="20"/>
        </w:rPr>
      </w:pPr>
      <w:r w:rsidRPr="00060F23">
        <w:rPr>
          <w:rFonts w:cs="Arial"/>
          <w:szCs w:val="20"/>
        </w:rPr>
        <w:t>Adelaide</w:t>
      </w:r>
    </w:p>
    <w:p w14:paraId="1723DF00" w14:textId="77777777" w:rsidR="003D14C2" w:rsidRPr="00060F23" w:rsidRDefault="003D14C2" w:rsidP="003D14C2">
      <w:pPr>
        <w:spacing w:after="0" w:line="0" w:lineRule="atLeast"/>
        <w:rPr>
          <w:rFonts w:cs="Arial"/>
          <w:szCs w:val="20"/>
        </w:rPr>
      </w:pPr>
      <w:r w:rsidRPr="00060F23">
        <w:rPr>
          <w:rFonts w:cs="Arial"/>
          <w:szCs w:val="20"/>
        </w:rPr>
        <w:t>Mount Gambier</w:t>
      </w:r>
    </w:p>
    <w:p w14:paraId="562EB188" w14:textId="77777777" w:rsidR="003D14C2" w:rsidRPr="00060F23" w:rsidRDefault="003D14C2" w:rsidP="003D14C2">
      <w:pPr>
        <w:spacing w:after="0" w:line="0" w:lineRule="atLeast"/>
        <w:rPr>
          <w:rFonts w:cs="Arial"/>
          <w:szCs w:val="20"/>
        </w:rPr>
      </w:pPr>
      <w:r w:rsidRPr="00060F23">
        <w:rPr>
          <w:rFonts w:cs="Arial"/>
          <w:szCs w:val="20"/>
        </w:rPr>
        <w:t>Murray Bridge</w:t>
      </w:r>
    </w:p>
    <w:p w14:paraId="585D8087" w14:textId="77777777" w:rsidR="003D14C2" w:rsidRPr="00060F23" w:rsidRDefault="003D14C2" w:rsidP="003D14C2">
      <w:pPr>
        <w:spacing w:after="0" w:line="0" w:lineRule="atLeast"/>
        <w:rPr>
          <w:rFonts w:cs="Arial"/>
          <w:szCs w:val="20"/>
        </w:rPr>
      </w:pPr>
      <w:r w:rsidRPr="00060F23">
        <w:rPr>
          <w:rFonts w:cs="Arial"/>
          <w:szCs w:val="20"/>
        </w:rPr>
        <w:t>Port Augusta</w:t>
      </w:r>
    </w:p>
    <w:p w14:paraId="161897E2" w14:textId="77777777" w:rsidR="003D14C2" w:rsidRPr="00060F23" w:rsidRDefault="003D14C2" w:rsidP="003D14C2">
      <w:pPr>
        <w:spacing w:after="0" w:line="0" w:lineRule="atLeast"/>
        <w:rPr>
          <w:rFonts w:cs="Arial"/>
          <w:szCs w:val="20"/>
        </w:rPr>
      </w:pPr>
      <w:r w:rsidRPr="00060F23">
        <w:rPr>
          <w:rFonts w:cs="Arial"/>
          <w:szCs w:val="20"/>
        </w:rPr>
        <w:t>Port Lincoln</w:t>
      </w:r>
    </w:p>
    <w:p w14:paraId="48876E9A" w14:textId="77777777" w:rsidR="003D14C2" w:rsidRPr="00060F23" w:rsidRDefault="003D14C2" w:rsidP="003D14C2">
      <w:pPr>
        <w:spacing w:after="0" w:line="0" w:lineRule="atLeast"/>
        <w:rPr>
          <w:rFonts w:cs="Arial"/>
          <w:szCs w:val="20"/>
        </w:rPr>
      </w:pPr>
      <w:r w:rsidRPr="00060F23">
        <w:rPr>
          <w:rFonts w:cs="Arial"/>
          <w:szCs w:val="20"/>
        </w:rPr>
        <w:t>Port Pirie</w:t>
      </w:r>
    </w:p>
    <w:p w14:paraId="0EAAD7F3" w14:textId="79D41396" w:rsidR="003D14C2" w:rsidRPr="00060F23" w:rsidRDefault="003D14C2" w:rsidP="003D14C2">
      <w:pPr>
        <w:spacing w:after="0" w:line="0" w:lineRule="atLeast"/>
        <w:rPr>
          <w:rFonts w:cs="Arial"/>
          <w:szCs w:val="20"/>
        </w:rPr>
      </w:pPr>
      <w:r w:rsidRPr="00060F23">
        <w:rPr>
          <w:rFonts w:cs="Arial"/>
          <w:szCs w:val="20"/>
        </w:rPr>
        <w:t xml:space="preserve">Victor Harbor </w:t>
      </w:r>
      <w:r w:rsidR="000326E6" w:rsidRPr="00060F23">
        <w:rPr>
          <w:rFonts w:cs="Arial"/>
          <w:szCs w:val="20"/>
        </w:rPr>
        <w:t>–</w:t>
      </w:r>
      <w:r w:rsidRPr="00060F23">
        <w:rPr>
          <w:rFonts w:cs="Arial"/>
          <w:szCs w:val="20"/>
        </w:rPr>
        <w:t xml:space="preserve"> Goolwa</w:t>
      </w:r>
    </w:p>
    <w:p w14:paraId="4B2B3C20" w14:textId="77777777" w:rsidR="003D14C2" w:rsidRPr="00060F23" w:rsidRDefault="003D14C2" w:rsidP="003D14C2">
      <w:pPr>
        <w:spacing w:after="0" w:line="0" w:lineRule="atLeast"/>
        <w:rPr>
          <w:rFonts w:cs="Arial"/>
          <w:szCs w:val="20"/>
        </w:rPr>
      </w:pPr>
      <w:r w:rsidRPr="00060F23">
        <w:rPr>
          <w:rFonts w:cs="Arial"/>
          <w:szCs w:val="20"/>
        </w:rPr>
        <w:t>Whyalla</w:t>
      </w:r>
    </w:p>
    <w:p w14:paraId="285EDB08" w14:textId="77777777" w:rsidR="000326E6" w:rsidRPr="00060F23" w:rsidRDefault="000326E6" w:rsidP="003D14C2">
      <w:pPr>
        <w:spacing w:after="0" w:line="0" w:lineRule="atLeast"/>
        <w:rPr>
          <w:rFonts w:cs="Arial"/>
          <w:b/>
          <w:bCs/>
          <w:szCs w:val="20"/>
        </w:rPr>
      </w:pPr>
    </w:p>
    <w:p w14:paraId="430A367D" w14:textId="76C6169F" w:rsidR="003D14C2" w:rsidRPr="00060F23" w:rsidRDefault="003D14C2" w:rsidP="003D14C2">
      <w:pPr>
        <w:spacing w:after="0" w:line="0" w:lineRule="atLeast"/>
        <w:rPr>
          <w:rFonts w:cs="Arial"/>
          <w:b/>
          <w:bCs/>
          <w:szCs w:val="20"/>
        </w:rPr>
      </w:pPr>
      <w:r w:rsidRPr="00060F23">
        <w:rPr>
          <w:rFonts w:cs="Arial"/>
          <w:b/>
          <w:bCs/>
          <w:szCs w:val="20"/>
        </w:rPr>
        <w:t>Western Australia</w:t>
      </w:r>
    </w:p>
    <w:p w14:paraId="79D9387E" w14:textId="77777777" w:rsidR="003D14C2" w:rsidRPr="00060F23" w:rsidRDefault="003D14C2" w:rsidP="003D14C2">
      <w:pPr>
        <w:spacing w:after="0" w:line="0" w:lineRule="atLeast"/>
        <w:rPr>
          <w:rFonts w:cs="Arial"/>
          <w:szCs w:val="20"/>
        </w:rPr>
      </w:pPr>
      <w:r w:rsidRPr="00060F23">
        <w:rPr>
          <w:rFonts w:cs="Arial"/>
          <w:szCs w:val="20"/>
        </w:rPr>
        <w:t>Not in any SUA (WA)</w:t>
      </w:r>
    </w:p>
    <w:p w14:paraId="1D5926DF" w14:textId="77777777" w:rsidR="003D14C2" w:rsidRPr="00060F23" w:rsidRDefault="003D14C2" w:rsidP="003D14C2">
      <w:pPr>
        <w:spacing w:after="0" w:line="0" w:lineRule="atLeast"/>
        <w:rPr>
          <w:rFonts w:cs="Arial"/>
          <w:szCs w:val="20"/>
        </w:rPr>
      </w:pPr>
      <w:r w:rsidRPr="00060F23">
        <w:rPr>
          <w:rFonts w:cs="Arial"/>
          <w:szCs w:val="20"/>
        </w:rPr>
        <w:t>Albany</w:t>
      </w:r>
    </w:p>
    <w:p w14:paraId="0034FE79" w14:textId="77777777" w:rsidR="003D14C2" w:rsidRPr="00060F23" w:rsidRDefault="003D14C2" w:rsidP="003D14C2">
      <w:pPr>
        <w:spacing w:after="0" w:line="0" w:lineRule="atLeast"/>
        <w:rPr>
          <w:rFonts w:cs="Arial"/>
          <w:szCs w:val="20"/>
        </w:rPr>
      </w:pPr>
      <w:r w:rsidRPr="00060F23">
        <w:rPr>
          <w:rFonts w:cs="Arial"/>
          <w:szCs w:val="20"/>
        </w:rPr>
        <w:t>Broome</w:t>
      </w:r>
    </w:p>
    <w:p w14:paraId="0C132A0C" w14:textId="77777777" w:rsidR="003D14C2" w:rsidRPr="00060F23" w:rsidRDefault="003D14C2" w:rsidP="003D14C2">
      <w:pPr>
        <w:spacing w:after="0" w:line="0" w:lineRule="atLeast"/>
        <w:rPr>
          <w:rFonts w:cs="Arial"/>
          <w:szCs w:val="20"/>
        </w:rPr>
      </w:pPr>
      <w:r w:rsidRPr="00060F23">
        <w:rPr>
          <w:rFonts w:cs="Arial"/>
          <w:szCs w:val="20"/>
        </w:rPr>
        <w:t>Bunbury</w:t>
      </w:r>
    </w:p>
    <w:p w14:paraId="5640C9C7" w14:textId="77777777" w:rsidR="003D14C2" w:rsidRPr="00060F23" w:rsidRDefault="003D14C2" w:rsidP="003D14C2">
      <w:pPr>
        <w:spacing w:after="0" w:line="0" w:lineRule="atLeast"/>
        <w:rPr>
          <w:rFonts w:cs="Arial"/>
          <w:szCs w:val="20"/>
        </w:rPr>
      </w:pPr>
      <w:r w:rsidRPr="00060F23">
        <w:rPr>
          <w:rFonts w:cs="Arial"/>
          <w:szCs w:val="20"/>
        </w:rPr>
        <w:t>Busselton</w:t>
      </w:r>
    </w:p>
    <w:p w14:paraId="0E89C116" w14:textId="77777777" w:rsidR="003D14C2" w:rsidRPr="00060F23" w:rsidRDefault="003D14C2" w:rsidP="003D14C2">
      <w:pPr>
        <w:spacing w:after="0" w:line="0" w:lineRule="atLeast"/>
        <w:rPr>
          <w:rFonts w:cs="Arial"/>
          <w:szCs w:val="20"/>
        </w:rPr>
      </w:pPr>
      <w:r w:rsidRPr="00060F23">
        <w:rPr>
          <w:rFonts w:cs="Arial"/>
          <w:szCs w:val="20"/>
        </w:rPr>
        <w:t>Esperance</w:t>
      </w:r>
    </w:p>
    <w:p w14:paraId="55C11F77" w14:textId="77777777" w:rsidR="003D14C2" w:rsidRPr="00060F23" w:rsidRDefault="003D14C2" w:rsidP="003D14C2">
      <w:pPr>
        <w:spacing w:after="0" w:line="0" w:lineRule="atLeast"/>
        <w:rPr>
          <w:rFonts w:cs="Arial"/>
          <w:szCs w:val="20"/>
        </w:rPr>
      </w:pPr>
      <w:r w:rsidRPr="00060F23">
        <w:rPr>
          <w:rFonts w:cs="Arial"/>
          <w:szCs w:val="20"/>
        </w:rPr>
        <w:t>Geraldton</w:t>
      </w:r>
    </w:p>
    <w:p w14:paraId="6CE0F417" w14:textId="58005E66" w:rsidR="003D14C2" w:rsidRPr="00060F23" w:rsidRDefault="003D14C2" w:rsidP="003D14C2">
      <w:pPr>
        <w:spacing w:after="0" w:line="0" w:lineRule="atLeast"/>
        <w:rPr>
          <w:rFonts w:cs="Arial"/>
          <w:szCs w:val="20"/>
        </w:rPr>
      </w:pPr>
      <w:r w:rsidRPr="00060F23">
        <w:rPr>
          <w:rFonts w:cs="Arial"/>
          <w:szCs w:val="20"/>
        </w:rPr>
        <w:t xml:space="preserve">Kalgoorlie </w:t>
      </w:r>
      <w:r w:rsidR="003518EB">
        <w:rPr>
          <w:rFonts w:cs="Arial"/>
          <w:szCs w:val="20"/>
        </w:rPr>
        <w:t>–</w:t>
      </w:r>
      <w:r w:rsidRPr="00060F23">
        <w:rPr>
          <w:rFonts w:cs="Arial"/>
          <w:szCs w:val="20"/>
        </w:rPr>
        <w:t xml:space="preserve"> Boulder</w:t>
      </w:r>
    </w:p>
    <w:p w14:paraId="0D010AB9" w14:textId="77777777" w:rsidR="003D14C2" w:rsidRPr="00060F23" w:rsidRDefault="003D14C2" w:rsidP="003D14C2">
      <w:pPr>
        <w:spacing w:after="0" w:line="0" w:lineRule="atLeast"/>
        <w:rPr>
          <w:rFonts w:cs="Arial"/>
          <w:szCs w:val="20"/>
        </w:rPr>
      </w:pPr>
      <w:r w:rsidRPr="00060F23">
        <w:rPr>
          <w:rFonts w:cs="Arial"/>
          <w:szCs w:val="20"/>
        </w:rPr>
        <w:t>Karratha</w:t>
      </w:r>
    </w:p>
    <w:p w14:paraId="7C051220" w14:textId="77777777" w:rsidR="003D14C2" w:rsidRPr="00060F23" w:rsidRDefault="003D14C2" w:rsidP="003D14C2">
      <w:pPr>
        <w:spacing w:after="0" w:line="0" w:lineRule="atLeast"/>
        <w:rPr>
          <w:rFonts w:cs="Arial"/>
          <w:szCs w:val="20"/>
        </w:rPr>
      </w:pPr>
      <w:r w:rsidRPr="00060F23">
        <w:rPr>
          <w:rFonts w:cs="Arial"/>
          <w:szCs w:val="20"/>
        </w:rPr>
        <w:t>Perth</w:t>
      </w:r>
    </w:p>
    <w:p w14:paraId="69955B4B" w14:textId="77777777" w:rsidR="003D14C2" w:rsidRPr="00060F23" w:rsidRDefault="003D14C2" w:rsidP="003D14C2">
      <w:pPr>
        <w:spacing w:after="0" w:line="0" w:lineRule="atLeast"/>
        <w:rPr>
          <w:rFonts w:cs="Arial"/>
          <w:szCs w:val="20"/>
        </w:rPr>
      </w:pPr>
      <w:r w:rsidRPr="00060F23">
        <w:rPr>
          <w:rFonts w:cs="Arial"/>
          <w:szCs w:val="20"/>
        </w:rPr>
        <w:t>Port Hedland</w:t>
      </w:r>
    </w:p>
    <w:p w14:paraId="1BB2A659" w14:textId="210B3B95" w:rsidR="003D14C2" w:rsidRPr="00060F23" w:rsidRDefault="003D14C2" w:rsidP="003D14C2">
      <w:pPr>
        <w:spacing w:after="0" w:line="0" w:lineRule="atLeast"/>
        <w:rPr>
          <w:rFonts w:cs="Arial"/>
          <w:szCs w:val="20"/>
        </w:rPr>
      </w:pPr>
      <w:r w:rsidRPr="00060F23">
        <w:rPr>
          <w:rFonts w:cs="Arial"/>
          <w:szCs w:val="20"/>
        </w:rPr>
        <w:t>Yanchep</w:t>
      </w:r>
    </w:p>
    <w:p w14:paraId="556C37BB" w14:textId="77777777" w:rsidR="00106998" w:rsidRPr="00060F23" w:rsidRDefault="00106998" w:rsidP="003D14C2">
      <w:pPr>
        <w:spacing w:after="0" w:line="0" w:lineRule="atLeast"/>
        <w:rPr>
          <w:rFonts w:cs="Arial"/>
          <w:b/>
          <w:bCs/>
          <w:szCs w:val="20"/>
        </w:rPr>
      </w:pPr>
    </w:p>
    <w:p w14:paraId="2FA4678B" w14:textId="26819CE1" w:rsidR="003D14C2" w:rsidRPr="00060F23" w:rsidRDefault="003D14C2" w:rsidP="003D14C2">
      <w:pPr>
        <w:spacing w:after="0" w:line="0" w:lineRule="atLeast"/>
        <w:rPr>
          <w:rFonts w:cs="Arial"/>
          <w:b/>
          <w:bCs/>
          <w:szCs w:val="20"/>
        </w:rPr>
      </w:pPr>
      <w:r w:rsidRPr="00060F23">
        <w:rPr>
          <w:rFonts w:cs="Arial"/>
          <w:b/>
          <w:bCs/>
          <w:szCs w:val="20"/>
        </w:rPr>
        <w:t>Tasmania</w:t>
      </w:r>
    </w:p>
    <w:p w14:paraId="512516B6" w14:textId="2132411A" w:rsidR="003D14C2" w:rsidRPr="00060F23" w:rsidRDefault="003D14C2" w:rsidP="003D14C2">
      <w:pPr>
        <w:spacing w:after="0" w:line="0" w:lineRule="atLeast"/>
        <w:rPr>
          <w:rFonts w:cs="Arial"/>
          <w:szCs w:val="20"/>
        </w:rPr>
      </w:pPr>
      <w:r w:rsidRPr="00060F23">
        <w:rPr>
          <w:rFonts w:cs="Arial"/>
          <w:szCs w:val="20"/>
        </w:rPr>
        <w:t>Not in any SUA (Tas)</w:t>
      </w:r>
    </w:p>
    <w:p w14:paraId="16E52E71" w14:textId="1FF85851" w:rsidR="003D14C2" w:rsidRPr="00060F23" w:rsidRDefault="003D14C2" w:rsidP="003D14C2">
      <w:pPr>
        <w:spacing w:after="0" w:line="0" w:lineRule="atLeast"/>
        <w:rPr>
          <w:rFonts w:cs="Arial"/>
          <w:szCs w:val="20"/>
        </w:rPr>
      </w:pPr>
      <w:r w:rsidRPr="00060F23">
        <w:rPr>
          <w:rFonts w:cs="Arial"/>
          <w:szCs w:val="20"/>
        </w:rPr>
        <w:t xml:space="preserve">Burnie </w:t>
      </w:r>
      <w:r w:rsidR="000326E6" w:rsidRPr="00060F23">
        <w:rPr>
          <w:rFonts w:cs="Arial"/>
          <w:szCs w:val="20"/>
        </w:rPr>
        <w:t>–</w:t>
      </w:r>
      <w:r w:rsidRPr="00060F23">
        <w:rPr>
          <w:rFonts w:cs="Arial"/>
          <w:szCs w:val="20"/>
        </w:rPr>
        <w:t xml:space="preserve"> Wynyard</w:t>
      </w:r>
    </w:p>
    <w:p w14:paraId="71337539" w14:textId="77777777" w:rsidR="003D14C2" w:rsidRPr="00060F23" w:rsidRDefault="003D14C2" w:rsidP="003D14C2">
      <w:pPr>
        <w:spacing w:after="0" w:line="0" w:lineRule="atLeast"/>
        <w:rPr>
          <w:rFonts w:cs="Arial"/>
          <w:szCs w:val="20"/>
        </w:rPr>
      </w:pPr>
      <w:r w:rsidRPr="00060F23">
        <w:rPr>
          <w:rFonts w:cs="Arial"/>
          <w:szCs w:val="20"/>
        </w:rPr>
        <w:t>Devonport</w:t>
      </w:r>
    </w:p>
    <w:p w14:paraId="5E24F32E" w14:textId="77777777" w:rsidR="003D14C2" w:rsidRPr="00060F23" w:rsidRDefault="003D14C2" w:rsidP="003D14C2">
      <w:pPr>
        <w:spacing w:after="0" w:line="0" w:lineRule="atLeast"/>
        <w:rPr>
          <w:rFonts w:cs="Arial"/>
          <w:szCs w:val="20"/>
        </w:rPr>
      </w:pPr>
      <w:r w:rsidRPr="00060F23">
        <w:rPr>
          <w:rFonts w:cs="Arial"/>
          <w:szCs w:val="20"/>
        </w:rPr>
        <w:t>Hobart</w:t>
      </w:r>
    </w:p>
    <w:p w14:paraId="4A922612" w14:textId="77777777" w:rsidR="003D14C2" w:rsidRPr="00060F23" w:rsidRDefault="003D14C2" w:rsidP="003D14C2">
      <w:pPr>
        <w:spacing w:after="0" w:line="0" w:lineRule="atLeast"/>
        <w:rPr>
          <w:rFonts w:cs="Arial"/>
          <w:szCs w:val="20"/>
        </w:rPr>
      </w:pPr>
      <w:r w:rsidRPr="00060F23">
        <w:rPr>
          <w:rFonts w:cs="Arial"/>
          <w:szCs w:val="20"/>
        </w:rPr>
        <w:t>Launceston</w:t>
      </w:r>
    </w:p>
    <w:p w14:paraId="63CB4BC4" w14:textId="77777777" w:rsidR="003D14C2" w:rsidRPr="00060F23" w:rsidRDefault="003D14C2" w:rsidP="003D14C2">
      <w:pPr>
        <w:spacing w:after="0" w:line="0" w:lineRule="atLeast"/>
        <w:rPr>
          <w:rFonts w:cs="Arial"/>
          <w:szCs w:val="20"/>
        </w:rPr>
      </w:pPr>
      <w:r w:rsidRPr="00060F23">
        <w:rPr>
          <w:rFonts w:cs="Arial"/>
          <w:szCs w:val="20"/>
        </w:rPr>
        <w:t>Ulverstone</w:t>
      </w:r>
    </w:p>
    <w:p w14:paraId="09268622" w14:textId="77777777" w:rsidR="003D14C2" w:rsidRPr="00060F23" w:rsidRDefault="003D14C2" w:rsidP="003D14C2">
      <w:pPr>
        <w:spacing w:after="0" w:line="0" w:lineRule="atLeast"/>
        <w:rPr>
          <w:rFonts w:cs="Arial"/>
          <w:szCs w:val="20"/>
        </w:rPr>
      </w:pPr>
    </w:p>
    <w:p w14:paraId="25F4775B" w14:textId="77777777" w:rsidR="003D14C2" w:rsidRPr="00060F23" w:rsidRDefault="003D14C2" w:rsidP="003D14C2">
      <w:pPr>
        <w:spacing w:after="0" w:line="0" w:lineRule="atLeast"/>
        <w:rPr>
          <w:rFonts w:cs="Arial"/>
          <w:b/>
          <w:bCs/>
          <w:szCs w:val="20"/>
        </w:rPr>
      </w:pPr>
      <w:r w:rsidRPr="00060F23">
        <w:rPr>
          <w:rFonts w:cs="Arial"/>
          <w:b/>
          <w:bCs/>
          <w:szCs w:val="20"/>
        </w:rPr>
        <w:t>Northern Territory</w:t>
      </w:r>
    </w:p>
    <w:p w14:paraId="2E93AFF5" w14:textId="77777777" w:rsidR="003D14C2" w:rsidRPr="00060F23" w:rsidRDefault="003D14C2" w:rsidP="003D14C2">
      <w:pPr>
        <w:spacing w:after="0" w:line="0" w:lineRule="atLeast"/>
        <w:rPr>
          <w:rFonts w:cs="Arial"/>
          <w:szCs w:val="20"/>
        </w:rPr>
      </w:pPr>
      <w:r w:rsidRPr="00060F23">
        <w:rPr>
          <w:rFonts w:cs="Arial"/>
          <w:szCs w:val="20"/>
        </w:rPr>
        <w:t>Not in any SUA (NT)</w:t>
      </w:r>
    </w:p>
    <w:p w14:paraId="72D211EF" w14:textId="77777777" w:rsidR="003D14C2" w:rsidRPr="00060F23" w:rsidRDefault="003D14C2" w:rsidP="003D14C2">
      <w:pPr>
        <w:spacing w:after="0" w:line="0" w:lineRule="atLeast"/>
        <w:rPr>
          <w:rFonts w:cs="Arial"/>
          <w:szCs w:val="20"/>
        </w:rPr>
      </w:pPr>
      <w:r w:rsidRPr="00060F23">
        <w:rPr>
          <w:rFonts w:cs="Arial"/>
          <w:szCs w:val="20"/>
        </w:rPr>
        <w:t>Alice Springs</w:t>
      </w:r>
    </w:p>
    <w:p w14:paraId="0006E60E" w14:textId="77777777" w:rsidR="003D14C2" w:rsidRPr="00060F23" w:rsidRDefault="003D14C2" w:rsidP="003D14C2">
      <w:pPr>
        <w:spacing w:after="0" w:line="0" w:lineRule="atLeast"/>
        <w:rPr>
          <w:rFonts w:cs="Arial"/>
          <w:szCs w:val="20"/>
        </w:rPr>
      </w:pPr>
      <w:r w:rsidRPr="00060F23">
        <w:rPr>
          <w:rFonts w:cs="Arial"/>
          <w:szCs w:val="20"/>
        </w:rPr>
        <w:t>Darwin</w:t>
      </w:r>
    </w:p>
    <w:p w14:paraId="23B44DAD" w14:textId="77777777" w:rsidR="003D14C2" w:rsidRPr="00060F23" w:rsidRDefault="003D14C2" w:rsidP="003D14C2">
      <w:pPr>
        <w:spacing w:after="0" w:line="0" w:lineRule="atLeast"/>
        <w:rPr>
          <w:rFonts w:cs="Arial"/>
          <w:szCs w:val="20"/>
        </w:rPr>
      </w:pPr>
    </w:p>
    <w:p w14:paraId="5714AE3B" w14:textId="77777777" w:rsidR="003D14C2" w:rsidRPr="00060F23" w:rsidRDefault="003D14C2" w:rsidP="003D14C2">
      <w:pPr>
        <w:spacing w:after="0" w:line="0" w:lineRule="atLeast"/>
        <w:rPr>
          <w:rFonts w:cs="Arial"/>
          <w:b/>
          <w:bCs/>
          <w:szCs w:val="20"/>
        </w:rPr>
      </w:pPr>
      <w:r w:rsidRPr="00060F23">
        <w:rPr>
          <w:rFonts w:cs="Arial"/>
          <w:b/>
          <w:bCs/>
          <w:szCs w:val="20"/>
        </w:rPr>
        <w:t>Australian Capital Territory</w:t>
      </w:r>
    </w:p>
    <w:p w14:paraId="4F6CE061" w14:textId="77777777" w:rsidR="003D14C2" w:rsidRPr="00060F23" w:rsidRDefault="003D14C2" w:rsidP="003D14C2">
      <w:pPr>
        <w:spacing w:after="0" w:line="0" w:lineRule="atLeast"/>
        <w:rPr>
          <w:rFonts w:cs="Arial"/>
          <w:szCs w:val="20"/>
        </w:rPr>
      </w:pPr>
      <w:r w:rsidRPr="00060F23">
        <w:rPr>
          <w:rFonts w:cs="Arial"/>
          <w:szCs w:val="20"/>
        </w:rPr>
        <w:t>Not in any SUA (ACT)</w:t>
      </w:r>
    </w:p>
    <w:p w14:paraId="02026981" w14:textId="1560D50C" w:rsidR="003518EB" w:rsidRDefault="003D14C2" w:rsidP="003D14C2">
      <w:pPr>
        <w:spacing w:after="0" w:line="0" w:lineRule="atLeast"/>
        <w:rPr>
          <w:rFonts w:cs="Arial"/>
          <w:szCs w:val="20"/>
        </w:rPr>
      </w:pPr>
      <w:r w:rsidRPr="00060F23">
        <w:rPr>
          <w:rFonts w:cs="Arial"/>
          <w:szCs w:val="20"/>
        </w:rPr>
        <w:t xml:space="preserve">Canberra </w:t>
      </w:r>
      <w:r w:rsidR="000326E6" w:rsidRPr="00060F23">
        <w:rPr>
          <w:rFonts w:cs="Arial"/>
          <w:szCs w:val="20"/>
        </w:rPr>
        <w:t>–</w:t>
      </w:r>
    </w:p>
    <w:p w14:paraId="1EE8C600" w14:textId="3ED9FAFC" w:rsidR="003D14C2" w:rsidRPr="00060F23" w:rsidRDefault="003518EB" w:rsidP="003D14C2">
      <w:pPr>
        <w:spacing w:after="0" w:line="0" w:lineRule="atLeast"/>
        <w:rPr>
          <w:rFonts w:cs="Arial"/>
          <w:szCs w:val="20"/>
        </w:rPr>
      </w:pPr>
      <w:r>
        <w:rPr>
          <w:rFonts w:cs="Arial"/>
          <w:szCs w:val="20"/>
        </w:rPr>
        <w:t xml:space="preserve">   </w:t>
      </w:r>
      <w:r w:rsidR="003D14C2" w:rsidRPr="00060F23">
        <w:rPr>
          <w:rFonts w:cs="Arial"/>
          <w:szCs w:val="20"/>
        </w:rPr>
        <w:t>Queanbeyan</w:t>
      </w:r>
    </w:p>
    <w:p w14:paraId="01C808BA" w14:textId="77777777" w:rsidR="003D14C2" w:rsidRDefault="003D14C2" w:rsidP="003D14C2">
      <w:pPr>
        <w:spacing w:after="0" w:line="0" w:lineRule="atLeast"/>
        <w:rPr>
          <w:rFonts w:cs="Arial"/>
          <w:szCs w:val="20"/>
        </w:rPr>
        <w:sectPr w:rsidR="003D14C2" w:rsidSect="007E0F77">
          <w:type w:val="continuous"/>
          <w:pgSz w:w="11906" w:h="16838" w:code="9"/>
          <w:pgMar w:top="1945" w:right="3101" w:bottom="1134" w:left="1134" w:header="709" w:footer="119" w:gutter="0"/>
          <w:cols w:num="3" w:space="708"/>
          <w:docGrid w:linePitch="360"/>
        </w:sectPr>
      </w:pPr>
    </w:p>
    <w:p w14:paraId="2E5A1A09" w14:textId="1F81268C" w:rsidR="00021DD7" w:rsidRDefault="007A7755" w:rsidP="00021DD7">
      <w:pPr>
        <w:rPr>
          <w:rFonts w:cs="Arial"/>
          <w:szCs w:val="20"/>
        </w:rPr>
      </w:pPr>
      <w:r>
        <w:rPr>
          <w:rFonts w:cs="Arial"/>
          <w:szCs w:val="20"/>
        </w:rPr>
        <w:br/>
      </w:r>
      <w:r w:rsidR="006C12DD" w:rsidRPr="00AD5469">
        <w:rPr>
          <w:rFonts w:cs="Arial"/>
          <w:szCs w:val="20"/>
        </w:rPr>
        <w:t xml:space="preserve">In order to highlight the </w:t>
      </w:r>
      <w:r w:rsidR="005D1BF0">
        <w:rPr>
          <w:rFonts w:cs="Arial"/>
          <w:szCs w:val="20"/>
        </w:rPr>
        <w:t>calculation method</w:t>
      </w:r>
      <w:r w:rsidR="006C12DD" w:rsidRPr="00AD5469">
        <w:rPr>
          <w:rFonts w:cs="Arial"/>
          <w:szCs w:val="20"/>
        </w:rPr>
        <w:t xml:space="preserve">, consider a sample calculation using </w:t>
      </w:r>
      <w:r w:rsidR="006C12DD">
        <w:rPr>
          <w:rFonts w:cs="Arial"/>
          <w:szCs w:val="20"/>
        </w:rPr>
        <w:t>Tasmania</w:t>
      </w:r>
      <w:r w:rsidR="006C12DD" w:rsidRPr="00AD5469">
        <w:rPr>
          <w:rFonts w:cs="Arial"/>
          <w:szCs w:val="20"/>
        </w:rPr>
        <w:t xml:space="preserve"> and 2020 to 2021 population figures. T</w:t>
      </w:r>
      <w:r w:rsidR="003518EB">
        <w:rPr>
          <w:rFonts w:cs="Arial"/>
          <w:szCs w:val="20"/>
        </w:rPr>
        <w:t>able 5 shows t</w:t>
      </w:r>
      <w:r w:rsidR="006C12DD" w:rsidRPr="00AD5469">
        <w:rPr>
          <w:rFonts w:cs="Arial"/>
          <w:szCs w:val="20"/>
        </w:rPr>
        <w:t xml:space="preserve">he population figures for SUAs </w:t>
      </w:r>
      <w:r w:rsidR="006C12DD">
        <w:rPr>
          <w:rFonts w:cs="Arial"/>
          <w:szCs w:val="20"/>
        </w:rPr>
        <w:t>in Tasmania</w:t>
      </w:r>
      <w:r w:rsidR="003518EB">
        <w:rPr>
          <w:rFonts w:cs="Arial"/>
          <w:szCs w:val="20"/>
        </w:rPr>
        <w:t>.</w:t>
      </w:r>
    </w:p>
    <w:p w14:paraId="2A667EC2" w14:textId="690B7978" w:rsidR="009740E2" w:rsidRDefault="002664DA" w:rsidP="00C06386">
      <w:pPr>
        <w:pStyle w:val="Tableheading"/>
        <w:keepLines/>
      </w:pPr>
      <w:r>
        <w:lastRenderedPageBreak/>
        <w:t>Sample calculation of annual tax rate change for Tasmania</w:t>
      </w:r>
    </w:p>
    <w:tbl>
      <w:tblPr>
        <w:tblW w:w="76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4A0" w:firstRow="1" w:lastRow="0" w:firstColumn="1" w:lastColumn="0" w:noHBand="0" w:noVBand="1"/>
      </w:tblPr>
      <w:tblGrid>
        <w:gridCol w:w="3681"/>
        <w:gridCol w:w="1984"/>
        <w:gridCol w:w="1985"/>
      </w:tblGrid>
      <w:tr w:rsidR="0004302F" w:rsidRPr="0052246C" w14:paraId="02C3C7BA" w14:textId="77777777" w:rsidTr="00C603C5">
        <w:trPr>
          <w:trHeight w:val="208"/>
        </w:trPr>
        <w:tc>
          <w:tcPr>
            <w:tcW w:w="3681" w:type="dxa"/>
            <w:shd w:val="clear" w:color="auto" w:fill="404040" w:themeFill="text1" w:themeFillTint="BF"/>
            <w:noWrap/>
            <w:hideMark/>
          </w:tcPr>
          <w:p w14:paraId="0B89045B" w14:textId="77777777" w:rsidR="0004302F" w:rsidRPr="0052246C" w:rsidRDefault="0004302F" w:rsidP="0004302F">
            <w:pPr>
              <w:spacing w:after="0" w:line="240" w:lineRule="auto"/>
              <w:rPr>
                <w:rFonts w:cs="Arial"/>
                <w:b/>
                <w:bCs/>
                <w:color w:val="FFFFFF" w:themeColor="background1"/>
                <w:szCs w:val="20"/>
              </w:rPr>
            </w:pPr>
            <w:r w:rsidRPr="0052246C">
              <w:rPr>
                <w:rFonts w:cs="Arial"/>
                <w:b/>
                <w:bCs/>
                <w:color w:val="FFFFFF" w:themeColor="background1"/>
                <w:szCs w:val="20"/>
              </w:rPr>
              <w:t>Significant Urban Area</w:t>
            </w:r>
          </w:p>
        </w:tc>
        <w:tc>
          <w:tcPr>
            <w:tcW w:w="1984" w:type="dxa"/>
            <w:shd w:val="clear" w:color="auto" w:fill="404040" w:themeFill="text1" w:themeFillTint="BF"/>
            <w:noWrap/>
            <w:hideMark/>
          </w:tcPr>
          <w:p w14:paraId="2278CD16" w14:textId="77777777" w:rsidR="0004302F" w:rsidRPr="0052246C" w:rsidRDefault="0004302F" w:rsidP="007A5938">
            <w:pPr>
              <w:spacing w:after="0" w:line="240" w:lineRule="auto"/>
              <w:jc w:val="right"/>
              <w:rPr>
                <w:rFonts w:cs="Arial"/>
                <w:b/>
                <w:bCs/>
                <w:color w:val="FFFFFF" w:themeColor="background1"/>
                <w:szCs w:val="20"/>
              </w:rPr>
            </w:pPr>
            <w:r w:rsidRPr="0052246C">
              <w:rPr>
                <w:rFonts w:cs="Arial"/>
                <w:b/>
                <w:bCs/>
                <w:color w:val="FFFFFF" w:themeColor="background1"/>
                <w:szCs w:val="20"/>
              </w:rPr>
              <w:t>2020 population</w:t>
            </w:r>
          </w:p>
        </w:tc>
        <w:tc>
          <w:tcPr>
            <w:tcW w:w="1985" w:type="dxa"/>
            <w:shd w:val="clear" w:color="auto" w:fill="404040" w:themeFill="text1" w:themeFillTint="BF"/>
            <w:noWrap/>
            <w:hideMark/>
          </w:tcPr>
          <w:p w14:paraId="0F60770C" w14:textId="77777777" w:rsidR="0004302F" w:rsidRPr="0052246C" w:rsidRDefault="0004302F" w:rsidP="007A5938">
            <w:pPr>
              <w:spacing w:after="0" w:line="240" w:lineRule="auto"/>
              <w:jc w:val="right"/>
              <w:rPr>
                <w:rFonts w:cs="Arial"/>
                <w:b/>
                <w:bCs/>
                <w:color w:val="FFFFFF" w:themeColor="background1"/>
                <w:szCs w:val="20"/>
              </w:rPr>
            </w:pPr>
            <w:r w:rsidRPr="0052246C">
              <w:rPr>
                <w:rFonts w:cs="Arial"/>
                <w:b/>
                <w:bCs/>
                <w:color w:val="FFFFFF" w:themeColor="background1"/>
                <w:szCs w:val="20"/>
              </w:rPr>
              <w:t>2021 population</w:t>
            </w:r>
          </w:p>
        </w:tc>
      </w:tr>
      <w:tr w:rsidR="0004302F" w:rsidRPr="0052246C" w14:paraId="6F8F1D2C" w14:textId="77777777" w:rsidTr="00C603C5">
        <w:trPr>
          <w:trHeight w:val="208"/>
        </w:trPr>
        <w:tc>
          <w:tcPr>
            <w:tcW w:w="3681" w:type="dxa"/>
            <w:shd w:val="clear" w:color="auto" w:fill="auto"/>
            <w:noWrap/>
            <w:hideMark/>
          </w:tcPr>
          <w:p w14:paraId="2BD1DF2C" w14:textId="783FD30C" w:rsidR="0004302F" w:rsidRPr="0052246C" w:rsidRDefault="0004302F" w:rsidP="0004302F">
            <w:pPr>
              <w:spacing w:after="0" w:line="240" w:lineRule="auto"/>
              <w:rPr>
                <w:rFonts w:cs="Arial"/>
                <w:color w:val="000000"/>
                <w:szCs w:val="20"/>
              </w:rPr>
            </w:pPr>
            <w:r w:rsidRPr="0052246C">
              <w:rPr>
                <w:rFonts w:cs="Arial"/>
                <w:color w:val="000000"/>
                <w:szCs w:val="20"/>
              </w:rPr>
              <w:t>Not in any Significant Urban Area (Tas)</w:t>
            </w:r>
          </w:p>
        </w:tc>
        <w:tc>
          <w:tcPr>
            <w:tcW w:w="1984" w:type="dxa"/>
            <w:shd w:val="clear" w:color="auto" w:fill="auto"/>
            <w:noWrap/>
            <w:hideMark/>
          </w:tcPr>
          <w:p w14:paraId="2D6B6218" w14:textId="6F2EBB5D" w:rsidR="0004302F" w:rsidRPr="0052246C" w:rsidRDefault="0004302F" w:rsidP="0052246C">
            <w:pPr>
              <w:spacing w:after="0" w:line="240" w:lineRule="auto"/>
              <w:jc w:val="right"/>
              <w:rPr>
                <w:rFonts w:cs="Arial"/>
                <w:color w:val="000000"/>
                <w:szCs w:val="20"/>
              </w:rPr>
            </w:pPr>
            <w:r w:rsidRPr="0052246C">
              <w:rPr>
                <w:rFonts w:cs="Arial"/>
                <w:color w:val="000000"/>
                <w:szCs w:val="20"/>
              </w:rPr>
              <w:t xml:space="preserve">165,224 </w:t>
            </w:r>
          </w:p>
        </w:tc>
        <w:tc>
          <w:tcPr>
            <w:tcW w:w="1985" w:type="dxa"/>
            <w:shd w:val="clear" w:color="auto" w:fill="auto"/>
            <w:noWrap/>
            <w:hideMark/>
          </w:tcPr>
          <w:p w14:paraId="0B9F0BAA" w14:textId="04921027" w:rsidR="0004302F" w:rsidRPr="0052246C" w:rsidRDefault="0004302F" w:rsidP="0052246C">
            <w:pPr>
              <w:spacing w:after="0" w:line="240" w:lineRule="auto"/>
              <w:jc w:val="right"/>
              <w:rPr>
                <w:rFonts w:cs="Arial"/>
                <w:color w:val="000000"/>
                <w:szCs w:val="20"/>
              </w:rPr>
            </w:pPr>
            <w:r w:rsidRPr="0052246C">
              <w:rPr>
                <w:rFonts w:cs="Arial"/>
                <w:color w:val="000000"/>
                <w:szCs w:val="20"/>
              </w:rPr>
              <w:t xml:space="preserve">167,646 </w:t>
            </w:r>
          </w:p>
        </w:tc>
      </w:tr>
      <w:tr w:rsidR="0004302F" w:rsidRPr="0052246C" w14:paraId="4E80E067" w14:textId="77777777" w:rsidTr="00C603C5">
        <w:trPr>
          <w:trHeight w:val="208"/>
        </w:trPr>
        <w:tc>
          <w:tcPr>
            <w:tcW w:w="3681" w:type="dxa"/>
            <w:shd w:val="clear" w:color="auto" w:fill="auto"/>
            <w:noWrap/>
            <w:hideMark/>
          </w:tcPr>
          <w:p w14:paraId="605F0576" w14:textId="12E2D64B" w:rsidR="0004302F" w:rsidRPr="0052246C" w:rsidRDefault="0004302F" w:rsidP="0004302F">
            <w:pPr>
              <w:spacing w:after="0" w:line="240" w:lineRule="auto"/>
              <w:rPr>
                <w:rFonts w:cs="Arial"/>
                <w:color w:val="000000"/>
                <w:szCs w:val="20"/>
              </w:rPr>
            </w:pPr>
            <w:r w:rsidRPr="0052246C">
              <w:rPr>
                <w:rFonts w:cs="Arial"/>
                <w:color w:val="000000"/>
                <w:szCs w:val="20"/>
              </w:rPr>
              <w:t xml:space="preserve">Burnie </w:t>
            </w:r>
            <w:r w:rsidR="003234F0" w:rsidRPr="0052246C">
              <w:rPr>
                <w:rFonts w:cs="Arial"/>
                <w:color w:val="000000"/>
                <w:szCs w:val="20"/>
              </w:rPr>
              <w:t>–</w:t>
            </w:r>
            <w:r w:rsidRPr="0052246C">
              <w:rPr>
                <w:rFonts w:cs="Arial"/>
                <w:color w:val="000000"/>
                <w:szCs w:val="20"/>
              </w:rPr>
              <w:t xml:space="preserve"> Wynyard</w:t>
            </w:r>
          </w:p>
        </w:tc>
        <w:tc>
          <w:tcPr>
            <w:tcW w:w="1984" w:type="dxa"/>
            <w:shd w:val="clear" w:color="auto" w:fill="auto"/>
            <w:noWrap/>
            <w:hideMark/>
          </w:tcPr>
          <w:p w14:paraId="38617009" w14:textId="1F355D5C" w:rsidR="0004302F" w:rsidRPr="0052246C" w:rsidRDefault="0004302F" w:rsidP="0052246C">
            <w:pPr>
              <w:spacing w:after="0" w:line="240" w:lineRule="auto"/>
              <w:jc w:val="right"/>
              <w:rPr>
                <w:rFonts w:cs="Arial"/>
                <w:color w:val="000000"/>
                <w:szCs w:val="20"/>
              </w:rPr>
            </w:pPr>
            <w:r w:rsidRPr="0052246C">
              <w:rPr>
                <w:rFonts w:cs="Arial"/>
                <w:color w:val="000000"/>
                <w:szCs w:val="20"/>
              </w:rPr>
              <w:t xml:space="preserve">28,428 </w:t>
            </w:r>
          </w:p>
        </w:tc>
        <w:tc>
          <w:tcPr>
            <w:tcW w:w="1985" w:type="dxa"/>
            <w:shd w:val="clear" w:color="auto" w:fill="auto"/>
            <w:noWrap/>
            <w:hideMark/>
          </w:tcPr>
          <w:p w14:paraId="0D13DFE4" w14:textId="56067251" w:rsidR="0004302F" w:rsidRPr="0052246C" w:rsidRDefault="0004302F" w:rsidP="0052246C">
            <w:pPr>
              <w:spacing w:after="0" w:line="240" w:lineRule="auto"/>
              <w:jc w:val="right"/>
              <w:rPr>
                <w:rFonts w:cs="Arial"/>
                <w:color w:val="000000"/>
                <w:szCs w:val="20"/>
              </w:rPr>
            </w:pPr>
            <w:r w:rsidRPr="0052246C">
              <w:rPr>
                <w:rFonts w:cs="Arial"/>
                <w:color w:val="000000"/>
                <w:szCs w:val="20"/>
              </w:rPr>
              <w:t xml:space="preserve">28,537 </w:t>
            </w:r>
          </w:p>
        </w:tc>
      </w:tr>
      <w:tr w:rsidR="0004302F" w:rsidRPr="0052246C" w14:paraId="636888F3" w14:textId="77777777" w:rsidTr="00C603C5">
        <w:trPr>
          <w:trHeight w:val="208"/>
        </w:trPr>
        <w:tc>
          <w:tcPr>
            <w:tcW w:w="3681" w:type="dxa"/>
            <w:shd w:val="clear" w:color="auto" w:fill="auto"/>
            <w:noWrap/>
            <w:hideMark/>
          </w:tcPr>
          <w:p w14:paraId="412DC08F" w14:textId="77777777" w:rsidR="0004302F" w:rsidRPr="0052246C" w:rsidRDefault="0004302F" w:rsidP="0004302F">
            <w:pPr>
              <w:spacing w:after="0" w:line="240" w:lineRule="auto"/>
              <w:rPr>
                <w:rFonts w:cs="Arial"/>
                <w:color w:val="000000"/>
                <w:szCs w:val="20"/>
              </w:rPr>
            </w:pPr>
            <w:r w:rsidRPr="0052246C">
              <w:rPr>
                <w:rFonts w:cs="Arial"/>
                <w:color w:val="000000"/>
                <w:szCs w:val="20"/>
              </w:rPr>
              <w:t>Devonport</w:t>
            </w:r>
          </w:p>
        </w:tc>
        <w:tc>
          <w:tcPr>
            <w:tcW w:w="1984" w:type="dxa"/>
            <w:shd w:val="clear" w:color="auto" w:fill="auto"/>
            <w:noWrap/>
            <w:hideMark/>
          </w:tcPr>
          <w:p w14:paraId="1341126E" w14:textId="504DB682" w:rsidR="0004302F" w:rsidRPr="0052246C" w:rsidRDefault="0004302F" w:rsidP="0052246C">
            <w:pPr>
              <w:spacing w:after="0" w:line="240" w:lineRule="auto"/>
              <w:jc w:val="right"/>
              <w:rPr>
                <w:rFonts w:cs="Arial"/>
                <w:color w:val="000000"/>
                <w:szCs w:val="20"/>
              </w:rPr>
            </w:pPr>
            <w:r w:rsidRPr="0052246C">
              <w:rPr>
                <w:rFonts w:cs="Arial"/>
                <w:color w:val="000000"/>
                <w:szCs w:val="20"/>
              </w:rPr>
              <w:t xml:space="preserve">32,364 </w:t>
            </w:r>
          </w:p>
        </w:tc>
        <w:tc>
          <w:tcPr>
            <w:tcW w:w="1985" w:type="dxa"/>
            <w:shd w:val="clear" w:color="auto" w:fill="auto"/>
            <w:noWrap/>
            <w:hideMark/>
          </w:tcPr>
          <w:p w14:paraId="426CCFB1" w14:textId="0FBC52CC" w:rsidR="0004302F" w:rsidRPr="0052246C" w:rsidRDefault="0004302F" w:rsidP="0052246C">
            <w:pPr>
              <w:spacing w:after="0" w:line="240" w:lineRule="auto"/>
              <w:jc w:val="right"/>
              <w:rPr>
                <w:rFonts w:cs="Arial"/>
                <w:color w:val="000000"/>
                <w:szCs w:val="20"/>
              </w:rPr>
            </w:pPr>
            <w:r w:rsidRPr="0052246C">
              <w:rPr>
                <w:rFonts w:cs="Arial"/>
                <w:color w:val="000000"/>
                <w:szCs w:val="20"/>
              </w:rPr>
              <w:t xml:space="preserve">32,611 </w:t>
            </w:r>
          </w:p>
        </w:tc>
      </w:tr>
      <w:tr w:rsidR="0004302F" w:rsidRPr="0052246C" w14:paraId="2CF580E8" w14:textId="77777777" w:rsidTr="00C603C5">
        <w:trPr>
          <w:trHeight w:val="208"/>
        </w:trPr>
        <w:tc>
          <w:tcPr>
            <w:tcW w:w="3681" w:type="dxa"/>
            <w:shd w:val="clear" w:color="auto" w:fill="auto"/>
            <w:noWrap/>
            <w:hideMark/>
          </w:tcPr>
          <w:p w14:paraId="3C5AAF57" w14:textId="77777777" w:rsidR="0004302F" w:rsidRPr="0052246C" w:rsidRDefault="0004302F" w:rsidP="0004302F">
            <w:pPr>
              <w:spacing w:after="0" w:line="240" w:lineRule="auto"/>
              <w:rPr>
                <w:rFonts w:cs="Arial"/>
                <w:color w:val="000000"/>
                <w:szCs w:val="20"/>
              </w:rPr>
            </w:pPr>
            <w:r w:rsidRPr="0052246C">
              <w:rPr>
                <w:rFonts w:cs="Arial"/>
                <w:color w:val="000000"/>
                <w:szCs w:val="20"/>
              </w:rPr>
              <w:t>Hobart</w:t>
            </w:r>
          </w:p>
        </w:tc>
        <w:tc>
          <w:tcPr>
            <w:tcW w:w="1984" w:type="dxa"/>
            <w:shd w:val="clear" w:color="auto" w:fill="auto"/>
            <w:noWrap/>
            <w:hideMark/>
          </w:tcPr>
          <w:p w14:paraId="7E056701" w14:textId="1CB03F06" w:rsidR="0004302F" w:rsidRPr="0052246C" w:rsidRDefault="0004302F" w:rsidP="0052246C">
            <w:pPr>
              <w:spacing w:after="0" w:line="240" w:lineRule="auto"/>
              <w:jc w:val="right"/>
              <w:rPr>
                <w:rFonts w:cs="Arial"/>
                <w:color w:val="000000"/>
                <w:szCs w:val="20"/>
              </w:rPr>
            </w:pPr>
            <w:r w:rsidRPr="0052246C">
              <w:rPr>
                <w:rFonts w:cs="Arial"/>
                <w:color w:val="000000"/>
                <w:szCs w:val="20"/>
              </w:rPr>
              <w:t xml:space="preserve">229,130 </w:t>
            </w:r>
          </w:p>
        </w:tc>
        <w:tc>
          <w:tcPr>
            <w:tcW w:w="1985" w:type="dxa"/>
            <w:shd w:val="clear" w:color="auto" w:fill="auto"/>
            <w:noWrap/>
            <w:hideMark/>
          </w:tcPr>
          <w:p w14:paraId="304D9FBA" w14:textId="77284EAA" w:rsidR="0004302F" w:rsidRPr="0052246C" w:rsidRDefault="0004302F" w:rsidP="0052246C">
            <w:pPr>
              <w:spacing w:after="0" w:line="240" w:lineRule="auto"/>
              <w:jc w:val="right"/>
              <w:rPr>
                <w:rFonts w:cs="Arial"/>
                <w:color w:val="000000"/>
                <w:szCs w:val="20"/>
              </w:rPr>
            </w:pPr>
            <w:r w:rsidRPr="0052246C">
              <w:rPr>
                <w:rFonts w:cs="Arial"/>
                <w:color w:val="000000"/>
                <w:szCs w:val="20"/>
              </w:rPr>
              <w:t xml:space="preserve">230,353 </w:t>
            </w:r>
          </w:p>
        </w:tc>
      </w:tr>
      <w:tr w:rsidR="0004302F" w:rsidRPr="0052246C" w14:paraId="411F998F" w14:textId="77777777" w:rsidTr="00C603C5">
        <w:trPr>
          <w:trHeight w:val="208"/>
        </w:trPr>
        <w:tc>
          <w:tcPr>
            <w:tcW w:w="3681" w:type="dxa"/>
            <w:shd w:val="clear" w:color="auto" w:fill="auto"/>
            <w:noWrap/>
            <w:hideMark/>
          </w:tcPr>
          <w:p w14:paraId="615F120E" w14:textId="77777777" w:rsidR="0004302F" w:rsidRPr="0052246C" w:rsidRDefault="0004302F" w:rsidP="0004302F">
            <w:pPr>
              <w:spacing w:after="0" w:line="240" w:lineRule="auto"/>
              <w:rPr>
                <w:rFonts w:cs="Arial"/>
                <w:color w:val="000000"/>
                <w:szCs w:val="20"/>
              </w:rPr>
            </w:pPr>
            <w:r w:rsidRPr="0052246C">
              <w:rPr>
                <w:rFonts w:cs="Arial"/>
                <w:color w:val="000000"/>
                <w:szCs w:val="20"/>
              </w:rPr>
              <w:t>Launceston</w:t>
            </w:r>
          </w:p>
        </w:tc>
        <w:tc>
          <w:tcPr>
            <w:tcW w:w="1984" w:type="dxa"/>
            <w:shd w:val="clear" w:color="auto" w:fill="auto"/>
            <w:noWrap/>
            <w:hideMark/>
          </w:tcPr>
          <w:p w14:paraId="174491C2" w14:textId="34C9D4EB" w:rsidR="0004302F" w:rsidRPr="0052246C" w:rsidRDefault="0004302F" w:rsidP="0052246C">
            <w:pPr>
              <w:spacing w:after="0" w:line="240" w:lineRule="auto"/>
              <w:jc w:val="right"/>
              <w:rPr>
                <w:rFonts w:cs="Arial"/>
                <w:color w:val="000000"/>
                <w:szCs w:val="20"/>
              </w:rPr>
            </w:pPr>
            <w:r w:rsidRPr="0052246C">
              <w:rPr>
                <w:rFonts w:cs="Arial"/>
                <w:color w:val="000000"/>
                <w:szCs w:val="20"/>
              </w:rPr>
              <w:t xml:space="preserve">92,995 </w:t>
            </w:r>
          </w:p>
        </w:tc>
        <w:tc>
          <w:tcPr>
            <w:tcW w:w="1985" w:type="dxa"/>
            <w:shd w:val="clear" w:color="auto" w:fill="auto"/>
            <w:noWrap/>
            <w:hideMark/>
          </w:tcPr>
          <w:p w14:paraId="3C987DD1" w14:textId="6DD66198" w:rsidR="0004302F" w:rsidRPr="0052246C" w:rsidRDefault="0004302F" w:rsidP="0052246C">
            <w:pPr>
              <w:spacing w:after="0" w:line="240" w:lineRule="auto"/>
              <w:jc w:val="right"/>
              <w:rPr>
                <w:rFonts w:cs="Arial"/>
                <w:color w:val="000000"/>
                <w:szCs w:val="20"/>
              </w:rPr>
            </w:pPr>
            <w:r w:rsidRPr="0052246C">
              <w:rPr>
                <w:rFonts w:cs="Arial"/>
                <w:color w:val="000000"/>
                <w:szCs w:val="20"/>
              </w:rPr>
              <w:t xml:space="preserve">93,332 </w:t>
            </w:r>
          </w:p>
        </w:tc>
      </w:tr>
      <w:tr w:rsidR="0004302F" w:rsidRPr="0052246C" w14:paraId="02B05634" w14:textId="77777777" w:rsidTr="00C603C5">
        <w:trPr>
          <w:trHeight w:val="208"/>
        </w:trPr>
        <w:tc>
          <w:tcPr>
            <w:tcW w:w="3681" w:type="dxa"/>
            <w:shd w:val="clear" w:color="auto" w:fill="auto"/>
            <w:noWrap/>
            <w:hideMark/>
          </w:tcPr>
          <w:p w14:paraId="7452EC98" w14:textId="77777777" w:rsidR="0004302F" w:rsidRPr="0052246C" w:rsidRDefault="0004302F" w:rsidP="0004302F">
            <w:pPr>
              <w:spacing w:after="0" w:line="240" w:lineRule="auto"/>
              <w:rPr>
                <w:rFonts w:cs="Arial"/>
                <w:color w:val="000000"/>
                <w:szCs w:val="20"/>
              </w:rPr>
            </w:pPr>
            <w:r w:rsidRPr="0052246C">
              <w:rPr>
                <w:rFonts w:cs="Arial"/>
                <w:color w:val="000000"/>
                <w:szCs w:val="20"/>
              </w:rPr>
              <w:t>Ulverstone</w:t>
            </w:r>
          </w:p>
        </w:tc>
        <w:tc>
          <w:tcPr>
            <w:tcW w:w="1984" w:type="dxa"/>
            <w:shd w:val="clear" w:color="auto" w:fill="auto"/>
            <w:noWrap/>
            <w:hideMark/>
          </w:tcPr>
          <w:p w14:paraId="2C4B87C5" w14:textId="76305386" w:rsidR="0004302F" w:rsidRPr="0052246C" w:rsidRDefault="0004302F" w:rsidP="0052246C">
            <w:pPr>
              <w:spacing w:after="0" w:line="240" w:lineRule="auto"/>
              <w:jc w:val="right"/>
              <w:rPr>
                <w:rFonts w:cs="Arial"/>
                <w:color w:val="000000"/>
                <w:szCs w:val="20"/>
              </w:rPr>
            </w:pPr>
            <w:r w:rsidRPr="0052246C">
              <w:rPr>
                <w:rFonts w:cs="Arial"/>
                <w:color w:val="000000"/>
                <w:szCs w:val="20"/>
              </w:rPr>
              <w:t xml:space="preserve">15,366 </w:t>
            </w:r>
          </w:p>
        </w:tc>
        <w:tc>
          <w:tcPr>
            <w:tcW w:w="1985" w:type="dxa"/>
            <w:shd w:val="clear" w:color="auto" w:fill="auto"/>
            <w:noWrap/>
            <w:hideMark/>
          </w:tcPr>
          <w:p w14:paraId="68A4507A" w14:textId="72DE28A3" w:rsidR="0004302F" w:rsidRPr="0052246C" w:rsidRDefault="0004302F" w:rsidP="0052246C">
            <w:pPr>
              <w:spacing w:after="0" w:line="240" w:lineRule="auto"/>
              <w:jc w:val="right"/>
              <w:rPr>
                <w:rFonts w:cs="Arial"/>
                <w:color w:val="000000"/>
                <w:szCs w:val="20"/>
              </w:rPr>
            </w:pPr>
            <w:r w:rsidRPr="0052246C">
              <w:rPr>
                <w:rFonts w:cs="Arial"/>
                <w:color w:val="000000"/>
                <w:szCs w:val="20"/>
              </w:rPr>
              <w:t xml:space="preserve">15,430 </w:t>
            </w:r>
          </w:p>
        </w:tc>
      </w:tr>
      <w:tr w:rsidR="0004302F" w:rsidRPr="0052246C" w14:paraId="5FA2E1F4" w14:textId="77777777" w:rsidTr="00C603C5">
        <w:trPr>
          <w:trHeight w:val="208"/>
        </w:trPr>
        <w:tc>
          <w:tcPr>
            <w:tcW w:w="3681" w:type="dxa"/>
            <w:shd w:val="clear" w:color="auto" w:fill="auto"/>
            <w:noWrap/>
            <w:hideMark/>
          </w:tcPr>
          <w:p w14:paraId="41E7C25C" w14:textId="77777777" w:rsidR="0004302F" w:rsidRPr="007A5938" w:rsidRDefault="0004302F" w:rsidP="0004302F">
            <w:pPr>
              <w:spacing w:after="0" w:line="240" w:lineRule="auto"/>
              <w:rPr>
                <w:rFonts w:cs="Arial"/>
                <w:b/>
                <w:bCs/>
                <w:color w:val="000000"/>
                <w:szCs w:val="20"/>
              </w:rPr>
            </w:pPr>
            <w:r w:rsidRPr="007A5938">
              <w:rPr>
                <w:rFonts w:cs="Arial"/>
                <w:b/>
                <w:bCs/>
                <w:color w:val="000000"/>
                <w:szCs w:val="20"/>
              </w:rPr>
              <w:t>Total population</w:t>
            </w:r>
          </w:p>
        </w:tc>
        <w:tc>
          <w:tcPr>
            <w:tcW w:w="1984" w:type="dxa"/>
            <w:shd w:val="clear" w:color="auto" w:fill="auto"/>
            <w:noWrap/>
            <w:hideMark/>
          </w:tcPr>
          <w:p w14:paraId="73182979" w14:textId="206E9C96" w:rsidR="0004302F" w:rsidRPr="0052246C" w:rsidRDefault="0004302F" w:rsidP="0052246C">
            <w:pPr>
              <w:spacing w:after="0" w:line="240" w:lineRule="auto"/>
              <w:jc w:val="right"/>
              <w:rPr>
                <w:rFonts w:cs="Arial"/>
                <w:b/>
                <w:bCs/>
                <w:color w:val="000000"/>
                <w:szCs w:val="20"/>
              </w:rPr>
            </w:pPr>
            <w:r w:rsidRPr="0052246C">
              <w:rPr>
                <w:rFonts w:cs="Arial"/>
                <w:b/>
                <w:bCs/>
                <w:color w:val="000000"/>
                <w:szCs w:val="20"/>
              </w:rPr>
              <w:t xml:space="preserve">563,507 </w:t>
            </w:r>
          </w:p>
        </w:tc>
        <w:tc>
          <w:tcPr>
            <w:tcW w:w="1985" w:type="dxa"/>
            <w:shd w:val="clear" w:color="auto" w:fill="auto"/>
            <w:noWrap/>
            <w:hideMark/>
          </w:tcPr>
          <w:p w14:paraId="00FC06F0" w14:textId="3140A014" w:rsidR="0004302F" w:rsidRPr="0052246C" w:rsidRDefault="0004302F" w:rsidP="0052246C">
            <w:pPr>
              <w:spacing w:after="0" w:line="240" w:lineRule="auto"/>
              <w:jc w:val="right"/>
              <w:rPr>
                <w:rFonts w:cs="Arial"/>
                <w:b/>
                <w:bCs/>
                <w:color w:val="000000"/>
                <w:szCs w:val="20"/>
              </w:rPr>
            </w:pPr>
            <w:r w:rsidRPr="0052246C">
              <w:rPr>
                <w:rFonts w:cs="Arial"/>
                <w:b/>
                <w:bCs/>
                <w:color w:val="000000"/>
                <w:szCs w:val="20"/>
              </w:rPr>
              <w:t xml:space="preserve">567,909 </w:t>
            </w:r>
          </w:p>
        </w:tc>
      </w:tr>
      <w:tr w:rsidR="00C603C5" w:rsidRPr="0052246C" w14:paraId="31B13284" w14:textId="77777777" w:rsidTr="005D20B0">
        <w:trPr>
          <w:trHeight w:val="208"/>
        </w:trPr>
        <w:tc>
          <w:tcPr>
            <w:tcW w:w="3681" w:type="dxa"/>
            <w:shd w:val="clear" w:color="auto" w:fill="auto"/>
            <w:noWrap/>
            <w:hideMark/>
          </w:tcPr>
          <w:p w14:paraId="06C33366" w14:textId="77777777" w:rsidR="00C603C5" w:rsidRPr="007A5938" w:rsidRDefault="00C603C5" w:rsidP="0004302F">
            <w:pPr>
              <w:spacing w:after="0" w:line="240" w:lineRule="auto"/>
              <w:rPr>
                <w:rFonts w:cs="Arial"/>
                <w:b/>
                <w:bCs/>
                <w:color w:val="000000"/>
                <w:szCs w:val="20"/>
              </w:rPr>
            </w:pPr>
            <w:r w:rsidRPr="007A5938">
              <w:rPr>
                <w:rFonts w:cs="Arial"/>
                <w:b/>
                <w:bCs/>
                <w:color w:val="000000"/>
                <w:szCs w:val="20"/>
              </w:rPr>
              <w:t>Change (%)</w:t>
            </w:r>
          </w:p>
        </w:tc>
        <w:tc>
          <w:tcPr>
            <w:tcW w:w="3969" w:type="dxa"/>
            <w:gridSpan w:val="2"/>
            <w:shd w:val="clear" w:color="auto" w:fill="auto"/>
            <w:noWrap/>
            <w:hideMark/>
          </w:tcPr>
          <w:p w14:paraId="146CEC48" w14:textId="77777777" w:rsidR="00C603C5" w:rsidRPr="0052246C" w:rsidRDefault="00C603C5" w:rsidP="0052246C">
            <w:pPr>
              <w:spacing w:after="0" w:line="240" w:lineRule="auto"/>
              <w:jc w:val="right"/>
              <w:rPr>
                <w:rFonts w:cs="Arial"/>
                <w:b/>
                <w:bCs/>
                <w:color w:val="000000"/>
                <w:szCs w:val="20"/>
              </w:rPr>
            </w:pPr>
            <w:r w:rsidRPr="0052246C">
              <w:rPr>
                <w:rFonts w:cs="Arial"/>
                <w:b/>
                <w:bCs/>
                <w:color w:val="000000"/>
                <w:szCs w:val="20"/>
              </w:rPr>
              <w:t>0.7812%</w:t>
            </w:r>
          </w:p>
        </w:tc>
      </w:tr>
    </w:tbl>
    <w:p w14:paraId="63D29158" w14:textId="58C24035" w:rsidR="005A49CD" w:rsidRPr="00612E95" w:rsidRDefault="003234F0" w:rsidP="005A49CD">
      <w:pPr>
        <w:rPr>
          <w:rFonts w:cs="Arial"/>
          <w:szCs w:val="20"/>
        </w:rPr>
      </w:pPr>
      <w:r>
        <w:rPr>
          <w:rFonts w:cs="Arial"/>
          <w:b/>
          <w:bCs/>
          <w:szCs w:val="20"/>
        </w:rPr>
        <w:br/>
      </w:r>
      <w:r w:rsidR="00E502D2" w:rsidRPr="00612E95">
        <w:rPr>
          <w:rFonts w:cs="Arial"/>
          <w:szCs w:val="20"/>
        </w:rPr>
        <w:t xml:space="preserve">The ABS dataset ‘Estimated resident population, Significant Urban Areas’ provides population data for each SUA. </w:t>
      </w:r>
      <w:r w:rsidR="000326E6">
        <w:rPr>
          <w:rFonts w:cs="Arial"/>
          <w:szCs w:val="20"/>
        </w:rPr>
        <w:t xml:space="preserve">We </w:t>
      </w:r>
      <w:r w:rsidR="00E502D2" w:rsidRPr="00612E95">
        <w:rPr>
          <w:rFonts w:cs="Arial"/>
          <w:szCs w:val="20"/>
        </w:rPr>
        <w:t xml:space="preserve">would then take the total population of all SUAs within the </w:t>
      </w:r>
      <w:r w:rsidR="00B406AF">
        <w:rPr>
          <w:rFonts w:cs="Arial"/>
          <w:szCs w:val="20"/>
        </w:rPr>
        <w:t>state</w:t>
      </w:r>
      <w:r w:rsidR="00E502D2" w:rsidRPr="00612E95">
        <w:rPr>
          <w:rFonts w:cs="Arial"/>
          <w:szCs w:val="20"/>
        </w:rPr>
        <w:t xml:space="preserve">. The percentage change of the total population between one year and the next will then be used to update apparatus licence tax rates for </w:t>
      </w:r>
      <w:r w:rsidR="00B406AF">
        <w:rPr>
          <w:rFonts w:cs="Arial"/>
          <w:szCs w:val="20"/>
        </w:rPr>
        <w:t>Tasmania</w:t>
      </w:r>
      <w:r w:rsidR="00E502D2" w:rsidRPr="00612E95">
        <w:rPr>
          <w:rFonts w:cs="Arial"/>
          <w:szCs w:val="20"/>
        </w:rPr>
        <w:t xml:space="preserve">. In this case, </w:t>
      </w:r>
      <w:r w:rsidR="00B406AF">
        <w:rPr>
          <w:rFonts w:cs="Arial"/>
          <w:szCs w:val="20"/>
        </w:rPr>
        <w:t>tax rates for harmonised government spectrum area licences</w:t>
      </w:r>
      <w:r w:rsidR="00E502D2" w:rsidRPr="00612E95">
        <w:rPr>
          <w:rFonts w:cs="Arial"/>
          <w:szCs w:val="20"/>
        </w:rPr>
        <w:t xml:space="preserve"> would increase by </w:t>
      </w:r>
      <w:r w:rsidR="004D31B7">
        <w:rPr>
          <w:rFonts w:cs="Arial"/>
          <w:szCs w:val="20"/>
        </w:rPr>
        <w:t>0.7812</w:t>
      </w:r>
      <w:r w:rsidR="00E502D2" w:rsidRPr="00612E95">
        <w:rPr>
          <w:rFonts w:cs="Arial"/>
          <w:szCs w:val="20"/>
        </w:rPr>
        <w:t>%.</w:t>
      </w:r>
      <w:r w:rsidR="005A49CD">
        <w:rPr>
          <w:rFonts w:cs="Arial"/>
          <w:szCs w:val="20"/>
        </w:rPr>
        <w:t xml:space="preserve"> For comparison, a uniform update to apparatus licence tax rates using annual changes in CPI would result in an increase of 3.8% over the same period.</w:t>
      </w:r>
    </w:p>
    <w:p w14:paraId="50AE2A36" w14:textId="7D8E0A3D" w:rsidR="00935F71" w:rsidRPr="00935F71" w:rsidRDefault="003A2135" w:rsidP="007A5938">
      <w:pPr>
        <w:pStyle w:val="Heading3"/>
      </w:pPr>
      <w:r>
        <w:t xml:space="preserve">Apparatus licence fee schedule – </w:t>
      </w:r>
      <w:r w:rsidR="00563092">
        <w:t>D</w:t>
      </w:r>
      <w:r w:rsidR="00935F71" w:rsidRPr="00935F71">
        <w:t>ivision 8</w:t>
      </w:r>
    </w:p>
    <w:p w14:paraId="7A6D76CE" w14:textId="6594FA93" w:rsidR="00935F71" w:rsidRDefault="00935F71" w:rsidP="00935F71">
      <w:pPr>
        <w:rPr>
          <w:rFonts w:cs="Arial"/>
          <w:szCs w:val="20"/>
        </w:rPr>
      </w:pPr>
      <w:r>
        <w:rPr>
          <w:rFonts w:cs="Arial"/>
          <w:szCs w:val="20"/>
        </w:rPr>
        <w:t xml:space="preserve">Division 8: Narrowcasting service (HPON) licences differ in tax rate according to urban areas, with the top 15 SUAs by population each assigned an individual tax rate and others set at minimum tax. Therefore, </w:t>
      </w:r>
      <w:r w:rsidR="006E1DA8">
        <w:rPr>
          <w:rFonts w:cs="Arial"/>
          <w:szCs w:val="20"/>
        </w:rPr>
        <w:t xml:space="preserve">we </w:t>
      </w:r>
      <w:r>
        <w:rPr>
          <w:rFonts w:cs="Arial"/>
          <w:szCs w:val="20"/>
        </w:rPr>
        <w:t>propose to update the tax rate annually based on population changes to the corresponding SUA.</w:t>
      </w:r>
    </w:p>
    <w:p w14:paraId="5473C282" w14:textId="1C4B3DEC" w:rsidR="00935F71" w:rsidRDefault="00935F71" w:rsidP="00935F71">
      <w:pPr>
        <w:rPr>
          <w:rFonts w:cs="Arial"/>
          <w:szCs w:val="20"/>
        </w:rPr>
      </w:pPr>
      <w:r>
        <w:rPr>
          <w:rFonts w:cs="Arial"/>
          <w:szCs w:val="20"/>
        </w:rPr>
        <w:t xml:space="preserve">As the potential move to a framework of updating licence taxes based on population had been accounted for when introducing a new HPON licence tax table as a part of Spectrum Pricing Review reforms, the structure of the HPON licence tax table already uses SUAs to differ between regions. For all other regions, the tax rate would be updated according to total population changes for Australia.  </w:t>
      </w:r>
    </w:p>
    <w:p w14:paraId="0D9344A1" w14:textId="6602692F" w:rsidR="006A1A07" w:rsidRDefault="006A1A07" w:rsidP="00935F71">
      <w:pPr>
        <w:rPr>
          <w:rFonts w:cs="Arial"/>
          <w:szCs w:val="20"/>
        </w:rPr>
      </w:pPr>
      <w:r>
        <w:rPr>
          <w:rFonts w:cs="Arial"/>
          <w:szCs w:val="20"/>
        </w:rPr>
        <w:t>The top 15 SUAs by population, corresponding to the HPON licence tax table, are listed below</w:t>
      </w:r>
      <w:r w:rsidR="00A300C0">
        <w:rPr>
          <w:rFonts w:cs="Arial"/>
          <w:szCs w:val="20"/>
        </w:rPr>
        <w:t>.</w:t>
      </w:r>
      <w:r>
        <w:rPr>
          <w:rFonts w:cs="Arial"/>
          <w:szCs w:val="20"/>
        </w:rPr>
        <w:t xml:space="preserve"> </w:t>
      </w:r>
      <w:r w:rsidR="00A300C0">
        <w:rPr>
          <w:rFonts w:cs="Arial"/>
          <w:szCs w:val="20"/>
        </w:rPr>
        <w:t>T</w:t>
      </w:r>
      <w:r>
        <w:rPr>
          <w:rFonts w:cs="Arial"/>
          <w:szCs w:val="20"/>
        </w:rPr>
        <w:t>he ABS releases data on the population of each SUA on an annual basis. The proposal is to calculate the percentage change in each SUA from one year to the next and update the licence tax rate according to this percentage change</w:t>
      </w:r>
      <w:r w:rsidR="004B6BAE">
        <w:rPr>
          <w:rFonts w:cs="Arial"/>
          <w:szCs w:val="20"/>
        </w:rPr>
        <w:t>.</w:t>
      </w:r>
    </w:p>
    <w:p w14:paraId="058A2052" w14:textId="097D6456" w:rsidR="0052246C" w:rsidRDefault="0052246C">
      <w:pPr>
        <w:spacing w:after="0" w:line="240" w:lineRule="auto"/>
        <w:rPr>
          <w:rFonts w:cs="Arial"/>
          <w:szCs w:val="20"/>
        </w:rPr>
      </w:pPr>
      <w:r>
        <w:rPr>
          <w:rFonts w:cs="Arial"/>
          <w:szCs w:val="20"/>
        </w:rPr>
        <w:br w:type="page"/>
      </w:r>
    </w:p>
    <w:p w14:paraId="702C6347" w14:textId="197460C0" w:rsidR="003043B6" w:rsidRPr="001448F8" w:rsidRDefault="004D31B7" w:rsidP="007A5938">
      <w:pPr>
        <w:pStyle w:val="Tableheading"/>
      </w:pPr>
      <w:r>
        <w:lastRenderedPageBreak/>
        <w:t xml:space="preserve">List </w:t>
      </w:r>
      <w:r w:rsidR="006F7294">
        <w:t>of the</w:t>
      </w:r>
      <w:r>
        <w:t xml:space="preserve"> top 15</w:t>
      </w:r>
      <w:r w:rsidR="003043B6" w:rsidRPr="001448F8">
        <w:t xml:space="preserve"> Significant </w:t>
      </w:r>
      <w:r>
        <w:t>Urban Areas by population</w:t>
      </w:r>
    </w:p>
    <w:p w14:paraId="27E5B446" w14:textId="77777777" w:rsidR="00563092" w:rsidRDefault="00563092" w:rsidP="00563092">
      <w:pPr>
        <w:spacing w:after="0"/>
        <w:rPr>
          <w:rFonts w:cs="Arial"/>
          <w:b/>
          <w:bCs/>
          <w:sz w:val="16"/>
          <w:szCs w:val="16"/>
        </w:rPr>
        <w:sectPr w:rsidR="00563092" w:rsidSect="007E0F77">
          <w:headerReference w:type="even" r:id="rId39"/>
          <w:headerReference w:type="default" r:id="rId40"/>
          <w:footerReference w:type="even" r:id="rId41"/>
          <w:footerReference w:type="default" r:id="rId42"/>
          <w:type w:val="continuous"/>
          <w:pgSz w:w="11906" w:h="16838" w:code="9"/>
          <w:pgMar w:top="1945" w:right="3101" w:bottom="1134" w:left="1134" w:header="709" w:footer="119" w:gutter="0"/>
          <w:cols w:space="708"/>
          <w:docGrid w:linePitch="360"/>
        </w:sectPr>
      </w:pPr>
    </w:p>
    <w:p w14:paraId="4894D994" w14:textId="77777777" w:rsidR="00563092" w:rsidRPr="0052246C" w:rsidRDefault="00563092" w:rsidP="00563092">
      <w:pPr>
        <w:spacing w:after="0" w:line="0" w:lineRule="atLeast"/>
        <w:rPr>
          <w:rFonts w:cs="Arial"/>
          <w:b/>
          <w:bCs/>
          <w:szCs w:val="20"/>
        </w:rPr>
      </w:pPr>
      <w:r w:rsidRPr="0052246C">
        <w:rPr>
          <w:rFonts w:cs="Arial"/>
          <w:b/>
          <w:bCs/>
          <w:szCs w:val="20"/>
        </w:rPr>
        <w:t>Melbourne</w:t>
      </w:r>
    </w:p>
    <w:p w14:paraId="116BEF91" w14:textId="77777777" w:rsidR="00563092" w:rsidRPr="0052246C" w:rsidRDefault="00563092" w:rsidP="00563092">
      <w:pPr>
        <w:spacing w:after="0" w:line="0" w:lineRule="atLeast"/>
        <w:rPr>
          <w:rFonts w:cs="Arial"/>
          <w:szCs w:val="20"/>
        </w:rPr>
      </w:pPr>
      <w:r w:rsidRPr="0052246C">
        <w:rPr>
          <w:rFonts w:cs="Arial"/>
          <w:szCs w:val="20"/>
        </w:rPr>
        <w:t>Melbourne</w:t>
      </w:r>
    </w:p>
    <w:p w14:paraId="74D23742" w14:textId="77777777" w:rsidR="00563092" w:rsidRPr="0052246C" w:rsidRDefault="00563092" w:rsidP="00563092">
      <w:pPr>
        <w:spacing w:after="0" w:line="0" w:lineRule="atLeast"/>
        <w:rPr>
          <w:rFonts w:cs="Arial"/>
          <w:szCs w:val="20"/>
        </w:rPr>
      </w:pPr>
    </w:p>
    <w:p w14:paraId="3F9ED7E9" w14:textId="77777777" w:rsidR="00563092" w:rsidRPr="0052246C" w:rsidRDefault="00563092" w:rsidP="00563092">
      <w:pPr>
        <w:spacing w:after="0" w:line="0" w:lineRule="atLeast"/>
        <w:rPr>
          <w:rFonts w:cs="Arial"/>
          <w:b/>
          <w:bCs/>
          <w:szCs w:val="20"/>
        </w:rPr>
      </w:pPr>
      <w:r w:rsidRPr="0052246C">
        <w:rPr>
          <w:rFonts w:cs="Arial"/>
          <w:b/>
          <w:bCs/>
          <w:szCs w:val="20"/>
        </w:rPr>
        <w:t>Sydney</w:t>
      </w:r>
    </w:p>
    <w:p w14:paraId="4BCDE614" w14:textId="77777777" w:rsidR="00563092" w:rsidRPr="0052246C" w:rsidRDefault="00563092" w:rsidP="00563092">
      <w:pPr>
        <w:spacing w:after="0" w:line="0" w:lineRule="atLeast"/>
        <w:rPr>
          <w:rFonts w:cs="Arial"/>
          <w:szCs w:val="20"/>
        </w:rPr>
      </w:pPr>
      <w:r w:rsidRPr="0052246C">
        <w:rPr>
          <w:rFonts w:cs="Arial"/>
          <w:szCs w:val="20"/>
        </w:rPr>
        <w:t>Sydney</w:t>
      </w:r>
    </w:p>
    <w:p w14:paraId="35005E57" w14:textId="77777777" w:rsidR="00563092" w:rsidRPr="0052246C" w:rsidRDefault="00563092" w:rsidP="00563092">
      <w:pPr>
        <w:spacing w:after="0" w:line="0" w:lineRule="atLeast"/>
        <w:rPr>
          <w:rFonts w:cs="Arial"/>
          <w:szCs w:val="20"/>
        </w:rPr>
      </w:pPr>
    </w:p>
    <w:p w14:paraId="6A2FF79C" w14:textId="77777777" w:rsidR="00563092" w:rsidRPr="0052246C" w:rsidRDefault="00563092" w:rsidP="00563092">
      <w:pPr>
        <w:spacing w:after="0" w:line="0" w:lineRule="atLeast"/>
        <w:rPr>
          <w:rFonts w:cs="Arial"/>
          <w:b/>
          <w:bCs/>
          <w:szCs w:val="20"/>
        </w:rPr>
      </w:pPr>
      <w:r w:rsidRPr="0052246C">
        <w:rPr>
          <w:rFonts w:cs="Arial"/>
          <w:b/>
          <w:bCs/>
          <w:szCs w:val="20"/>
        </w:rPr>
        <w:t>Brisbane</w:t>
      </w:r>
    </w:p>
    <w:p w14:paraId="4D3B0ADD" w14:textId="77777777" w:rsidR="00563092" w:rsidRPr="0052246C" w:rsidRDefault="00563092" w:rsidP="00563092">
      <w:pPr>
        <w:spacing w:after="0" w:line="0" w:lineRule="atLeast"/>
        <w:rPr>
          <w:rFonts w:cs="Arial"/>
          <w:szCs w:val="20"/>
        </w:rPr>
      </w:pPr>
      <w:r w:rsidRPr="0052246C">
        <w:rPr>
          <w:rFonts w:cs="Arial"/>
          <w:szCs w:val="20"/>
        </w:rPr>
        <w:t>Brisbane</w:t>
      </w:r>
    </w:p>
    <w:p w14:paraId="6D1CAF67" w14:textId="77777777" w:rsidR="00563092" w:rsidRPr="0052246C" w:rsidRDefault="00563092" w:rsidP="00563092">
      <w:pPr>
        <w:spacing w:after="0" w:line="0" w:lineRule="atLeast"/>
        <w:rPr>
          <w:rFonts w:cs="Arial"/>
          <w:szCs w:val="20"/>
        </w:rPr>
      </w:pPr>
    </w:p>
    <w:p w14:paraId="0081EA93" w14:textId="77777777" w:rsidR="00563092" w:rsidRPr="0052246C" w:rsidRDefault="00563092" w:rsidP="00563092">
      <w:pPr>
        <w:spacing w:after="0" w:line="0" w:lineRule="atLeast"/>
        <w:rPr>
          <w:rFonts w:cs="Arial"/>
          <w:b/>
          <w:bCs/>
          <w:szCs w:val="20"/>
        </w:rPr>
      </w:pPr>
      <w:r w:rsidRPr="0052246C">
        <w:rPr>
          <w:rFonts w:cs="Arial"/>
          <w:b/>
          <w:bCs/>
          <w:szCs w:val="20"/>
        </w:rPr>
        <w:t>Perth</w:t>
      </w:r>
    </w:p>
    <w:p w14:paraId="1310A91A" w14:textId="77777777" w:rsidR="00563092" w:rsidRPr="0052246C" w:rsidRDefault="00563092" w:rsidP="00563092">
      <w:pPr>
        <w:spacing w:after="0" w:line="0" w:lineRule="atLeast"/>
        <w:rPr>
          <w:rFonts w:cs="Arial"/>
          <w:szCs w:val="20"/>
        </w:rPr>
      </w:pPr>
      <w:r w:rsidRPr="0052246C">
        <w:rPr>
          <w:rFonts w:cs="Arial"/>
          <w:szCs w:val="20"/>
        </w:rPr>
        <w:t>Perth</w:t>
      </w:r>
    </w:p>
    <w:p w14:paraId="0133F78F" w14:textId="77777777" w:rsidR="00563092" w:rsidRPr="0052246C" w:rsidRDefault="00563092" w:rsidP="00563092">
      <w:pPr>
        <w:spacing w:after="0" w:line="0" w:lineRule="atLeast"/>
        <w:rPr>
          <w:rFonts w:cs="Arial"/>
          <w:szCs w:val="20"/>
        </w:rPr>
      </w:pPr>
    </w:p>
    <w:p w14:paraId="41ACCEE7" w14:textId="77777777" w:rsidR="00563092" w:rsidRPr="0052246C" w:rsidRDefault="00563092" w:rsidP="00563092">
      <w:pPr>
        <w:spacing w:after="0" w:line="0" w:lineRule="atLeast"/>
        <w:rPr>
          <w:rFonts w:cs="Arial"/>
          <w:b/>
          <w:bCs/>
          <w:szCs w:val="20"/>
        </w:rPr>
      </w:pPr>
      <w:r w:rsidRPr="0052246C">
        <w:rPr>
          <w:rFonts w:cs="Arial"/>
          <w:b/>
          <w:bCs/>
          <w:szCs w:val="20"/>
        </w:rPr>
        <w:t>Adelaide</w:t>
      </w:r>
    </w:p>
    <w:p w14:paraId="1D8A3A9E" w14:textId="77777777" w:rsidR="00563092" w:rsidRPr="0052246C" w:rsidRDefault="00563092" w:rsidP="00563092">
      <w:pPr>
        <w:spacing w:after="0" w:line="0" w:lineRule="atLeast"/>
        <w:rPr>
          <w:rFonts w:cs="Arial"/>
          <w:szCs w:val="20"/>
        </w:rPr>
      </w:pPr>
      <w:r w:rsidRPr="0052246C">
        <w:rPr>
          <w:rFonts w:cs="Arial"/>
          <w:szCs w:val="20"/>
        </w:rPr>
        <w:t>Adelaide</w:t>
      </w:r>
    </w:p>
    <w:p w14:paraId="5AF779B1" w14:textId="77777777" w:rsidR="00563092" w:rsidRPr="0052246C" w:rsidRDefault="00563092" w:rsidP="00563092">
      <w:pPr>
        <w:spacing w:after="0" w:line="0" w:lineRule="atLeast"/>
        <w:rPr>
          <w:rFonts w:cs="Arial"/>
          <w:szCs w:val="20"/>
        </w:rPr>
      </w:pPr>
    </w:p>
    <w:p w14:paraId="1B82F4D4" w14:textId="1F5DB724" w:rsidR="0052246C" w:rsidRDefault="00563092" w:rsidP="0052246C">
      <w:pPr>
        <w:tabs>
          <w:tab w:val="left" w:pos="142"/>
        </w:tabs>
        <w:spacing w:after="0" w:line="0" w:lineRule="atLeast"/>
        <w:rPr>
          <w:rFonts w:cs="Arial"/>
          <w:b/>
          <w:bCs/>
          <w:szCs w:val="20"/>
        </w:rPr>
      </w:pPr>
      <w:r w:rsidRPr="0052246C">
        <w:rPr>
          <w:rFonts w:cs="Arial"/>
          <w:b/>
          <w:bCs/>
          <w:szCs w:val="20"/>
        </w:rPr>
        <w:t>Gold Coast – Tweed</w:t>
      </w:r>
      <w:r w:rsidR="0052246C">
        <w:rPr>
          <w:rFonts w:cs="Arial"/>
          <w:b/>
          <w:bCs/>
          <w:szCs w:val="20"/>
        </w:rPr>
        <w:t xml:space="preserve">      </w:t>
      </w:r>
    </w:p>
    <w:p w14:paraId="63046147" w14:textId="69479C78" w:rsidR="00563092" w:rsidRPr="0052246C" w:rsidRDefault="0052246C" w:rsidP="007A5938">
      <w:pPr>
        <w:tabs>
          <w:tab w:val="left" w:pos="142"/>
        </w:tabs>
        <w:spacing w:after="0" w:line="0" w:lineRule="atLeast"/>
        <w:rPr>
          <w:rFonts w:cs="Arial"/>
          <w:b/>
          <w:bCs/>
          <w:szCs w:val="20"/>
        </w:rPr>
      </w:pPr>
      <w:r>
        <w:rPr>
          <w:rFonts w:cs="Arial"/>
          <w:b/>
          <w:bCs/>
          <w:szCs w:val="20"/>
        </w:rPr>
        <w:t xml:space="preserve">   </w:t>
      </w:r>
      <w:r w:rsidR="00563092" w:rsidRPr="0052246C">
        <w:rPr>
          <w:rFonts w:cs="Arial"/>
          <w:b/>
          <w:bCs/>
          <w:szCs w:val="20"/>
        </w:rPr>
        <w:t>Heads</w:t>
      </w:r>
    </w:p>
    <w:p w14:paraId="645C5E58" w14:textId="77777777" w:rsidR="003518EB" w:rsidRDefault="00563092" w:rsidP="00563092">
      <w:pPr>
        <w:spacing w:after="0" w:line="0" w:lineRule="atLeast"/>
        <w:rPr>
          <w:rFonts w:cs="Arial"/>
          <w:szCs w:val="20"/>
        </w:rPr>
      </w:pPr>
      <w:r w:rsidRPr="0052246C">
        <w:rPr>
          <w:rFonts w:cs="Arial"/>
          <w:szCs w:val="20"/>
        </w:rPr>
        <w:t>Gold Coast – Tweed</w:t>
      </w:r>
    </w:p>
    <w:p w14:paraId="3A14C2CD" w14:textId="7B4A90DD" w:rsidR="00563092" w:rsidRPr="0052246C" w:rsidRDefault="003518EB" w:rsidP="00563092">
      <w:pPr>
        <w:spacing w:after="0" w:line="0" w:lineRule="atLeast"/>
        <w:rPr>
          <w:rFonts w:cs="Arial"/>
          <w:szCs w:val="20"/>
        </w:rPr>
      </w:pPr>
      <w:r>
        <w:rPr>
          <w:rFonts w:cs="Arial"/>
          <w:szCs w:val="20"/>
        </w:rPr>
        <w:t xml:space="preserve">   </w:t>
      </w:r>
      <w:r w:rsidR="00563092" w:rsidRPr="0052246C">
        <w:rPr>
          <w:rFonts w:cs="Arial"/>
          <w:szCs w:val="20"/>
        </w:rPr>
        <w:t>Heads</w:t>
      </w:r>
    </w:p>
    <w:p w14:paraId="4981FC6D" w14:textId="77777777" w:rsidR="00563092" w:rsidRPr="0052246C" w:rsidRDefault="00563092" w:rsidP="00563092">
      <w:pPr>
        <w:spacing w:after="0" w:line="0" w:lineRule="atLeast"/>
        <w:rPr>
          <w:rFonts w:cs="Arial"/>
          <w:szCs w:val="20"/>
        </w:rPr>
      </w:pPr>
    </w:p>
    <w:p w14:paraId="1ABDC627" w14:textId="1E3B4E59" w:rsidR="00563092" w:rsidRPr="0052246C" w:rsidRDefault="00C603C5" w:rsidP="00563092">
      <w:pPr>
        <w:spacing w:after="0" w:line="0" w:lineRule="atLeast"/>
        <w:rPr>
          <w:rFonts w:cs="Arial"/>
          <w:b/>
          <w:bCs/>
          <w:szCs w:val="20"/>
        </w:rPr>
      </w:pPr>
      <w:r>
        <w:rPr>
          <w:rFonts w:cs="Arial"/>
          <w:b/>
          <w:bCs/>
          <w:szCs w:val="20"/>
        </w:rPr>
        <w:br w:type="column"/>
      </w:r>
      <w:r w:rsidR="00563092" w:rsidRPr="0052246C">
        <w:rPr>
          <w:rFonts w:cs="Arial"/>
          <w:b/>
          <w:bCs/>
          <w:szCs w:val="20"/>
        </w:rPr>
        <w:t>Newcastle – Maitland</w:t>
      </w:r>
    </w:p>
    <w:p w14:paraId="7D6796DD" w14:textId="77777777" w:rsidR="00563092" w:rsidRPr="0052246C" w:rsidRDefault="00563092" w:rsidP="00563092">
      <w:pPr>
        <w:spacing w:after="0" w:line="0" w:lineRule="atLeast"/>
        <w:rPr>
          <w:rFonts w:cs="Arial"/>
          <w:szCs w:val="20"/>
        </w:rPr>
      </w:pPr>
      <w:r w:rsidRPr="0052246C">
        <w:rPr>
          <w:rFonts w:cs="Arial"/>
          <w:szCs w:val="20"/>
        </w:rPr>
        <w:t>Newcastle – Maitland</w:t>
      </w:r>
    </w:p>
    <w:p w14:paraId="0A138E2E" w14:textId="77777777" w:rsidR="00563092" w:rsidRPr="0052246C" w:rsidRDefault="00563092" w:rsidP="00563092">
      <w:pPr>
        <w:spacing w:after="0" w:line="0" w:lineRule="atLeast"/>
        <w:rPr>
          <w:rFonts w:cs="Arial"/>
          <w:szCs w:val="20"/>
        </w:rPr>
      </w:pPr>
    </w:p>
    <w:p w14:paraId="53C1342A" w14:textId="77777777" w:rsidR="0052246C" w:rsidRDefault="00563092" w:rsidP="0052246C">
      <w:pPr>
        <w:tabs>
          <w:tab w:val="left" w:pos="709"/>
        </w:tabs>
        <w:spacing w:after="0" w:line="0" w:lineRule="atLeast"/>
        <w:rPr>
          <w:rFonts w:cs="Arial"/>
          <w:b/>
          <w:bCs/>
          <w:szCs w:val="20"/>
        </w:rPr>
      </w:pPr>
      <w:r w:rsidRPr="0052246C">
        <w:rPr>
          <w:rFonts w:cs="Arial"/>
          <w:b/>
          <w:bCs/>
          <w:szCs w:val="20"/>
        </w:rPr>
        <w:t>Canberra –</w:t>
      </w:r>
    </w:p>
    <w:p w14:paraId="2B4231C9" w14:textId="76A4765A" w:rsidR="00563092" w:rsidRPr="0052246C" w:rsidRDefault="0052246C" w:rsidP="007A5938">
      <w:pPr>
        <w:tabs>
          <w:tab w:val="left" w:pos="709"/>
        </w:tabs>
        <w:spacing w:after="0" w:line="0" w:lineRule="atLeast"/>
        <w:rPr>
          <w:rFonts w:cs="Arial"/>
          <w:b/>
          <w:bCs/>
          <w:szCs w:val="20"/>
        </w:rPr>
      </w:pPr>
      <w:r>
        <w:rPr>
          <w:rFonts w:cs="Arial"/>
          <w:b/>
          <w:bCs/>
          <w:szCs w:val="20"/>
        </w:rPr>
        <w:t xml:space="preserve">   </w:t>
      </w:r>
      <w:r w:rsidR="00563092" w:rsidRPr="0052246C">
        <w:rPr>
          <w:rFonts w:cs="Arial"/>
          <w:b/>
          <w:bCs/>
          <w:szCs w:val="20"/>
        </w:rPr>
        <w:t xml:space="preserve">Queanbeyan </w:t>
      </w:r>
    </w:p>
    <w:p w14:paraId="592F9189" w14:textId="77777777" w:rsidR="0052246C" w:rsidRDefault="00563092" w:rsidP="00563092">
      <w:pPr>
        <w:spacing w:after="0" w:line="0" w:lineRule="atLeast"/>
        <w:rPr>
          <w:rFonts w:cs="Arial"/>
          <w:szCs w:val="20"/>
        </w:rPr>
      </w:pPr>
      <w:r w:rsidRPr="0052246C">
        <w:rPr>
          <w:rFonts w:cs="Arial"/>
          <w:szCs w:val="20"/>
        </w:rPr>
        <w:t>Canberra –</w:t>
      </w:r>
    </w:p>
    <w:p w14:paraId="257CB2E7" w14:textId="1E5D5581" w:rsidR="00563092" w:rsidRPr="0052246C" w:rsidRDefault="0052246C" w:rsidP="00563092">
      <w:pPr>
        <w:spacing w:after="0" w:line="0" w:lineRule="atLeast"/>
        <w:rPr>
          <w:rFonts w:cs="Arial"/>
          <w:szCs w:val="20"/>
        </w:rPr>
      </w:pPr>
      <w:r>
        <w:rPr>
          <w:rFonts w:cs="Arial"/>
          <w:szCs w:val="20"/>
        </w:rPr>
        <w:t xml:space="preserve">   </w:t>
      </w:r>
      <w:r w:rsidR="00563092" w:rsidRPr="0052246C">
        <w:rPr>
          <w:rFonts w:cs="Arial"/>
          <w:szCs w:val="20"/>
        </w:rPr>
        <w:t xml:space="preserve">Queanbeyan </w:t>
      </w:r>
    </w:p>
    <w:p w14:paraId="3BE81B50" w14:textId="77777777" w:rsidR="00563092" w:rsidRPr="0052246C" w:rsidRDefault="00563092" w:rsidP="00563092">
      <w:pPr>
        <w:spacing w:after="0" w:line="0" w:lineRule="atLeast"/>
        <w:rPr>
          <w:rFonts w:cs="Arial"/>
          <w:szCs w:val="20"/>
        </w:rPr>
      </w:pPr>
    </w:p>
    <w:p w14:paraId="526CAC45" w14:textId="77777777" w:rsidR="00563092" w:rsidRPr="0052246C" w:rsidRDefault="00563092" w:rsidP="00563092">
      <w:pPr>
        <w:spacing w:after="0" w:line="0" w:lineRule="atLeast"/>
        <w:rPr>
          <w:rFonts w:cs="Arial"/>
          <w:b/>
          <w:bCs/>
          <w:szCs w:val="20"/>
        </w:rPr>
      </w:pPr>
      <w:r w:rsidRPr="0052246C">
        <w:rPr>
          <w:rFonts w:cs="Arial"/>
          <w:b/>
          <w:bCs/>
          <w:szCs w:val="20"/>
        </w:rPr>
        <w:t>Sunshine Coast</w:t>
      </w:r>
    </w:p>
    <w:p w14:paraId="2E19B599" w14:textId="77777777" w:rsidR="00563092" w:rsidRPr="0052246C" w:rsidRDefault="00563092" w:rsidP="00563092">
      <w:pPr>
        <w:spacing w:after="0" w:line="0" w:lineRule="atLeast"/>
        <w:rPr>
          <w:rFonts w:cs="Arial"/>
          <w:szCs w:val="20"/>
        </w:rPr>
      </w:pPr>
      <w:r w:rsidRPr="0052246C">
        <w:rPr>
          <w:rFonts w:cs="Arial"/>
          <w:szCs w:val="20"/>
        </w:rPr>
        <w:t>Sunshine Coast</w:t>
      </w:r>
    </w:p>
    <w:p w14:paraId="52859B10" w14:textId="77777777" w:rsidR="00C603C5" w:rsidRDefault="00C603C5" w:rsidP="00563092">
      <w:pPr>
        <w:spacing w:after="0" w:line="0" w:lineRule="atLeast"/>
        <w:rPr>
          <w:rFonts w:cs="Arial"/>
          <w:szCs w:val="20"/>
        </w:rPr>
      </w:pPr>
    </w:p>
    <w:p w14:paraId="7DA49258" w14:textId="1C6B115B" w:rsidR="00563092" w:rsidRPr="0052246C" w:rsidRDefault="00563092" w:rsidP="00563092">
      <w:pPr>
        <w:spacing w:after="0" w:line="0" w:lineRule="atLeast"/>
        <w:rPr>
          <w:rFonts w:cs="Arial"/>
          <w:b/>
          <w:bCs/>
          <w:szCs w:val="20"/>
        </w:rPr>
      </w:pPr>
      <w:r w:rsidRPr="0052246C">
        <w:rPr>
          <w:rFonts w:cs="Arial"/>
          <w:b/>
          <w:bCs/>
          <w:szCs w:val="20"/>
        </w:rPr>
        <w:t>Central Coast</w:t>
      </w:r>
    </w:p>
    <w:p w14:paraId="2D8F33A7" w14:textId="77777777" w:rsidR="00563092" w:rsidRPr="0052246C" w:rsidRDefault="00563092" w:rsidP="00563092">
      <w:pPr>
        <w:spacing w:after="0" w:line="0" w:lineRule="atLeast"/>
        <w:rPr>
          <w:rFonts w:cs="Arial"/>
          <w:szCs w:val="20"/>
        </w:rPr>
      </w:pPr>
      <w:r w:rsidRPr="0052246C">
        <w:rPr>
          <w:rFonts w:cs="Arial"/>
          <w:szCs w:val="20"/>
        </w:rPr>
        <w:t>Central Coast</w:t>
      </w:r>
    </w:p>
    <w:p w14:paraId="69BD66E8" w14:textId="77777777" w:rsidR="00563092" w:rsidRPr="0052246C" w:rsidRDefault="00563092" w:rsidP="00563092">
      <w:pPr>
        <w:spacing w:after="0" w:line="0" w:lineRule="atLeast"/>
        <w:rPr>
          <w:rFonts w:cs="Arial"/>
          <w:szCs w:val="20"/>
        </w:rPr>
      </w:pPr>
    </w:p>
    <w:p w14:paraId="2221B8EF" w14:textId="77777777" w:rsidR="00563092" w:rsidRPr="0052246C" w:rsidRDefault="00563092" w:rsidP="00563092">
      <w:pPr>
        <w:spacing w:after="0" w:line="0" w:lineRule="atLeast"/>
        <w:rPr>
          <w:rFonts w:cs="Arial"/>
          <w:b/>
          <w:bCs/>
          <w:szCs w:val="20"/>
        </w:rPr>
      </w:pPr>
      <w:r w:rsidRPr="0052246C">
        <w:rPr>
          <w:rFonts w:cs="Arial"/>
          <w:b/>
          <w:bCs/>
          <w:szCs w:val="20"/>
        </w:rPr>
        <w:t>Wollongong</w:t>
      </w:r>
    </w:p>
    <w:p w14:paraId="02C07CD3" w14:textId="77777777" w:rsidR="00563092" w:rsidRPr="0052246C" w:rsidRDefault="00563092" w:rsidP="00563092">
      <w:pPr>
        <w:spacing w:after="0" w:line="0" w:lineRule="atLeast"/>
        <w:rPr>
          <w:rFonts w:cs="Arial"/>
          <w:szCs w:val="20"/>
        </w:rPr>
      </w:pPr>
      <w:r w:rsidRPr="0052246C">
        <w:rPr>
          <w:rFonts w:cs="Arial"/>
          <w:szCs w:val="20"/>
        </w:rPr>
        <w:t>Wollongong</w:t>
      </w:r>
    </w:p>
    <w:p w14:paraId="2D814F85" w14:textId="77777777" w:rsidR="00563092" w:rsidRPr="0052246C" w:rsidRDefault="00563092" w:rsidP="00563092">
      <w:pPr>
        <w:spacing w:after="0" w:line="0" w:lineRule="atLeast"/>
        <w:rPr>
          <w:rFonts w:cs="Arial"/>
          <w:szCs w:val="20"/>
        </w:rPr>
      </w:pPr>
    </w:p>
    <w:p w14:paraId="54D462E1" w14:textId="7E83F38B" w:rsidR="00563092" w:rsidRPr="0052246C" w:rsidRDefault="00C603C5" w:rsidP="00563092">
      <w:pPr>
        <w:spacing w:after="0" w:line="0" w:lineRule="atLeast"/>
        <w:rPr>
          <w:rFonts w:cs="Arial"/>
          <w:b/>
          <w:bCs/>
          <w:szCs w:val="20"/>
        </w:rPr>
      </w:pPr>
      <w:r>
        <w:rPr>
          <w:rFonts w:cs="Arial"/>
          <w:b/>
          <w:bCs/>
          <w:szCs w:val="20"/>
        </w:rPr>
        <w:br w:type="column"/>
      </w:r>
      <w:r w:rsidR="00563092" w:rsidRPr="0052246C">
        <w:rPr>
          <w:rFonts w:cs="Arial"/>
          <w:b/>
          <w:bCs/>
          <w:szCs w:val="20"/>
        </w:rPr>
        <w:t>Geelong</w:t>
      </w:r>
    </w:p>
    <w:p w14:paraId="72E2401B" w14:textId="77777777" w:rsidR="00563092" w:rsidRPr="0052246C" w:rsidRDefault="00563092" w:rsidP="00563092">
      <w:pPr>
        <w:spacing w:after="0" w:line="0" w:lineRule="atLeast"/>
        <w:rPr>
          <w:rFonts w:cs="Arial"/>
          <w:szCs w:val="20"/>
        </w:rPr>
      </w:pPr>
      <w:r w:rsidRPr="0052246C">
        <w:rPr>
          <w:rFonts w:cs="Arial"/>
          <w:szCs w:val="20"/>
        </w:rPr>
        <w:t>Geelong</w:t>
      </w:r>
    </w:p>
    <w:p w14:paraId="6CC23B00" w14:textId="77777777" w:rsidR="00563092" w:rsidRPr="0052246C" w:rsidRDefault="00563092" w:rsidP="00563092">
      <w:pPr>
        <w:spacing w:after="0" w:line="0" w:lineRule="atLeast"/>
        <w:rPr>
          <w:rFonts w:cs="Arial"/>
          <w:szCs w:val="20"/>
        </w:rPr>
      </w:pPr>
    </w:p>
    <w:p w14:paraId="725E5E1E" w14:textId="77777777" w:rsidR="00563092" w:rsidRPr="0052246C" w:rsidRDefault="00563092" w:rsidP="00563092">
      <w:pPr>
        <w:spacing w:after="0" w:line="0" w:lineRule="atLeast"/>
        <w:rPr>
          <w:rFonts w:cs="Arial"/>
          <w:b/>
          <w:bCs/>
          <w:szCs w:val="20"/>
        </w:rPr>
      </w:pPr>
      <w:r w:rsidRPr="0052246C">
        <w:rPr>
          <w:rFonts w:cs="Arial"/>
          <w:b/>
          <w:bCs/>
          <w:szCs w:val="20"/>
        </w:rPr>
        <w:t>Hobart</w:t>
      </w:r>
    </w:p>
    <w:p w14:paraId="294D8D20" w14:textId="77777777" w:rsidR="00563092" w:rsidRPr="0052246C" w:rsidRDefault="00563092" w:rsidP="00563092">
      <w:pPr>
        <w:spacing w:after="0" w:line="0" w:lineRule="atLeast"/>
        <w:rPr>
          <w:rFonts w:cs="Arial"/>
          <w:szCs w:val="20"/>
        </w:rPr>
      </w:pPr>
      <w:r w:rsidRPr="0052246C">
        <w:rPr>
          <w:rFonts w:cs="Arial"/>
          <w:szCs w:val="20"/>
        </w:rPr>
        <w:t>Hobart</w:t>
      </w:r>
    </w:p>
    <w:p w14:paraId="1F2BD194" w14:textId="77777777" w:rsidR="00563092" w:rsidRPr="0052246C" w:rsidRDefault="00563092" w:rsidP="00563092">
      <w:pPr>
        <w:spacing w:after="0" w:line="0" w:lineRule="atLeast"/>
        <w:rPr>
          <w:rFonts w:cs="Arial"/>
          <w:szCs w:val="20"/>
        </w:rPr>
      </w:pPr>
    </w:p>
    <w:p w14:paraId="6F13E325" w14:textId="77777777" w:rsidR="00563092" w:rsidRPr="0052246C" w:rsidRDefault="00563092" w:rsidP="00563092">
      <w:pPr>
        <w:spacing w:after="0" w:line="0" w:lineRule="atLeast"/>
        <w:rPr>
          <w:rFonts w:cs="Arial"/>
          <w:b/>
          <w:bCs/>
          <w:szCs w:val="20"/>
        </w:rPr>
      </w:pPr>
      <w:r w:rsidRPr="0052246C">
        <w:rPr>
          <w:rFonts w:cs="Arial"/>
          <w:b/>
          <w:bCs/>
          <w:szCs w:val="20"/>
        </w:rPr>
        <w:t>Townsville</w:t>
      </w:r>
    </w:p>
    <w:p w14:paraId="68FDEE1C" w14:textId="77777777" w:rsidR="00563092" w:rsidRPr="0052246C" w:rsidRDefault="00563092" w:rsidP="00563092">
      <w:pPr>
        <w:spacing w:after="0" w:line="0" w:lineRule="atLeast"/>
        <w:rPr>
          <w:rFonts w:cs="Arial"/>
          <w:szCs w:val="20"/>
        </w:rPr>
      </w:pPr>
      <w:r w:rsidRPr="0052246C">
        <w:rPr>
          <w:rFonts w:cs="Arial"/>
          <w:szCs w:val="20"/>
        </w:rPr>
        <w:t>Townsville</w:t>
      </w:r>
    </w:p>
    <w:p w14:paraId="70A4A91F" w14:textId="77777777" w:rsidR="00563092" w:rsidRPr="0052246C" w:rsidRDefault="00563092" w:rsidP="00563092">
      <w:pPr>
        <w:spacing w:after="0" w:line="0" w:lineRule="atLeast"/>
        <w:rPr>
          <w:rFonts w:cs="Arial"/>
          <w:szCs w:val="20"/>
        </w:rPr>
      </w:pPr>
    </w:p>
    <w:p w14:paraId="77F8FB40" w14:textId="77777777" w:rsidR="00563092" w:rsidRPr="0052246C" w:rsidRDefault="00563092" w:rsidP="00563092">
      <w:pPr>
        <w:spacing w:after="0" w:line="0" w:lineRule="atLeast"/>
        <w:rPr>
          <w:rFonts w:cs="Arial"/>
          <w:b/>
          <w:bCs/>
          <w:szCs w:val="20"/>
        </w:rPr>
      </w:pPr>
      <w:r w:rsidRPr="0052246C">
        <w:rPr>
          <w:rFonts w:cs="Arial"/>
          <w:b/>
          <w:bCs/>
          <w:szCs w:val="20"/>
        </w:rPr>
        <w:t>Cairns</w:t>
      </w:r>
    </w:p>
    <w:p w14:paraId="3241B068" w14:textId="12B325C5" w:rsidR="00563092" w:rsidRDefault="00563092" w:rsidP="00C603C5">
      <w:pPr>
        <w:spacing w:after="0" w:line="0" w:lineRule="atLeast"/>
        <w:rPr>
          <w:rFonts w:cs="Arial"/>
          <w:szCs w:val="20"/>
        </w:rPr>
        <w:sectPr w:rsidR="00563092" w:rsidSect="00563092">
          <w:type w:val="continuous"/>
          <w:pgSz w:w="11906" w:h="16838" w:code="9"/>
          <w:pgMar w:top="1945" w:right="3101" w:bottom="1134" w:left="1134" w:header="709" w:footer="119" w:gutter="0"/>
          <w:pgNumType w:start="1"/>
          <w:cols w:num="3" w:space="708"/>
          <w:docGrid w:linePitch="360"/>
        </w:sectPr>
      </w:pPr>
      <w:r w:rsidRPr="0052246C">
        <w:rPr>
          <w:rFonts w:cs="Arial"/>
          <w:szCs w:val="20"/>
        </w:rPr>
        <w:t>Cairns</w:t>
      </w:r>
    </w:p>
    <w:p w14:paraId="545E11A2" w14:textId="54F83142" w:rsidR="00A300C0" w:rsidRDefault="006F7294" w:rsidP="000D7BB9">
      <w:pPr>
        <w:rPr>
          <w:rFonts w:cs="Arial"/>
          <w:szCs w:val="20"/>
        </w:rPr>
      </w:pPr>
      <w:r w:rsidRPr="00AD5469">
        <w:rPr>
          <w:rFonts w:cs="Arial"/>
          <w:szCs w:val="20"/>
        </w:rPr>
        <w:t xml:space="preserve">In order to highlight the </w:t>
      </w:r>
      <w:r w:rsidR="00061437">
        <w:rPr>
          <w:rFonts w:cs="Arial"/>
          <w:szCs w:val="20"/>
        </w:rPr>
        <w:t>calculation method</w:t>
      </w:r>
      <w:r w:rsidRPr="00AD5469">
        <w:rPr>
          <w:rFonts w:cs="Arial"/>
          <w:szCs w:val="20"/>
        </w:rPr>
        <w:t>, consider a sample calculation</w:t>
      </w:r>
      <w:r>
        <w:rPr>
          <w:rFonts w:cs="Arial"/>
          <w:szCs w:val="20"/>
        </w:rPr>
        <w:t xml:space="preserve"> for Melbourne </w:t>
      </w:r>
      <w:r w:rsidRPr="00AD5469">
        <w:rPr>
          <w:rFonts w:cs="Arial"/>
          <w:szCs w:val="20"/>
        </w:rPr>
        <w:t xml:space="preserve">and 2020 to 2021 population figures. </w:t>
      </w:r>
      <w:r w:rsidR="00C57CEE">
        <w:rPr>
          <w:rFonts w:cs="Arial"/>
          <w:szCs w:val="20"/>
        </w:rPr>
        <w:t xml:space="preserve">Table 7 shows </w:t>
      </w:r>
      <w:r w:rsidRPr="00AD5469">
        <w:rPr>
          <w:rFonts w:cs="Arial"/>
          <w:szCs w:val="20"/>
        </w:rPr>
        <w:t>population figure</w:t>
      </w:r>
      <w:r>
        <w:rPr>
          <w:rFonts w:cs="Arial"/>
          <w:szCs w:val="20"/>
        </w:rPr>
        <w:t>s for the Melbourne SUA</w:t>
      </w:r>
      <w:r w:rsidR="00C57CEE">
        <w:rPr>
          <w:rFonts w:cs="Arial"/>
          <w:szCs w:val="20"/>
        </w:rPr>
        <w:t>.</w:t>
      </w:r>
    </w:p>
    <w:p w14:paraId="4EFFE1CB" w14:textId="547CC61D" w:rsidR="002664DA" w:rsidRDefault="002664DA" w:rsidP="007A5938">
      <w:pPr>
        <w:pStyle w:val="Tableheading"/>
      </w:pPr>
      <w:r>
        <w:t>Sample calculation of annual tax rate change for Melbourne</w:t>
      </w:r>
    </w:p>
    <w:p w14:paraId="48FF8078" w14:textId="49860030" w:rsidR="002664DA" w:rsidRPr="00602E4A" w:rsidRDefault="002664DA" w:rsidP="002664DA">
      <w:pPr>
        <w:ind w:firstLine="284"/>
        <w:rPr>
          <w:rFonts w:cs="Arial"/>
          <w:szCs w:val="20"/>
          <w:u w:val="single"/>
        </w:rPr>
        <w:sectPr w:rsidR="002664DA" w:rsidRPr="00602E4A" w:rsidSect="0008690E">
          <w:headerReference w:type="even" r:id="rId43"/>
          <w:headerReference w:type="default" r:id="rId44"/>
          <w:footerReference w:type="even" r:id="rId45"/>
          <w:footerReference w:type="default" r:id="rId46"/>
          <w:type w:val="continuous"/>
          <w:pgSz w:w="11906" w:h="16838" w:code="9"/>
          <w:pgMar w:top="1945" w:right="3101" w:bottom="1134" w:left="1134" w:header="709" w:footer="119" w:gutter="0"/>
          <w:pgNumType w:start="1"/>
          <w:cols w:space="708"/>
          <w:docGrid w:linePitch="360"/>
        </w:sectPr>
      </w:pPr>
    </w:p>
    <w:tbl>
      <w:tblPr>
        <w:tblW w:w="76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4A0" w:firstRow="1" w:lastRow="0" w:firstColumn="1" w:lastColumn="0" w:noHBand="0" w:noVBand="1"/>
      </w:tblPr>
      <w:tblGrid>
        <w:gridCol w:w="3397"/>
        <w:gridCol w:w="1985"/>
        <w:gridCol w:w="2268"/>
      </w:tblGrid>
      <w:tr w:rsidR="009919A4" w:rsidRPr="0052246C" w14:paraId="6E691C77" w14:textId="77777777" w:rsidTr="00D5571F">
        <w:trPr>
          <w:trHeight w:val="230"/>
        </w:trPr>
        <w:tc>
          <w:tcPr>
            <w:tcW w:w="3397" w:type="dxa"/>
            <w:shd w:val="clear" w:color="auto" w:fill="404040" w:themeFill="text1" w:themeFillTint="BF"/>
            <w:noWrap/>
            <w:vAlign w:val="bottom"/>
            <w:hideMark/>
          </w:tcPr>
          <w:p w14:paraId="416907DD" w14:textId="77777777" w:rsidR="009919A4" w:rsidRPr="0052246C" w:rsidRDefault="009919A4" w:rsidP="009919A4">
            <w:pPr>
              <w:spacing w:after="0" w:line="240" w:lineRule="auto"/>
              <w:rPr>
                <w:rFonts w:cs="Arial"/>
                <w:b/>
                <w:bCs/>
                <w:color w:val="FFFFFF" w:themeColor="background1"/>
                <w:szCs w:val="20"/>
              </w:rPr>
            </w:pPr>
            <w:r w:rsidRPr="0052246C">
              <w:rPr>
                <w:rFonts w:cs="Arial"/>
                <w:b/>
                <w:bCs/>
                <w:color w:val="FFFFFF" w:themeColor="background1"/>
                <w:szCs w:val="20"/>
              </w:rPr>
              <w:t>Significant Urban Area</w:t>
            </w:r>
          </w:p>
        </w:tc>
        <w:tc>
          <w:tcPr>
            <w:tcW w:w="1985" w:type="dxa"/>
            <w:shd w:val="clear" w:color="auto" w:fill="404040" w:themeFill="text1" w:themeFillTint="BF"/>
            <w:noWrap/>
            <w:vAlign w:val="bottom"/>
            <w:hideMark/>
          </w:tcPr>
          <w:p w14:paraId="755F8BD0" w14:textId="77777777" w:rsidR="009919A4" w:rsidRPr="0052246C" w:rsidRDefault="009919A4" w:rsidP="007A5938">
            <w:pPr>
              <w:spacing w:after="0" w:line="240" w:lineRule="auto"/>
              <w:jc w:val="right"/>
              <w:rPr>
                <w:rFonts w:cs="Arial"/>
                <w:b/>
                <w:bCs/>
                <w:color w:val="FFFFFF" w:themeColor="background1"/>
                <w:szCs w:val="20"/>
              </w:rPr>
            </w:pPr>
            <w:r w:rsidRPr="0052246C">
              <w:rPr>
                <w:rFonts w:cs="Arial"/>
                <w:b/>
                <w:bCs/>
                <w:color w:val="FFFFFF" w:themeColor="background1"/>
                <w:szCs w:val="20"/>
              </w:rPr>
              <w:t>2020 population</w:t>
            </w:r>
          </w:p>
        </w:tc>
        <w:tc>
          <w:tcPr>
            <w:tcW w:w="2268" w:type="dxa"/>
            <w:shd w:val="clear" w:color="auto" w:fill="404040" w:themeFill="text1" w:themeFillTint="BF"/>
            <w:noWrap/>
            <w:vAlign w:val="bottom"/>
            <w:hideMark/>
          </w:tcPr>
          <w:p w14:paraId="6D83A54B" w14:textId="77777777" w:rsidR="009919A4" w:rsidRPr="0052246C" w:rsidRDefault="009919A4" w:rsidP="007A5938">
            <w:pPr>
              <w:spacing w:after="0" w:line="240" w:lineRule="auto"/>
              <w:jc w:val="right"/>
              <w:rPr>
                <w:rFonts w:cs="Arial"/>
                <w:b/>
                <w:bCs/>
                <w:color w:val="FFFFFF" w:themeColor="background1"/>
                <w:szCs w:val="20"/>
              </w:rPr>
            </w:pPr>
            <w:r w:rsidRPr="0052246C">
              <w:rPr>
                <w:rFonts w:cs="Arial"/>
                <w:b/>
                <w:bCs/>
                <w:color w:val="FFFFFF" w:themeColor="background1"/>
                <w:szCs w:val="20"/>
              </w:rPr>
              <w:t>2021 population</w:t>
            </w:r>
          </w:p>
        </w:tc>
      </w:tr>
      <w:tr w:rsidR="009919A4" w:rsidRPr="0052246C" w14:paraId="208C511F" w14:textId="77777777" w:rsidTr="00D5571F">
        <w:trPr>
          <w:trHeight w:val="230"/>
        </w:trPr>
        <w:tc>
          <w:tcPr>
            <w:tcW w:w="3397" w:type="dxa"/>
            <w:shd w:val="clear" w:color="auto" w:fill="auto"/>
            <w:noWrap/>
            <w:vAlign w:val="bottom"/>
            <w:hideMark/>
          </w:tcPr>
          <w:p w14:paraId="5175E290" w14:textId="77777777" w:rsidR="009919A4" w:rsidRPr="0052246C" w:rsidRDefault="009919A4" w:rsidP="009919A4">
            <w:pPr>
              <w:spacing w:after="0" w:line="240" w:lineRule="auto"/>
              <w:rPr>
                <w:rFonts w:cs="Arial"/>
                <w:color w:val="000000"/>
                <w:szCs w:val="20"/>
              </w:rPr>
            </w:pPr>
            <w:r w:rsidRPr="0052246C">
              <w:rPr>
                <w:rFonts w:cs="Arial"/>
                <w:color w:val="000000"/>
                <w:szCs w:val="20"/>
              </w:rPr>
              <w:t>Melbourne</w:t>
            </w:r>
          </w:p>
        </w:tc>
        <w:tc>
          <w:tcPr>
            <w:tcW w:w="1985" w:type="dxa"/>
            <w:shd w:val="clear" w:color="auto" w:fill="auto"/>
            <w:noWrap/>
            <w:vAlign w:val="bottom"/>
            <w:hideMark/>
          </w:tcPr>
          <w:p w14:paraId="3281865B" w14:textId="44BF4F14" w:rsidR="009919A4" w:rsidRPr="0052246C" w:rsidRDefault="009919A4" w:rsidP="0052246C">
            <w:pPr>
              <w:spacing w:after="0" w:line="240" w:lineRule="auto"/>
              <w:jc w:val="right"/>
              <w:rPr>
                <w:rFonts w:cs="Arial"/>
                <w:color w:val="000000"/>
                <w:szCs w:val="20"/>
              </w:rPr>
            </w:pPr>
            <w:r w:rsidRPr="0052246C">
              <w:rPr>
                <w:rFonts w:cs="Arial"/>
                <w:color w:val="000000"/>
                <w:szCs w:val="20"/>
              </w:rPr>
              <w:t xml:space="preserve">4,863,415 </w:t>
            </w:r>
          </w:p>
        </w:tc>
        <w:tc>
          <w:tcPr>
            <w:tcW w:w="2268" w:type="dxa"/>
            <w:shd w:val="clear" w:color="auto" w:fill="auto"/>
            <w:noWrap/>
            <w:vAlign w:val="bottom"/>
            <w:hideMark/>
          </w:tcPr>
          <w:p w14:paraId="2E0C14F2" w14:textId="665A5510" w:rsidR="009919A4" w:rsidRPr="0052246C" w:rsidRDefault="009919A4" w:rsidP="0052246C">
            <w:pPr>
              <w:spacing w:after="0" w:line="240" w:lineRule="auto"/>
              <w:jc w:val="right"/>
              <w:rPr>
                <w:rFonts w:cs="Arial"/>
                <w:color w:val="000000"/>
                <w:szCs w:val="20"/>
              </w:rPr>
            </w:pPr>
            <w:r w:rsidRPr="0052246C">
              <w:rPr>
                <w:rFonts w:cs="Arial"/>
                <w:color w:val="000000"/>
                <w:szCs w:val="20"/>
              </w:rPr>
              <w:t xml:space="preserve">4,778,716 </w:t>
            </w:r>
          </w:p>
        </w:tc>
      </w:tr>
      <w:tr w:rsidR="00C97ACF" w:rsidRPr="0052246C" w14:paraId="1F6A0059" w14:textId="77777777" w:rsidTr="006A0FEF">
        <w:trPr>
          <w:trHeight w:val="230"/>
        </w:trPr>
        <w:tc>
          <w:tcPr>
            <w:tcW w:w="3397" w:type="dxa"/>
            <w:shd w:val="clear" w:color="auto" w:fill="auto"/>
            <w:noWrap/>
            <w:vAlign w:val="bottom"/>
            <w:hideMark/>
          </w:tcPr>
          <w:p w14:paraId="4210D77F" w14:textId="65010231" w:rsidR="00C97ACF" w:rsidRPr="0052246C" w:rsidRDefault="00C97ACF" w:rsidP="009919A4">
            <w:pPr>
              <w:spacing w:after="0" w:line="240" w:lineRule="auto"/>
              <w:rPr>
                <w:rFonts w:cs="Arial"/>
                <w:color w:val="000000"/>
                <w:szCs w:val="20"/>
              </w:rPr>
            </w:pPr>
            <w:r>
              <w:rPr>
                <w:rFonts w:cs="Arial"/>
                <w:color w:val="000000"/>
                <w:szCs w:val="20"/>
              </w:rPr>
              <w:t>Change (%)</w:t>
            </w:r>
          </w:p>
        </w:tc>
        <w:tc>
          <w:tcPr>
            <w:tcW w:w="4253" w:type="dxa"/>
            <w:gridSpan w:val="2"/>
            <w:shd w:val="clear" w:color="auto" w:fill="auto"/>
            <w:noWrap/>
            <w:vAlign w:val="bottom"/>
            <w:hideMark/>
          </w:tcPr>
          <w:p w14:paraId="672F5F5A" w14:textId="40225CDA" w:rsidR="00C97ACF" w:rsidRPr="0052246C" w:rsidRDefault="00C97ACF" w:rsidP="00C97ACF">
            <w:pPr>
              <w:spacing w:after="0" w:line="240" w:lineRule="auto"/>
              <w:jc w:val="right"/>
              <w:rPr>
                <w:rFonts w:cs="Arial"/>
                <w:b/>
                <w:bCs/>
                <w:color w:val="000000"/>
                <w:szCs w:val="20"/>
              </w:rPr>
            </w:pPr>
            <w:r w:rsidRPr="0052246C">
              <w:rPr>
                <w:rFonts w:cs="Arial"/>
                <w:b/>
                <w:bCs/>
                <w:color w:val="000000"/>
                <w:szCs w:val="20"/>
              </w:rPr>
              <w:t> -1.7416%</w:t>
            </w:r>
          </w:p>
        </w:tc>
      </w:tr>
    </w:tbl>
    <w:p w14:paraId="22532776" w14:textId="77777777" w:rsidR="0052246C" w:rsidRDefault="0052246C" w:rsidP="005A49CD">
      <w:pPr>
        <w:rPr>
          <w:rFonts w:cs="Arial"/>
          <w:b/>
          <w:bCs/>
          <w:szCs w:val="20"/>
        </w:rPr>
      </w:pPr>
    </w:p>
    <w:p w14:paraId="27B63503" w14:textId="47FDDE2D" w:rsidR="0004383D" w:rsidRDefault="006F7294" w:rsidP="005A49CD">
      <w:pPr>
        <w:rPr>
          <w:rFonts w:cs="Arial"/>
          <w:szCs w:val="20"/>
        </w:rPr>
      </w:pPr>
      <w:r w:rsidRPr="006F7294">
        <w:rPr>
          <w:rFonts w:cs="Arial"/>
          <w:szCs w:val="20"/>
        </w:rPr>
        <w:t xml:space="preserve">The ABS dataset ‘Estimated resident population, Significant Urban Areas’ provides population data for each SUA. </w:t>
      </w:r>
      <w:r w:rsidR="00F90797">
        <w:rPr>
          <w:rFonts w:cs="Arial"/>
          <w:szCs w:val="20"/>
        </w:rPr>
        <w:t>The percentage change in the population of Melbourne between one year and the next w</w:t>
      </w:r>
      <w:r w:rsidR="00E25242">
        <w:rPr>
          <w:rFonts w:cs="Arial"/>
          <w:szCs w:val="20"/>
        </w:rPr>
        <w:t>ould be used to update HPON licence tax rates for Melbourne. In this case, tax rates for Melbourne HPON licence taxes would decrease by 1.7416%.</w:t>
      </w:r>
      <w:r w:rsidR="005A49CD">
        <w:rPr>
          <w:rFonts w:cs="Arial"/>
          <w:szCs w:val="20"/>
        </w:rPr>
        <w:t xml:space="preserve"> For comparison, a uniform update to apparatus licence tax rates using annual changes in CPI would result in an increase of 3.8% over the same period.</w:t>
      </w:r>
    </w:p>
    <w:p w14:paraId="19084A93" w14:textId="71413EF9" w:rsidR="006A1A07" w:rsidRPr="006A1A07" w:rsidRDefault="003A2135" w:rsidP="007A5938">
      <w:pPr>
        <w:pStyle w:val="Heading3"/>
      </w:pPr>
      <w:r>
        <w:t xml:space="preserve">Apparatus licence fee schedule – </w:t>
      </w:r>
      <w:r w:rsidR="00CB57C9">
        <w:t>d</w:t>
      </w:r>
      <w:r w:rsidR="006A1A07" w:rsidRPr="006A1A07">
        <w:t>ivisions 6, 7, and the minimum tax</w:t>
      </w:r>
    </w:p>
    <w:p w14:paraId="38EB0059" w14:textId="48A9B8A1" w:rsidR="006A1A07" w:rsidRDefault="006A1A07" w:rsidP="006A1A07">
      <w:pPr>
        <w:rPr>
          <w:rFonts w:cs="Arial"/>
          <w:szCs w:val="20"/>
        </w:rPr>
      </w:pPr>
      <w:r>
        <w:rPr>
          <w:rFonts w:cs="Arial"/>
          <w:szCs w:val="20"/>
        </w:rPr>
        <w:t>Division 6: Assigned licences subject to a fixed tax and Division 7: Non-assigned licence fees do not differ in tax rate according to any geographic function. These tax rates were previously updated by changes in the CPI each year as was the minimum tax rate.</w:t>
      </w:r>
    </w:p>
    <w:p w14:paraId="48F17540" w14:textId="151FC4D0" w:rsidR="006A1A07" w:rsidRPr="00E90C43" w:rsidRDefault="00CB57C9" w:rsidP="006A1A07">
      <w:pPr>
        <w:rPr>
          <w:rFonts w:cs="Arial"/>
          <w:szCs w:val="20"/>
        </w:rPr>
      </w:pPr>
      <w:r>
        <w:rPr>
          <w:rFonts w:cs="Arial"/>
          <w:szCs w:val="20"/>
        </w:rPr>
        <w:t xml:space="preserve">We </w:t>
      </w:r>
      <w:r w:rsidR="006A1A07">
        <w:rPr>
          <w:rFonts w:cs="Arial"/>
          <w:szCs w:val="20"/>
        </w:rPr>
        <w:t xml:space="preserve">propose instead </w:t>
      </w:r>
      <w:r w:rsidR="000B11C4">
        <w:rPr>
          <w:rFonts w:cs="Arial"/>
          <w:szCs w:val="20"/>
        </w:rPr>
        <w:t xml:space="preserve">to </w:t>
      </w:r>
      <w:r w:rsidR="006A1A07">
        <w:rPr>
          <w:rFonts w:cs="Arial"/>
          <w:szCs w:val="20"/>
        </w:rPr>
        <w:t xml:space="preserve">update these taxes, along with the minimum tax rate, annually in line with changes to the total population of Australia. Such a change would have the benefit of tying together all annual updates to the one dataset ‘Estimated resident </w:t>
      </w:r>
      <w:r w:rsidR="006A1A07">
        <w:rPr>
          <w:rFonts w:cs="Arial"/>
          <w:szCs w:val="20"/>
        </w:rPr>
        <w:lastRenderedPageBreak/>
        <w:t>population, Significant Urban Areas’ and correspondingly</w:t>
      </w:r>
      <w:r>
        <w:rPr>
          <w:rFonts w:cs="Arial"/>
          <w:szCs w:val="20"/>
        </w:rPr>
        <w:t>,</w:t>
      </w:r>
      <w:r w:rsidR="006A1A07">
        <w:rPr>
          <w:rFonts w:cs="Arial"/>
          <w:szCs w:val="20"/>
        </w:rPr>
        <w:t xml:space="preserve"> the timing</w:t>
      </w:r>
      <w:r w:rsidR="00A916B4">
        <w:rPr>
          <w:rFonts w:cs="Arial"/>
          <w:szCs w:val="20"/>
        </w:rPr>
        <w:t xml:space="preserve"> of release</w:t>
      </w:r>
      <w:r w:rsidR="006A1A07">
        <w:rPr>
          <w:rFonts w:cs="Arial"/>
          <w:szCs w:val="20"/>
        </w:rPr>
        <w:t xml:space="preserve"> of this single dataset.</w:t>
      </w:r>
    </w:p>
    <w:p w14:paraId="22F10C85" w14:textId="10A774EF" w:rsidR="00501295" w:rsidRPr="00395023" w:rsidRDefault="00501295" w:rsidP="00501295">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351DC7">
        <w:t xml:space="preserve">Question </w:t>
      </w:r>
      <w:r w:rsidR="00EC4293">
        <w:t>1</w:t>
      </w:r>
    </w:p>
    <w:p w14:paraId="147A08F6" w14:textId="77777777" w:rsidR="00501295" w:rsidRDefault="00501295" w:rsidP="00501295">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Do you have any comments on the proposed usage of the ABS dataset ‘Estimated resident population, Significant Urban Areas’ as the basis for the framework to update apparatus licence taxes annually using changes in geography-specific population?</w:t>
      </w:r>
    </w:p>
    <w:p w14:paraId="66089977" w14:textId="5B420D85" w:rsidR="00F13FC8" w:rsidRPr="00237D6A" w:rsidRDefault="00537DA4" w:rsidP="00F13FC8">
      <w:pPr>
        <w:pStyle w:val="Heading2"/>
      </w:pPr>
      <w:bookmarkStart w:id="7" w:name="_Toc130220330"/>
      <w:r>
        <w:t>C</w:t>
      </w:r>
      <w:r w:rsidR="00302C6A">
        <w:t>omparison of current and proposed frameworks</w:t>
      </w:r>
      <w:bookmarkEnd w:id="7"/>
    </w:p>
    <w:p w14:paraId="1C545C2D" w14:textId="757FBC34" w:rsidR="00666C59" w:rsidRDefault="000D7794" w:rsidP="00762377">
      <w:pPr>
        <w:rPr>
          <w:rFonts w:cs="Arial"/>
          <w:szCs w:val="20"/>
        </w:rPr>
      </w:pPr>
      <w:r w:rsidRPr="002F27F1">
        <w:rPr>
          <w:rFonts w:cs="Arial"/>
          <w:szCs w:val="20"/>
        </w:rPr>
        <w:t xml:space="preserve">For an insight into how </w:t>
      </w:r>
      <w:r w:rsidR="00737023" w:rsidRPr="002F27F1">
        <w:rPr>
          <w:rFonts w:cs="Arial"/>
          <w:szCs w:val="20"/>
        </w:rPr>
        <w:t xml:space="preserve">we would </w:t>
      </w:r>
      <w:r w:rsidR="0066015C" w:rsidRPr="002F27F1">
        <w:rPr>
          <w:rFonts w:cs="Arial"/>
          <w:szCs w:val="20"/>
        </w:rPr>
        <w:t>update apparatus licence taxes</w:t>
      </w:r>
      <w:r w:rsidR="006479BF" w:rsidRPr="002F27F1">
        <w:rPr>
          <w:rFonts w:cs="Arial"/>
          <w:szCs w:val="20"/>
        </w:rPr>
        <w:t xml:space="preserve"> according to</w:t>
      </w:r>
      <w:r w:rsidR="0066015C" w:rsidRPr="002F27F1">
        <w:rPr>
          <w:rFonts w:cs="Arial"/>
          <w:szCs w:val="20"/>
        </w:rPr>
        <w:t xml:space="preserve"> </w:t>
      </w:r>
      <w:r w:rsidR="0066015C" w:rsidRPr="0066015C">
        <w:rPr>
          <w:rFonts w:cs="Arial"/>
          <w:szCs w:val="20"/>
        </w:rPr>
        <w:t>geography-specific population data</w:t>
      </w:r>
      <w:r w:rsidR="006479BF">
        <w:rPr>
          <w:rFonts w:cs="Arial"/>
          <w:szCs w:val="20"/>
        </w:rPr>
        <w:t xml:space="preserve">, </w:t>
      </w:r>
      <w:r w:rsidR="00486F2A">
        <w:rPr>
          <w:rFonts w:cs="Arial"/>
          <w:szCs w:val="20"/>
        </w:rPr>
        <w:t xml:space="preserve">we have prepared the following </w:t>
      </w:r>
      <w:r w:rsidR="00690FB4">
        <w:rPr>
          <w:rFonts w:cs="Arial"/>
          <w:szCs w:val="20"/>
        </w:rPr>
        <w:t>set of tables</w:t>
      </w:r>
      <w:r w:rsidR="004F73CD">
        <w:rPr>
          <w:rFonts w:cs="Arial"/>
          <w:szCs w:val="20"/>
        </w:rPr>
        <w:t xml:space="preserve"> to </w:t>
      </w:r>
      <w:r w:rsidR="00AF6778">
        <w:rPr>
          <w:rFonts w:cs="Arial"/>
          <w:szCs w:val="20"/>
        </w:rPr>
        <w:t>h</w:t>
      </w:r>
      <w:r w:rsidR="00AD64DD">
        <w:rPr>
          <w:rFonts w:cs="Arial"/>
          <w:szCs w:val="20"/>
        </w:rPr>
        <w:t>elp illustrate how the changes w</w:t>
      </w:r>
      <w:r w:rsidR="00632355">
        <w:rPr>
          <w:rFonts w:cs="Arial"/>
          <w:szCs w:val="20"/>
        </w:rPr>
        <w:t xml:space="preserve">ould have impacted </w:t>
      </w:r>
      <w:r w:rsidR="00CC7415">
        <w:rPr>
          <w:rFonts w:cs="Arial"/>
          <w:szCs w:val="20"/>
        </w:rPr>
        <w:t>historical price</w:t>
      </w:r>
      <w:r w:rsidR="00182A44">
        <w:rPr>
          <w:rFonts w:cs="Arial"/>
          <w:szCs w:val="20"/>
        </w:rPr>
        <w:t>s.</w:t>
      </w:r>
      <w:r w:rsidR="00421E8B">
        <w:rPr>
          <w:rFonts w:cs="Arial"/>
          <w:szCs w:val="20"/>
        </w:rPr>
        <w:t xml:space="preserve"> </w:t>
      </w:r>
      <w:r w:rsidR="00CB57C9" w:rsidRPr="003518EB">
        <w:rPr>
          <w:rFonts w:cs="Arial"/>
          <w:szCs w:val="20"/>
        </w:rPr>
        <w:t>T</w:t>
      </w:r>
      <w:r w:rsidR="002C3853" w:rsidRPr="003518EB">
        <w:rPr>
          <w:rFonts w:cs="Arial"/>
          <w:szCs w:val="20"/>
        </w:rPr>
        <w:t xml:space="preserve">able </w:t>
      </w:r>
      <w:r w:rsidR="003518EB" w:rsidRPr="003518EB">
        <w:rPr>
          <w:rFonts w:cs="Arial"/>
          <w:szCs w:val="20"/>
        </w:rPr>
        <w:t>8</w:t>
      </w:r>
      <w:r w:rsidR="00CB57C9">
        <w:rPr>
          <w:rFonts w:cs="Arial"/>
          <w:szCs w:val="20"/>
        </w:rPr>
        <w:t xml:space="preserve"> </w:t>
      </w:r>
      <w:r w:rsidR="0076511F">
        <w:rPr>
          <w:rFonts w:cs="Arial"/>
          <w:szCs w:val="20"/>
        </w:rPr>
        <w:t xml:space="preserve">demonstrates </w:t>
      </w:r>
      <w:r w:rsidR="0039346C">
        <w:rPr>
          <w:rFonts w:cs="Arial"/>
          <w:szCs w:val="20"/>
        </w:rPr>
        <w:t>how our</w:t>
      </w:r>
      <w:r w:rsidR="00681952">
        <w:rPr>
          <w:rFonts w:cs="Arial"/>
          <w:szCs w:val="20"/>
        </w:rPr>
        <w:t xml:space="preserve"> </w:t>
      </w:r>
      <w:r w:rsidR="00C710FB">
        <w:rPr>
          <w:rFonts w:cs="Arial"/>
          <w:szCs w:val="20"/>
        </w:rPr>
        <w:t>tax</w:t>
      </w:r>
      <w:r w:rsidR="0039346C">
        <w:rPr>
          <w:rFonts w:cs="Arial"/>
          <w:szCs w:val="20"/>
        </w:rPr>
        <w:t>es</w:t>
      </w:r>
      <w:r w:rsidR="00C710FB">
        <w:rPr>
          <w:rFonts w:cs="Arial"/>
          <w:szCs w:val="20"/>
        </w:rPr>
        <w:t xml:space="preserve"> </w:t>
      </w:r>
      <w:r w:rsidR="00681952">
        <w:rPr>
          <w:rFonts w:cs="Arial"/>
          <w:szCs w:val="20"/>
        </w:rPr>
        <w:t>would</w:t>
      </w:r>
      <w:r w:rsidR="0039346C">
        <w:rPr>
          <w:rFonts w:cs="Arial"/>
          <w:szCs w:val="20"/>
        </w:rPr>
        <w:t xml:space="preserve"> be</w:t>
      </w:r>
      <w:r w:rsidR="00681952">
        <w:rPr>
          <w:rFonts w:cs="Arial"/>
          <w:szCs w:val="20"/>
        </w:rPr>
        <w:t xml:space="preserve"> hypotheticall</w:t>
      </w:r>
      <w:r w:rsidR="0039346C">
        <w:rPr>
          <w:rFonts w:cs="Arial"/>
          <w:szCs w:val="20"/>
        </w:rPr>
        <w:t>y updated</w:t>
      </w:r>
      <w:r w:rsidR="00681952">
        <w:rPr>
          <w:rFonts w:cs="Arial"/>
          <w:szCs w:val="20"/>
        </w:rPr>
        <w:t xml:space="preserve"> </w:t>
      </w:r>
      <w:r w:rsidR="00A11104">
        <w:rPr>
          <w:rFonts w:cs="Arial"/>
          <w:szCs w:val="20"/>
        </w:rPr>
        <w:t xml:space="preserve">given </w:t>
      </w:r>
      <w:r w:rsidR="0073223D">
        <w:rPr>
          <w:rFonts w:cs="Arial"/>
          <w:szCs w:val="20"/>
        </w:rPr>
        <w:t xml:space="preserve">our proposed </w:t>
      </w:r>
      <w:r w:rsidR="00972A5E">
        <w:rPr>
          <w:rFonts w:cs="Arial"/>
          <w:szCs w:val="20"/>
        </w:rPr>
        <w:t>population-based</w:t>
      </w:r>
      <w:r w:rsidR="0012583B">
        <w:rPr>
          <w:rFonts w:cs="Arial"/>
          <w:szCs w:val="20"/>
        </w:rPr>
        <w:t xml:space="preserve"> </w:t>
      </w:r>
      <w:r w:rsidR="002874BA">
        <w:rPr>
          <w:rFonts w:cs="Arial"/>
          <w:szCs w:val="20"/>
        </w:rPr>
        <w:t>method</w:t>
      </w:r>
      <w:r w:rsidR="00497762">
        <w:rPr>
          <w:rFonts w:cs="Arial"/>
          <w:szCs w:val="20"/>
        </w:rPr>
        <w:t xml:space="preserve"> by area</w:t>
      </w:r>
      <w:r w:rsidR="00666C59">
        <w:rPr>
          <w:rFonts w:cs="Arial"/>
          <w:szCs w:val="20"/>
        </w:rPr>
        <w:t xml:space="preserve">. </w:t>
      </w:r>
    </w:p>
    <w:p w14:paraId="46C525BF" w14:textId="18ABF480" w:rsidR="00CA60FB" w:rsidRPr="00533D0C" w:rsidRDefault="00A11E68" w:rsidP="003C2CFB">
      <w:pPr>
        <w:pStyle w:val="Tableheading"/>
      </w:pPr>
      <w:bookmarkStart w:id="8" w:name="_Hlk126239793"/>
      <w:r>
        <w:t xml:space="preserve">Population increase vs </w:t>
      </w:r>
      <w:r w:rsidR="00572D3D">
        <w:t xml:space="preserve">CPI </w:t>
      </w:r>
      <w:r w:rsidR="00CF06FF">
        <w:t>by area</w:t>
      </w:r>
    </w:p>
    <w:tbl>
      <w:tblPr>
        <w:tblW w:w="8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Pr>
      <w:tblGrid>
        <w:gridCol w:w="1203"/>
        <w:gridCol w:w="1203"/>
        <w:gridCol w:w="1203"/>
        <w:gridCol w:w="1203"/>
        <w:gridCol w:w="1203"/>
        <w:gridCol w:w="1203"/>
        <w:gridCol w:w="1203"/>
      </w:tblGrid>
      <w:tr w:rsidR="003C2CFB" w:rsidRPr="000A555F" w14:paraId="678F89A1" w14:textId="77777777" w:rsidTr="007A5938">
        <w:trPr>
          <w:trHeight w:val="176"/>
          <w:tblHeader/>
        </w:trPr>
        <w:tc>
          <w:tcPr>
            <w:tcW w:w="1203" w:type="dxa"/>
            <w:shd w:val="clear" w:color="auto" w:fill="404040" w:themeFill="text1" w:themeFillTint="BF"/>
            <w:noWrap/>
          </w:tcPr>
          <w:bookmarkEnd w:id="8"/>
          <w:p w14:paraId="6F5EFA44" w14:textId="2157EBA2" w:rsidR="003C2CFB" w:rsidRPr="007A5938" w:rsidRDefault="003C2CFB" w:rsidP="003C2CFB">
            <w:pPr>
              <w:spacing w:after="0" w:line="240" w:lineRule="auto"/>
              <w:rPr>
                <w:rFonts w:cs="Arial"/>
                <w:b/>
                <w:bCs/>
                <w:color w:val="FFFFFF" w:themeColor="background1"/>
                <w:szCs w:val="20"/>
              </w:rPr>
            </w:pPr>
            <w:r w:rsidRPr="007A5938">
              <w:rPr>
                <w:rFonts w:cs="Arial"/>
                <w:b/>
                <w:bCs/>
                <w:color w:val="FFFFFF" w:themeColor="background1"/>
                <w:szCs w:val="20"/>
              </w:rPr>
              <w:t>Year</w:t>
            </w:r>
          </w:p>
        </w:tc>
        <w:tc>
          <w:tcPr>
            <w:tcW w:w="1203" w:type="dxa"/>
            <w:shd w:val="clear" w:color="auto" w:fill="404040" w:themeFill="text1" w:themeFillTint="BF"/>
            <w:noWrap/>
          </w:tcPr>
          <w:p w14:paraId="29B3F366" w14:textId="2CA989CA" w:rsidR="003C2CFB" w:rsidRPr="007A5938" w:rsidRDefault="003C2CFB" w:rsidP="00C97ACF">
            <w:pPr>
              <w:spacing w:after="0" w:line="240" w:lineRule="auto"/>
              <w:jc w:val="right"/>
              <w:rPr>
                <w:rFonts w:cs="Arial"/>
                <w:color w:val="FFFFFF" w:themeColor="background1"/>
                <w:szCs w:val="20"/>
              </w:rPr>
            </w:pPr>
            <w:r w:rsidRPr="007A5938">
              <w:rPr>
                <w:rFonts w:cs="Arial"/>
                <w:b/>
                <w:bCs/>
                <w:color w:val="FFFFFF" w:themeColor="background1"/>
                <w:szCs w:val="20"/>
              </w:rPr>
              <w:t>High density</w:t>
            </w:r>
          </w:p>
        </w:tc>
        <w:tc>
          <w:tcPr>
            <w:tcW w:w="1203" w:type="dxa"/>
            <w:shd w:val="clear" w:color="auto" w:fill="404040" w:themeFill="text1" w:themeFillTint="BF"/>
            <w:noWrap/>
          </w:tcPr>
          <w:p w14:paraId="778D4AB8" w14:textId="7F17CAE4" w:rsidR="003C2CFB" w:rsidRPr="007A5938" w:rsidRDefault="003C2CFB" w:rsidP="00C97ACF">
            <w:pPr>
              <w:spacing w:after="0" w:line="240" w:lineRule="auto"/>
              <w:jc w:val="right"/>
              <w:rPr>
                <w:rFonts w:cs="Arial"/>
                <w:color w:val="FFFFFF" w:themeColor="background1"/>
                <w:szCs w:val="20"/>
              </w:rPr>
            </w:pPr>
            <w:r w:rsidRPr="007A5938">
              <w:rPr>
                <w:rFonts w:cs="Arial"/>
                <w:b/>
                <w:bCs/>
                <w:color w:val="FFFFFF" w:themeColor="background1"/>
                <w:szCs w:val="20"/>
              </w:rPr>
              <w:t>Medium density</w:t>
            </w:r>
          </w:p>
        </w:tc>
        <w:tc>
          <w:tcPr>
            <w:tcW w:w="1203" w:type="dxa"/>
            <w:shd w:val="clear" w:color="auto" w:fill="404040" w:themeFill="text1" w:themeFillTint="BF"/>
            <w:noWrap/>
          </w:tcPr>
          <w:p w14:paraId="02787DAB" w14:textId="4ECF9C17" w:rsidR="003C2CFB" w:rsidRPr="007A5938" w:rsidRDefault="003C2CFB" w:rsidP="00C97ACF">
            <w:pPr>
              <w:spacing w:after="0" w:line="240" w:lineRule="auto"/>
              <w:jc w:val="right"/>
              <w:rPr>
                <w:rFonts w:cs="Arial"/>
                <w:color w:val="FFFFFF" w:themeColor="background1"/>
                <w:szCs w:val="20"/>
              </w:rPr>
            </w:pPr>
            <w:r w:rsidRPr="007A5938">
              <w:rPr>
                <w:rFonts w:cs="Arial"/>
                <w:b/>
                <w:bCs/>
                <w:color w:val="FFFFFF" w:themeColor="background1"/>
                <w:szCs w:val="20"/>
              </w:rPr>
              <w:t>Low density</w:t>
            </w:r>
          </w:p>
        </w:tc>
        <w:tc>
          <w:tcPr>
            <w:tcW w:w="1203" w:type="dxa"/>
            <w:shd w:val="clear" w:color="auto" w:fill="404040" w:themeFill="text1" w:themeFillTint="BF"/>
            <w:noWrap/>
          </w:tcPr>
          <w:p w14:paraId="6379B04F" w14:textId="0DA40396" w:rsidR="003C2CFB" w:rsidRPr="007A5938" w:rsidRDefault="003C2CFB" w:rsidP="00C97ACF">
            <w:pPr>
              <w:spacing w:after="0" w:line="240" w:lineRule="auto"/>
              <w:jc w:val="right"/>
              <w:rPr>
                <w:rFonts w:cs="Arial"/>
                <w:color w:val="FFFFFF" w:themeColor="background1"/>
                <w:szCs w:val="20"/>
              </w:rPr>
            </w:pPr>
            <w:r w:rsidRPr="007A5938">
              <w:rPr>
                <w:rFonts w:cs="Arial"/>
                <w:b/>
                <w:bCs/>
                <w:color w:val="FFFFFF" w:themeColor="background1"/>
                <w:szCs w:val="20"/>
              </w:rPr>
              <w:t>Remote density</w:t>
            </w:r>
          </w:p>
        </w:tc>
        <w:tc>
          <w:tcPr>
            <w:tcW w:w="1203" w:type="dxa"/>
            <w:shd w:val="clear" w:color="auto" w:fill="404040" w:themeFill="text1" w:themeFillTint="BF"/>
            <w:noWrap/>
          </w:tcPr>
          <w:p w14:paraId="4E6DA077" w14:textId="682A542D" w:rsidR="003C2CFB" w:rsidRPr="007A5938" w:rsidRDefault="003C2CFB" w:rsidP="00C97ACF">
            <w:pPr>
              <w:spacing w:after="0" w:line="240" w:lineRule="auto"/>
              <w:jc w:val="right"/>
              <w:rPr>
                <w:rFonts w:cs="Arial"/>
                <w:color w:val="FFFFFF" w:themeColor="background1"/>
                <w:szCs w:val="20"/>
              </w:rPr>
            </w:pPr>
            <w:r w:rsidRPr="007A5938">
              <w:rPr>
                <w:rFonts w:cs="Arial"/>
                <w:b/>
                <w:bCs/>
                <w:color w:val="FFFFFF" w:themeColor="background1"/>
                <w:szCs w:val="20"/>
              </w:rPr>
              <w:t>Australia wide</w:t>
            </w:r>
          </w:p>
        </w:tc>
        <w:tc>
          <w:tcPr>
            <w:tcW w:w="1203" w:type="dxa"/>
            <w:shd w:val="clear" w:color="auto" w:fill="404040" w:themeFill="text1" w:themeFillTint="BF"/>
            <w:noWrap/>
          </w:tcPr>
          <w:p w14:paraId="5EB1D6EF" w14:textId="3AEC3583" w:rsidR="003C2CFB" w:rsidRPr="007A5938" w:rsidRDefault="003C2CFB" w:rsidP="00C97ACF">
            <w:pPr>
              <w:spacing w:after="0" w:line="240" w:lineRule="auto"/>
              <w:jc w:val="right"/>
              <w:rPr>
                <w:rFonts w:cs="Arial"/>
                <w:color w:val="FFFFFF" w:themeColor="background1"/>
                <w:szCs w:val="20"/>
              </w:rPr>
            </w:pPr>
            <w:r w:rsidRPr="007A5938">
              <w:rPr>
                <w:rFonts w:cs="Arial"/>
                <w:b/>
                <w:bCs/>
                <w:color w:val="FFFFFF" w:themeColor="background1"/>
                <w:szCs w:val="20"/>
              </w:rPr>
              <w:t>CPI</w:t>
            </w:r>
          </w:p>
        </w:tc>
      </w:tr>
      <w:tr w:rsidR="000A555F" w:rsidRPr="000A555F" w14:paraId="5778A9C9" w14:textId="77777777" w:rsidTr="003C2CFB">
        <w:trPr>
          <w:trHeight w:val="176"/>
        </w:trPr>
        <w:tc>
          <w:tcPr>
            <w:tcW w:w="1203" w:type="dxa"/>
            <w:shd w:val="clear" w:color="auto" w:fill="auto"/>
            <w:noWrap/>
            <w:vAlign w:val="bottom"/>
            <w:hideMark/>
          </w:tcPr>
          <w:p w14:paraId="14F168D9" w14:textId="77777777" w:rsidR="000A555F" w:rsidRPr="003C2CFB" w:rsidRDefault="000A555F" w:rsidP="003C2CFB">
            <w:pPr>
              <w:spacing w:after="0" w:line="240" w:lineRule="auto"/>
              <w:rPr>
                <w:rFonts w:cs="Arial"/>
                <w:color w:val="000000"/>
                <w:szCs w:val="20"/>
              </w:rPr>
            </w:pPr>
            <w:r w:rsidRPr="003C2CFB">
              <w:rPr>
                <w:rFonts w:cs="Arial"/>
                <w:color w:val="000000"/>
                <w:szCs w:val="20"/>
              </w:rPr>
              <w:t>2002</w:t>
            </w:r>
          </w:p>
        </w:tc>
        <w:tc>
          <w:tcPr>
            <w:tcW w:w="1203" w:type="dxa"/>
            <w:shd w:val="clear" w:color="auto" w:fill="auto"/>
            <w:noWrap/>
            <w:vAlign w:val="bottom"/>
            <w:hideMark/>
          </w:tcPr>
          <w:p w14:paraId="0C5004E2"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1.40%</w:t>
            </w:r>
          </w:p>
        </w:tc>
        <w:tc>
          <w:tcPr>
            <w:tcW w:w="1203" w:type="dxa"/>
            <w:shd w:val="clear" w:color="auto" w:fill="auto"/>
            <w:noWrap/>
            <w:vAlign w:val="bottom"/>
            <w:hideMark/>
          </w:tcPr>
          <w:p w14:paraId="74D8007B"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0.98%</w:t>
            </w:r>
          </w:p>
        </w:tc>
        <w:tc>
          <w:tcPr>
            <w:tcW w:w="1203" w:type="dxa"/>
            <w:shd w:val="clear" w:color="auto" w:fill="auto"/>
            <w:noWrap/>
            <w:vAlign w:val="bottom"/>
            <w:hideMark/>
          </w:tcPr>
          <w:p w14:paraId="1D97593C"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1.05%</w:t>
            </w:r>
          </w:p>
        </w:tc>
        <w:tc>
          <w:tcPr>
            <w:tcW w:w="1203" w:type="dxa"/>
            <w:shd w:val="clear" w:color="auto" w:fill="auto"/>
            <w:noWrap/>
            <w:vAlign w:val="bottom"/>
            <w:hideMark/>
          </w:tcPr>
          <w:p w14:paraId="524711A9"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0.43%</w:t>
            </w:r>
          </w:p>
        </w:tc>
        <w:tc>
          <w:tcPr>
            <w:tcW w:w="1203" w:type="dxa"/>
            <w:shd w:val="clear" w:color="auto" w:fill="auto"/>
            <w:noWrap/>
            <w:vAlign w:val="bottom"/>
            <w:hideMark/>
          </w:tcPr>
          <w:p w14:paraId="0B7D6973"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1.14%</w:t>
            </w:r>
          </w:p>
        </w:tc>
        <w:tc>
          <w:tcPr>
            <w:tcW w:w="1203" w:type="dxa"/>
            <w:shd w:val="clear" w:color="auto" w:fill="auto"/>
            <w:noWrap/>
            <w:vAlign w:val="bottom"/>
            <w:hideMark/>
          </w:tcPr>
          <w:p w14:paraId="65430737"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2.80%</w:t>
            </w:r>
          </w:p>
        </w:tc>
      </w:tr>
      <w:tr w:rsidR="000A555F" w:rsidRPr="000A555F" w14:paraId="0B523F96" w14:textId="77777777" w:rsidTr="003C2CFB">
        <w:trPr>
          <w:trHeight w:val="176"/>
        </w:trPr>
        <w:tc>
          <w:tcPr>
            <w:tcW w:w="1203" w:type="dxa"/>
            <w:shd w:val="clear" w:color="auto" w:fill="auto"/>
            <w:noWrap/>
            <w:vAlign w:val="bottom"/>
            <w:hideMark/>
          </w:tcPr>
          <w:p w14:paraId="4B1677EF" w14:textId="77777777" w:rsidR="000A555F" w:rsidRPr="003C2CFB" w:rsidRDefault="000A555F" w:rsidP="003C2CFB">
            <w:pPr>
              <w:spacing w:after="0" w:line="240" w:lineRule="auto"/>
              <w:rPr>
                <w:rFonts w:cs="Arial"/>
                <w:color w:val="000000"/>
                <w:szCs w:val="20"/>
              </w:rPr>
            </w:pPr>
            <w:r w:rsidRPr="003C2CFB">
              <w:rPr>
                <w:rFonts w:cs="Arial"/>
                <w:color w:val="000000"/>
                <w:szCs w:val="20"/>
              </w:rPr>
              <w:t>2003</w:t>
            </w:r>
          </w:p>
        </w:tc>
        <w:tc>
          <w:tcPr>
            <w:tcW w:w="1203" w:type="dxa"/>
            <w:shd w:val="clear" w:color="auto" w:fill="auto"/>
            <w:noWrap/>
            <w:vAlign w:val="bottom"/>
            <w:hideMark/>
          </w:tcPr>
          <w:p w14:paraId="3803E597"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1.37%</w:t>
            </w:r>
          </w:p>
        </w:tc>
        <w:tc>
          <w:tcPr>
            <w:tcW w:w="1203" w:type="dxa"/>
            <w:shd w:val="clear" w:color="auto" w:fill="auto"/>
            <w:noWrap/>
            <w:vAlign w:val="bottom"/>
            <w:hideMark/>
          </w:tcPr>
          <w:p w14:paraId="088B9C90"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1.05%</w:t>
            </w:r>
          </w:p>
        </w:tc>
        <w:tc>
          <w:tcPr>
            <w:tcW w:w="1203" w:type="dxa"/>
            <w:shd w:val="clear" w:color="auto" w:fill="auto"/>
            <w:noWrap/>
            <w:vAlign w:val="bottom"/>
            <w:hideMark/>
          </w:tcPr>
          <w:p w14:paraId="6F01F775"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1.17%</w:t>
            </w:r>
          </w:p>
        </w:tc>
        <w:tc>
          <w:tcPr>
            <w:tcW w:w="1203" w:type="dxa"/>
            <w:shd w:val="clear" w:color="auto" w:fill="auto"/>
            <w:noWrap/>
            <w:vAlign w:val="bottom"/>
            <w:hideMark/>
          </w:tcPr>
          <w:p w14:paraId="397F37B8"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0.41%</w:t>
            </w:r>
          </w:p>
        </w:tc>
        <w:tc>
          <w:tcPr>
            <w:tcW w:w="1203" w:type="dxa"/>
            <w:shd w:val="clear" w:color="auto" w:fill="auto"/>
            <w:noWrap/>
            <w:vAlign w:val="bottom"/>
            <w:hideMark/>
          </w:tcPr>
          <w:p w14:paraId="60895D31"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1.16%</w:t>
            </w:r>
          </w:p>
        </w:tc>
        <w:tc>
          <w:tcPr>
            <w:tcW w:w="1203" w:type="dxa"/>
            <w:shd w:val="clear" w:color="auto" w:fill="auto"/>
            <w:noWrap/>
            <w:vAlign w:val="bottom"/>
            <w:hideMark/>
          </w:tcPr>
          <w:p w14:paraId="10C9085B"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2.60%</w:t>
            </w:r>
          </w:p>
        </w:tc>
      </w:tr>
      <w:tr w:rsidR="000A555F" w:rsidRPr="000A555F" w14:paraId="6A41E4CE" w14:textId="77777777" w:rsidTr="003C2CFB">
        <w:trPr>
          <w:trHeight w:val="176"/>
        </w:trPr>
        <w:tc>
          <w:tcPr>
            <w:tcW w:w="1203" w:type="dxa"/>
            <w:shd w:val="clear" w:color="auto" w:fill="auto"/>
            <w:noWrap/>
            <w:vAlign w:val="bottom"/>
            <w:hideMark/>
          </w:tcPr>
          <w:p w14:paraId="6D5E1DA1" w14:textId="77777777" w:rsidR="000A555F" w:rsidRPr="003C2CFB" w:rsidRDefault="000A555F" w:rsidP="003C2CFB">
            <w:pPr>
              <w:spacing w:after="0" w:line="240" w:lineRule="auto"/>
              <w:rPr>
                <w:rFonts w:cs="Arial"/>
                <w:color w:val="000000"/>
                <w:szCs w:val="20"/>
              </w:rPr>
            </w:pPr>
            <w:r w:rsidRPr="003C2CFB">
              <w:rPr>
                <w:rFonts w:cs="Arial"/>
                <w:color w:val="000000"/>
                <w:szCs w:val="20"/>
              </w:rPr>
              <w:t>2004</w:t>
            </w:r>
          </w:p>
        </w:tc>
        <w:tc>
          <w:tcPr>
            <w:tcW w:w="1203" w:type="dxa"/>
            <w:shd w:val="clear" w:color="auto" w:fill="auto"/>
            <w:noWrap/>
            <w:vAlign w:val="bottom"/>
            <w:hideMark/>
          </w:tcPr>
          <w:p w14:paraId="4EA395E9"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1.24%</w:t>
            </w:r>
          </w:p>
        </w:tc>
        <w:tc>
          <w:tcPr>
            <w:tcW w:w="1203" w:type="dxa"/>
            <w:shd w:val="clear" w:color="auto" w:fill="auto"/>
            <w:noWrap/>
            <w:vAlign w:val="bottom"/>
            <w:hideMark/>
          </w:tcPr>
          <w:p w14:paraId="74BADF30"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1.06%</w:t>
            </w:r>
          </w:p>
        </w:tc>
        <w:tc>
          <w:tcPr>
            <w:tcW w:w="1203" w:type="dxa"/>
            <w:shd w:val="clear" w:color="auto" w:fill="auto"/>
            <w:noWrap/>
            <w:vAlign w:val="bottom"/>
            <w:hideMark/>
          </w:tcPr>
          <w:p w14:paraId="40112295"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1.15%</w:t>
            </w:r>
          </w:p>
        </w:tc>
        <w:tc>
          <w:tcPr>
            <w:tcW w:w="1203" w:type="dxa"/>
            <w:shd w:val="clear" w:color="auto" w:fill="auto"/>
            <w:noWrap/>
            <w:vAlign w:val="bottom"/>
            <w:hideMark/>
          </w:tcPr>
          <w:p w14:paraId="6C688891"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0.30%</w:t>
            </w:r>
          </w:p>
        </w:tc>
        <w:tc>
          <w:tcPr>
            <w:tcW w:w="1203" w:type="dxa"/>
            <w:shd w:val="clear" w:color="auto" w:fill="auto"/>
            <w:noWrap/>
            <w:vAlign w:val="bottom"/>
            <w:hideMark/>
          </w:tcPr>
          <w:p w14:paraId="014C05BC"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1.07%</w:t>
            </w:r>
          </w:p>
        </w:tc>
        <w:tc>
          <w:tcPr>
            <w:tcW w:w="1203" w:type="dxa"/>
            <w:shd w:val="clear" w:color="auto" w:fill="auto"/>
            <w:noWrap/>
            <w:vAlign w:val="bottom"/>
            <w:hideMark/>
          </w:tcPr>
          <w:p w14:paraId="5C84B5DE"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2.50%</w:t>
            </w:r>
          </w:p>
        </w:tc>
      </w:tr>
      <w:tr w:rsidR="000A555F" w:rsidRPr="000A555F" w14:paraId="120721D4" w14:textId="77777777" w:rsidTr="003C2CFB">
        <w:trPr>
          <w:trHeight w:val="176"/>
        </w:trPr>
        <w:tc>
          <w:tcPr>
            <w:tcW w:w="1203" w:type="dxa"/>
            <w:shd w:val="clear" w:color="auto" w:fill="auto"/>
            <w:noWrap/>
            <w:vAlign w:val="bottom"/>
            <w:hideMark/>
          </w:tcPr>
          <w:p w14:paraId="7CF3B25C" w14:textId="77777777" w:rsidR="000A555F" w:rsidRPr="003C2CFB" w:rsidRDefault="000A555F" w:rsidP="003C2CFB">
            <w:pPr>
              <w:spacing w:after="0" w:line="240" w:lineRule="auto"/>
              <w:rPr>
                <w:rFonts w:cs="Arial"/>
                <w:color w:val="000000"/>
                <w:szCs w:val="20"/>
              </w:rPr>
            </w:pPr>
            <w:r w:rsidRPr="003C2CFB">
              <w:rPr>
                <w:rFonts w:cs="Arial"/>
                <w:color w:val="000000"/>
                <w:szCs w:val="20"/>
              </w:rPr>
              <w:t>2005</w:t>
            </w:r>
          </w:p>
        </w:tc>
        <w:tc>
          <w:tcPr>
            <w:tcW w:w="1203" w:type="dxa"/>
            <w:shd w:val="clear" w:color="auto" w:fill="auto"/>
            <w:noWrap/>
            <w:vAlign w:val="bottom"/>
            <w:hideMark/>
          </w:tcPr>
          <w:p w14:paraId="2C0E7978"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1.37%</w:t>
            </w:r>
          </w:p>
        </w:tc>
        <w:tc>
          <w:tcPr>
            <w:tcW w:w="1203" w:type="dxa"/>
            <w:shd w:val="clear" w:color="auto" w:fill="auto"/>
            <w:noWrap/>
            <w:vAlign w:val="bottom"/>
            <w:hideMark/>
          </w:tcPr>
          <w:p w14:paraId="4256C8C9"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1.13%</w:t>
            </w:r>
          </w:p>
        </w:tc>
        <w:tc>
          <w:tcPr>
            <w:tcW w:w="1203" w:type="dxa"/>
            <w:shd w:val="clear" w:color="auto" w:fill="auto"/>
            <w:noWrap/>
            <w:vAlign w:val="bottom"/>
            <w:hideMark/>
          </w:tcPr>
          <w:p w14:paraId="166198D8"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1.29%</w:t>
            </w:r>
          </w:p>
        </w:tc>
        <w:tc>
          <w:tcPr>
            <w:tcW w:w="1203" w:type="dxa"/>
            <w:shd w:val="clear" w:color="auto" w:fill="auto"/>
            <w:noWrap/>
            <w:vAlign w:val="bottom"/>
            <w:hideMark/>
          </w:tcPr>
          <w:p w14:paraId="3931576F"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0.65%</w:t>
            </w:r>
          </w:p>
        </w:tc>
        <w:tc>
          <w:tcPr>
            <w:tcW w:w="1203" w:type="dxa"/>
            <w:shd w:val="clear" w:color="auto" w:fill="auto"/>
            <w:noWrap/>
            <w:vAlign w:val="bottom"/>
            <w:hideMark/>
          </w:tcPr>
          <w:p w14:paraId="34F4034F"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1.22%</w:t>
            </w:r>
          </w:p>
        </w:tc>
        <w:tc>
          <w:tcPr>
            <w:tcW w:w="1203" w:type="dxa"/>
            <w:shd w:val="clear" w:color="auto" w:fill="auto"/>
            <w:noWrap/>
            <w:vAlign w:val="bottom"/>
            <w:hideMark/>
          </w:tcPr>
          <w:p w14:paraId="102FBA34"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2.50%</w:t>
            </w:r>
          </w:p>
        </w:tc>
      </w:tr>
      <w:tr w:rsidR="000A555F" w:rsidRPr="000A555F" w14:paraId="7986866F" w14:textId="77777777" w:rsidTr="003C2CFB">
        <w:trPr>
          <w:trHeight w:val="176"/>
        </w:trPr>
        <w:tc>
          <w:tcPr>
            <w:tcW w:w="1203" w:type="dxa"/>
            <w:shd w:val="clear" w:color="auto" w:fill="auto"/>
            <w:noWrap/>
            <w:vAlign w:val="bottom"/>
            <w:hideMark/>
          </w:tcPr>
          <w:p w14:paraId="36A979B0" w14:textId="77777777" w:rsidR="000A555F" w:rsidRPr="003C2CFB" w:rsidRDefault="000A555F" w:rsidP="003C2CFB">
            <w:pPr>
              <w:spacing w:after="0" w:line="240" w:lineRule="auto"/>
              <w:rPr>
                <w:rFonts w:cs="Arial"/>
                <w:color w:val="000000"/>
                <w:szCs w:val="20"/>
              </w:rPr>
            </w:pPr>
            <w:r w:rsidRPr="003C2CFB">
              <w:rPr>
                <w:rFonts w:cs="Arial"/>
                <w:color w:val="000000"/>
                <w:szCs w:val="20"/>
              </w:rPr>
              <w:t>2006</w:t>
            </w:r>
          </w:p>
        </w:tc>
        <w:tc>
          <w:tcPr>
            <w:tcW w:w="1203" w:type="dxa"/>
            <w:shd w:val="clear" w:color="auto" w:fill="auto"/>
            <w:noWrap/>
            <w:vAlign w:val="bottom"/>
            <w:hideMark/>
          </w:tcPr>
          <w:p w14:paraId="1EAE2D35"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1.48%</w:t>
            </w:r>
          </w:p>
        </w:tc>
        <w:tc>
          <w:tcPr>
            <w:tcW w:w="1203" w:type="dxa"/>
            <w:shd w:val="clear" w:color="auto" w:fill="auto"/>
            <w:noWrap/>
            <w:vAlign w:val="bottom"/>
            <w:hideMark/>
          </w:tcPr>
          <w:p w14:paraId="1B08FCAF"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1.44%</w:t>
            </w:r>
          </w:p>
        </w:tc>
        <w:tc>
          <w:tcPr>
            <w:tcW w:w="1203" w:type="dxa"/>
            <w:shd w:val="clear" w:color="auto" w:fill="auto"/>
            <w:noWrap/>
            <w:vAlign w:val="bottom"/>
            <w:hideMark/>
          </w:tcPr>
          <w:p w14:paraId="42D2826B"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1.35%</w:t>
            </w:r>
          </w:p>
        </w:tc>
        <w:tc>
          <w:tcPr>
            <w:tcW w:w="1203" w:type="dxa"/>
            <w:shd w:val="clear" w:color="auto" w:fill="auto"/>
            <w:noWrap/>
            <w:vAlign w:val="bottom"/>
            <w:hideMark/>
          </w:tcPr>
          <w:p w14:paraId="20E2093B"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0.74%</w:t>
            </w:r>
          </w:p>
        </w:tc>
        <w:tc>
          <w:tcPr>
            <w:tcW w:w="1203" w:type="dxa"/>
            <w:shd w:val="clear" w:color="auto" w:fill="auto"/>
            <w:noWrap/>
            <w:vAlign w:val="bottom"/>
            <w:hideMark/>
          </w:tcPr>
          <w:p w14:paraId="1A88E56B"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1.36%</w:t>
            </w:r>
          </w:p>
        </w:tc>
        <w:tc>
          <w:tcPr>
            <w:tcW w:w="1203" w:type="dxa"/>
            <w:shd w:val="clear" w:color="auto" w:fill="auto"/>
            <w:noWrap/>
            <w:vAlign w:val="bottom"/>
            <w:hideMark/>
          </w:tcPr>
          <w:p w14:paraId="10D5EA34"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4.00%</w:t>
            </w:r>
          </w:p>
        </w:tc>
      </w:tr>
      <w:tr w:rsidR="000A555F" w:rsidRPr="000A555F" w14:paraId="0B184553" w14:textId="77777777" w:rsidTr="003C2CFB">
        <w:trPr>
          <w:trHeight w:val="176"/>
        </w:trPr>
        <w:tc>
          <w:tcPr>
            <w:tcW w:w="1203" w:type="dxa"/>
            <w:shd w:val="clear" w:color="auto" w:fill="auto"/>
            <w:noWrap/>
            <w:vAlign w:val="bottom"/>
            <w:hideMark/>
          </w:tcPr>
          <w:p w14:paraId="38E03D58" w14:textId="77777777" w:rsidR="000A555F" w:rsidRPr="003C2CFB" w:rsidRDefault="000A555F" w:rsidP="003C2CFB">
            <w:pPr>
              <w:spacing w:after="0" w:line="240" w:lineRule="auto"/>
              <w:rPr>
                <w:rFonts w:cs="Arial"/>
                <w:color w:val="000000"/>
                <w:szCs w:val="20"/>
              </w:rPr>
            </w:pPr>
            <w:r w:rsidRPr="003C2CFB">
              <w:rPr>
                <w:rFonts w:cs="Arial"/>
                <w:color w:val="000000"/>
                <w:szCs w:val="20"/>
              </w:rPr>
              <w:t>2007</w:t>
            </w:r>
          </w:p>
        </w:tc>
        <w:tc>
          <w:tcPr>
            <w:tcW w:w="1203" w:type="dxa"/>
            <w:shd w:val="clear" w:color="auto" w:fill="auto"/>
            <w:noWrap/>
            <w:vAlign w:val="bottom"/>
            <w:hideMark/>
          </w:tcPr>
          <w:p w14:paraId="0D9E3DE7"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2.07%</w:t>
            </w:r>
          </w:p>
        </w:tc>
        <w:tc>
          <w:tcPr>
            <w:tcW w:w="1203" w:type="dxa"/>
            <w:shd w:val="clear" w:color="auto" w:fill="auto"/>
            <w:noWrap/>
            <w:vAlign w:val="bottom"/>
            <w:hideMark/>
          </w:tcPr>
          <w:p w14:paraId="0AB96DBC"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2.24%</w:t>
            </w:r>
          </w:p>
        </w:tc>
        <w:tc>
          <w:tcPr>
            <w:tcW w:w="1203" w:type="dxa"/>
            <w:shd w:val="clear" w:color="auto" w:fill="auto"/>
            <w:noWrap/>
            <w:vAlign w:val="bottom"/>
            <w:hideMark/>
          </w:tcPr>
          <w:p w14:paraId="06B37C39"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1.52%</w:t>
            </w:r>
          </w:p>
        </w:tc>
        <w:tc>
          <w:tcPr>
            <w:tcW w:w="1203" w:type="dxa"/>
            <w:shd w:val="clear" w:color="auto" w:fill="auto"/>
            <w:noWrap/>
            <w:vAlign w:val="bottom"/>
            <w:hideMark/>
          </w:tcPr>
          <w:p w14:paraId="2EB14FA7"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0.90%</w:t>
            </w:r>
          </w:p>
        </w:tc>
        <w:tc>
          <w:tcPr>
            <w:tcW w:w="1203" w:type="dxa"/>
            <w:shd w:val="clear" w:color="auto" w:fill="auto"/>
            <w:noWrap/>
            <w:vAlign w:val="bottom"/>
            <w:hideMark/>
          </w:tcPr>
          <w:p w14:paraId="6349954E"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1.84%</w:t>
            </w:r>
          </w:p>
        </w:tc>
        <w:tc>
          <w:tcPr>
            <w:tcW w:w="1203" w:type="dxa"/>
            <w:shd w:val="clear" w:color="auto" w:fill="auto"/>
            <w:noWrap/>
            <w:vAlign w:val="bottom"/>
            <w:hideMark/>
          </w:tcPr>
          <w:p w14:paraId="18F1B0CC"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2.10%</w:t>
            </w:r>
          </w:p>
        </w:tc>
      </w:tr>
      <w:tr w:rsidR="000A555F" w:rsidRPr="000A555F" w14:paraId="1CD5894F" w14:textId="77777777" w:rsidTr="003C2CFB">
        <w:trPr>
          <w:trHeight w:val="176"/>
        </w:trPr>
        <w:tc>
          <w:tcPr>
            <w:tcW w:w="1203" w:type="dxa"/>
            <w:shd w:val="clear" w:color="auto" w:fill="auto"/>
            <w:noWrap/>
            <w:vAlign w:val="bottom"/>
            <w:hideMark/>
          </w:tcPr>
          <w:p w14:paraId="3D283202" w14:textId="77777777" w:rsidR="000A555F" w:rsidRPr="003C2CFB" w:rsidRDefault="000A555F" w:rsidP="003C2CFB">
            <w:pPr>
              <w:spacing w:after="0" w:line="240" w:lineRule="auto"/>
              <w:rPr>
                <w:rFonts w:cs="Arial"/>
                <w:color w:val="000000"/>
                <w:szCs w:val="20"/>
              </w:rPr>
            </w:pPr>
            <w:r w:rsidRPr="003C2CFB">
              <w:rPr>
                <w:rFonts w:cs="Arial"/>
                <w:color w:val="000000"/>
                <w:szCs w:val="20"/>
              </w:rPr>
              <w:t>2008</w:t>
            </w:r>
          </w:p>
        </w:tc>
        <w:tc>
          <w:tcPr>
            <w:tcW w:w="1203" w:type="dxa"/>
            <w:shd w:val="clear" w:color="auto" w:fill="auto"/>
            <w:noWrap/>
            <w:vAlign w:val="bottom"/>
            <w:hideMark/>
          </w:tcPr>
          <w:p w14:paraId="4A133AB0"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2.25%</w:t>
            </w:r>
          </w:p>
        </w:tc>
        <w:tc>
          <w:tcPr>
            <w:tcW w:w="1203" w:type="dxa"/>
            <w:shd w:val="clear" w:color="auto" w:fill="auto"/>
            <w:noWrap/>
            <w:vAlign w:val="bottom"/>
            <w:hideMark/>
          </w:tcPr>
          <w:p w14:paraId="5EBF421C"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2.28%</w:t>
            </w:r>
          </w:p>
        </w:tc>
        <w:tc>
          <w:tcPr>
            <w:tcW w:w="1203" w:type="dxa"/>
            <w:shd w:val="clear" w:color="auto" w:fill="auto"/>
            <w:noWrap/>
            <w:vAlign w:val="bottom"/>
            <w:hideMark/>
          </w:tcPr>
          <w:p w14:paraId="6A5813A5"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1.71%</w:t>
            </w:r>
          </w:p>
        </w:tc>
        <w:tc>
          <w:tcPr>
            <w:tcW w:w="1203" w:type="dxa"/>
            <w:shd w:val="clear" w:color="auto" w:fill="auto"/>
            <w:noWrap/>
            <w:vAlign w:val="bottom"/>
            <w:hideMark/>
          </w:tcPr>
          <w:p w14:paraId="4FF69B39"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1.24%</w:t>
            </w:r>
          </w:p>
        </w:tc>
        <w:tc>
          <w:tcPr>
            <w:tcW w:w="1203" w:type="dxa"/>
            <w:shd w:val="clear" w:color="auto" w:fill="auto"/>
            <w:noWrap/>
            <w:vAlign w:val="bottom"/>
            <w:hideMark/>
          </w:tcPr>
          <w:p w14:paraId="42ADC455"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2.02%</w:t>
            </w:r>
          </w:p>
        </w:tc>
        <w:tc>
          <w:tcPr>
            <w:tcW w:w="1203" w:type="dxa"/>
            <w:shd w:val="clear" w:color="auto" w:fill="auto"/>
            <w:noWrap/>
            <w:vAlign w:val="bottom"/>
            <w:hideMark/>
          </w:tcPr>
          <w:p w14:paraId="1F51B691"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4.40%</w:t>
            </w:r>
          </w:p>
        </w:tc>
      </w:tr>
      <w:tr w:rsidR="000A555F" w:rsidRPr="000A555F" w14:paraId="135DB4A3" w14:textId="77777777" w:rsidTr="003C2CFB">
        <w:trPr>
          <w:trHeight w:val="176"/>
        </w:trPr>
        <w:tc>
          <w:tcPr>
            <w:tcW w:w="1203" w:type="dxa"/>
            <w:shd w:val="clear" w:color="auto" w:fill="auto"/>
            <w:noWrap/>
            <w:vAlign w:val="bottom"/>
            <w:hideMark/>
          </w:tcPr>
          <w:p w14:paraId="47014AC1" w14:textId="77777777" w:rsidR="000A555F" w:rsidRPr="003C2CFB" w:rsidRDefault="000A555F" w:rsidP="003C2CFB">
            <w:pPr>
              <w:spacing w:after="0" w:line="240" w:lineRule="auto"/>
              <w:rPr>
                <w:rFonts w:cs="Arial"/>
                <w:color w:val="000000"/>
                <w:szCs w:val="20"/>
              </w:rPr>
            </w:pPr>
            <w:r w:rsidRPr="003C2CFB">
              <w:rPr>
                <w:rFonts w:cs="Arial"/>
                <w:color w:val="000000"/>
                <w:szCs w:val="20"/>
              </w:rPr>
              <w:t>2009</w:t>
            </w:r>
          </w:p>
        </w:tc>
        <w:tc>
          <w:tcPr>
            <w:tcW w:w="1203" w:type="dxa"/>
            <w:shd w:val="clear" w:color="auto" w:fill="auto"/>
            <w:noWrap/>
            <w:vAlign w:val="bottom"/>
            <w:hideMark/>
          </w:tcPr>
          <w:p w14:paraId="179DAAA7"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2.29%</w:t>
            </w:r>
          </w:p>
        </w:tc>
        <w:tc>
          <w:tcPr>
            <w:tcW w:w="1203" w:type="dxa"/>
            <w:shd w:val="clear" w:color="auto" w:fill="auto"/>
            <w:noWrap/>
            <w:vAlign w:val="bottom"/>
            <w:hideMark/>
          </w:tcPr>
          <w:p w14:paraId="16A888A9"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2.36%</w:t>
            </w:r>
          </w:p>
        </w:tc>
        <w:tc>
          <w:tcPr>
            <w:tcW w:w="1203" w:type="dxa"/>
            <w:shd w:val="clear" w:color="auto" w:fill="auto"/>
            <w:noWrap/>
            <w:vAlign w:val="bottom"/>
            <w:hideMark/>
          </w:tcPr>
          <w:p w14:paraId="5A8F7384"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1.72%</w:t>
            </w:r>
          </w:p>
        </w:tc>
        <w:tc>
          <w:tcPr>
            <w:tcW w:w="1203" w:type="dxa"/>
            <w:shd w:val="clear" w:color="auto" w:fill="auto"/>
            <w:noWrap/>
            <w:vAlign w:val="bottom"/>
            <w:hideMark/>
          </w:tcPr>
          <w:p w14:paraId="4C4F6AAA"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1.39%</w:t>
            </w:r>
          </w:p>
        </w:tc>
        <w:tc>
          <w:tcPr>
            <w:tcW w:w="1203" w:type="dxa"/>
            <w:shd w:val="clear" w:color="auto" w:fill="auto"/>
            <w:noWrap/>
            <w:vAlign w:val="bottom"/>
            <w:hideMark/>
          </w:tcPr>
          <w:p w14:paraId="1DBBE230"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2.08%</w:t>
            </w:r>
          </w:p>
        </w:tc>
        <w:tc>
          <w:tcPr>
            <w:tcW w:w="1203" w:type="dxa"/>
            <w:shd w:val="clear" w:color="auto" w:fill="auto"/>
            <w:noWrap/>
            <w:vAlign w:val="bottom"/>
            <w:hideMark/>
          </w:tcPr>
          <w:p w14:paraId="4BE10A87"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1.40%</w:t>
            </w:r>
          </w:p>
        </w:tc>
      </w:tr>
      <w:tr w:rsidR="000A555F" w:rsidRPr="000A555F" w14:paraId="45F88A9F" w14:textId="77777777" w:rsidTr="003C2CFB">
        <w:trPr>
          <w:trHeight w:val="176"/>
        </w:trPr>
        <w:tc>
          <w:tcPr>
            <w:tcW w:w="1203" w:type="dxa"/>
            <w:shd w:val="clear" w:color="auto" w:fill="auto"/>
            <w:noWrap/>
            <w:vAlign w:val="bottom"/>
            <w:hideMark/>
          </w:tcPr>
          <w:p w14:paraId="0CE791A8" w14:textId="77777777" w:rsidR="000A555F" w:rsidRPr="003C2CFB" w:rsidRDefault="000A555F" w:rsidP="003C2CFB">
            <w:pPr>
              <w:spacing w:after="0" w:line="240" w:lineRule="auto"/>
              <w:rPr>
                <w:rFonts w:cs="Arial"/>
                <w:color w:val="000000"/>
                <w:szCs w:val="20"/>
              </w:rPr>
            </w:pPr>
            <w:r w:rsidRPr="003C2CFB">
              <w:rPr>
                <w:rFonts w:cs="Arial"/>
                <w:color w:val="000000"/>
                <w:szCs w:val="20"/>
              </w:rPr>
              <w:t>2010</w:t>
            </w:r>
          </w:p>
        </w:tc>
        <w:tc>
          <w:tcPr>
            <w:tcW w:w="1203" w:type="dxa"/>
            <w:shd w:val="clear" w:color="auto" w:fill="auto"/>
            <w:noWrap/>
            <w:vAlign w:val="bottom"/>
            <w:hideMark/>
          </w:tcPr>
          <w:p w14:paraId="2ACB959A"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1.66%</w:t>
            </w:r>
          </w:p>
        </w:tc>
        <w:tc>
          <w:tcPr>
            <w:tcW w:w="1203" w:type="dxa"/>
            <w:shd w:val="clear" w:color="auto" w:fill="auto"/>
            <w:noWrap/>
            <w:vAlign w:val="bottom"/>
            <w:hideMark/>
          </w:tcPr>
          <w:p w14:paraId="5F36F7EE"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1.83%</w:t>
            </w:r>
          </w:p>
        </w:tc>
        <w:tc>
          <w:tcPr>
            <w:tcW w:w="1203" w:type="dxa"/>
            <w:shd w:val="clear" w:color="auto" w:fill="auto"/>
            <w:noWrap/>
            <w:vAlign w:val="bottom"/>
            <w:hideMark/>
          </w:tcPr>
          <w:p w14:paraId="5AD24E22"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1.44%</w:t>
            </w:r>
          </w:p>
        </w:tc>
        <w:tc>
          <w:tcPr>
            <w:tcW w:w="1203" w:type="dxa"/>
            <w:shd w:val="clear" w:color="auto" w:fill="auto"/>
            <w:noWrap/>
            <w:vAlign w:val="bottom"/>
            <w:hideMark/>
          </w:tcPr>
          <w:p w14:paraId="510C650A"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1.01%</w:t>
            </w:r>
          </w:p>
        </w:tc>
        <w:tc>
          <w:tcPr>
            <w:tcW w:w="1203" w:type="dxa"/>
            <w:shd w:val="clear" w:color="auto" w:fill="auto"/>
            <w:noWrap/>
            <w:vAlign w:val="bottom"/>
            <w:hideMark/>
          </w:tcPr>
          <w:p w14:paraId="638CFFAE"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1.57%</w:t>
            </w:r>
          </w:p>
        </w:tc>
        <w:tc>
          <w:tcPr>
            <w:tcW w:w="1203" w:type="dxa"/>
            <w:shd w:val="clear" w:color="auto" w:fill="auto"/>
            <w:noWrap/>
            <w:vAlign w:val="bottom"/>
            <w:hideMark/>
          </w:tcPr>
          <w:p w14:paraId="3339A841"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3.10%</w:t>
            </w:r>
          </w:p>
        </w:tc>
      </w:tr>
      <w:tr w:rsidR="000A555F" w:rsidRPr="000A555F" w14:paraId="04C9A37E" w14:textId="77777777" w:rsidTr="003C2CFB">
        <w:trPr>
          <w:trHeight w:val="176"/>
        </w:trPr>
        <w:tc>
          <w:tcPr>
            <w:tcW w:w="1203" w:type="dxa"/>
            <w:shd w:val="clear" w:color="auto" w:fill="auto"/>
            <w:noWrap/>
            <w:vAlign w:val="bottom"/>
            <w:hideMark/>
          </w:tcPr>
          <w:p w14:paraId="6AEADAC3" w14:textId="77777777" w:rsidR="000A555F" w:rsidRPr="003C2CFB" w:rsidRDefault="000A555F" w:rsidP="003C2CFB">
            <w:pPr>
              <w:spacing w:after="0" w:line="240" w:lineRule="auto"/>
              <w:rPr>
                <w:rFonts w:cs="Arial"/>
                <w:color w:val="000000"/>
                <w:szCs w:val="20"/>
              </w:rPr>
            </w:pPr>
            <w:r w:rsidRPr="003C2CFB">
              <w:rPr>
                <w:rFonts w:cs="Arial"/>
                <w:color w:val="000000"/>
                <w:szCs w:val="20"/>
              </w:rPr>
              <w:t>2011</w:t>
            </w:r>
          </w:p>
        </w:tc>
        <w:tc>
          <w:tcPr>
            <w:tcW w:w="1203" w:type="dxa"/>
            <w:shd w:val="clear" w:color="auto" w:fill="auto"/>
            <w:noWrap/>
            <w:vAlign w:val="bottom"/>
            <w:hideMark/>
          </w:tcPr>
          <w:p w14:paraId="4ED76559"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1.44%</w:t>
            </w:r>
          </w:p>
        </w:tc>
        <w:tc>
          <w:tcPr>
            <w:tcW w:w="1203" w:type="dxa"/>
            <w:shd w:val="clear" w:color="auto" w:fill="auto"/>
            <w:noWrap/>
            <w:vAlign w:val="bottom"/>
            <w:hideMark/>
          </w:tcPr>
          <w:p w14:paraId="3857E093"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1.98%</w:t>
            </w:r>
          </w:p>
        </w:tc>
        <w:tc>
          <w:tcPr>
            <w:tcW w:w="1203" w:type="dxa"/>
            <w:shd w:val="clear" w:color="auto" w:fill="auto"/>
            <w:noWrap/>
            <w:vAlign w:val="bottom"/>
            <w:hideMark/>
          </w:tcPr>
          <w:p w14:paraId="1E4F27B1"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1.19%</w:t>
            </w:r>
          </w:p>
        </w:tc>
        <w:tc>
          <w:tcPr>
            <w:tcW w:w="1203" w:type="dxa"/>
            <w:shd w:val="clear" w:color="auto" w:fill="auto"/>
            <w:noWrap/>
            <w:vAlign w:val="bottom"/>
            <w:hideMark/>
          </w:tcPr>
          <w:p w14:paraId="5DB2854B"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0.81%</w:t>
            </w:r>
          </w:p>
        </w:tc>
        <w:tc>
          <w:tcPr>
            <w:tcW w:w="1203" w:type="dxa"/>
            <w:shd w:val="clear" w:color="auto" w:fill="auto"/>
            <w:noWrap/>
            <w:vAlign w:val="bottom"/>
            <w:hideMark/>
          </w:tcPr>
          <w:p w14:paraId="24B07FD7"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1.40%</w:t>
            </w:r>
          </w:p>
        </w:tc>
        <w:tc>
          <w:tcPr>
            <w:tcW w:w="1203" w:type="dxa"/>
            <w:shd w:val="clear" w:color="auto" w:fill="auto"/>
            <w:noWrap/>
            <w:vAlign w:val="bottom"/>
            <w:hideMark/>
          </w:tcPr>
          <w:p w14:paraId="22251CAB"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3.50%</w:t>
            </w:r>
          </w:p>
        </w:tc>
      </w:tr>
      <w:tr w:rsidR="000A555F" w:rsidRPr="000A555F" w14:paraId="6D7014CE" w14:textId="77777777" w:rsidTr="003C2CFB">
        <w:trPr>
          <w:trHeight w:val="176"/>
        </w:trPr>
        <w:tc>
          <w:tcPr>
            <w:tcW w:w="1203" w:type="dxa"/>
            <w:shd w:val="clear" w:color="auto" w:fill="auto"/>
            <w:noWrap/>
            <w:vAlign w:val="bottom"/>
            <w:hideMark/>
          </w:tcPr>
          <w:p w14:paraId="4691C44F" w14:textId="77777777" w:rsidR="000A555F" w:rsidRPr="003C2CFB" w:rsidRDefault="000A555F" w:rsidP="003C2CFB">
            <w:pPr>
              <w:spacing w:after="0" w:line="240" w:lineRule="auto"/>
              <w:rPr>
                <w:rFonts w:cs="Arial"/>
                <w:color w:val="000000"/>
                <w:szCs w:val="20"/>
              </w:rPr>
            </w:pPr>
            <w:r w:rsidRPr="003C2CFB">
              <w:rPr>
                <w:rFonts w:cs="Arial"/>
                <w:color w:val="000000"/>
                <w:szCs w:val="20"/>
              </w:rPr>
              <w:t>2012</w:t>
            </w:r>
          </w:p>
        </w:tc>
        <w:tc>
          <w:tcPr>
            <w:tcW w:w="1203" w:type="dxa"/>
            <w:shd w:val="clear" w:color="auto" w:fill="auto"/>
            <w:noWrap/>
            <w:vAlign w:val="bottom"/>
            <w:hideMark/>
          </w:tcPr>
          <w:p w14:paraId="6124D2A1"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1.92%</w:t>
            </w:r>
          </w:p>
        </w:tc>
        <w:tc>
          <w:tcPr>
            <w:tcW w:w="1203" w:type="dxa"/>
            <w:shd w:val="clear" w:color="auto" w:fill="auto"/>
            <w:noWrap/>
            <w:vAlign w:val="bottom"/>
            <w:hideMark/>
          </w:tcPr>
          <w:p w14:paraId="5CB152B6"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2.15%</w:t>
            </w:r>
          </w:p>
        </w:tc>
        <w:tc>
          <w:tcPr>
            <w:tcW w:w="1203" w:type="dxa"/>
            <w:shd w:val="clear" w:color="auto" w:fill="auto"/>
            <w:noWrap/>
            <w:vAlign w:val="bottom"/>
            <w:hideMark/>
          </w:tcPr>
          <w:p w14:paraId="19BF035C"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1.49%</w:t>
            </w:r>
          </w:p>
        </w:tc>
        <w:tc>
          <w:tcPr>
            <w:tcW w:w="1203" w:type="dxa"/>
            <w:shd w:val="clear" w:color="auto" w:fill="auto"/>
            <w:noWrap/>
            <w:vAlign w:val="bottom"/>
            <w:hideMark/>
          </w:tcPr>
          <w:p w14:paraId="4FF0A1D5"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0.96%</w:t>
            </w:r>
          </w:p>
        </w:tc>
        <w:tc>
          <w:tcPr>
            <w:tcW w:w="1203" w:type="dxa"/>
            <w:shd w:val="clear" w:color="auto" w:fill="auto"/>
            <w:noWrap/>
            <w:vAlign w:val="bottom"/>
            <w:hideMark/>
          </w:tcPr>
          <w:p w14:paraId="5D7D582C"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1.76%</w:t>
            </w:r>
          </w:p>
        </w:tc>
        <w:tc>
          <w:tcPr>
            <w:tcW w:w="1203" w:type="dxa"/>
            <w:shd w:val="clear" w:color="auto" w:fill="auto"/>
            <w:noWrap/>
            <w:vAlign w:val="bottom"/>
            <w:hideMark/>
          </w:tcPr>
          <w:p w14:paraId="2CAC6A20" w14:textId="77777777" w:rsidR="000A555F" w:rsidRPr="003C2CFB" w:rsidRDefault="000A555F" w:rsidP="00C97ACF">
            <w:pPr>
              <w:spacing w:after="0" w:line="240" w:lineRule="auto"/>
              <w:jc w:val="right"/>
              <w:rPr>
                <w:rFonts w:cs="Arial"/>
                <w:color w:val="000000"/>
                <w:szCs w:val="20"/>
              </w:rPr>
            </w:pPr>
            <w:r w:rsidRPr="003C2CFB">
              <w:rPr>
                <w:rFonts w:cs="Arial"/>
                <w:color w:val="000000"/>
                <w:szCs w:val="20"/>
              </w:rPr>
              <w:t>1.20%</w:t>
            </w:r>
          </w:p>
        </w:tc>
      </w:tr>
      <w:tr w:rsidR="000A555F" w:rsidRPr="000A555F" w14:paraId="155E7DAB" w14:textId="77777777" w:rsidTr="003C2CFB">
        <w:trPr>
          <w:trHeight w:val="176"/>
        </w:trPr>
        <w:tc>
          <w:tcPr>
            <w:tcW w:w="1203" w:type="dxa"/>
            <w:shd w:val="clear" w:color="auto" w:fill="auto"/>
            <w:noWrap/>
            <w:vAlign w:val="bottom"/>
            <w:hideMark/>
          </w:tcPr>
          <w:p w14:paraId="7FDB121A" w14:textId="77777777" w:rsidR="000A555F" w:rsidRPr="009F2E80" w:rsidRDefault="000A555F" w:rsidP="003C2CFB">
            <w:pPr>
              <w:spacing w:after="0" w:line="240" w:lineRule="auto"/>
              <w:rPr>
                <w:rFonts w:cs="Arial"/>
                <w:color w:val="000000"/>
                <w:szCs w:val="20"/>
              </w:rPr>
            </w:pPr>
            <w:r w:rsidRPr="009F2E80">
              <w:rPr>
                <w:rFonts w:cs="Arial"/>
                <w:color w:val="000000"/>
                <w:szCs w:val="20"/>
              </w:rPr>
              <w:t>2013</w:t>
            </w:r>
          </w:p>
        </w:tc>
        <w:tc>
          <w:tcPr>
            <w:tcW w:w="1203" w:type="dxa"/>
            <w:shd w:val="clear" w:color="auto" w:fill="auto"/>
            <w:noWrap/>
            <w:vAlign w:val="bottom"/>
            <w:hideMark/>
          </w:tcPr>
          <w:p w14:paraId="1252659C"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2.03%</w:t>
            </w:r>
          </w:p>
        </w:tc>
        <w:tc>
          <w:tcPr>
            <w:tcW w:w="1203" w:type="dxa"/>
            <w:shd w:val="clear" w:color="auto" w:fill="auto"/>
            <w:noWrap/>
            <w:vAlign w:val="bottom"/>
            <w:hideMark/>
          </w:tcPr>
          <w:p w14:paraId="7E10D661"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1.84%</w:t>
            </w:r>
          </w:p>
        </w:tc>
        <w:tc>
          <w:tcPr>
            <w:tcW w:w="1203" w:type="dxa"/>
            <w:shd w:val="clear" w:color="auto" w:fill="auto"/>
            <w:noWrap/>
            <w:vAlign w:val="bottom"/>
            <w:hideMark/>
          </w:tcPr>
          <w:p w14:paraId="66FD36BB"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1.39%</w:t>
            </w:r>
          </w:p>
        </w:tc>
        <w:tc>
          <w:tcPr>
            <w:tcW w:w="1203" w:type="dxa"/>
            <w:shd w:val="clear" w:color="auto" w:fill="auto"/>
            <w:noWrap/>
            <w:vAlign w:val="bottom"/>
            <w:hideMark/>
          </w:tcPr>
          <w:p w14:paraId="1B298891"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0.86%</w:t>
            </w:r>
          </w:p>
        </w:tc>
        <w:tc>
          <w:tcPr>
            <w:tcW w:w="1203" w:type="dxa"/>
            <w:shd w:val="clear" w:color="auto" w:fill="auto"/>
            <w:noWrap/>
            <w:vAlign w:val="bottom"/>
            <w:hideMark/>
          </w:tcPr>
          <w:p w14:paraId="2368D3FB"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1.74%</w:t>
            </w:r>
          </w:p>
        </w:tc>
        <w:tc>
          <w:tcPr>
            <w:tcW w:w="1203" w:type="dxa"/>
            <w:shd w:val="clear" w:color="auto" w:fill="auto"/>
            <w:noWrap/>
            <w:vAlign w:val="bottom"/>
            <w:hideMark/>
          </w:tcPr>
          <w:p w14:paraId="07990B98"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2.40%</w:t>
            </w:r>
          </w:p>
        </w:tc>
      </w:tr>
      <w:tr w:rsidR="000A555F" w:rsidRPr="000A555F" w14:paraId="03E4C7F9" w14:textId="77777777" w:rsidTr="003C2CFB">
        <w:trPr>
          <w:trHeight w:val="176"/>
        </w:trPr>
        <w:tc>
          <w:tcPr>
            <w:tcW w:w="1203" w:type="dxa"/>
            <w:shd w:val="clear" w:color="auto" w:fill="auto"/>
            <w:noWrap/>
            <w:vAlign w:val="bottom"/>
            <w:hideMark/>
          </w:tcPr>
          <w:p w14:paraId="6507CC7B" w14:textId="77777777" w:rsidR="000A555F" w:rsidRPr="009F2E80" w:rsidRDefault="000A555F" w:rsidP="003C2CFB">
            <w:pPr>
              <w:spacing w:after="0" w:line="240" w:lineRule="auto"/>
              <w:rPr>
                <w:rFonts w:cs="Arial"/>
                <w:color w:val="000000"/>
                <w:szCs w:val="20"/>
              </w:rPr>
            </w:pPr>
            <w:r w:rsidRPr="009F2E80">
              <w:rPr>
                <w:rFonts w:cs="Arial"/>
                <w:color w:val="000000"/>
                <w:szCs w:val="20"/>
              </w:rPr>
              <w:t>2014</w:t>
            </w:r>
          </w:p>
        </w:tc>
        <w:tc>
          <w:tcPr>
            <w:tcW w:w="1203" w:type="dxa"/>
            <w:shd w:val="clear" w:color="auto" w:fill="auto"/>
            <w:noWrap/>
            <w:vAlign w:val="bottom"/>
            <w:hideMark/>
          </w:tcPr>
          <w:p w14:paraId="773C6FD5"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1.97%</w:t>
            </w:r>
          </w:p>
        </w:tc>
        <w:tc>
          <w:tcPr>
            <w:tcW w:w="1203" w:type="dxa"/>
            <w:shd w:val="clear" w:color="auto" w:fill="auto"/>
            <w:noWrap/>
            <w:vAlign w:val="bottom"/>
            <w:hideMark/>
          </w:tcPr>
          <w:p w14:paraId="649B46D2"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1.27%</w:t>
            </w:r>
          </w:p>
        </w:tc>
        <w:tc>
          <w:tcPr>
            <w:tcW w:w="1203" w:type="dxa"/>
            <w:shd w:val="clear" w:color="auto" w:fill="auto"/>
            <w:noWrap/>
            <w:vAlign w:val="bottom"/>
            <w:hideMark/>
          </w:tcPr>
          <w:p w14:paraId="33F8DDA7"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1.12%</w:t>
            </w:r>
          </w:p>
        </w:tc>
        <w:tc>
          <w:tcPr>
            <w:tcW w:w="1203" w:type="dxa"/>
            <w:shd w:val="clear" w:color="auto" w:fill="auto"/>
            <w:noWrap/>
            <w:vAlign w:val="bottom"/>
            <w:hideMark/>
          </w:tcPr>
          <w:p w14:paraId="6D5C10B4"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0.33%</w:t>
            </w:r>
          </w:p>
        </w:tc>
        <w:tc>
          <w:tcPr>
            <w:tcW w:w="1203" w:type="dxa"/>
            <w:shd w:val="clear" w:color="auto" w:fill="auto"/>
            <w:noWrap/>
            <w:vAlign w:val="bottom"/>
            <w:hideMark/>
          </w:tcPr>
          <w:p w14:paraId="7FF9BCB4"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1.50%</w:t>
            </w:r>
          </w:p>
        </w:tc>
        <w:tc>
          <w:tcPr>
            <w:tcW w:w="1203" w:type="dxa"/>
            <w:shd w:val="clear" w:color="auto" w:fill="auto"/>
            <w:noWrap/>
            <w:vAlign w:val="bottom"/>
            <w:hideMark/>
          </w:tcPr>
          <w:p w14:paraId="2AC93436"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3.00%</w:t>
            </w:r>
          </w:p>
        </w:tc>
      </w:tr>
      <w:tr w:rsidR="000A555F" w:rsidRPr="000A555F" w14:paraId="7CD16A4D" w14:textId="77777777" w:rsidTr="003C2CFB">
        <w:trPr>
          <w:trHeight w:val="176"/>
        </w:trPr>
        <w:tc>
          <w:tcPr>
            <w:tcW w:w="1203" w:type="dxa"/>
            <w:shd w:val="clear" w:color="auto" w:fill="auto"/>
            <w:noWrap/>
            <w:vAlign w:val="bottom"/>
            <w:hideMark/>
          </w:tcPr>
          <w:p w14:paraId="7AD85273" w14:textId="77777777" w:rsidR="000A555F" w:rsidRPr="009F2E80" w:rsidRDefault="000A555F" w:rsidP="003C2CFB">
            <w:pPr>
              <w:spacing w:after="0" w:line="240" w:lineRule="auto"/>
              <w:rPr>
                <w:rFonts w:cs="Arial"/>
                <w:color w:val="000000"/>
                <w:szCs w:val="20"/>
              </w:rPr>
            </w:pPr>
            <w:r w:rsidRPr="009F2E80">
              <w:rPr>
                <w:rFonts w:cs="Arial"/>
                <w:color w:val="000000"/>
                <w:szCs w:val="20"/>
              </w:rPr>
              <w:t>2015</w:t>
            </w:r>
          </w:p>
        </w:tc>
        <w:tc>
          <w:tcPr>
            <w:tcW w:w="1203" w:type="dxa"/>
            <w:shd w:val="clear" w:color="auto" w:fill="auto"/>
            <w:noWrap/>
            <w:vAlign w:val="bottom"/>
            <w:hideMark/>
          </w:tcPr>
          <w:p w14:paraId="57E0126B"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2.01%</w:t>
            </w:r>
          </w:p>
        </w:tc>
        <w:tc>
          <w:tcPr>
            <w:tcW w:w="1203" w:type="dxa"/>
            <w:shd w:val="clear" w:color="auto" w:fill="auto"/>
            <w:noWrap/>
            <w:vAlign w:val="bottom"/>
            <w:hideMark/>
          </w:tcPr>
          <w:p w14:paraId="4A2F6A76"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1.05%</w:t>
            </w:r>
          </w:p>
        </w:tc>
        <w:tc>
          <w:tcPr>
            <w:tcW w:w="1203" w:type="dxa"/>
            <w:shd w:val="clear" w:color="auto" w:fill="auto"/>
            <w:noWrap/>
            <w:vAlign w:val="bottom"/>
            <w:hideMark/>
          </w:tcPr>
          <w:p w14:paraId="181417AC"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1.07%</w:t>
            </w:r>
          </w:p>
        </w:tc>
        <w:tc>
          <w:tcPr>
            <w:tcW w:w="1203" w:type="dxa"/>
            <w:shd w:val="clear" w:color="auto" w:fill="auto"/>
            <w:noWrap/>
            <w:vAlign w:val="bottom"/>
            <w:hideMark/>
          </w:tcPr>
          <w:p w14:paraId="55DCDD0D"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0.08%</w:t>
            </w:r>
          </w:p>
        </w:tc>
        <w:tc>
          <w:tcPr>
            <w:tcW w:w="1203" w:type="dxa"/>
            <w:shd w:val="clear" w:color="auto" w:fill="auto"/>
            <w:noWrap/>
            <w:vAlign w:val="bottom"/>
            <w:hideMark/>
          </w:tcPr>
          <w:p w14:paraId="15192513"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1.45%</w:t>
            </w:r>
          </w:p>
        </w:tc>
        <w:tc>
          <w:tcPr>
            <w:tcW w:w="1203" w:type="dxa"/>
            <w:shd w:val="clear" w:color="auto" w:fill="auto"/>
            <w:noWrap/>
            <w:vAlign w:val="bottom"/>
            <w:hideMark/>
          </w:tcPr>
          <w:p w14:paraId="00B00C38"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1.50%</w:t>
            </w:r>
          </w:p>
        </w:tc>
      </w:tr>
      <w:tr w:rsidR="000A555F" w:rsidRPr="000A555F" w14:paraId="48FA231D" w14:textId="77777777" w:rsidTr="003C2CFB">
        <w:trPr>
          <w:trHeight w:val="176"/>
        </w:trPr>
        <w:tc>
          <w:tcPr>
            <w:tcW w:w="1203" w:type="dxa"/>
            <w:shd w:val="clear" w:color="auto" w:fill="auto"/>
            <w:noWrap/>
            <w:vAlign w:val="bottom"/>
            <w:hideMark/>
          </w:tcPr>
          <w:p w14:paraId="08E80164" w14:textId="77777777" w:rsidR="000A555F" w:rsidRPr="009F2E80" w:rsidRDefault="000A555F" w:rsidP="003C2CFB">
            <w:pPr>
              <w:spacing w:after="0" w:line="240" w:lineRule="auto"/>
              <w:rPr>
                <w:rFonts w:cs="Arial"/>
                <w:color w:val="000000"/>
                <w:szCs w:val="20"/>
              </w:rPr>
            </w:pPr>
            <w:r w:rsidRPr="009F2E80">
              <w:rPr>
                <w:rFonts w:cs="Arial"/>
                <w:color w:val="000000"/>
                <w:szCs w:val="20"/>
              </w:rPr>
              <w:t>2016</w:t>
            </w:r>
          </w:p>
        </w:tc>
        <w:tc>
          <w:tcPr>
            <w:tcW w:w="1203" w:type="dxa"/>
            <w:shd w:val="clear" w:color="auto" w:fill="auto"/>
            <w:noWrap/>
            <w:vAlign w:val="bottom"/>
            <w:hideMark/>
          </w:tcPr>
          <w:p w14:paraId="478A0A42"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2.24%</w:t>
            </w:r>
          </w:p>
        </w:tc>
        <w:tc>
          <w:tcPr>
            <w:tcW w:w="1203" w:type="dxa"/>
            <w:shd w:val="clear" w:color="auto" w:fill="auto"/>
            <w:noWrap/>
            <w:vAlign w:val="bottom"/>
            <w:hideMark/>
          </w:tcPr>
          <w:p w14:paraId="15B850E8"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0.88%</w:t>
            </w:r>
          </w:p>
        </w:tc>
        <w:tc>
          <w:tcPr>
            <w:tcW w:w="1203" w:type="dxa"/>
            <w:shd w:val="clear" w:color="auto" w:fill="auto"/>
            <w:noWrap/>
            <w:vAlign w:val="bottom"/>
            <w:hideMark/>
          </w:tcPr>
          <w:p w14:paraId="5B04A055"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1.15%</w:t>
            </w:r>
          </w:p>
        </w:tc>
        <w:tc>
          <w:tcPr>
            <w:tcW w:w="1203" w:type="dxa"/>
            <w:shd w:val="clear" w:color="auto" w:fill="auto"/>
            <w:noWrap/>
            <w:vAlign w:val="bottom"/>
            <w:hideMark/>
          </w:tcPr>
          <w:p w14:paraId="5B87C4BA"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0.15%</w:t>
            </w:r>
          </w:p>
        </w:tc>
        <w:tc>
          <w:tcPr>
            <w:tcW w:w="1203" w:type="dxa"/>
            <w:shd w:val="clear" w:color="auto" w:fill="auto"/>
            <w:noWrap/>
            <w:vAlign w:val="bottom"/>
            <w:hideMark/>
          </w:tcPr>
          <w:p w14:paraId="02930A56"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1.57%</w:t>
            </w:r>
          </w:p>
        </w:tc>
        <w:tc>
          <w:tcPr>
            <w:tcW w:w="1203" w:type="dxa"/>
            <w:shd w:val="clear" w:color="auto" w:fill="auto"/>
            <w:noWrap/>
            <w:vAlign w:val="bottom"/>
            <w:hideMark/>
          </w:tcPr>
          <w:p w14:paraId="5E0034E5"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1.00%</w:t>
            </w:r>
          </w:p>
        </w:tc>
      </w:tr>
      <w:tr w:rsidR="000A555F" w:rsidRPr="000A555F" w14:paraId="06D1E9AC" w14:textId="77777777" w:rsidTr="003C2CFB">
        <w:trPr>
          <w:trHeight w:val="176"/>
        </w:trPr>
        <w:tc>
          <w:tcPr>
            <w:tcW w:w="1203" w:type="dxa"/>
            <w:shd w:val="clear" w:color="auto" w:fill="auto"/>
            <w:noWrap/>
            <w:vAlign w:val="bottom"/>
            <w:hideMark/>
          </w:tcPr>
          <w:p w14:paraId="3F21EBEC" w14:textId="77777777" w:rsidR="000A555F" w:rsidRPr="009F2E80" w:rsidRDefault="000A555F" w:rsidP="003C2CFB">
            <w:pPr>
              <w:spacing w:after="0" w:line="240" w:lineRule="auto"/>
              <w:rPr>
                <w:rFonts w:cs="Arial"/>
                <w:color w:val="000000"/>
                <w:szCs w:val="20"/>
              </w:rPr>
            </w:pPr>
            <w:r w:rsidRPr="009F2E80">
              <w:rPr>
                <w:rFonts w:cs="Arial"/>
                <w:color w:val="000000"/>
                <w:szCs w:val="20"/>
              </w:rPr>
              <w:t>2017</w:t>
            </w:r>
          </w:p>
        </w:tc>
        <w:tc>
          <w:tcPr>
            <w:tcW w:w="1203" w:type="dxa"/>
            <w:shd w:val="clear" w:color="auto" w:fill="auto"/>
            <w:noWrap/>
            <w:vAlign w:val="bottom"/>
            <w:hideMark/>
          </w:tcPr>
          <w:p w14:paraId="13649527"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2.01%</w:t>
            </w:r>
          </w:p>
        </w:tc>
        <w:tc>
          <w:tcPr>
            <w:tcW w:w="1203" w:type="dxa"/>
            <w:shd w:val="clear" w:color="auto" w:fill="auto"/>
            <w:noWrap/>
            <w:vAlign w:val="bottom"/>
            <w:hideMark/>
          </w:tcPr>
          <w:p w14:paraId="14BAB989"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1.30%</w:t>
            </w:r>
          </w:p>
        </w:tc>
        <w:tc>
          <w:tcPr>
            <w:tcW w:w="1203" w:type="dxa"/>
            <w:shd w:val="clear" w:color="auto" w:fill="auto"/>
            <w:noWrap/>
            <w:vAlign w:val="bottom"/>
            <w:hideMark/>
          </w:tcPr>
          <w:p w14:paraId="5A6C715E"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1.63%</w:t>
            </w:r>
          </w:p>
        </w:tc>
        <w:tc>
          <w:tcPr>
            <w:tcW w:w="1203" w:type="dxa"/>
            <w:shd w:val="clear" w:color="auto" w:fill="auto"/>
            <w:noWrap/>
            <w:vAlign w:val="bottom"/>
            <w:hideMark/>
          </w:tcPr>
          <w:p w14:paraId="0D46109F"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0.64%</w:t>
            </w:r>
          </w:p>
        </w:tc>
        <w:tc>
          <w:tcPr>
            <w:tcW w:w="1203" w:type="dxa"/>
            <w:shd w:val="clear" w:color="auto" w:fill="auto"/>
            <w:noWrap/>
            <w:vAlign w:val="bottom"/>
            <w:hideMark/>
          </w:tcPr>
          <w:p w14:paraId="53F865B3"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1.67%</w:t>
            </w:r>
          </w:p>
        </w:tc>
        <w:tc>
          <w:tcPr>
            <w:tcW w:w="1203" w:type="dxa"/>
            <w:shd w:val="clear" w:color="auto" w:fill="auto"/>
            <w:noWrap/>
            <w:vAlign w:val="bottom"/>
            <w:hideMark/>
          </w:tcPr>
          <w:p w14:paraId="7B6257DE"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1.90%</w:t>
            </w:r>
          </w:p>
        </w:tc>
      </w:tr>
      <w:tr w:rsidR="000A555F" w:rsidRPr="000A555F" w14:paraId="135B6DF7" w14:textId="77777777" w:rsidTr="003C2CFB">
        <w:trPr>
          <w:trHeight w:val="176"/>
        </w:trPr>
        <w:tc>
          <w:tcPr>
            <w:tcW w:w="1203" w:type="dxa"/>
            <w:shd w:val="clear" w:color="auto" w:fill="auto"/>
            <w:noWrap/>
            <w:vAlign w:val="bottom"/>
            <w:hideMark/>
          </w:tcPr>
          <w:p w14:paraId="3DFE0F13" w14:textId="77777777" w:rsidR="000A555F" w:rsidRPr="009F2E80" w:rsidRDefault="000A555F" w:rsidP="003C2CFB">
            <w:pPr>
              <w:spacing w:after="0" w:line="240" w:lineRule="auto"/>
              <w:rPr>
                <w:rFonts w:cs="Arial"/>
                <w:color w:val="000000"/>
                <w:szCs w:val="20"/>
              </w:rPr>
            </w:pPr>
            <w:r w:rsidRPr="009F2E80">
              <w:rPr>
                <w:rFonts w:cs="Arial"/>
                <w:color w:val="000000"/>
                <w:szCs w:val="20"/>
              </w:rPr>
              <w:t>2018</w:t>
            </w:r>
          </w:p>
        </w:tc>
        <w:tc>
          <w:tcPr>
            <w:tcW w:w="1203" w:type="dxa"/>
            <w:shd w:val="clear" w:color="auto" w:fill="auto"/>
            <w:noWrap/>
            <w:vAlign w:val="bottom"/>
            <w:hideMark/>
          </w:tcPr>
          <w:p w14:paraId="56953074"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1.71%</w:t>
            </w:r>
          </w:p>
        </w:tc>
        <w:tc>
          <w:tcPr>
            <w:tcW w:w="1203" w:type="dxa"/>
            <w:shd w:val="clear" w:color="auto" w:fill="auto"/>
            <w:noWrap/>
            <w:vAlign w:val="bottom"/>
            <w:hideMark/>
          </w:tcPr>
          <w:p w14:paraId="3470C934"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1.38%</w:t>
            </w:r>
          </w:p>
        </w:tc>
        <w:tc>
          <w:tcPr>
            <w:tcW w:w="1203" w:type="dxa"/>
            <w:shd w:val="clear" w:color="auto" w:fill="auto"/>
            <w:noWrap/>
            <w:vAlign w:val="bottom"/>
            <w:hideMark/>
          </w:tcPr>
          <w:p w14:paraId="65E39B6B"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1.59%</w:t>
            </w:r>
          </w:p>
        </w:tc>
        <w:tc>
          <w:tcPr>
            <w:tcW w:w="1203" w:type="dxa"/>
            <w:shd w:val="clear" w:color="auto" w:fill="auto"/>
            <w:noWrap/>
            <w:vAlign w:val="bottom"/>
            <w:hideMark/>
          </w:tcPr>
          <w:p w14:paraId="67CE354E"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0.65%</w:t>
            </w:r>
          </w:p>
        </w:tc>
        <w:tc>
          <w:tcPr>
            <w:tcW w:w="1203" w:type="dxa"/>
            <w:shd w:val="clear" w:color="auto" w:fill="auto"/>
            <w:noWrap/>
            <w:vAlign w:val="bottom"/>
            <w:hideMark/>
          </w:tcPr>
          <w:p w14:paraId="6CDFDE94"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1.51%</w:t>
            </w:r>
          </w:p>
        </w:tc>
        <w:tc>
          <w:tcPr>
            <w:tcW w:w="1203" w:type="dxa"/>
            <w:shd w:val="clear" w:color="auto" w:fill="auto"/>
            <w:noWrap/>
            <w:vAlign w:val="bottom"/>
            <w:hideMark/>
          </w:tcPr>
          <w:p w14:paraId="636ACD86"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2.10%</w:t>
            </w:r>
          </w:p>
        </w:tc>
      </w:tr>
      <w:tr w:rsidR="000A555F" w:rsidRPr="000A555F" w14:paraId="015149D6" w14:textId="77777777" w:rsidTr="003C2CFB">
        <w:trPr>
          <w:trHeight w:val="176"/>
        </w:trPr>
        <w:tc>
          <w:tcPr>
            <w:tcW w:w="1203" w:type="dxa"/>
            <w:shd w:val="clear" w:color="auto" w:fill="auto"/>
            <w:noWrap/>
            <w:vAlign w:val="bottom"/>
            <w:hideMark/>
          </w:tcPr>
          <w:p w14:paraId="35965FDE" w14:textId="77777777" w:rsidR="000A555F" w:rsidRPr="009F2E80" w:rsidRDefault="000A555F" w:rsidP="003C2CFB">
            <w:pPr>
              <w:spacing w:after="0" w:line="240" w:lineRule="auto"/>
              <w:rPr>
                <w:rFonts w:cs="Arial"/>
                <w:color w:val="000000"/>
                <w:szCs w:val="20"/>
              </w:rPr>
            </w:pPr>
            <w:r w:rsidRPr="009F2E80">
              <w:rPr>
                <w:rFonts w:cs="Arial"/>
                <w:color w:val="000000"/>
                <w:szCs w:val="20"/>
              </w:rPr>
              <w:t>2019</w:t>
            </w:r>
          </w:p>
        </w:tc>
        <w:tc>
          <w:tcPr>
            <w:tcW w:w="1203" w:type="dxa"/>
            <w:shd w:val="clear" w:color="auto" w:fill="auto"/>
            <w:noWrap/>
            <w:vAlign w:val="bottom"/>
            <w:hideMark/>
          </w:tcPr>
          <w:p w14:paraId="64E897E5"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1.61%</w:t>
            </w:r>
          </w:p>
        </w:tc>
        <w:tc>
          <w:tcPr>
            <w:tcW w:w="1203" w:type="dxa"/>
            <w:shd w:val="clear" w:color="auto" w:fill="auto"/>
            <w:noWrap/>
            <w:vAlign w:val="bottom"/>
            <w:hideMark/>
          </w:tcPr>
          <w:p w14:paraId="4A181AA3"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1.64%</w:t>
            </w:r>
          </w:p>
        </w:tc>
        <w:tc>
          <w:tcPr>
            <w:tcW w:w="1203" w:type="dxa"/>
            <w:shd w:val="clear" w:color="auto" w:fill="auto"/>
            <w:noWrap/>
            <w:vAlign w:val="bottom"/>
            <w:hideMark/>
          </w:tcPr>
          <w:p w14:paraId="19C2AF04"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1.50%</w:t>
            </w:r>
          </w:p>
        </w:tc>
        <w:tc>
          <w:tcPr>
            <w:tcW w:w="1203" w:type="dxa"/>
            <w:shd w:val="clear" w:color="auto" w:fill="auto"/>
            <w:noWrap/>
            <w:vAlign w:val="bottom"/>
            <w:hideMark/>
          </w:tcPr>
          <w:p w14:paraId="5CC0F116"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0.71%</w:t>
            </w:r>
          </w:p>
        </w:tc>
        <w:tc>
          <w:tcPr>
            <w:tcW w:w="1203" w:type="dxa"/>
            <w:shd w:val="clear" w:color="auto" w:fill="auto"/>
            <w:noWrap/>
            <w:vAlign w:val="bottom"/>
            <w:hideMark/>
          </w:tcPr>
          <w:p w14:paraId="70EDC184"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1.50%</w:t>
            </w:r>
          </w:p>
        </w:tc>
        <w:tc>
          <w:tcPr>
            <w:tcW w:w="1203" w:type="dxa"/>
            <w:shd w:val="clear" w:color="auto" w:fill="auto"/>
            <w:noWrap/>
            <w:vAlign w:val="bottom"/>
            <w:hideMark/>
          </w:tcPr>
          <w:p w14:paraId="6C25CDB3"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1.60%</w:t>
            </w:r>
          </w:p>
        </w:tc>
      </w:tr>
      <w:tr w:rsidR="000A555F" w:rsidRPr="000A555F" w14:paraId="6A6AB729" w14:textId="77777777" w:rsidTr="003C2CFB">
        <w:trPr>
          <w:trHeight w:val="176"/>
        </w:trPr>
        <w:tc>
          <w:tcPr>
            <w:tcW w:w="1203" w:type="dxa"/>
            <w:shd w:val="clear" w:color="auto" w:fill="auto"/>
            <w:noWrap/>
            <w:vAlign w:val="bottom"/>
            <w:hideMark/>
          </w:tcPr>
          <w:p w14:paraId="268A4952" w14:textId="77777777" w:rsidR="000A555F" w:rsidRPr="009F2E80" w:rsidRDefault="000A555F" w:rsidP="003C2CFB">
            <w:pPr>
              <w:spacing w:after="0" w:line="240" w:lineRule="auto"/>
              <w:rPr>
                <w:rFonts w:cs="Arial"/>
                <w:color w:val="000000"/>
                <w:szCs w:val="20"/>
              </w:rPr>
            </w:pPr>
            <w:r w:rsidRPr="009F2E80">
              <w:rPr>
                <w:rFonts w:cs="Arial"/>
                <w:color w:val="000000"/>
                <w:szCs w:val="20"/>
              </w:rPr>
              <w:t>2020</w:t>
            </w:r>
          </w:p>
        </w:tc>
        <w:tc>
          <w:tcPr>
            <w:tcW w:w="1203" w:type="dxa"/>
            <w:shd w:val="clear" w:color="auto" w:fill="auto"/>
            <w:noWrap/>
            <w:vAlign w:val="bottom"/>
            <w:hideMark/>
          </w:tcPr>
          <w:p w14:paraId="222B9992"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1.08%</w:t>
            </w:r>
          </w:p>
        </w:tc>
        <w:tc>
          <w:tcPr>
            <w:tcW w:w="1203" w:type="dxa"/>
            <w:shd w:val="clear" w:color="auto" w:fill="auto"/>
            <w:noWrap/>
            <w:vAlign w:val="bottom"/>
            <w:hideMark/>
          </w:tcPr>
          <w:p w14:paraId="7DAF3FA7"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1.92%</w:t>
            </w:r>
          </w:p>
        </w:tc>
        <w:tc>
          <w:tcPr>
            <w:tcW w:w="1203" w:type="dxa"/>
            <w:shd w:val="clear" w:color="auto" w:fill="auto"/>
            <w:noWrap/>
            <w:vAlign w:val="bottom"/>
            <w:hideMark/>
          </w:tcPr>
          <w:p w14:paraId="4729E869"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1.39%</w:t>
            </w:r>
          </w:p>
        </w:tc>
        <w:tc>
          <w:tcPr>
            <w:tcW w:w="1203" w:type="dxa"/>
            <w:shd w:val="clear" w:color="auto" w:fill="auto"/>
            <w:noWrap/>
            <w:vAlign w:val="bottom"/>
            <w:hideMark/>
          </w:tcPr>
          <w:p w14:paraId="2DC5D43F"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0.84%</w:t>
            </w:r>
          </w:p>
        </w:tc>
        <w:tc>
          <w:tcPr>
            <w:tcW w:w="1203" w:type="dxa"/>
            <w:shd w:val="clear" w:color="auto" w:fill="auto"/>
            <w:noWrap/>
            <w:vAlign w:val="bottom"/>
            <w:hideMark/>
          </w:tcPr>
          <w:p w14:paraId="196C2F09"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1.24%</w:t>
            </w:r>
          </w:p>
        </w:tc>
        <w:tc>
          <w:tcPr>
            <w:tcW w:w="1203" w:type="dxa"/>
            <w:shd w:val="clear" w:color="auto" w:fill="auto"/>
            <w:noWrap/>
            <w:vAlign w:val="bottom"/>
            <w:hideMark/>
          </w:tcPr>
          <w:p w14:paraId="66551DF2"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-0.30%</w:t>
            </w:r>
          </w:p>
        </w:tc>
      </w:tr>
      <w:tr w:rsidR="000A555F" w:rsidRPr="000A555F" w14:paraId="0762119B" w14:textId="77777777" w:rsidTr="003C2CFB">
        <w:trPr>
          <w:trHeight w:val="176"/>
        </w:trPr>
        <w:tc>
          <w:tcPr>
            <w:tcW w:w="1203" w:type="dxa"/>
            <w:shd w:val="clear" w:color="auto" w:fill="auto"/>
            <w:noWrap/>
            <w:vAlign w:val="bottom"/>
            <w:hideMark/>
          </w:tcPr>
          <w:p w14:paraId="1B018F77" w14:textId="77777777" w:rsidR="000A555F" w:rsidRPr="009F2E80" w:rsidRDefault="000A555F" w:rsidP="003C2CFB">
            <w:pPr>
              <w:spacing w:after="0" w:line="240" w:lineRule="auto"/>
              <w:rPr>
                <w:rFonts w:cs="Arial"/>
                <w:color w:val="000000"/>
                <w:szCs w:val="20"/>
              </w:rPr>
            </w:pPr>
            <w:r w:rsidRPr="009F2E80">
              <w:rPr>
                <w:rFonts w:cs="Arial"/>
                <w:color w:val="000000"/>
                <w:szCs w:val="20"/>
              </w:rPr>
              <w:t>2021</w:t>
            </w:r>
          </w:p>
        </w:tc>
        <w:tc>
          <w:tcPr>
            <w:tcW w:w="1203" w:type="dxa"/>
            <w:shd w:val="clear" w:color="auto" w:fill="auto"/>
            <w:noWrap/>
            <w:vAlign w:val="bottom"/>
            <w:hideMark/>
          </w:tcPr>
          <w:p w14:paraId="25E98D77"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-0.55%</w:t>
            </w:r>
          </w:p>
        </w:tc>
        <w:tc>
          <w:tcPr>
            <w:tcW w:w="1203" w:type="dxa"/>
            <w:shd w:val="clear" w:color="auto" w:fill="auto"/>
            <w:noWrap/>
            <w:vAlign w:val="bottom"/>
            <w:hideMark/>
          </w:tcPr>
          <w:p w14:paraId="0BE4E1C7"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1.01%</w:t>
            </w:r>
          </w:p>
        </w:tc>
        <w:tc>
          <w:tcPr>
            <w:tcW w:w="1203" w:type="dxa"/>
            <w:shd w:val="clear" w:color="auto" w:fill="auto"/>
            <w:noWrap/>
            <w:vAlign w:val="bottom"/>
            <w:hideMark/>
          </w:tcPr>
          <w:p w14:paraId="66B65712"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0.95%</w:t>
            </w:r>
          </w:p>
        </w:tc>
        <w:tc>
          <w:tcPr>
            <w:tcW w:w="1203" w:type="dxa"/>
            <w:shd w:val="clear" w:color="auto" w:fill="auto"/>
            <w:noWrap/>
            <w:vAlign w:val="bottom"/>
            <w:hideMark/>
          </w:tcPr>
          <w:p w14:paraId="7C374E30"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0.79%</w:t>
            </w:r>
          </w:p>
        </w:tc>
        <w:tc>
          <w:tcPr>
            <w:tcW w:w="1203" w:type="dxa"/>
            <w:shd w:val="clear" w:color="auto" w:fill="auto"/>
            <w:noWrap/>
            <w:vAlign w:val="bottom"/>
            <w:hideMark/>
          </w:tcPr>
          <w:p w14:paraId="70BF82EB"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0.13%</w:t>
            </w:r>
          </w:p>
        </w:tc>
        <w:tc>
          <w:tcPr>
            <w:tcW w:w="1203" w:type="dxa"/>
            <w:shd w:val="clear" w:color="auto" w:fill="auto"/>
            <w:noWrap/>
            <w:vAlign w:val="bottom"/>
            <w:hideMark/>
          </w:tcPr>
          <w:p w14:paraId="7E0E5865" w14:textId="77777777" w:rsidR="000A555F" w:rsidRPr="009F2E80" w:rsidRDefault="000A555F" w:rsidP="00C97ACF">
            <w:pPr>
              <w:spacing w:after="0" w:line="240" w:lineRule="auto"/>
              <w:jc w:val="right"/>
              <w:rPr>
                <w:rFonts w:cs="Arial"/>
                <w:color w:val="000000"/>
                <w:szCs w:val="20"/>
              </w:rPr>
            </w:pPr>
            <w:r w:rsidRPr="009F2E80">
              <w:rPr>
                <w:rFonts w:cs="Arial"/>
                <w:color w:val="000000"/>
                <w:szCs w:val="20"/>
              </w:rPr>
              <w:t>3.80%</w:t>
            </w:r>
          </w:p>
        </w:tc>
      </w:tr>
      <w:tr w:rsidR="000A555F" w:rsidRPr="000A555F" w14:paraId="767DAD09" w14:textId="77777777" w:rsidTr="003C2CFB">
        <w:trPr>
          <w:trHeight w:val="176"/>
        </w:trPr>
        <w:tc>
          <w:tcPr>
            <w:tcW w:w="1203" w:type="dxa"/>
            <w:shd w:val="clear" w:color="auto" w:fill="auto"/>
            <w:noWrap/>
            <w:vAlign w:val="bottom"/>
            <w:hideMark/>
          </w:tcPr>
          <w:p w14:paraId="137A4958" w14:textId="77777777" w:rsidR="000A555F" w:rsidRPr="009F2E80" w:rsidRDefault="000A555F" w:rsidP="00C97ACF">
            <w:pPr>
              <w:spacing w:after="0" w:line="240" w:lineRule="auto"/>
              <w:jc w:val="right"/>
              <w:rPr>
                <w:rFonts w:cs="Arial"/>
                <w:b/>
                <w:bCs/>
                <w:color w:val="000000"/>
                <w:szCs w:val="20"/>
              </w:rPr>
            </w:pPr>
            <w:r w:rsidRPr="009F2E80">
              <w:rPr>
                <w:rFonts w:cs="Arial"/>
                <w:b/>
                <w:bCs/>
                <w:color w:val="000000"/>
                <w:szCs w:val="20"/>
              </w:rPr>
              <w:t>Average</w:t>
            </w:r>
          </w:p>
        </w:tc>
        <w:tc>
          <w:tcPr>
            <w:tcW w:w="1203" w:type="dxa"/>
            <w:shd w:val="clear" w:color="auto" w:fill="auto"/>
            <w:noWrap/>
            <w:vAlign w:val="bottom"/>
            <w:hideMark/>
          </w:tcPr>
          <w:p w14:paraId="555C618D" w14:textId="77777777" w:rsidR="000A555F" w:rsidRPr="009F2E80" w:rsidRDefault="000A555F" w:rsidP="00C97ACF">
            <w:pPr>
              <w:spacing w:after="0" w:line="240" w:lineRule="auto"/>
              <w:jc w:val="right"/>
              <w:rPr>
                <w:rFonts w:cs="Arial"/>
                <w:b/>
                <w:bCs/>
                <w:color w:val="000000"/>
                <w:szCs w:val="20"/>
              </w:rPr>
            </w:pPr>
            <w:r w:rsidRPr="009F2E80">
              <w:rPr>
                <w:rFonts w:cs="Arial"/>
                <w:b/>
                <w:bCs/>
                <w:color w:val="000000"/>
                <w:szCs w:val="20"/>
              </w:rPr>
              <w:t>1.63%</w:t>
            </w:r>
          </w:p>
        </w:tc>
        <w:tc>
          <w:tcPr>
            <w:tcW w:w="1203" w:type="dxa"/>
            <w:shd w:val="clear" w:color="auto" w:fill="auto"/>
            <w:noWrap/>
            <w:vAlign w:val="bottom"/>
            <w:hideMark/>
          </w:tcPr>
          <w:p w14:paraId="54173AFC" w14:textId="77777777" w:rsidR="000A555F" w:rsidRPr="009F2E80" w:rsidRDefault="000A555F" w:rsidP="00C97ACF">
            <w:pPr>
              <w:spacing w:after="0" w:line="240" w:lineRule="auto"/>
              <w:jc w:val="right"/>
              <w:rPr>
                <w:rFonts w:cs="Arial"/>
                <w:b/>
                <w:bCs/>
                <w:color w:val="000000"/>
                <w:szCs w:val="20"/>
              </w:rPr>
            </w:pPr>
            <w:r w:rsidRPr="009F2E80">
              <w:rPr>
                <w:rFonts w:cs="Arial"/>
                <w:b/>
                <w:bCs/>
                <w:color w:val="000000"/>
                <w:szCs w:val="20"/>
              </w:rPr>
              <w:t>1.54%</w:t>
            </w:r>
          </w:p>
        </w:tc>
        <w:tc>
          <w:tcPr>
            <w:tcW w:w="1203" w:type="dxa"/>
            <w:shd w:val="clear" w:color="auto" w:fill="auto"/>
            <w:noWrap/>
            <w:vAlign w:val="bottom"/>
            <w:hideMark/>
          </w:tcPr>
          <w:p w14:paraId="1A3EAA71" w14:textId="77777777" w:rsidR="000A555F" w:rsidRPr="009F2E80" w:rsidRDefault="000A555F" w:rsidP="00C97ACF">
            <w:pPr>
              <w:spacing w:after="0" w:line="240" w:lineRule="auto"/>
              <w:jc w:val="right"/>
              <w:rPr>
                <w:rFonts w:cs="Arial"/>
                <w:b/>
                <w:bCs/>
                <w:color w:val="000000"/>
                <w:szCs w:val="20"/>
              </w:rPr>
            </w:pPr>
            <w:r w:rsidRPr="009F2E80">
              <w:rPr>
                <w:rFonts w:cs="Arial"/>
                <w:b/>
                <w:bCs/>
                <w:color w:val="000000"/>
                <w:szCs w:val="20"/>
              </w:rPr>
              <w:t>1.34%</w:t>
            </w:r>
          </w:p>
        </w:tc>
        <w:tc>
          <w:tcPr>
            <w:tcW w:w="1203" w:type="dxa"/>
            <w:shd w:val="clear" w:color="auto" w:fill="auto"/>
            <w:noWrap/>
            <w:vAlign w:val="bottom"/>
            <w:hideMark/>
          </w:tcPr>
          <w:p w14:paraId="711D832B" w14:textId="77777777" w:rsidR="000A555F" w:rsidRPr="009F2E80" w:rsidRDefault="000A555F" w:rsidP="00C97ACF">
            <w:pPr>
              <w:spacing w:after="0" w:line="240" w:lineRule="auto"/>
              <w:jc w:val="right"/>
              <w:rPr>
                <w:rFonts w:cs="Arial"/>
                <w:b/>
                <w:bCs/>
                <w:color w:val="000000"/>
                <w:szCs w:val="20"/>
              </w:rPr>
            </w:pPr>
            <w:r w:rsidRPr="009F2E80">
              <w:rPr>
                <w:rFonts w:cs="Arial"/>
                <w:b/>
                <w:bCs/>
                <w:color w:val="000000"/>
                <w:szCs w:val="20"/>
              </w:rPr>
              <w:t>0.70%</w:t>
            </w:r>
          </w:p>
        </w:tc>
        <w:tc>
          <w:tcPr>
            <w:tcW w:w="1203" w:type="dxa"/>
            <w:shd w:val="clear" w:color="auto" w:fill="auto"/>
            <w:noWrap/>
            <w:vAlign w:val="bottom"/>
            <w:hideMark/>
          </w:tcPr>
          <w:p w14:paraId="143E0BD3" w14:textId="77777777" w:rsidR="000A555F" w:rsidRPr="009F2E80" w:rsidRDefault="000A555F" w:rsidP="00C97ACF">
            <w:pPr>
              <w:spacing w:after="0" w:line="240" w:lineRule="auto"/>
              <w:jc w:val="right"/>
              <w:rPr>
                <w:rFonts w:cs="Arial"/>
                <w:b/>
                <w:bCs/>
                <w:color w:val="000000"/>
                <w:szCs w:val="20"/>
              </w:rPr>
            </w:pPr>
            <w:r w:rsidRPr="009F2E80">
              <w:rPr>
                <w:rFonts w:cs="Arial"/>
                <w:b/>
                <w:bCs/>
                <w:color w:val="000000"/>
                <w:szCs w:val="20"/>
              </w:rPr>
              <w:t>1.45%</w:t>
            </w:r>
          </w:p>
        </w:tc>
        <w:tc>
          <w:tcPr>
            <w:tcW w:w="1203" w:type="dxa"/>
            <w:shd w:val="clear" w:color="auto" w:fill="auto"/>
            <w:noWrap/>
            <w:vAlign w:val="bottom"/>
            <w:hideMark/>
          </w:tcPr>
          <w:p w14:paraId="2B58533A" w14:textId="77777777" w:rsidR="000A555F" w:rsidRPr="009F2E80" w:rsidRDefault="000A555F" w:rsidP="00C97ACF">
            <w:pPr>
              <w:spacing w:after="0" w:line="240" w:lineRule="auto"/>
              <w:jc w:val="right"/>
              <w:rPr>
                <w:rFonts w:cs="Arial"/>
                <w:b/>
                <w:bCs/>
                <w:color w:val="000000"/>
                <w:szCs w:val="20"/>
              </w:rPr>
            </w:pPr>
            <w:r w:rsidRPr="009F2E80">
              <w:rPr>
                <w:rFonts w:cs="Arial"/>
                <w:b/>
                <w:bCs/>
                <w:color w:val="000000"/>
                <w:szCs w:val="20"/>
              </w:rPr>
              <w:t>2.36%</w:t>
            </w:r>
          </w:p>
        </w:tc>
      </w:tr>
    </w:tbl>
    <w:p w14:paraId="26D66390" w14:textId="77777777" w:rsidR="00DA450B" w:rsidRDefault="00DA450B" w:rsidP="00F13FC8">
      <w:pPr>
        <w:rPr>
          <w:rFonts w:cs="Arial"/>
          <w:szCs w:val="20"/>
        </w:rPr>
      </w:pPr>
    </w:p>
    <w:p w14:paraId="0723A583" w14:textId="421F4E72" w:rsidR="003C0C15" w:rsidRDefault="007464B5" w:rsidP="00F13FC8">
      <w:pPr>
        <w:rPr>
          <w:rFonts w:cs="Arial"/>
          <w:szCs w:val="20"/>
        </w:rPr>
      </w:pPr>
      <w:r>
        <w:rPr>
          <w:rFonts w:cs="Arial"/>
          <w:szCs w:val="20"/>
        </w:rPr>
        <w:t>The</w:t>
      </w:r>
      <w:r w:rsidR="00204CDD">
        <w:rPr>
          <w:rFonts w:cs="Arial"/>
          <w:szCs w:val="20"/>
        </w:rPr>
        <w:t xml:space="preserve">se </w:t>
      </w:r>
      <w:r w:rsidR="0020556F">
        <w:rPr>
          <w:rFonts w:cs="Arial"/>
          <w:szCs w:val="20"/>
        </w:rPr>
        <w:t>comparison</w:t>
      </w:r>
      <w:r>
        <w:rPr>
          <w:rFonts w:cs="Arial"/>
          <w:szCs w:val="20"/>
        </w:rPr>
        <w:t xml:space="preserve"> </w:t>
      </w:r>
      <w:r w:rsidR="00A60394">
        <w:rPr>
          <w:rFonts w:cs="Arial"/>
          <w:szCs w:val="20"/>
        </w:rPr>
        <w:t xml:space="preserve">tax updates are </w:t>
      </w:r>
      <w:r w:rsidR="00FD0E6E">
        <w:rPr>
          <w:rFonts w:cs="Arial"/>
          <w:szCs w:val="20"/>
        </w:rPr>
        <w:t>significantly</w:t>
      </w:r>
      <w:r w:rsidR="0066364E">
        <w:rPr>
          <w:rFonts w:cs="Arial"/>
          <w:szCs w:val="20"/>
        </w:rPr>
        <w:t xml:space="preserve"> </w:t>
      </w:r>
      <w:r w:rsidR="00A60394">
        <w:rPr>
          <w:rFonts w:cs="Arial"/>
          <w:szCs w:val="20"/>
        </w:rPr>
        <w:t>more</w:t>
      </w:r>
      <w:r w:rsidR="00FD0E6E">
        <w:rPr>
          <w:rFonts w:cs="Arial"/>
          <w:szCs w:val="20"/>
        </w:rPr>
        <w:t xml:space="preserve"> stable </w:t>
      </w:r>
      <w:r w:rsidR="00BC07EF">
        <w:rPr>
          <w:rFonts w:cs="Arial"/>
          <w:szCs w:val="20"/>
        </w:rPr>
        <w:t xml:space="preserve">than the </w:t>
      </w:r>
      <w:r w:rsidR="0075344C">
        <w:rPr>
          <w:rFonts w:cs="Arial"/>
          <w:szCs w:val="20"/>
        </w:rPr>
        <w:t>corres</w:t>
      </w:r>
      <w:r w:rsidR="00EE5C2C">
        <w:rPr>
          <w:rFonts w:cs="Arial"/>
          <w:szCs w:val="20"/>
        </w:rPr>
        <w:t xml:space="preserve">ponding </w:t>
      </w:r>
      <w:r w:rsidR="00BD480C">
        <w:rPr>
          <w:rFonts w:cs="Arial"/>
          <w:szCs w:val="20"/>
        </w:rPr>
        <w:t>CPI updates over the past 10 years</w:t>
      </w:r>
      <w:r w:rsidR="00A60394">
        <w:rPr>
          <w:rFonts w:cs="Arial"/>
          <w:szCs w:val="20"/>
        </w:rPr>
        <w:t xml:space="preserve">. </w:t>
      </w:r>
      <w:r w:rsidR="00892EB7">
        <w:rPr>
          <w:rFonts w:cs="Arial"/>
          <w:szCs w:val="20"/>
        </w:rPr>
        <w:t>The average annual</w:t>
      </w:r>
      <w:r w:rsidR="00676426">
        <w:rPr>
          <w:rFonts w:cs="Arial"/>
          <w:szCs w:val="20"/>
        </w:rPr>
        <w:t xml:space="preserve"> population</w:t>
      </w:r>
      <w:r w:rsidR="00892EB7">
        <w:rPr>
          <w:rFonts w:cs="Arial"/>
          <w:szCs w:val="20"/>
        </w:rPr>
        <w:t xml:space="preserve"> </w:t>
      </w:r>
      <w:r w:rsidR="0062158E">
        <w:rPr>
          <w:rFonts w:cs="Arial"/>
          <w:szCs w:val="20"/>
        </w:rPr>
        <w:t>growth</w:t>
      </w:r>
      <w:r w:rsidR="00892EB7">
        <w:rPr>
          <w:rFonts w:cs="Arial"/>
          <w:szCs w:val="20"/>
        </w:rPr>
        <w:t xml:space="preserve"> is lower</w:t>
      </w:r>
      <w:r w:rsidR="005812A8">
        <w:rPr>
          <w:rFonts w:cs="Arial"/>
          <w:szCs w:val="20"/>
        </w:rPr>
        <w:t xml:space="preserve"> for each density area</w:t>
      </w:r>
      <w:r w:rsidR="00892EB7">
        <w:rPr>
          <w:rFonts w:cs="Arial"/>
          <w:szCs w:val="20"/>
        </w:rPr>
        <w:t xml:space="preserve"> than the average CPI growth for the </w:t>
      </w:r>
      <w:r w:rsidR="00863EF1">
        <w:rPr>
          <w:rFonts w:cs="Arial"/>
          <w:szCs w:val="20"/>
        </w:rPr>
        <w:t>past 10 years</w:t>
      </w:r>
      <w:r w:rsidR="0051182B">
        <w:rPr>
          <w:rFonts w:cs="Arial"/>
          <w:szCs w:val="20"/>
        </w:rPr>
        <w:t xml:space="preserve">, meaning we </w:t>
      </w:r>
      <w:r w:rsidR="0051182B">
        <w:rPr>
          <w:rFonts w:cs="Arial"/>
          <w:szCs w:val="20"/>
        </w:rPr>
        <w:lastRenderedPageBreak/>
        <w:t xml:space="preserve">would </w:t>
      </w:r>
      <w:r w:rsidR="00072712">
        <w:rPr>
          <w:rFonts w:cs="Arial"/>
          <w:szCs w:val="20"/>
        </w:rPr>
        <w:t>expect</w:t>
      </w:r>
      <w:r w:rsidR="0051182B">
        <w:rPr>
          <w:rFonts w:cs="Arial"/>
          <w:szCs w:val="20"/>
        </w:rPr>
        <w:t xml:space="preserve"> lower apparatus taxes over the period</w:t>
      </w:r>
      <w:r w:rsidR="00B03D83">
        <w:rPr>
          <w:rFonts w:cs="Arial"/>
          <w:szCs w:val="20"/>
        </w:rPr>
        <w:t xml:space="preserve"> had we used this method</w:t>
      </w:r>
      <w:r w:rsidR="008E75B6">
        <w:rPr>
          <w:rFonts w:cs="Arial"/>
          <w:szCs w:val="20"/>
        </w:rPr>
        <w:t>.</w:t>
      </w:r>
      <w:r w:rsidR="00CE3611">
        <w:rPr>
          <w:rFonts w:cs="Arial"/>
          <w:szCs w:val="20"/>
        </w:rPr>
        <w:t xml:space="preserve"> </w:t>
      </w:r>
      <w:r w:rsidR="003C0C15">
        <w:rPr>
          <w:rFonts w:cs="Arial"/>
          <w:szCs w:val="20"/>
        </w:rPr>
        <w:t xml:space="preserve">For </w:t>
      </w:r>
      <w:r w:rsidR="00613DF6">
        <w:rPr>
          <w:rFonts w:cs="Arial"/>
          <w:szCs w:val="20"/>
        </w:rPr>
        <w:t>referenc</w:t>
      </w:r>
      <w:r w:rsidR="00613DF6" w:rsidRPr="003518EB">
        <w:rPr>
          <w:rFonts w:cs="Arial"/>
          <w:szCs w:val="20"/>
        </w:rPr>
        <w:t xml:space="preserve">e, </w:t>
      </w:r>
      <w:r w:rsidR="00CB57C9" w:rsidRPr="003518EB">
        <w:rPr>
          <w:rFonts w:cs="Arial"/>
          <w:szCs w:val="20"/>
        </w:rPr>
        <w:t>Table 9</w:t>
      </w:r>
      <w:r w:rsidR="008F4A15" w:rsidRPr="003518EB">
        <w:rPr>
          <w:rFonts w:cs="Arial"/>
          <w:szCs w:val="20"/>
        </w:rPr>
        <w:t xml:space="preserve"> </w:t>
      </w:r>
      <w:r w:rsidR="00CB57C9" w:rsidRPr="003518EB">
        <w:rPr>
          <w:rFonts w:cs="Arial"/>
          <w:szCs w:val="20"/>
        </w:rPr>
        <w:t>de</w:t>
      </w:r>
      <w:r w:rsidR="00CB57C9">
        <w:rPr>
          <w:rFonts w:cs="Arial"/>
          <w:szCs w:val="20"/>
        </w:rPr>
        <w:t xml:space="preserve">monstrates </w:t>
      </w:r>
      <w:r w:rsidR="00F1376E">
        <w:rPr>
          <w:rFonts w:cs="Arial"/>
          <w:szCs w:val="20"/>
        </w:rPr>
        <w:t xml:space="preserve">how </w:t>
      </w:r>
      <w:r w:rsidR="005D7CFC">
        <w:rPr>
          <w:rFonts w:cs="Arial"/>
          <w:szCs w:val="20"/>
        </w:rPr>
        <w:t xml:space="preserve">our </w:t>
      </w:r>
      <w:r w:rsidR="00D34F9F">
        <w:rPr>
          <w:rFonts w:cs="Arial"/>
          <w:szCs w:val="20"/>
        </w:rPr>
        <w:t xml:space="preserve">tax updates would hypothetically change on a </w:t>
      </w:r>
      <w:r w:rsidR="003617F2">
        <w:rPr>
          <w:rFonts w:cs="Arial"/>
          <w:szCs w:val="20"/>
        </w:rPr>
        <w:t>state-by-state</w:t>
      </w:r>
      <w:r w:rsidR="00D34F9F">
        <w:rPr>
          <w:rFonts w:cs="Arial"/>
          <w:szCs w:val="20"/>
        </w:rPr>
        <w:t xml:space="preserve"> level.</w:t>
      </w:r>
    </w:p>
    <w:p w14:paraId="2F4DD6DF" w14:textId="2EBEB2FA" w:rsidR="00F52E80" w:rsidRPr="00533D0C" w:rsidRDefault="003C5D39" w:rsidP="007A5938">
      <w:pPr>
        <w:pStyle w:val="Tableheading"/>
      </w:pPr>
      <w:r>
        <w:t xml:space="preserve">Population increase vs CPI by </w:t>
      </w:r>
      <w:r w:rsidR="008721A5">
        <w:t>state</w:t>
      </w:r>
    </w:p>
    <w:tbl>
      <w:tblPr>
        <w:tblW w:w="860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Pr>
      <w:tblGrid>
        <w:gridCol w:w="954"/>
        <w:gridCol w:w="850"/>
        <w:gridCol w:w="850"/>
        <w:gridCol w:w="851"/>
        <w:gridCol w:w="850"/>
        <w:gridCol w:w="851"/>
        <w:gridCol w:w="850"/>
        <w:gridCol w:w="851"/>
        <w:gridCol w:w="850"/>
        <w:gridCol w:w="851"/>
      </w:tblGrid>
      <w:tr w:rsidR="007A5938" w:rsidRPr="009F2E80" w14:paraId="41D27792" w14:textId="77777777" w:rsidTr="007A5938">
        <w:trPr>
          <w:trHeight w:val="248"/>
        </w:trPr>
        <w:tc>
          <w:tcPr>
            <w:tcW w:w="954" w:type="dxa"/>
            <w:shd w:val="clear" w:color="auto" w:fill="404040" w:themeFill="text1" w:themeFillTint="BF"/>
            <w:noWrap/>
            <w:vAlign w:val="bottom"/>
            <w:hideMark/>
          </w:tcPr>
          <w:p w14:paraId="0145936D" w14:textId="40383162" w:rsidR="00D150A1" w:rsidRPr="009F2E80" w:rsidRDefault="00D150A1" w:rsidP="00D150A1">
            <w:pPr>
              <w:spacing w:after="0" w:line="240" w:lineRule="auto"/>
              <w:rPr>
                <w:rFonts w:cs="Arial"/>
                <w:b/>
                <w:bCs/>
                <w:color w:val="FFFFFF" w:themeColor="background1"/>
                <w:szCs w:val="20"/>
              </w:rPr>
            </w:pPr>
            <w:r w:rsidRPr="009F2E80">
              <w:rPr>
                <w:rFonts w:cs="Arial"/>
                <w:b/>
                <w:bCs/>
                <w:color w:val="FFFFFF" w:themeColor="background1"/>
                <w:szCs w:val="20"/>
              </w:rPr>
              <w:t> </w:t>
            </w:r>
            <w:r w:rsidR="003518EB">
              <w:rPr>
                <w:rFonts w:cs="Arial"/>
                <w:b/>
                <w:bCs/>
                <w:color w:val="FFFFFF" w:themeColor="background1"/>
                <w:szCs w:val="20"/>
              </w:rPr>
              <w:t>Year</w:t>
            </w:r>
          </w:p>
        </w:tc>
        <w:tc>
          <w:tcPr>
            <w:tcW w:w="850" w:type="dxa"/>
            <w:shd w:val="clear" w:color="auto" w:fill="404040" w:themeFill="text1" w:themeFillTint="BF"/>
            <w:noWrap/>
            <w:vAlign w:val="bottom"/>
            <w:hideMark/>
          </w:tcPr>
          <w:p w14:paraId="653574B8" w14:textId="3141D2EA" w:rsidR="00D150A1" w:rsidRPr="009F2E80" w:rsidRDefault="00E056B6" w:rsidP="006A0FEF">
            <w:pPr>
              <w:spacing w:after="0" w:line="240" w:lineRule="auto"/>
              <w:jc w:val="right"/>
              <w:rPr>
                <w:rFonts w:cs="Arial"/>
                <w:b/>
                <w:bCs/>
                <w:color w:val="FFFFFF" w:themeColor="background1"/>
                <w:szCs w:val="20"/>
              </w:rPr>
            </w:pPr>
            <w:r w:rsidRPr="009F2E80">
              <w:rPr>
                <w:rFonts w:cs="Arial"/>
                <w:b/>
                <w:bCs/>
                <w:color w:val="FFFFFF" w:themeColor="background1"/>
                <w:szCs w:val="20"/>
              </w:rPr>
              <w:t>NSW</w:t>
            </w:r>
          </w:p>
        </w:tc>
        <w:tc>
          <w:tcPr>
            <w:tcW w:w="850" w:type="dxa"/>
            <w:shd w:val="clear" w:color="auto" w:fill="404040" w:themeFill="text1" w:themeFillTint="BF"/>
            <w:noWrap/>
            <w:vAlign w:val="bottom"/>
            <w:hideMark/>
          </w:tcPr>
          <w:p w14:paraId="4ECB928E" w14:textId="64E4F44A" w:rsidR="00D150A1" w:rsidRPr="009F2E80" w:rsidRDefault="00E056B6" w:rsidP="006A0FEF">
            <w:pPr>
              <w:spacing w:after="0" w:line="240" w:lineRule="auto"/>
              <w:jc w:val="right"/>
              <w:rPr>
                <w:rFonts w:cs="Arial"/>
                <w:b/>
                <w:bCs/>
                <w:color w:val="FFFFFF" w:themeColor="background1"/>
                <w:szCs w:val="20"/>
              </w:rPr>
            </w:pPr>
            <w:r w:rsidRPr="007A5938">
              <w:rPr>
                <w:rFonts w:cs="Arial"/>
                <w:b/>
                <w:bCs/>
                <w:color w:val="FFFFFF" w:themeColor="background1"/>
                <w:szCs w:val="20"/>
              </w:rPr>
              <w:t>V</w:t>
            </w:r>
            <w:r w:rsidR="00C97ACF">
              <w:rPr>
                <w:rFonts w:cs="Arial"/>
                <w:b/>
                <w:bCs/>
                <w:color w:val="FFFFFF" w:themeColor="background1"/>
                <w:szCs w:val="20"/>
              </w:rPr>
              <w:t>ic</w:t>
            </w:r>
          </w:p>
        </w:tc>
        <w:tc>
          <w:tcPr>
            <w:tcW w:w="851" w:type="dxa"/>
            <w:shd w:val="clear" w:color="auto" w:fill="404040" w:themeFill="text1" w:themeFillTint="BF"/>
            <w:noWrap/>
            <w:vAlign w:val="bottom"/>
            <w:hideMark/>
          </w:tcPr>
          <w:p w14:paraId="72C24379" w14:textId="312D2F20" w:rsidR="00D150A1" w:rsidRPr="009F2E80" w:rsidRDefault="00E056B6" w:rsidP="006A0FEF">
            <w:pPr>
              <w:spacing w:after="0" w:line="240" w:lineRule="auto"/>
              <w:jc w:val="right"/>
              <w:rPr>
                <w:rFonts w:cs="Arial"/>
                <w:b/>
                <w:bCs/>
                <w:color w:val="FFFFFF" w:themeColor="background1"/>
                <w:szCs w:val="20"/>
              </w:rPr>
            </w:pPr>
            <w:r w:rsidRPr="009F2E80">
              <w:rPr>
                <w:rFonts w:cs="Arial"/>
                <w:b/>
                <w:bCs/>
                <w:color w:val="FFFFFF" w:themeColor="background1"/>
                <w:szCs w:val="20"/>
              </w:rPr>
              <w:t>QLD</w:t>
            </w:r>
          </w:p>
        </w:tc>
        <w:tc>
          <w:tcPr>
            <w:tcW w:w="850" w:type="dxa"/>
            <w:shd w:val="clear" w:color="auto" w:fill="404040" w:themeFill="text1" w:themeFillTint="BF"/>
            <w:noWrap/>
            <w:vAlign w:val="bottom"/>
            <w:hideMark/>
          </w:tcPr>
          <w:p w14:paraId="21A37CC2" w14:textId="55425702" w:rsidR="00D150A1" w:rsidRPr="009F2E80" w:rsidRDefault="00E056B6" w:rsidP="006A0FEF">
            <w:pPr>
              <w:spacing w:after="0" w:line="240" w:lineRule="auto"/>
              <w:jc w:val="right"/>
              <w:rPr>
                <w:rFonts w:cs="Arial"/>
                <w:b/>
                <w:bCs/>
                <w:color w:val="FFFFFF" w:themeColor="background1"/>
                <w:szCs w:val="20"/>
              </w:rPr>
            </w:pPr>
            <w:r w:rsidRPr="009F2E80">
              <w:rPr>
                <w:rFonts w:cs="Arial"/>
                <w:b/>
                <w:bCs/>
                <w:color w:val="FFFFFF" w:themeColor="background1"/>
                <w:szCs w:val="20"/>
              </w:rPr>
              <w:t>SA</w:t>
            </w:r>
          </w:p>
        </w:tc>
        <w:tc>
          <w:tcPr>
            <w:tcW w:w="851" w:type="dxa"/>
            <w:shd w:val="clear" w:color="auto" w:fill="404040" w:themeFill="text1" w:themeFillTint="BF"/>
            <w:noWrap/>
            <w:vAlign w:val="bottom"/>
            <w:hideMark/>
          </w:tcPr>
          <w:p w14:paraId="17F5E570" w14:textId="47B7E05B" w:rsidR="00D150A1" w:rsidRPr="009F2E80" w:rsidRDefault="00E056B6" w:rsidP="006A0FEF">
            <w:pPr>
              <w:spacing w:after="0" w:line="240" w:lineRule="auto"/>
              <w:jc w:val="right"/>
              <w:rPr>
                <w:rFonts w:cs="Arial"/>
                <w:b/>
                <w:bCs/>
                <w:color w:val="FFFFFF" w:themeColor="background1"/>
                <w:szCs w:val="20"/>
              </w:rPr>
            </w:pPr>
            <w:r w:rsidRPr="009F2E80">
              <w:rPr>
                <w:rFonts w:cs="Arial"/>
                <w:b/>
                <w:bCs/>
                <w:color w:val="FFFFFF" w:themeColor="background1"/>
                <w:szCs w:val="20"/>
              </w:rPr>
              <w:t>WA</w:t>
            </w:r>
          </w:p>
        </w:tc>
        <w:tc>
          <w:tcPr>
            <w:tcW w:w="850" w:type="dxa"/>
            <w:shd w:val="clear" w:color="auto" w:fill="404040" w:themeFill="text1" w:themeFillTint="BF"/>
            <w:noWrap/>
            <w:vAlign w:val="bottom"/>
            <w:hideMark/>
          </w:tcPr>
          <w:p w14:paraId="4F6FADB0" w14:textId="3E7CA20F" w:rsidR="00D150A1" w:rsidRPr="009F2E80" w:rsidRDefault="00C97ACF" w:rsidP="006A0FEF">
            <w:pPr>
              <w:spacing w:after="0" w:line="240" w:lineRule="auto"/>
              <w:jc w:val="right"/>
              <w:rPr>
                <w:rFonts w:cs="Arial"/>
                <w:b/>
                <w:bCs/>
                <w:color w:val="FFFFFF" w:themeColor="background1"/>
                <w:szCs w:val="20"/>
              </w:rPr>
            </w:pPr>
            <w:r w:rsidRPr="009F2E80">
              <w:rPr>
                <w:rFonts w:cs="Arial"/>
                <w:b/>
                <w:bCs/>
                <w:color w:val="FFFFFF" w:themeColor="background1"/>
                <w:szCs w:val="20"/>
              </w:rPr>
              <w:t>T</w:t>
            </w:r>
            <w:r>
              <w:rPr>
                <w:rFonts w:cs="Arial"/>
                <w:b/>
                <w:bCs/>
                <w:color w:val="FFFFFF" w:themeColor="background1"/>
                <w:szCs w:val="20"/>
              </w:rPr>
              <w:t>as</w:t>
            </w:r>
          </w:p>
        </w:tc>
        <w:tc>
          <w:tcPr>
            <w:tcW w:w="851" w:type="dxa"/>
            <w:shd w:val="clear" w:color="auto" w:fill="404040" w:themeFill="text1" w:themeFillTint="BF"/>
            <w:noWrap/>
            <w:vAlign w:val="bottom"/>
            <w:hideMark/>
          </w:tcPr>
          <w:p w14:paraId="0A671507" w14:textId="1A5B0E87" w:rsidR="00D150A1" w:rsidRPr="009F2E80" w:rsidRDefault="00E056B6" w:rsidP="006A0FEF">
            <w:pPr>
              <w:spacing w:after="0" w:line="240" w:lineRule="auto"/>
              <w:jc w:val="right"/>
              <w:rPr>
                <w:rFonts w:cs="Arial"/>
                <w:b/>
                <w:bCs/>
                <w:color w:val="FFFFFF" w:themeColor="background1"/>
                <w:szCs w:val="20"/>
              </w:rPr>
            </w:pPr>
            <w:r w:rsidRPr="009F2E80">
              <w:rPr>
                <w:rFonts w:cs="Arial"/>
                <w:b/>
                <w:bCs/>
                <w:color w:val="FFFFFF" w:themeColor="background1"/>
                <w:szCs w:val="20"/>
              </w:rPr>
              <w:t>NT</w:t>
            </w:r>
          </w:p>
        </w:tc>
        <w:tc>
          <w:tcPr>
            <w:tcW w:w="850" w:type="dxa"/>
            <w:shd w:val="clear" w:color="auto" w:fill="404040" w:themeFill="text1" w:themeFillTint="BF"/>
            <w:noWrap/>
            <w:vAlign w:val="bottom"/>
            <w:hideMark/>
          </w:tcPr>
          <w:p w14:paraId="2F9E6A16" w14:textId="77777777" w:rsidR="00D150A1" w:rsidRPr="009F2E80" w:rsidRDefault="00D150A1" w:rsidP="006A0FEF">
            <w:pPr>
              <w:spacing w:after="0" w:line="240" w:lineRule="auto"/>
              <w:jc w:val="right"/>
              <w:rPr>
                <w:rFonts w:cs="Arial"/>
                <w:b/>
                <w:bCs/>
                <w:color w:val="FFFFFF" w:themeColor="background1"/>
                <w:szCs w:val="20"/>
              </w:rPr>
            </w:pPr>
            <w:r w:rsidRPr="009F2E80">
              <w:rPr>
                <w:rFonts w:cs="Arial"/>
                <w:b/>
                <w:bCs/>
                <w:color w:val="FFFFFF" w:themeColor="background1"/>
                <w:szCs w:val="20"/>
              </w:rPr>
              <w:t>ACT</w:t>
            </w:r>
          </w:p>
        </w:tc>
        <w:tc>
          <w:tcPr>
            <w:tcW w:w="851" w:type="dxa"/>
            <w:shd w:val="clear" w:color="auto" w:fill="404040" w:themeFill="text1" w:themeFillTint="BF"/>
            <w:noWrap/>
            <w:vAlign w:val="bottom"/>
            <w:hideMark/>
          </w:tcPr>
          <w:p w14:paraId="6B589ED6" w14:textId="77777777" w:rsidR="00D150A1" w:rsidRPr="009F2E80" w:rsidRDefault="00D150A1" w:rsidP="006A0FEF">
            <w:pPr>
              <w:spacing w:after="0" w:line="240" w:lineRule="auto"/>
              <w:jc w:val="right"/>
              <w:rPr>
                <w:rFonts w:cs="Arial"/>
                <w:b/>
                <w:bCs/>
                <w:color w:val="FFFFFF" w:themeColor="background1"/>
                <w:szCs w:val="20"/>
              </w:rPr>
            </w:pPr>
            <w:r w:rsidRPr="009F2E80">
              <w:rPr>
                <w:rFonts w:cs="Arial"/>
                <w:b/>
                <w:bCs/>
                <w:color w:val="FFFFFF" w:themeColor="background1"/>
                <w:szCs w:val="20"/>
              </w:rPr>
              <w:t>CPI</w:t>
            </w:r>
          </w:p>
        </w:tc>
      </w:tr>
      <w:tr w:rsidR="009F2E80" w:rsidRPr="009F2E80" w14:paraId="6CB015B5" w14:textId="77777777" w:rsidTr="009740E2">
        <w:trPr>
          <w:trHeight w:val="248"/>
        </w:trPr>
        <w:tc>
          <w:tcPr>
            <w:tcW w:w="954" w:type="dxa"/>
            <w:shd w:val="clear" w:color="auto" w:fill="auto"/>
            <w:noWrap/>
            <w:vAlign w:val="bottom"/>
            <w:hideMark/>
          </w:tcPr>
          <w:p w14:paraId="18CA79B0" w14:textId="77777777" w:rsidR="00D150A1" w:rsidRPr="009F2E80" w:rsidRDefault="00D150A1" w:rsidP="00D150A1">
            <w:pPr>
              <w:spacing w:after="0" w:line="240" w:lineRule="auto"/>
              <w:rPr>
                <w:rFonts w:cs="Arial"/>
                <w:color w:val="000000"/>
                <w:szCs w:val="20"/>
              </w:rPr>
            </w:pPr>
            <w:r w:rsidRPr="009F2E80">
              <w:rPr>
                <w:rFonts w:cs="Arial"/>
                <w:color w:val="000000"/>
                <w:szCs w:val="20"/>
              </w:rPr>
              <w:t>2002</w:t>
            </w:r>
          </w:p>
        </w:tc>
        <w:tc>
          <w:tcPr>
            <w:tcW w:w="850" w:type="dxa"/>
            <w:shd w:val="clear" w:color="auto" w:fill="auto"/>
            <w:noWrap/>
            <w:vAlign w:val="bottom"/>
            <w:hideMark/>
          </w:tcPr>
          <w:p w14:paraId="2AAB18E6"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0.75%</w:t>
            </w:r>
          </w:p>
        </w:tc>
        <w:tc>
          <w:tcPr>
            <w:tcW w:w="850" w:type="dxa"/>
            <w:shd w:val="clear" w:color="auto" w:fill="auto"/>
            <w:noWrap/>
            <w:vAlign w:val="bottom"/>
            <w:hideMark/>
          </w:tcPr>
          <w:p w14:paraId="00E6FFBB"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1.13%</w:t>
            </w:r>
          </w:p>
        </w:tc>
        <w:tc>
          <w:tcPr>
            <w:tcW w:w="851" w:type="dxa"/>
            <w:shd w:val="clear" w:color="auto" w:fill="auto"/>
            <w:noWrap/>
            <w:vAlign w:val="bottom"/>
            <w:hideMark/>
          </w:tcPr>
          <w:p w14:paraId="38ED6A0C"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2.29%</w:t>
            </w:r>
          </w:p>
        </w:tc>
        <w:tc>
          <w:tcPr>
            <w:tcW w:w="850" w:type="dxa"/>
            <w:shd w:val="clear" w:color="auto" w:fill="auto"/>
            <w:noWrap/>
            <w:vAlign w:val="bottom"/>
            <w:hideMark/>
          </w:tcPr>
          <w:p w14:paraId="070A2249"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0.54%</w:t>
            </w:r>
          </w:p>
        </w:tc>
        <w:tc>
          <w:tcPr>
            <w:tcW w:w="851" w:type="dxa"/>
            <w:shd w:val="clear" w:color="auto" w:fill="auto"/>
            <w:noWrap/>
            <w:vAlign w:val="bottom"/>
            <w:hideMark/>
          </w:tcPr>
          <w:p w14:paraId="2AD1F3E2"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1.17%</w:t>
            </w:r>
          </w:p>
        </w:tc>
        <w:tc>
          <w:tcPr>
            <w:tcW w:w="850" w:type="dxa"/>
            <w:shd w:val="clear" w:color="auto" w:fill="auto"/>
            <w:noWrap/>
            <w:vAlign w:val="bottom"/>
            <w:hideMark/>
          </w:tcPr>
          <w:p w14:paraId="5385E2C4"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0.10%</w:t>
            </w:r>
          </w:p>
        </w:tc>
        <w:tc>
          <w:tcPr>
            <w:tcW w:w="851" w:type="dxa"/>
            <w:shd w:val="clear" w:color="auto" w:fill="auto"/>
            <w:noWrap/>
            <w:vAlign w:val="bottom"/>
            <w:hideMark/>
          </w:tcPr>
          <w:p w14:paraId="525965D9"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0.10%</w:t>
            </w:r>
          </w:p>
        </w:tc>
        <w:tc>
          <w:tcPr>
            <w:tcW w:w="850" w:type="dxa"/>
            <w:shd w:val="clear" w:color="auto" w:fill="auto"/>
            <w:noWrap/>
            <w:vAlign w:val="bottom"/>
            <w:hideMark/>
          </w:tcPr>
          <w:p w14:paraId="4AA51E3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0.25%</w:t>
            </w:r>
          </w:p>
        </w:tc>
        <w:tc>
          <w:tcPr>
            <w:tcW w:w="851" w:type="dxa"/>
            <w:shd w:val="clear" w:color="auto" w:fill="auto"/>
            <w:noWrap/>
            <w:vAlign w:val="bottom"/>
            <w:hideMark/>
          </w:tcPr>
          <w:p w14:paraId="3B84B211"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2.80%</w:t>
            </w:r>
          </w:p>
        </w:tc>
      </w:tr>
      <w:tr w:rsidR="009F2E80" w:rsidRPr="009F2E80" w14:paraId="6F8346D6" w14:textId="77777777" w:rsidTr="009740E2">
        <w:trPr>
          <w:trHeight w:val="248"/>
        </w:trPr>
        <w:tc>
          <w:tcPr>
            <w:tcW w:w="954" w:type="dxa"/>
            <w:shd w:val="clear" w:color="auto" w:fill="auto"/>
            <w:noWrap/>
            <w:vAlign w:val="bottom"/>
            <w:hideMark/>
          </w:tcPr>
          <w:p w14:paraId="3A3DB14C" w14:textId="77777777" w:rsidR="00D150A1" w:rsidRPr="009F2E80" w:rsidRDefault="00D150A1" w:rsidP="00D150A1">
            <w:pPr>
              <w:spacing w:after="0" w:line="240" w:lineRule="auto"/>
              <w:rPr>
                <w:rFonts w:cs="Arial"/>
                <w:color w:val="000000"/>
                <w:szCs w:val="20"/>
              </w:rPr>
            </w:pPr>
            <w:r w:rsidRPr="009F2E80">
              <w:rPr>
                <w:rFonts w:cs="Arial"/>
                <w:color w:val="000000"/>
                <w:szCs w:val="20"/>
              </w:rPr>
              <w:t>2003</w:t>
            </w:r>
          </w:p>
        </w:tc>
        <w:tc>
          <w:tcPr>
            <w:tcW w:w="850" w:type="dxa"/>
            <w:shd w:val="clear" w:color="auto" w:fill="auto"/>
            <w:noWrap/>
            <w:vAlign w:val="bottom"/>
            <w:hideMark/>
          </w:tcPr>
          <w:p w14:paraId="6BC783DA"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0.57%</w:t>
            </w:r>
          </w:p>
        </w:tc>
        <w:tc>
          <w:tcPr>
            <w:tcW w:w="850" w:type="dxa"/>
            <w:shd w:val="clear" w:color="auto" w:fill="auto"/>
            <w:noWrap/>
            <w:vAlign w:val="bottom"/>
            <w:hideMark/>
          </w:tcPr>
          <w:p w14:paraId="601A3AD4"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1.16%</w:t>
            </w:r>
          </w:p>
        </w:tc>
        <w:tc>
          <w:tcPr>
            <w:tcW w:w="851" w:type="dxa"/>
            <w:shd w:val="clear" w:color="auto" w:fill="auto"/>
            <w:noWrap/>
            <w:vAlign w:val="bottom"/>
            <w:hideMark/>
          </w:tcPr>
          <w:p w14:paraId="694FC1F0"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2.48%</w:t>
            </w:r>
          </w:p>
        </w:tc>
        <w:tc>
          <w:tcPr>
            <w:tcW w:w="850" w:type="dxa"/>
            <w:shd w:val="clear" w:color="auto" w:fill="auto"/>
            <w:noWrap/>
            <w:vAlign w:val="bottom"/>
            <w:hideMark/>
          </w:tcPr>
          <w:p w14:paraId="33CFF5BF"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0.58%</w:t>
            </w:r>
          </w:p>
        </w:tc>
        <w:tc>
          <w:tcPr>
            <w:tcW w:w="851" w:type="dxa"/>
            <w:shd w:val="clear" w:color="auto" w:fill="auto"/>
            <w:noWrap/>
            <w:vAlign w:val="bottom"/>
            <w:hideMark/>
          </w:tcPr>
          <w:p w14:paraId="4C1366E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1.26%</w:t>
            </w:r>
          </w:p>
        </w:tc>
        <w:tc>
          <w:tcPr>
            <w:tcW w:w="850" w:type="dxa"/>
            <w:shd w:val="clear" w:color="auto" w:fill="auto"/>
            <w:noWrap/>
            <w:vAlign w:val="bottom"/>
            <w:hideMark/>
          </w:tcPr>
          <w:p w14:paraId="1F5F361C"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0.92%</w:t>
            </w:r>
          </w:p>
        </w:tc>
        <w:tc>
          <w:tcPr>
            <w:tcW w:w="851" w:type="dxa"/>
            <w:shd w:val="clear" w:color="auto" w:fill="auto"/>
            <w:noWrap/>
            <w:vAlign w:val="bottom"/>
            <w:hideMark/>
          </w:tcPr>
          <w:p w14:paraId="22AB9EA0"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0.92%</w:t>
            </w:r>
          </w:p>
        </w:tc>
        <w:tc>
          <w:tcPr>
            <w:tcW w:w="850" w:type="dxa"/>
            <w:shd w:val="clear" w:color="auto" w:fill="auto"/>
            <w:noWrap/>
            <w:vAlign w:val="bottom"/>
            <w:hideMark/>
          </w:tcPr>
          <w:p w14:paraId="2CF11A6C"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-0.26%</w:t>
            </w:r>
          </w:p>
        </w:tc>
        <w:tc>
          <w:tcPr>
            <w:tcW w:w="851" w:type="dxa"/>
            <w:shd w:val="clear" w:color="auto" w:fill="auto"/>
            <w:noWrap/>
            <w:vAlign w:val="bottom"/>
            <w:hideMark/>
          </w:tcPr>
          <w:p w14:paraId="388F60D9"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2.60%</w:t>
            </w:r>
          </w:p>
        </w:tc>
      </w:tr>
      <w:tr w:rsidR="009F2E80" w:rsidRPr="009F2E80" w14:paraId="70F99244" w14:textId="77777777" w:rsidTr="009740E2">
        <w:trPr>
          <w:trHeight w:val="248"/>
        </w:trPr>
        <w:tc>
          <w:tcPr>
            <w:tcW w:w="954" w:type="dxa"/>
            <w:shd w:val="clear" w:color="auto" w:fill="auto"/>
            <w:noWrap/>
            <w:vAlign w:val="bottom"/>
            <w:hideMark/>
          </w:tcPr>
          <w:p w14:paraId="1A417010" w14:textId="77777777" w:rsidR="00D150A1" w:rsidRPr="009F2E80" w:rsidRDefault="00D150A1" w:rsidP="00D150A1">
            <w:pPr>
              <w:spacing w:after="0" w:line="240" w:lineRule="auto"/>
              <w:rPr>
                <w:rFonts w:cs="Arial"/>
                <w:color w:val="000000"/>
                <w:szCs w:val="20"/>
              </w:rPr>
            </w:pPr>
            <w:r w:rsidRPr="009F2E80">
              <w:rPr>
                <w:rFonts w:cs="Arial"/>
                <w:color w:val="000000"/>
                <w:szCs w:val="20"/>
              </w:rPr>
              <w:t>2004</w:t>
            </w:r>
          </w:p>
        </w:tc>
        <w:tc>
          <w:tcPr>
            <w:tcW w:w="850" w:type="dxa"/>
            <w:shd w:val="clear" w:color="auto" w:fill="auto"/>
            <w:noWrap/>
            <w:vAlign w:val="bottom"/>
            <w:hideMark/>
          </w:tcPr>
          <w:p w14:paraId="5B74D414"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0.44%</w:t>
            </w:r>
          </w:p>
        </w:tc>
        <w:tc>
          <w:tcPr>
            <w:tcW w:w="850" w:type="dxa"/>
            <w:shd w:val="clear" w:color="auto" w:fill="auto"/>
            <w:noWrap/>
            <w:vAlign w:val="bottom"/>
            <w:hideMark/>
          </w:tcPr>
          <w:p w14:paraId="2BF8DAEF"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1.09%</w:t>
            </w:r>
          </w:p>
        </w:tc>
        <w:tc>
          <w:tcPr>
            <w:tcW w:w="851" w:type="dxa"/>
            <w:shd w:val="clear" w:color="auto" w:fill="auto"/>
            <w:noWrap/>
            <w:vAlign w:val="bottom"/>
            <w:hideMark/>
          </w:tcPr>
          <w:p w14:paraId="04F3CA3C"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2.32%</w:t>
            </w:r>
          </w:p>
        </w:tc>
        <w:tc>
          <w:tcPr>
            <w:tcW w:w="850" w:type="dxa"/>
            <w:shd w:val="clear" w:color="auto" w:fill="auto"/>
            <w:noWrap/>
            <w:vAlign w:val="bottom"/>
            <w:hideMark/>
          </w:tcPr>
          <w:p w14:paraId="17A2173F"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0.51%</w:t>
            </w:r>
          </w:p>
        </w:tc>
        <w:tc>
          <w:tcPr>
            <w:tcW w:w="851" w:type="dxa"/>
            <w:shd w:val="clear" w:color="auto" w:fill="auto"/>
            <w:noWrap/>
            <w:vAlign w:val="bottom"/>
            <w:hideMark/>
          </w:tcPr>
          <w:p w14:paraId="40628F3F"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1.37%</w:t>
            </w:r>
          </w:p>
        </w:tc>
        <w:tc>
          <w:tcPr>
            <w:tcW w:w="850" w:type="dxa"/>
            <w:shd w:val="clear" w:color="auto" w:fill="auto"/>
            <w:noWrap/>
            <w:vAlign w:val="bottom"/>
            <w:hideMark/>
          </w:tcPr>
          <w:p w14:paraId="201E490B"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0.97%</w:t>
            </w:r>
          </w:p>
        </w:tc>
        <w:tc>
          <w:tcPr>
            <w:tcW w:w="851" w:type="dxa"/>
            <w:shd w:val="clear" w:color="auto" w:fill="auto"/>
            <w:noWrap/>
            <w:vAlign w:val="bottom"/>
            <w:hideMark/>
          </w:tcPr>
          <w:p w14:paraId="44E4E6B7"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0.97%</w:t>
            </w:r>
          </w:p>
        </w:tc>
        <w:tc>
          <w:tcPr>
            <w:tcW w:w="850" w:type="dxa"/>
            <w:shd w:val="clear" w:color="auto" w:fill="auto"/>
            <w:noWrap/>
            <w:vAlign w:val="bottom"/>
            <w:hideMark/>
          </w:tcPr>
          <w:p w14:paraId="1C73CB68"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0.46%</w:t>
            </w:r>
          </w:p>
        </w:tc>
        <w:tc>
          <w:tcPr>
            <w:tcW w:w="851" w:type="dxa"/>
            <w:shd w:val="clear" w:color="auto" w:fill="auto"/>
            <w:noWrap/>
            <w:vAlign w:val="bottom"/>
            <w:hideMark/>
          </w:tcPr>
          <w:p w14:paraId="214F0EDA"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2.50%</w:t>
            </w:r>
          </w:p>
        </w:tc>
      </w:tr>
      <w:tr w:rsidR="009F2E80" w:rsidRPr="009F2E80" w14:paraId="6C9EDF4C" w14:textId="77777777" w:rsidTr="009740E2">
        <w:trPr>
          <w:trHeight w:val="248"/>
        </w:trPr>
        <w:tc>
          <w:tcPr>
            <w:tcW w:w="954" w:type="dxa"/>
            <w:shd w:val="clear" w:color="auto" w:fill="auto"/>
            <w:noWrap/>
            <w:vAlign w:val="bottom"/>
            <w:hideMark/>
          </w:tcPr>
          <w:p w14:paraId="316D2913" w14:textId="77777777" w:rsidR="00D150A1" w:rsidRPr="009F2E80" w:rsidRDefault="00D150A1" w:rsidP="00D150A1">
            <w:pPr>
              <w:spacing w:after="0" w:line="240" w:lineRule="auto"/>
              <w:rPr>
                <w:rFonts w:cs="Arial"/>
                <w:color w:val="000000"/>
                <w:szCs w:val="20"/>
              </w:rPr>
            </w:pPr>
            <w:r w:rsidRPr="009F2E80">
              <w:rPr>
                <w:rFonts w:cs="Arial"/>
                <w:color w:val="000000"/>
                <w:szCs w:val="20"/>
              </w:rPr>
              <w:t>2005</w:t>
            </w:r>
          </w:p>
        </w:tc>
        <w:tc>
          <w:tcPr>
            <w:tcW w:w="850" w:type="dxa"/>
            <w:shd w:val="clear" w:color="auto" w:fill="auto"/>
            <w:noWrap/>
            <w:vAlign w:val="bottom"/>
            <w:hideMark/>
          </w:tcPr>
          <w:p w14:paraId="43CD86CF"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0.63%</w:t>
            </w:r>
          </w:p>
        </w:tc>
        <w:tc>
          <w:tcPr>
            <w:tcW w:w="850" w:type="dxa"/>
            <w:shd w:val="clear" w:color="auto" w:fill="auto"/>
            <w:noWrap/>
            <w:vAlign w:val="bottom"/>
            <w:hideMark/>
          </w:tcPr>
          <w:p w14:paraId="3EB982EC"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1.27%</w:t>
            </w:r>
          </w:p>
        </w:tc>
        <w:tc>
          <w:tcPr>
            <w:tcW w:w="851" w:type="dxa"/>
            <w:shd w:val="clear" w:color="auto" w:fill="auto"/>
            <w:noWrap/>
            <w:vAlign w:val="bottom"/>
            <w:hideMark/>
          </w:tcPr>
          <w:p w14:paraId="6DE07BC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2.29%</w:t>
            </w:r>
          </w:p>
        </w:tc>
        <w:tc>
          <w:tcPr>
            <w:tcW w:w="850" w:type="dxa"/>
            <w:shd w:val="clear" w:color="auto" w:fill="auto"/>
            <w:noWrap/>
            <w:vAlign w:val="bottom"/>
            <w:hideMark/>
          </w:tcPr>
          <w:p w14:paraId="57F8D47C"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0.69%</w:t>
            </w:r>
          </w:p>
        </w:tc>
        <w:tc>
          <w:tcPr>
            <w:tcW w:w="851" w:type="dxa"/>
            <w:shd w:val="clear" w:color="auto" w:fill="auto"/>
            <w:noWrap/>
            <w:vAlign w:val="bottom"/>
            <w:hideMark/>
          </w:tcPr>
          <w:p w14:paraId="7FFC8191"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1.60%</w:t>
            </w:r>
          </w:p>
        </w:tc>
        <w:tc>
          <w:tcPr>
            <w:tcW w:w="850" w:type="dxa"/>
            <w:shd w:val="clear" w:color="auto" w:fill="auto"/>
            <w:noWrap/>
            <w:vAlign w:val="bottom"/>
            <w:hideMark/>
          </w:tcPr>
          <w:p w14:paraId="1503A6CB"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0.63%</w:t>
            </w:r>
          </w:p>
        </w:tc>
        <w:tc>
          <w:tcPr>
            <w:tcW w:w="851" w:type="dxa"/>
            <w:shd w:val="clear" w:color="auto" w:fill="auto"/>
            <w:noWrap/>
            <w:vAlign w:val="bottom"/>
            <w:hideMark/>
          </w:tcPr>
          <w:p w14:paraId="48226AD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0.63%</w:t>
            </w:r>
          </w:p>
        </w:tc>
        <w:tc>
          <w:tcPr>
            <w:tcW w:w="850" w:type="dxa"/>
            <w:shd w:val="clear" w:color="auto" w:fill="auto"/>
            <w:noWrap/>
            <w:vAlign w:val="bottom"/>
            <w:hideMark/>
          </w:tcPr>
          <w:p w14:paraId="6B68F984"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1.60%</w:t>
            </w:r>
          </w:p>
        </w:tc>
        <w:tc>
          <w:tcPr>
            <w:tcW w:w="851" w:type="dxa"/>
            <w:shd w:val="clear" w:color="auto" w:fill="auto"/>
            <w:noWrap/>
            <w:vAlign w:val="bottom"/>
            <w:hideMark/>
          </w:tcPr>
          <w:p w14:paraId="35392721"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2.50%</w:t>
            </w:r>
          </w:p>
        </w:tc>
      </w:tr>
      <w:tr w:rsidR="009F2E80" w:rsidRPr="009F2E80" w14:paraId="3A145E65" w14:textId="77777777" w:rsidTr="009740E2">
        <w:trPr>
          <w:trHeight w:val="248"/>
        </w:trPr>
        <w:tc>
          <w:tcPr>
            <w:tcW w:w="954" w:type="dxa"/>
            <w:shd w:val="clear" w:color="auto" w:fill="auto"/>
            <w:noWrap/>
            <w:vAlign w:val="bottom"/>
            <w:hideMark/>
          </w:tcPr>
          <w:p w14:paraId="25E95D4C" w14:textId="77777777" w:rsidR="00D150A1" w:rsidRPr="009F2E80" w:rsidRDefault="00D150A1" w:rsidP="00D150A1">
            <w:pPr>
              <w:spacing w:after="0" w:line="240" w:lineRule="auto"/>
              <w:rPr>
                <w:rFonts w:cs="Arial"/>
                <w:color w:val="000000"/>
                <w:szCs w:val="20"/>
              </w:rPr>
            </w:pPr>
            <w:r w:rsidRPr="009F2E80">
              <w:rPr>
                <w:rFonts w:cs="Arial"/>
                <w:color w:val="000000"/>
                <w:szCs w:val="20"/>
              </w:rPr>
              <w:t>2006</w:t>
            </w:r>
          </w:p>
        </w:tc>
        <w:tc>
          <w:tcPr>
            <w:tcW w:w="850" w:type="dxa"/>
            <w:shd w:val="clear" w:color="auto" w:fill="auto"/>
            <w:noWrap/>
            <w:vAlign w:val="bottom"/>
            <w:hideMark/>
          </w:tcPr>
          <w:p w14:paraId="04ACFBAA"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0.72%</w:t>
            </w:r>
          </w:p>
        </w:tc>
        <w:tc>
          <w:tcPr>
            <w:tcW w:w="850" w:type="dxa"/>
            <w:shd w:val="clear" w:color="auto" w:fill="auto"/>
            <w:noWrap/>
            <w:vAlign w:val="bottom"/>
            <w:hideMark/>
          </w:tcPr>
          <w:p w14:paraId="7B3F4E12"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1.45%</w:t>
            </w:r>
          </w:p>
        </w:tc>
        <w:tc>
          <w:tcPr>
            <w:tcW w:w="851" w:type="dxa"/>
            <w:shd w:val="clear" w:color="auto" w:fill="auto"/>
            <w:noWrap/>
            <w:vAlign w:val="bottom"/>
            <w:hideMark/>
          </w:tcPr>
          <w:p w14:paraId="46A2F3E9"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2.27%</w:t>
            </w:r>
          </w:p>
        </w:tc>
        <w:tc>
          <w:tcPr>
            <w:tcW w:w="850" w:type="dxa"/>
            <w:shd w:val="clear" w:color="auto" w:fill="auto"/>
            <w:noWrap/>
            <w:vAlign w:val="bottom"/>
            <w:hideMark/>
          </w:tcPr>
          <w:p w14:paraId="747416B8"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0.89%</w:t>
            </w:r>
          </w:p>
        </w:tc>
        <w:tc>
          <w:tcPr>
            <w:tcW w:w="851" w:type="dxa"/>
            <w:shd w:val="clear" w:color="auto" w:fill="auto"/>
            <w:noWrap/>
            <w:vAlign w:val="bottom"/>
            <w:hideMark/>
          </w:tcPr>
          <w:p w14:paraId="24989252"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1.96%</w:t>
            </w:r>
          </w:p>
        </w:tc>
        <w:tc>
          <w:tcPr>
            <w:tcW w:w="850" w:type="dxa"/>
            <w:shd w:val="clear" w:color="auto" w:fill="auto"/>
            <w:noWrap/>
            <w:vAlign w:val="bottom"/>
            <w:hideMark/>
          </w:tcPr>
          <w:p w14:paraId="0C3228D6"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0.64%</w:t>
            </w:r>
          </w:p>
        </w:tc>
        <w:tc>
          <w:tcPr>
            <w:tcW w:w="851" w:type="dxa"/>
            <w:shd w:val="clear" w:color="auto" w:fill="auto"/>
            <w:noWrap/>
            <w:vAlign w:val="bottom"/>
            <w:hideMark/>
          </w:tcPr>
          <w:p w14:paraId="7B55536F"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0.64%</w:t>
            </w:r>
          </w:p>
        </w:tc>
        <w:tc>
          <w:tcPr>
            <w:tcW w:w="850" w:type="dxa"/>
            <w:shd w:val="clear" w:color="auto" w:fill="auto"/>
            <w:noWrap/>
            <w:vAlign w:val="bottom"/>
            <w:hideMark/>
          </w:tcPr>
          <w:p w14:paraId="136EC449"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1.53%</w:t>
            </w:r>
          </w:p>
        </w:tc>
        <w:tc>
          <w:tcPr>
            <w:tcW w:w="851" w:type="dxa"/>
            <w:shd w:val="clear" w:color="auto" w:fill="auto"/>
            <w:noWrap/>
            <w:vAlign w:val="bottom"/>
            <w:hideMark/>
          </w:tcPr>
          <w:p w14:paraId="1B6CDAD8"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4.00%</w:t>
            </w:r>
          </w:p>
        </w:tc>
      </w:tr>
      <w:tr w:rsidR="009F2E80" w:rsidRPr="009F2E80" w14:paraId="28050210" w14:textId="77777777" w:rsidTr="009740E2">
        <w:trPr>
          <w:trHeight w:val="248"/>
        </w:trPr>
        <w:tc>
          <w:tcPr>
            <w:tcW w:w="954" w:type="dxa"/>
            <w:shd w:val="clear" w:color="auto" w:fill="auto"/>
            <w:noWrap/>
            <w:vAlign w:val="bottom"/>
            <w:hideMark/>
          </w:tcPr>
          <w:p w14:paraId="3A761EEF" w14:textId="77777777" w:rsidR="00D150A1" w:rsidRPr="009F2E80" w:rsidRDefault="00D150A1" w:rsidP="00D150A1">
            <w:pPr>
              <w:spacing w:after="0" w:line="240" w:lineRule="auto"/>
              <w:rPr>
                <w:rFonts w:cs="Arial"/>
                <w:color w:val="000000"/>
                <w:szCs w:val="20"/>
              </w:rPr>
            </w:pPr>
            <w:r w:rsidRPr="009F2E80">
              <w:rPr>
                <w:rFonts w:cs="Arial"/>
                <w:color w:val="000000"/>
                <w:szCs w:val="20"/>
              </w:rPr>
              <w:t>2007</w:t>
            </w:r>
          </w:p>
        </w:tc>
        <w:tc>
          <w:tcPr>
            <w:tcW w:w="850" w:type="dxa"/>
            <w:shd w:val="clear" w:color="auto" w:fill="auto"/>
            <w:noWrap/>
            <w:vAlign w:val="bottom"/>
            <w:hideMark/>
          </w:tcPr>
          <w:p w14:paraId="608D9349"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1.35%</w:t>
            </w:r>
          </w:p>
        </w:tc>
        <w:tc>
          <w:tcPr>
            <w:tcW w:w="850" w:type="dxa"/>
            <w:shd w:val="clear" w:color="auto" w:fill="auto"/>
            <w:noWrap/>
            <w:vAlign w:val="bottom"/>
            <w:hideMark/>
          </w:tcPr>
          <w:p w14:paraId="325836E8"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1.83%</w:t>
            </w:r>
          </w:p>
        </w:tc>
        <w:tc>
          <w:tcPr>
            <w:tcW w:w="851" w:type="dxa"/>
            <w:shd w:val="clear" w:color="auto" w:fill="auto"/>
            <w:noWrap/>
            <w:vAlign w:val="bottom"/>
            <w:hideMark/>
          </w:tcPr>
          <w:p w14:paraId="7D3F1E8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2.56%</w:t>
            </w:r>
          </w:p>
        </w:tc>
        <w:tc>
          <w:tcPr>
            <w:tcW w:w="850" w:type="dxa"/>
            <w:shd w:val="clear" w:color="auto" w:fill="auto"/>
            <w:noWrap/>
            <w:vAlign w:val="bottom"/>
            <w:hideMark/>
          </w:tcPr>
          <w:p w14:paraId="7982D604"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1.17%</w:t>
            </w:r>
          </w:p>
        </w:tc>
        <w:tc>
          <w:tcPr>
            <w:tcW w:w="851" w:type="dxa"/>
            <w:shd w:val="clear" w:color="auto" w:fill="auto"/>
            <w:noWrap/>
            <w:vAlign w:val="bottom"/>
            <w:hideMark/>
          </w:tcPr>
          <w:p w14:paraId="2B59417A"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2.71%</w:t>
            </w:r>
          </w:p>
        </w:tc>
        <w:tc>
          <w:tcPr>
            <w:tcW w:w="850" w:type="dxa"/>
            <w:shd w:val="clear" w:color="auto" w:fill="auto"/>
            <w:noWrap/>
            <w:vAlign w:val="bottom"/>
            <w:hideMark/>
          </w:tcPr>
          <w:p w14:paraId="1A31C010"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0.81%</w:t>
            </w:r>
          </w:p>
        </w:tc>
        <w:tc>
          <w:tcPr>
            <w:tcW w:w="851" w:type="dxa"/>
            <w:shd w:val="clear" w:color="auto" w:fill="auto"/>
            <w:noWrap/>
            <w:vAlign w:val="bottom"/>
            <w:hideMark/>
          </w:tcPr>
          <w:p w14:paraId="01A1D80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0.81%</w:t>
            </w:r>
          </w:p>
        </w:tc>
        <w:tc>
          <w:tcPr>
            <w:tcW w:w="850" w:type="dxa"/>
            <w:shd w:val="clear" w:color="auto" w:fill="auto"/>
            <w:noWrap/>
            <w:vAlign w:val="bottom"/>
            <w:hideMark/>
          </w:tcPr>
          <w:p w14:paraId="38E8DFC1"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2.24%</w:t>
            </w:r>
          </w:p>
        </w:tc>
        <w:tc>
          <w:tcPr>
            <w:tcW w:w="851" w:type="dxa"/>
            <w:shd w:val="clear" w:color="auto" w:fill="auto"/>
            <w:noWrap/>
            <w:vAlign w:val="bottom"/>
            <w:hideMark/>
          </w:tcPr>
          <w:p w14:paraId="58DCC1D6"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2.10%</w:t>
            </w:r>
          </w:p>
        </w:tc>
      </w:tr>
      <w:tr w:rsidR="009F2E80" w:rsidRPr="009F2E80" w14:paraId="1D9C6D49" w14:textId="77777777" w:rsidTr="009740E2">
        <w:trPr>
          <w:trHeight w:val="248"/>
        </w:trPr>
        <w:tc>
          <w:tcPr>
            <w:tcW w:w="954" w:type="dxa"/>
            <w:shd w:val="clear" w:color="auto" w:fill="auto"/>
            <w:noWrap/>
            <w:vAlign w:val="bottom"/>
            <w:hideMark/>
          </w:tcPr>
          <w:p w14:paraId="632CF90D" w14:textId="77777777" w:rsidR="00D150A1" w:rsidRPr="009F2E80" w:rsidRDefault="00D150A1" w:rsidP="00D150A1">
            <w:pPr>
              <w:spacing w:after="0" w:line="240" w:lineRule="auto"/>
              <w:rPr>
                <w:rFonts w:cs="Arial"/>
                <w:color w:val="000000"/>
                <w:szCs w:val="20"/>
              </w:rPr>
            </w:pPr>
            <w:r w:rsidRPr="009F2E80">
              <w:rPr>
                <w:rFonts w:cs="Arial"/>
                <w:color w:val="000000"/>
                <w:szCs w:val="20"/>
              </w:rPr>
              <w:t>2008</w:t>
            </w:r>
          </w:p>
        </w:tc>
        <w:tc>
          <w:tcPr>
            <w:tcW w:w="850" w:type="dxa"/>
            <w:shd w:val="clear" w:color="auto" w:fill="auto"/>
            <w:noWrap/>
            <w:vAlign w:val="bottom"/>
            <w:hideMark/>
          </w:tcPr>
          <w:p w14:paraId="4F5B4E60"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1.59%</w:t>
            </w:r>
          </w:p>
        </w:tc>
        <w:tc>
          <w:tcPr>
            <w:tcW w:w="850" w:type="dxa"/>
            <w:shd w:val="clear" w:color="auto" w:fill="auto"/>
            <w:noWrap/>
            <w:vAlign w:val="bottom"/>
            <w:hideMark/>
          </w:tcPr>
          <w:p w14:paraId="7CDA8CDE"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2.00%</w:t>
            </w:r>
          </w:p>
        </w:tc>
        <w:tc>
          <w:tcPr>
            <w:tcW w:w="851" w:type="dxa"/>
            <w:shd w:val="clear" w:color="auto" w:fill="auto"/>
            <w:noWrap/>
            <w:vAlign w:val="bottom"/>
            <w:hideMark/>
          </w:tcPr>
          <w:p w14:paraId="675B123D"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2.64%</w:t>
            </w:r>
          </w:p>
        </w:tc>
        <w:tc>
          <w:tcPr>
            <w:tcW w:w="850" w:type="dxa"/>
            <w:shd w:val="clear" w:color="auto" w:fill="auto"/>
            <w:noWrap/>
            <w:vAlign w:val="bottom"/>
            <w:hideMark/>
          </w:tcPr>
          <w:p w14:paraId="2BD79616"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1.15%</w:t>
            </w:r>
          </w:p>
        </w:tc>
        <w:tc>
          <w:tcPr>
            <w:tcW w:w="851" w:type="dxa"/>
            <w:shd w:val="clear" w:color="auto" w:fill="auto"/>
            <w:noWrap/>
            <w:vAlign w:val="bottom"/>
            <w:hideMark/>
          </w:tcPr>
          <w:p w14:paraId="08A5A15D"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3.11%</w:t>
            </w:r>
          </w:p>
        </w:tc>
        <w:tc>
          <w:tcPr>
            <w:tcW w:w="850" w:type="dxa"/>
            <w:shd w:val="clear" w:color="auto" w:fill="auto"/>
            <w:noWrap/>
            <w:vAlign w:val="bottom"/>
            <w:hideMark/>
          </w:tcPr>
          <w:p w14:paraId="552C1851"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1.08%</w:t>
            </w:r>
          </w:p>
        </w:tc>
        <w:tc>
          <w:tcPr>
            <w:tcW w:w="851" w:type="dxa"/>
            <w:shd w:val="clear" w:color="auto" w:fill="auto"/>
            <w:noWrap/>
            <w:vAlign w:val="bottom"/>
            <w:hideMark/>
          </w:tcPr>
          <w:p w14:paraId="17ADC9B9"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1.08%</w:t>
            </w:r>
          </w:p>
        </w:tc>
        <w:tc>
          <w:tcPr>
            <w:tcW w:w="850" w:type="dxa"/>
            <w:shd w:val="clear" w:color="auto" w:fill="auto"/>
            <w:noWrap/>
            <w:vAlign w:val="bottom"/>
            <w:hideMark/>
          </w:tcPr>
          <w:p w14:paraId="0120801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2.87%</w:t>
            </w:r>
          </w:p>
        </w:tc>
        <w:tc>
          <w:tcPr>
            <w:tcW w:w="851" w:type="dxa"/>
            <w:shd w:val="clear" w:color="auto" w:fill="auto"/>
            <w:noWrap/>
            <w:vAlign w:val="bottom"/>
            <w:hideMark/>
          </w:tcPr>
          <w:p w14:paraId="56DDFF6A"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4.40%</w:t>
            </w:r>
          </w:p>
        </w:tc>
      </w:tr>
      <w:tr w:rsidR="009F2E80" w:rsidRPr="009F2E80" w14:paraId="0D26B013" w14:textId="77777777" w:rsidTr="009740E2">
        <w:trPr>
          <w:trHeight w:val="248"/>
        </w:trPr>
        <w:tc>
          <w:tcPr>
            <w:tcW w:w="954" w:type="dxa"/>
            <w:shd w:val="clear" w:color="auto" w:fill="auto"/>
            <w:noWrap/>
            <w:vAlign w:val="bottom"/>
            <w:hideMark/>
          </w:tcPr>
          <w:p w14:paraId="15195E6B" w14:textId="77777777" w:rsidR="00D150A1" w:rsidRPr="009F2E80" w:rsidRDefault="00D150A1" w:rsidP="00D150A1">
            <w:pPr>
              <w:spacing w:after="0" w:line="240" w:lineRule="auto"/>
              <w:rPr>
                <w:rFonts w:cs="Arial"/>
                <w:color w:val="000000"/>
                <w:szCs w:val="20"/>
              </w:rPr>
            </w:pPr>
            <w:r w:rsidRPr="009F2E80">
              <w:rPr>
                <w:rFonts w:cs="Arial"/>
                <w:color w:val="000000"/>
                <w:szCs w:val="20"/>
              </w:rPr>
              <w:t>2009</w:t>
            </w:r>
          </w:p>
        </w:tc>
        <w:tc>
          <w:tcPr>
            <w:tcW w:w="850" w:type="dxa"/>
            <w:shd w:val="clear" w:color="auto" w:fill="auto"/>
            <w:noWrap/>
            <w:vAlign w:val="bottom"/>
            <w:hideMark/>
          </w:tcPr>
          <w:p w14:paraId="0947DAA2"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1.58%</w:t>
            </w:r>
          </w:p>
        </w:tc>
        <w:tc>
          <w:tcPr>
            <w:tcW w:w="850" w:type="dxa"/>
            <w:shd w:val="clear" w:color="auto" w:fill="auto"/>
            <w:noWrap/>
            <w:vAlign w:val="bottom"/>
            <w:hideMark/>
          </w:tcPr>
          <w:p w14:paraId="249B2F54"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2.20%</w:t>
            </w:r>
          </w:p>
        </w:tc>
        <w:tc>
          <w:tcPr>
            <w:tcW w:w="851" w:type="dxa"/>
            <w:shd w:val="clear" w:color="auto" w:fill="auto"/>
            <w:noWrap/>
            <w:vAlign w:val="bottom"/>
            <w:hideMark/>
          </w:tcPr>
          <w:p w14:paraId="70735F0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2.59%</w:t>
            </w:r>
          </w:p>
        </w:tc>
        <w:tc>
          <w:tcPr>
            <w:tcW w:w="850" w:type="dxa"/>
            <w:shd w:val="clear" w:color="auto" w:fill="auto"/>
            <w:noWrap/>
            <w:vAlign w:val="bottom"/>
            <w:hideMark/>
          </w:tcPr>
          <w:p w14:paraId="1510EA7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1.27%</w:t>
            </w:r>
          </w:p>
        </w:tc>
        <w:tc>
          <w:tcPr>
            <w:tcW w:w="851" w:type="dxa"/>
            <w:shd w:val="clear" w:color="auto" w:fill="auto"/>
            <w:noWrap/>
            <w:vAlign w:val="bottom"/>
            <w:hideMark/>
          </w:tcPr>
          <w:p w14:paraId="44FF416D"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3.16%</w:t>
            </w:r>
          </w:p>
        </w:tc>
        <w:tc>
          <w:tcPr>
            <w:tcW w:w="850" w:type="dxa"/>
            <w:shd w:val="clear" w:color="auto" w:fill="auto"/>
            <w:noWrap/>
            <w:vAlign w:val="bottom"/>
            <w:hideMark/>
          </w:tcPr>
          <w:p w14:paraId="0F7DD1E9"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1.16%</w:t>
            </w:r>
          </w:p>
        </w:tc>
        <w:tc>
          <w:tcPr>
            <w:tcW w:w="851" w:type="dxa"/>
            <w:shd w:val="clear" w:color="auto" w:fill="auto"/>
            <w:noWrap/>
            <w:vAlign w:val="bottom"/>
            <w:hideMark/>
          </w:tcPr>
          <w:p w14:paraId="68EA8CEB"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1.16%</w:t>
            </w:r>
          </w:p>
        </w:tc>
        <w:tc>
          <w:tcPr>
            <w:tcW w:w="850" w:type="dxa"/>
            <w:shd w:val="clear" w:color="auto" w:fill="auto"/>
            <w:noWrap/>
            <w:vAlign w:val="bottom"/>
            <w:hideMark/>
          </w:tcPr>
          <w:p w14:paraId="092CF2D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2.80%</w:t>
            </w:r>
          </w:p>
        </w:tc>
        <w:tc>
          <w:tcPr>
            <w:tcW w:w="851" w:type="dxa"/>
            <w:shd w:val="clear" w:color="auto" w:fill="auto"/>
            <w:noWrap/>
            <w:vAlign w:val="bottom"/>
            <w:hideMark/>
          </w:tcPr>
          <w:p w14:paraId="1C6C9898"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1.40%</w:t>
            </w:r>
          </w:p>
        </w:tc>
      </w:tr>
      <w:tr w:rsidR="009F2E80" w:rsidRPr="009F2E80" w14:paraId="405E5C5D" w14:textId="77777777" w:rsidTr="009740E2">
        <w:trPr>
          <w:trHeight w:val="248"/>
        </w:trPr>
        <w:tc>
          <w:tcPr>
            <w:tcW w:w="954" w:type="dxa"/>
            <w:shd w:val="clear" w:color="auto" w:fill="auto"/>
            <w:noWrap/>
            <w:vAlign w:val="bottom"/>
            <w:hideMark/>
          </w:tcPr>
          <w:p w14:paraId="203D8CDD" w14:textId="77777777" w:rsidR="00D150A1" w:rsidRPr="009F2E80" w:rsidRDefault="00D150A1" w:rsidP="00D150A1">
            <w:pPr>
              <w:spacing w:after="0" w:line="240" w:lineRule="auto"/>
              <w:rPr>
                <w:rFonts w:cs="Arial"/>
                <w:color w:val="000000"/>
                <w:szCs w:val="20"/>
              </w:rPr>
            </w:pPr>
            <w:r w:rsidRPr="009F2E80">
              <w:rPr>
                <w:rFonts w:cs="Arial"/>
                <w:color w:val="000000"/>
                <w:szCs w:val="20"/>
              </w:rPr>
              <w:t>2010</w:t>
            </w:r>
          </w:p>
        </w:tc>
        <w:tc>
          <w:tcPr>
            <w:tcW w:w="850" w:type="dxa"/>
            <w:shd w:val="clear" w:color="auto" w:fill="auto"/>
            <w:noWrap/>
            <w:vAlign w:val="bottom"/>
            <w:hideMark/>
          </w:tcPr>
          <w:p w14:paraId="7451CA7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1.28%</w:t>
            </w:r>
          </w:p>
        </w:tc>
        <w:tc>
          <w:tcPr>
            <w:tcW w:w="850" w:type="dxa"/>
            <w:shd w:val="clear" w:color="auto" w:fill="auto"/>
            <w:noWrap/>
            <w:vAlign w:val="bottom"/>
            <w:hideMark/>
          </w:tcPr>
          <w:p w14:paraId="00D0D1FC"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1.66%</w:t>
            </w:r>
          </w:p>
        </w:tc>
        <w:tc>
          <w:tcPr>
            <w:tcW w:w="851" w:type="dxa"/>
            <w:shd w:val="clear" w:color="auto" w:fill="auto"/>
            <w:noWrap/>
            <w:vAlign w:val="bottom"/>
            <w:hideMark/>
          </w:tcPr>
          <w:p w14:paraId="66145E2D"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1.75%</w:t>
            </w:r>
          </w:p>
        </w:tc>
        <w:tc>
          <w:tcPr>
            <w:tcW w:w="850" w:type="dxa"/>
            <w:shd w:val="clear" w:color="auto" w:fill="auto"/>
            <w:noWrap/>
            <w:vAlign w:val="bottom"/>
            <w:hideMark/>
          </w:tcPr>
          <w:p w14:paraId="366DD5F1"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1.14%</w:t>
            </w:r>
          </w:p>
        </w:tc>
        <w:tc>
          <w:tcPr>
            <w:tcW w:w="851" w:type="dxa"/>
            <w:shd w:val="clear" w:color="auto" w:fill="auto"/>
            <w:noWrap/>
            <w:vAlign w:val="bottom"/>
            <w:hideMark/>
          </w:tcPr>
          <w:p w14:paraId="2EB54B94"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2.26%</w:t>
            </w:r>
          </w:p>
        </w:tc>
        <w:tc>
          <w:tcPr>
            <w:tcW w:w="850" w:type="dxa"/>
            <w:shd w:val="clear" w:color="auto" w:fill="auto"/>
            <w:noWrap/>
            <w:vAlign w:val="bottom"/>
            <w:hideMark/>
          </w:tcPr>
          <w:p w14:paraId="7C213C1D"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0.89%</w:t>
            </w:r>
          </w:p>
        </w:tc>
        <w:tc>
          <w:tcPr>
            <w:tcW w:w="851" w:type="dxa"/>
            <w:shd w:val="clear" w:color="auto" w:fill="auto"/>
            <w:noWrap/>
            <w:vAlign w:val="bottom"/>
            <w:hideMark/>
          </w:tcPr>
          <w:p w14:paraId="220C0C17"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0.89%</w:t>
            </w:r>
          </w:p>
        </w:tc>
        <w:tc>
          <w:tcPr>
            <w:tcW w:w="850" w:type="dxa"/>
            <w:shd w:val="clear" w:color="auto" w:fill="auto"/>
            <w:noWrap/>
            <w:vAlign w:val="bottom"/>
            <w:hideMark/>
          </w:tcPr>
          <w:p w14:paraId="43388308"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1.66%</w:t>
            </w:r>
          </w:p>
        </w:tc>
        <w:tc>
          <w:tcPr>
            <w:tcW w:w="851" w:type="dxa"/>
            <w:shd w:val="clear" w:color="auto" w:fill="auto"/>
            <w:noWrap/>
            <w:vAlign w:val="bottom"/>
            <w:hideMark/>
          </w:tcPr>
          <w:p w14:paraId="6A0797FB"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3.10%</w:t>
            </w:r>
          </w:p>
        </w:tc>
      </w:tr>
      <w:tr w:rsidR="009F2E80" w:rsidRPr="009F2E80" w14:paraId="7F772AD8" w14:textId="77777777" w:rsidTr="009740E2">
        <w:trPr>
          <w:trHeight w:val="248"/>
        </w:trPr>
        <w:tc>
          <w:tcPr>
            <w:tcW w:w="954" w:type="dxa"/>
            <w:shd w:val="clear" w:color="auto" w:fill="auto"/>
            <w:noWrap/>
            <w:vAlign w:val="bottom"/>
            <w:hideMark/>
          </w:tcPr>
          <w:p w14:paraId="7F0A3000" w14:textId="77777777" w:rsidR="00D150A1" w:rsidRPr="009F2E80" w:rsidRDefault="00D150A1" w:rsidP="00D150A1">
            <w:pPr>
              <w:spacing w:after="0" w:line="240" w:lineRule="auto"/>
              <w:rPr>
                <w:rFonts w:cs="Arial"/>
                <w:color w:val="000000"/>
                <w:szCs w:val="20"/>
              </w:rPr>
            </w:pPr>
            <w:r w:rsidRPr="009F2E80">
              <w:rPr>
                <w:rFonts w:cs="Arial"/>
                <w:color w:val="000000"/>
                <w:szCs w:val="20"/>
              </w:rPr>
              <w:t>2011</w:t>
            </w:r>
          </w:p>
        </w:tc>
        <w:tc>
          <w:tcPr>
            <w:tcW w:w="850" w:type="dxa"/>
            <w:shd w:val="clear" w:color="auto" w:fill="auto"/>
            <w:noWrap/>
            <w:vAlign w:val="bottom"/>
            <w:hideMark/>
          </w:tcPr>
          <w:p w14:paraId="44E0767F"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1.05%</w:t>
            </w:r>
          </w:p>
        </w:tc>
        <w:tc>
          <w:tcPr>
            <w:tcW w:w="850" w:type="dxa"/>
            <w:shd w:val="clear" w:color="auto" w:fill="auto"/>
            <w:noWrap/>
            <w:vAlign w:val="bottom"/>
            <w:hideMark/>
          </w:tcPr>
          <w:p w14:paraId="722EC1C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1.40%</w:t>
            </w:r>
          </w:p>
        </w:tc>
        <w:tc>
          <w:tcPr>
            <w:tcW w:w="851" w:type="dxa"/>
            <w:shd w:val="clear" w:color="auto" w:fill="auto"/>
            <w:noWrap/>
            <w:vAlign w:val="bottom"/>
            <w:hideMark/>
          </w:tcPr>
          <w:p w14:paraId="06CCA864"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1.62%</w:t>
            </w:r>
          </w:p>
        </w:tc>
        <w:tc>
          <w:tcPr>
            <w:tcW w:w="850" w:type="dxa"/>
            <w:shd w:val="clear" w:color="auto" w:fill="auto"/>
            <w:noWrap/>
            <w:vAlign w:val="bottom"/>
            <w:hideMark/>
          </w:tcPr>
          <w:p w14:paraId="7464C7B0"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0.76%</w:t>
            </w:r>
          </w:p>
        </w:tc>
        <w:tc>
          <w:tcPr>
            <w:tcW w:w="851" w:type="dxa"/>
            <w:shd w:val="clear" w:color="auto" w:fill="auto"/>
            <w:noWrap/>
            <w:vAlign w:val="bottom"/>
            <w:hideMark/>
          </w:tcPr>
          <w:p w14:paraId="594D9017"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2.73%</w:t>
            </w:r>
          </w:p>
        </w:tc>
        <w:tc>
          <w:tcPr>
            <w:tcW w:w="850" w:type="dxa"/>
            <w:shd w:val="clear" w:color="auto" w:fill="auto"/>
            <w:noWrap/>
            <w:vAlign w:val="bottom"/>
            <w:hideMark/>
          </w:tcPr>
          <w:p w14:paraId="0F9DA497"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0.52%</w:t>
            </w:r>
          </w:p>
        </w:tc>
        <w:tc>
          <w:tcPr>
            <w:tcW w:w="851" w:type="dxa"/>
            <w:shd w:val="clear" w:color="auto" w:fill="auto"/>
            <w:noWrap/>
            <w:vAlign w:val="bottom"/>
            <w:hideMark/>
          </w:tcPr>
          <w:p w14:paraId="2DBFED5A"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0.52%</w:t>
            </w:r>
          </w:p>
        </w:tc>
        <w:tc>
          <w:tcPr>
            <w:tcW w:w="850" w:type="dxa"/>
            <w:shd w:val="clear" w:color="auto" w:fill="auto"/>
            <w:noWrap/>
            <w:vAlign w:val="bottom"/>
            <w:hideMark/>
          </w:tcPr>
          <w:p w14:paraId="37016DE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0.66%</w:t>
            </w:r>
          </w:p>
        </w:tc>
        <w:tc>
          <w:tcPr>
            <w:tcW w:w="851" w:type="dxa"/>
            <w:shd w:val="clear" w:color="auto" w:fill="auto"/>
            <w:noWrap/>
            <w:vAlign w:val="bottom"/>
            <w:hideMark/>
          </w:tcPr>
          <w:p w14:paraId="4CE16F49"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3.50%</w:t>
            </w:r>
          </w:p>
        </w:tc>
      </w:tr>
      <w:tr w:rsidR="009F2E80" w:rsidRPr="009F2E80" w14:paraId="7683EBB4" w14:textId="77777777" w:rsidTr="009740E2">
        <w:trPr>
          <w:trHeight w:val="248"/>
        </w:trPr>
        <w:tc>
          <w:tcPr>
            <w:tcW w:w="954" w:type="dxa"/>
            <w:shd w:val="clear" w:color="auto" w:fill="auto"/>
            <w:noWrap/>
            <w:vAlign w:val="bottom"/>
            <w:hideMark/>
          </w:tcPr>
          <w:p w14:paraId="19B38CD1" w14:textId="77777777" w:rsidR="00D150A1" w:rsidRPr="009F2E80" w:rsidRDefault="00D150A1" w:rsidP="00D150A1">
            <w:pPr>
              <w:spacing w:after="0" w:line="240" w:lineRule="auto"/>
              <w:rPr>
                <w:rFonts w:cs="Arial"/>
                <w:color w:val="000000"/>
                <w:szCs w:val="20"/>
              </w:rPr>
            </w:pPr>
            <w:r w:rsidRPr="009F2E80">
              <w:rPr>
                <w:rFonts w:cs="Arial"/>
                <w:color w:val="000000"/>
                <w:szCs w:val="20"/>
              </w:rPr>
              <w:t>2012</w:t>
            </w:r>
          </w:p>
        </w:tc>
        <w:tc>
          <w:tcPr>
            <w:tcW w:w="850" w:type="dxa"/>
            <w:shd w:val="clear" w:color="auto" w:fill="auto"/>
            <w:noWrap/>
            <w:vAlign w:val="bottom"/>
            <w:hideMark/>
          </w:tcPr>
          <w:p w14:paraId="182DFA9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1.20%</w:t>
            </w:r>
          </w:p>
        </w:tc>
        <w:tc>
          <w:tcPr>
            <w:tcW w:w="850" w:type="dxa"/>
            <w:shd w:val="clear" w:color="auto" w:fill="auto"/>
            <w:noWrap/>
            <w:vAlign w:val="bottom"/>
            <w:hideMark/>
          </w:tcPr>
          <w:p w14:paraId="36F2D2A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2.04%</w:t>
            </w:r>
          </w:p>
        </w:tc>
        <w:tc>
          <w:tcPr>
            <w:tcW w:w="851" w:type="dxa"/>
            <w:shd w:val="clear" w:color="auto" w:fill="auto"/>
            <w:noWrap/>
            <w:vAlign w:val="bottom"/>
            <w:hideMark/>
          </w:tcPr>
          <w:p w14:paraId="1C878D0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2.04%</w:t>
            </w:r>
          </w:p>
        </w:tc>
        <w:tc>
          <w:tcPr>
            <w:tcW w:w="850" w:type="dxa"/>
            <w:shd w:val="clear" w:color="auto" w:fill="auto"/>
            <w:noWrap/>
            <w:vAlign w:val="bottom"/>
            <w:hideMark/>
          </w:tcPr>
          <w:p w14:paraId="17395EBF"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1.04%</w:t>
            </w:r>
          </w:p>
        </w:tc>
        <w:tc>
          <w:tcPr>
            <w:tcW w:w="851" w:type="dxa"/>
            <w:shd w:val="clear" w:color="auto" w:fill="auto"/>
            <w:noWrap/>
            <w:vAlign w:val="bottom"/>
            <w:hideMark/>
          </w:tcPr>
          <w:p w14:paraId="0EF470C6"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3.06%</w:t>
            </w:r>
          </w:p>
        </w:tc>
        <w:tc>
          <w:tcPr>
            <w:tcW w:w="850" w:type="dxa"/>
            <w:shd w:val="clear" w:color="auto" w:fill="auto"/>
            <w:noWrap/>
            <w:vAlign w:val="bottom"/>
            <w:hideMark/>
          </w:tcPr>
          <w:p w14:paraId="529715EC"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0.05%</w:t>
            </w:r>
          </w:p>
        </w:tc>
        <w:tc>
          <w:tcPr>
            <w:tcW w:w="851" w:type="dxa"/>
            <w:shd w:val="clear" w:color="auto" w:fill="auto"/>
            <w:noWrap/>
            <w:vAlign w:val="bottom"/>
            <w:hideMark/>
          </w:tcPr>
          <w:p w14:paraId="0930EF3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0.05%</w:t>
            </w:r>
          </w:p>
        </w:tc>
        <w:tc>
          <w:tcPr>
            <w:tcW w:w="850" w:type="dxa"/>
            <w:shd w:val="clear" w:color="auto" w:fill="auto"/>
            <w:noWrap/>
            <w:vAlign w:val="bottom"/>
            <w:hideMark/>
          </w:tcPr>
          <w:p w14:paraId="35556A0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2.00%</w:t>
            </w:r>
          </w:p>
        </w:tc>
        <w:tc>
          <w:tcPr>
            <w:tcW w:w="851" w:type="dxa"/>
            <w:shd w:val="clear" w:color="auto" w:fill="auto"/>
            <w:noWrap/>
            <w:vAlign w:val="bottom"/>
            <w:hideMark/>
          </w:tcPr>
          <w:p w14:paraId="28D10A46"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1.20%</w:t>
            </w:r>
          </w:p>
        </w:tc>
      </w:tr>
      <w:tr w:rsidR="009F2E80" w:rsidRPr="009F2E80" w14:paraId="0F129D56" w14:textId="77777777" w:rsidTr="009740E2">
        <w:trPr>
          <w:trHeight w:val="248"/>
        </w:trPr>
        <w:tc>
          <w:tcPr>
            <w:tcW w:w="954" w:type="dxa"/>
            <w:shd w:val="clear" w:color="auto" w:fill="auto"/>
            <w:noWrap/>
            <w:vAlign w:val="bottom"/>
            <w:hideMark/>
          </w:tcPr>
          <w:p w14:paraId="3DF65526" w14:textId="77777777" w:rsidR="00D150A1" w:rsidRPr="009F2E80" w:rsidRDefault="00D150A1" w:rsidP="00D150A1">
            <w:pPr>
              <w:spacing w:after="0" w:line="240" w:lineRule="auto"/>
              <w:rPr>
                <w:rFonts w:cs="Arial"/>
                <w:color w:val="000000"/>
                <w:szCs w:val="20"/>
              </w:rPr>
            </w:pPr>
            <w:r w:rsidRPr="009F2E80">
              <w:rPr>
                <w:rFonts w:cs="Arial"/>
                <w:color w:val="000000"/>
                <w:szCs w:val="20"/>
              </w:rPr>
              <w:t>2013</w:t>
            </w:r>
          </w:p>
        </w:tc>
        <w:tc>
          <w:tcPr>
            <w:tcW w:w="850" w:type="dxa"/>
            <w:shd w:val="clear" w:color="auto" w:fill="auto"/>
            <w:noWrap/>
            <w:vAlign w:val="bottom"/>
            <w:hideMark/>
          </w:tcPr>
          <w:p w14:paraId="2E2D56EA"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1.38%</w:t>
            </w:r>
          </w:p>
        </w:tc>
        <w:tc>
          <w:tcPr>
            <w:tcW w:w="850" w:type="dxa"/>
            <w:shd w:val="clear" w:color="auto" w:fill="auto"/>
            <w:noWrap/>
            <w:vAlign w:val="bottom"/>
            <w:hideMark/>
          </w:tcPr>
          <w:p w14:paraId="1C6C2D1F"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2.15%</w:t>
            </w:r>
          </w:p>
        </w:tc>
        <w:tc>
          <w:tcPr>
            <w:tcW w:w="851" w:type="dxa"/>
            <w:shd w:val="clear" w:color="auto" w:fill="auto"/>
            <w:noWrap/>
            <w:vAlign w:val="bottom"/>
            <w:hideMark/>
          </w:tcPr>
          <w:p w14:paraId="7D0BB721"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1.83%</w:t>
            </w:r>
          </w:p>
        </w:tc>
        <w:tc>
          <w:tcPr>
            <w:tcW w:w="850" w:type="dxa"/>
            <w:shd w:val="clear" w:color="auto" w:fill="auto"/>
            <w:noWrap/>
            <w:vAlign w:val="bottom"/>
            <w:hideMark/>
          </w:tcPr>
          <w:p w14:paraId="457D680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0.89%</w:t>
            </w:r>
          </w:p>
        </w:tc>
        <w:tc>
          <w:tcPr>
            <w:tcW w:w="851" w:type="dxa"/>
            <w:shd w:val="clear" w:color="auto" w:fill="auto"/>
            <w:noWrap/>
            <w:vAlign w:val="bottom"/>
            <w:hideMark/>
          </w:tcPr>
          <w:p w14:paraId="770C6B8B"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2.53%</w:t>
            </w:r>
          </w:p>
        </w:tc>
        <w:tc>
          <w:tcPr>
            <w:tcW w:w="850" w:type="dxa"/>
            <w:shd w:val="clear" w:color="auto" w:fill="auto"/>
            <w:noWrap/>
            <w:vAlign w:val="bottom"/>
            <w:hideMark/>
          </w:tcPr>
          <w:p w14:paraId="3286AAA2"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0.10%</w:t>
            </w:r>
          </w:p>
        </w:tc>
        <w:tc>
          <w:tcPr>
            <w:tcW w:w="851" w:type="dxa"/>
            <w:shd w:val="clear" w:color="auto" w:fill="auto"/>
            <w:noWrap/>
            <w:vAlign w:val="bottom"/>
            <w:hideMark/>
          </w:tcPr>
          <w:p w14:paraId="734CDB7F"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0.10%</w:t>
            </w:r>
          </w:p>
        </w:tc>
        <w:tc>
          <w:tcPr>
            <w:tcW w:w="850" w:type="dxa"/>
            <w:shd w:val="clear" w:color="auto" w:fill="auto"/>
            <w:noWrap/>
            <w:vAlign w:val="bottom"/>
            <w:hideMark/>
          </w:tcPr>
          <w:p w14:paraId="668D7E6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2.46%</w:t>
            </w:r>
          </w:p>
        </w:tc>
        <w:tc>
          <w:tcPr>
            <w:tcW w:w="851" w:type="dxa"/>
            <w:shd w:val="clear" w:color="auto" w:fill="auto"/>
            <w:noWrap/>
            <w:vAlign w:val="bottom"/>
            <w:hideMark/>
          </w:tcPr>
          <w:p w14:paraId="5D36817E"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2.40%</w:t>
            </w:r>
          </w:p>
        </w:tc>
      </w:tr>
      <w:tr w:rsidR="009F2E80" w:rsidRPr="009F2E80" w14:paraId="35B528F4" w14:textId="77777777" w:rsidTr="009740E2">
        <w:trPr>
          <w:trHeight w:val="248"/>
        </w:trPr>
        <w:tc>
          <w:tcPr>
            <w:tcW w:w="954" w:type="dxa"/>
            <w:shd w:val="clear" w:color="auto" w:fill="auto"/>
            <w:noWrap/>
            <w:vAlign w:val="bottom"/>
            <w:hideMark/>
          </w:tcPr>
          <w:p w14:paraId="582AA88F" w14:textId="77777777" w:rsidR="00D150A1" w:rsidRPr="009F2E80" w:rsidRDefault="00D150A1" w:rsidP="00D150A1">
            <w:pPr>
              <w:spacing w:after="0" w:line="240" w:lineRule="auto"/>
              <w:rPr>
                <w:rFonts w:cs="Arial"/>
                <w:color w:val="000000"/>
                <w:szCs w:val="20"/>
              </w:rPr>
            </w:pPr>
            <w:r w:rsidRPr="009F2E80">
              <w:rPr>
                <w:rFonts w:cs="Arial"/>
                <w:color w:val="000000"/>
                <w:szCs w:val="20"/>
              </w:rPr>
              <w:t>2014</w:t>
            </w:r>
          </w:p>
        </w:tc>
        <w:tc>
          <w:tcPr>
            <w:tcW w:w="850" w:type="dxa"/>
            <w:shd w:val="clear" w:color="auto" w:fill="auto"/>
            <w:noWrap/>
            <w:vAlign w:val="bottom"/>
            <w:hideMark/>
          </w:tcPr>
          <w:p w14:paraId="77915841"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1.42%</w:t>
            </w:r>
          </w:p>
        </w:tc>
        <w:tc>
          <w:tcPr>
            <w:tcW w:w="850" w:type="dxa"/>
            <w:shd w:val="clear" w:color="auto" w:fill="auto"/>
            <w:noWrap/>
            <w:vAlign w:val="bottom"/>
            <w:hideMark/>
          </w:tcPr>
          <w:p w14:paraId="1DF39B71"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2.12%</w:t>
            </w:r>
          </w:p>
        </w:tc>
        <w:tc>
          <w:tcPr>
            <w:tcW w:w="851" w:type="dxa"/>
            <w:shd w:val="clear" w:color="auto" w:fill="auto"/>
            <w:noWrap/>
            <w:vAlign w:val="bottom"/>
            <w:hideMark/>
          </w:tcPr>
          <w:p w14:paraId="259F1232"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1.43%</w:t>
            </w:r>
          </w:p>
        </w:tc>
        <w:tc>
          <w:tcPr>
            <w:tcW w:w="850" w:type="dxa"/>
            <w:shd w:val="clear" w:color="auto" w:fill="auto"/>
            <w:noWrap/>
            <w:vAlign w:val="bottom"/>
            <w:hideMark/>
          </w:tcPr>
          <w:p w14:paraId="6289E154"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0.92%</w:t>
            </w:r>
          </w:p>
        </w:tc>
        <w:tc>
          <w:tcPr>
            <w:tcW w:w="851" w:type="dxa"/>
            <w:shd w:val="clear" w:color="auto" w:fill="auto"/>
            <w:noWrap/>
            <w:vAlign w:val="bottom"/>
            <w:hideMark/>
          </w:tcPr>
          <w:p w14:paraId="5E96333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1.23%</w:t>
            </w:r>
          </w:p>
        </w:tc>
        <w:tc>
          <w:tcPr>
            <w:tcW w:w="850" w:type="dxa"/>
            <w:shd w:val="clear" w:color="auto" w:fill="auto"/>
            <w:noWrap/>
            <w:vAlign w:val="bottom"/>
            <w:hideMark/>
          </w:tcPr>
          <w:p w14:paraId="433703A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0.27%</w:t>
            </w:r>
          </w:p>
        </w:tc>
        <w:tc>
          <w:tcPr>
            <w:tcW w:w="851" w:type="dxa"/>
            <w:shd w:val="clear" w:color="auto" w:fill="auto"/>
            <w:noWrap/>
            <w:vAlign w:val="bottom"/>
            <w:hideMark/>
          </w:tcPr>
          <w:p w14:paraId="30939BCC"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0.27%</w:t>
            </w:r>
          </w:p>
        </w:tc>
        <w:tc>
          <w:tcPr>
            <w:tcW w:w="850" w:type="dxa"/>
            <w:shd w:val="clear" w:color="auto" w:fill="auto"/>
            <w:noWrap/>
            <w:vAlign w:val="bottom"/>
            <w:hideMark/>
          </w:tcPr>
          <w:p w14:paraId="29CCA632"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0.48%</w:t>
            </w:r>
          </w:p>
        </w:tc>
        <w:tc>
          <w:tcPr>
            <w:tcW w:w="851" w:type="dxa"/>
            <w:shd w:val="clear" w:color="auto" w:fill="auto"/>
            <w:noWrap/>
            <w:vAlign w:val="bottom"/>
            <w:hideMark/>
          </w:tcPr>
          <w:p w14:paraId="2B1091C6"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3.00%</w:t>
            </w:r>
          </w:p>
        </w:tc>
      </w:tr>
      <w:tr w:rsidR="009F2E80" w:rsidRPr="009F2E80" w14:paraId="2BA87BA8" w14:textId="77777777" w:rsidTr="009740E2">
        <w:trPr>
          <w:trHeight w:val="248"/>
        </w:trPr>
        <w:tc>
          <w:tcPr>
            <w:tcW w:w="954" w:type="dxa"/>
            <w:shd w:val="clear" w:color="auto" w:fill="auto"/>
            <w:noWrap/>
            <w:vAlign w:val="bottom"/>
            <w:hideMark/>
          </w:tcPr>
          <w:p w14:paraId="01F0F22F" w14:textId="77777777" w:rsidR="00D150A1" w:rsidRPr="009F2E80" w:rsidRDefault="00D150A1" w:rsidP="00D150A1">
            <w:pPr>
              <w:spacing w:after="0" w:line="240" w:lineRule="auto"/>
              <w:rPr>
                <w:rFonts w:cs="Arial"/>
                <w:color w:val="000000"/>
                <w:szCs w:val="20"/>
              </w:rPr>
            </w:pPr>
            <w:r w:rsidRPr="009F2E80">
              <w:rPr>
                <w:rFonts w:cs="Arial"/>
                <w:color w:val="000000"/>
                <w:szCs w:val="20"/>
              </w:rPr>
              <w:t>2015</w:t>
            </w:r>
          </w:p>
        </w:tc>
        <w:tc>
          <w:tcPr>
            <w:tcW w:w="850" w:type="dxa"/>
            <w:shd w:val="clear" w:color="auto" w:fill="auto"/>
            <w:noWrap/>
            <w:vAlign w:val="bottom"/>
            <w:hideMark/>
          </w:tcPr>
          <w:p w14:paraId="1387AAE0"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1.45%</w:t>
            </w:r>
          </w:p>
        </w:tc>
        <w:tc>
          <w:tcPr>
            <w:tcW w:w="850" w:type="dxa"/>
            <w:shd w:val="clear" w:color="auto" w:fill="auto"/>
            <w:noWrap/>
            <w:vAlign w:val="bottom"/>
            <w:hideMark/>
          </w:tcPr>
          <w:p w14:paraId="56B316E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2.16%</w:t>
            </w:r>
          </w:p>
        </w:tc>
        <w:tc>
          <w:tcPr>
            <w:tcW w:w="851" w:type="dxa"/>
            <w:shd w:val="clear" w:color="auto" w:fill="auto"/>
            <w:noWrap/>
            <w:vAlign w:val="bottom"/>
            <w:hideMark/>
          </w:tcPr>
          <w:p w14:paraId="2F81E632"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1.23%</w:t>
            </w:r>
          </w:p>
        </w:tc>
        <w:tc>
          <w:tcPr>
            <w:tcW w:w="850" w:type="dxa"/>
            <w:shd w:val="clear" w:color="auto" w:fill="auto"/>
            <w:noWrap/>
            <w:vAlign w:val="bottom"/>
            <w:hideMark/>
          </w:tcPr>
          <w:p w14:paraId="2568DCF0"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0.81%</w:t>
            </w:r>
          </w:p>
        </w:tc>
        <w:tc>
          <w:tcPr>
            <w:tcW w:w="851" w:type="dxa"/>
            <w:shd w:val="clear" w:color="auto" w:fill="auto"/>
            <w:noWrap/>
            <w:vAlign w:val="bottom"/>
            <w:hideMark/>
          </w:tcPr>
          <w:p w14:paraId="42F0B5AF"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0.92%</w:t>
            </w:r>
          </w:p>
        </w:tc>
        <w:tc>
          <w:tcPr>
            <w:tcW w:w="850" w:type="dxa"/>
            <w:shd w:val="clear" w:color="auto" w:fill="auto"/>
            <w:noWrap/>
            <w:vAlign w:val="bottom"/>
            <w:hideMark/>
          </w:tcPr>
          <w:p w14:paraId="2776D3E4"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0.29%</w:t>
            </w:r>
          </w:p>
        </w:tc>
        <w:tc>
          <w:tcPr>
            <w:tcW w:w="851" w:type="dxa"/>
            <w:shd w:val="clear" w:color="auto" w:fill="auto"/>
            <w:noWrap/>
            <w:vAlign w:val="bottom"/>
            <w:hideMark/>
          </w:tcPr>
          <w:p w14:paraId="14AB9917"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0.29%</w:t>
            </w:r>
          </w:p>
        </w:tc>
        <w:tc>
          <w:tcPr>
            <w:tcW w:w="850" w:type="dxa"/>
            <w:shd w:val="clear" w:color="auto" w:fill="auto"/>
            <w:noWrap/>
            <w:vAlign w:val="bottom"/>
            <w:hideMark/>
          </w:tcPr>
          <w:p w14:paraId="161CB0DE"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0.74%</w:t>
            </w:r>
          </w:p>
        </w:tc>
        <w:tc>
          <w:tcPr>
            <w:tcW w:w="851" w:type="dxa"/>
            <w:shd w:val="clear" w:color="auto" w:fill="auto"/>
            <w:noWrap/>
            <w:vAlign w:val="bottom"/>
            <w:hideMark/>
          </w:tcPr>
          <w:p w14:paraId="65BA0040"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1.50%</w:t>
            </w:r>
          </w:p>
        </w:tc>
      </w:tr>
      <w:tr w:rsidR="009F2E80" w:rsidRPr="009F2E80" w14:paraId="6AE74601" w14:textId="77777777" w:rsidTr="009740E2">
        <w:trPr>
          <w:trHeight w:val="248"/>
        </w:trPr>
        <w:tc>
          <w:tcPr>
            <w:tcW w:w="954" w:type="dxa"/>
            <w:shd w:val="clear" w:color="auto" w:fill="auto"/>
            <w:noWrap/>
            <w:vAlign w:val="bottom"/>
            <w:hideMark/>
          </w:tcPr>
          <w:p w14:paraId="799C9ECA" w14:textId="77777777" w:rsidR="00D150A1" w:rsidRPr="009F2E80" w:rsidRDefault="00D150A1" w:rsidP="00D150A1">
            <w:pPr>
              <w:spacing w:after="0" w:line="240" w:lineRule="auto"/>
              <w:rPr>
                <w:rFonts w:cs="Arial"/>
                <w:color w:val="000000"/>
                <w:szCs w:val="20"/>
              </w:rPr>
            </w:pPr>
            <w:r w:rsidRPr="009F2E80">
              <w:rPr>
                <w:rFonts w:cs="Arial"/>
                <w:color w:val="000000"/>
                <w:szCs w:val="20"/>
              </w:rPr>
              <w:t>2016</w:t>
            </w:r>
          </w:p>
        </w:tc>
        <w:tc>
          <w:tcPr>
            <w:tcW w:w="850" w:type="dxa"/>
            <w:shd w:val="clear" w:color="auto" w:fill="auto"/>
            <w:noWrap/>
            <w:vAlign w:val="bottom"/>
            <w:hideMark/>
          </w:tcPr>
          <w:p w14:paraId="0884A58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1.54%</w:t>
            </w:r>
          </w:p>
        </w:tc>
        <w:tc>
          <w:tcPr>
            <w:tcW w:w="850" w:type="dxa"/>
            <w:shd w:val="clear" w:color="auto" w:fill="auto"/>
            <w:noWrap/>
            <w:vAlign w:val="bottom"/>
            <w:hideMark/>
          </w:tcPr>
          <w:p w14:paraId="63CE95CA"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2.50%</w:t>
            </w:r>
          </w:p>
        </w:tc>
        <w:tc>
          <w:tcPr>
            <w:tcW w:w="851" w:type="dxa"/>
            <w:shd w:val="clear" w:color="auto" w:fill="auto"/>
            <w:noWrap/>
            <w:vAlign w:val="bottom"/>
            <w:hideMark/>
          </w:tcPr>
          <w:p w14:paraId="07554240"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1.42%</w:t>
            </w:r>
          </w:p>
        </w:tc>
        <w:tc>
          <w:tcPr>
            <w:tcW w:w="850" w:type="dxa"/>
            <w:shd w:val="clear" w:color="auto" w:fill="auto"/>
            <w:noWrap/>
            <w:vAlign w:val="bottom"/>
            <w:hideMark/>
          </w:tcPr>
          <w:p w14:paraId="6CDB38E2"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0.72%</w:t>
            </w:r>
          </w:p>
        </w:tc>
        <w:tc>
          <w:tcPr>
            <w:tcW w:w="851" w:type="dxa"/>
            <w:shd w:val="clear" w:color="auto" w:fill="auto"/>
            <w:noWrap/>
            <w:vAlign w:val="bottom"/>
            <w:hideMark/>
          </w:tcPr>
          <w:p w14:paraId="312239AD"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0.60%</w:t>
            </w:r>
          </w:p>
        </w:tc>
        <w:tc>
          <w:tcPr>
            <w:tcW w:w="850" w:type="dxa"/>
            <w:shd w:val="clear" w:color="auto" w:fill="auto"/>
            <w:noWrap/>
            <w:vAlign w:val="bottom"/>
            <w:hideMark/>
          </w:tcPr>
          <w:p w14:paraId="090B7A31"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0.47%</w:t>
            </w:r>
          </w:p>
        </w:tc>
        <w:tc>
          <w:tcPr>
            <w:tcW w:w="851" w:type="dxa"/>
            <w:shd w:val="clear" w:color="auto" w:fill="auto"/>
            <w:noWrap/>
            <w:vAlign w:val="bottom"/>
            <w:hideMark/>
          </w:tcPr>
          <w:p w14:paraId="185B633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0.47%</w:t>
            </w:r>
          </w:p>
        </w:tc>
        <w:tc>
          <w:tcPr>
            <w:tcW w:w="850" w:type="dxa"/>
            <w:shd w:val="clear" w:color="auto" w:fill="auto"/>
            <w:noWrap/>
            <w:vAlign w:val="bottom"/>
            <w:hideMark/>
          </w:tcPr>
          <w:p w14:paraId="04F95441"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0.40%</w:t>
            </w:r>
          </w:p>
        </w:tc>
        <w:tc>
          <w:tcPr>
            <w:tcW w:w="851" w:type="dxa"/>
            <w:shd w:val="clear" w:color="auto" w:fill="auto"/>
            <w:noWrap/>
            <w:vAlign w:val="bottom"/>
            <w:hideMark/>
          </w:tcPr>
          <w:p w14:paraId="6C21E1FB"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1.00%</w:t>
            </w:r>
          </w:p>
        </w:tc>
      </w:tr>
      <w:tr w:rsidR="009F2E80" w:rsidRPr="009F2E80" w14:paraId="1D61F36B" w14:textId="77777777" w:rsidTr="009740E2">
        <w:trPr>
          <w:trHeight w:val="248"/>
        </w:trPr>
        <w:tc>
          <w:tcPr>
            <w:tcW w:w="954" w:type="dxa"/>
            <w:shd w:val="clear" w:color="auto" w:fill="auto"/>
            <w:noWrap/>
            <w:vAlign w:val="bottom"/>
            <w:hideMark/>
          </w:tcPr>
          <w:p w14:paraId="45757CE3" w14:textId="77777777" w:rsidR="00D150A1" w:rsidRPr="009F2E80" w:rsidRDefault="00D150A1" w:rsidP="00D150A1">
            <w:pPr>
              <w:spacing w:after="0" w:line="240" w:lineRule="auto"/>
              <w:rPr>
                <w:rFonts w:cs="Arial"/>
                <w:color w:val="000000"/>
                <w:szCs w:val="20"/>
              </w:rPr>
            </w:pPr>
            <w:r w:rsidRPr="009F2E80">
              <w:rPr>
                <w:rFonts w:cs="Arial"/>
                <w:color w:val="000000"/>
                <w:szCs w:val="20"/>
              </w:rPr>
              <w:t>2017</w:t>
            </w:r>
          </w:p>
        </w:tc>
        <w:tc>
          <w:tcPr>
            <w:tcW w:w="850" w:type="dxa"/>
            <w:shd w:val="clear" w:color="auto" w:fill="auto"/>
            <w:noWrap/>
            <w:vAlign w:val="bottom"/>
            <w:hideMark/>
          </w:tcPr>
          <w:p w14:paraId="4744F94A"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1.54%</w:t>
            </w:r>
          </w:p>
        </w:tc>
        <w:tc>
          <w:tcPr>
            <w:tcW w:w="850" w:type="dxa"/>
            <w:shd w:val="clear" w:color="auto" w:fill="auto"/>
            <w:noWrap/>
            <w:vAlign w:val="bottom"/>
            <w:hideMark/>
          </w:tcPr>
          <w:p w14:paraId="3C1C6A2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2.05%</w:t>
            </w:r>
          </w:p>
        </w:tc>
        <w:tc>
          <w:tcPr>
            <w:tcW w:w="851" w:type="dxa"/>
            <w:shd w:val="clear" w:color="auto" w:fill="auto"/>
            <w:noWrap/>
            <w:vAlign w:val="bottom"/>
            <w:hideMark/>
          </w:tcPr>
          <w:p w14:paraId="2920D440"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1.70%</w:t>
            </w:r>
          </w:p>
        </w:tc>
        <w:tc>
          <w:tcPr>
            <w:tcW w:w="850" w:type="dxa"/>
            <w:shd w:val="clear" w:color="auto" w:fill="auto"/>
            <w:noWrap/>
            <w:vAlign w:val="bottom"/>
            <w:hideMark/>
          </w:tcPr>
          <w:p w14:paraId="6B7B67AD"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0.98%</w:t>
            </w:r>
          </w:p>
        </w:tc>
        <w:tc>
          <w:tcPr>
            <w:tcW w:w="851" w:type="dxa"/>
            <w:shd w:val="clear" w:color="auto" w:fill="auto"/>
            <w:noWrap/>
            <w:vAlign w:val="bottom"/>
            <w:hideMark/>
          </w:tcPr>
          <w:p w14:paraId="78453C2C"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1.24%</w:t>
            </w:r>
          </w:p>
        </w:tc>
        <w:tc>
          <w:tcPr>
            <w:tcW w:w="850" w:type="dxa"/>
            <w:shd w:val="clear" w:color="auto" w:fill="auto"/>
            <w:noWrap/>
            <w:vAlign w:val="bottom"/>
            <w:hideMark/>
          </w:tcPr>
          <w:p w14:paraId="13226C9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2.09%</w:t>
            </w:r>
          </w:p>
        </w:tc>
        <w:tc>
          <w:tcPr>
            <w:tcW w:w="851" w:type="dxa"/>
            <w:shd w:val="clear" w:color="auto" w:fill="auto"/>
            <w:noWrap/>
            <w:vAlign w:val="bottom"/>
            <w:hideMark/>
          </w:tcPr>
          <w:p w14:paraId="2AAC48B4"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2.09%</w:t>
            </w:r>
          </w:p>
        </w:tc>
        <w:tc>
          <w:tcPr>
            <w:tcW w:w="850" w:type="dxa"/>
            <w:shd w:val="clear" w:color="auto" w:fill="auto"/>
            <w:noWrap/>
            <w:vAlign w:val="bottom"/>
            <w:hideMark/>
          </w:tcPr>
          <w:p w14:paraId="2E6DDA30"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1.01%</w:t>
            </w:r>
          </w:p>
        </w:tc>
        <w:tc>
          <w:tcPr>
            <w:tcW w:w="851" w:type="dxa"/>
            <w:shd w:val="clear" w:color="auto" w:fill="auto"/>
            <w:noWrap/>
            <w:vAlign w:val="bottom"/>
            <w:hideMark/>
          </w:tcPr>
          <w:p w14:paraId="4758312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1.90%</w:t>
            </w:r>
          </w:p>
        </w:tc>
      </w:tr>
      <w:tr w:rsidR="009F2E80" w:rsidRPr="009F2E80" w14:paraId="3477FEC6" w14:textId="77777777" w:rsidTr="009740E2">
        <w:trPr>
          <w:trHeight w:val="248"/>
        </w:trPr>
        <w:tc>
          <w:tcPr>
            <w:tcW w:w="954" w:type="dxa"/>
            <w:shd w:val="clear" w:color="auto" w:fill="auto"/>
            <w:noWrap/>
            <w:vAlign w:val="bottom"/>
            <w:hideMark/>
          </w:tcPr>
          <w:p w14:paraId="51C41255" w14:textId="77777777" w:rsidR="00D150A1" w:rsidRPr="009F2E80" w:rsidRDefault="00D150A1" w:rsidP="00D150A1">
            <w:pPr>
              <w:spacing w:after="0" w:line="240" w:lineRule="auto"/>
              <w:rPr>
                <w:rFonts w:cs="Arial"/>
                <w:color w:val="000000"/>
                <w:szCs w:val="20"/>
              </w:rPr>
            </w:pPr>
            <w:r w:rsidRPr="009F2E80">
              <w:rPr>
                <w:rFonts w:cs="Arial"/>
                <w:color w:val="000000"/>
                <w:szCs w:val="20"/>
              </w:rPr>
              <w:t>2018</w:t>
            </w:r>
          </w:p>
        </w:tc>
        <w:tc>
          <w:tcPr>
            <w:tcW w:w="850" w:type="dxa"/>
            <w:shd w:val="clear" w:color="auto" w:fill="auto"/>
            <w:noWrap/>
            <w:vAlign w:val="bottom"/>
            <w:hideMark/>
          </w:tcPr>
          <w:p w14:paraId="6A00252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1.22%</w:t>
            </w:r>
          </w:p>
        </w:tc>
        <w:tc>
          <w:tcPr>
            <w:tcW w:w="850" w:type="dxa"/>
            <w:shd w:val="clear" w:color="auto" w:fill="auto"/>
            <w:noWrap/>
            <w:vAlign w:val="bottom"/>
            <w:hideMark/>
          </w:tcPr>
          <w:p w14:paraId="229D9CE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1.88%</w:t>
            </w:r>
          </w:p>
        </w:tc>
        <w:tc>
          <w:tcPr>
            <w:tcW w:w="851" w:type="dxa"/>
            <w:shd w:val="clear" w:color="auto" w:fill="auto"/>
            <w:noWrap/>
            <w:vAlign w:val="bottom"/>
            <w:hideMark/>
          </w:tcPr>
          <w:p w14:paraId="13987CE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1.65%</w:t>
            </w:r>
          </w:p>
        </w:tc>
        <w:tc>
          <w:tcPr>
            <w:tcW w:w="850" w:type="dxa"/>
            <w:shd w:val="clear" w:color="auto" w:fill="auto"/>
            <w:noWrap/>
            <w:vAlign w:val="bottom"/>
            <w:hideMark/>
          </w:tcPr>
          <w:p w14:paraId="5BFC1B28"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1.06%</w:t>
            </w:r>
          </w:p>
        </w:tc>
        <w:tc>
          <w:tcPr>
            <w:tcW w:w="851" w:type="dxa"/>
            <w:shd w:val="clear" w:color="auto" w:fill="auto"/>
            <w:noWrap/>
            <w:vAlign w:val="bottom"/>
            <w:hideMark/>
          </w:tcPr>
          <w:p w14:paraId="71AAAFAF"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1.29%</w:t>
            </w:r>
          </w:p>
        </w:tc>
        <w:tc>
          <w:tcPr>
            <w:tcW w:w="850" w:type="dxa"/>
            <w:shd w:val="clear" w:color="auto" w:fill="auto"/>
            <w:noWrap/>
            <w:vAlign w:val="bottom"/>
            <w:hideMark/>
          </w:tcPr>
          <w:p w14:paraId="3C22CAD4"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2.23%</w:t>
            </w:r>
          </w:p>
        </w:tc>
        <w:tc>
          <w:tcPr>
            <w:tcW w:w="851" w:type="dxa"/>
            <w:shd w:val="clear" w:color="auto" w:fill="auto"/>
            <w:noWrap/>
            <w:vAlign w:val="bottom"/>
            <w:hideMark/>
          </w:tcPr>
          <w:p w14:paraId="1DCC0368"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2.23%</w:t>
            </w:r>
          </w:p>
        </w:tc>
        <w:tc>
          <w:tcPr>
            <w:tcW w:w="850" w:type="dxa"/>
            <w:shd w:val="clear" w:color="auto" w:fill="auto"/>
            <w:noWrap/>
            <w:vAlign w:val="bottom"/>
            <w:hideMark/>
          </w:tcPr>
          <w:p w14:paraId="36AB5ED6"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0.08%</w:t>
            </w:r>
          </w:p>
        </w:tc>
        <w:tc>
          <w:tcPr>
            <w:tcW w:w="851" w:type="dxa"/>
            <w:shd w:val="clear" w:color="auto" w:fill="auto"/>
            <w:noWrap/>
            <w:vAlign w:val="bottom"/>
            <w:hideMark/>
          </w:tcPr>
          <w:p w14:paraId="6761F81A"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2.10%</w:t>
            </w:r>
          </w:p>
        </w:tc>
      </w:tr>
      <w:tr w:rsidR="009F2E80" w:rsidRPr="009F2E80" w14:paraId="4BBFC5E2" w14:textId="77777777" w:rsidTr="009740E2">
        <w:trPr>
          <w:trHeight w:val="248"/>
        </w:trPr>
        <w:tc>
          <w:tcPr>
            <w:tcW w:w="954" w:type="dxa"/>
            <w:shd w:val="clear" w:color="auto" w:fill="auto"/>
            <w:noWrap/>
            <w:vAlign w:val="bottom"/>
            <w:hideMark/>
          </w:tcPr>
          <w:p w14:paraId="7A75B909" w14:textId="77777777" w:rsidR="00D150A1" w:rsidRPr="009F2E80" w:rsidRDefault="00D150A1" w:rsidP="00D150A1">
            <w:pPr>
              <w:spacing w:after="0" w:line="240" w:lineRule="auto"/>
              <w:rPr>
                <w:rFonts w:cs="Arial"/>
                <w:color w:val="000000"/>
                <w:szCs w:val="20"/>
              </w:rPr>
            </w:pPr>
            <w:r w:rsidRPr="009F2E80">
              <w:rPr>
                <w:rFonts w:cs="Arial"/>
                <w:color w:val="000000"/>
                <w:szCs w:val="20"/>
              </w:rPr>
              <w:t>2019</w:t>
            </w:r>
          </w:p>
        </w:tc>
        <w:tc>
          <w:tcPr>
            <w:tcW w:w="850" w:type="dxa"/>
            <w:shd w:val="clear" w:color="auto" w:fill="auto"/>
            <w:noWrap/>
            <w:vAlign w:val="bottom"/>
            <w:hideMark/>
          </w:tcPr>
          <w:p w14:paraId="1148769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1.13%</w:t>
            </w:r>
          </w:p>
        </w:tc>
        <w:tc>
          <w:tcPr>
            <w:tcW w:w="850" w:type="dxa"/>
            <w:shd w:val="clear" w:color="auto" w:fill="auto"/>
            <w:noWrap/>
            <w:vAlign w:val="bottom"/>
            <w:hideMark/>
          </w:tcPr>
          <w:p w14:paraId="23F992E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1.76%</w:t>
            </w:r>
          </w:p>
        </w:tc>
        <w:tc>
          <w:tcPr>
            <w:tcW w:w="851" w:type="dxa"/>
            <w:shd w:val="clear" w:color="auto" w:fill="auto"/>
            <w:noWrap/>
            <w:vAlign w:val="bottom"/>
            <w:hideMark/>
          </w:tcPr>
          <w:p w14:paraId="3884CBC2"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1.67%</w:t>
            </w:r>
          </w:p>
        </w:tc>
        <w:tc>
          <w:tcPr>
            <w:tcW w:w="850" w:type="dxa"/>
            <w:shd w:val="clear" w:color="auto" w:fill="auto"/>
            <w:noWrap/>
            <w:vAlign w:val="bottom"/>
            <w:hideMark/>
          </w:tcPr>
          <w:p w14:paraId="59899B48"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1.26%</w:t>
            </w:r>
          </w:p>
        </w:tc>
        <w:tc>
          <w:tcPr>
            <w:tcW w:w="851" w:type="dxa"/>
            <w:shd w:val="clear" w:color="auto" w:fill="auto"/>
            <w:noWrap/>
            <w:vAlign w:val="bottom"/>
            <w:hideMark/>
          </w:tcPr>
          <w:p w14:paraId="0F16EFC7"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1.63%</w:t>
            </w:r>
          </w:p>
        </w:tc>
        <w:tc>
          <w:tcPr>
            <w:tcW w:w="850" w:type="dxa"/>
            <w:shd w:val="clear" w:color="auto" w:fill="auto"/>
            <w:noWrap/>
            <w:vAlign w:val="bottom"/>
            <w:hideMark/>
          </w:tcPr>
          <w:p w14:paraId="7DF957DE"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2.26%</w:t>
            </w:r>
          </w:p>
        </w:tc>
        <w:tc>
          <w:tcPr>
            <w:tcW w:w="851" w:type="dxa"/>
            <w:shd w:val="clear" w:color="auto" w:fill="auto"/>
            <w:noWrap/>
            <w:vAlign w:val="bottom"/>
            <w:hideMark/>
          </w:tcPr>
          <w:p w14:paraId="61ACD0CA"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2.26%</w:t>
            </w:r>
          </w:p>
        </w:tc>
        <w:tc>
          <w:tcPr>
            <w:tcW w:w="850" w:type="dxa"/>
            <w:shd w:val="clear" w:color="auto" w:fill="auto"/>
            <w:noWrap/>
            <w:vAlign w:val="bottom"/>
            <w:hideMark/>
          </w:tcPr>
          <w:p w14:paraId="3DD2BA03"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-0.08%</w:t>
            </w:r>
          </w:p>
        </w:tc>
        <w:tc>
          <w:tcPr>
            <w:tcW w:w="851" w:type="dxa"/>
            <w:shd w:val="clear" w:color="auto" w:fill="auto"/>
            <w:noWrap/>
            <w:vAlign w:val="bottom"/>
            <w:hideMark/>
          </w:tcPr>
          <w:p w14:paraId="5836DCC1"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1.60%</w:t>
            </w:r>
          </w:p>
        </w:tc>
      </w:tr>
      <w:tr w:rsidR="009F2E80" w:rsidRPr="009F2E80" w14:paraId="3945BFDB" w14:textId="77777777" w:rsidTr="009740E2">
        <w:trPr>
          <w:trHeight w:val="248"/>
        </w:trPr>
        <w:tc>
          <w:tcPr>
            <w:tcW w:w="954" w:type="dxa"/>
            <w:shd w:val="clear" w:color="auto" w:fill="auto"/>
            <w:noWrap/>
            <w:vAlign w:val="bottom"/>
            <w:hideMark/>
          </w:tcPr>
          <w:p w14:paraId="17174CEA" w14:textId="77777777" w:rsidR="00D150A1" w:rsidRPr="009F2E80" w:rsidRDefault="00D150A1" w:rsidP="00D150A1">
            <w:pPr>
              <w:spacing w:after="0" w:line="240" w:lineRule="auto"/>
              <w:rPr>
                <w:rFonts w:cs="Arial"/>
                <w:color w:val="000000"/>
                <w:szCs w:val="20"/>
              </w:rPr>
            </w:pPr>
            <w:r w:rsidRPr="009F2E80">
              <w:rPr>
                <w:rFonts w:cs="Arial"/>
                <w:color w:val="000000"/>
                <w:szCs w:val="20"/>
              </w:rPr>
              <w:t>2020</w:t>
            </w:r>
          </w:p>
        </w:tc>
        <w:tc>
          <w:tcPr>
            <w:tcW w:w="850" w:type="dxa"/>
            <w:shd w:val="clear" w:color="auto" w:fill="auto"/>
            <w:noWrap/>
            <w:vAlign w:val="bottom"/>
            <w:hideMark/>
          </w:tcPr>
          <w:p w14:paraId="73EE705E"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0.75%</w:t>
            </w:r>
          </w:p>
        </w:tc>
        <w:tc>
          <w:tcPr>
            <w:tcW w:w="850" w:type="dxa"/>
            <w:shd w:val="clear" w:color="auto" w:fill="auto"/>
            <w:noWrap/>
            <w:vAlign w:val="bottom"/>
            <w:hideMark/>
          </w:tcPr>
          <w:p w14:paraId="1D59AB4E"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1.15%</w:t>
            </w:r>
          </w:p>
        </w:tc>
        <w:tc>
          <w:tcPr>
            <w:tcW w:w="851" w:type="dxa"/>
            <w:shd w:val="clear" w:color="auto" w:fill="auto"/>
            <w:noWrap/>
            <w:vAlign w:val="bottom"/>
            <w:hideMark/>
          </w:tcPr>
          <w:p w14:paraId="140D8B35"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1.56%</w:t>
            </w:r>
          </w:p>
        </w:tc>
        <w:tc>
          <w:tcPr>
            <w:tcW w:w="850" w:type="dxa"/>
            <w:shd w:val="clear" w:color="auto" w:fill="auto"/>
            <w:noWrap/>
            <w:vAlign w:val="bottom"/>
            <w:hideMark/>
          </w:tcPr>
          <w:p w14:paraId="66A228BF"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1.33%</w:t>
            </w:r>
          </w:p>
        </w:tc>
        <w:tc>
          <w:tcPr>
            <w:tcW w:w="851" w:type="dxa"/>
            <w:shd w:val="clear" w:color="auto" w:fill="auto"/>
            <w:noWrap/>
            <w:vAlign w:val="bottom"/>
            <w:hideMark/>
          </w:tcPr>
          <w:p w14:paraId="760225F0"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2.05%</w:t>
            </w:r>
          </w:p>
        </w:tc>
        <w:tc>
          <w:tcPr>
            <w:tcW w:w="850" w:type="dxa"/>
            <w:shd w:val="clear" w:color="auto" w:fill="auto"/>
            <w:noWrap/>
            <w:vAlign w:val="bottom"/>
            <w:hideMark/>
          </w:tcPr>
          <w:p w14:paraId="4B76605F"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2.03%</w:t>
            </w:r>
          </w:p>
        </w:tc>
        <w:tc>
          <w:tcPr>
            <w:tcW w:w="851" w:type="dxa"/>
            <w:shd w:val="clear" w:color="auto" w:fill="auto"/>
            <w:noWrap/>
            <w:vAlign w:val="bottom"/>
            <w:hideMark/>
          </w:tcPr>
          <w:p w14:paraId="175C03D7"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2.03%</w:t>
            </w:r>
          </w:p>
        </w:tc>
        <w:tc>
          <w:tcPr>
            <w:tcW w:w="850" w:type="dxa"/>
            <w:shd w:val="clear" w:color="auto" w:fill="auto"/>
            <w:noWrap/>
            <w:vAlign w:val="bottom"/>
            <w:hideMark/>
          </w:tcPr>
          <w:p w14:paraId="400C1517"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0.32%</w:t>
            </w:r>
          </w:p>
        </w:tc>
        <w:tc>
          <w:tcPr>
            <w:tcW w:w="851" w:type="dxa"/>
            <w:shd w:val="clear" w:color="auto" w:fill="auto"/>
            <w:noWrap/>
            <w:vAlign w:val="bottom"/>
            <w:hideMark/>
          </w:tcPr>
          <w:p w14:paraId="2A91DFDC"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-0.30%</w:t>
            </w:r>
          </w:p>
        </w:tc>
      </w:tr>
      <w:tr w:rsidR="009F2E80" w:rsidRPr="009F2E80" w14:paraId="042D7D05" w14:textId="77777777" w:rsidTr="009740E2">
        <w:trPr>
          <w:trHeight w:val="248"/>
        </w:trPr>
        <w:tc>
          <w:tcPr>
            <w:tcW w:w="954" w:type="dxa"/>
            <w:shd w:val="clear" w:color="auto" w:fill="auto"/>
            <w:noWrap/>
            <w:vAlign w:val="bottom"/>
            <w:hideMark/>
          </w:tcPr>
          <w:p w14:paraId="43DE1298" w14:textId="77777777" w:rsidR="00D150A1" w:rsidRPr="009F2E80" w:rsidRDefault="00D150A1" w:rsidP="00D150A1">
            <w:pPr>
              <w:spacing w:after="0" w:line="240" w:lineRule="auto"/>
              <w:rPr>
                <w:rFonts w:cs="Arial"/>
                <w:color w:val="000000"/>
                <w:szCs w:val="20"/>
              </w:rPr>
            </w:pPr>
            <w:r w:rsidRPr="009F2E80">
              <w:rPr>
                <w:rFonts w:cs="Arial"/>
                <w:color w:val="000000"/>
                <w:szCs w:val="20"/>
              </w:rPr>
              <w:t>2021</w:t>
            </w:r>
          </w:p>
        </w:tc>
        <w:tc>
          <w:tcPr>
            <w:tcW w:w="850" w:type="dxa"/>
            <w:shd w:val="clear" w:color="auto" w:fill="auto"/>
            <w:noWrap/>
            <w:vAlign w:val="bottom"/>
            <w:hideMark/>
          </w:tcPr>
          <w:p w14:paraId="397C297C"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-0.01%</w:t>
            </w:r>
          </w:p>
        </w:tc>
        <w:tc>
          <w:tcPr>
            <w:tcW w:w="850" w:type="dxa"/>
            <w:shd w:val="clear" w:color="auto" w:fill="auto"/>
            <w:noWrap/>
            <w:vAlign w:val="bottom"/>
            <w:hideMark/>
          </w:tcPr>
          <w:p w14:paraId="6B5052D6"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-0.89%</w:t>
            </w:r>
          </w:p>
        </w:tc>
        <w:tc>
          <w:tcPr>
            <w:tcW w:w="851" w:type="dxa"/>
            <w:shd w:val="clear" w:color="auto" w:fill="auto"/>
            <w:noWrap/>
            <w:vAlign w:val="bottom"/>
            <w:hideMark/>
          </w:tcPr>
          <w:p w14:paraId="0386BEF4"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0.82%</w:t>
            </w:r>
          </w:p>
        </w:tc>
        <w:tc>
          <w:tcPr>
            <w:tcW w:w="850" w:type="dxa"/>
            <w:shd w:val="clear" w:color="auto" w:fill="auto"/>
            <w:noWrap/>
            <w:vAlign w:val="bottom"/>
            <w:hideMark/>
          </w:tcPr>
          <w:p w14:paraId="635836A2"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0.54%</w:t>
            </w:r>
          </w:p>
        </w:tc>
        <w:tc>
          <w:tcPr>
            <w:tcW w:w="851" w:type="dxa"/>
            <w:shd w:val="clear" w:color="auto" w:fill="auto"/>
            <w:noWrap/>
            <w:vAlign w:val="bottom"/>
            <w:hideMark/>
          </w:tcPr>
          <w:p w14:paraId="4A34D432"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1.16%</w:t>
            </w:r>
          </w:p>
        </w:tc>
        <w:tc>
          <w:tcPr>
            <w:tcW w:w="850" w:type="dxa"/>
            <w:shd w:val="clear" w:color="auto" w:fill="auto"/>
            <w:noWrap/>
            <w:vAlign w:val="bottom"/>
            <w:hideMark/>
          </w:tcPr>
          <w:p w14:paraId="67BD58DB"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0.78%</w:t>
            </w:r>
          </w:p>
        </w:tc>
        <w:tc>
          <w:tcPr>
            <w:tcW w:w="851" w:type="dxa"/>
            <w:shd w:val="clear" w:color="auto" w:fill="auto"/>
            <w:noWrap/>
            <w:vAlign w:val="bottom"/>
            <w:hideMark/>
          </w:tcPr>
          <w:p w14:paraId="6606A977"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0.78%</w:t>
            </w:r>
          </w:p>
        </w:tc>
        <w:tc>
          <w:tcPr>
            <w:tcW w:w="850" w:type="dxa"/>
            <w:shd w:val="clear" w:color="auto" w:fill="auto"/>
            <w:noWrap/>
            <w:vAlign w:val="bottom"/>
            <w:hideMark/>
          </w:tcPr>
          <w:p w14:paraId="28A02741"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0.10%</w:t>
            </w:r>
          </w:p>
        </w:tc>
        <w:tc>
          <w:tcPr>
            <w:tcW w:w="851" w:type="dxa"/>
            <w:shd w:val="clear" w:color="auto" w:fill="auto"/>
            <w:noWrap/>
            <w:vAlign w:val="bottom"/>
            <w:hideMark/>
          </w:tcPr>
          <w:p w14:paraId="230EA71B" w14:textId="77777777" w:rsidR="00D150A1" w:rsidRPr="009F2E80" w:rsidRDefault="00D150A1" w:rsidP="006A0FEF">
            <w:pPr>
              <w:spacing w:after="0" w:line="240" w:lineRule="auto"/>
              <w:jc w:val="right"/>
              <w:rPr>
                <w:rFonts w:cs="Arial"/>
                <w:color w:val="000000"/>
                <w:szCs w:val="20"/>
              </w:rPr>
            </w:pPr>
            <w:r w:rsidRPr="009F2E80">
              <w:rPr>
                <w:rFonts w:cs="Arial"/>
                <w:color w:val="000000"/>
                <w:szCs w:val="20"/>
              </w:rPr>
              <w:t>3.80%</w:t>
            </w:r>
          </w:p>
        </w:tc>
      </w:tr>
      <w:tr w:rsidR="009F2E80" w:rsidRPr="009F2E80" w14:paraId="128A82D4" w14:textId="77777777" w:rsidTr="009740E2">
        <w:trPr>
          <w:trHeight w:val="248"/>
        </w:trPr>
        <w:tc>
          <w:tcPr>
            <w:tcW w:w="954" w:type="dxa"/>
            <w:shd w:val="clear" w:color="auto" w:fill="auto"/>
            <w:noWrap/>
            <w:vAlign w:val="bottom"/>
            <w:hideMark/>
          </w:tcPr>
          <w:p w14:paraId="7B84E03B" w14:textId="77777777" w:rsidR="00D150A1" w:rsidRPr="009F2E80" w:rsidRDefault="00D150A1" w:rsidP="006A0FEF">
            <w:pPr>
              <w:spacing w:after="0" w:line="240" w:lineRule="auto"/>
              <w:jc w:val="right"/>
              <w:rPr>
                <w:rFonts w:cs="Arial"/>
                <w:b/>
                <w:bCs/>
                <w:color w:val="000000"/>
                <w:szCs w:val="20"/>
              </w:rPr>
            </w:pPr>
            <w:r w:rsidRPr="009F2E80">
              <w:rPr>
                <w:rFonts w:cs="Arial"/>
                <w:b/>
                <w:bCs/>
                <w:color w:val="000000"/>
                <w:szCs w:val="20"/>
              </w:rPr>
              <w:t>Average</w:t>
            </w:r>
          </w:p>
        </w:tc>
        <w:tc>
          <w:tcPr>
            <w:tcW w:w="850" w:type="dxa"/>
            <w:shd w:val="clear" w:color="auto" w:fill="auto"/>
            <w:noWrap/>
            <w:vAlign w:val="bottom"/>
            <w:hideMark/>
          </w:tcPr>
          <w:p w14:paraId="339B3A1C" w14:textId="77777777" w:rsidR="00D150A1" w:rsidRPr="009F2E80" w:rsidRDefault="00D150A1" w:rsidP="006A0FEF">
            <w:pPr>
              <w:spacing w:after="0" w:line="240" w:lineRule="auto"/>
              <w:jc w:val="right"/>
              <w:rPr>
                <w:rFonts w:cs="Arial"/>
                <w:b/>
                <w:bCs/>
                <w:color w:val="000000"/>
                <w:szCs w:val="20"/>
              </w:rPr>
            </w:pPr>
            <w:r w:rsidRPr="009F2E80">
              <w:rPr>
                <w:rFonts w:cs="Arial"/>
                <w:b/>
                <w:bCs/>
                <w:color w:val="000000"/>
                <w:szCs w:val="20"/>
              </w:rPr>
              <w:t>1.15%</w:t>
            </w:r>
          </w:p>
        </w:tc>
        <w:tc>
          <w:tcPr>
            <w:tcW w:w="850" w:type="dxa"/>
            <w:shd w:val="clear" w:color="auto" w:fill="auto"/>
            <w:noWrap/>
            <w:vAlign w:val="bottom"/>
            <w:hideMark/>
          </w:tcPr>
          <w:p w14:paraId="6511159E" w14:textId="77777777" w:rsidR="00D150A1" w:rsidRPr="009F2E80" w:rsidRDefault="00D150A1" w:rsidP="006A0FEF">
            <w:pPr>
              <w:spacing w:after="0" w:line="240" w:lineRule="auto"/>
              <w:jc w:val="right"/>
              <w:rPr>
                <w:rFonts w:cs="Arial"/>
                <w:b/>
                <w:bCs/>
                <w:color w:val="000000"/>
                <w:szCs w:val="20"/>
              </w:rPr>
            </w:pPr>
            <w:r w:rsidRPr="009F2E80">
              <w:rPr>
                <w:rFonts w:cs="Arial"/>
                <w:b/>
                <w:bCs/>
                <w:color w:val="000000"/>
                <w:szCs w:val="20"/>
              </w:rPr>
              <w:t>1.61%</w:t>
            </w:r>
          </w:p>
        </w:tc>
        <w:tc>
          <w:tcPr>
            <w:tcW w:w="851" w:type="dxa"/>
            <w:shd w:val="clear" w:color="auto" w:fill="auto"/>
            <w:noWrap/>
            <w:vAlign w:val="bottom"/>
            <w:hideMark/>
          </w:tcPr>
          <w:p w14:paraId="5B77393F" w14:textId="77777777" w:rsidR="00D150A1" w:rsidRPr="009F2E80" w:rsidRDefault="00D150A1" w:rsidP="006A0FEF">
            <w:pPr>
              <w:spacing w:after="0" w:line="240" w:lineRule="auto"/>
              <w:jc w:val="right"/>
              <w:rPr>
                <w:rFonts w:cs="Arial"/>
                <w:b/>
                <w:bCs/>
                <w:color w:val="000000"/>
                <w:szCs w:val="20"/>
              </w:rPr>
            </w:pPr>
            <w:r w:rsidRPr="009F2E80">
              <w:rPr>
                <w:rFonts w:cs="Arial"/>
                <w:b/>
                <w:bCs/>
                <w:color w:val="000000"/>
                <w:szCs w:val="20"/>
              </w:rPr>
              <w:t>1.91%</w:t>
            </w:r>
          </w:p>
        </w:tc>
        <w:tc>
          <w:tcPr>
            <w:tcW w:w="850" w:type="dxa"/>
            <w:shd w:val="clear" w:color="auto" w:fill="auto"/>
            <w:noWrap/>
            <w:vAlign w:val="bottom"/>
            <w:hideMark/>
          </w:tcPr>
          <w:p w14:paraId="07DC007B" w14:textId="77777777" w:rsidR="00D150A1" w:rsidRPr="009F2E80" w:rsidRDefault="00D150A1" w:rsidP="006A0FEF">
            <w:pPr>
              <w:spacing w:after="0" w:line="240" w:lineRule="auto"/>
              <w:jc w:val="right"/>
              <w:rPr>
                <w:rFonts w:cs="Arial"/>
                <w:b/>
                <w:bCs/>
                <w:color w:val="000000"/>
                <w:szCs w:val="20"/>
              </w:rPr>
            </w:pPr>
            <w:r w:rsidRPr="009F2E80">
              <w:rPr>
                <w:rFonts w:cs="Arial"/>
                <w:b/>
                <w:bCs/>
                <w:color w:val="000000"/>
                <w:szCs w:val="20"/>
              </w:rPr>
              <w:t>0.91%</w:t>
            </w:r>
          </w:p>
        </w:tc>
        <w:tc>
          <w:tcPr>
            <w:tcW w:w="851" w:type="dxa"/>
            <w:shd w:val="clear" w:color="auto" w:fill="auto"/>
            <w:noWrap/>
            <w:vAlign w:val="bottom"/>
            <w:hideMark/>
          </w:tcPr>
          <w:p w14:paraId="1E0B12F4" w14:textId="77777777" w:rsidR="00D150A1" w:rsidRPr="009F2E80" w:rsidRDefault="00D150A1" w:rsidP="006A0FEF">
            <w:pPr>
              <w:spacing w:after="0" w:line="240" w:lineRule="auto"/>
              <w:jc w:val="right"/>
              <w:rPr>
                <w:rFonts w:cs="Arial"/>
                <w:b/>
                <w:bCs/>
                <w:color w:val="000000"/>
                <w:szCs w:val="20"/>
              </w:rPr>
            </w:pPr>
            <w:r w:rsidRPr="009F2E80">
              <w:rPr>
                <w:rFonts w:cs="Arial"/>
                <w:b/>
                <w:bCs/>
                <w:color w:val="000000"/>
                <w:szCs w:val="20"/>
              </w:rPr>
              <w:t>1.85%</w:t>
            </w:r>
          </w:p>
        </w:tc>
        <w:tc>
          <w:tcPr>
            <w:tcW w:w="850" w:type="dxa"/>
            <w:shd w:val="clear" w:color="auto" w:fill="auto"/>
            <w:noWrap/>
            <w:vAlign w:val="bottom"/>
            <w:hideMark/>
          </w:tcPr>
          <w:p w14:paraId="29E2CAD2" w14:textId="77777777" w:rsidR="00D150A1" w:rsidRPr="009F2E80" w:rsidRDefault="00D150A1" w:rsidP="006A0FEF">
            <w:pPr>
              <w:spacing w:after="0" w:line="240" w:lineRule="auto"/>
              <w:jc w:val="right"/>
              <w:rPr>
                <w:rFonts w:cs="Arial"/>
                <w:b/>
                <w:bCs/>
                <w:color w:val="000000"/>
                <w:szCs w:val="20"/>
              </w:rPr>
            </w:pPr>
            <w:r w:rsidRPr="009F2E80">
              <w:rPr>
                <w:rFonts w:cs="Arial"/>
                <w:b/>
                <w:bCs/>
                <w:color w:val="000000"/>
                <w:szCs w:val="20"/>
              </w:rPr>
              <w:t>0.91%</w:t>
            </w:r>
          </w:p>
        </w:tc>
        <w:tc>
          <w:tcPr>
            <w:tcW w:w="851" w:type="dxa"/>
            <w:shd w:val="clear" w:color="auto" w:fill="auto"/>
            <w:noWrap/>
            <w:vAlign w:val="bottom"/>
            <w:hideMark/>
          </w:tcPr>
          <w:p w14:paraId="7C8BAC42" w14:textId="77777777" w:rsidR="00D150A1" w:rsidRPr="009F2E80" w:rsidRDefault="00D150A1" w:rsidP="006A0FEF">
            <w:pPr>
              <w:spacing w:after="0" w:line="240" w:lineRule="auto"/>
              <w:jc w:val="right"/>
              <w:rPr>
                <w:rFonts w:cs="Arial"/>
                <w:b/>
                <w:bCs/>
                <w:color w:val="000000"/>
                <w:szCs w:val="20"/>
              </w:rPr>
            </w:pPr>
            <w:r w:rsidRPr="009F2E80">
              <w:rPr>
                <w:rFonts w:cs="Arial"/>
                <w:b/>
                <w:bCs/>
                <w:color w:val="000000"/>
                <w:szCs w:val="20"/>
              </w:rPr>
              <w:t>0.91%</w:t>
            </w:r>
          </w:p>
        </w:tc>
        <w:tc>
          <w:tcPr>
            <w:tcW w:w="850" w:type="dxa"/>
            <w:shd w:val="clear" w:color="auto" w:fill="auto"/>
            <w:noWrap/>
            <w:vAlign w:val="bottom"/>
            <w:hideMark/>
          </w:tcPr>
          <w:p w14:paraId="155C553E" w14:textId="77777777" w:rsidR="00D150A1" w:rsidRPr="009F2E80" w:rsidRDefault="00D150A1" w:rsidP="006A0FEF">
            <w:pPr>
              <w:spacing w:after="0" w:line="240" w:lineRule="auto"/>
              <w:jc w:val="right"/>
              <w:rPr>
                <w:rFonts w:cs="Arial"/>
                <w:b/>
                <w:bCs/>
                <w:color w:val="000000"/>
                <w:szCs w:val="20"/>
              </w:rPr>
            </w:pPr>
            <w:r w:rsidRPr="009F2E80">
              <w:rPr>
                <w:rFonts w:cs="Arial"/>
                <w:b/>
                <w:bCs/>
                <w:color w:val="000000"/>
                <w:szCs w:val="20"/>
              </w:rPr>
              <w:t>1.07%</w:t>
            </w:r>
          </w:p>
        </w:tc>
        <w:tc>
          <w:tcPr>
            <w:tcW w:w="851" w:type="dxa"/>
            <w:shd w:val="clear" w:color="auto" w:fill="auto"/>
            <w:noWrap/>
            <w:vAlign w:val="bottom"/>
            <w:hideMark/>
          </w:tcPr>
          <w:p w14:paraId="123EE958" w14:textId="77777777" w:rsidR="00D150A1" w:rsidRPr="009F2E80" w:rsidRDefault="00D150A1" w:rsidP="006A0FEF">
            <w:pPr>
              <w:spacing w:after="0" w:line="240" w:lineRule="auto"/>
              <w:jc w:val="right"/>
              <w:rPr>
                <w:rFonts w:cs="Arial"/>
                <w:b/>
                <w:bCs/>
                <w:color w:val="000000"/>
                <w:szCs w:val="20"/>
              </w:rPr>
            </w:pPr>
            <w:r w:rsidRPr="009F2E80">
              <w:rPr>
                <w:rFonts w:cs="Arial"/>
                <w:b/>
                <w:bCs/>
                <w:color w:val="000000"/>
                <w:szCs w:val="20"/>
              </w:rPr>
              <w:t>2.36%</w:t>
            </w:r>
          </w:p>
        </w:tc>
      </w:tr>
    </w:tbl>
    <w:p w14:paraId="57E7A729" w14:textId="34516620" w:rsidR="00253281" w:rsidRDefault="00253281" w:rsidP="005C18C1">
      <w:pPr>
        <w:tabs>
          <w:tab w:val="left" w:pos="3341"/>
        </w:tabs>
        <w:rPr>
          <w:rFonts w:cs="Arial"/>
          <w:szCs w:val="20"/>
        </w:rPr>
      </w:pPr>
    </w:p>
    <w:p w14:paraId="32B074D7" w14:textId="6A72D0A2" w:rsidR="00466FF6" w:rsidRDefault="00867412" w:rsidP="00F13FC8">
      <w:pPr>
        <w:rPr>
          <w:rFonts w:cs="Arial"/>
          <w:szCs w:val="20"/>
        </w:rPr>
      </w:pPr>
      <w:r>
        <w:rPr>
          <w:rFonts w:cs="Arial"/>
          <w:szCs w:val="20"/>
        </w:rPr>
        <w:t xml:space="preserve">The average annual population increase is lower for each state than the average CPI growth for the past 10 years. </w:t>
      </w:r>
      <w:r w:rsidR="00776F37">
        <w:rPr>
          <w:rFonts w:cs="Arial"/>
          <w:szCs w:val="20"/>
        </w:rPr>
        <w:t>Based on this hy</w:t>
      </w:r>
      <w:r w:rsidR="00B43BFD">
        <w:rPr>
          <w:rFonts w:cs="Arial"/>
          <w:szCs w:val="20"/>
        </w:rPr>
        <w:t>pothetical set of tax</w:t>
      </w:r>
      <w:r w:rsidR="0004383D">
        <w:rPr>
          <w:rFonts w:cs="Arial"/>
          <w:szCs w:val="20"/>
        </w:rPr>
        <w:t xml:space="preserve"> </w:t>
      </w:r>
      <w:r w:rsidR="003F42A7">
        <w:rPr>
          <w:rFonts w:cs="Arial"/>
          <w:szCs w:val="20"/>
        </w:rPr>
        <w:t>table</w:t>
      </w:r>
      <w:r w:rsidR="00B43BFD">
        <w:rPr>
          <w:rFonts w:cs="Arial"/>
          <w:szCs w:val="20"/>
        </w:rPr>
        <w:t xml:space="preserve"> updates, </w:t>
      </w:r>
      <w:r w:rsidR="00CA2111">
        <w:rPr>
          <w:rFonts w:cs="Arial"/>
          <w:szCs w:val="20"/>
        </w:rPr>
        <w:t xml:space="preserve">each state would receive </w:t>
      </w:r>
      <w:r w:rsidR="00A23EC2">
        <w:rPr>
          <w:rFonts w:cs="Arial"/>
          <w:szCs w:val="20"/>
        </w:rPr>
        <w:t xml:space="preserve">relatively more </w:t>
      </w:r>
      <w:r w:rsidR="005E62EC">
        <w:rPr>
          <w:rFonts w:cs="Arial"/>
          <w:szCs w:val="20"/>
        </w:rPr>
        <w:t>customised</w:t>
      </w:r>
      <w:r w:rsidR="00A23EC2">
        <w:rPr>
          <w:rFonts w:cs="Arial"/>
          <w:szCs w:val="20"/>
        </w:rPr>
        <w:t xml:space="preserve"> tax </w:t>
      </w:r>
      <w:r w:rsidR="005E62EC">
        <w:rPr>
          <w:rFonts w:cs="Arial"/>
          <w:szCs w:val="20"/>
        </w:rPr>
        <w:t xml:space="preserve">arrangements </w:t>
      </w:r>
      <w:r w:rsidR="006C5B68">
        <w:rPr>
          <w:rFonts w:cs="Arial"/>
          <w:szCs w:val="20"/>
        </w:rPr>
        <w:t>according</w:t>
      </w:r>
      <w:r w:rsidR="00AC2432">
        <w:rPr>
          <w:rFonts w:cs="Arial"/>
          <w:szCs w:val="20"/>
        </w:rPr>
        <w:t xml:space="preserve"> to </w:t>
      </w:r>
      <w:r w:rsidR="00381057">
        <w:rPr>
          <w:rFonts w:cs="Arial"/>
          <w:szCs w:val="20"/>
        </w:rPr>
        <w:t>its relative population growth</w:t>
      </w:r>
      <w:r w:rsidR="0041132E">
        <w:rPr>
          <w:rFonts w:cs="Arial"/>
          <w:szCs w:val="20"/>
        </w:rPr>
        <w:t>, meaning</w:t>
      </w:r>
      <w:r w:rsidR="003120A9">
        <w:rPr>
          <w:rFonts w:cs="Arial"/>
          <w:szCs w:val="20"/>
        </w:rPr>
        <w:t xml:space="preserve"> states and territories like Tasmania</w:t>
      </w:r>
      <w:r w:rsidR="00091ADB">
        <w:rPr>
          <w:rFonts w:cs="Arial"/>
          <w:szCs w:val="20"/>
        </w:rPr>
        <w:t xml:space="preserve">, South Australia and </w:t>
      </w:r>
      <w:r w:rsidR="00645F30">
        <w:rPr>
          <w:rFonts w:cs="Arial"/>
          <w:szCs w:val="20"/>
        </w:rPr>
        <w:t xml:space="preserve">the Northern </w:t>
      </w:r>
      <w:r w:rsidR="00391EDD">
        <w:rPr>
          <w:rFonts w:cs="Arial"/>
          <w:szCs w:val="20"/>
        </w:rPr>
        <w:t>T</w:t>
      </w:r>
      <w:r w:rsidR="00645F30">
        <w:rPr>
          <w:rFonts w:cs="Arial"/>
          <w:szCs w:val="20"/>
        </w:rPr>
        <w:t xml:space="preserve">erritory </w:t>
      </w:r>
      <w:r w:rsidR="00391EDD">
        <w:rPr>
          <w:rFonts w:cs="Arial"/>
          <w:szCs w:val="20"/>
        </w:rPr>
        <w:t xml:space="preserve">would </w:t>
      </w:r>
      <w:r w:rsidR="00645F30">
        <w:rPr>
          <w:rFonts w:cs="Arial"/>
          <w:szCs w:val="20"/>
        </w:rPr>
        <w:t xml:space="preserve">receive </w:t>
      </w:r>
      <w:r w:rsidR="003070B0">
        <w:rPr>
          <w:rFonts w:cs="Arial"/>
          <w:szCs w:val="20"/>
        </w:rPr>
        <w:t>smaller</w:t>
      </w:r>
      <w:r w:rsidR="00645F30">
        <w:rPr>
          <w:rFonts w:cs="Arial"/>
          <w:szCs w:val="20"/>
        </w:rPr>
        <w:t xml:space="preserve"> </w:t>
      </w:r>
      <w:r w:rsidR="00DB5E39">
        <w:rPr>
          <w:rFonts w:cs="Arial"/>
          <w:szCs w:val="20"/>
        </w:rPr>
        <w:t>increases than other faster growing states</w:t>
      </w:r>
      <w:r w:rsidR="001469B2">
        <w:rPr>
          <w:rFonts w:cs="Arial"/>
          <w:szCs w:val="20"/>
        </w:rPr>
        <w:t>.</w:t>
      </w:r>
      <w:r w:rsidR="00ED0BB6">
        <w:rPr>
          <w:rFonts w:cs="Arial"/>
          <w:szCs w:val="20"/>
        </w:rPr>
        <w:t xml:space="preserve"> </w:t>
      </w:r>
      <w:r w:rsidR="009C4DD2">
        <w:rPr>
          <w:rFonts w:cs="Arial"/>
          <w:szCs w:val="20"/>
        </w:rPr>
        <w:t>This</w:t>
      </w:r>
      <w:r w:rsidR="00063A1C">
        <w:rPr>
          <w:rFonts w:cs="Arial"/>
          <w:szCs w:val="20"/>
        </w:rPr>
        <w:t xml:space="preserve"> benefit</w:t>
      </w:r>
      <w:r w:rsidR="005960BC">
        <w:rPr>
          <w:rFonts w:cs="Arial"/>
          <w:szCs w:val="20"/>
        </w:rPr>
        <w:t xml:space="preserve"> of </w:t>
      </w:r>
      <w:r w:rsidR="00DB28DC">
        <w:rPr>
          <w:rFonts w:cs="Arial"/>
          <w:szCs w:val="20"/>
        </w:rPr>
        <w:t xml:space="preserve">better targeted </w:t>
      </w:r>
      <w:r w:rsidR="00D70036">
        <w:rPr>
          <w:rFonts w:cs="Arial"/>
          <w:szCs w:val="20"/>
        </w:rPr>
        <w:t xml:space="preserve">apparatus </w:t>
      </w:r>
      <w:r w:rsidR="00DB28DC">
        <w:rPr>
          <w:rFonts w:cs="Arial"/>
          <w:szCs w:val="20"/>
        </w:rPr>
        <w:t>taxes</w:t>
      </w:r>
      <w:r w:rsidR="00063A1C">
        <w:rPr>
          <w:rFonts w:cs="Arial"/>
          <w:szCs w:val="20"/>
        </w:rPr>
        <w:t xml:space="preserve"> </w:t>
      </w:r>
      <w:r w:rsidR="00633B1C">
        <w:rPr>
          <w:rFonts w:cs="Arial"/>
          <w:szCs w:val="20"/>
        </w:rPr>
        <w:t>is</w:t>
      </w:r>
      <w:r w:rsidR="00063A1C">
        <w:rPr>
          <w:rFonts w:cs="Arial"/>
          <w:szCs w:val="20"/>
        </w:rPr>
        <w:t xml:space="preserve"> also </w:t>
      </w:r>
      <w:r w:rsidR="00163BA7">
        <w:rPr>
          <w:rFonts w:cs="Arial"/>
          <w:szCs w:val="20"/>
        </w:rPr>
        <w:t>conferred to HPON</w:t>
      </w:r>
      <w:r w:rsidR="00701847">
        <w:rPr>
          <w:rFonts w:cs="Arial"/>
          <w:szCs w:val="20"/>
        </w:rPr>
        <w:t>s</w:t>
      </w:r>
      <w:r w:rsidR="00CB57C9">
        <w:rPr>
          <w:rFonts w:cs="Arial"/>
          <w:szCs w:val="20"/>
        </w:rPr>
        <w:t>, a</w:t>
      </w:r>
      <w:r w:rsidR="00CB57C9" w:rsidRPr="00D5571F">
        <w:rPr>
          <w:rFonts w:cs="Arial"/>
          <w:szCs w:val="20"/>
        </w:rPr>
        <w:t>s shown in Table 10.</w:t>
      </w:r>
    </w:p>
    <w:p w14:paraId="713EC3A6" w14:textId="36DBE264" w:rsidR="001E638B" w:rsidRPr="006D0A12" w:rsidRDefault="008721A5" w:rsidP="007A5938">
      <w:pPr>
        <w:pStyle w:val="Tableheading"/>
        <w:keepLines/>
        <w:widowControl w:val="0"/>
      </w:pPr>
      <w:r>
        <w:lastRenderedPageBreak/>
        <w:t>Population increase vs CPI by HPON</w:t>
      </w: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Pr>
      <w:tblGrid>
        <w:gridCol w:w="1214"/>
        <w:gridCol w:w="1214"/>
        <w:gridCol w:w="1214"/>
        <w:gridCol w:w="1215"/>
        <w:gridCol w:w="1214"/>
        <w:gridCol w:w="1214"/>
        <w:gridCol w:w="1215"/>
      </w:tblGrid>
      <w:tr w:rsidR="003518EB" w:rsidRPr="009F2E80" w14:paraId="1E5889E5" w14:textId="77777777" w:rsidTr="0052246C">
        <w:trPr>
          <w:trHeight w:val="74"/>
          <w:tblHeader/>
        </w:trPr>
        <w:tc>
          <w:tcPr>
            <w:tcW w:w="1214" w:type="dxa"/>
            <w:shd w:val="clear" w:color="auto" w:fill="404040" w:themeFill="text1" w:themeFillTint="BF"/>
            <w:noWrap/>
            <w:vAlign w:val="bottom"/>
            <w:hideMark/>
          </w:tcPr>
          <w:p w14:paraId="6FC258E7" w14:textId="54481068" w:rsidR="00231EE4" w:rsidRPr="009F2E80" w:rsidRDefault="00231EE4" w:rsidP="006A0FEF">
            <w:pPr>
              <w:keepNext/>
              <w:keepLines/>
              <w:widowControl w:val="0"/>
              <w:spacing w:after="0" w:line="240" w:lineRule="auto"/>
              <w:rPr>
                <w:rFonts w:cs="Arial"/>
                <w:b/>
                <w:bCs/>
                <w:color w:val="FFFFFF" w:themeColor="background1"/>
                <w:szCs w:val="20"/>
              </w:rPr>
            </w:pPr>
            <w:r w:rsidRPr="009F2E80">
              <w:rPr>
                <w:rFonts w:cs="Arial"/>
                <w:b/>
                <w:bCs/>
                <w:color w:val="FFFFFF" w:themeColor="background1"/>
                <w:szCs w:val="20"/>
              </w:rPr>
              <w:t> </w:t>
            </w:r>
            <w:r w:rsidR="003518EB">
              <w:rPr>
                <w:rFonts w:cs="Arial"/>
                <w:b/>
                <w:bCs/>
                <w:color w:val="FFFFFF" w:themeColor="background1"/>
                <w:szCs w:val="20"/>
              </w:rPr>
              <w:t>Year</w:t>
            </w:r>
          </w:p>
        </w:tc>
        <w:tc>
          <w:tcPr>
            <w:tcW w:w="1214" w:type="dxa"/>
            <w:shd w:val="clear" w:color="auto" w:fill="404040" w:themeFill="text1" w:themeFillTint="BF"/>
            <w:noWrap/>
            <w:vAlign w:val="bottom"/>
            <w:hideMark/>
          </w:tcPr>
          <w:p w14:paraId="0DD979A7" w14:textId="77777777" w:rsidR="00231EE4" w:rsidRPr="009F2E80" w:rsidRDefault="00231EE4" w:rsidP="007A5938">
            <w:pPr>
              <w:keepNext/>
              <w:keepLines/>
              <w:widowControl w:val="0"/>
              <w:spacing w:after="0" w:line="240" w:lineRule="auto"/>
              <w:jc w:val="right"/>
              <w:rPr>
                <w:rFonts w:cs="Arial"/>
                <w:b/>
                <w:bCs/>
                <w:color w:val="FFFFFF" w:themeColor="background1"/>
                <w:szCs w:val="20"/>
              </w:rPr>
            </w:pPr>
            <w:r w:rsidRPr="009F2E80">
              <w:rPr>
                <w:rFonts w:cs="Arial"/>
                <w:b/>
                <w:bCs/>
                <w:color w:val="FFFFFF" w:themeColor="background1"/>
                <w:szCs w:val="20"/>
              </w:rPr>
              <w:t>Melbourne</w:t>
            </w:r>
          </w:p>
        </w:tc>
        <w:tc>
          <w:tcPr>
            <w:tcW w:w="1214" w:type="dxa"/>
            <w:shd w:val="clear" w:color="auto" w:fill="404040" w:themeFill="text1" w:themeFillTint="BF"/>
            <w:noWrap/>
            <w:vAlign w:val="bottom"/>
            <w:hideMark/>
          </w:tcPr>
          <w:p w14:paraId="6B1CA626" w14:textId="77777777" w:rsidR="00231EE4" w:rsidRPr="009F2E80" w:rsidRDefault="00231EE4" w:rsidP="007A5938">
            <w:pPr>
              <w:keepNext/>
              <w:keepLines/>
              <w:widowControl w:val="0"/>
              <w:spacing w:after="0" w:line="240" w:lineRule="auto"/>
              <w:jc w:val="right"/>
              <w:rPr>
                <w:rFonts w:cs="Arial"/>
                <w:b/>
                <w:bCs/>
                <w:color w:val="FFFFFF" w:themeColor="background1"/>
                <w:szCs w:val="20"/>
              </w:rPr>
            </w:pPr>
            <w:r w:rsidRPr="009F2E80">
              <w:rPr>
                <w:rFonts w:cs="Arial"/>
                <w:b/>
                <w:bCs/>
                <w:color w:val="FFFFFF" w:themeColor="background1"/>
                <w:szCs w:val="20"/>
              </w:rPr>
              <w:t>Sydney</w:t>
            </w:r>
          </w:p>
        </w:tc>
        <w:tc>
          <w:tcPr>
            <w:tcW w:w="1215" w:type="dxa"/>
            <w:shd w:val="clear" w:color="auto" w:fill="404040" w:themeFill="text1" w:themeFillTint="BF"/>
            <w:noWrap/>
            <w:vAlign w:val="bottom"/>
            <w:hideMark/>
          </w:tcPr>
          <w:p w14:paraId="451EFFA2" w14:textId="77777777" w:rsidR="00231EE4" w:rsidRPr="009F2E80" w:rsidRDefault="00231EE4" w:rsidP="007A5938">
            <w:pPr>
              <w:keepNext/>
              <w:keepLines/>
              <w:widowControl w:val="0"/>
              <w:spacing w:after="0" w:line="240" w:lineRule="auto"/>
              <w:jc w:val="right"/>
              <w:rPr>
                <w:rFonts w:cs="Arial"/>
                <w:b/>
                <w:bCs/>
                <w:color w:val="FFFFFF" w:themeColor="background1"/>
                <w:szCs w:val="20"/>
              </w:rPr>
            </w:pPr>
            <w:r w:rsidRPr="009F2E80">
              <w:rPr>
                <w:rFonts w:cs="Arial"/>
                <w:b/>
                <w:bCs/>
                <w:color w:val="FFFFFF" w:themeColor="background1"/>
                <w:szCs w:val="20"/>
              </w:rPr>
              <w:t>Brisbane</w:t>
            </w:r>
          </w:p>
        </w:tc>
        <w:tc>
          <w:tcPr>
            <w:tcW w:w="1214" w:type="dxa"/>
            <w:shd w:val="clear" w:color="auto" w:fill="404040" w:themeFill="text1" w:themeFillTint="BF"/>
            <w:noWrap/>
            <w:vAlign w:val="bottom"/>
            <w:hideMark/>
          </w:tcPr>
          <w:p w14:paraId="5141BF32" w14:textId="77777777" w:rsidR="00231EE4" w:rsidRPr="009F2E80" w:rsidRDefault="00231EE4" w:rsidP="007A5938">
            <w:pPr>
              <w:keepNext/>
              <w:keepLines/>
              <w:widowControl w:val="0"/>
              <w:spacing w:after="0" w:line="240" w:lineRule="auto"/>
              <w:jc w:val="right"/>
              <w:rPr>
                <w:rFonts w:cs="Arial"/>
                <w:b/>
                <w:bCs/>
                <w:color w:val="FFFFFF" w:themeColor="background1"/>
                <w:szCs w:val="20"/>
              </w:rPr>
            </w:pPr>
            <w:r w:rsidRPr="009F2E80">
              <w:rPr>
                <w:rFonts w:cs="Arial"/>
                <w:b/>
                <w:bCs/>
                <w:color w:val="FFFFFF" w:themeColor="background1"/>
                <w:szCs w:val="20"/>
              </w:rPr>
              <w:t>Perth</w:t>
            </w:r>
          </w:p>
        </w:tc>
        <w:tc>
          <w:tcPr>
            <w:tcW w:w="1214" w:type="dxa"/>
            <w:shd w:val="clear" w:color="auto" w:fill="404040" w:themeFill="text1" w:themeFillTint="BF"/>
            <w:noWrap/>
            <w:vAlign w:val="bottom"/>
            <w:hideMark/>
          </w:tcPr>
          <w:p w14:paraId="6250B6BB" w14:textId="77777777" w:rsidR="00231EE4" w:rsidRPr="009F2E80" w:rsidRDefault="00231EE4" w:rsidP="007A5938">
            <w:pPr>
              <w:keepNext/>
              <w:keepLines/>
              <w:widowControl w:val="0"/>
              <w:spacing w:after="0" w:line="240" w:lineRule="auto"/>
              <w:jc w:val="right"/>
              <w:rPr>
                <w:rFonts w:cs="Arial"/>
                <w:b/>
                <w:bCs/>
                <w:color w:val="FFFFFF" w:themeColor="background1"/>
                <w:szCs w:val="20"/>
              </w:rPr>
            </w:pPr>
            <w:r w:rsidRPr="009F2E80">
              <w:rPr>
                <w:rFonts w:cs="Arial"/>
                <w:b/>
                <w:bCs/>
                <w:color w:val="FFFFFF" w:themeColor="background1"/>
                <w:szCs w:val="20"/>
              </w:rPr>
              <w:t>Adelaide</w:t>
            </w:r>
          </w:p>
        </w:tc>
        <w:tc>
          <w:tcPr>
            <w:tcW w:w="1215" w:type="dxa"/>
            <w:shd w:val="clear" w:color="auto" w:fill="404040" w:themeFill="text1" w:themeFillTint="BF"/>
            <w:noWrap/>
            <w:vAlign w:val="bottom"/>
            <w:hideMark/>
          </w:tcPr>
          <w:p w14:paraId="4D7F0E68" w14:textId="77777777" w:rsidR="00231EE4" w:rsidRPr="009F2E80" w:rsidRDefault="00231EE4" w:rsidP="007A5938">
            <w:pPr>
              <w:keepNext/>
              <w:keepLines/>
              <w:widowControl w:val="0"/>
              <w:spacing w:after="0" w:line="240" w:lineRule="auto"/>
              <w:jc w:val="right"/>
              <w:rPr>
                <w:rFonts w:cs="Arial"/>
                <w:b/>
                <w:bCs/>
                <w:color w:val="FFFFFF" w:themeColor="background1"/>
                <w:szCs w:val="20"/>
              </w:rPr>
            </w:pPr>
            <w:r w:rsidRPr="009F2E80">
              <w:rPr>
                <w:rFonts w:cs="Arial"/>
                <w:b/>
                <w:bCs/>
                <w:color w:val="FFFFFF" w:themeColor="background1"/>
                <w:szCs w:val="20"/>
              </w:rPr>
              <w:t>CPI</w:t>
            </w:r>
          </w:p>
        </w:tc>
      </w:tr>
      <w:tr w:rsidR="00231EE4" w:rsidRPr="009F2E80" w14:paraId="566B1FE5" w14:textId="77777777" w:rsidTr="007A5938">
        <w:trPr>
          <w:trHeight w:val="74"/>
        </w:trPr>
        <w:tc>
          <w:tcPr>
            <w:tcW w:w="1214" w:type="dxa"/>
            <w:shd w:val="clear" w:color="auto" w:fill="auto"/>
            <w:noWrap/>
            <w:vAlign w:val="bottom"/>
            <w:hideMark/>
          </w:tcPr>
          <w:p w14:paraId="45AECF10" w14:textId="77777777" w:rsidR="00231EE4" w:rsidRPr="009F2E80" w:rsidRDefault="00231EE4" w:rsidP="007A5938">
            <w:pPr>
              <w:keepNext/>
              <w:keepLines/>
              <w:widowControl w:val="0"/>
              <w:spacing w:after="0" w:line="240" w:lineRule="auto"/>
              <w:rPr>
                <w:rFonts w:cs="Arial"/>
                <w:color w:val="000000"/>
                <w:szCs w:val="20"/>
              </w:rPr>
            </w:pPr>
            <w:r w:rsidRPr="009F2E80">
              <w:rPr>
                <w:rFonts w:cs="Arial"/>
                <w:color w:val="000000"/>
                <w:szCs w:val="20"/>
              </w:rPr>
              <w:t>2001</w:t>
            </w:r>
          </w:p>
        </w:tc>
        <w:tc>
          <w:tcPr>
            <w:tcW w:w="1214" w:type="dxa"/>
            <w:shd w:val="clear" w:color="auto" w:fill="auto"/>
            <w:noWrap/>
            <w:vAlign w:val="bottom"/>
            <w:hideMark/>
          </w:tcPr>
          <w:p w14:paraId="5E4A6D7B" w14:textId="77777777" w:rsidR="00231EE4" w:rsidRPr="009F2E80" w:rsidRDefault="00231EE4" w:rsidP="007A5938">
            <w:pPr>
              <w:keepNext/>
              <w:keepLines/>
              <w:widowControl w:val="0"/>
              <w:spacing w:after="0" w:line="240" w:lineRule="auto"/>
              <w:jc w:val="right"/>
              <w:rPr>
                <w:rFonts w:cs="Arial"/>
                <w:color w:val="000000"/>
                <w:szCs w:val="20"/>
              </w:rPr>
            </w:pPr>
          </w:p>
        </w:tc>
        <w:tc>
          <w:tcPr>
            <w:tcW w:w="1214" w:type="dxa"/>
            <w:shd w:val="clear" w:color="auto" w:fill="auto"/>
            <w:noWrap/>
            <w:vAlign w:val="bottom"/>
            <w:hideMark/>
          </w:tcPr>
          <w:p w14:paraId="6856EB43" w14:textId="77777777" w:rsidR="00231EE4" w:rsidRPr="006A0FEF" w:rsidRDefault="00231EE4" w:rsidP="007A5938">
            <w:pPr>
              <w:keepNext/>
              <w:keepLines/>
              <w:widowControl w:val="0"/>
              <w:spacing w:after="0" w:line="240" w:lineRule="auto"/>
              <w:jc w:val="right"/>
              <w:rPr>
                <w:rFonts w:cs="Arial"/>
                <w:szCs w:val="20"/>
              </w:rPr>
            </w:pPr>
          </w:p>
        </w:tc>
        <w:tc>
          <w:tcPr>
            <w:tcW w:w="1215" w:type="dxa"/>
            <w:shd w:val="clear" w:color="auto" w:fill="auto"/>
            <w:noWrap/>
            <w:vAlign w:val="bottom"/>
            <w:hideMark/>
          </w:tcPr>
          <w:p w14:paraId="698C5289" w14:textId="77777777" w:rsidR="00231EE4" w:rsidRPr="006A0FEF" w:rsidRDefault="00231EE4" w:rsidP="007A5938">
            <w:pPr>
              <w:keepNext/>
              <w:keepLines/>
              <w:widowControl w:val="0"/>
              <w:spacing w:after="0" w:line="240" w:lineRule="auto"/>
              <w:jc w:val="right"/>
              <w:rPr>
                <w:rFonts w:cs="Arial"/>
                <w:szCs w:val="20"/>
              </w:rPr>
            </w:pPr>
          </w:p>
        </w:tc>
        <w:tc>
          <w:tcPr>
            <w:tcW w:w="1214" w:type="dxa"/>
            <w:shd w:val="clear" w:color="auto" w:fill="auto"/>
            <w:noWrap/>
            <w:vAlign w:val="bottom"/>
            <w:hideMark/>
          </w:tcPr>
          <w:p w14:paraId="474752DF" w14:textId="77777777" w:rsidR="00231EE4" w:rsidRPr="006A0FEF" w:rsidRDefault="00231EE4" w:rsidP="007A5938">
            <w:pPr>
              <w:keepNext/>
              <w:keepLines/>
              <w:widowControl w:val="0"/>
              <w:spacing w:after="0" w:line="240" w:lineRule="auto"/>
              <w:jc w:val="right"/>
              <w:rPr>
                <w:rFonts w:cs="Arial"/>
                <w:szCs w:val="20"/>
              </w:rPr>
            </w:pPr>
          </w:p>
        </w:tc>
        <w:tc>
          <w:tcPr>
            <w:tcW w:w="1214" w:type="dxa"/>
            <w:shd w:val="clear" w:color="auto" w:fill="auto"/>
            <w:noWrap/>
            <w:vAlign w:val="bottom"/>
            <w:hideMark/>
          </w:tcPr>
          <w:p w14:paraId="16430D94" w14:textId="77777777" w:rsidR="00231EE4" w:rsidRPr="006A0FEF" w:rsidRDefault="00231EE4" w:rsidP="007A5938">
            <w:pPr>
              <w:keepNext/>
              <w:keepLines/>
              <w:widowControl w:val="0"/>
              <w:spacing w:after="0" w:line="240" w:lineRule="auto"/>
              <w:jc w:val="right"/>
              <w:rPr>
                <w:rFonts w:cs="Arial"/>
                <w:szCs w:val="20"/>
              </w:rPr>
            </w:pPr>
          </w:p>
        </w:tc>
        <w:tc>
          <w:tcPr>
            <w:tcW w:w="1215" w:type="dxa"/>
            <w:shd w:val="clear" w:color="auto" w:fill="auto"/>
            <w:noWrap/>
            <w:vAlign w:val="bottom"/>
            <w:hideMark/>
          </w:tcPr>
          <w:p w14:paraId="256CB511" w14:textId="77777777" w:rsidR="00231EE4" w:rsidRPr="006A0FEF" w:rsidRDefault="00231EE4" w:rsidP="007A5938">
            <w:pPr>
              <w:keepNext/>
              <w:keepLines/>
              <w:widowControl w:val="0"/>
              <w:spacing w:after="0" w:line="240" w:lineRule="auto"/>
              <w:jc w:val="right"/>
              <w:rPr>
                <w:rFonts w:cs="Arial"/>
                <w:szCs w:val="20"/>
              </w:rPr>
            </w:pPr>
          </w:p>
        </w:tc>
      </w:tr>
      <w:tr w:rsidR="00231EE4" w:rsidRPr="009F2E80" w14:paraId="32446739" w14:textId="77777777" w:rsidTr="007A5938">
        <w:trPr>
          <w:trHeight w:val="74"/>
        </w:trPr>
        <w:tc>
          <w:tcPr>
            <w:tcW w:w="1214" w:type="dxa"/>
            <w:shd w:val="clear" w:color="auto" w:fill="auto"/>
            <w:noWrap/>
            <w:vAlign w:val="bottom"/>
            <w:hideMark/>
          </w:tcPr>
          <w:p w14:paraId="66B38269"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2002</w:t>
            </w:r>
          </w:p>
        </w:tc>
        <w:tc>
          <w:tcPr>
            <w:tcW w:w="1214" w:type="dxa"/>
            <w:shd w:val="clear" w:color="auto" w:fill="auto"/>
            <w:noWrap/>
            <w:vAlign w:val="bottom"/>
            <w:hideMark/>
          </w:tcPr>
          <w:p w14:paraId="0F9ED768"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1.30%</w:t>
            </w:r>
          </w:p>
        </w:tc>
        <w:tc>
          <w:tcPr>
            <w:tcW w:w="1214" w:type="dxa"/>
            <w:shd w:val="clear" w:color="auto" w:fill="auto"/>
            <w:noWrap/>
            <w:vAlign w:val="bottom"/>
            <w:hideMark/>
          </w:tcPr>
          <w:p w14:paraId="5BBA5B6A"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0.79%</w:t>
            </w:r>
          </w:p>
        </w:tc>
        <w:tc>
          <w:tcPr>
            <w:tcW w:w="1215" w:type="dxa"/>
            <w:shd w:val="clear" w:color="auto" w:fill="auto"/>
            <w:noWrap/>
            <w:vAlign w:val="bottom"/>
            <w:hideMark/>
          </w:tcPr>
          <w:p w14:paraId="1751D8E9"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2.52%</w:t>
            </w:r>
          </w:p>
        </w:tc>
        <w:tc>
          <w:tcPr>
            <w:tcW w:w="1214" w:type="dxa"/>
            <w:shd w:val="clear" w:color="auto" w:fill="auto"/>
            <w:noWrap/>
            <w:vAlign w:val="bottom"/>
            <w:hideMark/>
          </w:tcPr>
          <w:p w14:paraId="39FB2F99"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1.29%</w:t>
            </w:r>
          </w:p>
        </w:tc>
        <w:tc>
          <w:tcPr>
            <w:tcW w:w="1214" w:type="dxa"/>
            <w:shd w:val="clear" w:color="auto" w:fill="auto"/>
            <w:noWrap/>
            <w:vAlign w:val="bottom"/>
            <w:hideMark/>
          </w:tcPr>
          <w:p w14:paraId="745DC8F6"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0.98%</w:t>
            </w:r>
          </w:p>
        </w:tc>
        <w:tc>
          <w:tcPr>
            <w:tcW w:w="1215" w:type="dxa"/>
            <w:shd w:val="clear" w:color="auto" w:fill="auto"/>
            <w:noWrap/>
            <w:vAlign w:val="bottom"/>
            <w:hideMark/>
          </w:tcPr>
          <w:p w14:paraId="4CF3710A"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2.80%</w:t>
            </w:r>
          </w:p>
        </w:tc>
      </w:tr>
      <w:tr w:rsidR="00231EE4" w:rsidRPr="009F2E80" w14:paraId="0978F73E" w14:textId="77777777" w:rsidTr="007A5938">
        <w:trPr>
          <w:trHeight w:val="74"/>
        </w:trPr>
        <w:tc>
          <w:tcPr>
            <w:tcW w:w="1214" w:type="dxa"/>
            <w:shd w:val="clear" w:color="auto" w:fill="auto"/>
            <w:noWrap/>
            <w:vAlign w:val="bottom"/>
            <w:hideMark/>
          </w:tcPr>
          <w:p w14:paraId="0538C057"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2003</w:t>
            </w:r>
          </w:p>
        </w:tc>
        <w:tc>
          <w:tcPr>
            <w:tcW w:w="1214" w:type="dxa"/>
            <w:shd w:val="clear" w:color="auto" w:fill="auto"/>
            <w:noWrap/>
            <w:vAlign w:val="bottom"/>
            <w:hideMark/>
          </w:tcPr>
          <w:p w14:paraId="6D3779C8"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1.36%</w:t>
            </w:r>
          </w:p>
        </w:tc>
        <w:tc>
          <w:tcPr>
            <w:tcW w:w="1214" w:type="dxa"/>
            <w:shd w:val="clear" w:color="auto" w:fill="auto"/>
            <w:noWrap/>
            <w:vAlign w:val="bottom"/>
            <w:hideMark/>
          </w:tcPr>
          <w:p w14:paraId="0447E5FF"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0.65%</w:t>
            </w:r>
          </w:p>
        </w:tc>
        <w:tc>
          <w:tcPr>
            <w:tcW w:w="1215" w:type="dxa"/>
            <w:shd w:val="clear" w:color="auto" w:fill="auto"/>
            <w:noWrap/>
            <w:vAlign w:val="bottom"/>
            <w:hideMark/>
          </w:tcPr>
          <w:p w14:paraId="554F1052"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2.61%</w:t>
            </w:r>
          </w:p>
        </w:tc>
        <w:tc>
          <w:tcPr>
            <w:tcW w:w="1214" w:type="dxa"/>
            <w:shd w:val="clear" w:color="auto" w:fill="auto"/>
            <w:noWrap/>
            <w:vAlign w:val="bottom"/>
            <w:hideMark/>
          </w:tcPr>
          <w:p w14:paraId="55320BD4"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1.42%</w:t>
            </w:r>
          </w:p>
        </w:tc>
        <w:tc>
          <w:tcPr>
            <w:tcW w:w="1214" w:type="dxa"/>
            <w:shd w:val="clear" w:color="auto" w:fill="auto"/>
            <w:noWrap/>
            <w:vAlign w:val="bottom"/>
            <w:hideMark/>
          </w:tcPr>
          <w:p w14:paraId="7BFCAF62"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1.05%</w:t>
            </w:r>
          </w:p>
        </w:tc>
        <w:tc>
          <w:tcPr>
            <w:tcW w:w="1215" w:type="dxa"/>
            <w:shd w:val="clear" w:color="auto" w:fill="auto"/>
            <w:noWrap/>
            <w:vAlign w:val="bottom"/>
            <w:hideMark/>
          </w:tcPr>
          <w:p w14:paraId="27E14DF8"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2.60%</w:t>
            </w:r>
          </w:p>
        </w:tc>
      </w:tr>
      <w:tr w:rsidR="00231EE4" w:rsidRPr="009F2E80" w14:paraId="132EFD8F" w14:textId="77777777" w:rsidTr="007A5938">
        <w:trPr>
          <w:trHeight w:val="74"/>
        </w:trPr>
        <w:tc>
          <w:tcPr>
            <w:tcW w:w="1214" w:type="dxa"/>
            <w:shd w:val="clear" w:color="auto" w:fill="auto"/>
            <w:noWrap/>
            <w:vAlign w:val="bottom"/>
            <w:hideMark/>
          </w:tcPr>
          <w:p w14:paraId="00B1B854"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2004</w:t>
            </w:r>
          </w:p>
        </w:tc>
        <w:tc>
          <w:tcPr>
            <w:tcW w:w="1214" w:type="dxa"/>
            <w:shd w:val="clear" w:color="auto" w:fill="auto"/>
            <w:noWrap/>
            <w:vAlign w:val="bottom"/>
            <w:hideMark/>
          </w:tcPr>
          <w:p w14:paraId="3CF927D6"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1.33%</w:t>
            </w:r>
          </w:p>
        </w:tc>
        <w:tc>
          <w:tcPr>
            <w:tcW w:w="1214" w:type="dxa"/>
            <w:shd w:val="clear" w:color="auto" w:fill="auto"/>
            <w:noWrap/>
            <w:vAlign w:val="bottom"/>
            <w:hideMark/>
          </w:tcPr>
          <w:p w14:paraId="3D7A14DC"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0.55%</w:t>
            </w:r>
          </w:p>
        </w:tc>
        <w:tc>
          <w:tcPr>
            <w:tcW w:w="1215" w:type="dxa"/>
            <w:shd w:val="clear" w:color="auto" w:fill="auto"/>
            <w:noWrap/>
            <w:vAlign w:val="bottom"/>
            <w:hideMark/>
          </w:tcPr>
          <w:p w14:paraId="0F7F123E"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2.42%</w:t>
            </w:r>
          </w:p>
        </w:tc>
        <w:tc>
          <w:tcPr>
            <w:tcW w:w="1214" w:type="dxa"/>
            <w:shd w:val="clear" w:color="auto" w:fill="auto"/>
            <w:noWrap/>
            <w:vAlign w:val="bottom"/>
            <w:hideMark/>
          </w:tcPr>
          <w:p w14:paraId="18EB9198"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1.60%</w:t>
            </w:r>
          </w:p>
        </w:tc>
        <w:tc>
          <w:tcPr>
            <w:tcW w:w="1214" w:type="dxa"/>
            <w:shd w:val="clear" w:color="auto" w:fill="auto"/>
            <w:noWrap/>
            <w:vAlign w:val="bottom"/>
            <w:hideMark/>
          </w:tcPr>
          <w:p w14:paraId="203D291F"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1.06%</w:t>
            </w:r>
          </w:p>
        </w:tc>
        <w:tc>
          <w:tcPr>
            <w:tcW w:w="1215" w:type="dxa"/>
            <w:shd w:val="clear" w:color="auto" w:fill="auto"/>
            <w:noWrap/>
            <w:vAlign w:val="bottom"/>
            <w:hideMark/>
          </w:tcPr>
          <w:p w14:paraId="655F46E0"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2.50%</w:t>
            </w:r>
          </w:p>
        </w:tc>
      </w:tr>
      <w:tr w:rsidR="00231EE4" w:rsidRPr="009F2E80" w14:paraId="5AE62409" w14:textId="77777777" w:rsidTr="007A5938">
        <w:trPr>
          <w:trHeight w:val="74"/>
        </w:trPr>
        <w:tc>
          <w:tcPr>
            <w:tcW w:w="1214" w:type="dxa"/>
            <w:shd w:val="clear" w:color="auto" w:fill="auto"/>
            <w:noWrap/>
            <w:vAlign w:val="bottom"/>
            <w:hideMark/>
          </w:tcPr>
          <w:p w14:paraId="0CC205EF"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2005</w:t>
            </w:r>
          </w:p>
        </w:tc>
        <w:tc>
          <w:tcPr>
            <w:tcW w:w="1214" w:type="dxa"/>
            <w:shd w:val="clear" w:color="auto" w:fill="auto"/>
            <w:noWrap/>
            <w:vAlign w:val="bottom"/>
            <w:hideMark/>
          </w:tcPr>
          <w:p w14:paraId="0A6A5108"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1.51%</w:t>
            </w:r>
          </w:p>
        </w:tc>
        <w:tc>
          <w:tcPr>
            <w:tcW w:w="1214" w:type="dxa"/>
            <w:shd w:val="clear" w:color="auto" w:fill="auto"/>
            <w:noWrap/>
            <w:vAlign w:val="bottom"/>
            <w:hideMark/>
          </w:tcPr>
          <w:p w14:paraId="2BB36405"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0.81%</w:t>
            </w:r>
          </w:p>
        </w:tc>
        <w:tc>
          <w:tcPr>
            <w:tcW w:w="1215" w:type="dxa"/>
            <w:shd w:val="clear" w:color="auto" w:fill="auto"/>
            <w:noWrap/>
            <w:vAlign w:val="bottom"/>
            <w:hideMark/>
          </w:tcPr>
          <w:p w14:paraId="1C10CB91"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2.31%</w:t>
            </w:r>
          </w:p>
        </w:tc>
        <w:tc>
          <w:tcPr>
            <w:tcW w:w="1214" w:type="dxa"/>
            <w:shd w:val="clear" w:color="auto" w:fill="auto"/>
            <w:noWrap/>
            <w:vAlign w:val="bottom"/>
            <w:hideMark/>
          </w:tcPr>
          <w:p w14:paraId="4B5E328C"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1.59%</w:t>
            </w:r>
          </w:p>
        </w:tc>
        <w:tc>
          <w:tcPr>
            <w:tcW w:w="1214" w:type="dxa"/>
            <w:shd w:val="clear" w:color="auto" w:fill="auto"/>
            <w:noWrap/>
            <w:vAlign w:val="bottom"/>
            <w:hideMark/>
          </w:tcPr>
          <w:p w14:paraId="77C5F986"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1.13%</w:t>
            </w:r>
          </w:p>
        </w:tc>
        <w:tc>
          <w:tcPr>
            <w:tcW w:w="1215" w:type="dxa"/>
            <w:shd w:val="clear" w:color="auto" w:fill="auto"/>
            <w:noWrap/>
            <w:vAlign w:val="bottom"/>
            <w:hideMark/>
          </w:tcPr>
          <w:p w14:paraId="010293A0"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2.50%</w:t>
            </w:r>
          </w:p>
        </w:tc>
      </w:tr>
      <w:tr w:rsidR="00231EE4" w:rsidRPr="009F2E80" w14:paraId="2217D527" w14:textId="77777777" w:rsidTr="007A5938">
        <w:trPr>
          <w:trHeight w:val="74"/>
        </w:trPr>
        <w:tc>
          <w:tcPr>
            <w:tcW w:w="1214" w:type="dxa"/>
            <w:shd w:val="clear" w:color="auto" w:fill="auto"/>
            <w:noWrap/>
            <w:vAlign w:val="bottom"/>
            <w:hideMark/>
          </w:tcPr>
          <w:p w14:paraId="4A014EFA"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2006</w:t>
            </w:r>
          </w:p>
        </w:tc>
        <w:tc>
          <w:tcPr>
            <w:tcW w:w="1214" w:type="dxa"/>
            <w:shd w:val="clear" w:color="auto" w:fill="auto"/>
            <w:noWrap/>
            <w:vAlign w:val="bottom"/>
            <w:hideMark/>
          </w:tcPr>
          <w:p w14:paraId="2F3FACBB"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1.70%</w:t>
            </w:r>
          </w:p>
        </w:tc>
        <w:tc>
          <w:tcPr>
            <w:tcW w:w="1214" w:type="dxa"/>
            <w:shd w:val="clear" w:color="auto" w:fill="auto"/>
            <w:noWrap/>
            <w:vAlign w:val="bottom"/>
            <w:hideMark/>
          </w:tcPr>
          <w:p w14:paraId="38D24897"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0.94%</w:t>
            </w:r>
          </w:p>
        </w:tc>
        <w:tc>
          <w:tcPr>
            <w:tcW w:w="1215" w:type="dxa"/>
            <w:shd w:val="clear" w:color="auto" w:fill="auto"/>
            <w:noWrap/>
            <w:vAlign w:val="bottom"/>
            <w:hideMark/>
          </w:tcPr>
          <w:p w14:paraId="7637ADB5"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2.23%</w:t>
            </w:r>
          </w:p>
        </w:tc>
        <w:tc>
          <w:tcPr>
            <w:tcW w:w="1214" w:type="dxa"/>
            <w:shd w:val="clear" w:color="auto" w:fill="auto"/>
            <w:noWrap/>
            <w:vAlign w:val="bottom"/>
            <w:hideMark/>
          </w:tcPr>
          <w:p w14:paraId="510FE553"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2.05%</w:t>
            </w:r>
          </w:p>
        </w:tc>
        <w:tc>
          <w:tcPr>
            <w:tcW w:w="1214" w:type="dxa"/>
            <w:shd w:val="clear" w:color="auto" w:fill="auto"/>
            <w:noWrap/>
            <w:vAlign w:val="bottom"/>
            <w:hideMark/>
          </w:tcPr>
          <w:p w14:paraId="69DD82A2"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1.44%</w:t>
            </w:r>
          </w:p>
        </w:tc>
        <w:tc>
          <w:tcPr>
            <w:tcW w:w="1215" w:type="dxa"/>
            <w:shd w:val="clear" w:color="auto" w:fill="auto"/>
            <w:noWrap/>
            <w:vAlign w:val="bottom"/>
            <w:hideMark/>
          </w:tcPr>
          <w:p w14:paraId="71E966C0"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4.00%</w:t>
            </w:r>
          </w:p>
        </w:tc>
      </w:tr>
      <w:tr w:rsidR="00231EE4" w:rsidRPr="009F2E80" w14:paraId="0D32B1CF" w14:textId="77777777" w:rsidTr="007A5938">
        <w:trPr>
          <w:trHeight w:val="74"/>
        </w:trPr>
        <w:tc>
          <w:tcPr>
            <w:tcW w:w="1214" w:type="dxa"/>
            <w:shd w:val="clear" w:color="auto" w:fill="auto"/>
            <w:noWrap/>
            <w:vAlign w:val="bottom"/>
            <w:hideMark/>
          </w:tcPr>
          <w:p w14:paraId="07590752"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2007</w:t>
            </w:r>
          </w:p>
        </w:tc>
        <w:tc>
          <w:tcPr>
            <w:tcW w:w="1214" w:type="dxa"/>
            <w:shd w:val="clear" w:color="auto" w:fill="auto"/>
            <w:noWrap/>
            <w:vAlign w:val="bottom"/>
            <w:hideMark/>
          </w:tcPr>
          <w:p w14:paraId="7D7A9992"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2.17%</w:t>
            </w:r>
          </w:p>
        </w:tc>
        <w:tc>
          <w:tcPr>
            <w:tcW w:w="1214" w:type="dxa"/>
            <w:shd w:val="clear" w:color="auto" w:fill="auto"/>
            <w:noWrap/>
            <w:vAlign w:val="bottom"/>
            <w:hideMark/>
          </w:tcPr>
          <w:p w14:paraId="63626C80"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1.68%</w:t>
            </w:r>
          </w:p>
        </w:tc>
        <w:tc>
          <w:tcPr>
            <w:tcW w:w="1215" w:type="dxa"/>
            <w:shd w:val="clear" w:color="auto" w:fill="auto"/>
            <w:noWrap/>
            <w:vAlign w:val="bottom"/>
            <w:hideMark/>
          </w:tcPr>
          <w:p w14:paraId="51E94B15"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2.68%</w:t>
            </w:r>
          </w:p>
        </w:tc>
        <w:tc>
          <w:tcPr>
            <w:tcW w:w="1214" w:type="dxa"/>
            <w:shd w:val="clear" w:color="auto" w:fill="auto"/>
            <w:noWrap/>
            <w:vAlign w:val="bottom"/>
            <w:hideMark/>
          </w:tcPr>
          <w:p w14:paraId="7DF243A2"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3.26%</w:t>
            </w:r>
          </w:p>
        </w:tc>
        <w:tc>
          <w:tcPr>
            <w:tcW w:w="1214" w:type="dxa"/>
            <w:shd w:val="clear" w:color="auto" w:fill="auto"/>
            <w:noWrap/>
            <w:vAlign w:val="bottom"/>
            <w:hideMark/>
          </w:tcPr>
          <w:p w14:paraId="5219AA57"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2.24%</w:t>
            </w:r>
          </w:p>
        </w:tc>
        <w:tc>
          <w:tcPr>
            <w:tcW w:w="1215" w:type="dxa"/>
            <w:shd w:val="clear" w:color="auto" w:fill="auto"/>
            <w:noWrap/>
            <w:vAlign w:val="bottom"/>
            <w:hideMark/>
          </w:tcPr>
          <w:p w14:paraId="3DA8BBA0"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2.10%</w:t>
            </w:r>
          </w:p>
        </w:tc>
      </w:tr>
      <w:tr w:rsidR="00231EE4" w:rsidRPr="009F2E80" w14:paraId="753D3A0F" w14:textId="77777777" w:rsidTr="007A5938">
        <w:trPr>
          <w:trHeight w:val="74"/>
        </w:trPr>
        <w:tc>
          <w:tcPr>
            <w:tcW w:w="1214" w:type="dxa"/>
            <w:shd w:val="clear" w:color="auto" w:fill="auto"/>
            <w:noWrap/>
            <w:vAlign w:val="bottom"/>
            <w:hideMark/>
          </w:tcPr>
          <w:p w14:paraId="6CDC0D04"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2008</w:t>
            </w:r>
          </w:p>
        </w:tc>
        <w:tc>
          <w:tcPr>
            <w:tcW w:w="1214" w:type="dxa"/>
            <w:shd w:val="clear" w:color="auto" w:fill="auto"/>
            <w:noWrap/>
            <w:vAlign w:val="bottom"/>
            <w:hideMark/>
          </w:tcPr>
          <w:p w14:paraId="50EC42D8"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2.33%</w:t>
            </w:r>
          </w:p>
        </w:tc>
        <w:tc>
          <w:tcPr>
            <w:tcW w:w="1214" w:type="dxa"/>
            <w:shd w:val="clear" w:color="auto" w:fill="auto"/>
            <w:noWrap/>
            <w:vAlign w:val="bottom"/>
            <w:hideMark/>
          </w:tcPr>
          <w:p w14:paraId="12CD43FE"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1.95%</w:t>
            </w:r>
          </w:p>
        </w:tc>
        <w:tc>
          <w:tcPr>
            <w:tcW w:w="1215" w:type="dxa"/>
            <w:shd w:val="clear" w:color="auto" w:fill="auto"/>
            <w:noWrap/>
            <w:vAlign w:val="bottom"/>
            <w:hideMark/>
          </w:tcPr>
          <w:p w14:paraId="67B633D9"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2.74%</w:t>
            </w:r>
          </w:p>
        </w:tc>
        <w:tc>
          <w:tcPr>
            <w:tcW w:w="1214" w:type="dxa"/>
            <w:shd w:val="clear" w:color="auto" w:fill="auto"/>
            <w:noWrap/>
            <w:vAlign w:val="bottom"/>
            <w:hideMark/>
          </w:tcPr>
          <w:p w14:paraId="53EFFE19"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3.31%</w:t>
            </w:r>
          </w:p>
        </w:tc>
        <w:tc>
          <w:tcPr>
            <w:tcW w:w="1214" w:type="dxa"/>
            <w:shd w:val="clear" w:color="auto" w:fill="auto"/>
            <w:noWrap/>
            <w:vAlign w:val="bottom"/>
            <w:hideMark/>
          </w:tcPr>
          <w:p w14:paraId="38F3DEFF"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2.28%</w:t>
            </w:r>
          </w:p>
        </w:tc>
        <w:tc>
          <w:tcPr>
            <w:tcW w:w="1215" w:type="dxa"/>
            <w:shd w:val="clear" w:color="auto" w:fill="auto"/>
            <w:noWrap/>
            <w:vAlign w:val="bottom"/>
            <w:hideMark/>
          </w:tcPr>
          <w:p w14:paraId="7EBEB546"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4.40%</w:t>
            </w:r>
          </w:p>
        </w:tc>
      </w:tr>
      <w:tr w:rsidR="00231EE4" w:rsidRPr="009F2E80" w14:paraId="7DCB30A3" w14:textId="77777777" w:rsidTr="007A5938">
        <w:trPr>
          <w:trHeight w:val="74"/>
        </w:trPr>
        <w:tc>
          <w:tcPr>
            <w:tcW w:w="1214" w:type="dxa"/>
            <w:shd w:val="clear" w:color="auto" w:fill="auto"/>
            <w:noWrap/>
            <w:vAlign w:val="bottom"/>
            <w:hideMark/>
          </w:tcPr>
          <w:p w14:paraId="48E94690"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2009</w:t>
            </w:r>
          </w:p>
        </w:tc>
        <w:tc>
          <w:tcPr>
            <w:tcW w:w="1214" w:type="dxa"/>
            <w:shd w:val="clear" w:color="auto" w:fill="auto"/>
            <w:noWrap/>
            <w:vAlign w:val="bottom"/>
            <w:hideMark/>
          </w:tcPr>
          <w:p w14:paraId="3844D88E"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2.53%</w:t>
            </w:r>
          </w:p>
        </w:tc>
        <w:tc>
          <w:tcPr>
            <w:tcW w:w="1214" w:type="dxa"/>
            <w:shd w:val="clear" w:color="auto" w:fill="auto"/>
            <w:noWrap/>
            <w:vAlign w:val="bottom"/>
            <w:hideMark/>
          </w:tcPr>
          <w:p w14:paraId="44349C0C"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1.92%</w:t>
            </w:r>
          </w:p>
        </w:tc>
        <w:tc>
          <w:tcPr>
            <w:tcW w:w="1215" w:type="dxa"/>
            <w:shd w:val="clear" w:color="auto" w:fill="auto"/>
            <w:noWrap/>
            <w:vAlign w:val="bottom"/>
            <w:hideMark/>
          </w:tcPr>
          <w:p w14:paraId="315357BF"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2.78%</w:t>
            </w:r>
          </w:p>
        </w:tc>
        <w:tc>
          <w:tcPr>
            <w:tcW w:w="1214" w:type="dxa"/>
            <w:shd w:val="clear" w:color="auto" w:fill="auto"/>
            <w:noWrap/>
            <w:vAlign w:val="bottom"/>
            <w:hideMark/>
          </w:tcPr>
          <w:p w14:paraId="6559F6A1"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3.35%</w:t>
            </w:r>
          </w:p>
        </w:tc>
        <w:tc>
          <w:tcPr>
            <w:tcW w:w="1214" w:type="dxa"/>
            <w:shd w:val="clear" w:color="auto" w:fill="auto"/>
            <w:noWrap/>
            <w:vAlign w:val="bottom"/>
            <w:hideMark/>
          </w:tcPr>
          <w:p w14:paraId="475759D3"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2.36%</w:t>
            </w:r>
          </w:p>
        </w:tc>
        <w:tc>
          <w:tcPr>
            <w:tcW w:w="1215" w:type="dxa"/>
            <w:shd w:val="clear" w:color="auto" w:fill="auto"/>
            <w:noWrap/>
            <w:vAlign w:val="bottom"/>
            <w:hideMark/>
          </w:tcPr>
          <w:p w14:paraId="7D1DDD99"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1.40%</w:t>
            </w:r>
          </w:p>
        </w:tc>
      </w:tr>
      <w:tr w:rsidR="00231EE4" w:rsidRPr="009F2E80" w14:paraId="695E0272" w14:textId="77777777" w:rsidTr="007A5938">
        <w:trPr>
          <w:trHeight w:val="74"/>
        </w:trPr>
        <w:tc>
          <w:tcPr>
            <w:tcW w:w="1214" w:type="dxa"/>
            <w:shd w:val="clear" w:color="auto" w:fill="auto"/>
            <w:noWrap/>
            <w:vAlign w:val="bottom"/>
            <w:hideMark/>
          </w:tcPr>
          <w:p w14:paraId="7715D95E"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2010</w:t>
            </w:r>
          </w:p>
        </w:tc>
        <w:tc>
          <w:tcPr>
            <w:tcW w:w="1214" w:type="dxa"/>
            <w:shd w:val="clear" w:color="auto" w:fill="auto"/>
            <w:noWrap/>
            <w:vAlign w:val="bottom"/>
            <w:hideMark/>
          </w:tcPr>
          <w:p w14:paraId="1C40EA9B" w14:textId="77777777" w:rsidR="00231EE4" w:rsidRPr="009F2E80" w:rsidRDefault="00231EE4" w:rsidP="007A5938">
            <w:pPr>
              <w:keepNext/>
              <w:keepLines/>
              <w:widowControl w:val="0"/>
              <w:spacing w:after="0" w:line="240" w:lineRule="auto"/>
              <w:jc w:val="right"/>
              <w:rPr>
                <w:rFonts w:cs="Arial"/>
                <w:color w:val="000000"/>
                <w:szCs w:val="20"/>
              </w:rPr>
            </w:pPr>
            <w:r w:rsidRPr="009F2E80">
              <w:rPr>
                <w:rFonts w:cs="Arial"/>
                <w:color w:val="000000"/>
                <w:szCs w:val="20"/>
              </w:rPr>
              <w:t>1.80%</w:t>
            </w:r>
          </w:p>
        </w:tc>
        <w:tc>
          <w:tcPr>
            <w:tcW w:w="1214" w:type="dxa"/>
            <w:shd w:val="clear" w:color="auto" w:fill="auto"/>
            <w:noWrap/>
            <w:vAlign w:val="bottom"/>
            <w:hideMark/>
          </w:tcPr>
          <w:p w14:paraId="0174EEBD" w14:textId="77777777" w:rsidR="00231EE4" w:rsidRPr="009F2E80" w:rsidRDefault="00231EE4" w:rsidP="007A5938">
            <w:pPr>
              <w:keepNext/>
              <w:keepLines/>
              <w:widowControl w:val="0"/>
              <w:spacing w:after="0" w:line="240" w:lineRule="auto"/>
              <w:jc w:val="right"/>
              <w:rPr>
                <w:rFonts w:cs="Arial"/>
                <w:color w:val="000000"/>
                <w:szCs w:val="20"/>
              </w:rPr>
            </w:pPr>
            <w:r w:rsidRPr="009F2E80">
              <w:rPr>
                <w:rFonts w:cs="Arial"/>
                <w:color w:val="000000"/>
                <w:szCs w:val="20"/>
              </w:rPr>
              <w:t>1.43%</w:t>
            </w:r>
          </w:p>
        </w:tc>
        <w:tc>
          <w:tcPr>
            <w:tcW w:w="1215" w:type="dxa"/>
            <w:shd w:val="clear" w:color="auto" w:fill="auto"/>
            <w:noWrap/>
            <w:vAlign w:val="bottom"/>
            <w:hideMark/>
          </w:tcPr>
          <w:p w14:paraId="7DF78580" w14:textId="77777777" w:rsidR="00231EE4" w:rsidRPr="009F2E80" w:rsidRDefault="00231EE4" w:rsidP="007A5938">
            <w:pPr>
              <w:keepNext/>
              <w:keepLines/>
              <w:widowControl w:val="0"/>
              <w:spacing w:after="0" w:line="240" w:lineRule="auto"/>
              <w:jc w:val="right"/>
              <w:rPr>
                <w:rFonts w:cs="Arial"/>
                <w:color w:val="000000"/>
                <w:szCs w:val="20"/>
              </w:rPr>
            </w:pPr>
            <w:r w:rsidRPr="009F2E80">
              <w:rPr>
                <w:rFonts w:cs="Arial"/>
                <w:color w:val="000000"/>
                <w:szCs w:val="20"/>
              </w:rPr>
              <w:t>1.91%</w:t>
            </w:r>
          </w:p>
        </w:tc>
        <w:tc>
          <w:tcPr>
            <w:tcW w:w="1214" w:type="dxa"/>
            <w:shd w:val="clear" w:color="auto" w:fill="auto"/>
            <w:noWrap/>
            <w:vAlign w:val="bottom"/>
            <w:hideMark/>
          </w:tcPr>
          <w:p w14:paraId="1BC96C3A" w14:textId="77777777" w:rsidR="00231EE4" w:rsidRPr="009F2E80" w:rsidRDefault="00231EE4" w:rsidP="007A5938">
            <w:pPr>
              <w:keepNext/>
              <w:keepLines/>
              <w:widowControl w:val="0"/>
              <w:spacing w:after="0" w:line="240" w:lineRule="auto"/>
              <w:jc w:val="right"/>
              <w:rPr>
                <w:rFonts w:cs="Arial"/>
                <w:color w:val="000000"/>
                <w:szCs w:val="20"/>
              </w:rPr>
            </w:pPr>
            <w:r w:rsidRPr="009F2E80">
              <w:rPr>
                <w:rFonts w:cs="Arial"/>
                <w:color w:val="000000"/>
                <w:szCs w:val="20"/>
              </w:rPr>
              <w:t>2.39%</w:t>
            </w:r>
          </w:p>
        </w:tc>
        <w:tc>
          <w:tcPr>
            <w:tcW w:w="1214" w:type="dxa"/>
            <w:shd w:val="clear" w:color="auto" w:fill="auto"/>
            <w:noWrap/>
            <w:vAlign w:val="bottom"/>
            <w:hideMark/>
          </w:tcPr>
          <w:p w14:paraId="19499B4E" w14:textId="77777777" w:rsidR="00231EE4" w:rsidRPr="009F2E80" w:rsidRDefault="00231EE4" w:rsidP="007A5938">
            <w:pPr>
              <w:keepNext/>
              <w:keepLines/>
              <w:widowControl w:val="0"/>
              <w:spacing w:after="0" w:line="240" w:lineRule="auto"/>
              <w:jc w:val="right"/>
              <w:rPr>
                <w:rFonts w:cs="Arial"/>
                <w:color w:val="000000"/>
                <w:szCs w:val="20"/>
              </w:rPr>
            </w:pPr>
            <w:r w:rsidRPr="009F2E80">
              <w:rPr>
                <w:rFonts w:cs="Arial"/>
                <w:color w:val="000000"/>
                <w:szCs w:val="20"/>
              </w:rPr>
              <w:t>1.83%</w:t>
            </w:r>
          </w:p>
        </w:tc>
        <w:tc>
          <w:tcPr>
            <w:tcW w:w="1215" w:type="dxa"/>
            <w:shd w:val="clear" w:color="auto" w:fill="auto"/>
            <w:noWrap/>
            <w:vAlign w:val="bottom"/>
            <w:hideMark/>
          </w:tcPr>
          <w:p w14:paraId="37D7B596" w14:textId="77777777" w:rsidR="00231EE4" w:rsidRPr="009F2E80" w:rsidRDefault="00231EE4" w:rsidP="007A5938">
            <w:pPr>
              <w:keepNext/>
              <w:keepLines/>
              <w:widowControl w:val="0"/>
              <w:spacing w:after="0" w:line="240" w:lineRule="auto"/>
              <w:jc w:val="right"/>
              <w:rPr>
                <w:rFonts w:cs="Arial"/>
                <w:color w:val="000000"/>
                <w:szCs w:val="20"/>
              </w:rPr>
            </w:pPr>
            <w:r w:rsidRPr="009F2E80">
              <w:rPr>
                <w:rFonts w:cs="Arial"/>
                <w:color w:val="000000"/>
                <w:szCs w:val="20"/>
              </w:rPr>
              <w:t>3.10%</w:t>
            </w:r>
          </w:p>
        </w:tc>
      </w:tr>
      <w:tr w:rsidR="00231EE4" w:rsidRPr="009F2E80" w14:paraId="4E50B1D4" w14:textId="77777777" w:rsidTr="007A5938">
        <w:trPr>
          <w:trHeight w:val="74"/>
        </w:trPr>
        <w:tc>
          <w:tcPr>
            <w:tcW w:w="1214" w:type="dxa"/>
            <w:shd w:val="clear" w:color="auto" w:fill="auto"/>
            <w:noWrap/>
            <w:vAlign w:val="bottom"/>
            <w:hideMark/>
          </w:tcPr>
          <w:p w14:paraId="5690D024"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2011</w:t>
            </w:r>
          </w:p>
        </w:tc>
        <w:tc>
          <w:tcPr>
            <w:tcW w:w="1214" w:type="dxa"/>
            <w:shd w:val="clear" w:color="auto" w:fill="auto"/>
            <w:noWrap/>
            <w:vAlign w:val="bottom"/>
            <w:hideMark/>
          </w:tcPr>
          <w:p w14:paraId="0C8DD12B"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1.51%</w:t>
            </w:r>
          </w:p>
        </w:tc>
        <w:tc>
          <w:tcPr>
            <w:tcW w:w="1214" w:type="dxa"/>
            <w:shd w:val="clear" w:color="auto" w:fill="auto"/>
            <w:noWrap/>
            <w:vAlign w:val="bottom"/>
            <w:hideMark/>
          </w:tcPr>
          <w:p w14:paraId="379E1B2A"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1.20%</w:t>
            </w:r>
          </w:p>
        </w:tc>
        <w:tc>
          <w:tcPr>
            <w:tcW w:w="1215" w:type="dxa"/>
            <w:shd w:val="clear" w:color="auto" w:fill="auto"/>
            <w:noWrap/>
            <w:vAlign w:val="bottom"/>
            <w:hideMark/>
          </w:tcPr>
          <w:p w14:paraId="4784EB1B"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1.86%</w:t>
            </w:r>
          </w:p>
        </w:tc>
        <w:tc>
          <w:tcPr>
            <w:tcW w:w="1214" w:type="dxa"/>
            <w:shd w:val="clear" w:color="auto" w:fill="auto"/>
            <w:noWrap/>
            <w:vAlign w:val="bottom"/>
            <w:hideMark/>
          </w:tcPr>
          <w:p w14:paraId="513C4446"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2.94%</w:t>
            </w:r>
          </w:p>
        </w:tc>
        <w:tc>
          <w:tcPr>
            <w:tcW w:w="1214" w:type="dxa"/>
            <w:shd w:val="clear" w:color="auto" w:fill="auto"/>
            <w:noWrap/>
            <w:vAlign w:val="bottom"/>
            <w:hideMark/>
          </w:tcPr>
          <w:p w14:paraId="101406A0"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1.98%</w:t>
            </w:r>
          </w:p>
        </w:tc>
        <w:tc>
          <w:tcPr>
            <w:tcW w:w="1215" w:type="dxa"/>
            <w:shd w:val="clear" w:color="auto" w:fill="auto"/>
            <w:noWrap/>
            <w:vAlign w:val="bottom"/>
            <w:hideMark/>
          </w:tcPr>
          <w:p w14:paraId="6B4EEFC1"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3.50%</w:t>
            </w:r>
          </w:p>
        </w:tc>
      </w:tr>
      <w:tr w:rsidR="00231EE4" w:rsidRPr="009F2E80" w14:paraId="4C2687AE" w14:textId="77777777" w:rsidTr="007A5938">
        <w:trPr>
          <w:trHeight w:val="74"/>
        </w:trPr>
        <w:tc>
          <w:tcPr>
            <w:tcW w:w="1214" w:type="dxa"/>
            <w:shd w:val="clear" w:color="auto" w:fill="auto"/>
            <w:noWrap/>
            <w:vAlign w:val="bottom"/>
            <w:hideMark/>
          </w:tcPr>
          <w:p w14:paraId="08C2EF74"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2012</w:t>
            </w:r>
          </w:p>
        </w:tc>
        <w:tc>
          <w:tcPr>
            <w:tcW w:w="1214" w:type="dxa"/>
            <w:shd w:val="clear" w:color="auto" w:fill="auto"/>
            <w:noWrap/>
            <w:vAlign w:val="bottom"/>
            <w:hideMark/>
          </w:tcPr>
          <w:p w14:paraId="3968FC06"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2.27%</w:t>
            </w:r>
          </w:p>
        </w:tc>
        <w:tc>
          <w:tcPr>
            <w:tcW w:w="1214" w:type="dxa"/>
            <w:shd w:val="clear" w:color="auto" w:fill="auto"/>
            <w:noWrap/>
            <w:vAlign w:val="bottom"/>
            <w:hideMark/>
          </w:tcPr>
          <w:p w14:paraId="0B994594"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1.53%</w:t>
            </w:r>
          </w:p>
        </w:tc>
        <w:tc>
          <w:tcPr>
            <w:tcW w:w="1215" w:type="dxa"/>
            <w:shd w:val="clear" w:color="auto" w:fill="auto"/>
            <w:noWrap/>
            <w:vAlign w:val="bottom"/>
            <w:hideMark/>
          </w:tcPr>
          <w:p w14:paraId="120EF89D"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2.28%</w:t>
            </w:r>
          </w:p>
        </w:tc>
        <w:tc>
          <w:tcPr>
            <w:tcW w:w="1214" w:type="dxa"/>
            <w:shd w:val="clear" w:color="auto" w:fill="auto"/>
            <w:noWrap/>
            <w:vAlign w:val="bottom"/>
            <w:hideMark/>
          </w:tcPr>
          <w:p w14:paraId="63645B33"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3.20%</w:t>
            </w:r>
          </w:p>
        </w:tc>
        <w:tc>
          <w:tcPr>
            <w:tcW w:w="1214" w:type="dxa"/>
            <w:shd w:val="clear" w:color="auto" w:fill="auto"/>
            <w:noWrap/>
            <w:vAlign w:val="bottom"/>
            <w:hideMark/>
          </w:tcPr>
          <w:p w14:paraId="1C0BAE43"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2.15%</w:t>
            </w:r>
          </w:p>
        </w:tc>
        <w:tc>
          <w:tcPr>
            <w:tcW w:w="1215" w:type="dxa"/>
            <w:shd w:val="clear" w:color="auto" w:fill="auto"/>
            <w:noWrap/>
            <w:vAlign w:val="bottom"/>
            <w:hideMark/>
          </w:tcPr>
          <w:p w14:paraId="0729080D"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1.20%</w:t>
            </w:r>
          </w:p>
        </w:tc>
      </w:tr>
      <w:tr w:rsidR="00231EE4" w:rsidRPr="009F2E80" w14:paraId="46D3484E" w14:textId="77777777" w:rsidTr="007A5938">
        <w:trPr>
          <w:trHeight w:val="74"/>
        </w:trPr>
        <w:tc>
          <w:tcPr>
            <w:tcW w:w="1214" w:type="dxa"/>
            <w:shd w:val="clear" w:color="auto" w:fill="auto"/>
            <w:noWrap/>
            <w:vAlign w:val="bottom"/>
            <w:hideMark/>
          </w:tcPr>
          <w:p w14:paraId="7D2FF772"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2013</w:t>
            </w:r>
          </w:p>
        </w:tc>
        <w:tc>
          <w:tcPr>
            <w:tcW w:w="1214" w:type="dxa"/>
            <w:shd w:val="clear" w:color="auto" w:fill="auto"/>
            <w:noWrap/>
            <w:vAlign w:val="bottom"/>
            <w:hideMark/>
          </w:tcPr>
          <w:p w14:paraId="3434DD6E"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2.42%</w:t>
            </w:r>
          </w:p>
        </w:tc>
        <w:tc>
          <w:tcPr>
            <w:tcW w:w="1214" w:type="dxa"/>
            <w:shd w:val="clear" w:color="auto" w:fill="auto"/>
            <w:noWrap/>
            <w:vAlign w:val="bottom"/>
            <w:hideMark/>
          </w:tcPr>
          <w:p w14:paraId="6B1F991A"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1.78%</w:t>
            </w:r>
          </w:p>
        </w:tc>
        <w:tc>
          <w:tcPr>
            <w:tcW w:w="1215" w:type="dxa"/>
            <w:shd w:val="clear" w:color="auto" w:fill="auto"/>
            <w:noWrap/>
            <w:vAlign w:val="bottom"/>
            <w:hideMark/>
          </w:tcPr>
          <w:p w14:paraId="364179F9"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2.02%</w:t>
            </w:r>
          </w:p>
        </w:tc>
        <w:tc>
          <w:tcPr>
            <w:tcW w:w="1214" w:type="dxa"/>
            <w:shd w:val="clear" w:color="auto" w:fill="auto"/>
            <w:noWrap/>
            <w:vAlign w:val="bottom"/>
            <w:hideMark/>
          </w:tcPr>
          <w:p w14:paraId="08F1254B"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2.67%</w:t>
            </w:r>
          </w:p>
        </w:tc>
        <w:tc>
          <w:tcPr>
            <w:tcW w:w="1214" w:type="dxa"/>
            <w:shd w:val="clear" w:color="auto" w:fill="auto"/>
            <w:noWrap/>
            <w:vAlign w:val="bottom"/>
            <w:hideMark/>
          </w:tcPr>
          <w:p w14:paraId="26306DF0"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1.84%</w:t>
            </w:r>
          </w:p>
        </w:tc>
        <w:tc>
          <w:tcPr>
            <w:tcW w:w="1215" w:type="dxa"/>
            <w:shd w:val="clear" w:color="auto" w:fill="auto"/>
            <w:noWrap/>
            <w:vAlign w:val="bottom"/>
            <w:hideMark/>
          </w:tcPr>
          <w:p w14:paraId="2AF652CD"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2.40%</w:t>
            </w:r>
          </w:p>
        </w:tc>
      </w:tr>
      <w:tr w:rsidR="00231EE4" w:rsidRPr="009F2E80" w14:paraId="2DC7A6B8" w14:textId="77777777" w:rsidTr="007A5938">
        <w:trPr>
          <w:trHeight w:val="74"/>
        </w:trPr>
        <w:tc>
          <w:tcPr>
            <w:tcW w:w="1214" w:type="dxa"/>
            <w:shd w:val="clear" w:color="auto" w:fill="auto"/>
            <w:noWrap/>
            <w:vAlign w:val="bottom"/>
            <w:hideMark/>
          </w:tcPr>
          <w:p w14:paraId="3289BD44"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2014</w:t>
            </w:r>
          </w:p>
        </w:tc>
        <w:tc>
          <w:tcPr>
            <w:tcW w:w="1214" w:type="dxa"/>
            <w:shd w:val="clear" w:color="auto" w:fill="auto"/>
            <w:noWrap/>
            <w:vAlign w:val="bottom"/>
            <w:hideMark/>
          </w:tcPr>
          <w:p w14:paraId="692EA6E1"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2.42%</w:t>
            </w:r>
          </w:p>
        </w:tc>
        <w:tc>
          <w:tcPr>
            <w:tcW w:w="1214" w:type="dxa"/>
            <w:shd w:val="clear" w:color="auto" w:fill="auto"/>
            <w:noWrap/>
            <w:vAlign w:val="bottom"/>
            <w:hideMark/>
          </w:tcPr>
          <w:p w14:paraId="3DC4E306"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1.83%</w:t>
            </w:r>
          </w:p>
        </w:tc>
        <w:tc>
          <w:tcPr>
            <w:tcW w:w="1215" w:type="dxa"/>
            <w:shd w:val="clear" w:color="auto" w:fill="auto"/>
            <w:noWrap/>
            <w:vAlign w:val="bottom"/>
            <w:hideMark/>
          </w:tcPr>
          <w:p w14:paraId="45463C7D"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1.73%</w:t>
            </w:r>
          </w:p>
        </w:tc>
        <w:tc>
          <w:tcPr>
            <w:tcW w:w="1214" w:type="dxa"/>
            <w:shd w:val="clear" w:color="auto" w:fill="auto"/>
            <w:noWrap/>
            <w:vAlign w:val="bottom"/>
            <w:hideMark/>
          </w:tcPr>
          <w:p w14:paraId="328B630C"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1.53%</w:t>
            </w:r>
          </w:p>
        </w:tc>
        <w:tc>
          <w:tcPr>
            <w:tcW w:w="1214" w:type="dxa"/>
            <w:shd w:val="clear" w:color="auto" w:fill="auto"/>
            <w:noWrap/>
            <w:vAlign w:val="bottom"/>
            <w:hideMark/>
          </w:tcPr>
          <w:p w14:paraId="2863A2D2"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1.27%</w:t>
            </w:r>
          </w:p>
        </w:tc>
        <w:tc>
          <w:tcPr>
            <w:tcW w:w="1215" w:type="dxa"/>
            <w:shd w:val="clear" w:color="auto" w:fill="auto"/>
            <w:noWrap/>
            <w:vAlign w:val="bottom"/>
            <w:hideMark/>
          </w:tcPr>
          <w:p w14:paraId="116A1581"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3.00%</w:t>
            </w:r>
          </w:p>
        </w:tc>
      </w:tr>
      <w:tr w:rsidR="00231EE4" w:rsidRPr="009F2E80" w14:paraId="314FAB1B" w14:textId="77777777" w:rsidTr="007A5938">
        <w:trPr>
          <w:trHeight w:val="74"/>
        </w:trPr>
        <w:tc>
          <w:tcPr>
            <w:tcW w:w="1214" w:type="dxa"/>
            <w:shd w:val="clear" w:color="auto" w:fill="auto"/>
            <w:noWrap/>
            <w:vAlign w:val="bottom"/>
            <w:hideMark/>
          </w:tcPr>
          <w:p w14:paraId="5F53A4CD"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2015</w:t>
            </w:r>
          </w:p>
        </w:tc>
        <w:tc>
          <w:tcPr>
            <w:tcW w:w="1214" w:type="dxa"/>
            <w:shd w:val="clear" w:color="auto" w:fill="auto"/>
            <w:noWrap/>
            <w:vAlign w:val="bottom"/>
            <w:hideMark/>
          </w:tcPr>
          <w:p w14:paraId="26E64303"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2.44%</w:t>
            </w:r>
          </w:p>
        </w:tc>
        <w:tc>
          <w:tcPr>
            <w:tcW w:w="1214" w:type="dxa"/>
            <w:shd w:val="clear" w:color="auto" w:fill="auto"/>
            <w:noWrap/>
            <w:vAlign w:val="bottom"/>
            <w:hideMark/>
          </w:tcPr>
          <w:p w14:paraId="6AA58B33"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1.90%</w:t>
            </w:r>
          </w:p>
        </w:tc>
        <w:tc>
          <w:tcPr>
            <w:tcW w:w="1215" w:type="dxa"/>
            <w:shd w:val="clear" w:color="auto" w:fill="auto"/>
            <w:noWrap/>
            <w:vAlign w:val="bottom"/>
            <w:hideMark/>
          </w:tcPr>
          <w:p w14:paraId="6BDA1DCF"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1.63%</w:t>
            </w:r>
          </w:p>
        </w:tc>
        <w:tc>
          <w:tcPr>
            <w:tcW w:w="1214" w:type="dxa"/>
            <w:shd w:val="clear" w:color="auto" w:fill="auto"/>
            <w:noWrap/>
            <w:vAlign w:val="bottom"/>
            <w:hideMark/>
          </w:tcPr>
          <w:p w14:paraId="29B678D3"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1.21%</w:t>
            </w:r>
          </w:p>
        </w:tc>
        <w:tc>
          <w:tcPr>
            <w:tcW w:w="1214" w:type="dxa"/>
            <w:shd w:val="clear" w:color="auto" w:fill="auto"/>
            <w:noWrap/>
            <w:vAlign w:val="bottom"/>
            <w:hideMark/>
          </w:tcPr>
          <w:p w14:paraId="5845FC69"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1.05%</w:t>
            </w:r>
          </w:p>
        </w:tc>
        <w:tc>
          <w:tcPr>
            <w:tcW w:w="1215" w:type="dxa"/>
            <w:shd w:val="clear" w:color="auto" w:fill="auto"/>
            <w:noWrap/>
            <w:vAlign w:val="bottom"/>
            <w:hideMark/>
          </w:tcPr>
          <w:p w14:paraId="0FF1261C"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1.50%</w:t>
            </w:r>
          </w:p>
        </w:tc>
      </w:tr>
      <w:tr w:rsidR="00231EE4" w:rsidRPr="009F2E80" w14:paraId="6962CB12" w14:textId="77777777" w:rsidTr="007A5938">
        <w:trPr>
          <w:trHeight w:val="74"/>
        </w:trPr>
        <w:tc>
          <w:tcPr>
            <w:tcW w:w="1214" w:type="dxa"/>
            <w:shd w:val="clear" w:color="auto" w:fill="auto"/>
            <w:noWrap/>
            <w:vAlign w:val="bottom"/>
            <w:hideMark/>
          </w:tcPr>
          <w:p w14:paraId="586407B8"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2016</w:t>
            </w:r>
          </w:p>
        </w:tc>
        <w:tc>
          <w:tcPr>
            <w:tcW w:w="1214" w:type="dxa"/>
            <w:shd w:val="clear" w:color="auto" w:fill="auto"/>
            <w:noWrap/>
            <w:vAlign w:val="bottom"/>
            <w:hideMark/>
          </w:tcPr>
          <w:p w14:paraId="108900AD"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2.78%</w:t>
            </w:r>
          </w:p>
        </w:tc>
        <w:tc>
          <w:tcPr>
            <w:tcW w:w="1214" w:type="dxa"/>
            <w:shd w:val="clear" w:color="auto" w:fill="auto"/>
            <w:noWrap/>
            <w:vAlign w:val="bottom"/>
            <w:hideMark/>
          </w:tcPr>
          <w:p w14:paraId="72EBB6B9"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1.98%</w:t>
            </w:r>
          </w:p>
        </w:tc>
        <w:tc>
          <w:tcPr>
            <w:tcW w:w="1215" w:type="dxa"/>
            <w:shd w:val="clear" w:color="auto" w:fill="auto"/>
            <w:noWrap/>
            <w:vAlign w:val="bottom"/>
            <w:hideMark/>
          </w:tcPr>
          <w:p w14:paraId="57CDDB28"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1.90%</w:t>
            </w:r>
          </w:p>
        </w:tc>
        <w:tc>
          <w:tcPr>
            <w:tcW w:w="1214" w:type="dxa"/>
            <w:shd w:val="clear" w:color="auto" w:fill="auto"/>
            <w:noWrap/>
            <w:vAlign w:val="bottom"/>
            <w:hideMark/>
          </w:tcPr>
          <w:p w14:paraId="0F5D626E"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0.91%</w:t>
            </w:r>
          </w:p>
        </w:tc>
        <w:tc>
          <w:tcPr>
            <w:tcW w:w="1214" w:type="dxa"/>
            <w:shd w:val="clear" w:color="auto" w:fill="auto"/>
            <w:noWrap/>
            <w:vAlign w:val="bottom"/>
            <w:hideMark/>
          </w:tcPr>
          <w:p w14:paraId="0C95C1B9"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0.88%</w:t>
            </w:r>
          </w:p>
        </w:tc>
        <w:tc>
          <w:tcPr>
            <w:tcW w:w="1215" w:type="dxa"/>
            <w:shd w:val="clear" w:color="auto" w:fill="auto"/>
            <w:noWrap/>
            <w:vAlign w:val="bottom"/>
            <w:hideMark/>
          </w:tcPr>
          <w:p w14:paraId="68358CAE"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1.00%</w:t>
            </w:r>
          </w:p>
        </w:tc>
      </w:tr>
      <w:tr w:rsidR="00231EE4" w:rsidRPr="009F2E80" w14:paraId="0765D409" w14:textId="77777777" w:rsidTr="007A5938">
        <w:trPr>
          <w:trHeight w:val="74"/>
        </w:trPr>
        <w:tc>
          <w:tcPr>
            <w:tcW w:w="1214" w:type="dxa"/>
            <w:shd w:val="clear" w:color="auto" w:fill="auto"/>
            <w:noWrap/>
            <w:vAlign w:val="bottom"/>
            <w:hideMark/>
          </w:tcPr>
          <w:p w14:paraId="0E1565E8"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2017</w:t>
            </w:r>
          </w:p>
        </w:tc>
        <w:tc>
          <w:tcPr>
            <w:tcW w:w="1214" w:type="dxa"/>
            <w:shd w:val="clear" w:color="auto" w:fill="auto"/>
            <w:noWrap/>
            <w:vAlign w:val="bottom"/>
            <w:hideMark/>
          </w:tcPr>
          <w:p w14:paraId="65F32C20"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2.16%</w:t>
            </w:r>
          </w:p>
        </w:tc>
        <w:tc>
          <w:tcPr>
            <w:tcW w:w="1214" w:type="dxa"/>
            <w:shd w:val="clear" w:color="auto" w:fill="auto"/>
            <w:noWrap/>
            <w:vAlign w:val="bottom"/>
            <w:hideMark/>
          </w:tcPr>
          <w:p w14:paraId="3CF0C654"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1.88%</w:t>
            </w:r>
          </w:p>
        </w:tc>
        <w:tc>
          <w:tcPr>
            <w:tcW w:w="1215" w:type="dxa"/>
            <w:shd w:val="clear" w:color="auto" w:fill="auto"/>
            <w:noWrap/>
            <w:vAlign w:val="bottom"/>
            <w:hideMark/>
          </w:tcPr>
          <w:p w14:paraId="7BF56445"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2.05%</w:t>
            </w:r>
          </w:p>
        </w:tc>
        <w:tc>
          <w:tcPr>
            <w:tcW w:w="1214" w:type="dxa"/>
            <w:shd w:val="clear" w:color="auto" w:fill="auto"/>
            <w:noWrap/>
            <w:vAlign w:val="bottom"/>
            <w:hideMark/>
          </w:tcPr>
          <w:p w14:paraId="1014B084"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1.39%</w:t>
            </w:r>
          </w:p>
        </w:tc>
        <w:tc>
          <w:tcPr>
            <w:tcW w:w="1214" w:type="dxa"/>
            <w:shd w:val="clear" w:color="auto" w:fill="auto"/>
            <w:noWrap/>
            <w:vAlign w:val="bottom"/>
            <w:hideMark/>
          </w:tcPr>
          <w:p w14:paraId="04C47EC4"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1.30%</w:t>
            </w:r>
          </w:p>
        </w:tc>
        <w:tc>
          <w:tcPr>
            <w:tcW w:w="1215" w:type="dxa"/>
            <w:shd w:val="clear" w:color="auto" w:fill="auto"/>
            <w:noWrap/>
            <w:vAlign w:val="bottom"/>
            <w:hideMark/>
          </w:tcPr>
          <w:p w14:paraId="013FCB45"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1.90%</w:t>
            </w:r>
          </w:p>
        </w:tc>
      </w:tr>
      <w:tr w:rsidR="00231EE4" w:rsidRPr="009F2E80" w14:paraId="24AD21E8" w14:textId="77777777" w:rsidTr="007A5938">
        <w:trPr>
          <w:trHeight w:val="74"/>
        </w:trPr>
        <w:tc>
          <w:tcPr>
            <w:tcW w:w="1214" w:type="dxa"/>
            <w:shd w:val="clear" w:color="auto" w:fill="auto"/>
            <w:noWrap/>
            <w:vAlign w:val="bottom"/>
            <w:hideMark/>
          </w:tcPr>
          <w:p w14:paraId="68841910"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2018</w:t>
            </w:r>
          </w:p>
        </w:tc>
        <w:tc>
          <w:tcPr>
            <w:tcW w:w="1214" w:type="dxa"/>
            <w:shd w:val="clear" w:color="auto" w:fill="auto"/>
            <w:noWrap/>
            <w:vAlign w:val="bottom"/>
            <w:hideMark/>
          </w:tcPr>
          <w:p w14:paraId="2EC25E35"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1.93%</w:t>
            </w:r>
          </w:p>
        </w:tc>
        <w:tc>
          <w:tcPr>
            <w:tcW w:w="1214" w:type="dxa"/>
            <w:shd w:val="clear" w:color="auto" w:fill="auto"/>
            <w:noWrap/>
            <w:vAlign w:val="bottom"/>
            <w:hideMark/>
          </w:tcPr>
          <w:p w14:paraId="71A4DBE3"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1.36%</w:t>
            </w:r>
          </w:p>
        </w:tc>
        <w:tc>
          <w:tcPr>
            <w:tcW w:w="1215" w:type="dxa"/>
            <w:shd w:val="clear" w:color="auto" w:fill="auto"/>
            <w:noWrap/>
            <w:vAlign w:val="bottom"/>
            <w:hideMark/>
          </w:tcPr>
          <w:p w14:paraId="5C947BFD"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1.95%</w:t>
            </w:r>
          </w:p>
        </w:tc>
        <w:tc>
          <w:tcPr>
            <w:tcW w:w="1214" w:type="dxa"/>
            <w:shd w:val="clear" w:color="auto" w:fill="auto"/>
            <w:noWrap/>
            <w:vAlign w:val="bottom"/>
            <w:hideMark/>
          </w:tcPr>
          <w:p w14:paraId="476581BC"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1.48%</w:t>
            </w:r>
          </w:p>
        </w:tc>
        <w:tc>
          <w:tcPr>
            <w:tcW w:w="1214" w:type="dxa"/>
            <w:shd w:val="clear" w:color="auto" w:fill="auto"/>
            <w:noWrap/>
            <w:vAlign w:val="bottom"/>
            <w:hideMark/>
          </w:tcPr>
          <w:p w14:paraId="1C2EE78F"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1.38%</w:t>
            </w:r>
          </w:p>
        </w:tc>
        <w:tc>
          <w:tcPr>
            <w:tcW w:w="1215" w:type="dxa"/>
            <w:shd w:val="clear" w:color="auto" w:fill="auto"/>
            <w:noWrap/>
            <w:vAlign w:val="bottom"/>
            <w:hideMark/>
          </w:tcPr>
          <w:p w14:paraId="4E761FC2"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2.10%</w:t>
            </w:r>
          </w:p>
        </w:tc>
      </w:tr>
      <w:tr w:rsidR="00231EE4" w:rsidRPr="009F2E80" w14:paraId="5816308E" w14:textId="77777777" w:rsidTr="007A5938">
        <w:trPr>
          <w:trHeight w:val="74"/>
        </w:trPr>
        <w:tc>
          <w:tcPr>
            <w:tcW w:w="1214" w:type="dxa"/>
            <w:shd w:val="clear" w:color="auto" w:fill="auto"/>
            <w:noWrap/>
            <w:vAlign w:val="bottom"/>
            <w:hideMark/>
          </w:tcPr>
          <w:p w14:paraId="20FA7F40"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2019</w:t>
            </w:r>
          </w:p>
        </w:tc>
        <w:tc>
          <w:tcPr>
            <w:tcW w:w="1214" w:type="dxa"/>
            <w:shd w:val="clear" w:color="auto" w:fill="auto"/>
            <w:noWrap/>
            <w:vAlign w:val="bottom"/>
            <w:hideMark/>
          </w:tcPr>
          <w:p w14:paraId="44F0760B"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1.74%</w:t>
            </w:r>
          </w:p>
        </w:tc>
        <w:tc>
          <w:tcPr>
            <w:tcW w:w="1214" w:type="dxa"/>
            <w:shd w:val="clear" w:color="auto" w:fill="auto"/>
            <w:noWrap/>
            <w:vAlign w:val="bottom"/>
            <w:hideMark/>
          </w:tcPr>
          <w:p w14:paraId="57ED5BE3"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1.27%</w:t>
            </w:r>
          </w:p>
        </w:tc>
        <w:tc>
          <w:tcPr>
            <w:tcW w:w="1215" w:type="dxa"/>
            <w:shd w:val="clear" w:color="auto" w:fill="auto"/>
            <w:noWrap/>
            <w:vAlign w:val="bottom"/>
            <w:hideMark/>
          </w:tcPr>
          <w:p w14:paraId="47EAEFC7"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2.04%</w:t>
            </w:r>
          </w:p>
        </w:tc>
        <w:tc>
          <w:tcPr>
            <w:tcW w:w="1214" w:type="dxa"/>
            <w:shd w:val="clear" w:color="auto" w:fill="auto"/>
            <w:noWrap/>
            <w:vAlign w:val="bottom"/>
            <w:hideMark/>
          </w:tcPr>
          <w:p w14:paraId="1AFD76BE"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1.86%</w:t>
            </w:r>
          </w:p>
        </w:tc>
        <w:tc>
          <w:tcPr>
            <w:tcW w:w="1214" w:type="dxa"/>
            <w:shd w:val="clear" w:color="auto" w:fill="auto"/>
            <w:noWrap/>
            <w:vAlign w:val="bottom"/>
            <w:hideMark/>
          </w:tcPr>
          <w:p w14:paraId="08C11B83"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1.64%</w:t>
            </w:r>
          </w:p>
        </w:tc>
        <w:tc>
          <w:tcPr>
            <w:tcW w:w="1215" w:type="dxa"/>
            <w:shd w:val="clear" w:color="auto" w:fill="auto"/>
            <w:noWrap/>
            <w:vAlign w:val="bottom"/>
            <w:hideMark/>
          </w:tcPr>
          <w:p w14:paraId="734924D0"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1.60%</w:t>
            </w:r>
          </w:p>
        </w:tc>
      </w:tr>
      <w:tr w:rsidR="00231EE4" w:rsidRPr="009F2E80" w14:paraId="1D994F7F" w14:textId="77777777" w:rsidTr="007A5938">
        <w:trPr>
          <w:trHeight w:val="74"/>
        </w:trPr>
        <w:tc>
          <w:tcPr>
            <w:tcW w:w="1214" w:type="dxa"/>
            <w:shd w:val="clear" w:color="auto" w:fill="auto"/>
            <w:noWrap/>
            <w:vAlign w:val="bottom"/>
            <w:hideMark/>
          </w:tcPr>
          <w:p w14:paraId="66518E20"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2020</w:t>
            </w:r>
          </w:p>
        </w:tc>
        <w:tc>
          <w:tcPr>
            <w:tcW w:w="1214" w:type="dxa"/>
            <w:shd w:val="clear" w:color="auto" w:fill="auto"/>
            <w:noWrap/>
            <w:vAlign w:val="bottom"/>
            <w:hideMark/>
          </w:tcPr>
          <w:p w14:paraId="61C659F5"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0.97%</w:t>
            </w:r>
          </w:p>
        </w:tc>
        <w:tc>
          <w:tcPr>
            <w:tcW w:w="1214" w:type="dxa"/>
            <w:shd w:val="clear" w:color="auto" w:fill="auto"/>
            <w:noWrap/>
            <w:vAlign w:val="bottom"/>
            <w:hideMark/>
          </w:tcPr>
          <w:p w14:paraId="11760145"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0.69%</w:t>
            </w:r>
          </w:p>
        </w:tc>
        <w:tc>
          <w:tcPr>
            <w:tcW w:w="1215" w:type="dxa"/>
            <w:shd w:val="clear" w:color="auto" w:fill="auto"/>
            <w:noWrap/>
            <w:vAlign w:val="bottom"/>
            <w:hideMark/>
          </w:tcPr>
          <w:p w14:paraId="771B71CE"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1.79%</w:t>
            </w:r>
          </w:p>
        </w:tc>
        <w:tc>
          <w:tcPr>
            <w:tcW w:w="1214" w:type="dxa"/>
            <w:shd w:val="clear" w:color="auto" w:fill="auto"/>
            <w:noWrap/>
            <w:vAlign w:val="bottom"/>
            <w:hideMark/>
          </w:tcPr>
          <w:p w14:paraId="72E9DF73"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2.29%</w:t>
            </w:r>
          </w:p>
        </w:tc>
        <w:tc>
          <w:tcPr>
            <w:tcW w:w="1214" w:type="dxa"/>
            <w:shd w:val="clear" w:color="auto" w:fill="auto"/>
            <w:noWrap/>
            <w:vAlign w:val="bottom"/>
            <w:hideMark/>
          </w:tcPr>
          <w:p w14:paraId="112E231C"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1.92%</w:t>
            </w:r>
          </w:p>
        </w:tc>
        <w:tc>
          <w:tcPr>
            <w:tcW w:w="1215" w:type="dxa"/>
            <w:shd w:val="clear" w:color="auto" w:fill="auto"/>
            <w:noWrap/>
            <w:vAlign w:val="bottom"/>
            <w:hideMark/>
          </w:tcPr>
          <w:p w14:paraId="3205A50A"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-0.30%</w:t>
            </w:r>
          </w:p>
        </w:tc>
      </w:tr>
      <w:tr w:rsidR="00231EE4" w:rsidRPr="009F2E80" w14:paraId="4DA9D70D" w14:textId="77777777" w:rsidTr="007A5938">
        <w:trPr>
          <w:trHeight w:val="74"/>
        </w:trPr>
        <w:tc>
          <w:tcPr>
            <w:tcW w:w="1214" w:type="dxa"/>
            <w:shd w:val="clear" w:color="auto" w:fill="auto"/>
            <w:noWrap/>
            <w:vAlign w:val="bottom"/>
            <w:hideMark/>
          </w:tcPr>
          <w:p w14:paraId="1D8B6CF7" w14:textId="77777777" w:rsidR="00231EE4" w:rsidRPr="009F2E80" w:rsidRDefault="00231EE4" w:rsidP="006A0FEF">
            <w:pPr>
              <w:keepNext/>
              <w:keepLines/>
              <w:widowControl w:val="0"/>
              <w:spacing w:after="0" w:line="240" w:lineRule="auto"/>
              <w:rPr>
                <w:rFonts w:cs="Arial"/>
                <w:color w:val="000000"/>
                <w:szCs w:val="20"/>
              </w:rPr>
            </w:pPr>
            <w:r w:rsidRPr="009F2E80">
              <w:rPr>
                <w:rFonts w:cs="Arial"/>
                <w:color w:val="000000"/>
                <w:szCs w:val="20"/>
              </w:rPr>
              <w:t>2021</w:t>
            </w:r>
          </w:p>
        </w:tc>
        <w:tc>
          <w:tcPr>
            <w:tcW w:w="1214" w:type="dxa"/>
            <w:shd w:val="clear" w:color="auto" w:fill="auto"/>
            <w:noWrap/>
            <w:vAlign w:val="bottom"/>
            <w:hideMark/>
          </w:tcPr>
          <w:p w14:paraId="08E0118E"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-1.74%</w:t>
            </w:r>
          </w:p>
        </w:tc>
        <w:tc>
          <w:tcPr>
            <w:tcW w:w="1214" w:type="dxa"/>
            <w:shd w:val="clear" w:color="auto" w:fill="auto"/>
            <w:noWrap/>
            <w:vAlign w:val="bottom"/>
            <w:hideMark/>
          </w:tcPr>
          <w:p w14:paraId="170E358D"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-0.55%</w:t>
            </w:r>
          </w:p>
        </w:tc>
        <w:tc>
          <w:tcPr>
            <w:tcW w:w="1215" w:type="dxa"/>
            <w:shd w:val="clear" w:color="auto" w:fill="auto"/>
            <w:noWrap/>
            <w:vAlign w:val="bottom"/>
            <w:hideMark/>
          </w:tcPr>
          <w:p w14:paraId="17292835"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0.73%</w:t>
            </w:r>
          </w:p>
        </w:tc>
        <w:tc>
          <w:tcPr>
            <w:tcW w:w="1214" w:type="dxa"/>
            <w:shd w:val="clear" w:color="auto" w:fill="auto"/>
            <w:noWrap/>
            <w:vAlign w:val="bottom"/>
            <w:hideMark/>
          </w:tcPr>
          <w:p w14:paraId="20F845C2"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1.20%</w:t>
            </w:r>
          </w:p>
        </w:tc>
        <w:tc>
          <w:tcPr>
            <w:tcW w:w="1214" w:type="dxa"/>
            <w:shd w:val="clear" w:color="auto" w:fill="auto"/>
            <w:noWrap/>
            <w:vAlign w:val="bottom"/>
            <w:hideMark/>
          </w:tcPr>
          <w:p w14:paraId="6F98E868"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1.01%</w:t>
            </w:r>
          </w:p>
        </w:tc>
        <w:tc>
          <w:tcPr>
            <w:tcW w:w="1215" w:type="dxa"/>
            <w:shd w:val="clear" w:color="auto" w:fill="auto"/>
            <w:noWrap/>
            <w:vAlign w:val="bottom"/>
            <w:hideMark/>
          </w:tcPr>
          <w:p w14:paraId="5818E22E" w14:textId="77777777" w:rsidR="00231EE4" w:rsidRPr="009F2E80" w:rsidRDefault="00231EE4" w:rsidP="006A0FEF">
            <w:pPr>
              <w:keepNext/>
              <w:keepLines/>
              <w:widowControl w:val="0"/>
              <w:spacing w:after="0" w:line="240" w:lineRule="auto"/>
              <w:jc w:val="right"/>
              <w:rPr>
                <w:rFonts w:cs="Arial"/>
                <w:color w:val="000000"/>
                <w:szCs w:val="20"/>
              </w:rPr>
            </w:pPr>
            <w:r w:rsidRPr="009F2E80">
              <w:rPr>
                <w:rFonts w:cs="Arial"/>
                <w:color w:val="000000"/>
                <w:szCs w:val="20"/>
              </w:rPr>
              <w:t>3.80%</w:t>
            </w:r>
          </w:p>
        </w:tc>
      </w:tr>
      <w:tr w:rsidR="00231EE4" w:rsidRPr="009F2E80" w14:paraId="20931400" w14:textId="77777777" w:rsidTr="007A5938">
        <w:trPr>
          <w:trHeight w:val="74"/>
        </w:trPr>
        <w:tc>
          <w:tcPr>
            <w:tcW w:w="1214" w:type="dxa"/>
            <w:shd w:val="clear" w:color="auto" w:fill="auto"/>
            <w:noWrap/>
            <w:vAlign w:val="bottom"/>
            <w:hideMark/>
          </w:tcPr>
          <w:p w14:paraId="4243DB84" w14:textId="77777777" w:rsidR="00231EE4" w:rsidRPr="009F2E80" w:rsidRDefault="00231EE4" w:rsidP="007A5938">
            <w:pPr>
              <w:keepNext/>
              <w:keepLines/>
              <w:widowControl w:val="0"/>
              <w:spacing w:after="0" w:line="240" w:lineRule="auto"/>
              <w:rPr>
                <w:rFonts w:cs="Arial"/>
                <w:b/>
                <w:bCs/>
                <w:color w:val="000000"/>
                <w:szCs w:val="20"/>
              </w:rPr>
            </w:pPr>
            <w:r w:rsidRPr="009F2E80">
              <w:rPr>
                <w:rFonts w:cs="Arial"/>
                <w:b/>
                <w:bCs/>
                <w:color w:val="000000"/>
                <w:szCs w:val="20"/>
              </w:rPr>
              <w:t>Average</w:t>
            </w:r>
          </w:p>
        </w:tc>
        <w:tc>
          <w:tcPr>
            <w:tcW w:w="1214" w:type="dxa"/>
            <w:shd w:val="clear" w:color="auto" w:fill="auto"/>
            <w:noWrap/>
            <w:vAlign w:val="bottom"/>
            <w:hideMark/>
          </w:tcPr>
          <w:p w14:paraId="40493BB2" w14:textId="77777777" w:rsidR="00231EE4" w:rsidRPr="009F2E80" w:rsidRDefault="00231EE4" w:rsidP="007A5938">
            <w:pPr>
              <w:keepNext/>
              <w:keepLines/>
              <w:widowControl w:val="0"/>
              <w:spacing w:after="0" w:line="240" w:lineRule="auto"/>
              <w:jc w:val="right"/>
              <w:rPr>
                <w:rFonts w:cs="Arial"/>
                <w:b/>
                <w:bCs/>
                <w:color w:val="000000"/>
                <w:szCs w:val="20"/>
              </w:rPr>
            </w:pPr>
            <w:r w:rsidRPr="009F2E80">
              <w:rPr>
                <w:rFonts w:cs="Arial"/>
                <w:b/>
                <w:bCs/>
                <w:color w:val="000000"/>
                <w:szCs w:val="20"/>
              </w:rPr>
              <w:t>1.75%</w:t>
            </w:r>
          </w:p>
        </w:tc>
        <w:tc>
          <w:tcPr>
            <w:tcW w:w="1214" w:type="dxa"/>
            <w:shd w:val="clear" w:color="auto" w:fill="auto"/>
            <w:noWrap/>
            <w:vAlign w:val="bottom"/>
            <w:hideMark/>
          </w:tcPr>
          <w:p w14:paraId="5483EAA3" w14:textId="77777777" w:rsidR="00231EE4" w:rsidRPr="009F2E80" w:rsidRDefault="00231EE4" w:rsidP="007A5938">
            <w:pPr>
              <w:keepNext/>
              <w:keepLines/>
              <w:widowControl w:val="0"/>
              <w:spacing w:after="0" w:line="240" w:lineRule="auto"/>
              <w:jc w:val="right"/>
              <w:rPr>
                <w:rFonts w:cs="Arial"/>
                <w:b/>
                <w:bCs/>
                <w:color w:val="000000"/>
                <w:szCs w:val="20"/>
              </w:rPr>
            </w:pPr>
            <w:r w:rsidRPr="009F2E80">
              <w:rPr>
                <w:rFonts w:cs="Arial"/>
                <w:b/>
                <w:bCs/>
                <w:color w:val="000000"/>
                <w:szCs w:val="20"/>
              </w:rPr>
              <w:t>1.28%</w:t>
            </w:r>
          </w:p>
        </w:tc>
        <w:tc>
          <w:tcPr>
            <w:tcW w:w="1215" w:type="dxa"/>
            <w:shd w:val="clear" w:color="auto" w:fill="auto"/>
            <w:noWrap/>
            <w:vAlign w:val="bottom"/>
            <w:hideMark/>
          </w:tcPr>
          <w:p w14:paraId="63CD5A49" w14:textId="77777777" w:rsidR="00231EE4" w:rsidRPr="009F2E80" w:rsidRDefault="00231EE4" w:rsidP="007A5938">
            <w:pPr>
              <w:keepNext/>
              <w:keepLines/>
              <w:widowControl w:val="0"/>
              <w:spacing w:after="0" w:line="240" w:lineRule="auto"/>
              <w:jc w:val="right"/>
              <w:rPr>
                <w:rFonts w:cs="Arial"/>
                <w:b/>
                <w:bCs/>
                <w:color w:val="000000"/>
                <w:szCs w:val="20"/>
              </w:rPr>
            </w:pPr>
            <w:r w:rsidRPr="009F2E80">
              <w:rPr>
                <w:rFonts w:cs="Arial"/>
                <w:b/>
                <w:bCs/>
                <w:color w:val="000000"/>
                <w:szCs w:val="20"/>
              </w:rPr>
              <w:t>2.11%</w:t>
            </w:r>
          </w:p>
        </w:tc>
        <w:tc>
          <w:tcPr>
            <w:tcW w:w="1214" w:type="dxa"/>
            <w:shd w:val="clear" w:color="auto" w:fill="auto"/>
            <w:noWrap/>
            <w:vAlign w:val="bottom"/>
            <w:hideMark/>
          </w:tcPr>
          <w:p w14:paraId="580D9203" w14:textId="77777777" w:rsidR="00231EE4" w:rsidRPr="009F2E80" w:rsidRDefault="00231EE4" w:rsidP="007A5938">
            <w:pPr>
              <w:keepNext/>
              <w:keepLines/>
              <w:widowControl w:val="0"/>
              <w:spacing w:after="0" w:line="240" w:lineRule="auto"/>
              <w:jc w:val="right"/>
              <w:rPr>
                <w:rFonts w:cs="Arial"/>
                <w:b/>
                <w:bCs/>
                <w:color w:val="000000"/>
                <w:szCs w:val="20"/>
              </w:rPr>
            </w:pPr>
            <w:r w:rsidRPr="009F2E80">
              <w:rPr>
                <w:rFonts w:cs="Arial"/>
                <w:b/>
                <w:bCs/>
                <w:color w:val="000000"/>
                <w:szCs w:val="20"/>
              </w:rPr>
              <w:t>2.05%</w:t>
            </w:r>
          </w:p>
        </w:tc>
        <w:tc>
          <w:tcPr>
            <w:tcW w:w="1214" w:type="dxa"/>
            <w:shd w:val="clear" w:color="auto" w:fill="auto"/>
            <w:noWrap/>
            <w:vAlign w:val="bottom"/>
            <w:hideMark/>
          </w:tcPr>
          <w:p w14:paraId="1BA761B9" w14:textId="77777777" w:rsidR="00231EE4" w:rsidRPr="009F2E80" w:rsidRDefault="00231EE4" w:rsidP="007A5938">
            <w:pPr>
              <w:keepNext/>
              <w:keepLines/>
              <w:widowControl w:val="0"/>
              <w:spacing w:after="0" w:line="240" w:lineRule="auto"/>
              <w:jc w:val="right"/>
              <w:rPr>
                <w:rFonts w:cs="Arial"/>
                <w:b/>
                <w:bCs/>
                <w:color w:val="000000"/>
                <w:szCs w:val="20"/>
              </w:rPr>
            </w:pPr>
            <w:r w:rsidRPr="009F2E80">
              <w:rPr>
                <w:rFonts w:cs="Arial"/>
                <w:b/>
                <w:bCs/>
                <w:color w:val="000000"/>
                <w:szCs w:val="20"/>
              </w:rPr>
              <w:t>1.54%</w:t>
            </w:r>
          </w:p>
        </w:tc>
        <w:tc>
          <w:tcPr>
            <w:tcW w:w="1215" w:type="dxa"/>
            <w:shd w:val="clear" w:color="auto" w:fill="auto"/>
            <w:noWrap/>
            <w:vAlign w:val="bottom"/>
            <w:hideMark/>
          </w:tcPr>
          <w:p w14:paraId="7F5CA782" w14:textId="77777777" w:rsidR="00231EE4" w:rsidRPr="009F2E80" w:rsidRDefault="00231EE4" w:rsidP="007A5938">
            <w:pPr>
              <w:keepNext/>
              <w:keepLines/>
              <w:widowControl w:val="0"/>
              <w:spacing w:after="0" w:line="240" w:lineRule="auto"/>
              <w:jc w:val="right"/>
              <w:rPr>
                <w:rFonts w:cs="Arial"/>
                <w:b/>
                <w:bCs/>
                <w:color w:val="000000"/>
                <w:szCs w:val="20"/>
              </w:rPr>
            </w:pPr>
            <w:r w:rsidRPr="009F2E80">
              <w:rPr>
                <w:rFonts w:cs="Arial"/>
                <w:b/>
                <w:bCs/>
                <w:color w:val="000000"/>
                <w:szCs w:val="20"/>
              </w:rPr>
              <w:t>2.36%</w:t>
            </w:r>
          </w:p>
        </w:tc>
      </w:tr>
    </w:tbl>
    <w:p w14:paraId="03108E7F" w14:textId="77777777" w:rsidR="0064589E" w:rsidRDefault="0064589E" w:rsidP="00F13FC8">
      <w:pPr>
        <w:rPr>
          <w:rFonts w:cs="Arial"/>
          <w:szCs w:val="20"/>
        </w:rPr>
      </w:pP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Pr>
      <w:tblGrid>
        <w:gridCol w:w="1214"/>
        <w:gridCol w:w="1214"/>
        <w:gridCol w:w="1214"/>
        <w:gridCol w:w="1456"/>
        <w:gridCol w:w="1134"/>
        <w:gridCol w:w="1134"/>
        <w:gridCol w:w="1134"/>
      </w:tblGrid>
      <w:tr w:rsidR="009740E2" w:rsidRPr="009F2E80" w14:paraId="17E12EB5" w14:textId="77777777" w:rsidTr="006A0FEF">
        <w:trPr>
          <w:trHeight w:val="228"/>
          <w:tblHeader/>
        </w:trPr>
        <w:tc>
          <w:tcPr>
            <w:tcW w:w="1214" w:type="dxa"/>
            <w:shd w:val="clear" w:color="auto" w:fill="404040" w:themeFill="text1" w:themeFillTint="BF"/>
            <w:noWrap/>
            <w:hideMark/>
          </w:tcPr>
          <w:p w14:paraId="3EF032FA" w14:textId="366A23CC" w:rsidR="0039617B" w:rsidRPr="009740E2" w:rsidRDefault="0039617B" w:rsidP="0039617B">
            <w:pPr>
              <w:spacing w:after="0" w:line="240" w:lineRule="auto"/>
              <w:rPr>
                <w:rFonts w:cs="Arial"/>
                <w:b/>
                <w:bCs/>
                <w:color w:val="FFFFFF" w:themeColor="background1"/>
                <w:szCs w:val="20"/>
              </w:rPr>
            </w:pPr>
            <w:r w:rsidRPr="009740E2">
              <w:rPr>
                <w:rFonts w:cs="Arial"/>
                <w:b/>
                <w:bCs/>
                <w:color w:val="FFFFFF" w:themeColor="background1"/>
                <w:szCs w:val="20"/>
              </w:rPr>
              <w:t> </w:t>
            </w:r>
            <w:r w:rsidR="003518EB">
              <w:rPr>
                <w:rFonts w:cs="Arial"/>
                <w:b/>
                <w:bCs/>
                <w:color w:val="FFFFFF" w:themeColor="background1"/>
                <w:szCs w:val="20"/>
              </w:rPr>
              <w:t>Year</w:t>
            </w:r>
          </w:p>
        </w:tc>
        <w:tc>
          <w:tcPr>
            <w:tcW w:w="1214" w:type="dxa"/>
            <w:shd w:val="clear" w:color="auto" w:fill="404040" w:themeFill="text1" w:themeFillTint="BF"/>
            <w:noWrap/>
            <w:hideMark/>
          </w:tcPr>
          <w:p w14:paraId="1FE08839" w14:textId="46D97285" w:rsidR="0039617B" w:rsidRPr="009740E2" w:rsidRDefault="0039617B" w:rsidP="006A0FEF">
            <w:pPr>
              <w:spacing w:after="0" w:line="240" w:lineRule="auto"/>
              <w:jc w:val="right"/>
              <w:rPr>
                <w:rFonts w:cs="Arial"/>
                <w:b/>
                <w:bCs/>
                <w:color w:val="FFFFFF" w:themeColor="background1"/>
                <w:szCs w:val="20"/>
              </w:rPr>
            </w:pPr>
            <w:r w:rsidRPr="009740E2">
              <w:rPr>
                <w:rFonts w:cs="Arial"/>
                <w:b/>
                <w:bCs/>
                <w:color w:val="FFFFFF" w:themeColor="background1"/>
                <w:szCs w:val="20"/>
              </w:rPr>
              <w:t xml:space="preserve">Gold Coast </w:t>
            </w:r>
            <w:r w:rsidR="009740E2">
              <w:rPr>
                <w:rFonts w:cs="Arial"/>
                <w:b/>
                <w:bCs/>
                <w:color w:val="FFFFFF" w:themeColor="background1"/>
                <w:szCs w:val="20"/>
              </w:rPr>
              <w:t>–</w:t>
            </w:r>
            <w:r w:rsidRPr="009740E2">
              <w:rPr>
                <w:rFonts w:cs="Arial"/>
                <w:b/>
                <w:bCs/>
                <w:color w:val="FFFFFF" w:themeColor="background1"/>
                <w:szCs w:val="20"/>
              </w:rPr>
              <w:t xml:space="preserve"> Tweed heads</w:t>
            </w:r>
          </w:p>
        </w:tc>
        <w:tc>
          <w:tcPr>
            <w:tcW w:w="1214" w:type="dxa"/>
            <w:shd w:val="clear" w:color="auto" w:fill="404040" w:themeFill="text1" w:themeFillTint="BF"/>
            <w:noWrap/>
            <w:hideMark/>
          </w:tcPr>
          <w:p w14:paraId="03D6BFAA" w14:textId="77777777" w:rsidR="0039617B" w:rsidRPr="009740E2" w:rsidRDefault="0039617B" w:rsidP="006A0FEF">
            <w:pPr>
              <w:spacing w:after="0" w:line="240" w:lineRule="auto"/>
              <w:jc w:val="right"/>
              <w:rPr>
                <w:rFonts w:cs="Arial"/>
                <w:b/>
                <w:bCs/>
                <w:color w:val="FFFFFF" w:themeColor="background1"/>
                <w:szCs w:val="20"/>
              </w:rPr>
            </w:pPr>
            <w:r w:rsidRPr="009740E2">
              <w:rPr>
                <w:rFonts w:cs="Arial"/>
                <w:b/>
                <w:bCs/>
                <w:color w:val="FFFFFF" w:themeColor="background1"/>
                <w:szCs w:val="20"/>
              </w:rPr>
              <w:t>Newcastle - Maitland</w:t>
            </w:r>
          </w:p>
        </w:tc>
        <w:tc>
          <w:tcPr>
            <w:tcW w:w="1456" w:type="dxa"/>
            <w:shd w:val="clear" w:color="auto" w:fill="404040" w:themeFill="text1" w:themeFillTint="BF"/>
            <w:noWrap/>
            <w:hideMark/>
          </w:tcPr>
          <w:p w14:paraId="60837EC6" w14:textId="3FC4A9DF" w:rsidR="0039617B" w:rsidRPr="009740E2" w:rsidRDefault="0039617B" w:rsidP="006A0FEF">
            <w:pPr>
              <w:spacing w:after="0" w:line="240" w:lineRule="auto"/>
              <w:jc w:val="right"/>
              <w:rPr>
                <w:rFonts w:cs="Arial"/>
                <w:b/>
                <w:bCs/>
                <w:color w:val="FFFFFF" w:themeColor="background1"/>
                <w:szCs w:val="20"/>
              </w:rPr>
            </w:pPr>
            <w:r w:rsidRPr="009740E2">
              <w:rPr>
                <w:rFonts w:cs="Arial"/>
                <w:b/>
                <w:bCs/>
                <w:color w:val="FFFFFF" w:themeColor="background1"/>
                <w:szCs w:val="20"/>
              </w:rPr>
              <w:t xml:space="preserve">Canberra </w:t>
            </w:r>
            <w:r w:rsidR="009740E2">
              <w:rPr>
                <w:rFonts w:cs="Arial"/>
                <w:b/>
                <w:bCs/>
                <w:color w:val="FFFFFF" w:themeColor="background1"/>
                <w:szCs w:val="20"/>
              </w:rPr>
              <w:t>–</w:t>
            </w:r>
            <w:r w:rsidRPr="009740E2">
              <w:rPr>
                <w:rFonts w:cs="Arial"/>
                <w:b/>
                <w:bCs/>
                <w:color w:val="FFFFFF" w:themeColor="background1"/>
                <w:szCs w:val="20"/>
              </w:rPr>
              <w:t xml:space="preserve"> Queanbeyan</w:t>
            </w:r>
          </w:p>
        </w:tc>
        <w:tc>
          <w:tcPr>
            <w:tcW w:w="1134" w:type="dxa"/>
            <w:shd w:val="clear" w:color="auto" w:fill="404040" w:themeFill="text1" w:themeFillTint="BF"/>
            <w:noWrap/>
            <w:hideMark/>
          </w:tcPr>
          <w:p w14:paraId="2FA35D9A" w14:textId="77777777" w:rsidR="0039617B" w:rsidRPr="009740E2" w:rsidRDefault="0039617B" w:rsidP="006A0FEF">
            <w:pPr>
              <w:spacing w:after="0" w:line="240" w:lineRule="auto"/>
              <w:jc w:val="right"/>
              <w:rPr>
                <w:rFonts w:cs="Arial"/>
                <w:b/>
                <w:bCs/>
                <w:color w:val="FFFFFF" w:themeColor="background1"/>
                <w:szCs w:val="20"/>
              </w:rPr>
            </w:pPr>
            <w:r w:rsidRPr="009740E2">
              <w:rPr>
                <w:rFonts w:cs="Arial"/>
                <w:b/>
                <w:bCs/>
                <w:color w:val="FFFFFF" w:themeColor="background1"/>
                <w:szCs w:val="20"/>
              </w:rPr>
              <w:t>Sunshine Coast</w:t>
            </w:r>
          </w:p>
        </w:tc>
        <w:tc>
          <w:tcPr>
            <w:tcW w:w="1134" w:type="dxa"/>
            <w:shd w:val="clear" w:color="auto" w:fill="404040" w:themeFill="text1" w:themeFillTint="BF"/>
            <w:noWrap/>
            <w:hideMark/>
          </w:tcPr>
          <w:p w14:paraId="294AB776" w14:textId="77777777" w:rsidR="0039617B" w:rsidRPr="009740E2" w:rsidRDefault="0039617B" w:rsidP="006A0FEF">
            <w:pPr>
              <w:spacing w:after="0" w:line="240" w:lineRule="auto"/>
              <w:jc w:val="right"/>
              <w:rPr>
                <w:rFonts w:cs="Arial"/>
                <w:b/>
                <w:bCs/>
                <w:color w:val="FFFFFF" w:themeColor="background1"/>
                <w:szCs w:val="20"/>
              </w:rPr>
            </w:pPr>
            <w:r w:rsidRPr="009740E2">
              <w:rPr>
                <w:rFonts w:cs="Arial"/>
                <w:b/>
                <w:bCs/>
                <w:color w:val="FFFFFF" w:themeColor="background1"/>
                <w:szCs w:val="20"/>
              </w:rPr>
              <w:t>Central Coast</w:t>
            </w:r>
          </w:p>
        </w:tc>
        <w:tc>
          <w:tcPr>
            <w:tcW w:w="1134" w:type="dxa"/>
            <w:shd w:val="clear" w:color="auto" w:fill="404040" w:themeFill="text1" w:themeFillTint="BF"/>
            <w:noWrap/>
            <w:hideMark/>
          </w:tcPr>
          <w:p w14:paraId="326CED87" w14:textId="77777777" w:rsidR="0039617B" w:rsidRPr="009740E2" w:rsidRDefault="0039617B" w:rsidP="006A0FEF">
            <w:pPr>
              <w:spacing w:after="0" w:line="240" w:lineRule="auto"/>
              <w:jc w:val="right"/>
              <w:rPr>
                <w:rFonts w:cs="Arial"/>
                <w:b/>
                <w:bCs/>
                <w:color w:val="FFFFFF" w:themeColor="background1"/>
                <w:szCs w:val="20"/>
              </w:rPr>
            </w:pPr>
            <w:r w:rsidRPr="009740E2">
              <w:rPr>
                <w:rFonts w:cs="Arial"/>
                <w:b/>
                <w:bCs/>
                <w:color w:val="FFFFFF" w:themeColor="background1"/>
                <w:szCs w:val="20"/>
              </w:rPr>
              <w:t>CPI</w:t>
            </w:r>
          </w:p>
        </w:tc>
      </w:tr>
      <w:tr w:rsidR="00B07EB6" w:rsidRPr="009F2E80" w14:paraId="3F0EE7BC" w14:textId="77777777" w:rsidTr="009740E2">
        <w:trPr>
          <w:trHeight w:val="228"/>
        </w:trPr>
        <w:tc>
          <w:tcPr>
            <w:tcW w:w="1214" w:type="dxa"/>
            <w:shd w:val="clear" w:color="auto" w:fill="auto"/>
            <w:noWrap/>
            <w:vAlign w:val="bottom"/>
            <w:hideMark/>
          </w:tcPr>
          <w:p w14:paraId="48F7B542" w14:textId="77777777" w:rsidR="0039617B" w:rsidRPr="009F2E80" w:rsidRDefault="0039617B" w:rsidP="0039617B">
            <w:pPr>
              <w:spacing w:after="0" w:line="240" w:lineRule="auto"/>
              <w:rPr>
                <w:rFonts w:cs="Arial"/>
                <w:color w:val="000000"/>
                <w:szCs w:val="20"/>
              </w:rPr>
            </w:pPr>
            <w:r w:rsidRPr="009F2E80">
              <w:rPr>
                <w:rFonts w:cs="Arial"/>
                <w:color w:val="000000"/>
                <w:szCs w:val="20"/>
              </w:rPr>
              <w:t>2002</w:t>
            </w:r>
          </w:p>
        </w:tc>
        <w:tc>
          <w:tcPr>
            <w:tcW w:w="1214" w:type="dxa"/>
            <w:shd w:val="clear" w:color="auto" w:fill="auto"/>
            <w:noWrap/>
            <w:vAlign w:val="bottom"/>
            <w:hideMark/>
          </w:tcPr>
          <w:p w14:paraId="61F17599"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3.81%</w:t>
            </w:r>
          </w:p>
        </w:tc>
        <w:tc>
          <w:tcPr>
            <w:tcW w:w="1214" w:type="dxa"/>
            <w:shd w:val="clear" w:color="auto" w:fill="auto"/>
            <w:noWrap/>
            <w:vAlign w:val="bottom"/>
            <w:hideMark/>
          </w:tcPr>
          <w:p w14:paraId="07395982"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0.83%</w:t>
            </w:r>
          </w:p>
        </w:tc>
        <w:tc>
          <w:tcPr>
            <w:tcW w:w="1456" w:type="dxa"/>
            <w:shd w:val="clear" w:color="auto" w:fill="auto"/>
            <w:noWrap/>
            <w:vAlign w:val="bottom"/>
            <w:hideMark/>
          </w:tcPr>
          <w:p w14:paraId="3E2B8B6C"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1.12%</w:t>
            </w:r>
          </w:p>
        </w:tc>
        <w:tc>
          <w:tcPr>
            <w:tcW w:w="1134" w:type="dxa"/>
            <w:shd w:val="clear" w:color="auto" w:fill="auto"/>
            <w:noWrap/>
            <w:vAlign w:val="bottom"/>
            <w:hideMark/>
          </w:tcPr>
          <w:p w14:paraId="279074BE"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3.57%</w:t>
            </w:r>
          </w:p>
        </w:tc>
        <w:tc>
          <w:tcPr>
            <w:tcW w:w="1134" w:type="dxa"/>
            <w:shd w:val="clear" w:color="auto" w:fill="auto"/>
            <w:noWrap/>
            <w:vAlign w:val="bottom"/>
            <w:hideMark/>
          </w:tcPr>
          <w:p w14:paraId="6BDB73F0"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1.02%</w:t>
            </w:r>
          </w:p>
        </w:tc>
        <w:tc>
          <w:tcPr>
            <w:tcW w:w="1134" w:type="dxa"/>
            <w:shd w:val="clear" w:color="auto" w:fill="auto"/>
            <w:noWrap/>
            <w:vAlign w:val="bottom"/>
            <w:hideMark/>
          </w:tcPr>
          <w:p w14:paraId="5CFBB300"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2.80%</w:t>
            </w:r>
          </w:p>
        </w:tc>
      </w:tr>
      <w:tr w:rsidR="00B07EB6" w:rsidRPr="009F2E80" w14:paraId="193D290B" w14:textId="77777777" w:rsidTr="009740E2">
        <w:trPr>
          <w:trHeight w:val="228"/>
        </w:trPr>
        <w:tc>
          <w:tcPr>
            <w:tcW w:w="1214" w:type="dxa"/>
            <w:shd w:val="clear" w:color="auto" w:fill="auto"/>
            <w:noWrap/>
            <w:vAlign w:val="bottom"/>
            <w:hideMark/>
          </w:tcPr>
          <w:p w14:paraId="39DCDDE1" w14:textId="77777777" w:rsidR="0039617B" w:rsidRPr="009F2E80" w:rsidRDefault="0039617B" w:rsidP="0039617B">
            <w:pPr>
              <w:spacing w:after="0" w:line="240" w:lineRule="auto"/>
              <w:rPr>
                <w:rFonts w:cs="Arial"/>
                <w:color w:val="000000"/>
                <w:szCs w:val="20"/>
              </w:rPr>
            </w:pPr>
            <w:r w:rsidRPr="009F2E80">
              <w:rPr>
                <w:rFonts w:cs="Arial"/>
                <w:color w:val="000000"/>
                <w:szCs w:val="20"/>
              </w:rPr>
              <w:t>2003</w:t>
            </w:r>
          </w:p>
        </w:tc>
        <w:tc>
          <w:tcPr>
            <w:tcW w:w="1214" w:type="dxa"/>
            <w:shd w:val="clear" w:color="auto" w:fill="auto"/>
            <w:noWrap/>
            <w:vAlign w:val="bottom"/>
            <w:hideMark/>
          </w:tcPr>
          <w:p w14:paraId="6938DE9F"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3.97%</w:t>
            </w:r>
          </w:p>
        </w:tc>
        <w:tc>
          <w:tcPr>
            <w:tcW w:w="1214" w:type="dxa"/>
            <w:shd w:val="clear" w:color="auto" w:fill="auto"/>
            <w:noWrap/>
            <w:vAlign w:val="bottom"/>
            <w:hideMark/>
          </w:tcPr>
          <w:p w14:paraId="45C16A74"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0.77%</w:t>
            </w:r>
          </w:p>
        </w:tc>
        <w:tc>
          <w:tcPr>
            <w:tcW w:w="1456" w:type="dxa"/>
            <w:shd w:val="clear" w:color="auto" w:fill="auto"/>
            <w:noWrap/>
            <w:vAlign w:val="bottom"/>
            <w:hideMark/>
          </w:tcPr>
          <w:p w14:paraId="281DC52D"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1.07%</w:t>
            </w:r>
          </w:p>
        </w:tc>
        <w:tc>
          <w:tcPr>
            <w:tcW w:w="1134" w:type="dxa"/>
            <w:shd w:val="clear" w:color="auto" w:fill="auto"/>
            <w:noWrap/>
            <w:vAlign w:val="bottom"/>
            <w:hideMark/>
          </w:tcPr>
          <w:p w14:paraId="19220B71"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4.25%</w:t>
            </w:r>
          </w:p>
        </w:tc>
        <w:tc>
          <w:tcPr>
            <w:tcW w:w="1134" w:type="dxa"/>
            <w:shd w:val="clear" w:color="auto" w:fill="auto"/>
            <w:noWrap/>
            <w:vAlign w:val="bottom"/>
            <w:hideMark/>
          </w:tcPr>
          <w:p w14:paraId="4A1DBB74"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0.63%</w:t>
            </w:r>
          </w:p>
        </w:tc>
        <w:tc>
          <w:tcPr>
            <w:tcW w:w="1134" w:type="dxa"/>
            <w:shd w:val="clear" w:color="auto" w:fill="auto"/>
            <w:noWrap/>
            <w:vAlign w:val="bottom"/>
            <w:hideMark/>
          </w:tcPr>
          <w:p w14:paraId="71AD1CF7"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2.60%</w:t>
            </w:r>
          </w:p>
        </w:tc>
      </w:tr>
      <w:tr w:rsidR="00B07EB6" w:rsidRPr="009F2E80" w14:paraId="12C16900" w14:textId="77777777" w:rsidTr="009740E2">
        <w:trPr>
          <w:trHeight w:val="228"/>
        </w:trPr>
        <w:tc>
          <w:tcPr>
            <w:tcW w:w="1214" w:type="dxa"/>
            <w:shd w:val="clear" w:color="auto" w:fill="auto"/>
            <w:noWrap/>
            <w:vAlign w:val="bottom"/>
            <w:hideMark/>
          </w:tcPr>
          <w:p w14:paraId="5A5C4178" w14:textId="77777777" w:rsidR="0039617B" w:rsidRPr="009F2E80" w:rsidRDefault="0039617B" w:rsidP="0039617B">
            <w:pPr>
              <w:spacing w:after="0" w:line="240" w:lineRule="auto"/>
              <w:rPr>
                <w:rFonts w:cs="Arial"/>
                <w:color w:val="000000"/>
                <w:szCs w:val="20"/>
              </w:rPr>
            </w:pPr>
            <w:r w:rsidRPr="009F2E80">
              <w:rPr>
                <w:rFonts w:cs="Arial"/>
                <w:color w:val="000000"/>
                <w:szCs w:val="20"/>
              </w:rPr>
              <w:t>2004</w:t>
            </w:r>
          </w:p>
        </w:tc>
        <w:tc>
          <w:tcPr>
            <w:tcW w:w="1214" w:type="dxa"/>
            <w:shd w:val="clear" w:color="auto" w:fill="auto"/>
            <w:noWrap/>
            <w:vAlign w:val="bottom"/>
            <w:hideMark/>
          </w:tcPr>
          <w:p w14:paraId="20487475"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3.18%</w:t>
            </w:r>
          </w:p>
        </w:tc>
        <w:tc>
          <w:tcPr>
            <w:tcW w:w="1214" w:type="dxa"/>
            <w:shd w:val="clear" w:color="auto" w:fill="auto"/>
            <w:noWrap/>
            <w:vAlign w:val="bottom"/>
            <w:hideMark/>
          </w:tcPr>
          <w:p w14:paraId="16A87A82"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0.61%</w:t>
            </w:r>
          </w:p>
        </w:tc>
        <w:tc>
          <w:tcPr>
            <w:tcW w:w="1456" w:type="dxa"/>
            <w:shd w:val="clear" w:color="auto" w:fill="auto"/>
            <w:noWrap/>
            <w:vAlign w:val="bottom"/>
            <w:hideMark/>
          </w:tcPr>
          <w:p w14:paraId="58708413"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0.54%</w:t>
            </w:r>
          </w:p>
        </w:tc>
        <w:tc>
          <w:tcPr>
            <w:tcW w:w="1134" w:type="dxa"/>
            <w:shd w:val="clear" w:color="auto" w:fill="auto"/>
            <w:noWrap/>
            <w:vAlign w:val="bottom"/>
            <w:hideMark/>
          </w:tcPr>
          <w:p w14:paraId="6F87A53D"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3.72%</w:t>
            </w:r>
          </w:p>
        </w:tc>
        <w:tc>
          <w:tcPr>
            <w:tcW w:w="1134" w:type="dxa"/>
            <w:shd w:val="clear" w:color="auto" w:fill="auto"/>
            <w:noWrap/>
            <w:vAlign w:val="bottom"/>
            <w:hideMark/>
          </w:tcPr>
          <w:p w14:paraId="41DB1B48"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0.26%</w:t>
            </w:r>
          </w:p>
        </w:tc>
        <w:tc>
          <w:tcPr>
            <w:tcW w:w="1134" w:type="dxa"/>
            <w:shd w:val="clear" w:color="auto" w:fill="auto"/>
            <w:noWrap/>
            <w:vAlign w:val="bottom"/>
            <w:hideMark/>
          </w:tcPr>
          <w:p w14:paraId="0DB27865"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2.50%</w:t>
            </w:r>
          </w:p>
        </w:tc>
      </w:tr>
      <w:tr w:rsidR="00B07EB6" w:rsidRPr="009F2E80" w14:paraId="5F8E657E" w14:textId="77777777" w:rsidTr="009740E2">
        <w:trPr>
          <w:trHeight w:val="228"/>
        </w:trPr>
        <w:tc>
          <w:tcPr>
            <w:tcW w:w="1214" w:type="dxa"/>
            <w:shd w:val="clear" w:color="auto" w:fill="auto"/>
            <w:noWrap/>
            <w:vAlign w:val="bottom"/>
            <w:hideMark/>
          </w:tcPr>
          <w:p w14:paraId="20E5E238" w14:textId="77777777" w:rsidR="0039617B" w:rsidRPr="009F2E80" w:rsidRDefault="0039617B" w:rsidP="0039617B">
            <w:pPr>
              <w:spacing w:after="0" w:line="240" w:lineRule="auto"/>
              <w:rPr>
                <w:rFonts w:cs="Arial"/>
                <w:color w:val="000000"/>
                <w:szCs w:val="20"/>
              </w:rPr>
            </w:pPr>
            <w:r w:rsidRPr="009F2E80">
              <w:rPr>
                <w:rFonts w:cs="Arial"/>
                <w:color w:val="000000"/>
                <w:szCs w:val="20"/>
              </w:rPr>
              <w:t>2005</w:t>
            </w:r>
          </w:p>
        </w:tc>
        <w:tc>
          <w:tcPr>
            <w:tcW w:w="1214" w:type="dxa"/>
            <w:shd w:val="clear" w:color="auto" w:fill="auto"/>
            <w:noWrap/>
            <w:vAlign w:val="bottom"/>
            <w:hideMark/>
          </w:tcPr>
          <w:p w14:paraId="2E24412E"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2.75%</w:t>
            </w:r>
          </w:p>
        </w:tc>
        <w:tc>
          <w:tcPr>
            <w:tcW w:w="1214" w:type="dxa"/>
            <w:shd w:val="clear" w:color="auto" w:fill="auto"/>
            <w:noWrap/>
            <w:vAlign w:val="bottom"/>
            <w:hideMark/>
          </w:tcPr>
          <w:p w14:paraId="3FE55C73"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0.60%</w:t>
            </w:r>
          </w:p>
        </w:tc>
        <w:tc>
          <w:tcPr>
            <w:tcW w:w="1456" w:type="dxa"/>
            <w:shd w:val="clear" w:color="auto" w:fill="auto"/>
            <w:noWrap/>
            <w:vAlign w:val="bottom"/>
            <w:hideMark/>
          </w:tcPr>
          <w:p w14:paraId="5D188057"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0.85%</w:t>
            </w:r>
          </w:p>
        </w:tc>
        <w:tc>
          <w:tcPr>
            <w:tcW w:w="1134" w:type="dxa"/>
            <w:shd w:val="clear" w:color="auto" w:fill="auto"/>
            <w:noWrap/>
            <w:vAlign w:val="bottom"/>
            <w:hideMark/>
          </w:tcPr>
          <w:p w14:paraId="10007E46"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2.78%</w:t>
            </w:r>
          </w:p>
        </w:tc>
        <w:tc>
          <w:tcPr>
            <w:tcW w:w="1134" w:type="dxa"/>
            <w:shd w:val="clear" w:color="auto" w:fill="auto"/>
            <w:noWrap/>
            <w:vAlign w:val="bottom"/>
            <w:hideMark/>
          </w:tcPr>
          <w:p w14:paraId="7DF8EFC9"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0.48%</w:t>
            </w:r>
          </w:p>
        </w:tc>
        <w:tc>
          <w:tcPr>
            <w:tcW w:w="1134" w:type="dxa"/>
            <w:shd w:val="clear" w:color="auto" w:fill="auto"/>
            <w:noWrap/>
            <w:vAlign w:val="bottom"/>
            <w:hideMark/>
          </w:tcPr>
          <w:p w14:paraId="5213E03D"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2.50%</w:t>
            </w:r>
          </w:p>
        </w:tc>
      </w:tr>
      <w:tr w:rsidR="00B07EB6" w:rsidRPr="009F2E80" w14:paraId="2099A8DB" w14:textId="77777777" w:rsidTr="009740E2">
        <w:trPr>
          <w:trHeight w:val="228"/>
        </w:trPr>
        <w:tc>
          <w:tcPr>
            <w:tcW w:w="1214" w:type="dxa"/>
            <w:shd w:val="clear" w:color="auto" w:fill="auto"/>
            <w:noWrap/>
            <w:vAlign w:val="bottom"/>
            <w:hideMark/>
          </w:tcPr>
          <w:p w14:paraId="74D86ABD" w14:textId="77777777" w:rsidR="0039617B" w:rsidRPr="009F2E80" w:rsidRDefault="0039617B" w:rsidP="0039617B">
            <w:pPr>
              <w:spacing w:after="0" w:line="240" w:lineRule="auto"/>
              <w:rPr>
                <w:rFonts w:cs="Arial"/>
                <w:color w:val="000000"/>
                <w:szCs w:val="20"/>
              </w:rPr>
            </w:pPr>
            <w:r w:rsidRPr="009F2E80">
              <w:rPr>
                <w:rFonts w:cs="Arial"/>
                <w:color w:val="000000"/>
                <w:szCs w:val="20"/>
              </w:rPr>
              <w:t>2006</w:t>
            </w:r>
          </w:p>
        </w:tc>
        <w:tc>
          <w:tcPr>
            <w:tcW w:w="1214" w:type="dxa"/>
            <w:shd w:val="clear" w:color="auto" w:fill="auto"/>
            <w:noWrap/>
            <w:vAlign w:val="bottom"/>
            <w:hideMark/>
          </w:tcPr>
          <w:p w14:paraId="2D83B7F1"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2.88%</w:t>
            </w:r>
          </w:p>
        </w:tc>
        <w:tc>
          <w:tcPr>
            <w:tcW w:w="1214" w:type="dxa"/>
            <w:shd w:val="clear" w:color="auto" w:fill="auto"/>
            <w:noWrap/>
            <w:vAlign w:val="bottom"/>
            <w:hideMark/>
          </w:tcPr>
          <w:p w14:paraId="313465F4"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0.52%</w:t>
            </w:r>
          </w:p>
        </w:tc>
        <w:tc>
          <w:tcPr>
            <w:tcW w:w="1456" w:type="dxa"/>
            <w:shd w:val="clear" w:color="auto" w:fill="auto"/>
            <w:noWrap/>
            <w:vAlign w:val="bottom"/>
            <w:hideMark/>
          </w:tcPr>
          <w:p w14:paraId="42380D78"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1.18%</w:t>
            </w:r>
          </w:p>
        </w:tc>
        <w:tc>
          <w:tcPr>
            <w:tcW w:w="1134" w:type="dxa"/>
            <w:shd w:val="clear" w:color="auto" w:fill="auto"/>
            <w:noWrap/>
            <w:vAlign w:val="bottom"/>
            <w:hideMark/>
          </w:tcPr>
          <w:p w14:paraId="7B698789"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2.56%</w:t>
            </w:r>
          </w:p>
        </w:tc>
        <w:tc>
          <w:tcPr>
            <w:tcW w:w="1134" w:type="dxa"/>
            <w:shd w:val="clear" w:color="auto" w:fill="auto"/>
            <w:noWrap/>
            <w:vAlign w:val="bottom"/>
            <w:hideMark/>
          </w:tcPr>
          <w:p w14:paraId="1A8195E6"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0.56%</w:t>
            </w:r>
          </w:p>
        </w:tc>
        <w:tc>
          <w:tcPr>
            <w:tcW w:w="1134" w:type="dxa"/>
            <w:shd w:val="clear" w:color="auto" w:fill="auto"/>
            <w:noWrap/>
            <w:vAlign w:val="bottom"/>
            <w:hideMark/>
          </w:tcPr>
          <w:p w14:paraId="7860473B"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4.00%</w:t>
            </w:r>
          </w:p>
        </w:tc>
      </w:tr>
      <w:tr w:rsidR="00B07EB6" w:rsidRPr="009F2E80" w14:paraId="53CC7000" w14:textId="77777777" w:rsidTr="009740E2">
        <w:trPr>
          <w:trHeight w:val="228"/>
        </w:trPr>
        <w:tc>
          <w:tcPr>
            <w:tcW w:w="1214" w:type="dxa"/>
            <w:shd w:val="clear" w:color="auto" w:fill="auto"/>
            <w:noWrap/>
            <w:vAlign w:val="bottom"/>
            <w:hideMark/>
          </w:tcPr>
          <w:p w14:paraId="41EFAE4D" w14:textId="77777777" w:rsidR="0039617B" w:rsidRPr="009F2E80" w:rsidRDefault="0039617B" w:rsidP="0039617B">
            <w:pPr>
              <w:spacing w:after="0" w:line="240" w:lineRule="auto"/>
              <w:rPr>
                <w:rFonts w:cs="Arial"/>
                <w:color w:val="000000"/>
                <w:szCs w:val="20"/>
              </w:rPr>
            </w:pPr>
            <w:r w:rsidRPr="009F2E80">
              <w:rPr>
                <w:rFonts w:cs="Arial"/>
                <w:color w:val="000000"/>
                <w:szCs w:val="20"/>
              </w:rPr>
              <w:t>2007</w:t>
            </w:r>
          </w:p>
        </w:tc>
        <w:tc>
          <w:tcPr>
            <w:tcW w:w="1214" w:type="dxa"/>
            <w:shd w:val="clear" w:color="auto" w:fill="auto"/>
            <w:noWrap/>
            <w:vAlign w:val="bottom"/>
            <w:hideMark/>
          </w:tcPr>
          <w:p w14:paraId="22FEAA86"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3.55%</w:t>
            </w:r>
          </w:p>
        </w:tc>
        <w:tc>
          <w:tcPr>
            <w:tcW w:w="1214" w:type="dxa"/>
            <w:shd w:val="clear" w:color="auto" w:fill="auto"/>
            <w:noWrap/>
            <w:vAlign w:val="bottom"/>
            <w:hideMark/>
          </w:tcPr>
          <w:p w14:paraId="1EE09566"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1.19%</w:t>
            </w:r>
          </w:p>
        </w:tc>
        <w:tc>
          <w:tcPr>
            <w:tcW w:w="1456" w:type="dxa"/>
            <w:shd w:val="clear" w:color="auto" w:fill="auto"/>
            <w:noWrap/>
            <w:vAlign w:val="bottom"/>
            <w:hideMark/>
          </w:tcPr>
          <w:p w14:paraId="28D01ECE"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2.11%</w:t>
            </w:r>
          </w:p>
        </w:tc>
        <w:tc>
          <w:tcPr>
            <w:tcW w:w="1134" w:type="dxa"/>
            <w:shd w:val="clear" w:color="auto" w:fill="auto"/>
            <w:noWrap/>
            <w:vAlign w:val="bottom"/>
            <w:hideMark/>
          </w:tcPr>
          <w:p w14:paraId="533A99E1"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2.60%</w:t>
            </w:r>
          </w:p>
        </w:tc>
        <w:tc>
          <w:tcPr>
            <w:tcW w:w="1134" w:type="dxa"/>
            <w:shd w:val="clear" w:color="auto" w:fill="auto"/>
            <w:noWrap/>
            <w:vAlign w:val="bottom"/>
            <w:hideMark/>
          </w:tcPr>
          <w:p w14:paraId="0A2E2CCD"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1.17%</w:t>
            </w:r>
          </w:p>
        </w:tc>
        <w:tc>
          <w:tcPr>
            <w:tcW w:w="1134" w:type="dxa"/>
            <w:shd w:val="clear" w:color="auto" w:fill="auto"/>
            <w:noWrap/>
            <w:vAlign w:val="bottom"/>
            <w:hideMark/>
          </w:tcPr>
          <w:p w14:paraId="287962B5"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2.10%</w:t>
            </w:r>
          </w:p>
        </w:tc>
      </w:tr>
      <w:tr w:rsidR="00B07EB6" w:rsidRPr="009F2E80" w14:paraId="41B5750D" w14:textId="77777777" w:rsidTr="009740E2">
        <w:trPr>
          <w:trHeight w:val="228"/>
        </w:trPr>
        <w:tc>
          <w:tcPr>
            <w:tcW w:w="1214" w:type="dxa"/>
            <w:shd w:val="clear" w:color="auto" w:fill="auto"/>
            <w:noWrap/>
            <w:vAlign w:val="bottom"/>
            <w:hideMark/>
          </w:tcPr>
          <w:p w14:paraId="64F19D52" w14:textId="77777777" w:rsidR="0039617B" w:rsidRPr="009F2E80" w:rsidRDefault="0039617B" w:rsidP="0039617B">
            <w:pPr>
              <w:spacing w:after="0" w:line="240" w:lineRule="auto"/>
              <w:rPr>
                <w:rFonts w:cs="Arial"/>
                <w:color w:val="000000"/>
                <w:szCs w:val="20"/>
              </w:rPr>
            </w:pPr>
            <w:r w:rsidRPr="009F2E80">
              <w:rPr>
                <w:rFonts w:cs="Arial"/>
                <w:color w:val="000000"/>
                <w:szCs w:val="20"/>
              </w:rPr>
              <w:t>2008</w:t>
            </w:r>
          </w:p>
        </w:tc>
        <w:tc>
          <w:tcPr>
            <w:tcW w:w="1214" w:type="dxa"/>
            <w:shd w:val="clear" w:color="auto" w:fill="auto"/>
            <w:noWrap/>
            <w:vAlign w:val="bottom"/>
            <w:hideMark/>
          </w:tcPr>
          <w:p w14:paraId="242D2D28"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3.08%</w:t>
            </w:r>
          </w:p>
        </w:tc>
        <w:tc>
          <w:tcPr>
            <w:tcW w:w="1214" w:type="dxa"/>
            <w:shd w:val="clear" w:color="auto" w:fill="auto"/>
            <w:noWrap/>
            <w:vAlign w:val="bottom"/>
            <w:hideMark/>
          </w:tcPr>
          <w:p w14:paraId="742A0D41"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1.23%</w:t>
            </w:r>
          </w:p>
        </w:tc>
        <w:tc>
          <w:tcPr>
            <w:tcW w:w="1456" w:type="dxa"/>
            <w:shd w:val="clear" w:color="auto" w:fill="auto"/>
            <w:noWrap/>
            <w:vAlign w:val="bottom"/>
            <w:hideMark/>
          </w:tcPr>
          <w:p w14:paraId="0C4B5986"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1.66%</w:t>
            </w:r>
          </w:p>
        </w:tc>
        <w:tc>
          <w:tcPr>
            <w:tcW w:w="1134" w:type="dxa"/>
            <w:shd w:val="clear" w:color="auto" w:fill="auto"/>
            <w:noWrap/>
            <w:vAlign w:val="bottom"/>
            <w:hideMark/>
          </w:tcPr>
          <w:p w14:paraId="41B6142A"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2.86%</w:t>
            </w:r>
          </w:p>
        </w:tc>
        <w:tc>
          <w:tcPr>
            <w:tcW w:w="1134" w:type="dxa"/>
            <w:shd w:val="clear" w:color="auto" w:fill="auto"/>
            <w:noWrap/>
            <w:vAlign w:val="bottom"/>
            <w:hideMark/>
          </w:tcPr>
          <w:p w14:paraId="013068BA"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1.93%</w:t>
            </w:r>
          </w:p>
        </w:tc>
        <w:tc>
          <w:tcPr>
            <w:tcW w:w="1134" w:type="dxa"/>
            <w:shd w:val="clear" w:color="auto" w:fill="auto"/>
            <w:noWrap/>
            <w:vAlign w:val="bottom"/>
            <w:hideMark/>
          </w:tcPr>
          <w:p w14:paraId="392E5667"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4.40%</w:t>
            </w:r>
          </w:p>
        </w:tc>
      </w:tr>
      <w:tr w:rsidR="00B07EB6" w:rsidRPr="009F2E80" w14:paraId="38BB4BE7" w14:textId="77777777" w:rsidTr="009740E2">
        <w:trPr>
          <w:trHeight w:val="228"/>
        </w:trPr>
        <w:tc>
          <w:tcPr>
            <w:tcW w:w="1214" w:type="dxa"/>
            <w:shd w:val="clear" w:color="auto" w:fill="auto"/>
            <w:noWrap/>
            <w:vAlign w:val="bottom"/>
            <w:hideMark/>
          </w:tcPr>
          <w:p w14:paraId="69584B89" w14:textId="77777777" w:rsidR="0039617B" w:rsidRPr="009F2E80" w:rsidRDefault="0039617B" w:rsidP="0039617B">
            <w:pPr>
              <w:spacing w:after="0" w:line="240" w:lineRule="auto"/>
              <w:rPr>
                <w:rFonts w:cs="Arial"/>
                <w:color w:val="000000"/>
                <w:szCs w:val="20"/>
              </w:rPr>
            </w:pPr>
            <w:r w:rsidRPr="009F2E80">
              <w:rPr>
                <w:rFonts w:cs="Arial"/>
                <w:color w:val="000000"/>
                <w:szCs w:val="20"/>
              </w:rPr>
              <w:t>2009</w:t>
            </w:r>
          </w:p>
        </w:tc>
        <w:tc>
          <w:tcPr>
            <w:tcW w:w="1214" w:type="dxa"/>
            <w:shd w:val="clear" w:color="auto" w:fill="auto"/>
            <w:noWrap/>
            <w:vAlign w:val="bottom"/>
            <w:hideMark/>
          </w:tcPr>
          <w:p w14:paraId="7B56C279"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2.89%</w:t>
            </w:r>
          </w:p>
        </w:tc>
        <w:tc>
          <w:tcPr>
            <w:tcW w:w="1214" w:type="dxa"/>
            <w:shd w:val="clear" w:color="auto" w:fill="auto"/>
            <w:noWrap/>
            <w:vAlign w:val="bottom"/>
            <w:hideMark/>
          </w:tcPr>
          <w:p w14:paraId="4A6F97E3"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1.17%</w:t>
            </w:r>
          </w:p>
        </w:tc>
        <w:tc>
          <w:tcPr>
            <w:tcW w:w="1456" w:type="dxa"/>
            <w:shd w:val="clear" w:color="auto" w:fill="auto"/>
            <w:noWrap/>
            <w:vAlign w:val="bottom"/>
            <w:hideMark/>
          </w:tcPr>
          <w:p w14:paraId="3622CA17"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1.81%</w:t>
            </w:r>
          </w:p>
        </w:tc>
        <w:tc>
          <w:tcPr>
            <w:tcW w:w="1134" w:type="dxa"/>
            <w:shd w:val="clear" w:color="auto" w:fill="auto"/>
            <w:noWrap/>
            <w:vAlign w:val="bottom"/>
            <w:hideMark/>
          </w:tcPr>
          <w:p w14:paraId="6FAF9A09"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2.57%</w:t>
            </w:r>
          </w:p>
        </w:tc>
        <w:tc>
          <w:tcPr>
            <w:tcW w:w="1134" w:type="dxa"/>
            <w:shd w:val="clear" w:color="auto" w:fill="auto"/>
            <w:noWrap/>
            <w:vAlign w:val="bottom"/>
            <w:hideMark/>
          </w:tcPr>
          <w:p w14:paraId="3EB548A0"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1.45%</w:t>
            </w:r>
          </w:p>
        </w:tc>
        <w:tc>
          <w:tcPr>
            <w:tcW w:w="1134" w:type="dxa"/>
            <w:shd w:val="clear" w:color="auto" w:fill="auto"/>
            <w:noWrap/>
            <w:vAlign w:val="bottom"/>
            <w:hideMark/>
          </w:tcPr>
          <w:p w14:paraId="4BAFF79E"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1.40%</w:t>
            </w:r>
          </w:p>
        </w:tc>
      </w:tr>
      <w:tr w:rsidR="00B07EB6" w:rsidRPr="009F2E80" w14:paraId="4CB7B0B5" w14:textId="77777777" w:rsidTr="009740E2">
        <w:trPr>
          <w:trHeight w:val="228"/>
        </w:trPr>
        <w:tc>
          <w:tcPr>
            <w:tcW w:w="1214" w:type="dxa"/>
            <w:shd w:val="clear" w:color="auto" w:fill="auto"/>
            <w:noWrap/>
            <w:vAlign w:val="bottom"/>
            <w:hideMark/>
          </w:tcPr>
          <w:p w14:paraId="045BBF27" w14:textId="77777777" w:rsidR="0039617B" w:rsidRPr="009F2E80" w:rsidRDefault="0039617B" w:rsidP="0039617B">
            <w:pPr>
              <w:spacing w:after="0" w:line="240" w:lineRule="auto"/>
              <w:rPr>
                <w:rFonts w:cs="Arial"/>
                <w:color w:val="000000"/>
                <w:szCs w:val="20"/>
              </w:rPr>
            </w:pPr>
            <w:r w:rsidRPr="009F2E80">
              <w:rPr>
                <w:rFonts w:cs="Arial"/>
                <w:color w:val="000000"/>
                <w:szCs w:val="20"/>
              </w:rPr>
              <w:t>2010</w:t>
            </w:r>
          </w:p>
        </w:tc>
        <w:tc>
          <w:tcPr>
            <w:tcW w:w="1214" w:type="dxa"/>
            <w:shd w:val="clear" w:color="auto" w:fill="auto"/>
            <w:noWrap/>
            <w:vAlign w:val="bottom"/>
            <w:hideMark/>
          </w:tcPr>
          <w:p w14:paraId="4EC0F3AA"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2.02%</w:t>
            </w:r>
          </w:p>
        </w:tc>
        <w:tc>
          <w:tcPr>
            <w:tcW w:w="1214" w:type="dxa"/>
            <w:shd w:val="clear" w:color="auto" w:fill="auto"/>
            <w:noWrap/>
            <w:vAlign w:val="bottom"/>
            <w:hideMark/>
          </w:tcPr>
          <w:p w14:paraId="5B5098F2"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1.17%</w:t>
            </w:r>
          </w:p>
        </w:tc>
        <w:tc>
          <w:tcPr>
            <w:tcW w:w="1456" w:type="dxa"/>
            <w:shd w:val="clear" w:color="auto" w:fill="auto"/>
            <w:noWrap/>
            <w:vAlign w:val="bottom"/>
            <w:hideMark/>
          </w:tcPr>
          <w:p w14:paraId="3E087419"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1.93%</w:t>
            </w:r>
          </w:p>
        </w:tc>
        <w:tc>
          <w:tcPr>
            <w:tcW w:w="1134" w:type="dxa"/>
            <w:shd w:val="clear" w:color="auto" w:fill="auto"/>
            <w:noWrap/>
            <w:vAlign w:val="bottom"/>
            <w:hideMark/>
          </w:tcPr>
          <w:p w14:paraId="655ACA68"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1.75%</w:t>
            </w:r>
          </w:p>
        </w:tc>
        <w:tc>
          <w:tcPr>
            <w:tcW w:w="1134" w:type="dxa"/>
            <w:shd w:val="clear" w:color="auto" w:fill="auto"/>
            <w:noWrap/>
            <w:vAlign w:val="bottom"/>
            <w:hideMark/>
          </w:tcPr>
          <w:p w14:paraId="6713E420"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1.15%</w:t>
            </w:r>
          </w:p>
        </w:tc>
        <w:tc>
          <w:tcPr>
            <w:tcW w:w="1134" w:type="dxa"/>
            <w:shd w:val="clear" w:color="auto" w:fill="auto"/>
            <w:noWrap/>
            <w:vAlign w:val="bottom"/>
            <w:hideMark/>
          </w:tcPr>
          <w:p w14:paraId="0123927F"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3.10%</w:t>
            </w:r>
          </w:p>
        </w:tc>
      </w:tr>
      <w:tr w:rsidR="00B07EB6" w:rsidRPr="009F2E80" w14:paraId="7517EA33" w14:textId="77777777" w:rsidTr="009740E2">
        <w:trPr>
          <w:trHeight w:val="228"/>
        </w:trPr>
        <w:tc>
          <w:tcPr>
            <w:tcW w:w="1214" w:type="dxa"/>
            <w:shd w:val="clear" w:color="auto" w:fill="auto"/>
            <w:noWrap/>
            <w:vAlign w:val="bottom"/>
            <w:hideMark/>
          </w:tcPr>
          <w:p w14:paraId="3E02EDCA" w14:textId="77777777" w:rsidR="0039617B" w:rsidRPr="009F2E80" w:rsidRDefault="0039617B" w:rsidP="0039617B">
            <w:pPr>
              <w:spacing w:after="0" w:line="240" w:lineRule="auto"/>
              <w:rPr>
                <w:rFonts w:cs="Arial"/>
                <w:color w:val="000000"/>
                <w:szCs w:val="20"/>
              </w:rPr>
            </w:pPr>
            <w:r w:rsidRPr="009F2E80">
              <w:rPr>
                <w:rFonts w:cs="Arial"/>
                <w:color w:val="000000"/>
                <w:szCs w:val="20"/>
              </w:rPr>
              <w:t>2011</w:t>
            </w:r>
          </w:p>
        </w:tc>
        <w:tc>
          <w:tcPr>
            <w:tcW w:w="1214" w:type="dxa"/>
            <w:shd w:val="clear" w:color="auto" w:fill="auto"/>
            <w:noWrap/>
            <w:vAlign w:val="bottom"/>
            <w:hideMark/>
          </w:tcPr>
          <w:p w14:paraId="1169421E"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1.69%</w:t>
            </w:r>
          </w:p>
        </w:tc>
        <w:tc>
          <w:tcPr>
            <w:tcW w:w="1214" w:type="dxa"/>
            <w:shd w:val="clear" w:color="auto" w:fill="auto"/>
            <w:noWrap/>
            <w:vAlign w:val="bottom"/>
            <w:hideMark/>
          </w:tcPr>
          <w:p w14:paraId="0E1A2350"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1.31%</w:t>
            </w:r>
          </w:p>
        </w:tc>
        <w:tc>
          <w:tcPr>
            <w:tcW w:w="1456" w:type="dxa"/>
            <w:shd w:val="clear" w:color="auto" w:fill="auto"/>
            <w:noWrap/>
            <w:vAlign w:val="bottom"/>
            <w:hideMark/>
          </w:tcPr>
          <w:p w14:paraId="1BC96033"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1.64%</w:t>
            </w:r>
          </w:p>
        </w:tc>
        <w:tc>
          <w:tcPr>
            <w:tcW w:w="1134" w:type="dxa"/>
            <w:shd w:val="clear" w:color="auto" w:fill="auto"/>
            <w:noWrap/>
            <w:vAlign w:val="bottom"/>
            <w:hideMark/>
          </w:tcPr>
          <w:p w14:paraId="177C377B"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1.37%</w:t>
            </w:r>
          </w:p>
        </w:tc>
        <w:tc>
          <w:tcPr>
            <w:tcW w:w="1134" w:type="dxa"/>
            <w:shd w:val="clear" w:color="auto" w:fill="auto"/>
            <w:noWrap/>
            <w:vAlign w:val="bottom"/>
            <w:hideMark/>
          </w:tcPr>
          <w:p w14:paraId="136930F2"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0.75%</w:t>
            </w:r>
          </w:p>
        </w:tc>
        <w:tc>
          <w:tcPr>
            <w:tcW w:w="1134" w:type="dxa"/>
            <w:shd w:val="clear" w:color="auto" w:fill="auto"/>
            <w:noWrap/>
            <w:vAlign w:val="bottom"/>
            <w:hideMark/>
          </w:tcPr>
          <w:p w14:paraId="45875D6D"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3.50%</w:t>
            </w:r>
          </w:p>
        </w:tc>
      </w:tr>
      <w:tr w:rsidR="00B07EB6" w:rsidRPr="009F2E80" w14:paraId="2906457B" w14:textId="77777777" w:rsidTr="009740E2">
        <w:trPr>
          <w:trHeight w:val="228"/>
        </w:trPr>
        <w:tc>
          <w:tcPr>
            <w:tcW w:w="1214" w:type="dxa"/>
            <w:shd w:val="clear" w:color="auto" w:fill="auto"/>
            <w:noWrap/>
            <w:vAlign w:val="bottom"/>
            <w:hideMark/>
          </w:tcPr>
          <w:p w14:paraId="31808AEF" w14:textId="77777777" w:rsidR="0039617B" w:rsidRPr="009F2E80" w:rsidRDefault="0039617B" w:rsidP="0039617B">
            <w:pPr>
              <w:spacing w:after="0" w:line="240" w:lineRule="auto"/>
              <w:rPr>
                <w:rFonts w:cs="Arial"/>
                <w:color w:val="000000"/>
                <w:szCs w:val="20"/>
              </w:rPr>
            </w:pPr>
            <w:r w:rsidRPr="009F2E80">
              <w:rPr>
                <w:rFonts w:cs="Arial"/>
                <w:color w:val="000000"/>
                <w:szCs w:val="20"/>
              </w:rPr>
              <w:t>2012</w:t>
            </w:r>
          </w:p>
        </w:tc>
        <w:tc>
          <w:tcPr>
            <w:tcW w:w="1214" w:type="dxa"/>
            <w:shd w:val="clear" w:color="auto" w:fill="auto"/>
            <w:noWrap/>
            <w:vAlign w:val="bottom"/>
            <w:hideMark/>
          </w:tcPr>
          <w:p w14:paraId="2B5EB596"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2.39%</w:t>
            </w:r>
          </w:p>
        </w:tc>
        <w:tc>
          <w:tcPr>
            <w:tcW w:w="1214" w:type="dxa"/>
            <w:shd w:val="clear" w:color="auto" w:fill="auto"/>
            <w:noWrap/>
            <w:vAlign w:val="bottom"/>
            <w:hideMark/>
          </w:tcPr>
          <w:p w14:paraId="6B690F42"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0.99%</w:t>
            </w:r>
          </w:p>
        </w:tc>
        <w:tc>
          <w:tcPr>
            <w:tcW w:w="1456" w:type="dxa"/>
            <w:shd w:val="clear" w:color="auto" w:fill="auto"/>
            <w:noWrap/>
            <w:vAlign w:val="bottom"/>
            <w:hideMark/>
          </w:tcPr>
          <w:p w14:paraId="387B5A07"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2.13%</w:t>
            </w:r>
          </w:p>
        </w:tc>
        <w:tc>
          <w:tcPr>
            <w:tcW w:w="1134" w:type="dxa"/>
            <w:shd w:val="clear" w:color="auto" w:fill="auto"/>
            <w:noWrap/>
            <w:vAlign w:val="bottom"/>
            <w:hideMark/>
          </w:tcPr>
          <w:p w14:paraId="6F398C8A"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2.72%</w:t>
            </w:r>
          </w:p>
        </w:tc>
        <w:tc>
          <w:tcPr>
            <w:tcW w:w="1134" w:type="dxa"/>
            <w:shd w:val="clear" w:color="auto" w:fill="auto"/>
            <w:noWrap/>
            <w:vAlign w:val="bottom"/>
            <w:hideMark/>
          </w:tcPr>
          <w:p w14:paraId="0DD18DB6"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0.76%</w:t>
            </w:r>
          </w:p>
        </w:tc>
        <w:tc>
          <w:tcPr>
            <w:tcW w:w="1134" w:type="dxa"/>
            <w:shd w:val="clear" w:color="auto" w:fill="auto"/>
            <w:noWrap/>
            <w:vAlign w:val="bottom"/>
            <w:hideMark/>
          </w:tcPr>
          <w:p w14:paraId="3B363118"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1.20%</w:t>
            </w:r>
          </w:p>
        </w:tc>
      </w:tr>
      <w:tr w:rsidR="00B07EB6" w:rsidRPr="009F2E80" w14:paraId="6EFB4F62" w14:textId="77777777" w:rsidTr="009740E2">
        <w:trPr>
          <w:trHeight w:val="228"/>
        </w:trPr>
        <w:tc>
          <w:tcPr>
            <w:tcW w:w="1214" w:type="dxa"/>
            <w:shd w:val="clear" w:color="auto" w:fill="auto"/>
            <w:noWrap/>
            <w:vAlign w:val="bottom"/>
            <w:hideMark/>
          </w:tcPr>
          <w:p w14:paraId="70A43867" w14:textId="77777777" w:rsidR="0039617B" w:rsidRPr="009F2E80" w:rsidRDefault="0039617B" w:rsidP="0039617B">
            <w:pPr>
              <w:spacing w:after="0" w:line="240" w:lineRule="auto"/>
              <w:rPr>
                <w:rFonts w:cs="Arial"/>
                <w:color w:val="000000"/>
                <w:szCs w:val="20"/>
              </w:rPr>
            </w:pPr>
            <w:r w:rsidRPr="009F2E80">
              <w:rPr>
                <w:rFonts w:cs="Arial"/>
                <w:color w:val="000000"/>
                <w:szCs w:val="20"/>
              </w:rPr>
              <w:lastRenderedPageBreak/>
              <w:t>2013</w:t>
            </w:r>
          </w:p>
        </w:tc>
        <w:tc>
          <w:tcPr>
            <w:tcW w:w="1214" w:type="dxa"/>
            <w:shd w:val="clear" w:color="auto" w:fill="auto"/>
            <w:noWrap/>
            <w:vAlign w:val="bottom"/>
            <w:hideMark/>
          </w:tcPr>
          <w:p w14:paraId="6714B483"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2.21%</w:t>
            </w:r>
          </w:p>
        </w:tc>
        <w:tc>
          <w:tcPr>
            <w:tcW w:w="1214" w:type="dxa"/>
            <w:shd w:val="clear" w:color="auto" w:fill="auto"/>
            <w:noWrap/>
            <w:vAlign w:val="bottom"/>
            <w:hideMark/>
          </w:tcPr>
          <w:p w14:paraId="205DF16A"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1.06%</w:t>
            </w:r>
          </w:p>
        </w:tc>
        <w:tc>
          <w:tcPr>
            <w:tcW w:w="1456" w:type="dxa"/>
            <w:shd w:val="clear" w:color="auto" w:fill="auto"/>
            <w:noWrap/>
            <w:vAlign w:val="bottom"/>
            <w:hideMark/>
          </w:tcPr>
          <w:p w14:paraId="4F033198"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1.63%</w:t>
            </w:r>
          </w:p>
        </w:tc>
        <w:tc>
          <w:tcPr>
            <w:tcW w:w="1134" w:type="dxa"/>
            <w:shd w:val="clear" w:color="auto" w:fill="auto"/>
            <w:noWrap/>
            <w:vAlign w:val="bottom"/>
            <w:hideMark/>
          </w:tcPr>
          <w:p w14:paraId="48927600"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2.57%</w:t>
            </w:r>
          </w:p>
        </w:tc>
        <w:tc>
          <w:tcPr>
            <w:tcW w:w="1134" w:type="dxa"/>
            <w:shd w:val="clear" w:color="auto" w:fill="auto"/>
            <w:noWrap/>
            <w:vAlign w:val="bottom"/>
            <w:hideMark/>
          </w:tcPr>
          <w:p w14:paraId="35C5B96A"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0.77%</w:t>
            </w:r>
          </w:p>
        </w:tc>
        <w:tc>
          <w:tcPr>
            <w:tcW w:w="1134" w:type="dxa"/>
            <w:shd w:val="clear" w:color="auto" w:fill="auto"/>
            <w:noWrap/>
            <w:vAlign w:val="bottom"/>
            <w:hideMark/>
          </w:tcPr>
          <w:p w14:paraId="7D66E20F"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2.40%</w:t>
            </w:r>
          </w:p>
        </w:tc>
      </w:tr>
      <w:tr w:rsidR="00B07EB6" w:rsidRPr="009F2E80" w14:paraId="394F2E27" w14:textId="77777777" w:rsidTr="009740E2">
        <w:trPr>
          <w:trHeight w:val="228"/>
        </w:trPr>
        <w:tc>
          <w:tcPr>
            <w:tcW w:w="1214" w:type="dxa"/>
            <w:shd w:val="clear" w:color="auto" w:fill="auto"/>
            <w:noWrap/>
            <w:vAlign w:val="bottom"/>
            <w:hideMark/>
          </w:tcPr>
          <w:p w14:paraId="3A215F35" w14:textId="77777777" w:rsidR="0039617B" w:rsidRPr="009F2E80" w:rsidRDefault="0039617B" w:rsidP="0039617B">
            <w:pPr>
              <w:spacing w:after="0" w:line="240" w:lineRule="auto"/>
              <w:rPr>
                <w:rFonts w:cs="Arial"/>
                <w:color w:val="000000"/>
                <w:szCs w:val="20"/>
              </w:rPr>
            </w:pPr>
            <w:r w:rsidRPr="009F2E80">
              <w:rPr>
                <w:rFonts w:cs="Arial"/>
                <w:color w:val="000000"/>
                <w:szCs w:val="20"/>
              </w:rPr>
              <w:t>2014</w:t>
            </w:r>
          </w:p>
        </w:tc>
        <w:tc>
          <w:tcPr>
            <w:tcW w:w="1214" w:type="dxa"/>
            <w:shd w:val="clear" w:color="auto" w:fill="auto"/>
            <w:noWrap/>
            <w:vAlign w:val="bottom"/>
            <w:hideMark/>
          </w:tcPr>
          <w:p w14:paraId="2D4E50CB"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1.79%</w:t>
            </w:r>
          </w:p>
        </w:tc>
        <w:tc>
          <w:tcPr>
            <w:tcW w:w="1214" w:type="dxa"/>
            <w:shd w:val="clear" w:color="auto" w:fill="auto"/>
            <w:noWrap/>
            <w:vAlign w:val="bottom"/>
            <w:hideMark/>
          </w:tcPr>
          <w:p w14:paraId="307E3BBC"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1.05%</w:t>
            </w:r>
          </w:p>
        </w:tc>
        <w:tc>
          <w:tcPr>
            <w:tcW w:w="1456" w:type="dxa"/>
            <w:shd w:val="clear" w:color="auto" w:fill="auto"/>
            <w:noWrap/>
            <w:vAlign w:val="bottom"/>
            <w:hideMark/>
          </w:tcPr>
          <w:p w14:paraId="75C679C7"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1.31%</w:t>
            </w:r>
          </w:p>
        </w:tc>
        <w:tc>
          <w:tcPr>
            <w:tcW w:w="1134" w:type="dxa"/>
            <w:shd w:val="clear" w:color="auto" w:fill="auto"/>
            <w:noWrap/>
            <w:vAlign w:val="bottom"/>
            <w:hideMark/>
          </w:tcPr>
          <w:p w14:paraId="5A3AC95E"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2.31%</w:t>
            </w:r>
          </w:p>
        </w:tc>
        <w:tc>
          <w:tcPr>
            <w:tcW w:w="1134" w:type="dxa"/>
            <w:shd w:val="clear" w:color="auto" w:fill="auto"/>
            <w:noWrap/>
            <w:vAlign w:val="bottom"/>
            <w:hideMark/>
          </w:tcPr>
          <w:p w14:paraId="1C4C0194"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0.79%</w:t>
            </w:r>
          </w:p>
        </w:tc>
        <w:tc>
          <w:tcPr>
            <w:tcW w:w="1134" w:type="dxa"/>
            <w:shd w:val="clear" w:color="auto" w:fill="auto"/>
            <w:noWrap/>
            <w:vAlign w:val="bottom"/>
            <w:hideMark/>
          </w:tcPr>
          <w:p w14:paraId="2AE549DB"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3.00%</w:t>
            </w:r>
          </w:p>
        </w:tc>
      </w:tr>
      <w:tr w:rsidR="00B07EB6" w:rsidRPr="009F2E80" w14:paraId="29830561" w14:textId="77777777" w:rsidTr="009740E2">
        <w:trPr>
          <w:trHeight w:val="228"/>
        </w:trPr>
        <w:tc>
          <w:tcPr>
            <w:tcW w:w="1214" w:type="dxa"/>
            <w:shd w:val="clear" w:color="auto" w:fill="auto"/>
            <w:noWrap/>
            <w:vAlign w:val="bottom"/>
            <w:hideMark/>
          </w:tcPr>
          <w:p w14:paraId="2DAA4E9C" w14:textId="77777777" w:rsidR="0039617B" w:rsidRPr="009F2E80" w:rsidRDefault="0039617B" w:rsidP="0039617B">
            <w:pPr>
              <w:spacing w:after="0" w:line="240" w:lineRule="auto"/>
              <w:rPr>
                <w:rFonts w:cs="Arial"/>
                <w:color w:val="000000"/>
                <w:szCs w:val="20"/>
              </w:rPr>
            </w:pPr>
            <w:r w:rsidRPr="009F2E80">
              <w:rPr>
                <w:rFonts w:cs="Arial"/>
                <w:color w:val="000000"/>
                <w:szCs w:val="20"/>
              </w:rPr>
              <w:t>2015</w:t>
            </w:r>
          </w:p>
        </w:tc>
        <w:tc>
          <w:tcPr>
            <w:tcW w:w="1214" w:type="dxa"/>
            <w:shd w:val="clear" w:color="auto" w:fill="auto"/>
            <w:noWrap/>
            <w:vAlign w:val="bottom"/>
            <w:hideMark/>
          </w:tcPr>
          <w:p w14:paraId="7996723D"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1.92%</w:t>
            </w:r>
          </w:p>
        </w:tc>
        <w:tc>
          <w:tcPr>
            <w:tcW w:w="1214" w:type="dxa"/>
            <w:shd w:val="clear" w:color="auto" w:fill="auto"/>
            <w:noWrap/>
            <w:vAlign w:val="bottom"/>
            <w:hideMark/>
          </w:tcPr>
          <w:p w14:paraId="1BA97783"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0.86%</w:t>
            </w:r>
          </w:p>
        </w:tc>
        <w:tc>
          <w:tcPr>
            <w:tcW w:w="1456" w:type="dxa"/>
            <w:shd w:val="clear" w:color="auto" w:fill="auto"/>
            <w:noWrap/>
            <w:vAlign w:val="bottom"/>
            <w:hideMark/>
          </w:tcPr>
          <w:p w14:paraId="4F5A9F0D"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1.61%</w:t>
            </w:r>
          </w:p>
        </w:tc>
        <w:tc>
          <w:tcPr>
            <w:tcW w:w="1134" w:type="dxa"/>
            <w:shd w:val="clear" w:color="auto" w:fill="auto"/>
            <w:noWrap/>
            <w:vAlign w:val="bottom"/>
            <w:hideMark/>
          </w:tcPr>
          <w:p w14:paraId="629493FB"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2.21%</w:t>
            </w:r>
          </w:p>
        </w:tc>
        <w:tc>
          <w:tcPr>
            <w:tcW w:w="1134" w:type="dxa"/>
            <w:shd w:val="clear" w:color="auto" w:fill="auto"/>
            <w:noWrap/>
            <w:vAlign w:val="bottom"/>
            <w:hideMark/>
          </w:tcPr>
          <w:p w14:paraId="78FDF15A"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0.86%</w:t>
            </w:r>
          </w:p>
        </w:tc>
        <w:tc>
          <w:tcPr>
            <w:tcW w:w="1134" w:type="dxa"/>
            <w:shd w:val="clear" w:color="auto" w:fill="auto"/>
            <w:noWrap/>
            <w:vAlign w:val="bottom"/>
            <w:hideMark/>
          </w:tcPr>
          <w:p w14:paraId="4120FC7C"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1.50%</w:t>
            </w:r>
          </w:p>
        </w:tc>
      </w:tr>
      <w:tr w:rsidR="00B07EB6" w:rsidRPr="009F2E80" w14:paraId="725F94A9" w14:textId="77777777" w:rsidTr="009740E2">
        <w:trPr>
          <w:trHeight w:val="228"/>
        </w:trPr>
        <w:tc>
          <w:tcPr>
            <w:tcW w:w="1214" w:type="dxa"/>
            <w:shd w:val="clear" w:color="auto" w:fill="auto"/>
            <w:noWrap/>
            <w:vAlign w:val="bottom"/>
            <w:hideMark/>
          </w:tcPr>
          <w:p w14:paraId="22721608" w14:textId="77777777" w:rsidR="0039617B" w:rsidRPr="009F2E80" w:rsidRDefault="0039617B" w:rsidP="0039617B">
            <w:pPr>
              <w:spacing w:after="0" w:line="240" w:lineRule="auto"/>
              <w:rPr>
                <w:rFonts w:cs="Arial"/>
                <w:color w:val="000000"/>
                <w:szCs w:val="20"/>
              </w:rPr>
            </w:pPr>
            <w:r w:rsidRPr="009F2E80">
              <w:rPr>
                <w:rFonts w:cs="Arial"/>
                <w:color w:val="000000"/>
                <w:szCs w:val="20"/>
              </w:rPr>
              <w:t>2016</w:t>
            </w:r>
          </w:p>
        </w:tc>
        <w:tc>
          <w:tcPr>
            <w:tcW w:w="1214" w:type="dxa"/>
            <w:shd w:val="clear" w:color="auto" w:fill="auto"/>
            <w:noWrap/>
            <w:vAlign w:val="bottom"/>
            <w:hideMark/>
          </w:tcPr>
          <w:p w14:paraId="0DC408CD"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2.36%</w:t>
            </w:r>
          </w:p>
        </w:tc>
        <w:tc>
          <w:tcPr>
            <w:tcW w:w="1214" w:type="dxa"/>
            <w:shd w:val="clear" w:color="auto" w:fill="auto"/>
            <w:noWrap/>
            <w:vAlign w:val="bottom"/>
            <w:hideMark/>
          </w:tcPr>
          <w:p w14:paraId="3492566C"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0.90%</w:t>
            </w:r>
          </w:p>
        </w:tc>
        <w:tc>
          <w:tcPr>
            <w:tcW w:w="1456" w:type="dxa"/>
            <w:shd w:val="clear" w:color="auto" w:fill="auto"/>
            <w:noWrap/>
            <w:vAlign w:val="bottom"/>
            <w:hideMark/>
          </w:tcPr>
          <w:p w14:paraId="6D0A3EAE"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1.67%</w:t>
            </w:r>
          </w:p>
        </w:tc>
        <w:tc>
          <w:tcPr>
            <w:tcW w:w="1134" w:type="dxa"/>
            <w:shd w:val="clear" w:color="auto" w:fill="auto"/>
            <w:noWrap/>
            <w:vAlign w:val="bottom"/>
            <w:hideMark/>
          </w:tcPr>
          <w:p w14:paraId="3D13840F"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2.35%</w:t>
            </w:r>
          </w:p>
        </w:tc>
        <w:tc>
          <w:tcPr>
            <w:tcW w:w="1134" w:type="dxa"/>
            <w:shd w:val="clear" w:color="auto" w:fill="auto"/>
            <w:noWrap/>
            <w:vAlign w:val="bottom"/>
            <w:hideMark/>
          </w:tcPr>
          <w:p w14:paraId="30BE0E30"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0.99%</w:t>
            </w:r>
          </w:p>
        </w:tc>
        <w:tc>
          <w:tcPr>
            <w:tcW w:w="1134" w:type="dxa"/>
            <w:shd w:val="clear" w:color="auto" w:fill="auto"/>
            <w:noWrap/>
            <w:vAlign w:val="bottom"/>
            <w:hideMark/>
          </w:tcPr>
          <w:p w14:paraId="06332002"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1.00%</w:t>
            </w:r>
          </w:p>
        </w:tc>
      </w:tr>
      <w:tr w:rsidR="00B07EB6" w:rsidRPr="009F2E80" w14:paraId="4B5AAAC8" w14:textId="77777777" w:rsidTr="009740E2">
        <w:trPr>
          <w:trHeight w:val="228"/>
        </w:trPr>
        <w:tc>
          <w:tcPr>
            <w:tcW w:w="1214" w:type="dxa"/>
            <w:shd w:val="clear" w:color="auto" w:fill="auto"/>
            <w:noWrap/>
            <w:vAlign w:val="bottom"/>
            <w:hideMark/>
          </w:tcPr>
          <w:p w14:paraId="57D7107A" w14:textId="77777777" w:rsidR="0039617B" w:rsidRPr="009F2E80" w:rsidRDefault="0039617B" w:rsidP="0039617B">
            <w:pPr>
              <w:spacing w:after="0" w:line="240" w:lineRule="auto"/>
              <w:rPr>
                <w:rFonts w:cs="Arial"/>
                <w:color w:val="000000"/>
                <w:szCs w:val="20"/>
              </w:rPr>
            </w:pPr>
            <w:r w:rsidRPr="009F2E80">
              <w:rPr>
                <w:rFonts w:cs="Arial"/>
                <w:color w:val="000000"/>
                <w:szCs w:val="20"/>
              </w:rPr>
              <w:t>2017</w:t>
            </w:r>
          </w:p>
        </w:tc>
        <w:tc>
          <w:tcPr>
            <w:tcW w:w="1214" w:type="dxa"/>
            <w:shd w:val="clear" w:color="auto" w:fill="auto"/>
            <w:noWrap/>
            <w:vAlign w:val="bottom"/>
            <w:hideMark/>
          </w:tcPr>
          <w:p w14:paraId="70A0068A"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2.26%</w:t>
            </w:r>
          </w:p>
        </w:tc>
        <w:tc>
          <w:tcPr>
            <w:tcW w:w="1214" w:type="dxa"/>
            <w:shd w:val="clear" w:color="auto" w:fill="auto"/>
            <w:noWrap/>
            <w:vAlign w:val="bottom"/>
            <w:hideMark/>
          </w:tcPr>
          <w:p w14:paraId="4627BD64"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1.31%</w:t>
            </w:r>
          </w:p>
        </w:tc>
        <w:tc>
          <w:tcPr>
            <w:tcW w:w="1456" w:type="dxa"/>
            <w:shd w:val="clear" w:color="auto" w:fill="auto"/>
            <w:noWrap/>
            <w:vAlign w:val="bottom"/>
            <w:hideMark/>
          </w:tcPr>
          <w:p w14:paraId="7D997679"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3.13%</w:t>
            </w:r>
          </w:p>
        </w:tc>
        <w:tc>
          <w:tcPr>
            <w:tcW w:w="1134" w:type="dxa"/>
            <w:shd w:val="clear" w:color="auto" w:fill="auto"/>
            <w:noWrap/>
            <w:vAlign w:val="bottom"/>
            <w:hideMark/>
          </w:tcPr>
          <w:p w14:paraId="0362F54C"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2.62%</w:t>
            </w:r>
          </w:p>
        </w:tc>
        <w:tc>
          <w:tcPr>
            <w:tcW w:w="1134" w:type="dxa"/>
            <w:shd w:val="clear" w:color="auto" w:fill="auto"/>
            <w:noWrap/>
            <w:vAlign w:val="bottom"/>
            <w:hideMark/>
          </w:tcPr>
          <w:p w14:paraId="06692979"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1.02%</w:t>
            </w:r>
          </w:p>
        </w:tc>
        <w:tc>
          <w:tcPr>
            <w:tcW w:w="1134" w:type="dxa"/>
            <w:shd w:val="clear" w:color="auto" w:fill="auto"/>
            <w:noWrap/>
            <w:vAlign w:val="bottom"/>
            <w:hideMark/>
          </w:tcPr>
          <w:p w14:paraId="0B68B7AA"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1.90%</w:t>
            </w:r>
          </w:p>
        </w:tc>
      </w:tr>
      <w:tr w:rsidR="00B07EB6" w:rsidRPr="009F2E80" w14:paraId="1599FA32" w14:textId="77777777" w:rsidTr="009740E2">
        <w:trPr>
          <w:trHeight w:val="228"/>
        </w:trPr>
        <w:tc>
          <w:tcPr>
            <w:tcW w:w="1214" w:type="dxa"/>
            <w:shd w:val="clear" w:color="auto" w:fill="auto"/>
            <w:noWrap/>
            <w:vAlign w:val="bottom"/>
            <w:hideMark/>
          </w:tcPr>
          <w:p w14:paraId="70569312" w14:textId="77777777" w:rsidR="0039617B" w:rsidRPr="009F2E80" w:rsidRDefault="0039617B" w:rsidP="0039617B">
            <w:pPr>
              <w:spacing w:after="0" w:line="240" w:lineRule="auto"/>
              <w:rPr>
                <w:rFonts w:cs="Arial"/>
                <w:color w:val="000000"/>
                <w:szCs w:val="20"/>
              </w:rPr>
            </w:pPr>
            <w:r w:rsidRPr="009F2E80">
              <w:rPr>
                <w:rFonts w:cs="Arial"/>
                <w:color w:val="000000"/>
                <w:szCs w:val="20"/>
              </w:rPr>
              <w:t>2018</w:t>
            </w:r>
          </w:p>
        </w:tc>
        <w:tc>
          <w:tcPr>
            <w:tcW w:w="1214" w:type="dxa"/>
            <w:shd w:val="clear" w:color="auto" w:fill="auto"/>
            <w:noWrap/>
            <w:vAlign w:val="bottom"/>
            <w:hideMark/>
          </w:tcPr>
          <w:p w14:paraId="44550044"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2.12%</w:t>
            </w:r>
          </w:p>
        </w:tc>
        <w:tc>
          <w:tcPr>
            <w:tcW w:w="1214" w:type="dxa"/>
            <w:shd w:val="clear" w:color="auto" w:fill="auto"/>
            <w:noWrap/>
            <w:vAlign w:val="bottom"/>
            <w:hideMark/>
          </w:tcPr>
          <w:p w14:paraId="0BF80BBF"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1.42%</w:t>
            </w:r>
          </w:p>
        </w:tc>
        <w:tc>
          <w:tcPr>
            <w:tcW w:w="1456" w:type="dxa"/>
            <w:shd w:val="clear" w:color="auto" w:fill="auto"/>
            <w:noWrap/>
            <w:vAlign w:val="bottom"/>
            <w:hideMark/>
          </w:tcPr>
          <w:p w14:paraId="45E74619"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2.77%</w:t>
            </w:r>
          </w:p>
        </w:tc>
        <w:tc>
          <w:tcPr>
            <w:tcW w:w="1134" w:type="dxa"/>
            <w:shd w:val="clear" w:color="auto" w:fill="auto"/>
            <w:noWrap/>
            <w:vAlign w:val="bottom"/>
            <w:hideMark/>
          </w:tcPr>
          <w:p w14:paraId="54791143"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2.68%</w:t>
            </w:r>
          </w:p>
        </w:tc>
        <w:tc>
          <w:tcPr>
            <w:tcW w:w="1134" w:type="dxa"/>
            <w:shd w:val="clear" w:color="auto" w:fill="auto"/>
            <w:noWrap/>
            <w:vAlign w:val="bottom"/>
            <w:hideMark/>
          </w:tcPr>
          <w:p w14:paraId="43980B8F"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0.83%</w:t>
            </w:r>
          </w:p>
        </w:tc>
        <w:tc>
          <w:tcPr>
            <w:tcW w:w="1134" w:type="dxa"/>
            <w:shd w:val="clear" w:color="auto" w:fill="auto"/>
            <w:noWrap/>
            <w:vAlign w:val="bottom"/>
            <w:hideMark/>
          </w:tcPr>
          <w:p w14:paraId="3B004D15"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2.10%</w:t>
            </w:r>
          </w:p>
        </w:tc>
      </w:tr>
      <w:tr w:rsidR="00B07EB6" w:rsidRPr="009F2E80" w14:paraId="0795ED3F" w14:textId="77777777" w:rsidTr="009740E2">
        <w:trPr>
          <w:trHeight w:val="228"/>
        </w:trPr>
        <w:tc>
          <w:tcPr>
            <w:tcW w:w="1214" w:type="dxa"/>
            <w:shd w:val="clear" w:color="auto" w:fill="auto"/>
            <w:noWrap/>
            <w:vAlign w:val="bottom"/>
            <w:hideMark/>
          </w:tcPr>
          <w:p w14:paraId="4F20024A" w14:textId="77777777" w:rsidR="0039617B" w:rsidRPr="009F2E80" w:rsidRDefault="0039617B" w:rsidP="0039617B">
            <w:pPr>
              <w:spacing w:after="0" w:line="240" w:lineRule="auto"/>
              <w:rPr>
                <w:rFonts w:cs="Arial"/>
                <w:color w:val="000000"/>
                <w:szCs w:val="20"/>
              </w:rPr>
            </w:pPr>
            <w:r w:rsidRPr="009F2E80">
              <w:rPr>
                <w:rFonts w:cs="Arial"/>
                <w:color w:val="000000"/>
                <w:szCs w:val="20"/>
              </w:rPr>
              <w:t>2019</w:t>
            </w:r>
          </w:p>
        </w:tc>
        <w:tc>
          <w:tcPr>
            <w:tcW w:w="1214" w:type="dxa"/>
            <w:shd w:val="clear" w:color="auto" w:fill="auto"/>
            <w:noWrap/>
            <w:vAlign w:val="bottom"/>
            <w:hideMark/>
          </w:tcPr>
          <w:p w14:paraId="1A04BE95"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1.89%</w:t>
            </w:r>
          </w:p>
        </w:tc>
        <w:tc>
          <w:tcPr>
            <w:tcW w:w="1214" w:type="dxa"/>
            <w:shd w:val="clear" w:color="auto" w:fill="auto"/>
            <w:noWrap/>
            <w:vAlign w:val="bottom"/>
            <w:hideMark/>
          </w:tcPr>
          <w:p w14:paraId="43100A9C"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1.30%</w:t>
            </w:r>
          </w:p>
        </w:tc>
        <w:tc>
          <w:tcPr>
            <w:tcW w:w="1456" w:type="dxa"/>
            <w:shd w:val="clear" w:color="auto" w:fill="auto"/>
            <w:noWrap/>
            <w:vAlign w:val="bottom"/>
            <w:hideMark/>
          </w:tcPr>
          <w:p w14:paraId="5973CA27"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2.02%</w:t>
            </w:r>
          </w:p>
        </w:tc>
        <w:tc>
          <w:tcPr>
            <w:tcW w:w="1134" w:type="dxa"/>
            <w:shd w:val="clear" w:color="auto" w:fill="auto"/>
            <w:noWrap/>
            <w:vAlign w:val="bottom"/>
            <w:hideMark/>
          </w:tcPr>
          <w:p w14:paraId="4A1F1EF2"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2.48%</w:t>
            </w:r>
          </w:p>
        </w:tc>
        <w:tc>
          <w:tcPr>
            <w:tcW w:w="1134" w:type="dxa"/>
            <w:shd w:val="clear" w:color="auto" w:fill="auto"/>
            <w:noWrap/>
            <w:vAlign w:val="bottom"/>
            <w:hideMark/>
          </w:tcPr>
          <w:p w14:paraId="26F30F85"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0.74%</w:t>
            </w:r>
          </w:p>
        </w:tc>
        <w:tc>
          <w:tcPr>
            <w:tcW w:w="1134" w:type="dxa"/>
            <w:shd w:val="clear" w:color="auto" w:fill="auto"/>
            <w:noWrap/>
            <w:vAlign w:val="bottom"/>
            <w:hideMark/>
          </w:tcPr>
          <w:p w14:paraId="55A7207B"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1.60%</w:t>
            </w:r>
          </w:p>
        </w:tc>
      </w:tr>
      <w:tr w:rsidR="00B07EB6" w:rsidRPr="009F2E80" w14:paraId="3EF59DF6" w14:textId="77777777" w:rsidTr="009740E2">
        <w:trPr>
          <w:trHeight w:val="228"/>
        </w:trPr>
        <w:tc>
          <w:tcPr>
            <w:tcW w:w="1214" w:type="dxa"/>
            <w:shd w:val="clear" w:color="auto" w:fill="auto"/>
            <w:noWrap/>
            <w:vAlign w:val="bottom"/>
            <w:hideMark/>
          </w:tcPr>
          <w:p w14:paraId="1DBB4635" w14:textId="77777777" w:rsidR="0039617B" w:rsidRPr="009F2E80" w:rsidRDefault="0039617B" w:rsidP="0039617B">
            <w:pPr>
              <w:spacing w:after="0" w:line="240" w:lineRule="auto"/>
              <w:rPr>
                <w:rFonts w:cs="Arial"/>
                <w:color w:val="000000"/>
                <w:szCs w:val="20"/>
              </w:rPr>
            </w:pPr>
            <w:r w:rsidRPr="009F2E80">
              <w:rPr>
                <w:rFonts w:cs="Arial"/>
                <w:color w:val="000000"/>
                <w:szCs w:val="20"/>
              </w:rPr>
              <w:t>2020</w:t>
            </w:r>
          </w:p>
        </w:tc>
        <w:tc>
          <w:tcPr>
            <w:tcW w:w="1214" w:type="dxa"/>
            <w:shd w:val="clear" w:color="auto" w:fill="auto"/>
            <w:noWrap/>
            <w:vAlign w:val="bottom"/>
            <w:hideMark/>
          </w:tcPr>
          <w:p w14:paraId="34811B33"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1.87%</w:t>
            </w:r>
          </w:p>
        </w:tc>
        <w:tc>
          <w:tcPr>
            <w:tcW w:w="1214" w:type="dxa"/>
            <w:shd w:val="clear" w:color="auto" w:fill="auto"/>
            <w:noWrap/>
            <w:vAlign w:val="bottom"/>
            <w:hideMark/>
          </w:tcPr>
          <w:p w14:paraId="57FD32FE"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1.48%</w:t>
            </w:r>
          </w:p>
        </w:tc>
        <w:tc>
          <w:tcPr>
            <w:tcW w:w="1456" w:type="dxa"/>
            <w:shd w:val="clear" w:color="auto" w:fill="auto"/>
            <w:noWrap/>
            <w:vAlign w:val="bottom"/>
            <w:hideMark/>
          </w:tcPr>
          <w:p w14:paraId="279A0E58"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1.43%</w:t>
            </w:r>
          </w:p>
        </w:tc>
        <w:tc>
          <w:tcPr>
            <w:tcW w:w="1134" w:type="dxa"/>
            <w:shd w:val="clear" w:color="auto" w:fill="auto"/>
            <w:noWrap/>
            <w:vAlign w:val="bottom"/>
            <w:hideMark/>
          </w:tcPr>
          <w:p w14:paraId="5C25182A"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2.21%</w:t>
            </w:r>
          </w:p>
        </w:tc>
        <w:tc>
          <w:tcPr>
            <w:tcW w:w="1134" w:type="dxa"/>
            <w:shd w:val="clear" w:color="auto" w:fill="auto"/>
            <w:noWrap/>
            <w:vAlign w:val="bottom"/>
            <w:hideMark/>
          </w:tcPr>
          <w:p w14:paraId="161CE711"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0.58%</w:t>
            </w:r>
          </w:p>
        </w:tc>
        <w:tc>
          <w:tcPr>
            <w:tcW w:w="1134" w:type="dxa"/>
            <w:shd w:val="clear" w:color="auto" w:fill="auto"/>
            <w:noWrap/>
            <w:vAlign w:val="bottom"/>
            <w:hideMark/>
          </w:tcPr>
          <w:p w14:paraId="6DD9288D"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-0.30%</w:t>
            </w:r>
          </w:p>
        </w:tc>
      </w:tr>
      <w:tr w:rsidR="00B07EB6" w:rsidRPr="009F2E80" w14:paraId="7EC9D290" w14:textId="77777777" w:rsidTr="009740E2">
        <w:trPr>
          <w:trHeight w:val="228"/>
        </w:trPr>
        <w:tc>
          <w:tcPr>
            <w:tcW w:w="1214" w:type="dxa"/>
            <w:shd w:val="clear" w:color="auto" w:fill="auto"/>
            <w:noWrap/>
            <w:vAlign w:val="bottom"/>
            <w:hideMark/>
          </w:tcPr>
          <w:p w14:paraId="6FB9C034" w14:textId="77777777" w:rsidR="0039617B" w:rsidRPr="009F2E80" w:rsidRDefault="0039617B" w:rsidP="0039617B">
            <w:pPr>
              <w:spacing w:after="0" w:line="240" w:lineRule="auto"/>
              <w:rPr>
                <w:rFonts w:cs="Arial"/>
                <w:color w:val="000000"/>
                <w:szCs w:val="20"/>
              </w:rPr>
            </w:pPr>
            <w:r w:rsidRPr="009F2E80">
              <w:rPr>
                <w:rFonts w:cs="Arial"/>
                <w:color w:val="000000"/>
                <w:szCs w:val="20"/>
              </w:rPr>
              <w:t>2021</w:t>
            </w:r>
          </w:p>
        </w:tc>
        <w:tc>
          <w:tcPr>
            <w:tcW w:w="1214" w:type="dxa"/>
            <w:shd w:val="clear" w:color="auto" w:fill="auto"/>
            <w:noWrap/>
            <w:vAlign w:val="bottom"/>
            <w:hideMark/>
          </w:tcPr>
          <w:p w14:paraId="440F82ED"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0.96%</w:t>
            </w:r>
          </w:p>
        </w:tc>
        <w:tc>
          <w:tcPr>
            <w:tcW w:w="1214" w:type="dxa"/>
            <w:shd w:val="clear" w:color="auto" w:fill="auto"/>
            <w:noWrap/>
            <w:vAlign w:val="bottom"/>
            <w:hideMark/>
          </w:tcPr>
          <w:p w14:paraId="221E97A4"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1.48%</w:t>
            </w:r>
          </w:p>
        </w:tc>
        <w:tc>
          <w:tcPr>
            <w:tcW w:w="1456" w:type="dxa"/>
            <w:shd w:val="clear" w:color="auto" w:fill="auto"/>
            <w:noWrap/>
            <w:vAlign w:val="bottom"/>
            <w:hideMark/>
          </w:tcPr>
          <w:p w14:paraId="0AAC2461"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-0.06%</w:t>
            </w:r>
          </w:p>
        </w:tc>
        <w:tc>
          <w:tcPr>
            <w:tcW w:w="1134" w:type="dxa"/>
            <w:shd w:val="clear" w:color="auto" w:fill="auto"/>
            <w:noWrap/>
            <w:vAlign w:val="bottom"/>
            <w:hideMark/>
          </w:tcPr>
          <w:p w14:paraId="08FC60C1"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1.68%</w:t>
            </w:r>
          </w:p>
        </w:tc>
        <w:tc>
          <w:tcPr>
            <w:tcW w:w="1134" w:type="dxa"/>
            <w:shd w:val="clear" w:color="auto" w:fill="auto"/>
            <w:noWrap/>
            <w:vAlign w:val="bottom"/>
            <w:hideMark/>
          </w:tcPr>
          <w:p w14:paraId="5518727A"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0.40%</w:t>
            </w:r>
          </w:p>
        </w:tc>
        <w:tc>
          <w:tcPr>
            <w:tcW w:w="1134" w:type="dxa"/>
            <w:shd w:val="clear" w:color="auto" w:fill="auto"/>
            <w:noWrap/>
            <w:vAlign w:val="bottom"/>
            <w:hideMark/>
          </w:tcPr>
          <w:p w14:paraId="25EC8C29" w14:textId="77777777" w:rsidR="0039617B" w:rsidRPr="009F2E80" w:rsidRDefault="0039617B" w:rsidP="006A0FEF">
            <w:pPr>
              <w:spacing w:after="0" w:line="240" w:lineRule="auto"/>
              <w:jc w:val="right"/>
              <w:rPr>
                <w:rFonts w:cs="Arial"/>
                <w:color w:val="000000"/>
                <w:szCs w:val="20"/>
              </w:rPr>
            </w:pPr>
            <w:r w:rsidRPr="009F2E80">
              <w:rPr>
                <w:rFonts w:cs="Arial"/>
                <w:color w:val="000000"/>
                <w:szCs w:val="20"/>
              </w:rPr>
              <w:t>3.80%</w:t>
            </w:r>
          </w:p>
        </w:tc>
      </w:tr>
      <w:tr w:rsidR="00B07EB6" w:rsidRPr="009F2E80" w14:paraId="364DD710" w14:textId="77777777" w:rsidTr="009740E2">
        <w:trPr>
          <w:trHeight w:val="228"/>
        </w:trPr>
        <w:tc>
          <w:tcPr>
            <w:tcW w:w="1214" w:type="dxa"/>
            <w:shd w:val="clear" w:color="auto" w:fill="auto"/>
            <w:noWrap/>
            <w:vAlign w:val="bottom"/>
            <w:hideMark/>
          </w:tcPr>
          <w:p w14:paraId="461B5F93" w14:textId="77777777" w:rsidR="0039617B" w:rsidRPr="009F2E80" w:rsidRDefault="0039617B" w:rsidP="006A0FEF">
            <w:pPr>
              <w:spacing w:after="0" w:line="240" w:lineRule="auto"/>
              <w:jc w:val="right"/>
              <w:rPr>
                <w:rFonts w:cs="Arial"/>
                <w:b/>
                <w:bCs/>
                <w:color w:val="000000"/>
                <w:szCs w:val="20"/>
              </w:rPr>
            </w:pPr>
            <w:r w:rsidRPr="009F2E80">
              <w:rPr>
                <w:rFonts w:cs="Arial"/>
                <w:b/>
                <w:bCs/>
                <w:color w:val="000000"/>
                <w:szCs w:val="20"/>
              </w:rPr>
              <w:t>Average</w:t>
            </w:r>
          </w:p>
        </w:tc>
        <w:tc>
          <w:tcPr>
            <w:tcW w:w="1214" w:type="dxa"/>
            <w:shd w:val="clear" w:color="auto" w:fill="auto"/>
            <w:noWrap/>
            <w:vAlign w:val="bottom"/>
            <w:hideMark/>
          </w:tcPr>
          <w:p w14:paraId="232E7614" w14:textId="77777777" w:rsidR="0039617B" w:rsidRPr="009F2E80" w:rsidRDefault="0039617B" w:rsidP="006A0FEF">
            <w:pPr>
              <w:spacing w:after="0" w:line="240" w:lineRule="auto"/>
              <w:jc w:val="right"/>
              <w:rPr>
                <w:rFonts w:cs="Arial"/>
                <w:b/>
                <w:bCs/>
                <w:color w:val="000000"/>
                <w:szCs w:val="20"/>
              </w:rPr>
            </w:pPr>
            <w:r w:rsidRPr="009F2E80">
              <w:rPr>
                <w:rFonts w:cs="Arial"/>
                <w:b/>
                <w:bCs/>
                <w:color w:val="000000"/>
                <w:szCs w:val="20"/>
              </w:rPr>
              <w:t>2.48%</w:t>
            </w:r>
          </w:p>
        </w:tc>
        <w:tc>
          <w:tcPr>
            <w:tcW w:w="1214" w:type="dxa"/>
            <w:shd w:val="clear" w:color="auto" w:fill="auto"/>
            <w:noWrap/>
            <w:vAlign w:val="bottom"/>
            <w:hideMark/>
          </w:tcPr>
          <w:p w14:paraId="4874916A" w14:textId="77777777" w:rsidR="0039617B" w:rsidRPr="009F2E80" w:rsidRDefault="0039617B" w:rsidP="006A0FEF">
            <w:pPr>
              <w:spacing w:after="0" w:line="240" w:lineRule="auto"/>
              <w:jc w:val="right"/>
              <w:rPr>
                <w:rFonts w:cs="Arial"/>
                <w:b/>
                <w:bCs/>
                <w:color w:val="000000"/>
                <w:szCs w:val="20"/>
              </w:rPr>
            </w:pPr>
            <w:r w:rsidRPr="009F2E80">
              <w:rPr>
                <w:rFonts w:cs="Arial"/>
                <w:b/>
                <w:bCs/>
                <w:color w:val="000000"/>
                <w:szCs w:val="20"/>
              </w:rPr>
              <w:t>1.06%</w:t>
            </w:r>
          </w:p>
        </w:tc>
        <w:tc>
          <w:tcPr>
            <w:tcW w:w="1456" w:type="dxa"/>
            <w:shd w:val="clear" w:color="auto" w:fill="auto"/>
            <w:noWrap/>
            <w:vAlign w:val="bottom"/>
            <w:hideMark/>
          </w:tcPr>
          <w:p w14:paraId="3AFB7988" w14:textId="77777777" w:rsidR="0039617B" w:rsidRPr="009F2E80" w:rsidRDefault="0039617B" w:rsidP="006A0FEF">
            <w:pPr>
              <w:spacing w:after="0" w:line="240" w:lineRule="auto"/>
              <w:jc w:val="right"/>
              <w:rPr>
                <w:rFonts w:cs="Arial"/>
                <w:b/>
                <w:bCs/>
                <w:color w:val="000000"/>
                <w:szCs w:val="20"/>
              </w:rPr>
            </w:pPr>
            <w:r w:rsidRPr="009F2E80">
              <w:rPr>
                <w:rFonts w:cs="Arial"/>
                <w:b/>
                <w:bCs/>
                <w:color w:val="000000"/>
                <w:szCs w:val="20"/>
              </w:rPr>
              <w:t>1.58%</w:t>
            </w:r>
          </w:p>
        </w:tc>
        <w:tc>
          <w:tcPr>
            <w:tcW w:w="1134" w:type="dxa"/>
            <w:shd w:val="clear" w:color="auto" w:fill="auto"/>
            <w:noWrap/>
            <w:vAlign w:val="bottom"/>
            <w:hideMark/>
          </w:tcPr>
          <w:p w14:paraId="5C723111" w14:textId="77777777" w:rsidR="0039617B" w:rsidRPr="009F2E80" w:rsidRDefault="0039617B" w:rsidP="006A0FEF">
            <w:pPr>
              <w:spacing w:after="0" w:line="240" w:lineRule="auto"/>
              <w:jc w:val="right"/>
              <w:rPr>
                <w:rFonts w:cs="Arial"/>
                <w:b/>
                <w:bCs/>
                <w:color w:val="000000"/>
                <w:szCs w:val="20"/>
              </w:rPr>
            </w:pPr>
            <w:r w:rsidRPr="009F2E80">
              <w:rPr>
                <w:rFonts w:cs="Arial"/>
                <w:b/>
                <w:bCs/>
                <w:color w:val="000000"/>
                <w:szCs w:val="20"/>
              </w:rPr>
              <w:t>2.59%</w:t>
            </w:r>
          </w:p>
        </w:tc>
        <w:tc>
          <w:tcPr>
            <w:tcW w:w="1134" w:type="dxa"/>
            <w:shd w:val="clear" w:color="auto" w:fill="auto"/>
            <w:noWrap/>
            <w:vAlign w:val="bottom"/>
            <w:hideMark/>
          </w:tcPr>
          <w:p w14:paraId="23D15123" w14:textId="77777777" w:rsidR="0039617B" w:rsidRPr="009F2E80" w:rsidRDefault="0039617B" w:rsidP="006A0FEF">
            <w:pPr>
              <w:spacing w:after="0" w:line="240" w:lineRule="auto"/>
              <w:jc w:val="right"/>
              <w:rPr>
                <w:rFonts w:cs="Arial"/>
                <w:b/>
                <w:bCs/>
                <w:color w:val="000000"/>
                <w:szCs w:val="20"/>
              </w:rPr>
            </w:pPr>
            <w:r w:rsidRPr="009F2E80">
              <w:rPr>
                <w:rFonts w:cs="Arial"/>
                <w:b/>
                <w:bCs/>
                <w:color w:val="000000"/>
                <w:szCs w:val="20"/>
              </w:rPr>
              <w:t>0.86%</w:t>
            </w:r>
          </w:p>
        </w:tc>
        <w:tc>
          <w:tcPr>
            <w:tcW w:w="1134" w:type="dxa"/>
            <w:shd w:val="clear" w:color="auto" w:fill="auto"/>
            <w:noWrap/>
            <w:vAlign w:val="bottom"/>
            <w:hideMark/>
          </w:tcPr>
          <w:p w14:paraId="30227E23" w14:textId="77777777" w:rsidR="0039617B" w:rsidRPr="009F2E80" w:rsidRDefault="0039617B" w:rsidP="006A0FEF">
            <w:pPr>
              <w:spacing w:after="0" w:line="240" w:lineRule="auto"/>
              <w:jc w:val="right"/>
              <w:rPr>
                <w:rFonts w:cs="Arial"/>
                <w:b/>
                <w:bCs/>
                <w:color w:val="000000"/>
                <w:szCs w:val="20"/>
              </w:rPr>
            </w:pPr>
            <w:r w:rsidRPr="009F2E80">
              <w:rPr>
                <w:rFonts w:cs="Arial"/>
                <w:b/>
                <w:bCs/>
                <w:color w:val="000000"/>
                <w:szCs w:val="20"/>
              </w:rPr>
              <w:t>2.36%</w:t>
            </w:r>
          </w:p>
        </w:tc>
      </w:tr>
    </w:tbl>
    <w:p w14:paraId="56ED6E35" w14:textId="77777777" w:rsidR="00D73719" w:rsidRDefault="00D73719" w:rsidP="00147500">
      <w:pPr>
        <w:pStyle w:val="Paragraph"/>
        <w:ind w:firstLine="284"/>
        <w:rPr>
          <w:u w:val="single"/>
        </w:rPr>
      </w:pPr>
    </w:p>
    <w:tbl>
      <w:tblPr>
        <w:tblW w:w="8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Pr>
      <w:tblGrid>
        <w:gridCol w:w="1129"/>
        <w:gridCol w:w="1276"/>
        <w:gridCol w:w="992"/>
        <w:gridCol w:w="875"/>
        <w:gridCol w:w="1252"/>
        <w:gridCol w:w="992"/>
        <w:gridCol w:w="1134"/>
        <w:gridCol w:w="895"/>
      </w:tblGrid>
      <w:tr w:rsidR="009740E2" w:rsidRPr="009740E2" w14:paraId="4E8DE587" w14:textId="77777777" w:rsidTr="009740E2">
        <w:trPr>
          <w:trHeight w:val="89"/>
          <w:tblHeader/>
        </w:trPr>
        <w:tc>
          <w:tcPr>
            <w:tcW w:w="1129" w:type="dxa"/>
            <w:shd w:val="clear" w:color="auto" w:fill="404040" w:themeFill="text1" w:themeFillTint="BF"/>
            <w:noWrap/>
            <w:vAlign w:val="bottom"/>
            <w:hideMark/>
          </w:tcPr>
          <w:p w14:paraId="1B60575F" w14:textId="5D6BD00A" w:rsidR="00CA7BD1" w:rsidRPr="009740E2" w:rsidRDefault="00CA7BD1" w:rsidP="00CA7BD1">
            <w:pPr>
              <w:spacing w:after="0" w:line="240" w:lineRule="auto"/>
              <w:rPr>
                <w:rFonts w:cs="Arial"/>
                <w:b/>
                <w:bCs/>
                <w:color w:val="FFFFFF" w:themeColor="background1"/>
                <w:szCs w:val="20"/>
              </w:rPr>
            </w:pPr>
            <w:r w:rsidRPr="009740E2">
              <w:rPr>
                <w:rFonts w:cs="Arial"/>
                <w:b/>
                <w:bCs/>
                <w:color w:val="FFFFFF" w:themeColor="background1"/>
                <w:szCs w:val="20"/>
              </w:rPr>
              <w:t> </w:t>
            </w:r>
            <w:r w:rsidR="003518EB">
              <w:rPr>
                <w:rFonts w:cs="Arial"/>
                <w:b/>
                <w:bCs/>
                <w:color w:val="FFFFFF" w:themeColor="background1"/>
                <w:szCs w:val="20"/>
              </w:rPr>
              <w:t>Year</w:t>
            </w:r>
          </w:p>
        </w:tc>
        <w:tc>
          <w:tcPr>
            <w:tcW w:w="1276" w:type="dxa"/>
            <w:shd w:val="clear" w:color="auto" w:fill="404040" w:themeFill="text1" w:themeFillTint="BF"/>
            <w:noWrap/>
            <w:vAlign w:val="bottom"/>
            <w:hideMark/>
          </w:tcPr>
          <w:p w14:paraId="5A048524" w14:textId="77777777" w:rsidR="00CA7BD1" w:rsidRPr="009740E2" w:rsidRDefault="00CA7BD1" w:rsidP="006A0FEF">
            <w:pPr>
              <w:spacing w:after="0" w:line="240" w:lineRule="auto"/>
              <w:jc w:val="right"/>
              <w:rPr>
                <w:rFonts w:cs="Arial"/>
                <w:b/>
                <w:bCs/>
                <w:color w:val="FFFFFF" w:themeColor="background1"/>
                <w:szCs w:val="20"/>
              </w:rPr>
            </w:pPr>
            <w:r w:rsidRPr="009740E2">
              <w:rPr>
                <w:rFonts w:cs="Arial"/>
                <w:b/>
                <w:bCs/>
                <w:color w:val="FFFFFF" w:themeColor="background1"/>
                <w:szCs w:val="20"/>
              </w:rPr>
              <w:t>Wollongong</w:t>
            </w:r>
          </w:p>
        </w:tc>
        <w:tc>
          <w:tcPr>
            <w:tcW w:w="992" w:type="dxa"/>
            <w:shd w:val="clear" w:color="auto" w:fill="404040" w:themeFill="text1" w:themeFillTint="BF"/>
            <w:noWrap/>
            <w:vAlign w:val="bottom"/>
            <w:hideMark/>
          </w:tcPr>
          <w:p w14:paraId="7A74A7AB" w14:textId="77777777" w:rsidR="00CA7BD1" w:rsidRPr="009740E2" w:rsidRDefault="00CA7BD1" w:rsidP="006A0FEF">
            <w:pPr>
              <w:spacing w:after="0" w:line="240" w:lineRule="auto"/>
              <w:jc w:val="right"/>
              <w:rPr>
                <w:rFonts w:cs="Arial"/>
                <w:b/>
                <w:bCs/>
                <w:color w:val="FFFFFF" w:themeColor="background1"/>
                <w:szCs w:val="20"/>
              </w:rPr>
            </w:pPr>
            <w:r w:rsidRPr="009740E2">
              <w:rPr>
                <w:rFonts w:cs="Arial"/>
                <w:b/>
                <w:bCs/>
                <w:color w:val="FFFFFF" w:themeColor="background1"/>
                <w:szCs w:val="20"/>
              </w:rPr>
              <w:t>Geelong</w:t>
            </w:r>
          </w:p>
        </w:tc>
        <w:tc>
          <w:tcPr>
            <w:tcW w:w="875" w:type="dxa"/>
            <w:shd w:val="clear" w:color="auto" w:fill="404040" w:themeFill="text1" w:themeFillTint="BF"/>
            <w:noWrap/>
            <w:vAlign w:val="bottom"/>
            <w:hideMark/>
          </w:tcPr>
          <w:p w14:paraId="6851330B" w14:textId="77777777" w:rsidR="00CA7BD1" w:rsidRPr="009740E2" w:rsidRDefault="00CA7BD1" w:rsidP="006A0FEF">
            <w:pPr>
              <w:spacing w:after="0" w:line="240" w:lineRule="auto"/>
              <w:jc w:val="right"/>
              <w:rPr>
                <w:rFonts w:cs="Arial"/>
                <w:b/>
                <w:bCs/>
                <w:color w:val="FFFFFF" w:themeColor="background1"/>
                <w:szCs w:val="20"/>
              </w:rPr>
            </w:pPr>
            <w:r w:rsidRPr="009740E2">
              <w:rPr>
                <w:rFonts w:cs="Arial"/>
                <w:b/>
                <w:bCs/>
                <w:color w:val="FFFFFF" w:themeColor="background1"/>
                <w:szCs w:val="20"/>
              </w:rPr>
              <w:t>Hobart</w:t>
            </w:r>
          </w:p>
        </w:tc>
        <w:tc>
          <w:tcPr>
            <w:tcW w:w="1252" w:type="dxa"/>
            <w:shd w:val="clear" w:color="auto" w:fill="404040" w:themeFill="text1" w:themeFillTint="BF"/>
            <w:noWrap/>
            <w:vAlign w:val="bottom"/>
            <w:hideMark/>
          </w:tcPr>
          <w:p w14:paraId="0E202ACE" w14:textId="77777777" w:rsidR="00CA7BD1" w:rsidRPr="009740E2" w:rsidRDefault="00CA7BD1" w:rsidP="006A0FEF">
            <w:pPr>
              <w:spacing w:after="0" w:line="240" w:lineRule="auto"/>
              <w:jc w:val="right"/>
              <w:rPr>
                <w:rFonts w:cs="Arial"/>
                <w:b/>
                <w:bCs/>
                <w:color w:val="FFFFFF" w:themeColor="background1"/>
                <w:szCs w:val="20"/>
              </w:rPr>
            </w:pPr>
            <w:r w:rsidRPr="009740E2">
              <w:rPr>
                <w:rFonts w:cs="Arial"/>
                <w:b/>
                <w:bCs/>
                <w:color w:val="FFFFFF" w:themeColor="background1"/>
                <w:szCs w:val="20"/>
              </w:rPr>
              <w:t>Townsville</w:t>
            </w:r>
          </w:p>
        </w:tc>
        <w:tc>
          <w:tcPr>
            <w:tcW w:w="992" w:type="dxa"/>
            <w:shd w:val="clear" w:color="auto" w:fill="404040" w:themeFill="text1" w:themeFillTint="BF"/>
            <w:noWrap/>
            <w:vAlign w:val="bottom"/>
            <w:hideMark/>
          </w:tcPr>
          <w:p w14:paraId="0316D357" w14:textId="77777777" w:rsidR="00CA7BD1" w:rsidRPr="009740E2" w:rsidRDefault="00CA7BD1" w:rsidP="006A0FEF">
            <w:pPr>
              <w:spacing w:after="0" w:line="240" w:lineRule="auto"/>
              <w:jc w:val="right"/>
              <w:rPr>
                <w:rFonts w:cs="Arial"/>
                <w:b/>
                <w:bCs/>
                <w:color w:val="FFFFFF" w:themeColor="background1"/>
                <w:szCs w:val="20"/>
              </w:rPr>
            </w:pPr>
            <w:r w:rsidRPr="009740E2">
              <w:rPr>
                <w:rFonts w:cs="Arial"/>
                <w:b/>
                <w:bCs/>
                <w:color w:val="FFFFFF" w:themeColor="background1"/>
                <w:szCs w:val="20"/>
              </w:rPr>
              <w:t>Cairns</w:t>
            </w:r>
          </w:p>
        </w:tc>
        <w:tc>
          <w:tcPr>
            <w:tcW w:w="1134" w:type="dxa"/>
            <w:shd w:val="clear" w:color="auto" w:fill="404040" w:themeFill="text1" w:themeFillTint="BF"/>
            <w:noWrap/>
            <w:vAlign w:val="bottom"/>
            <w:hideMark/>
          </w:tcPr>
          <w:p w14:paraId="1DB6746B" w14:textId="77777777" w:rsidR="00CA7BD1" w:rsidRPr="009740E2" w:rsidRDefault="00CA7BD1" w:rsidP="006A0FEF">
            <w:pPr>
              <w:spacing w:after="0" w:line="240" w:lineRule="auto"/>
              <w:jc w:val="right"/>
              <w:rPr>
                <w:rFonts w:cs="Arial"/>
                <w:b/>
                <w:bCs/>
                <w:color w:val="FFFFFF" w:themeColor="background1"/>
                <w:szCs w:val="20"/>
              </w:rPr>
            </w:pPr>
            <w:r w:rsidRPr="009740E2">
              <w:rPr>
                <w:rFonts w:cs="Arial"/>
                <w:b/>
                <w:bCs/>
                <w:color w:val="FFFFFF" w:themeColor="background1"/>
                <w:szCs w:val="20"/>
              </w:rPr>
              <w:t>Elsewhere</w:t>
            </w:r>
          </w:p>
        </w:tc>
        <w:tc>
          <w:tcPr>
            <w:tcW w:w="895" w:type="dxa"/>
            <w:shd w:val="clear" w:color="auto" w:fill="404040" w:themeFill="text1" w:themeFillTint="BF"/>
            <w:noWrap/>
            <w:vAlign w:val="bottom"/>
            <w:hideMark/>
          </w:tcPr>
          <w:p w14:paraId="7B9CEF1B" w14:textId="77777777" w:rsidR="00CA7BD1" w:rsidRPr="009740E2" w:rsidRDefault="00CA7BD1" w:rsidP="006A0FEF">
            <w:pPr>
              <w:spacing w:after="0" w:line="240" w:lineRule="auto"/>
              <w:jc w:val="right"/>
              <w:rPr>
                <w:rFonts w:cs="Arial"/>
                <w:b/>
                <w:bCs/>
                <w:color w:val="FFFFFF" w:themeColor="background1"/>
                <w:szCs w:val="20"/>
              </w:rPr>
            </w:pPr>
            <w:r w:rsidRPr="009740E2">
              <w:rPr>
                <w:rFonts w:cs="Arial"/>
                <w:b/>
                <w:bCs/>
                <w:color w:val="FFFFFF" w:themeColor="background1"/>
                <w:szCs w:val="20"/>
              </w:rPr>
              <w:t>CPI</w:t>
            </w:r>
          </w:p>
        </w:tc>
      </w:tr>
      <w:tr w:rsidR="009268D5" w:rsidRPr="009740E2" w14:paraId="5178E608" w14:textId="77777777" w:rsidTr="009740E2">
        <w:trPr>
          <w:trHeight w:val="89"/>
        </w:trPr>
        <w:tc>
          <w:tcPr>
            <w:tcW w:w="1129" w:type="dxa"/>
            <w:shd w:val="clear" w:color="auto" w:fill="auto"/>
            <w:noWrap/>
            <w:vAlign w:val="bottom"/>
            <w:hideMark/>
          </w:tcPr>
          <w:p w14:paraId="6876748D" w14:textId="77777777" w:rsidR="00CA7BD1" w:rsidRPr="009740E2" w:rsidRDefault="00CA7BD1" w:rsidP="00CA7BD1">
            <w:pPr>
              <w:spacing w:after="0" w:line="240" w:lineRule="auto"/>
              <w:rPr>
                <w:rFonts w:cs="Arial"/>
                <w:color w:val="000000"/>
                <w:szCs w:val="20"/>
              </w:rPr>
            </w:pPr>
            <w:r w:rsidRPr="009740E2">
              <w:rPr>
                <w:rFonts w:cs="Arial"/>
                <w:color w:val="000000"/>
                <w:szCs w:val="20"/>
              </w:rPr>
              <w:t>2002</w:t>
            </w:r>
          </w:p>
        </w:tc>
        <w:tc>
          <w:tcPr>
            <w:tcW w:w="1276" w:type="dxa"/>
            <w:shd w:val="clear" w:color="auto" w:fill="auto"/>
            <w:noWrap/>
            <w:vAlign w:val="bottom"/>
            <w:hideMark/>
          </w:tcPr>
          <w:p w14:paraId="23622C67"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0.88%</w:t>
            </w:r>
          </w:p>
        </w:tc>
        <w:tc>
          <w:tcPr>
            <w:tcW w:w="992" w:type="dxa"/>
            <w:shd w:val="clear" w:color="auto" w:fill="auto"/>
            <w:noWrap/>
            <w:vAlign w:val="bottom"/>
            <w:hideMark/>
          </w:tcPr>
          <w:p w14:paraId="084E2378"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1.75%</w:t>
            </w:r>
          </w:p>
        </w:tc>
        <w:tc>
          <w:tcPr>
            <w:tcW w:w="875" w:type="dxa"/>
            <w:shd w:val="clear" w:color="auto" w:fill="auto"/>
            <w:noWrap/>
            <w:vAlign w:val="bottom"/>
            <w:hideMark/>
          </w:tcPr>
          <w:p w14:paraId="38B360FA"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0.11%</w:t>
            </w:r>
          </w:p>
        </w:tc>
        <w:tc>
          <w:tcPr>
            <w:tcW w:w="1252" w:type="dxa"/>
            <w:shd w:val="clear" w:color="auto" w:fill="auto"/>
            <w:noWrap/>
            <w:vAlign w:val="bottom"/>
            <w:hideMark/>
          </w:tcPr>
          <w:p w14:paraId="549C1B01"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2.19%</w:t>
            </w:r>
          </w:p>
        </w:tc>
        <w:tc>
          <w:tcPr>
            <w:tcW w:w="992" w:type="dxa"/>
            <w:shd w:val="clear" w:color="auto" w:fill="auto"/>
            <w:noWrap/>
            <w:vAlign w:val="bottom"/>
            <w:hideMark/>
          </w:tcPr>
          <w:p w14:paraId="03C4DA72"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1.74%</w:t>
            </w:r>
          </w:p>
        </w:tc>
        <w:tc>
          <w:tcPr>
            <w:tcW w:w="1134" w:type="dxa"/>
            <w:shd w:val="clear" w:color="auto" w:fill="auto"/>
            <w:noWrap/>
            <w:vAlign w:val="bottom"/>
            <w:hideMark/>
          </w:tcPr>
          <w:p w14:paraId="31FCFC2A"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1.14%</w:t>
            </w:r>
          </w:p>
        </w:tc>
        <w:tc>
          <w:tcPr>
            <w:tcW w:w="895" w:type="dxa"/>
            <w:shd w:val="clear" w:color="auto" w:fill="auto"/>
            <w:noWrap/>
            <w:vAlign w:val="bottom"/>
            <w:hideMark/>
          </w:tcPr>
          <w:p w14:paraId="5162AC4D"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2.80%</w:t>
            </w:r>
          </w:p>
        </w:tc>
      </w:tr>
      <w:tr w:rsidR="009268D5" w:rsidRPr="009740E2" w14:paraId="253A68B3" w14:textId="77777777" w:rsidTr="009740E2">
        <w:trPr>
          <w:trHeight w:val="89"/>
        </w:trPr>
        <w:tc>
          <w:tcPr>
            <w:tcW w:w="1129" w:type="dxa"/>
            <w:shd w:val="clear" w:color="auto" w:fill="auto"/>
            <w:noWrap/>
            <w:vAlign w:val="bottom"/>
            <w:hideMark/>
          </w:tcPr>
          <w:p w14:paraId="261D9581" w14:textId="77777777" w:rsidR="00CA7BD1" w:rsidRPr="009740E2" w:rsidRDefault="00CA7BD1" w:rsidP="00CA7BD1">
            <w:pPr>
              <w:spacing w:after="0" w:line="240" w:lineRule="auto"/>
              <w:rPr>
                <w:rFonts w:cs="Arial"/>
                <w:color w:val="000000"/>
                <w:szCs w:val="20"/>
              </w:rPr>
            </w:pPr>
            <w:r w:rsidRPr="009740E2">
              <w:rPr>
                <w:rFonts w:cs="Arial"/>
                <w:color w:val="000000"/>
                <w:szCs w:val="20"/>
              </w:rPr>
              <w:t>2003</w:t>
            </w:r>
          </w:p>
        </w:tc>
        <w:tc>
          <w:tcPr>
            <w:tcW w:w="1276" w:type="dxa"/>
            <w:shd w:val="clear" w:color="auto" w:fill="auto"/>
            <w:noWrap/>
            <w:vAlign w:val="bottom"/>
            <w:hideMark/>
          </w:tcPr>
          <w:p w14:paraId="57FD2C1C"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0.52%</w:t>
            </w:r>
          </w:p>
        </w:tc>
        <w:tc>
          <w:tcPr>
            <w:tcW w:w="992" w:type="dxa"/>
            <w:shd w:val="clear" w:color="auto" w:fill="auto"/>
            <w:noWrap/>
            <w:vAlign w:val="bottom"/>
            <w:hideMark/>
          </w:tcPr>
          <w:p w14:paraId="26921B7E"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1.13%</w:t>
            </w:r>
          </w:p>
        </w:tc>
        <w:tc>
          <w:tcPr>
            <w:tcW w:w="875" w:type="dxa"/>
            <w:shd w:val="clear" w:color="auto" w:fill="auto"/>
            <w:noWrap/>
            <w:vAlign w:val="bottom"/>
            <w:hideMark/>
          </w:tcPr>
          <w:p w14:paraId="4E358B23"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1.02%</w:t>
            </w:r>
          </w:p>
        </w:tc>
        <w:tc>
          <w:tcPr>
            <w:tcW w:w="1252" w:type="dxa"/>
            <w:shd w:val="clear" w:color="auto" w:fill="auto"/>
            <w:noWrap/>
            <w:vAlign w:val="bottom"/>
            <w:hideMark/>
          </w:tcPr>
          <w:p w14:paraId="772799CC"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2.00%</w:t>
            </w:r>
          </w:p>
        </w:tc>
        <w:tc>
          <w:tcPr>
            <w:tcW w:w="992" w:type="dxa"/>
            <w:shd w:val="clear" w:color="auto" w:fill="auto"/>
            <w:noWrap/>
            <w:vAlign w:val="bottom"/>
            <w:hideMark/>
          </w:tcPr>
          <w:p w14:paraId="45443061"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2.76%</w:t>
            </w:r>
          </w:p>
        </w:tc>
        <w:tc>
          <w:tcPr>
            <w:tcW w:w="1134" w:type="dxa"/>
            <w:shd w:val="clear" w:color="auto" w:fill="auto"/>
            <w:noWrap/>
            <w:vAlign w:val="bottom"/>
            <w:hideMark/>
          </w:tcPr>
          <w:p w14:paraId="6400CA16"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1.16%</w:t>
            </w:r>
          </w:p>
        </w:tc>
        <w:tc>
          <w:tcPr>
            <w:tcW w:w="895" w:type="dxa"/>
            <w:shd w:val="clear" w:color="auto" w:fill="auto"/>
            <w:noWrap/>
            <w:vAlign w:val="bottom"/>
            <w:hideMark/>
          </w:tcPr>
          <w:p w14:paraId="0D558776"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2.60%</w:t>
            </w:r>
          </w:p>
        </w:tc>
      </w:tr>
      <w:tr w:rsidR="009268D5" w:rsidRPr="009740E2" w14:paraId="688F6F9A" w14:textId="77777777" w:rsidTr="009740E2">
        <w:trPr>
          <w:trHeight w:val="89"/>
        </w:trPr>
        <w:tc>
          <w:tcPr>
            <w:tcW w:w="1129" w:type="dxa"/>
            <w:shd w:val="clear" w:color="auto" w:fill="auto"/>
            <w:noWrap/>
            <w:vAlign w:val="bottom"/>
            <w:hideMark/>
          </w:tcPr>
          <w:p w14:paraId="4CCF62A9" w14:textId="77777777" w:rsidR="00CA7BD1" w:rsidRPr="009740E2" w:rsidRDefault="00CA7BD1" w:rsidP="00CA7BD1">
            <w:pPr>
              <w:spacing w:after="0" w:line="240" w:lineRule="auto"/>
              <w:rPr>
                <w:rFonts w:cs="Arial"/>
                <w:color w:val="000000"/>
                <w:szCs w:val="20"/>
              </w:rPr>
            </w:pPr>
            <w:r w:rsidRPr="009740E2">
              <w:rPr>
                <w:rFonts w:cs="Arial"/>
                <w:color w:val="000000"/>
                <w:szCs w:val="20"/>
              </w:rPr>
              <w:t>2004</w:t>
            </w:r>
          </w:p>
        </w:tc>
        <w:tc>
          <w:tcPr>
            <w:tcW w:w="1276" w:type="dxa"/>
            <w:shd w:val="clear" w:color="auto" w:fill="auto"/>
            <w:noWrap/>
            <w:vAlign w:val="bottom"/>
            <w:hideMark/>
          </w:tcPr>
          <w:p w14:paraId="4B08B9BF"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0.22%</w:t>
            </w:r>
          </w:p>
        </w:tc>
        <w:tc>
          <w:tcPr>
            <w:tcW w:w="992" w:type="dxa"/>
            <w:shd w:val="clear" w:color="auto" w:fill="auto"/>
            <w:noWrap/>
            <w:vAlign w:val="bottom"/>
            <w:hideMark/>
          </w:tcPr>
          <w:p w14:paraId="28CAB1C0"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0.82%</w:t>
            </w:r>
          </w:p>
        </w:tc>
        <w:tc>
          <w:tcPr>
            <w:tcW w:w="875" w:type="dxa"/>
            <w:shd w:val="clear" w:color="auto" w:fill="auto"/>
            <w:noWrap/>
            <w:vAlign w:val="bottom"/>
            <w:hideMark/>
          </w:tcPr>
          <w:p w14:paraId="0311D2AB"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0.95%</w:t>
            </w:r>
          </w:p>
        </w:tc>
        <w:tc>
          <w:tcPr>
            <w:tcW w:w="1252" w:type="dxa"/>
            <w:shd w:val="clear" w:color="auto" w:fill="auto"/>
            <w:noWrap/>
            <w:vAlign w:val="bottom"/>
            <w:hideMark/>
          </w:tcPr>
          <w:p w14:paraId="5DCB9B46"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2.31%</w:t>
            </w:r>
          </w:p>
        </w:tc>
        <w:tc>
          <w:tcPr>
            <w:tcW w:w="992" w:type="dxa"/>
            <w:shd w:val="clear" w:color="auto" w:fill="auto"/>
            <w:noWrap/>
            <w:vAlign w:val="bottom"/>
            <w:hideMark/>
          </w:tcPr>
          <w:p w14:paraId="6710AC43"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2.76%</w:t>
            </w:r>
          </w:p>
        </w:tc>
        <w:tc>
          <w:tcPr>
            <w:tcW w:w="1134" w:type="dxa"/>
            <w:shd w:val="clear" w:color="auto" w:fill="auto"/>
            <w:noWrap/>
            <w:vAlign w:val="bottom"/>
            <w:hideMark/>
          </w:tcPr>
          <w:p w14:paraId="05AD8366"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1.07%</w:t>
            </w:r>
          </w:p>
        </w:tc>
        <w:tc>
          <w:tcPr>
            <w:tcW w:w="895" w:type="dxa"/>
            <w:shd w:val="clear" w:color="auto" w:fill="auto"/>
            <w:noWrap/>
            <w:vAlign w:val="bottom"/>
            <w:hideMark/>
          </w:tcPr>
          <w:p w14:paraId="6C969999"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2.50%</w:t>
            </w:r>
          </w:p>
        </w:tc>
      </w:tr>
      <w:tr w:rsidR="009268D5" w:rsidRPr="009740E2" w14:paraId="24CBF4EA" w14:textId="77777777" w:rsidTr="009740E2">
        <w:trPr>
          <w:trHeight w:val="89"/>
        </w:trPr>
        <w:tc>
          <w:tcPr>
            <w:tcW w:w="1129" w:type="dxa"/>
            <w:shd w:val="clear" w:color="auto" w:fill="auto"/>
            <w:noWrap/>
            <w:vAlign w:val="bottom"/>
            <w:hideMark/>
          </w:tcPr>
          <w:p w14:paraId="61B94BDF" w14:textId="77777777" w:rsidR="00CA7BD1" w:rsidRPr="009740E2" w:rsidRDefault="00CA7BD1" w:rsidP="00CA7BD1">
            <w:pPr>
              <w:spacing w:after="0" w:line="240" w:lineRule="auto"/>
              <w:rPr>
                <w:rFonts w:cs="Arial"/>
                <w:color w:val="000000"/>
                <w:szCs w:val="20"/>
              </w:rPr>
            </w:pPr>
            <w:r w:rsidRPr="009740E2">
              <w:rPr>
                <w:rFonts w:cs="Arial"/>
                <w:color w:val="000000"/>
                <w:szCs w:val="20"/>
              </w:rPr>
              <w:t>2005</w:t>
            </w:r>
          </w:p>
        </w:tc>
        <w:tc>
          <w:tcPr>
            <w:tcW w:w="1276" w:type="dxa"/>
            <w:shd w:val="clear" w:color="auto" w:fill="auto"/>
            <w:noWrap/>
            <w:vAlign w:val="bottom"/>
            <w:hideMark/>
          </w:tcPr>
          <w:p w14:paraId="1CA09D8E"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0.18%</w:t>
            </w:r>
          </w:p>
        </w:tc>
        <w:tc>
          <w:tcPr>
            <w:tcW w:w="992" w:type="dxa"/>
            <w:shd w:val="clear" w:color="auto" w:fill="auto"/>
            <w:noWrap/>
            <w:vAlign w:val="bottom"/>
            <w:hideMark/>
          </w:tcPr>
          <w:p w14:paraId="58C90782"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0.79%</w:t>
            </w:r>
          </w:p>
        </w:tc>
        <w:tc>
          <w:tcPr>
            <w:tcW w:w="875" w:type="dxa"/>
            <w:shd w:val="clear" w:color="auto" w:fill="auto"/>
            <w:noWrap/>
            <w:vAlign w:val="bottom"/>
            <w:hideMark/>
          </w:tcPr>
          <w:p w14:paraId="3331E589"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0.63%</w:t>
            </w:r>
          </w:p>
        </w:tc>
        <w:tc>
          <w:tcPr>
            <w:tcW w:w="1252" w:type="dxa"/>
            <w:shd w:val="clear" w:color="auto" w:fill="auto"/>
            <w:noWrap/>
            <w:vAlign w:val="bottom"/>
            <w:hideMark/>
          </w:tcPr>
          <w:p w14:paraId="1C3F9469"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2.87%</w:t>
            </w:r>
          </w:p>
        </w:tc>
        <w:tc>
          <w:tcPr>
            <w:tcW w:w="992" w:type="dxa"/>
            <w:shd w:val="clear" w:color="auto" w:fill="auto"/>
            <w:noWrap/>
            <w:vAlign w:val="bottom"/>
            <w:hideMark/>
          </w:tcPr>
          <w:p w14:paraId="4E2D393D"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3.26%</w:t>
            </w:r>
          </w:p>
        </w:tc>
        <w:tc>
          <w:tcPr>
            <w:tcW w:w="1134" w:type="dxa"/>
            <w:shd w:val="clear" w:color="auto" w:fill="auto"/>
            <w:noWrap/>
            <w:vAlign w:val="bottom"/>
            <w:hideMark/>
          </w:tcPr>
          <w:p w14:paraId="37F9C2BC"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1.22%</w:t>
            </w:r>
          </w:p>
        </w:tc>
        <w:tc>
          <w:tcPr>
            <w:tcW w:w="895" w:type="dxa"/>
            <w:shd w:val="clear" w:color="auto" w:fill="auto"/>
            <w:noWrap/>
            <w:vAlign w:val="bottom"/>
            <w:hideMark/>
          </w:tcPr>
          <w:p w14:paraId="03B07D84"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2.50%</w:t>
            </w:r>
          </w:p>
        </w:tc>
      </w:tr>
      <w:tr w:rsidR="009268D5" w:rsidRPr="009740E2" w14:paraId="2E048762" w14:textId="77777777" w:rsidTr="009740E2">
        <w:trPr>
          <w:trHeight w:val="89"/>
        </w:trPr>
        <w:tc>
          <w:tcPr>
            <w:tcW w:w="1129" w:type="dxa"/>
            <w:shd w:val="clear" w:color="auto" w:fill="auto"/>
            <w:noWrap/>
            <w:vAlign w:val="bottom"/>
            <w:hideMark/>
          </w:tcPr>
          <w:p w14:paraId="3F7F852E" w14:textId="77777777" w:rsidR="00CA7BD1" w:rsidRPr="009740E2" w:rsidRDefault="00CA7BD1" w:rsidP="00CA7BD1">
            <w:pPr>
              <w:spacing w:after="0" w:line="240" w:lineRule="auto"/>
              <w:rPr>
                <w:rFonts w:cs="Arial"/>
                <w:color w:val="000000"/>
                <w:szCs w:val="20"/>
              </w:rPr>
            </w:pPr>
            <w:r w:rsidRPr="009740E2">
              <w:rPr>
                <w:rFonts w:cs="Arial"/>
                <w:color w:val="000000"/>
                <w:szCs w:val="20"/>
              </w:rPr>
              <w:t>2006</w:t>
            </w:r>
          </w:p>
        </w:tc>
        <w:tc>
          <w:tcPr>
            <w:tcW w:w="1276" w:type="dxa"/>
            <w:shd w:val="clear" w:color="auto" w:fill="auto"/>
            <w:noWrap/>
            <w:vAlign w:val="bottom"/>
            <w:hideMark/>
          </w:tcPr>
          <w:p w14:paraId="1A251D31"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0.19%</w:t>
            </w:r>
          </w:p>
        </w:tc>
        <w:tc>
          <w:tcPr>
            <w:tcW w:w="992" w:type="dxa"/>
            <w:shd w:val="clear" w:color="auto" w:fill="auto"/>
            <w:noWrap/>
            <w:vAlign w:val="bottom"/>
            <w:hideMark/>
          </w:tcPr>
          <w:p w14:paraId="1CDD8E5C"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0.99%</w:t>
            </w:r>
          </w:p>
        </w:tc>
        <w:tc>
          <w:tcPr>
            <w:tcW w:w="875" w:type="dxa"/>
            <w:shd w:val="clear" w:color="auto" w:fill="auto"/>
            <w:noWrap/>
            <w:vAlign w:val="bottom"/>
            <w:hideMark/>
          </w:tcPr>
          <w:p w14:paraId="7AAB23AE"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0.62%</w:t>
            </w:r>
          </w:p>
        </w:tc>
        <w:tc>
          <w:tcPr>
            <w:tcW w:w="1252" w:type="dxa"/>
            <w:shd w:val="clear" w:color="auto" w:fill="auto"/>
            <w:noWrap/>
            <w:vAlign w:val="bottom"/>
            <w:hideMark/>
          </w:tcPr>
          <w:p w14:paraId="1284B643"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2.78%</w:t>
            </w:r>
          </w:p>
        </w:tc>
        <w:tc>
          <w:tcPr>
            <w:tcW w:w="992" w:type="dxa"/>
            <w:shd w:val="clear" w:color="auto" w:fill="auto"/>
            <w:noWrap/>
            <w:vAlign w:val="bottom"/>
            <w:hideMark/>
          </w:tcPr>
          <w:p w14:paraId="0850D91F"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3.75%</w:t>
            </w:r>
          </w:p>
        </w:tc>
        <w:tc>
          <w:tcPr>
            <w:tcW w:w="1134" w:type="dxa"/>
            <w:shd w:val="clear" w:color="auto" w:fill="auto"/>
            <w:noWrap/>
            <w:vAlign w:val="bottom"/>
            <w:hideMark/>
          </w:tcPr>
          <w:p w14:paraId="20A63741"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1.36%</w:t>
            </w:r>
          </w:p>
        </w:tc>
        <w:tc>
          <w:tcPr>
            <w:tcW w:w="895" w:type="dxa"/>
            <w:shd w:val="clear" w:color="auto" w:fill="auto"/>
            <w:noWrap/>
            <w:vAlign w:val="bottom"/>
            <w:hideMark/>
          </w:tcPr>
          <w:p w14:paraId="23A28CE9"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4.00%</w:t>
            </w:r>
          </w:p>
        </w:tc>
      </w:tr>
      <w:tr w:rsidR="009268D5" w:rsidRPr="009740E2" w14:paraId="4D873E6B" w14:textId="77777777" w:rsidTr="009740E2">
        <w:trPr>
          <w:trHeight w:val="89"/>
        </w:trPr>
        <w:tc>
          <w:tcPr>
            <w:tcW w:w="1129" w:type="dxa"/>
            <w:shd w:val="clear" w:color="auto" w:fill="auto"/>
            <w:noWrap/>
            <w:vAlign w:val="bottom"/>
            <w:hideMark/>
          </w:tcPr>
          <w:p w14:paraId="7ECA920A" w14:textId="77777777" w:rsidR="00CA7BD1" w:rsidRPr="009740E2" w:rsidRDefault="00CA7BD1" w:rsidP="00CA7BD1">
            <w:pPr>
              <w:spacing w:after="0" w:line="240" w:lineRule="auto"/>
              <w:rPr>
                <w:rFonts w:cs="Arial"/>
                <w:color w:val="000000"/>
                <w:szCs w:val="20"/>
              </w:rPr>
            </w:pPr>
            <w:r w:rsidRPr="009740E2">
              <w:rPr>
                <w:rFonts w:cs="Arial"/>
                <w:color w:val="000000"/>
                <w:szCs w:val="20"/>
              </w:rPr>
              <w:t>2007</w:t>
            </w:r>
          </w:p>
        </w:tc>
        <w:tc>
          <w:tcPr>
            <w:tcW w:w="1276" w:type="dxa"/>
            <w:shd w:val="clear" w:color="auto" w:fill="auto"/>
            <w:noWrap/>
            <w:vAlign w:val="bottom"/>
            <w:hideMark/>
          </w:tcPr>
          <w:p w14:paraId="3C5188DD"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0.97%</w:t>
            </w:r>
          </w:p>
        </w:tc>
        <w:tc>
          <w:tcPr>
            <w:tcW w:w="992" w:type="dxa"/>
            <w:shd w:val="clear" w:color="auto" w:fill="auto"/>
            <w:noWrap/>
            <w:vAlign w:val="bottom"/>
            <w:hideMark/>
          </w:tcPr>
          <w:p w14:paraId="1EFC4A3F"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1.34%</w:t>
            </w:r>
          </w:p>
        </w:tc>
        <w:tc>
          <w:tcPr>
            <w:tcW w:w="875" w:type="dxa"/>
            <w:shd w:val="clear" w:color="auto" w:fill="auto"/>
            <w:noWrap/>
            <w:vAlign w:val="bottom"/>
            <w:hideMark/>
          </w:tcPr>
          <w:p w14:paraId="4FB9230F"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0.90%</w:t>
            </w:r>
          </w:p>
        </w:tc>
        <w:tc>
          <w:tcPr>
            <w:tcW w:w="1252" w:type="dxa"/>
            <w:shd w:val="clear" w:color="auto" w:fill="auto"/>
            <w:noWrap/>
            <w:vAlign w:val="bottom"/>
            <w:hideMark/>
          </w:tcPr>
          <w:p w14:paraId="0C82DDEE"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2.60%</w:t>
            </w:r>
          </w:p>
        </w:tc>
        <w:tc>
          <w:tcPr>
            <w:tcW w:w="992" w:type="dxa"/>
            <w:shd w:val="clear" w:color="auto" w:fill="auto"/>
            <w:noWrap/>
            <w:vAlign w:val="bottom"/>
            <w:hideMark/>
          </w:tcPr>
          <w:p w14:paraId="1388A105"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3.31%</w:t>
            </w:r>
          </w:p>
        </w:tc>
        <w:tc>
          <w:tcPr>
            <w:tcW w:w="1134" w:type="dxa"/>
            <w:shd w:val="clear" w:color="auto" w:fill="auto"/>
            <w:noWrap/>
            <w:vAlign w:val="bottom"/>
            <w:hideMark/>
          </w:tcPr>
          <w:p w14:paraId="7B960113"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1.84%</w:t>
            </w:r>
          </w:p>
        </w:tc>
        <w:tc>
          <w:tcPr>
            <w:tcW w:w="895" w:type="dxa"/>
            <w:shd w:val="clear" w:color="auto" w:fill="auto"/>
            <w:noWrap/>
            <w:vAlign w:val="bottom"/>
            <w:hideMark/>
          </w:tcPr>
          <w:p w14:paraId="44B421F3"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2.10%</w:t>
            </w:r>
          </w:p>
        </w:tc>
      </w:tr>
      <w:tr w:rsidR="009268D5" w:rsidRPr="009740E2" w14:paraId="244CCF9E" w14:textId="77777777" w:rsidTr="009740E2">
        <w:trPr>
          <w:trHeight w:val="89"/>
        </w:trPr>
        <w:tc>
          <w:tcPr>
            <w:tcW w:w="1129" w:type="dxa"/>
            <w:shd w:val="clear" w:color="auto" w:fill="auto"/>
            <w:noWrap/>
            <w:vAlign w:val="bottom"/>
            <w:hideMark/>
          </w:tcPr>
          <w:p w14:paraId="5872723A" w14:textId="77777777" w:rsidR="00CA7BD1" w:rsidRPr="009740E2" w:rsidRDefault="00CA7BD1" w:rsidP="00CA7BD1">
            <w:pPr>
              <w:spacing w:after="0" w:line="240" w:lineRule="auto"/>
              <w:rPr>
                <w:rFonts w:cs="Arial"/>
                <w:color w:val="000000"/>
                <w:szCs w:val="20"/>
              </w:rPr>
            </w:pPr>
            <w:r w:rsidRPr="009740E2">
              <w:rPr>
                <w:rFonts w:cs="Arial"/>
                <w:color w:val="000000"/>
                <w:szCs w:val="20"/>
              </w:rPr>
              <w:t>2008</w:t>
            </w:r>
          </w:p>
        </w:tc>
        <w:tc>
          <w:tcPr>
            <w:tcW w:w="1276" w:type="dxa"/>
            <w:shd w:val="clear" w:color="auto" w:fill="auto"/>
            <w:noWrap/>
            <w:vAlign w:val="bottom"/>
            <w:hideMark/>
          </w:tcPr>
          <w:p w14:paraId="3994EF5E"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1.42%</w:t>
            </w:r>
          </w:p>
        </w:tc>
        <w:tc>
          <w:tcPr>
            <w:tcW w:w="992" w:type="dxa"/>
            <w:shd w:val="clear" w:color="auto" w:fill="auto"/>
            <w:noWrap/>
            <w:vAlign w:val="bottom"/>
            <w:hideMark/>
          </w:tcPr>
          <w:p w14:paraId="21AFA9E3"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1.54%</w:t>
            </w:r>
          </w:p>
        </w:tc>
        <w:tc>
          <w:tcPr>
            <w:tcW w:w="875" w:type="dxa"/>
            <w:shd w:val="clear" w:color="auto" w:fill="auto"/>
            <w:noWrap/>
            <w:vAlign w:val="bottom"/>
            <w:hideMark/>
          </w:tcPr>
          <w:p w14:paraId="6B1540E7"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1.18%</w:t>
            </w:r>
          </w:p>
        </w:tc>
        <w:tc>
          <w:tcPr>
            <w:tcW w:w="1252" w:type="dxa"/>
            <w:shd w:val="clear" w:color="auto" w:fill="auto"/>
            <w:noWrap/>
            <w:vAlign w:val="bottom"/>
            <w:hideMark/>
          </w:tcPr>
          <w:p w14:paraId="2967DD26"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3.13%</w:t>
            </w:r>
          </w:p>
        </w:tc>
        <w:tc>
          <w:tcPr>
            <w:tcW w:w="992" w:type="dxa"/>
            <w:shd w:val="clear" w:color="auto" w:fill="auto"/>
            <w:noWrap/>
            <w:vAlign w:val="bottom"/>
            <w:hideMark/>
          </w:tcPr>
          <w:p w14:paraId="109BBEC5"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3.91%</w:t>
            </w:r>
          </w:p>
        </w:tc>
        <w:tc>
          <w:tcPr>
            <w:tcW w:w="1134" w:type="dxa"/>
            <w:shd w:val="clear" w:color="auto" w:fill="auto"/>
            <w:noWrap/>
            <w:vAlign w:val="bottom"/>
            <w:hideMark/>
          </w:tcPr>
          <w:p w14:paraId="41F23560"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2.02%</w:t>
            </w:r>
          </w:p>
        </w:tc>
        <w:tc>
          <w:tcPr>
            <w:tcW w:w="895" w:type="dxa"/>
            <w:shd w:val="clear" w:color="auto" w:fill="auto"/>
            <w:noWrap/>
            <w:vAlign w:val="bottom"/>
            <w:hideMark/>
          </w:tcPr>
          <w:p w14:paraId="03F68B5B"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4.40%</w:t>
            </w:r>
          </w:p>
        </w:tc>
      </w:tr>
      <w:tr w:rsidR="009268D5" w:rsidRPr="009740E2" w14:paraId="3BCD911B" w14:textId="77777777" w:rsidTr="009740E2">
        <w:trPr>
          <w:trHeight w:val="89"/>
        </w:trPr>
        <w:tc>
          <w:tcPr>
            <w:tcW w:w="1129" w:type="dxa"/>
            <w:shd w:val="clear" w:color="auto" w:fill="auto"/>
            <w:noWrap/>
            <w:vAlign w:val="bottom"/>
            <w:hideMark/>
          </w:tcPr>
          <w:p w14:paraId="31C5A4A9" w14:textId="77777777" w:rsidR="00CA7BD1" w:rsidRPr="009740E2" w:rsidRDefault="00CA7BD1" w:rsidP="00CA7BD1">
            <w:pPr>
              <w:spacing w:after="0" w:line="240" w:lineRule="auto"/>
              <w:rPr>
                <w:rFonts w:cs="Arial"/>
                <w:color w:val="000000"/>
                <w:szCs w:val="20"/>
              </w:rPr>
            </w:pPr>
            <w:r w:rsidRPr="009740E2">
              <w:rPr>
                <w:rFonts w:cs="Arial"/>
                <w:color w:val="000000"/>
                <w:szCs w:val="20"/>
              </w:rPr>
              <w:t>2009</w:t>
            </w:r>
          </w:p>
        </w:tc>
        <w:tc>
          <w:tcPr>
            <w:tcW w:w="1276" w:type="dxa"/>
            <w:shd w:val="clear" w:color="auto" w:fill="auto"/>
            <w:noWrap/>
            <w:vAlign w:val="bottom"/>
            <w:hideMark/>
          </w:tcPr>
          <w:p w14:paraId="064AAD15"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1.28%</w:t>
            </w:r>
          </w:p>
        </w:tc>
        <w:tc>
          <w:tcPr>
            <w:tcW w:w="992" w:type="dxa"/>
            <w:shd w:val="clear" w:color="auto" w:fill="auto"/>
            <w:noWrap/>
            <w:vAlign w:val="bottom"/>
            <w:hideMark/>
          </w:tcPr>
          <w:p w14:paraId="79DEAF41"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1.63%</w:t>
            </w:r>
          </w:p>
        </w:tc>
        <w:tc>
          <w:tcPr>
            <w:tcW w:w="875" w:type="dxa"/>
            <w:shd w:val="clear" w:color="auto" w:fill="auto"/>
            <w:noWrap/>
            <w:vAlign w:val="bottom"/>
            <w:hideMark/>
          </w:tcPr>
          <w:p w14:paraId="6EF64C64"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1.39%</w:t>
            </w:r>
          </w:p>
        </w:tc>
        <w:tc>
          <w:tcPr>
            <w:tcW w:w="1252" w:type="dxa"/>
            <w:shd w:val="clear" w:color="auto" w:fill="auto"/>
            <w:noWrap/>
            <w:vAlign w:val="bottom"/>
            <w:hideMark/>
          </w:tcPr>
          <w:p w14:paraId="79DD9B3A"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2.78%</w:t>
            </w:r>
          </w:p>
        </w:tc>
        <w:tc>
          <w:tcPr>
            <w:tcW w:w="992" w:type="dxa"/>
            <w:shd w:val="clear" w:color="auto" w:fill="auto"/>
            <w:noWrap/>
            <w:vAlign w:val="bottom"/>
            <w:hideMark/>
          </w:tcPr>
          <w:p w14:paraId="4598E67F"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3.19%</w:t>
            </w:r>
          </w:p>
        </w:tc>
        <w:tc>
          <w:tcPr>
            <w:tcW w:w="1134" w:type="dxa"/>
            <w:shd w:val="clear" w:color="auto" w:fill="auto"/>
            <w:noWrap/>
            <w:vAlign w:val="bottom"/>
            <w:hideMark/>
          </w:tcPr>
          <w:p w14:paraId="15CF7BAB"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2.08%</w:t>
            </w:r>
          </w:p>
        </w:tc>
        <w:tc>
          <w:tcPr>
            <w:tcW w:w="895" w:type="dxa"/>
            <w:shd w:val="clear" w:color="auto" w:fill="auto"/>
            <w:noWrap/>
            <w:vAlign w:val="bottom"/>
            <w:hideMark/>
          </w:tcPr>
          <w:p w14:paraId="53C80751"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1.40%</w:t>
            </w:r>
          </w:p>
        </w:tc>
      </w:tr>
      <w:tr w:rsidR="009268D5" w:rsidRPr="009740E2" w14:paraId="11E4E7DF" w14:textId="77777777" w:rsidTr="009740E2">
        <w:trPr>
          <w:trHeight w:val="89"/>
        </w:trPr>
        <w:tc>
          <w:tcPr>
            <w:tcW w:w="1129" w:type="dxa"/>
            <w:shd w:val="clear" w:color="auto" w:fill="auto"/>
            <w:noWrap/>
            <w:vAlign w:val="bottom"/>
            <w:hideMark/>
          </w:tcPr>
          <w:p w14:paraId="58449B1D" w14:textId="77777777" w:rsidR="00CA7BD1" w:rsidRPr="009740E2" w:rsidRDefault="00CA7BD1" w:rsidP="00CA7BD1">
            <w:pPr>
              <w:spacing w:after="0" w:line="240" w:lineRule="auto"/>
              <w:rPr>
                <w:rFonts w:cs="Arial"/>
                <w:color w:val="000000"/>
                <w:szCs w:val="20"/>
              </w:rPr>
            </w:pPr>
            <w:r w:rsidRPr="009740E2">
              <w:rPr>
                <w:rFonts w:cs="Arial"/>
                <w:color w:val="000000"/>
                <w:szCs w:val="20"/>
              </w:rPr>
              <w:t>2010</w:t>
            </w:r>
          </w:p>
        </w:tc>
        <w:tc>
          <w:tcPr>
            <w:tcW w:w="1276" w:type="dxa"/>
            <w:shd w:val="clear" w:color="auto" w:fill="auto"/>
            <w:noWrap/>
            <w:vAlign w:val="bottom"/>
            <w:hideMark/>
          </w:tcPr>
          <w:p w14:paraId="5AFF8D5D"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1.29%</w:t>
            </w:r>
          </w:p>
        </w:tc>
        <w:tc>
          <w:tcPr>
            <w:tcW w:w="992" w:type="dxa"/>
            <w:shd w:val="clear" w:color="auto" w:fill="auto"/>
            <w:noWrap/>
            <w:vAlign w:val="bottom"/>
            <w:hideMark/>
          </w:tcPr>
          <w:p w14:paraId="18DEFCDB"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1.66%</w:t>
            </w:r>
          </w:p>
        </w:tc>
        <w:tc>
          <w:tcPr>
            <w:tcW w:w="875" w:type="dxa"/>
            <w:shd w:val="clear" w:color="auto" w:fill="auto"/>
            <w:noWrap/>
            <w:vAlign w:val="bottom"/>
            <w:hideMark/>
          </w:tcPr>
          <w:p w14:paraId="3D972FC1"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1.26%</w:t>
            </w:r>
          </w:p>
        </w:tc>
        <w:tc>
          <w:tcPr>
            <w:tcW w:w="1252" w:type="dxa"/>
            <w:shd w:val="clear" w:color="auto" w:fill="auto"/>
            <w:noWrap/>
            <w:vAlign w:val="bottom"/>
            <w:hideMark/>
          </w:tcPr>
          <w:p w14:paraId="6C0FE2EA"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2.10%</w:t>
            </w:r>
          </w:p>
        </w:tc>
        <w:tc>
          <w:tcPr>
            <w:tcW w:w="992" w:type="dxa"/>
            <w:shd w:val="clear" w:color="auto" w:fill="auto"/>
            <w:noWrap/>
            <w:vAlign w:val="bottom"/>
            <w:hideMark/>
          </w:tcPr>
          <w:p w14:paraId="3881291D"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2.08%</w:t>
            </w:r>
          </w:p>
        </w:tc>
        <w:tc>
          <w:tcPr>
            <w:tcW w:w="1134" w:type="dxa"/>
            <w:shd w:val="clear" w:color="auto" w:fill="auto"/>
            <w:noWrap/>
            <w:vAlign w:val="bottom"/>
            <w:hideMark/>
          </w:tcPr>
          <w:p w14:paraId="4E130BFC"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1.57%</w:t>
            </w:r>
          </w:p>
        </w:tc>
        <w:tc>
          <w:tcPr>
            <w:tcW w:w="895" w:type="dxa"/>
            <w:shd w:val="clear" w:color="auto" w:fill="auto"/>
            <w:noWrap/>
            <w:vAlign w:val="bottom"/>
            <w:hideMark/>
          </w:tcPr>
          <w:p w14:paraId="4BBFA334"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3.10%</w:t>
            </w:r>
          </w:p>
        </w:tc>
      </w:tr>
      <w:tr w:rsidR="009268D5" w:rsidRPr="009740E2" w14:paraId="6558C33D" w14:textId="77777777" w:rsidTr="009740E2">
        <w:trPr>
          <w:trHeight w:val="89"/>
        </w:trPr>
        <w:tc>
          <w:tcPr>
            <w:tcW w:w="1129" w:type="dxa"/>
            <w:shd w:val="clear" w:color="auto" w:fill="auto"/>
            <w:noWrap/>
            <w:vAlign w:val="bottom"/>
            <w:hideMark/>
          </w:tcPr>
          <w:p w14:paraId="15A011A8" w14:textId="77777777" w:rsidR="00CA7BD1" w:rsidRPr="009740E2" w:rsidRDefault="00CA7BD1" w:rsidP="00CA7BD1">
            <w:pPr>
              <w:spacing w:after="0" w:line="240" w:lineRule="auto"/>
              <w:rPr>
                <w:rFonts w:cs="Arial"/>
                <w:color w:val="000000"/>
                <w:szCs w:val="20"/>
              </w:rPr>
            </w:pPr>
            <w:r w:rsidRPr="009740E2">
              <w:rPr>
                <w:rFonts w:cs="Arial"/>
                <w:color w:val="000000"/>
                <w:szCs w:val="20"/>
              </w:rPr>
              <w:t>2011</w:t>
            </w:r>
          </w:p>
        </w:tc>
        <w:tc>
          <w:tcPr>
            <w:tcW w:w="1276" w:type="dxa"/>
            <w:shd w:val="clear" w:color="auto" w:fill="auto"/>
            <w:noWrap/>
            <w:vAlign w:val="bottom"/>
            <w:hideMark/>
          </w:tcPr>
          <w:p w14:paraId="38D223FC"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0.85%</w:t>
            </w:r>
          </w:p>
        </w:tc>
        <w:tc>
          <w:tcPr>
            <w:tcW w:w="992" w:type="dxa"/>
            <w:shd w:val="clear" w:color="auto" w:fill="auto"/>
            <w:noWrap/>
            <w:vAlign w:val="bottom"/>
            <w:hideMark/>
          </w:tcPr>
          <w:p w14:paraId="70BB5F19"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1.67%</w:t>
            </w:r>
          </w:p>
        </w:tc>
        <w:tc>
          <w:tcPr>
            <w:tcW w:w="875" w:type="dxa"/>
            <w:shd w:val="clear" w:color="auto" w:fill="auto"/>
            <w:noWrap/>
            <w:vAlign w:val="bottom"/>
            <w:hideMark/>
          </w:tcPr>
          <w:p w14:paraId="5F3C3924"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0.77%</w:t>
            </w:r>
          </w:p>
        </w:tc>
        <w:tc>
          <w:tcPr>
            <w:tcW w:w="1252" w:type="dxa"/>
            <w:shd w:val="clear" w:color="auto" w:fill="auto"/>
            <w:noWrap/>
            <w:vAlign w:val="bottom"/>
            <w:hideMark/>
          </w:tcPr>
          <w:p w14:paraId="24690C0C"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2.15%</w:t>
            </w:r>
          </w:p>
        </w:tc>
        <w:tc>
          <w:tcPr>
            <w:tcW w:w="992" w:type="dxa"/>
            <w:shd w:val="clear" w:color="auto" w:fill="auto"/>
            <w:noWrap/>
            <w:vAlign w:val="bottom"/>
            <w:hideMark/>
          </w:tcPr>
          <w:p w14:paraId="6CFFE666"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1.50%</w:t>
            </w:r>
          </w:p>
        </w:tc>
        <w:tc>
          <w:tcPr>
            <w:tcW w:w="1134" w:type="dxa"/>
            <w:shd w:val="clear" w:color="auto" w:fill="auto"/>
            <w:noWrap/>
            <w:vAlign w:val="bottom"/>
            <w:hideMark/>
          </w:tcPr>
          <w:p w14:paraId="3036C02E"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1.40%</w:t>
            </w:r>
          </w:p>
        </w:tc>
        <w:tc>
          <w:tcPr>
            <w:tcW w:w="895" w:type="dxa"/>
            <w:shd w:val="clear" w:color="auto" w:fill="auto"/>
            <w:noWrap/>
            <w:vAlign w:val="bottom"/>
            <w:hideMark/>
          </w:tcPr>
          <w:p w14:paraId="3F77788E"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3.50%</w:t>
            </w:r>
          </w:p>
        </w:tc>
      </w:tr>
      <w:tr w:rsidR="009268D5" w:rsidRPr="009740E2" w14:paraId="0072392E" w14:textId="77777777" w:rsidTr="009740E2">
        <w:trPr>
          <w:trHeight w:val="89"/>
        </w:trPr>
        <w:tc>
          <w:tcPr>
            <w:tcW w:w="1129" w:type="dxa"/>
            <w:shd w:val="clear" w:color="auto" w:fill="auto"/>
            <w:noWrap/>
            <w:vAlign w:val="bottom"/>
            <w:hideMark/>
          </w:tcPr>
          <w:p w14:paraId="1946EB55" w14:textId="77777777" w:rsidR="00CA7BD1" w:rsidRPr="009740E2" w:rsidRDefault="00CA7BD1" w:rsidP="00CA7BD1">
            <w:pPr>
              <w:spacing w:after="0" w:line="240" w:lineRule="auto"/>
              <w:rPr>
                <w:rFonts w:cs="Arial"/>
                <w:color w:val="000000"/>
                <w:szCs w:val="20"/>
              </w:rPr>
            </w:pPr>
            <w:r w:rsidRPr="009740E2">
              <w:rPr>
                <w:rFonts w:cs="Arial"/>
                <w:color w:val="000000"/>
                <w:szCs w:val="20"/>
              </w:rPr>
              <w:t>2012</w:t>
            </w:r>
          </w:p>
        </w:tc>
        <w:tc>
          <w:tcPr>
            <w:tcW w:w="1276" w:type="dxa"/>
            <w:shd w:val="clear" w:color="auto" w:fill="auto"/>
            <w:noWrap/>
            <w:vAlign w:val="bottom"/>
            <w:hideMark/>
          </w:tcPr>
          <w:p w14:paraId="50BECC22"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0.60%</w:t>
            </w:r>
          </w:p>
        </w:tc>
        <w:tc>
          <w:tcPr>
            <w:tcW w:w="992" w:type="dxa"/>
            <w:shd w:val="clear" w:color="auto" w:fill="auto"/>
            <w:noWrap/>
            <w:vAlign w:val="bottom"/>
            <w:hideMark/>
          </w:tcPr>
          <w:p w14:paraId="42AA0D4B"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1.72%</w:t>
            </w:r>
          </w:p>
        </w:tc>
        <w:tc>
          <w:tcPr>
            <w:tcW w:w="875" w:type="dxa"/>
            <w:shd w:val="clear" w:color="auto" w:fill="auto"/>
            <w:noWrap/>
            <w:vAlign w:val="bottom"/>
            <w:hideMark/>
          </w:tcPr>
          <w:p w14:paraId="10CCC107"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0.64%</w:t>
            </w:r>
          </w:p>
        </w:tc>
        <w:tc>
          <w:tcPr>
            <w:tcW w:w="1252" w:type="dxa"/>
            <w:shd w:val="clear" w:color="auto" w:fill="auto"/>
            <w:noWrap/>
            <w:vAlign w:val="bottom"/>
            <w:hideMark/>
          </w:tcPr>
          <w:p w14:paraId="1A15E7A9"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1.98%</w:t>
            </w:r>
          </w:p>
        </w:tc>
        <w:tc>
          <w:tcPr>
            <w:tcW w:w="992" w:type="dxa"/>
            <w:shd w:val="clear" w:color="auto" w:fill="auto"/>
            <w:noWrap/>
            <w:vAlign w:val="bottom"/>
            <w:hideMark/>
          </w:tcPr>
          <w:p w14:paraId="5565081F"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2.03%</w:t>
            </w:r>
          </w:p>
        </w:tc>
        <w:tc>
          <w:tcPr>
            <w:tcW w:w="1134" w:type="dxa"/>
            <w:shd w:val="clear" w:color="auto" w:fill="auto"/>
            <w:noWrap/>
            <w:vAlign w:val="bottom"/>
            <w:hideMark/>
          </w:tcPr>
          <w:p w14:paraId="1FF58347"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1.76%</w:t>
            </w:r>
          </w:p>
        </w:tc>
        <w:tc>
          <w:tcPr>
            <w:tcW w:w="895" w:type="dxa"/>
            <w:shd w:val="clear" w:color="auto" w:fill="auto"/>
            <w:noWrap/>
            <w:vAlign w:val="bottom"/>
            <w:hideMark/>
          </w:tcPr>
          <w:p w14:paraId="28B9F17E"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1.20%</w:t>
            </w:r>
          </w:p>
        </w:tc>
      </w:tr>
      <w:tr w:rsidR="009268D5" w:rsidRPr="009740E2" w14:paraId="7F104F08" w14:textId="77777777" w:rsidTr="009740E2">
        <w:trPr>
          <w:trHeight w:val="89"/>
        </w:trPr>
        <w:tc>
          <w:tcPr>
            <w:tcW w:w="1129" w:type="dxa"/>
            <w:shd w:val="clear" w:color="auto" w:fill="auto"/>
            <w:noWrap/>
            <w:vAlign w:val="bottom"/>
            <w:hideMark/>
          </w:tcPr>
          <w:p w14:paraId="39085B59" w14:textId="77777777" w:rsidR="00CA7BD1" w:rsidRPr="009740E2" w:rsidRDefault="00CA7BD1" w:rsidP="00CA7BD1">
            <w:pPr>
              <w:spacing w:after="0" w:line="240" w:lineRule="auto"/>
              <w:rPr>
                <w:rFonts w:cs="Arial"/>
                <w:color w:val="000000"/>
                <w:szCs w:val="20"/>
              </w:rPr>
            </w:pPr>
            <w:r w:rsidRPr="009740E2">
              <w:rPr>
                <w:rFonts w:cs="Arial"/>
                <w:color w:val="000000"/>
                <w:szCs w:val="20"/>
              </w:rPr>
              <w:t>2013</w:t>
            </w:r>
          </w:p>
        </w:tc>
        <w:tc>
          <w:tcPr>
            <w:tcW w:w="1276" w:type="dxa"/>
            <w:shd w:val="clear" w:color="auto" w:fill="auto"/>
            <w:noWrap/>
            <w:vAlign w:val="bottom"/>
            <w:hideMark/>
          </w:tcPr>
          <w:p w14:paraId="10A543AC"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0.93%</w:t>
            </w:r>
          </w:p>
        </w:tc>
        <w:tc>
          <w:tcPr>
            <w:tcW w:w="992" w:type="dxa"/>
            <w:shd w:val="clear" w:color="auto" w:fill="auto"/>
            <w:noWrap/>
            <w:vAlign w:val="bottom"/>
            <w:hideMark/>
          </w:tcPr>
          <w:p w14:paraId="2F21D05D"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2.01%</w:t>
            </w:r>
          </w:p>
        </w:tc>
        <w:tc>
          <w:tcPr>
            <w:tcW w:w="875" w:type="dxa"/>
            <w:shd w:val="clear" w:color="auto" w:fill="auto"/>
            <w:noWrap/>
            <w:vAlign w:val="bottom"/>
            <w:hideMark/>
          </w:tcPr>
          <w:p w14:paraId="3F434013"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0.75%</w:t>
            </w:r>
          </w:p>
        </w:tc>
        <w:tc>
          <w:tcPr>
            <w:tcW w:w="1252" w:type="dxa"/>
            <w:shd w:val="clear" w:color="auto" w:fill="auto"/>
            <w:noWrap/>
            <w:vAlign w:val="bottom"/>
            <w:hideMark/>
          </w:tcPr>
          <w:p w14:paraId="11FDECE6"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1.59%</w:t>
            </w:r>
          </w:p>
        </w:tc>
        <w:tc>
          <w:tcPr>
            <w:tcW w:w="992" w:type="dxa"/>
            <w:shd w:val="clear" w:color="auto" w:fill="auto"/>
            <w:noWrap/>
            <w:vAlign w:val="bottom"/>
            <w:hideMark/>
          </w:tcPr>
          <w:p w14:paraId="5575FEC8"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1.81%</w:t>
            </w:r>
          </w:p>
        </w:tc>
        <w:tc>
          <w:tcPr>
            <w:tcW w:w="1134" w:type="dxa"/>
            <w:shd w:val="clear" w:color="auto" w:fill="auto"/>
            <w:noWrap/>
            <w:vAlign w:val="bottom"/>
            <w:hideMark/>
          </w:tcPr>
          <w:p w14:paraId="2ABC2695"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1.74%</w:t>
            </w:r>
          </w:p>
        </w:tc>
        <w:tc>
          <w:tcPr>
            <w:tcW w:w="895" w:type="dxa"/>
            <w:shd w:val="clear" w:color="auto" w:fill="auto"/>
            <w:noWrap/>
            <w:vAlign w:val="bottom"/>
            <w:hideMark/>
          </w:tcPr>
          <w:p w14:paraId="0F20F980"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2.40%</w:t>
            </w:r>
          </w:p>
        </w:tc>
      </w:tr>
      <w:tr w:rsidR="009268D5" w:rsidRPr="009740E2" w14:paraId="35F8925B" w14:textId="77777777" w:rsidTr="009740E2">
        <w:trPr>
          <w:trHeight w:val="89"/>
        </w:trPr>
        <w:tc>
          <w:tcPr>
            <w:tcW w:w="1129" w:type="dxa"/>
            <w:shd w:val="clear" w:color="auto" w:fill="auto"/>
            <w:noWrap/>
            <w:vAlign w:val="bottom"/>
            <w:hideMark/>
          </w:tcPr>
          <w:p w14:paraId="2FB4D434" w14:textId="77777777" w:rsidR="00CA7BD1" w:rsidRPr="009740E2" w:rsidRDefault="00CA7BD1" w:rsidP="00CA7BD1">
            <w:pPr>
              <w:spacing w:after="0" w:line="240" w:lineRule="auto"/>
              <w:rPr>
                <w:rFonts w:cs="Arial"/>
                <w:color w:val="000000"/>
                <w:szCs w:val="20"/>
              </w:rPr>
            </w:pPr>
            <w:r w:rsidRPr="009740E2">
              <w:rPr>
                <w:rFonts w:cs="Arial"/>
                <w:color w:val="000000"/>
                <w:szCs w:val="20"/>
              </w:rPr>
              <w:t>2014</w:t>
            </w:r>
          </w:p>
        </w:tc>
        <w:tc>
          <w:tcPr>
            <w:tcW w:w="1276" w:type="dxa"/>
            <w:shd w:val="clear" w:color="auto" w:fill="auto"/>
            <w:noWrap/>
            <w:vAlign w:val="bottom"/>
            <w:hideMark/>
          </w:tcPr>
          <w:p w14:paraId="473D90C1"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0.99%</w:t>
            </w:r>
          </w:p>
        </w:tc>
        <w:tc>
          <w:tcPr>
            <w:tcW w:w="992" w:type="dxa"/>
            <w:shd w:val="clear" w:color="auto" w:fill="auto"/>
            <w:noWrap/>
            <w:vAlign w:val="bottom"/>
            <w:hideMark/>
          </w:tcPr>
          <w:p w14:paraId="1FE708FE"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2.07%</w:t>
            </w:r>
          </w:p>
        </w:tc>
        <w:tc>
          <w:tcPr>
            <w:tcW w:w="875" w:type="dxa"/>
            <w:shd w:val="clear" w:color="auto" w:fill="auto"/>
            <w:noWrap/>
            <w:vAlign w:val="bottom"/>
            <w:hideMark/>
          </w:tcPr>
          <w:p w14:paraId="7D50B9AF"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0.94%</w:t>
            </w:r>
          </w:p>
        </w:tc>
        <w:tc>
          <w:tcPr>
            <w:tcW w:w="1252" w:type="dxa"/>
            <w:shd w:val="clear" w:color="auto" w:fill="auto"/>
            <w:noWrap/>
            <w:vAlign w:val="bottom"/>
            <w:hideMark/>
          </w:tcPr>
          <w:p w14:paraId="1CF05E5F"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1.25%</w:t>
            </w:r>
          </w:p>
        </w:tc>
        <w:tc>
          <w:tcPr>
            <w:tcW w:w="992" w:type="dxa"/>
            <w:shd w:val="clear" w:color="auto" w:fill="auto"/>
            <w:noWrap/>
            <w:vAlign w:val="bottom"/>
            <w:hideMark/>
          </w:tcPr>
          <w:p w14:paraId="4C611649"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1.19%</w:t>
            </w:r>
          </w:p>
        </w:tc>
        <w:tc>
          <w:tcPr>
            <w:tcW w:w="1134" w:type="dxa"/>
            <w:shd w:val="clear" w:color="auto" w:fill="auto"/>
            <w:noWrap/>
            <w:vAlign w:val="bottom"/>
            <w:hideMark/>
          </w:tcPr>
          <w:p w14:paraId="43A0DC11"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1.50%</w:t>
            </w:r>
          </w:p>
        </w:tc>
        <w:tc>
          <w:tcPr>
            <w:tcW w:w="895" w:type="dxa"/>
            <w:shd w:val="clear" w:color="auto" w:fill="auto"/>
            <w:noWrap/>
            <w:vAlign w:val="bottom"/>
            <w:hideMark/>
          </w:tcPr>
          <w:p w14:paraId="0D274116"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3.00%</w:t>
            </w:r>
          </w:p>
        </w:tc>
      </w:tr>
      <w:tr w:rsidR="009268D5" w:rsidRPr="009740E2" w14:paraId="07AC06F7" w14:textId="77777777" w:rsidTr="009740E2">
        <w:trPr>
          <w:trHeight w:val="89"/>
        </w:trPr>
        <w:tc>
          <w:tcPr>
            <w:tcW w:w="1129" w:type="dxa"/>
            <w:shd w:val="clear" w:color="auto" w:fill="auto"/>
            <w:noWrap/>
            <w:vAlign w:val="bottom"/>
            <w:hideMark/>
          </w:tcPr>
          <w:p w14:paraId="1C136ABA" w14:textId="77777777" w:rsidR="00CA7BD1" w:rsidRPr="009740E2" w:rsidRDefault="00CA7BD1" w:rsidP="00CA7BD1">
            <w:pPr>
              <w:spacing w:after="0" w:line="240" w:lineRule="auto"/>
              <w:rPr>
                <w:rFonts w:cs="Arial"/>
                <w:color w:val="000000"/>
                <w:szCs w:val="20"/>
              </w:rPr>
            </w:pPr>
            <w:r w:rsidRPr="009740E2">
              <w:rPr>
                <w:rFonts w:cs="Arial"/>
                <w:color w:val="000000"/>
                <w:szCs w:val="20"/>
              </w:rPr>
              <w:t>2015</w:t>
            </w:r>
          </w:p>
        </w:tc>
        <w:tc>
          <w:tcPr>
            <w:tcW w:w="1276" w:type="dxa"/>
            <w:shd w:val="clear" w:color="auto" w:fill="auto"/>
            <w:noWrap/>
            <w:vAlign w:val="bottom"/>
            <w:hideMark/>
          </w:tcPr>
          <w:p w14:paraId="2FF227DB"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0.98%</w:t>
            </w:r>
          </w:p>
        </w:tc>
        <w:tc>
          <w:tcPr>
            <w:tcW w:w="992" w:type="dxa"/>
            <w:shd w:val="clear" w:color="auto" w:fill="auto"/>
            <w:noWrap/>
            <w:vAlign w:val="bottom"/>
            <w:hideMark/>
          </w:tcPr>
          <w:p w14:paraId="77EFBE91"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2.38%</w:t>
            </w:r>
          </w:p>
        </w:tc>
        <w:tc>
          <w:tcPr>
            <w:tcW w:w="875" w:type="dxa"/>
            <w:shd w:val="clear" w:color="auto" w:fill="auto"/>
            <w:noWrap/>
            <w:vAlign w:val="bottom"/>
            <w:hideMark/>
          </w:tcPr>
          <w:p w14:paraId="436EC1DA"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0.97%</w:t>
            </w:r>
          </w:p>
        </w:tc>
        <w:tc>
          <w:tcPr>
            <w:tcW w:w="1252" w:type="dxa"/>
            <w:shd w:val="clear" w:color="auto" w:fill="auto"/>
            <w:noWrap/>
            <w:vAlign w:val="bottom"/>
            <w:hideMark/>
          </w:tcPr>
          <w:p w14:paraId="0B0FA7BC"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0.65%</w:t>
            </w:r>
          </w:p>
        </w:tc>
        <w:tc>
          <w:tcPr>
            <w:tcW w:w="992" w:type="dxa"/>
            <w:shd w:val="clear" w:color="auto" w:fill="auto"/>
            <w:noWrap/>
            <w:vAlign w:val="bottom"/>
            <w:hideMark/>
          </w:tcPr>
          <w:p w14:paraId="72A27B1C"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0.87%</w:t>
            </w:r>
          </w:p>
        </w:tc>
        <w:tc>
          <w:tcPr>
            <w:tcW w:w="1134" w:type="dxa"/>
            <w:shd w:val="clear" w:color="auto" w:fill="auto"/>
            <w:noWrap/>
            <w:vAlign w:val="bottom"/>
            <w:hideMark/>
          </w:tcPr>
          <w:p w14:paraId="5E59DAA1"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1.45%</w:t>
            </w:r>
          </w:p>
        </w:tc>
        <w:tc>
          <w:tcPr>
            <w:tcW w:w="895" w:type="dxa"/>
            <w:shd w:val="clear" w:color="auto" w:fill="auto"/>
            <w:noWrap/>
            <w:vAlign w:val="bottom"/>
            <w:hideMark/>
          </w:tcPr>
          <w:p w14:paraId="38253D43"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1.50%</w:t>
            </w:r>
          </w:p>
        </w:tc>
      </w:tr>
      <w:tr w:rsidR="009268D5" w:rsidRPr="009740E2" w14:paraId="1C5448FD" w14:textId="77777777" w:rsidTr="009740E2">
        <w:trPr>
          <w:trHeight w:val="89"/>
        </w:trPr>
        <w:tc>
          <w:tcPr>
            <w:tcW w:w="1129" w:type="dxa"/>
            <w:shd w:val="clear" w:color="auto" w:fill="auto"/>
            <w:noWrap/>
            <w:vAlign w:val="bottom"/>
            <w:hideMark/>
          </w:tcPr>
          <w:p w14:paraId="6D93DA1D" w14:textId="77777777" w:rsidR="00CA7BD1" w:rsidRPr="009740E2" w:rsidRDefault="00CA7BD1" w:rsidP="00CA7BD1">
            <w:pPr>
              <w:spacing w:after="0" w:line="240" w:lineRule="auto"/>
              <w:rPr>
                <w:rFonts w:cs="Arial"/>
                <w:color w:val="000000"/>
                <w:szCs w:val="20"/>
              </w:rPr>
            </w:pPr>
            <w:r w:rsidRPr="009740E2">
              <w:rPr>
                <w:rFonts w:cs="Arial"/>
                <w:color w:val="000000"/>
                <w:szCs w:val="20"/>
              </w:rPr>
              <w:t>2016</w:t>
            </w:r>
          </w:p>
        </w:tc>
        <w:tc>
          <w:tcPr>
            <w:tcW w:w="1276" w:type="dxa"/>
            <w:shd w:val="clear" w:color="auto" w:fill="auto"/>
            <w:noWrap/>
            <w:vAlign w:val="bottom"/>
            <w:hideMark/>
          </w:tcPr>
          <w:p w14:paraId="5C238711"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1.06%</w:t>
            </w:r>
          </w:p>
        </w:tc>
        <w:tc>
          <w:tcPr>
            <w:tcW w:w="992" w:type="dxa"/>
            <w:shd w:val="clear" w:color="auto" w:fill="auto"/>
            <w:noWrap/>
            <w:vAlign w:val="bottom"/>
            <w:hideMark/>
          </w:tcPr>
          <w:p w14:paraId="5A016CD1"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2.88%</w:t>
            </w:r>
          </w:p>
        </w:tc>
        <w:tc>
          <w:tcPr>
            <w:tcW w:w="875" w:type="dxa"/>
            <w:shd w:val="clear" w:color="auto" w:fill="auto"/>
            <w:noWrap/>
            <w:vAlign w:val="bottom"/>
            <w:hideMark/>
          </w:tcPr>
          <w:p w14:paraId="03B87F5F"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1.08%</w:t>
            </w:r>
          </w:p>
        </w:tc>
        <w:tc>
          <w:tcPr>
            <w:tcW w:w="1252" w:type="dxa"/>
            <w:shd w:val="clear" w:color="auto" w:fill="auto"/>
            <w:noWrap/>
            <w:vAlign w:val="bottom"/>
            <w:hideMark/>
          </w:tcPr>
          <w:p w14:paraId="57FB1323"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0.76%</w:t>
            </w:r>
          </w:p>
        </w:tc>
        <w:tc>
          <w:tcPr>
            <w:tcW w:w="992" w:type="dxa"/>
            <w:shd w:val="clear" w:color="auto" w:fill="auto"/>
            <w:noWrap/>
            <w:vAlign w:val="bottom"/>
            <w:hideMark/>
          </w:tcPr>
          <w:p w14:paraId="561A0553"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1.07%</w:t>
            </w:r>
          </w:p>
        </w:tc>
        <w:tc>
          <w:tcPr>
            <w:tcW w:w="1134" w:type="dxa"/>
            <w:shd w:val="clear" w:color="auto" w:fill="auto"/>
            <w:noWrap/>
            <w:vAlign w:val="bottom"/>
            <w:hideMark/>
          </w:tcPr>
          <w:p w14:paraId="3F4B124D"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1.57%</w:t>
            </w:r>
          </w:p>
        </w:tc>
        <w:tc>
          <w:tcPr>
            <w:tcW w:w="895" w:type="dxa"/>
            <w:shd w:val="clear" w:color="auto" w:fill="auto"/>
            <w:noWrap/>
            <w:vAlign w:val="bottom"/>
            <w:hideMark/>
          </w:tcPr>
          <w:p w14:paraId="3E09E2F3"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1.00%</w:t>
            </w:r>
          </w:p>
        </w:tc>
      </w:tr>
      <w:tr w:rsidR="009268D5" w:rsidRPr="009740E2" w14:paraId="6ADCDB42" w14:textId="77777777" w:rsidTr="009740E2">
        <w:trPr>
          <w:trHeight w:val="89"/>
        </w:trPr>
        <w:tc>
          <w:tcPr>
            <w:tcW w:w="1129" w:type="dxa"/>
            <w:shd w:val="clear" w:color="auto" w:fill="auto"/>
            <w:noWrap/>
            <w:vAlign w:val="bottom"/>
            <w:hideMark/>
          </w:tcPr>
          <w:p w14:paraId="6880DB0A" w14:textId="77777777" w:rsidR="00CA7BD1" w:rsidRPr="009740E2" w:rsidRDefault="00CA7BD1" w:rsidP="00CA7BD1">
            <w:pPr>
              <w:spacing w:after="0" w:line="240" w:lineRule="auto"/>
              <w:rPr>
                <w:rFonts w:cs="Arial"/>
                <w:color w:val="000000"/>
                <w:szCs w:val="20"/>
              </w:rPr>
            </w:pPr>
            <w:r w:rsidRPr="009740E2">
              <w:rPr>
                <w:rFonts w:cs="Arial"/>
                <w:color w:val="000000"/>
                <w:szCs w:val="20"/>
              </w:rPr>
              <w:t>2017</w:t>
            </w:r>
          </w:p>
        </w:tc>
        <w:tc>
          <w:tcPr>
            <w:tcW w:w="1276" w:type="dxa"/>
            <w:shd w:val="clear" w:color="auto" w:fill="auto"/>
            <w:noWrap/>
            <w:vAlign w:val="bottom"/>
            <w:hideMark/>
          </w:tcPr>
          <w:p w14:paraId="325FF343"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0.92%</w:t>
            </w:r>
          </w:p>
        </w:tc>
        <w:tc>
          <w:tcPr>
            <w:tcW w:w="992" w:type="dxa"/>
            <w:shd w:val="clear" w:color="auto" w:fill="auto"/>
            <w:noWrap/>
            <w:vAlign w:val="bottom"/>
            <w:hideMark/>
          </w:tcPr>
          <w:p w14:paraId="26042902"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2.89%</w:t>
            </w:r>
          </w:p>
        </w:tc>
        <w:tc>
          <w:tcPr>
            <w:tcW w:w="875" w:type="dxa"/>
            <w:shd w:val="clear" w:color="auto" w:fill="auto"/>
            <w:noWrap/>
            <w:vAlign w:val="bottom"/>
            <w:hideMark/>
          </w:tcPr>
          <w:p w14:paraId="08A5F923"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2.74%</w:t>
            </w:r>
          </w:p>
        </w:tc>
        <w:tc>
          <w:tcPr>
            <w:tcW w:w="1252" w:type="dxa"/>
            <w:shd w:val="clear" w:color="auto" w:fill="auto"/>
            <w:noWrap/>
            <w:vAlign w:val="bottom"/>
            <w:hideMark/>
          </w:tcPr>
          <w:p w14:paraId="62536B29"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0.62%</w:t>
            </w:r>
          </w:p>
        </w:tc>
        <w:tc>
          <w:tcPr>
            <w:tcW w:w="992" w:type="dxa"/>
            <w:shd w:val="clear" w:color="auto" w:fill="auto"/>
            <w:noWrap/>
            <w:vAlign w:val="bottom"/>
            <w:hideMark/>
          </w:tcPr>
          <w:p w14:paraId="3542ED9F"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1.36%</w:t>
            </w:r>
          </w:p>
        </w:tc>
        <w:tc>
          <w:tcPr>
            <w:tcW w:w="1134" w:type="dxa"/>
            <w:shd w:val="clear" w:color="auto" w:fill="auto"/>
            <w:noWrap/>
            <w:vAlign w:val="bottom"/>
            <w:hideMark/>
          </w:tcPr>
          <w:p w14:paraId="63A2AB8D"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1.67%</w:t>
            </w:r>
          </w:p>
        </w:tc>
        <w:tc>
          <w:tcPr>
            <w:tcW w:w="895" w:type="dxa"/>
            <w:shd w:val="clear" w:color="auto" w:fill="auto"/>
            <w:noWrap/>
            <w:vAlign w:val="bottom"/>
            <w:hideMark/>
          </w:tcPr>
          <w:p w14:paraId="729C224D"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1.90%</w:t>
            </w:r>
          </w:p>
        </w:tc>
      </w:tr>
      <w:tr w:rsidR="009268D5" w:rsidRPr="009740E2" w14:paraId="18071713" w14:textId="77777777" w:rsidTr="009740E2">
        <w:trPr>
          <w:trHeight w:val="89"/>
        </w:trPr>
        <w:tc>
          <w:tcPr>
            <w:tcW w:w="1129" w:type="dxa"/>
            <w:shd w:val="clear" w:color="auto" w:fill="auto"/>
            <w:noWrap/>
            <w:vAlign w:val="bottom"/>
            <w:hideMark/>
          </w:tcPr>
          <w:p w14:paraId="35D45369" w14:textId="77777777" w:rsidR="00CA7BD1" w:rsidRPr="009740E2" w:rsidRDefault="00CA7BD1" w:rsidP="00CA7BD1">
            <w:pPr>
              <w:spacing w:after="0" w:line="240" w:lineRule="auto"/>
              <w:rPr>
                <w:rFonts w:cs="Arial"/>
                <w:color w:val="000000"/>
                <w:szCs w:val="20"/>
              </w:rPr>
            </w:pPr>
            <w:r w:rsidRPr="009740E2">
              <w:rPr>
                <w:rFonts w:cs="Arial"/>
                <w:color w:val="000000"/>
                <w:szCs w:val="20"/>
              </w:rPr>
              <w:t>2018</w:t>
            </w:r>
          </w:p>
        </w:tc>
        <w:tc>
          <w:tcPr>
            <w:tcW w:w="1276" w:type="dxa"/>
            <w:shd w:val="clear" w:color="auto" w:fill="auto"/>
            <w:noWrap/>
            <w:vAlign w:val="bottom"/>
            <w:hideMark/>
          </w:tcPr>
          <w:p w14:paraId="2D90B44B"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0.77%</w:t>
            </w:r>
          </w:p>
        </w:tc>
        <w:tc>
          <w:tcPr>
            <w:tcW w:w="992" w:type="dxa"/>
            <w:shd w:val="clear" w:color="auto" w:fill="auto"/>
            <w:noWrap/>
            <w:vAlign w:val="bottom"/>
            <w:hideMark/>
          </w:tcPr>
          <w:p w14:paraId="23617039"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2.80%</w:t>
            </w:r>
          </w:p>
        </w:tc>
        <w:tc>
          <w:tcPr>
            <w:tcW w:w="875" w:type="dxa"/>
            <w:shd w:val="clear" w:color="auto" w:fill="auto"/>
            <w:noWrap/>
            <w:vAlign w:val="bottom"/>
            <w:hideMark/>
          </w:tcPr>
          <w:p w14:paraId="6C1AFF6A"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2.68%</w:t>
            </w:r>
          </w:p>
        </w:tc>
        <w:tc>
          <w:tcPr>
            <w:tcW w:w="1252" w:type="dxa"/>
            <w:shd w:val="clear" w:color="auto" w:fill="auto"/>
            <w:noWrap/>
            <w:vAlign w:val="bottom"/>
            <w:hideMark/>
          </w:tcPr>
          <w:p w14:paraId="62C57500"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0.33%</w:t>
            </w:r>
          </w:p>
        </w:tc>
        <w:tc>
          <w:tcPr>
            <w:tcW w:w="992" w:type="dxa"/>
            <w:shd w:val="clear" w:color="auto" w:fill="auto"/>
            <w:noWrap/>
            <w:vAlign w:val="bottom"/>
            <w:hideMark/>
          </w:tcPr>
          <w:p w14:paraId="4C2665A1"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1.13%</w:t>
            </w:r>
          </w:p>
        </w:tc>
        <w:tc>
          <w:tcPr>
            <w:tcW w:w="1134" w:type="dxa"/>
            <w:shd w:val="clear" w:color="auto" w:fill="auto"/>
            <w:noWrap/>
            <w:vAlign w:val="bottom"/>
            <w:hideMark/>
          </w:tcPr>
          <w:p w14:paraId="7815A927"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1.51%</w:t>
            </w:r>
          </w:p>
        </w:tc>
        <w:tc>
          <w:tcPr>
            <w:tcW w:w="895" w:type="dxa"/>
            <w:shd w:val="clear" w:color="auto" w:fill="auto"/>
            <w:noWrap/>
            <w:vAlign w:val="bottom"/>
            <w:hideMark/>
          </w:tcPr>
          <w:p w14:paraId="72072AEF"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2.10%</w:t>
            </w:r>
          </w:p>
        </w:tc>
      </w:tr>
      <w:tr w:rsidR="009268D5" w:rsidRPr="009740E2" w14:paraId="786A5D2B" w14:textId="77777777" w:rsidTr="009740E2">
        <w:trPr>
          <w:trHeight w:val="89"/>
        </w:trPr>
        <w:tc>
          <w:tcPr>
            <w:tcW w:w="1129" w:type="dxa"/>
            <w:shd w:val="clear" w:color="auto" w:fill="auto"/>
            <w:noWrap/>
            <w:vAlign w:val="bottom"/>
            <w:hideMark/>
          </w:tcPr>
          <w:p w14:paraId="630CFE4E" w14:textId="77777777" w:rsidR="00CA7BD1" w:rsidRPr="009740E2" w:rsidRDefault="00CA7BD1" w:rsidP="00CA7BD1">
            <w:pPr>
              <w:spacing w:after="0" w:line="240" w:lineRule="auto"/>
              <w:rPr>
                <w:rFonts w:cs="Arial"/>
                <w:color w:val="000000"/>
                <w:szCs w:val="20"/>
              </w:rPr>
            </w:pPr>
            <w:r w:rsidRPr="009740E2">
              <w:rPr>
                <w:rFonts w:cs="Arial"/>
                <w:color w:val="000000"/>
                <w:szCs w:val="20"/>
              </w:rPr>
              <w:t>2019</w:t>
            </w:r>
          </w:p>
        </w:tc>
        <w:tc>
          <w:tcPr>
            <w:tcW w:w="1276" w:type="dxa"/>
            <w:shd w:val="clear" w:color="auto" w:fill="auto"/>
            <w:noWrap/>
            <w:vAlign w:val="bottom"/>
            <w:hideMark/>
          </w:tcPr>
          <w:p w14:paraId="0484DE57"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0.74%</w:t>
            </w:r>
          </w:p>
        </w:tc>
        <w:tc>
          <w:tcPr>
            <w:tcW w:w="992" w:type="dxa"/>
            <w:shd w:val="clear" w:color="auto" w:fill="auto"/>
            <w:noWrap/>
            <w:vAlign w:val="bottom"/>
            <w:hideMark/>
          </w:tcPr>
          <w:p w14:paraId="78526793"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2.86%</w:t>
            </w:r>
          </w:p>
        </w:tc>
        <w:tc>
          <w:tcPr>
            <w:tcW w:w="875" w:type="dxa"/>
            <w:shd w:val="clear" w:color="auto" w:fill="auto"/>
            <w:noWrap/>
            <w:vAlign w:val="bottom"/>
            <w:hideMark/>
          </w:tcPr>
          <w:p w14:paraId="0C5C668B"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2.63%</w:t>
            </w:r>
          </w:p>
        </w:tc>
        <w:tc>
          <w:tcPr>
            <w:tcW w:w="1252" w:type="dxa"/>
            <w:shd w:val="clear" w:color="auto" w:fill="auto"/>
            <w:noWrap/>
            <w:vAlign w:val="bottom"/>
            <w:hideMark/>
          </w:tcPr>
          <w:p w14:paraId="4FD6AAF3"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0.28%</w:t>
            </w:r>
          </w:p>
        </w:tc>
        <w:tc>
          <w:tcPr>
            <w:tcW w:w="992" w:type="dxa"/>
            <w:shd w:val="clear" w:color="auto" w:fill="auto"/>
            <w:noWrap/>
            <w:vAlign w:val="bottom"/>
            <w:hideMark/>
          </w:tcPr>
          <w:p w14:paraId="79691EEA"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0.84%</w:t>
            </w:r>
          </w:p>
        </w:tc>
        <w:tc>
          <w:tcPr>
            <w:tcW w:w="1134" w:type="dxa"/>
            <w:shd w:val="clear" w:color="auto" w:fill="auto"/>
            <w:noWrap/>
            <w:vAlign w:val="bottom"/>
            <w:hideMark/>
          </w:tcPr>
          <w:p w14:paraId="50D3F3C3"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1.50%</w:t>
            </w:r>
          </w:p>
        </w:tc>
        <w:tc>
          <w:tcPr>
            <w:tcW w:w="895" w:type="dxa"/>
            <w:shd w:val="clear" w:color="auto" w:fill="auto"/>
            <w:noWrap/>
            <w:vAlign w:val="bottom"/>
            <w:hideMark/>
          </w:tcPr>
          <w:p w14:paraId="6E3B6A4F"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1.60%</w:t>
            </w:r>
          </w:p>
        </w:tc>
      </w:tr>
      <w:tr w:rsidR="009268D5" w:rsidRPr="009740E2" w14:paraId="54021990" w14:textId="77777777" w:rsidTr="009740E2">
        <w:trPr>
          <w:trHeight w:val="89"/>
        </w:trPr>
        <w:tc>
          <w:tcPr>
            <w:tcW w:w="1129" w:type="dxa"/>
            <w:shd w:val="clear" w:color="auto" w:fill="auto"/>
            <w:noWrap/>
            <w:vAlign w:val="bottom"/>
            <w:hideMark/>
          </w:tcPr>
          <w:p w14:paraId="23854038" w14:textId="77777777" w:rsidR="00CA7BD1" w:rsidRPr="009740E2" w:rsidRDefault="00CA7BD1" w:rsidP="00CA7BD1">
            <w:pPr>
              <w:spacing w:after="0" w:line="240" w:lineRule="auto"/>
              <w:rPr>
                <w:rFonts w:cs="Arial"/>
                <w:color w:val="000000"/>
                <w:szCs w:val="20"/>
              </w:rPr>
            </w:pPr>
            <w:r w:rsidRPr="009740E2">
              <w:rPr>
                <w:rFonts w:cs="Arial"/>
                <w:color w:val="000000"/>
                <w:szCs w:val="20"/>
              </w:rPr>
              <w:t>2020</w:t>
            </w:r>
          </w:p>
        </w:tc>
        <w:tc>
          <w:tcPr>
            <w:tcW w:w="1276" w:type="dxa"/>
            <w:shd w:val="clear" w:color="auto" w:fill="auto"/>
            <w:noWrap/>
            <w:vAlign w:val="bottom"/>
            <w:hideMark/>
          </w:tcPr>
          <w:p w14:paraId="49FD7916"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0.70%</w:t>
            </w:r>
          </w:p>
        </w:tc>
        <w:tc>
          <w:tcPr>
            <w:tcW w:w="992" w:type="dxa"/>
            <w:shd w:val="clear" w:color="auto" w:fill="auto"/>
            <w:noWrap/>
            <w:vAlign w:val="bottom"/>
            <w:hideMark/>
          </w:tcPr>
          <w:p w14:paraId="1C1B2B8B"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2.39%</w:t>
            </w:r>
          </w:p>
        </w:tc>
        <w:tc>
          <w:tcPr>
            <w:tcW w:w="875" w:type="dxa"/>
            <w:shd w:val="clear" w:color="auto" w:fill="auto"/>
            <w:noWrap/>
            <w:vAlign w:val="bottom"/>
            <w:hideMark/>
          </w:tcPr>
          <w:p w14:paraId="59623236"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2.05%</w:t>
            </w:r>
          </w:p>
        </w:tc>
        <w:tc>
          <w:tcPr>
            <w:tcW w:w="1252" w:type="dxa"/>
            <w:shd w:val="clear" w:color="auto" w:fill="auto"/>
            <w:noWrap/>
            <w:vAlign w:val="bottom"/>
            <w:hideMark/>
          </w:tcPr>
          <w:p w14:paraId="272D1CBB"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0.54%</w:t>
            </w:r>
          </w:p>
        </w:tc>
        <w:tc>
          <w:tcPr>
            <w:tcW w:w="992" w:type="dxa"/>
            <w:shd w:val="clear" w:color="auto" w:fill="auto"/>
            <w:noWrap/>
            <w:vAlign w:val="bottom"/>
            <w:hideMark/>
          </w:tcPr>
          <w:p w14:paraId="08B406FB"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0.91%</w:t>
            </w:r>
          </w:p>
        </w:tc>
        <w:tc>
          <w:tcPr>
            <w:tcW w:w="1134" w:type="dxa"/>
            <w:shd w:val="clear" w:color="auto" w:fill="auto"/>
            <w:noWrap/>
            <w:vAlign w:val="bottom"/>
            <w:hideMark/>
          </w:tcPr>
          <w:p w14:paraId="7D7C84E0"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1.24%</w:t>
            </w:r>
          </w:p>
        </w:tc>
        <w:tc>
          <w:tcPr>
            <w:tcW w:w="895" w:type="dxa"/>
            <w:shd w:val="clear" w:color="auto" w:fill="auto"/>
            <w:noWrap/>
            <w:vAlign w:val="bottom"/>
            <w:hideMark/>
          </w:tcPr>
          <w:p w14:paraId="2D028055"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-0.30%</w:t>
            </w:r>
          </w:p>
        </w:tc>
      </w:tr>
      <w:tr w:rsidR="009268D5" w:rsidRPr="009740E2" w14:paraId="4E3E3DFA" w14:textId="77777777" w:rsidTr="009740E2">
        <w:trPr>
          <w:trHeight w:val="89"/>
        </w:trPr>
        <w:tc>
          <w:tcPr>
            <w:tcW w:w="1129" w:type="dxa"/>
            <w:shd w:val="clear" w:color="auto" w:fill="auto"/>
            <w:noWrap/>
            <w:vAlign w:val="bottom"/>
            <w:hideMark/>
          </w:tcPr>
          <w:p w14:paraId="6F9B9D99" w14:textId="77777777" w:rsidR="00CA7BD1" w:rsidRPr="009740E2" w:rsidRDefault="00CA7BD1" w:rsidP="00CA7BD1">
            <w:pPr>
              <w:spacing w:after="0" w:line="240" w:lineRule="auto"/>
              <w:rPr>
                <w:rFonts w:cs="Arial"/>
                <w:color w:val="000000"/>
                <w:szCs w:val="20"/>
              </w:rPr>
            </w:pPr>
            <w:r w:rsidRPr="009740E2">
              <w:rPr>
                <w:rFonts w:cs="Arial"/>
                <w:color w:val="000000"/>
                <w:szCs w:val="20"/>
              </w:rPr>
              <w:t>2021</w:t>
            </w:r>
          </w:p>
        </w:tc>
        <w:tc>
          <w:tcPr>
            <w:tcW w:w="1276" w:type="dxa"/>
            <w:shd w:val="clear" w:color="auto" w:fill="auto"/>
            <w:noWrap/>
            <w:vAlign w:val="bottom"/>
            <w:hideMark/>
          </w:tcPr>
          <w:p w14:paraId="3FF9F330"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0.59%</w:t>
            </w:r>
          </w:p>
        </w:tc>
        <w:tc>
          <w:tcPr>
            <w:tcW w:w="992" w:type="dxa"/>
            <w:shd w:val="clear" w:color="auto" w:fill="auto"/>
            <w:noWrap/>
            <w:vAlign w:val="bottom"/>
            <w:hideMark/>
          </w:tcPr>
          <w:p w14:paraId="72F354F9"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2.16%</w:t>
            </w:r>
          </w:p>
        </w:tc>
        <w:tc>
          <w:tcPr>
            <w:tcW w:w="875" w:type="dxa"/>
            <w:shd w:val="clear" w:color="auto" w:fill="auto"/>
            <w:noWrap/>
            <w:vAlign w:val="bottom"/>
            <w:hideMark/>
          </w:tcPr>
          <w:p w14:paraId="7C0FBACE"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0.53%</w:t>
            </w:r>
          </w:p>
        </w:tc>
        <w:tc>
          <w:tcPr>
            <w:tcW w:w="1252" w:type="dxa"/>
            <w:shd w:val="clear" w:color="auto" w:fill="auto"/>
            <w:noWrap/>
            <w:vAlign w:val="bottom"/>
            <w:hideMark/>
          </w:tcPr>
          <w:p w14:paraId="027E75D6"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0.14%</w:t>
            </w:r>
          </w:p>
        </w:tc>
        <w:tc>
          <w:tcPr>
            <w:tcW w:w="992" w:type="dxa"/>
            <w:shd w:val="clear" w:color="auto" w:fill="auto"/>
            <w:noWrap/>
            <w:vAlign w:val="bottom"/>
            <w:hideMark/>
          </w:tcPr>
          <w:p w14:paraId="487B561A"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0.02%</w:t>
            </w:r>
          </w:p>
        </w:tc>
        <w:tc>
          <w:tcPr>
            <w:tcW w:w="1134" w:type="dxa"/>
            <w:shd w:val="clear" w:color="auto" w:fill="auto"/>
            <w:noWrap/>
            <w:vAlign w:val="bottom"/>
            <w:hideMark/>
          </w:tcPr>
          <w:p w14:paraId="3EA3089A"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0.13%</w:t>
            </w:r>
          </w:p>
        </w:tc>
        <w:tc>
          <w:tcPr>
            <w:tcW w:w="895" w:type="dxa"/>
            <w:shd w:val="clear" w:color="auto" w:fill="auto"/>
            <w:noWrap/>
            <w:vAlign w:val="bottom"/>
            <w:hideMark/>
          </w:tcPr>
          <w:p w14:paraId="0F8DCEAB" w14:textId="77777777" w:rsidR="00CA7BD1" w:rsidRPr="009740E2" w:rsidRDefault="00CA7BD1" w:rsidP="006A0FEF">
            <w:pPr>
              <w:spacing w:after="0" w:line="240" w:lineRule="auto"/>
              <w:jc w:val="right"/>
              <w:rPr>
                <w:rFonts w:cs="Arial"/>
                <w:color w:val="000000"/>
                <w:szCs w:val="20"/>
              </w:rPr>
            </w:pPr>
            <w:r w:rsidRPr="009740E2">
              <w:rPr>
                <w:rFonts w:cs="Arial"/>
                <w:color w:val="000000"/>
                <w:szCs w:val="20"/>
              </w:rPr>
              <w:t>3.80%</w:t>
            </w:r>
          </w:p>
        </w:tc>
      </w:tr>
      <w:tr w:rsidR="009268D5" w:rsidRPr="009740E2" w14:paraId="54F19734" w14:textId="77777777" w:rsidTr="009740E2">
        <w:trPr>
          <w:trHeight w:val="89"/>
        </w:trPr>
        <w:tc>
          <w:tcPr>
            <w:tcW w:w="1129" w:type="dxa"/>
            <w:shd w:val="clear" w:color="auto" w:fill="auto"/>
            <w:noWrap/>
            <w:vAlign w:val="bottom"/>
            <w:hideMark/>
          </w:tcPr>
          <w:p w14:paraId="31518E78" w14:textId="77777777" w:rsidR="00CA7BD1" w:rsidRPr="009740E2" w:rsidRDefault="00CA7BD1" w:rsidP="006A0FEF">
            <w:pPr>
              <w:spacing w:after="0" w:line="240" w:lineRule="auto"/>
              <w:rPr>
                <w:rFonts w:cs="Arial"/>
                <w:b/>
                <w:bCs/>
                <w:color w:val="000000"/>
                <w:szCs w:val="20"/>
              </w:rPr>
            </w:pPr>
            <w:r w:rsidRPr="009740E2">
              <w:rPr>
                <w:rFonts w:cs="Arial"/>
                <w:b/>
                <w:bCs/>
                <w:color w:val="000000"/>
                <w:szCs w:val="20"/>
              </w:rPr>
              <w:t>Average</w:t>
            </w:r>
          </w:p>
        </w:tc>
        <w:tc>
          <w:tcPr>
            <w:tcW w:w="1276" w:type="dxa"/>
            <w:shd w:val="clear" w:color="auto" w:fill="auto"/>
            <w:noWrap/>
            <w:vAlign w:val="bottom"/>
            <w:hideMark/>
          </w:tcPr>
          <w:p w14:paraId="20D3576E" w14:textId="77777777" w:rsidR="00CA7BD1" w:rsidRPr="009740E2" w:rsidRDefault="00CA7BD1" w:rsidP="006A0FEF">
            <w:pPr>
              <w:spacing w:after="0" w:line="240" w:lineRule="auto"/>
              <w:jc w:val="right"/>
              <w:rPr>
                <w:rFonts w:cs="Arial"/>
                <w:b/>
                <w:bCs/>
                <w:color w:val="000000"/>
                <w:szCs w:val="20"/>
              </w:rPr>
            </w:pPr>
            <w:r w:rsidRPr="009740E2">
              <w:rPr>
                <w:rFonts w:cs="Arial"/>
                <w:b/>
                <w:bCs/>
                <w:color w:val="000000"/>
                <w:szCs w:val="20"/>
              </w:rPr>
              <w:t>0.80%</w:t>
            </w:r>
          </w:p>
        </w:tc>
        <w:tc>
          <w:tcPr>
            <w:tcW w:w="992" w:type="dxa"/>
            <w:shd w:val="clear" w:color="auto" w:fill="auto"/>
            <w:noWrap/>
            <w:vAlign w:val="bottom"/>
            <w:hideMark/>
          </w:tcPr>
          <w:p w14:paraId="66CDD586" w14:textId="77777777" w:rsidR="00CA7BD1" w:rsidRPr="009740E2" w:rsidRDefault="00CA7BD1" w:rsidP="006A0FEF">
            <w:pPr>
              <w:spacing w:after="0" w:line="240" w:lineRule="auto"/>
              <w:jc w:val="right"/>
              <w:rPr>
                <w:rFonts w:cs="Arial"/>
                <w:b/>
                <w:bCs/>
                <w:color w:val="000000"/>
                <w:szCs w:val="20"/>
              </w:rPr>
            </w:pPr>
            <w:r w:rsidRPr="009740E2">
              <w:rPr>
                <w:rFonts w:cs="Arial"/>
                <w:b/>
                <w:bCs/>
                <w:color w:val="000000"/>
                <w:szCs w:val="20"/>
              </w:rPr>
              <w:t>1.87%</w:t>
            </w:r>
          </w:p>
        </w:tc>
        <w:tc>
          <w:tcPr>
            <w:tcW w:w="875" w:type="dxa"/>
            <w:shd w:val="clear" w:color="auto" w:fill="auto"/>
            <w:noWrap/>
            <w:vAlign w:val="bottom"/>
            <w:hideMark/>
          </w:tcPr>
          <w:p w14:paraId="01856939" w14:textId="77777777" w:rsidR="00CA7BD1" w:rsidRPr="009740E2" w:rsidRDefault="00CA7BD1" w:rsidP="006A0FEF">
            <w:pPr>
              <w:spacing w:after="0" w:line="240" w:lineRule="auto"/>
              <w:jc w:val="right"/>
              <w:rPr>
                <w:rFonts w:cs="Arial"/>
                <w:b/>
                <w:bCs/>
                <w:color w:val="000000"/>
                <w:szCs w:val="20"/>
              </w:rPr>
            </w:pPr>
            <w:r w:rsidRPr="009740E2">
              <w:rPr>
                <w:rFonts w:cs="Arial"/>
                <w:b/>
                <w:bCs/>
                <w:color w:val="000000"/>
                <w:szCs w:val="20"/>
              </w:rPr>
              <w:t>1.19%</w:t>
            </w:r>
          </w:p>
        </w:tc>
        <w:tc>
          <w:tcPr>
            <w:tcW w:w="1252" w:type="dxa"/>
            <w:shd w:val="clear" w:color="auto" w:fill="auto"/>
            <w:noWrap/>
            <w:vAlign w:val="bottom"/>
            <w:hideMark/>
          </w:tcPr>
          <w:p w14:paraId="762266A0" w14:textId="77777777" w:rsidR="00CA7BD1" w:rsidRPr="009740E2" w:rsidRDefault="00CA7BD1" w:rsidP="006A0FEF">
            <w:pPr>
              <w:spacing w:after="0" w:line="240" w:lineRule="auto"/>
              <w:jc w:val="right"/>
              <w:rPr>
                <w:rFonts w:cs="Arial"/>
                <w:b/>
                <w:bCs/>
                <w:color w:val="000000"/>
                <w:szCs w:val="20"/>
              </w:rPr>
            </w:pPr>
            <w:r w:rsidRPr="009740E2">
              <w:rPr>
                <w:rFonts w:cs="Arial"/>
                <w:b/>
                <w:bCs/>
                <w:color w:val="000000"/>
                <w:szCs w:val="20"/>
              </w:rPr>
              <w:t>1.65%</w:t>
            </w:r>
          </w:p>
        </w:tc>
        <w:tc>
          <w:tcPr>
            <w:tcW w:w="992" w:type="dxa"/>
            <w:shd w:val="clear" w:color="auto" w:fill="auto"/>
            <w:noWrap/>
            <w:vAlign w:val="bottom"/>
            <w:hideMark/>
          </w:tcPr>
          <w:p w14:paraId="20C80DCD" w14:textId="77777777" w:rsidR="00CA7BD1" w:rsidRPr="009740E2" w:rsidRDefault="00CA7BD1" w:rsidP="006A0FEF">
            <w:pPr>
              <w:spacing w:after="0" w:line="240" w:lineRule="auto"/>
              <w:jc w:val="right"/>
              <w:rPr>
                <w:rFonts w:cs="Arial"/>
                <w:b/>
                <w:bCs/>
                <w:color w:val="000000"/>
                <w:szCs w:val="20"/>
              </w:rPr>
            </w:pPr>
            <w:r w:rsidRPr="009740E2">
              <w:rPr>
                <w:rFonts w:cs="Arial"/>
                <w:b/>
                <w:bCs/>
                <w:color w:val="000000"/>
                <w:szCs w:val="20"/>
              </w:rPr>
              <w:t>1.97%</w:t>
            </w:r>
          </w:p>
        </w:tc>
        <w:tc>
          <w:tcPr>
            <w:tcW w:w="1134" w:type="dxa"/>
            <w:shd w:val="clear" w:color="auto" w:fill="auto"/>
            <w:noWrap/>
            <w:vAlign w:val="bottom"/>
            <w:hideMark/>
          </w:tcPr>
          <w:p w14:paraId="35C63249" w14:textId="77777777" w:rsidR="00CA7BD1" w:rsidRPr="009740E2" w:rsidRDefault="00CA7BD1" w:rsidP="006A0FEF">
            <w:pPr>
              <w:spacing w:after="0" w:line="240" w:lineRule="auto"/>
              <w:jc w:val="right"/>
              <w:rPr>
                <w:rFonts w:cs="Arial"/>
                <w:b/>
                <w:bCs/>
                <w:color w:val="000000"/>
                <w:szCs w:val="20"/>
              </w:rPr>
            </w:pPr>
            <w:r w:rsidRPr="009740E2">
              <w:rPr>
                <w:rFonts w:cs="Arial"/>
                <w:b/>
                <w:bCs/>
                <w:color w:val="000000"/>
                <w:szCs w:val="20"/>
              </w:rPr>
              <w:t>1.45%</w:t>
            </w:r>
          </w:p>
        </w:tc>
        <w:tc>
          <w:tcPr>
            <w:tcW w:w="895" w:type="dxa"/>
            <w:shd w:val="clear" w:color="auto" w:fill="auto"/>
            <w:noWrap/>
            <w:vAlign w:val="bottom"/>
            <w:hideMark/>
          </w:tcPr>
          <w:p w14:paraId="0F83F8EF" w14:textId="77777777" w:rsidR="00CA7BD1" w:rsidRPr="009740E2" w:rsidRDefault="00CA7BD1" w:rsidP="006A0FEF">
            <w:pPr>
              <w:spacing w:after="0" w:line="240" w:lineRule="auto"/>
              <w:jc w:val="right"/>
              <w:rPr>
                <w:rFonts w:cs="Arial"/>
                <w:b/>
                <w:bCs/>
                <w:color w:val="000000"/>
                <w:szCs w:val="20"/>
              </w:rPr>
            </w:pPr>
            <w:r w:rsidRPr="009740E2">
              <w:rPr>
                <w:rFonts w:cs="Arial"/>
                <w:b/>
                <w:bCs/>
                <w:color w:val="000000"/>
                <w:szCs w:val="20"/>
              </w:rPr>
              <w:t>2.36%</w:t>
            </w:r>
          </w:p>
        </w:tc>
      </w:tr>
    </w:tbl>
    <w:p w14:paraId="5200E5BF" w14:textId="77777777" w:rsidR="009740E2" w:rsidRDefault="009740E2" w:rsidP="000A413A">
      <w:pPr>
        <w:rPr>
          <w:rFonts w:cs="Arial"/>
          <w:szCs w:val="20"/>
        </w:rPr>
      </w:pPr>
    </w:p>
    <w:p w14:paraId="295B29A9" w14:textId="7835E8E2" w:rsidR="00BA2CD1" w:rsidRPr="000A413A" w:rsidRDefault="00773EFD" w:rsidP="006A0FEF">
      <w:pPr>
        <w:keepNext/>
        <w:keepLines/>
        <w:rPr>
          <w:rFonts w:cs="Arial"/>
          <w:szCs w:val="20"/>
        </w:rPr>
      </w:pPr>
      <w:r>
        <w:rPr>
          <w:rFonts w:cs="Arial"/>
          <w:szCs w:val="20"/>
        </w:rPr>
        <w:lastRenderedPageBreak/>
        <w:t xml:space="preserve">In some particularly </w:t>
      </w:r>
      <w:r w:rsidR="007B2E8A">
        <w:rPr>
          <w:rFonts w:cs="Arial"/>
          <w:szCs w:val="20"/>
        </w:rPr>
        <w:t>fast-growing</w:t>
      </w:r>
      <w:r>
        <w:rPr>
          <w:rFonts w:cs="Arial"/>
          <w:szCs w:val="20"/>
        </w:rPr>
        <w:t xml:space="preserve"> </w:t>
      </w:r>
      <w:r w:rsidR="00DE5D3E">
        <w:rPr>
          <w:rFonts w:cs="Arial"/>
          <w:szCs w:val="20"/>
        </w:rPr>
        <w:t>HPON</w:t>
      </w:r>
      <w:r w:rsidR="00B02336">
        <w:rPr>
          <w:rFonts w:cs="Arial"/>
          <w:szCs w:val="20"/>
        </w:rPr>
        <w:t xml:space="preserve"> areas</w:t>
      </w:r>
      <w:r>
        <w:rPr>
          <w:rFonts w:cs="Arial"/>
          <w:szCs w:val="20"/>
        </w:rPr>
        <w:t xml:space="preserve"> </w:t>
      </w:r>
      <w:r w:rsidR="00B6254A">
        <w:rPr>
          <w:rFonts w:cs="Arial"/>
          <w:szCs w:val="20"/>
        </w:rPr>
        <w:t xml:space="preserve">like </w:t>
      </w:r>
      <w:r w:rsidR="00F711E7">
        <w:rPr>
          <w:rFonts w:cs="Arial"/>
          <w:szCs w:val="20"/>
        </w:rPr>
        <w:t>the</w:t>
      </w:r>
      <w:r w:rsidR="00C22A71">
        <w:rPr>
          <w:rFonts w:cs="Arial"/>
          <w:szCs w:val="20"/>
        </w:rPr>
        <w:t xml:space="preserve"> Sunshine </w:t>
      </w:r>
      <w:r w:rsidR="007D39F7">
        <w:rPr>
          <w:rFonts w:cs="Arial"/>
          <w:szCs w:val="20"/>
        </w:rPr>
        <w:t>C</w:t>
      </w:r>
      <w:r w:rsidR="00C22A71">
        <w:rPr>
          <w:rFonts w:cs="Arial"/>
          <w:szCs w:val="20"/>
        </w:rPr>
        <w:t>oast – Tweed Heads or the</w:t>
      </w:r>
      <w:r w:rsidR="00F711E7">
        <w:rPr>
          <w:rFonts w:cs="Arial"/>
          <w:szCs w:val="20"/>
        </w:rPr>
        <w:t xml:space="preserve"> Gold Coast</w:t>
      </w:r>
      <w:r w:rsidR="006127CB">
        <w:rPr>
          <w:rFonts w:cs="Arial"/>
          <w:szCs w:val="20"/>
        </w:rPr>
        <w:t xml:space="preserve">, population growth </w:t>
      </w:r>
      <w:r w:rsidR="00115DDD">
        <w:rPr>
          <w:rFonts w:cs="Arial"/>
          <w:szCs w:val="20"/>
        </w:rPr>
        <w:t>has</w:t>
      </w:r>
      <w:r w:rsidR="00323733">
        <w:rPr>
          <w:rFonts w:cs="Arial"/>
          <w:szCs w:val="20"/>
        </w:rPr>
        <w:t xml:space="preserve"> narrowly</w:t>
      </w:r>
      <w:r w:rsidR="00115DDD">
        <w:rPr>
          <w:rFonts w:cs="Arial"/>
          <w:szCs w:val="20"/>
        </w:rPr>
        <w:t xml:space="preserve"> </w:t>
      </w:r>
      <w:r w:rsidR="00323733">
        <w:rPr>
          <w:rFonts w:cs="Arial"/>
          <w:szCs w:val="20"/>
        </w:rPr>
        <w:t>outpaced</w:t>
      </w:r>
      <w:r w:rsidR="00540E1C">
        <w:rPr>
          <w:rFonts w:cs="Arial"/>
          <w:szCs w:val="20"/>
        </w:rPr>
        <w:t xml:space="preserve"> </w:t>
      </w:r>
      <w:r w:rsidR="003A6C4F">
        <w:rPr>
          <w:rFonts w:cs="Arial"/>
          <w:szCs w:val="20"/>
        </w:rPr>
        <w:t>CPI</w:t>
      </w:r>
      <w:r w:rsidR="00CB765F">
        <w:rPr>
          <w:rFonts w:cs="Arial"/>
          <w:szCs w:val="20"/>
        </w:rPr>
        <w:t xml:space="preserve"> on average</w:t>
      </w:r>
      <w:r w:rsidR="004324E5">
        <w:rPr>
          <w:rFonts w:cs="Arial"/>
          <w:szCs w:val="20"/>
        </w:rPr>
        <w:t>.</w:t>
      </w:r>
      <w:r w:rsidR="000A5683">
        <w:rPr>
          <w:rFonts w:cs="Arial"/>
          <w:szCs w:val="20"/>
        </w:rPr>
        <w:t xml:space="preserve"> </w:t>
      </w:r>
      <w:r w:rsidR="00BC73B5">
        <w:rPr>
          <w:rFonts w:cs="Arial"/>
          <w:szCs w:val="20"/>
        </w:rPr>
        <w:t>As an example,</w:t>
      </w:r>
      <w:r w:rsidR="00020FC0">
        <w:rPr>
          <w:rFonts w:cs="Arial"/>
          <w:szCs w:val="20"/>
        </w:rPr>
        <w:t xml:space="preserve"> </w:t>
      </w:r>
      <w:r w:rsidR="00915036">
        <w:rPr>
          <w:rFonts w:cs="Arial"/>
          <w:szCs w:val="20"/>
        </w:rPr>
        <w:t>the</w:t>
      </w:r>
      <w:r w:rsidR="004C0BC2">
        <w:rPr>
          <w:rFonts w:cs="Arial"/>
          <w:szCs w:val="20"/>
        </w:rPr>
        <w:t xml:space="preserve"> Gold Coast</w:t>
      </w:r>
      <w:r w:rsidR="0054228E">
        <w:rPr>
          <w:rFonts w:cs="Arial"/>
          <w:szCs w:val="20"/>
        </w:rPr>
        <w:t>’s</w:t>
      </w:r>
      <w:r w:rsidR="00915036">
        <w:rPr>
          <w:rFonts w:cs="Arial"/>
          <w:szCs w:val="20"/>
        </w:rPr>
        <w:t xml:space="preserve"> licence tax normalisation factor would increase </w:t>
      </w:r>
      <w:r w:rsidR="00DF3B6F">
        <w:rPr>
          <w:rFonts w:cs="Arial"/>
          <w:szCs w:val="20"/>
        </w:rPr>
        <w:t>by</w:t>
      </w:r>
      <w:r w:rsidR="009F4536">
        <w:rPr>
          <w:rFonts w:cs="Arial"/>
          <w:szCs w:val="20"/>
        </w:rPr>
        <w:t xml:space="preserve"> </w:t>
      </w:r>
      <w:r w:rsidR="00A26321" w:rsidRPr="00A26321">
        <w:rPr>
          <w:rFonts w:cs="Arial"/>
          <w:szCs w:val="20"/>
        </w:rPr>
        <w:t>2.</w:t>
      </w:r>
      <w:r w:rsidR="00B81D6C">
        <w:rPr>
          <w:rFonts w:cs="Arial"/>
          <w:szCs w:val="20"/>
        </w:rPr>
        <w:t>59</w:t>
      </w:r>
      <w:r w:rsidR="00A26321" w:rsidRPr="00A26321">
        <w:rPr>
          <w:rFonts w:cs="Arial"/>
          <w:szCs w:val="20"/>
        </w:rPr>
        <w:t>%</w:t>
      </w:r>
      <w:r w:rsidR="00A26321">
        <w:rPr>
          <w:rFonts w:cs="Arial"/>
          <w:szCs w:val="20"/>
        </w:rPr>
        <w:t xml:space="preserve"> on average</w:t>
      </w:r>
      <w:r w:rsidR="00CB57C9">
        <w:rPr>
          <w:rFonts w:cs="Arial"/>
          <w:szCs w:val="20"/>
        </w:rPr>
        <w:t>,</w:t>
      </w:r>
      <w:r w:rsidR="00A26321">
        <w:rPr>
          <w:rFonts w:cs="Arial"/>
          <w:szCs w:val="20"/>
        </w:rPr>
        <w:t xml:space="preserve"> compared to </w:t>
      </w:r>
      <w:r w:rsidR="009F2B73">
        <w:rPr>
          <w:rFonts w:cs="Arial"/>
          <w:szCs w:val="20"/>
        </w:rPr>
        <w:t>2.36</w:t>
      </w:r>
      <w:r w:rsidR="008027F0" w:rsidRPr="008027F0">
        <w:rPr>
          <w:rFonts w:cs="Arial"/>
          <w:szCs w:val="20"/>
        </w:rPr>
        <w:t>%</w:t>
      </w:r>
      <w:r w:rsidR="00494989">
        <w:rPr>
          <w:rFonts w:cs="Arial"/>
          <w:szCs w:val="20"/>
        </w:rPr>
        <w:t xml:space="preserve"> </w:t>
      </w:r>
      <w:r w:rsidR="00CB57C9">
        <w:rPr>
          <w:rFonts w:cs="Arial"/>
          <w:szCs w:val="20"/>
        </w:rPr>
        <w:t xml:space="preserve">using the </w:t>
      </w:r>
      <w:r w:rsidR="00494989">
        <w:rPr>
          <w:rFonts w:cs="Arial"/>
          <w:szCs w:val="20"/>
        </w:rPr>
        <w:t>CPI method</w:t>
      </w:r>
      <w:r w:rsidR="00FF6EAE">
        <w:rPr>
          <w:rFonts w:cs="Arial"/>
          <w:szCs w:val="20"/>
        </w:rPr>
        <w:t xml:space="preserve"> on average</w:t>
      </w:r>
      <w:r w:rsidR="000F34FC">
        <w:rPr>
          <w:rFonts w:cs="Arial"/>
          <w:szCs w:val="20"/>
        </w:rPr>
        <w:t xml:space="preserve"> (</w:t>
      </w:r>
      <w:r w:rsidR="002C7C4B">
        <w:rPr>
          <w:rFonts w:cs="Arial"/>
          <w:szCs w:val="20"/>
        </w:rPr>
        <w:t xml:space="preserve">a </w:t>
      </w:r>
      <w:r w:rsidR="00E42EA2" w:rsidRPr="00E42EA2">
        <w:rPr>
          <w:rFonts w:cs="Arial"/>
          <w:szCs w:val="20"/>
        </w:rPr>
        <w:t>0.</w:t>
      </w:r>
      <w:r w:rsidR="009F2B73">
        <w:rPr>
          <w:rFonts w:cs="Arial"/>
          <w:szCs w:val="20"/>
        </w:rPr>
        <w:t>23</w:t>
      </w:r>
      <w:r w:rsidR="00E42EA2" w:rsidRPr="00E42EA2">
        <w:rPr>
          <w:rFonts w:cs="Arial"/>
          <w:szCs w:val="20"/>
        </w:rPr>
        <w:t>%</w:t>
      </w:r>
      <w:r w:rsidR="00E42EA2">
        <w:rPr>
          <w:rFonts w:cs="Arial"/>
          <w:szCs w:val="20"/>
        </w:rPr>
        <w:t xml:space="preserve"> difference)</w:t>
      </w:r>
      <w:r w:rsidR="002870F7">
        <w:rPr>
          <w:rFonts w:cs="Arial"/>
          <w:szCs w:val="20"/>
        </w:rPr>
        <w:t xml:space="preserve">. </w:t>
      </w:r>
      <w:r w:rsidR="001F18C3">
        <w:rPr>
          <w:rFonts w:cs="Arial"/>
          <w:szCs w:val="20"/>
        </w:rPr>
        <w:t>The vast majority of</w:t>
      </w:r>
      <w:r w:rsidR="004E468E">
        <w:rPr>
          <w:rFonts w:cs="Arial"/>
          <w:szCs w:val="20"/>
        </w:rPr>
        <w:t xml:space="preserve"> </w:t>
      </w:r>
      <w:r w:rsidR="00B06CAB">
        <w:rPr>
          <w:rFonts w:cs="Arial"/>
          <w:szCs w:val="20"/>
        </w:rPr>
        <w:t>HPONs</w:t>
      </w:r>
      <w:r w:rsidR="00CB57C9">
        <w:rPr>
          <w:rFonts w:cs="Arial"/>
          <w:szCs w:val="20"/>
        </w:rPr>
        <w:t>,</w:t>
      </w:r>
      <w:r w:rsidR="004E468E">
        <w:rPr>
          <w:rFonts w:cs="Arial"/>
          <w:szCs w:val="20"/>
        </w:rPr>
        <w:t xml:space="preserve"> however</w:t>
      </w:r>
      <w:r w:rsidR="00CB57C9">
        <w:rPr>
          <w:rFonts w:cs="Arial"/>
          <w:szCs w:val="20"/>
        </w:rPr>
        <w:t>,</w:t>
      </w:r>
      <w:r w:rsidR="004E468E">
        <w:rPr>
          <w:rFonts w:cs="Arial"/>
          <w:szCs w:val="20"/>
        </w:rPr>
        <w:t xml:space="preserve"> </w:t>
      </w:r>
      <w:r w:rsidR="00C10EC0">
        <w:rPr>
          <w:rFonts w:cs="Arial"/>
          <w:szCs w:val="20"/>
        </w:rPr>
        <w:t>receive smaller increases on average</w:t>
      </w:r>
      <w:r w:rsidR="00CB57C9">
        <w:rPr>
          <w:rFonts w:cs="Arial"/>
          <w:szCs w:val="20"/>
        </w:rPr>
        <w:t>,</w:t>
      </w:r>
      <w:r w:rsidR="00C10EC0">
        <w:rPr>
          <w:rFonts w:cs="Arial"/>
          <w:szCs w:val="20"/>
        </w:rPr>
        <w:t xml:space="preserve"> compared to</w:t>
      </w:r>
      <w:r w:rsidR="00BA2CD1">
        <w:rPr>
          <w:rFonts w:cs="Arial"/>
          <w:szCs w:val="20"/>
        </w:rPr>
        <w:t xml:space="preserve"> the</w:t>
      </w:r>
      <w:r w:rsidR="00C10EC0">
        <w:rPr>
          <w:rFonts w:cs="Arial"/>
          <w:szCs w:val="20"/>
        </w:rPr>
        <w:t xml:space="preserve"> CPI</w:t>
      </w:r>
      <w:r w:rsidR="00BA2CD1">
        <w:rPr>
          <w:rFonts w:cs="Arial"/>
          <w:szCs w:val="20"/>
        </w:rPr>
        <w:t xml:space="preserve"> method</w:t>
      </w:r>
      <w:r w:rsidR="00244D15">
        <w:rPr>
          <w:rFonts w:cs="Arial"/>
          <w:szCs w:val="20"/>
        </w:rPr>
        <w:t>.</w:t>
      </w:r>
    </w:p>
    <w:p w14:paraId="39DB025D" w14:textId="6ED217EB" w:rsidR="532998A2" w:rsidRDefault="00E842A0" w:rsidP="00112E33">
      <w:pPr>
        <w:pStyle w:val="Heading2"/>
      </w:pPr>
      <w:bookmarkStart w:id="9" w:name="_Toc130220331"/>
      <w:r>
        <w:t>Indicative future timing</w:t>
      </w:r>
      <w:bookmarkEnd w:id="9"/>
    </w:p>
    <w:p w14:paraId="036312BA" w14:textId="47340F3A" w:rsidR="00391EDD" w:rsidRDefault="00460C0C" w:rsidP="00837EE0">
      <w:r>
        <w:t xml:space="preserve">The </w:t>
      </w:r>
      <w:r w:rsidR="00697D06">
        <w:t>most recent</w:t>
      </w:r>
      <w:r>
        <w:t xml:space="preserve"> update to apparatus licence tax rates was in 2021</w:t>
      </w:r>
      <w:r w:rsidR="00CB57C9">
        <w:t>,</w:t>
      </w:r>
      <w:r>
        <w:t xml:space="preserve"> when rates were reduced by 0.3% based on changes to CPI for the annual period to June 202</w:t>
      </w:r>
      <w:r w:rsidR="003433DB">
        <w:t>0</w:t>
      </w:r>
      <w:r>
        <w:t>. The ACMA did not update apparatus licence tax rates in 2022 based on changes to CPI or geography-specific population</w:t>
      </w:r>
      <w:r w:rsidR="004958AC">
        <w:t>,</w:t>
      </w:r>
      <w:r>
        <w:t xml:space="preserve"> as</w:t>
      </w:r>
      <w:r w:rsidR="00837EE0">
        <w:t xml:space="preserve"> </w:t>
      </w:r>
      <w:r w:rsidR="006519F2">
        <w:t xml:space="preserve">we were consulting on </w:t>
      </w:r>
      <w:r w:rsidR="00837EE0">
        <w:t>the introduction of a new framework</w:t>
      </w:r>
      <w:r w:rsidR="00391EDD">
        <w:t>.</w:t>
      </w:r>
    </w:p>
    <w:p w14:paraId="3A4D3C4C" w14:textId="3338F7EB" w:rsidR="00837EE0" w:rsidRPr="00391EDD" w:rsidRDefault="004958AC" w:rsidP="00837EE0">
      <w:r>
        <w:t>We are</w:t>
      </w:r>
      <w:r w:rsidR="00FA4AB4">
        <w:t xml:space="preserve"> proposing </w:t>
      </w:r>
      <w:r w:rsidR="005E1D3D">
        <w:t xml:space="preserve">to update apparatus licence tax rates in 2023 using the </w:t>
      </w:r>
      <w:r w:rsidR="001C1E49">
        <w:t xml:space="preserve">proposed framework </w:t>
      </w:r>
      <w:r w:rsidR="005F5384">
        <w:t xml:space="preserve">based on changes to geography-specific population </w:t>
      </w:r>
      <w:r w:rsidR="004551C4">
        <w:t>for the first time.</w:t>
      </w:r>
      <w:r w:rsidR="000D6E62">
        <w:t xml:space="preserve"> </w:t>
      </w:r>
      <w:r w:rsidR="00837EE0">
        <w:t xml:space="preserve">The ABS dataset ‘Estimated resident population, Significant Urban </w:t>
      </w:r>
      <w:r w:rsidR="00837EE0">
        <w:rPr>
          <w:rFonts w:cs="Arial"/>
          <w:szCs w:val="20"/>
        </w:rPr>
        <w:t xml:space="preserve">Areas’ proposed to be used as the underlying basis for the framework to update apparatus licence tax rates is released on an annual basis. In previous years, it has generally been released around March or April. The next </w:t>
      </w:r>
      <w:r w:rsidR="008B53C3">
        <w:rPr>
          <w:rFonts w:cs="Arial"/>
          <w:szCs w:val="20"/>
        </w:rPr>
        <w:t>release is scheduled for 20 April 2023.</w:t>
      </w:r>
    </w:p>
    <w:p w14:paraId="7565A6EA" w14:textId="28DED690" w:rsidR="00E20027" w:rsidRDefault="008B53C3" w:rsidP="00837EE0">
      <w:pPr>
        <w:rPr>
          <w:rFonts w:cs="Arial"/>
          <w:szCs w:val="20"/>
        </w:rPr>
      </w:pPr>
      <w:r>
        <w:rPr>
          <w:rFonts w:cs="Arial"/>
          <w:szCs w:val="20"/>
        </w:rPr>
        <w:t xml:space="preserve">After the dataset is released each year, </w:t>
      </w:r>
      <w:r w:rsidR="004958AC">
        <w:rPr>
          <w:rFonts w:cs="Arial"/>
          <w:szCs w:val="20"/>
        </w:rPr>
        <w:t xml:space="preserve">we </w:t>
      </w:r>
      <w:r>
        <w:rPr>
          <w:rFonts w:cs="Arial"/>
          <w:szCs w:val="20"/>
        </w:rPr>
        <w:t xml:space="preserve">plan to </w:t>
      </w:r>
      <w:r w:rsidR="008F67C9">
        <w:rPr>
          <w:rFonts w:cs="Arial"/>
          <w:szCs w:val="20"/>
        </w:rPr>
        <w:t xml:space="preserve">undertake regular consultations about </w:t>
      </w:r>
      <w:r w:rsidR="00390789">
        <w:rPr>
          <w:rFonts w:cs="Arial"/>
          <w:szCs w:val="20"/>
        </w:rPr>
        <w:t>specific tax rate</w:t>
      </w:r>
      <w:r w:rsidR="008F67C9">
        <w:rPr>
          <w:rFonts w:cs="Arial"/>
          <w:szCs w:val="20"/>
        </w:rPr>
        <w:t xml:space="preserve"> updates</w:t>
      </w:r>
      <w:r w:rsidR="00390789">
        <w:rPr>
          <w:rFonts w:cs="Arial"/>
          <w:szCs w:val="20"/>
        </w:rPr>
        <w:t xml:space="preserve"> for each division and the inputs used to calculate these new rates.</w:t>
      </w:r>
      <w:r w:rsidR="006A3954">
        <w:rPr>
          <w:rFonts w:cs="Arial"/>
          <w:szCs w:val="20"/>
        </w:rPr>
        <w:t xml:space="preserve"> </w:t>
      </w:r>
    </w:p>
    <w:p w14:paraId="30D027F8" w14:textId="07DA28EF" w:rsidR="00E20027" w:rsidRDefault="00390789" w:rsidP="00837EE0">
      <w:pPr>
        <w:rPr>
          <w:rFonts w:cs="Arial"/>
          <w:szCs w:val="20"/>
        </w:rPr>
      </w:pPr>
      <w:r>
        <w:rPr>
          <w:rFonts w:cs="Arial"/>
          <w:szCs w:val="20"/>
        </w:rPr>
        <w:t xml:space="preserve">If there is support for the proposed framework </w:t>
      </w:r>
      <w:r w:rsidR="004958AC">
        <w:rPr>
          <w:rFonts w:cs="Arial"/>
          <w:szCs w:val="20"/>
        </w:rPr>
        <w:t xml:space="preserve">outlined </w:t>
      </w:r>
      <w:r>
        <w:rPr>
          <w:rFonts w:cs="Arial"/>
          <w:szCs w:val="20"/>
        </w:rPr>
        <w:t xml:space="preserve">in this consultation paper from submitters, the plan is to use </w:t>
      </w:r>
      <w:r w:rsidR="00413CDF">
        <w:rPr>
          <w:rFonts w:cs="Arial"/>
          <w:szCs w:val="20"/>
        </w:rPr>
        <w:t xml:space="preserve">the </w:t>
      </w:r>
      <w:r>
        <w:rPr>
          <w:rFonts w:cs="Arial"/>
          <w:szCs w:val="20"/>
        </w:rPr>
        <w:t xml:space="preserve">next set of data released by the ABS on 20 April 2023 as the basis for the first update to apparatus licence tax rates using changes in geography-specific population later this year. </w:t>
      </w:r>
    </w:p>
    <w:p w14:paraId="141D0058" w14:textId="57610B66" w:rsidR="006A3954" w:rsidRDefault="00DF0270" w:rsidP="00837EE0">
      <w:pPr>
        <w:rPr>
          <w:rFonts w:cs="Arial"/>
          <w:szCs w:val="20"/>
        </w:rPr>
      </w:pPr>
      <w:r>
        <w:rPr>
          <w:rFonts w:cs="Arial"/>
          <w:szCs w:val="20"/>
        </w:rPr>
        <w:t>A consultation paper on spec</w:t>
      </w:r>
      <w:r w:rsidR="00E35361">
        <w:rPr>
          <w:rFonts w:cs="Arial"/>
          <w:szCs w:val="20"/>
        </w:rPr>
        <w:t>ific tax rates would be expected to be released in Q3 2023</w:t>
      </w:r>
      <w:r w:rsidR="004958AC">
        <w:rPr>
          <w:rFonts w:cs="Arial"/>
          <w:szCs w:val="20"/>
        </w:rPr>
        <w:t>,</w:t>
      </w:r>
      <w:r w:rsidR="00E35361">
        <w:rPr>
          <w:rFonts w:cs="Arial"/>
          <w:szCs w:val="20"/>
        </w:rPr>
        <w:t xml:space="preserve"> </w:t>
      </w:r>
      <w:r w:rsidR="00292DFC">
        <w:rPr>
          <w:rFonts w:cs="Arial"/>
          <w:szCs w:val="20"/>
        </w:rPr>
        <w:t>with a view to updating the tax rates in Q4 2023</w:t>
      </w:r>
      <w:r w:rsidR="004958AC">
        <w:rPr>
          <w:rFonts w:cs="Arial"/>
          <w:szCs w:val="20"/>
        </w:rPr>
        <w:t>,</w:t>
      </w:r>
      <w:r w:rsidR="00292DFC">
        <w:rPr>
          <w:rFonts w:cs="Arial"/>
          <w:szCs w:val="20"/>
        </w:rPr>
        <w:t xml:space="preserve"> subject to submissions received to </w:t>
      </w:r>
      <w:r w:rsidR="004958AC">
        <w:rPr>
          <w:rFonts w:cs="Arial"/>
          <w:szCs w:val="20"/>
        </w:rPr>
        <w:t xml:space="preserve">this </w:t>
      </w:r>
      <w:r w:rsidR="00292DFC">
        <w:rPr>
          <w:rFonts w:cs="Arial"/>
          <w:szCs w:val="20"/>
        </w:rPr>
        <w:t>consultation process.</w:t>
      </w:r>
    </w:p>
    <w:p w14:paraId="7F1E0704" w14:textId="033DB664" w:rsidR="00501295" w:rsidRDefault="00501295" w:rsidP="00501295">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Question </w:t>
      </w:r>
      <w:r w:rsidR="00EC4293">
        <w:t>2</w:t>
      </w:r>
    </w:p>
    <w:p w14:paraId="3E000E41" w14:textId="77777777" w:rsidR="00501295" w:rsidRDefault="00501295" w:rsidP="00501295">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Do you have any comments on the indicative timing of annual updates to apparatus licence taxes using changes in geography-specific population?</w:t>
      </w:r>
    </w:p>
    <w:p w14:paraId="4F693E2D" w14:textId="77777777" w:rsidR="001E02CE" w:rsidRDefault="001E02CE" w:rsidP="006F3A52"/>
    <w:p w14:paraId="4CBEABB5" w14:textId="5A7E36F1" w:rsidR="00550E16" w:rsidRPr="009C5D64" w:rsidRDefault="00723DB8" w:rsidP="00550E16">
      <w:pPr>
        <w:pStyle w:val="Heading1"/>
      </w:pPr>
      <w:bookmarkStart w:id="10" w:name="_Toc130220332"/>
      <w:r w:rsidRPr="009C5D64">
        <w:lastRenderedPageBreak/>
        <w:t>Television outside broadcast network</w:t>
      </w:r>
      <w:bookmarkEnd w:id="10"/>
    </w:p>
    <w:p w14:paraId="2C7CB648" w14:textId="62AEFE02" w:rsidR="00603008" w:rsidRPr="009C5D64" w:rsidRDefault="00603008" w:rsidP="00603008">
      <w:pPr>
        <w:pStyle w:val="Heading2"/>
      </w:pPr>
      <w:bookmarkStart w:id="11" w:name="_Toc130220333"/>
      <w:r w:rsidRPr="009C5D64">
        <w:t>Calculation of</w:t>
      </w:r>
      <w:r w:rsidR="00373046" w:rsidRPr="009C5D64">
        <w:t xml:space="preserve"> the lic</w:t>
      </w:r>
      <w:r w:rsidR="001620D8" w:rsidRPr="009C5D64">
        <w:t xml:space="preserve">ence </w:t>
      </w:r>
      <w:r w:rsidR="00373046" w:rsidRPr="009C5D64">
        <w:t>tax rate</w:t>
      </w:r>
      <w:bookmarkEnd w:id="11"/>
    </w:p>
    <w:p w14:paraId="6DD07599" w14:textId="40FF3932" w:rsidR="00E2155C" w:rsidRPr="009C5D64" w:rsidRDefault="003400D0" w:rsidP="00B51853">
      <w:pPr>
        <w:rPr>
          <w:rFonts w:cs="Arial"/>
        </w:rPr>
      </w:pPr>
      <w:r w:rsidRPr="009C5D64">
        <w:rPr>
          <w:rFonts w:cs="Arial"/>
        </w:rPr>
        <w:t>Television outside broadcast network</w:t>
      </w:r>
      <w:r w:rsidR="00373046" w:rsidRPr="009C5D64">
        <w:rPr>
          <w:rFonts w:cs="Arial"/>
        </w:rPr>
        <w:t xml:space="preserve"> (TOBN)</w:t>
      </w:r>
      <w:r w:rsidRPr="009C5D64">
        <w:rPr>
          <w:rFonts w:cs="Arial"/>
        </w:rPr>
        <w:t xml:space="preserve"> licences are a </w:t>
      </w:r>
      <w:r w:rsidR="00D14F0D">
        <w:rPr>
          <w:rFonts w:cs="Arial"/>
        </w:rPr>
        <w:t>sub-</w:t>
      </w:r>
      <w:r w:rsidRPr="009C5D64">
        <w:rPr>
          <w:rFonts w:cs="Arial"/>
        </w:rPr>
        <w:t xml:space="preserve">type </w:t>
      </w:r>
      <w:r w:rsidR="002268CA">
        <w:t>within the fixed licence transmitter type</w:t>
      </w:r>
      <w:r w:rsidR="002268CA" w:rsidRPr="009C5D64">
        <w:rPr>
          <w:rFonts w:cs="Arial"/>
        </w:rPr>
        <w:t xml:space="preserve"> </w:t>
      </w:r>
      <w:r w:rsidRPr="009C5D64">
        <w:rPr>
          <w:rFonts w:cs="Arial"/>
        </w:rPr>
        <w:t>that allow for the operation of outside broadcasting for television networks. Outside broadcasting involves the production of television programmes from outside locations</w:t>
      </w:r>
      <w:r w:rsidR="00105171">
        <w:rPr>
          <w:rFonts w:cs="Arial"/>
        </w:rPr>
        <w:t>.</w:t>
      </w:r>
      <w:r w:rsidRPr="009C5D64">
        <w:rPr>
          <w:rFonts w:cs="Arial"/>
        </w:rPr>
        <w:t xml:space="preserve"> </w:t>
      </w:r>
      <w:r w:rsidR="00105171">
        <w:rPr>
          <w:rFonts w:cs="Arial"/>
        </w:rPr>
        <w:t>T</w:t>
      </w:r>
      <w:r w:rsidRPr="009C5D64">
        <w:rPr>
          <w:rFonts w:cs="Arial"/>
        </w:rPr>
        <w:t>ypical examples of use</w:t>
      </w:r>
      <w:r w:rsidR="004958AC">
        <w:rPr>
          <w:rFonts w:cs="Arial"/>
        </w:rPr>
        <w:t>-</w:t>
      </w:r>
      <w:r w:rsidRPr="009C5D64">
        <w:rPr>
          <w:rFonts w:cs="Arial"/>
        </w:rPr>
        <w:t>cases include live television news or sports coverage.</w:t>
      </w:r>
      <w:r w:rsidR="00D43FBF" w:rsidRPr="009C5D64">
        <w:rPr>
          <w:rFonts w:cs="Arial"/>
        </w:rPr>
        <w:t xml:space="preserve"> </w:t>
      </w:r>
    </w:p>
    <w:p w14:paraId="6D643E8D" w14:textId="1B183C23" w:rsidR="00C84D71" w:rsidRPr="009C5D64" w:rsidRDefault="003400D0" w:rsidP="00C84D71">
      <w:pPr>
        <w:rPr>
          <w:rFonts w:cs="Arial"/>
          <w:szCs w:val="20"/>
        </w:rPr>
      </w:pPr>
      <w:r w:rsidRPr="009C5D64">
        <w:rPr>
          <w:rFonts w:cs="Arial"/>
        </w:rPr>
        <w:t xml:space="preserve">The ACMA issues </w:t>
      </w:r>
      <w:r w:rsidR="00373046" w:rsidRPr="009C5D64">
        <w:rPr>
          <w:rFonts w:cs="Arial"/>
        </w:rPr>
        <w:t>TOBN</w:t>
      </w:r>
      <w:r w:rsidRPr="009C5D64">
        <w:rPr>
          <w:rFonts w:cs="Arial"/>
        </w:rPr>
        <w:t xml:space="preserve"> licences for access to</w:t>
      </w:r>
      <w:r w:rsidR="004958AC">
        <w:rPr>
          <w:rFonts w:cs="Arial"/>
        </w:rPr>
        <w:t>,</w:t>
      </w:r>
      <w:r w:rsidRPr="009C5D64">
        <w:rPr>
          <w:rFonts w:cs="Arial"/>
        </w:rPr>
        <w:t xml:space="preserve"> and use of</w:t>
      </w:r>
      <w:r w:rsidR="004958AC">
        <w:rPr>
          <w:rFonts w:cs="Arial"/>
        </w:rPr>
        <w:t>,</w:t>
      </w:r>
      <w:r w:rsidRPr="009C5D64">
        <w:rPr>
          <w:rFonts w:cs="Arial"/>
        </w:rPr>
        <w:t xml:space="preserve"> specific spectrum for television outside broadcast coverage. The</w:t>
      </w:r>
      <w:r w:rsidR="00F91CB3" w:rsidRPr="009C5D64">
        <w:rPr>
          <w:rFonts w:cs="Arial"/>
        </w:rPr>
        <w:t xml:space="preserve"> current annual tax rate is $415,899</w:t>
      </w:r>
      <w:r w:rsidR="00105171">
        <w:rPr>
          <w:rFonts w:cs="Arial"/>
        </w:rPr>
        <w:t>.</w:t>
      </w:r>
      <w:r w:rsidR="00F91CB3" w:rsidRPr="009C5D64">
        <w:rPr>
          <w:rFonts w:cs="Arial"/>
        </w:rPr>
        <w:t xml:space="preserve"> </w:t>
      </w:r>
      <w:r w:rsidR="00105171">
        <w:rPr>
          <w:rFonts w:cs="Arial"/>
        </w:rPr>
        <w:t>T</w:t>
      </w:r>
      <w:r w:rsidR="00F91CB3" w:rsidRPr="009C5D64">
        <w:rPr>
          <w:rFonts w:cs="Arial"/>
        </w:rPr>
        <w:t>he figure is calculated by a formula that accounts for the bands used, the associated frequencies, and their commercial application</w:t>
      </w:r>
      <w:r w:rsidR="00E71D11">
        <w:rPr>
          <w:rFonts w:cs="Arial"/>
        </w:rPr>
        <w:t xml:space="preserve"> (</w:t>
      </w:r>
      <w:r w:rsidR="004958AC">
        <w:rPr>
          <w:rFonts w:cs="Arial"/>
        </w:rPr>
        <w:t>that is,</w:t>
      </w:r>
      <w:r w:rsidR="00525BC5">
        <w:rPr>
          <w:rFonts w:cs="Arial"/>
        </w:rPr>
        <w:t xml:space="preserve"> identified </w:t>
      </w:r>
      <w:r w:rsidR="00824C36">
        <w:rPr>
          <w:rFonts w:cs="Arial"/>
        </w:rPr>
        <w:t>for use by the Seven Network, Nine Networ</w:t>
      </w:r>
      <w:r w:rsidR="001B527E">
        <w:rPr>
          <w:rFonts w:cs="Arial"/>
        </w:rPr>
        <w:t>k and Network Ten</w:t>
      </w:r>
      <w:r w:rsidR="00B75254">
        <w:rPr>
          <w:rFonts w:cs="Arial"/>
        </w:rPr>
        <w:t>)</w:t>
      </w:r>
      <w:r w:rsidR="00F91CB3" w:rsidRPr="009C5D64">
        <w:rPr>
          <w:rFonts w:cs="Arial"/>
        </w:rPr>
        <w:t xml:space="preserve">. </w:t>
      </w:r>
    </w:p>
    <w:p w14:paraId="27108BA7" w14:textId="737885BC" w:rsidR="00F91CB3" w:rsidRPr="008C2777" w:rsidRDefault="00F91CB3" w:rsidP="007A5938">
      <w:pPr>
        <w:spacing w:after="120"/>
        <w:rPr>
          <w:highlight w:val="yellow"/>
        </w:rPr>
      </w:pPr>
      <w:r w:rsidRPr="009C5D64">
        <w:t xml:space="preserve">The </w:t>
      </w:r>
      <w:r w:rsidR="00C84417" w:rsidRPr="009C5D64">
        <w:t>original</w:t>
      </w:r>
      <w:r w:rsidRPr="009C5D64">
        <w:t xml:space="preserve"> calculation of the </w:t>
      </w:r>
      <w:r w:rsidR="00373046" w:rsidRPr="009C5D64">
        <w:t xml:space="preserve">TOBN </w:t>
      </w:r>
      <w:r w:rsidRPr="009C5D64">
        <w:t xml:space="preserve">licence tax rate </w:t>
      </w:r>
      <w:r w:rsidR="00C84417" w:rsidRPr="009C5D64">
        <w:t>was</w:t>
      </w:r>
      <w:r w:rsidRPr="009C5D64">
        <w:t xml:space="preserve"> based on the commercial arrangements for each of the 2.5 GHz, 7.2 GHz, 8.3 GHz, and 13 GHz bands. For each of the bands, </w:t>
      </w:r>
      <w:r w:rsidR="003C1006" w:rsidRPr="009C5D64">
        <w:t>the total tax is first calculated using the formula</w:t>
      </w:r>
      <w:r w:rsidR="00C372B2">
        <w:rPr>
          <w:rStyle w:val="FootnoteReference"/>
        </w:rPr>
        <w:footnoteReference w:id="2"/>
      </w:r>
      <w:r w:rsidR="003C1006" w:rsidRPr="009C5D64">
        <w:t>:</w:t>
      </w:r>
    </w:p>
    <w:p w14:paraId="7F96EA7E" w14:textId="3D2B037B" w:rsidR="003C1006" w:rsidRPr="005A3397" w:rsidRDefault="00CE0529" w:rsidP="007A5938">
      <w:pPr>
        <w:jc w:val="center"/>
        <w:rPr>
          <w:rFonts w:cs="Arial"/>
          <w:b/>
        </w:rPr>
      </w:pPr>
      <w:r>
        <w:rPr>
          <w:b/>
        </w:rPr>
        <w:t>t</w:t>
      </w:r>
      <w:r w:rsidR="003C1006" w:rsidRPr="005A3397">
        <w:rPr>
          <w:b/>
        </w:rPr>
        <w:t xml:space="preserve">otal kHz x </w:t>
      </w:r>
      <w:r>
        <w:rPr>
          <w:b/>
        </w:rPr>
        <w:t>l</w:t>
      </w:r>
      <w:r w:rsidR="003C1006" w:rsidRPr="005A3397">
        <w:rPr>
          <w:b/>
        </w:rPr>
        <w:t xml:space="preserve">ocation weighting x </w:t>
      </w:r>
      <w:r>
        <w:rPr>
          <w:b/>
        </w:rPr>
        <w:t>n</w:t>
      </w:r>
      <w:r w:rsidR="003C1006" w:rsidRPr="005A3397">
        <w:rPr>
          <w:b/>
        </w:rPr>
        <w:t xml:space="preserve">ormalisation factor = </w:t>
      </w:r>
      <w:r>
        <w:rPr>
          <w:b/>
        </w:rPr>
        <w:t>f</w:t>
      </w:r>
      <w:r w:rsidR="003C1006" w:rsidRPr="005A3397">
        <w:rPr>
          <w:b/>
        </w:rPr>
        <w:t>ee per band</w:t>
      </w:r>
      <w:r w:rsidR="00386680">
        <w:rPr>
          <w:rStyle w:val="FootnoteReference"/>
          <w:b/>
        </w:rPr>
        <w:footnoteReference w:id="3"/>
      </w:r>
    </w:p>
    <w:p w14:paraId="23567090" w14:textId="1D233859" w:rsidR="003C1006" w:rsidRPr="005A3397" w:rsidRDefault="003C1006" w:rsidP="00B51853">
      <w:r w:rsidRPr="005A3397">
        <w:rPr>
          <w:rFonts w:cs="Arial"/>
        </w:rPr>
        <w:t>The location weighting is a weighting factor that differs between different geographic areas within Australia and different spectrum frequencies</w:t>
      </w:r>
      <w:r w:rsidR="004958AC">
        <w:rPr>
          <w:rFonts w:cs="Arial"/>
        </w:rPr>
        <w:t xml:space="preserve"> –</w:t>
      </w:r>
      <w:r w:rsidR="004958AC" w:rsidRPr="005A3397">
        <w:rPr>
          <w:rFonts w:cs="Arial"/>
        </w:rPr>
        <w:t xml:space="preserve"> </w:t>
      </w:r>
      <w:r w:rsidRPr="005A3397">
        <w:rPr>
          <w:rFonts w:cs="Arial"/>
        </w:rPr>
        <w:t>it aims to capture the relative potential spectrum denial characteristics of different frequency bands around Australia. The normalisation factor is a factor that helps convert licence tax rates into dollar terms and helps keep tax rates contemporaneous over time</w:t>
      </w:r>
      <w:r w:rsidR="006B2DB4">
        <w:rPr>
          <w:rFonts w:cs="Arial"/>
        </w:rPr>
        <w:t>.</w:t>
      </w:r>
      <w:r w:rsidRPr="005A3397">
        <w:rPr>
          <w:rFonts w:cs="Arial"/>
        </w:rPr>
        <w:t xml:space="preserve"> </w:t>
      </w:r>
      <w:r w:rsidR="006B2DB4">
        <w:rPr>
          <w:rFonts w:cs="Arial"/>
        </w:rPr>
        <w:t>I</w:t>
      </w:r>
      <w:r w:rsidRPr="005A3397">
        <w:rPr>
          <w:rFonts w:cs="Arial"/>
        </w:rPr>
        <w:t xml:space="preserve">t had previously been updated for changes </w:t>
      </w:r>
      <w:r w:rsidRPr="006A0FEF">
        <w:rPr>
          <w:rFonts w:cs="Arial"/>
        </w:rPr>
        <w:t xml:space="preserve">in the </w:t>
      </w:r>
      <w:r w:rsidR="004958AC" w:rsidRPr="006A0FEF">
        <w:rPr>
          <w:rFonts w:cs="Arial"/>
        </w:rPr>
        <w:t>CPI</w:t>
      </w:r>
      <w:r w:rsidRPr="005A3397">
        <w:rPr>
          <w:rFonts w:cs="Arial"/>
        </w:rPr>
        <w:t xml:space="preserve"> each year. Further information about these factors can be found in Appendix C of the </w:t>
      </w:r>
      <w:hyperlink r:id="rId47" w:history="1">
        <w:r w:rsidRPr="007A5938">
          <w:rPr>
            <w:rStyle w:val="Hyperlink"/>
            <w:rFonts w:cs="Arial"/>
            <w:i/>
            <w:iCs/>
          </w:rPr>
          <w:t>Apparatus licence fee schedule</w:t>
        </w:r>
      </w:hyperlink>
      <w:r w:rsidRPr="005A3397">
        <w:rPr>
          <w:rFonts w:cs="Arial"/>
        </w:rPr>
        <w:t xml:space="preserve"> on the ACMA website</w:t>
      </w:r>
      <w:r w:rsidRPr="005A3397">
        <w:t>.</w:t>
      </w:r>
    </w:p>
    <w:p w14:paraId="5886D06C" w14:textId="6B356F84" w:rsidR="003C1006" w:rsidRPr="005A3397" w:rsidRDefault="003C1006" w:rsidP="007A5938">
      <w:pPr>
        <w:spacing w:after="120"/>
      </w:pPr>
      <w:r w:rsidRPr="005A3397">
        <w:t xml:space="preserve">After the fee per band has been calculated, the commercial application is accounted for by </w:t>
      </w:r>
      <w:r w:rsidR="00373046" w:rsidRPr="005A3397">
        <w:t xml:space="preserve">factoring </w:t>
      </w:r>
      <w:r w:rsidR="006B2DB4">
        <w:t xml:space="preserve">in </w:t>
      </w:r>
      <w:r w:rsidR="00373046" w:rsidRPr="005A3397">
        <w:t>the proportion of each band used for commercial purposes</w:t>
      </w:r>
      <w:r w:rsidR="00ED023A">
        <w:t>.</w:t>
      </w:r>
      <w:r w:rsidR="00373046" w:rsidRPr="005A3397">
        <w:t xml:space="preserve"> </w:t>
      </w:r>
      <w:r w:rsidR="00ED023A">
        <w:t>N</w:t>
      </w:r>
      <w:r w:rsidR="00373046" w:rsidRPr="005A3397">
        <w:t>on-commercial users include organisations such as the Australian Broadcasting Corporation:</w:t>
      </w:r>
    </w:p>
    <w:p w14:paraId="72200CF8" w14:textId="55E6AFFB" w:rsidR="00373046" w:rsidRPr="005A3397" w:rsidRDefault="00CE0529" w:rsidP="007A5938">
      <w:pPr>
        <w:jc w:val="center"/>
        <w:rPr>
          <w:rFonts w:cs="Arial"/>
          <w:b/>
        </w:rPr>
      </w:pPr>
      <w:r>
        <w:rPr>
          <w:b/>
        </w:rPr>
        <w:t>f</w:t>
      </w:r>
      <w:r w:rsidR="00373046" w:rsidRPr="005A3397">
        <w:rPr>
          <w:b/>
        </w:rPr>
        <w:t>ee per band x (</w:t>
      </w:r>
      <w:r>
        <w:rPr>
          <w:b/>
        </w:rPr>
        <w:t>n</w:t>
      </w:r>
      <w:r w:rsidR="00373046" w:rsidRPr="005A3397">
        <w:rPr>
          <w:b/>
        </w:rPr>
        <w:t xml:space="preserve">umber of commercial channels / </w:t>
      </w:r>
      <w:r>
        <w:rPr>
          <w:b/>
        </w:rPr>
        <w:t>t</w:t>
      </w:r>
      <w:r w:rsidR="00373046" w:rsidRPr="005A3397">
        <w:rPr>
          <w:b/>
        </w:rPr>
        <w:t xml:space="preserve">otal number of channels) = </w:t>
      </w:r>
      <w:r>
        <w:rPr>
          <w:b/>
        </w:rPr>
        <w:t>c</w:t>
      </w:r>
      <w:r w:rsidR="00373046" w:rsidRPr="005A3397">
        <w:rPr>
          <w:b/>
        </w:rPr>
        <w:t>ommercial fee per band</w:t>
      </w:r>
    </w:p>
    <w:p w14:paraId="6A05ECA7" w14:textId="182112CF" w:rsidR="00373046" w:rsidRPr="005A3397" w:rsidRDefault="00373046" w:rsidP="007A5938">
      <w:pPr>
        <w:spacing w:after="120"/>
      </w:pPr>
      <w:r w:rsidRPr="005A3397">
        <w:t>The commercial fee per band is then divided by the total number of bands that have commercial applications:</w:t>
      </w:r>
    </w:p>
    <w:p w14:paraId="0C0143B3" w14:textId="0DFA139E" w:rsidR="00373046" w:rsidRPr="005A3397" w:rsidRDefault="00CE0529" w:rsidP="007A5938">
      <w:pPr>
        <w:jc w:val="center"/>
        <w:rPr>
          <w:rFonts w:cs="Arial"/>
          <w:b/>
        </w:rPr>
      </w:pPr>
      <w:r>
        <w:rPr>
          <w:b/>
        </w:rPr>
        <w:t>c</w:t>
      </w:r>
      <w:r w:rsidR="00373046" w:rsidRPr="005A3397">
        <w:rPr>
          <w:b/>
        </w:rPr>
        <w:t>ommercial fee per band / 3 = TOBN fee per band</w:t>
      </w:r>
    </w:p>
    <w:p w14:paraId="413ADCCA" w14:textId="44090213" w:rsidR="00373046" w:rsidRPr="005A3397" w:rsidRDefault="00373046" w:rsidP="007A5938">
      <w:pPr>
        <w:spacing w:after="120"/>
        <w:rPr>
          <w:rFonts w:cs="Arial"/>
        </w:rPr>
      </w:pPr>
      <w:r w:rsidRPr="005A3397">
        <w:rPr>
          <w:rFonts w:cs="Arial"/>
        </w:rPr>
        <w:t>The sum of the TOBN fee per band for each of the bands 2.5 GHz, 7.2 GHz, 8.3 GHz, and 13 GHz then gives the final licence tax rate of $415,899:</w:t>
      </w:r>
    </w:p>
    <w:p w14:paraId="54E8B591" w14:textId="4DCF494C" w:rsidR="00373046" w:rsidRPr="005A3397" w:rsidRDefault="00CE0529" w:rsidP="007A5938">
      <w:pPr>
        <w:jc w:val="center"/>
        <w:rPr>
          <w:rFonts w:cs="Arial"/>
          <w:b/>
        </w:rPr>
      </w:pPr>
      <w:r>
        <w:rPr>
          <w:rFonts w:cs="Arial"/>
          <w:b/>
        </w:rPr>
        <w:t>s</w:t>
      </w:r>
      <w:r w:rsidR="00373046" w:rsidRPr="005A3397">
        <w:rPr>
          <w:rFonts w:cs="Arial"/>
          <w:b/>
        </w:rPr>
        <w:t>um of all TOBN fee per bands = TOBN licence tax rate</w:t>
      </w:r>
    </w:p>
    <w:p w14:paraId="0FA581E3" w14:textId="1049F0D6" w:rsidR="00F10AF0" w:rsidRPr="005A3397" w:rsidRDefault="00F10AF0" w:rsidP="00F10AF0">
      <w:pPr>
        <w:pStyle w:val="Heading2"/>
      </w:pPr>
      <w:bookmarkStart w:id="12" w:name="_Toc130220334"/>
      <w:r w:rsidRPr="005A3397">
        <w:lastRenderedPageBreak/>
        <w:t>Location weighting updates</w:t>
      </w:r>
      <w:bookmarkEnd w:id="12"/>
    </w:p>
    <w:p w14:paraId="790B968E" w14:textId="4FD22BCB" w:rsidR="0010060D" w:rsidRPr="005A3397" w:rsidRDefault="0093304C" w:rsidP="00F10AF0">
      <w:pPr>
        <w:pStyle w:val="Paragraph"/>
      </w:pPr>
      <w:r w:rsidRPr="005A3397">
        <w:t xml:space="preserve">As a part of the implementation of the Spectrum Pricing Review process, updates to the location weightings table were introduced and came into effect </w:t>
      </w:r>
      <w:r w:rsidR="002027BE" w:rsidRPr="005A3397">
        <w:t xml:space="preserve">over </w:t>
      </w:r>
      <w:r w:rsidR="00CE0529">
        <w:t>2</w:t>
      </w:r>
      <w:r w:rsidR="00CE0529" w:rsidRPr="005A3397">
        <w:t xml:space="preserve"> </w:t>
      </w:r>
      <w:r w:rsidR="002027BE" w:rsidRPr="005A3397">
        <w:t>tranches</w:t>
      </w:r>
      <w:r w:rsidR="00CE0529">
        <w:t xml:space="preserve"> –</w:t>
      </w:r>
      <w:r w:rsidR="00CE0529" w:rsidRPr="005A3397">
        <w:t xml:space="preserve"> </w:t>
      </w:r>
      <w:r w:rsidR="002027BE" w:rsidRPr="005A3397">
        <w:t>one set of updates in July 2021 and another in August 2022. T</w:t>
      </w:r>
      <w:r w:rsidR="00CE0529">
        <w:t>able 11 shows t</w:t>
      </w:r>
      <w:r w:rsidR="002027BE" w:rsidRPr="005A3397">
        <w:t>he previous location weightings table for July 2021 and earlier.</w:t>
      </w:r>
      <w:r w:rsidR="00910436" w:rsidRPr="005A3397">
        <w:t xml:space="preserve"> Further information can be found in the </w:t>
      </w:r>
      <w:hyperlink r:id="rId48" w:history="1">
        <w:r w:rsidR="00910436" w:rsidRPr="00CE0529">
          <w:rPr>
            <w:rStyle w:val="Hyperlink"/>
          </w:rPr>
          <w:t>Outcomes of the Spectrum Pricing Review paper</w:t>
        </w:r>
      </w:hyperlink>
      <w:r w:rsidR="00910436" w:rsidRPr="005A3397">
        <w:t xml:space="preserve"> on the ACMA website</w:t>
      </w:r>
      <w:r w:rsidR="00CE0529">
        <w:t>.</w:t>
      </w:r>
      <w:r w:rsidR="00910436" w:rsidRPr="005A3397">
        <w:t xml:space="preserve"> </w:t>
      </w:r>
    </w:p>
    <w:p w14:paraId="4FD196FE" w14:textId="6BF25DBC" w:rsidR="001448F8" w:rsidRPr="005A3397" w:rsidRDefault="001448F8" w:rsidP="007A5938">
      <w:pPr>
        <w:pStyle w:val="Tableheading"/>
      </w:pPr>
      <w:r w:rsidRPr="005A3397">
        <w:t xml:space="preserve">Location weightings table </w:t>
      </w:r>
      <w:r w:rsidR="00533D0C" w:rsidRPr="005A3397">
        <w:t>(</w:t>
      </w:r>
      <w:r w:rsidR="00CE0529">
        <w:t>p</w:t>
      </w:r>
      <w:r w:rsidR="00533D0C" w:rsidRPr="005A3397">
        <w:t>rior to July 2021)</w:t>
      </w:r>
    </w:p>
    <w:tbl>
      <w:tblPr>
        <w:tblW w:w="7677" w:type="dxa"/>
        <w:tblCellMar>
          <w:top w:w="57" w:type="dxa"/>
          <w:left w:w="57" w:type="dxa"/>
          <w:bottom w:w="57" w:type="dxa"/>
          <w:right w:w="57" w:type="dxa"/>
        </w:tblCellMar>
        <w:tblLook w:val="04A0" w:firstRow="1" w:lastRow="0" w:firstColumn="1" w:lastColumn="0" w:noHBand="0" w:noVBand="1"/>
      </w:tblPr>
      <w:tblGrid>
        <w:gridCol w:w="2117"/>
        <w:gridCol w:w="1256"/>
        <w:gridCol w:w="1011"/>
        <w:gridCol w:w="1243"/>
        <w:gridCol w:w="835"/>
        <w:gridCol w:w="1215"/>
      </w:tblGrid>
      <w:tr w:rsidR="00AC6BAB" w:rsidRPr="00443221" w14:paraId="5DABFCCD" w14:textId="77777777" w:rsidTr="003518EB">
        <w:trPr>
          <w:trHeight w:val="237"/>
        </w:trPr>
        <w:tc>
          <w:tcPr>
            <w:tcW w:w="2117" w:type="dxa"/>
            <w:tcBorders>
              <w:top w:val="single" w:sz="8" w:space="0" w:color="auto"/>
              <w:left w:val="single" w:sz="8" w:space="0" w:color="auto"/>
              <w:bottom w:val="single" w:sz="8" w:space="0" w:color="auto"/>
              <w:right w:val="single" w:sz="8" w:space="0" w:color="auto"/>
            </w:tcBorders>
            <w:shd w:val="clear" w:color="000000" w:fill="404040"/>
            <w:noWrap/>
            <w:vAlign w:val="center"/>
            <w:hideMark/>
          </w:tcPr>
          <w:p w14:paraId="665A3C4F" w14:textId="77777777" w:rsidR="00AC6BAB" w:rsidRPr="005A3397" w:rsidRDefault="00AC6BAB" w:rsidP="00AC6BAB">
            <w:pPr>
              <w:spacing w:after="0" w:line="240" w:lineRule="auto"/>
              <w:rPr>
                <w:rFonts w:cs="Arial"/>
                <w:b/>
                <w:color w:val="FFFFFF"/>
                <w:sz w:val="18"/>
                <w:szCs w:val="18"/>
              </w:rPr>
            </w:pPr>
            <w:r w:rsidRPr="005A3397">
              <w:rPr>
                <w:rFonts w:cs="Arial"/>
                <w:b/>
                <w:color w:val="FFFFFF"/>
                <w:sz w:val="18"/>
                <w:szCs w:val="22"/>
              </w:rPr>
              <w:t> </w:t>
            </w:r>
          </w:p>
        </w:tc>
        <w:tc>
          <w:tcPr>
            <w:tcW w:w="5560" w:type="dxa"/>
            <w:gridSpan w:val="5"/>
            <w:tcBorders>
              <w:top w:val="single" w:sz="8" w:space="0" w:color="auto"/>
              <w:left w:val="nil"/>
              <w:bottom w:val="single" w:sz="8" w:space="0" w:color="auto"/>
              <w:right w:val="single" w:sz="8" w:space="0" w:color="000000"/>
            </w:tcBorders>
            <w:shd w:val="clear" w:color="000000" w:fill="404040"/>
            <w:noWrap/>
            <w:vAlign w:val="center"/>
            <w:hideMark/>
          </w:tcPr>
          <w:p w14:paraId="2EC8853B" w14:textId="77777777" w:rsidR="00AC6BAB" w:rsidRPr="005A3397" w:rsidRDefault="00AC6BAB" w:rsidP="00AC6BAB">
            <w:pPr>
              <w:spacing w:after="0" w:line="240" w:lineRule="auto"/>
              <w:jc w:val="center"/>
              <w:rPr>
                <w:rFonts w:cs="Arial"/>
                <w:b/>
                <w:color w:val="FFFFFF"/>
                <w:sz w:val="18"/>
                <w:szCs w:val="18"/>
              </w:rPr>
            </w:pPr>
            <w:r w:rsidRPr="005A3397">
              <w:rPr>
                <w:rFonts w:cs="Arial"/>
                <w:b/>
                <w:color w:val="FFFFFF"/>
                <w:sz w:val="18"/>
                <w:szCs w:val="22"/>
              </w:rPr>
              <w:t>Geographic location</w:t>
            </w:r>
          </w:p>
        </w:tc>
      </w:tr>
      <w:tr w:rsidR="00AC6BAB" w:rsidRPr="00443221" w14:paraId="1293F7F8" w14:textId="77777777" w:rsidTr="003518EB">
        <w:trPr>
          <w:trHeight w:val="237"/>
        </w:trPr>
        <w:tc>
          <w:tcPr>
            <w:tcW w:w="2117" w:type="dxa"/>
            <w:tcBorders>
              <w:top w:val="nil"/>
              <w:left w:val="single" w:sz="8" w:space="0" w:color="auto"/>
              <w:bottom w:val="single" w:sz="8" w:space="0" w:color="auto"/>
              <w:right w:val="single" w:sz="8" w:space="0" w:color="auto"/>
            </w:tcBorders>
            <w:shd w:val="clear" w:color="000000" w:fill="404040"/>
            <w:noWrap/>
            <w:vAlign w:val="center"/>
            <w:hideMark/>
          </w:tcPr>
          <w:p w14:paraId="2A0E328B" w14:textId="77777777" w:rsidR="00AC6BAB" w:rsidRPr="005A3397" w:rsidRDefault="00AC6BAB" w:rsidP="00AC6BAB">
            <w:pPr>
              <w:spacing w:after="0" w:line="240" w:lineRule="auto"/>
              <w:rPr>
                <w:rFonts w:cs="Arial"/>
                <w:b/>
                <w:color w:val="FFFFFF"/>
                <w:sz w:val="18"/>
                <w:szCs w:val="18"/>
              </w:rPr>
            </w:pPr>
            <w:r w:rsidRPr="005A3397">
              <w:rPr>
                <w:rFonts w:cs="Arial"/>
                <w:b/>
                <w:color w:val="FFFFFF"/>
                <w:sz w:val="18"/>
                <w:szCs w:val="22"/>
              </w:rPr>
              <w:t>Spectrum location</w:t>
            </w:r>
          </w:p>
        </w:tc>
        <w:tc>
          <w:tcPr>
            <w:tcW w:w="1256" w:type="dxa"/>
            <w:tcBorders>
              <w:top w:val="nil"/>
              <w:left w:val="nil"/>
              <w:bottom w:val="single" w:sz="8" w:space="0" w:color="auto"/>
              <w:right w:val="single" w:sz="8" w:space="0" w:color="auto"/>
            </w:tcBorders>
            <w:shd w:val="clear" w:color="000000" w:fill="404040"/>
            <w:noWrap/>
            <w:vAlign w:val="center"/>
            <w:hideMark/>
          </w:tcPr>
          <w:p w14:paraId="7DB5D1D0" w14:textId="6C46882F" w:rsidR="00AC6BAB" w:rsidRPr="005A3397" w:rsidRDefault="00AC6BAB" w:rsidP="003518EB">
            <w:pPr>
              <w:spacing w:after="0" w:line="240" w:lineRule="auto"/>
              <w:jc w:val="right"/>
              <w:rPr>
                <w:rFonts w:cs="Arial"/>
                <w:b/>
                <w:color w:val="FFFFFF"/>
                <w:sz w:val="18"/>
                <w:szCs w:val="18"/>
              </w:rPr>
            </w:pPr>
            <w:r w:rsidRPr="005A3397">
              <w:rPr>
                <w:rFonts w:cs="Arial"/>
                <w:b/>
                <w:color w:val="FFFFFF"/>
                <w:sz w:val="18"/>
                <w:szCs w:val="22"/>
              </w:rPr>
              <w:t>Aus</w:t>
            </w:r>
            <w:r w:rsidR="00386295">
              <w:rPr>
                <w:rFonts w:cs="Arial"/>
                <w:b/>
                <w:color w:val="FFFFFF"/>
                <w:sz w:val="18"/>
                <w:szCs w:val="22"/>
              </w:rPr>
              <w:t>tralia</w:t>
            </w:r>
            <w:r w:rsidRPr="005A3397">
              <w:rPr>
                <w:rFonts w:cs="Arial"/>
                <w:b/>
                <w:color w:val="FFFFFF"/>
                <w:sz w:val="18"/>
                <w:szCs w:val="22"/>
              </w:rPr>
              <w:t>-wide</w:t>
            </w:r>
          </w:p>
        </w:tc>
        <w:tc>
          <w:tcPr>
            <w:tcW w:w="1011" w:type="dxa"/>
            <w:tcBorders>
              <w:top w:val="nil"/>
              <w:left w:val="nil"/>
              <w:bottom w:val="single" w:sz="8" w:space="0" w:color="auto"/>
              <w:right w:val="single" w:sz="8" w:space="0" w:color="auto"/>
            </w:tcBorders>
            <w:shd w:val="clear" w:color="000000" w:fill="404040"/>
            <w:noWrap/>
            <w:vAlign w:val="center"/>
            <w:hideMark/>
          </w:tcPr>
          <w:p w14:paraId="433F182A" w14:textId="77777777" w:rsidR="00AC6BAB" w:rsidRPr="005A3397" w:rsidRDefault="00AC6BAB" w:rsidP="003518EB">
            <w:pPr>
              <w:spacing w:after="0" w:line="240" w:lineRule="auto"/>
              <w:jc w:val="right"/>
              <w:rPr>
                <w:rFonts w:cs="Arial"/>
                <w:b/>
                <w:color w:val="FFFFFF"/>
                <w:sz w:val="18"/>
                <w:szCs w:val="18"/>
              </w:rPr>
            </w:pPr>
            <w:r w:rsidRPr="005A3397">
              <w:rPr>
                <w:rFonts w:cs="Arial"/>
                <w:b/>
                <w:color w:val="FFFFFF"/>
                <w:sz w:val="18"/>
                <w:szCs w:val="22"/>
              </w:rPr>
              <w:t>High</w:t>
            </w:r>
          </w:p>
        </w:tc>
        <w:tc>
          <w:tcPr>
            <w:tcW w:w="1243" w:type="dxa"/>
            <w:tcBorders>
              <w:top w:val="nil"/>
              <w:left w:val="nil"/>
              <w:bottom w:val="single" w:sz="8" w:space="0" w:color="auto"/>
              <w:right w:val="single" w:sz="8" w:space="0" w:color="auto"/>
            </w:tcBorders>
            <w:shd w:val="clear" w:color="000000" w:fill="404040"/>
            <w:noWrap/>
            <w:vAlign w:val="center"/>
            <w:hideMark/>
          </w:tcPr>
          <w:p w14:paraId="668EE9FC" w14:textId="77777777" w:rsidR="00AC6BAB" w:rsidRPr="005A3397" w:rsidRDefault="00AC6BAB" w:rsidP="003518EB">
            <w:pPr>
              <w:spacing w:after="0" w:line="240" w:lineRule="auto"/>
              <w:jc w:val="right"/>
              <w:rPr>
                <w:rFonts w:cs="Arial"/>
                <w:b/>
                <w:color w:val="FFFFFF"/>
                <w:sz w:val="18"/>
                <w:szCs w:val="18"/>
              </w:rPr>
            </w:pPr>
            <w:r w:rsidRPr="005A3397">
              <w:rPr>
                <w:rFonts w:cs="Arial"/>
                <w:b/>
                <w:color w:val="FFFFFF"/>
                <w:sz w:val="18"/>
                <w:szCs w:val="22"/>
              </w:rPr>
              <w:t>Medium</w:t>
            </w:r>
          </w:p>
        </w:tc>
        <w:tc>
          <w:tcPr>
            <w:tcW w:w="835" w:type="dxa"/>
            <w:tcBorders>
              <w:top w:val="nil"/>
              <w:left w:val="nil"/>
              <w:bottom w:val="single" w:sz="8" w:space="0" w:color="auto"/>
              <w:right w:val="single" w:sz="8" w:space="0" w:color="auto"/>
            </w:tcBorders>
            <w:shd w:val="clear" w:color="000000" w:fill="404040"/>
            <w:noWrap/>
            <w:vAlign w:val="center"/>
            <w:hideMark/>
          </w:tcPr>
          <w:p w14:paraId="13B34383" w14:textId="77777777" w:rsidR="00AC6BAB" w:rsidRPr="005A3397" w:rsidRDefault="00AC6BAB" w:rsidP="003518EB">
            <w:pPr>
              <w:spacing w:after="0" w:line="240" w:lineRule="auto"/>
              <w:jc w:val="right"/>
              <w:rPr>
                <w:rFonts w:cs="Arial"/>
                <w:b/>
                <w:color w:val="FFFFFF"/>
                <w:sz w:val="18"/>
                <w:szCs w:val="18"/>
              </w:rPr>
            </w:pPr>
            <w:r w:rsidRPr="005A3397">
              <w:rPr>
                <w:rFonts w:cs="Arial"/>
                <w:b/>
                <w:color w:val="FFFFFF"/>
                <w:sz w:val="18"/>
                <w:szCs w:val="22"/>
              </w:rPr>
              <w:t>Low</w:t>
            </w:r>
          </w:p>
        </w:tc>
        <w:tc>
          <w:tcPr>
            <w:tcW w:w="1215" w:type="dxa"/>
            <w:tcBorders>
              <w:top w:val="nil"/>
              <w:left w:val="nil"/>
              <w:bottom w:val="single" w:sz="8" w:space="0" w:color="auto"/>
              <w:right w:val="single" w:sz="8" w:space="0" w:color="auto"/>
            </w:tcBorders>
            <w:shd w:val="clear" w:color="000000" w:fill="404040"/>
            <w:noWrap/>
            <w:vAlign w:val="center"/>
            <w:hideMark/>
          </w:tcPr>
          <w:p w14:paraId="5F31BFB2" w14:textId="77777777" w:rsidR="00AC6BAB" w:rsidRPr="005A3397" w:rsidRDefault="00AC6BAB" w:rsidP="003518EB">
            <w:pPr>
              <w:spacing w:after="0" w:line="240" w:lineRule="auto"/>
              <w:jc w:val="right"/>
              <w:rPr>
                <w:rFonts w:cs="Arial"/>
                <w:b/>
                <w:color w:val="FFFFFF"/>
                <w:sz w:val="18"/>
                <w:szCs w:val="18"/>
              </w:rPr>
            </w:pPr>
            <w:r w:rsidRPr="005A3397">
              <w:rPr>
                <w:rFonts w:cs="Arial"/>
                <w:b/>
                <w:color w:val="FFFFFF"/>
                <w:sz w:val="18"/>
                <w:szCs w:val="22"/>
              </w:rPr>
              <w:t>Remote</w:t>
            </w:r>
          </w:p>
        </w:tc>
      </w:tr>
      <w:tr w:rsidR="00AC6BAB" w:rsidRPr="00443221" w14:paraId="08BED25A" w14:textId="77777777" w:rsidTr="003518EB">
        <w:trPr>
          <w:trHeight w:val="237"/>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519C9293" w14:textId="77777777" w:rsidR="00AC6BAB" w:rsidRPr="003518EB" w:rsidRDefault="00AC6BAB" w:rsidP="00AC6BAB">
            <w:pPr>
              <w:spacing w:after="0" w:line="240" w:lineRule="auto"/>
              <w:rPr>
                <w:rFonts w:cs="Arial"/>
                <w:color w:val="000000"/>
                <w:szCs w:val="20"/>
              </w:rPr>
            </w:pPr>
            <w:r w:rsidRPr="003518EB">
              <w:rPr>
                <w:rFonts w:cs="Arial"/>
                <w:color w:val="000000"/>
                <w:szCs w:val="20"/>
              </w:rPr>
              <w:t>30 MHz and below</w:t>
            </w:r>
          </w:p>
        </w:tc>
        <w:tc>
          <w:tcPr>
            <w:tcW w:w="1256" w:type="dxa"/>
            <w:tcBorders>
              <w:top w:val="nil"/>
              <w:left w:val="nil"/>
              <w:bottom w:val="single" w:sz="8" w:space="0" w:color="auto"/>
              <w:right w:val="single" w:sz="8" w:space="0" w:color="auto"/>
            </w:tcBorders>
            <w:shd w:val="clear" w:color="auto" w:fill="auto"/>
            <w:noWrap/>
            <w:vAlign w:val="center"/>
            <w:hideMark/>
          </w:tcPr>
          <w:p w14:paraId="7EAFF50E"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4.315</w:t>
            </w:r>
          </w:p>
        </w:tc>
        <w:tc>
          <w:tcPr>
            <w:tcW w:w="1011" w:type="dxa"/>
            <w:tcBorders>
              <w:top w:val="nil"/>
              <w:left w:val="nil"/>
              <w:bottom w:val="single" w:sz="8" w:space="0" w:color="auto"/>
              <w:right w:val="single" w:sz="8" w:space="0" w:color="auto"/>
            </w:tcBorders>
            <w:shd w:val="clear" w:color="auto" w:fill="auto"/>
            <w:noWrap/>
            <w:vAlign w:val="center"/>
            <w:hideMark/>
          </w:tcPr>
          <w:p w14:paraId="3F590A41"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4.315</w:t>
            </w:r>
          </w:p>
        </w:tc>
        <w:tc>
          <w:tcPr>
            <w:tcW w:w="1243" w:type="dxa"/>
            <w:tcBorders>
              <w:top w:val="nil"/>
              <w:left w:val="nil"/>
              <w:bottom w:val="single" w:sz="8" w:space="0" w:color="auto"/>
              <w:right w:val="single" w:sz="8" w:space="0" w:color="auto"/>
            </w:tcBorders>
            <w:shd w:val="clear" w:color="auto" w:fill="auto"/>
            <w:noWrap/>
            <w:vAlign w:val="center"/>
            <w:hideMark/>
          </w:tcPr>
          <w:p w14:paraId="55EB364E"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4.315</w:t>
            </w:r>
          </w:p>
        </w:tc>
        <w:tc>
          <w:tcPr>
            <w:tcW w:w="835" w:type="dxa"/>
            <w:tcBorders>
              <w:top w:val="nil"/>
              <w:left w:val="nil"/>
              <w:bottom w:val="single" w:sz="8" w:space="0" w:color="auto"/>
              <w:right w:val="single" w:sz="8" w:space="0" w:color="auto"/>
            </w:tcBorders>
            <w:shd w:val="clear" w:color="auto" w:fill="auto"/>
            <w:noWrap/>
            <w:vAlign w:val="center"/>
            <w:hideMark/>
          </w:tcPr>
          <w:p w14:paraId="3B8F2E3F"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4.315</w:t>
            </w:r>
          </w:p>
        </w:tc>
        <w:tc>
          <w:tcPr>
            <w:tcW w:w="1215" w:type="dxa"/>
            <w:tcBorders>
              <w:top w:val="nil"/>
              <w:left w:val="nil"/>
              <w:bottom w:val="single" w:sz="8" w:space="0" w:color="auto"/>
              <w:right w:val="single" w:sz="8" w:space="0" w:color="auto"/>
            </w:tcBorders>
            <w:shd w:val="clear" w:color="auto" w:fill="auto"/>
            <w:noWrap/>
            <w:vAlign w:val="center"/>
            <w:hideMark/>
          </w:tcPr>
          <w:p w14:paraId="7EEDED8A"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4.315</w:t>
            </w:r>
          </w:p>
        </w:tc>
      </w:tr>
      <w:tr w:rsidR="00AC6BAB" w:rsidRPr="00443221" w14:paraId="7243E8F6" w14:textId="77777777" w:rsidTr="003518EB">
        <w:trPr>
          <w:trHeight w:val="237"/>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1B988D0E" w14:textId="77777777" w:rsidR="00AC6BAB" w:rsidRPr="003518EB" w:rsidRDefault="00AC6BAB" w:rsidP="00AC6BAB">
            <w:pPr>
              <w:spacing w:after="0" w:line="240" w:lineRule="auto"/>
              <w:rPr>
                <w:rFonts w:cs="Arial"/>
                <w:color w:val="000000"/>
                <w:szCs w:val="20"/>
              </w:rPr>
            </w:pPr>
            <w:r w:rsidRPr="003518EB">
              <w:rPr>
                <w:rFonts w:cs="Arial"/>
                <w:color w:val="000000"/>
                <w:szCs w:val="20"/>
              </w:rPr>
              <w:t>&gt;30 to 70 MHz</w:t>
            </w:r>
          </w:p>
        </w:tc>
        <w:tc>
          <w:tcPr>
            <w:tcW w:w="1256" w:type="dxa"/>
            <w:tcBorders>
              <w:top w:val="nil"/>
              <w:left w:val="nil"/>
              <w:bottom w:val="single" w:sz="8" w:space="0" w:color="auto"/>
              <w:right w:val="single" w:sz="8" w:space="0" w:color="auto"/>
            </w:tcBorders>
            <w:shd w:val="clear" w:color="auto" w:fill="auto"/>
            <w:noWrap/>
            <w:vAlign w:val="center"/>
            <w:hideMark/>
          </w:tcPr>
          <w:p w14:paraId="46681B11"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9.747</w:t>
            </w:r>
          </w:p>
        </w:tc>
        <w:tc>
          <w:tcPr>
            <w:tcW w:w="1011" w:type="dxa"/>
            <w:tcBorders>
              <w:top w:val="nil"/>
              <w:left w:val="nil"/>
              <w:bottom w:val="single" w:sz="8" w:space="0" w:color="auto"/>
              <w:right w:val="single" w:sz="8" w:space="0" w:color="auto"/>
            </w:tcBorders>
            <w:shd w:val="clear" w:color="auto" w:fill="auto"/>
            <w:noWrap/>
            <w:vAlign w:val="center"/>
            <w:hideMark/>
          </w:tcPr>
          <w:p w14:paraId="22E331DF"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3.807</w:t>
            </w:r>
          </w:p>
        </w:tc>
        <w:tc>
          <w:tcPr>
            <w:tcW w:w="1243" w:type="dxa"/>
            <w:tcBorders>
              <w:top w:val="nil"/>
              <w:left w:val="nil"/>
              <w:bottom w:val="single" w:sz="8" w:space="0" w:color="auto"/>
              <w:right w:val="single" w:sz="8" w:space="0" w:color="auto"/>
            </w:tcBorders>
            <w:shd w:val="clear" w:color="auto" w:fill="auto"/>
            <w:noWrap/>
            <w:vAlign w:val="center"/>
            <w:hideMark/>
          </w:tcPr>
          <w:p w14:paraId="00FCF190"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2.025</w:t>
            </w:r>
          </w:p>
        </w:tc>
        <w:tc>
          <w:tcPr>
            <w:tcW w:w="835" w:type="dxa"/>
            <w:tcBorders>
              <w:top w:val="nil"/>
              <w:left w:val="nil"/>
              <w:bottom w:val="single" w:sz="8" w:space="0" w:color="auto"/>
              <w:right w:val="single" w:sz="8" w:space="0" w:color="auto"/>
            </w:tcBorders>
            <w:shd w:val="clear" w:color="auto" w:fill="auto"/>
            <w:noWrap/>
            <w:vAlign w:val="center"/>
            <w:hideMark/>
          </w:tcPr>
          <w:p w14:paraId="02CBC19C"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0.437</w:t>
            </w:r>
          </w:p>
        </w:tc>
        <w:tc>
          <w:tcPr>
            <w:tcW w:w="1215" w:type="dxa"/>
            <w:tcBorders>
              <w:top w:val="nil"/>
              <w:left w:val="nil"/>
              <w:bottom w:val="single" w:sz="8" w:space="0" w:color="auto"/>
              <w:right w:val="single" w:sz="8" w:space="0" w:color="auto"/>
            </w:tcBorders>
            <w:shd w:val="clear" w:color="auto" w:fill="auto"/>
            <w:noWrap/>
            <w:vAlign w:val="center"/>
            <w:hideMark/>
          </w:tcPr>
          <w:p w14:paraId="5DCF3C29"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0.218</w:t>
            </w:r>
          </w:p>
        </w:tc>
      </w:tr>
      <w:tr w:rsidR="00AC6BAB" w:rsidRPr="00443221" w14:paraId="1A5314DE" w14:textId="77777777" w:rsidTr="003518EB">
        <w:trPr>
          <w:trHeight w:val="237"/>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324D24D2" w14:textId="77777777" w:rsidR="00AC6BAB" w:rsidRPr="003518EB" w:rsidRDefault="00AC6BAB" w:rsidP="00AC6BAB">
            <w:pPr>
              <w:spacing w:after="0" w:line="240" w:lineRule="auto"/>
              <w:rPr>
                <w:rFonts w:cs="Arial"/>
                <w:color w:val="000000"/>
                <w:szCs w:val="20"/>
              </w:rPr>
            </w:pPr>
            <w:r w:rsidRPr="003518EB">
              <w:rPr>
                <w:rFonts w:cs="Arial"/>
                <w:color w:val="000000"/>
                <w:szCs w:val="20"/>
              </w:rPr>
              <w:t>&gt;70 to 399.9 MHz</w:t>
            </w:r>
          </w:p>
        </w:tc>
        <w:tc>
          <w:tcPr>
            <w:tcW w:w="1256" w:type="dxa"/>
            <w:tcBorders>
              <w:top w:val="nil"/>
              <w:left w:val="nil"/>
              <w:bottom w:val="single" w:sz="8" w:space="0" w:color="auto"/>
              <w:right w:val="single" w:sz="8" w:space="0" w:color="auto"/>
            </w:tcBorders>
            <w:shd w:val="clear" w:color="auto" w:fill="auto"/>
            <w:noWrap/>
            <w:vAlign w:val="center"/>
            <w:hideMark/>
          </w:tcPr>
          <w:p w14:paraId="548A6514"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10</w:t>
            </w:r>
          </w:p>
        </w:tc>
        <w:tc>
          <w:tcPr>
            <w:tcW w:w="1011" w:type="dxa"/>
            <w:tcBorders>
              <w:top w:val="nil"/>
              <w:left w:val="nil"/>
              <w:bottom w:val="single" w:sz="8" w:space="0" w:color="auto"/>
              <w:right w:val="single" w:sz="8" w:space="0" w:color="auto"/>
            </w:tcBorders>
            <w:shd w:val="clear" w:color="auto" w:fill="auto"/>
            <w:noWrap/>
            <w:vAlign w:val="center"/>
            <w:hideMark/>
          </w:tcPr>
          <w:p w14:paraId="5C54937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4.104</w:t>
            </w:r>
          </w:p>
        </w:tc>
        <w:tc>
          <w:tcPr>
            <w:tcW w:w="1243" w:type="dxa"/>
            <w:tcBorders>
              <w:top w:val="nil"/>
              <w:left w:val="nil"/>
              <w:bottom w:val="single" w:sz="8" w:space="0" w:color="auto"/>
              <w:right w:val="single" w:sz="8" w:space="0" w:color="auto"/>
            </w:tcBorders>
            <w:shd w:val="clear" w:color="auto" w:fill="auto"/>
            <w:noWrap/>
            <w:vAlign w:val="center"/>
            <w:hideMark/>
          </w:tcPr>
          <w:p w14:paraId="33AA4F51"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1.878</w:t>
            </w:r>
          </w:p>
        </w:tc>
        <w:tc>
          <w:tcPr>
            <w:tcW w:w="835" w:type="dxa"/>
            <w:tcBorders>
              <w:top w:val="nil"/>
              <w:left w:val="nil"/>
              <w:bottom w:val="single" w:sz="8" w:space="0" w:color="auto"/>
              <w:right w:val="single" w:sz="8" w:space="0" w:color="auto"/>
            </w:tcBorders>
            <w:shd w:val="clear" w:color="auto" w:fill="auto"/>
            <w:noWrap/>
            <w:vAlign w:val="center"/>
            <w:hideMark/>
          </w:tcPr>
          <w:p w14:paraId="27B19F6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0.421</w:t>
            </w:r>
          </w:p>
        </w:tc>
        <w:tc>
          <w:tcPr>
            <w:tcW w:w="1215" w:type="dxa"/>
            <w:tcBorders>
              <w:top w:val="nil"/>
              <w:left w:val="nil"/>
              <w:bottom w:val="single" w:sz="8" w:space="0" w:color="auto"/>
              <w:right w:val="single" w:sz="8" w:space="0" w:color="auto"/>
            </w:tcBorders>
            <w:shd w:val="clear" w:color="auto" w:fill="auto"/>
            <w:noWrap/>
            <w:vAlign w:val="center"/>
            <w:hideMark/>
          </w:tcPr>
          <w:p w14:paraId="643D2F79"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0.21</w:t>
            </w:r>
          </w:p>
        </w:tc>
      </w:tr>
      <w:tr w:rsidR="00AC6BAB" w:rsidRPr="00443221" w14:paraId="6F834157" w14:textId="77777777" w:rsidTr="003518EB">
        <w:trPr>
          <w:trHeight w:val="237"/>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00544F4F" w14:textId="77777777" w:rsidR="00AC6BAB" w:rsidRPr="003518EB" w:rsidRDefault="00AC6BAB" w:rsidP="00AC6BAB">
            <w:pPr>
              <w:spacing w:after="0" w:line="240" w:lineRule="auto"/>
              <w:rPr>
                <w:rFonts w:cs="Arial"/>
                <w:color w:val="000000"/>
                <w:szCs w:val="20"/>
              </w:rPr>
            </w:pPr>
            <w:r w:rsidRPr="003518EB">
              <w:rPr>
                <w:rFonts w:cs="Arial"/>
                <w:color w:val="000000"/>
                <w:szCs w:val="20"/>
              </w:rPr>
              <w:t>&gt;399.9 to 403 MHz</w:t>
            </w:r>
          </w:p>
        </w:tc>
        <w:tc>
          <w:tcPr>
            <w:tcW w:w="1256" w:type="dxa"/>
            <w:tcBorders>
              <w:top w:val="nil"/>
              <w:left w:val="nil"/>
              <w:bottom w:val="single" w:sz="8" w:space="0" w:color="auto"/>
              <w:right w:val="single" w:sz="8" w:space="0" w:color="auto"/>
            </w:tcBorders>
            <w:shd w:val="clear" w:color="auto" w:fill="auto"/>
            <w:noWrap/>
            <w:vAlign w:val="center"/>
            <w:hideMark/>
          </w:tcPr>
          <w:p w14:paraId="3D734831"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10</w:t>
            </w:r>
          </w:p>
        </w:tc>
        <w:tc>
          <w:tcPr>
            <w:tcW w:w="1011" w:type="dxa"/>
            <w:tcBorders>
              <w:top w:val="nil"/>
              <w:left w:val="nil"/>
              <w:bottom w:val="single" w:sz="8" w:space="0" w:color="auto"/>
              <w:right w:val="single" w:sz="8" w:space="0" w:color="auto"/>
            </w:tcBorders>
            <w:shd w:val="clear" w:color="auto" w:fill="auto"/>
            <w:noWrap/>
            <w:vAlign w:val="center"/>
            <w:hideMark/>
          </w:tcPr>
          <w:p w14:paraId="0AA54603"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5.6</w:t>
            </w:r>
          </w:p>
        </w:tc>
        <w:tc>
          <w:tcPr>
            <w:tcW w:w="1243" w:type="dxa"/>
            <w:tcBorders>
              <w:top w:val="nil"/>
              <w:left w:val="nil"/>
              <w:bottom w:val="single" w:sz="8" w:space="0" w:color="auto"/>
              <w:right w:val="single" w:sz="8" w:space="0" w:color="auto"/>
            </w:tcBorders>
            <w:shd w:val="clear" w:color="auto" w:fill="auto"/>
            <w:noWrap/>
            <w:vAlign w:val="center"/>
            <w:hideMark/>
          </w:tcPr>
          <w:p w14:paraId="017BAA86"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2.562</w:t>
            </w:r>
          </w:p>
        </w:tc>
        <w:tc>
          <w:tcPr>
            <w:tcW w:w="835" w:type="dxa"/>
            <w:tcBorders>
              <w:top w:val="nil"/>
              <w:left w:val="nil"/>
              <w:bottom w:val="single" w:sz="8" w:space="0" w:color="auto"/>
              <w:right w:val="single" w:sz="8" w:space="0" w:color="auto"/>
            </w:tcBorders>
            <w:shd w:val="clear" w:color="auto" w:fill="auto"/>
            <w:noWrap/>
            <w:vAlign w:val="center"/>
            <w:hideMark/>
          </w:tcPr>
          <w:p w14:paraId="00498A76"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0.437</w:t>
            </w:r>
          </w:p>
        </w:tc>
        <w:tc>
          <w:tcPr>
            <w:tcW w:w="1215" w:type="dxa"/>
            <w:tcBorders>
              <w:top w:val="nil"/>
              <w:left w:val="nil"/>
              <w:bottom w:val="single" w:sz="8" w:space="0" w:color="auto"/>
              <w:right w:val="single" w:sz="8" w:space="0" w:color="auto"/>
            </w:tcBorders>
            <w:shd w:val="clear" w:color="auto" w:fill="auto"/>
            <w:noWrap/>
            <w:vAlign w:val="center"/>
            <w:hideMark/>
          </w:tcPr>
          <w:p w14:paraId="205171B0"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0.218</w:t>
            </w:r>
          </w:p>
        </w:tc>
      </w:tr>
      <w:tr w:rsidR="00AC6BAB" w:rsidRPr="00443221" w14:paraId="743EA53D" w14:textId="77777777" w:rsidTr="003518EB">
        <w:trPr>
          <w:trHeight w:val="237"/>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196E973A" w14:textId="77777777" w:rsidR="00AC6BAB" w:rsidRPr="003518EB" w:rsidRDefault="00AC6BAB" w:rsidP="00AC6BAB">
            <w:pPr>
              <w:spacing w:after="0" w:line="240" w:lineRule="auto"/>
              <w:rPr>
                <w:rFonts w:cs="Arial"/>
                <w:color w:val="000000"/>
                <w:szCs w:val="20"/>
              </w:rPr>
            </w:pPr>
            <w:r w:rsidRPr="003518EB">
              <w:rPr>
                <w:rFonts w:cs="Arial"/>
                <w:color w:val="000000"/>
                <w:szCs w:val="20"/>
              </w:rPr>
              <w:t>&gt;403 to 520 MHz</w:t>
            </w:r>
          </w:p>
        </w:tc>
        <w:tc>
          <w:tcPr>
            <w:tcW w:w="1256" w:type="dxa"/>
            <w:tcBorders>
              <w:top w:val="nil"/>
              <w:left w:val="nil"/>
              <w:bottom w:val="single" w:sz="8" w:space="0" w:color="auto"/>
              <w:right w:val="single" w:sz="8" w:space="0" w:color="auto"/>
            </w:tcBorders>
            <w:shd w:val="clear" w:color="auto" w:fill="auto"/>
            <w:noWrap/>
            <w:vAlign w:val="center"/>
            <w:hideMark/>
          </w:tcPr>
          <w:p w14:paraId="42AC3FD9"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10</w:t>
            </w:r>
          </w:p>
        </w:tc>
        <w:tc>
          <w:tcPr>
            <w:tcW w:w="1011" w:type="dxa"/>
            <w:tcBorders>
              <w:top w:val="nil"/>
              <w:left w:val="nil"/>
              <w:bottom w:val="single" w:sz="8" w:space="0" w:color="auto"/>
              <w:right w:val="single" w:sz="8" w:space="0" w:color="auto"/>
            </w:tcBorders>
            <w:shd w:val="clear" w:color="auto" w:fill="auto"/>
            <w:noWrap/>
            <w:vAlign w:val="center"/>
            <w:hideMark/>
          </w:tcPr>
          <w:p w14:paraId="651A2F03"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7.4114</w:t>
            </w:r>
          </w:p>
        </w:tc>
        <w:tc>
          <w:tcPr>
            <w:tcW w:w="1243" w:type="dxa"/>
            <w:tcBorders>
              <w:top w:val="nil"/>
              <w:left w:val="nil"/>
              <w:bottom w:val="single" w:sz="8" w:space="0" w:color="auto"/>
              <w:right w:val="single" w:sz="8" w:space="0" w:color="auto"/>
            </w:tcBorders>
            <w:shd w:val="clear" w:color="auto" w:fill="auto"/>
            <w:noWrap/>
            <w:vAlign w:val="center"/>
            <w:hideMark/>
          </w:tcPr>
          <w:p w14:paraId="388A755C"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2.562</w:t>
            </w:r>
          </w:p>
        </w:tc>
        <w:tc>
          <w:tcPr>
            <w:tcW w:w="835" w:type="dxa"/>
            <w:tcBorders>
              <w:top w:val="nil"/>
              <w:left w:val="nil"/>
              <w:bottom w:val="single" w:sz="8" w:space="0" w:color="auto"/>
              <w:right w:val="single" w:sz="8" w:space="0" w:color="auto"/>
            </w:tcBorders>
            <w:shd w:val="clear" w:color="auto" w:fill="auto"/>
            <w:noWrap/>
            <w:vAlign w:val="center"/>
            <w:hideMark/>
          </w:tcPr>
          <w:p w14:paraId="32C51A26"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0.437</w:t>
            </w:r>
          </w:p>
        </w:tc>
        <w:tc>
          <w:tcPr>
            <w:tcW w:w="1215" w:type="dxa"/>
            <w:tcBorders>
              <w:top w:val="nil"/>
              <w:left w:val="nil"/>
              <w:bottom w:val="single" w:sz="8" w:space="0" w:color="auto"/>
              <w:right w:val="single" w:sz="8" w:space="0" w:color="auto"/>
            </w:tcBorders>
            <w:shd w:val="clear" w:color="auto" w:fill="auto"/>
            <w:noWrap/>
            <w:vAlign w:val="center"/>
            <w:hideMark/>
          </w:tcPr>
          <w:p w14:paraId="4E88E17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w:t>
            </w:r>
          </w:p>
        </w:tc>
      </w:tr>
      <w:tr w:rsidR="00AC6BAB" w:rsidRPr="00443221" w14:paraId="1187401F" w14:textId="77777777" w:rsidTr="003518EB">
        <w:trPr>
          <w:trHeight w:val="237"/>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2255FD8A" w14:textId="77777777" w:rsidR="00AC6BAB" w:rsidRPr="003518EB" w:rsidRDefault="00AC6BAB" w:rsidP="00AC6BAB">
            <w:pPr>
              <w:spacing w:after="0" w:line="240" w:lineRule="auto"/>
              <w:rPr>
                <w:rFonts w:cs="Arial"/>
                <w:color w:val="000000"/>
                <w:szCs w:val="20"/>
              </w:rPr>
            </w:pPr>
            <w:r w:rsidRPr="003518EB">
              <w:rPr>
                <w:rFonts w:cs="Arial"/>
                <w:color w:val="000000"/>
                <w:szCs w:val="20"/>
              </w:rPr>
              <w:t>&gt;520 to 960 MHz</w:t>
            </w:r>
          </w:p>
        </w:tc>
        <w:tc>
          <w:tcPr>
            <w:tcW w:w="1256" w:type="dxa"/>
            <w:tcBorders>
              <w:top w:val="nil"/>
              <w:left w:val="nil"/>
              <w:bottom w:val="single" w:sz="8" w:space="0" w:color="auto"/>
              <w:right w:val="single" w:sz="8" w:space="0" w:color="auto"/>
            </w:tcBorders>
            <w:shd w:val="clear" w:color="auto" w:fill="auto"/>
            <w:noWrap/>
            <w:vAlign w:val="center"/>
            <w:hideMark/>
          </w:tcPr>
          <w:p w14:paraId="57EC4BA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10</w:t>
            </w:r>
          </w:p>
        </w:tc>
        <w:tc>
          <w:tcPr>
            <w:tcW w:w="1011" w:type="dxa"/>
            <w:tcBorders>
              <w:top w:val="nil"/>
              <w:left w:val="nil"/>
              <w:bottom w:val="single" w:sz="8" w:space="0" w:color="auto"/>
              <w:right w:val="single" w:sz="8" w:space="0" w:color="auto"/>
            </w:tcBorders>
            <w:shd w:val="clear" w:color="auto" w:fill="auto"/>
            <w:noWrap/>
            <w:vAlign w:val="center"/>
            <w:hideMark/>
          </w:tcPr>
          <w:p w14:paraId="1F1F5289"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5.6</w:t>
            </w:r>
          </w:p>
        </w:tc>
        <w:tc>
          <w:tcPr>
            <w:tcW w:w="1243" w:type="dxa"/>
            <w:tcBorders>
              <w:top w:val="nil"/>
              <w:left w:val="nil"/>
              <w:bottom w:val="single" w:sz="8" w:space="0" w:color="auto"/>
              <w:right w:val="single" w:sz="8" w:space="0" w:color="auto"/>
            </w:tcBorders>
            <w:shd w:val="clear" w:color="auto" w:fill="auto"/>
            <w:noWrap/>
            <w:vAlign w:val="center"/>
            <w:hideMark/>
          </w:tcPr>
          <w:p w14:paraId="0FAE17D5"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2.562</w:t>
            </w:r>
          </w:p>
        </w:tc>
        <w:tc>
          <w:tcPr>
            <w:tcW w:w="835" w:type="dxa"/>
            <w:tcBorders>
              <w:top w:val="nil"/>
              <w:left w:val="nil"/>
              <w:bottom w:val="single" w:sz="8" w:space="0" w:color="auto"/>
              <w:right w:val="single" w:sz="8" w:space="0" w:color="auto"/>
            </w:tcBorders>
            <w:shd w:val="clear" w:color="auto" w:fill="auto"/>
            <w:noWrap/>
            <w:vAlign w:val="center"/>
            <w:hideMark/>
          </w:tcPr>
          <w:p w14:paraId="24D4F37D"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0.437</w:t>
            </w:r>
          </w:p>
        </w:tc>
        <w:tc>
          <w:tcPr>
            <w:tcW w:w="1215" w:type="dxa"/>
            <w:tcBorders>
              <w:top w:val="nil"/>
              <w:left w:val="nil"/>
              <w:bottom w:val="single" w:sz="8" w:space="0" w:color="auto"/>
              <w:right w:val="single" w:sz="8" w:space="0" w:color="auto"/>
            </w:tcBorders>
            <w:shd w:val="clear" w:color="auto" w:fill="auto"/>
            <w:noWrap/>
            <w:vAlign w:val="center"/>
            <w:hideMark/>
          </w:tcPr>
          <w:p w14:paraId="188DC33A"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0.218</w:t>
            </w:r>
          </w:p>
        </w:tc>
      </w:tr>
      <w:tr w:rsidR="00AC6BAB" w:rsidRPr="00443221" w14:paraId="1A247834" w14:textId="77777777" w:rsidTr="003518EB">
        <w:trPr>
          <w:trHeight w:val="237"/>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0CB393A5" w14:textId="77777777" w:rsidR="00AC6BAB" w:rsidRPr="003518EB" w:rsidRDefault="00AC6BAB" w:rsidP="00AC6BAB">
            <w:pPr>
              <w:spacing w:after="0" w:line="240" w:lineRule="auto"/>
              <w:rPr>
                <w:rFonts w:cs="Arial"/>
                <w:color w:val="000000"/>
                <w:szCs w:val="20"/>
              </w:rPr>
            </w:pPr>
            <w:r w:rsidRPr="003518EB">
              <w:rPr>
                <w:rFonts w:cs="Arial"/>
                <w:color w:val="000000"/>
                <w:szCs w:val="20"/>
              </w:rPr>
              <w:t>&gt;960 to 2,690 MHz</w:t>
            </w:r>
          </w:p>
        </w:tc>
        <w:tc>
          <w:tcPr>
            <w:tcW w:w="1256" w:type="dxa"/>
            <w:tcBorders>
              <w:top w:val="nil"/>
              <w:left w:val="nil"/>
              <w:bottom w:val="single" w:sz="8" w:space="0" w:color="auto"/>
              <w:right w:val="single" w:sz="8" w:space="0" w:color="auto"/>
            </w:tcBorders>
            <w:shd w:val="clear" w:color="auto" w:fill="auto"/>
            <w:noWrap/>
            <w:vAlign w:val="center"/>
            <w:hideMark/>
          </w:tcPr>
          <w:p w14:paraId="6033E520"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9.985</w:t>
            </w:r>
          </w:p>
        </w:tc>
        <w:tc>
          <w:tcPr>
            <w:tcW w:w="1011" w:type="dxa"/>
            <w:tcBorders>
              <w:top w:val="nil"/>
              <w:left w:val="nil"/>
              <w:bottom w:val="single" w:sz="8" w:space="0" w:color="auto"/>
              <w:right w:val="single" w:sz="8" w:space="0" w:color="auto"/>
            </w:tcBorders>
            <w:shd w:val="clear" w:color="auto" w:fill="auto"/>
            <w:noWrap/>
            <w:vAlign w:val="center"/>
            <w:hideMark/>
          </w:tcPr>
          <w:p w14:paraId="41E9E1B4"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2.241</w:t>
            </w:r>
          </w:p>
        </w:tc>
        <w:tc>
          <w:tcPr>
            <w:tcW w:w="1243" w:type="dxa"/>
            <w:tcBorders>
              <w:top w:val="nil"/>
              <w:left w:val="nil"/>
              <w:bottom w:val="single" w:sz="8" w:space="0" w:color="auto"/>
              <w:right w:val="single" w:sz="8" w:space="0" w:color="auto"/>
            </w:tcBorders>
            <w:shd w:val="clear" w:color="auto" w:fill="auto"/>
            <w:noWrap/>
            <w:vAlign w:val="center"/>
            <w:hideMark/>
          </w:tcPr>
          <w:p w14:paraId="44849181"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1.036</w:t>
            </w:r>
          </w:p>
        </w:tc>
        <w:tc>
          <w:tcPr>
            <w:tcW w:w="835" w:type="dxa"/>
            <w:tcBorders>
              <w:top w:val="nil"/>
              <w:left w:val="nil"/>
              <w:bottom w:val="single" w:sz="8" w:space="0" w:color="auto"/>
              <w:right w:val="single" w:sz="8" w:space="0" w:color="auto"/>
            </w:tcBorders>
            <w:shd w:val="clear" w:color="auto" w:fill="auto"/>
            <w:noWrap/>
            <w:vAlign w:val="center"/>
            <w:hideMark/>
          </w:tcPr>
          <w:p w14:paraId="2CCED6E9"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0.521</w:t>
            </w:r>
          </w:p>
        </w:tc>
        <w:tc>
          <w:tcPr>
            <w:tcW w:w="1215" w:type="dxa"/>
            <w:tcBorders>
              <w:top w:val="nil"/>
              <w:left w:val="nil"/>
              <w:bottom w:val="single" w:sz="8" w:space="0" w:color="auto"/>
              <w:right w:val="single" w:sz="8" w:space="0" w:color="auto"/>
            </w:tcBorders>
            <w:shd w:val="clear" w:color="auto" w:fill="auto"/>
            <w:noWrap/>
            <w:vAlign w:val="center"/>
            <w:hideMark/>
          </w:tcPr>
          <w:p w14:paraId="1617625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0.26</w:t>
            </w:r>
          </w:p>
        </w:tc>
      </w:tr>
      <w:tr w:rsidR="00AC6BAB" w:rsidRPr="00443221" w14:paraId="3CF9BD4A" w14:textId="77777777" w:rsidTr="003518EB">
        <w:trPr>
          <w:trHeight w:val="237"/>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04241925" w14:textId="77777777" w:rsidR="00AC6BAB" w:rsidRPr="003518EB" w:rsidRDefault="00AC6BAB" w:rsidP="00AC6BAB">
            <w:pPr>
              <w:spacing w:after="0" w:line="240" w:lineRule="auto"/>
              <w:rPr>
                <w:rFonts w:cs="Arial"/>
                <w:color w:val="000000"/>
                <w:szCs w:val="20"/>
              </w:rPr>
            </w:pPr>
            <w:r w:rsidRPr="003518EB">
              <w:rPr>
                <w:rFonts w:cs="Arial"/>
                <w:color w:val="000000"/>
                <w:szCs w:val="20"/>
              </w:rPr>
              <w:t>&gt;2,690 to 5,000 MHz</w:t>
            </w:r>
          </w:p>
        </w:tc>
        <w:tc>
          <w:tcPr>
            <w:tcW w:w="1256" w:type="dxa"/>
            <w:tcBorders>
              <w:top w:val="nil"/>
              <w:left w:val="nil"/>
              <w:bottom w:val="single" w:sz="8" w:space="0" w:color="auto"/>
              <w:right w:val="single" w:sz="8" w:space="0" w:color="auto"/>
            </w:tcBorders>
            <w:shd w:val="clear" w:color="auto" w:fill="auto"/>
            <w:noWrap/>
            <w:vAlign w:val="center"/>
            <w:hideMark/>
          </w:tcPr>
          <w:p w14:paraId="77E5410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9.974</w:t>
            </w:r>
          </w:p>
        </w:tc>
        <w:tc>
          <w:tcPr>
            <w:tcW w:w="1011" w:type="dxa"/>
            <w:tcBorders>
              <w:top w:val="nil"/>
              <w:left w:val="nil"/>
              <w:bottom w:val="single" w:sz="8" w:space="0" w:color="auto"/>
              <w:right w:val="single" w:sz="8" w:space="0" w:color="auto"/>
            </w:tcBorders>
            <w:shd w:val="clear" w:color="auto" w:fill="auto"/>
            <w:noWrap/>
            <w:vAlign w:val="center"/>
            <w:hideMark/>
          </w:tcPr>
          <w:p w14:paraId="30FCD0A2"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1.853</w:t>
            </w:r>
          </w:p>
        </w:tc>
        <w:tc>
          <w:tcPr>
            <w:tcW w:w="1243" w:type="dxa"/>
            <w:tcBorders>
              <w:top w:val="nil"/>
              <w:left w:val="nil"/>
              <w:bottom w:val="single" w:sz="8" w:space="0" w:color="auto"/>
              <w:right w:val="single" w:sz="8" w:space="0" w:color="auto"/>
            </w:tcBorders>
            <w:shd w:val="clear" w:color="auto" w:fill="auto"/>
            <w:noWrap/>
            <w:vAlign w:val="center"/>
            <w:hideMark/>
          </w:tcPr>
          <w:p w14:paraId="6DDCB316"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0.751</w:t>
            </w:r>
          </w:p>
        </w:tc>
        <w:tc>
          <w:tcPr>
            <w:tcW w:w="835" w:type="dxa"/>
            <w:tcBorders>
              <w:top w:val="nil"/>
              <w:left w:val="nil"/>
              <w:bottom w:val="single" w:sz="8" w:space="0" w:color="auto"/>
              <w:right w:val="single" w:sz="8" w:space="0" w:color="auto"/>
            </w:tcBorders>
            <w:shd w:val="clear" w:color="auto" w:fill="auto"/>
            <w:noWrap/>
            <w:vAlign w:val="center"/>
            <w:hideMark/>
          </w:tcPr>
          <w:p w14:paraId="46CF43D6"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0.622</w:t>
            </w:r>
          </w:p>
        </w:tc>
        <w:tc>
          <w:tcPr>
            <w:tcW w:w="1215" w:type="dxa"/>
            <w:tcBorders>
              <w:top w:val="nil"/>
              <w:left w:val="nil"/>
              <w:bottom w:val="single" w:sz="8" w:space="0" w:color="auto"/>
              <w:right w:val="single" w:sz="8" w:space="0" w:color="auto"/>
            </w:tcBorders>
            <w:shd w:val="clear" w:color="auto" w:fill="auto"/>
            <w:noWrap/>
            <w:vAlign w:val="center"/>
            <w:hideMark/>
          </w:tcPr>
          <w:p w14:paraId="186A3180"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0.311</w:t>
            </w:r>
          </w:p>
        </w:tc>
      </w:tr>
      <w:tr w:rsidR="00AC6BAB" w:rsidRPr="00443221" w14:paraId="4BA98602" w14:textId="77777777" w:rsidTr="003518EB">
        <w:trPr>
          <w:trHeight w:val="237"/>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53DF85CA" w14:textId="77777777" w:rsidR="00AC6BAB" w:rsidRPr="003518EB" w:rsidRDefault="00AC6BAB" w:rsidP="00AC6BAB">
            <w:pPr>
              <w:spacing w:after="0" w:line="240" w:lineRule="auto"/>
              <w:rPr>
                <w:rFonts w:cs="Arial"/>
                <w:color w:val="000000"/>
                <w:szCs w:val="20"/>
              </w:rPr>
            </w:pPr>
            <w:r w:rsidRPr="003518EB">
              <w:rPr>
                <w:rFonts w:cs="Arial"/>
                <w:color w:val="000000"/>
                <w:szCs w:val="20"/>
              </w:rPr>
              <w:t>&gt;5.0 to 8.5 GHz</w:t>
            </w:r>
          </w:p>
        </w:tc>
        <w:tc>
          <w:tcPr>
            <w:tcW w:w="1256" w:type="dxa"/>
            <w:tcBorders>
              <w:top w:val="nil"/>
              <w:left w:val="nil"/>
              <w:bottom w:val="single" w:sz="8" w:space="0" w:color="auto"/>
              <w:right w:val="single" w:sz="8" w:space="0" w:color="auto"/>
            </w:tcBorders>
            <w:shd w:val="clear" w:color="auto" w:fill="auto"/>
            <w:noWrap/>
            <w:vAlign w:val="center"/>
            <w:hideMark/>
          </w:tcPr>
          <w:p w14:paraId="411C824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8.421</w:t>
            </w:r>
          </w:p>
        </w:tc>
        <w:tc>
          <w:tcPr>
            <w:tcW w:w="1011" w:type="dxa"/>
            <w:tcBorders>
              <w:top w:val="nil"/>
              <w:left w:val="nil"/>
              <w:bottom w:val="single" w:sz="8" w:space="0" w:color="auto"/>
              <w:right w:val="single" w:sz="8" w:space="0" w:color="auto"/>
            </w:tcBorders>
            <w:shd w:val="clear" w:color="auto" w:fill="auto"/>
            <w:noWrap/>
            <w:vAlign w:val="center"/>
            <w:hideMark/>
          </w:tcPr>
          <w:p w14:paraId="7DBECD35"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1.557</w:t>
            </w:r>
          </w:p>
        </w:tc>
        <w:tc>
          <w:tcPr>
            <w:tcW w:w="1243" w:type="dxa"/>
            <w:tcBorders>
              <w:top w:val="nil"/>
              <w:left w:val="nil"/>
              <w:bottom w:val="single" w:sz="8" w:space="0" w:color="auto"/>
              <w:right w:val="single" w:sz="8" w:space="0" w:color="auto"/>
            </w:tcBorders>
            <w:shd w:val="clear" w:color="auto" w:fill="auto"/>
            <w:noWrap/>
            <w:vAlign w:val="center"/>
            <w:hideMark/>
          </w:tcPr>
          <w:p w14:paraId="1BD36E4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0.725</w:t>
            </w:r>
          </w:p>
        </w:tc>
        <w:tc>
          <w:tcPr>
            <w:tcW w:w="835" w:type="dxa"/>
            <w:tcBorders>
              <w:top w:val="nil"/>
              <w:left w:val="nil"/>
              <w:bottom w:val="single" w:sz="8" w:space="0" w:color="auto"/>
              <w:right w:val="single" w:sz="8" w:space="0" w:color="auto"/>
            </w:tcBorders>
            <w:shd w:val="clear" w:color="auto" w:fill="auto"/>
            <w:noWrap/>
            <w:vAlign w:val="center"/>
            <w:hideMark/>
          </w:tcPr>
          <w:p w14:paraId="193A75BC"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0.33</w:t>
            </w:r>
          </w:p>
        </w:tc>
        <w:tc>
          <w:tcPr>
            <w:tcW w:w="1215" w:type="dxa"/>
            <w:tcBorders>
              <w:top w:val="nil"/>
              <w:left w:val="nil"/>
              <w:bottom w:val="single" w:sz="8" w:space="0" w:color="auto"/>
              <w:right w:val="single" w:sz="8" w:space="0" w:color="auto"/>
            </w:tcBorders>
            <w:shd w:val="clear" w:color="auto" w:fill="auto"/>
            <w:noWrap/>
            <w:vAlign w:val="center"/>
            <w:hideMark/>
          </w:tcPr>
          <w:p w14:paraId="72C35BE6"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0.16</w:t>
            </w:r>
          </w:p>
        </w:tc>
      </w:tr>
      <w:tr w:rsidR="00AC6BAB" w:rsidRPr="00443221" w14:paraId="62326885" w14:textId="77777777" w:rsidTr="003518EB">
        <w:trPr>
          <w:trHeight w:val="237"/>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4186D384" w14:textId="77777777" w:rsidR="00AC6BAB" w:rsidRPr="003518EB" w:rsidRDefault="00AC6BAB" w:rsidP="00AC6BAB">
            <w:pPr>
              <w:spacing w:after="0" w:line="240" w:lineRule="auto"/>
              <w:rPr>
                <w:rFonts w:cs="Arial"/>
                <w:color w:val="000000"/>
                <w:szCs w:val="20"/>
              </w:rPr>
            </w:pPr>
            <w:r w:rsidRPr="003518EB">
              <w:rPr>
                <w:rFonts w:cs="Arial"/>
                <w:color w:val="000000"/>
                <w:szCs w:val="20"/>
              </w:rPr>
              <w:t>&gt;8.5 to 14.5 GHz</w:t>
            </w:r>
          </w:p>
        </w:tc>
        <w:tc>
          <w:tcPr>
            <w:tcW w:w="1256" w:type="dxa"/>
            <w:tcBorders>
              <w:top w:val="nil"/>
              <w:left w:val="nil"/>
              <w:bottom w:val="single" w:sz="8" w:space="0" w:color="auto"/>
              <w:right w:val="single" w:sz="8" w:space="0" w:color="auto"/>
            </w:tcBorders>
            <w:shd w:val="clear" w:color="auto" w:fill="auto"/>
            <w:noWrap/>
            <w:vAlign w:val="center"/>
            <w:hideMark/>
          </w:tcPr>
          <w:p w14:paraId="6C6D522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3.711</w:t>
            </w:r>
          </w:p>
        </w:tc>
        <w:tc>
          <w:tcPr>
            <w:tcW w:w="1011" w:type="dxa"/>
            <w:tcBorders>
              <w:top w:val="nil"/>
              <w:left w:val="nil"/>
              <w:bottom w:val="single" w:sz="8" w:space="0" w:color="auto"/>
              <w:right w:val="single" w:sz="8" w:space="0" w:color="auto"/>
            </w:tcBorders>
            <w:shd w:val="clear" w:color="auto" w:fill="auto"/>
            <w:noWrap/>
            <w:vAlign w:val="center"/>
            <w:hideMark/>
          </w:tcPr>
          <w:p w14:paraId="38F5B541"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1.336</w:t>
            </w:r>
          </w:p>
        </w:tc>
        <w:tc>
          <w:tcPr>
            <w:tcW w:w="1243" w:type="dxa"/>
            <w:tcBorders>
              <w:top w:val="nil"/>
              <w:left w:val="nil"/>
              <w:bottom w:val="single" w:sz="8" w:space="0" w:color="auto"/>
              <w:right w:val="single" w:sz="8" w:space="0" w:color="auto"/>
            </w:tcBorders>
            <w:shd w:val="clear" w:color="auto" w:fill="auto"/>
            <w:noWrap/>
            <w:vAlign w:val="center"/>
            <w:hideMark/>
          </w:tcPr>
          <w:p w14:paraId="453747AB"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0.316</w:t>
            </w:r>
          </w:p>
        </w:tc>
        <w:tc>
          <w:tcPr>
            <w:tcW w:w="835" w:type="dxa"/>
            <w:tcBorders>
              <w:top w:val="nil"/>
              <w:left w:val="nil"/>
              <w:bottom w:val="single" w:sz="8" w:space="0" w:color="auto"/>
              <w:right w:val="single" w:sz="8" w:space="0" w:color="auto"/>
            </w:tcBorders>
            <w:shd w:val="clear" w:color="auto" w:fill="auto"/>
            <w:noWrap/>
            <w:vAlign w:val="center"/>
            <w:hideMark/>
          </w:tcPr>
          <w:p w14:paraId="74C548C7"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0.023</w:t>
            </w:r>
          </w:p>
        </w:tc>
        <w:tc>
          <w:tcPr>
            <w:tcW w:w="1215" w:type="dxa"/>
            <w:tcBorders>
              <w:top w:val="nil"/>
              <w:left w:val="nil"/>
              <w:bottom w:val="single" w:sz="8" w:space="0" w:color="auto"/>
              <w:right w:val="single" w:sz="8" w:space="0" w:color="auto"/>
            </w:tcBorders>
            <w:shd w:val="clear" w:color="auto" w:fill="auto"/>
            <w:noWrap/>
            <w:vAlign w:val="center"/>
            <w:hideMark/>
          </w:tcPr>
          <w:p w14:paraId="4F85FC71"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0.011</w:t>
            </w:r>
          </w:p>
        </w:tc>
      </w:tr>
      <w:tr w:rsidR="00AC6BAB" w:rsidRPr="00443221" w14:paraId="384E7A0A" w14:textId="77777777" w:rsidTr="003518EB">
        <w:trPr>
          <w:trHeight w:val="237"/>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42E09E9E" w14:textId="77777777" w:rsidR="00AC6BAB" w:rsidRPr="003518EB" w:rsidRDefault="00AC6BAB" w:rsidP="00AC6BAB">
            <w:pPr>
              <w:spacing w:after="0" w:line="240" w:lineRule="auto"/>
              <w:rPr>
                <w:rFonts w:cs="Arial"/>
                <w:color w:val="000000"/>
                <w:szCs w:val="20"/>
              </w:rPr>
            </w:pPr>
            <w:r w:rsidRPr="003518EB">
              <w:rPr>
                <w:rFonts w:cs="Arial"/>
                <w:color w:val="000000"/>
                <w:szCs w:val="20"/>
              </w:rPr>
              <w:t>&gt;14.5 to 31.3 GHz</w:t>
            </w:r>
          </w:p>
        </w:tc>
        <w:tc>
          <w:tcPr>
            <w:tcW w:w="1256" w:type="dxa"/>
            <w:tcBorders>
              <w:top w:val="nil"/>
              <w:left w:val="nil"/>
              <w:bottom w:val="single" w:sz="8" w:space="0" w:color="auto"/>
              <w:right w:val="single" w:sz="8" w:space="0" w:color="auto"/>
            </w:tcBorders>
            <w:shd w:val="clear" w:color="auto" w:fill="auto"/>
            <w:noWrap/>
            <w:vAlign w:val="center"/>
            <w:hideMark/>
          </w:tcPr>
          <w:p w14:paraId="3E31E73E"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3.711</w:t>
            </w:r>
          </w:p>
        </w:tc>
        <w:tc>
          <w:tcPr>
            <w:tcW w:w="1011" w:type="dxa"/>
            <w:tcBorders>
              <w:top w:val="nil"/>
              <w:left w:val="nil"/>
              <w:bottom w:val="single" w:sz="8" w:space="0" w:color="auto"/>
              <w:right w:val="single" w:sz="8" w:space="0" w:color="auto"/>
            </w:tcBorders>
            <w:shd w:val="clear" w:color="auto" w:fill="auto"/>
            <w:noWrap/>
            <w:vAlign w:val="center"/>
            <w:hideMark/>
          </w:tcPr>
          <w:p w14:paraId="1B81192E"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0.988</w:t>
            </w:r>
          </w:p>
        </w:tc>
        <w:tc>
          <w:tcPr>
            <w:tcW w:w="1243" w:type="dxa"/>
            <w:tcBorders>
              <w:top w:val="nil"/>
              <w:left w:val="nil"/>
              <w:bottom w:val="single" w:sz="8" w:space="0" w:color="auto"/>
              <w:right w:val="single" w:sz="8" w:space="0" w:color="auto"/>
            </w:tcBorders>
            <w:shd w:val="clear" w:color="auto" w:fill="auto"/>
            <w:noWrap/>
            <w:vAlign w:val="center"/>
            <w:hideMark/>
          </w:tcPr>
          <w:p w14:paraId="42AFC384"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0.217</w:t>
            </w:r>
          </w:p>
        </w:tc>
        <w:tc>
          <w:tcPr>
            <w:tcW w:w="835" w:type="dxa"/>
            <w:tcBorders>
              <w:top w:val="nil"/>
              <w:left w:val="nil"/>
              <w:bottom w:val="single" w:sz="8" w:space="0" w:color="auto"/>
              <w:right w:val="single" w:sz="8" w:space="0" w:color="auto"/>
            </w:tcBorders>
            <w:shd w:val="clear" w:color="auto" w:fill="auto"/>
            <w:noWrap/>
            <w:vAlign w:val="center"/>
            <w:hideMark/>
          </w:tcPr>
          <w:p w14:paraId="6BEC7591"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0.023</w:t>
            </w:r>
          </w:p>
        </w:tc>
        <w:tc>
          <w:tcPr>
            <w:tcW w:w="1215" w:type="dxa"/>
            <w:tcBorders>
              <w:top w:val="nil"/>
              <w:left w:val="nil"/>
              <w:bottom w:val="single" w:sz="8" w:space="0" w:color="auto"/>
              <w:right w:val="single" w:sz="8" w:space="0" w:color="auto"/>
            </w:tcBorders>
            <w:shd w:val="clear" w:color="auto" w:fill="auto"/>
            <w:noWrap/>
            <w:vAlign w:val="center"/>
            <w:hideMark/>
          </w:tcPr>
          <w:p w14:paraId="69673AFA"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0.011</w:t>
            </w:r>
          </w:p>
        </w:tc>
      </w:tr>
      <w:tr w:rsidR="00AC6BAB" w:rsidRPr="00443221" w14:paraId="77B1962A" w14:textId="77777777" w:rsidTr="003518EB">
        <w:trPr>
          <w:trHeight w:val="237"/>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35AC96B8" w14:textId="77777777" w:rsidR="00AC6BAB" w:rsidRPr="003518EB" w:rsidRDefault="00AC6BAB" w:rsidP="00AC6BAB">
            <w:pPr>
              <w:spacing w:after="0" w:line="240" w:lineRule="auto"/>
              <w:rPr>
                <w:rFonts w:cs="Arial"/>
                <w:color w:val="000000"/>
                <w:szCs w:val="20"/>
              </w:rPr>
            </w:pPr>
            <w:r w:rsidRPr="003518EB">
              <w:rPr>
                <w:rFonts w:cs="Arial"/>
                <w:color w:val="000000"/>
                <w:szCs w:val="20"/>
              </w:rPr>
              <w:t>&gt;31.3 to 51.4 GHz</w:t>
            </w:r>
          </w:p>
        </w:tc>
        <w:tc>
          <w:tcPr>
            <w:tcW w:w="1256" w:type="dxa"/>
            <w:tcBorders>
              <w:top w:val="nil"/>
              <w:left w:val="nil"/>
              <w:bottom w:val="single" w:sz="8" w:space="0" w:color="auto"/>
              <w:right w:val="single" w:sz="8" w:space="0" w:color="auto"/>
            </w:tcBorders>
            <w:shd w:val="clear" w:color="auto" w:fill="auto"/>
            <w:noWrap/>
            <w:vAlign w:val="center"/>
            <w:hideMark/>
          </w:tcPr>
          <w:p w14:paraId="391ED674"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1.012</w:t>
            </w:r>
          </w:p>
        </w:tc>
        <w:tc>
          <w:tcPr>
            <w:tcW w:w="1011" w:type="dxa"/>
            <w:tcBorders>
              <w:top w:val="nil"/>
              <w:left w:val="nil"/>
              <w:bottom w:val="single" w:sz="8" w:space="0" w:color="auto"/>
              <w:right w:val="single" w:sz="8" w:space="0" w:color="auto"/>
            </w:tcBorders>
            <w:shd w:val="clear" w:color="auto" w:fill="auto"/>
            <w:noWrap/>
            <w:vAlign w:val="center"/>
            <w:hideMark/>
          </w:tcPr>
          <w:p w14:paraId="6F15F029"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0.539</w:t>
            </w:r>
          </w:p>
        </w:tc>
        <w:tc>
          <w:tcPr>
            <w:tcW w:w="1243" w:type="dxa"/>
            <w:tcBorders>
              <w:top w:val="nil"/>
              <w:left w:val="nil"/>
              <w:bottom w:val="single" w:sz="8" w:space="0" w:color="auto"/>
              <w:right w:val="single" w:sz="8" w:space="0" w:color="auto"/>
            </w:tcBorders>
            <w:shd w:val="clear" w:color="auto" w:fill="auto"/>
            <w:noWrap/>
            <w:vAlign w:val="center"/>
            <w:hideMark/>
          </w:tcPr>
          <w:p w14:paraId="37AB54CC"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0.117</w:t>
            </w:r>
          </w:p>
        </w:tc>
        <w:tc>
          <w:tcPr>
            <w:tcW w:w="835" w:type="dxa"/>
            <w:tcBorders>
              <w:top w:val="nil"/>
              <w:left w:val="nil"/>
              <w:bottom w:val="single" w:sz="8" w:space="0" w:color="auto"/>
              <w:right w:val="single" w:sz="8" w:space="0" w:color="auto"/>
            </w:tcBorders>
            <w:shd w:val="clear" w:color="auto" w:fill="auto"/>
            <w:noWrap/>
            <w:vAlign w:val="center"/>
            <w:hideMark/>
          </w:tcPr>
          <w:p w14:paraId="42E0F259"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0.004</w:t>
            </w:r>
          </w:p>
        </w:tc>
        <w:tc>
          <w:tcPr>
            <w:tcW w:w="1215" w:type="dxa"/>
            <w:tcBorders>
              <w:top w:val="nil"/>
              <w:left w:val="nil"/>
              <w:bottom w:val="single" w:sz="8" w:space="0" w:color="auto"/>
              <w:right w:val="single" w:sz="8" w:space="0" w:color="auto"/>
            </w:tcBorders>
            <w:shd w:val="clear" w:color="auto" w:fill="auto"/>
            <w:noWrap/>
            <w:vAlign w:val="center"/>
            <w:hideMark/>
          </w:tcPr>
          <w:p w14:paraId="4ABE0ACF"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0.002</w:t>
            </w:r>
          </w:p>
        </w:tc>
      </w:tr>
      <w:tr w:rsidR="00AC6BAB" w:rsidRPr="00443221" w14:paraId="47372CE9" w14:textId="77777777" w:rsidTr="003518EB">
        <w:trPr>
          <w:trHeight w:val="27"/>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72DAC9D5" w14:textId="77777777" w:rsidR="00AC6BAB" w:rsidRPr="003518EB" w:rsidRDefault="00AC6BAB" w:rsidP="00AC6BAB">
            <w:pPr>
              <w:spacing w:after="0" w:line="240" w:lineRule="auto"/>
              <w:rPr>
                <w:rFonts w:cs="Arial"/>
                <w:color w:val="000000"/>
                <w:szCs w:val="20"/>
              </w:rPr>
            </w:pPr>
            <w:r w:rsidRPr="003518EB">
              <w:rPr>
                <w:rFonts w:cs="Arial"/>
                <w:color w:val="000000"/>
                <w:szCs w:val="20"/>
              </w:rPr>
              <w:t>Above 51.4 GHz</w:t>
            </w:r>
          </w:p>
        </w:tc>
        <w:tc>
          <w:tcPr>
            <w:tcW w:w="1256" w:type="dxa"/>
            <w:tcBorders>
              <w:top w:val="nil"/>
              <w:left w:val="nil"/>
              <w:bottom w:val="single" w:sz="8" w:space="0" w:color="auto"/>
              <w:right w:val="single" w:sz="8" w:space="0" w:color="auto"/>
            </w:tcBorders>
            <w:shd w:val="clear" w:color="auto" w:fill="auto"/>
            <w:noWrap/>
            <w:vAlign w:val="center"/>
            <w:hideMark/>
          </w:tcPr>
          <w:p w14:paraId="4E7DE4E4"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0.1</w:t>
            </w:r>
          </w:p>
        </w:tc>
        <w:tc>
          <w:tcPr>
            <w:tcW w:w="1011" w:type="dxa"/>
            <w:tcBorders>
              <w:top w:val="nil"/>
              <w:left w:val="nil"/>
              <w:bottom w:val="single" w:sz="8" w:space="0" w:color="auto"/>
              <w:right w:val="single" w:sz="8" w:space="0" w:color="auto"/>
            </w:tcBorders>
            <w:shd w:val="clear" w:color="auto" w:fill="auto"/>
            <w:noWrap/>
            <w:vAlign w:val="center"/>
            <w:hideMark/>
          </w:tcPr>
          <w:p w14:paraId="4EC2EA0D"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0.01</w:t>
            </w:r>
          </w:p>
        </w:tc>
        <w:tc>
          <w:tcPr>
            <w:tcW w:w="1243" w:type="dxa"/>
            <w:tcBorders>
              <w:top w:val="nil"/>
              <w:left w:val="nil"/>
              <w:bottom w:val="single" w:sz="8" w:space="0" w:color="auto"/>
              <w:right w:val="single" w:sz="8" w:space="0" w:color="auto"/>
            </w:tcBorders>
            <w:shd w:val="clear" w:color="auto" w:fill="auto"/>
            <w:noWrap/>
            <w:vAlign w:val="center"/>
            <w:hideMark/>
          </w:tcPr>
          <w:p w14:paraId="2699CBCB"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0.01</w:t>
            </w:r>
          </w:p>
        </w:tc>
        <w:tc>
          <w:tcPr>
            <w:tcW w:w="835" w:type="dxa"/>
            <w:tcBorders>
              <w:top w:val="nil"/>
              <w:left w:val="nil"/>
              <w:bottom w:val="single" w:sz="8" w:space="0" w:color="auto"/>
              <w:right w:val="single" w:sz="8" w:space="0" w:color="auto"/>
            </w:tcBorders>
            <w:shd w:val="clear" w:color="auto" w:fill="auto"/>
            <w:noWrap/>
            <w:vAlign w:val="center"/>
            <w:hideMark/>
          </w:tcPr>
          <w:p w14:paraId="752BE0C4"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0.001</w:t>
            </w:r>
          </w:p>
        </w:tc>
        <w:tc>
          <w:tcPr>
            <w:tcW w:w="1215" w:type="dxa"/>
            <w:tcBorders>
              <w:top w:val="nil"/>
              <w:left w:val="nil"/>
              <w:bottom w:val="single" w:sz="8" w:space="0" w:color="auto"/>
              <w:right w:val="single" w:sz="8" w:space="0" w:color="auto"/>
            </w:tcBorders>
            <w:shd w:val="clear" w:color="auto" w:fill="auto"/>
            <w:noWrap/>
            <w:vAlign w:val="center"/>
            <w:hideMark/>
          </w:tcPr>
          <w:p w14:paraId="2F5ABDFC"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0.001</w:t>
            </w:r>
          </w:p>
        </w:tc>
      </w:tr>
    </w:tbl>
    <w:p w14:paraId="1D0BF929" w14:textId="4692DF26" w:rsidR="0010060D" w:rsidRPr="005A3397" w:rsidRDefault="00E75A19" w:rsidP="00F10AF0">
      <w:pPr>
        <w:pStyle w:val="Paragraph"/>
      </w:pPr>
      <w:r w:rsidRPr="005A3397">
        <w:br/>
      </w:r>
      <w:r w:rsidR="002027BE" w:rsidRPr="005A3397">
        <w:t xml:space="preserve">The updates to the location weightings table included an amalgamation of weightings in frequency ranges between 30 and 403 MHz, a reduction to weightings for services above 5 GHz of between 50 </w:t>
      </w:r>
      <w:r w:rsidR="00C57CEE">
        <w:t>and</w:t>
      </w:r>
      <w:r w:rsidR="00C57CEE" w:rsidRPr="005A3397">
        <w:t xml:space="preserve"> </w:t>
      </w:r>
      <w:r w:rsidR="002027BE" w:rsidRPr="005A3397">
        <w:t xml:space="preserve">90%, and the introduction of new weightings for services above 100 GHz set at minimum tax. </w:t>
      </w:r>
      <w:r w:rsidR="00CE0529" w:rsidRPr="005A3397">
        <w:t>T</w:t>
      </w:r>
      <w:r w:rsidR="00CE0529">
        <w:t>able 12 shows the</w:t>
      </w:r>
      <w:r w:rsidR="00CE0529" w:rsidRPr="005A3397">
        <w:t xml:space="preserve"> </w:t>
      </w:r>
      <w:r w:rsidR="002027BE" w:rsidRPr="005A3397">
        <w:t>new location weightings table for August 2022 and after</w:t>
      </w:r>
      <w:r w:rsidR="00CE0529">
        <w:t>,</w:t>
      </w:r>
      <w:r w:rsidR="002027BE" w:rsidRPr="005A3397">
        <w:t xml:space="preserve"> with weightings that were updated in the Spectrum Pricing Review process highlighted in grey.</w:t>
      </w:r>
    </w:p>
    <w:p w14:paraId="036B8EC9" w14:textId="77777777" w:rsidR="00CB79BF" w:rsidRDefault="00CB79BF">
      <w:pPr>
        <w:spacing w:after="0" w:line="240" w:lineRule="auto"/>
        <w:rPr>
          <w:rFonts w:cs="Arial"/>
          <w:u w:val="single"/>
        </w:rPr>
      </w:pPr>
      <w:r>
        <w:rPr>
          <w:u w:val="single"/>
        </w:rPr>
        <w:br w:type="page"/>
      </w:r>
    </w:p>
    <w:p w14:paraId="751CE1EE" w14:textId="729FA0F3" w:rsidR="00533D0C" w:rsidRPr="005A3397" w:rsidRDefault="00533D0C" w:rsidP="007A5938">
      <w:pPr>
        <w:pStyle w:val="Tableheading"/>
      </w:pPr>
      <w:r w:rsidRPr="005A3397">
        <w:lastRenderedPageBreak/>
        <w:t>Location weightings table (</w:t>
      </w:r>
      <w:r w:rsidR="00FF7ED5" w:rsidRPr="005A3397">
        <w:t>August 2022 and after)</w:t>
      </w:r>
    </w:p>
    <w:tbl>
      <w:tblPr>
        <w:tblW w:w="7697" w:type="dxa"/>
        <w:tblCellMar>
          <w:top w:w="57" w:type="dxa"/>
          <w:left w:w="57" w:type="dxa"/>
          <w:bottom w:w="57" w:type="dxa"/>
          <w:right w:w="57" w:type="dxa"/>
        </w:tblCellMar>
        <w:tblLook w:val="04A0" w:firstRow="1" w:lastRow="0" w:firstColumn="1" w:lastColumn="0" w:noHBand="0" w:noVBand="1"/>
      </w:tblPr>
      <w:tblGrid>
        <w:gridCol w:w="2117"/>
        <w:gridCol w:w="1250"/>
        <w:gridCol w:w="978"/>
        <w:gridCol w:w="1202"/>
        <w:gridCol w:w="978"/>
        <w:gridCol w:w="1172"/>
      </w:tblGrid>
      <w:tr w:rsidR="00AC6BAB" w:rsidRPr="003518EB" w14:paraId="78640692" w14:textId="77777777" w:rsidTr="003518EB">
        <w:trPr>
          <w:trHeight w:val="232"/>
        </w:trPr>
        <w:tc>
          <w:tcPr>
            <w:tcW w:w="2117" w:type="dxa"/>
            <w:tcBorders>
              <w:top w:val="single" w:sz="8" w:space="0" w:color="auto"/>
              <w:left w:val="single" w:sz="8" w:space="0" w:color="auto"/>
              <w:bottom w:val="single" w:sz="8" w:space="0" w:color="auto"/>
              <w:right w:val="single" w:sz="8" w:space="0" w:color="auto"/>
            </w:tcBorders>
            <w:shd w:val="clear" w:color="000000" w:fill="404040"/>
            <w:noWrap/>
            <w:vAlign w:val="center"/>
            <w:hideMark/>
          </w:tcPr>
          <w:p w14:paraId="10E7B5EB" w14:textId="77777777" w:rsidR="00AC6BAB" w:rsidRPr="003518EB" w:rsidRDefault="00AC6BAB" w:rsidP="00AC6BAB">
            <w:pPr>
              <w:spacing w:after="0" w:line="240" w:lineRule="auto"/>
              <w:rPr>
                <w:rFonts w:cs="Arial"/>
                <w:b/>
                <w:color w:val="FFFFFF"/>
                <w:szCs w:val="20"/>
              </w:rPr>
            </w:pPr>
            <w:r w:rsidRPr="003518EB">
              <w:rPr>
                <w:rFonts w:cs="Arial"/>
                <w:b/>
                <w:color w:val="FFFFFF"/>
                <w:szCs w:val="20"/>
              </w:rPr>
              <w:t> </w:t>
            </w:r>
          </w:p>
        </w:tc>
        <w:tc>
          <w:tcPr>
            <w:tcW w:w="5580" w:type="dxa"/>
            <w:gridSpan w:val="5"/>
            <w:tcBorders>
              <w:top w:val="single" w:sz="8" w:space="0" w:color="auto"/>
              <w:left w:val="nil"/>
              <w:bottom w:val="single" w:sz="8" w:space="0" w:color="auto"/>
              <w:right w:val="single" w:sz="8" w:space="0" w:color="000000"/>
            </w:tcBorders>
            <w:shd w:val="clear" w:color="000000" w:fill="404040"/>
            <w:noWrap/>
            <w:vAlign w:val="center"/>
            <w:hideMark/>
          </w:tcPr>
          <w:p w14:paraId="243AA1F5" w14:textId="77777777" w:rsidR="00AC6BAB" w:rsidRPr="003518EB" w:rsidRDefault="00AC6BAB" w:rsidP="00AC6BAB">
            <w:pPr>
              <w:spacing w:after="0" w:line="240" w:lineRule="auto"/>
              <w:jc w:val="center"/>
              <w:rPr>
                <w:rFonts w:cs="Arial"/>
                <w:b/>
                <w:color w:val="FFFFFF"/>
                <w:szCs w:val="20"/>
              </w:rPr>
            </w:pPr>
            <w:r w:rsidRPr="003518EB">
              <w:rPr>
                <w:rFonts w:cs="Arial"/>
                <w:b/>
                <w:color w:val="FFFFFF"/>
                <w:szCs w:val="20"/>
              </w:rPr>
              <w:t>Geographic location</w:t>
            </w:r>
          </w:p>
        </w:tc>
      </w:tr>
      <w:tr w:rsidR="00AC6BAB" w:rsidRPr="003518EB" w14:paraId="75E6753A" w14:textId="77777777" w:rsidTr="003518EB">
        <w:trPr>
          <w:trHeight w:val="232"/>
        </w:trPr>
        <w:tc>
          <w:tcPr>
            <w:tcW w:w="2117" w:type="dxa"/>
            <w:tcBorders>
              <w:top w:val="nil"/>
              <w:left w:val="single" w:sz="8" w:space="0" w:color="auto"/>
              <w:bottom w:val="single" w:sz="8" w:space="0" w:color="auto"/>
              <w:right w:val="single" w:sz="8" w:space="0" w:color="auto"/>
            </w:tcBorders>
            <w:shd w:val="clear" w:color="000000" w:fill="404040"/>
            <w:noWrap/>
            <w:vAlign w:val="center"/>
            <w:hideMark/>
          </w:tcPr>
          <w:p w14:paraId="305D15B0" w14:textId="77777777" w:rsidR="00AC6BAB" w:rsidRPr="003518EB" w:rsidRDefault="00AC6BAB" w:rsidP="00AC6BAB">
            <w:pPr>
              <w:spacing w:after="0" w:line="240" w:lineRule="auto"/>
              <w:rPr>
                <w:rFonts w:cs="Arial"/>
                <w:b/>
                <w:color w:val="FFFFFF"/>
                <w:szCs w:val="20"/>
              </w:rPr>
            </w:pPr>
            <w:r w:rsidRPr="003518EB">
              <w:rPr>
                <w:rFonts w:cs="Arial"/>
                <w:b/>
                <w:color w:val="FFFFFF"/>
                <w:szCs w:val="20"/>
              </w:rPr>
              <w:t>Spectrum location</w:t>
            </w:r>
          </w:p>
        </w:tc>
        <w:tc>
          <w:tcPr>
            <w:tcW w:w="1250" w:type="dxa"/>
            <w:tcBorders>
              <w:top w:val="nil"/>
              <w:left w:val="nil"/>
              <w:bottom w:val="single" w:sz="8" w:space="0" w:color="auto"/>
              <w:right w:val="single" w:sz="8" w:space="0" w:color="auto"/>
            </w:tcBorders>
            <w:shd w:val="clear" w:color="000000" w:fill="404040"/>
            <w:noWrap/>
            <w:vAlign w:val="center"/>
            <w:hideMark/>
          </w:tcPr>
          <w:p w14:paraId="7E15C425" w14:textId="4572F4F8" w:rsidR="00AC6BAB" w:rsidRPr="003518EB" w:rsidRDefault="00AC6BAB" w:rsidP="003518EB">
            <w:pPr>
              <w:spacing w:after="0" w:line="240" w:lineRule="auto"/>
              <w:jc w:val="right"/>
              <w:rPr>
                <w:rFonts w:cs="Arial"/>
                <w:b/>
                <w:color w:val="FFFFFF"/>
                <w:szCs w:val="20"/>
              </w:rPr>
            </w:pPr>
            <w:r w:rsidRPr="003518EB">
              <w:rPr>
                <w:rFonts w:cs="Arial"/>
                <w:b/>
                <w:color w:val="FFFFFF"/>
                <w:szCs w:val="20"/>
              </w:rPr>
              <w:t>Aus</w:t>
            </w:r>
            <w:r w:rsidR="00386295">
              <w:rPr>
                <w:rFonts w:cs="Arial"/>
                <w:b/>
                <w:color w:val="FFFFFF"/>
                <w:szCs w:val="20"/>
              </w:rPr>
              <w:t>tralia</w:t>
            </w:r>
            <w:r w:rsidRPr="003518EB">
              <w:rPr>
                <w:rFonts w:cs="Arial"/>
                <w:b/>
                <w:color w:val="FFFFFF"/>
                <w:szCs w:val="20"/>
              </w:rPr>
              <w:t>-wide</w:t>
            </w:r>
          </w:p>
        </w:tc>
        <w:tc>
          <w:tcPr>
            <w:tcW w:w="978" w:type="dxa"/>
            <w:tcBorders>
              <w:top w:val="nil"/>
              <w:left w:val="nil"/>
              <w:bottom w:val="single" w:sz="8" w:space="0" w:color="auto"/>
              <w:right w:val="single" w:sz="8" w:space="0" w:color="auto"/>
            </w:tcBorders>
            <w:shd w:val="clear" w:color="000000" w:fill="404040"/>
            <w:noWrap/>
            <w:vAlign w:val="center"/>
            <w:hideMark/>
          </w:tcPr>
          <w:p w14:paraId="2412BD06" w14:textId="77777777" w:rsidR="00AC6BAB" w:rsidRPr="003518EB" w:rsidRDefault="00AC6BAB" w:rsidP="003518EB">
            <w:pPr>
              <w:spacing w:after="0" w:line="240" w:lineRule="auto"/>
              <w:jc w:val="right"/>
              <w:rPr>
                <w:rFonts w:cs="Arial"/>
                <w:b/>
                <w:color w:val="FFFFFF"/>
                <w:szCs w:val="20"/>
              </w:rPr>
            </w:pPr>
            <w:r w:rsidRPr="003518EB">
              <w:rPr>
                <w:rFonts w:cs="Arial"/>
                <w:b/>
                <w:color w:val="FFFFFF"/>
                <w:szCs w:val="20"/>
              </w:rPr>
              <w:t>High</w:t>
            </w:r>
          </w:p>
        </w:tc>
        <w:tc>
          <w:tcPr>
            <w:tcW w:w="1202" w:type="dxa"/>
            <w:tcBorders>
              <w:top w:val="nil"/>
              <w:left w:val="nil"/>
              <w:bottom w:val="single" w:sz="8" w:space="0" w:color="auto"/>
              <w:right w:val="single" w:sz="8" w:space="0" w:color="auto"/>
            </w:tcBorders>
            <w:shd w:val="clear" w:color="000000" w:fill="404040"/>
            <w:noWrap/>
            <w:vAlign w:val="center"/>
            <w:hideMark/>
          </w:tcPr>
          <w:p w14:paraId="7DEA5323" w14:textId="77777777" w:rsidR="00AC6BAB" w:rsidRPr="003518EB" w:rsidRDefault="00AC6BAB" w:rsidP="003518EB">
            <w:pPr>
              <w:spacing w:after="0" w:line="240" w:lineRule="auto"/>
              <w:jc w:val="right"/>
              <w:rPr>
                <w:rFonts w:cs="Arial"/>
                <w:b/>
                <w:color w:val="FFFFFF"/>
                <w:szCs w:val="20"/>
              </w:rPr>
            </w:pPr>
            <w:r w:rsidRPr="003518EB">
              <w:rPr>
                <w:rFonts w:cs="Arial"/>
                <w:b/>
                <w:color w:val="FFFFFF"/>
                <w:szCs w:val="20"/>
              </w:rPr>
              <w:t>Medium</w:t>
            </w:r>
          </w:p>
        </w:tc>
        <w:tc>
          <w:tcPr>
            <w:tcW w:w="978" w:type="dxa"/>
            <w:tcBorders>
              <w:top w:val="nil"/>
              <w:left w:val="nil"/>
              <w:bottom w:val="single" w:sz="8" w:space="0" w:color="auto"/>
              <w:right w:val="single" w:sz="8" w:space="0" w:color="auto"/>
            </w:tcBorders>
            <w:shd w:val="clear" w:color="000000" w:fill="404040"/>
            <w:noWrap/>
            <w:vAlign w:val="center"/>
            <w:hideMark/>
          </w:tcPr>
          <w:p w14:paraId="21845C41" w14:textId="77777777" w:rsidR="00AC6BAB" w:rsidRPr="003518EB" w:rsidRDefault="00AC6BAB" w:rsidP="003518EB">
            <w:pPr>
              <w:spacing w:after="0" w:line="240" w:lineRule="auto"/>
              <w:jc w:val="right"/>
              <w:rPr>
                <w:rFonts w:cs="Arial"/>
                <w:b/>
                <w:color w:val="FFFFFF"/>
                <w:szCs w:val="20"/>
              </w:rPr>
            </w:pPr>
            <w:r w:rsidRPr="003518EB">
              <w:rPr>
                <w:rFonts w:cs="Arial"/>
                <w:b/>
                <w:color w:val="FFFFFF"/>
                <w:szCs w:val="20"/>
              </w:rPr>
              <w:t>Low</w:t>
            </w:r>
          </w:p>
        </w:tc>
        <w:tc>
          <w:tcPr>
            <w:tcW w:w="1172" w:type="dxa"/>
            <w:tcBorders>
              <w:top w:val="nil"/>
              <w:left w:val="nil"/>
              <w:bottom w:val="single" w:sz="8" w:space="0" w:color="auto"/>
              <w:right w:val="single" w:sz="8" w:space="0" w:color="auto"/>
            </w:tcBorders>
            <w:shd w:val="clear" w:color="000000" w:fill="404040"/>
            <w:noWrap/>
            <w:vAlign w:val="center"/>
            <w:hideMark/>
          </w:tcPr>
          <w:p w14:paraId="6DD3EAE0" w14:textId="77777777" w:rsidR="00AC6BAB" w:rsidRPr="003518EB" w:rsidRDefault="00AC6BAB" w:rsidP="003518EB">
            <w:pPr>
              <w:spacing w:after="0" w:line="240" w:lineRule="auto"/>
              <w:jc w:val="right"/>
              <w:rPr>
                <w:rFonts w:cs="Arial"/>
                <w:b/>
                <w:color w:val="FFFFFF"/>
                <w:szCs w:val="20"/>
              </w:rPr>
            </w:pPr>
            <w:r w:rsidRPr="003518EB">
              <w:rPr>
                <w:rFonts w:cs="Arial"/>
                <w:b/>
                <w:color w:val="FFFFFF"/>
                <w:szCs w:val="20"/>
              </w:rPr>
              <w:t>Remote</w:t>
            </w:r>
          </w:p>
        </w:tc>
      </w:tr>
      <w:tr w:rsidR="00AC6BAB" w:rsidRPr="003518EB" w14:paraId="186E8FCC" w14:textId="77777777" w:rsidTr="003518EB">
        <w:trPr>
          <w:trHeight w:val="232"/>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252C3AF7" w14:textId="77777777" w:rsidR="00AC6BAB" w:rsidRPr="003518EB" w:rsidRDefault="00AC6BAB" w:rsidP="00AC6BAB">
            <w:pPr>
              <w:spacing w:after="0" w:line="240" w:lineRule="auto"/>
              <w:rPr>
                <w:rFonts w:cs="Arial"/>
                <w:color w:val="000000"/>
                <w:szCs w:val="20"/>
              </w:rPr>
            </w:pPr>
            <w:r w:rsidRPr="003518EB">
              <w:rPr>
                <w:rFonts w:cs="Arial"/>
                <w:color w:val="000000"/>
                <w:szCs w:val="20"/>
              </w:rPr>
              <w:t>30 MHz and below</w:t>
            </w:r>
          </w:p>
        </w:tc>
        <w:tc>
          <w:tcPr>
            <w:tcW w:w="1250" w:type="dxa"/>
            <w:tcBorders>
              <w:top w:val="nil"/>
              <w:left w:val="nil"/>
              <w:bottom w:val="single" w:sz="8" w:space="0" w:color="auto"/>
              <w:right w:val="single" w:sz="8" w:space="0" w:color="auto"/>
            </w:tcBorders>
            <w:shd w:val="clear" w:color="auto" w:fill="auto"/>
            <w:noWrap/>
            <w:vAlign w:val="center"/>
            <w:hideMark/>
          </w:tcPr>
          <w:p w14:paraId="2CDEEA2D"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4.315</w:t>
            </w:r>
          </w:p>
        </w:tc>
        <w:tc>
          <w:tcPr>
            <w:tcW w:w="978" w:type="dxa"/>
            <w:tcBorders>
              <w:top w:val="nil"/>
              <w:left w:val="nil"/>
              <w:bottom w:val="single" w:sz="8" w:space="0" w:color="auto"/>
              <w:right w:val="single" w:sz="8" w:space="0" w:color="auto"/>
            </w:tcBorders>
            <w:shd w:val="clear" w:color="auto" w:fill="auto"/>
            <w:noWrap/>
            <w:vAlign w:val="center"/>
            <w:hideMark/>
          </w:tcPr>
          <w:p w14:paraId="7ECA8F05"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4.315</w:t>
            </w:r>
          </w:p>
        </w:tc>
        <w:tc>
          <w:tcPr>
            <w:tcW w:w="1202" w:type="dxa"/>
            <w:tcBorders>
              <w:top w:val="nil"/>
              <w:left w:val="nil"/>
              <w:bottom w:val="single" w:sz="8" w:space="0" w:color="auto"/>
              <w:right w:val="single" w:sz="8" w:space="0" w:color="auto"/>
            </w:tcBorders>
            <w:shd w:val="clear" w:color="auto" w:fill="auto"/>
            <w:noWrap/>
            <w:vAlign w:val="center"/>
            <w:hideMark/>
          </w:tcPr>
          <w:p w14:paraId="3BDDA861"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4.315</w:t>
            </w:r>
          </w:p>
        </w:tc>
        <w:tc>
          <w:tcPr>
            <w:tcW w:w="978" w:type="dxa"/>
            <w:tcBorders>
              <w:top w:val="nil"/>
              <w:left w:val="nil"/>
              <w:bottom w:val="single" w:sz="8" w:space="0" w:color="auto"/>
              <w:right w:val="single" w:sz="8" w:space="0" w:color="auto"/>
            </w:tcBorders>
            <w:shd w:val="clear" w:color="auto" w:fill="auto"/>
            <w:noWrap/>
            <w:vAlign w:val="center"/>
            <w:hideMark/>
          </w:tcPr>
          <w:p w14:paraId="41916AED"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4.315</w:t>
            </w:r>
          </w:p>
        </w:tc>
        <w:tc>
          <w:tcPr>
            <w:tcW w:w="1172" w:type="dxa"/>
            <w:tcBorders>
              <w:top w:val="nil"/>
              <w:left w:val="nil"/>
              <w:bottom w:val="single" w:sz="8" w:space="0" w:color="auto"/>
              <w:right w:val="single" w:sz="8" w:space="0" w:color="auto"/>
            </w:tcBorders>
            <w:shd w:val="clear" w:color="auto" w:fill="auto"/>
            <w:noWrap/>
            <w:vAlign w:val="center"/>
            <w:hideMark/>
          </w:tcPr>
          <w:p w14:paraId="02BFF033"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4.315</w:t>
            </w:r>
          </w:p>
        </w:tc>
      </w:tr>
      <w:tr w:rsidR="00AC6BAB" w:rsidRPr="003518EB" w14:paraId="717A20C4" w14:textId="77777777" w:rsidTr="003518EB">
        <w:trPr>
          <w:trHeight w:val="232"/>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648F5296" w14:textId="77777777" w:rsidR="00AC6BAB" w:rsidRPr="003518EB" w:rsidRDefault="00AC6BAB" w:rsidP="00AC6BAB">
            <w:pPr>
              <w:spacing w:after="0" w:line="240" w:lineRule="auto"/>
              <w:rPr>
                <w:rFonts w:cs="Arial"/>
                <w:color w:val="000000"/>
                <w:szCs w:val="20"/>
              </w:rPr>
            </w:pPr>
            <w:r w:rsidRPr="003518EB">
              <w:rPr>
                <w:rFonts w:cs="Arial"/>
                <w:color w:val="000000"/>
                <w:szCs w:val="20"/>
              </w:rPr>
              <w:t>&gt;30 to 403 MHz</w:t>
            </w:r>
          </w:p>
        </w:tc>
        <w:tc>
          <w:tcPr>
            <w:tcW w:w="1250" w:type="dxa"/>
            <w:tcBorders>
              <w:top w:val="nil"/>
              <w:left w:val="nil"/>
              <w:bottom w:val="single" w:sz="8" w:space="0" w:color="auto"/>
              <w:right w:val="single" w:sz="8" w:space="0" w:color="auto"/>
            </w:tcBorders>
            <w:shd w:val="clear" w:color="000000" w:fill="D9D9D9"/>
            <w:noWrap/>
            <w:vAlign w:val="center"/>
            <w:hideMark/>
          </w:tcPr>
          <w:p w14:paraId="69602E4A"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9.747</w:t>
            </w:r>
          </w:p>
        </w:tc>
        <w:tc>
          <w:tcPr>
            <w:tcW w:w="978" w:type="dxa"/>
            <w:tcBorders>
              <w:top w:val="nil"/>
              <w:left w:val="nil"/>
              <w:bottom w:val="single" w:sz="8" w:space="0" w:color="auto"/>
              <w:right w:val="single" w:sz="8" w:space="0" w:color="auto"/>
            </w:tcBorders>
            <w:shd w:val="clear" w:color="000000" w:fill="D9D9D9"/>
            <w:noWrap/>
            <w:vAlign w:val="center"/>
            <w:hideMark/>
          </w:tcPr>
          <w:p w14:paraId="29DCB902"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3.807</w:t>
            </w:r>
          </w:p>
        </w:tc>
        <w:tc>
          <w:tcPr>
            <w:tcW w:w="1202" w:type="dxa"/>
            <w:tcBorders>
              <w:top w:val="nil"/>
              <w:left w:val="nil"/>
              <w:bottom w:val="single" w:sz="8" w:space="0" w:color="auto"/>
              <w:right w:val="single" w:sz="8" w:space="0" w:color="auto"/>
            </w:tcBorders>
            <w:shd w:val="clear" w:color="000000" w:fill="D9D9D9"/>
            <w:noWrap/>
            <w:vAlign w:val="center"/>
            <w:hideMark/>
          </w:tcPr>
          <w:p w14:paraId="13B23954"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1.878</w:t>
            </w:r>
          </w:p>
        </w:tc>
        <w:tc>
          <w:tcPr>
            <w:tcW w:w="978" w:type="dxa"/>
            <w:tcBorders>
              <w:top w:val="nil"/>
              <w:left w:val="nil"/>
              <w:bottom w:val="single" w:sz="8" w:space="0" w:color="auto"/>
              <w:right w:val="single" w:sz="8" w:space="0" w:color="auto"/>
            </w:tcBorders>
            <w:shd w:val="clear" w:color="000000" w:fill="D9D9D9"/>
            <w:noWrap/>
            <w:vAlign w:val="center"/>
            <w:hideMark/>
          </w:tcPr>
          <w:p w14:paraId="374DF673"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0.421</w:t>
            </w:r>
          </w:p>
        </w:tc>
        <w:tc>
          <w:tcPr>
            <w:tcW w:w="1172" w:type="dxa"/>
            <w:tcBorders>
              <w:top w:val="nil"/>
              <w:left w:val="nil"/>
              <w:bottom w:val="single" w:sz="8" w:space="0" w:color="auto"/>
              <w:right w:val="single" w:sz="8" w:space="0" w:color="auto"/>
            </w:tcBorders>
            <w:shd w:val="clear" w:color="000000" w:fill="D9D9D9"/>
            <w:noWrap/>
            <w:vAlign w:val="center"/>
            <w:hideMark/>
          </w:tcPr>
          <w:p w14:paraId="44F476B0"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0.21</w:t>
            </w:r>
          </w:p>
        </w:tc>
      </w:tr>
      <w:tr w:rsidR="00AC6BAB" w:rsidRPr="003518EB" w14:paraId="5F90F5AF" w14:textId="77777777" w:rsidTr="003518EB">
        <w:trPr>
          <w:trHeight w:val="232"/>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7547EF71" w14:textId="77777777" w:rsidR="00AC6BAB" w:rsidRPr="003518EB" w:rsidRDefault="00AC6BAB" w:rsidP="00AC6BAB">
            <w:pPr>
              <w:spacing w:after="0" w:line="240" w:lineRule="auto"/>
              <w:rPr>
                <w:rFonts w:cs="Arial"/>
                <w:color w:val="000000"/>
                <w:szCs w:val="20"/>
              </w:rPr>
            </w:pPr>
            <w:r w:rsidRPr="003518EB">
              <w:rPr>
                <w:rFonts w:cs="Arial"/>
                <w:color w:val="000000"/>
                <w:szCs w:val="20"/>
              </w:rPr>
              <w:t>&gt;403 to 520 MHz</w:t>
            </w:r>
          </w:p>
        </w:tc>
        <w:tc>
          <w:tcPr>
            <w:tcW w:w="1250" w:type="dxa"/>
            <w:tcBorders>
              <w:top w:val="nil"/>
              <w:left w:val="nil"/>
              <w:bottom w:val="single" w:sz="8" w:space="0" w:color="auto"/>
              <w:right w:val="single" w:sz="8" w:space="0" w:color="auto"/>
            </w:tcBorders>
            <w:shd w:val="clear" w:color="auto" w:fill="auto"/>
            <w:noWrap/>
            <w:vAlign w:val="center"/>
            <w:hideMark/>
          </w:tcPr>
          <w:p w14:paraId="63B9C626"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10</w:t>
            </w:r>
          </w:p>
        </w:tc>
        <w:tc>
          <w:tcPr>
            <w:tcW w:w="978" w:type="dxa"/>
            <w:tcBorders>
              <w:top w:val="nil"/>
              <w:left w:val="nil"/>
              <w:bottom w:val="single" w:sz="8" w:space="0" w:color="auto"/>
              <w:right w:val="single" w:sz="8" w:space="0" w:color="auto"/>
            </w:tcBorders>
            <w:shd w:val="clear" w:color="auto" w:fill="auto"/>
            <w:noWrap/>
            <w:vAlign w:val="center"/>
            <w:hideMark/>
          </w:tcPr>
          <w:p w14:paraId="68F382A2"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7.4114</w:t>
            </w:r>
          </w:p>
        </w:tc>
        <w:tc>
          <w:tcPr>
            <w:tcW w:w="1202" w:type="dxa"/>
            <w:tcBorders>
              <w:top w:val="nil"/>
              <w:left w:val="nil"/>
              <w:bottom w:val="single" w:sz="8" w:space="0" w:color="auto"/>
              <w:right w:val="single" w:sz="8" w:space="0" w:color="auto"/>
            </w:tcBorders>
            <w:shd w:val="clear" w:color="auto" w:fill="auto"/>
            <w:noWrap/>
            <w:vAlign w:val="center"/>
            <w:hideMark/>
          </w:tcPr>
          <w:p w14:paraId="60E7711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2.562</w:t>
            </w:r>
          </w:p>
        </w:tc>
        <w:tc>
          <w:tcPr>
            <w:tcW w:w="978" w:type="dxa"/>
            <w:tcBorders>
              <w:top w:val="nil"/>
              <w:left w:val="nil"/>
              <w:bottom w:val="single" w:sz="8" w:space="0" w:color="auto"/>
              <w:right w:val="single" w:sz="8" w:space="0" w:color="auto"/>
            </w:tcBorders>
            <w:shd w:val="clear" w:color="auto" w:fill="auto"/>
            <w:noWrap/>
            <w:vAlign w:val="center"/>
            <w:hideMark/>
          </w:tcPr>
          <w:p w14:paraId="29EA834E"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0.437</w:t>
            </w:r>
          </w:p>
        </w:tc>
        <w:tc>
          <w:tcPr>
            <w:tcW w:w="1172" w:type="dxa"/>
            <w:tcBorders>
              <w:top w:val="nil"/>
              <w:left w:val="nil"/>
              <w:bottom w:val="single" w:sz="8" w:space="0" w:color="auto"/>
              <w:right w:val="single" w:sz="8" w:space="0" w:color="auto"/>
            </w:tcBorders>
            <w:shd w:val="clear" w:color="auto" w:fill="auto"/>
            <w:noWrap/>
            <w:vAlign w:val="center"/>
            <w:hideMark/>
          </w:tcPr>
          <w:p w14:paraId="24BC1C2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w:t>
            </w:r>
          </w:p>
        </w:tc>
      </w:tr>
      <w:tr w:rsidR="00AC6BAB" w:rsidRPr="003518EB" w14:paraId="5FAE7558" w14:textId="77777777" w:rsidTr="003518EB">
        <w:trPr>
          <w:trHeight w:val="232"/>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572E1B88" w14:textId="77777777" w:rsidR="00AC6BAB" w:rsidRPr="003518EB" w:rsidRDefault="00AC6BAB" w:rsidP="00AC6BAB">
            <w:pPr>
              <w:spacing w:after="0" w:line="240" w:lineRule="auto"/>
              <w:rPr>
                <w:rFonts w:cs="Arial"/>
                <w:color w:val="000000"/>
                <w:szCs w:val="20"/>
              </w:rPr>
            </w:pPr>
            <w:r w:rsidRPr="003518EB">
              <w:rPr>
                <w:rFonts w:cs="Arial"/>
                <w:color w:val="000000"/>
                <w:szCs w:val="20"/>
              </w:rPr>
              <w:t>&gt;520 to 960 MHz</w:t>
            </w:r>
          </w:p>
        </w:tc>
        <w:tc>
          <w:tcPr>
            <w:tcW w:w="1250" w:type="dxa"/>
            <w:tcBorders>
              <w:top w:val="nil"/>
              <w:left w:val="nil"/>
              <w:bottom w:val="single" w:sz="8" w:space="0" w:color="auto"/>
              <w:right w:val="single" w:sz="8" w:space="0" w:color="auto"/>
            </w:tcBorders>
            <w:shd w:val="clear" w:color="auto" w:fill="auto"/>
            <w:noWrap/>
            <w:vAlign w:val="center"/>
            <w:hideMark/>
          </w:tcPr>
          <w:p w14:paraId="1EE30BE5"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10</w:t>
            </w:r>
          </w:p>
        </w:tc>
        <w:tc>
          <w:tcPr>
            <w:tcW w:w="978" w:type="dxa"/>
            <w:tcBorders>
              <w:top w:val="nil"/>
              <w:left w:val="nil"/>
              <w:bottom w:val="single" w:sz="8" w:space="0" w:color="auto"/>
              <w:right w:val="single" w:sz="8" w:space="0" w:color="auto"/>
            </w:tcBorders>
            <w:shd w:val="clear" w:color="auto" w:fill="auto"/>
            <w:noWrap/>
            <w:vAlign w:val="center"/>
            <w:hideMark/>
          </w:tcPr>
          <w:p w14:paraId="074C21B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5.6</w:t>
            </w:r>
          </w:p>
        </w:tc>
        <w:tc>
          <w:tcPr>
            <w:tcW w:w="1202" w:type="dxa"/>
            <w:tcBorders>
              <w:top w:val="nil"/>
              <w:left w:val="nil"/>
              <w:bottom w:val="single" w:sz="8" w:space="0" w:color="auto"/>
              <w:right w:val="single" w:sz="8" w:space="0" w:color="auto"/>
            </w:tcBorders>
            <w:shd w:val="clear" w:color="auto" w:fill="auto"/>
            <w:noWrap/>
            <w:vAlign w:val="center"/>
            <w:hideMark/>
          </w:tcPr>
          <w:p w14:paraId="0EB634F0"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2.562</w:t>
            </w:r>
          </w:p>
        </w:tc>
        <w:tc>
          <w:tcPr>
            <w:tcW w:w="978" w:type="dxa"/>
            <w:tcBorders>
              <w:top w:val="nil"/>
              <w:left w:val="nil"/>
              <w:bottom w:val="single" w:sz="8" w:space="0" w:color="auto"/>
              <w:right w:val="single" w:sz="8" w:space="0" w:color="auto"/>
            </w:tcBorders>
            <w:shd w:val="clear" w:color="auto" w:fill="auto"/>
            <w:noWrap/>
            <w:vAlign w:val="center"/>
            <w:hideMark/>
          </w:tcPr>
          <w:p w14:paraId="7F198B4A"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0.437</w:t>
            </w:r>
          </w:p>
        </w:tc>
        <w:tc>
          <w:tcPr>
            <w:tcW w:w="1172" w:type="dxa"/>
            <w:tcBorders>
              <w:top w:val="nil"/>
              <w:left w:val="nil"/>
              <w:bottom w:val="single" w:sz="8" w:space="0" w:color="auto"/>
              <w:right w:val="single" w:sz="8" w:space="0" w:color="auto"/>
            </w:tcBorders>
            <w:shd w:val="clear" w:color="auto" w:fill="auto"/>
            <w:noWrap/>
            <w:vAlign w:val="center"/>
            <w:hideMark/>
          </w:tcPr>
          <w:p w14:paraId="12018741"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0.218</w:t>
            </w:r>
          </w:p>
        </w:tc>
      </w:tr>
      <w:tr w:rsidR="00AC6BAB" w:rsidRPr="003518EB" w14:paraId="6288A936" w14:textId="77777777" w:rsidTr="003518EB">
        <w:trPr>
          <w:trHeight w:val="232"/>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42D89BAB" w14:textId="77777777" w:rsidR="00AC6BAB" w:rsidRPr="003518EB" w:rsidRDefault="00AC6BAB" w:rsidP="00AC6BAB">
            <w:pPr>
              <w:spacing w:after="0" w:line="240" w:lineRule="auto"/>
              <w:rPr>
                <w:rFonts w:cs="Arial"/>
                <w:color w:val="000000"/>
                <w:szCs w:val="20"/>
              </w:rPr>
            </w:pPr>
            <w:r w:rsidRPr="003518EB">
              <w:rPr>
                <w:rFonts w:cs="Arial"/>
                <w:color w:val="000000"/>
                <w:szCs w:val="20"/>
              </w:rPr>
              <w:t>&gt;960 to 2,690 MHz</w:t>
            </w:r>
          </w:p>
        </w:tc>
        <w:tc>
          <w:tcPr>
            <w:tcW w:w="1250" w:type="dxa"/>
            <w:tcBorders>
              <w:top w:val="nil"/>
              <w:left w:val="nil"/>
              <w:bottom w:val="single" w:sz="8" w:space="0" w:color="auto"/>
              <w:right w:val="single" w:sz="8" w:space="0" w:color="auto"/>
            </w:tcBorders>
            <w:shd w:val="clear" w:color="auto" w:fill="auto"/>
            <w:noWrap/>
            <w:vAlign w:val="center"/>
            <w:hideMark/>
          </w:tcPr>
          <w:p w14:paraId="0AD8BBC7"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9.985</w:t>
            </w:r>
          </w:p>
        </w:tc>
        <w:tc>
          <w:tcPr>
            <w:tcW w:w="978" w:type="dxa"/>
            <w:tcBorders>
              <w:top w:val="nil"/>
              <w:left w:val="nil"/>
              <w:bottom w:val="single" w:sz="8" w:space="0" w:color="auto"/>
              <w:right w:val="single" w:sz="8" w:space="0" w:color="auto"/>
            </w:tcBorders>
            <w:shd w:val="clear" w:color="auto" w:fill="auto"/>
            <w:noWrap/>
            <w:vAlign w:val="center"/>
            <w:hideMark/>
          </w:tcPr>
          <w:p w14:paraId="37A86DCD"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2.241</w:t>
            </w:r>
          </w:p>
        </w:tc>
        <w:tc>
          <w:tcPr>
            <w:tcW w:w="1202" w:type="dxa"/>
            <w:tcBorders>
              <w:top w:val="nil"/>
              <w:left w:val="nil"/>
              <w:bottom w:val="single" w:sz="8" w:space="0" w:color="auto"/>
              <w:right w:val="single" w:sz="8" w:space="0" w:color="auto"/>
            </w:tcBorders>
            <w:shd w:val="clear" w:color="auto" w:fill="auto"/>
            <w:noWrap/>
            <w:vAlign w:val="center"/>
            <w:hideMark/>
          </w:tcPr>
          <w:p w14:paraId="53892744"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1.036</w:t>
            </w:r>
          </w:p>
        </w:tc>
        <w:tc>
          <w:tcPr>
            <w:tcW w:w="978" w:type="dxa"/>
            <w:tcBorders>
              <w:top w:val="nil"/>
              <w:left w:val="nil"/>
              <w:bottom w:val="single" w:sz="8" w:space="0" w:color="auto"/>
              <w:right w:val="single" w:sz="8" w:space="0" w:color="auto"/>
            </w:tcBorders>
            <w:shd w:val="clear" w:color="auto" w:fill="auto"/>
            <w:noWrap/>
            <w:vAlign w:val="center"/>
            <w:hideMark/>
          </w:tcPr>
          <w:p w14:paraId="4FB434B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0.521</w:t>
            </w:r>
          </w:p>
        </w:tc>
        <w:tc>
          <w:tcPr>
            <w:tcW w:w="1172" w:type="dxa"/>
            <w:tcBorders>
              <w:top w:val="nil"/>
              <w:left w:val="nil"/>
              <w:bottom w:val="single" w:sz="8" w:space="0" w:color="auto"/>
              <w:right w:val="single" w:sz="8" w:space="0" w:color="auto"/>
            </w:tcBorders>
            <w:shd w:val="clear" w:color="auto" w:fill="auto"/>
            <w:noWrap/>
            <w:vAlign w:val="center"/>
            <w:hideMark/>
          </w:tcPr>
          <w:p w14:paraId="4F574897"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0.26</w:t>
            </w:r>
          </w:p>
        </w:tc>
      </w:tr>
      <w:tr w:rsidR="00AC6BAB" w:rsidRPr="003518EB" w14:paraId="76AE3850" w14:textId="77777777" w:rsidTr="003518EB">
        <w:trPr>
          <w:trHeight w:val="232"/>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2FD06D16" w14:textId="77777777" w:rsidR="00AC6BAB" w:rsidRPr="003518EB" w:rsidRDefault="00AC6BAB" w:rsidP="00AC6BAB">
            <w:pPr>
              <w:spacing w:after="0" w:line="240" w:lineRule="auto"/>
              <w:rPr>
                <w:rFonts w:cs="Arial"/>
                <w:color w:val="000000"/>
                <w:szCs w:val="20"/>
              </w:rPr>
            </w:pPr>
            <w:r w:rsidRPr="003518EB">
              <w:rPr>
                <w:rFonts w:cs="Arial"/>
                <w:color w:val="000000"/>
                <w:szCs w:val="20"/>
              </w:rPr>
              <w:t>&gt;2,690 to 5,000 MHz</w:t>
            </w:r>
          </w:p>
        </w:tc>
        <w:tc>
          <w:tcPr>
            <w:tcW w:w="1250" w:type="dxa"/>
            <w:tcBorders>
              <w:top w:val="nil"/>
              <w:left w:val="nil"/>
              <w:bottom w:val="single" w:sz="8" w:space="0" w:color="auto"/>
              <w:right w:val="single" w:sz="8" w:space="0" w:color="auto"/>
            </w:tcBorders>
            <w:shd w:val="clear" w:color="auto" w:fill="auto"/>
            <w:noWrap/>
            <w:vAlign w:val="center"/>
            <w:hideMark/>
          </w:tcPr>
          <w:p w14:paraId="69F5B11E"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9.974</w:t>
            </w:r>
          </w:p>
        </w:tc>
        <w:tc>
          <w:tcPr>
            <w:tcW w:w="978" w:type="dxa"/>
            <w:tcBorders>
              <w:top w:val="nil"/>
              <w:left w:val="nil"/>
              <w:bottom w:val="single" w:sz="8" w:space="0" w:color="auto"/>
              <w:right w:val="single" w:sz="8" w:space="0" w:color="auto"/>
            </w:tcBorders>
            <w:shd w:val="clear" w:color="auto" w:fill="auto"/>
            <w:noWrap/>
            <w:vAlign w:val="center"/>
            <w:hideMark/>
          </w:tcPr>
          <w:p w14:paraId="1198BAB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1.853</w:t>
            </w:r>
          </w:p>
        </w:tc>
        <w:tc>
          <w:tcPr>
            <w:tcW w:w="1202" w:type="dxa"/>
            <w:tcBorders>
              <w:top w:val="nil"/>
              <w:left w:val="nil"/>
              <w:bottom w:val="single" w:sz="8" w:space="0" w:color="auto"/>
              <w:right w:val="single" w:sz="8" w:space="0" w:color="auto"/>
            </w:tcBorders>
            <w:shd w:val="clear" w:color="auto" w:fill="auto"/>
            <w:noWrap/>
            <w:vAlign w:val="center"/>
            <w:hideMark/>
          </w:tcPr>
          <w:p w14:paraId="2B3FF11F"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0.751</w:t>
            </w:r>
          </w:p>
        </w:tc>
        <w:tc>
          <w:tcPr>
            <w:tcW w:w="978" w:type="dxa"/>
            <w:tcBorders>
              <w:top w:val="nil"/>
              <w:left w:val="nil"/>
              <w:bottom w:val="single" w:sz="8" w:space="0" w:color="auto"/>
              <w:right w:val="single" w:sz="8" w:space="0" w:color="auto"/>
            </w:tcBorders>
            <w:shd w:val="clear" w:color="auto" w:fill="auto"/>
            <w:noWrap/>
            <w:vAlign w:val="center"/>
            <w:hideMark/>
          </w:tcPr>
          <w:p w14:paraId="4F1208A7"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0.622</w:t>
            </w:r>
          </w:p>
        </w:tc>
        <w:tc>
          <w:tcPr>
            <w:tcW w:w="1172" w:type="dxa"/>
            <w:tcBorders>
              <w:top w:val="nil"/>
              <w:left w:val="nil"/>
              <w:bottom w:val="single" w:sz="8" w:space="0" w:color="auto"/>
              <w:right w:val="single" w:sz="8" w:space="0" w:color="auto"/>
            </w:tcBorders>
            <w:shd w:val="clear" w:color="auto" w:fill="auto"/>
            <w:noWrap/>
            <w:vAlign w:val="center"/>
            <w:hideMark/>
          </w:tcPr>
          <w:p w14:paraId="01E2D912"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0.311</w:t>
            </w:r>
          </w:p>
        </w:tc>
      </w:tr>
      <w:tr w:rsidR="00AC6BAB" w:rsidRPr="003518EB" w14:paraId="0D456EB0" w14:textId="77777777" w:rsidTr="003518EB">
        <w:trPr>
          <w:trHeight w:val="232"/>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14B35EC9" w14:textId="77777777" w:rsidR="00AC6BAB" w:rsidRPr="003518EB" w:rsidRDefault="00AC6BAB" w:rsidP="00AC6BAB">
            <w:pPr>
              <w:spacing w:after="0" w:line="240" w:lineRule="auto"/>
              <w:rPr>
                <w:rFonts w:cs="Arial"/>
                <w:color w:val="000000"/>
                <w:szCs w:val="20"/>
              </w:rPr>
            </w:pPr>
            <w:r w:rsidRPr="003518EB">
              <w:rPr>
                <w:rFonts w:cs="Arial"/>
                <w:color w:val="000000"/>
                <w:szCs w:val="20"/>
              </w:rPr>
              <w:t>&gt;5.0 to 8.5 GHz</w:t>
            </w:r>
          </w:p>
        </w:tc>
        <w:tc>
          <w:tcPr>
            <w:tcW w:w="1250" w:type="dxa"/>
            <w:tcBorders>
              <w:top w:val="nil"/>
              <w:left w:val="nil"/>
              <w:bottom w:val="single" w:sz="8" w:space="0" w:color="auto"/>
              <w:right w:val="single" w:sz="8" w:space="0" w:color="auto"/>
            </w:tcBorders>
            <w:shd w:val="clear" w:color="000000" w:fill="D9D9D9"/>
            <w:noWrap/>
            <w:vAlign w:val="center"/>
            <w:hideMark/>
          </w:tcPr>
          <w:p w14:paraId="40480A07"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4.2105</w:t>
            </w:r>
          </w:p>
        </w:tc>
        <w:tc>
          <w:tcPr>
            <w:tcW w:w="978" w:type="dxa"/>
            <w:tcBorders>
              <w:top w:val="nil"/>
              <w:left w:val="nil"/>
              <w:bottom w:val="single" w:sz="8" w:space="0" w:color="auto"/>
              <w:right w:val="single" w:sz="8" w:space="0" w:color="auto"/>
            </w:tcBorders>
            <w:shd w:val="clear" w:color="000000" w:fill="D9D9D9"/>
            <w:noWrap/>
            <w:vAlign w:val="center"/>
            <w:hideMark/>
          </w:tcPr>
          <w:p w14:paraId="26B5938C"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0.7785</w:t>
            </w:r>
          </w:p>
        </w:tc>
        <w:tc>
          <w:tcPr>
            <w:tcW w:w="1202" w:type="dxa"/>
            <w:tcBorders>
              <w:top w:val="nil"/>
              <w:left w:val="nil"/>
              <w:bottom w:val="single" w:sz="8" w:space="0" w:color="auto"/>
              <w:right w:val="single" w:sz="8" w:space="0" w:color="auto"/>
            </w:tcBorders>
            <w:shd w:val="clear" w:color="000000" w:fill="D9D9D9"/>
            <w:noWrap/>
            <w:vAlign w:val="center"/>
            <w:hideMark/>
          </w:tcPr>
          <w:p w14:paraId="1EEA3602"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0.3625</w:t>
            </w:r>
          </w:p>
        </w:tc>
        <w:tc>
          <w:tcPr>
            <w:tcW w:w="978" w:type="dxa"/>
            <w:tcBorders>
              <w:top w:val="nil"/>
              <w:left w:val="nil"/>
              <w:bottom w:val="single" w:sz="8" w:space="0" w:color="auto"/>
              <w:right w:val="single" w:sz="8" w:space="0" w:color="auto"/>
            </w:tcBorders>
            <w:shd w:val="clear" w:color="000000" w:fill="D9D9D9"/>
            <w:noWrap/>
            <w:vAlign w:val="center"/>
            <w:hideMark/>
          </w:tcPr>
          <w:p w14:paraId="1A269D8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0.165</w:t>
            </w:r>
          </w:p>
        </w:tc>
        <w:tc>
          <w:tcPr>
            <w:tcW w:w="1172" w:type="dxa"/>
            <w:tcBorders>
              <w:top w:val="nil"/>
              <w:left w:val="nil"/>
              <w:bottom w:val="single" w:sz="8" w:space="0" w:color="auto"/>
              <w:right w:val="single" w:sz="8" w:space="0" w:color="auto"/>
            </w:tcBorders>
            <w:shd w:val="clear" w:color="000000" w:fill="D9D9D9"/>
            <w:noWrap/>
            <w:vAlign w:val="center"/>
            <w:hideMark/>
          </w:tcPr>
          <w:p w14:paraId="567623BA"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0.08</w:t>
            </w:r>
          </w:p>
        </w:tc>
      </w:tr>
      <w:tr w:rsidR="00AC6BAB" w:rsidRPr="003518EB" w14:paraId="256A43CA" w14:textId="77777777" w:rsidTr="003518EB">
        <w:trPr>
          <w:trHeight w:val="232"/>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3BB420CB" w14:textId="77777777" w:rsidR="00AC6BAB" w:rsidRPr="003518EB" w:rsidRDefault="00AC6BAB" w:rsidP="00AC6BAB">
            <w:pPr>
              <w:spacing w:after="0" w:line="240" w:lineRule="auto"/>
              <w:rPr>
                <w:rFonts w:cs="Arial"/>
                <w:color w:val="000000"/>
                <w:szCs w:val="20"/>
              </w:rPr>
            </w:pPr>
            <w:r w:rsidRPr="003518EB">
              <w:rPr>
                <w:rFonts w:cs="Arial"/>
                <w:color w:val="000000"/>
                <w:szCs w:val="20"/>
              </w:rPr>
              <w:t>&gt;8.5 to 14.5 GHz</w:t>
            </w:r>
          </w:p>
        </w:tc>
        <w:tc>
          <w:tcPr>
            <w:tcW w:w="1250" w:type="dxa"/>
            <w:tcBorders>
              <w:top w:val="nil"/>
              <w:left w:val="nil"/>
              <w:bottom w:val="single" w:sz="8" w:space="0" w:color="auto"/>
              <w:right w:val="single" w:sz="8" w:space="0" w:color="auto"/>
            </w:tcBorders>
            <w:shd w:val="clear" w:color="000000" w:fill="D9D9D9"/>
            <w:noWrap/>
            <w:vAlign w:val="center"/>
            <w:hideMark/>
          </w:tcPr>
          <w:p w14:paraId="085AD0D5"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0.3711</w:t>
            </w:r>
          </w:p>
        </w:tc>
        <w:tc>
          <w:tcPr>
            <w:tcW w:w="978" w:type="dxa"/>
            <w:tcBorders>
              <w:top w:val="nil"/>
              <w:left w:val="nil"/>
              <w:bottom w:val="single" w:sz="8" w:space="0" w:color="auto"/>
              <w:right w:val="single" w:sz="8" w:space="0" w:color="auto"/>
            </w:tcBorders>
            <w:shd w:val="clear" w:color="000000" w:fill="D9D9D9"/>
            <w:noWrap/>
            <w:vAlign w:val="center"/>
            <w:hideMark/>
          </w:tcPr>
          <w:p w14:paraId="1F0A40FD"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0.1336</w:t>
            </w:r>
          </w:p>
        </w:tc>
        <w:tc>
          <w:tcPr>
            <w:tcW w:w="1202" w:type="dxa"/>
            <w:tcBorders>
              <w:top w:val="nil"/>
              <w:left w:val="nil"/>
              <w:bottom w:val="single" w:sz="8" w:space="0" w:color="auto"/>
              <w:right w:val="single" w:sz="8" w:space="0" w:color="auto"/>
            </w:tcBorders>
            <w:shd w:val="clear" w:color="000000" w:fill="D9D9D9"/>
            <w:noWrap/>
            <w:vAlign w:val="center"/>
            <w:hideMark/>
          </w:tcPr>
          <w:p w14:paraId="676BF9EE"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0.0316</w:t>
            </w:r>
          </w:p>
        </w:tc>
        <w:tc>
          <w:tcPr>
            <w:tcW w:w="978" w:type="dxa"/>
            <w:tcBorders>
              <w:top w:val="nil"/>
              <w:left w:val="nil"/>
              <w:bottom w:val="single" w:sz="8" w:space="0" w:color="auto"/>
              <w:right w:val="single" w:sz="8" w:space="0" w:color="auto"/>
            </w:tcBorders>
            <w:shd w:val="clear" w:color="000000" w:fill="D9D9D9"/>
            <w:noWrap/>
            <w:vAlign w:val="center"/>
            <w:hideMark/>
          </w:tcPr>
          <w:p w14:paraId="34601F5D"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0.0023</w:t>
            </w:r>
          </w:p>
        </w:tc>
        <w:tc>
          <w:tcPr>
            <w:tcW w:w="1172" w:type="dxa"/>
            <w:tcBorders>
              <w:top w:val="nil"/>
              <w:left w:val="nil"/>
              <w:bottom w:val="single" w:sz="8" w:space="0" w:color="auto"/>
              <w:right w:val="single" w:sz="8" w:space="0" w:color="auto"/>
            </w:tcBorders>
            <w:shd w:val="clear" w:color="000000" w:fill="D9D9D9"/>
            <w:noWrap/>
            <w:vAlign w:val="center"/>
            <w:hideMark/>
          </w:tcPr>
          <w:p w14:paraId="66A00EF2"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0.0011</w:t>
            </w:r>
          </w:p>
        </w:tc>
      </w:tr>
      <w:tr w:rsidR="00AC6BAB" w:rsidRPr="003518EB" w14:paraId="1D6733EF" w14:textId="77777777" w:rsidTr="003518EB">
        <w:trPr>
          <w:trHeight w:val="232"/>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78B7691B" w14:textId="77777777" w:rsidR="00AC6BAB" w:rsidRPr="003518EB" w:rsidRDefault="00AC6BAB" w:rsidP="00AC6BAB">
            <w:pPr>
              <w:spacing w:after="0" w:line="240" w:lineRule="auto"/>
              <w:rPr>
                <w:rFonts w:cs="Arial"/>
                <w:color w:val="000000"/>
                <w:szCs w:val="20"/>
              </w:rPr>
            </w:pPr>
            <w:r w:rsidRPr="003518EB">
              <w:rPr>
                <w:rFonts w:cs="Arial"/>
                <w:color w:val="000000"/>
                <w:szCs w:val="20"/>
              </w:rPr>
              <w:t>&gt;14.5 to 31.3 GHz</w:t>
            </w:r>
          </w:p>
        </w:tc>
        <w:tc>
          <w:tcPr>
            <w:tcW w:w="1250" w:type="dxa"/>
            <w:tcBorders>
              <w:top w:val="nil"/>
              <w:left w:val="nil"/>
              <w:bottom w:val="single" w:sz="8" w:space="0" w:color="auto"/>
              <w:right w:val="single" w:sz="8" w:space="0" w:color="auto"/>
            </w:tcBorders>
            <w:shd w:val="clear" w:color="000000" w:fill="D9D9D9"/>
            <w:noWrap/>
            <w:vAlign w:val="center"/>
            <w:hideMark/>
          </w:tcPr>
          <w:p w14:paraId="2F483103"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0.3711</w:t>
            </w:r>
          </w:p>
        </w:tc>
        <w:tc>
          <w:tcPr>
            <w:tcW w:w="978" w:type="dxa"/>
            <w:tcBorders>
              <w:top w:val="nil"/>
              <w:left w:val="nil"/>
              <w:bottom w:val="single" w:sz="8" w:space="0" w:color="auto"/>
              <w:right w:val="single" w:sz="8" w:space="0" w:color="auto"/>
            </w:tcBorders>
            <w:shd w:val="clear" w:color="000000" w:fill="D9D9D9"/>
            <w:noWrap/>
            <w:vAlign w:val="center"/>
            <w:hideMark/>
          </w:tcPr>
          <w:p w14:paraId="7F8D11D5"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0.0988</w:t>
            </w:r>
          </w:p>
        </w:tc>
        <w:tc>
          <w:tcPr>
            <w:tcW w:w="1202" w:type="dxa"/>
            <w:tcBorders>
              <w:top w:val="nil"/>
              <w:left w:val="nil"/>
              <w:bottom w:val="single" w:sz="8" w:space="0" w:color="auto"/>
              <w:right w:val="single" w:sz="8" w:space="0" w:color="auto"/>
            </w:tcBorders>
            <w:shd w:val="clear" w:color="000000" w:fill="D9D9D9"/>
            <w:noWrap/>
            <w:vAlign w:val="center"/>
            <w:hideMark/>
          </w:tcPr>
          <w:p w14:paraId="61F21F19"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0.0217</w:t>
            </w:r>
          </w:p>
        </w:tc>
        <w:tc>
          <w:tcPr>
            <w:tcW w:w="978" w:type="dxa"/>
            <w:tcBorders>
              <w:top w:val="nil"/>
              <w:left w:val="nil"/>
              <w:bottom w:val="single" w:sz="8" w:space="0" w:color="auto"/>
              <w:right w:val="single" w:sz="8" w:space="0" w:color="auto"/>
            </w:tcBorders>
            <w:shd w:val="clear" w:color="000000" w:fill="D9D9D9"/>
            <w:noWrap/>
            <w:vAlign w:val="center"/>
            <w:hideMark/>
          </w:tcPr>
          <w:p w14:paraId="209FF2B4"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0.0023</w:t>
            </w:r>
          </w:p>
        </w:tc>
        <w:tc>
          <w:tcPr>
            <w:tcW w:w="1172" w:type="dxa"/>
            <w:tcBorders>
              <w:top w:val="nil"/>
              <w:left w:val="nil"/>
              <w:bottom w:val="single" w:sz="8" w:space="0" w:color="auto"/>
              <w:right w:val="single" w:sz="8" w:space="0" w:color="auto"/>
            </w:tcBorders>
            <w:shd w:val="clear" w:color="000000" w:fill="D9D9D9"/>
            <w:noWrap/>
            <w:vAlign w:val="center"/>
            <w:hideMark/>
          </w:tcPr>
          <w:p w14:paraId="332E971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0.0011</w:t>
            </w:r>
          </w:p>
        </w:tc>
      </w:tr>
      <w:tr w:rsidR="00AC6BAB" w:rsidRPr="003518EB" w14:paraId="0BE7A770" w14:textId="77777777" w:rsidTr="003518EB">
        <w:trPr>
          <w:trHeight w:val="232"/>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1B4024DA" w14:textId="77777777" w:rsidR="00AC6BAB" w:rsidRPr="003518EB" w:rsidRDefault="00AC6BAB" w:rsidP="00AC6BAB">
            <w:pPr>
              <w:spacing w:after="0" w:line="240" w:lineRule="auto"/>
              <w:rPr>
                <w:rFonts w:cs="Arial"/>
                <w:color w:val="000000"/>
                <w:szCs w:val="20"/>
              </w:rPr>
            </w:pPr>
            <w:r w:rsidRPr="003518EB">
              <w:rPr>
                <w:rFonts w:cs="Arial"/>
                <w:color w:val="000000"/>
                <w:szCs w:val="20"/>
              </w:rPr>
              <w:t>&gt;31.3 to 51.4 GHz</w:t>
            </w:r>
          </w:p>
        </w:tc>
        <w:tc>
          <w:tcPr>
            <w:tcW w:w="1250" w:type="dxa"/>
            <w:tcBorders>
              <w:top w:val="nil"/>
              <w:left w:val="nil"/>
              <w:bottom w:val="single" w:sz="8" w:space="0" w:color="auto"/>
              <w:right w:val="single" w:sz="8" w:space="0" w:color="auto"/>
            </w:tcBorders>
            <w:shd w:val="clear" w:color="000000" w:fill="D9D9D9"/>
            <w:noWrap/>
            <w:vAlign w:val="center"/>
            <w:hideMark/>
          </w:tcPr>
          <w:p w14:paraId="06D28E8C"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0.1012</w:t>
            </w:r>
          </w:p>
        </w:tc>
        <w:tc>
          <w:tcPr>
            <w:tcW w:w="978" w:type="dxa"/>
            <w:tcBorders>
              <w:top w:val="nil"/>
              <w:left w:val="nil"/>
              <w:bottom w:val="single" w:sz="8" w:space="0" w:color="auto"/>
              <w:right w:val="single" w:sz="8" w:space="0" w:color="auto"/>
            </w:tcBorders>
            <w:shd w:val="clear" w:color="000000" w:fill="D9D9D9"/>
            <w:noWrap/>
            <w:vAlign w:val="center"/>
            <w:hideMark/>
          </w:tcPr>
          <w:p w14:paraId="56B3520C"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0.0539</w:t>
            </w:r>
          </w:p>
        </w:tc>
        <w:tc>
          <w:tcPr>
            <w:tcW w:w="1202" w:type="dxa"/>
            <w:tcBorders>
              <w:top w:val="nil"/>
              <w:left w:val="nil"/>
              <w:bottom w:val="single" w:sz="8" w:space="0" w:color="auto"/>
              <w:right w:val="single" w:sz="8" w:space="0" w:color="auto"/>
            </w:tcBorders>
            <w:shd w:val="clear" w:color="000000" w:fill="D9D9D9"/>
            <w:noWrap/>
            <w:vAlign w:val="center"/>
            <w:hideMark/>
          </w:tcPr>
          <w:p w14:paraId="385F7140"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0.0117</w:t>
            </w:r>
          </w:p>
        </w:tc>
        <w:tc>
          <w:tcPr>
            <w:tcW w:w="978" w:type="dxa"/>
            <w:tcBorders>
              <w:top w:val="nil"/>
              <w:left w:val="nil"/>
              <w:bottom w:val="single" w:sz="8" w:space="0" w:color="auto"/>
              <w:right w:val="single" w:sz="8" w:space="0" w:color="auto"/>
            </w:tcBorders>
            <w:shd w:val="clear" w:color="000000" w:fill="D9D9D9"/>
            <w:noWrap/>
            <w:vAlign w:val="center"/>
            <w:hideMark/>
          </w:tcPr>
          <w:p w14:paraId="40886464"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0.0004</w:t>
            </w:r>
          </w:p>
        </w:tc>
        <w:tc>
          <w:tcPr>
            <w:tcW w:w="1172" w:type="dxa"/>
            <w:tcBorders>
              <w:top w:val="nil"/>
              <w:left w:val="nil"/>
              <w:bottom w:val="single" w:sz="8" w:space="0" w:color="auto"/>
              <w:right w:val="single" w:sz="8" w:space="0" w:color="auto"/>
            </w:tcBorders>
            <w:shd w:val="clear" w:color="000000" w:fill="D9D9D9"/>
            <w:noWrap/>
            <w:vAlign w:val="center"/>
            <w:hideMark/>
          </w:tcPr>
          <w:p w14:paraId="4B801663"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0.0002</w:t>
            </w:r>
          </w:p>
        </w:tc>
      </w:tr>
      <w:tr w:rsidR="00AC6BAB" w:rsidRPr="003518EB" w14:paraId="4B5F96D7" w14:textId="77777777" w:rsidTr="003518EB">
        <w:trPr>
          <w:trHeight w:val="232"/>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510F3480" w14:textId="77777777" w:rsidR="00AC6BAB" w:rsidRPr="003518EB" w:rsidRDefault="00AC6BAB" w:rsidP="00AC6BAB">
            <w:pPr>
              <w:spacing w:after="0" w:line="240" w:lineRule="auto"/>
              <w:rPr>
                <w:rFonts w:cs="Arial"/>
                <w:color w:val="000000"/>
                <w:szCs w:val="20"/>
              </w:rPr>
            </w:pPr>
            <w:r w:rsidRPr="003518EB">
              <w:rPr>
                <w:rFonts w:cs="Arial"/>
                <w:color w:val="000000"/>
                <w:szCs w:val="20"/>
              </w:rPr>
              <w:t>51.4 GHz to 100 GHz</w:t>
            </w:r>
          </w:p>
        </w:tc>
        <w:tc>
          <w:tcPr>
            <w:tcW w:w="1250" w:type="dxa"/>
            <w:tcBorders>
              <w:top w:val="nil"/>
              <w:left w:val="nil"/>
              <w:bottom w:val="single" w:sz="8" w:space="0" w:color="auto"/>
              <w:right w:val="single" w:sz="8" w:space="0" w:color="auto"/>
            </w:tcBorders>
            <w:shd w:val="clear" w:color="000000" w:fill="D9D9D9"/>
            <w:noWrap/>
            <w:vAlign w:val="center"/>
            <w:hideMark/>
          </w:tcPr>
          <w:p w14:paraId="4F5DF0E9"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0.01</w:t>
            </w:r>
          </w:p>
        </w:tc>
        <w:tc>
          <w:tcPr>
            <w:tcW w:w="978" w:type="dxa"/>
            <w:tcBorders>
              <w:top w:val="nil"/>
              <w:left w:val="nil"/>
              <w:bottom w:val="single" w:sz="8" w:space="0" w:color="auto"/>
              <w:right w:val="single" w:sz="8" w:space="0" w:color="auto"/>
            </w:tcBorders>
            <w:shd w:val="clear" w:color="000000" w:fill="D9D9D9"/>
            <w:noWrap/>
            <w:vAlign w:val="center"/>
            <w:hideMark/>
          </w:tcPr>
          <w:p w14:paraId="61EFEF63"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0.001</w:t>
            </w:r>
          </w:p>
        </w:tc>
        <w:tc>
          <w:tcPr>
            <w:tcW w:w="1202" w:type="dxa"/>
            <w:tcBorders>
              <w:top w:val="nil"/>
              <w:left w:val="nil"/>
              <w:bottom w:val="single" w:sz="8" w:space="0" w:color="auto"/>
              <w:right w:val="single" w:sz="8" w:space="0" w:color="auto"/>
            </w:tcBorders>
            <w:shd w:val="clear" w:color="000000" w:fill="D9D9D9"/>
            <w:noWrap/>
            <w:vAlign w:val="center"/>
            <w:hideMark/>
          </w:tcPr>
          <w:p w14:paraId="4CBF9383"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0.001</w:t>
            </w:r>
          </w:p>
        </w:tc>
        <w:tc>
          <w:tcPr>
            <w:tcW w:w="978" w:type="dxa"/>
            <w:tcBorders>
              <w:top w:val="nil"/>
              <w:left w:val="nil"/>
              <w:bottom w:val="single" w:sz="8" w:space="0" w:color="auto"/>
              <w:right w:val="single" w:sz="8" w:space="0" w:color="auto"/>
            </w:tcBorders>
            <w:shd w:val="clear" w:color="000000" w:fill="D9D9D9"/>
            <w:noWrap/>
            <w:vAlign w:val="center"/>
            <w:hideMark/>
          </w:tcPr>
          <w:p w14:paraId="6C8AEDAA"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0.0001</w:t>
            </w:r>
          </w:p>
        </w:tc>
        <w:tc>
          <w:tcPr>
            <w:tcW w:w="1172" w:type="dxa"/>
            <w:tcBorders>
              <w:top w:val="nil"/>
              <w:left w:val="nil"/>
              <w:bottom w:val="single" w:sz="8" w:space="0" w:color="auto"/>
              <w:right w:val="single" w:sz="8" w:space="0" w:color="auto"/>
            </w:tcBorders>
            <w:shd w:val="clear" w:color="000000" w:fill="D9D9D9"/>
            <w:noWrap/>
            <w:vAlign w:val="center"/>
            <w:hideMark/>
          </w:tcPr>
          <w:p w14:paraId="28CC943C"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0.0001</w:t>
            </w:r>
          </w:p>
        </w:tc>
      </w:tr>
      <w:tr w:rsidR="00AC6BAB" w:rsidRPr="003518EB" w14:paraId="326403C6" w14:textId="77777777" w:rsidTr="003518EB">
        <w:trPr>
          <w:trHeight w:val="232"/>
        </w:trPr>
        <w:tc>
          <w:tcPr>
            <w:tcW w:w="2117" w:type="dxa"/>
            <w:tcBorders>
              <w:top w:val="nil"/>
              <w:left w:val="single" w:sz="8" w:space="0" w:color="auto"/>
              <w:bottom w:val="single" w:sz="8" w:space="0" w:color="auto"/>
              <w:right w:val="single" w:sz="8" w:space="0" w:color="auto"/>
            </w:tcBorders>
            <w:shd w:val="clear" w:color="auto" w:fill="auto"/>
            <w:noWrap/>
            <w:vAlign w:val="center"/>
            <w:hideMark/>
          </w:tcPr>
          <w:p w14:paraId="2D2A962A" w14:textId="77777777" w:rsidR="00AC6BAB" w:rsidRPr="003518EB" w:rsidRDefault="00AC6BAB" w:rsidP="00AC6BAB">
            <w:pPr>
              <w:spacing w:after="0" w:line="240" w:lineRule="auto"/>
              <w:rPr>
                <w:rFonts w:cs="Arial"/>
                <w:color w:val="000000"/>
                <w:szCs w:val="20"/>
              </w:rPr>
            </w:pPr>
            <w:r w:rsidRPr="003518EB">
              <w:rPr>
                <w:rFonts w:cs="Arial"/>
                <w:color w:val="000000"/>
                <w:szCs w:val="20"/>
              </w:rPr>
              <w:t>Above 100 GHz</w:t>
            </w:r>
          </w:p>
        </w:tc>
        <w:tc>
          <w:tcPr>
            <w:tcW w:w="1250" w:type="dxa"/>
            <w:tcBorders>
              <w:top w:val="nil"/>
              <w:left w:val="nil"/>
              <w:bottom w:val="single" w:sz="8" w:space="0" w:color="auto"/>
              <w:right w:val="single" w:sz="8" w:space="0" w:color="auto"/>
            </w:tcBorders>
            <w:shd w:val="clear" w:color="000000" w:fill="D9D9D9"/>
            <w:noWrap/>
            <w:vAlign w:val="center"/>
            <w:hideMark/>
          </w:tcPr>
          <w:p w14:paraId="55CF9DDA"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w:t>
            </w:r>
          </w:p>
        </w:tc>
        <w:tc>
          <w:tcPr>
            <w:tcW w:w="978" w:type="dxa"/>
            <w:tcBorders>
              <w:top w:val="nil"/>
              <w:left w:val="nil"/>
              <w:bottom w:val="single" w:sz="8" w:space="0" w:color="auto"/>
              <w:right w:val="single" w:sz="8" w:space="0" w:color="auto"/>
            </w:tcBorders>
            <w:shd w:val="clear" w:color="000000" w:fill="D9D9D9"/>
            <w:noWrap/>
            <w:vAlign w:val="center"/>
            <w:hideMark/>
          </w:tcPr>
          <w:p w14:paraId="18E790CF"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w:t>
            </w:r>
          </w:p>
        </w:tc>
        <w:tc>
          <w:tcPr>
            <w:tcW w:w="1202" w:type="dxa"/>
            <w:tcBorders>
              <w:top w:val="nil"/>
              <w:left w:val="nil"/>
              <w:bottom w:val="single" w:sz="8" w:space="0" w:color="auto"/>
              <w:right w:val="single" w:sz="8" w:space="0" w:color="auto"/>
            </w:tcBorders>
            <w:shd w:val="clear" w:color="000000" w:fill="D9D9D9"/>
            <w:noWrap/>
            <w:vAlign w:val="center"/>
            <w:hideMark/>
          </w:tcPr>
          <w:p w14:paraId="06AB1C29"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w:t>
            </w:r>
          </w:p>
        </w:tc>
        <w:tc>
          <w:tcPr>
            <w:tcW w:w="978" w:type="dxa"/>
            <w:tcBorders>
              <w:top w:val="nil"/>
              <w:left w:val="nil"/>
              <w:bottom w:val="single" w:sz="8" w:space="0" w:color="auto"/>
              <w:right w:val="single" w:sz="8" w:space="0" w:color="auto"/>
            </w:tcBorders>
            <w:shd w:val="clear" w:color="000000" w:fill="D9D9D9"/>
            <w:noWrap/>
            <w:vAlign w:val="center"/>
            <w:hideMark/>
          </w:tcPr>
          <w:p w14:paraId="6D6404E4"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w:t>
            </w:r>
          </w:p>
        </w:tc>
        <w:tc>
          <w:tcPr>
            <w:tcW w:w="1172" w:type="dxa"/>
            <w:tcBorders>
              <w:top w:val="nil"/>
              <w:left w:val="nil"/>
              <w:bottom w:val="single" w:sz="8" w:space="0" w:color="auto"/>
              <w:right w:val="single" w:sz="8" w:space="0" w:color="auto"/>
            </w:tcBorders>
            <w:shd w:val="clear" w:color="000000" w:fill="D9D9D9"/>
            <w:noWrap/>
            <w:vAlign w:val="center"/>
            <w:hideMark/>
          </w:tcPr>
          <w:p w14:paraId="311CA14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w:t>
            </w:r>
          </w:p>
        </w:tc>
      </w:tr>
    </w:tbl>
    <w:p w14:paraId="1CEC8EAC" w14:textId="70EE7007" w:rsidR="0010060D" w:rsidRPr="005A3397" w:rsidRDefault="00E75A19" w:rsidP="00F10AF0">
      <w:pPr>
        <w:pStyle w:val="Paragraph"/>
      </w:pPr>
      <w:r w:rsidRPr="005A3397">
        <w:br/>
      </w:r>
      <w:r w:rsidR="00FB178B" w:rsidRPr="005A3397">
        <w:t xml:space="preserve">The calculation of the current TOBN licence tax rate of $415,899 used some of the previous location weightings table as inputs. As such, stakeholders have highlighted that, given the location weighting changes resulting from the </w:t>
      </w:r>
      <w:r w:rsidR="00910436" w:rsidRPr="005A3397">
        <w:t xml:space="preserve">implementation of the </w:t>
      </w:r>
      <w:r w:rsidR="00FB178B" w:rsidRPr="005A3397">
        <w:t>Spectrum Pricing Review</w:t>
      </w:r>
      <w:r w:rsidR="00910436" w:rsidRPr="005A3397">
        <w:t xml:space="preserve"> process</w:t>
      </w:r>
      <w:r w:rsidR="00FB178B" w:rsidRPr="005A3397">
        <w:t>, the calculation of the TOBN licence tax rate should be revisited using updated location weightings.</w:t>
      </w:r>
    </w:p>
    <w:p w14:paraId="4CBA7879" w14:textId="064CB029" w:rsidR="00910436" w:rsidRPr="005A3397" w:rsidRDefault="00910436" w:rsidP="00F10AF0">
      <w:pPr>
        <w:pStyle w:val="Paragraph"/>
      </w:pPr>
      <w:r w:rsidRPr="005A3397">
        <w:t>The TOBN licence tax rate uses the Australia-wide location weightings for spectrum locations of &lt;960 to 2,690 MHz, &lt;5.0 to 8.5 GHz, and &gt;8.5 to 14.5 GHz in its calculation. Of these location weightings, the Australia-wide weightings for &lt;5.0 to 8.5 GHz and &gt;8.5 to 14.5 GHz saw reductions from 8.421 to 4.2105 and 3.711 to 0.3711 respectively. The location weightings</w:t>
      </w:r>
      <w:r w:rsidR="004D3F4A" w:rsidRPr="005A3397">
        <w:t xml:space="preserve"> </w:t>
      </w:r>
      <w:r w:rsidR="00C15304">
        <w:t>that</w:t>
      </w:r>
      <w:r w:rsidR="00C15304" w:rsidRPr="005A3397">
        <w:t xml:space="preserve"> </w:t>
      </w:r>
      <w:r w:rsidR="004D3F4A" w:rsidRPr="005A3397">
        <w:t>have seen updates since the current TOBN tax rate was calculated</w:t>
      </w:r>
      <w:r w:rsidR="00C15304">
        <w:t>,</w:t>
      </w:r>
      <w:r w:rsidR="004D3F4A" w:rsidRPr="005A3397">
        <w:t xml:space="preserve"> are highlighted below in green.</w:t>
      </w:r>
    </w:p>
    <w:p w14:paraId="3A5DBD7C" w14:textId="2E0A39D8" w:rsidR="004C522C" w:rsidRPr="005A3397" w:rsidRDefault="00FF7ED5" w:rsidP="007A5938">
      <w:pPr>
        <w:pStyle w:val="Tableheading"/>
      </w:pPr>
      <w:r w:rsidRPr="005A3397">
        <w:t>Location weightings table</w:t>
      </w:r>
      <w:r w:rsidR="00067677" w:rsidRPr="005A3397">
        <w:t xml:space="preserve"> highlighting factors used that have changed</w:t>
      </w:r>
    </w:p>
    <w:tbl>
      <w:tblPr>
        <w:tblW w:w="7720" w:type="dxa"/>
        <w:tblCellMar>
          <w:top w:w="57" w:type="dxa"/>
          <w:left w:w="57" w:type="dxa"/>
          <w:bottom w:w="57" w:type="dxa"/>
          <w:right w:w="57" w:type="dxa"/>
        </w:tblCellMar>
        <w:tblLook w:val="04A0" w:firstRow="1" w:lastRow="0" w:firstColumn="1" w:lastColumn="0" w:noHBand="0" w:noVBand="1"/>
      </w:tblPr>
      <w:tblGrid>
        <w:gridCol w:w="2258"/>
        <w:gridCol w:w="1118"/>
        <w:gridCol w:w="982"/>
        <w:gridCol w:w="1206"/>
        <w:gridCol w:w="982"/>
        <w:gridCol w:w="1174"/>
      </w:tblGrid>
      <w:tr w:rsidR="00AC6BAB" w:rsidRPr="00443221" w14:paraId="4364A455" w14:textId="77777777" w:rsidTr="00793CD6">
        <w:trPr>
          <w:trHeight w:val="137"/>
          <w:tblHeader/>
        </w:trPr>
        <w:tc>
          <w:tcPr>
            <w:tcW w:w="2258" w:type="dxa"/>
            <w:tcBorders>
              <w:top w:val="single" w:sz="8" w:space="0" w:color="auto"/>
              <w:left w:val="single" w:sz="8" w:space="0" w:color="auto"/>
              <w:bottom w:val="single" w:sz="8" w:space="0" w:color="auto"/>
              <w:right w:val="single" w:sz="8" w:space="0" w:color="auto"/>
            </w:tcBorders>
            <w:shd w:val="clear" w:color="000000" w:fill="404040"/>
            <w:noWrap/>
            <w:vAlign w:val="center"/>
            <w:hideMark/>
          </w:tcPr>
          <w:p w14:paraId="73F227B2" w14:textId="77777777" w:rsidR="00AC6BAB" w:rsidRPr="005A3397" w:rsidRDefault="00AC6BAB" w:rsidP="00AC6BAB">
            <w:pPr>
              <w:spacing w:after="0" w:line="240" w:lineRule="auto"/>
              <w:rPr>
                <w:rFonts w:cs="Arial"/>
                <w:b/>
                <w:color w:val="FFFFFF"/>
                <w:sz w:val="18"/>
                <w:szCs w:val="18"/>
              </w:rPr>
            </w:pPr>
            <w:r w:rsidRPr="005A3397">
              <w:rPr>
                <w:rFonts w:cs="Arial"/>
                <w:b/>
                <w:color w:val="FFFFFF"/>
                <w:sz w:val="18"/>
                <w:szCs w:val="22"/>
              </w:rPr>
              <w:t> </w:t>
            </w:r>
          </w:p>
        </w:tc>
        <w:tc>
          <w:tcPr>
            <w:tcW w:w="5462" w:type="dxa"/>
            <w:gridSpan w:val="5"/>
            <w:tcBorders>
              <w:top w:val="single" w:sz="8" w:space="0" w:color="auto"/>
              <w:left w:val="nil"/>
              <w:bottom w:val="single" w:sz="8" w:space="0" w:color="auto"/>
              <w:right w:val="single" w:sz="8" w:space="0" w:color="000000"/>
            </w:tcBorders>
            <w:shd w:val="clear" w:color="000000" w:fill="404040"/>
            <w:noWrap/>
            <w:vAlign w:val="center"/>
            <w:hideMark/>
          </w:tcPr>
          <w:p w14:paraId="2BE9CCDA" w14:textId="77777777" w:rsidR="00AC6BAB" w:rsidRPr="005A3397" w:rsidRDefault="00AC6BAB" w:rsidP="00AC6BAB">
            <w:pPr>
              <w:spacing w:after="0" w:line="240" w:lineRule="auto"/>
              <w:jc w:val="center"/>
              <w:rPr>
                <w:rFonts w:cs="Arial"/>
                <w:b/>
                <w:color w:val="FFFFFF"/>
                <w:sz w:val="18"/>
                <w:szCs w:val="18"/>
              </w:rPr>
            </w:pPr>
            <w:r w:rsidRPr="005A3397">
              <w:rPr>
                <w:rFonts w:cs="Arial"/>
                <w:b/>
                <w:color w:val="FFFFFF"/>
                <w:sz w:val="18"/>
                <w:szCs w:val="22"/>
              </w:rPr>
              <w:t>Geographic location</w:t>
            </w:r>
          </w:p>
        </w:tc>
      </w:tr>
      <w:tr w:rsidR="00AC6BAB" w:rsidRPr="00443221" w14:paraId="395B4CA7" w14:textId="77777777" w:rsidTr="00793CD6">
        <w:trPr>
          <w:trHeight w:val="137"/>
          <w:tblHeader/>
        </w:trPr>
        <w:tc>
          <w:tcPr>
            <w:tcW w:w="2258" w:type="dxa"/>
            <w:tcBorders>
              <w:top w:val="nil"/>
              <w:left w:val="single" w:sz="8" w:space="0" w:color="auto"/>
              <w:bottom w:val="single" w:sz="8" w:space="0" w:color="auto"/>
              <w:right w:val="single" w:sz="8" w:space="0" w:color="auto"/>
            </w:tcBorders>
            <w:shd w:val="clear" w:color="000000" w:fill="404040"/>
            <w:noWrap/>
            <w:vAlign w:val="center"/>
            <w:hideMark/>
          </w:tcPr>
          <w:p w14:paraId="07012241" w14:textId="77777777" w:rsidR="00AC6BAB" w:rsidRPr="005A3397" w:rsidRDefault="00AC6BAB" w:rsidP="00AC6BAB">
            <w:pPr>
              <w:spacing w:after="0" w:line="240" w:lineRule="auto"/>
              <w:rPr>
                <w:rFonts w:cs="Arial"/>
                <w:b/>
                <w:color w:val="FFFFFF"/>
                <w:sz w:val="18"/>
                <w:szCs w:val="18"/>
              </w:rPr>
            </w:pPr>
            <w:r w:rsidRPr="005A3397">
              <w:rPr>
                <w:rFonts w:cs="Arial"/>
                <w:b/>
                <w:color w:val="FFFFFF"/>
                <w:sz w:val="18"/>
                <w:szCs w:val="22"/>
              </w:rPr>
              <w:t>Spectrum location</w:t>
            </w:r>
          </w:p>
        </w:tc>
        <w:tc>
          <w:tcPr>
            <w:tcW w:w="1118" w:type="dxa"/>
            <w:tcBorders>
              <w:top w:val="nil"/>
              <w:left w:val="nil"/>
              <w:bottom w:val="single" w:sz="8" w:space="0" w:color="auto"/>
              <w:right w:val="single" w:sz="8" w:space="0" w:color="auto"/>
            </w:tcBorders>
            <w:shd w:val="clear" w:color="000000" w:fill="404040"/>
            <w:noWrap/>
            <w:vAlign w:val="center"/>
            <w:hideMark/>
          </w:tcPr>
          <w:p w14:paraId="518BD521" w14:textId="7B6DF406" w:rsidR="00AC6BAB" w:rsidRPr="005A3397" w:rsidRDefault="00AC6BAB" w:rsidP="003518EB">
            <w:pPr>
              <w:spacing w:after="0" w:line="240" w:lineRule="auto"/>
              <w:jc w:val="right"/>
              <w:rPr>
                <w:rFonts w:cs="Arial"/>
                <w:b/>
                <w:color w:val="FFFFFF"/>
                <w:sz w:val="18"/>
                <w:szCs w:val="18"/>
              </w:rPr>
            </w:pPr>
            <w:r w:rsidRPr="005A3397">
              <w:rPr>
                <w:rFonts w:cs="Arial"/>
                <w:b/>
                <w:color w:val="FFFFFF"/>
                <w:sz w:val="18"/>
                <w:szCs w:val="22"/>
              </w:rPr>
              <w:t>Aus</w:t>
            </w:r>
            <w:r w:rsidR="00386295">
              <w:rPr>
                <w:rFonts w:cs="Arial"/>
                <w:b/>
                <w:color w:val="FFFFFF"/>
                <w:sz w:val="18"/>
                <w:szCs w:val="22"/>
              </w:rPr>
              <w:t>tralia</w:t>
            </w:r>
            <w:r w:rsidRPr="005A3397">
              <w:rPr>
                <w:rFonts w:cs="Arial"/>
                <w:b/>
                <w:color w:val="FFFFFF"/>
                <w:sz w:val="18"/>
                <w:szCs w:val="22"/>
              </w:rPr>
              <w:t>-wide</w:t>
            </w:r>
          </w:p>
        </w:tc>
        <w:tc>
          <w:tcPr>
            <w:tcW w:w="982" w:type="dxa"/>
            <w:tcBorders>
              <w:top w:val="nil"/>
              <w:left w:val="nil"/>
              <w:bottom w:val="single" w:sz="8" w:space="0" w:color="auto"/>
              <w:right w:val="single" w:sz="8" w:space="0" w:color="auto"/>
            </w:tcBorders>
            <w:shd w:val="clear" w:color="000000" w:fill="404040"/>
            <w:noWrap/>
            <w:vAlign w:val="center"/>
            <w:hideMark/>
          </w:tcPr>
          <w:p w14:paraId="7C7C31B2" w14:textId="77777777" w:rsidR="00AC6BAB" w:rsidRPr="005A3397" w:rsidRDefault="00AC6BAB" w:rsidP="003518EB">
            <w:pPr>
              <w:spacing w:after="0" w:line="240" w:lineRule="auto"/>
              <w:jc w:val="right"/>
              <w:rPr>
                <w:rFonts w:cs="Arial"/>
                <w:b/>
                <w:color w:val="FFFFFF"/>
                <w:sz w:val="18"/>
                <w:szCs w:val="18"/>
              </w:rPr>
            </w:pPr>
            <w:r w:rsidRPr="005A3397">
              <w:rPr>
                <w:rFonts w:cs="Arial"/>
                <w:b/>
                <w:color w:val="FFFFFF"/>
                <w:sz w:val="18"/>
                <w:szCs w:val="22"/>
              </w:rPr>
              <w:t>High</w:t>
            </w:r>
          </w:p>
        </w:tc>
        <w:tc>
          <w:tcPr>
            <w:tcW w:w="1206" w:type="dxa"/>
            <w:tcBorders>
              <w:top w:val="nil"/>
              <w:left w:val="nil"/>
              <w:bottom w:val="single" w:sz="8" w:space="0" w:color="auto"/>
              <w:right w:val="single" w:sz="8" w:space="0" w:color="auto"/>
            </w:tcBorders>
            <w:shd w:val="clear" w:color="000000" w:fill="404040"/>
            <w:noWrap/>
            <w:vAlign w:val="center"/>
            <w:hideMark/>
          </w:tcPr>
          <w:p w14:paraId="438B6A48" w14:textId="77777777" w:rsidR="00AC6BAB" w:rsidRPr="005A3397" w:rsidRDefault="00AC6BAB" w:rsidP="003518EB">
            <w:pPr>
              <w:spacing w:after="0" w:line="240" w:lineRule="auto"/>
              <w:jc w:val="right"/>
              <w:rPr>
                <w:rFonts w:cs="Arial"/>
                <w:b/>
                <w:color w:val="FFFFFF"/>
                <w:sz w:val="18"/>
                <w:szCs w:val="18"/>
              </w:rPr>
            </w:pPr>
            <w:r w:rsidRPr="005A3397">
              <w:rPr>
                <w:rFonts w:cs="Arial"/>
                <w:b/>
                <w:color w:val="FFFFFF"/>
                <w:sz w:val="18"/>
                <w:szCs w:val="22"/>
              </w:rPr>
              <w:t>Medium</w:t>
            </w:r>
          </w:p>
        </w:tc>
        <w:tc>
          <w:tcPr>
            <w:tcW w:w="982" w:type="dxa"/>
            <w:tcBorders>
              <w:top w:val="nil"/>
              <w:left w:val="nil"/>
              <w:bottom w:val="single" w:sz="8" w:space="0" w:color="auto"/>
              <w:right w:val="single" w:sz="8" w:space="0" w:color="auto"/>
            </w:tcBorders>
            <w:shd w:val="clear" w:color="000000" w:fill="404040"/>
            <w:noWrap/>
            <w:vAlign w:val="center"/>
            <w:hideMark/>
          </w:tcPr>
          <w:p w14:paraId="5679264B" w14:textId="77777777" w:rsidR="00AC6BAB" w:rsidRPr="005A3397" w:rsidRDefault="00AC6BAB" w:rsidP="003518EB">
            <w:pPr>
              <w:spacing w:after="0" w:line="240" w:lineRule="auto"/>
              <w:jc w:val="right"/>
              <w:rPr>
                <w:rFonts w:cs="Arial"/>
                <w:b/>
                <w:color w:val="FFFFFF"/>
                <w:sz w:val="18"/>
                <w:szCs w:val="18"/>
              </w:rPr>
            </w:pPr>
            <w:r w:rsidRPr="005A3397">
              <w:rPr>
                <w:rFonts w:cs="Arial"/>
                <w:b/>
                <w:color w:val="FFFFFF"/>
                <w:sz w:val="18"/>
                <w:szCs w:val="22"/>
              </w:rPr>
              <w:t>Low</w:t>
            </w:r>
          </w:p>
        </w:tc>
        <w:tc>
          <w:tcPr>
            <w:tcW w:w="1174" w:type="dxa"/>
            <w:tcBorders>
              <w:top w:val="nil"/>
              <w:left w:val="nil"/>
              <w:bottom w:val="single" w:sz="8" w:space="0" w:color="auto"/>
              <w:right w:val="single" w:sz="8" w:space="0" w:color="auto"/>
            </w:tcBorders>
            <w:shd w:val="clear" w:color="000000" w:fill="404040"/>
            <w:noWrap/>
            <w:vAlign w:val="center"/>
            <w:hideMark/>
          </w:tcPr>
          <w:p w14:paraId="00BEF8CC" w14:textId="77777777" w:rsidR="00AC6BAB" w:rsidRPr="005A3397" w:rsidRDefault="00AC6BAB" w:rsidP="003518EB">
            <w:pPr>
              <w:spacing w:after="0" w:line="240" w:lineRule="auto"/>
              <w:jc w:val="right"/>
              <w:rPr>
                <w:rFonts w:cs="Arial"/>
                <w:b/>
                <w:color w:val="FFFFFF"/>
                <w:sz w:val="18"/>
                <w:szCs w:val="18"/>
              </w:rPr>
            </w:pPr>
            <w:r w:rsidRPr="005A3397">
              <w:rPr>
                <w:rFonts w:cs="Arial"/>
                <w:b/>
                <w:color w:val="FFFFFF"/>
                <w:sz w:val="18"/>
                <w:szCs w:val="22"/>
              </w:rPr>
              <w:t>Remote</w:t>
            </w:r>
          </w:p>
        </w:tc>
      </w:tr>
      <w:tr w:rsidR="00AC6BAB" w:rsidRPr="00443221" w14:paraId="129778C7" w14:textId="77777777" w:rsidTr="003518EB">
        <w:trPr>
          <w:trHeight w:val="137"/>
        </w:trPr>
        <w:tc>
          <w:tcPr>
            <w:tcW w:w="2258" w:type="dxa"/>
            <w:tcBorders>
              <w:top w:val="nil"/>
              <w:left w:val="single" w:sz="8" w:space="0" w:color="auto"/>
              <w:bottom w:val="single" w:sz="8" w:space="0" w:color="auto"/>
              <w:right w:val="single" w:sz="8" w:space="0" w:color="auto"/>
            </w:tcBorders>
            <w:shd w:val="clear" w:color="auto" w:fill="auto"/>
            <w:noWrap/>
            <w:vAlign w:val="center"/>
            <w:hideMark/>
          </w:tcPr>
          <w:p w14:paraId="7E987264" w14:textId="77777777" w:rsidR="00AC6BAB" w:rsidRPr="003518EB" w:rsidRDefault="00AC6BAB" w:rsidP="00AC6BAB">
            <w:pPr>
              <w:spacing w:after="0" w:line="240" w:lineRule="auto"/>
              <w:rPr>
                <w:rFonts w:cs="Arial"/>
                <w:color w:val="000000"/>
                <w:szCs w:val="20"/>
              </w:rPr>
            </w:pPr>
            <w:r w:rsidRPr="003518EB">
              <w:rPr>
                <w:rFonts w:cs="Arial"/>
                <w:color w:val="000000"/>
                <w:szCs w:val="20"/>
              </w:rPr>
              <w:t>30 MHz and below</w:t>
            </w:r>
          </w:p>
        </w:tc>
        <w:tc>
          <w:tcPr>
            <w:tcW w:w="1118" w:type="dxa"/>
            <w:tcBorders>
              <w:top w:val="nil"/>
              <w:left w:val="nil"/>
              <w:bottom w:val="single" w:sz="8" w:space="0" w:color="auto"/>
              <w:right w:val="single" w:sz="8" w:space="0" w:color="auto"/>
            </w:tcBorders>
            <w:shd w:val="clear" w:color="auto" w:fill="auto"/>
            <w:noWrap/>
            <w:vAlign w:val="center"/>
            <w:hideMark/>
          </w:tcPr>
          <w:p w14:paraId="396955D2"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4.315</w:t>
            </w:r>
          </w:p>
        </w:tc>
        <w:tc>
          <w:tcPr>
            <w:tcW w:w="982" w:type="dxa"/>
            <w:tcBorders>
              <w:top w:val="nil"/>
              <w:left w:val="nil"/>
              <w:bottom w:val="single" w:sz="8" w:space="0" w:color="auto"/>
              <w:right w:val="single" w:sz="8" w:space="0" w:color="auto"/>
            </w:tcBorders>
            <w:shd w:val="clear" w:color="auto" w:fill="auto"/>
            <w:noWrap/>
            <w:vAlign w:val="center"/>
            <w:hideMark/>
          </w:tcPr>
          <w:p w14:paraId="190E3DEC"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4.315</w:t>
            </w:r>
          </w:p>
        </w:tc>
        <w:tc>
          <w:tcPr>
            <w:tcW w:w="1206" w:type="dxa"/>
            <w:tcBorders>
              <w:top w:val="nil"/>
              <w:left w:val="nil"/>
              <w:bottom w:val="single" w:sz="8" w:space="0" w:color="auto"/>
              <w:right w:val="single" w:sz="8" w:space="0" w:color="auto"/>
            </w:tcBorders>
            <w:shd w:val="clear" w:color="auto" w:fill="auto"/>
            <w:noWrap/>
            <w:vAlign w:val="center"/>
            <w:hideMark/>
          </w:tcPr>
          <w:p w14:paraId="526A3809"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4.315</w:t>
            </w:r>
          </w:p>
        </w:tc>
        <w:tc>
          <w:tcPr>
            <w:tcW w:w="982" w:type="dxa"/>
            <w:tcBorders>
              <w:top w:val="nil"/>
              <w:left w:val="nil"/>
              <w:bottom w:val="single" w:sz="8" w:space="0" w:color="auto"/>
              <w:right w:val="single" w:sz="8" w:space="0" w:color="auto"/>
            </w:tcBorders>
            <w:shd w:val="clear" w:color="auto" w:fill="auto"/>
            <w:noWrap/>
            <w:vAlign w:val="center"/>
            <w:hideMark/>
          </w:tcPr>
          <w:p w14:paraId="4FF49F0A"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4.315</w:t>
            </w:r>
          </w:p>
        </w:tc>
        <w:tc>
          <w:tcPr>
            <w:tcW w:w="1174" w:type="dxa"/>
            <w:tcBorders>
              <w:top w:val="nil"/>
              <w:left w:val="nil"/>
              <w:bottom w:val="single" w:sz="8" w:space="0" w:color="auto"/>
              <w:right w:val="single" w:sz="8" w:space="0" w:color="auto"/>
            </w:tcBorders>
            <w:shd w:val="clear" w:color="auto" w:fill="auto"/>
            <w:noWrap/>
            <w:vAlign w:val="center"/>
            <w:hideMark/>
          </w:tcPr>
          <w:p w14:paraId="76862071"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4.315</w:t>
            </w:r>
          </w:p>
        </w:tc>
      </w:tr>
      <w:tr w:rsidR="00AC6BAB" w:rsidRPr="00443221" w14:paraId="33CA181D" w14:textId="77777777" w:rsidTr="003518EB">
        <w:trPr>
          <w:trHeight w:val="137"/>
        </w:trPr>
        <w:tc>
          <w:tcPr>
            <w:tcW w:w="2258" w:type="dxa"/>
            <w:tcBorders>
              <w:top w:val="nil"/>
              <w:left w:val="single" w:sz="8" w:space="0" w:color="auto"/>
              <w:bottom w:val="single" w:sz="8" w:space="0" w:color="auto"/>
              <w:right w:val="single" w:sz="8" w:space="0" w:color="auto"/>
            </w:tcBorders>
            <w:shd w:val="clear" w:color="auto" w:fill="auto"/>
            <w:noWrap/>
            <w:vAlign w:val="center"/>
            <w:hideMark/>
          </w:tcPr>
          <w:p w14:paraId="58012928" w14:textId="77777777" w:rsidR="00AC6BAB" w:rsidRPr="003518EB" w:rsidRDefault="00AC6BAB" w:rsidP="00AC6BAB">
            <w:pPr>
              <w:spacing w:after="0" w:line="240" w:lineRule="auto"/>
              <w:rPr>
                <w:rFonts w:cs="Arial"/>
                <w:color w:val="000000"/>
                <w:szCs w:val="20"/>
              </w:rPr>
            </w:pPr>
            <w:r w:rsidRPr="003518EB">
              <w:rPr>
                <w:rFonts w:cs="Arial"/>
                <w:color w:val="000000"/>
                <w:szCs w:val="20"/>
              </w:rPr>
              <w:t>&gt;30 to 403 MHz</w:t>
            </w:r>
          </w:p>
        </w:tc>
        <w:tc>
          <w:tcPr>
            <w:tcW w:w="1118" w:type="dxa"/>
            <w:tcBorders>
              <w:top w:val="nil"/>
              <w:left w:val="nil"/>
              <w:bottom w:val="single" w:sz="8" w:space="0" w:color="auto"/>
              <w:right w:val="single" w:sz="8" w:space="0" w:color="auto"/>
            </w:tcBorders>
            <w:shd w:val="clear" w:color="000000" w:fill="D9D9D9"/>
            <w:noWrap/>
            <w:vAlign w:val="center"/>
            <w:hideMark/>
          </w:tcPr>
          <w:p w14:paraId="3F94CC95"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9.747</w:t>
            </w:r>
          </w:p>
        </w:tc>
        <w:tc>
          <w:tcPr>
            <w:tcW w:w="982" w:type="dxa"/>
            <w:tcBorders>
              <w:top w:val="nil"/>
              <w:left w:val="nil"/>
              <w:bottom w:val="single" w:sz="8" w:space="0" w:color="auto"/>
              <w:right w:val="single" w:sz="8" w:space="0" w:color="auto"/>
            </w:tcBorders>
            <w:shd w:val="clear" w:color="000000" w:fill="D9D9D9"/>
            <w:noWrap/>
            <w:vAlign w:val="center"/>
            <w:hideMark/>
          </w:tcPr>
          <w:p w14:paraId="4A793CEE"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3.807</w:t>
            </w:r>
          </w:p>
        </w:tc>
        <w:tc>
          <w:tcPr>
            <w:tcW w:w="1206" w:type="dxa"/>
            <w:tcBorders>
              <w:top w:val="nil"/>
              <w:left w:val="nil"/>
              <w:bottom w:val="single" w:sz="8" w:space="0" w:color="auto"/>
              <w:right w:val="single" w:sz="8" w:space="0" w:color="auto"/>
            </w:tcBorders>
            <w:shd w:val="clear" w:color="000000" w:fill="D9D9D9"/>
            <w:noWrap/>
            <w:vAlign w:val="center"/>
            <w:hideMark/>
          </w:tcPr>
          <w:p w14:paraId="28235745"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1.878</w:t>
            </w:r>
          </w:p>
        </w:tc>
        <w:tc>
          <w:tcPr>
            <w:tcW w:w="982" w:type="dxa"/>
            <w:tcBorders>
              <w:top w:val="nil"/>
              <w:left w:val="nil"/>
              <w:bottom w:val="single" w:sz="8" w:space="0" w:color="auto"/>
              <w:right w:val="single" w:sz="8" w:space="0" w:color="auto"/>
            </w:tcBorders>
            <w:shd w:val="clear" w:color="000000" w:fill="D9D9D9"/>
            <w:noWrap/>
            <w:vAlign w:val="center"/>
            <w:hideMark/>
          </w:tcPr>
          <w:p w14:paraId="6ED7BF9D"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0.421</w:t>
            </w:r>
          </w:p>
        </w:tc>
        <w:tc>
          <w:tcPr>
            <w:tcW w:w="1174" w:type="dxa"/>
            <w:tcBorders>
              <w:top w:val="nil"/>
              <w:left w:val="nil"/>
              <w:bottom w:val="single" w:sz="8" w:space="0" w:color="auto"/>
              <w:right w:val="single" w:sz="8" w:space="0" w:color="auto"/>
            </w:tcBorders>
            <w:shd w:val="clear" w:color="000000" w:fill="D9D9D9"/>
            <w:noWrap/>
            <w:vAlign w:val="center"/>
            <w:hideMark/>
          </w:tcPr>
          <w:p w14:paraId="65DEEA29"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0.21</w:t>
            </w:r>
          </w:p>
        </w:tc>
      </w:tr>
      <w:tr w:rsidR="00AC6BAB" w:rsidRPr="00443221" w14:paraId="6B77D834" w14:textId="77777777" w:rsidTr="003518EB">
        <w:trPr>
          <w:trHeight w:val="137"/>
        </w:trPr>
        <w:tc>
          <w:tcPr>
            <w:tcW w:w="2258" w:type="dxa"/>
            <w:tcBorders>
              <w:top w:val="nil"/>
              <w:left w:val="single" w:sz="8" w:space="0" w:color="auto"/>
              <w:bottom w:val="single" w:sz="8" w:space="0" w:color="auto"/>
              <w:right w:val="single" w:sz="8" w:space="0" w:color="auto"/>
            </w:tcBorders>
            <w:shd w:val="clear" w:color="auto" w:fill="auto"/>
            <w:noWrap/>
            <w:vAlign w:val="center"/>
            <w:hideMark/>
          </w:tcPr>
          <w:p w14:paraId="6B0BD59E" w14:textId="77777777" w:rsidR="00AC6BAB" w:rsidRPr="003518EB" w:rsidRDefault="00AC6BAB" w:rsidP="00AC6BAB">
            <w:pPr>
              <w:spacing w:after="0" w:line="240" w:lineRule="auto"/>
              <w:rPr>
                <w:rFonts w:cs="Arial"/>
                <w:color w:val="000000"/>
                <w:szCs w:val="20"/>
              </w:rPr>
            </w:pPr>
            <w:r w:rsidRPr="003518EB">
              <w:rPr>
                <w:rFonts w:cs="Arial"/>
                <w:color w:val="000000"/>
                <w:szCs w:val="20"/>
              </w:rPr>
              <w:t>&gt;403 to 520 MHz</w:t>
            </w:r>
          </w:p>
        </w:tc>
        <w:tc>
          <w:tcPr>
            <w:tcW w:w="1118" w:type="dxa"/>
            <w:tcBorders>
              <w:top w:val="nil"/>
              <w:left w:val="nil"/>
              <w:bottom w:val="single" w:sz="8" w:space="0" w:color="auto"/>
              <w:right w:val="single" w:sz="8" w:space="0" w:color="auto"/>
            </w:tcBorders>
            <w:shd w:val="clear" w:color="auto" w:fill="auto"/>
            <w:noWrap/>
            <w:vAlign w:val="center"/>
            <w:hideMark/>
          </w:tcPr>
          <w:p w14:paraId="400EFA5F"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10</w:t>
            </w:r>
          </w:p>
        </w:tc>
        <w:tc>
          <w:tcPr>
            <w:tcW w:w="982" w:type="dxa"/>
            <w:tcBorders>
              <w:top w:val="nil"/>
              <w:left w:val="nil"/>
              <w:bottom w:val="single" w:sz="8" w:space="0" w:color="auto"/>
              <w:right w:val="single" w:sz="8" w:space="0" w:color="auto"/>
            </w:tcBorders>
            <w:shd w:val="clear" w:color="auto" w:fill="auto"/>
            <w:noWrap/>
            <w:vAlign w:val="center"/>
            <w:hideMark/>
          </w:tcPr>
          <w:p w14:paraId="19A7DE9D"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7.4114</w:t>
            </w:r>
          </w:p>
        </w:tc>
        <w:tc>
          <w:tcPr>
            <w:tcW w:w="1206" w:type="dxa"/>
            <w:tcBorders>
              <w:top w:val="nil"/>
              <w:left w:val="nil"/>
              <w:bottom w:val="single" w:sz="8" w:space="0" w:color="auto"/>
              <w:right w:val="single" w:sz="8" w:space="0" w:color="auto"/>
            </w:tcBorders>
            <w:shd w:val="clear" w:color="auto" w:fill="auto"/>
            <w:noWrap/>
            <w:vAlign w:val="center"/>
            <w:hideMark/>
          </w:tcPr>
          <w:p w14:paraId="5813E72E"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2.562</w:t>
            </w:r>
          </w:p>
        </w:tc>
        <w:tc>
          <w:tcPr>
            <w:tcW w:w="982" w:type="dxa"/>
            <w:tcBorders>
              <w:top w:val="nil"/>
              <w:left w:val="nil"/>
              <w:bottom w:val="single" w:sz="8" w:space="0" w:color="auto"/>
              <w:right w:val="single" w:sz="8" w:space="0" w:color="auto"/>
            </w:tcBorders>
            <w:shd w:val="clear" w:color="auto" w:fill="auto"/>
            <w:noWrap/>
            <w:vAlign w:val="center"/>
            <w:hideMark/>
          </w:tcPr>
          <w:p w14:paraId="0E98A7C1"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0.437</w:t>
            </w:r>
          </w:p>
        </w:tc>
        <w:tc>
          <w:tcPr>
            <w:tcW w:w="1174" w:type="dxa"/>
            <w:tcBorders>
              <w:top w:val="nil"/>
              <w:left w:val="nil"/>
              <w:bottom w:val="single" w:sz="8" w:space="0" w:color="auto"/>
              <w:right w:val="single" w:sz="8" w:space="0" w:color="auto"/>
            </w:tcBorders>
            <w:shd w:val="clear" w:color="auto" w:fill="auto"/>
            <w:noWrap/>
            <w:vAlign w:val="center"/>
            <w:hideMark/>
          </w:tcPr>
          <w:p w14:paraId="11685B00"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w:t>
            </w:r>
          </w:p>
        </w:tc>
      </w:tr>
      <w:tr w:rsidR="00AC6BAB" w:rsidRPr="00443221" w14:paraId="7529827B" w14:textId="77777777" w:rsidTr="003518EB">
        <w:trPr>
          <w:trHeight w:val="137"/>
        </w:trPr>
        <w:tc>
          <w:tcPr>
            <w:tcW w:w="2258" w:type="dxa"/>
            <w:tcBorders>
              <w:top w:val="nil"/>
              <w:left w:val="single" w:sz="8" w:space="0" w:color="auto"/>
              <w:bottom w:val="single" w:sz="8" w:space="0" w:color="auto"/>
              <w:right w:val="single" w:sz="8" w:space="0" w:color="auto"/>
            </w:tcBorders>
            <w:shd w:val="clear" w:color="auto" w:fill="auto"/>
            <w:noWrap/>
            <w:vAlign w:val="center"/>
            <w:hideMark/>
          </w:tcPr>
          <w:p w14:paraId="6FAE2E7C" w14:textId="77777777" w:rsidR="00AC6BAB" w:rsidRPr="003518EB" w:rsidRDefault="00AC6BAB" w:rsidP="00AC6BAB">
            <w:pPr>
              <w:spacing w:after="0" w:line="240" w:lineRule="auto"/>
              <w:rPr>
                <w:rFonts w:cs="Arial"/>
                <w:color w:val="000000"/>
                <w:szCs w:val="20"/>
              </w:rPr>
            </w:pPr>
            <w:r w:rsidRPr="003518EB">
              <w:rPr>
                <w:rFonts w:cs="Arial"/>
                <w:color w:val="000000"/>
                <w:szCs w:val="20"/>
              </w:rPr>
              <w:t>&gt;520 to 960 MHz</w:t>
            </w:r>
          </w:p>
        </w:tc>
        <w:tc>
          <w:tcPr>
            <w:tcW w:w="1118" w:type="dxa"/>
            <w:tcBorders>
              <w:top w:val="nil"/>
              <w:left w:val="nil"/>
              <w:bottom w:val="single" w:sz="8" w:space="0" w:color="auto"/>
              <w:right w:val="single" w:sz="8" w:space="0" w:color="auto"/>
            </w:tcBorders>
            <w:shd w:val="clear" w:color="auto" w:fill="auto"/>
            <w:noWrap/>
            <w:vAlign w:val="center"/>
            <w:hideMark/>
          </w:tcPr>
          <w:p w14:paraId="083A44F5"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10</w:t>
            </w:r>
          </w:p>
        </w:tc>
        <w:tc>
          <w:tcPr>
            <w:tcW w:w="982" w:type="dxa"/>
            <w:tcBorders>
              <w:top w:val="nil"/>
              <w:left w:val="nil"/>
              <w:bottom w:val="single" w:sz="8" w:space="0" w:color="auto"/>
              <w:right w:val="single" w:sz="8" w:space="0" w:color="auto"/>
            </w:tcBorders>
            <w:shd w:val="clear" w:color="auto" w:fill="auto"/>
            <w:noWrap/>
            <w:vAlign w:val="center"/>
            <w:hideMark/>
          </w:tcPr>
          <w:p w14:paraId="3E7432DC"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5.6</w:t>
            </w:r>
          </w:p>
        </w:tc>
        <w:tc>
          <w:tcPr>
            <w:tcW w:w="1206" w:type="dxa"/>
            <w:tcBorders>
              <w:top w:val="nil"/>
              <w:left w:val="nil"/>
              <w:bottom w:val="single" w:sz="8" w:space="0" w:color="auto"/>
              <w:right w:val="single" w:sz="8" w:space="0" w:color="auto"/>
            </w:tcBorders>
            <w:shd w:val="clear" w:color="auto" w:fill="auto"/>
            <w:noWrap/>
            <w:vAlign w:val="center"/>
            <w:hideMark/>
          </w:tcPr>
          <w:p w14:paraId="0AD0032F"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2.562</w:t>
            </w:r>
          </w:p>
        </w:tc>
        <w:tc>
          <w:tcPr>
            <w:tcW w:w="982" w:type="dxa"/>
            <w:tcBorders>
              <w:top w:val="nil"/>
              <w:left w:val="nil"/>
              <w:bottom w:val="single" w:sz="8" w:space="0" w:color="auto"/>
              <w:right w:val="single" w:sz="8" w:space="0" w:color="auto"/>
            </w:tcBorders>
            <w:shd w:val="clear" w:color="auto" w:fill="auto"/>
            <w:noWrap/>
            <w:vAlign w:val="center"/>
            <w:hideMark/>
          </w:tcPr>
          <w:p w14:paraId="6916CCB5"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0.437</w:t>
            </w:r>
          </w:p>
        </w:tc>
        <w:tc>
          <w:tcPr>
            <w:tcW w:w="1174" w:type="dxa"/>
            <w:tcBorders>
              <w:top w:val="nil"/>
              <w:left w:val="nil"/>
              <w:bottom w:val="single" w:sz="8" w:space="0" w:color="auto"/>
              <w:right w:val="single" w:sz="8" w:space="0" w:color="auto"/>
            </w:tcBorders>
            <w:shd w:val="clear" w:color="auto" w:fill="auto"/>
            <w:noWrap/>
            <w:vAlign w:val="center"/>
            <w:hideMark/>
          </w:tcPr>
          <w:p w14:paraId="2AB8232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0.218</w:t>
            </w:r>
          </w:p>
        </w:tc>
      </w:tr>
      <w:tr w:rsidR="00AC6BAB" w:rsidRPr="00443221" w14:paraId="546C8071" w14:textId="77777777" w:rsidTr="003518EB">
        <w:trPr>
          <w:trHeight w:val="137"/>
        </w:trPr>
        <w:tc>
          <w:tcPr>
            <w:tcW w:w="2258" w:type="dxa"/>
            <w:tcBorders>
              <w:top w:val="nil"/>
              <w:left w:val="single" w:sz="8" w:space="0" w:color="auto"/>
              <w:bottom w:val="single" w:sz="8" w:space="0" w:color="auto"/>
              <w:right w:val="single" w:sz="8" w:space="0" w:color="auto"/>
            </w:tcBorders>
            <w:shd w:val="clear" w:color="auto" w:fill="auto"/>
            <w:noWrap/>
            <w:vAlign w:val="center"/>
            <w:hideMark/>
          </w:tcPr>
          <w:p w14:paraId="547F976D" w14:textId="77777777" w:rsidR="00AC6BAB" w:rsidRPr="003518EB" w:rsidRDefault="00AC6BAB" w:rsidP="00AC6BAB">
            <w:pPr>
              <w:spacing w:after="0" w:line="240" w:lineRule="auto"/>
              <w:rPr>
                <w:rFonts w:cs="Arial"/>
                <w:color w:val="000000"/>
                <w:szCs w:val="20"/>
              </w:rPr>
            </w:pPr>
            <w:r w:rsidRPr="003518EB">
              <w:rPr>
                <w:rFonts w:cs="Arial"/>
                <w:color w:val="000000"/>
                <w:szCs w:val="20"/>
              </w:rPr>
              <w:t>&gt;960 to 2,690 MHz</w:t>
            </w:r>
          </w:p>
        </w:tc>
        <w:tc>
          <w:tcPr>
            <w:tcW w:w="1118" w:type="dxa"/>
            <w:tcBorders>
              <w:top w:val="nil"/>
              <w:left w:val="nil"/>
              <w:bottom w:val="single" w:sz="8" w:space="0" w:color="auto"/>
              <w:right w:val="single" w:sz="8" w:space="0" w:color="auto"/>
            </w:tcBorders>
            <w:shd w:val="clear" w:color="auto" w:fill="auto"/>
            <w:noWrap/>
            <w:vAlign w:val="center"/>
            <w:hideMark/>
          </w:tcPr>
          <w:p w14:paraId="3DE11C6B"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9.985</w:t>
            </w:r>
          </w:p>
        </w:tc>
        <w:tc>
          <w:tcPr>
            <w:tcW w:w="982" w:type="dxa"/>
            <w:tcBorders>
              <w:top w:val="nil"/>
              <w:left w:val="nil"/>
              <w:bottom w:val="single" w:sz="8" w:space="0" w:color="auto"/>
              <w:right w:val="single" w:sz="8" w:space="0" w:color="auto"/>
            </w:tcBorders>
            <w:shd w:val="clear" w:color="auto" w:fill="auto"/>
            <w:noWrap/>
            <w:vAlign w:val="center"/>
            <w:hideMark/>
          </w:tcPr>
          <w:p w14:paraId="000C1D53"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2.241</w:t>
            </w:r>
          </w:p>
        </w:tc>
        <w:tc>
          <w:tcPr>
            <w:tcW w:w="1206" w:type="dxa"/>
            <w:tcBorders>
              <w:top w:val="nil"/>
              <w:left w:val="nil"/>
              <w:bottom w:val="single" w:sz="8" w:space="0" w:color="auto"/>
              <w:right w:val="single" w:sz="8" w:space="0" w:color="auto"/>
            </w:tcBorders>
            <w:shd w:val="clear" w:color="auto" w:fill="auto"/>
            <w:noWrap/>
            <w:vAlign w:val="center"/>
            <w:hideMark/>
          </w:tcPr>
          <w:p w14:paraId="6BCDB491"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1.036</w:t>
            </w:r>
          </w:p>
        </w:tc>
        <w:tc>
          <w:tcPr>
            <w:tcW w:w="982" w:type="dxa"/>
            <w:tcBorders>
              <w:top w:val="nil"/>
              <w:left w:val="nil"/>
              <w:bottom w:val="single" w:sz="8" w:space="0" w:color="auto"/>
              <w:right w:val="single" w:sz="8" w:space="0" w:color="auto"/>
            </w:tcBorders>
            <w:shd w:val="clear" w:color="auto" w:fill="auto"/>
            <w:noWrap/>
            <w:vAlign w:val="center"/>
            <w:hideMark/>
          </w:tcPr>
          <w:p w14:paraId="4D952074"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0.521</w:t>
            </w:r>
          </w:p>
        </w:tc>
        <w:tc>
          <w:tcPr>
            <w:tcW w:w="1174" w:type="dxa"/>
            <w:tcBorders>
              <w:top w:val="nil"/>
              <w:left w:val="nil"/>
              <w:bottom w:val="single" w:sz="8" w:space="0" w:color="auto"/>
              <w:right w:val="single" w:sz="8" w:space="0" w:color="auto"/>
            </w:tcBorders>
            <w:shd w:val="clear" w:color="auto" w:fill="auto"/>
            <w:noWrap/>
            <w:vAlign w:val="center"/>
            <w:hideMark/>
          </w:tcPr>
          <w:p w14:paraId="6D0ADA7B"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0.26</w:t>
            </w:r>
          </w:p>
        </w:tc>
      </w:tr>
      <w:tr w:rsidR="00AC6BAB" w:rsidRPr="00443221" w14:paraId="19A571A2" w14:textId="77777777" w:rsidTr="003518EB">
        <w:trPr>
          <w:trHeight w:val="137"/>
        </w:trPr>
        <w:tc>
          <w:tcPr>
            <w:tcW w:w="2258" w:type="dxa"/>
            <w:tcBorders>
              <w:top w:val="nil"/>
              <w:left w:val="single" w:sz="8" w:space="0" w:color="auto"/>
              <w:bottom w:val="single" w:sz="8" w:space="0" w:color="auto"/>
              <w:right w:val="single" w:sz="8" w:space="0" w:color="auto"/>
            </w:tcBorders>
            <w:shd w:val="clear" w:color="auto" w:fill="auto"/>
            <w:noWrap/>
            <w:vAlign w:val="center"/>
            <w:hideMark/>
          </w:tcPr>
          <w:p w14:paraId="61884E48" w14:textId="77777777" w:rsidR="00AC6BAB" w:rsidRPr="003518EB" w:rsidRDefault="00AC6BAB" w:rsidP="00AC6BAB">
            <w:pPr>
              <w:spacing w:after="0" w:line="240" w:lineRule="auto"/>
              <w:rPr>
                <w:rFonts w:cs="Arial"/>
                <w:color w:val="000000"/>
                <w:szCs w:val="20"/>
              </w:rPr>
            </w:pPr>
            <w:r w:rsidRPr="003518EB">
              <w:rPr>
                <w:rFonts w:cs="Arial"/>
                <w:color w:val="000000"/>
                <w:szCs w:val="20"/>
              </w:rPr>
              <w:t>&gt;2,690 to 5,000 MHz</w:t>
            </w:r>
          </w:p>
        </w:tc>
        <w:tc>
          <w:tcPr>
            <w:tcW w:w="1118" w:type="dxa"/>
            <w:tcBorders>
              <w:top w:val="nil"/>
              <w:left w:val="nil"/>
              <w:bottom w:val="single" w:sz="8" w:space="0" w:color="auto"/>
              <w:right w:val="single" w:sz="8" w:space="0" w:color="auto"/>
            </w:tcBorders>
            <w:shd w:val="clear" w:color="auto" w:fill="auto"/>
            <w:noWrap/>
            <w:vAlign w:val="center"/>
            <w:hideMark/>
          </w:tcPr>
          <w:p w14:paraId="45301B30"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9.974</w:t>
            </w:r>
          </w:p>
        </w:tc>
        <w:tc>
          <w:tcPr>
            <w:tcW w:w="982" w:type="dxa"/>
            <w:tcBorders>
              <w:top w:val="nil"/>
              <w:left w:val="nil"/>
              <w:bottom w:val="single" w:sz="8" w:space="0" w:color="auto"/>
              <w:right w:val="single" w:sz="8" w:space="0" w:color="auto"/>
            </w:tcBorders>
            <w:shd w:val="clear" w:color="auto" w:fill="auto"/>
            <w:noWrap/>
            <w:vAlign w:val="center"/>
            <w:hideMark/>
          </w:tcPr>
          <w:p w14:paraId="618FE404"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1.853</w:t>
            </w:r>
          </w:p>
        </w:tc>
        <w:tc>
          <w:tcPr>
            <w:tcW w:w="1206" w:type="dxa"/>
            <w:tcBorders>
              <w:top w:val="nil"/>
              <w:left w:val="nil"/>
              <w:bottom w:val="single" w:sz="8" w:space="0" w:color="auto"/>
              <w:right w:val="single" w:sz="8" w:space="0" w:color="auto"/>
            </w:tcBorders>
            <w:shd w:val="clear" w:color="auto" w:fill="auto"/>
            <w:noWrap/>
            <w:vAlign w:val="center"/>
            <w:hideMark/>
          </w:tcPr>
          <w:p w14:paraId="682B56A6"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0.751</w:t>
            </w:r>
          </w:p>
        </w:tc>
        <w:tc>
          <w:tcPr>
            <w:tcW w:w="982" w:type="dxa"/>
            <w:tcBorders>
              <w:top w:val="nil"/>
              <w:left w:val="nil"/>
              <w:bottom w:val="single" w:sz="8" w:space="0" w:color="auto"/>
              <w:right w:val="single" w:sz="8" w:space="0" w:color="auto"/>
            </w:tcBorders>
            <w:shd w:val="clear" w:color="auto" w:fill="auto"/>
            <w:noWrap/>
            <w:vAlign w:val="center"/>
            <w:hideMark/>
          </w:tcPr>
          <w:p w14:paraId="61A81F6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0.622</w:t>
            </w:r>
          </w:p>
        </w:tc>
        <w:tc>
          <w:tcPr>
            <w:tcW w:w="1174" w:type="dxa"/>
            <w:tcBorders>
              <w:top w:val="nil"/>
              <w:left w:val="nil"/>
              <w:bottom w:val="single" w:sz="8" w:space="0" w:color="auto"/>
              <w:right w:val="single" w:sz="8" w:space="0" w:color="auto"/>
            </w:tcBorders>
            <w:shd w:val="clear" w:color="auto" w:fill="auto"/>
            <w:noWrap/>
            <w:vAlign w:val="center"/>
            <w:hideMark/>
          </w:tcPr>
          <w:p w14:paraId="09C9B15A"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0.311</w:t>
            </w:r>
          </w:p>
        </w:tc>
      </w:tr>
      <w:tr w:rsidR="00AC6BAB" w:rsidRPr="00443221" w14:paraId="0756D73B" w14:textId="77777777" w:rsidTr="003518EB">
        <w:trPr>
          <w:trHeight w:val="137"/>
        </w:trPr>
        <w:tc>
          <w:tcPr>
            <w:tcW w:w="2258" w:type="dxa"/>
            <w:tcBorders>
              <w:top w:val="nil"/>
              <w:left w:val="single" w:sz="8" w:space="0" w:color="auto"/>
              <w:bottom w:val="single" w:sz="8" w:space="0" w:color="auto"/>
              <w:right w:val="single" w:sz="8" w:space="0" w:color="auto"/>
            </w:tcBorders>
            <w:shd w:val="clear" w:color="auto" w:fill="auto"/>
            <w:noWrap/>
            <w:vAlign w:val="center"/>
            <w:hideMark/>
          </w:tcPr>
          <w:p w14:paraId="7B052692" w14:textId="77777777" w:rsidR="00AC6BAB" w:rsidRPr="003518EB" w:rsidRDefault="00AC6BAB" w:rsidP="00AC6BAB">
            <w:pPr>
              <w:spacing w:after="0" w:line="240" w:lineRule="auto"/>
              <w:rPr>
                <w:rFonts w:cs="Arial"/>
                <w:color w:val="000000"/>
                <w:szCs w:val="20"/>
              </w:rPr>
            </w:pPr>
            <w:r w:rsidRPr="003518EB">
              <w:rPr>
                <w:rFonts w:cs="Arial"/>
                <w:color w:val="000000"/>
                <w:szCs w:val="20"/>
              </w:rPr>
              <w:t>&gt;5.0 to 8.5 GHz</w:t>
            </w:r>
          </w:p>
        </w:tc>
        <w:tc>
          <w:tcPr>
            <w:tcW w:w="1118" w:type="dxa"/>
            <w:tcBorders>
              <w:top w:val="nil"/>
              <w:left w:val="nil"/>
              <w:bottom w:val="single" w:sz="8" w:space="0" w:color="auto"/>
              <w:right w:val="single" w:sz="8" w:space="0" w:color="auto"/>
            </w:tcBorders>
            <w:shd w:val="clear" w:color="000000" w:fill="92D050"/>
            <w:noWrap/>
            <w:vAlign w:val="center"/>
            <w:hideMark/>
          </w:tcPr>
          <w:p w14:paraId="0FA59D43"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4.2105</w:t>
            </w:r>
          </w:p>
        </w:tc>
        <w:tc>
          <w:tcPr>
            <w:tcW w:w="982" w:type="dxa"/>
            <w:tcBorders>
              <w:top w:val="nil"/>
              <w:left w:val="nil"/>
              <w:bottom w:val="single" w:sz="8" w:space="0" w:color="auto"/>
              <w:right w:val="single" w:sz="8" w:space="0" w:color="auto"/>
            </w:tcBorders>
            <w:shd w:val="clear" w:color="000000" w:fill="D9D9D9"/>
            <w:noWrap/>
            <w:vAlign w:val="center"/>
            <w:hideMark/>
          </w:tcPr>
          <w:p w14:paraId="5F8ECE4F"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0.7785</w:t>
            </w:r>
          </w:p>
        </w:tc>
        <w:tc>
          <w:tcPr>
            <w:tcW w:w="1206" w:type="dxa"/>
            <w:tcBorders>
              <w:top w:val="nil"/>
              <w:left w:val="nil"/>
              <w:bottom w:val="single" w:sz="8" w:space="0" w:color="auto"/>
              <w:right w:val="single" w:sz="8" w:space="0" w:color="auto"/>
            </w:tcBorders>
            <w:shd w:val="clear" w:color="000000" w:fill="D9D9D9"/>
            <w:noWrap/>
            <w:vAlign w:val="center"/>
            <w:hideMark/>
          </w:tcPr>
          <w:p w14:paraId="048D84AB"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0.3625</w:t>
            </w:r>
          </w:p>
        </w:tc>
        <w:tc>
          <w:tcPr>
            <w:tcW w:w="982" w:type="dxa"/>
            <w:tcBorders>
              <w:top w:val="nil"/>
              <w:left w:val="nil"/>
              <w:bottom w:val="single" w:sz="8" w:space="0" w:color="auto"/>
              <w:right w:val="single" w:sz="8" w:space="0" w:color="auto"/>
            </w:tcBorders>
            <w:shd w:val="clear" w:color="000000" w:fill="D9D9D9"/>
            <w:noWrap/>
            <w:vAlign w:val="center"/>
            <w:hideMark/>
          </w:tcPr>
          <w:p w14:paraId="4427510A"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0.165</w:t>
            </w:r>
          </w:p>
        </w:tc>
        <w:tc>
          <w:tcPr>
            <w:tcW w:w="1174" w:type="dxa"/>
            <w:tcBorders>
              <w:top w:val="nil"/>
              <w:left w:val="nil"/>
              <w:bottom w:val="single" w:sz="8" w:space="0" w:color="auto"/>
              <w:right w:val="single" w:sz="8" w:space="0" w:color="auto"/>
            </w:tcBorders>
            <w:shd w:val="clear" w:color="000000" w:fill="D9D9D9"/>
            <w:noWrap/>
            <w:vAlign w:val="center"/>
            <w:hideMark/>
          </w:tcPr>
          <w:p w14:paraId="335CB9F6"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0.08</w:t>
            </w:r>
          </w:p>
        </w:tc>
      </w:tr>
      <w:tr w:rsidR="00AC6BAB" w:rsidRPr="00443221" w14:paraId="339A100C" w14:textId="77777777" w:rsidTr="003518EB">
        <w:trPr>
          <w:trHeight w:val="137"/>
        </w:trPr>
        <w:tc>
          <w:tcPr>
            <w:tcW w:w="2258" w:type="dxa"/>
            <w:tcBorders>
              <w:top w:val="nil"/>
              <w:left w:val="single" w:sz="8" w:space="0" w:color="auto"/>
              <w:bottom w:val="single" w:sz="8" w:space="0" w:color="auto"/>
              <w:right w:val="single" w:sz="8" w:space="0" w:color="auto"/>
            </w:tcBorders>
            <w:shd w:val="clear" w:color="auto" w:fill="auto"/>
            <w:noWrap/>
            <w:vAlign w:val="center"/>
            <w:hideMark/>
          </w:tcPr>
          <w:p w14:paraId="298BA324" w14:textId="77777777" w:rsidR="00AC6BAB" w:rsidRPr="003518EB" w:rsidRDefault="00AC6BAB" w:rsidP="00AC6BAB">
            <w:pPr>
              <w:spacing w:after="0" w:line="240" w:lineRule="auto"/>
              <w:rPr>
                <w:rFonts w:cs="Arial"/>
                <w:color w:val="000000"/>
                <w:szCs w:val="20"/>
              </w:rPr>
            </w:pPr>
            <w:r w:rsidRPr="003518EB">
              <w:rPr>
                <w:rFonts w:cs="Arial"/>
                <w:color w:val="000000"/>
                <w:szCs w:val="20"/>
              </w:rPr>
              <w:t>&gt;8.5 to 14.5 GHz</w:t>
            </w:r>
          </w:p>
        </w:tc>
        <w:tc>
          <w:tcPr>
            <w:tcW w:w="1118" w:type="dxa"/>
            <w:tcBorders>
              <w:top w:val="nil"/>
              <w:left w:val="nil"/>
              <w:bottom w:val="single" w:sz="8" w:space="0" w:color="auto"/>
              <w:right w:val="single" w:sz="8" w:space="0" w:color="auto"/>
            </w:tcBorders>
            <w:shd w:val="clear" w:color="000000" w:fill="92D050"/>
            <w:noWrap/>
            <w:vAlign w:val="center"/>
            <w:hideMark/>
          </w:tcPr>
          <w:p w14:paraId="6CFE5219"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0.3711</w:t>
            </w:r>
          </w:p>
        </w:tc>
        <w:tc>
          <w:tcPr>
            <w:tcW w:w="982" w:type="dxa"/>
            <w:tcBorders>
              <w:top w:val="nil"/>
              <w:left w:val="nil"/>
              <w:bottom w:val="single" w:sz="8" w:space="0" w:color="auto"/>
              <w:right w:val="single" w:sz="8" w:space="0" w:color="auto"/>
            </w:tcBorders>
            <w:shd w:val="clear" w:color="000000" w:fill="D9D9D9"/>
            <w:noWrap/>
            <w:vAlign w:val="center"/>
            <w:hideMark/>
          </w:tcPr>
          <w:p w14:paraId="73A087DC"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0.1336</w:t>
            </w:r>
          </w:p>
        </w:tc>
        <w:tc>
          <w:tcPr>
            <w:tcW w:w="1206" w:type="dxa"/>
            <w:tcBorders>
              <w:top w:val="nil"/>
              <w:left w:val="nil"/>
              <w:bottom w:val="single" w:sz="8" w:space="0" w:color="auto"/>
              <w:right w:val="single" w:sz="8" w:space="0" w:color="auto"/>
            </w:tcBorders>
            <w:shd w:val="clear" w:color="000000" w:fill="D9D9D9"/>
            <w:noWrap/>
            <w:vAlign w:val="center"/>
            <w:hideMark/>
          </w:tcPr>
          <w:p w14:paraId="7088E9A5"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0.0316</w:t>
            </w:r>
          </w:p>
        </w:tc>
        <w:tc>
          <w:tcPr>
            <w:tcW w:w="982" w:type="dxa"/>
            <w:tcBorders>
              <w:top w:val="nil"/>
              <w:left w:val="nil"/>
              <w:bottom w:val="single" w:sz="8" w:space="0" w:color="auto"/>
              <w:right w:val="single" w:sz="8" w:space="0" w:color="auto"/>
            </w:tcBorders>
            <w:shd w:val="clear" w:color="000000" w:fill="D9D9D9"/>
            <w:noWrap/>
            <w:vAlign w:val="center"/>
            <w:hideMark/>
          </w:tcPr>
          <w:p w14:paraId="4F786058"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0.0023</w:t>
            </w:r>
          </w:p>
        </w:tc>
        <w:tc>
          <w:tcPr>
            <w:tcW w:w="1174" w:type="dxa"/>
            <w:tcBorders>
              <w:top w:val="nil"/>
              <w:left w:val="nil"/>
              <w:bottom w:val="single" w:sz="8" w:space="0" w:color="auto"/>
              <w:right w:val="single" w:sz="8" w:space="0" w:color="auto"/>
            </w:tcBorders>
            <w:shd w:val="clear" w:color="000000" w:fill="D9D9D9"/>
            <w:noWrap/>
            <w:vAlign w:val="center"/>
            <w:hideMark/>
          </w:tcPr>
          <w:p w14:paraId="5814DE1E"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0.0011</w:t>
            </w:r>
          </w:p>
        </w:tc>
      </w:tr>
      <w:tr w:rsidR="00AC6BAB" w:rsidRPr="00443221" w14:paraId="566042ED" w14:textId="77777777" w:rsidTr="003518EB">
        <w:trPr>
          <w:trHeight w:val="137"/>
        </w:trPr>
        <w:tc>
          <w:tcPr>
            <w:tcW w:w="2258" w:type="dxa"/>
            <w:tcBorders>
              <w:top w:val="nil"/>
              <w:left w:val="single" w:sz="8" w:space="0" w:color="auto"/>
              <w:bottom w:val="single" w:sz="8" w:space="0" w:color="auto"/>
              <w:right w:val="single" w:sz="8" w:space="0" w:color="auto"/>
            </w:tcBorders>
            <w:shd w:val="clear" w:color="auto" w:fill="auto"/>
            <w:noWrap/>
            <w:vAlign w:val="center"/>
            <w:hideMark/>
          </w:tcPr>
          <w:p w14:paraId="38666C75" w14:textId="77777777" w:rsidR="00AC6BAB" w:rsidRPr="003518EB" w:rsidRDefault="00AC6BAB" w:rsidP="00AC6BAB">
            <w:pPr>
              <w:spacing w:after="0" w:line="240" w:lineRule="auto"/>
              <w:rPr>
                <w:rFonts w:cs="Arial"/>
                <w:color w:val="000000"/>
                <w:szCs w:val="20"/>
              </w:rPr>
            </w:pPr>
            <w:r w:rsidRPr="003518EB">
              <w:rPr>
                <w:rFonts w:cs="Arial"/>
                <w:color w:val="000000"/>
                <w:szCs w:val="20"/>
              </w:rPr>
              <w:t>&gt;14.5 to 31.3 GHz</w:t>
            </w:r>
          </w:p>
        </w:tc>
        <w:tc>
          <w:tcPr>
            <w:tcW w:w="1118" w:type="dxa"/>
            <w:tcBorders>
              <w:top w:val="nil"/>
              <w:left w:val="nil"/>
              <w:bottom w:val="single" w:sz="8" w:space="0" w:color="auto"/>
              <w:right w:val="single" w:sz="8" w:space="0" w:color="auto"/>
            </w:tcBorders>
            <w:shd w:val="clear" w:color="000000" w:fill="D9D9D9"/>
            <w:noWrap/>
            <w:vAlign w:val="center"/>
            <w:hideMark/>
          </w:tcPr>
          <w:p w14:paraId="4C5BA503"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0.3711</w:t>
            </w:r>
          </w:p>
        </w:tc>
        <w:tc>
          <w:tcPr>
            <w:tcW w:w="982" w:type="dxa"/>
            <w:tcBorders>
              <w:top w:val="nil"/>
              <w:left w:val="nil"/>
              <w:bottom w:val="single" w:sz="8" w:space="0" w:color="auto"/>
              <w:right w:val="single" w:sz="8" w:space="0" w:color="auto"/>
            </w:tcBorders>
            <w:shd w:val="clear" w:color="000000" w:fill="D9D9D9"/>
            <w:noWrap/>
            <w:vAlign w:val="center"/>
            <w:hideMark/>
          </w:tcPr>
          <w:p w14:paraId="72D63C21"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0.0988</w:t>
            </w:r>
          </w:p>
        </w:tc>
        <w:tc>
          <w:tcPr>
            <w:tcW w:w="1206" w:type="dxa"/>
            <w:tcBorders>
              <w:top w:val="nil"/>
              <w:left w:val="nil"/>
              <w:bottom w:val="single" w:sz="8" w:space="0" w:color="auto"/>
              <w:right w:val="single" w:sz="8" w:space="0" w:color="auto"/>
            </w:tcBorders>
            <w:shd w:val="clear" w:color="000000" w:fill="D9D9D9"/>
            <w:noWrap/>
            <w:vAlign w:val="center"/>
            <w:hideMark/>
          </w:tcPr>
          <w:p w14:paraId="1FCDA83D"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0.0217</w:t>
            </w:r>
          </w:p>
        </w:tc>
        <w:tc>
          <w:tcPr>
            <w:tcW w:w="982" w:type="dxa"/>
            <w:tcBorders>
              <w:top w:val="nil"/>
              <w:left w:val="nil"/>
              <w:bottom w:val="single" w:sz="8" w:space="0" w:color="auto"/>
              <w:right w:val="single" w:sz="8" w:space="0" w:color="auto"/>
            </w:tcBorders>
            <w:shd w:val="clear" w:color="000000" w:fill="D9D9D9"/>
            <w:noWrap/>
            <w:vAlign w:val="center"/>
            <w:hideMark/>
          </w:tcPr>
          <w:p w14:paraId="2FBBF584"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0.0023</w:t>
            </w:r>
          </w:p>
        </w:tc>
        <w:tc>
          <w:tcPr>
            <w:tcW w:w="1174" w:type="dxa"/>
            <w:tcBorders>
              <w:top w:val="nil"/>
              <w:left w:val="nil"/>
              <w:bottom w:val="single" w:sz="8" w:space="0" w:color="auto"/>
              <w:right w:val="single" w:sz="8" w:space="0" w:color="auto"/>
            </w:tcBorders>
            <w:shd w:val="clear" w:color="000000" w:fill="D9D9D9"/>
            <w:noWrap/>
            <w:vAlign w:val="center"/>
            <w:hideMark/>
          </w:tcPr>
          <w:p w14:paraId="58C69C1F"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0.0011</w:t>
            </w:r>
          </w:p>
        </w:tc>
      </w:tr>
      <w:tr w:rsidR="00AC6BAB" w:rsidRPr="00443221" w14:paraId="7FE2D3D8" w14:textId="77777777" w:rsidTr="003518EB">
        <w:trPr>
          <w:trHeight w:val="137"/>
        </w:trPr>
        <w:tc>
          <w:tcPr>
            <w:tcW w:w="2258" w:type="dxa"/>
            <w:tcBorders>
              <w:top w:val="nil"/>
              <w:left w:val="single" w:sz="8" w:space="0" w:color="auto"/>
              <w:bottom w:val="single" w:sz="8" w:space="0" w:color="auto"/>
              <w:right w:val="single" w:sz="8" w:space="0" w:color="auto"/>
            </w:tcBorders>
            <w:shd w:val="clear" w:color="auto" w:fill="auto"/>
            <w:noWrap/>
            <w:vAlign w:val="center"/>
            <w:hideMark/>
          </w:tcPr>
          <w:p w14:paraId="45F46CFE" w14:textId="77777777" w:rsidR="00AC6BAB" w:rsidRPr="003518EB" w:rsidRDefault="00AC6BAB" w:rsidP="00AC6BAB">
            <w:pPr>
              <w:spacing w:after="0" w:line="240" w:lineRule="auto"/>
              <w:rPr>
                <w:rFonts w:cs="Arial"/>
                <w:color w:val="000000"/>
                <w:szCs w:val="20"/>
              </w:rPr>
            </w:pPr>
            <w:r w:rsidRPr="003518EB">
              <w:rPr>
                <w:rFonts w:cs="Arial"/>
                <w:color w:val="000000"/>
                <w:szCs w:val="20"/>
              </w:rPr>
              <w:lastRenderedPageBreak/>
              <w:t>&gt;31.3 to 51.4 GHz</w:t>
            </w:r>
          </w:p>
        </w:tc>
        <w:tc>
          <w:tcPr>
            <w:tcW w:w="1118" w:type="dxa"/>
            <w:tcBorders>
              <w:top w:val="nil"/>
              <w:left w:val="nil"/>
              <w:bottom w:val="single" w:sz="8" w:space="0" w:color="auto"/>
              <w:right w:val="single" w:sz="8" w:space="0" w:color="auto"/>
            </w:tcBorders>
            <w:shd w:val="clear" w:color="000000" w:fill="D9D9D9"/>
            <w:noWrap/>
            <w:vAlign w:val="center"/>
            <w:hideMark/>
          </w:tcPr>
          <w:p w14:paraId="4D061F85"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0.1012</w:t>
            </w:r>
          </w:p>
        </w:tc>
        <w:tc>
          <w:tcPr>
            <w:tcW w:w="982" w:type="dxa"/>
            <w:tcBorders>
              <w:top w:val="nil"/>
              <w:left w:val="nil"/>
              <w:bottom w:val="single" w:sz="8" w:space="0" w:color="auto"/>
              <w:right w:val="single" w:sz="8" w:space="0" w:color="auto"/>
            </w:tcBorders>
            <w:shd w:val="clear" w:color="000000" w:fill="D9D9D9"/>
            <w:noWrap/>
            <w:vAlign w:val="center"/>
            <w:hideMark/>
          </w:tcPr>
          <w:p w14:paraId="7EF40396"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0.0539</w:t>
            </w:r>
          </w:p>
        </w:tc>
        <w:tc>
          <w:tcPr>
            <w:tcW w:w="1206" w:type="dxa"/>
            <w:tcBorders>
              <w:top w:val="nil"/>
              <w:left w:val="nil"/>
              <w:bottom w:val="single" w:sz="8" w:space="0" w:color="auto"/>
              <w:right w:val="single" w:sz="8" w:space="0" w:color="auto"/>
            </w:tcBorders>
            <w:shd w:val="clear" w:color="000000" w:fill="D9D9D9"/>
            <w:noWrap/>
            <w:vAlign w:val="center"/>
            <w:hideMark/>
          </w:tcPr>
          <w:p w14:paraId="723A7C43"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0.0117</w:t>
            </w:r>
          </w:p>
        </w:tc>
        <w:tc>
          <w:tcPr>
            <w:tcW w:w="982" w:type="dxa"/>
            <w:tcBorders>
              <w:top w:val="nil"/>
              <w:left w:val="nil"/>
              <w:bottom w:val="single" w:sz="8" w:space="0" w:color="auto"/>
              <w:right w:val="single" w:sz="8" w:space="0" w:color="auto"/>
            </w:tcBorders>
            <w:shd w:val="clear" w:color="000000" w:fill="D9D9D9"/>
            <w:noWrap/>
            <w:vAlign w:val="center"/>
            <w:hideMark/>
          </w:tcPr>
          <w:p w14:paraId="48BE1066"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0.0004</w:t>
            </w:r>
          </w:p>
        </w:tc>
        <w:tc>
          <w:tcPr>
            <w:tcW w:w="1174" w:type="dxa"/>
            <w:tcBorders>
              <w:top w:val="nil"/>
              <w:left w:val="nil"/>
              <w:bottom w:val="single" w:sz="8" w:space="0" w:color="auto"/>
              <w:right w:val="single" w:sz="8" w:space="0" w:color="auto"/>
            </w:tcBorders>
            <w:shd w:val="clear" w:color="000000" w:fill="D9D9D9"/>
            <w:noWrap/>
            <w:vAlign w:val="center"/>
            <w:hideMark/>
          </w:tcPr>
          <w:p w14:paraId="3E87EED9"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0.0002</w:t>
            </w:r>
          </w:p>
        </w:tc>
      </w:tr>
      <w:tr w:rsidR="00AC6BAB" w:rsidRPr="00443221" w14:paraId="2FFEB17C" w14:textId="77777777" w:rsidTr="003518EB">
        <w:trPr>
          <w:trHeight w:val="137"/>
        </w:trPr>
        <w:tc>
          <w:tcPr>
            <w:tcW w:w="2258" w:type="dxa"/>
            <w:tcBorders>
              <w:top w:val="nil"/>
              <w:left w:val="single" w:sz="8" w:space="0" w:color="auto"/>
              <w:bottom w:val="single" w:sz="8" w:space="0" w:color="auto"/>
              <w:right w:val="single" w:sz="8" w:space="0" w:color="auto"/>
            </w:tcBorders>
            <w:shd w:val="clear" w:color="auto" w:fill="auto"/>
            <w:noWrap/>
            <w:vAlign w:val="center"/>
            <w:hideMark/>
          </w:tcPr>
          <w:p w14:paraId="3BE5FD94" w14:textId="77777777" w:rsidR="00AC6BAB" w:rsidRPr="003518EB" w:rsidRDefault="00AC6BAB" w:rsidP="00AC6BAB">
            <w:pPr>
              <w:spacing w:after="0" w:line="240" w:lineRule="auto"/>
              <w:rPr>
                <w:rFonts w:cs="Arial"/>
                <w:color w:val="000000"/>
                <w:szCs w:val="20"/>
              </w:rPr>
            </w:pPr>
            <w:r w:rsidRPr="003518EB">
              <w:rPr>
                <w:rFonts w:cs="Arial"/>
                <w:color w:val="000000"/>
                <w:szCs w:val="20"/>
              </w:rPr>
              <w:t>51.4 GHz to 100 GHz</w:t>
            </w:r>
          </w:p>
        </w:tc>
        <w:tc>
          <w:tcPr>
            <w:tcW w:w="1118" w:type="dxa"/>
            <w:tcBorders>
              <w:top w:val="nil"/>
              <w:left w:val="nil"/>
              <w:bottom w:val="single" w:sz="8" w:space="0" w:color="auto"/>
              <w:right w:val="single" w:sz="8" w:space="0" w:color="auto"/>
            </w:tcBorders>
            <w:shd w:val="clear" w:color="000000" w:fill="D9D9D9"/>
            <w:noWrap/>
            <w:vAlign w:val="center"/>
            <w:hideMark/>
          </w:tcPr>
          <w:p w14:paraId="013DF734"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0.01</w:t>
            </w:r>
          </w:p>
        </w:tc>
        <w:tc>
          <w:tcPr>
            <w:tcW w:w="982" w:type="dxa"/>
            <w:tcBorders>
              <w:top w:val="nil"/>
              <w:left w:val="nil"/>
              <w:bottom w:val="single" w:sz="8" w:space="0" w:color="auto"/>
              <w:right w:val="single" w:sz="8" w:space="0" w:color="auto"/>
            </w:tcBorders>
            <w:shd w:val="clear" w:color="000000" w:fill="D9D9D9"/>
            <w:noWrap/>
            <w:vAlign w:val="center"/>
            <w:hideMark/>
          </w:tcPr>
          <w:p w14:paraId="4141309A"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0.001</w:t>
            </w:r>
          </w:p>
        </w:tc>
        <w:tc>
          <w:tcPr>
            <w:tcW w:w="1206" w:type="dxa"/>
            <w:tcBorders>
              <w:top w:val="nil"/>
              <w:left w:val="nil"/>
              <w:bottom w:val="single" w:sz="8" w:space="0" w:color="auto"/>
              <w:right w:val="single" w:sz="8" w:space="0" w:color="auto"/>
            </w:tcBorders>
            <w:shd w:val="clear" w:color="000000" w:fill="D9D9D9"/>
            <w:noWrap/>
            <w:vAlign w:val="center"/>
            <w:hideMark/>
          </w:tcPr>
          <w:p w14:paraId="7CF24BF3"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0.001</w:t>
            </w:r>
          </w:p>
        </w:tc>
        <w:tc>
          <w:tcPr>
            <w:tcW w:w="982" w:type="dxa"/>
            <w:tcBorders>
              <w:top w:val="nil"/>
              <w:left w:val="nil"/>
              <w:bottom w:val="single" w:sz="8" w:space="0" w:color="auto"/>
              <w:right w:val="single" w:sz="8" w:space="0" w:color="auto"/>
            </w:tcBorders>
            <w:shd w:val="clear" w:color="000000" w:fill="D9D9D9"/>
            <w:noWrap/>
            <w:vAlign w:val="center"/>
            <w:hideMark/>
          </w:tcPr>
          <w:p w14:paraId="7658A3EF"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0.0001</w:t>
            </w:r>
          </w:p>
        </w:tc>
        <w:tc>
          <w:tcPr>
            <w:tcW w:w="1174" w:type="dxa"/>
            <w:tcBorders>
              <w:top w:val="nil"/>
              <w:left w:val="nil"/>
              <w:bottom w:val="single" w:sz="8" w:space="0" w:color="auto"/>
              <w:right w:val="single" w:sz="8" w:space="0" w:color="auto"/>
            </w:tcBorders>
            <w:shd w:val="clear" w:color="000000" w:fill="D9D9D9"/>
            <w:noWrap/>
            <w:vAlign w:val="center"/>
            <w:hideMark/>
          </w:tcPr>
          <w:p w14:paraId="4195EF00"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0.0001</w:t>
            </w:r>
          </w:p>
        </w:tc>
      </w:tr>
      <w:tr w:rsidR="00AC6BAB" w:rsidRPr="00443221" w14:paraId="69769559" w14:textId="77777777" w:rsidTr="003518EB">
        <w:trPr>
          <w:trHeight w:val="137"/>
        </w:trPr>
        <w:tc>
          <w:tcPr>
            <w:tcW w:w="2258" w:type="dxa"/>
            <w:tcBorders>
              <w:top w:val="nil"/>
              <w:left w:val="single" w:sz="8" w:space="0" w:color="auto"/>
              <w:bottom w:val="single" w:sz="8" w:space="0" w:color="auto"/>
              <w:right w:val="single" w:sz="8" w:space="0" w:color="auto"/>
            </w:tcBorders>
            <w:shd w:val="clear" w:color="auto" w:fill="auto"/>
            <w:noWrap/>
            <w:vAlign w:val="center"/>
            <w:hideMark/>
          </w:tcPr>
          <w:p w14:paraId="58EBBDC2" w14:textId="77777777" w:rsidR="00AC6BAB" w:rsidRPr="003518EB" w:rsidRDefault="00AC6BAB" w:rsidP="00AC6BAB">
            <w:pPr>
              <w:spacing w:after="0" w:line="240" w:lineRule="auto"/>
              <w:rPr>
                <w:rFonts w:cs="Arial"/>
                <w:color w:val="000000"/>
                <w:szCs w:val="20"/>
              </w:rPr>
            </w:pPr>
            <w:r w:rsidRPr="003518EB">
              <w:rPr>
                <w:rFonts w:cs="Arial"/>
                <w:color w:val="000000"/>
                <w:szCs w:val="20"/>
              </w:rPr>
              <w:t>Above 100 GHz</w:t>
            </w:r>
          </w:p>
        </w:tc>
        <w:tc>
          <w:tcPr>
            <w:tcW w:w="1118" w:type="dxa"/>
            <w:tcBorders>
              <w:top w:val="nil"/>
              <w:left w:val="nil"/>
              <w:bottom w:val="single" w:sz="8" w:space="0" w:color="auto"/>
              <w:right w:val="single" w:sz="8" w:space="0" w:color="auto"/>
            </w:tcBorders>
            <w:shd w:val="clear" w:color="000000" w:fill="D9D9D9"/>
            <w:noWrap/>
            <w:vAlign w:val="center"/>
            <w:hideMark/>
          </w:tcPr>
          <w:p w14:paraId="66DBA1E7"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w:t>
            </w:r>
          </w:p>
        </w:tc>
        <w:tc>
          <w:tcPr>
            <w:tcW w:w="982" w:type="dxa"/>
            <w:tcBorders>
              <w:top w:val="nil"/>
              <w:left w:val="nil"/>
              <w:bottom w:val="single" w:sz="8" w:space="0" w:color="auto"/>
              <w:right w:val="single" w:sz="8" w:space="0" w:color="auto"/>
            </w:tcBorders>
            <w:shd w:val="clear" w:color="000000" w:fill="D9D9D9"/>
            <w:noWrap/>
            <w:vAlign w:val="center"/>
            <w:hideMark/>
          </w:tcPr>
          <w:p w14:paraId="12DF0060"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w:t>
            </w:r>
          </w:p>
        </w:tc>
        <w:tc>
          <w:tcPr>
            <w:tcW w:w="1206" w:type="dxa"/>
            <w:tcBorders>
              <w:top w:val="nil"/>
              <w:left w:val="nil"/>
              <w:bottom w:val="single" w:sz="8" w:space="0" w:color="auto"/>
              <w:right w:val="single" w:sz="8" w:space="0" w:color="auto"/>
            </w:tcBorders>
            <w:shd w:val="clear" w:color="000000" w:fill="D9D9D9"/>
            <w:noWrap/>
            <w:vAlign w:val="center"/>
            <w:hideMark/>
          </w:tcPr>
          <w:p w14:paraId="101E141B"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w:t>
            </w:r>
          </w:p>
        </w:tc>
        <w:tc>
          <w:tcPr>
            <w:tcW w:w="982" w:type="dxa"/>
            <w:tcBorders>
              <w:top w:val="nil"/>
              <w:left w:val="nil"/>
              <w:bottom w:val="single" w:sz="8" w:space="0" w:color="auto"/>
              <w:right w:val="single" w:sz="8" w:space="0" w:color="auto"/>
            </w:tcBorders>
            <w:shd w:val="clear" w:color="000000" w:fill="D9D9D9"/>
            <w:noWrap/>
            <w:vAlign w:val="center"/>
            <w:hideMark/>
          </w:tcPr>
          <w:p w14:paraId="6CF6103F"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w:t>
            </w:r>
          </w:p>
        </w:tc>
        <w:tc>
          <w:tcPr>
            <w:tcW w:w="1174" w:type="dxa"/>
            <w:tcBorders>
              <w:top w:val="nil"/>
              <w:left w:val="nil"/>
              <w:bottom w:val="single" w:sz="8" w:space="0" w:color="auto"/>
              <w:right w:val="single" w:sz="8" w:space="0" w:color="auto"/>
            </w:tcBorders>
            <w:shd w:val="clear" w:color="000000" w:fill="D9D9D9"/>
            <w:noWrap/>
            <w:vAlign w:val="center"/>
            <w:hideMark/>
          </w:tcPr>
          <w:p w14:paraId="36DA22D2" w14:textId="77777777" w:rsidR="00AC6BAB" w:rsidRPr="003518EB" w:rsidRDefault="00AC6BAB" w:rsidP="00AC6BAB">
            <w:pPr>
              <w:spacing w:after="0" w:line="240" w:lineRule="auto"/>
              <w:jc w:val="right"/>
              <w:rPr>
                <w:rFonts w:cs="Arial"/>
                <w:color w:val="000000"/>
                <w:szCs w:val="20"/>
              </w:rPr>
            </w:pPr>
            <w:r w:rsidRPr="003518EB">
              <w:rPr>
                <w:rFonts w:cs="Arial"/>
                <w:color w:val="000000"/>
                <w:szCs w:val="20"/>
              </w:rPr>
              <w:t>0</w:t>
            </w:r>
          </w:p>
        </w:tc>
      </w:tr>
    </w:tbl>
    <w:p w14:paraId="4687C6F7" w14:textId="0157750A" w:rsidR="0022713C" w:rsidRPr="005A3397" w:rsidRDefault="00C205FF" w:rsidP="0022713C">
      <w:pPr>
        <w:pStyle w:val="Heading2"/>
      </w:pPr>
      <w:bookmarkStart w:id="13" w:name="_Toc130220335"/>
      <w:r w:rsidRPr="005A3397">
        <w:t xml:space="preserve">Proposed adjustment to </w:t>
      </w:r>
      <w:r w:rsidR="001620D8" w:rsidRPr="005A3397">
        <w:t>the licence tax rate</w:t>
      </w:r>
      <w:bookmarkEnd w:id="13"/>
    </w:p>
    <w:p w14:paraId="1D922484" w14:textId="3BC5DF26" w:rsidR="004D3F4A" w:rsidRPr="005A3397" w:rsidRDefault="00C15304" w:rsidP="00F10AF0">
      <w:pPr>
        <w:rPr>
          <w:rFonts w:cs="Arial"/>
        </w:rPr>
      </w:pPr>
      <w:r>
        <w:rPr>
          <w:rFonts w:cs="Arial"/>
        </w:rPr>
        <w:t xml:space="preserve">We </w:t>
      </w:r>
      <w:r w:rsidR="00CB10AF">
        <w:rPr>
          <w:rFonts w:cs="Arial"/>
        </w:rPr>
        <w:t xml:space="preserve">propose to adopt the suggestion </w:t>
      </w:r>
      <w:r w:rsidR="004D3F4A" w:rsidRPr="005A3397">
        <w:rPr>
          <w:rFonts w:cs="Arial"/>
        </w:rPr>
        <w:t xml:space="preserve">from stakeholders to update the TOBN licence tax rate in line with recent updates to the location weightings table. Using updated location weightings, the fee per band for the 7.2 GHz, 8.3 GHz, and 13 GHz bands would be reduced and thus the TOBN licence tax rate </w:t>
      </w:r>
      <w:r w:rsidR="00B70E84">
        <w:rPr>
          <w:rFonts w:cs="Arial"/>
        </w:rPr>
        <w:t xml:space="preserve">would </w:t>
      </w:r>
      <w:r w:rsidR="004D3F4A" w:rsidRPr="005A3397">
        <w:rPr>
          <w:rFonts w:cs="Arial"/>
        </w:rPr>
        <w:t>also reduce.</w:t>
      </w:r>
      <w:r w:rsidR="000A6E71">
        <w:rPr>
          <w:rStyle w:val="FootnoteReference"/>
          <w:rFonts w:cs="Arial"/>
        </w:rPr>
        <w:footnoteReference w:id="4"/>
      </w:r>
    </w:p>
    <w:p w14:paraId="027193EA" w14:textId="4DD7659F" w:rsidR="001506E3" w:rsidRPr="005A3397" w:rsidRDefault="004D3F4A" w:rsidP="00F10AF0">
      <w:pPr>
        <w:rPr>
          <w:rFonts w:cs="Arial"/>
        </w:rPr>
      </w:pPr>
      <w:r w:rsidRPr="005A3397">
        <w:rPr>
          <w:rFonts w:cs="Arial"/>
        </w:rPr>
        <w:t xml:space="preserve">In addition to revisiting the calculation using updated location weightings, </w:t>
      </w:r>
      <w:r w:rsidR="00B70E84">
        <w:rPr>
          <w:rFonts w:cs="Arial"/>
        </w:rPr>
        <w:t>there are 2</w:t>
      </w:r>
      <w:r w:rsidR="009F5F9A" w:rsidRPr="005A3397">
        <w:rPr>
          <w:rFonts w:cs="Arial"/>
        </w:rPr>
        <w:t xml:space="preserve"> other changes</w:t>
      </w:r>
      <w:r w:rsidR="00ED2C09" w:rsidRPr="005A3397">
        <w:rPr>
          <w:rFonts w:cs="Arial"/>
        </w:rPr>
        <w:t xml:space="preserve"> that are relevant to the </w:t>
      </w:r>
      <w:r w:rsidR="008D5905" w:rsidRPr="005A3397">
        <w:rPr>
          <w:rFonts w:cs="Arial"/>
        </w:rPr>
        <w:t>calculation of t</w:t>
      </w:r>
      <w:r w:rsidR="004B5462" w:rsidRPr="005A3397">
        <w:rPr>
          <w:rFonts w:cs="Arial"/>
        </w:rPr>
        <w:t xml:space="preserve">he TOBN licence tax rate. </w:t>
      </w:r>
    </w:p>
    <w:p w14:paraId="118581C6" w14:textId="1838AC8E" w:rsidR="004D3F4A" w:rsidRPr="009C5D64" w:rsidRDefault="004B5462" w:rsidP="00F10AF0">
      <w:pPr>
        <w:rPr>
          <w:rFonts w:cs="Arial"/>
        </w:rPr>
      </w:pPr>
      <w:r w:rsidRPr="005A3397">
        <w:rPr>
          <w:rFonts w:cs="Arial"/>
        </w:rPr>
        <w:t xml:space="preserve">First, </w:t>
      </w:r>
      <w:r w:rsidR="00E446ED" w:rsidRPr="005A3397">
        <w:rPr>
          <w:rFonts w:cs="Arial"/>
        </w:rPr>
        <w:t xml:space="preserve">the 2.5 GHz band </w:t>
      </w:r>
      <w:r w:rsidR="001506E3" w:rsidRPr="005A3397">
        <w:rPr>
          <w:rFonts w:cs="Arial"/>
        </w:rPr>
        <w:t>used in the initial calculation has been reallocated</w:t>
      </w:r>
      <w:r w:rsidR="000475E9">
        <w:rPr>
          <w:rFonts w:cs="Arial"/>
        </w:rPr>
        <w:t xml:space="preserve"> for spectrum licensing</w:t>
      </w:r>
      <w:r w:rsidR="00B70E84">
        <w:rPr>
          <w:rFonts w:cs="Arial"/>
        </w:rPr>
        <w:t>,</w:t>
      </w:r>
      <w:r w:rsidR="001506E3" w:rsidRPr="005A3397">
        <w:rPr>
          <w:rFonts w:cs="Arial"/>
        </w:rPr>
        <w:t xml:space="preserve"> with frequencies made available in the 2 GHz band for television outside broadcast use.</w:t>
      </w:r>
      <w:r w:rsidR="00146341">
        <w:rPr>
          <w:rStyle w:val="FootnoteReference"/>
          <w:rFonts w:cs="Arial"/>
        </w:rPr>
        <w:footnoteReference w:id="5"/>
      </w:r>
      <w:r w:rsidR="001506E3" w:rsidRPr="005A3397">
        <w:rPr>
          <w:rFonts w:cs="Arial"/>
        </w:rPr>
        <w:t xml:space="preserve"> Second,</w:t>
      </w:r>
      <w:r w:rsidR="004D3F4A" w:rsidRPr="005A3397">
        <w:rPr>
          <w:rFonts w:cs="Arial"/>
        </w:rPr>
        <w:t xml:space="preserve"> the channel arrangements for the 7.2 GHz band have been updated since the TOBN tax rate was last calculated</w:t>
      </w:r>
      <w:r w:rsidR="00FA0564" w:rsidRPr="005A3397">
        <w:rPr>
          <w:rFonts w:cs="Arial"/>
        </w:rPr>
        <w:t>, with an adjustment in the proportion of channels used for commercial purposes</w:t>
      </w:r>
      <w:r w:rsidR="00411428" w:rsidRPr="005A3397">
        <w:rPr>
          <w:rFonts w:cs="Arial"/>
        </w:rPr>
        <w:t xml:space="preserve"> and frequency range</w:t>
      </w:r>
      <w:r w:rsidR="004D3F4A" w:rsidRPr="005A3397">
        <w:rPr>
          <w:rFonts w:cs="Arial"/>
        </w:rPr>
        <w:t xml:space="preserve">. Further information about the </w:t>
      </w:r>
      <w:hyperlink r:id="rId49" w:history="1">
        <w:r w:rsidR="004D3F4A" w:rsidRPr="00B70E84">
          <w:rPr>
            <w:rStyle w:val="Hyperlink"/>
            <w:rFonts w:cs="Arial"/>
          </w:rPr>
          <w:t>new channel arrangements</w:t>
        </w:r>
      </w:hyperlink>
      <w:r w:rsidR="004D3F4A" w:rsidRPr="005A3397">
        <w:rPr>
          <w:rFonts w:cs="Arial"/>
        </w:rPr>
        <w:t xml:space="preserve"> can be found on the ACMA website</w:t>
      </w:r>
      <w:r w:rsidR="004D3F4A" w:rsidRPr="009C5D64">
        <w:t>.</w:t>
      </w:r>
      <w:r w:rsidR="00470C21">
        <w:rPr>
          <w:rStyle w:val="FootnoteReference"/>
        </w:rPr>
        <w:footnoteReference w:id="6"/>
      </w:r>
      <w:r w:rsidR="004D3F4A" w:rsidRPr="009C5D64">
        <w:t xml:space="preserve"> </w:t>
      </w:r>
      <w:r w:rsidR="004A5291" w:rsidRPr="009C5D64">
        <w:t xml:space="preserve">It would be prudent to also </w:t>
      </w:r>
      <w:r w:rsidR="00FA0564" w:rsidRPr="009C5D64">
        <w:t>consider</w:t>
      </w:r>
      <w:r w:rsidR="004A5291" w:rsidRPr="009C5D64">
        <w:t xml:space="preserve"> the updated </w:t>
      </w:r>
      <w:r w:rsidR="000059FA" w:rsidRPr="009C5D64">
        <w:t xml:space="preserve">frequency bands and </w:t>
      </w:r>
      <w:r w:rsidR="004A5291" w:rsidRPr="009C5D64">
        <w:t>channel arrangements in revisiting the calculation of the TOBN tax rate.</w:t>
      </w:r>
    </w:p>
    <w:p w14:paraId="16BD8153" w14:textId="10155877" w:rsidR="004A5291" w:rsidRPr="009C5D64" w:rsidRDefault="004A5291" w:rsidP="00F10AF0">
      <w:r w:rsidRPr="009C5D64">
        <w:t>With updates to the location weightings</w:t>
      </w:r>
      <w:r w:rsidR="000059FA" w:rsidRPr="009C5D64">
        <w:t>, frequency bands,</w:t>
      </w:r>
      <w:r w:rsidRPr="009C5D64">
        <w:t xml:space="preserve"> and channel arrangements taken into account, </w:t>
      </w:r>
      <w:r w:rsidR="00B70E84">
        <w:t xml:space="preserve">we </w:t>
      </w:r>
      <w:r w:rsidRPr="009C5D64">
        <w:t xml:space="preserve">calculate that the tax rate for TOBN licences should be </w:t>
      </w:r>
      <w:r w:rsidR="00FF1A74" w:rsidRPr="009C5D64">
        <w:t>$</w:t>
      </w:r>
      <w:r w:rsidR="00FF1A74" w:rsidRPr="009C5D64">
        <w:rPr>
          <w:rFonts w:cs="Arial"/>
          <w:szCs w:val="20"/>
        </w:rPr>
        <w:t>2</w:t>
      </w:r>
      <w:r w:rsidR="0095543A">
        <w:rPr>
          <w:rFonts w:cs="Arial"/>
          <w:szCs w:val="20"/>
        </w:rPr>
        <w:t>11</w:t>
      </w:r>
      <w:r w:rsidR="00FF1A74" w:rsidRPr="009C5D64">
        <w:rPr>
          <w:rFonts w:cs="Arial"/>
          <w:szCs w:val="20"/>
        </w:rPr>
        <w:t>,</w:t>
      </w:r>
      <w:r w:rsidR="0095543A">
        <w:rPr>
          <w:rFonts w:cs="Arial"/>
          <w:szCs w:val="20"/>
        </w:rPr>
        <w:t>701</w:t>
      </w:r>
      <w:r w:rsidR="00FF1A74" w:rsidRPr="009C5D64">
        <w:rPr>
          <w:rFonts w:cs="Arial"/>
          <w:szCs w:val="20"/>
        </w:rPr>
        <w:t xml:space="preserve"> </w:t>
      </w:r>
      <w:r w:rsidRPr="009C5D64">
        <w:t xml:space="preserve">using the same methodology </w:t>
      </w:r>
      <w:r w:rsidR="001D2C7E">
        <w:t xml:space="preserve">by </w:t>
      </w:r>
      <w:r w:rsidRPr="009C5D64">
        <w:t xml:space="preserve">which the current tax rate </w:t>
      </w:r>
      <w:r w:rsidR="00B70E84">
        <w:t>is</w:t>
      </w:r>
      <w:r w:rsidR="00B70E84" w:rsidRPr="009C5D64">
        <w:t xml:space="preserve"> </w:t>
      </w:r>
      <w:r w:rsidRPr="009C5D64">
        <w:t xml:space="preserve">calculated. Therefore, </w:t>
      </w:r>
      <w:r w:rsidR="00B70E84">
        <w:t>we</w:t>
      </w:r>
      <w:r w:rsidRPr="009C5D64">
        <w:t xml:space="preserve"> propose to reduce the TOBN licence tax rate from $415,899 to </w:t>
      </w:r>
      <w:r w:rsidR="00FF1A74" w:rsidRPr="009C5D64">
        <w:t>$2</w:t>
      </w:r>
      <w:r w:rsidR="0095543A">
        <w:t>11</w:t>
      </w:r>
      <w:r w:rsidR="00FF1A74" w:rsidRPr="009C5D64">
        <w:t>,</w:t>
      </w:r>
      <w:r w:rsidR="0095543A">
        <w:t>701</w:t>
      </w:r>
      <w:r w:rsidR="00846FB1" w:rsidRPr="009C5D64">
        <w:t xml:space="preserve">, a </w:t>
      </w:r>
      <w:r w:rsidR="00013696">
        <w:t>49</w:t>
      </w:r>
      <w:r w:rsidR="00846FB1" w:rsidRPr="009C5D64">
        <w:t>.</w:t>
      </w:r>
      <w:r w:rsidR="0095543A">
        <w:t>1</w:t>
      </w:r>
      <w:r w:rsidR="00846FB1" w:rsidRPr="009C5D64">
        <w:t>% reduction</w:t>
      </w:r>
      <w:r w:rsidRPr="009C5D64">
        <w:t>.</w:t>
      </w:r>
    </w:p>
    <w:p w14:paraId="02C18F65" w14:textId="2AE02147" w:rsidR="00BA5E73" w:rsidRPr="009C5D64" w:rsidRDefault="006F1956" w:rsidP="00F10AF0">
      <w:r w:rsidRPr="009C5D64">
        <w:t>The</w:t>
      </w:r>
      <w:r w:rsidR="004F79D2" w:rsidRPr="009C5D64">
        <w:t xml:space="preserve"> tax </w:t>
      </w:r>
      <w:r w:rsidR="00D43BD3" w:rsidRPr="009C5D64">
        <w:t xml:space="preserve">associated </w:t>
      </w:r>
      <w:r w:rsidR="0091531B" w:rsidRPr="009C5D64">
        <w:t xml:space="preserve">with the </w:t>
      </w:r>
      <w:r w:rsidR="00B70E84">
        <w:t>TOBN</w:t>
      </w:r>
      <w:r w:rsidR="00462D8D" w:rsidRPr="009C5D64">
        <w:t xml:space="preserve"> licences </w:t>
      </w:r>
      <w:r w:rsidR="00356A73" w:rsidRPr="009C5D64">
        <w:t xml:space="preserve">is specified </w:t>
      </w:r>
      <w:r w:rsidR="007309C3" w:rsidRPr="009C5D64">
        <w:t xml:space="preserve">at item 5 of </w:t>
      </w:r>
      <w:r w:rsidR="00A163C7" w:rsidRPr="009C5D64">
        <w:t xml:space="preserve">Table </w:t>
      </w:r>
      <w:r w:rsidR="00AA28C0" w:rsidRPr="009C5D64">
        <w:t>702</w:t>
      </w:r>
      <w:r w:rsidR="0000514A" w:rsidRPr="009C5D64">
        <w:t xml:space="preserve"> of the Determination</w:t>
      </w:r>
      <w:r w:rsidR="003D7B5E" w:rsidRPr="009C5D64">
        <w:t xml:space="preserve"> and the </w:t>
      </w:r>
      <w:r w:rsidR="00920248" w:rsidRPr="009C5D64">
        <w:t>amount of annual tax</w:t>
      </w:r>
      <w:r w:rsidR="007F5E78" w:rsidRPr="009C5D64">
        <w:t xml:space="preserve"> would be </w:t>
      </w:r>
      <w:r w:rsidR="00062915" w:rsidRPr="009C5D64">
        <w:t xml:space="preserve">amended from </w:t>
      </w:r>
      <w:r w:rsidR="00204A23" w:rsidRPr="009C5D64">
        <w:t xml:space="preserve">$415,899 to </w:t>
      </w:r>
      <w:r w:rsidR="00132F58" w:rsidRPr="009C5D64">
        <w:t>$</w:t>
      </w:r>
      <w:r w:rsidR="00132F58" w:rsidRPr="009C5D64">
        <w:rPr>
          <w:rFonts w:cs="Arial"/>
          <w:szCs w:val="20"/>
        </w:rPr>
        <w:t>2</w:t>
      </w:r>
      <w:r w:rsidR="0095543A">
        <w:rPr>
          <w:rFonts w:cs="Arial"/>
          <w:szCs w:val="20"/>
        </w:rPr>
        <w:t>11</w:t>
      </w:r>
      <w:r w:rsidR="00132F58" w:rsidRPr="009C5D64">
        <w:rPr>
          <w:rFonts w:cs="Arial"/>
          <w:szCs w:val="20"/>
        </w:rPr>
        <w:t>,</w:t>
      </w:r>
      <w:r w:rsidR="0095543A">
        <w:rPr>
          <w:rFonts w:cs="Arial"/>
          <w:szCs w:val="20"/>
        </w:rPr>
        <w:t>701</w:t>
      </w:r>
      <w:r w:rsidR="00541269" w:rsidRPr="009C5D64">
        <w:t xml:space="preserve">. </w:t>
      </w:r>
      <w:r w:rsidR="005B65AF" w:rsidRPr="009C5D64">
        <w:t xml:space="preserve">The </w:t>
      </w:r>
      <w:r w:rsidR="004A3229" w:rsidRPr="009C5D64">
        <w:t>updated tax amount would apply</w:t>
      </w:r>
      <w:r w:rsidR="00377E6F" w:rsidRPr="009C5D64">
        <w:t xml:space="preserve"> to the is</w:t>
      </w:r>
      <w:r w:rsidR="005D0BBC" w:rsidRPr="009C5D64">
        <w:t xml:space="preserve">sue or renewal of a </w:t>
      </w:r>
      <w:r w:rsidR="00B70E84">
        <w:t>TOBN</w:t>
      </w:r>
      <w:r w:rsidR="005D0BBC" w:rsidRPr="009C5D64">
        <w:t xml:space="preserve"> licence</w:t>
      </w:r>
      <w:r w:rsidR="002E0BAC" w:rsidRPr="009C5D64">
        <w:t xml:space="preserve"> 50 days </w:t>
      </w:r>
      <w:r w:rsidR="00543A53">
        <w:t>after</w:t>
      </w:r>
      <w:r w:rsidR="002E0BAC" w:rsidRPr="009C5D64">
        <w:t xml:space="preserve"> the commencement of the amending </w:t>
      </w:r>
      <w:r w:rsidR="00B70E84">
        <w:t>D</w:t>
      </w:r>
      <w:r w:rsidR="002E0BAC" w:rsidRPr="009C5D64">
        <w:t>etermination.</w:t>
      </w:r>
      <w:r w:rsidR="002F107B" w:rsidRPr="009C5D64">
        <w:t xml:space="preserve"> This time period is provided to allo</w:t>
      </w:r>
      <w:r w:rsidR="00C6787F" w:rsidRPr="009C5D64">
        <w:t>w</w:t>
      </w:r>
      <w:r w:rsidR="002F107B" w:rsidRPr="009C5D64">
        <w:t xml:space="preserve"> for updating our </w:t>
      </w:r>
      <w:r w:rsidR="00C6787F" w:rsidRPr="009C5D64">
        <w:t>administrative arrangements</w:t>
      </w:r>
      <w:r w:rsidR="00B70E84">
        <w:t>,</w:t>
      </w:r>
      <w:r w:rsidR="00DB3E1F" w:rsidRPr="009C5D64">
        <w:t xml:space="preserve"> such as invoicing</w:t>
      </w:r>
      <w:r w:rsidR="00C6787F" w:rsidRPr="009C5D64">
        <w:t>.</w:t>
      </w:r>
    </w:p>
    <w:p w14:paraId="04CE6623" w14:textId="718ACB54" w:rsidR="004D3F4A" w:rsidRPr="009C5D64" w:rsidRDefault="004D3F4A" w:rsidP="004D3F4A">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9C5D64">
        <w:t xml:space="preserve">Question </w:t>
      </w:r>
      <w:r w:rsidR="00EC4293">
        <w:t>3</w:t>
      </w:r>
    </w:p>
    <w:p w14:paraId="7D310AAD" w14:textId="09C4E377" w:rsidR="004D3F4A" w:rsidRDefault="004D3F4A" w:rsidP="004D3F4A">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9C5D64">
        <w:t xml:space="preserve">Do you have any comments on the proposal to update the annual licence tax </w:t>
      </w:r>
      <w:r w:rsidR="00A71BE8" w:rsidRPr="009C5D64">
        <w:t xml:space="preserve">amount </w:t>
      </w:r>
      <w:r w:rsidRPr="009C5D64">
        <w:t xml:space="preserve">for </w:t>
      </w:r>
      <w:r w:rsidR="00CA3C13" w:rsidRPr="009C5D64">
        <w:t>t</w:t>
      </w:r>
      <w:r w:rsidRPr="009C5D64">
        <w:t>elevision outside broadcast network licences</w:t>
      </w:r>
      <w:r w:rsidR="00A71BE8" w:rsidRPr="009C5D64">
        <w:t xml:space="preserve"> and the proposed amendment to the Determination</w:t>
      </w:r>
      <w:r w:rsidRPr="009C5D64">
        <w:t>?</w:t>
      </w:r>
    </w:p>
    <w:p w14:paraId="5986BCAE" w14:textId="77777777" w:rsidR="004A445C" w:rsidRPr="009D55E7" w:rsidRDefault="004A445C" w:rsidP="004A445C">
      <w:pPr>
        <w:pStyle w:val="Heading1"/>
      </w:pPr>
      <w:bookmarkStart w:id="14" w:name="_Toc130220336"/>
      <w:r>
        <w:lastRenderedPageBreak/>
        <w:t>Pricing for varying levels of interference</w:t>
      </w:r>
      <w:bookmarkEnd w:id="14"/>
    </w:p>
    <w:p w14:paraId="21013B60" w14:textId="29FEE273" w:rsidR="004A445C" w:rsidRPr="00E243AA" w:rsidRDefault="004A445C" w:rsidP="004A445C">
      <w:pPr>
        <w:pStyle w:val="Heading2"/>
      </w:pPr>
      <w:bookmarkStart w:id="15" w:name="_Toc130220337"/>
      <w:r>
        <w:t>Context and discussion</w:t>
      </w:r>
      <w:bookmarkEnd w:id="15"/>
    </w:p>
    <w:p w14:paraId="474F9563" w14:textId="23224769" w:rsidR="004A445C" w:rsidRDefault="004A445C" w:rsidP="007A5938">
      <w:pPr>
        <w:pStyle w:val="Paragraph"/>
        <w:spacing w:after="120"/>
      </w:pPr>
      <w:r>
        <w:t xml:space="preserve">At the conclusion of the implementation of the Spectrum Pricing Review process in July 2022, </w:t>
      </w:r>
      <w:r w:rsidR="00EB5429">
        <w:t>we</w:t>
      </w:r>
      <w:r>
        <w:t xml:space="preserve"> flagged </w:t>
      </w:r>
      <w:r w:rsidR="00EB5429">
        <w:t xml:space="preserve">our </w:t>
      </w:r>
      <w:r>
        <w:t>interest in considering different approaches to pricing for varying levels of interference</w:t>
      </w:r>
      <w:r w:rsidR="009E5167">
        <w:t xml:space="preserve">. The issue was also </w:t>
      </w:r>
      <w:r w:rsidR="002E54C4">
        <w:t>noted i</w:t>
      </w:r>
      <w:r>
        <w:t xml:space="preserve">n the </w:t>
      </w:r>
      <w:hyperlink r:id="rId50" w:history="1">
        <w:r w:rsidR="00EB5429" w:rsidRPr="007A2D43">
          <w:rPr>
            <w:rStyle w:val="Hyperlink"/>
          </w:rPr>
          <w:t>f</w:t>
        </w:r>
        <w:r w:rsidRPr="007A2D43">
          <w:rPr>
            <w:rStyle w:val="Hyperlink"/>
          </w:rPr>
          <w:t>ive</w:t>
        </w:r>
        <w:r w:rsidR="00EB5429" w:rsidRPr="007A2D43">
          <w:rPr>
            <w:rStyle w:val="Hyperlink"/>
          </w:rPr>
          <w:t>-y</w:t>
        </w:r>
        <w:r w:rsidRPr="007A2D43">
          <w:rPr>
            <w:rStyle w:val="Hyperlink"/>
          </w:rPr>
          <w:t xml:space="preserve">ear </w:t>
        </w:r>
        <w:r w:rsidR="00EB5429" w:rsidRPr="007A2D43">
          <w:rPr>
            <w:rStyle w:val="Hyperlink"/>
          </w:rPr>
          <w:t>s</w:t>
        </w:r>
        <w:r w:rsidRPr="007A2D43">
          <w:rPr>
            <w:rStyle w:val="Hyperlink"/>
          </w:rPr>
          <w:t xml:space="preserve">pectrum </w:t>
        </w:r>
        <w:r w:rsidR="00EB5429" w:rsidRPr="007A2D43">
          <w:rPr>
            <w:rStyle w:val="Hyperlink"/>
          </w:rPr>
          <w:t>o</w:t>
        </w:r>
        <w:r w:rsidRPr="007A2D43">
          <w:rPr>
            <w:rStyle w:val="Hyperlink"/>
          </w:rPr>
          <w:t>utlook</w:t>
        </w:r>
        <w:r w:rsidR="007A2D43" w:rsidRPr="007A2D43">
          <w:rPr>
            <w:rStyle w:val="Hyperlink"/>
          </w:rPr>
          <w:t xml:space="preserve"> 2022</w:t>
        </w:r>
        <w:r w:rsidR="003070B0">
          <w:rPr>
            <w:rStyle w:val="Hyperlink"/>
          </w:rPr>
          <w:t>–</w:t>
        </w:r>
        <w:r w:rsidR="007A2D43" w:rsidRPr="007A2D43">
          <w:rPr>
            <w:rStyle w:val="Hyperlink"/>
          </w:rPr>
          <w:t>27</w:t>
        </w:r>
      </w:hyperlink>
      <w:r>
        <w:t>:</w:t>
      </w:r>
    </w:p>
    <w:p w14:paraId="5322C3B1" w14:textId="77777777" w:rsidR="004A445C" w:rsidRPr="007A5938" w:rsidRDefault="004A445C" w:rsidP="004A445C">
      <w:pPr>
        <w:pStyle w:val="Paragraph"/>
        <w:ind w:left="284"/>
        <w:rPr>
          <w:sz w:val="18"/>
          <w:szCs w:val="18"/>
        </w:rPr>
      </w:pPr>
      <w:r w:rsidRPr="007A5938">
        <w:rPr>
          <w:sz w:val="18"/>
          <w:szCs w:val="18"/>
        </w:rPr>
        <w:t>In recent years, the ACMA has allowed more customised licensing for certain types of transmitters via area-wide licences in specific parts of the spectrum. Similarly, we would like to explore whether more bespoke arrangements can also be introduced for receivers that require different levels of protection, to encourage more efficient use of spectrum.</w:t>
      </w:r>
      <w:r w:rsidRPr="007A5938">
        <w:rPr>
          <w:rStyle w:val="FootnoteReference"/>
          <w:sz w:val="18"/>
          <w:szCs w:val="18"/>
        </w:rPr>
        <w:footnoteReference w:id="7"/>
      </w:r>
    </w:p>
    <w:p w14:paraId="03BEEC80" w14:textId="5B065C44" w:rsidR="00DF1EB0" w:rsidRDefault="00CD3BB9" w:rsidP="004A445C">
      <w:pPr>
        <w:pStyle w:val="Paragraph"/>
      </w:pPr>
      <w:r>
        <w:t xml:space="preserve">The pricing structure for apparatus licences is currently underpinned by a guiding framework of pricing for varying levels of potential interference and demand. </w:t>
      </w:r>
      <w:r w:rsidR="00EB5429">
        <w:t>We are</w:t>
      </w:r>
      <w:r w:rsidR="004A445C">
        <w:t xml:space="preserve"> interested in furthering the extent to which </w:t>
      </w:r>
      <w:r w:rsidR="00484262">
        <w:t xml:space="preserve">these </w:t>
      </w:r>
      <w:r w:rsidR="004A445C">
        <w:t xml:space="preserve">principles </w:t>
      </w:r>
      <w:r w:rsidR="008959BD">
        <w:t xml:space="preserve">of pricing for varying levels of interference </w:t>
      </w:r>
      <w:r w:rsidR="004A445C">
        <w:t>inform elements of the apparatus licence taxation framework</w:t>
      </w:r>
      <w:r w:rsidR="008959BD">
        <w:t>.</w:t>
      </w:r>
      <w:r w:rsidR="00453CBA">
        <w:t xml:space="preserve"> </w:t>
      </w:r>
      <w:r w:rsidR="005A14B9">
        <w:t xml:space="preserve">The price signals </w:t>
      </w:r>
      <w:r w:rsidR="002634B7">
        <w:t xml:space="preserve">that apparatus licence </w:t>
      </w:r>
      <w:r w:rsidR="002D5B67">
        <w:t>pricing structures</w:t>
      </w:r>
      <w:r w:rsidR="001476C8">
        <w:t xml:space="preserve"> communicate</w:t>
      </w:r>
      <w:r w:rsidR="00072F1D">
        <w:t xml:space="preserve"> can</w:t>
      </w:r>
      <w:r w:rsidR="001476C8">
        <w:t xml:space="preserve"> play an important role </w:t>
      </w:r>
      <w:r w:rsidR="00980AA0">
        <w:t xml:space="preserve">in providing incentives for the </w:t>
      </w:r>
      <w:r w:rsidR="008D4C18">
        <w:t>efficient use of sp</w:t>
      </w:r>
      <w:r w:rsidR="007B0DF4">
        <w:t>ectrum.</w:t>
      </w:r>
    </w:p>
    <w:p w14:paraId="77BA3723" w14:textId="1B42C723" w:rsidR="004A445C" w:rsidRDefault="004A445C" w:rsidP="004A445C">
      <w:pPr>
        <w:pStyle w:val="Paragraph"/>
      </w:pPr>
      <w:r>
        <w:t xml:space="preserve">It </w:t>
      </w:r>
      <w:r w:rsidR="00EC4302">
        <w:t xml:space="preserve">is </w:t>
      </w:r>
      <w:r>
        <w:t>anticipate</w:t>
      </w:r>
      <w:r w:rsidR="00EC4302">
        <w:t>d</w:t>
      </w:r>
      <w:r>
        <w:t xml:space="preserve"> that reforms proposed will likely need to be tailored to specific applications, frequencies, and licence sub-types in line with the potential interference of the underlying technology and use</w:t>
      </w:r>
      <w:r w:rsidR="00EB5429">
        <w:t>-</w:t>
      </w:r>
      <w:r>
        <w:t xml:space="preserve">case. </w:t>
      </w:r>
      <w:r w:rsidR="00EB5429">
        <w:t>We are</w:t>
      </w:r>
      <w:r>
        <w:t xml:space="preserve"> interested in seeking feedback from stakeholders </w:t>
      </w:r>
      <w:r w:rsidR="00EB5429">
        <w:t xml:space="preserve">about whether </w:t>
      </w:r>
      <w:r>
        <w:t xml:space="preserve">pricing could more explicitly take into account the degree of </w:t>
      </w:r>
      <w:r w:rsidR="00EC4302">
        <w:t xml:space="preserve">potential </w:t>
      </w:r>
      <w:r>
        <w:t>interference.</w:t>
      </w:r>
    </w:p>
    <w:p w14:paraId="299B6C4A" w14:textId="4D4723D9" w:rsidR="004A445C" w:rsidRPr="006A0FEF" w:rsidRDefault="00EB5429" w:rsidP="004A445C">
      <w:r>
        <w:t>We are</w:t>
      </w:r>
      <w:r w:rsidR="004A445C">
        <w:t xml:space="preserve"> also interested in stakeholder views on structures or mechanisms that could </w:t>
      </w:r>
      <w:r w:rsidR="00F37170">
        <w:t>encourage more efficient spect</w:t>
      </w:r>
      <w:r w:rsidR="002809E0">
        <w:t>r</w:t>
      </w:r>
      <w:r w:rsidR="00F37170">
        <w:t xml:space="preserve">um use </w:t>
      </w:r>
      <w:r>
        <w:t xml:space="preserve">by </w:t>
      </w:r>
      <w:r w:rsidR="00F37170">
        <w:t>adopti</w:t>
      </w:r>
      <w:r>
        <w:t>ng</w:t>
      </w:r>
      <w:r w:rsidR="00F37170">
        <w:t xml:space="preserve"> </w:t>
      </w:r>
      <w:r w:rsidR="004A445C">
        <w:t xml:space="preserve">interference protection pricing within the apparatus licensing framework. </w:t>
      </w:r>
      <w:r w:rsidR="009F15B2">
        <w:t>I</w:t>
      </w:r>
      <w:r w:rsidR="004A445C">
        <w:t>f there are any other mechanisms or examples from other comparable jurisdictions that stakeholders would like to highlight as being potentially appropria</w:t>
      </w:r>
      <w:r w:rsidR="004A445C" w:rsidRPr="006A0FEF">
        <w:t xml:space="preserve">te for Australia, </w:t>
      </w:r>
      <w:r w:rsidRPr="006A0FEF">
        <w:t>we</w:t>
      </w:r>
      <w:r w:rsidR="004A445C" w:rsidRPr="006A0FEF">
        <w:t xml:space="preserve"> would be interested in these views. </w:t>
      </w:r>
    </w:p>
    <w:p w14:paraId="2D8F1043" w14:textId="05E8899F" w:rsidR="008524A9" w:rsidRDefault="008E550A" w:rsidP="00CB6BAF">
      <w:r w:rsidRPr="006A0FEF">
        <w:t xml:space="preserve">The </w:t>
      </w:r>
      <w:r w:rsidR="003D69E5" w:rsidRPr="006A0FEF">
        <w:t xml:space="preserve">current </w:t>
      </w:r>
      <w:r w:rsidRPr="006A0FEF">
        <w:t xml:space="preserve">structures within the </w:t>
      </w:r>
      <w:r w:rsidR="003D69E5" w:rsidRPr="006A0FEF">
        <w:t>apparatus licensing framework th</w:t>
      </w:r>
      <w:r w:rsidR="003D69E5">
        <w:t xml:space="preserve">at </w:t>
      </w:r>
      <w:r w:rsidR="00EB3387">
        <w:t xml:space="preserve">price for varying levels of interference largely relate to transmitter licences. These </w:t>
      </w:r>
      <w:r w:rsidR="00F00CC6">
        <w:t xml:space="preserve">are focused </w:t>
      </w:r>
      <w:r w:rsidR="00504A8B">
        <w:t xml:space="preserve">predominantly on providing price incentives to minimise the potential interference </w:t>
      </w:r>
      <w:r w:rsidR="0038747C">
        <w:t xml:space="preserve">from transmitter services. For example, the low-power and micro-power discounts offer </w:t>
      </w:r>
      <w:r w:rsidR="00CC540B">
        <w:t>a discounted price to serv</w:t>
      </w:r>
      <w:r w:rsidR="005A3BFA">
        <w:t xml:space="preserve">ices that minimise the </w:t>
      </w:r>
      <w:r w:rsidR="00743EC3">
        <w:t xml:space="preserve">radiated power level </w:t>
      </w:r>
      <w:r w:rsidR="00160E6A">
        <w:t>and radius of operation</w:t>
      </w:r>
      <w:r w:rsidR="00CB6BAF">
        <w:t>.</w:t>
      </w:r>
      <w:r w:rsidR="00C52207">
        <w:t xml:space="preserve"> </w:t>
      </w:r>
      <w:r w:rsidR="00EB5429">
        <w:t>We are</w:t>
      </w:r>
      <w:r w:rsidR="008524A9">
        <w:t xml:space="preserve"> interested in </w:t>
      </w:r>
      <w:r w:rsidR="003E01A5">
        <w:t>exp</w:t>
      </w:r>
      <w:r w:rsidR="002D2016">
        <w:t>loring</w:t>
      </w:r>
      <w:r w:rsidR="003E01A5">
        <w:t xml:space="preserve"> the </w:t>
      </w:r>
      <w:r w:rsidR="00347C5D">
        <w:t>extent to which pricing for varying levels of interference</w:t>
      </w:r>
      <w:r w:rsidR="00687DFC">
        <w:t xml:space="preserve"> </w:t>
      </w:r>
      <w:r w:rsidR="00F140CD">
        <w:t>can</w:t>
      </w:r>
      <w:r w:rsidR="00E14E2D">
        <w:t xml:space="preserve"> </w:t>
      </w:r>
      <w:r w:rsidR="00B763E9">
        <w:t xml:space="preserve">inform apparatus licence tax rates, either through expanding the availability of current mechanisms to more services or </w:t>
      </w:r>
      <w:r w:rsidR="00EB5429">
        <w:t xml:space="preserve">considering </w:t>
      </w:r>
      <w:r w:rsidR="00B763E9">
        <w:t>additional mechanisms.</w:t>
      </w:r>
      <w:r w:rsidR="00E524D9">
        <w:t xml:space="preserve"> </w:t>
      </w:r>
      <w:r w:rsidR="00E524D9" w:rsidRPr="008A027C">
        <w:t>To facilitate any potential changes in pricing structures, changes w</w:t>
      </w:r>
      <w:r w:rsidR="00F140CD">
        <w:t>ould</w:t>
      </w:r>
      <w:r w:rsidR="00E524D9" w:rsidRPr="008A027C">
        <w:t xml:space="preserve"> also need to be made to the relevant planning and licensing arrangements to which the services and licences apply. Based on the outcome of this consultation, </w:t>
      </w:r>
      <w:r w:rsidR="00EB5429">
        <w:t>we</w:t>
      </w:r>
      <w:r w:rsidR="00EB5429" w:rsidRPr="008A027C">
        <w:t xml:space="preserve"> </w:t>
      </w:r>
      <w:r w:rsidR="00E524D9" w:rsidRPr="008A027C">
        <w:t xml:space="preserve">will develop a work program to consider </w:t>
      </w:r>
      <w:r w:rsidR="00F140CD">
        <w:t>any</w:t>
      </w:r>
      <w:r w:rsidR="00E524D9" w:rsidRPr="008A027C">
        <w:t xml:space="preserve"> appropriate changes to our planning, licensing and pricing arrangements. This work program will be the subject of further consultation</w:t>
      </w:r>
      <w:r w:rsidR="00E524D9">
        <w:t>.</w:t>
      </w:r>
    </w:p>
    <w:p w14:paraId="4D66B4C3" w14:textId="6B936C87" w:rsidR="00384155" w:rsidRDefault="00F336D3" w:rsidP="004A445C">
      <w:r>
        <w:t xml:space="preserve">In addition to </w:t>
      </w:r>
      <w:r w:rsidR="00003345">
        <w:t>mechanisms relating to transmitters,</w:t>
      </w:r>
      <w:r w:rsidR="00EB5429">
        <w:t xml:space="preserve"> we are </w:t>
      </w:r>
      <w:r w:rsidR="00925B6D">
        <w:t xml:space="preserve">also interested in exploring </w:t>
      </w:r>
      <w:r w:rsidR="006B665C">
        <w:t xml:space="preserve">the introduction of </w:t>
      </w:r>
      <w:r w:rsidR="00540C9A">
        <w:t xml:space="preserve">mechanisms for receivers </w:t>
      </w:r>
      <w:r w:rsidR="00C55CAF">
        <w:t xml:space="preserve">to encourage </w:t>
      </w:r>
      <w:r w:rsidR="00E04EF1">
        <w:t>more efficient use of spectrum</w:t>
      </w:r>
      <w:r w:rsidR="00EB5429">
        <w:t>,</w:t>
      </w:r>
      <w:r w:rsidR="00E04EF1">
        <w:t xml:space="preserve"> as noted in the FYSO. </w:t>
      </w:r>
    </w:p>
    <w:p w14:paraId="4ABDA902" w14:textId="431871EB" w:rsidR="00796000" w:rsidRDefault="00796000" w:rsidP="00796000">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lastRenderedPageBreak/>
        <w:t xml:space="preserve">Question </w:t>
      </w:r>
      <w:r w:rsidR="00EC4293">
        <w:t>4</w:t>
      </w:r>
    </w:p>
    <w:p w14:paraId="69098199" w14:textId="3C2B5637" w:rsidR="00796000" w:rsidRDefault="00796000" w:rsidP="00796000">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Do you have any suggestions on how the ACMA could introduce additional measures to further </w:t>
      </w:r>
      <w:r w:rsidR="00F140CD">
        <w:t xml:space="preserve">the </w:t>
      </w:r>
      <w:r>
        <w:t>pricing of licences for varying levels of interference or examples of mechanisms that you think the ACMA should consider for implementation?</w:t>
      </w:r>
    </w:p>
    <w:p w14:paraId="2CBDC803" w14:textId="1BD70F74" w:rsidR="00796000" w:rsidRDefault="00796000" w:rsidP="00796000">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Question </w:t>
      </w:r>
      <w:r w:rsidR="00EC4293">
        <w:t>5</w:t>
      </w:r>
    </w:p>
    <w:p w14:paraId="07AEF77B" w14:textId="6AA244D3" w:rsidR="00796000" w:rsidRDefault="00796000" w:rsidP="00796000">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Do you have any suggestions on which licence types</w:t>
      </w:r>
      <w:r w:rsidR="002630D8">
        <w:t xml:space="preserve"> and sub-types</w:t>
      </w:r>
      <w:r>
        <w:t xml:space="preserve"> should be considered by the ACMA for implementation of mechanisms that price for varying levels of interference?</w:t>
      </w:r>
    </w:p>
    <w:p w14:paraId="1E295F88" w14:textId="4193B0F0" w:rsidR="004A445C" w:rsidRPr="00E243AA" w:rsidRDefault="004A445C" w:rsidP="004A445C">
      <w:pPr>
        <w:pStyle w:val="Heading2"/>
      </w:pPr>
      <w:bookmarkStart w:id="16" w:name="_Toc130220338"/>
      <w:r>
        <w:t>Low-power and micro-power discounts</w:t>
      </w:r>
      <w:bookmarkEnd w:id="16"/>
    </w:p>
    <w:p w14:paraId="3442B481" w14:textId="16BC98F1" w:rsidR="004A445C" w:rsidRPr="00AF25E4" w:rsidRDefault="004A445C" w:rsidP="004A445C">
      <w:r w:rsidRPr="00AF25E4">
        <w:t xml:space="preserve">Within the assigned licence tax formula used to calculate the tax rate for several apparatus licence types, a power factor is available for certain licence </w:t>
      </w:r>
      <w:r w:rsidR="002630D8">
        <w:t>sub-</w:t>
      </w:r>
      <w:r w:rsidRPr="00AF25E4">
        <w:t>types that allows a reduced tax for low-power and micro-power spectrum accesses, which deny spectrum to other users</w:t>
      </w:r>
      <w:r w:rsidR="00171058">
        <w:t xml:space="preserve"> only</w:t>
      </w:r>
      <w:r w:rsidRPr="00AF25E4">
        <w:t xml:space="preserve"> over a small area.</w:t>
      </w:r>
    </w:p>
    <w:p w14:paraId="7E13995E" w14:textId="24AFEA3C" w:rsidR="004A445C" w:rsidRDefault="004A445C" w:rsidP="004A445C">
      <w:r w:rsidRPr="00AF25E4">
        <w:t>Low-power spectrum accesses permit the operation of one or more devices, each with a radiated power level of 8.3 watts EIRP or less</w:t>
      </w:r>
      <w:r w:rsidR="00EB5429">
        <w:t>,</w:t>
      </w:r>
      <w:r w:rsidRPr="00AF25E4">
        <w:t xml:space="preserve"> and designed for operation within a radius of 2 kilometres. A micro-power factor is eligible for enclosed and short-range land mobile services that permit the operation of one or more devices, each with a radiated power level of 1.7 watts EIRP or less</w:t>
      </w:r>
      <w:r w:rsidR="00EB5429">
        <w:t>,</w:t>
      </w:r>
      <w:r w:rsidRPr="00AF25E4">
        <w:t xml:space="preserve"> and designed for operation within a radius of 200 metres. </w:t>
      </w:r>
    </w:p>
    <w:p w14:paraId="50EFA98D" w14:textId="77777777" w:rsidR="004A445C" w:rsidRDefault="004A445C" w:rsidP="004A445C">
      <w:r w:rsidRPr="00AF25E4">
        <w:t>Low-power spectrum accesses pay one-tenth of the annual tax that would otherwise apply, and micro-power spectrum accesses pay one-twentieth of the annual tax that would otherwise apply, both subject to a minimum tax.</w:t>
      </w:r>
    </w:p>
    <w:p w14:paraId="1548708D" w14:textId="5EE6E06C" w:rsidR="004A445C" w:rsidRDefault="004A445C" w:rsidP="004A445C">
      <w:r>
        <w:t xml:space="preserve">The low-power and micro-power discounts are currently available for certain licence </w:t>
      </w:r>
      <w:r w:rsidR="002630D8">
        <w:t>sub-</w:t>
      </w:r>
      <w:r>
        <w:t>types only</w:t>
      </w:r>
      <w:r w:rsidR="00466B70">
        <w:t xml:space="preserve"> –</w:t>
      </w:r>
      <w:r>
        <w:t xml:space="preserve"> the list of services available for a micro-power discount is a subset of the list of services available for a low-power discount</w:t>
      </w:r>
      <w:r w:rsidR="00466B70">
        <w:t>.</w:t>
      </w:r>
      <w:r>
        <w:t xml:space="preserve"> Further information about </w:t>
      </w:r>
      <w:hyperlink r:id="rId51" w:history="1">
        <w:r w:rsidRPr="00466B70">
          <w:rPr>
            <w:rStyle w:val="Hyperlink"/>
          </w:rPr>
          <w:t>services eligible for a low-power or micro-power discount</w:t>
        </w:r>
        <w:r w:rsidR="00466B70" w:rsidRPr="00466B70">
          <w:rPr>
            <w:rStyle w:val="Hyperlink"/>
          </w:rPr>
          <w:t>s</w:t>
        </w:r>
      </w:hyperlink>
      <w:r>
        <w:t xml:space="preserve"> can be found on the ACMA website.</w:t>
      </w:r>
    </w:p>
    <w:p w14:paraId="17127B09" w14:textId="477A8B52" w:rsidR="004A445C" w:rsidRDefault="00466B70" w:rsidP="004A445C">
      <w:r>
        <w:t xml:space="preserve">We </w:t>
      </w:r>
      <w:r w:rsidR="004A445C">
        <w:t>view reforms relating to the power discount factors as fitting within the broader work</w:t>
      </w:r>
      <w:r w:rsidR="00B90080">
        <w:t xml:space="preserve"> around pricing for varying levels of interference</w:t>
      </w:r>
      <w:r>
        <w:t>,</w:t>
      </w:r>
      <w:r w:rsidR="004A445C">
        <w:t xml:space="preserve"> as they provide a price incentive for licensees to minimise their potential interference. This is an example of pricing for varying levels of interference, as licensees </w:t>
      </w:r>
      <w:r>
        <w:t xml:space="preserve">with </w:t>
      </w:r>
      <w:r w:rsidR="004A445C">
        <w:t xml:space="preserve">uses </w:t>
      </w:r>
      <w:r>
        <w:t xml:space="preserve">that have </w:t>
      </w:r>
      <w:r w:rsidR="004A445C">
        <w:t xml:space="preserve">a higher level of potential interference are charged a higher fee – the full tax amount according to the formula, and licensees </w:t>
      </w:r>
      <w:r>
        <w:t xml:space="preserve">with </w:t>
      </w:r>
      <w:r w:rsidR="004A445C">
        <w:t>uses with a lower level of potential interference are charged a lower fee – a discounted rate after accounting for power discount factors.</w:t>
      </w:r>
    </w:p>
    <w:p w14:paraId="3B06C962" w14:textId="433F95E4" w:rsidR="004A445C" w:rsidRDefault="00466B70" w:rsidP="004A445C">
      <w:r>
        <w:t>We are</w:t>
      </w:r>
      <w:r w:rsidR="004A445C">
        <w:t xml:space="preserve"> interested in stakeholders’ views on the potential extension of the low-power and micro-power discounts to additional services. </w:t>
      </w:r>
      <w:r w:rsidR="00DC7A6C">
        <w:t xml:space="preserve">Currently, low-power and micro-power discounts </w:t>
      </w:r>
      <w:r w:rsidR="00DC7A6C" w:rsidRPr="00167C95">
        <w:t xml:space="preserve">are only available to select licence </w:t>
      </w:r>
      <w:r w:rsidR="00DC7A6C">
        <w:t>sub-</w:t>
      </w:r>
      <w:r w:rsidR="00DC7A6C" w:rsidRPr="00167C95">
        <w:t>types</w:t>
      </w:r>
      <w:r w:rsidR="00DC7A6C">
        <w:t xml:space="preserve"> and </w:t>
      </w:r>
      <w:r w:rsidR="00DC7A6C" w:rsidRPr="00167C95">
        <w:t xml:space="preserve">particular frequency ranges. </w:t>
      </w:r>
      <w:r w:rsidR="004A445C">
        <w:t xml:space="preserve">For example, the low-power discount is currently available for point-to-multipoint licences below 960 MHz and the micro-power discount is not available for point-to-multipoint licences at all. Specifically, </w:t>
      </w:r>
      <w:r w:rsidR="00E21DE0">
        <w:t xml:space="preserve">views are sought as to </w:t>
      </w:r>
      <w:r w:rsidR="004A445C">
        <w:t>which licence types</w:t>
      </w:r>
      <w:r w:rsidR="002C657E">
        <w:t xml:space="preserve"> and sub-types</w:t>
      </w:r>
      <w:r w:rsidR="004A445C">
        <w:t xml:space="preserve"> may benefit from the introduction of power discounts to encourage efficient spectrum use</w:t>
      </w:r>
      <w:r>
        <w:t>,</w:t>
      </w:r>
      <w:r w:rsidR="004A445C">
        <w:t xml:space="preserve"> and whether the current</w:t>
      </w:r>
      <w:r w:rsidR="002C657E">
        <w:t xml:space="preserve"> </w:t>
      </w:r>
      <w:r w:rsidR="004A445C">
        <w:t>definitions of low-power and micro-power discounts would be applicable for these suggested licence types</w:t>
      </w:r>
      <w:r w:rsidR="002C657E">
        <w:t xml:space="preserve"> and sub-types.</w:t>
      </w:r>
    </w:p>
    <w:p w14:paraId="49DA55C1" w14:textId="247888C5" w:rsidR="00796000" w:rsidRDefault="00796000" w:rsidP="00796000">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Del="00AC657C">
        <w:t xml:space="preserve">Question </w:t>
      </w:r>
      <w:r w:rsidR="00EC4293">
        <w:t>6</w:t>
      </w:r>
    </w:p>
    <w:p w14:paraId="5818B63D" w14:textId="77777777" w:rsidR="004A445C" w:rsidRPr="00C02F26" w:rsidRDefault="004A445C" w:rsidP="004A445C">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Do you have any comments on the potential extension of the low-power and micro-power discounts to additional services?</w:t>
      </w:r>
    </w:p>
    <w:p w14:paraId="390828ED" w14:textId="59834286" w:rsidR="00DB7BE9" w:rsidRDefault="005F3A8B" w:rsidP="001B0689">
      <w:pPr>
        <w:pStyle w:val="Heading2"/>
      </w:pPr>
      <w:bookmarkStart w:id="17" w:name="_Toc130220339"/>
      <w:r>
        <w:lastRenderedPageBreak/>
        <w:t>Interference protection pricing</w:t>
      </w:r>
      <w:bookmarkEnd w:id="17"/>
      <w:r w:rsidR="00D368F0">
        <w:t xml:space="preserve"> </w:t>
      </w:r>
    </w:p>
    <w:p w14:paraId="042A2362" w14:textId="02566FFE" w:rsidR="00D33F8F" w:rsidRDefault="00933F84" w:rsidP="005F3A8B">
      <w:pPr>
        <w:pStyle w:val="Paragraph"/>
      </w:pPr>
      <w:r>
        <w:t xml:space="preserve">The pricing structure for </w:t>
      </w:r>
      <w:r w:rsidR="00A35170">
        <w:t xml:space="preserve">apparatus licences is </w:t>
      </w:r>
      <w:r w:rsidR="00E36BF9">
        <w:t xml:space="preserve">currently underpinned by a guiding </w:t>
      </w:r>
      <w:r w:rsidR="00B16E42">
        <w:t xml:space="preserve">framework of </w:t>
      </w:r>
      <w:r w:rsidR="005D2367">
        <w:t xml:space="preserve">pricing for varying levels of </w:t>
      </w:r>
      <w:r w:rsidR="00AD0BD4">
        <w:t xml:space="preserve">interference and demand. </w:t>
      </w:r>
      <w:r w:rsidR="00AC3FBD">
        <w:t xml:space="preserve">For example, </w:t>
      </w:r>
      <w:r w:rsidR="00EB79ED">
        <w:t xml:space="preserve">the low-power and micro-power discounts </w:t>
      </w:r>
      <w:r w:rsidR="00D5464F">
        <w:t xml:space="preserve">currently available </w:t>
      </w:r>
      <w:r w:rsidR="0021063C">
        <w:t xml:space="preserve">provide a price incentive </w:t>
      </w:r>
      <w:r w:rsidR="00F07D9F">
        <w:t xml:space="preserve">to minimise </w:t>
      </w:r>
      <w:r w:rsidR="009945A0">
        <w:t xml:space="preserve">the </w:t>
      </w:r>
      <w:r w:rsidR="0094114B">
        <w:t xml:space="preserve">power </w:t>
      </w:r>
      <w:r w:rsidR="009C2E25">
        <w:t>emitted and radius of operation f</w:t>
      </w:r>
      <w:r w:rsidR="000E6341">
        <w:t>rom authorised transmitt</w:t>
      </w:r>
      <w:r w:rsidR="009C2E25">
        <w:t>ers.</w:t>
      </w:r>
      <w:r w:rsidR="007749B4">
        <w:t xml:space="preserve"> </w:t>
      </w:r>
      <w:r w:rsidR="00D33F8F">
        <w:t xml:space="preserve">However, </w:t>
      </w:r>
      <w:r w:rsidR="008322B3">
        <w:t xml:space="preserve">fewer mechanisms exist </w:t>
      </w:r>
      <w:r w:rsidR="0038189C">
        <w:t>within the pric</w:t>
      </w:r>
      <w:r w:rsidR="00F05F13">
        <w:t>ing structure for apparatus licence</w:t>
      </w:r>
      <w:r w:rsidR="0003211C">
        <w:t>s that relate to receivers</w:t>
      </w:r>
      <w:r w:rsidR="008F67FD">
        <w:t xml:space="preserve">. </w:t>
      </w:r>
      <w:r w:rsidR="00D128BC">
        <w:t xml:space="preserve">As flagged in </w:t>
      </w:r>
      <w:r w:rsidR="00466B70">
        <w:t xml:space="preserve">our </w:t>
      </w:r>
      <w:r w:rsidR="00CB3252">
        <w:t xml:space="preserve">FYSO and </w:t>
      </w:r>
      <w:r w:rsidR="00466B70">
        <w:t>o</w:t>
      </w:r>
      <w:r w:rsidR="00D87C3B">
        <w:t xml:space="preserve">utcomes </w:t>
      </w:r>
      <w:r w:rsidR="00466B70">
        <w:t>p</w:t>
      </w:r>
      <w:r w:rsidR="00D87C3B">
        <w:t xml:space="preserve">aper </w:t>
      </w:r>
      <w:r w:rsidR="002E106B">
        <w:t>to the implementation of the Spectrum Pricing Review</w:t>
      </w:r>
      <w:r w:rsidR="00B71795">
        <w:t xml:space="preserve">, there is interest in </w:t>
      </w:r>
      <w:r w:rsidR="0047061C">
        <w:t xml:space="preserve">exploring the </w:t>
      </w:r>
      <w:r w:rsidR="0002145A">
        <w:t>idea of pricing for varying levels of interference</w:t>
      </w:r>
      <w:r w:rsidR="00A152D1">
        <w:t>, for both transmitters and receivers,</w:t>
      </w:r>
      <w:r w:rsidR="0002145A">
        <w:t xml:space="preserve"> </w:t>
      </w:r>
      <w:r w:rsidR="00D300DD">
        <w:t xml:space="preserve">at a more granular level </w:t>
      </w:r>
      <w:r w:rsidR="00656902">
        <w:t>and for more services.</w:t>
      </w:r>
    </w:p>
    <w:p w14:paraId="3A12678A" w14:textId="77777777" w:rsidR="0050185B" w:rsidRDefault="001A6386" w:rsidP="005F3A8B">
      <w:pPr>
        <w:pStyle w:val="Paragraph"/>
      </w:pPr>
      <w:r>
        <w:t xml:space="preserve">An example of a </w:t>
      </w:r>
      <w:r w:rsidR="00272B4E">
        <w:t>mechanism that relates to receivers is inter</w:t>
      </w:r>
      <w:r w:rsidR="008427C4">
        <w:t xml:space="preserve">ference protection pricing. </w:t>
      </w:r>
      <w:r w:rsidR="00B46118">
        <w:t xml:space="preserve">The concept recognises the fact that </w:t>
      </w:r>
      <w:r w:rsidR="002A491D">
        <w:t xml:space="preserve">the spectrum denial </w:t>
      </w:r>
      <w:r w:rsidR="00C06DDF">
        <w:t xml:space="preserve">caused by a receiver </w:t>
      </w:r>
      <w:r w:rsidR="00E63C28">
        <w:t xml:space="preserve">is strongly </w:t>
      </w:r>
      <w:r w:rsidR="009F213F">
        <w:t xml:space="preserve">influenced by the </w:t>
      </w:r>
      <w:r w:rsidR="00A1089F">
        <w:t xml:space="preserve">type of interference protection </w:t>
      </w:r>
      <w:r w:rsidR="00655A4D">
        <w:t xml:space="preserve">provided – the </w:t>
      </w:r>
      <w:r w:rsidR="00CD02E2">
        <w:t xml:space="preserve">more stringent the protection, </w:t>
      </w:r>
      <w:r w:rsidR="004549BC">
        <w:t>the greater the spectrum denial.</w:t>
      </w:r>
      <w:r w:rsidR="00C07A80">
        <w:t xml:space="preserve"> </w:t>
      </w:r>
      <w:r w:rsidR="00BA1463">
        <w:t xml:space="preserve">A pricing incentive </w:t>
      </w:r>
      <w:r w:rsidR="00F8447F">
        <w:t xml:space="preserve">for licensees </w:t>
      </w:r>
      <w:r w:rsidR="00BA1463">
        <w:t xml:space="preserve">to </w:t>
      </w:r>
      <w:r w:rsidR="00F8447F">
        <w:t xml:space="preserve">obtain </w:t>
      </w:r>
      <w:r w:rsidR="00AD1AC6">
        <w:t>only the type of protection t</w:t>
      </w:r>
      <w:r w:rsidR="0036511B">
        <w:t>hey need has the potential to</w:t>
      </w:r>
      <w:r w:rsidR="00294AD2">
        <w:t xml:space="preserve"> support more efficient use of spectrum.</w:t>
      </w:r>
      <w:r w:rsidR="00CD31DD">
        <w:t xml:space="preserve"> </w:t>
      </w:r>
    </w:p>
    <w:p w14:paraId="54FA4D18" w14:textId="3E5B2772" w:rsidR="00945C5A" w:rsidRDefault="00D56F65" w:rsidP="005F3A8B">
      <w:pPr>
        <w:pStyle w:val="Paragraph"/>
      </w:pPr>
      <w:r>
        <w:t xml:space="preserve">An example of a </w:t>
      </w:r>
      <w:r w:rsidR="00E21DE0">
        <w:t>case</w:t>
      </w:r>
      <w:r>
        <w:t xml:space="preserve"> that could benefit from </w:t>
      </w:r>
      <w:r w:rsidR="009E3F37">
        <w:t xml:space="preserve">the introduction of interference </w:t>
      </w:r>
      <w:r w:rsidR="00DD4C08">
        <w:t xml:space="preserve">protection pricing </w:t>
      </w:r>
      <w:r w:rsidR="005B297C">
        <w:t xml:space="preserve">structures is satellite </w:t>
      </w:r>
      <w:r w:rsidR="006227A9">
        <w:t xml:space="preserve">earth receive stations in </w:t>
      </w:r>
      <w:r w:rsidR="006328BE">
        <w:t xml:space="preserve">bands shared with terrestrial services. </w:t>
      </w:r>
      <w:r w:rsidR="00BF13C3">
        <w:t xml:space="preserve">The greater the </w:t>
      </w:r>
      <w:r w:rsidR="00AF44F5">
        <w:t xml:space="preserve">protection provided to the earth station, </w:t>
      </w:r>
      <w:r w:rsidR="00CE2112">
        <w:t xml:space="preserve">the larger the area </w:t>
      </w:r>
      <w:r w:rsidR="00D45040">
        <w:t xml:space="preserve">denied to terrestrial users. </w:t>
      </w:r>
      <w:r w:rsidR="00955E2E">
        <w:t xml:space="preserve">Some earth station applications </w:t>
      </w:r>
      <w:r w:rsidR="00887D98">
        <w:t xml:space="preserve">may require greater </w:t>
      </w:r>
      <w:r w:rsidR="001766BB">
        <w:t xml:space="preserve">protection while </w:t>
      </w:r>
      <w:r w:rsidR="007F0F9D">
        <w:t xml:space="preserve">others may be satisfied with </w:t>
      </w:r>
      <w:r w:rsidR="00A4469F">
        <w:t xml:space="preserve">lower levels of protection at a </w:t>
      </w:r>
      <w:r w:rsidR="004E2AA1">
        <w:t>reduced price.</w:t>
      </w:r>
    </w:p>
    <w:p w14:paraId="02A05B3E" w14:textId="42932CDA" w:rsidR="00957358" w:rsidRDefault="00957358" w:rsidP="005F3A8B">
      <w:pPr>
        <w:pStyle w:val="Paragraph"/>
      </w:pPr>
      <w:r w:rsidRPr="00D04D53">
        <w:t xml:space="preserve">Another example </w:t>
      </w:r>
      <w:r w:rsidR="00456614" w:rsidRPr="00D04D53">
        <w:t xml:space="preserve">that may be relevant to interference protection pricing is fixed point-to-point </w:t>
      </w:r>
      <w:r w:rsidR="0084574B" w:rsidRPr="00D04D53">
        <w:t>links</w:t>
      </w:r>
      <w:r w:rsidR="00F4430C" w:rsidRPr="00D04D53">
        <w:t>. The</w:t>
      </w:r>
      <w:r w:rsidR="00C73971" w:rsidRPr="00D04D53">
        <w:t xml:space="preserve"> assigned licence fee formula within the apparatus licensing framework currently applies a</w:t>
      </w:r>
      <w:r w:rsidR="00C16361" w:rsidRPr="00D04D53">
        <w:t xml:space="preserve"> significant adjustment factor for </w:t>
      </w:r>
      <w:r w:rsidR="00FF50EC" w:rsidRPr="00D04D53">
        <w:t xml:space="preserve">fixed point-to-point </w:t>
      </w:r>
      <w:r w:rsidR="00C16361" w:rsidRPr="00D04D53">
        <w:t>services below 960 MHz</w:t>
      </w:r>
      <w:r w:rsidR="00E21DE0">
        <w:t>:</w:t>
      </w:r>
      <w:r w:rsidR="00FF50EC" w:rsidRPr="00D04D53">
        <w:t xml:space="preserve"> </w:t>
      </w:r>
      <w:r w:rsidR="00C16361" w:rsidRPr="00D04D53">
        <w:t xml:space="preserve">11.737205 for remote density and 18.484115 for all other areas except remote density. </w:t>
      </w:r>
      <w:r w:rsidR="00067B72" w:rsidRPr="00D04D53">
        <w:t xml:space="preserve">These adjustment factors are multiplied by </w:t>
      </w:r>
      <w:r w:rsidR="00FF50EC" w:rsidRPr="00D04D53">
        <w:t xml:space="preserve">other factors within the formula to give the final dollar figure for the licence. It may be the case that some licensees </w:t>
      </w:r>
      <w:r w:rsidR="00EE0AAD" w:rsidRPr="00D04D53">
        <w:t>may opt for a lower level of protection fo</w:t>
      </w:r>
      <w:r w:rsidR="00EB20C8" w:rsidRPr="00D04D53">
        <w:t xml:space="preserve">r some of their fixed point-to-point services </w:t>
      </w:r>
      <w:r w:rsidR="00832AE0" w:rsidRPr="00D04D53">
        <w:t xml:space="preserve">at a reduced price if it were </w:t>
      </w:r>
      <w:r w:rsidR="0045046C" w:rsidRPr="00D04D53">
        <w:t>to be made available.</w:t>
      </w:r>
    </w:p>
    <w:p w14:paraId="6AA8B156" w14:textId="49D6B3D4" w:rsidR="000D27E2" w:rsidRDefault="00152689" w:rsidP="000D27E2">
      <w:pPr>
        <w:pStyle w:val="Paragraph"/>
      </w:pPr>
      <w:r>
        <w:t xml:space="preserve">As with broader issues of </w:t>
      </w:r>
      <w:r w:rsidR="00BB79D8">
        <w:t xml:space="preserve">pricing for varying levels of interference, it </w:t>
      </w:r>
      <w:r w:rsidR="00594673">
        <w:t xml:space="preserve">is anticipated that </w:t>
      </w:r>
      <w:r w:rsidR="00466B70">
        <w:t xml:space="preserve">the </w:t>
      </w:r>
      <w:r w:rsidR="00594673">
        <w:t>reforms proposed w</w:t>
      </w:r>
      <w:r w:rsidR="00F9574E">
        <w:t>ould</w:t>
      </w:r>
      <w:r w:rsidR="00594673">
        <w:t xml:space="preserve"> likely need to be tailored to specific applications, frequencies, and licence sub-types</w:t>
      </w:r>
      <w:r w:rsidR="00466B70">
        <w:t>,</w:t>
      </w:r>
      <w:r w:rsidR="00594673">
        <w:t xml:space="preserve"> in line with the potential interference of the underlying technology and use</w:t>
      </w:r>
      <w:r w:rsidR="00466B70">
        <w:t>-</w:t>
      </w:r>
      <w:r w:rsidR="00594673">
        <w:t xml:space="preserve">case. As such, </w:t>
      </w:r>
      <w:r w:rsidR="00466B70">
        <w:t xml:space="preserve">we are </w:t>
      </w:r>
      <w:r w:rsidR="00594673">
        <w:t xml:space="preserve">interested in seeking feedback from stakeholders </w:t>
      </w:r>
      <w:r w:rsidR="00466B70">
        <w:t xml:space="preserve">about </w:t>
      </w:r>
      <w:r w:rsidR="00594673">
        <w:t>which licence types</w:t>
      </w:r>
      <w:r w:rsidR="00D126FC">
        <w:t xml:space="preserve"> and sub-types</w:t>
      </w:r>
      <w:r w:rsidR="00594673">
        <w:t xml:space="preserve"> might be suitable for </w:t>
      </w:r>
      <w:r w:rsidR="00D6270C">
        <w:t>interference protection pricing</w:t>
      </w:r>
      <w:r w:rsidR="00595742">
        <w:t xml:space="preserve"> and</w:t>
      </w:r>
      <w:r w:rsidR="00CD07F2">
        <w:t xml:space="preserve"> </w:t>
      </w:r>
      <w:r w:rsidR="00C5333B">
        <w:t xml:space="preserve">how </w:t>
      </w:r>
      <w:r w:rsidR="001402AA">
        <w:t>the ACMA should approach its consideration of the issue.</w:t>
      </w:r>
    </w:p>
    <w:p w14:paraId="70E3A3DC" w14:textId="3F23A6D0" w:rsidR="00796000" w:rsidRDefault="00796000" w:rsidP="00796000">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Del="00AC657C">
        <w:t xml:space="preserve">Question </w:t>
      </w:r>
      <w:r w:rsidR="00EC4293">
        <w:t>7</w:t>
      </w:r>
    </w:p>
    <w:p w14:paraId="68122635" w14:textId="77777777" w:rsidR="00796000" w:rsidRDefault="00796000" w:rsidP="00796000">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Do you have any suggestions on how and where the ACMA could introduce interference protection pricing mechanisms to the apparatus licencing framework?</w:t>
      </w:r>
    </w:p>
    <w:p w14:paraId="3A01B9D0" w14:textId="7B69F240" w:rsidR="00616191" w:rsidRPr="009D55E7" w:rsidRDefault="00616191" w:rsidP="00616191">
      <w:pPr>
        <w:pStyle w:val="Heading1"/>
      </w:pPr>
      <w:bookmarkStart w:id="18" w:name="_Toc130220340"/>
      <w:r>
        <w:lastRenderedPageBreak/>
        <w:t>Work program</w:t>
      </w:r>
      <w:bookmarkEnd w:id="18"/>
    </w:p>
    <w:p w14:paraId="6F4244BD" w14:textId="113A1D36" w:rsidR="00616191" w:rsidRDefault="00697BBB" w:rsidP="00616191">
      <w:pPr>
        <w:pStyle w:val="Heading2"/>
      </w:pPr>
      <w:bookmarkStart w:id="19" w:name="_Toc130220341"/>
      <w:r>
        <w:t>Next steps</w:t>
      </w:r>
      <w:bookmarkEnd w:id="19"/>
    </w:p>
    <w:p w14:paraId="77D74294" w14:textId="7C1CF0A5" w:rsidR="003920A9" w:rsidRDefault="00FB6229" w:rsidP="00616191">
      <w:pPr>
        <w:pStyle w:val="Paragraph"/>
      </w:pPr>
      <w:r>
        <w:t xml:space="preserve">For </w:t>
      </w:r>
      <w:r w:rsidR="000F2DFF">
        <w:t>the proposed move to update</w:t>
      </w:r>
      <w:r w:rsidR="003920A9">
        <w:t xml:space="preserve"> apparatus licence tax rates </w:t>
      </w:r>
      <w:r w:rsidR="000F2DFF">
        <w:t>by reference to</w:t>
      </w:r>
      <w:r w:rsidR="003920A9">
        <w:t xml:space="preserve"> population, </w:t>
      </w:r>
      <w:r>
        <w:t xml:space="preserve">we </w:t>
      </w:r>
      <w:r w:rsidR="003920A9">
        <w:t xml:space="preserve">anticipate that </w:t>
      </w:r>
      <w:r>
        <w:t xml:space="preserve">we </w:t>
      </w:r>
      <w:r w:rsidR="003920A9">
        <w:t xml:space="preserve">will use the next release from the ABS as the basis for the next update, subject to submissions received to the proposal. </w:t>
      </w:r>
    </w:p>
    <w:p w14:paraId="2A7320A6" w14:textId="31F733E0" w:rsidR="003920A9" w:rsidRDefault="003920A9" w:rsidP="003920A9">
      <w:pPr>
        <w:pStyle w:val="Paragraph"/>
        <w:rPr>
          <w:szCs w:val="20"/>
        </w:rPr>
      </w:pPr>
      <w:r>
        <w:t xml:space="preserve">The </w:t>
      </w:r>
      <w:r w:rsidR="00E6230A">
        <w:t xml:space="preserve">ABS </w:t>
      </w:r>
      <w:r w:rsidR="00C310B7">
        <w:t>r</w:t>
      </w:r>
      <w:r>
        <w:t>elease is tentatively scheduled for 20 April 2023</w:t>
      </w:r>
      <w:r w:rsidR="00FB6229">
        <w:t>. As we</w:t>
      </w:r>
      <w:r>
        <w:t xml:space="preserve"> will need to calculate how the changes will affect apparatus licence tax rates for each division before releasing a consultation </w:t>
      </w:r>
      <w:r w:rsidR="000F2DFF">
        <w:t xml:space="preserve">paper </w:t>
      </w:r>
      <w:r>
        <w:t>with the specific new tax rates proposed</w:t>
      </w:r>
      <w:r w:rsidR="00FB6229">
        <w:t>, we</w:t>
      </w:r>
      <w:r>
        <w:t xml:space="preserve"> anticipate releas</w:t>
      </w:r>
      <w:r w:rsidR="00FB6229">
        <w:t>ing</w:t>
      </w:r>
      <w:r>
        <w:t xml:space="preserve"> a consultation paper on the update in the second half of 2023.</w:t>
      </w:r>
    </w:p>
    <w:p w14:paraId="10E8A851" w14:textId="1F0B9129" w:rsidR="003920A9" w:rsidRDefault="0050170C" w:rsidP="008C1703">
      <w:pPr>
        <w:pStyle w:val="Paragraph"/>
      </w:pPr>
      <w:r w:rsidRPr="00A17758">
        <w:t>Subject to the feedba</w:t>
      </w:r>
      <w:r w:rsidR="005C54BD" w:rsidRPr="00A17758">
        <w:t>ck provided</w:t>
      </w:r>
      <w:r w:rsidR="00A149F4" w:rsidRPr="00A17758">
        <w:t xml:space="preserve">, </w:t>
      </w:r>
      <w:r w:rsidR="00FB6229">
        <w:t xml:space="preserve">we will consider </w:t>
      </w:r>
      <w:r w:rsidR="003334F4" w:rsidRPr="00A17758">
        <w:t>amendments to the Determination</w:t>
      </w:r>
      <w:r w:rsidR="00117203" w:rsidRPr="00A17758">
        <w:t xml:space="preserve"> relating to the amount</w:t>
      </w:r>
      <w:r w:rsidR="008363CF" w:rsidRPr="00A17758">
        <w:t xml:space="preserve"> of annual tax</w:t>
      </w:r>
      <w:r w:rsidR="006548FF" w:rsidRPr="00A17758">
        <w:t xml:space="preserve"> </w:t>
      </w:r>
      <w:r w:rsidR="008363CF" w:rsidRPr="00A17758">
        <w:t>for</w:t>
      </w:r>
      <w:r w:rsidR="003920A9" w:rsidRPr="00A17758">
        <w:t xml:space="preserve"> </w:t>
      </w:r>
      <w:r w:rsidR="00FB6229">
        <w:t>TOBN</w:t>
      </w:r>
      <w:r w:rsidR="003920A9" w:rsidRPr="00A17758">
        <w:t xml:space="preserve"> licence</w:t>
      </w:r>
      <w:r w:rsidR="006548FF" w:rsidRPr="00A17758">
        <w:t>s</w:t>
      </w:r>
      <w:r w:rsidR="003920A9" w:rsidRPr="00A17758">
        <w:t xml:space="preserve">. </w:t>
      </w:r>
      <w:r w:rsidR="00FB6229">
        <w:t>We</w:t>
      </w:r>
      <w:r w:rsidR="00BF20A6">
        <w:t xml:space="preserve"> </w:t>
      </w:r>
      <w:r w:rsidR="00984C25">
        <w:t xml:space="preserve">anticipate that </w:t>
      </w:r>
      <w:r w:rsidR="007A1C9E">
        <w:t xml:space="preserve">changes could be implemented </w:t>
      </w:r>
      <w:r w:rsidR="00E01C76">
        <w:t>in</w:t>
      </w:r>
      <w:r w:rsidR="007A1C9E">
        <w:t xml:space="preserve"> </w:t>
      </w:r>
      <w:r w:rsidR="008A714E">
        <w:t>Q</w:t>
      </w:r>
      <w:r w:rsidR="008D03A3">
        <w:t>2/</w:t>
      </w:r>
      <w:r w:rsidR="007A1C9E">
        <w:t>Q3 2023.</w:t>
      </w:r>
    </w:p>
    <w:p w14:paraId="36BC9F3C" w14:textId="509B8E1A" w:rsidR="00087F98" w:rsidRDefault="00FB6229" w:rsidP="00087F98">
      <w:pPr>
        <w:pStyle w:val="Paragraph"/>
      </w:pPr>
      <w:r>
        <w:t>R</w:t>
      </w:r>
      <w:r w:rsidR="00F47ECF">
        <w:t xml:space="preserve">eform relating to pricing for varying levels of interference </w:t>
      </w:r>
      <w:r>
        <w:t>will</w:t>
      </w:r>
      <w:r w:rsidR="00087F98">
        <w:t xml:space="preserve"> inform an ongoing body of work</w:t>
      </w:r>
      <w:r w:rsidR="00A13F21">
        <w:t xml:space="preserve"> relating to relevant planning, licensing and pricing arrangements</w:t>
      </w:r>
      <w:r w:rsidR="00087F98">
        <w:t xml:space="preserve">. As such, submissions received to the consultation on matters of </w:t>
      </w:r>
      <w:r w:rsidR="000D56B8">
        <w:t xml:space="preserve">pricing for varying levels of </w:t>
      </w:r>
      <w:r w:rsidR="00087F98">
        <w:t>interference will be reviewed and inform the release of a further consultation paper later this year progressing the issue.</w:t>
      </w:r>
    </w:p>
    <w:p w14:paraId="2A546D83" w14:textId="01293B91" w:rsidR="00AF7E14" w:rsidRDefault="00FB6229" w:rsidP="00087F98">
      <w:pPr>
        <w:pStyle w:val="Paragraph"/>
      </w:pPr>
      <w:r>
        <w:t>We are</w:t>
      </w:r>
      <w:r w:rsidR="00087F98">
        <w:t xml:space="preserve"> open to </w:t>
      </w:r>
      <w:r w:rsidR="00083708">
        <w:t xml:space="preserve">all </w:t>
      </w:r>
      <w:r w:rsidR="00087F98">
        <w:t xml:space="preserve">submissions about how </w:t>
      </w:r>
      <w:r>
        <w:t xml:space="preserve">our </w:t>
      </w:r>
      <w:r w:rsidR="00087F98">
        <w:t>apparatus licence tax regime can be further refined or improved. Suggestions or comments on encouraging spectrally efficient technology deployments</w:t>
      </w:r>
      <w:r>
        <w:t>,</w:t>
      </w:r>
      <w:r w:rsidR="00087F98">
        <w:t xml:space="preserve"> and any other aspect of the apparat</w:t>
      </w:r>
      <w:r w:rsidR="000D56B8">
        <w:t>us</w:t>
      </w:r>
      <w:r w:rsidR="00087F98">
        <w:t xml:space="preserve"> licence tax regime</w:t>
      </w:r>
      <w:r>
        <w:t>,</w:t>
      </w:r>
      <w:r w:rsidR="00087F98">
        <w:t xml:space="preserve"> are welcome.</w:t>
      </w:r>
      <w:r w:rsidR="00BC073E">
        <w:t xml:space="preserve"> </w:t>
      </w:r>
    </w:p>
    <w:p w14:paraId="5984A3E8" w14:textId="55C34AB5" w:rsidR="00FC520A" w:rsidRPr="00395023" w:rsidRDefault="00FC520A" w:rsidP="00FC520A">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351DC7">
        <w:t xml:space="preserve">Question </w:t>
      </w:r>
      <w:r w:rsidR="00EC4293">
        <w:t>8</w:t>
      </w:r>
    </w:p>
    <w:p w14:paraId="5090DC8A" w14:textId="77777777" w:rsidR="00FC520A" w:rsidRDefault="00FC520A" w:rsidP="00FC520A">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Do you have suggestions for any additional pricing measures the ACMA could consider to encourage spectrally efficient technology deployments?</w:t>
      </w:r>
    </w:p>
    <w:p w14:paraId="60696B21" w14:textId="4015F718" w:rsidR="00FC520A" w:rsidRPr="00235D23" w:rsidRDefault="00FC520A" w:rsidP="00FC520A">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235D23">
        <w:t xml:space="preserve">Question </w:t>
      </w:r>
      <w:r w:rsidR="00EC4293">
        <w:t>9</w:t>
      </w:r>
    </w:p>
    <w:p w14:paraId="5213E847" w14:textId="58190865" w:rsidR="00FC520A" w:rsidRDefault="00FC520A" w:rsidP="00FC520A">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Are there any other comments that you would like </w:t>
      </w:r>
      <w:r w:rsidR="002B64C5">
        <w:t>to give</w:t>
      </w:r>
      <w:r>
        <w:t xml:space="preserve"> relating to the proposals in this paper or other aspects of the apparatus licence tax regime?</w:t>
      </w:r>
    </w:p>
    <w:p w14:paraId="22CCB231" w14:textId="668C2D48" w:rsidR="00616191" w:rsidRDefault="00C73E26">
      <w:pPr>
        <w:spacing w:after="0" w:line="240" w:lineRule="auto"/>
      </w:pPr>
      <w:r>
        <w:br w:type="page"/>
      </w:r>
    </w:p>
    <w:p w14:paraId="0C37924D" w14:textId="77777777" w:rsidR="00C73E26" w:rsidRDefault="00C73E26" w:rsidP="00C73E26">
      <w:pPr>
        <w:pStyle w:val="Heading1"/>
      </w:pPr>
      <w:bookmarkStart w:id="20" w:name="_Toc130220342"/>
      <w:r>
        <w:lastRenderedPageBreak/>
        <w:t>Invitation to comment</w:t>
      </w:r>
      <w:bookmarkEnd w:id="20"/>
    </w:p>
    <w:p w14:paraId="4AF43D55" w14:textId="2CEA5DE1" w:rsidR="00C73E26" w:rsidRDefault="00C73E26" w:rsidP="00C73E26">
      <w:pPr>
        <w:pStyle w:val="Heading2"/>
      </w:pPr>
      <w:bookmarkStart w:id="21" w:name="_Toc130220343"/>
      <w:r>
        <w:t>Making a submission</w:t>
      </w:r>
      <w:bookmarkEnd w:id="21"/>
    </w:p>
    <w:p w14:paraId="16E1C9E9" w14:textId="77777777" w:rsidR="00C73E26" w:rsidRDefault="00C73E26" w:rsidP="00C73E26">
      <w:r>
        <w:t xml:space="preserve">We invite comments on the issues set out in this consultation paper. </w:t>
      </w:r>
    </w:p>
    <w:p w14:paraId="6F0BB5ED" w14:textId="77777777" w:rsidR="00C73E26" w:rsidRDefault="006A0CCE" w:rsidP="00C73E26">
      <w:pPr>
        <w:pStyle w:val="Bulletlevel1"/>
      </w:pPr>
      <w:hyperlink r:id="rId52" w:history="1">
        <w:r w:rsidR="00C73E26">
          <w:rPr>
            <w:rStyle w:val="Hyperlink"/>
          </w:rPr>
          <w:t>Online submissions</w:t>
        </w:r>
      </w:hyperlink>
      <w:r w:rsidR="00C73E26">
        <w:t xml:space="preserve"> can be made by </w:t>
      </w:r>
      <w:r w:rsidR="00C73E26" w:rsidRPr="0070133D">
        <w:t>uploading</w:t>
      </w:r>
      <w:r w:rsidR="00C73E26">
        <w:t xml:space="preserve"> a document. Submissions in PDF, Microsoft Word or Rich Text Format are preferred.</w:t>
      </w:r>
    </w:p>
    <w:p w14:paraId="2F4F2D79" w14:textId="77777777" w:rsidR="00C73E26" w:rsidRDefault="00C73E26" w:rsidP="00C73E26">
      <w:pPr>
        <w:pStyle w:val="Bulletlevel1"/>
      </w:pPr>
      <w:r>
        <w:t xml:space="preserve">Submissions by post can be sent to: </w:t>
      </w:r>
    </w:p>
    <w:p w14:paraId="0B9055D9" w14:textId="77777777" w:rsidR="00C73E26" w:rsidRDefault="00C73E26" w:rsidP="00C73E26">
      <w:pPr>
        <w:tabs>
          <w:tab w:val="num" w:pos="295"/>
        </w:tabs>
        <w:spacing w:after="0"/>
        <w:ind w:left="295"/>
      </w:pPr>
      <w:r w:rsidRPr="77B20063">
        <w:t>The Manager</w:t>
      </w:r>
    </w:p>
    <w:p w14:paraId="3B3A25F9" w14:textId="77777777" w:rsidR="00C73E26" w:rsidRDefault="00C73E26" w:rsidP="00C73E26">
      <w:pPr>
        <w:spacing w:after="0"/>
        <w:ind w:left="295"/>
      </w:pPr>
      <w:r w:rsidRPr="77B20063">
        <w:t>Economics Advisory</w:t>
      </w:r>
    </w:p>
    <w:p w14:paraId="40CF8784" w14:textId="77777777" w:rsidR="00C73E26" w:rsidRDefault="00C73E26" w:rsidP="00C73E26">
      <w:pPr>
        <w:spacing w:after="0"/>
        <w:ind w:left="295"/>
      </w:pPr>
      <w:r w:rsidRPr="77B20063">
        <w:t>Australian Communications and Media Authority</w:t>
      </w:r>
    </w:p>
    <w:p w14:paraId="748EA66C" w14:textId="77777777" w:rsidR="00C73E26" w:rsidRDefault="00C73E26" w:rsidP="00C73E26">
      <w:pPr>
        <w:tabs>
          <w:tab w:val="num" w:pos="295"/>
        </w:tabs>
        <w:spacing w:after="0"/>
        <w:ind w:left="295"/>
      </w:pPr>
      <w:r w:rsidRPr="77B20063">
        <w:t>PO Box 13112 Law Courts</w:t>
      </w:r>
    </w:p>
    <w:p w14:paraId="1F93646A" w14:textId="77777777" w:rsidR="00C73E26" w:rsidRDefault="00C73E26" w:rsidP="00C73E26">
      <w:pPr>
        <w:tabs>
          <w:tab w:val="num" w:pos="295"/>
        </w:tabs>
        <w:spacing w:after="0"/>
        <w:ind w:left="295"/>
      </w:pPr>
      <w:r w:rsidRPr="77B20063">
        <w:t>Melbourne Victoria 8010</w:t>
      </w:r>
    </w:p>
    <w:p w14:paraId="747FEEA0" w14:textId="77777777" w:rsidR="00C73E26" w:rsidRDefault="00C73E26" w:rsidP="00C73E26">
      <w:pPr>
        <w:ind w:left="295"/>
        <w:rPr>
          <w:highlight w:val="yellow"/>
        </w:rPr>
      </w:pPr>
    </w:p>
    <w:p w14:paraId="6AF27233" w14:textId="45E0195E" w:rsidR="00C73E26" w:rsidRDefault="00C73E26" w:rsidP="00C73E26">
      <w:r>
        <w:t xml:space="preserve">The closing date for submissions is </w:t>
      </w:r>
      <w:r w:rsidRPr="006040D1">
        <w:rPr>
          <w:b/>
          <w:bCs/>
        </w:rPr>
        <w:t>COB,</w:t>
      </w:r>
      <w:r w:rsidR="002642EF">
        <w:rPr>
          <w:b/>
          <w:bCs/>
        </w:rPr>
        <w:t xml:space="preserve"> </w:t>
      </w:r>
      <w:r w:rsidR="00CC2409">
        <w:rPr>
          <w:b/>
          <w:bCs/>
        </w:rPr>
        <w:t>Thursday</w:t>
      </w:r>
      <w:r w:rsidR="00262F79">
        <w:rPr>
          <w:b/>
          <w:bCs/>
        </w:rPr>
        <w:t xml:space="preserve"> </w:t>
      </w:r>
      <w:r w:rsidR="00CC2409">
        <w:rPr>
          <w:b/>
          <w:bCs/>
        </w:rPr>
        <w:t>4 May</w:t>
      </w:r>
      <w:r w:rsidR="002642EF">
        <w:rPr>
          <w:b/>
          <w:bCs/>
        </w:rPr>
        <w:t xml:space="preserve"> 20</w:t>
      </w:r>
      <w:r w:rsidRPr="006040D1">
        <w:rPr>
          <w:b/>
          <w:bCs/>
        </w:rPr>
        <w:t>2</w:t>
      </w:r>
      <w:r>
        <w:rPr>
          <w:b/>
          <w:bCs/>
        </w:rPr>
        <w:t>3</w:t>
      </w:r>
      <w:r>
        <w:t>.</w:t>
      </w:r>
    </w:p>
    <w:p w14:paraId="7213F4F4" w14:textId="77777777" w:rsidR="00C73E26" w:rsidRDefault="00C73E26" w:rsidP="00C73E26">
      <w:r>
        <w:t xml:space="preserve">Consultation enquiries can be emailed to </w:t>
      </w:r>
      <w:hyperlink r:id="rId53">
        <w:r w:rsidRPr="77B20063">
          <w:rPr>
            <w:rStyle w:val="Hyperlink"/>
            <w:rFonts w:eastAsia="Arial" w:cs="Arial"/>
            <w:szCs w:val="20"/>
          </w:rPr>
          <w:t>spectrumpricing@acma.gov.au</w:t>
        </w:r>
      </w:hyperlink>
      <w:r w:rsidRPr="77B20063">
        <w:rPr>
          <w:rFonts w:eastAsia="Arial" w:cs="Arial"/>
          <w:color w:val="000000" w:themeColor="text1"/>
          <w:szCs w:val="20"/>
        </w:rPr>
        <w:t>.</w:t>
      </w:r>
    </w:p>
    <w:p w14:paraId="02A91A2C" w14:textId="77777777" w:rsidR="00C73E26" w:rsidRDefault="00C73E26" w:rsidP="00C73E26">
      <w:pPr>
        <w:pStyle w:val="Heading4"/>
      </w:pPr>
      <w:r>
        <w:t xml:space="preserve">Publication of </w:t>
      </w:r>
      <w:r w:rsidRPr="005B2F0D">
        <w:t>submissions</w:t>
      </w:r>
    </w:p>
    <w:p w14:paraId="2C5DC242" w14:textId="77777777" w:rsidR="00C73E26" w:rsidRDefault="00C73E26" w:rsidP="00C73E26">
      <w:r>
        <w:t>We publish submissions on our website</w:t>
      </w:r>
      <w:r>
        <w:rPr>
          <w:rFonts w:cs="Arial"/>
        </w:rPr>
        <w:t>, including personal information (such as names and contact details)</w:t>
      </w:r>
      <w:r>
        <w:t xml:space="preserve">, except for information that you have claimed (and we have accepted) is confidential. </w:t>
      </w:r>
    </w:p>
    <w:p w14:paraId="23F22144" w14:textId="77777777" w:rsidR="00C73E26" w:rsidRDefault="00C73E26" w:rsidP="00C73E26">
      <w:r>
        <w:t>Confidential information will not be published or otherwise released unless required or authorised by law.</w:t>
      </w:r>
    </w:p>
    <w:p w14:paraId="1AF2FC88" w14:textId="77777777" w:rsidR="00C73E26" w:rsidRDefault="00C73E26" w:rsidP="00C73E26">
      <w:pPr>
        <w:pStyle w:val="Heading4"/>
      </w:pPr>
      <w:r>
        <w:t>Privacy</w:t>
      </w:r>
    </w:p>
    <w:p w14:paraId="76CEA42D" w14:textId="77777777" w:rsidR="00C73E26" w:rsidRDefault="00C73E26" w:rsidP="00C73E26">
      <w:pPr>
        <w:pStyle w:val="Paragraph"/>
      </w:pPr>
      <w:r>
        <w:t xml:space="preserve">View information about our policy on the </w:t>
      </w:r>
      <w:hyperlink r:id="rId54" w:history="1">
        <w:r>
          <w:rPr>
            <w:rStyle w:val="Hyperlink"/>
          </w:rPr>
          <w:t>p</w:t>
        </w:r>
        <w:r w:rsidRPr="00E21056">
          <w:rPr>
            <w:rStyle w:val="Hyperlink"/>
          </w:rPr>
          <w:t>ublication of submissions</w:t>
        </w:r>
      </w:hyperlink>
      <w:r>
        <w:t>, including collection of personal information during consultation and how we handle that information.</w:t>
      </w:r>
    </w:p>
    <w:p w14:paraId="0804C4E2" w14:textId="572A86BA" w:rsidR="00616191" w:rsidRDefault="00C73E26" w:rsidP="007A5938">
      <w:pPr>
        <w:pStyle w:val="Paragraph"/>
      </w:pPr>
      <w:r>
        <w:t xml:space="preserve">Information on the </w:t>
      </w:r>
      <w:r>
        <w:rPr>
          <w:i/>
        </w:rPr>
        <w:t xml:space="preserve">Privacy Act 1988, </w:t>
      </w:r>
      <w:r>
        <w:t xml:space="preserve">how to access or correct personal information, how to make a privacy complaint and how we will deal with any complaints, is available in our </w:t>
      </w:r>
      <w:hyperlink r:id="rId55" w:history="1">
        <w:r w:rsidRPr="00E21056">
          <w:rPr>
            <w:rStyle w:val="Hyperlink"/>
          </w:rPr>
          <w:t>privacy policy</w:t>
        </w:r>
      </w:hyperlink>
      <w:r>
        <w:t xml:space="preserve">. </w:t>
      </w:r>
    </w:p>
    <w:sectPr w:rsidR="00616191" w:rsidSect="003E1CAE">
      <w:type w:val="continuous"/>
      <w:pgSz w:w="11906" w:h="16838" w:code="9"/>
      <w:pgMar w:top="1945" w:right="3101" w:bottom="1134" w:left="1134" w:header="709" w:footer="119" w:gutter="0"/>
      <w:pgNumType w:start="1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B0BD2B" w14:textId="77777777" w:rsidR="00FB2A8C" w:rsidRDefault="00FB2A8C">
      <w:r>
        <w:separator/>
      </w:r>
    </w:p>
  </w:endnote>
  <w:endnote w:type="continuationSeparator" w:id="0">
    <w:p w14:paraId="3D9BCF88" w14:textId="77777777" w:rsidR="00FB2A8C" w:rsidRDefault="00FB2A8C">
      <w:r>
        <w:continuationSeparator/>
      </w:r>
    </w:p>
  </w:endnote>
  <w:endnote w:type="continuationNotice" w:id="1">
    <w:p w14:paraId="3DC290AC" w14:textId="77777777" w:rsidR="00FB2A8C" w:rsidRDefault="00FB2A8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7D3A85" w14:textId="77777777" w:rsidR="005E250B" w:rsidRDefault="005E250B" w:rsidP="005E250B">
    <w:pPr>
      <w:pStyle w:val="Footer"/>
      <w:jc w:val="right"/>
    </w:pPr>
    <w:r w:rsidRPr="005E250B">
      <w:rPr>
        <w:noProof/>
        <w:vertAlign w:val="subscript"/>
      </w:rPr>
      <w:drawing>
        <wp:inline distT="0" distB="0" distL="0" distR="0" wp14:anchorId="5C11A95A" wp14:editId="2C9ACC52">
          <wp:extent cx="1066800" cy="277368"/>
          <wp:effectExtent l="0" t="0" r="0" b="0"/>
          <wp:docPr id="5" name="Picture 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4ADA2"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7D669"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C53A2"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5F716968"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8A6A5"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626DE54D"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0EBC4"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2D919E0A"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6DDAE"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4533D40" w14:textId="77777777" w:rsidR="00C54A0F" w:rsidRDefault="00C54A0F"/>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50015"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72532180" w14:textId="77777777" w:rsidR="00C54A0F" w:rsidRDefault="00C54A0F"/>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793BB" w14:textId="77777777" w:rsidR="0008690E" w:rsidRPr="00622A3B" w:rsidRDefault="0008690E"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221B735B" w14:textId="77777777" w:rsidR="0008690E" w:rsidRPr="00A5474E" w:rsidRDefault="0008690E" w:rsidP="00A5474E">
    <w:pPr>
      <w:pStyle w:val="Footer"/>
    </w:pPr>
  </w:p>
  <w:p w14:paraId="12253ECE" w14:textId="77777777" w:rsidR="0008690E" w:rsidRDefault="0008690E"/>
  <w:p w14:paraId="39E72905" w14:textId="77777777" w:rsidR="0008690E" w:rsidRDefault="0008690E"/>
  <w:p w14:paraId="741D89E4" w14:textId="77777777" w:rsidR="0008690E" w:rsidRDefault="0008690E"/>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91262" w14:textId="77777777" w:rsidR="0008690E" w:rsidRPr="00622A3B" w:rsidRDefault="0008690E"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58E2F34C" w14:textId="77777777" w:rsidR="0008690E" w:rsidRPr="00A5474E" w:rsidRDefault="0008690E" w:rsidP="00A5474E">
    <w:pPr>
      <w:pStyle w:val="Footer"/>
    </w:pPr>
  </w:p>
  <w:p w14:paraId="159C7F35" w14:textId="77777777" w:rsidR="0008690E" w:rsidRDefault="0008690E"/>
  <w:p w14:paraId="2FC8CA81" w14:textId="77777777" w:rsidR="0008690E" w:rsidRDefault="0008690E"/>
  <w:p w14:paraId="450D7DD2" w14:textId="77777777" w:rsidR="0008690E" w:rsidRDefault="0008690E"/>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7C466" w14:textId="77777777" w:rsidR="002664DA" w:rsidRPr="00622A3B" w:rsidRDefault="002664DA"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AD65AB6" w14:textId="77777777" w:rsidR="002664DA" w:rsidRPr="00A5474E" w:rsidRDefault="002664DA" w:rsidP="00A5474E">
    <w:pPr>
      <w:pStyle w:val="Footer"/>
    </w:pPr>
  </w:p>
  <w:p w14:paraId="3C62FA45" w14:textId="77777777" w:rsidR="002664DA" w:rsidRDefault="002664DA"/>
  <w:p w14:paraId="3C27F02D" w14:textId="77777777" w:rsidR="002664DA" w:rsidRDefault="002664DA"/>
  <w:p w14:paraId="6335B048" w14:textId="77777777" w:rsidR="002664DA" w:rsidRDefault="002664DA"/>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C3770" w14:textId="77777777" w:rsidR="002664DA" w:rsidRPr="00622A3B" w:rsidRDefault="002664DA"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6E17B3DA" w14:textId="77777777" w:rsidR="002664DA" w:rsidRPr="00A5474E" w:rsidRDefault="002664DA" w:rsidP="00A5474E">
    <w:pPr>
      <w:pStyle w:val="Footer"/>
    </w:pPr>
  </w:p>
  <w:p w14:paraId="1E5BAF2E" w14:textId="77777777" w:rsidR="002664DA" w:rsidRDefault="002664DA"/>
  <w:p w14:paraId="3E5C2A4A" w14:textId="77777777" w:rsidR="002664DA" w:rsidRDefault="002664DA"/>
  <w:p w14:paraId="70CF23A9" w14:textId="77777777" w:rsidR="002664DA" w:rsidRDefault="002664DA"/>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9789D" w14:textId="77777777" w:rsidR="002664DA" w:rsidRPr="00622A3B" w:rsidRDefault="002664DA"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83D0C99" w14:textId="77777777" w:rsidR="002664DA" w:rsidRDefault="002664DA"/>
  <w:p w14:paraId="2918FFAF" w14:textId="77777777" w:rsidR="002664DA" w:rsidRDefault="002664DA"/>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8CAD3" w14:textId="77777777" w:rsidR="002664DA" w:rsidRPr="00622A3B" w:rsidRDefault="002664DA"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3D81341E" w14:textId="77777777" w:rsidR="002664DA" w:rsidRDefault="002664D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5D5907" w14:textId="77777777" w:rsidR="00FB2A8C" w:rsidRDefault="00FB2A8C" w:rsidP="00EA0969">
      <w:pPr>
        <w:spacing w:after="0"/>
      </w:pPr>
      <w:r>
        <w:separator/>
      </w:r>
    </w:p>
  </w:footnote>
  <w:footnote w:type="continuationSeparator" w:id="0">
    <w:p w14:paraId="553FC2D3" w14:textId="77777777" w:rsidR="00FB2A8C" w:rsidRDefault="00FB2A8C">
      <w:r>
        <w:continuationSeparator/>
      </w:r>
    </w:p>
  </w:footnote>
  <w:footnote w:type="continuationNotice" w:id="1">
    <w:p w14:paraId="556EA5C7" w14:textId="77777777" w:rsidR="00FB2A8C" w:rsidRDefault="00FB2A8C">
      <w:pPr>
        <w:spacing w:after="0" w:line="240" w:lineRule="auto"/>
      </w:pPr>
    </w:p>
  </w:footnote>
  <w:footnote w:id="2">
    <w:p w14:paraId="71AF7268" w14:textId="53C282F9" w:rsidR="00C372B2" w:rsidRDefault="00C372B2">
      <w:pPr>
        <w:pStyle w:val="FootnoteText"/>
      </w:pPr>
      <w:r>
        <w:rPr>
          <w:rStyle w:val="FootnoteReference"/>
        </w:rPr>
        <w:footnoteRef/>
      </w:r>
      <w:r>
        <w:t xml:space="preserve"> </w:t>
      </w:r>
      <w:r w:rsidR="00923727">
        <w:t xml:space="preserve">While the 8.3 GHz band </w:t>
      </w:r>
      <w:r w:rsidR="0078047B">
        <w:t xml:space="preserve">is used for </w:t>
      </w:r>
      <w:r w:rsidR="0015361F">
        <w:t>television outside broadcast service</w:t>
      </w:r>
      <w:r w:rsidR="00C25460">
        <w:t>s</w:t>
      </w:r>
      <w:r w:rsidR="007670B3">
        <w:t xml:space="preserve">, none of the channel arrangements apply to </w:t>
      </w:r>
      <w:r w:rsidR="00B43B05">
        <w:t xml:space="preserve">commercial </w:t>
      </w:r>
      <w:r w:rsidR="00F47821">
        <w:t>application</w:t>
      </w:r>
      <w:r w:rsidR="009602E9">
        <w:t>s</w:t>
      </w:r>
      <w:r w:rsidR="00B8746B">
        <w:t>.</w:t>
      </w:r>
      <w:r w:rsidR="008F468D">
        <w:t xml:space="preserve"> </w:t>
      </w:r>
      <w:r w:rsidR="00852C4C">
        <w:t>Therefore</w:t>
      </w:r>
      <w:r w:rsidR="00A545AB">
        <w:t>,</w:t>
      </w:r>
      <w:r w:rsidR="0075496D">
        <w:t xml:space="preserve"> </w:t>
      </w:r>
      <w:r w:rsidR="002544BA">
        <w:t xml:space="preserve">the arrangements in </w:t>
      </w:r>
      <w:r w:rsidR="00817192">
        <w:t>the 8.3 GHz</w:t>
      </w:r>
      <w:r w:rsidR="00462EA7">
        <w:t xml:space="preserve"> </w:t>
      </w:r>
      <w:r w:rsidR="00ED023A">
        <w:t xml:space="preserve">band </w:t>
      </w:r>
      <w:r w:rsidR="00462EA7">
        <w:t xml:space="preserve">do not influence the calculation of the TOBN </w:t>
      </w:r>
      <w:r w:rsidR="002B64C5">
        <w:t>tax but</w:t>
      </w:r>
      <w:r w:rsidR="00462EA7">
        <w:t xml:space="preserve"> ha</w:t>
      </w:r>
      <w:r w:rsidR="00ED023A">
        <w:t>ve</w:t>
      </w:r>
      <w:r w:rsidR="00462EA7">
        <w:t xml:space="preserve"> be</w:t>
      </w:r>
      <w:r w:rsidR="00BB4599">
        <w:t>en</w:t>
      </w:r>
      <w:r w:rsidR="00462EA7">
        <w:t xml:space="preserve"> </w:t>
      </w:r>
      <w:r w:rsidR="007E7319">
        <w:t>mentioned here</w:t>
      </w:r>
      <w:r w:rsidR="001D5A25">
        <w:t xml:space="preserve"> for completeness.</w:t>
      </w:r>
      <w:r w:rsidR="00C04B49">
        <w:t xml:space="preserve"> </w:t>
      </w:r>
    </w:p>
  </w:footnote>
  <w:footnote w:id="3">
    <w:p w14:paraId="4DFC3656" w14:textId="381D9AB3" w:rsidR="00386680" w:rsidRDefault="00386680">
      <w:pPr>
        <w:pStyle w:val="FootnoteText"/>
      </w:pPr>
      <w:r>
        <w:rPr>
          <w:rStyle w:val="FootnoteReference"/>
        </w:rPr>
        <w:footnoteRef/>
      </w:r>
      <w:r>
        <w:t xml:space="preserve"> </w:t>
      </w:r>
      <w:r w:rsidR="005260D9">
        <w:t xml:space="preserve">The total kHz is based on the total </w:t>
      </w:r>
      <w:r w:rsidR="00D6797E">
        <w:t xml:space="preserve">amount of </w:t>
      </w:r>
      <w:r w:rsidR="005260D9">
        <w:t>spectrum</w:t>
      </w:r>
      <w:r w:rsidR="00D6797E">
        <w:t xml:space="preserve"> identified for </w:t>
      </w:r>
      <w:r w:rsidR="00860675">
        <w:t>television outside broadcast services</w:t>
      </w:r>
      <w:r w:rsidR="004F68B8">
        <w:t>.</w:t>
      </w:r>
    </w:p>
  </w:footnote>
  <w:footnote w:id="4">
    <w:p w14:paraId="1460C848" w14:textId="7A9308C4" w:rsidR="000A6E71" w:rsidRDefault="000A6E71">
      <w:pPr>
        <w:pStyle w:val="FootnoteText"/>
      </w:pPr>
      <w:r>
        <w:rPr>
          <w:rStyle w:val="FootnoteReference"/>
        </w:rPr>
        <w:footnoteRef/>
      </w:r>
      <w:r>
        <w:t xml:space="preserve"> </w:t>
      </w:r>
      <w:r w:rsidR="002D2638">
        <w:t xml:space="preserve">Information about the 2 GHz </w:t>
      </w:r>
      <w:r w:rsidR="00512DCA">
        <w:t>and 7.2 GHz band are provided</w:t>
      </w:r>
      <w:r w:rsidR="001B117B">
        <w:t xml:space="preserve"> in the </w:t>
      </w:r>
      <w:r w:rsidR="00140DB8">
        <w:t>paragraphs</w:t>
      </w:r>
      <w:r w:rsidR="002109B5">
        <w:t xml:space="preserve"> that foll</w:t>
      </w:r>
      <w:r w:rsidR="00140DB8">
        <w:t>ow</w:t>
      </w:r>
      <w:r w:rsidR="005511CD">
        <w:t>, however for the 13 GHz band</w:t>
      </w:r>
      <w:r w:rsidR="00F34A9F">
        <w:t xml:space="preserve"> the </w:t>
      </w:r>
      <w:r w:rsidR="00072F1D">
        <w:t>t</w:t>
      </w:r>
      <w:r w:rsidR="00F34A9F">
        <w:t xml:space="preserve">otal </w:t>
      </w:r>
      <w:r w:rsidR="007C252E">
        <w:t>k</w:t>
      </w:r>
      <w:r w:rsidR="00F34A9F">
        <w:t xml:space="preserve">Hz </w:t>
      </w:r>
      <w:r w:rsidR="00E147F1">
        <w:t xml:space="preserve">of the band </w:t>
      </w:r>
      <w:r w:rsidR="006B7658">
        <w:t xml:space="preserve">allocated for television outside broadcast services is 500 MHz.  Information about the band can be found at </w:t>
      </w:r>
      <w:hyperlink r:id="rId1" w:history="1">
        <w:r w:rsidR="00D13C94">
          <w:rPr>
            <w:rStyle w:val="Hyperlink"/>
          </w:rPr>
          <w:t>Television outside broadcast (13 GHz band) | ACMA</w:t>
        </w:r>
      </w:hyperlink>
      <w:r w:rsidR="00B2262B">
        <w:t>.</w:t>
      </w:r>
    </w:p>
  </w:footnote>
  <w:footnote w:id="5">
    <w:p w14:paraId="439B74D5" w14:textId="44C1B757" w:rsidR="00146341" w:rsidRDefault="00146341">
      <w:pPr>
        <w:pStyle w:val="FootnoteText"/>
      </w:pPr>
      <w:r>
        <w:rPr>
          <w:rStyle w:val="FootnoteReference"/>
        </w:rPr>
        <w:footnoteRef/>
      </w:r>
      <w:r>
        <w:t xml:space="preserve"> </w:t>
      </w:r>
      <w:r w:rsidR="00D23F3B">
        <w:t>The spectrum arrang</w:t>
      </w:r>
      <w:r w:rsidR="005C4ED6">
        <w:t>ements</w:t>
      </w:r>
      <w:r w:rsidR="009D4DBF">
        <w:t xml:space="preserve"> for television outside broadcast services</w:t>
      </w:r>
      <w:r w:rsidR="00C35631">
        <w:t xml:space="preserve"> in the 2</w:t>
      </w:r>
      <w:r w:rsidR="00244AEA">
        <w:t xml:space="preserve"> </w:t>
      </w:r>
      <w:r w:rsidR="00C35631">
        <w:t>GHz band</w:t>
      </w:r>
      <w:r w:rsidR="009D4DBF">
        <w:t xml:space="preserve"> are specified in </w:t>
      </w:r>
      <w:hyperlink r:id="rId2" w:history="1">
        <w:r w:rsidR="001F3269" w:rsidRPr="00BD2C35">
          <w:rPr>
            <w:rStyle w:val="Hyperlink"/>
            <w:rFonts w:cs="Arial"/>
          </w:rPr>
          <w:t>RALI FX21: Television outside broadcasting services</w:t>
        </w:r>
      </w:hyperlink>
      <w:r w:rsidR="00267BE6" w:rsidRPr="00543A53">
        <w:rPr>
          <w:rStyle w:val="Hyperlink"/>
          <w:rFonts w:cs="Arial"/>
          <w:color w:val="auto"/>
          <w:u w:val="none"/>
        </w:rPr>
        <w:t xml:space="preserve"> (see Figure 1</w:t>
      </w:r>
      <w:r w:rsidR="008A54DB" w:rsidRPr="00543A53">
        <w:rPr>
          <w:rStyle w:val="Hyperlink"/>
          <w:rFonts w:cs="Arial"/>
          <w:color w:val="auto"/>
          <w:u w:val="none"/>
        </w:rPr>
        <w:t>)</w:t>
      </w:r>
      <w:r w:rsidR="00C15C4A" w:rsidRPr="00543A53">
        <w:rPr>
          <w:rStyle w:val="Hyperlink"/>
          <w:rFonts w:cs="Arial"/>
          <w:color w:val="auto"/>
          <w:u w:val="none"/>
        </w:rPr>
        <w:t xml:space="preserve">. For the </w:t>
      </w:r>
      <w:r w:rsidR="008E521E" w:rsidRPr="00543A53">
        <w:rPr>
          <w:rStyle w:val="Hyperlink"/>
          <w:rFonts w:cs="Arial"/>
          <w:color w:val="auto"/>
          <w:u w:val="none"/>
        </w:rPr>
        <w:t xml:space="preserve">calculation of </w:t>
      </w:r>
      <w:r w:rsidR="0058690D" w:rsidRPr="00543A53">
        <w:rPr>
          <w:rStyle w:val="Hyperlink"/>
          <w:rFonts w:cs="Arial"/>
          <w:color w:val="auto"/>
          <w:u w:val="none"/>
        </w:rPr>
        <w:t>the proposed TOBN tax</w:t>
      </w:r>
      <w:r w:rsidR="00DA0813" w:rsidRPr="00543A53">
        <w:rPr>
          <w:rStyle w:val="Hyperlink"/>
          <w:rFonts w:cs="Arial"/>
          <w:color w:val="auto"/>
          <w:u w:val="none"/>
        </w:rPr>
        <w:t>, it has been</w:t>
      </w:r>
      <w:r w:rsidR="003059E3" w:rsidRPr="00543A53">
        <w:rPr>
          <w:rStyle w:val="Hyperlink"/>
          <w:rFonts w:cs="Arial"/>
          <w:color w:val="auto"/>
          <w:u w:val="none"/>
        </w:rPr>
        <w:t xml:space="preserve"> </w:t>
      </w:r>
      <w:r w:rsidR="00C87A76" w:rsidRPr="00543A53">
        <w:rPr>
          <w:rStyle w:val="Hyperlink"/>
          <w:rFonts w:cs="Arial"/>
          <w:color w:val="auto"/>
          <w:u w:val="none"/>
        </w:rPr>
        <w:t xml:space="preserve">assumed that </w:t>
      </w:r>
      <w:r w:rsidR="00B70E84">
        <w:rPr>
          <w:rStyle w:val="Hyperlink"/>
          <w:rFonts w:cs="Arial"/>
          <w:color w:val="auto"/>
          <w:u w:val="none"/>
        </w:rPr>
        <w:t>the t</w:t>
      </w:r>
      <w:r w:rsidR="00C87A76" w:rsidRPr="00543A53">
        <w:rPr>
          <w:rStyle w:val="Hyperlink"/>
          <w:rFonts w:cs="Arial"/>
          <w:color w:val="auto"/>
          <w:u w:val="none"/>
        </w:rPr>
        <w:t>otal kHz</w:t>
      </w:r>
      <w:r w:rsidR="009D23DF" w:rsidRPr="00543A53">
        <w:rPr>
          <w:rStyle w:val="Hyperlink"/>
          <w:rFonts w:cs="Arial"/>
          <w:color w:val="auto"/>
          <w:u w:val="none"/>
        </w:rPr>
        <w:t xml:space="preserve"> of the band</w:t>
      </w:r>
      <w:r w:rsidR="00E81B86" w:rsidRPr="00543A53">
        <w:rPr>
          <w:rStyle w:val="Hyperlink"/>
          <w:rFonts w:cs="Arial"/>
          <w:color w:val="auto"/>
          <w:u w:val="none"/>
        </w:rPr>
        <w:t xml:space="preserve"> is </w:t>
      </w:r>
      <w:r w:rsidR="008914A5" w:rsidRPr="00543A53">
        <w:rPr>
          <w:rStyle w:val="Hyperlink"/>
          <w:rFonts w:cs="Arial"/>
          <w:color w:val="auto"/>
          <w:u w:val="none"/>
        </w:rPr>
        <w:t>168 MHz</w:t>
      </w:r>
      <w:r w:rsidR="00814EED" w:rsidRPr="00543A53">
        <w:rPr>
          <w:rStyle w:val="Hyperlink"/>
          <w:rFonts w:cs="Arial"/>
          <w:color w:val="auto"/>
          <w:u w:val="none"/>
        </w:rPr>
        <w:t xml:space="preserve"> (</w:t>
      </w:r>
      <w:r w:rsidR="00CC5565" w:rsidRPr="00543A53">
        <w:rPr>
          <w:rStyle w:val="Hyperlink"/>
          <w:rFonts w:cs="Arial"/>
          <w:color w:val="auto"/>
          <w:u w:val="none"/>
        </w:rPr>
        <w:t>2010</w:t>
      </w:r>
      <w:r w:rsidR="00B321D8" w:rsidRPr="00543A53">
        <w:rPr>
          <w:rStyle w:val="Hyperlink"/>
          <w:rFonts w:cs="Arial"/>
          <w:color w:val="auto"/>
          <w:u w:val="none"/>
        </w:rPr>
        <w:t xml:space="preserve"> to 2110 MHz</w:t>
      </w:r>
      <w:r w:rsidR="00A846DB" w:rsidRPr="00543A53">
        <w:rPr>
          <w:rStyle w:val="Hyperlink"/>
          <w:rFonts w:cs="Arial"/>
          <w:color w:val="auto"/>
          <w:u w:val="none"/>
        </w:rPr>
        <w:t xml:space="preserve"> and </w:t>
      </w:r>
      <w:r w:rsidR="0094568A" w:rsidRPr="00543A53">
        <w:rPr>
          <w:rStyle w:val="Hyperlink"/>
          <w:rFonts w:cs="Arial"/>
          <w:color w:val="auto"/>
          <w:u w:val="none"/>
        </w:rPr>
        <w:t>2200 and 2268</w:t>
      </w:r>
      <w:r w:rsidR="003B34F9" w:rsidRPr="00543A53">
        <w:rPr>
          <w:rStyle w:val="Hyperlink"/>
          <w:rFonts w:cs="Arial"/>
          <w:color w:val="auto"/>
          <w:u w:val="none"/>
        </w:rPr>
        <w:t xml:space="preserve"> MHz)</w:t>
      </w:r>
      <w:r w:rsidR="00B70E84">
        <w:rPr>
          <w:rStyle w:val="Hyperlink"/>
          <w:rFonts w:cs="Arial"/>
          <w:color w:val="auto"/>
          <w:u w:val="none"/>
        </w:rPr>
        <w:t>.</w:t>
      </w:r>
    </w:p>
  </w:footnote>
  <w:footnote w:id="6">
    <w:p w14:paraId="740884C3" w14:textId="08D475DA" w:rsidR="00470C21" w:rsidRDefault="00470C21">
      <w:pPr>
        <w:pStyle w:val="FootnoteText"/>
      </w:pPr>
      <w:r>
        <w:rPr>
          <w:rStyle w:val="FootnoteReference"/>
        </w:rPr>
        <w:footnoteRef/>
      </w:r>
      <w:r>
        <w:t xml:space="preserve"> </w:t>
      </w:r>
      <w:r w:rsidR="003A5D94">
        <w:t xml:space="preserve">The </w:t>
      </w:r>
      <w:r w:rsidR="00B70E84">
        <w:t>t</w:t>
      </w:r>
      <w:r w:rsidR="003A5D94">
        <w:t xml:space="preserve">otal </w:t>
      </w:r>
      <w:r w:rsidR="004420F7">
        <w:t>kH</w:t>
      </w:r>
      <w:r w:rsidR="003A5D94">
        <w:t>z</w:t>
      </w:r>
      <w:r w:rsidR="00A94A94">
        <w:t xml:space="preserve"> of the</w:t>
      </w:r>
      <w:r w:rsidR="000A6E71">
        <w:t xml:space="preserve"> 7.2</w:t>
      </w:r>
      <w:r w:rsidR="00A94A94">
        <w:t xml:space="preserve"> </w:t>
      </w:r>
      <w:r w:rsidR="007A2D43">
        <w:t xml:space="preserve">GHz </w:t>
      </w:r>
      <w:r w:rsidR="00A94A94">
        <w:t xml:space="preserve">band is </w:t>
      </w:r>
      <w:r w:rsidR="0008258B">
        <w:t>325 MHz</w:t>
      </w:r>
      <w:r w:rsidR="002D0287">
        <w:t xml:space="preserve"> (</w:t>
      </w:r>
      <w:r w:rsidR="00B70E84">
        <w:t>that is,</w:t>
      </w:r>
      <w:r w:rsidR="002D0287">
        <w:t xml:space="preserve"> 7100</w:t>
      </w:r>
      <w:r w:rsidR="002809E0">
        <w:t xml:space="preserve"> to 7425 MHz)</w:t>
      </w:r>
      <w:r w:rsidR="006A0FEF">
        <w:t>.</w:t>
      </w:r>
    </w:p>
  </w:footnote>
  <w:footnote w:id="7">
    <w:p w14:paraId="5785E04B" w14:textId="30CAB236" w:rsidR="004A445C" w:rsidRDefault="004A445C" w:rsidP="004A445C">
      <w:pPr>
        <w:pStyle w:val="FootnoteText"/>
      </w:pPr>
      <w:r>
        <w:rPr>
          <w:rStyle w:val="FootnoteReference"/>
        </w:rPr>
        <w:footnoteRef/>
      </w:r>
      <w:r>
        <w:t xml:space="preserve"> Page 68 of the FYSO</w:t>
      </w:r>
      <w:r w:rsidR="00EB5429">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CB60E" w14:textId="77777777" w:rsidR="00C053A1" w:rsidRPr="00A5474E" w:rsidRDefault="0021426C" w:rsidP="00A5474E">
    <w:pPr>
      <w:pStyle w:val="Header"/>
    </w:pPr>
    <w:r>
      <w:rPr>
        <w:noProof/>
      </w:rPr>
      <w:drawing>
        <wp:inline distT="0" distB="0" distL="0" distR="0" wp14:anchorId="1EE95BB6" wp14:editId="7970163A">
          <wp:extent cx="6210300" cy="571134"/>
          <wp:effectExtent l="0" t="0" r="0" b="0"/>
          <wp:docPr id="4" name="Picture 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1F9DF"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D6947"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37829"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7A7739E" w14:textId="77777777" w:rsidTr="008A5614">
      <w:trPr>
        <w:trHeight w:hRule="exact" w:val="988"/>
      </w:trPr>
      <w:tc>
        <w:tcPr>
          <w:tcW w:w="7678" w:type="dxa"/>
          <w:shd w:val="clear" w:color="auto" w:fill="auto"/>
        </w:tcPr>
        <w:p w14:paraId="70CF3169" w14:textId="77777777" w:rsidR="00971914" w:rsidRDefault="00971914" w:rsidP="00971914">
          <w:pPr>
            <w:pStyle w:val="Header"/>
          </w:pPr>
        </w:p>
      </w:tc>
    </w:tr>
    <w:tr w:rsidR="00971914" w14:paraId="236C0455" w14:textId="77777777" w:rsidTr="008A5614">
      <w:tc>
        <w:tcPr>
          <w:tcW w:w="7678" w:type="dxa"/>
          <w:shd w:val="clear" w:color="auto" w:fill="auto"/>
        </w:tcPr>
        <w:p w14:paraId="4E0B5295" w14:textId="77777777" w:rsidR="00971914" w:rsidRDefault="00971914" w:rsidP="00971914">
          <w:pPr>
            <w:pStyle w:val="GridTable31"/>
          </w:pPr>
          <w:r>
            <w:t xml:space="preserve">Contents </w:t>
          </w:r>
          <w:r w:rsidRPr="00915B1C">
            <w:rPr>
              <w:b w:val="0"/>
              <w:spacing w:val="0"/>
              <w:sz w:val="28"/>
              <w:szCs w:val="28"/>
            </w:rPr>
            <w:t>(Continued)</w:t>
          </w:r>
        </w:p>
      </w:tc>
    </w:tr>
    <w:tr w:rsidR="00971914" w14:paraId="4916968D" w14:textId="77777777" w:rsidTr="008A5614">
      <w:trPr>
        <w:trHeight w:val="1220"/>
      </w:trPr>
      <w:tc>
        <w:tcPr>
          <w:tcW w:w="7678" w:type="dxa"/>
          <w:shd w:val="clear" w:color="auto" w:fill="auto"/>
        </w:tcPr>
        <w:p w14:paraId="01EF016E" w14:textId="77777777" w:rsidR="00971914" w:rsidRDefault="00971914" w:rsidP="00971914"/>
      </w:tc>
    </w:tr>
  </w:tbl>
  <w:p w14:paraId="029A84E8"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6180AC76" w14:textId="77777777" w:rsidTr="008A5614">
      <w:trPr>
        <w:trHeight w:hRule="exact" w:val="988"/>
      </w:trPr>
      <w:tc>
        <w:tcPr>
          <w:tcW w:w="7678" w:type="dxa"/>
          <w:shd w:val="clear" w:color="auto" w:fill="auto"/>
        </w:tcPr>
        <w:p w14:paraId="22563D76" w14:textId="77777777" w:rsidR="00971914" w:rsidRDefault="00971914" w:rsidP="00971914">
          <w:pPr>
            <w:pStyle w:val="Header"/>
          </w:pPr>
        </w:p>
      </w:tc>
    </w:tr>
    <w:tr w:rsidR="00971914" w14:paraId="5EDCC0A4" w14:textId="77777777" w:rsidTr="008A5614">
      <w:tc>
        <w:tcPr>
          <w:tcW w:w="7678" w:type="dxa"/>
          <w:shd w:val="clear" w:color="auto" w:fill="auto"/>
        </w:tcPr>
        <w:p w14:paraId="2065077B" w14:textId="77777777" w:rsidR="00971914" w:rsidRDefault="00971914" w:rsidP="00971914">
          <w:pPr>
            <w:pStyle w:val="GridTable31"/>
          </w:pPr>
          <w:r>
            <w:t xml:space="preserve">Contents </w:t>
          </w:r>
          <w:r w:rsidRPr="00915B1C">
            <w:rPr>
              <w:b w:val="0"/>
              <w:spacing w:val="0"/>
              <w:sz w:val="28"/>
              <w:szCs w:val="28"/>
            </w:rPr>
            <w:t>(Continued)</w:t>
          </w:r>
        </w:p>
      </w:tc>
    </w:tr>
    <w:tr w:rsidR="00971914" w14:paraId="3B0A52A3" w14:textId="77777777" w:rsidTr="008A5614">
      <w:trPr>
        <w:trHeight w:val="1220"/>
      </w:trPr>
      <w:tc>
        <w:tcPr>
          <w:tcW w:w="7678" w:type="dxa"/>
          <w:shd w:val="clear" w:color="auto" w:fill="auto"/>
        </w:tcPr>
        <w:p w14:paraId="55D72DF1" w14:textId="77777777" w:rsidR="00971914" w:rsidRDefault="00971914" w:rsidP="00971914"/>
      </w:tc>
    </w:tr>
  </w:tbl>
  <w:p w14:paraId="16111A20"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27AC9" w14:textId="77777777" w:rsidR="00C54A0F" w:rsidRDefault="00C54A0F"/>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BAB9A" w14:textId="77777777" w:rsidR="00C54A0F" w:rsidRDefault="00C54A0F"/>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29201" w14:textId="77777777" w:rsidR="0008690E" w:rsidRDefault="0008690E"/>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C29C2" w14:textId="77777777" w:rsidR="0008690E" w:rsidRDefault="0008690E">
    <w:pPr>
      <w:pStyle w:val="Header"/>
    </w:pPr>
  </w:p>
  <w:p w14:paraId="42AACC38" w14:textId="77777777" w:rsidR="0008690E" w:rsidRDefault="0008690E"/>
  <w:p w14:paraId="2D696AE5" w14:textId="77777777" w:rsidR="0008690E" w:rsidRDefault="0008690E"/>
  <w:p w14:paraId="403691E8" w14:textId="77777777" w:rsidR="0008690E" w:rsidRDefault="0008690E"/>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03858" w14:textId="77777777" w:rsidR="002664DA" w:rsidRDefault="002664DA">
    <w:pPr>
      <w:pStyle w:val="Header"/>
    </w:pPr>
  </w:p>
  <w:p w14:paraId="1BFE6F4C" w14:textId="77777777" w:rsidR="002664DA" w:rsidRDefault="002664DA"/>
  <w:p w14:paraId="0B007C99" w14:textId="77777777" w:rsidR="002664DA" w:rsidRDefault="002664DA"/>
  <w:p w14:paraId="2CB89FB9" w14:textId="77777777" w:rsidR="002664DA" w:rsidRDefault="002664DA"/>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3E01E" w14:textId="77777777" w:rsidR="002664DA" w:rsidRDefault="002664DA">
    <w:pPr>
      <w:pStyle w:val="Header"/>
    </w:pPr>
  </w:p>
  <w:p w14:paraId="094990CE" w14:textId="77777777" w:rsidR="002664DA" w:rsidRDefault="002664DA"/>
  <w:p w14:paraId="6644E143" w14:textId="77777777" w:rsidR="002664DA" w:rsidRDefault="002664DA"/>
  <w:p w14:paraId="7B82AA8B" w14:textId="77777777" w:rsidR="002664DA" w:rsidRDefault="002664DA"/>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E4AA4" w14:textId="77777777" w:rsidR="002664DA" w:rsidRDefault="002664DA"/>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54E78" w14:textId="77777777" w:rsidR="002664DA" w:rsidRDefault="002664D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AF46450"/>
    <w:multiLevelType w:val="hybridMultilevel"/>
    <w:tmpl w:val="4804131C"/>
    <w:lvl w:ilvl="0" w:tplc="7C22A950">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0C2D4882"/>
    <w:multiLevelType w:val="hybridMultilevel"/>
    <w:tmpl w:val="BC242968"/>
    <w:lvl w:ilvl="0" w:tplc="06F8ADF4">
      <w:start w:val="1"/>
      <w:numFmt w:val="bullet"/>
      <w:lvlText w:val="&gt;"/>
      <w:lvlJc w:val="left"/>
      <w:pPr>
        <w:ind w:left="720" w:hanging="360"/>
      </w:pPr>
      <w:rPr>
        <w:rFonts w:ascii="HelveticaNeueLT Std Lt" w:hAnsi="HelveticaNeueLT Std Lt" w:hint="default"/>
      </w:rPr>
    </w:lvl>
    <w:lvl w:ilvl="1" w:tplc="DBA632E2">
      <w:start w:val="1"/>
      <w:numFmt w:val="bullet"/>
      <w:lvlText w:val="o"/>
      <w:lvlJc w:val="left"/>
      <w:pPr>
        <w:ind w:left="1440" w:hanging="360"/>
      </w:pPr>
      <w:rPr>
        <w:rFonts w:ascii="Courier New" w:hAnsi="Courier New" w:hint="default"/>
      </w:rPr>
    </w:lvl>
    <w:lvl w:ilvl="2" w:tplc="81306F46">
      <w:start w:val="1"/>
      <w:numFmt w:val="bullet"/>
      <w:lvlText w:val=""/>
      <w:lvlJc w:val="left"/>
      <w:pPr>
        <w:ind w:left="2160" w:hanging="360"/>
      </w:pPr>
      <w:rPr>
        <w:rFonts w:ascii="Wingdings" w:hAnsi="Wingdings" w:hint="default"/>
      </w:rPr>
    </w:lvl>
    <w:lvl w:ilvl="3" w:tplc="50C4C1F4">
      <w:start w:val="1"/>
      <w:numFmt w:val="bullet"/>
      <w:lvlText w:val=""/>
      <w:lvlJc w:val="left"/>
      <w:pPr>
        <w:ind w:left="2880" w:hanging="360"/>
      </w:pPr>
      <w:rPr>
        <w:rFonts w:ascii="Symbol" w:hAnsi="Symbol" w:hint="default"/>
      </w:rPr>
    </w:lvl>
    <w:lvl w:ilvl="4" w:tplc="484E34DC">
      <w:start w:val="1"/>
      <w:numFmt w:val="bullet"/>
      <w:lvlText w:val="o"/>
      <w:lvlJc w:val="left"/>
      <w:pPr>
        <w:ind w:left="3600" w:hanging="360"/>
      </w:pPr>
      <w:rPr>
        <w:rFonts w:ascii="Courier New" w:hAnsi="Courier New" w:hint="default"/>
      </w:rPr>
    </w:lvl>
    <w:lvl w:ilvl="5" w:tplc="2430BF5E">
      <w:start w:val="1"/>
      <w:numFmt w:val="bullet"/>
      <w:lvlText w:val=""/>
      <w:lvlJc w:val="left"/>
      <w:pPr>
        <w:ind w:left="4320" w:hanging="360"/>
      </w:pPr>
      <w:rPr>
        <w:rFonts w:ascii="Wingdings" w:hAnsi="Wingdings" w:hint="default"/>
      </w:rPr>
    </w:lvl>
    <w:lvl w:ilvl="6" w:tplc="1A7C88A6">
      <w:start w:val="1"/>
      <w:numFmt w:val="bullet"/>
      <w:lvlText w:val=""/>
      <w:lvlJc w:val="left"/>
      <w:pPr>
        <w:ind w:left="5040" w:hanging="360"/>
      </w:pPr>
      <w:rPr>
        <w:rFonts w:ascii="Symbol" w:hAnsi="Symbol" w:hint="default"/>
      </w:rPr>
    </w:lvl>
    <w:lvl w:ilvl="7" w:tplc="C3A66CDC">
      <w:start w:val="1"/>
      <w:numFmt w:val="bullet"/>
      <w:lvlText w:val="o"/>
      <w:lvlJc w:val="left"/>
      <w:pPr>
        <w:ind w:left="5760" w:hanging="360"/>
      </w:pPr>
      <w:rPr>
        <w:rFonts w:ascii="Courier New" w:hAnsi="Courier New" w:hint="default"/>
      </w:rPr>
    </w:lvl>
    <w:lvl w:ilvl="8" w:tplc="B6AC8424">
      <w:start w:val="1"/>
      <w:numFmt w:val="bullet"/>
      <w:lvlText w:val=""/>
      <w:lvlJc w:val="left"/>
      <w:pPr>
        <w:ind w:left="6480" w:hanging="360"/>
      </w:pPr>
      <w:rPr>
        <w:rFonts w:ascii="Wingdings" w:hAnsi="Wingdings" w:hint="default"/>
      </w:rPr>
    </w:lvl>
  </w:abstractNum>
  <w:abstractNum w:abstractNumId="8" w15:restartNumberingAfterBreak="0">
    <w:nsid w:val="1FF359A2"/>
    <w:multiLevelType w:val="hybridMultilevel"/>
    <w:tmpl w:val="C026FC60"/>
    <w:lvl w:ilvl="0" w:tplc="7C22A950">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15:restartNumberingAfterBreak="0">
    <w:nsid w:val="24D94EF9"/>
    <w:multiLevelType w:val="hybridMultilevel"/>
    <w:tmpl w:val="FA52E3C2"/>
    <w:lvl w:ilvl="0" w:tplc="0EC026D6">
      <w:start w:val="1"/>
      <w:numFmt w:val="bullet"/>
      <w:lvlText w:val=""/>
      <w:lvlJc w:val="left"/>
      <w:pPr>
        <w:ind w:left="720" w:hanging="360"/>
      </w:pPr>
      <w:rPr>
        <w:rFonts w:ascii="Symbol" w:hAnsi="Symbol" w:hint="default"/>
      </w:rPr>
    </w:lvl>
    <w:lvl w:ilvl="1" w:tplc="5B3C6B70">
      <w:start w:val="1"/>
      <w:numFmt w:val="bullet"/>
      <w:lvlText w:val="o"/>
      <w:lvlJc w:val="left"/>
      <w:pPr>
        <w:ind w:left="1440" w:hanging="360"/>
      </w:pPr>
      <w:rPr>
        <w:rFonts w:ascii="Courier New" w:hAnsi="Courier New" w:hint="default"/>
      </w:rPr>
    </w:lvl>
    <w:lvl w:ilvl="2" w:tplc="06DEE236">
      <w:start w:val="1"/>
      <w:numFmt w:val="bullet"/>
      <w:lvlText w:val=""/>
      <w:lvlJc w:val="left"/>
      <w:pPr>
        <w:ind w:left="2160" w:hanging="360"/>
      </w:pPr>
      <w:rPr>
        <w:rFonts w:ascii="Wingdings" w:hAnsi="Wingdings" w:hint="default"/>
      </w:rPr>
    </w:lvl>
    <w:lvl w:ilvl="3" w:tplc="ADAAEFF2">
      <w:start w:val="1"/>
      <w:numFmt w:val="bullet"/>
      <w:lvlText w:val=""/>
      <w:lvlJc w:val="left"/>
      <w:pPr>
        <w:ind w:left="2880" w:hanging="360"/>
      </w:pPr>
      <w:rPr>
        <w:rFonts w:ascii="Symbol" w:hAnsi="Symbol" w:hint="default"/>
      </w:rPr>
    </w:lvl>
    <w:lvl w:ilvl="4" w:tplc="A0205A1C">
      <w:start w:val="1"/>
      <w:numFmt w:val="bullet"/>
      <w:lvlText w:val="o"/>
      <w:lvlJc w:val="left"/>
      <w:pPr>
        <w:ind w:left="3600" w:hanging="360"/>
      </w:pPr>
      <w:rPr>
        <w:rFonts w:ascii="Courier New" w:hAnsi="Courier New" w:hint="default"/>
      </w:rPr>
    </w:lvl>
    <w:lvl w:ilvl="5" w:tplc="8072095E">
      <w:start w:val="1"/>
      <w:numFmt w:val="bullet"/>
      <w:lvlText w:val=""/>
      <w:lvlJc w:val="left"/>
      <w:pPr>
        <w:ind w:left="4320" w:hanging="360"/>
      </w:pPr>
      <w:rPr>
        <w:rFonts w:ascii="Wingdings" w:hAnsi="Wingdings" w:hint="default"/>
      </w:rPr>
    </w:lvl>
    <w:lvl w:ilvl="6" w:tplc="A6B4D7A6">
      <w:start w:val="1"/>
      <w:numFmt w:val="bullet"/>
      <w:lvlText w:val=""/>
      <w:lvlJc w:val="left"/>
      <w:pPr>
        <w:ind w:left="5040" w:hanging="360"/>
      </w:pPr>
      <w:rPr>
        <w:rFonts w:ascii="Symbol" w:hAnsi="Symbol" w:hint="default"/>
      </w:rPr>
    </w:lvl>
    <w:lvl w:ilvl="7" w:tplc="9B020B78">
      <w:start w:val="1"/>
      <w:numFmt w:val="bullet"/>
      <w:lvlText w:val="o"/>
      <w:lvlJc w:val="left"/>
      <w:pPr>
        <w:ind w:left="5760" w:hanging="360"/>
      </w:pPr>
      <w:rPr>
        <w:rFonts w:ascii="Courier New" w:hAnsi="Courier New" w:hint="default"/>
      </w:rPr>
    </w:lvl>
    <w:lvl w:ilvl="8" w:tplc="3D3471F2">
      <w:start w:val="1"/>
      <w:numFmt w:val="bullet"/>
      <w:lvlText w:val=""/>
      <w:lvlJc w:val="left"/>
      <w:pPr>
        <w:ind w:left="6480" w:hanging="360"/>
      </w:pPr>
      <w:rPr>
        <w:rFonts w:ascii="Wingdings" w:hAnsi="Wingdings" w:hint="default"/>
      </w:rPr>
    </w:lvl>
  </w:abstractNum>
  <w:abstractNum w:abstractNumId="10"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1"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2" w15:restartNumberingAfterBreak="0">
    <w:nsid w:val="311479BA"/>
    <w:multiLevelType w:val="hybridMultilevel"/>
    <w:tmpl w:val="43DE305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37020905"/>
    <w:multiLevelType w:val="hybridMultilevel"/>
    <w:tmpl w:val="A8AC668A"/>
    <w:lvl w:ilvl="0" w:tplc="FFFFFFF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437A6E68"/>
    <w:multiLevelType w:val="hybridMultilevel"/>
    <w:tmpl w:val="47502120"/>
    <w:lvl w:ilvl="0" w:tplc="0C090001">
      <w:start w:val="1"/>
      <w:numFmt w:val="bullet"/>
      <w:lvlText w:val=""/>
      <w:lvlJc w:val="left"/>
      <w:pPr>
        <w:ind w:left="786" w:hanging="360"/>
      </w:pPr>
      <w:rPr>
        <w:rFonts w:ascii="Symbol" w:hAnsi="Symbol" w:hint="default"/>
        <w:b w:val="0"/>
        <w:bCs/>
        <w:i w:val="0"/>
        <w:iCs w:val="0"/>
      </w:rPr>
    </w:lvl>
    <w:lvl w:ilvl="1" w:tplc="FFFFFFFF">
      <w:start w:val="1"/>
      <w:numFmt w:val="lowerLetter"/>
      <w:lvlText w:val="%2."/>
      <w:lvlJc w:val="left"/>
      <w:pPr>
        <w:ind w:left="-2528" w:hanging="360"/>
      </w:pPr>
    </w:lvl>
    <w:lvl w:ilvl="2" w:tplc="FFFFFFFF" w:tentative="1">
      <w:start w:val="1"/>
      <w:numFmt w:val="lowerRoman"/>
      <w:lvlText w:val="%3."/>
      <w:lvlJc w:val="right"/>
      <w:pPr>
        <w:ind w:left="-1808" w:hanging="180"/>
      </w:pPr>
    </w:lvl>
    <w:lvl w:ilvl="3" w:tplc="FFFFFFFF" w:tentative="1">
      <w:start w:val="1"/>
      <w:numFmt w:val="decimal"/>
      <w:lvlText w:val="%4."/>
      <w:lvlJc w:val="left"/>
      <w:pPr>
        <w:ind w:left="-1088" w:hanging="360"/>
      </w:pPr>
    </w:lvl>
    <w:lvl w:ilvl="4" w:tplc="FFFFFFFF" w:tentative="1">
      <w:start w:val="1"/>
      <w:numFmt w:val="lowerLetter"/>
      <w:lvlText w:val="%5."/>
      <w:lvlJc w:val="left"/>
      <w:pPr>
        <w:ind w:left="-368" w:hanging="360"/>
      </w:pPr>
    </w:lvl>
    <w:lvl w:ilvl="5" w:tplc="FFFFFFFF" w:tentative="1">
      <w:start w:val="1"/>
      <w:numFmt w:val="lowerRoman"/>
      <w:lvlText w:val="%6."/>
      <w:lvlJc w:val="right"/>
      <w:pPr>
        <w:ind w:left="352" w:hanging="180"/>
      </w:pPr>
    </w:lvl>
    <w:lvl w:ilvl="6" w:tplc="FFFFFFFF" w:tentative="1">
      <w:start w:val="1"/>
      <w:numFmt w:val="decimal"/>
      <w:lvlText w:val="%7."/>
      <w:lvlJc w:val="left"/>
      <w:pPr>
        <w:ind w:left="1072" w:hanging="360"/>
      </w:pPr>
    </w:lvl>
    <w:lvl w:ilvl="7" w:tplc="FFFFFFFF" w:tentative="1">
      <w:start w:val="1"/>
      <w:numFmt w:val="lowerLetter"/>
      <w:lvlText w:val="%8."/>
      <w:lvlJc w:val="left"/>
      <w:pPr>
        <w:ind w:left="1792" w:hanging="360"/>
      </w:pPr>
    </w:lvl>
    <w:lvl w:ilvl="8" w:tplc="FFFFFFFF" w:tentative="1">
      <w:start w:val="1"/>
      <w:numFmt w:val="lowerRoman"/>
      <w:lvlText w:val="%9."/>
      <w:lvlJc w:val="right"/>
      <w:pPr>
        <w:ind w:left="2512" w:hanging="180"/>
      </w:pPr>
    </w:lvl>
  </w:abstractNum>
  <w:abstractNum w:abstractNumId="15" w15:restartNumberingAfterBreak="0">
    <w:nsid w:val="509E10A9"/>
    <w:multiLevelType w:val="hybridMultilevel"/>
    <w:tmpl w:val="9F52B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5AA21F0"/>
    <w:multiLevelType w:val="hybridMultilevel"/>
    <w:tmpl w:val="42D091E6"/>
    <w:lvl w:ilvl="0" w:tplc="BC84A456">
      <w:start w:val="1"/>
      <w:numFmt w:val="decimal"/>
      <w:pStyle w:val="ACMATableHeader"/>
      <w:lvlText w:val="Table %1:"/>
      <w:lvlJc w:val="left"/>
      <w:pPr>
        <w:tabs>
          <w:tab w:val="num" w:pos="964"/>
        </w:tabs>
        <w:ind w:left="964" w:hanging="964"/>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BB0471D"/>
    <w:multiLevelType w:val="hybridMultilevel"/>
    <w:tmpl w:val="B4EAE36C"/>
    <w:lvl w:ilvl="0" w:tplc="0C090001">
      <w:start w:val="1"/>
      <w:numFmt w:val="bullet"/>
      <w:lvlText w:val=""/>
      <w:lvlJc w:val="left"/>
      <w:pPr>
        <w:ind w:left="1898" w:hanging="360"/>
      </w:pPr>
      <w:rPr>
        <w:rFonts w:ascii="Symbol" w:hAnsi="Symbol" w:hint="default"/>
      </w:rPr>
    </w:lvl>
    <w:lvl w:ilvl="1" w:tplc="0C090003" w:tentative="1">
      <w:start w:val="1"/>
      <w:numFmt w:val="bullet"/>
      <w:lvlText w:val="o"/>
      <w:lvlJc w:val="left"/>
      <w:pPr>
        <w:ind w:left="2618" w:hanging="360"/>
      </w:pPr>
      <w:rPr>
        <w:rFonts w:ascii="Courier New" w:hAnsi="Courier New" w:cs="Courier New" w:hint="default"/>
      </w:rPr>
    </w:lvl>
    <w:lvl w:ilvl="2" w:tplc="0C090005" w:tentative="1">
      <w:start w:val="1"/>
      <w:numFmt w:val="bullet"/>
      <w:lvlText w:val=""/>
      <w:lvlJc w:val="left"/>
      <w:pPr>
        <w:ind w:left="3338" w:hanging="360"/>
      </w:pPr>
      <w:rPr>
        <w:rFonts w:ascii="Wingdings" w:hAnsi="Wingdings" w:hint="default"/>
      </w:rPr>
    </w:lvl>
    <w:lvl w:ilvl="3" w:tplc="0C090001" w:tentative="1">
      <w:start w:val="1"/>
      <w:numFmt w:val="bullet"/>
      <w:lvlText w:val=""/>
      <w:lvlJc w:val="left"/>
      <w:pPr>
        <w:ind w:left="4058" w:hanging="360"/>
      </w:pPr>
      <w:rPr>
        <w:rFonts w:ascii="Symbol" w:hAnsi="Symbol" w:hint="default"/>
      </w:rPr>
    </w:lvl>
    <w:lvl w:ilvl="4" w:tplc="0C090003" w:tentative="1">
      <w:start w:val="1"/>
      <w:numFmt w:val="bullet"/>
      <w:lvlText w:val="o"/>
      <w:lvlJc w:val="left"/>
      <w:pPr>
        <w:ind w:left="4778" w:hanging="360"/>
      </w:pPr>
      <w:rPr>
        <w:rFonts w:ascii="Courier New" w:hAnsi="Courier New" w:cs="Courier New" w:hint="default"/>
      </w:rPr>
    </w:lvl>
    <w:lvl w:ilvl="5" w:tplc="0C090005" w:tentative="1">
      <w:start w:val="1"/>
      <w:numFmt w:val="bullet"/>
      <w:lvlText w:val=""/>
      <w:lvlJc w:val="left"/>
      <w:pPr>
        <w:ind w:left="5498" w:hanging="360"/>
      </w:pPr>
      <w:rPr>
        <w:rFonts w:ascii="Wingdings" w:hAnsi="Wingdings" w:hint="default"/>
      </w:rPr>
    </w:lvl>
    <w:lvl w:ilvl="6" w:tplc="0C090001" w:tentative="1">
      <w:start w:val="1"/>
      <w:numFmt w:val="bullet"/>
      <w:lvlText w:val=""/>
      <w:lvlJc w:val="left"/>
      <w:pPr>
        <w:ind w:left="6218" w:hanging="360"/>
      </w:pPr>
      <w:rPr>
        <w:rFonts w:ascii="Symbol" w:hAnsi="Symbol" w:hint="default"/>
      </w:rPr>
    </w:lvl>
    <w:lvl w:ilvl="7" w:tplc="0C090003" w:tentative="1">
      <w:start w:val="1"/>
      <w:numFmt w:val="bullet"/>
      <w:lvlText w:val="o"/>
      <w:lvlJc w:val="left"/>
      <w:pPr>
        <w:ind w:left="6938" w:hanging="360"/>
      </w:pPr>
      <w:rPr>
        <w:rFonts w:ascii="Courier New" w:hAnsi="Courier New" w:cs="Courier New" w:hint="default"/>
      </w:rPr>
    </w:lvl>
    <w:lvl w:ilvl="8" w:tplc="0C090005" w:tentative="1">
      <w:start w:val="1"/>
      <w:numFmt w:val="bullet"/>
      <w:lvlText w:val=""/>
      <w:lvlJc w:val="left"/>
      <w:pPr>
        <w:ind w:left="7658" w:hanging="360"/>
      </w:pPr>
      <w:rPr>
        <w:rFonts w:ascii="Wingdings" w:hAnsi="Wingdings" w:hint="default"/>
      </w:rPr>
    </w:lvl>
  </w:abstractNum>
  <w:abstractNum w:abstractNumId="18" w15:restartNumberingAfterBreak="0">
    <w:nsid w:val="61670402"/>
    <w:multiLevelType w:val="hybridMultilevel"/>
    <w:tmpl w:val="B62AE132"/>
    <w:lvl w:ilvl="0" w:tplc="D814F732">
      <w:start w:val="1"/>
      <w:numFmt w:val="decimal"/>
      <w:lvlText w:val="%1."/>
      <w:lvlJc w:val="left"/>
      <w:pPr>
        <w:ind w:left="4754" w:hanging="360"/>
      </w:pPr>
      <w:rPr>
        <w:rFonts w:ascii="Arial" w:hAnsi="Arial" w:cs="Arial" w:hint="default"/>
        <w:b w:val="0"/>
        <w:bCs/>
        <w:i w:val="0"/>
        <w:i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3D05FC8"/>
    <w:multiLevelType w:val="hybridMultilevel"/>
    <w:tmpl w:val="8FA88A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DE115B1"/>
    <w:multiLevelType w:val="hybridMultilevel"/>
    <w:tmpl w:val="BFE2E2F6"/>
    <w:lvl w:ilvl="0" w:tplc="B5924CF4">
      <w:start w:val="1"/>
      <w:numFmt w:val="bullet"/>
      <w:lvlText w:val="&gt;"/>
      <w:lvlJc w:val="left"/>
      <w:pPr>
        <w:ind w:left="720" w:hanging="360"/>
      </w:pPr>
      <w:rPr>
        <w:rFonts w:ascii="HelveticaNeueLT Std Lt" w:hAnsi="HelveticaNeueLT Std Lt" w:hint="default"/>
      </w:rPr>
    </w:lvl>
    <w:lvl w:ilvl="1" w:tplc="BC929D74">
      <w:start w:val="1"/>
      <w:numFmt w:val="bullet"/>
      <w:lvlText w:val="o"/>
      <w:lvlJc w:val="left"/>
      <w:pPr>
        <w:ind w:left="1440" w:hanging="360"/>
      </w:pPr>
      <w:rPr>
        <w:rFonts w:ascii="Courier New" w:hAnsi="Courier New" w:hint="default"/>
      </w:rPr>
    </w:lvl>
    <w:lvl w:ilvl="2" w:tplc="D58C0D40">
      <w:start w:val="1"/>
      <w:numFmt w:val="bullet"/>
      <w:lvlText w:val=""/>
      <w:lvlJc w:val="left"/>
      <w:pPr>
        <w:ind w:left="2160" w:hanging="360"/>
      </w:pPr>
      <w:rPr>
        <w:rFonts w:ascii="Wingdings" w:hAnsi="Wingdings" w:hint="default"/>
      </w:rPr>
    </w:lvl>
    <w:lvl w:ilvl="3" w:tplc="CD5E0532">
      <w:start w:val="1"/>
      <w:numFmt w:val="bullet"/>
      <w:lvlText w:val=""/>
      <w:lvlJc w:val="left"/>
      <w:pPr>
        <w:ind w:left="2880" w:hanging="360"/>
      </w:pPr>
      <w:rPr>
        <w:rFonts w:ascii="Symbol" w:hAnsi="Symbol" w:hint="default"/>
      </w:rPr>
    </w:lvl>
    <w:lvl w:ilvl="4" w:tplc="8F007598">
      <w:start w:val="1"/>
      <w:numFmt w:val="bullet"/>
      <w:lvlText w:val="o"/>
      <w:lvlJc w:val="left"/>
      <w:pPr>
        <w:ind w:left="3600" w:hanging="360"/>
      </w:pPr>
      <w:rPr>
        <w:rFonts w:ascii="Courier New" w:hAnsi="Courier New" w:hint="default"/>
      </w:rPr>
    </w:lvl>
    <w:lvl w:ilvl="5" w:tplc="E230104E">
      <w:start w:val="1"/>
      <w:numFmt w:val="bullet"/>
      <w:lvlText w:val=""/>
      <w:lvlJc w:val="left"/>
      <w:pPr>
        <w:ind w:left="4320" w:hanging="360"/>
      </w:pPr>
      <w:rPr>
        <w:rFonts w:ascii="Wingdings" w:hAnsi="Wingdings" w:hint="default"/>
      </w:rPr>
    </w:lvl>
    <w:lvl w:ilvl="6" w:tplc="D370223E">
      <w:start w:val="1"/>
      <w:numFmt w:val="bullet"/>
      <w:lvlText w:val=""/>
      <w:lvlJc w:val="left"/>
      <w:pPr>
        <w:ind w:left="5040" w:hanging="360"/>
      </w:pPr>
      <w:rPr>
        <w:rFonts w:ascii="Symbol" w:hAnsi="Symbol" w:hint="default"/>
      </w:rPr>
    </w:lvl>
    <w:lvl w:ilvl="7" w:tplc="2118F5CA">
      <w:start w:val="1"/>
      <w:numFmt w:val="bullet"/>
      <w:lvlText w:val="o"/>
      <w:lvlJc w:val="left"/>
      <w:pPr>
        <w:ind w:left="5760" w:hanging="360"/>
      </w:pPr>
      <w:rPr>
        <w:rFonts w:ascii="Courier New" w:hAnsi="Courier New" w:hint="default"/>
      </w:rPr>
    </w:lvl>
    <w:lvl w:ilvl="8" w:tplc="11624014">
      <w:start w:val="1"/>
      <w:numFmt w:val="bullet"/>
      <w:lvlText w:val=""/>
      <w:lvlJc w:val="left"/>
      <w:pPr>
        <w:ind w:left="6480" w:hanging="360"/>
      </w:pPr>
      <w:rPr>
        <w:rFonts w:ascii="Wingdings" w:hAnsi="Wingdings" w:hint="default"/>
      </w:rPr>
    </w:lvl>
  </w:abstractNum>
  <w:abstractNum w:abstractNumId="24" w15:restartNumberingAfterBreak="0">
    <w:nsid w:val="75650002"/>
    <w:multiLevelType w:val="hybridMultilevel"/>
    <w:tmpl w:val="EB92ED48"/>
    <w:lvl w:ilvl="0" w:tplc="8D5C9890">
      <w:start w:val="1"/>
      <w:numFmt w:val="bullet"/>
      <w:lvlText w:val=""/>
      <w:lvlJc w:val="left"/>
      <w:pPr>
        <w:ind w:left="720" w:hanging="360"/>
      </w:pPr>
      <w:rPr>
        <w:rFonts w:ascii="Symbol" w:hAnsi="Symbol" w:hint="default"/>
      </w:rPr>
    </w:lvl>
    <w:lvl w:ilvl="1" w:tplc="4A3E7C72">
      <w:start w:val="1"/>
      <w:numFmt w:val="bullet"/>
      <w:lvlText w:val="o"/>
      <w:lvlJc w:val="left"/>
      <w:pPr>
        <w:ind w:left="1440" w:hanging="360"/>
      </w:pPr>
      <w:rPr>
        <w:rFonts w:ascii="Courier New" w:hAnsi="Courier New" w:hint="default"/>
      </w:rPr>
    </w:lvl>
    <w:lvl w:ilvl="2" w:tplc="992E20AC">
      <w:start w:val="1"/>
      <w:numFmt w:val="bullet"/>
      <w:lvlText w:val=""/>
      <w:lvlJc w:val="left"/>
      <w:pPr>
        <w:ind w:left="2160" w:hanging="360"/>
      </w:pPr>
      <w:rPr>
        <w:rFonts w:ascii="Wingdings" w:hAnsi="Wingdings" w:hint="default"/>
      </w:rPr>
    </w:lvl>
    <w:lvl w:ilvl="3" w:tplc="BFBE8C60">
      <w:start w:val="1"/>
      <w:numFmt w:val="bullet"/>
      <w:lvlText w:val=""/>
      <w:lvlJc w:val="left"/>
      <w:pPr>
        <w:ind w:left="2880" w:hanging="360"/>
      </w:pPr>
      <w:rPr>
        <w:rFonts w:ascii="Symbol" w:hAnsi="Symbol" w:hint="default"/>
      </w:rPr>
    </w:lvl>
    <w:lvl w:ilvl="4" w:tplc="C25CFF90">
      <w:start w:val="1"/>
      <w:numFmt w:val="bullet"/>
      <w:lvlText w:val="o"/>
      <w:lvlJc w:val="left"/>
      <w:pPr>
        <w:ind w:left="3600" w:hanging="360"/>
      </w:pPr>
      <w:rPr>
        <w:rFonts w:ascii="Courier New" w:hAnsi="Courier New" w:hint="default"/>
      </w:rPr>
    </w:lvl>
    <w:lvl w:ilvl="5" w:tplc="DFA2D78A">
      <w:start w:val="1"/>
      <w:numFmt w:val="bullet"/>
      <w:lvlText w:val=""/>
      <w:lvlJc w:val="left"/>
      <w:pPr>
        <w:ind w:left="4320" w:hanging="360"/>
      </w:pPr>
      <w:rPr>
        <w:rFonts w:ascii="Wingdings" w:hAnsi="Wingdings" w:hint="default"/>
      </w:rPr>
    </w:lvl>
    <w:lvl w:ilvl="6" w:tplc="5C9079EE">
      <w:start w:val="1"/>
      <w:numFmt w:val="bullet"/>
      <w:lvlText w:val=""/>
      <w:lvlJc w:val="left"/>
      <w:pPr>
        <w:ind w:left="5040" w:hanging="360"/>
      </w:pPr>
      <w:rPr>
        <w:rFonts w:ascii="Symbol" w:hAnsi="Symbol" w:hint="default"/>
      </w:rPr>
    </w:lvl>
    <w:lvl w:ilvl="7" w:tplc="3D74F8CC">
      <w:start w:val="1"/>
      <w:numFmt w:val="bullet"/>
      <w:lvlText w:val="o"/>
      <w:lvlJc w:val="left"/>
      <w:pPr>
        <w:ind w:left="5760" w:hanging="360"/>
      </w:pPr>
      <w:rPr>
        <w:rFonts w:ascii="Courier New" w:hAnsi="Courier New" w:hint="default"/>
      </w:rPr>
    </w:lvl>
    <w:lvl w:ilvl="8" w:tplc="3C727646">
      <w:start w:val="1"/>
      <w:numFmt w:val="bullet"/>
      <w:lvlText w:val=""/>
      <w:lvlJc w:val="left"/>
      <w:pPr>
        <w:ind w:left="6480" w:hanging="360"/>
      </w:pPr>
      <w:rPr>
        <w:rFonts w:ascii="Wingdings" w:hAnsi="Wingdings" w:hint="default"/>
      </w:rPr>
    </w:lvl>
  </w:abstractNum>
  <w:abstractNum w:abstractNumId="25" w15:restartNumberingAfterBreak="0">
    <w:nsid w:val="78EB315A"/>
    <w:multiLevelType w:val="hybridMultilevel"/>
    <w:tmpl w:val="FF5E647C"/>
    <w:lvl w:ilvl="0" w:tplc="59989664">
      <w:start w:val="1"/>
      <w:numFmt w:val="decimal"/>
      <w:lvlText w:val="%1."/>
      <w:lvlJc w:val="left"/>
      <w:pPr>
        <w:ind w:left="720" w:hanging="360"/>
      </w:pPr>
    </w:lvl>
    <w:lvl w:ilvl="1" w:tplc="F648B048">
      <w:start w:val="1"/>
      <w:numFmt w:val="lowerLetter"/>
      <w:lvlText w:val="%2."/>
      <w:lvlJc w:val="left"/>
      <w:pPr>
        <w:ind w:left="1440" w:hanging="360"/>
      </w:pPr>
    </w:lvl>
    <w:lvl w:ilvl="2" w:tplc="5B2AABD4">
      <w:start w:val="1"/>
      <w:numFmt w:val="lowerRoman"/>
      <w:lvlText w:val="%3."/>
      <w:lvlJc w:val="right"/>
      <w:pPr>
        <w:ind w:left="2160" w:hanging="180"/>
      </w:pPr>
    </w:lvl>
    <w:lvl w:ilvl="3" w:tplc="64EABE10">
      <w:start w:val="1"/>
      <w:numFmt w:val="decimal"/>
      <w:lvlText w:val="%4."/>
      <w:lvlJc w:val="left"/>
      <w:pPr>
        <w:ind w:left="2880" w:hanging="360"/>
      </w:pPr>
    </w:lvl>
    <w:lvl w:ilvl="4" w:tplc="0D1C6BF2">
      <w:start w:val="1"/>
      <w:numFmt w:val="lowerLetter"/>
      <w:lvlText w:val="%5."/>
      <w:lvlJc w:val="left"/>
      <w:pPr>
        <w:ind w:left="3600" w:hanging="360"/>
      </w:pPr>
    </w:lvl>
    <w:lvl w:ilvl="5" w:tplc="834EDB46">
      <w:start w:val="1"/>
      <w:numFmt w:val="lowerRoman"/>
      <w:lvlText w:val="%6."/>
      <w:lvlJc w:val="right"/>
      <w:pPr>
        <w:ind w:left="4320" w:hanging="180"/>
      </w:pPr>
    </w:lvl>
    <w:lvl w:ilvl="6" w:tplc="B0F09612">
      <w:start w:val="1"/>
      <w:numFmt w:val="decimal"/>
      <w:lvlText w:val="%7."/>
      <w:lvlJc w:val="left"/>
      <w:pPr>
        <w:ind w:left="5040" w:hanging="360"/>
      </w:pPr>
    </w:lvl>
    <w:lvl w:ilvl="7" w:tplc="96FEF546">
      <w:start w:val="1"/>
      <w:numFmt w:val="lowerLetter"/>
      <w:lvlText w:val="%8."/>
      <w:lvlJc w:val="left"/>
      <w:pPr>
        <w:ind w:left="5760" w:hanging="360"/>
      </w:pPr>
    </w:lvl>
    <w:lvl w:ilvl="8" w:tplc="4A564728">
      <w:start w:val="1"/>
      <w:numFmt w:val="lowerRoman"/>
      <w:lvlText w:val="%9."/>
      <w:lvlJc w:val="right"/>
      <w:pPr>
        <w:ind w:left="6480" w:hanging="180"/>
      </w:pPr>
    </w:lvl>
  </w:abstractNum>
  <w:abstractNum w:abstractNumId="26" w15:restartNumberingAfterBreak="0">
    <w:nsid w:val="791F77D7"/>
    <w:multiLevelType w:val="hybridMultilevel"/>
    <w:tmpl w:val="70805B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368220647">
    <w:abstractNumId w:val="3"/>
  </w:num>
  <w:num w:numId="2" w16cid:durableId="1883323714">
    <w:abstractNumId w:val="1"/>
  </w:num>
  <w:num w:numId="3" w16cid:durableId="1848593948">
    <w:abstractNumId w:val="2"/>
  </w:num>
  <w:num w:numId="4" w16cid:durableId="353385191">
    <w:abstractNumId w:val="0"/>
  </w:num>
  <w:num w:numId="5" w16cid:durableId="1103260505">
    <w:abstractNumId w:val="10"/>
  </w:num>
  <w:num w:numId="6" w16cid:durableId="1972979740">
    <w:abstractNumId w:val="21"/>
  </w:num>
  <w:num w:numId="7" w16cid:durableId="1679846593">
    <w:abstractNumId w:val="16"/>
  </w:num>
  <w:num w:numId="8" w16cid:durableId="854079668">
    <w:abstractNumId w:val="19"/>
  </w:num>
  <w:num w:numId="9" w16cid:durableId="768311167">
    <w:abstractNumId w:val="22"/>
  </w:num>
  <w:num w:numId="10" w16cid:durableId="1873952980">
    <w:abstractNumId w:val="5"/>
  </w:num>
  <w:num w:numId="11" w16cid:durableId="1134568604">
    <w:abstractNumId w:val="4"/>
  </w:num>
  <w:num w:numId="12" w16cid:durableId="1815296167">
    <w:abstractNumId w:val="3"/>
  </w:num>
  <w:num w:numId="13" w16cid:durableId="1903634748">
    <w:abstractNumId w:val="2"/>
    <w:lvlOverride w:ilvl="0">
      <w:startOverride w:val="1"/>
    </w:lvlOverride>
  </w:num>
  <w:num w:numId="14" w16cid:durableId="1631550455">
    <w:abstractNumId w:val="2"/>
    <w:lvlOverride w:ilvl="0">
      <w:startOverride w:val="1"/>
    </w:lvlOverride>
  </w:num>
  <w:num w:numId="15" w16cid:durableId="1526942766">
    <w:abstractNumId w:val="2"/>
    <w:lvlOverride w:ilvl="0">
      <w:startOverride w:val="1"/>
    </w:lvlOverride>
  </w:num>
  <w:num w:numId="16" w16cid:durableId="1996835994">
    <w:abstractNumId w:val="11"/>
  </w:num>
  <w:num w:numId="17" w16cid:durableId="1637830082">
    <w:abstractNumId w:val="2"/>
    <w:lvlOverride w:ilvl="0">
      <w:startOverride w:val="1"/>
    </w:lvlOverride>
  </w:num>
  <w:num w:numId="18" w16cid:durableId="198397301">
    <w:abstractNumId w:val="9"/>
  </w:num>
  <w:num w:numId="19" w16cid:durableId="1089471535">
    <w:abstractNumId w:val="24"/>
  </w:num>
  <w:num w:numId="20" w16cid:durableId="2024285985">
    <w:abstractNumId w:val="25"/>
  </w:num>
  <w:num w:numId="21" w16cid:durableId="1536113280">
    <w:abstractNumId w:val="7"/>
  </w:num>
  <w:num w:numId="22" w16cid:durableId="182784940">
    <w:abstractNumId w:val="23"/>
  </w:num>
  <w:num w:numId="23" w16cid:durableId="255476813">
    <w:abstractNumId w:val="12"/>
  </w:num>
  <w:num w:numId="24" w16cid:durableId="105008355">
    <w:abstractNumId w:val="20"/>
  </w:num>
  <w:num w:numId="25" w16cid:durableId="124155014">
    <w:abstractNumId w:val="17"/>
  </w:num>
  <w:num w:numId="26" w16cid:durableId="468715413">
    <w:abstractNumId w:val="3"/>
  </w:num>
  <w:num w:numId="27" w16cid:durableId="90863061">
    <w:abstractNumId w:val="3"/>
  </w:num>
  <w:num w:numId="28" w16cid:durableId="1852988490">
    <w:abstractNumId w:val="13"/>
  </w:num>
  <w:num w:numId="29" w16cid:durableId="789058642">
    <w:abstractNumId w:val="8"/>
  </w:num>
  <w:num w:numId="30" w16cid:durableId="1208957985">
    <w:abstractNumId w:val="3"/>
  </w:num>
  <w:num w:numId="31" w16cid:durableId="1329333916">
    <w:abstractNumId w:val="6"/>
  </w:num>
  <w:num w:numId="32" w16cid:durableId="354887878">
    <w:abstractNumId w:val="15"/>
  </w:num>
  <w:num w:numId="33" w16cid:durableId="167326972">
    <w:abstractNumId w:val="18"/>
  </w:num>
  <w:num w:numId="34" w16cid:durableId="1650354833">
    <w:abstractNumId w:val="14"/>
  </w:num>
  <w:num w:numId="35" w16cid:durableId="245654104">
    <w:abstractNumId w:val="2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99E"/>
    <w:rsid w:val="00000621"/>
    <w:rsid w:val="0000100E"/>
    <w:rsid w:val="00001053"/>
    <w:rsid w:val="00001431"/>
    <w:rsid w:val="00001437"/>
    <w:rsid w:val="00002D45"/>
    <w:rsid w:val="00003345"/>
    <w:rsid w:val="0000351E"/>
    <w:rsid w:val="0000388D"/>
    <w:rsid w:val="00003AAB"/>
    <w:rsid w:val="00003E04"/>
    <w:rsid w:val="0000514A"/>
    <w:rsid w:val="000059FA"/>
    <w:rsid w:val="00005DE1"/>
    <w:rsid w:val="00005FED"/>
    <w:rsid w:val="0000657B"/>
    <w:rsid w:val="00006655"/>
    <w:rsid w:val="00006A37"/>
    <w:rsid w:val="00006BFF"/>
    <w:rsid w:val="0000782C"/>
    <w:rsid w:val="00010373"/>
    <w:rsid w:val="00010667"/>
    <w:rsid w:val="00010B24"/>
    <w:rsid w:val="00010D2F"/>
    <w:rsid w:val="00011175"/>
    <w:rsid w:val="000120F9"/>
    <w:rsid w:val="0001225E"/>
    <w:rsid w:val="0001232D"/>
    <w:rsid w:val="00012577"/>
    <w:rsid w:val="000129D5"/>
    <w:rsid w:val="00012B33"/>
    <w:rsid w:val="00013696"/>
    <w:rsid w:val="00013A76"/>
    <w:rsid w:val="00013B1A"/>
    <w:rsid w:val="00014A4A"/>
    <w:rsid w:val="00014FB8"/>
    <w:rsid w:val="00015272"/>
    <w:rsid w:val="00015398"/>
    <w:rsid w:val="000154B8"/>
    <w:rsid w:val="00015AE7"/>
    <w:rsid w:val="000163B4"/>
    <w:rsid w:val="0001671E"/>
    <w:rsid w:val="00016E21"/>
    <w:rsid w:val="0001707B"/>
    <w:rsid w:val="0001719C"/>
    <w:rsid w:val="000174B1"/>
    <w:rsid w:val="00017649"/>
    <w:rsid w:val="00020233"/>
    <w:rsid w:val="00020933"/>
    <w:rsid w:val="00020AC8"/>
    <w:rsid w:val="00020B31"/>
    <w:rsid w:val="00020BAE"/>
    <w:rsid w:val="00020FC0"/>
    <w:rsid w:val="0002145A"/>
    <w:rsid w:val="000217CA"/>
    <w:rsid w:val="00021D3F"/>
    <w:rsid w:val="00021DD7"/>
    <w:rsid w:val="0002224E"/>
    <w:rsid w:val="000232AD"/>
    <w:rsid w:val="00023359"/>
    <w:rsid w:val="000238FD"/>
    <w:rsid w:val="00023A36"/>
    <w:rsid w:val="00023BF8"/>
    <w:rsid w:val="00023D3A"/>
    <w:rsid w:val="000245E5"/>
    <w:rsid w:val="00024623"/>
    <w:rsid w:val="00024876"/>
    <w:rsid w:val="000250A9"/>
    <w:rsid w:val="00025288"/>
    <w:rsid w:val="000256C4"/>
    <w:rsid w:val="00026501"/>
    <w:rsid w:val="0002670C"/>
    <w:rsid w:val="00026C8C"/>
    <w:rsid w:val="00026F91"/>
    <w:rsid w:val="000270A9"/>
    <w:rsid w:val="00027281"/>
    <w:rsid w:val="000277EF"/>
    <w:rsid w:val="000303DF"/>
    <w:rsid w:val="000305C9"/>
    <w:rsid w:val="000305CF"/>
    <w:rsid w:val="000308DE"/>
    <w:rsid w:val="0003179A"/>
    <w:rsid w:val="0003211C"/>
    <w:rsid w:val="000323FB"/>
    <w:rsid w:val="00032621"/>
    <w:rsid w:val="000326E6"/>
    <w:rsid w:val="0003472A"/>
    <w:rsid w:val="000358D8"/>
    <w:rsid w:val="00035CC2"/>
    <w:rsid w:val="00036059"/>
    <w:rsid w:val="00037E90"/>
    <w:rsid w:val="00040820"/>
    <w:rsid w:val="00040E33"/>
    <w:rsid w:val="00041230"/>
    <w:rsid w:val="000414CA"/>
    <w:rsid w:val="00041613"/>
    <w:rsid w:val="00041809"/>
    <w:rsid w:val="00041DD4"/>
    <w:rsid w:val="00041F6C"/>
    <w:rsid w:val="00042941"/>
    <w:rsid w:val="00042AA0"/>
    <w:rsid w:val="0004302F"/>
    <w:rsid w:val="000432C8"/>
    <w:rsid w:val="000437A4"/>
    <w:rsid w:val="0004383D"/>
    <w:rsid w:val="000439FC"/>
    <w:rsid w:val="00043C39"/>
    <w:rsid w:val="0004489E"/>
    <w:rsid w:val="000450AE"/>
    <w:rsid w:val="000454C6"/>
    <w:rsid w:val="00045731"/>
    <w:rsid w:val="000457D8"/>
    <w:rsid w:val="00045A7F"/>
    <w:rsid w:val="000469B8"/>
    <w:rsid w:val="00046F9F"/>
    <w:rsid w:val="000475E9"/>
    <w:rsid w:val="0004764C"/>
    <w:rsid w:val="000478CC"/>
    <w:rsid w:val="0005011A"/>
    <w:rsid w:val="0005045A"/>
    <w:rsid w:val="000506BC"/>
    <w:rsid w:val="00050954"/>
    <w:rsid w:val="000510AC"/>
    <w:rsid w:val="000516AF"/>
    <w:rsid w:val="00051C1E"/>
    <w:rsid w:val="00052338"/>
    <w:rsid w:val="0005314F"/>
    <w:rsid w:val="00053749"/>
    <w:rsid w:val="000539F9"/>
    <w:rsid w:val="00054AE1"/>
    <w:rsid w:val="00054C27"/>
    <w:rsid w:val="00054D77"/>
    <w:rsid w:val="00054EAC"/>
    <w:rsid w:val="0005513C"/>
    <w:rsid w:val="00055887"/>
    <w:rsid w:val="00055EC3"/>
    <w:rsid w:val="000563C8"/>
    <w:rsid w:val="000563CE"/>
    <w:rsid w:val="0005654A"/>
    <w:rsid w:val="0005655F"/>
    <w:rsid w:val="00056CA0"/>
    <w:rsid w:val="00057282"/>
    <w:rsid w:val="00057957"/>
    <w:rsid w:val="00060874"/>
    <w:rsid w:val="00060F23"/>
    <w:rsid w:val="00061437"/>
    <w:rsid w:val="00062472"/>
    <w:rsid w:val="00062915"/>
    <w:rsid w:val="00062D8C"/>
    <w:rsid w:val="000630C5"/>
    <w:rsid w:val="00063A1C"/>
    <w:rsid w:val="00063E00"/>
    <w:rsid w:val="00063E71"/>
    <w:rsid w:val="00063F46"/>
    <w:rsid w:val="00064BF9"/>
    <w:rsid w:val="00064CA3"/>
    <w:rsid w:val="00064E42"/>
    <w:rsid w:val="000652B6"/>
    <w:rsid w:val="000652F4"/>
    <w:rsid w:val="000659B6"/>
    <w:rsid w:val="00065C00"/>
    <w:rsid w:val="0006686F"/>
    <w:rsid w:val="0006722A"/>
    <w:rsid w:val="00067677"/>
    <w:rsid w:val="0006794C"/>
    <w:rsid w:val="00067B72"/>
    <w:rsid w:val="000706E2"/>
    <w:rsid w:val="00070DBB"/>
    <w:rsid w:val="00071441"/>
    <w:rsid w:val="00071AED"/>
    <w:rsid w:val="000721E6"/>
    <w:rsid w:val="00072712"/>
    <w:rsid w:val="00072A51"/>
    <w:rsid w:val="00072F1D"/>
    <w:rsid w:val="000732CF"/>
    <w:rsid w:val="00073C0E"/>
    <w:rsid w:val="000740D8"/>
    <w:rsid w:val="0007446F"/>
    <w:rsid w:val="0007469B"/>
    <w:rsid w:val="0007489F"/>
    <w:rsid w:val="000749AD"/>
    <w:rsid w:val="00074B65"/>
    <w:rsid w:val="00074C52"/>
    <w:rsid w:val="00074F67"/>
    <w:rsid w:val="000759D8"/>
    <w:rsid w:val="00075B96"/>
    <w:rsid w:val="00075E95"/>
    <w:rsid w:val="00076310"/>
    <w:rsid w:val="000769F9"/>
    <w:rsid w:val="00076ADF"/>
    <w:rsid w:val="000775EB"/>
    <w:rsid w:val="0008003C"/>
    <w:rsid w:val="0008081F"/>
    <w:rsid w:val="000817E6"/>
    <w:rsid w:val="0008196A"/>
    <w:rsid w:val="00081A3C"/>
    <w:rsid w:val="00081C92"/>
    <w:rsid w:val="0008255F"/>
    <w:rsid w:val="0008258B"/>
    <w:rsid w:val="00082FEE"/>
    <w:rsid w:val="000830C4"/>
    <w:rsid w:val="0008327B"/>
    <w:rsid w:val="00083697"/>
    <w:rsid w:val="00083708"/>
    <w:rsid w:val="00083A4F"/>
    <w:rsid w:val="00084903"/>
    <w:rsid w:val="00084C85"/>
    <w:rsid w:val="0008584C"/>
    <w:rsid w:val="00085D01"/>
    <w:rsid w:val="00086414"/>
    <w:rsid w:val="0008666D"/>
    <w:rsid w:val="00086704"/>
    <w:rsid w:val="0008690E"/>
    <w:rsid w:val="00086BCB"/>
    <w:rsid w:val="00086E51"/>
    <w:rsid w:val="00087454"/>
    <w:rsid w:val="00087A45"/>
    <w:rsid w:val="00087CCC"/>
    <w:rsid w:val="00087F98"/>
    <w:rsid w:val="00090440"/>
    <w:rsid w:val="00090B55"/>
    <w:rsid w:val="0009105B"/>
    <w:rsid w:val="000915ED"/>
    <w:rsid w:val="00091ADB"/>
    <w:rsid w:val="00091E47"/>
    <w:rsid w:val="0009209D"/>
    <w:rsid w:val="00092790"/>
    <w:rsid w:val="00092A7B"/>
    <w:rsid w:val="0009350C"/>
    <w:rsid w:val="00093EF5"/>
    <w:rsid w:val="0009463C"/>
    <w:rsid w:val="00094C5A"/>
    <w:rsid w:val="000954E6"/>
    <w:rsid w:val="00095764"/>
    <w:rsid w:val="00095A75"/>
    <w:rsid w:val="00096585"/>
    <w:rsid w:val="000969BD"/>
    <w:rsid w:val="000969BF"/>
    <w:rsid w:val="00096A23"/>
    <w:rsid w:val="00097446"/>
    <w:rsid w:val="00097CFE"/>
    <w:rsid w:val="000A0693"/>
    <w:rsid w:val="000A09CE"/>
    <w:rsid w:val="000A09E1"/>
    <w:rsid w:val="000A0B45"/>
    <w:rsid w:val="000A0C22"/>
    <w:rsid w:val="000A0F47"/>
    <w:rsid w:val="000A10A7"/>
    <w:rsid w:val="000A1400"/>
    <w:rsid w:val="000A15D4"/>
    <w:rsid w:val="000A17E3"/>
    <w:rsid w:val="000A1CD6"/>
    <w:rsid w:val="000A1EBB"/>
    <w:rsid w:val="000A233E"/>
    <w:rsid w:val="000A307A"/>
    <w:rsid w:val="000A37AE"/>
    <w:rsid w:val="000A3C43"/>
    <w:rsid w:val="000A413A"/>
    <w:rsid w:val="000A4A51"/>
    <w:rsid w:val="000A4BBB"/>
    <w:rsid w:val="000A555F"/>
    <w:rsid w:val="000A5683"/>
    <w:rsid w:val="000A5D0D"/>
    <w:rsid w:val="000A5D2B"/>
    <w:rsid w:val="000A601D"/>
    <w:rsid w:val="000A60ED"/>
    <w:rsid w:val="000A6AD0"/>
    <w:rsid w:val="000A6D53"/>
    <w:rsid w:val="000A6E71"/>
    <w:rsid w:val="000A72AB"/>
    <w:rsid w:val="000A739A"/>
    <w:rsid w:val="000A7B98"/>
    <w:rsid w:val="000B0A34"/>
    <w:rsid w:val="000B0BF0"/>
    <w:rsid w:val="000B0D22"/>
    <w:rsid w:val="000B11C4"/>
    <w:rsid w:val="000B12B2"/>
    <w:rsid w:val="000B1614"/>
    <w:rsid w:val="000B16FA"/>
    <w:rsid w:val="000B1AFD"/>
    <w:rsid w:val="000B3345"/>
    <w:rsid w:val="000B3EA7"/>
    <w:rsid w:val="000B400E"/>
    <w:rsid w:val="000B4285"/>
    <w:rsid w:val="000B4587"/>
    <w:rsid w:val="000B4664"/>
    <w:rsid w:val="000B4BA5"/>
    <w:rsid w:val="000B52AB"/>
    <w:rsid w:val="000B5DE3"/>
    <w:rsid w:val="000B6166"/>
    <w:rsid w:val="000B641B"/>
    <w:rsid w:val="000B6711"/>
    <w:rsid w:val="000B68AA"/>
    <w:rsid w:val="000B7A82"/>
    <w:rsid w:val="000C01B9"/>
    <w:rsid w:val="000C0823"/>
    <w:rsid w:val="000C0A57"/>
    <w:rsid w:val="000C0B7A"/>
    <w:rsid w:val="000C1313"/>
    <w:rsid w:val="000C14E6"/>
    <w:rsid w:val="000C1622"/>
    <w:rsid w:val="000C1E16"/>
    <w:rsid w:val="000C21C4"/>
    <w:rsid w:val="000C230C"/>
    <w:rsid w:val="000C239E"/>
    <w:rsid w:val="000C3107"/>
    <w:rsid w:val="000C310E"/>
    <w:rsid w:val="000C4323"/>
    <w:rsid w:val="000C476B"/>
    <w:rsid w:val="000C488D"/>
    <w:rsid w:val="000C51D6"/>
    <w:rsid w:val="000C553F"/>
    <w:rsid w:val="000C5C59"/>
    <w:rsid w:val="000C63D6"/>
    <w:rsid w:val="000C65EF"/>
    <w:rsid w:val="000C6AB4"/>
    <w:rsid w:val="000C7B3B"/>
    <w:rsid w:val="000D054C"/>
    <w:rsid w:val="000D0BAF"/>
    <w:rsid w:val="000D0D4B"/>
    <w:rsid w:val="000D25E2"/>
    <w:rsid w:val="000D27E2"/>
    <w:rsid w:val="000D2808"/>
    <w:rsid w:val="000D3BD2"/>
    <w:rsid w:val="000D3CBD"/>
    <w:rsid w:val="000D3EDF"/>
    <w:rsid w:val="000D40C6"/>
    <w:rsid w:val="000D5118"/>
    <w:rsid w:val="000D5318"/>
    <w:rsid w:val="000D564A"/>
    <w:rsid w:val="000D56B8"/>
    <w:rsid w:val="000D6DA7"/>
    <w:rsid w:val="000D6E62"/>
    <w:rsid w:val="000D71D9"/>
    <w:rsid w:val="000D76E0"/>
    <w:rsid w:val="000D7794"/>
    <w:rsid w:val="000D7BB9"/>
    <w:rsid w:val="000D7E8B"/>
    <w:rsid w:val="000D7F97"/>
    <w:rsid w:val="000E0259"/>
    <w:rsid w:val="000E069A"/>
    <w:rsid w:val="000E0721"/>
    <w:rsid w:val="000E0DCF"/>
    <w:rsid w:val="000E207F"/>
    <w:rsid w:val="000E2380"/>
    <w:rsid w:val="000E2885"/>
    <w:rsid w:val="000E37EA"/>
    <w:rsid w:val="000E39A3"/>
    <w:rsid w:val="000E3EFC"/>
    <w:rsid w:val="000E4449"/>
    <w:rsid w:val="000E48A1"/>
    <w:rsid w:val="000E5B9C"/>
    <w:rsid w:val="000E5FE2"/>
    <w:rsid w:val="000E6097"/>
    <w:rsid w:val="000E60D9"/>
    <w:rsid w:val="000E62F5"/>
    <w:rsid w:val="000E6341"/>
    <w:rsid w:val="000E6993"/>
    <w:rsid w:val="000E7698"/>
    <w:rsid w:val="000F0228"/>
    <w:rsid w:val="000F0C4C"/>
    <w:rsid w:val="000F1244"/>
    <w:rsid w:val="000F18AD"/>
    <w:rsid w:val="000F1D57"/>
    <w:rsid w:val="000F2DFF"/>
    <w:rsid w:val="000F3033"/>
    <w:rsid w:val="000F3063"/>
    <w:rsid w:val="000F3359"/>
    <w:rsid w:val="000F34FC"/>
    <w:rsid w:val="000F4D26"/>
    <w:rsid w:val="000F518C"/>
    <w:rsid w:val="000F5434"/>
    <w:rsid w:val="000F5B12"/>
    <w:rsid w:val="000F630D"/>
    <w:rsid w:val="000F6959"/>
    <w:rsid w:val="000F6C70"/>
    <w:rsid w:val="000F7A48"/>
    <w:rsid w:val="000F7D05"/>
    <w:rsid w:val="001000C4"/>
    <w:rsid w:val="00100183"/>
    <w:rsid w:val="001002C7"/>
    <w:rsid w:val="0010060D"/>
    <w:rsid w:val="00100D97"/>
    <w:rsid w:val="001011D6"/>
    <w:rsid w:val="001016C7"/>
    <w:rsid w:val="00102128"/>
    <w:rsid w:val="0010253E"/>
    <w:rsid w:val="001029D2"/>
    <w:rsid w:val="00102DC1"/>
    <w:rsid w:val="00103581"/>
    <w:rsid w:val="001035AF"/>
    <w:rsid w:val="00103829"/>
    <w:rsid w:val="0010498C"/>
    <w:rsid w:val="00104A47"/>
    <w:rsid w:val="00105171"/>
    <w:rsid w:val="001052EA"/>
    <w:rsid w:val="00105461"/>
    <w:rsid w:val="0010579B"/>
    <w:rsid w:val="00106364"/>
    <w:rsid w:val="00106998"/>
    <w:rsid w:val="00106E38"/>
    <w:rsid w:val="001073C0"/>
    <w:rsid w:val="001074E8"/>
    <w:rsid w:val="0010755D"/>
    <w:rsid w:val="0011004E"/>
    <w:rsid w:val="001117FE"/>
    <w:rsid w:val="00111B92"/>
    <w:rsid w:val="00111FCE"/>
    <w:rsid w:val="00112081"/>
    <w:rsid w:val="001122BE"/>
    <w:rsid w:val="0011270F"/>
    <w:rsid w:val="00112B45"/>
    <w:rsid w:val="00112D09"/>
    <w:rsid w:val="00112E33"/>
    <w:rsid w:val="0011305C"/>
    <w:rsid w:val="0011322F"/>
    <w:rsid w:val="00113608"/>
    <w:rsid w:val="001136F4"/>
    <w:rsid w:val="0011404C"/>
    <w:rsid w:val="0011425E"/>
    <w:rsid w:val="00114761"/>
    <w:rsid w:val="00115DDD"/>
    <w:rsid w:val="00116FD7"/>
    <w:rsid w:val="00117203"/>
    <w:rsid w:val="001177C4"/>
    <w:rsid w:val="0011787A"/>
    <w:rsid w:val="00117D2C"/>
    <w:rsid w:val="001205AA"/>
    <w:rsid w:val="00121043"/>
    <w:rsid w:val="001211C3"/>
    <w:rsid w:val="0012130E"/>
    <w:rsid w:val="0012145C"/>
    <w:rsid w:val="00121615"/>
    <w:rsid w:val="00121D3F"/>
    <w:rsid w:val="001221BC"/>
    <w:rsid w:val="00122332"/>
    <w:rsid w:val="001229A5"/>
    <w:rsid w:val="00123DE4"/>
    <w:rsid w:val="001240B9"/>
    <w:rsid w:val="0012489B"/>
    <w:rsid w:val="00124C58"/>
    <w:rsid w:val="001251A4"/>
    <w:rsid w:val="0012577A"/>
    <w:rsid w:val="0012583B"/>
    <w:rsid w:val="00126448"/>
    <w:rsid w:val="001272C7"/>
    <w:rsid w:val="001275D0"/>
    <w:rsid w:val="00127915"/>
    <w:rsid w:val="001279B8"/>
    <w:rsid w:val="00130017"/>
    <w:rsid w:val="0013021B"/>
    <w:rsid w:val="00130A6B"/>
    <w:rsid w:val="00130F91"/>
    <w:rsid w:val="00131347"/>
    <w:rsid w:val="001315BC"/>
    <w:rsid w:val="0013171D"/>
    <w:rsid w:val="00132D89"/>
    <w:rsid w:val="00132F58"/>
    <w:rsid w:val="00133B0B"/>
    <w:rsid w:val="001344E6"/>
    <w:rsid w:val="001349ED"/>
    <w:rsid w:val="001371F4"/>
    <w:rsid w:val="00137424"/>
    <w:rsid w:val="00140093"/>
    <w:rsid w:val="001402AA"/>
    <w:rsid w:val="00140318"/>
    <w:rsid w:val="00140B69"/>
    <w:rsid w:val="00140DB8"/>
    <w:rsid w:val="00140F46"/>
    <w:rsid w:val="00141412"/>
    <w:rsid w:val="00141AD9"/>
    <w:rsid w:val="00141B5A"/>
    <w:rsid w:val="00141C21"/>
    <w:rsid w:val="00141DA8"/>
    <w:rsid w:val="00141F62"/>
    <w:rsid w:val="001426C1"/>
    <w:rsid w:val="00142DA3"/>
    <w:rsid w:val="00143190"/>
    <w:rsid w:val="00143333"/>
    <w:rsid w:val="0014349F"/>
    <w:rsid w:val="00143601"/>
    <w:rsid w:val="00143A3A"/>
    <w:rsid w:val="00143D59"/>
    <w:rsid w:val="001447D4"/>
    <w:rsid w:val="001448F8"/>
    <w:rsid w:val="00145E6E"/>
    <w:rsid w:val="00146341"/>
    <w:rsid w:val="001465DC"/>
    <w:rsid w:val="001469B2"/>
    <w:rsid w:val="00146CE6"/>
    <w:rsid w:val="00147500"/>
    <w:rsid w:val="001476C8"/>
    <w:rsid w:val="00147F70"/>
    <w:rsid w:val="00147FFD"/>
    <w:rsid w:val="001506E3"/>
    <w:rsid w:val="00151EE8"/>
    <w:rsid w:val="00151FF0"/>
    <w:rsid w:val="001521BE"/>
    <w:rsid w:val="001521E8"/>
    <w:rsid w:val="00152689"/>
    <w:rsid w:val="00152903"/>
    <w:rsid w:val="0015361F"/>
    <w:rsid w:val="00153ED8"/>
    <w:rsid w:val="00153FD5"/>
    <w:rsid w:val="001543C5"/>
    <w:rsid w:val="001548B6"/>
    <w:rsid w:val="00155375"/>
    <w:rsid w:val="001557C8"/>
    <w:rsid w:val="001559F9"/>
    <w:rsid w:val="00156134"/>
    <w:rsid w:val="0015614F"/>
    <w:rsid w:val="0015692D"/>
    <w:rsid w:val="00156DDA"/>
    <w:rsid w:val="0015750F"/>
    <w:rsid w:val="001577C2"/>
    <w:rsid w:val="001607FB"/>
    <w:rsid w:val="00160E6A"/>
    <w:rsid w:val="001618A5"/>
    <w:rsid w:val="00161A44"/>
    <w:rsid w:val="00161C1F"/>
    <w:rsid w:val="00161CE5"/>
    <w:rsid w:val="001620D8"/>
    <w:rsid w:val="00162CD0"/>
    <w:rsid w:val="001633C4"/>
    <w:rsid w:val="00163499"/>
    <w:rsid w:val="00163BA7"/>
    <w:rsid w:val="0016523D"/>
    <w:rsid w:val="001653BE"/>
    <w:rsid w:val="00165459"/>
    <w:rsid w:val="0016596C"/>
    <w:rsid w:val="001663F9"/>
    <w:rsid w:val="00167649"/>
    <w:rsid w:val="001679A2"/>
    <w:rsid w:val="00167C95"/>
    <w:rsid w:val="00167F28"/>
    <w:rsid w:val="001704D5"/>
    <w:rsid w:val="00170ABE"/>
    <w:rsid w:val="00170B44"/>
    <w:rsid w:val="00170B6F"/>
    <w:rsid w:val="00171058"/>
    <w:rsid w:val="00171591"/>
    <w:rsid w:val="001715DD"/>
    <w:rsid w:val="00171E9D"/>
    <w:rsid w:val="001724D2"/>
    <w:rsid w:val="00172625"/>
    <w:rsid w:val="00173308"/>
    <w:rsid w:val="001734A5"/>
    <w:rsid w:val="001736FA"/>
    <w:rsid w:val="00173981"/>
    <w:rsid w:val="00173D4A"/>
    <w:rsid w:val="00173EFC"/>
    <w:rsid w:val="00174175"/>
    <w:rsid w:val="001749A8"/>
    <w:rsid w:val="00174A39"/>
    <w:rsid w:val="001766BB"/>
    <w:rsid w:val="0017697B"/>
    <w:rsid w:val="00176B74"/>
    <w:rsid w:val="0017719D"/>
    <w:rsid w:val="00177C69"/>
    <w:rsid w:val="00177F67"/>
    <w:rsid w:val="00177FB9"/>
    <w:rsid w:val="00181316"/>
    <w:rsid w:val="00181B8B"/>
    <w:rsid w:val="00181EDD"/>
    <w:rsid w:val="00181FFF"/>
    <w:rsid w:val="0018200B"/>
    <w:rsid w:val="001824C0"/>
    <w:rsid w:val="001824F8"/>
    <w:rsid w:val="00182A44"/>
    <w:rsid w:val="00182BE0"/>
    <w:rsid w:val="00182E87"/>
    <w:rsid w:val="001836E3"/>
    <w:rsid w:val="00183D7B"/>
    <w:rsid w:val="00183FD7"/>
    <w:rsid w:val="001845A6"/>
    <w:rsid w:val="00184737"/>
    <w:rsid w:val="00184954"/>
    <w:rsid w:val="00184B1E"/>
    <w:rsid w:val="00185BA7"/>
    <w:rsid w:val="00185CAB"/>
    <w:rsid w:val="00185D29"/>
    <w:rsid w:val="00186698"/>
    <w:rsid w:val="00186FBB"/>
    <w:rsid w:val="001875B7"/>
    <w:rsid w:val="00187727"/>
    <w:rsid w:val="00187CB3"/>
    <w:rsid w:val="00190086"/>
    <w:rsid w:val="001901C6"/>
    <w:rsid w:val="001903BE"/>
    <w:rsid w:val="0019050A"/>
    <w:rsid w:val="001906E3"/>
    <w:rsid w:val="00190F0D"/>
    <w:rsid w:val="001910D4"/>
    <w:rsid w:val="001931C1"/>
    <w:rsid w:val="001933DE"/>
    <w:rsid w:val="00193E90"/>
    <w:rsid w:val="00194215"/>
    <w:rsid w:val="0019427E"/>
    <w:rsid w:val="00194C2E"/>
    <w:rsid w:val="00195166"/>
    <w:rsid w:val="001953A2"/>
    <w:rsid w:val="00195748"/>
    <w:rsid w:val="00195B2B"/>
    <w:rsid w:val="00196450"/>
    <w:rsid w:val="00196D62"/>
    <w:rsid w:val="00196EBC"/>
    <w:rsid w:val="001976E3"/>
    <w:rsid w:val="00197859"/>
    <w:rsid w:val="001A0829"/>
    <w:rsid w:val="001A1304"/>
    <w:rsid w:val="001A447B"/>
    <w:rsid w:val="001A44EC"/>
    <w:rsid w:val="001A466B"/>
    <w:rsid w:val="001A5450"/>
    <w:rsid w:val="001A5604"/>
    <w:rsid w:val="001A6386"/>
    <w:rsid w:val="001A6761"/>
    <w:rsid w:val="001A6F51"/>
    <w:rsid w:val="001A76AA"/>
    <w:rsid w:val="001A79AE"/>
    <w:rsid w:val="001A7E22"/>
    <w:rsid w:val="001B0689"/>
    <w:rsid w:val="001B0AE5"/>
    <w:rsid w:val="001B117B"/>
    <w:rsid w:val="001B1854"/>
    <w:rsid w:val="001B1BEB"/>
    <w:rsid w:val="001B1FC1"/>
    <w:rsid w:val="001B22E7"/>
    <w:rsid w:val="001B28AB"/>
    <w:rsid w:val="001B33F9"/>
    <w:rsid w:val="001B36D1"/>
    <w:rsid w:val="001B37FC"/>
    <w:rsid w:val="001B46BE"/>
    <w:rsid w:val="001B527E"/>
    <w:rsid w:val="001B58AA"/>
    <w:rsid w:val="001B598A"/>
    <w:rsid w:val="001B5C8F"/>
    <w:rsid w:val="001B5D79"/>
    <w:rsid w:val="001B5EB2"/>
    <w:rsid w:val="001B73CC"/>
    <w:rsid w:val="001B7842"/>
    <w:rsid w:val="001B7910"/>
    <w:rsid w:val="001B7BB1"/>
    <w:rsid w:val="001B7E48"/>
    <w:rsid w:val="001C0312"/>
    <w:rsid w:val="001C0550"/>
    <w:rsid w:val="001C143C"/>
    <w:rsid w:val="001C17CE"/>
    <w:rsid w:val="001C1AEB"/>
    <w:rsid w:val="001C1E49"/>
    <w:rsid w:val="001C1FC7"/>
    <w:rsid w:val="001C22C1"/>
    <w:rsid w:val="001C25AA"/>
    <w:rsid w:val="001C2A38"/>
    <w:rsid w:val="001C31C2"/>
    <w:rsid w:val="001C356A"/>
    <w:rsid w:val="001C36CA"/>
    <w:rsid w:val="001C3774"/>
    <w:rsid w:val="001C41A6"/>
    <w:rsid w:val="001C42EE"/>
    <w:rsid w:val="001C4483"/>
    <w:rsid w:val="001C44D1"/>
    <w:rsid w:val="001C4D82"/>
    <w:rsid w:val="001C5377"/>
    <w:rsid w:val="001C65A3"/>
    <w:rsid w:val="001C69C2"/>
    <w:rsid w:val="001C6AEE"/>
    <w:rsid w:val="001C7373"/>
    <w:rsid w:val="001C7630"/>
    <w:rsid w:val="001C7901"/>
    <w:rsid w:val="001D0FBE"/>
    <w:rsid w:val="001D104C"/>
    <w:rsid w:val="001D12DB"/>
    <w:rsid w:val="001D1557"/>
    <w:rsid w:val="001D15C7"/>
    <w:rsid w:val="001D171B"/>
    <w:rsid w:val="001D19E7"/>
    <w:rsid w:val="001D2C7E"/>
    <w:rsid w:val="001D383A"/>
    <w:rsid w:val="001D3A55"/>
    <w:rsid w:val="001D4296"/>
    <w:rsid w:val="001D48DD"/>
    <w:rsid w:val="001D499A"/>
    <w:rsid w:val="001D5A25"/>
    <w:rsid w:val="001D5B55"/>
    <w:rsid w:val="001D6D15"/>
    <w:rsid w:val="001D7320"/>
    <w:rsid w:val="001D74D6"/>
    <w:rsid w:val="001D791E"/>
    <w:rsid w:val="001D7C28"/>
    <w:rsid w:val="001E0073"/>
    <w:rsid w:val="001E02CE"/>
    <w:rsid w:val="001E04ED"/>
    <w:rsid w:val="001E195E"/>
    <w:rsid w:val="001E2620"/>
    <w:rsid w:val="001E2A24"/>
    <w:rsid w:val="001E2CA8"/>
    <w:rsid w:val="001E33C6"/>
    <w:rsid w:val="001E41C7"/>
    <w:rsid w:val="001E41FE"/>
    <w:rsid w:val="001E4DED"/>
    <w:rsid w:val="001E4EA7"/>
    <w:rsid w:val="001E638B"/>
    <w:rsid w:val="001E7455"/>
    <w:rsid w:val="001E7D5D"/>
    <w:rsid w:val="001F0439"/>
    <w:rsid w:val="001F0747"/>
    <w:rsid w:val="001F1860"/>
    <w:rsid w:val="001F18C3"/>
    <w:rsid w:val="001F1C98"/>
    <w:rsid w:val="001F2A15"/>
    <w:rsid w:val="001F2F6F"/>
    <w:rsid w:val="001F301F"/>
    <w:rsid w:val="001F3269"/>
    <w:rsid w:val="001F3607"/>
    <w:rsid w:val="001F3A89"/>
    <w:rsid w:val="001F3DE1"/>
    <w:rsid w:val="001F4646"/>
    <w:rsid w:val="001F4FC0"/>
    <w:rsid w:val="001F50F7"/>
    <w:rsid w:val="001F6061"/>
    <w:rsid w:val="001F6316"/>
    <w:rsid w:val="001F65EB"/>
    <w:rsid w:val="001F6922"/>
    <w:rsid w:val="001F7558"/>
    <w:rsid w:val="001F7848"/>
    <w:rsid w:val="001F7D86"/>
    <w:rsid w:val="002001A2"/>
    <w:rsid w:val="00201EE2"/>
    <w:rsid w:val="002027BE"/>
    <w:rsid w:val="00203A11"/>
    <w:rsid w:val="002048EB"/>
    <w:rsid w:val="00204A23"/>
    <w:rsid w:val="00204CDD"/>
    <w:rsid w:val="002051C9"/>
    <w:rsid w:val="00205258"/>
    <w:rsid w:val="00205284"/>
    <w:rsid w:val="0020556F"/>
    <w:rsid w:val="00205887"/>
    <w:rsid w:val="00205B57"/>
    <w:rsid w:val="00205DC2"/>
    <w:rsid w:val="00206620"/>
    <w:rsid w:val="00206900"/>
    <w:rsid w:val="00206C5F"/>
    <w:rsid w:val="00206F21"/>
    <w:rsid w:val="00207497"/>
    <w:rsid w:val="0020766C"/>
    <w:rsid w:val="002076BE"/>
    <w:rsid w:val="00210056"/>
    <w:rsid w:val="0021063C"/>
    <w:rsid w:val="002109B5"/>
    <w:rsid w:val="00210C08"/>
    <w:rsid w:val="00210D0D"/>
    <w:rsid w:val="00211890"/>
    <w:rsid w:val="002118B0"/>
    <w:rsid w:val="00212095"/>
    <w:rsid w:val="00212922"/>
    <w:rsid w:val="002129A9"/>
    <w:rsid w:val="00212BCC"/>
    <w:rsid w:val="00212D85"/>
    <w:rsid w:val="00213284"/>
    <w:rsid w:val="002134D1"/>
    <w:rsid w:val="002135D8"/>
    <w:rsid w:val="0021386D"/>
    <w:rsid w:val="00213B68"/>
    <w:rsid w:val="0021426C"/>
    <w:rsid w:val="0021579F"/>
    <w:rsid w:val="002157E0"/>
    <w:rsid w:val="00215F04"/>
    <w:rsid w:val="00216541"/>
    <w:rsid w:val="00216A57"/>
    <w:rsid w:val="00216FF5"/>
    <w:rsid w:val="00217448"/>
    <w:rsid w:val="00217838"/>
    <w:rsid w:val="00217D60"/>
    <w:rsid w:val="00220084"/>
    <w:rsid w:val="00220231"/>
    <w:rsid w:val="002204B3"/>
    <w:rsid w:val="002208F1"/>
    <w:rsid w:val="00220949"/>
    <w:rsid w:val="00220B0C"/>
    <w:rsid w:val="002213B6"/>
    <w:rsid w:val="0022186A"/>
    <w:rsid w:val="0022193D"/>
    <w:rsid w:val="0022245B"/>
    <w:rsid w:val="00222769"/>
    <w:rsid w:val="0022334F"/>
    <w:rsid w:val="0022410E"/>
    <w:rsid w:val="00224133"/>
    <w:rsid w:val="0022433D"/>
    <w:rsid w:val="002254D5"/>
    <w:rsid w:val="00225C59"/>
    <w:rsid w:val="00226090"/>
    <w:rsid w:val="002262FC"/>
    <w:rsid w:val="002265BF"/>
    <w:rsid w:val="00226819"/>
    <w:rsid w:val="002268CA"/>
    <w:rsid w:val="0022713C"/>
    <w:rsid w:val="002271B4"/>
    <w:rsid w:val="00227F93"/>
    <w:rsid w:val="00230200"/>
    <w:rsid w:val="00230880"/>
    <w:rsid w:val="00230CFA"/>
    <w:rsid w:val="0023147F"/>
    <w:rsid w:val="00231EE4"/>
    <w:rsid w:val="00231FAC"/>
    <w:rsid w:val="0023208B"/>
    <w:rsid w:val="002324A1"/>
    <w:rsid w:val="00232AD7"/>
    <w:rsid w:val="00232DA3"/>
    <w:rsid w:val="00233101"/>
    <w:rsid w:val="0023321E"/>
    <w:rsid w:val="00233531"/>
    <w:rsid w:val="002337D3"/>
    <w:rsid w:val="00233817"/>
    <w:rsid w:val="002338B6"/>
    <w:rsid w:val="00234AC4"/>
    <w:rsid w:val="00234AE1"/>
    <w:rsid w:val="00234F83"/>
    <w:rsid w:val="00235424"/>
    <w:rsid w:val="00235A3A"/>
    <w:rsid w:val="00235A6C"/>
    <w:rsid w:val="00235D23"/>
    <w:rsid w:val="00235EED"/>
    <w:rsid w:val="002367FF"/>
    <w:rsid w:val="00236B17"/>
    <w:rsid w:val="00237B2F"/>
    <w:rsid w:val="00237D6A"/>
    <w:rsid w:val="002403CF"/>
    <w:rsid w:val="00240B13"/>
    <w:rsid w:val="00240CE9"/>
    <w:rsid w:val="00241A33"/>
    <w:rsid w:val="00242645"/>
    <w:rsid w:val="00242C01"/>
    <w:rsid w:val="002434BA"/>
    <w:rsid w:val="002441D1"/>
    <w:rsid w:val="00244AEA"/>
    <w:rsid w:val="00244D15"/>
    <w:rsid w:val="002455A1"/>
    <w:rsid w:val="00245F33"/>
    <w:rsid w:val="00245F88"/>
    <w:rsid w:val="00246089"/>
    <w:rsid w:val="00246093"/>
    <w:rsid w:val="00246702"/>
    <w:rsid w:val="00246D2B"/>
    <w:rsid w:val="00246EE4"/>
    <w:rsid w:val="002476C6"/>
    <w:rsid w:val="00247BA4"/>
    <w:rsid w:val="00247C59"/>
    <w:rsid w:val="00247F2E"/>
    <w:rsid w:val="002503B3"/>
    <w:rsid w:val="00250ADC"/>
    <w:rsid w:val="00250B07"/>
    <w:rsid w:val="002519CB"/>
    <w:rsid w:val="00252FF9"/>
    <w:rsid w:val="0025308E"/>
    <w:rsid w:val="00253281"/>
    <w:rsid w:val="002544BA"/>
    <w:rsid w:val="00254AC6"/>
    <w:rsid w:val="00254C74"/>
    <w:rsid w:val="00254EE8"/>
    <w:rsid w:val="0025538C"/>
    <w:rsid w:val="00257553"/>
    <w:rsid w:val="00257AE3"/>
    <w:rsid w:val="00260162"/>
    <w:rsid w:val="0026075A"/>
    <w:rsid w:val="00260BFC"/>
    <w:rsid w:val="00260FB2"/>
    <w:rsid w:val="00261018"/>
    <w:rsid w:val="00262128"/>
    <w:rsid w:val="00262260"/>
    <w:rsid w:val="00262F79"/>
    <w:rsid w:val="002630D8"/>
    <w:rsid w:val="00263214"/>
    <w:rsid w:val="002634B7"/>
    <w:rsid w:val="0026369B"/>
    <w:rsid w:val="00263AF9"/>
    <w:rsid w:val="00263E8F"/>
    <w:rsid w:val="002642EF"/>
    <w:rsid w:val="002643CB"/>
    <w:rsid w:val="00265522"/>
    <w:rsid w:val="00265C29"/>
    <w:rsid w:val="00265C90"/>
    <w:rsid w:val="002664DA"/>
    <w:rsid w:val="002667DD"/>
    <w:rsid w:val="00267374"/>
    <w:rsid w:val="002679AC"/>
    <w:rsid w:val="00267BE6"/>
    <w:rsid w:val="0027004C"/>
    <w:rsid w:val="00270EF7"/>
    <w:rsid w:val="0027165D"/>
    <w:rsid w:val="00272270"/>
    <w:rsid w:val="002725E3"/>
    <w:rsid w:val="0027289B"/>
    <w:rsid w:val="00272B4E"/>
    <w:rsid w:val="00273CEB"/>
    <w:rsid w:val="0027416E"/>
    <w:rsid w:val="00274873"/>
    <w:rsid w:val="0027495C"/>
    <w:rsid w:val="00274992"/>
    <w:rsid w:val="00274C1E"/>
    <w:rsid w:val="00274F16"/>
    <w:rsid w:val="00274FAE"/>
    <w:rsid w:val="00275EDC"/>
    <w:rsid w:val="00276074"/>
    <w:rsid w:val="002761EE"/>
    <w:rsid w:val="002769F7"/>
    <w:rsid w:val="002771AC"/>
    <w:rsid w:val="00277BFD"/>
    <w:rsid w:val="002802C5"/>
    <w:rsid w:val="002809E0"/>
    <w:rsid w:val="002809F5"/>
    <w:rsid w:val="00280AC9"/>
    <w:rsid w:val="00280F2F"/>
    <w:rsid w:val="00281BC2"/>
    <w:rsid w:val="00281C89"/>
    <w:rsid w:val="0028282F"/>
    <w:rsid w:val="00282CCF"/>
    <w:rsid w:val="00282CFF"/>
    <w:rsid w:val="00282D96"/>
    <w:rsid w:val="00282E5B"/>
    <w:rsid w:val="002847E8"/>
    <w:rsid w:val="0028574B"/>
    <w:rsid w:val="00286741"/>
    <w:rsid w:val="00286F4C"/>
    <w:rsid w:val="002870F7"/>
    <w:rsid w:val="002871E6"/>
    <w:rsid w:val="00287207"/>
    <w:rsid w:val="002874BA"/>
    <w:rsid w:val="00287D0C"/>
    <w:rsid w:val="00290D28"/>
    <w:rsid w:val="00291083"/>
    <w:rsid w:val="00291E7B"/>
    <w:rsid w:val="00291EA4"/>
    <w:rsid w:val="00292313"/>
    <w:rsid w:val="00292DFC"/>
    <w:rsid w:val="00292EA4"/>
    <w:rsid w:val="00293EC0"/>
    <w:rsid w:val="0029430E"/>
    <w:rsid w:val="00294A1C"/>
    <w:rsid w:val="00294AD2"/>
    <w:rsid w:val="0029593B"/>
    <w:rsid w:val="00295C69"/>
    <w:rsid w:val="00296498"/>
    <w:rsid w:val="00296D87"/>
    <w:rsid w:val="002975B8"/>
    <w:rsid w:val="00297FC5"/>
    <w:rsid w:val="002A0417"/>
    <w:rsid w:val="002A0529"/>
    <w:rsid w:val="002A05E8"/>
    <w:rsid w:val="002A0B3C"/>
    <w:rsid w:val="002A0C4B"/>
    <w:rsid w:val="002A16D8"/>
    <w:rsid w:val="002A1A1D"/>
    <w:rsid w:val="002A1BC8"/>
    <w:rsid w:val="002A368D"/>
    <w:rsid w:val="002A37A5"/>
    <w:rsid w:val="002A3EF2"/>
    <w:rsid w:val="002A3F4E"/>
    <w:rsid w:val="002A491D"/>
    <w:rsid w:val="002A59FB"/>
    <w:rsid w:val="002A5FC7"/>
    <w:rsid w:val="002A6467"/>
    <w:rsid w:val="002A64BF"/>
    <w:rsid w:val="002A6AB6"/>
    <w:rsid w:val="002A7103"/>
    <w:rsid w:val="002A7381"/>
    <w:rsid w:val="002A7BE9"/>
    <w:rsid w:val="002A7FD9"/>
    <w:rsid w:val="002B01FF"/>
    <w:rsid w:val="002B0CF4"/>
    <w:rsid w:val="002B0DED"/>
    <w:rsid w:val="002B133B"/>
    <w:rsid w:val="002B1876"/>
    <w:rsid w:val="002B19A2"/>
    <w:rsid w:val="002B2D4A"/>
    <w:rsid w:val="002B2F35"/>
    <w:rsid w:val="002B2FBF"/>
    <w:rsid w:val="002B381A"/>
    <w:rsid w:val="002B4C8A"/>
    <w:rsid w:val="002B4CD6"/>
    <w:rsid w:val="002B4F32"/>
    <w:rsid w:val="002B4FCC"/>
    <w:rsid w:val="002B6040"/>
    <w:rsid w:val="002B6272"/>
    <w:rsid w:val="002B64C5"/>
    <w:rsid w:val="002B695F"/>
    <w:rsid w:val="002B6BF3"/>
    <w:rsid w:val="002B6CCC"/>
    <w:rsid w:val="002B6ECF"/>
    <w:rsid w:val="002B7408"/>
    <w:rsid w:val="002B75BD"/>
    <w:rsid w:val="002B7CFD"/>
    <w:rsid w:val="002B7FBF"/>
    <w:rsid w:val="002C030D"/>
    <w:rsid w:val="002C0530"/>
    <w:rsid w:val="002C0B62"/>
    <w:rsid w:val="002C124A"/>
    <w:rsid w:val="002C127E"/>
    <w:rsid w:val="002C1DE6"/>
    <w:rsid w:val="002C210F"/>
    <w:rsid w:val="002C2567"/>
    <w:rsid w:val="002C273E"/>
    <w:rsid w:val="002C2B9A"/>
    <w:rsid w:val="002C303B"/>
    <w:rsid w:val="002C3725"/>
    <w:rsid w:val="002C3853"/>
    <w:rsid w:val="002C48A2"/>
    <w:rsid w:val="002C4A05"/>
    <w:rsid w:val="002C5BAC"/>
    <w:rsid w:val="002C657E"/>
    <w:rsid w:val="002C67CD"/>
    <w:rsid w:val="002C6B19"/>
    <w:rsid w:val="002C6CD5"/>
    <w:rsid w:val="002C75BE"/>
    <w:rsid w:val="002C7C4B"/>
    <w:rsid w:val="002C7EBB"/>
    <w:rsid w:val="002D0287"/>
    <w:rsid w:val="002D051E"/>
    <w:rsid w:val="002D0526"/>
    <w:rsid w:val="002D06B1"/>
    <w:rsid w:val="002D0D36"/>
    <w:rsid w:val="002D1021"/>
    <w:rsid w:val="002D18E8"/>
    <w:rsid w:val="002D19B9"/>
    <w:rsid w:val="002D1AAE"/>
    <w:rsid w:val="002D2016"/>
    <w:rsid w:val="002D21F0"/>
    <w:rsid w:val="002D2638"/>
    <w:rsid w:val="002D3010"/>
    <w:rsid w:val="002D3574"/>
    <w:rsid w:val="002D3600"/>
    <w:rsid w:val="002D50C6"/>
    <w:rsid w:val="002D56A3"/>
    <w:rsid w:val="002D5B67"/>
    <w:rsid w:val="002D602E"/>
    <w:rsid w:val="002D6B8E"/>
    <w:rsid w:val="002D6C44"/>
    <w:rsid w:val="002D7DED"/>
    <w:rsid w:val="002E01B0"/>
    <w:rsid w:val="002E096F"/>
    <w:rsid w:val="002E09EE"/>
    <w:rsid w:val="002E0BAC"/>
    <w:rsid w:val="002E106B"/>
    <w:rsid w:val="002E1132"/>
    <w:rsid w:val="002E170D"/>
    <w:rsid w:val="002E1C7D"/>
    <w:rsid w:val="002E2813"/>
    <w:rsid w:val="002E2B0E"/>
    <w:rsid w:val="002E2DEF"/>
    <w:rsid w:val="002E329C"/>
    <w:rsid w:val="002E3614"/>
    <w:rsid w:val="002E373C"/>
    <w:rsid w:val="002E3EFF"/>
    <w:rsid w:val="002E4467"/>
    <w:rsid w:val="002E488D"/>
    <w:rsid w:val="002E4DDC"/>
    <w:rsid w:val="002E54C4"/>
    <w:rsid w:val="002E56B4"/>
    <w:rsid w:val="002E5C9F"/>
    <w:rsid w:val="002E6AB5"/>
    <w:rsid w:val="002E7185"/>
    <w:rsid w:val="002E737D"/>
    <w:rsid w:val="002E7FA0"/>
    <w:rsid w:val="002F007C"/>
    <w:rsid w:val="002F06EC"/>
    <w:rsid w:val="002F09B3"/>
    <w:rsid w:val="002F0F8E"/>
    <w:rsid w:val="002F107B"/>
    <w:rsid w:val="002F138A"/>
    <w:rsid w:val="002F2628"/>
    <w:rsid w:val="002F27F1"/>
    <w:rsid w:val="002F290C"/>
    <w:rsid w:val="002F2E9F"/>
    <w:rsid w:val="002F308F"/>
    <w:rsid w:val="002F3129"/>
    <w:rsid w:val="002F35B0"/>
    <w:rsid w:val="002F4177"/>
    <w:rsid w:val="002F5DA7"/>
    <w:rsid w:val="002F610F"/>
    <w:rsid w:val="002F62BF"/>
    <w:rsid w:val="002F70C2"/>
    <w:rsid w:val="002F73D8"/>
    <w:rsid w:val="002F75D6"/>
    <w:rsid w:val="002F7918"/>
    <w:rsid w:val="002F7AD1"/>
    <w:rsid w:val="00300279"/>
    <w:rsid w:val="00300A6B"/>
    <w:rsid w:val="00301D0A"/>
    <w:rsid w:val="00301F52"/>
    <w:rsid w:val="00302480"/>
    <w:rsid w:val="00302483"/>
    <w:rsid w:val="00302758"/>
    <w:rsid w:val="003029FC"/>
    <w:rsid w:val="00302C6A"/>
    <w:rsid w:val="00302DA7"/>
    <w:rsid w:val="00302DED"/>
    <w:rsid w:val="0030359C"/>
    <w:rsid w:val="00303623"/>
    <w:rsid w:val="00303BAD"/>
    <w:rsid w:val="003043B6"/>
    <w:rsid w:val="003045FD"/>
    <w:rsid w:val="003048B7"/>
    <w:rsid w:val="00304DCC"/>
    <w:rsid w:val="003059E3"/>
    <w:rsid w:val="0030600C"/>
    <w:rsid w:val="00306B19"/>
    <w:rsid w:val="00306E37"/>
    <w:rsid w:val="003070B0"/>
    <w:rsid w:val="00307FCC"/>
    <w:rsid w:val="0031006F"/>
    <w:rsid w:val="0031026F"/>
    <w:rsid w:val="003120A9"/>
    <w:rsid w:val="00312D3F"/>
    <w:rsid w:val="003131E9"/>
    <w:rsid w:val="00313A8D"/>
    <w:rsid w:val="00313B7A"/>
    <w:rsid w:val="0031441E"/>
    <w:rsid w:val="00314E85"/>
    <w:rsid w:val="003151A0"/>
    <w:rsid w:val="00315C57"/>
    <w:rsid w:val="00316437"/>
    <w:rsid w:val="0031645E"/>
    <w:rsid w:val="003165E6"/>
    <w:rsid w:val="003170F9"/>
    <w:rsid w:val="003172D1"/>
    <w:rsid w:val="00317374"/>
    <w:rsid w:val="0031758A"/>
    <w:rsid w:val="00317D39"/>
    <w:rsid w:val="00320327"/>
    <w:rsid w:val="003206CC"/>
    <w:rsid w:val="00320D5E"/>
    <w:rsid w:val="00320EE8"/>
    <w:rsid w:val="003215B5"/>
    <w:rsid w:val="003218FE"/>
    <w:rsid w:val="00321E2D"/>
    <w:rsid w:val="003221CF"/>
    <w:rsid w:val="003232C3"/>
    <w:rsid w:val="003233ED"/>
    <w:rsid w:val="003233FE"/>
    <w:rsid w:val="003234F0"/>
    <w:rsid w:val="00323733"/>
    <w:rsid w:val="00324300"/>
    <w:rsid w:val="003245B6"/>
    <w:rsid w:val="003248E9"/>
    <w:rsid w:val="00324D9F"/>
    <w:rsid w:val="00324E76"/>
    <w:rsid w:val="003253EE"/>
    <w:rsid w:val="00325B6E"/>
    <w:rsid w:val="00325E47"/>
    <w:rsid w:val="00326572"/>
    <w:rsid w:val="00326A2F"/>
    <w:rsid w:val="00326A56"/>
    <w:rsid w:val="003276B5"/>
    <w:rsid w:val="0032780B"/>
    <w:rsid w:val="00327948"/>
    <w:rsid w:val="0033000F"/>
    <w:rsid w:val="00330FF7"/>
    <w:rsid w:val="003310AE"/>
    <w:rsid w:val="00331536"/>
    <w:rsid w:val="00331AE5"/>
    <w:rsid w:val="00332011"/>
    <w:rsid w:val="00332518"/>
    <w:rsid w:val="00332925"/>
    <w:rsid w:val="00332E3F"/>
    <w:rsid w:val="003332ED"/>
    <w:rsid w:val="003334F4"/>
    <w:rsid w:val="00333507"/>
    <w:rsid w:val="00333860"/>
    <w:rsid w:val="003338A8"/>
    <w:rsid w:val="00334BD5"/>
    <w:rsid w:val="00334EA4"/>
    <w:rsid w:val="00334FDA"/>
    <w:rsid w:val="003362F4"/>
    <w:rsid w:val="003363D0"/>
    <w:rsid w:val="003366CA"/>
    <w:rsid w:val="003368DC"/>
    <w:rsid w:val="00336ACD"/>
    <w:rsid w:val="003400D0"/>
    <w:rsid w:val="00340317"/>
    <w:rsid w:val="00341823"/>
    <w:rsid w:val="003420D3"/>
    <w:rsid w:val="003421E5"/>
    <w:rsid w:val="00342AEB"/>
    <w:rsid w:val="003432F0"/>
    <w:rsid w:val="003433DB"/>
    <w:rsid w:val="00343503"/>
    <w:rsid w:val="00343819"/>
    <w:rsid w:val="00344112"/>
    <w:rsid w:val="0034490B"/>
    <w:rsid w:val="0034493E"/>
    <w:rsid w:val="00344A40"/>
    <w:rsid w:val="00344C31"/>
    <w:rsid w:val="00345927"/>
    <w:rsid w:val="00346421"/>
    <w:rsid w:val="00347C5D"/>
    <w:rsid w:val="00347D27"/>
    <w:rsid w:val="00350584"/>
    <w:rsid w:val="00350C6D"/>
    <w:rsid w:val="00351063"/>
    <w:rsid w:val="00351857"/>
    <w:rsid w:val="003518EB"/>
    <w:rsid w:val="00351DC7"/>
    <w:rsid w:val="00352810"/>
    <w:rsid w:val="00352A92"/>
    <w:rsid w:val="003532CF"/>
    <w:rsid w:val="00353A6F"/>
    <w:rsid w:val="003545E8"/>
    <w:rsid w:val="00354690"/>
    <w:rsid w:val="00355300"/>
    <w:rsid w:val="00355F4D"/>
    <w:rsid w:val="00356A73"/>
    <w:rsid w:val="00356DCE"/>
    <w:rsid w:val="003607DD"/>
    <w:rsid w:val="003610E1"/>
    <w:rsid w:val="003616CF"/>
    <w:rsid w:val="003617F2"/>
    <w:rsid w:val="00361A8A"/>
    <w:rsid w:val="0036206D"/>
    <w:rsid w:val="00364277"/>
    <w:rsid w:val="0036511B"/>
    <w:rsid w:val="00365502"/>
    <w:rsid w:val="00365A74"/>
    <w:rsid w:val="00366E4C"/>
    <w:rsid w:val="003670C0"/>
    <w:rsid w:val="003671BE"/>
    <w:rsid w:val="00367900"/>
    <w:rsid w:val="00370647"/>
    <w:rsid w:val="003718C6"/>
    <w:rsid w:val="00371FE5"/>
    <w:rsid w:val="003722FB"/>
    <w:rsid w:val="00372485"/>
    <w:rsid w:val="00373046"/>
    <w:rsid w:val="00373200"/>
    <w:rsid w:val="0037388B"/>
    <w:rsid w:val="003739B8"/>
    <w:rsid w:val="00373E75"/>
    <w:rsid w:val="003740F5"/>
    <w:rsid w:val="00374D3D"/>
    <w:rsid w:val="00375572"/>
    <w:rsid w:val="0037558E"/>
    <w:rsid w:val="00375C17"/>
    <w:rsid w:val="00375EF5"/>
    <w:rsid w:val="00375FC1"/>
    <w:rsid w:val="003765B0"/>
    <w:rsid w:val="003767A5"/>
    <w:rsid w:val="00377991"/>
    <w:rsid w:val="00377A0B"/>
    <w:rsid w:val="00377D67"/>
    <w:rsid w:val="00377DC2"/>
    <w:rsid w:val="00377E37"/>
    <w:rsid w:val="00377E6F"/>
    <w:rsid w:val="00380034"/>
    <w:rsid w:val="0038006F"/>
    <w:rsid w:val="003802C2"/>
    <w:rsid w:val="00381057"/>
    <w:rsid w:val="0038189C"/>
    <w:rsid w:val="003819FC"/>
    <w:rsid w:val="00381D15"/>
    <w:rsid w:val="00381EEE"/>
    <w:rsid w:val="0038237B"/>
    <w:rsid w:val="00384155"/>
    <w:rsid w:val="00384158"/>
    <w:rsid w:val="00384A3B"/>
    <w:rsid w:val="00384D8F"/>
    <w:rsid w:val="00385254"/>
    <w:rsid w:val="00385AB2"/>
    <w:rsid w:val="00386295"/>
    <w:rsid w:val="003863EF"/>
    <w:rsid w:val="003865B1"/>
    <w:rsid w:val="00386680"/>
    <w:rsid w:val="00386A6D"/>
    <w:rsid w:val="00386E26"/>
    <w:rsid w:val="0038747C"/>
    <w:rsid w:val="00390425"/>
    <w:rsid w:val="0039051F"/>
    <w:rsid w:val="00390789"/>
    <w:rsid w:val="00390D91"/>
    <w:rsid w:val="00390E89"/>
    <w:rsid w:val="0039155B"/>
    <w:rsid w:val="0039180A"/>
    <w:rsid w:val="00391BAC"/>
    <w:rsid w:val="00391EDD"/>
    <w:rsid w:val="003920A9"/>
    <w:rsid w:val="00392583"/>
    <w:rsid w:val="003927B1"/>
    <w:rsid w:val="00392C03"/>
    <w:rsid w:val="00392FC7"/>
    <w:rsid w:val="003933E8"/>
    <w:rsid w:val="0039346C"/>
    <w:rsid w:val="0039351E"/>
    <w:rsid w:val="00394031"/>
    <w:rsid w:val="003948D3"/>
    <w:rsid w:val="00394A05"/>
    <w:rsid w:val="00394C55"/>
    <w:rsid w:val="00395B18"/>
    <w:rsid w:val="0039617B"/>
    <w:rsid w:val="00396753"/>
    <w:rsid w:val="00396CC5"/>
    <w:rsid w:val="00396DC2"/>
    <w:rsid w:val="00397650"/>
    <w:rsid w:val="003976AC"/>
    <w:rsid w:val="003A04DB"/>
    <w:rsid w:val="003A0A09"/>
    <w:rsid w:val="003A1E1F"/>
    <w:rsid w:val="003A2099"/>
    <w:rsid w:val="003A2135"/>
    <w:rsid w:val="003A22BC"/>
    <w:rsid w:val="003A2908"/>
    <w:rsid w:val="003A38C2"/>
    <w:rsid w:val="003A3F10"/>
    <w:rsid w:val="003A44E0"/>
    <w:rsid w:val="003A4F99"/>
    <w:rsid w:val="003A53A8"/>
    <w:rsid w:val="003A5541"/>
    <w:rsid w:val="003A5D94"/>
    <w:rsid w:val="003A5F5B"/>
    <w:rsid w:val="003A656D"/>
    <w:rsid w:val="003A6C4F"/>
    <w:rsid w:val="003A752C"/>
    <w:rsid w:val="003A7758"/>
    <w:rsid w:val="003A7800"/>
    <w:rsid w:val="003A789A"/>
    <w:rsid w:val="003A7A29"/>
    <w:rsid w:val="003B04C7"/>
    <w:rsid w:val="003B0852"/>
    <w:rsid w:val="003B0B11"/>
    <w:rsid w:val="003B0DA8"/>
    <w:rsid w:val="003B12EC"/>
    <w:rsid w:val="003B19D6"/>
    <w:rsid w:val="003B1A2B"/>
    <w:rsid w:val="003B24BA"/>
    <w:rsid w:val="003B24F0"/>
    <w:rsid w:val="003B34F9"/>
    <w:rsid w:val="003B3651"/>
    <w:rsid w:val="003B4677"/>
    <w:rsid w:val="003B4B14"/>
    <w:rsid w:val="003B506F"/>
    <w:rsid w:val="003B54A0"/>
    <w:rsid w:val="003B5587"/>
    <w:rsid w:val="003B5614"/>
    <w:rsid w:val="003B662A"/>
    <w:rsid w:val="003B6895"/>
    <w:rsid w:val="003B760F"/>
    <w:rsid w:val="003B771B"/>
    <w:rsid w:val="003B7C37"/>
    <w:rsid w:val="003B7CD2"/>
    <w:rsid w:val="003C03B8"/>
    <w:rsid w:val="003C09EE"/>
    <w:rsid w:val="003C0C15"/>
    <w:rsid w:val="003C1006"/>
    <w:rsid w:val="003C105D"/>
    <w:rsid w:val="003C12B0"/>
    <w:rsid w:val="003C1BFA"/>
    <w:rsid w:val="003C20CC"/>
    <w:rsid w:val="003C25CC"/>
    <w:rsid w:val="003C2726"/>
    <w:rsid w:val="003C2B9B"/>
    <w:rsid w:val="003C2C19"/>
    <w:rsid w:val="003C2C2A"/>
    <w:rsid w:val="003C2CFB"/>
    <w:rsid w:val="003C2FCE"/>
    <w:rsid w:val="003C358D"/>
    <w:rsid w:val="003C3CF0"/>
    <w:rsid w:val="003C55FC"/>
    <w:rsid w:val="003C5AE0"/>
    <w:rsid w:val="003C5D39"/>
    <w:rsid w:val="003C64F3"/>
    <w:rsid w:val="003C733B"/>
    <w:rsid w:val="003C74FD"/>
    <w:rsid w:val="003C7565"/>
    <w:rsid w:val="003C77E0"/>
    <w:rsid w:val="003D0ECB"/>
    <w:rsid w:val="003D14C2"/>
    <w:rsid w:val="003D14E2"/>
    <w:rsid w:val="003D17D7"/>
    <w:rsid w:val="003D1D54"/>
    <w:rsid w:val="003D2678"/>
    <w:rsid w:val="003D2805"/>
    <w:rsid w:val="003D3006"/>
    <w:rsid w:val="003D3489"/>
    <w:rsid w:val="003D366B"/>
    <w:rsid w:val="003D37BA"/>
    <w:rsid w:val="003D499E"/>
    <w:rsid w:val="003D51D4"/>
    <w:rsid w:val="003D5564"/>
    <w:rsid w:val="003D5629"/>
    <w:rsid w:val="003D636E"/>
    <w:rsid w:val="003D69E5"/>
    <w:rsid w:val="003D71A3"/>
    <w:rsid w:val="003D73C7"/>
    <w:rsid w:val="003D763D"/>
    <w:rsid w:val="003D7650"/>
    <w:rsid w:val="003D7B5E"/>
    <w:rsid w:val="003D7BAE"/>
    <w:rsid w:val="003E01A5"/>
    <w:rsid w:val="003E0269"/>
    <w:rsid w:val="003E02EA"/>
    <w:rsid w:val="003E1220"/>
    <w:rsid w:val="003E1410"/>
    <w:rsid w:val="003E1A4A"/>
    <w:rsid w:val="003E1CAE"/>
    <w:rsid w:val="003E2B8A"/>
    <w:rsid w:val="003E2BD5"/>
    <w:rsid w:val="003E2EE4"/>
    <w:rsid w:val="003E2F02"/>
    <w:rsid w:val="003E3058"/>
    <w:rsid w:val="003E3AA7"/>
    <w:rsid w:val="003E3F72"/>
    <w:rsid w:val="003E4109"/>
    <w:rsid w:val="003E50E5"/>
    <w:rsid w:val="003E5299"/>
    <w:rsid w:val="003E5FE6"/>
    <w:rsid w:val="003E6769"/>
    <w:rsid w:val="003E6837"/>
    <w:rsid w:val="003E6867"/>
    <w:rsid w:val="003E6A39"/>
    <w:rsid w:val="003E711D"/>
    <w:rsid w:val="003E7903"/>
    <w:rsid w:val="003E7BBE"/>
    <w:rsid w:val="003E7F4C"/>
    <w:rsid w:val="003F07A8"/>
    <w:rsid w:val="003F082A"/>
    <w:rsid w:val="003F094A"/>
    <w:rsid w:val="003F10EE"/>
    <w:rsid w:val="003F1649"/>
    <w:rsid w:val="003F16F6"/>
    <w:rsid w:val="003F1BD7"/>
    <w:rsid w:val="003F2F07"/>
    <w:rsid w:val="003F34D0"/>
    <w:rsid w:val="003F42A7"/>
    <w:rsid w:val="003F49EA"/>
    <w:rsid w:val="003F4DC7"/>
    <w:rsid w:val="003F4EDE"/>
    <w:rsid w:val="003F5211"/>
    <w:rsid w:val="003F5235"/>
    <w:rsid w:val="003F5F11"/>
    <w:rsid w:val="003F62E6"/>
    <w:rsid w:val="003F642A"/>
    <w:rsid w:val="003F6619"/>
    <w:rsid w:val="003F7575"/>
    <w:rsid w:val="00402608"/>
    <w:rsid w:val="004027E4"/>
    <w:rsid w:val="00402BE5"/>
    <w:rsid w:val="00403C0E"/>
    <w:rsid w:val="00404073"/>
    <w:rsid w:val="004046DC"/>
    <w:rsid w:val="00405AC4"/>
    <w:rsid w:val="00410138"/>
    <w:rsid w:val="0041071D"/>
    <w:rsid w:val="00410F6A"/>
    <w:rsid w:val="0041132E"/>
    <w:rsid w:val="00411428"/>
    <w:rsid w:val="00411447"/>
    <w:rsid w:val="00411836"/>
    <w:rsid w:val="00411A5A"/>
    <w:rsid w:val="00411E02"/>
    <w:rsid w:val="00412389"/>
    <w:rsid w:val="004129A5"/>
    <w:rsid w:val="004130A3"/>
    <w:rsid w:val="004131B8"/>
    <w:rsid w:val="0041327B"/>
    <w:rsid w:val="00413419"/>
    <w:rsid w:val="004139AA"/>
    <w:rsid w:val="00413CDF"/>
    <w:rsid w:val="00414263"/>
    <w:rsid w:val="004143E7"/>
    <w:rsid w:val="0041469F"/>
    <w:rsid w:val="004148F0"/>
    <w:rsid w:val="00414AFC"/>
    <w:rsid w:val="004151A7"/>
    <w:rsid w:val="00415310"/>
    <w:rsid w:val="00415766"/>
    <w:rsid w:val="00415AF4"/>
    <w:rsid w:val="00416389"/>
    <w:rsid w:val="00416503"/>
    <w:rsid w:val="004168E3"/>
    <w:rsid w:val="0042042D"/>
    <w:rsid w:val="00421709"/>
    <w:rsid w:val="00421D4C"/>
    <w:rsid w:val="00421E8B"/>
    <w:rsid w:val="00422321"/>
    <w:rsid w:val="00422410"/>
    <w:rsid w:val="004228EB"/>
    <w:rsid w:val="0042313A"/>
    <w:rsid w:val="0042364A"/>
    <w:rsid w:val="00423763"/>
    <w:rsid w:val="00423A17"/>
    <w:rsid w:val="00424A49"/>
    <w:rsid w:val="004252D3"/>
    <w:rsid w:val="004268FE"/>
    <w:rsid w:val="00426BB9"/>
    <w:rsid w:val="00426F58"/>
    <w:rsid w:val="00426FD4"/>
    <w:rsid w:val="0042762F"/>
    <w:rsid w:val="00427AE5"/>
    <w:rsid w:val="00427DC7"/>
    <w:rsid w:val="00427F29"/>
    <w:rsid w:val="00430053"/>
    <w:rsid w:val="00431613"/>
    <w:rsid w:val="00431792"/>
    <w:rsid w:val="004317F0"/>
    <w:rsid w:val="004324E5"/>
    <w:rsid w:val="0043285A"/>
    <w:rsid w:val="0043297A"/>
    <w:rsid w:val="00432EB2"/>
    <w:rsid w:val="00433DC3"/>
    <w:rsid w:val="00434354"/>
    <w:rsid w:val="00434E20"/>
    <w:rsid w:val="0043602B"/>
    <w:rsid w:val="00436076"/>
    <w:rsid w:val="0043658A"/>
    <w:rsid w:val="0043714F"/>
    <w:rsid w:val="0043775D"/>
    <w:rsid w:val="00437A87"/>
    <w:rsid w:val="0044044F"/>
    <w:rsid w:val="00440983"/>
    <w:rsid w:val="00440E66"/>
    <w:rsid w:val="00440F8F"/>
    <w:rsid w:val="00441684"/>
    <w:rsid w:val="004420F7"/>
    <w:rsid w:val="004422F5"/>
    <w:rsid w:val="00443221"/>
    <w:rsid w:val="004438B5"/>
    <w:rsid w:val="00443B10"/>
    <w:rsid w:val="00443CDE"/>
    <w:rsid w:val="00443E7E"/>
    <w:rsid w:val="00443F91"/>
    <w:rsid w:val="004441C5"/>
    <w:rsid w:val="00446F96"/>
    <w:rsid w:val="00447037"/>
    <w:rsid w:val="004470DE"/>
    <w:rsid w:val="00447295"/>
    <w:rsid w:val="004474B4"/>
    <w:rsid w:val="0045046C"/>
    <w:rsid w:val="00450947"/>
    <w:rsid w:val="00450CC6"/>
    <w:rsid w:val="0045124D"/>
    <w:rsid w:val="00451420"/>
    <w:rsid w:val="00451449"/>
    <w:rsid w:val="00451A2A"/>
    <w:rsid w:val="0045328B"/>
    <w:rsid w:val="004538D0"/>
    <w:rsid w:val="00453B22"/>
    <w:rsid w:val="00453CBA"/>
    <w:rsid w:val="00453DE4"/>
    <w:rsid w:val="00453F46"/>
    <w:rsid w:val="00454229"/>
    <w:rsid w:val="00454596"/>
    <w:rsid w:val="004549BC"/>
    <w:rsid w:val="00454C44"/>
    <w:rsid w:val="00454CDD"/>
    <w:rsid w:val="004551C4"/>
    <w:rsid w:val="00455986"/>
    <w:rsid w:val="0045605D"/>
    <w:rsid w:val="00456614"/>
    <w:rsid w:val="004566EF"/>
    <w:rsid w:val="00456EF8"/>
    <w:rsid w:val="004570DF"/>
    <w:rsid w:val="0045742C"/>
    <w:rsid w:val="004574A2"/>
    <w:rsid w:val="00457805"/>
    <w:rsid w:val="00460086"/>
    <w:rsid w:val="00460C0C"/>
    <w:rsid w:val="004611B2"/>
    <w:rsid w:val="0046135B"/>
    <w:rsid w:val="00461521"/>
    <w:rsid w:val="00461D47"/>
    <w:rsid w:val="00462D8D"/>
    <w:rsid w:val="00462EA7"/>
    <w:rsid w:val="00463C17"/>
    <w:rsid w:val="00464715"/>
    <w:rsid w:val="004648A2"/>
    <w:rsid w:val="0046558B"/>
    <w:rsid w:val="004660EB"/>
    <w:rsid w:val="004667AC"/>
    <w:rsid w:val="00466B70"/>
    <w:rsid w:val="00466BE9"/>
    <w:rsid w:val="00466CE1"/>
    <w:rsid w:val="00466DD7"/>
    <w:rsid w:val="00466E38"/>
    <w:rsid w:val="00466FF6"/>
    <w:rsid w:val="0047061C"/>
    <w:rsid w:val="00470C21"/>
    <w:rsid w:val="00471289"/>
    <w:rsid w:val="004718CC"/>
    <w:rsid w:val="0047276D"/>
    <w:rsid w:val="00473852"/>
    <w:rsid w:val="004748B5"/>
    <w:rsid w:val="004748B6"/>
    <w:rsid w:val="00474B70"/>
    <w:rsid w:val="00474D75"/>
    <w:rsid w:val="00475079"/>
    <w:rsid w:val="004756DB"/>
    <w:rsid w:val="0047674D"/>
    <w:rsid w:val="004767CC"/>
    <w:rsid w:val="0047682A"/>
    <w:rsid w:val="00477B4B"/>
    <w:rsid w:val="00477F29"/>
    <w:rsid w:val="004809FD"/>
    <w:rsid w:val="00480E23"/>
    <w:rsid w:val="00481695"/>
    <w:rsid w:val="00481C48"/>
    <w:rsid w:val="00481D06"/>
    <w:rsid w:val="004823E6"/>
    <w:rsid w:val="00482791"/>
    <w:rsid w:val="00482BB7"/>
    <w:rsid w:val="00482C04"/>
    <w:rsid w:val="00483CDE"/>
    <w:rsid w:val="00483D3D"/>
    <w:rsid w:val="00484262"/>
    <w:rsid w:val="00484574"/>
    <w:rsid w:val="0048546D"/>
    <w:rsid w:val="004855F5"/>
    <w:rsid w:val="00486F2A"/>
    <w:rsid w:val="00487469"/>
    <w:rsid w:val="00487A55"/>
    <w:rsid w:val="00487B5E"/>
    <w:rsid w:val="004914EB"/>
    <w:rsid w:val="004917B3"/>
    <w:rsid w:val="00492249"/>
    <w:rsid w:val="00492CB5"/>
    <w:rsid w:val="00493321"/>
    <w:rsid w:val="00493900"/>
    <w:rsid w:val="004939E1"/>
    <w:rsid w:val="00494989"/>
    <w:rsid w:val="004949A3"/>
    <w:rsid w:val="004958AC"/>
    <w:rsid w:val="004959DD"/>
    <w:rsid w:val="00495A96"/>
    <w:rsid w:val="00495BB3"/>
    <w:rsid w:val="00495F53"/>
    <w:rsid w:val="0049684E"/>
    <w:rsid w:val="00496BA3"/>
    <w:rsid w:val="00496F42"/>
    <w:rsid w:val="0049758B"/>
    <w:rsid w:val="00497762"/>
    <w:rsid w:val="004977FB"/>
    <w:rsid w:val="00497C60"/>
    <w:rsid w:val="004A0A39"/>
    <w:rsid w:val="004A0E5C"/>
    <w:rsid w:val="004A1D72"/>
    <w:rsid w:val="004A2EE6"/>
    <w:rsid w:val="004A2F56"/>
    <w:rsid w:val="004A2F9F"/>
    <w:rsid w:val="004A3229"/>
    <w:rsid w:val="004A3DB2"/>
    <w:rsid w:val="004A3FA2"/>
    <w:rsid w:val="004A445C"/>
    <w:rsid w:val="004A474A"/>
    <w:rsid w:val="004A51ED"/>
    <w:rsid w:val="004A5291"/>
    <w:rsid w:val="004A56BB"/>
    <w:rsid w:val="004A5769"/>
    <w:rsid w:val="004A584D"/>
    <w:rsid w:val="004A58F4"/>
    <w:rsid w:val="004A5E84"/>
    <w:rsid w:val="004A6470"/>
    <w:rsid w:val="004A70D6"/>
    <w:rsid w:val="004A77D8"/>
    <w:rsid w:val="004B061A"/>
    <w:rsid w:val="004B06FB"/>
    <w:rsid w:val="004B0751"/>
    <w:rsid w:val="004B075A"/>
    <w:rsid w:val="004B0BE2"/>
    <w:rsid w:val="004B1751"/>
    <w:rsid w:val="004B21AE"/>
    <w:rsid w:val="004B2565"/>
    <w:rsid w:val="004B32E0"/>
    <w:rsid w:val="004B3C3C"/>
    <w:rsid w:val="004B3CB6"/>
    <w:rsid w:val="004B4E86"/>
    <w:rsid w:val="004B5462"/>
    <w:rsid w:val="004B6A55"/>
    <w:rsid w:val="004B6BAE"/>
    <w:rsid w:val="004B76BE"/>
    <w:rsid w:val="004C0253"/>
    <w:rsid w:val="004C0814"/>
    <w:rsid w:val="004C095A"/>
    <w:rsid w:val="004C09A5"/>
    <w:rsid w:val="004C0B7C"/>
    <w:rsid w:val="004C0BC2"/>
    <w:rsid w:val="004C0D20"/>
    <w:rsid w:val="004C0EC5"/>
    <w:rsid w:val="004C148A"/>
    <w:rsid w:val="004C1DE4"/>
    <w:rsid w:val="004C27A0"/>
    <w:rsid w:val="004C2BBD"/>
    <w:rsid w:val="004C445B"/>
    <w:rsid w:val="004C44A2"/>
    <w:rsid w:val="004C4716"/>
    <w:rsid w:val="004C522C"/>
    <w:rsid w:val="004C5A88"/>
    <w:rsid w:val="004C6400"/>
    <w:rsid w:val="004C646F"/>
    <w:rsid w:val="004C7628"/>
    <w:rsid w:val="004C7BF8"/>
    <w:rsid w:val="004D01D7"/>
    <w:rsid w:val="004D068F"/>
    <w:rsid w:val="004D06F1"/>
    <w:rsid w:val="004D0E67"/>
    <w:rsid w:val="004D1819"/>
    <w:rsid w:val="004D278A"/>
    <w:rsid w:val="004D31B7"/>
    <w:rsid w:val="004D3333"/>
    <w:rsid w:val="004D36DE"/>
    <w:rsid w:val="004D3920"/>
    <w:rsid w:val="004D3F4A"/>
    <w:rsid w:val="004D4087"/>
    <w:rsid w:val="004D42EB"/>
    <w:rsid w:val="004D521F"/>
    <w:rsid w:val="004D56C6"/>
    <w:rsid w:val="004D56FF"/>
    <w:rsid w:val="004D63BC"/>
    <w:rsid w:val="004D68D4"/>
    <w:rsid w:val="004D7197"/>
    <w:rsid w:val="004D7CAB"/>
    <w:rsid w:val="004E0229"/>
    <w:rsid w:val="004E0356"/>
    <w:rsid w:val="004E0767"/>
    <w:rsid w:val="004E0ECA"/>
    <w:rsid w:val="004E0FD6"/>
    <w:rsid w:val="004E17F7"/>
    <w:rsid w:val="004E2345"/>
    <w:rsid w:val="004E23C1"/>
    <w:rsid w:val="004E2AA1"/>
    <w:rsid w:val="004E39D3"/>
    <w:rsid w:val="004E468E"/>
    <w:rsid w:val="004E4857"/>
    <w:rsid w:val="004E48BC"/>
    <w:rsid w:val="004E4C42"/>
    <w:rsid w:val="004E508A"/>
    <w:rsid w:val="004E5846"/>
    <w:rsid w:val="004E5A24"/>
    <w:rsid w:val="004E5D9C"/>
    <w:rsid w:val="004E5F1D"/>
    <w:rsid w:val="004E5F1E"/>
    <w:rsid w:val="004E616D"/>
    <w:rsid w:val="004E6B99"/>
    <w:rsid w:val="004E7B85"/>
    <w:rsid w:val="004E7BEF"/>
    <w:rsid w:val="004E7E67"/>
    <w:rsid w:val="004F01DD"/>
    <w:rsid w:val="004F0238"/>
    <w:rsid w:val="004F054E"/>
    <w:rsid w:val="004F09BD"/>
    <w:rsid w:val="004F1BDE"/>
    <w:rsid w:val="004F25DB"/>
    <w:rsid w:val="004F2986"/>
    <w:rsid w:val="004F2BA9"/>
    <w:rsid w:val="004F2CEE"/>
    <w:rsid w:val="004F3C68"/>
    <w:rsid w:val="004F556E"/>
    <w:rsid w:val="004F591C"/>
    <w:rsid w:val="004F5DDF"/>
    <w:rsid w:val="004F6136"/>
    <w:rsid w:val="004F616A"/>
    <w:rsid w:val="004F68B8"/>
    <w:rsid w:val="004F6A08"/>
    <w:rsid w:val="004F73CD"/>
    <w:rsid w:val="004F7644"/>
    <w:rsid w:val="004F76DE"/>
    <w:rsid w:val="004F79D2"/>
    <w:rsid w:val="004F7ACF"/>
    <w:rsid w:val="004F7B6A"/>
    <w:rsid w:val="004F7F44"/>
    <w:rsid w:val="00500213"/>
    <w:rsid w:val="00500396"/>
    <w:rsid w:val="005004EC"/>
    <w:rsid w:val="00500657"/>
    <w:rsid w:val="005007C3"/>
    <w:rsid w:val="0050098E"/>
    <w:rsid w:val="0050099F"/>
    <w:rsid w:val="00501269"/>
    <w:rsid w:val="00501295"/>
    <w:rsid w:val="0050170C"/>
    <w:rsid w:val="0050185B"/>
    <w:rsid w:val="00501F6A"/>
    <w:rsid w:val="005029BE"/>
    <w:rsid w:val="00502EA6"/>
    <w:rsid w:val="005033EE"/>
    <w:rsid w:val="00503796"/>
    <w:rsid w:val="005037B4"/>
    <w:rsid w:val="0050412C"/>
    <w:rsid w:val="00504449"/>
    <w:rsid w:val="00504483"/>
    <w:rsid w:val="00504A8B"/>
    <w:rsid w:val="00505490"/>
    <w:rsid w:val="005055BC"/>
    <w:rsid w:val="00505D0A"/>
    <w:rsid w:val="00505D9E"/>
    <w:rsid w:val="00505E5C"/>
    <w:rsid w:val="005075EF"/>
    <w:rsid w:val="005079BF"/>
    <w:rsid w:val="00507BE6"/>
    <w:rsid w:val="00507F47"/>
    <w:rsid w:val="00510E8B"/>
    <w:rsid w:val="0051182B"/>
    <w:rsid w:val="0051269A"/>
    <w:rsid w:val="00512857"/>
    <w:rsid w:val="00512DCA"/>
    <w:rsid w:val="00512E53"/>
    <w:rsid w:val="00513132"/>
    <w:rsid w:val="005133D2"/>
    <w:rsid w:val="005134B1"/>
    <w:rsid w:val="0051405C"/>
    <w:rsid w:val="00514BB7"/>
    <w:rsid w:val="00515808"/>
    <w:rsid w:val="0051623F"/>
    <w:rsid w:val="00516700"/>
    <w:rsid w:val="005176B4"/>
    <w:rsid w:val="005202F2"/>
    <w:rsid w:val="005206E0"/>
    <w:rsid w:val="005219E7"/>
    <w:rsid w:val="005220E4"/>
    <w:rsid w:val="0052246C"/>
    <w:rsid w:val="0052263C"/>
    <w:rsid w:val="005229BD"/>
    <w:rsid w:val="00522AD9"/>
    <w:rsid w:val="00522C63"/>
    <w:rsid w:val="00522EBB"/>
    <w:rsid w:val="00523D0D"/>
    <w:rsid w:val="005240DF"/>
    <w:rsid w:val="00524417"/>
    <w:rsid w:val="00524615"/>
    <w:rsid w:val="005252C9"/>
    <w:rsid w:val="00525AD7"/>
    <w:rsid w:val="00525BC5"/>
    <w:rsid w:val="005260D9"/>
    <w:rsid w:val="005266ED"/>
    <w:rsid w:val="005271AE"/>
    <w:rsid w:val="005271E6"/>
    <w:rsid w:val="0053088C"/>
    <w:rsid w:val="00531B9A"/>
    <w:rsid w:val="00531D15"/>
    <w:rsid w:val="00533B0E"/>
    <w:rsid w:val="00533D0C"/>
    <w:rsid w:val="00534359"/>
    <w:rsid w:val="00534B0B"/>
    <w:rsid w:val="00534BE6"/>
    <w:rsid w:val="00535A86"/>
    <w:rsid w:val="00535C0E"/>
    <w:rsid w:val="00535EDC"/>
    <w:rsid w:val="00535FC1"/>
    <w:rsid w:val="00537604"/>
    <w:rsid w:val="0053791B"/>
    <w:rsid w:val="00537DA4"/>
    <w:rsid w:val="00540C9A"/>
    <w:rsid w:val="00540E1C"/>
    <w:rsid w:val="00541269"/>
    <w:rsid w:val="00541637"/>
    <w:rsid w:val="005421AA"/>
    <w:rsid w:val="0054228E"/>
    <w:rsid w:val="00542377"/>
    <w:rsid w:val="00542CCB"/>
    <w:rsid w:val="0054399D"/>
    <w:rsid w:val="00543A53"/>
    <w:rsid w:val="00543BE8"/>
    <w:rsid w:val="00544536"/>
    <w:rsid w:val="005445B4"/>
    <w:rsid w:val="00544682"/>
    <w:rsid w:val="00546429"/>
    <w:rsid w:val="005475FE"/>
    <w:rsid w:val="005476EB"/>
    <w:rsid w:val="00547C54"/>
    <w:rsid w:val="00547E59"/>
    <w:rsid w:val="00550D00"/>
    <w:rsid w:val="00550E16"/>
    <w:rsid w:val="005511CD"/>
    <w:rsid w:val="00551782"/>
    <w:rsid w:val="00551969"/>
    <w:rsid w:val="005529A0"/>
    <w:rsid w:val="00552CB7"/>
    <w:rsid w:val="005535D4"/>
    <w:rsid w:val="005537BA"/>
    <w:rsid w:val="005539BD"/>
    <w:rsid w:val="00554506"/>
    <w:rsid w:val="005556B0"/>
    <w:rsid w:val="00555C86"/>
    <w:rsid w:val="00557434"/>
    <w:rsid w:val="00557631"/>
    <w:rsid w:val="00557845"/>
    <w:rsid w:val="00560221"/>
    <w:rsid w:val="005604B7"/>
    <w:rsid w:val="00560B4C"/>
    <w:rsid w:val="00561157"/>
    <w:rsid w:val="00561AA1"/>
    <w:rsid w:val="005626A8"/>
    <w:rsid w:val="00563092"/>
    <w:rsid w:val="00563105"/>
    <w:rsid w:val="00563174"/>
    <w:rsid w:val="00563855"/>
    <w:rsid w:val="00563B01"/>
    <w:rsid w:val="00563EF1"/>
    <w:rsid w:val="005645C9"/>
    <w:rsid w:val="0056489C"/>
    <w:rsid w:val="005648F5"/>
    <w:rsid w:val="005657F3"/>
    <w:rsid w:val="005661D7"/>
    <w:rsid w:val="00566754"/>
    <w:rsid w:val="00566860"/>
    <w:rsid w:val="00566AB4"/>
    <w:rsid w:val="00567EE7"/>
    <w:rsid w:val="005701C5"/>
    <w:rsid w:val="005707E2"/>
    <w:rsid w:val="00571122"/>
    <w:rsid w:val="00572D3D"/>
    <w:rsid w:val="00572E98"/>
    <w:rsid w:val="00573812"/>
    <w:rsid w:val="00573983"/>
    <w:rsid w:val="00573C17"/>
    <w:rsid w:val="0057450A"/>
    <w:rsid w:val="005758BB"/>
    <w:rsid w:val="00575AC5"/>
    <w:rsid w:val="0057605D"/>
    <w:rsid w:val="00576673"/>
    <w:rsid w:val="00576DCA"/>
    <w:rsid w:val="00576E68"/>
    <w:rsid w:val="00577929"/>
    <w:rsid w:val="00577F1A"/>
    <w:rsid w:val="0058038E"/>
    <w:rsid w:val="005812A8"/>
    <w:rsid w:val="00581347"/>
    <w:rsid w:val="005817E1"/>
    <w:rsid w:val="00581AC9"/>
    <w:rsid w:val="00581CD6"/>
    <w:rsid w:val="00582DA3"/>
    <w:rsid w:val="00582F10"/>
    <w:rsid w:val="00583456"/>
    <w:rsid w:val="00583542"/>
    <w:rsid w:val="00583586"/>
    <w:rsid w:val="00583634"/>
    <w:rsid w:val="005837CF"/>
    <w:rsid w:val="005849D8"/>
    <w:rsid w:val="005849F8"/>
    <w:rsid w:val="00584B0C"/>
    <w:rsid w:val="00586893"/>
    <w:rsid w:val="0058690D"/>
    <w:rsid w:val="00590EB8"/>
    <w:rsid w:val="00591216"/>
    <w:rsid w:val="0059150B"/>
    <w:rsid w:val="00592D3B"/>
    <w:rsid w:val="0059344D"/>
    <w:rsid w:val="00593807"/>
    <w:rsid w:val="005938DF"/>
    <w:rsid w:val="00593943"/>
    <w:rsid w:val="00593C70"/>
    <w:rsid w:val="00594673"/>
    <w:rsid w:val="00594C22"/>
    <w:rsid w:val="00594E9C"/>
    <w:rsid w:val="00594F93"/>
    <w:rsid w:val="00595111"/>
    <w:rsid w:val="00595742"/>
    <w:rsid w:val="00596095"/>
    <w:rsid w:val="005960BC"/>
    <w:rsid w:val="00596120"/>
    <w:rsid w:val="00596186"/>
    <w:rsid w:val="005A099B"/>
    <w:rsid w:val="005A14B9"/>
    <w:rsid w:val="005A1967"/>
    <w:rsid w:val="005A1A2A"/>
    <w:rsid w:val="005A26B0"/>
    <w:rsid w:val="005A2CAC"/>
    <w:rsid w:val="005A2D9C"/>
    <w:rsid w:val="005A3165"/>
    <w:rsid w:val="005A3397"/>
    <w:rsid w:val="005A3BFA"/>
    <w:rsid w:val="005A46A4"/>
    <w:rsid w:val="005A49CD"/>
    <w:rsid w:val="005A4EDF"/>
    <w:rsid w:val="005A5375"/>
    <w:rsid w:val="005A55FE"/>
    <w:rsid w:val="005A5629"/>
    <w:rsid w:val="005A5C01"/>
    <w:rsid w:val="005A601E"/>
    <w:rsid w:val="005A60FA"/>
    <w:rsid w:val="005A6A11"/>
    <w:rsid w:val="005A6B04"/>
    <w:rsid w:val="005A7A2B"/>
    <w:rsid w:val="005B116E"/>
    <w:rsid w:val="005B1A45"/>
    <w:rsid w:val="005B2763"/>
    <w:rsid w:val="005B297C"/>
    <w:rsid w:val="005B2F0D"/>
    <w:rsid w:val="005B308D"/>
    <w:rsid w:val="005B3AA4"/>
    <w:rsid w:val="005B3C5E"/>
    <w:rsid w:val="005B3FE2"/>
    <w:rsid w:val="005B43AB"/>
    <w:rsid w:val="005B4AED"/>
    <w:rsid w:val="005B575A"/>
    <w:rsid w:val="005B57F8"/>
    <w:rsid w:val="005B5A10"/>
    <w:rsid w:val="005B6491"/>
    <w:rsid w:val="005B65AF"/>
    <w:rsid w:val="005B7352"/>
    <w:rsid w:val="005B7EE9"/>
    <w:rsid w:val="005C060C"/>
    <w:rsid w:val="005C065C"/>
    <w:rsid w:val="005C08FE"/>
    <w:rsid w:val="005C126F"/>
    <w:rsid w:val="005C18C1"/>
    <w:rsid w:val="005C1F4E"/>
    <w:rsid w:val="005C24CD"/>
    <w:rsid w:val="005C2688"/>
    <w:rsid w:val="005C2F87"/>
    <w:rsid w:val="005C310E"/>
    <w:rsid w:val="005C34EF"/>
    <w:rsid w:val="005C4089"/>
    <w:rsid w:val="005C4D71"/>
    <w:rsid w:val="005C4ED6"/>
    <w:rsid w:val="005C54BD"/>
    <w:rsid w:val="005C6627"/>
    <w:rsid w:val="005C740E"/>
    <w:rsid w:val="005C7606"/>
    <w:rsid w:val="005C78FE"/>
    <w:rsid w:val="005D044B"/>
    <w:rsid w:val="005D0BBC"/>
    <w:rsid w:val="005D0FF6"/>
    <w:rsid w:val="005D14EE"/>
    <w:rsid w:val="005D1BF0"/>
    <w:rsid w:val="005D2367"/>
    <w:rsid w:val="005D2502"/>
    <w:rsid w:val="005D2E0E"/>
    <w:rsid w:val="005D3F8B"/>
    <w:rsid w:val="005D40BB"/>
    <w:rsid w:val="005D47F3"/>
    <w:rsid w:val="005D49BF"/>
    <w:rsid w:val="005D4AA5"/>
    <w:rsid w:val="005D54C5"/>
    <w:rsid w:val="005D5960"/>
    <w:rsid w:val="005D60C2"/>
    <w:rsid w:val="005D62E5"/>
    <w:rsid w:val="005D6343"/>
    <w:rsid w:val="005D63BA"/>
    <w:rsid w:val="005D6940"/>
    <w:rsid w:val="005D6A48"/>
    <w:rsid w:val="005D6F4E"/>
    <w:rsid w:val="005D703B"/>
    <w:rsid w:val="005D7C73"/>
    <w:rsid w:val="005D7CFC"/>
    <w:rsid w:val="005D7E1F"/>
    <w:rsid w:val="005E00BB"/>
    <w:rsid w:val="005E0249"/>
    <w:rsid w:val="005E10D1"/>
    <w:rsid w:val="005E1318"/>
    <w:rsid w:val="005E169C"/>
    <w:rsid w:val="005E1D3D"/>
    <w:rsid w:val="005E250B"/>
    <w:rsid w:val="005E38F5"/>
    <w:rsid w:val="005E392B"/>
    <w:rsid w:val="005E3ACD"/>
    <w:rsid w:val="005E5171"/>
    <w:rsid w:val="005E5C2C"/>
    <w:rsid w:val="005E62EC"/>
    <w:rsid w:val="005E631F"/>
    <w:rsid w:val="005E6857"/>
    <w:rsid w:val="005E6C87"/>
    <w:rsid w:val="005E6CAE"/>
    <w:rsid w:val="005E7226"/>
    <w:rsid w:val="005E7A57"/>
    <w:rsid w:val="005E7AE4"/>
    <w:rsid w:val="005F03B2"/>
    <w:rsid w:val="005F096B"/>
    <w:rsid w:val="005F0D53"/>
    <w:rsid w:val="005F1C06"/>
    <w:rsid w:val="005F246B"/>
    <w:rsid w:val="005F24B0"/>
    <w:rsid w:val="005F2A41"/>
    <w:rsid w:val="005F2AEA"/>
    <w:rsid w:val="005F3A8B"/>
    <w:rsid w:val="005F4C08"/>
    <w:rsid w:val="005F4E42"/>
    <w:rsid w:val="005F5329"/>
    <w:rsid w:val="005F5384"/>
    <w:rsid w:val="005F581D"/>
    <w:rsid w:val="005F65D2"/>
    <w:rsid w:val="005F6F0F"/>
    <w:rsid w:val="005F78EB"/>
    <w:rsid w:val="005F7997"/>
    <w:rsid w:val="005F7D73"/>
    <w:rsid w:val="006001B5"/>
    <w:rsid w:val="0060020B"/>
    <w:rsid w:val="0060053B"/>
    <w:rsid w:val="00600D1B"/>
    <w:rsid w:val="00601DFD"/>
    <w:rsid w:val="006022A6"/>
    <w:rsid w:val="00602A8D"/>
    <w:rsid w:val="00602CCB"/>
    <w:rsid w:val="00602E4A"/>
    <w:rsid w:val="00603008"/>
    <w:rsid w:val="006040D1"/>
    <w:rsid w:val="006040FD"/>
    <w:rsid w:val="00604315"/>
    <w:rsid w:val="00604551"/>
    <w:rsid w:val="0060475A"/>
    <w:rsid w:val="00604E26"/>
    <w:rsid w:val="0060523F"/>
    <w:rsid w:val="006052CF"/>
    <w:rsid w:val="00605537"/>
    <w:rsid w:val="00605A23"/>
    <w:rsid w:val="0060638A"/>
    <w:rsid w:val="00606505"/>
    <w:rsid w:val="0060679C"/>
    <w:rsid w:val="00607B8D"/>
    <w:rsid w:val="00607F6A"/>
    <w:rsid w:val="00611036"/>
    <w:rsid w:val="00611D25"/>
    <w:rsid w:val="00611F5C"/>
    <w:rsid w:val="0061216A"/>
    <w:rsid w:val="006124EB"/>
    <w:rsid w:val="00612546"/>
    <w:rsid w:val="006127CB"/>
    <w:rsid w:val="00612E95"/>
    <w:rsid w:val="00613DF6"/>
    <w:rsid w:val="00614F0D"/>
    <w:rsid w:val="0061573A"/>
    <w:rsid w:val="00615BAF"/>
    <w:rsid w:val="00616191"/>
    <w:rsid w:val="00616E09"/>
    <w:rsid w:val="006175E0"/>
    <w:rsid w:val="00617847"/>
    <w:rsid w:val="006178FA"/>
    <w:rsid w:val="0062034C"/>
    <w:rsid w:val="00620A82"/>
    <w:rsid w:val="00620E04"/>
    <w:rsid w:val="006213EF"/>
    <w:rsid w:val="00621410"/>
    <w:rsid w:val="0062158E"/>
    <w:rsid w:val="00621EBB"/>
    <w:rsid w:val="00622497"/>
    <w:rsid w:val="006227A9"/>
    <w:rsid w:val="00622A08"/>
    <w:rsid w:val="00622A3B"/>
    <w:rsid w:val="00622EEA"/>
    <w:rsid w:val="006230FF"/>
    <w:rsid w:val="0062396C"/>
    <w:rsid w:val="00623FF9"/>
    <w:rsid w:val="00624261"/>
    <w:rsid w:val="0062437D"/>
    <w:rsid w:val="00624562"/>
    <w:rsid w:val="00624CF7"/>
    <w:rsid w:val="00624D57"/>
    <w:rsid w:val="00625823"/>
    <w:rsid w:val="00625A08"/>
    <w:rsid w:val="00626464"/>
    <w:rsid w:val="00626847"/>
    <w:rsid w:val="00627D4E"/>
    <w:rsid w:val="00627F62"/>
    <w:rsid w:val="00627FE7"/>
    <w:rsid w:val="006307CC"/>
    <w:rsid w:val="00630A88"/>
    <w:rsid w:val="0063229A"/>
    <w:rsid w:val="00632355"/>
    <w:rsid w:val="00632482"/>
    <w:rsid w:val="006328BE"/>
    <w:rsid w:val="00632959"/>
    <w:rsid w:val="00632B89"/>
    <w:rsid w:val="0063327F"/>
    <w:rsid w:val="00633403"/>
    <w:rsid w:val="0063345D"/>
    <w:rsid w:val="0063346D"/>
    <w:rsid w:val="00633526"/>
    <w:rsid w:val="00633B1C"/>
    <w:rsid w:val="00634478"/>
    <w:rsid w:val="00634722"/>
    <w:rsid w:val="00634AC9"/>
    <w:rsid w:val="006362F0"/>
    <w:rsid w:val="00636B63"/>
    <w:rsid w:val="00636FD6"/>
    <w:rsid w:val="006377D3"/>
    <w:rsid w:val="0064014D"/>
    <w:rsid w:val="00640439"/>
    <w:rsid w:val="00640B93"/>
    <w:rsid w:val="006415E7"/>
    <w:rsid w:val="00641AF5"/>
    <w:rsid w:val="00643057"/>
    <w:rsid w:val="00643364"/>
    <w:rsid w:val="00643AAD"/>
    <w:rsid w:val="00643C16"/>
    <w:rsid w:val="00644373"/>
    <w:rsid w:val="0064444F"/>
    <w:rsid w:val="00644F44"/>
    <w:rsid w:val="0064589E"/>
    <w:rsid w:val="00645915"/>
    <w:rsid w:val="00645F30"/>
    <w:rsid w:val="006461AE"/>
    <w:rsid w:val="00646CC4"/>
    <w:rsid w:val="00647316"/>
    <w:rsid w:val="006479BF"/>
    <w:rsid w:val="00647C64"/>
    <w:rsid w:val="00647DB2"/>
    <w:rsid w:val="00650BBB"/>
    <w:rsid w:val="006519C3"/>
    <w:rsid w:val="006519F2"/>
    <w:rsid w:val="006521C3"/>
    <w:rsid w:val="00652B30"/>
    <w:rsid w:val="006536E7"/>
    <w:rsid w:val="0065394B"/>
    <w:rsid w:val="00653B25"/>
    <w:rsid w:val="00653BDF"/>
    <w:rsid w:val="0065485F"/>
    <w:rsid w:val="006548FF"/>
    <w:rsid w:val="006549BC"/>
    <w:rsid w:val="006555E6"/>
    <w:rsid w:val="00655A4D"/>
    <w:rsid w:val="00656345"/>
    <w:rsid w:val="0065677A"/>
    <w:rsid w:val="00656902"/>
    <w:rsid w:val="00656DC6"/>
    <w:rsid w:val="006570E1"/>
    <w:rsid w:val="0065720B"/>
    <w:rsid w:val="0066015C"/>
    <w:rsid w:val="00660768"/>
    <w:rsid w:val="00660EC6"/>
    <w:rsid w:val="00662949"/>
    <w:rsid w:val="00663518"/>
    <w:rsid w:val="0066364E"/>
    <w:rsid w:val="00664110"/>
    <w:rsid w:val="00664191"/>
    <w:rsid w:val="006644B1"/>
    <w:rsid w:val="00664D17"/>
    <w:rsid w:val="00665317"/>
    <w:rsid w:val="00665881"/>
    <w:rsid w:val="00665985"/>
    <w:rsid w:val="006660B0"/>
    <w:rsid w:val="006661ED"/>
    <w:rsid w:val="00666520"/>
    <w:rsid w:val="00666C59"/>
    <w:rsid w:val="00666E62"/>
    <w:rsid w:val="006674C5"/>
    <w:rsid w:val="006679B5"/>
    <w:rsid w:val="00667C5B"/>
    <w:rsid w:val="006704B6"/>
    <w:rsid w:val="00670524"/>
    <w:rsid w:val="006707AF"/>
    <w:rsid w:val="006718DA"/>
    <w:rsid w:val="00671949"/>
    <w:rsid w:val="00671EF7"/>
    <w:rsid w:val="00671FD7"/>
    <w:rsid w:val="0067336F"/>
    <w:rsid w:val="0067416A"/>
    <w:rsid w:val="0067439C"/>
    <w:rsid w:val="00675016"/>
    <w:rsid w:val="006755C6"/>
    <w:rsid w:val="00675B1C"/>
    <w:rsid w:val="00675BD7"/>
    <w:rsid w:val="00675F0F"/>
    <w:rsid w:val="00675F85"/>
    <w:rsid w:val="006760FA"/>
    <w:rsid w:val="00676406"/>
    <w:rsid w:val="00676426"/>
    <w:rsid w:val="00676BFA"/>
    <w:rsid w:val="00677151"/>
    <w:rsid w:val="006774D7"/>
    <w:rsid w:val="00677F61"/>
    <w:rsid w:val="0068054B"/>
    <w:rsid w:val="00680752"/>
    <w:rsid w:val="006814EB"/>
    <w:rsid w:val="0068167C"/>
    <w:rsid w:val="00681952"/>
    <w:rsid w:val="00681998"/>
    <w:rsid w:val="0068246A"/>
    <w:rsid w:val="00682E79"/>
    <w:rsid w:val="00682FCE"/>
    <w:rsid w:val="0068305E"/>
    <w:rsid w:val="006833D3"/>
    <w:rsid w:val="00683DB1"/>
    <w:rsid w:val="00684A68"/>
    <w:rsid w:val="00687C13"/>
    <w:rsid w:val="00687DFC"/>
    <w:rsid w:val="00690FB4"/>
    <w:rsid w:val="00691264"/>
    <w:rsid w:val="006916AF"/>
    <w:rsid w:val="00691EB8"/>
    <w:rsid w:val="006922DA"/>
    <w:rsid w:val="0069238F"/>
    <w:rsid w:val="00692608"/>
    <w:rsid w:val="00692904"/>
    <w:rsid w:val="0069294B"/>
    <w:rsid w:val="00692CDE"/>
    <w:rsid w:val="00693073"/>
    <w:rsid w:val="006938CA"/>
    <w:rsid w:val="00694FAC"/>
    <w:rsid w:val="006952D2"/>
    <w:rsid w:val="006959B2"/>
    <w:rsid w:val="006960EC"/>
    <w:rsid w:val="00697137"/>
    <w:rsid w:val="006977FF"/>
    <w:rsid w:val="00697882"/>
    <w:rsid w:val="00697BBB"/>
    <w:rsid w:val="00697D06"/>
    <w:rsid w:val="006A01FA"/>
    <w:rsid w:val="006A0C1B"/>
    <w:rsid w:val="006A0CCE"/>
    <w:rsid w:val="006A0E9E"/>
    <w:rsid w:val="006A0EF0"/>
    <w:rsid w:val="006A0FEF"/>
    <w:rsid w:val="006A106C"/>
    <w:rsid w:val="006A1A07"/>
    <w:rsid w:val="006A2455"/>
    <w:rsid w:val="006A25C7"/>
    <w:rsid w:val="006A2837"/>
    <w:rsid w:val="006A3954"/>
    <w:rsid w:val="006A3DB1"/>
    <w:rsid w:val="006A3ECF"/>
    <w:rsid w:val="006A4AAD"/>
    <w:rsid w:val="006A4CCA"/>
    <w:rsid w:val="006A5404"/>
    <w:rsid w:val="006A551C"/>
    <w:rsid w:val="006A551F"/>
    <w:rsid w:val="006A59C4"/>
    <w:rsid w:val="006A5FAD"/>
    <w:rsid w:val="006A6C3A"/>
    <w:rsid w:val="006A6DA2"/>
    <w:rsid w:val="006A7243"/>
    <w:rsid w:val="006A7517"/>
    <w:rsid w:val="006A7AB2"/>
    <w:rsid w:val="006B0765"/>
    <w:rsid w:val="006B084A"/>
    <w:rsid w:val="006B0D45"/>
    <w:rsid w:val="006B2318"/>
    <w:rsid w:val="006B253D"/>
    <w:rsid w:val="006B2DB4"/>
    <w:rsid w:val="006B2E6F"/>
    <w:rsid w:val="006B3E6A"/>
    <w:rsid w:val="006B444F"/>
    <w:rsid w:val="006B48B2"/>
    <w:rsid w:val="006B4ED2"/>
    <w:rsid w:val="006B5131"/>
    <w:rsid w:val="006B52DE"/>
    <w:rsid w:val="006B5717"/>
    <w:rsid w:val="006B582F"/>
    <w:rsid w:val="006B5AC0"/>
    <w:rsid w:val="006B5EB2"/>
    <w:rsid w:val="006B665C"/>
    <w:rsid w:val="006B6EEC"/>
    <w:rsid w:val="006B7658"/>
    <w:rsid w:val="006B788A"/>
    <w:rsid w:val="006B7E2F"/>
    <w:rsid w:val="006C03B9"/>
    <w:rsid w:val="006C0713"/>
    <w:rsid w:val="006C0CEB"/>
    <w:rsid w:val="006C12C9"/>
    <w:rsid w:val="006C12DD"/>
    <w:rsid w:val="006C1631"/>
    <w:rsid w:val="006C19DC"/>
    <w:rsid w:val="006C1C2F"/>
    <w:rsid w:val="006C23A0"/>
    <w:rsid w:val="006C26F4"/>
    <w:rsid w:val="006C3574"/>
    <w:rsid w:val="006C381D"/>
    <w:rsid w:val="006C3B1E"/>
    <w:rsid w:val="006C3BB3"/>
    <w:rsid w:val="006C47FD"/>
    <w:rsid w:val="006C54D3"/>
    <w:rsid w:val="006C562E"/>
    <w:rsid w:val="006C57E9"/>
    <w:rsid w:val="006C5B68"/>
    <w:rsid w:val="006C5C19"/>
    <w:rsid w:val="006C5E1F"/>
    <w:rsid w:val="006C5FD4"/>
    <w:rsid w:val="006C6D03"/>
    <w:rsid w:val="006C70A0"/>
    <w:rsid w:val="006D000F"/>
    <w:rsid w:val="006D0A12"/>
    <w:rsid w:val="006D1780"/>
    <w:rsid w:val="006D18A8"/>
    <w:rsid w:val="006D27CB"/>
    <w:rsid w:val="006D2EDE"/>
    <w:rsid w:val="006D2F08"/>
    <w:rsid w:val="006D3B32"/>
    <w:rsid w:val="006D42B7"/>
    <w:rsid w:val="006D42E4"/>
    <w:rsid w:val="006D576C"/>
    <w:rsid w:val="006D5865"/>
    <w:rsid w:val="006D5CCE"/>
    <w:rsid w:val="006D5E07"/>
    <w:rsid w:val="006D68E8"/>
    <w:rsid w:val="006E0188"/>
    <w:rsid w:val="006E046C"/>
    <w:rsid w:val="006E0A69"/>
    <w:rsid w:val="006E0FEA"/>
    <w:rsid w:val="006E1DA8"/>
    <w:rsid w:val="006E2038"/>
    <w:rsid w:val="006E22F9"/>
    <w:rsid w:val="006E36CB"/>
    <w:rsid w:val="006E3B61"/>
    <w:rsid w:val="006E3E72"/>
    <w:rsid w:val="006E493B"/>
    <w:rsid w:val="006E4B1B"/>
    <w:rsid w:val="006E4C8C"/>
    <w:rsid w:val="006E5445"/>
    <w:rsid w:val="006E574D"/>
    <w:rsid w:val="006E5B22"/>
    <w:rsid w:val="006E607C"/>
    <w:rsid w:val="006E6779"/>
    <w:rsid w:val="006E7992"/>
    <w:rsid w:val="006E7AF3"/>
    <w:rsid w:val="006E7B61"/>
    <w:rsid w:val="006E7D93"/>
    <w:rsid w:val="006F0232"/>
    <w:rsid w:val="006F0DEF"/>
    <w:rsid w:val="006F1106"/>
    <w:rsid w:val="006F1864"/>
    <w:rsid w:val="006F1956"/>
    <w:rsid w:val="006F2EE3"/>
    <w:rsid w:val="006F31B4"/>
    <w:rsid w:val="006F31DE"/>
    <w:rsid w:val="006F3A52"/>
    <w:rsid w:val="006F40DF"/>
    <w:rsid w:val="006F448C"/>
    <w:rsid w:val="006F4B13"/>
    <w:rsid w:val="006F4CF5"/>
    <w:rsid w:val="006F4D06"/>
    <w:rsid w:val="006F4EC0"/>
    <w:rsid w:val="006F526F"/>
    <w:rsid w:val="006F5427"/>
    <w:rsid w:val="006F6311"/>
    <w:rsid w:val="006F7294"/>
    <w:rsid w:val="006F75B7"/>
    <w:rsid w:val="006F7DDD"/>
    <w:rsid w:val="00700ACD"/>
    <w:rsid w:val="0070133D"/>
    <w:rsid w:val="00701502"/>
    <w:rsid w:val="00701847"/>
    <w:rsid w:val="00701EC2"/>
    <w:rsid w:val="007027EF"/>
    <w:rsid w:val="007028A7"/>
    <w:rsid w:val="007029A3"/>
    <w:rsid w:val="00702A84"/>
    <w:rsid w:val="0070343B"/>
    <w:rsid w:val="00703E9C"/>
    <w:rsid w:val="007050A6"/>
    <w:rsid w:val="007059F9"/>
    <w:rsid w:val="00706822"/>
    <w:rsid w:val="00706A12"/>
    <w:rsid w:val="00706A7C"/>
    <w:rsid w:val="00706E4E"/>
    <w:rsid w:val="0070791C"/>
    <w:rsid w:val="00707B0B"/>
    <w:rsid w:val="0071069F"/>
    <w:rsid w:val="0071079F"/>
    <w:rsid w:val="007112CC"/>
    <w:rsid w:val="0071164C"/>
    <w:rsid w:val="007127FA"/>
    <w:rsid w:val="00712E30"/>
    <w:rsid w:val="0071383C"/>
    <w:rsid w:val="00713DE5"/>
    <w:rsid w:val="007141A7"/>
    <w:rsid w:val="00714324"/>
    <w:rsid w:val="007144C2"/>
    <w:rsid w:val="00715722"/>
    <w:rsid w:val="00715BAF"/>
    <w:rsid w:val="00715D10"/>
    <w:rsid w:val="00715E3D"/>
    <w:rsid w:val="00716DAE"/>
    <w:rsid w:val="00717CA7"/>
    <w:rsid w:val="00720EFA"/>
    <w:rsid w:val="00721032"/>
    <w:rsid w:val="0072179E"/>
    <w:rsid w:val="00721B55"/>
    <w:rsid w:val="00722CA0"/>
    <w:rsid w:val="00723906"/>
    <w:rsid w:val="00723DB8"/>
    <w:rsid w:val="007242E3"/>
    <w:rsid w:val="00724C32"/>
    <w:rsid w:val="00724DF0"/>
    <w:rsid w:val="00724E02"/>
    <w:rsid w:val="00725031"/>
    <w:rsid w:val="00725556"/>
    <w:rsid w:val="0072583D"/>
    <w:rsid w:val="007263FC"/>
    <w:rsid w:val="00726948"/>
    <w:rsid w:val="00726CE4"/>
    <w:rsid w:val="0073053C"/>
    <w:rsid w:val="007309C3"/>
    <w:rsid w:val="00731C11"/>
    <w:rsid w:val="0073223D"/>
    <w:rsid w:val="00732C6A"/>
    <w:rsid w:val="007332E3"/>
    <w:rsid w:val="00734143"/>
    <w:rsid w:val="0073441C"/>
    <w:rsid w:val="00734A66"/>
    <w:rsid w:val="00734F0D"/>
    <w:rsid w:val="00735027"/>
    <w:rsid w:val="0073592B"/>
    <w:rsid w:val="00735A64"/>
    <w:rsid w:val="007365EE"/>
    <w:rsid w:val="00736CA4"/>
    <w:rsid w:val="00737023"/>
    <w:rsid w:val="0073773D"/>
    <w:rsid w:val="00737E47"/>
    <w:rsid w:val="00740389"/>
    <w:rsid w:val="00740566"/>
    <w:rsid w:val="00740EAC"/>
    <w:rsid w:val="00740F6D"/>
    <w:rsid w:val="00741C18"/>
    <w:rsid w:val="007437CE"/>
    <w:rsid w:val="007439C0"/>
    <w:rsid w:val="00743EC3"/>
    <w:rsid w:val="00744956"/>
    <w:rsid w:val="00744C2F"/>
    <w:rsid w:val="00744CC8"/>
    <w:rsid w:val="00745272"/>
    <w:rsid w:val="00745A55"/>
    <w:rsid w:val="00745A5C"/>
    <w:rsid w:val="0074605F"/>
    <w:rsid w:val="0074641D"/>
    <w:rsid w:val="007464B5"/>
    <w:rsid w:val="00746786"/>
    <w:rsid w:val="00747E94"/>
    <w:rsid w:val="0075046B"/>
    <w:rsid w:val="007519F0"/>
    <w:rsid w:val="00751B18"/>
    <w:rsid w:val="00751C6C"/>
    <w:rsid w:val="007522D1"/>
    <w:rsid w:val="00752A99"/>
    <w:rsid w:val="00752EC0"/>
    <w:rsid w:val="00752F09"/>
    <w:rsid w:val="00752F44"/>
    <w:rsid w:val="00753176"/>
    <w:rsid w:val="00753409"/>
    <w:rsid w:val="0075344C"/>
    <w:rsid w:val="0075388D"/>
    <w:rsid w:val="00753C5B"/>
    <w:rsid w:val="00753EAF"/>
    <w:rsid w:val="00754302"/>
    <w:rsid w:val="0075496D"/>
    <w:rsid w:val="00754C83"/>
    <w:rsid w:val="00755243"/>
    <w:rsid w:val="007561E4"/>
    <w:rsid w:val="00756287"/>
    <w:rsid w:val="00756524"/>
    <w:rsid w:val="0075704F"/>
    <w:rsid w:val="00757939"/>
    <w:rsid w:val="00757E30"/>
    <w:rsid w:val="00757F46"/>
    <w:rsid w:val="00760642"/>
    <w:rsid w:val="00761351"/>
    <w:rsid w:val="00761A6B"/>
    <w:rsid w:val="00761E5C"/>
    <w:rsid w:val="0076209C"/>
    <w:rsid w:val="00762377"/>
    <w:rsid w:val="00763808"/>
    <w:rsid w:val="0076396B"/>
    <w:rsid w:val="0076511F"/>
    <w:rsid w:val="00765611"/>
    <w:rsid w:val="00765DF8"/>
    <w:rsid w:val="0076603D"/>
    <w:rsid w:val="0076606A"/>
    <w:rsid w:val="00766566"/>
    <w:rsid w:val="00766749"/>
    <w:rsid w:val="00766935"/>
    <w:rsid w:val="00766BF6"/>
    <w:rsid w:val="00766FC4"/>
    <w:rsid w:val="007670B3"/>
    <w:rsid w:val="007674D6"/>
    <w:rsid w:val="0076766F"/>
    <w:rsid w:val="00767918"/>
    <w:rsid w:val="00767C1B"/>
    <w:rsid w:val="00770281"/>
    <w:rsid w:val="007706D1"/>
    <w:rsid w:val="007708BE"/>
    <w:rsid w:val="0077098F"/>
    <w:rsid w:val="00770B3F"/>
    <w:rsid w:val="00770DEF"/>
    <w:rsid w:val="0077116E"/>
    <w:rsid w:val="00771413"/>
    <w:rsid w:val="007714A9"/>
    <w:rsid w:val="00771B3C"/>
    <w:rsid w:val="0077244F"/>
    <w:rsid w:val="00773880"/>
    <w:rsid w:val="00773B94"/>
    <w:rsid w:val="00773EFD"/>
    <w:rsid w:val="0077493C"/>
    <w:rsid w:val="007749B4"/>
    <w:rsid w:val="00774B19"/>
    <w:rsid w:val="00774BB5"/>
    <w:rsid w:val="00774DBC"/>
    <w:rsid w:val="00774F88"/>
    <w:rsid w:val="00774FDB"/>
    <w:rsid w:val="007759A2"/>
    <w:rsid w:val="00775BEC"/>
    <w:rsid w:val="007760F6"/>
    <w:rsid w:val="00776F37"/>
    <w:rsid w:val="00777351"/>
    <w:rsid w:val="007774E7"/>
    <w:rsid w:val="0077760A"/>
    <w:rsid w:val="00777BA2"/>
    <w:rsid w:val="0078047B"/>
    <w:rsid w:val="00781408"/>
    <w:rsid w:val="007815EA"/>
    <w:rsid w:val="00781823"/>
    <w:rsid w:val="00782065"/>
    <w:rsid w:val="007827C8"/>
    <w:rsid w:val="00782D00"/>
    <w:rsid w:val="0078332D"/>
    <w:rsid w:val="007836CF"/>
    <w:rsid w:val="007837B1"/>
    <w:rsid w:val="00784884"/>
    <w:rsid w:val="007848F1"/>
    <w:rsid w:val="00784A70"/>
    <w:rsid w:val="00784F7F"/>
    <w:rsid w:val="00785B6C"/>
    <w:rsid w:val="00786886"/>
    <w:rsid w:val="00786CDA"/>
    <w:rsid w:val="007878BD"/>
    <w:rsid w:val="00790FDA"/>
    <w:rsid w:val="007910F8"/>
    <w:rsid w:val="00792979"/>
    <w:rsid w:val="00792C21"/>
    <w:rsid w:val="007938CF"/>
    <w:rsid w:val="00793CD6"/>
    <w:rsid w:val="00794363"/>
    <w:rsid w:val="0079454A"/>
    <w:rsid w:val="00794596"/>
    <w:rsid w:val="007950EE"/>
    <w:rsid w:val="00795169"/>
    <w:rsid w:val="00796000"/>
    <w:rsid w:val="00796F25"/>
    <w:rsid w:val="007A0C14"/>
    <w:rsid w:val="007A174F"/>
    <w:rsid w:val="007A1C9E"/>
    <w:rsid w:val="007A1DD1"/>
    <w:rsid w:val="007A2D43"/>
    <w:rsid w:val="007A2E98"/>
    <w:rsid w:val="007A3BA3"/>
    <w:rsid w:val="007A4952"/>
    <w:rsid w:val="007A4C84"/>
    <w:rsid w:val="007A53F8"/>
    <w:rsid w:val="007A5938"/>
    <w:rsid w:val="007A59BF"/>
    <w:rsid w:val="007A5AC5"/>
    <w:rsid w:val="007A6CC0"/>
    <w:rsid w:val="007A6CCF"/>
    <w:rsid w:val="007A72AB"/>
    <w:rsid w:val="007A7755"/>
    <w:rsid w:val="007A7FEC"/>
    <w:rsid w:val="007B0AAA"/>
    <w:rsid w:val="007B0DF4"/>
    <w:rsid w:val="007B1474"/>
    <w:rsid w:val="007B1499"/>
    <w:rsid w:val="007B1578"/>
    <w:rsid w:val="007B1A15"/>
    <w:rsid w:val="007B1BBF"/>
    <w:rsid w:val="007B1BE8"/>
    <w:rsid w:val="007B2960"/>
    <w:rsid w:val="007B2E8A"/>
    <w:rsid w:val="007B3421"/>
    <w:rsid w:val="007B355D"/>
    <w:rsid w:val="007B35F1"/>
    <w:rsid w:val="007B3B7A"/>
    <w:rsid w:val="007B4199"/>
    <w:rsid w:val="007B45BC"/>
    <w:rsid w:val="007B55DC"/>
    <w:rsid w:val="007B687F"/>
    <w:rsid w:val="007B6FE8"/>
    <w:rsid w:val="007B7980"/>
    <w:rsid w:val="007C07C7"/>
    <w:rsid w:val="007C0916"/>
    <w:rsid w:val="007C0DEF"/>
    <w:rsid w:val="007C0ED9"/>
    <w:rsid w:val="007C161F"/>
    <w:rsid w:val="007C1FBF"/>
    <w:rsid w:val="007C2337"/>
    <w:rsid w:val="007C252E"/>
    <w:rsid w:val="007C26BE"/>
    <w:rsid w:val="007C274A"/>
    <w:rsid w:val="007C2D01"/>
    <w:rsid w:val="007C2E30"/>
    <w:rsid w:val="007C2F47"/>
    <w:rsid w:val="007C300D"/>
    <w:rsid w:val="007C3F12"/>
    <w:rsid w:val="007C4A48"/>
    <w:rsid w:val="007C4CE7"/>
    <w:rsid w:val="007C58BF"/>
    <w:rsid w:val="007C5B27"/>
    <w:rsid w:val="007C5D16"/>
    <w:rsid w:val="007C5D5A"/>
    <w:rsid w:val="007C607F"/>
    <w:rsid w:val="007C6634"/>
    <w:rsid w:val="007C6F16"/>
    <w:rsid w:val="007C7083"/>
    <w:rsid w:val="007C716F"/>
    <w:rsid w:val="007C79DD"/>
    <w:rsid w:val="007C7F8C"/>
    <w:rsid w:val="007C7FEA"/>
    <w:rsid w:val="007D1A97"/>
    <w:rsid w:val="007D1B0F"/>
    <w:rsid w:val="007D2BF7"/>
    <w:rsid w:val="007D2CD6"/>
    <w:rsid w:val="007D3063"/>
    <w:rsid w:val="007D39F7"/>
    <w:rsid w:val="007D3CEB"/>
    <w:rsid w:val="007D3E03"/>
    <w:rsid w:val="007D4485"/>
    <w:rsid w:val="007D4948"/>
    <w:rsid w:val="007D5956"/>
    <w:rsid w:val="007D6758"/>
    <w:rsid w:val="007D73E6"/>
    <w:rsid w:val="007E00DC"/>
    <w:rsid w:val="007E0308"/>
    <w:rsid w:val="007E05D9"/>
    <w:rsid w:val="007E0F77"/>
    <w:rsid w:val="007E19AD"/>
    <w:rsid w:val="007E1A2B"/>
    <w:rsid w:val="007E1F0A"/>
    <w:rsid w:val="007E2011"/>
    <w:rsid w:val="007E27CD"/>
    <w:rsid w:val="007E3010"/>
    <w:rsid w:val="007E3506"/>
    <w:rsid w:val="007E4571"/>
    <w:rsid w:val="007E52B8"/>
    <w:rsid w:val="007E59FE"/>
    <w:rsid w:val="007E5A66"/>
    <w:rsid w:val="007E7319"/>
    <w:rsid w:val="007E7683"/>
    <w:rsid w:val="007E7B58"/>
    <w:rsid w:val="007E7D8B"/>
    <w:rsid w:val="007E7DAA"/>
    <w:rsid w:val="007F0236"/>
    <w:rsid w:val="007F02F9"/>
    <w:rsid w:val="007F0D34"/>
    <w:rsid w:val="007F0F9D"/>
    <w:rsid w:val="007F132C"/>
    <w:rsid w:val="007F1B4B"/>
    <w:rsid w:val="007F2316"/>
    <w:rsid w:val="007F2620"/>
    <w:rsid w:val="007F2F82"/>
    <w:rsid w:val="007F31A6"/>
    <w:rsid w:val="007F3779"/>
    <w:rsid w:val="007F3D20"/>
    <w:rsid w:val="007F49FA"/>
    <w:rsid w:val="007F4FE1"/>
    <w:rsid w:val="007F5106"/>
    <w:rsid w:val="007F5462"/>
    <w:rsid w:val="007F54B3"/>
    <w:rsid w:val="007F54C4"/>
    <w:rsid w:val="007F5671"/>
    <w:rsid w:val="007F5E78"/>
    <w:rsid w:val="007F6238"/>
    <w:rsid w:val="007F6E9A"/>
    <w:rsid w:val="007F7D37"/>
    <w:rsid w:val="0080021E"/>
    <w:rsid w:val="00800C78"/>
    <w:rsid w:val="00800CCD"/>
    <w:rsid w:val="00801FEB"/>
    <w:rsid w:val="00802404"/>
    <w:rsid w:val="008025B2"/>
    <w:rsid w:val="008027F0"/>
    <w:rsid w:val="00803539"/>
    <w:rsid w:val="008044D4"/>
    <w:rsid w:val="0080460A"/>
    <w:rsid w:val="00805E42"/>
    <w:rsid w:val="00806382"/>
    <w:rsid w:val="008064D2"/>
    <w:rsid w:val="008065C6"/>
    <w:rsid w:val="008065D7"/>
    <w:rsid w:val="0080675B"/>
    <w:rsid w:val="00806B01"/>
    <w:rsid w:val="0081001C"/>
    <w:rsid w:val="00810A9E"/>
    <w:rsid w:val="00810AB4"/>
    <w:rsid w:val="00810B10"/>
    <w:rsid w:val="00810B7D"/>
    <w:rsid w:val="00811C9D"/>
    <w:rsid w:val="00811CD5"/>
    <w:rsid w:val="00812C04"/>
    <w:rsid w:val="00813404"/>
    <w:rsid w:val="00813B0B"/>
    <w:rsid w:val="00813D42"/>
    <w:rsid w:val="00813FF8"/>
    <w:rsid w:val="00814716"/>
    <w:rsid w:val="00814EED"/>
    <w:rsid w:val="008165BB"/>
    <w:rsid w:val="00816899"/>
    <w:rsid w:val="00816A25"/>
    <w:rsid w:val="00816AC6"/>
    <w:rsid w:val="00816C09"/>
    <w:rsid w:val="00817192"/>
    <w:rsid w:val="008174B9"/>
    <w:rsid w:val="008177B8"/>
    <w:rsid w:val="00817A4F"/>
    <w:rsid w:val="00817B56"/>
    <w:rsid w:val="00820A19"/>
    <w:rsid w:val="00821927"/>
    <w:rsid w:val="00821A88"/>
    <w:rsid w:val="00822AFA"/>
    <w:rsid w:val="00822C05"/>
    <w:rsid w:val="00822EAD"/>
    <w:rsid w:val="0082322E"/>
    <w:rsid w:val="00823425"/>
    <w:rsid w:val="008234ED"/>
    <w:rsid w:val="00823669"/>
    <w:rsid w:val="00823FDE"/>
    <w:rsid w:val="0082425B"/>
    <w:rsid w:val="008243AC"/>
    <w:rsid w:val="0082495D"/>
    <w:rsid w:val="00824C36"/>
    <w:rsid w:val="00824DA6"/>
    <w:rsid w:val="00825D53"/>
    <w:rsid w:val="00826366"/>
    <w:rsid w:val="008263F0"/>
    <w:rsid w:val="008264D1"/>
    <w:rsid w:val="00827891"/>
    <w:rsid w:val="00827F3D"/>
    <w:rsid w:val="00827F58"/>
    <w:rsid w:val="00830333"/>
    <w:rsid w:val="0083163C"/>
    <w:rsid w:val="00831AC3"/>
    <w:rsid w:val="00831D4F"/>
    <w:rsid w:val="008322B3"/>
    <w:rsid w:val="00832AE0"/>
    <w:rsid w:val="00833C1B"/>
    <w:rsid w:val="00833C89"/>
    <w:rsid w:val="00833E9E"/>
    <w:rsid w:val="00834111"/>
    <w:rsid w:val="0083436E"/>
    <w:rsid w:val="00834DE4"/>
    <w:rsid w:val="0083503D"/>
    <w:rsid w:val="008356E1"/>
    <w:rsid w:val="00835C46"/>
    <w:rsid w:val="00835C4B"/>
    <w:rsid w:val="0083614C"/>
    <w:rsid w:val="008363CF"/>
    <w:rsid w:val="00836691"/>
    <w:rsid w:val="00836FCE"/>
    <w:rsid w:val="00837EE0"/>
    <w:rsid w:val="008408FF"/>
    <w:rsid w:val="008411EC"/>
    <w:rsid w:val="0084150D"/>
    <w:rsid w:val="00841E26"/>
    <w:rsid w:val="008427C4"/>
    <w:rsid w:val="00842906"/>
    <w:rsid w:val="00843B16"/>
    <w:rsid w:val="00843F47"/>
    <w:rsid w:val="008447E8"/>
    <w:rsid w:val="008452DB"/>
    <w:rsid w:val="0084534D"/>
    <w:rsid w:val="0084574B"/>
    <w:rsid w:val="008457CD"/>
    <w:rsid w:val="00845953"/>
    <w:rsid w:val="00846200"/>
    <w:rsid w:val="00846FB1"/>
    <w:rsid w:val="00847139"/>
    <w:rsid w:val="00847560"/>
    <w:rsid w:val="00847DF7"/>
    <w:rsid w:val="00850877"/>
    <w:rsid w:val="00851F3F"/>
    <w:rsid w:val="008523AA"/>
    <w:rsid w:val="008524A9"/>
    <w:rsid w:val="00852725"/>
    <w:rsid w:val="00852C4C"/>
    <w:rsid w:val="00852E0C"/>
    <w:rsid w:val="008535A7"/>
    <w:rsid w:val="0085397C"/>
    <w:rsid w:val="0085404B"/>
    <w:rsid w:val="00854B0D"/>
    <w:rsid w:val="00855442"/>
    <w:rsid w:val="00855AF9"/>
    <w:rsid w:val="00855CF4"/>
    <w:rsid w:val="00855E65"/>
    <w:rsid w:val="00855E8F"/>
    <w:rsid w:val="00856193"/>
    <w:rsid w:val="00856EDC"/>
    <w:rsid w:val="008571DD"/>
    <w:rsid w:val="00860675"/>
    <w:rsid w:val="00860A2E"/>
    <w:rsid w:val="008620EA"/>
    <w:rsid w:val="008623B5"/>
    <w:rsid w:val="00863C50"/>
    <w:rsid w:val="00863EF1"/>
    <w:rsid w:val="0086500B"/>
    <w:rsid w:val="0086514C"/>
    <w:rsid w:val="00865163"/>
    <w:rsid w:val="008653B6"/>
    <w:rsid w:val="00865888"/>
    <w:rsid w:val="0086608E"/>
    <w:rsid w:val="008668D5"/>
    <w:rsid w:val="0086690C"/>
    <w:rsid w:val="00866994"/>
    <w:rsid w:val="00866AD6"/>
    <w:rsid w:val="00866B36"/>
    <w:rsid w:val="00866EA1"/>
    <w:rsid w:val="00867412"/>
    <w:rsid w:val="0086783C"/>
    <w:rsid w:val="00867948"/>
    <w:rsid w:val="0087008D"/>
    <w:rsid w:val="008700AF"/>
    <w:rsid w:val="00870ABA"/>
    <w:rsid w:val="008710E1"/>
    <w:rsid w:val="008716E5"/>
    <w:rsid w:val="008721A5"/>
    <w:rsid w:val="008731CD"/>
    <w:rsid w:val="00873465"/>
    <w:rsid w:val="008742D9"/>
    <w:rsid w:val="00874642"/>
    <w:rsid w:val="00874A06"/>
    <w:rsid w:val="00874EF0"/>
    <w:rsid w:val="00875669"/>
    <w:rsid w:val="008758F1"/>
    <w:rsid w:val="00875EC3"/>
    <w:rsid w:val="00875F0A"/>
    <w:rsid w:val="00875F59"/>
    <w:rsid w:val="0087710B"/>
    <w:rsid w:val="00877224"/>
    <w:rsid w:val="008774A2"/>
    <w:rsid w:val="00877BFF"/>
    <w:rsid w:val="00877D14"/>
    <w:rsid w:val="00877F9E"/>
    <w:rsid w:val="00880F7B"/>
    <w:rsid w:val="00881CA9"/>
    <w:rsid w:val="00881E05"/>
    <w:rsid w:val="008834B8"/>
    <w:rsid w:val="008835EE"/>
    <w:rsid w:val="00883628"/>
    <w:rsid w:val="00884444"/>
    <w:rsid w:val="00885420"/>
    <w:rsid w:val="00885544"/>
    <w:rsid w:val="008859FC"/>
    <w:rsid w:val="0088634E"/>
    <w:rsid w:val="00886F72"/>
    <w:rsid w:val="0088724A"/>
    <w:rsid w:val="00887D98"/>
    <w:rsid w:val="008904CE"/>
    <w:rsid w:val="008905C9"/>
    <w:rsid w:val="008914A5"/>
    <w:rsid w:val="00891564"/>
    <w:rsid w:val="00892356"/>
    <w:rsid w:val="008923BB"/>
    <w:rsid w:val="00892471"/>
    <w:rsid w:val="00892A7A"/>
    <w:rsid w:val="00892E74"/>
    <w:rsid w:val="00892EB7"/>
    <w:rsid w:val="00893AB8"/>
    <w:rsid w:val="00894269"/>
    <w:rsid w:val="008952A1"/>
    <w:rsid w:val="008959BD"/>
    <w:rsid w:val="008965A5"/>
    <w:rsid w:val="00896E53"/>
    <w:rsid w:val="0089712C"/>
    <w:rsid w:val="0089729B"/>
    <w:rsid w:val="00897426"/>
    <w:rsid w:val="008A0108"/>
    <w:rsid w:val="008A027C"/>
    <w:rsid w:val="008A04C8"/>
    <w:rsid w:val="008A07C4"/>
    <w:rsid w:val="008A0A79"/>
    <w:rsid w:val="008A1429"/>
    <w:rsid w:val="008A2F0C"/>
    <w:rsid w:val="008A3072"/>
    <w:rsid w:val="008A4066"/>
    <w:rsid w:val="008A4185"/>
    <w:rsid w:val="008A54DB"/>
    <w:rsid w:val="008A54DC"/>
    <w:rsid w:val="008A5614"/>
    <w:rsid w:val="008A5A03"/>
    <w:rsid w:val="008A6913"/>
    <w:rsid w:val="008A6E2A"/>
    <w:rsid w:val="008A714E"/>
    <w:rsid w:val="008A717B"/>
    <w:rsid w:val="008A7180"/>
    <w:rsid w:val="008A72C0"/>
    <w:rsid w:val="008A75B2"/>
    <w:rsid w:val="008B0299"/>
    <w:rsid w:val="008B0A3E"/>
    <w:rsid w:val="008B10ED"/>
    <w:rsid w:val="008B122F"/>
    <w:rsid w:val="008B24FF"/>
    <w:rsid w:val="008B296E"/>
    <w:rsid w:val="008B29BB"/>
    <w:rsid w:val="008B2F00"/>
    <w:rsid w:val="008B3703"/>
    <w:rsid w:val="008B39F4"/>
    <w:rsid w:val="008B3B68"/>
    <w:rsid w:val="008B3C0A"/>
    <w:rsid w:val="008B523B"/>
    <w:rsid w:val="008B52B0"/>
    <w:rsid w:val="008B53C3"/>
    <w:rsid w:val="008B553D"/>
    <w:rsid w:val="008B5801"/>
    <w:rsid w:val="008B6011"/>
    <w:rsid w:val="008B606B"/>
    <w:rsid w:val="008B67F8"/>
    <w:rsid w:val="008B70F3"/>
    <w:rsid w:val="008B71C4"/>
    <w:rsid w:val="008B76DF"/>
    <w:rsid w:val="008B78A3"/>
    <w:rsid w:val="008B7C27"/>
    <w:rsid w:val="008C02DE"/>
    <w:rsid w:val="008C05CA"/>
    <w:rsid w:val="008C064D"/>
    <w:rsid w:val="008C10F4"/>
    <w:rsid w:val="008C112F"/>
    <w:rsid w:val="008C1357"/>
    <w:rsid w:val="008C169C"/>
    <w:rsid w:val="008C1703"/>
    <w:rsid w:val="008C1A41"/>
    <w:rsid w:val="008C1FDA"/>
    <w:rsid w:val="008C254F"/>
    <w:rsid w:val="008C2777"/>
    <w:rsid w:val="008C2DFA"/>
    <w:rsid w:val="008C2E80"/>
    <w:rsid w:val="008C31B7"/>
    <w:rsid w:val="008C44BE"/>
    <w:rsid w:val="008C45F8"/>
    <w:rsid w:val="008C58BC"/>
    <w:rsid w:val="008C5D0E"/>
    <w:rsid w:val="008C5DEE"/>
    <w:rsid w:val="008C5F90"/>
    <w:rsid w:val="008C65B3"/>
    <w:rsid w:val="008C65F7"/>
    <w:rsid w:val="008C7395"/>
    <w:rsid w:val="008C76B1"/>
    <w:rsid w:val="008D03A3"/>
    <w:rsid w:val="008D04D8"/>
    <w:rsid w:val="008D066C"/>
    <w:rsid w:val="008D0A90"/>
    <w:rsid w:val="008D16B9"/>
    <w:rsid w:val="008D1C8C"/>
    <w:rsid w:val="008D4C18"/>
    <w:rsid w:val="008D5905"/>
    <w:rsid w:val="008D5CE9"/>
    <w:rsid w:val="008D63D5"/>
    <w:rsid w:val="008D67FC"/>
    <w:rsid w:val="008D6B0F"/>
    <w:rsid w:val="008D7363"/>
    <w:rsid w:val="008D76DA"/>
    <w:rsid w:val="008D7F9F"/>
    <w:rsid w:val="008E000E"/>
    <w:rsid w:val="008E0216"/>
    <w:rsid w:val="008E0271"/>
    <w:rsid w:val="008E0428"/>
    <w:rsid w:val="008E04DF"/>
    <w:rsid w:val="008E054E"/>
    <w:rsid w:val="008E061F"/>
    <w:rsid w:val="008E0685"/>
    <w:rsid w:val="008E0A4C"/>
    <w:rsid w:val="008E1109"/>
    <w:rsid w:val="008E11BD"/>
    <w:rsid w:val="008E17D2"/>
    <w:rsid w:val="008E1A52"/>
    <w:rsid w:val="008E1DC9"/>
    <w:rsid w:val="008E2A96"/>
    <w:rsid w:val="008E2B89"/>
    <w:rsid w:val="008E351C"/>
    <w:rsid w:val="008E3A03"/>
    <w:rsid w:val="008E4767"/>
    <w:rsid w:val="008E521E"/>
    <w:rsid w:val="008E550A"/>
    <w:rsid w:val="008E5EAA"/>
    <w:rsid w:val="008E6643"/>
    <w:rsid w:val="008E721A"/>
    <w:rsid w:val="008E75B6"/>
    <w:rsid w:val="008E7A8C"/>
    <w:rsid w:val="008E7C1F"/>
    <w:rsid w:val="008E7EBD"/>
    <w:rsid w:val="008F0356"/>
    <w:rsid w:val="008F109F"/>
    <w:rsid w:val="008F176C"/>
    <w:rsid w:val="008F1F82"/>
    <w:rsid w:val="008F2174"/>
    <w:rsid w:val="008F23A0"/>
    <w:rsid w:val="008F25D8"/>
    <w:rsid w:val="008F2D15"/>
    <w:rsid w:val="008F3965"/>
    <w:rsid w:val="008F3DBB"/>
    <w:rsid w:val="008F4193"/>
    <w:rsid w:val="008F468D"/>
    <w:rsid w:val="008F4A15"/>
    <w:rsid w:val="008F4A7F"/>
    <w:rsid w:val="008F4E1B"/>
    <w:rsid w:val="008F5383"/>
    <w:rsid w:val="008F5ACA"/>
    <w:rsid w:val="008F67C9"/>
    <w:rsid w:val="008F67FD"/>
    <w:rsid w:val="008F6A7D"/>
    <w:rsid w:val="008F6C4D"/>
    <w:rsid w:val="008F6C8D"/>
    <w:rsid w:val="008F71D4"/>
    <w:rsid w:val="008F78C9"/>
    <w:rsid w:val="00900385"/>
    <w:rsid w:val="009009E6"/>
    <w:rsid w:val="00900C43"/>
    <w:rsid w:val="00901360"/>
    <w:rsid w:val="00901F55"/>
    <w:rsid w:val="0090203B"/>
    <w:rsid w:val="00902388"/>
    <w:rsid w:val="00903285"/>
    <w:rsid w:val="009032EC"/>
    <w:rsid w:val="0090350A"/>
    <w:rsid w:val="00903BC8"/>
    <w:rsid w:val="00904923"/>
    <w:rsid w:val="00904F5F"/>
    <w:rsid w:val="0090614D"/>
    <w:rsid w:val="0090678F"/>
    <w:rsid w:val="00906F40"/>
    <w:rsid w:val="0090731E"/>
    <w:rsid w:val="00910397"/>
    <w:rsid w:val="00910436"/>
    <w:rsid w:val="00910E83"/>
    <w:rsid w:val="00911B82"/>
    <w:rsid w:val="00911E51"/>
    <w:rsid w:val="00912A2C"/>
    <w:rsid w:val="009135A1"/>
    <w:rsid w:val="00915036"/>
    <w:rsid w:val="0091531B"/>
    <w:rsid w:val="00915498"/>
    <w:rsid w:val="009157E3"/>
    <w:rsid w:val="00915B1C"/>
    <w:rsid w:val="00915D4C"/>
    <w:rsid w:val="00916012"/>
    <w:rsid w:val="00916AC9"/>
    <w:rsid w:val="00916D68"/>
    <w:rsid w:val="00916E7E"/>
    <w:rsid w:val="00916FA6"/>
    <w:rsid w:val="00917322"/>
    <w:rsid w:val="009174F3"/>
    <w:rsid w:val="0091797D"/>
    <w:rsid w:val="0092008C"/>
    <w:rsid w:val="00920248"/>
    <w:rsid w:val="00920990"/>
    <w:rsid w:val="00920CEC"/>
    <w:rsid w:val="0092173C"/>
    <w:rsid w:val="00921961"/>
    <w:rsid w:val="00921995"/>
    <w:rsid w:val="0092214F"/>
    <w:rsid w:val="009223F2"/>
    <w:rsid w:val="00922D3D"/>
    <w:rsid w:val="00923727"/>
    <w:rsid w:val="00923BF2"/>
    <w:rsid w:val="00923C4F"/>
    <w:rsid w:val="00923C84"/>
    <w:rsid w:val="00923CBA"/>
    <w:rsid w:val="00924092"/>
    <w:rsid w:val="009240C5"/>
    <w:rsid w:val="0092412B"/>
    <w:rsid w:val="00924B9E"/>
    <w:rsid w:val="00924E82"/>
    <w:rsid w:val="0092510C"/>
    <w:rsid w:val="00925B6D"/>
    <w:rsid w:val="00925BB0"/>
    <w:rsid w:val="00925D03"/>
    <w:rsid w:val="00925E8B"/>
    <w:rsid w:val="00926703"/>
    <w:rsid w:val="009268D5"/>
    <w:rsid w:val="00926C08"/>
    <w:rsid w:val="00927691"/>
    <w:rsid w:val="00927A5F"/>
    <w:rsid w:val="00927B1C"/>
    <w:rsid w:val="00927D46"/>
    <w:rsid w:val="0093042D"/>
    <w:rsid w:val="00930510"/>
    <w:rsid w:val="00930BB1"/>
    <w:rsid w:val="00932694"/>
    <w:rsid w:val="009329BA"/>
    <w:rsid w:val="00932BFD"/>
    <w:rsid w:val="0093304C"/>
    <w:rsid w:val="0093334C"/>
    <w:rsid w:val="0093351D"/>
    <w:rsid w:val="00933F84"/>
    <w:rsid w:val="00934643"/>
    <w:rsid w:val="0093589E"/>
    <w:rsid w:val="009359BF"/>
    <w:rsid w:val="00935B63"/>
    <w:rsid w:val="00935F71"/>
    <w:rsid w:val="009361B8"/>
    <w:rsid w:val="00936E95"/>
    <w:rsid w:val="00937DAE"/>
    <w:rsid w:val="0094078F"/>
    <w:rsid w:val="00940919"/>
    <w:rsid w:val="00940FA3"/>
    <w:rsid w:val="0094114B"/>
    <w:rsid w:val="0094118B"/>
    <w:rsid w:val="00941B11"/>
    <w:rsid w:val="00941DB2"/>
    <w:rsid w:val="00941E00"/>
    <w:rsid w:val="00941FB0"/>
    <w:rsid w:val="009426D4"/>
    <w:rsid w:val="00942757"/>
    <w:rsid w:val="00942A20"/>
    <w:rsid w:val="00944342"/>
    <w:rsid w:val="00944950"/>
    <w:rsid w:val="0094568A"/>
    <w:rsid w:val="009458D6"/>
    <w:rsid w:val="00945C5A"/>
    <w:rsid w:val="00947127"/>
    <w:rsid w:val="00947F25"/>
    <w:rsid w:val="00947F95"/>
    <w:rsid w:val="00950159"/>
    <w:rsid w:val="009501D9"/>
    <w:rsid w:val="00950BDF"/>
    <w:rsid w:val="00951027"/>
    <w:rsid w:val="00951BFF"/>
    <w:rsid w:val="0095370A"/>
    <w:rsid w:val="00953EA1"/>
    <w:rsid w:val="0095490B"/>
    <w:rsid w:val="0095543A"/>
    <w:rsid w:val="00955E2E"/>
    <w:rsid w:val="00956080"/>
    <w:rsid w:val="0095663E"/>
    <w:rsid w:val="00956FAA"/>
    <w:rsid w:val="00957031"/>
    <w:rsid w:val="00957258"/>
    <w:rsid w:val="00957358"/>
    <w:rsid w:val="009575A0"/>
    <w:rsid w:val="00957B74"/>
    <w:rsid w:val="009602E9"/>
    <w:rsid w:val="00960966"/>
    <w:rsid w:val="00960A33"/>
    <w:rsid w:val="00961930"/>
    <w:rsid w:val="00961A48"/>
    <w:rsid w:val="00962B67"/>
    <w:rsid w:val="00962C30"/>
    <w:rsid w:val="0096327A"/>
    <w:rsid w:val="009638E5"/>
    <w:rsid w:val="0096405E"/>
    <w:rsid w:val="00964264"/>
    <w:rsid w:val="009645A9"/>
    <w:rsid w:val="0096502B"/>
    <w:rsid w:val="009654E9"/>
    <w:rsid w:val="0096564B"/>
    <w:rsid w:val="0096635B"/>
    <w:rsid w:val="009665B2"/>
    <w:rsid w:val="0097026D"/>
    <w:rsid w:val="009714CA"/>
    <w:rsid w:val="009717FC"/>
    <w:rsid w:val="00971914"/>
    <w:rsid w:val="00972403"/>
    <w:rsid w:val="0097256E"/>
    <w:rsid w:val="00972A53"/>
    <w:rsid w:val="00972A5E"/>
    <w:rsid w:val="00973199"/>
    <w:rsid w:val="00973407"/>
    <w:rsid w:val="009734A7"/>
    <w:rsid w:val="00973A7C"/>
    <w:rsid w:val="009740E2"/>
    <w:rsid w:val="00974363"/>
    <w:rsid w:val="00974BA4"/>
    <w:rsid w:val="00975B7D"/>
    <w:rsid w:val="0097641A"/>
    <w:rsid w:val="009769C0"/>
    <w:rsid w:val="00976CD3"/>
    <w:rsid w:val="00980633"/>
    <w:rsid w:val="00980AA0"/>
    <w:rsid w:val="00980D84"/>
    <w:rsid w:val="00981601"/>
    <w:rsid w:val="00981609"/>
    <w:rsid w:val="0098181B"/>
    <w:rsid w:val="00981898"/>
    <w:rsid w:val="0098275E"/>
    <w:rsid w:val="0098340E"/>
    <w:rsid w:val="0098377F"/>
    <w:rsid w:val="009840AA"/>
    <w:rsid w:val="00984746"/>
    <w:rsid w:val="00984A6A"/>
    <w:rsid w:val="00984AC0"/>
    <w:rsid w:val="00984C25"/>
    <w:rsid w:val="009851ED"/>
    <w:rsid w:val="00985580"/>
    <w:rsid w:val="00985962"/>
    <w:rsid w:val="00986454"/>
    <w:rsid w:val="0098694B"/>
    <w:rsid w:val="00990BFC"/>
    <w:rsid w:val="009912C6"/>
    <w:rsid w:val="009919A4"/>
    <w:rsid w:val="00992169"/>
    <w:rsid w:val="00993168"/>
    <w:rsid w:val="0099419D"/>
    <w:rsid w:val="00994291"/>
    <w:rsid w:val="009945A0"/>
    <w:rsid w:val="0099471B"/>
    <w:rsid w:val="0099494C"/>
    <w:rsid w:val="00995023"/>
    <w:rsid w:val="0099577C"/>
    <w:rsid w:val="00995F03"/>
    <w:rsid w:val="00996E31"/>
    <w:rsid w:val="00997608"/>
    <w:rsid w:val="00997C4E"/>
    <w:rsid w:val="00997F07"/>
    <w:rsid w:val="009A021C"/>
    <w:rsid w:val="009A079B"/>
    <w:rsid w:val="009A0C53"/>
    <w:rsid w:val="009A11AB"/>
    <w:rsid w:val="009A156D"/>
    <w:rsid w:val="009A1C80"/>
    <w:rsid w:val="009A1E09"/>
    <w:rsid w:val="009A2053"/>
    <w:rsid w:val="009A25CC"/>
    <w:rsid w:val="009A2A9D"/>
    <w:rsid w:val="009A2CB6"/>
    <w:rsid w:val="009A3043"/>
    <w:rsid w:val="009A3B97"/>
    <w:rsid w:val="009A440D"/>
    <w:rsid w:val="009A4800"/>
    <w:rsid w:val="009A4DCB"/>
    <w:rsid w:val="009A5718"/>
    <w:rsid w:val="009A5D62"/>
    <w:rsid w:val="009A68D6"/>
    <w:rsid w:val="009A69B2"/>
    <w:rsid w:val="009A7989"/>
    <w:rsid w:val="009A7EF8"/>
    <w:rsid w:val="009B01D6"/>
    <w:rsid w:val="009B03DE"/>
    <w:rsid w:val="009B137F"/>
    <w:rsid w:val="009B13D5"/>
    <w:rsid w:val="009B1B9E"/>
    <w:rsid w:val="009B24A5"/>
    <w:rsid w:val="009B2601"/>
    <w:rsid w:val="009B2C29"/>
    <w:rsid w:val="009B2EE9"/>
    <w:rsid w:val="009B448F"/>
    <w:rsid w:val="009B46FE"/>
    <w:rsid w:val="009B4B62"/>
    <w:rsid w:val="009B4E9E"/>
    <w:rsid w:val="009B5CB6"/>
    <w:rsid w:val="009B613E"/>
    <w:rsid w:val="009B65B6"/>
    <w:rsid w:val="009B68D9"/>
    <w:rsid w:val="009B6A58"/>
    <w:rsid w:val="009B6DA6"/>
    <w:rsid w:val="009C1690"/>
    <w:rsid w:val="009C18F0"/>
    <w:rsid w:val="009C1AB6"/>
    <w:rsid w:val="009C2E25"/>
    <w:rsid w:val="009C4DD2"/>
    <w:rsid w:val="009C568F"/>
    <w:rsid w:val="009C5D64"/>
    <w:rsid w:val="009C627A"/>
    <w:rsid w:val="009C6471"/>
    <w:rsid w:val="009C6881"/>
    <w:rsid w:val="009C6D11"/>
    <w:rsid w:val="009C709D"/>
    <w:rsid w:val="009C717C"/>
    <w:rsid w:val="009C7715"/>
    <w:rsid w:val="009C7759"/>
    <w:rsid w:val="009D0356"/>
    <w:rsid w:val="009D043D"/>
    <w:rsid w:val="009D0584"/>
    <w:rsid w:val="009D05BD"/>
    <w:rsid w:val="009D07C8"/>
    <w:rsid w:val="009D2112"/>
    <w:rsid w:val="009D225F"/>
    <w:rsid w:val="009D23DF"/>
    <w:rsid w:val="009D309D"/>
    <w:rsid w:val="009D419E"/>
    <w:rsid w:val="009D4409"/>
    <w:rsid w:val="009D47AF"/>
    <w:rsid w:val="009D484B"/>
    <w:rsid w:val="009D4C85"/>
    <w:rsid w:val="009D4DBF"/>
    <w:rsid w:val="009D55E7"/>
    <w:rsid w:val="009D5BB7"/>
    <w:rsid w:val="009D60BF"/>
    <w:rsid w:val="009D61D9"/>
    <w:rsid w:val="009D67DE"/>
    <w:rsid w:val="009D6C71"/>
    <w:rsid w:val="009D6FE3"/>
    <w:rsid w:val="009D7BDE"/>
    <w:rsid w:val="009E02C2"/>
    <w:rsid w:val="009E0631"/>
    <w:rsid w:val="009E0E93"/>
    <w:rsid w:val="009E0FE4"/>
    <w:rsid w:val="009E16A5"/>
    <w:rsid w:val="009E16D0"/>
    <w:rsid w:val="009E2051"/>
    <w:rsid w:val="009E22CA"/>
    <w:rsid w:val="009E23E2"/>
    <w:rsid w:val="009E2960"/>
    <w:rsid w:val="009E3261"/>
    <w:rsid w:val="009E330A"/>
    <w:rsid w:val="009E38FD"/>
    <w:rsid w:val="009E3D4A"/>
    <w:rsid w:val="009E3F37"/>
    <w:rsid w:val="009E4EDD"/>
    <w:rsid w:val="009E50B0"/>
    <w:rsid w:val="009E5167"/>
    <w:rsid w:val="009E5367"/>
    <w:rsid w:val="009E5D4C"/>
    <w:rsid w:val="009E678F"/>
    <w:rsid w:val="009E69AC"/>
    <w:rsid w:val="009E6A11"/>
    <w:rsid w:val="009E6EE5"/>
    <w:rsid w:val="009E7652"/>
    <w:rsid w:val="009E7A35"/>
    <w:rsid w:val="009E7A88"/>
    <w:rsid w:val="009E7C9E"/>
    <w:rsid w:val="009F0634"/>
    <w:rsid w:val="009F0918"/>
    <w:rsid w:val="009F0B3B"/>
    <w:rsid w:val="009F12F8"/>
    <w:rsid w:val="009F13D6"/>
    <w:rsid w:val="009F15B2"/>
    <w:rsid w:val="009F1D29"/>
    <w:rsid w:val="009F1E86"/>
    <w:rsid w:val="009F20ED"/>
    <w:rsid w:val="009F213F"/>
    <w:rsid w:val="009F29B7"/>
    <w:rsid w:val="009F2B73"/>
    <w:rsid w:val="009F2E80"/>
    <w:rsid w:val="009F321B"/>
    <w:rsid w:val="009F334E"/>
    <w:rsid w:val="009F3368"/>
    <w:rsid w:val="009F38E5"/>
    <w:rsid w:val="009F43F2"/>
    <w:rsid w:val="009F451A"/>
    <w:rsid w:val="009F4536"/>
    <w:rsid w:val="009F473B"/>
    <w:rsid w:val="009F4825"/>
    <w:rsid w:val="009F4C6B"/>
    <w:rsid w:val="009F4EC3"/>
    <w:rsid w:val="009F4F93"/>
    <w:rsid w:val="009F5F9A"/>
    <w:rsid w:val="009F6255"/>
    <w:rsid w:val="009F6390"/>
    <w:rsid w:val="009F6B9A"/>
    <w:rsid w:val="009F716E"/>
    <w:rsid w:val="009F7529"/>
    <w:rsid w:val="009F78A8"/>
    <w:rsid w:val="00A00776"/>
    <w:rsid w:val="00A017E0"/>
    <w:rsid w:val="00A02221"/>
    <w:rsid w:val="00A02308"/>
    <w:rsid w:val="00A02371"/>
    <w:rsid w:val="00A025B4"/>
    <w:rsid w:val="00A027C9"/>
    <w:rsid w:val="00A02A92"/>
    <w:rsid w:val="00A02AD6"/>
    <w:rsid w:val="00A02C68"/>
    <w:rsid w:val="00A032BB"/>
    <w:rsid w:val="00A05394"/>
    <w:rsid w:val="00A05550"/>
    <w:rsid w:val="00A05C5E"/>
    <w:rsid w:val="00A05E4E"/>
    <w:rsid w:val="00A062F7"/>
    <w:rsid w:val="00A0672B"/>
    <w:rsid w:val="00A07096"/>
    <w:rsid w:val="00A072B1"/>
    <w:rsid w:val="00A07318"/>
    <w:rsid w:val="00A07E83"/>
    <w:rsid w:val="00A1068B"/>
    <w:rsid w:val="00A1084F"/>
    <w:rsid w:val="00A1089F"/>
    <w:rsid w:val="00A11104"/>
    <w:rsid w:val="00A11370"/>
    <w:rsid w:val="00A1155B"/>
    <w:rsid w:val="00A11E68"/>
    <w:rsid w:val="00A12203"/>
    <w:rsid w:val="00A13BD2"/>
    <w:rsid w:val="00A13F21"/>
    <w:rsid w:val="00A149F4"/>
    <w:rsid w:val="00A1525D"/>
    <w:rsid w:val="00A152D1"/>
    <w:rsid w:val="00A15DF4"/>
    <w:rsid w:val="00A163C7"/>
    <w:rsid w:val="00A17758"/>
    <w:rsid w:val="00A178B3"/>
    <w:rsid w:val="00A178C3"/>
    <w:rsid w:val="00A17A89"/>
    <w:rsid w:val="00A17F01"/>
    <w:rsid w:val="00A204C0"/>
    <w:rsid w:val="00A20636"/>
    <w:rsid w:val="00A21C07"/>
    <w:rsid w:val="00A224CE"/>
    <w:rsid w:val="00A22522"/>
    <w:rsid w:val="00A22752"/>
    <w:rsid w:val="00A228EB"/>
    <w:rsid w:val="00A23C77"/>
    <w:rsid w:val="00A23EC2"/>
    <w:rsid w:val="00A23F30"/>
    <w:rsid w:val="00A246F6"/>
    <w:rsid w:val="00A24A00"/>
    <w:rsid w:val="00A24AFD"/>
    <w:rsid w:val="00A24F5C"/>
    <w:rsid w:val="00A25302"/>
    <w:rsid w:val="00A25A9A"/>
    <w:rsid w:val="00A26321"/>
    <w:rsid w:val="00A27A5F"/>
    <w:rsid w:val="00A300C0"/>
    <w:rsid w:val="00A3083D"/>
    <w:rsid w:val="00A30C70"/>
    <w:rsid w:val="00A32707"/>
    <w:rsid w:val="00A32BB7"/>
    <w:rsid w:val="00A32F96"/>
    <w:rsid w:val="00A3341C"/>
    <w:rsid w:val="00A3362E"/>
    <w:rsid w:val="00A33649"/>
    <w:rsid w:val="00A33E93"/>
    <w:rsid w:val="00A342D6"/>
    <w:rsid w:val="00A34574"/>
    <w:rsid w:val="00A35158"/>
    <w:rsid w:val="00A35170"/>
    <w:rsid w:val="00A368C0"/>
    <w:rsid w:val="00A36A8D"/>
    <w:rsid w:val="00A37C04"/>
    <w:rsid w:val="00A37F7A"/>
    <w:rsid w:val="00A40185"/>
    <w:rsid w:val="00A40871"/>
    <w:rsid w:val="00A40B8D"/>
    <w:rsid w:val="00A412AB"/>
    <w:rsid w:val="00A4193E"/>
    <w:rsid w:val="00A41C0F"/>
    <w:rsid w:val="00A41F41"/>
    <w:rsid w:val="00A42377"/>
    <w:rsid w:val="00A4264B"/>
    <w:rsid w:val="00A42E1A"/>
    <w:rsid w:val="00A42FEF"/>
    <w:rsid w:val="00A4311B"/>
    <w:rsid w:val="00A436DF"/>
    <w:rsid w:val="00A43F1D"/>
    <w:rsid w:val="00A440E0"/>
    <w:rsid w:val="00A442EF"/>
    <w:rsid w:val="00A445AB"/>
    <w:rsid w:val="00A4469F"/>
    <w:rsid w:val="00A44BF6"/>
    <w:rsid w:val="00A46181"/>
    <w:rsid w:val="00A468B7"/>
    <w:rsid w:val="00A46DF7"/>
    <w:rsid w:val="00A472EE"/>
    <w:rsid w:val="00A472F0"/>
    <w:rsid w:val="00A47A1E"/>
    <w:rsid w:val="00A50087"/>
    <w:rsid w:val="00A5043E"/>
    <w:rsid w:val="00A50717"/>
    <w:rsid w:val="00A50B19"/>
    <w:rsid w:val="00A5112D"/>
    <w:rsid w:val="00A51D1A"/>
    <w:rsid w:val="00A52519"/>
    <w:rsid w:val="00A5276A"/>
    <w:rsid w:val="00A5281F"/>
    <w:rsid w:val="00A52F08"/>
    <w:rsid w:val="00A537F4"/>
    <w:rsid w:val="00A5418D"/>
    <w:rsid w:val="00A542EF"/>
    <w:rsid w:val="00A545AB"/>
    <w:rsid w:val="00A5474E"/>
    <w:rsid w:val="00A55C78"/>
    <w:rsid w:val="00A5630E"/>
    <w:rsid w:val="00A56964"/>
    <w:rsid w:val="00A57732"/>
    <w:rsid w:val="00A57D34"/>
    <w:rsid w:val="00A57D9A"/>
    <w:rsid w:val="00A60394"/>
    <w:rsid w:val="00A60B8F"/>
    <w:rsid w:val="00A61E10"/>
    <w:rsid w:val="00A628AB"/>
    <w:rsid w:val="00A62DC6"/>
    <w:rsid w:val="00A641C0"/>
    <w:rsid w:val="00A64234"/>
    <w:rsid w:val="00A64787"/>
    <w:rsid w:val="00A64E4D"/>
    <w:rsid w:val="00A64FAC"/>
    <w:rsid w:val="00A651AB"/>
    <w:rsid w:val="00A65BF7"/>
    <w:rsid w:val="00A66812"/>
    <w:rsid w:val="00A671D9"/>
    <w:rsid w:val="00A67AF6"/>
    <w:rsid w:val="00A70486"/>
    <w:rsid w:val="00A7051C"/>
    <w:rsid w:val="00A70622"/>
    <w:rsid w:val="00A709A9"/>
    <w:rsid w:val="00A70ADF"/>
    <w:rsid w:val="00A71466"/>
    <w:rsid w:val="00A7170E"/>
    <w:rsid w:val="00A71AB2"/>
    <w:rsid w:val="00A71BE8"/>
    <w:rsid w:val="00A739D2"/>
    <w:rsid w:val="00A7400E"/>
    <w:rsid w:val="00A74A0A"/>
    <w:rsid w:val="00A74B5E"/>
    <w:rsid w:val="00A7544D"/>
    <w:rsid w:val="00A7582B"/>
    <w:rsid w:val="00A766EE"/>
    <w:rsid w:val="00A76FD4"/>
    <w:rsid w:val="00A77EE8"/>
    <w:rsid w:val="00A80BA4"/>
    <w:rsid w:val="00A80FE6"/>
    <w:rsid w:val="00A8115D"/>
    <w:rsid w:val="00A812F6"/>
    <w:rsid w:val="00A81552"/>
    <w:rsid w:val="00A81756"/>
    <w:rsid w:val="00A81BED"/>
    <w:rsid w:val="00A81DA5"/>
    <w:rsid w:val="00A81EC4"/>
    <w:rsid w:val="00A824E8"/>
    <w:rsid w:val="00A82661"/>
    <w:rsid w:val="00A8279E"/>
    <w:rsid w:val="00A82E3E"/>
    <w:rsid w:val="00A83A7A"/>
    <w:rsid w:val="00A83FDA"/>
    <w:rsid w:val="00A846DB"/>
    <w:rsid w:val="00A84A4A"/>
    <w:rsid w:val="00A8574C"/>
    <w:rsid w:val="00A87361"/>
    <w:rsid w:val="00A875CA"/>
    <w:rsid w:val="00A8788C"/>
    <w:rsid w:val="00A916B4"/>
    <w:rsid w:val="00A917DD"/>
    <w:rsid w:val="00A9191C"/>
    <w:rsid w:val="00A929F6"/>
    <w:rsid w:val="00A92E2B"/>
    <w:rsid w:val="00A92ED3"/>
    <w:rsid w:val="00A92F71"/>
    <w:rsid w:val="00A93163"/>
    <w:rsid w:val="00A93F38"/>
    <w:rsid w:val="00A94A94"/>
    <w:rsid w:val="00A95063"/>
    <w:rsid w:val="00A95B9B"/>
    <w:rsid w:val="00A95F91"/>
    <w:rsid w:val="00A961DD"/>
    <w:rsid w:val="00A9633B"/>
    <w:rsid w:val="00A967FD"/>
    <w:rsid w:val="00A97227"/>
    <w:rsid w:val="00A97442"/>
    <w:rsid w:val="00A97491"/>
    <w:rsid w:val="00A97F88"/>
    <w:rsid w:val="00AA0627"/>
    <w:rsid w:val="00AA1093"/>
    <w:rsid w:val="00AA115E"/>
    <w:rsid w:val="00AA2116"/>
    <w:rsid w:val="00AA21BC"/>
    <w:rsid w:val="00AA28C0"/>
    <w:rsid w:val="00AA2C87"/>
    <w:rsid w:val="00AA2CE9"/>
    <w:rsid w:val="00AA2DE5"/>
    <w:rsid w:val="00AA2E1B"/>
    <w:rsid w:val="00AA39DC"/>
    <w:rsid w:val="00AA3E04"/>
    <w:rsid w:val="00AA40A1"/>
    <w:rsid w:val="00AA42BC"/>
    <w:rsid w:val="00AA4F81"/>
    <w:rsid w:val="00AA7B46"/>
    <w:rsid w:val="00AA7C41"/>
    <w:rsid w:val="00AB05D0"/>
    <w:rsid w:val="00AB156C"/>
    <w:rsid w:val="00AB1684"/>
    <w:rsid w:val="00AB1E68"/>
    <w:rsid w:val="00AB1E77"/>
    <w:rsid w:val="00AB222A"/>
    <w:rsid w:val="00AB24A8"/>
    <w:rsid w:val="00AB2B4D"/>
    <w:rsid w:val="00AB2DAE"/>
    <w:rsid w:val="00AB2E4C"/>
    <w:rsid w:val="00AB3A83"/>
    <w:rsid w:val="00AB3E55"/>
    <w:rsid w:val="00AB3EDD"/>
    <w:rsid w:val="00AB4477"/>
    <w:rsid w:val="00AB5187"/>
    <w:rsid w:val="00AB6390"/>
    <w:rsid w:val="00AB6814"/>
    <w:rsid w:val="00AB69C1"/>
    <w:rsid w:val="00AB7B15"/>
    <w:rsid w:val="00AB7E38"/>
    <w:rsid w:val="00AC0116"/>
    <w:rsid w:val="00AC04BA"/>
    <w:rsid w:val="00AC0B6D"/>
    <w:rsid w:val="00AC0DC4"/>
    <w:rsid w:val="00AC0E39"/>
    <w:rsid w:val="00AC1A2F"/>
    <w:rsid w:val="00AC2274"/>
    <w:rsid w:val="00AC2432"/>
    <w:rsid w:val="00AC2713"/>
    <w:rsid w:val="00AC2C8E"/>
    <w:rsid w:val="00AC2F21"/>
    <w:rsid w:val="00AC3FBD"/>
    <w:rsid w:val="00AC4680"/>
    <w:rsid w:val="00AC46FB"/>
    <w:rsid w:val="00AC54BD"/>
    <w:rsid w:val="00AC580A"/>
    <w:rsid w:val="00AC6074"/>
    <w:rsid w:val="00AC6141"/>
    <w:rsid w:val="00AC622C"/>
    <w:rsid w:val="00AC657C"/>
    <w:rsid w:val="00AC6B89"/>
    <w:rsid w:val="00AC6BAB"/>
    <w:rsid w:val="00AC6CDB"/>
    <w:rsid w:val="00AC6EEF"/>
    <w:rsid w:val="00AC71F9"/>
    <w:rsid w:val="00AC736E"/>
    <w:rsid w:val="00AD04BB"/>
    <w:rsid w:val="00AD0984"/>
    <w:rsid w:val="00AD0BD4"/>
    <w:rsid w:val="00AD18B3"/>
    <w:rsid w:val="00AD1AC6"/>
    <w:rsid w:val="00AD25CA"/>
    <w:rsid w:val="00AD2651"/>
    <w:rsid w:val="00AD288C"/>
    <w:rsid w:val="00AD2984"/>
    <w:rsid w:val="00AD3082"/>
    <w:rsid w:val="00AD32B4"/>
    <w:rsid w:val="00AD3794"/>
    <w:rsid w:val="00AD37C3"/>
    <w:rsid w:val="00AD4873"/>
    <w:rsid w:val="00AD4AD0"/>
    <w:rsid w:val="00AD5227"/>
    <w:rsid w:val="00AD5436"/>
    <w:rsid w:val="00AD5469"/>
    <w:rsid w:val="00AD5B0F"/>
    <w:rsid w:val="00AD5CFA"/>
    <w:rsid w:val="00AD60CD"/>
    <w:rsid w:val="00AD64DD"/>
    <w:rsid w:val="00AD6C8C"/>
    <w:rsid w:val="00AD7133"/>
    <w:rsid w:val="00AD7860"/>
    <w:rsid w:val="00AE0160"/>
    <w:rsid w:val="00AE04A6"/>
    <w:rsid w:val="00AE091D"/>
    <w:rsid w:val="00AE0C07"/>
    <w:rsid w:val="00AE1AC6"/>
    <w:rsid w:val="00AE1C73"/>
    <w:rsid w:val="00AE212A"/>
    <w:rsid w:val="00AE2E64"/>
    <w:rsid w:val="00AE3076"/>
    <w:rsid w:val="00AE320A"/>
    <w:rsid w:val="00AE358E"/>
    <w:rsid w:val="00AE3B60"/>
    <w:rsid w:val="00AE3E16"/>
    <w:rsid w:val="00AE4239"/>
    <w:rsid w:val="00AE47E1"/>
    <w:rsid w:val="00AE4EF7"/>
    <w:rsid w:val="00AE53A1"/>
    <w:rsid w:val="00AE6B31"/>
    <w:rsid w:val="00AF0712"/>
    <w:rsid w:val="00AF180C"/>
    <w:rsid w:val="00AF1B8C"/>
    <w:rsid w:val="00AF22C1"/>
    <w:rsid w:val="00AF2484"/>
    <w:rsid w:val="00AF25E4"/>
    <w:rsid w:val="00AF2906"/>
    <w:rsid w:val="00AF3503"/>
    <w:rsid w:val="00AF44F5"/>
    <w:rsid w:val="00AF57B1"/>
    <w:rsid w:val="00AF63E7"/>
    <w:rsid w:val="00AF6778"/>
    <w:rsid w:val="00AF6E17"/>
    <w:rsid w:val="00AF731C"/>
    <w:rsid w:val="00AF7E14"/>
    <w:rsid w:val="00B00838"/>
    <w:rsid w:val="00B0165D"/>
    <w:rsid w:val="00B01B60"/>
    <w:rsid w:val="00B02336"/>
    <w:rsid w:val="00B029DA"/>
    <w:rsid w:val="00B02FAD"/>
    <w:rsid w:val="00B0318F"/>
    <w:rsid w:val="00B031F3"/>
    <w:rsid w:val="00B03B74"/>
    <w:rsid w:val="00B03D83"/>
    <w:rsid w:val="00B052A4"/>
    <w:rsid w:val="00B05587"/>
    <w:rsid w:val="00B05593"/>
    <w:rsid w:val="00B05CAF"/>
    <w:rsid w:val="00B06602"/>
    <w:rsid w:val="00B06B36"/>
    <w:rsid w:val="00B06CAB"/>
    <w:rsid w:val="00B070FD"/>
    <w:rsid w:val="00B07EB6"/>
    <w:rsid w:val="00B10503"/>
    <w:rsid w:val="00B11093"/>
    <w:rsid w:val="00B11635"/>
    <w:rsid w:val="00B11898"/>
    <w:rsid w:val="00B125DE"/>
    <w:rsid w:val="00B12638"/>
    <w:rsid w:val="00B1265D"/>
    <w:rsid w:val="00B12BC2"/>
    <w:rsid w:val="00B13173"/>
    <w:rsid w:val="00B13BC4"/>
    <w:rsid w:val="00B13FDD"/>
    <w:rsid w:val="00B14462"/>
    <w:rsid w:val="00B14A8C"/>
    <w:rsid w:val="00B14F32"/>
    <w:rsid w:val="00B16088"/>
    <w:rsid w:val="00B167D0"/>
    <w:rsid w:val="00B16E42"/>
    <w:rsid w:val="00B20D16"/>
    <w:rsid w:val="00B21546"/>
    <w:rsid w:val="00B21A82"/>
    <w:rsid w:val="00B2262B"/>
    <w:rsid w:val="00B22A7A"/>
    <w:rsid w:val="00B22E8C"/>
    <w:rsid w:val="00B22EB2"/>
    <w:rsid w:val="00B244E5"/>
    <w:rsid w:val="00B2453C"/>
    <w:rsid w:val="00B2551F"/>
    <w:rsid w:val="00B257F1"/>
    <w:rsid w:val="00B25ED1"/>
    <w:rsid w:val="00B25F41"/>
    <w:rsid w:val="00B26C1B"/>
    <w:rsid w:val="00B27442"/>
    <w:rsid w:val="00B27ECA"/>
    <w:rsid w:val="00B30CA5"/>
    <w:rsid w:val="00B31167"/>
    <w:rsid w:val="00B314A3"/>
    <w:rsid w:val="00B321D8"/>
    <w:rsid w:val="00B329D8"/>
    <w:rsid w:val="00B32BB9"/>
    <w:rsid w:val="00B330FA"/>
    <w:rsid w:val="00B33AE1"/>
    <w:rsid w:val="00B33E7D"/>
    <w:rsid w:val="00B358C1"/>
    <w:rsid w:val="00B3595F"/>
    <w:rsid w:val="00B372BE"/>
    <w:rsid w:val="00B37782"/>
    <w:rsid w:val="00B37C38"/>
    <w:rsid w:val="00B40615"/>
    <w:rsid w:val="00B406AF"/>
    <w:rsid w:val="00B40A5D"/>
    <w:rsid w:val="00B41EAF"/>
    <w:rsid w:val="00B42277"/>
    <w:rsid w:val="00B4288C"/>
    <w:rsid w:val="00B429A3"/>
    <w:rsid w:val="00B42A5C"/>
    <w:rsid w:val="00B42B21"/>
    <w:rsid w:val="00B42E6B"/>
    <w:rsid w:val="00B43262"/>
    <w:rsid w:val="00B43A2D"/>
    <w:rsid w:val="00B43B05"/>
    <w:rsid w:val="00B43BFD"/>
    <w:rsid w:val="00B43DC0"/>
    <w:rsid w:val="00B44100"/>
    <w:rsid w:val="00B44174"/>
    <w:rsid w:val="00B445BA"/>
    <w:rsid w:val="00B450B2"/>
    <w:rsid w:val="00B46118"/>
    <w:rsid w:val="00B46622"/>
    <w:rsid w:val="00B466E9"/>
    <w:rsid w:val="00B467AC"/>
    <w:rsid w:val="00B46870"/>
    <w:rsid w:val="00B46CBA"/>
    <w:rsid w:val="00B46F07"/>
    <w:rsid w:val="00B46F94"/>
    <w:rsid w:val="00B47A6D"/>
    <w:rsid w:val="00B5052B"/>
    <w:rsid w:val="00B5063E"/>
    <w:rsid w:val="00B50C89"/>
    <w:rsid w:val="00B51853"/>
    <w:rsid w:val="00B52118"/>
    <w:rsid w:val="00B5247E"/>
    <w:rsid w:val="00B5289A"/>
    <w:rsid w:val="00B52A79"/>
    <w:rsid w:val="00B52C8A"/>
    <w:rsid w:val="00B52F7B"/>
    <w:rsid w:val="00B530AE"/>
    <w:rsid w:val="00B53191"/>
    <w:rsid w:val="00B53B42"/>
    <w:rsid w:val="00B53FF2"/>
    <w:rsid w:val="00B544E8"/>
    <w:rsid w:val="00B552C5"/>
    <w:rsid w:val="00B55432"/>
    <w:rsid w:val="00B554A7"/>
    <w:rsid w:val="00B55E1D"/>
    <w:rsid w:val="00B566B2"/>
    <w:rsid w:val="00B57D56"/>
    <w:rsid w:val="00B6003C"/>
    <w:rsid w:val="00B607CC"/>
    <w:rsid w:val="00B60ACA"/>
    <w:rsid w:val="00B611C6"/>
    <w:rsid w:val="00B61315"/>
    <w:rsid w:val="00B616FD"/>
    <w:rsid w:val="00B61F03"/>
    <w:rsid w:val="00B6254A"/>
    <w:rsid w:val="00B626E4"/>
    <w:rsid w:val="00B6279D"/>
    <w:rsid w:val="00B628BA"/>
    <w:rsid w:val="00B6298E"/>
    <w:rsid w:val="00B62B69"/>
    <w:rsid w:val="00B64CC6"/>
    <w:rsid w:val="00B6534C"/>
    <w:rsid w:val="00B65860"/>
    <w:rsid w:val="00B666B5"/>
    <w:rsid w:val="00B706B6"/>
    <w:rsid w:val="00B709EF"/>
    <w:rsid w:val="00B70D36"/>
    <w:rsid w:val="00B70E84"/>
    <w:rsid w:val="00B71346"/>
    <w:rsid w:val="00B71795"/>
    <w:rsid w:val="00B71964"/>
    <w:rsid w:val="00B72496"/>
    <w:rsid w:val="00B72518"/>
    <w:rsid w:val="00B72921"/>
    <w:rsid w:val="00B72F4A"/>
    <w:rsid w:val="00B73F64"/>
    <w:rsid w:val="00B73F92"/>
    <w:rsid w:val="00B74401"/>
    <w:rsid w:val="00B74CC4"/>
    <w:rsid w:val="00B75254"/>
    <w:rsid w:val="00B7527C"/>
    <w:rsid w:val="00B75832"/>
    <w:rsid w:val="00B7589D"/>
    <w:rsid w:val="00B7598A"/>
    <w:rsid w:val="00B763E9"/>
    <w:rsid w:val="00B7787F"/>
    <w:rsid w:val="00B77B96"/>
    <w:rsid w:val="00B77EB6"/>
    <w:rsid w:val="00B77EFF"/>
    <w:rsid w:val="00B77FFC"/>
    <w:rsid w:val="00B8030A"/>
    <w:rsid w:val="00B806AA"/>
    <w:rsid w:val="00B80800"/>
    <w:rsid w:val="00B80EE0"/>
    <w:rsid w:val="00B81D4A"/>
    <w:rsid w:val="00B81D4D"/>
    <w:rsid w:val="00B81D6C"/>
    <w:rsid w:val="00B81FFC"/>
    <w:rsid w:val="00B82882"/>
    <w:rsid w:val="00B83C27"/>
    <w:rsid w:val="00B83C91"/>
    <w:rsid w:val="00B83E87"/>
    <w:rsid w:val="00B84BC3"/>
    <w:rsid w:val="00B84BDD"/>
    <w:rsid w:val="00B8584C"/>
    <w:rsid w:val="00B85B5A"/>
    <w:rsid w:val="00B85B5C"/>
    <w:rsid w:val="00B872E8"/>
    <w:rsid w:val="00B8746B"/>
    <w:rsid w:val="00B878AE"/>
    <w:rsid w:val="00B87B30"/>
    <w:rsid w:val="00B87CAE"/>
    <w:rsid w:val="00B90080"/>
    <w:rsid w:val="00B90159"/>
    <w:rsid w:val="00B907FF"/>
    <w:rsid w:val="00B9081A"/>
    <w:rsid w:val="00B90936"/>
    <w:rsid w:val="00B91573"/>
    <w:rsid w:val="00B91EDE"/>
    <w:rsid w:val="00B91FF2"/>
    <w:rsid w:val="00B922A4"/>
    <w:rsid w:val="00B9278A"/>
    <w:rsid w:val="00B92812"/>
    <w:rsid w:val="00B92DA1"/>
    <w:rsid w:val="00B93062"/>
    <w:rsid w:val="00B935D2"/>
    <w:rsid w:val="00B93CF5"/>
    <w:rsid w:val="00B95021"/>
    <w:rsid w:val="00B96034"/>
    <w:rsid w:val="00B9652E"/>
    <w:rsid w:val="00B967C9"/>
    <w:rsid w:val="00B9697A"/>
    <w:rsid w:val="00B96C73"/>
    <w:rsid w:val="00B97566"/>
    <w:rsid w:val="00B9775C"/>
    <w:rsid w:val="00B97934"/>
    <w:rsid w:val="00B979CD"/>
    <w:rsid w:val="00BA042F"/>
    <w:rsid w:val="00BA07F9"/>
    <w:rsid w:val="00BA1463"/>
    <w:rsid w:val="00BA21F6"/>
    <w:rsid w:val="00BA2857"/>
    <w:rsid w:val="00BA287E"/>
    <w:rsid w:val="00BA2ACE"/>
    <w:rsid w:val="00BA2CD1"/>
    <w:rsid w:val="00BA343B"/>
    <w:rsid w:val="00BA39E3"/>
    <w:rsid w:val="00BA4FD9"/>
    <w:rsid w:val="00BA5DB2"/>
    <w:rsid w:val="00BA5E73"/>
    <w:rsid w:val="00BA6324"/>
    <w:rsid w:val="00BA6E74"/>
    <w:rsid w:val="00BB0CF4"/>
    <w:rsid w:val="00BB0E4B"/>
    <w:rsid w:val="00BB1D67"/>
    <w:rsid w:val="00BB2634"/>
    <w:rsid w:val="00BB320C"/>
    <w:rsid w:val="00BB3ADF"/>
    <w:rsid w:val="00BB4453"/>
    <w:rsid w:val="00BB4599"/>
    <w:rsid w:val="00BB45A1"/>
    <w:rsid w:val="00BB46F3"/>
    <w:rsid w:val="00BB4802"/>
    <w:rsid w:val="00BB5730"/>
    <w:rsid w:val="00BB576D"/>
    <w:rsid w:val="00BB5CCD"/>
    <w:rsid w:val="00BB5D44"/>
    <w:rsid w:val="00BB618E"/>
    <w:rsid w:val="00BB621D"/>
    <w:rsid w:val="00BB6335"/>
    <w:rsid w:val="00BB7686"/>
    <w:rsid w:val="00BB7802"/>
    <w:rsid w:val="00BB795B"/>
    <w:rsid w:val="00BB79D8"/>
    <w:rsid w:val="00BB7B55"/>
    <w:rsid w:val="00BC073E"/>
    <w:rsid w:val="00BC07EF"/>
    <w:rsid w:val="00BC0EF5"/>
    <w:rsid w:val="00BC140D"/>
    <w:rsid w:val="00BC16EC"/>
    <w:rsid w:val="00BC17E0"/>
    <w:rsid w:val="00BC23F9"/>
    <w:rsid w:val="00BC27A4"/>
    <w:rsid w:val="00BC2B35"/>
    <w:rsid w:val="00BC31DA"/>
    <w:rsid w:val="00BC3421"/>
    <w:rsid w:val="00BC4E91"/>
    <w:rsid w:val="00BC6F5C"/>
    <w:rsid w:val="00BC732C"/>
    <w:rsid w:val="00BC73B5"/>
    <w:rsid w:val="00BD020F"/>
    <w:rsid w:val="00BD0499"/>
    <w:rsid w:val="00BD0615"/>
    <w:rsid w:val="00BD0A21"/>
    <w:rsid w:val="00BD1568"/>
    <w:rsid w:val="00BD2779"/>
    <w:rsid w:val="00BD2ABF"/>
    <w:rsid w:val="00BD2C35"/>
    <w:rsid w:val="00BD2DA6"/>
    <w:rsid w:val="00BD2E24"/>
    <w:rsid w:val="00BD3268"/>
    <w:rsid w:val="00BD36F4"/>
    <w:rsid w:val="00BD3A68"/>
    <w:rsid w:val="00BD3DA3"/>
    <w:rsid w:val="00BD3F5B"/>
    <w:rsid w:val="00BD437D"/>
    <w:rsid w:val="00BD4421"/>
    <w:rsid w:val="00BD480C"/>
    <w:rsid w:val="00BD6A88"/>
    <w:rsid w:val="00BD7407"/>
    <w:rsid w:val="00BD7A64"/>
    <w:rsid w:val="00BE05C9"/>
    <w:rsid w:val="00BE118A"/>
    <w:rsid w:val="00BE1BE1"/>
    <w:rsid w:val="00BE2171"/>
    <w:rsid w:val="00BE2580"/>
    <w:rsid w:val="00BE266D"/>
    <w:rsid w:val="00BE3938"/>
    <w:rsid w:val="00BE3EF0"/>
    <w:rsid w:val="00BE4A3E"/>
    <w:rsid w:val="00BE4C11"/>
    <w:rsid w:val="00BE5753"/>
    <w:rsid w:val="00BE5B89"/>
    <w:rsid w:val="00BE5C28"/>
    <w:rsid w:val="00BE68EA"/>
    <w:rsid w:val="00BE6931"/>
    <w:rsid w:val="00BE6C7B"/>
    <w:rsid w:val="00BE6FEA"/>
    <w:rsid w:val="00BE71C0"/>
    <w:rsid w:val="00BF0A91"/>
    <w:rsid w:val="00BF0F5B"/>
    <w:rsid w:val="00BF13C3"/>
    <w:rsid w:val="00BF1504"/>
    <w:rsid w:val="00BF1DEB"/>
    <w:rsid w:val="00BF20A6"/>
    <w:rsid w:val="00BF30AD"/>
    <w:rsid w:val="00BF31B9"/>
    <w:rsid w:val="00BF3995"/>
    <w:rsid w:val="00BF3CCA"/>
    <w:rsid w:val="00BF4CEA"/>
    <w:rsid w:val="00BF5EBD"/>
    <w:rsid w:val="00BF610C"/>
    <w:rsid w:val="00BF65BC"/>
    <w:rsid w:val="00BF6A6B"/>
    <w:rsid w:val="00BF6FC4"/>
    <w:rsid w:val="00BF73EA"/>
    <w:rsid w:val="00BF7EC8"/>
    <w:rsid w:val="00BF7FC2"/>
    <w:rsid w:val="00C0060B"/>
    <w:rsid w:val="00C006C8"/>
    <w:rsid w:val="00C009B1"/>
    <w:rsid w:val="00C0131A"/>
    <w:rsid w:val="00C0143C"/>
    <w:rsid w:val="00C017DE"/>
    <w:rsid w:val="00C01A6C"/>
    <w:rsid w:val="00C01B69"/>
    <w:rsid w:val="00C0277D"/>
    <w:rsid w:val="00C02B69"/>
    <w:rsid w:val="00C02F26"/>
    <w:rsid w:val="00C03858"/>
    <w:rsid w:val="00C03F68"/>
    <w:rsid w:val="00C04699"/>
    <w:rsid w:val="00C04B49"/>
    <w:rsid w:val="00C05387"/>
    <w:rsid w:val="00C053A1"/>
    <w:rsid w:val="00C05CDE"/>
    <w:rsid w:val="00C064CA"/>
    <w:rsid w:val="00C06DDF"/>
    <w:rsid w:val="00C0741F"/>
    <w:rsid w:val="00C0780F"/>
    <w:rsid w:val="00C0784F"/>
    <w:rsid w:val="00C07871"/>
    <w:rsid w:val="00C07A80"/>
    <w:rsid w:val="00C07ADB"/>
    <w:rsid w:val="00C100D0"/>
    <w:rsid w:val="00C10EC0"/>
    <w:rsid w:val="00C11130"/>
    <w:rsid w:val="00C1153B"/>
    <w:rsid w:val="00C1192F"/>
    <w:rsid w:val="00C125E9"/>
    <w:rsid w:val="00C12B5C"/>
    <w:rsid w:val="00C133FA"/>
    <w:rsid w:val="00C146EB"/>
    <w:rsid w:val="00C14E87"/>
    <w:rsid w:val="00C15304"/>
    <w:rsid w:val="00C15537"/>
    <w:rsid w:val="00C15C4A"/>
    <w:rsid w:val="00C16198"/>
    <w:rsid w:val="00C16361"/>
    <w:rsid w:val="00C17415"/>
    <w:rsid w:val="00C205FF"/>
    <w:rsid w:val="00C2073C"/>
    <w:rsid w:val="00C2083D"/>
    <w:rsid w:val="00C21109"/>
    <w:rsid w:val="00C21223"/>
    <w:rsid w:val="00C22922"/>
    <w:rsid w:val="00C22A71"/>
    <w:rsid w:val="00C22CFE"/>
    <w:rsid w:val="00C22D0C"/>
    <w:rsid w:val="00C22F1C"/>
    <w:rsid w:val="00C2359D"/>
    <w:rsid w:val="00C24A53"/>
    <w:rsid w:val="00C25319"/>
    <w:rsid w:val="00C25460"/>
    <w:rsid w:val="00C254C6"/>
    <w:rsid w:val="00C256BB"/>
    <w:rsid w:val="00C256F5"/>
    <w:rsid w:val="00C25C1C"/>
    <w:rsid w:val="00C2645C"/>
    <w:rsid w:val="00C2773E"/>
    <w:rsid w:val="00C300A7"/>
    <w:rsid w:val="00C30743"/>
    <w:rsid w:val="00C31017"/>
    <w:rsid w:val="00C310B7"/>
    <w:rsid w:val="00C315EA"/>
    <w:rsid w:val="00C32454"/>
    <w:rsid w:val="00C33747"/>
    <w:rsid w:val="00C3384C"/>
    <w:rsid w:val="00C339AF"/>
    <w:rsid w:val="00C33A71"/>
    <w:rsid w:val="00C33AA7"/>
    <w:rsid w:val="00C33E41"/>
    <w:rsid w:val="00C34505"/>
    <w:rsid w:val="00C34A05"/>
    <w:rsid w:val="00C34C4A"/>
    <w:rsid w:val="00C3502A"/>
    <w:rsid w:val="00C35536"/>
    <w:rsid w:val="00C355D9"/>
    <w:rsid w:val="00C35631"/>
    <w:rsid w:val="00C35CCE"/>
    <w:rsid w:val="00C367FB"/>
    <w:rsid w:val="00C368E3"/>
    <w:rsid w:val="00C36C29"/>
    <w:rsid w:val="00C372B2"/>
    <w:rsid w:val="00C37641"/>
    <w:rsid w:val="00C377E4"/>
    <w:rsid w:val="00C37D34"/>
    <w:rsid w:val="00C4032F"/>
    <w:rsid w:val="00C406F5"/>
    <w:rsid w:val="00C4099A"/>
    <w:rsid w:val="00C40E2C"/>
    <w:rsid w:val="00C41357"/>
    <w:rsid w:val="00C41F21"/>
    <w:rsid w:val="00C42619"/>
    <w:rsid w:val="00C42AB0"/>
    <w:rsid w:val="00C42F87"/>
    <w:rsid w:val="00C43705"/>
    <w:rsid w:val="00C43802"/>
    <w:rsid w:val="00C44047"/>
    <w:rsid w:val="00C4495B"/>
    <w:rsid w:val="00C45155"/>
    <w:rsid w:val="00C45B72"/>
    <w:rsid w:val="00C50110"/>
    <w:rsid w:val="00C50D8B"/>
    <w:rsid w:val="00C52180"/>
    <w:rsid w:val="00C52207"/>
    <w:rsid w:val="00C5250C"/>
    <w:rsid w:val="00C526D2"/>
    <w:rsid w:val="00C529E3"/>
    <w:rsid w:val="00C52FC1"/>
    <w:rsid w:val="00C53329"/>
    <w:rsid w:val="00C5333B"/>
    <w:rsid w:val="00C5498F"/>
    <w:rsid w:val="00C54A0F"/>
    <w:rsid w:val="00C54C6F"/>
    <w:rsid w:val="00C55235"/>
    <w:rsid w:val="00C55CAF"/>
    <w:rsid w:val="00C56DB2"/>
    <w:rsid w:val="00C570D5"/>
    <w:rsid w:val="00C57CEE"/>
    <w:rsid w:val="00C60383"/>
    <w:rsid w:val="00C603C5"/>
    <w:rsid w:val="00C60854"/>
    <w:rsid w:val="00C609C4"/>
    <w:rsid w:val="00C613C5"/>
    <w:rsid w:val="00C6216C"/>
    <w:rsid w:val="00C6246C"/>
    <w:rsid w:val="00C627E6"/>
    <w:rsid w:val="00C632A5"/>
    <w:rsid w:val="00C63332"/>
    <w:rsid w:val="00C635E8"/>
    <w:rsid w:val="00C64689"/>
    <w:rsid w:val="00C64C86"/>
    <w:rsid w:val="00C64CD0"/>
    <w:rsid w:val="00C64ECF"/>
    <w:rsid w:val="00C654F7"/>
    <w:rsid w:val="00C65635"/>
    <w:rsid w:val="00C65BD7"/>
    <w:rsid w:val="00C65C5F"/>
    <w:rsid w:val="00C65EEB"/>
    <w:rsid w:val="00C65F61"/>
    <w:rsid w:val="00C6684F"/>
    <w:rsid w:val="00C67290"/>
    <w:rsid w:val="00C6745F"/>
    <w:rsid w:val="00C6747A"/>
    <w:rsid w:val="00C6787F"/>
    <w:rsid w:val="00C702AA"/>
    <w:rsid w:val="00C70E70"/>
    <w:rsid w:val="00C710FB"/>
    <w:rsid w:val="00C713DE"/>
    <w:rsid w:val="00C718A8"/>
    <w:rsid w:val="00C71DC3"/>
    <w:rsid w:val="00C71DE7"/>
    <w:rsid w:val="00C71FFC"/>
    <w:rsid w:val="00C72200"/>
    <w:rsid w:val="00C724BF"/>
    <w:rsid w:val="00C72D43"/>
    <w:rsid w:val="00C73971"/>
    <w:rsid w:val="00C73E26"/>
    <w:rsid w:val="00C743F6"/>
    <w:rsid w:val="00C75636"/>
    <w:rsid w:val="00C75986"/>
    <w:rsid w:val="00C75F8D"/>
    <w:rsid w:val="00C76130"/>
    <w:rsid w:val="00C76448"/>
    <w:rsid w:val="00C76585"/>
    <w:rsid w:val="00C77380"/>
    <w:rsid w:val="00C8044A"/>
    <w:rsid w:val="00C81BE0"/>
    <w:rsid w:val="00C833CA"/>
    <w:rsid w:val="00C8347C"/>
    <w:rsid w:val="00C84417"/>
    <w:rsid w:val="00C84531"/>
    <w:rsid w:val="00C8460F"/>
    <w:rsid w:val="00C84D71"/>
    <w:rsid w:val="00C854D8"/>
    <w:rsid w:val="00C867CB"/>
    <w:rsid w:val="00C86800"/>
    <w:rsid w:val="00C878A8"/>
    <w:rsid w:val="00C87A76"/>
    <w:rsid w:val="00C87E8A"/>
    <w:rsid w:val="00C90655"/>
    <w:rsid w:val="00C90668"/>
    <w:rsid w:val="00C9068E"/>
    <w:rsid w:val="00C90BA0"/>
    <w:rsid w:val="00C90D4D"/>
    <w:rsid w:val="00C910F5"/>
    <w:rsid w:val="00C9131E"/>
    <w:rsid w:val="00C913D6"/>
    <w:rsid w:val="00C92275"/>
    <w:rsid w:val="00C926C9"/>
    <w:rsid w:val="00C92AA5"/>
    <w:rsid w:val="00C92D59"/>
    <w:rsid w:val="00C933A7"/>
    <w:rsid w:val="00C93A8D"/>
    <w:rsid w:val="00C93BAB"/>
    <w:rsid w:val="00C93E30"/>
    <w:rsid w:val="00C93F08"/>
    <w:rsid w:val="00C948E7"/>
    <w:rsid w:val="00C95EB0"/>
    <w:rsid w:val="00C961C7"/>
    <w:rsid w:val="00C9652B"/>
    <w:rsid w:val="00C9681D"/>
    <w:rsid w:val="00C96BCD"/>
    <w:rsid w:val="00C96C19"/>
    <w:rsid w:val="00C975A1"/>
    <w:rsid w:val="00C975D4"/>
    <w:rsid w:val="00C97736"/>
    <w:rsid w:val="00C97A37"/>
    <w:rsid w:val="00C97ACF"/>
    <w:rsid w:val="00C97B64"/>
    <w:rsid w:val="00CA0901"/>
    <w:rsid w:val="00CA0CBA"/>
    <w:rsid w:val="00CA1426"/>
    <w:rsid w:val="00CA2111"/>
    <w:rsid w:val="00CA21B4"/>
    <w:rsid w:val="00CA22A2"/>
    <w:rsid w:val="00CA26DD"/>
    <w:rsid w:val="00CA275D"/>
    <w:rsid w:val="00CA341B"/>
    <w:rsid w:val="00CA345A"/>
    <w:rsid w:val="00CA3C13"/>
    <w:rsid w:val="00CA46D0"/>
    <w:rsid w:val="00CA5208"/>
    <w:rsid w:val="00CA5602"/>
    <w:rsid w:val="00CA5A80"/>
    <w:rsid w:val="00CA5AB7"/>
    <w:rsid w:val="00CA60FB"/>
    <w:rsid w:val="00CA6D86"/>
    <w:rsid w:val="00CA7B93"/>
    <w:rsid w:val="00CA7BD1"/>
    <w:rsid w:val="00CA7CBB"/>
    <w:rsid w:val="00CA7E3A"/>
    <w:rsid w:val="00CB10AF"/>
    <w:rsid w:val="00CB1A6E"/>
    <w:rsid w:val="00CB1E82"/>
    <w:rsid w:val="00CB27BD"/>
    <w:rsid w:val="00CB286C"/>
    <w:rsid w:val="00CB3252"/>
    <w:rsid w:val="00CB4AB9"/>
    <w:rsid w:val="00CB4BA8"/>
    <w:rsid w:val="00CB505E"/>
    <w:rsid w:val="00CB52D7"/>
    <w:rsid w:val="00CB57C9"/>
    <w:rsid w:val="00CB5A3C"/>
    <w:rsid w:val="00CB5B92"/>
    <w:rsid w:val="00CB5EB1"/>
    <w:rsid w:val="00CB6BAF"/>
    <w:rsid w:val="00CB715D"/>
    <w:rsid w:val="00CB7504"/>
    <w:rsid w:val="00CB765F"/>
    <w:rsid w:val="00CB79BF"/>
    <w:rsid w:val="00CB7FB3"/>
    <w:rsid w:val="00CC062E"/>
    <w:rsid w:val="00CC07FF"/>
    <w:rsid w:val="00CC0B04"/>
    <w:rsid w:val="00CC108C"/>
    <w:rsid w:val="00CC12D1"/>
    <w:rsid w:val="00CC195A"/>
    <w:rsid w:val="00CC209E"/>
    <w:rsid w:val="00CC2223"/>
    <w:rsid w:val="00CC2409"/>
    <w:rsid w:val="00CC403B"/>
    <w:rsid w:val="00CC41A7"/>
    <w:rsid w:val="00CC4EB4"/>
    <w:rsid w:val="00CC4F40"/>
    <w:rsid w:val="00CC526D"/>
    <w:rsid w:val="00CC540B"/>
    <w:rsid w:val="00CC5565"/>
    <w:rsid w:val="00CC5892"/>
    <w:rsid w:val="00CC6732"/>
    <w:rsid w:val="00CC6E34"/>
    <w:rsid w:val="00CC73E3"/>
    <w:rsid w:val="00CC7415"/>
    <w:rsid w:val="00CC7A4C"/>
    <w:rsid w:val="00CD0035"/>
    <w:rsid w:val="00CD02E2"/>
    <w:rsid w:val="00CD07E2"/>
    <w:rsid w:val="00CD07F2"/>
    <w:rsid w:val="00CD0CB6"/>
    <w:rsid w:val="00CD0F17"/>
    <w:rsid w:val="00CD164A"/>
    <w:rsid w:val="00CD167E"/>
    <w:rsid w:val="00CD2478"/>
    <w:rsid w:val="00CD260D"/>
    <w:rsid w:val="00CD2741"/>
    <w:rsid w:val="00CD302C"/>
    <w:rsid w:val="00CD31DD"/>
    <w:rsid w:val="00CD34C8"/>
    <w:rsid w:val="00CD3BB9"/>
    <w:rsid w:val="00CD4CD6"/>
    <w:rsid w:val="00CD52F0"/>
    <w:rsid w:val="00CD59F3"/>
    <w:rsid w:val="00CD614A"/>
    <w:rsid w:val="00CD6270"/>
    <w:rsid w:val="00CD62B1"/>
    <w:rsid w:val="00CD6ACF"/>
    <w:rsid w:val="00CD74B0"/>
    <w:rsid w:val="00CD7A98"/>
    <w:rsid w:val="00CE0529"/>
    <w:rsid w:val="00CE0A9B"/>
    <w:rsid w:val="00CE0B02"/>
    <w:rsid w:val="00CE2112"/>
    <w:rsid w:val="00CE28F5"/>
    <w:rsid w:val="00CE3076"/>
    <w:rsid w:val="00CE3611"/>
    <w:rsid w:val="00CE3C96"/>
    <w:rsid w:val="00CE3E44"/>
    <w:rsid w:val="00CE4153"/>
    <w:rsid w:val="00CE5007"/>
    <w:rsid w:val="00CE51A8"/>
    <w:rsid w:val="00CE5A5F"/>
    <w:rsid w:val="00CE6B10"/>
    <w:rsid w:val="00CE71B4"/>
    <w:rsid w:val="00CE7A95"/>
    <w:rsid w:val="00CE7D36"/>
    <w:rsid w:val="00CE7FB6"/>
    <w:rsid w:val="00CF0293"/>
    <w:rsid w:val="00CF05A6"/>
    <w:rsid w:val="00CF06FF"/>
    <w:rsid w:val="00CF0BFE"/>
    <w:rsid w:val="00CF0DFF"/>
    <w:rsid w:val="00CF1E1C"/>
    <w:rsid w:val="00CF2AFD"/>
    <w:rsid w:val="00CF369B"/>
    <w:rsid w:val="00CF37AF"/>
    <w:rsid w:val="00CF4AB8"/>
    <w:rsid w:val="00CF4C5A"/>
    <w:rsid w:val="00CF4D2F"/>
    <w:rsid w:val="00CF4EAF"/>
    <w:rsid w:val="00CF5EA2"/>
    <w:rsid w:val="00CF6747"/>
    <w:rsid w:val="00CF7896"/>
    <w:rsid w:val="00D00B5D"/>
    <w:rsid w:val="00D00E28"/>
    <w:rsid w:val="00D010B0"/>
    <w:rsid w:val="00D0266D"/>
    <w:rsid w:val="00D0269E"/>
    <w:rsid w:val="00D029A1"/>
    <w:rsid w:val="00D048DE"/>
    <w:rsid w:val="00D04986"/>
    <w:rsid w:val="00D04D53"/>
    <w:rsid w:val="00D04E93"/>
    <w:rsid w:val="00D05D6C"/>
    <w:rsid w:val="00D05F0D"/>
    <w:rsid w:val="00D05FB6"/>
    <w:rsid w:val="00D068E0"/>
    <w:rsid w:val="00D069FF"/>
    <w:rsid w:val="00D0723E"/>
    <w:rsid w:val="00D1045E"/>
    <w:rsid w:val="00D10A7F"/>
    <w:rsid w:val="00D11003"/>
    <w:rsid w:val="00D11808"/>
    <w:rsid w:val="00D11BE2"/>
    <w:rsid w:val="00D126FC"/>
    <w:rsid w:val="00D128BC"/>
    <w:rsid w:val="00D128DB"/>
    <w:rsid w:val="00D12DE4"/>
    <w:rsid w:val="00D1303B"/>
    <w:rsid w:val="00D131DF"/>
    <w:rsid w:val="00D13498"/>
    <w:rsid w:val="00D13C94"/>
    <w:rsid w:val="00D144F0"/>
    <w:rsid w:val="00D145FA"/>
    <w:rsid w:val="00D14F0D"/>
    <w:rsid w:val="00D150A1"/>
    <w:rsid w:val="00D15810"/>
    <w:rsid w:val="00D169A9"/>
    <w:rsid w:val="00D16D4E"/>
    <w:rsid w:val="00D16FE3"/>
    <w:rsid w:val="00D20428"/>
    <w:rsid w:val="00D20474"/>
    <w:rsid w:val="00D20C88"/>
    <w:rsid w:val="00D20EF1"/>
    <w:rsid w:val="00D2139C"/>
    <w:rsid w:val="00D215AF"/>
    <w:rsid w:val="00D21E25"/>
    <w:rsid w:val="00D221DB"/>
    <w:rsid w:val="00D23BC3"/>
    <w:rsid w:val="00D23F3B"/>
    <w:rsid w:val="00D2430C"/>
    <w:rsid w:val="00D24B6E"/>
    <w:rsid w:val="00D25A40"/>
    <w:rsid w:val="00D25D34"/>
    <w:rsid w:val="00D25F15"/>
    <w:rsid w:val="00D25F28"/>
    <w:rsid w:val="00D26043"/>
    <w:rsid w:val="00D2738C"/>
    <w:rsid w:val="00D27F41"/>
    <w:rsid w:val="00D300DD"/>
    <w:rsid w:val="00D30408"/>
    <w:rsid w:val="00D3060D"/>
    <w:rsid w:val="00D30D90"/>
    <w:rsid w:val="00D3116C"/>
    <w:rsid w:val="00D31441"/>
    <w:rsid w:val="00D315CE"/>
    <w:rsid w:val="00D33306"/>
    <w:rsid w:val="00D336BE"/>
    <w:rsid w:val="00D33F8F"/>
    <w:rsid w:val="00D340A1"/>
    <w:rsid w:val="00D34603"/>
    <w:rsid w:val="00D34862"/>
    <w:rsid w:val="00D34F9F"/>
    <w:rsid w:val="00D36237"/>
    <w:rsid w:val="00D36437"/>
    <w:rsid w:val="00D36441"/>
    <w:rsid w:val="00D3685D"/>
    <w:rsid w:val="00D368F0"/>
    <w:rsid w:val="00D37823"/>
    <w:rsid w:val="00D4064E"/>
    <w:rsid w:val="00D4068C"/>
    <w:rsid w:val="00D408D1"/>
    <w:rsid w:val="00D40B60"/>
    <w:rsid w:val="00D41665"/>
    <w:rsid w:val="00D42CCF"/>
    <w:rsid w:val="00D42F32"/>
    <w:rsid w:val="00D430C4"/>
    <w:rsid w:val="00D43B47"/>
    <w:rsid w:val="00D43BD3"/>
    <w:rsid w:val="00D43F0E"/>
    <w:rsid w:val="00D43FBF"/>
    <w:rsid w:val="00D44846"/>
    <w:rsid w:val="00D44E9B"/>
    <w:rsid w:val="00D45040"/>
    <w:rsid w:val="00D45572"/>
    <w:rsid w:val="00D45C01"/>
    <w:rsid w:val="00D46F15"/>
    <w:rsid w:val="00D46F67"/>
    <w:rsid w:val="00D47A0D"/>
    <w:rsid w:val="00D47AEB"/>
    <w:rsid w:val="00D47CA7"/>
    <w:rsid w:val="00D47DD8"/>
    <w:rsid w:val="00D500E9"/>
    <w:rsid w:val="00D50187"/>
    <w:rsid w:val="00D50DB9"/>
    <w:rsid w:val="00D5125E"/>
    <w:rsid w:val="00D51302"/>
    <w:rsid w:val="00D517C4"/>
    <w:rsid w:val="00D52C43"/>
    <w:rsid w:val="00D52FA3"/>
    <w:rsid w:val="00D53040"/>
    <w:rsid w:val="00D53400"/>
    <w:rsid w:val="00D53793"/>
    <w:rsid w:val="00D5454E"/>
    <w:rsid w:val="00D5464F"/>
    <w:rsid w:val="00D54E3C"/>
    <w:rsid w:val="00D5571F"/>
    <w:rsid w:val="00D55E89"/>
    <w:rsid w:val="00D56657"/>
    <w:rsid w:val="00D5692D"/>
    <w:rsid w:val="00D569A5"/>
    <w:rsid w:val="00D56F65"/>
    <w:rsid w:val="00D572B9"/>
    <w:rsid w:val="00D606CE"/>
    <w:rsid w:val="00D61243"/>
    <w:rsid w:val="00D62052"/>
    <w:rsid w:val="00D6230C"/>
    <w:rsid w:val="00D6270C"/>
    <w:rsid w:val="00D629F2"/>
    <w:rsid w:val="00D63970"/>
    <w:rsid w:val="00D63EDE"/>
    <w:rsid w:val="00D64411"/>
    <w:rsid w:val="00D647DE"/>
    <w:rsid w:val="00D64A94"/>
    <w:rsid w:val="00D64BE3"/>
    <w:rsid w:val="00D6507F"/>
    <w:rsid w:val="00D6517F"/>
    <w:rsid w:val="00D65EE4"/>
    <w:rsid w:val="00D6659C"/>
    <w:rsid w:val="00D667FE"/>
    <w:rsid w:val="00D668F9"/>
    <w:rsid w:val="00D669B1"/>
    <w:rsid w:val="00D66BAB"/>
    <w:rsid w:val="00D670BE"/>
    <w:rsid w:val="00D6797E"/>
    <w:rsid w:val="00D67D64"/>
    <w:rsid w:val="00D70036"/>
    <w:rsid w:val="00D704B9"/>
    <w:rsid w:val="00D72A53"/>
    <w:rsid w:val="00D730BC"/>
    <w:rsid w:val="00D7324E"/>
    <w:rsid w:val="00D73719"/>
    <w:rsid w:val="00D73912"/>
    <w:rsid w:val="00D7403F"/>
    <w:rsid w:val="00D74DCA"/>
    <w:rsid w:val="00D76039"/>
    <w:rsid w:val="00D76467"/>
    <w:rsid w:val="00D8039C"/>
    <w:rsid w:val="00D804E0"/>
    <w:rsid w:val="00D81831"/>
    <w:rsid w:val="00D81948"/>
    <w:rsid w:val="00D819ED"/>
    <w:rsid w:val="00D81B6A"/>
    <w:rsid w:val="00D81C4B"/>
    <w:rsid w:val="00D8284B"/>
    <w:rsid w:val="00D82AF5"/>
    <w:rsid w:val="00D83486"/>
    <w:rsid w:val="00D83E82"/>
    <w:rsid w:val="00D84080"/>
    <w:rsid w:val="00D84A4E"/>
    <w:rsid w:val="00D85226"/>
    <w:rsid w:val="00D852E3"/>
    <w:rsid w:val="00D863B3"/>
    <w:rsid w:val="00D86986"/>
    <w:rsid w:val="00D87328"/>
    <w:rsid w:val="00D87B94"/>
    <w:rsid w:val="00D87C3B"/>
    <w:rsid w:val="00D905B2"/>
    <w:rsid w:val="00D90970"/>
    <w:rsid w:val="00D90EA8"/>
    <w:rsid w:val="00D91699"/>
    <w:rsid w:val="00D92C57"/>
    <w:rsid w:val="00D92D49"/>
    <w:rsid w:val="00D92EC1"/>
    <w:rsid w:val="00D93A77"/>
    <w:rsid w:val="00D93C66"/>
    <w:rsid w:val="00D93EFD"/>
    <w:rsid w:val="00D946A3"/>
    <w:rsid w:val="00D94955"/>
    <w:rsid w:val="00D949EF"/>
    <w:rsid w:val="00D94C7C"/>
    <w:rsid w:val="00D94E0F"/>
    <w:rsid w:val="00D95AF0"/>
    <w:rsid w:val="00D96022"/>
    <w:rsid w:val="00D9669C"/>
    <w:rsid w:val="00D96BD7"/>
    <w:rsid w:val="00D96DEA"/>
    <w:rsid w:val="00D97DB2"/>
    <w:rsid w:val="00DA0588"/>
    <w:rsid w:val="00DA0813"/>
    <w:rsid w:val="00DA1483"/>
    <w:rsid w:val="00DA1A99"/>
    <w:rsid w:val="00DA2620"/>
    <w:rsid w:val="00DA2677"/>
    <w:rsid w:val="00DA35EA"/>
    <w:rsid w:val="00DA38F5"/>
    <w:rsid w:val="00DA394F"/>
    <w:rsid w:val="00DA3B25"/>
    <w:rsid w:val="00DA3F64"/>
    <w:rsid w:val="00DA450B"/>
    <w:rsid w:val="00DA4AAC"/>
    <w:rsid w:val="00DA4CC5"/>
    <w:rsid w:val="00DA4E41"/>
    <w:rsid w:val="00DA5F59"/>
    <w:rsid w:val="00DA7996"/>
    <w:rsid w:val="00DB01D7"/>
    <w:rsid w:val="00DB0A4E"/>
    <w:rsid w:val="00DB117A"/>
    <w:rsid w:val="00DB1861"/>
    <w:rsid w:val="00DB22E5"/>
    <w:rsid w:val="00DB2864"/>
    <w:rsid w:val="00DB28DC"/>
    <w:rsid w:val="00DB3E1F"/>
    <w:rsid w:val="00DB41F9"/>
    <w:rsid w:val="00DB46BD"/>
    <w:rsid w:val="00DB5173"/>
    <w:rsid w:val="00DB5B0A"/>
    <w:rsid w:val="00DB5E39"/>
    <w:rsid w:val="00DB6B8C"/>
    <w:rsid w:val="00DB7645"/>
    <w:rsid w:val="00DB7873"/>
    <w:rsid w:val="00DB7962"/>
    <w:rsid w:val="00DB7BE9"/>
    <w:rsid w:val="00DC03B9"/>
    <w:rsid w:val="00DC073B"/>
    <w:rsid w:val="00DC1572"/>
    <w:rsid w:val="00DC166D"/>
    <w:rsid w:val="00DC187B"/>
    <w:rsid w:val="00DC1893"/>
    <w:rsid w:val="00DC1A08"/>
    <w:rsid w:val="00DC1C09"/>
    <w:rsid w:val="00DC2A4B"/>
    <w:rsid w:val="00DC2B70"/>
    <w:rsid w:val="00DC2C0F"/>
    <w:rsid w:val="00DC318C"/>
    <w:rsid w:val="00DC38AF"/>
    <w:rsid w:val="00DC3B84"/>
    <w:rsid w:val="00DC3CCD"/>
    <w:rsid w:val="00DC3CF9"/>
    <w:rsid w:val="00DC415D"/>
    <w:rsid w:val="00DC54A5"/>
    <w:rsid w:val="00DC5601"/>
    <w:rsid w:val="00DC613D"/>
    <w:rsid w:val="00DC689E"/>
    <w:rsid w:val="00DC720F"/>
    <w:rsid w:val="00DC743A"/>
    <w:rsid w:val="00DC77CC"/>
    <w:rsid w:val="00DC7A6C"/>
    <w:rsid w:val="00DC7B85"/>
    <w:rsid w:val="00DD039B"/>
    <w:rsid w:val="00DD03C3"/>
    <w:rsid w:val="00DD0833"/>
    <w:rsid w:val="00DD0965"/>
    <w:rsid w:val="00DD0D5C"/>
    <w:rsid w:val="00DD1071"/>
    <w:rsid w:val="00DD10BE"/>
    <w:rsid w:val="00DD1A43"/>
    <w:rsid w:val="00DD1A48"/>
    <w:rsid w:val="00DD1BE0"/>
    <w:rsid w:val="00DD1D64"/>
    <w:rsid w:val="00DD1D9C"/>
    <w:rsid w:val="00DD2355"/>
    <w:rsid w:val="00DD246D"/>
    <w:rsid w:val="00DD272A"/>
    <w:rsid w:val="00DD2FCC"/>
    <w:rsid w:val="00DD3881"/>
    <w:rsid w:val="00DD417B"/>
    <w:rsid w:val="00DD42EF"/>
    <w:rsid w:val="00DD4715"/>
    <w:rsid w:val="00DD4C08"/>
    <w:rsid w:val="00DD4C85"/>
    <w:rsid w:val="00DD4CFD"/>
    <w:rsid w:val="00DD4DA9"/>
    <w:rsid w:val="00DD73C2"/>
    <w:rsid w:val="00DE0522"/>
    <w:rsid w:val="00DE0A5A"/>
    <w:rsid w:val="00DE0B07"/>
    <w:rsid w:val="00DE116D"/>
    <w:rsid w:val="00DE19AF"/>
    <w:rsid w:val="00DE29D3"/>
    <w:rsid w:val="00DE2AD0"/>
    <w:rsid w:val="00DE2B59"/>
    <w:rsid w:val="00DE319B"/>
    <w:rsid w:val="00DE3785"/>
    <w:rsid w:val="00DE37C8"/>
    <w:rsid w:val="00DE4069"/>
    <w:rsid w:val="00DE463B"/>
    <w:rsid w:val="00DE4908"/>
    <w:rsid w:val="00DE4C4D"/>
    <w:rsid w:val="00DE4F33"/>
    <w:rsid w:val="00DE50E0"/>
    <w:rsid w:val="00DE532B"/>
    <w:rsid w:val="00DE5964"/>
    <w:rsid w:val="00DE5C3B"/>
    <w:rsid w:val="00DE5CE4"/>
    <w:rsid w:val="00DE5D2D"/>
    <w:rsid w:val="00DE5D3E"/>
    <w:rsid w:val="00DE5F8E"/>
    <w:rsid w:val="00DE69AE"/>
    <w:rsid w:val="00DF0270"/>
    <w:rsid w:val="00DF0695"/>
    <w:rsid w:val="00DF0C31"/>
    <w:rsid w:val="00DF1452"/>
    <w:rsid w:val="00DF1CD5"/>
    <w:rsid w:val="00DF1EB0"/>
    <w:rsid w:val="00DF34FE"/>
    <w:rsid w:val="00DF37E7"/>
    <w:rsid w:val="00DF3846"/>
    <w:rsid w:val="00DF3B6F"/>
    <w:rsid w:val="00DF431A"/>
    <w:rsid w:val="00DF4453"/>
    <w:rsid w:val="00DF4BF0"/>
    <w:rsid w:val="00DF4D08"/>
    <w:rsid w:val="00DF56AA"/>
    <w:rsid w:val="00DF56AF"/>
    <w:rsid w:val="00DF5D3A"/>
    <w:rsid w:val="00DF5DFE"/>
    <w:rsid w:val="00DF60D4"/>
    <w:rsid w:val="00DF6950"/>
    <w:rsid w:val="00DF6B09"/>
    <w:rsid w:val="00DF71A8"/>
    <w:rsid w:val="00DF78E7"/>
    <w:rsid w:val="00E00642"/>
    <w:rsid w:val="00E01155"/>
    <w:rsid w:val="00E01C76"/>
    <w:rsid w:val="00E020B9"/>
    <w:rsid w:val="00E0251B"/>
    <w:rsid w:val="00E02829"/>
    <w:rsid w:val="00E02B49"/>
    <w:rsid w:val="00E02B91"/>
    <w:rsid w:val="00E02BD2"/>
    <w:rsid w:val="00E04953"/>
    <w:rsid w:val="00E04EF1"/>
    <w:rsid w:val="00E05461"/>
    <w:rsid w:val="00E056B6"/>
    <w:rsid w:val="00E06787"/>
    <w:rsid w:val="00E07FD6"/>
    <w:rsid w:val="00E10411"/>
    <w:rsid w:val="00E110E0"/>
    <w:rsid w:val="00E119CC"/>
    <w:rsid w:val="00E11A88"/>
    <w:rsid w:val="00E12605"/>
    <w:rsid w:val="00E12ADF"/>
    <w:rsid w:val="00E12F75"/>
    <w:rsid w:val="00E13C0F"/>
    <w:rsid w:val="00E14798"/>
    <w:rsid w:val="00E147F1"/>
    <w:rsid w:val="00E14E2D"/>
    <w:rsid w:val="00E14F78"/>
    <w:rsid w:val="00E15371"/>
    <w:rsid w:val="00E16AA7"/>
    <w:rsid w:val="00E16FB8"/>
    <w:rsid w:val="00E17BA0"/>
    <w:rsid w:val="00E20027"/>
    <w:rsid w:val="00E20236"/>
    <w:rsid w:val="00E21056"/>
    <w:rsid w:val="00E2107D"/>
    <w:rsid w:val="00E2155C"/>
    <w:rsid w:val="00E21D7E"/>
    <w:rsid w:val="00E21DE0"/>
    <w:rsid w:val="00E21E49"/>
    <w:rsid w:val="00E225D0"/>
    <w:rsid w:val="00E226F5"/>
    <w:rsid w:val="00E24104"/>
    <w:rsid w:val="00E243AA"/>
    <w:rsid w:val="00E24CF6"/>
    <w:rsid w:val="00E25242"/>
    <w:rsid w:val="00E2541A"/>
    <w:rsid w:val="00E2682F"/>
    <w:rsid w:val="00E2744C"/>
    <w:rsid w:val="00E302D0"/>
    <w:rsid w:val="00E31998"/>
    <w:rsid w:val="00E32032"/>
    <w:rsid w:val="00E3292B"/>
    <w:rsid w:val="00E329EA"/>
    <w:rsid w:val="00E32A92"/>
    <w:rsid w:val="00E32D27"/>
    <w:rsid w:val="00E32EC8"/>
    <w:rsid w:val="00E3337A"/>
    <w:rsid w:val="00E33679"/>
    <w:rsid w:val="00E33CBA"/>
    <w:rsid w:val="00E35361"/>
    <w:rsid w:val="00E35707"/>
    <w:rsid w:val="00E3572D"/>
    <w:rsid w:val="00E358B2"/>
    <w:rsid w:val="00E35A30"/>
    <w:rsid w:val="00E35F77"/>
    <w:rsid w:val="00E36276"/>
    <w:rsid w:val="00E36AA1"/>
    <w:rsid w:val="00E36BF9"/>
    <w:rsid w:val="00E4009B"/>
    <w:rsid w:val="00E40B29"/>
    <w:rsid w:val="00E410F9"/>
    <w:rsid w:val="00E4189A"/>
    <w:rsid w:val="00E41ECB"/>
    <w:rsid w:val="00E41F93"/>
    <w:rsid w:val="00E42676"/>
    <w:rsid w:val="00E42BA2"/>
    <w:rsid w:val="00E42C43"/>
    <w:rsid w:val="00E42EA2"/>
    <w:rsid w:val="00E43540"/>
    <w:rsid w:val="00E43700"/>
    <w:rsid w:val="00E437E8"/>
    <w:rsid w:val="00E440CD"/>
    <w:rsid w:val="00E446ED"/>
    <w:rsid w:val="00E45F11"/>
    <w:rsid w:val="00E45F50"/>
    <w:rsid w:val="00E463F4"/>
    <w:rsid w:val="00E466BB"/>
    <w:rsid w:val="00E467A2"/>
    <w:rsid w:val="00E4797D"/>
    <w:rsid w:val="00E502D2"/>
    <w:rsid w:val="00E51271"/>
    <w:rsid w:val="00E5180C"/>
    <w:rsid w:val="00E524D9"/>
    <w:rsid w:val="00E53F67"/>
    <w:rsid w:val="00E548E3"/>
    <w:rsid w:val="00E54FDB"/>
    <w:rsid w:val="00E557F9"/>
    <w:rsid w:val="00E55B1F"/>
    <w:rsid w:val="00E55B80"/>
    <w:rsid w:val="00E5617D"/>
    <w:rsid w:val="00E563D7"/>
    <w:rsid w:val="00E566B2"/>
    <w:rsid w:val="00E56A44"/>
    <w:rsid w:val="00E56DAE"/>
    <w:rsid w:val="00E5794B"/>
    <w:rsid w:val="00E57C35"/>
    <w:rsid w:val="00E60794"/>
    <w:rsid w:val="00E61B08"/>
    <w:rsid w:val="00E62010"/>
    <w:rsid w:val="00E6230A"/>
    <w:rsid w:val="00E626E7"/>
    <w:rsid w:val="00E63319"/>
    <w:rsid w:val="00E63C28"/>
    <w:rsid w:val="00E64160"/>
    <w:rsid w:val="00E6458F"/>
    <w:rsid w:val="00E64AF3"/>
    <w:rsid w:val="00E64C1C"/>
    <w:rsid w:val="00E64C97"/>
    <w:rsid w:val="00E65147"/>
    <w:rsid w:val="00E659B2"/>
    <w:rsid w:val="00E663F4"/>
    <w:rsid w:val="00E666D9"/>
    <w:rsid w:val="00E666F2"/>
    <w:rsid w:val="00E6680B"/>
    <w:rsid w:val="00E66DD4"/>
    <w:rsid w:val="00E67145"/>
    <w:rsid w:val="00E67DAA"/>
    <w:rsid w:val="00E67E8B"/>
    <w:rsid w:val="00E71872"/>
    <w:rsid w:val="00E71D11"/>
    <w:rsid w:val="00E71D1D"/>
    <w:rsid w:val="00E71D1F"/>
    <w:rsid w:val="00E73B8F"/>
    <w:rsid w:val="00E748CC"/>
    <w:rsid w:val="00E74906"/>
    <w:rsid w:val="00E74F15"/>
    <w:rsid w:val="00E74F70"/>
    <w:rsid w:val="00E75049"/>
    <w:rsid w:val="00E75160"/>
    <w:rsid w:val="00E75415"/>
    <w:rsid w:val="00E75A19"/>
    <w:rsid w:val="00E75A1A"/>
    <w:rsid w:val="00E75C3A"/>
    <w:rsid w:val="00E770D9"/>
    <w:rsid w:val="00E7711D"/>
    <w:rsid w:val="00E775B1"/>
    <w:rsid w:val="00E7775E"/>
    <w:rsid w:val="00E77A51"/>
    <w:rsid w:val="00E8069C"/>
    <w:rsid w:val="00E810A7"/>
    <w:rsid w:val="00E8137A"/>
    <w:rsid w:val="00E8152A"/>
    <w:rsid w:val="00E81B86"/>
    <w:rsid w:val="00E82161"/>
    <w:rsid w:val="00E8244C"/>
    <w:rsid w:val="00E827C7"/>
    <w:rsid w:val="00E829EF"/>
    <w:rsid w:val="00E82F62"/>
    <w:rsid w:val="00E83483"/>
    <w:rsid w:val="00E842A0"/>
    <w:rsid w:val="00E84E2F"/>
    <w:rsid w:val="00E8554B"/>
    <w:rsid w:val="00E860A8"/>
    <w:rsid w:val="00E866B7"/>
    <w:rsid w:val="00E86C19"/>
    <w:rsid w:val="00E86DF2"/>
    <w:rsid w:val="00E87943"/>
    <w:rsid w:val="00E9037F"/>
    <w:rsid w:val="00E90C43"/>
    <w:rsid w:val="00E90FC4"/>
    <w:rsid w:val="00E9264E"/>
    <w:rsid w:val="00E933D5"/>
    <w:rsid w:val="00E93629"/>
    <w:rsid w:val="00E9375E"/>
    <w:rsid w:val="00E93B5C"/>
    <w:rsid w:val="00E93E43"/>
    <w:rsid w:val="00E94798"/>
    <w:rsid w:val="00E94CEC"/>
    <w:rsid w:val="00E95166"/>
    <w:rsid w:val="00E95322"/>
    <w:rsid w:val="00E955C0"/>
    <w:rsid w:val="00E95BCE"/>
    <w:rsid w:val="00E95BE7"/>
    <w:rsid w:val="00E95D13"/>
    <w:rsid w:val="00E966E7"/>
    <w:rsid w:val="00E96BC3"/>
    <w:rsid w:val="00E9767D"/>
    <w:rsid w:val="00E97C6C"/>
    <w:rsid w:val="00E97C7D"/>
    <w:rsid w:val="00EA04EF"/>
    <w:rsid w:val="00EA0629"/>
    <w:rsid w:val="00EA0969"/>
    <w:rsid w:val="00EA10FD"/>
    <w:rsid w:val="00EA206A"/>
    <w:rsid w:val="00EA21FA"/>
    <w:rsid w:val="00EA24ED"/>
    <w:rsid w:val="00EA264D"/>
    <w:rsid w:val="00EA2F60"/>
    <w:rsid w:val="00EA3793"/>
    <w:rsid w:val="00EA3801"/>
    <w:rsid w:val="00EA3AA3"/>
    <w:rsid w:val="00EA4050"/>
    <w:rsid w:val="00EA424A"/>
    <w:rsid w:val="00EA4325"/>
    <w:rsid w:val="00EA5B02"/>
    <w:rsid w:val="00EA5BD0"/>
    <w:rsid w:val="00EA6013"/>
    <w:rsid w:val="00EA6681"/>
    <w:rsid w:val="00EA677E"/>
    <w:rsid w:val="00EA6C79"/>
    <w:rsid w:val="00EA6CCA"/>
    <w:rsid w:val="00EA6F19"/>
    <w:rsid w:val="00EA71B5"/>
    <w:rsid w:val="00EA7680"/>
    <w:rsid w:val="00EB01BF"/>
    <w:rsid w:val="00EB1341"/>
    <w:rsid w:val="00EB1867"/>
    <w:rsid w:val="00EB18C1"/>
    <w:rsid w:val="00EB1BD1"/>
    <w:rsid w:val="00EB20C8"/>
    <w:rsid w:val="00EB232F"/>
    <w:rsid w:val="00EB2813"/>
    <w:rsid w:val="00EB3387"/>
    <w:rsid w:val="00EB3682"/>
    <w:rsid w:val="00EB3772"/>
    <w:rsid w:val="00EB37AC"/>
    <w:rsid w:val="00EB3A72"/>
    <w:rsid w:val="00EB3BA2"/>
    <w:rsid w:val="00EB3C02"/>
    <w:rsid w:val="00EB428D"/>
    <w:rsid w:val="00EB4983"/>
    <w:rsid w:val="00EB4AA8"/>
    <w:rsid w:val="00EB4B5F"/>
    <w:rsid w:val="00EB4C93"/>
    <w:rsid w:val="00EB4F15"/>
    <w:rsid w:val="00EB5429"/>
    <w:rsid w:val="00EB65ED"/>
    <w:rsid w:val="00EB6B5D"/>
    <w:rsid w:val="00EB7090"/>
    <w:rsid w:val="00EB79ED"/>
    <w:rsid w:val="00EC06CF"/>
    <w:rsid w:val="00EC09B7"/>
    <w:rsid w:val="00EC1BBE"/>
    <w:rsid w:val="00EC2195"/>
    <w:rsid w:val="00EC2B68"/>
    <w:rsid w:val="00EC3AEF"/>
    <w:rsid w:val="00EC3BFC"/>
    <w:rsid w:val="00EC4293"/>
    <w:rsid w:val="00EC4302"/>
    <w:rsid w:val="00EC4785"/>
    <w:rsid w:val="00EC5CD7"/>
    <w:rsid w:val="00EC62AC"/>
    <w:rsid w:val="00EC644E"/>
    <w:rsid w:val="00EC6715"/>
    <w:rsid w:val="00EC67B7"/>
    <w:rsid w:val="00EC770E"/>
    <w:rsid w:val="00ED023A"/>
    <w:rsid w:val="00ED027F"/>
    <w:rsid w:val="00ED06CE"/>
    <w:rsid w:val="00ED0ADE"/>
    <w:rsid w:val="00ED0BB6"/>
    <w:rsid w:val="00ED0FC3"/>
    <w:rsid w:val="00ED178B"/>
    <w:rsid w:val="00ED17AF"/>
    <w:rsid w:val="00ED19E7"/>
    <w:rsid w:val="00ED2C09"/>
    <w:rsid w:val="00ED2C63"/>
    <w:rsid w:val="00ED37E6"/>
    <w:rsid w:val="00ED39D9"/>
    <w:rsid w:val="00ED5E21"/>
    <w:rsid w:val="00ED62BE"/>
    <w:rsid w:val="00ED64CF"/>
    <w:rsid w:val="00ED7ADF"/>
    <w:rsid w:val="00EE0AAD"/>
    <w:rsid w:val="00EE0D3E"/>
    <w:rsid w:val="00EE137F"/>
    <w:rsid w:val="00EE16D7"/>
    <w:rsid w:val="00EE1907"/>
    <w:rsid w:val="00EE1923"/>
    <w:rsid w:val="00EE1CD8"/>
    <w:rsid w:val="00EE1EA4"/>
    <w:rsid w:val="00EE348A"/>
    <w:rsid w:val="00EE35C2"/>
    <w:rsid w:val="00EE3F03"/>
    <w:rsid w:val="00EE46E6"/>
    <w:rsid w:val="00EE4849"/>
    <w:rsid w:val="00EE4BC1"/>
    <w:rsid w:val="00EE5105"/>
    <w:rsid w:val="00EE57D0"/>
    <w:rsid w:val="00EE5C2C"/>
    <w:rsid w:val="00EE5FB3"/>
    <w:rsid w:val="00EE6E00"/>
    <w:rsid w:val="00EE7161"/>
    <w:rsid w:val="00EE71C5"/>
    <w:rsid w:val="00EE7F79"/>
    <w:rsid w:val="00EF0A22"/>
    <w:rsid w:val="00EF0B50"/>
    <w:rsid w:val="00EF17D0"/>
    <w:rsid w:val="00EF1AA8"/>
    <w:rsid w:val="00EF1B7B"/>
    <w:rsid w:val="00EF260F"/>
    <w:rsid w:val="00EF296A"/>
    <w:rsid w:val="00EF2C6C"/>
    <w:rsid w:val="00EF312F"/>
    <w:rsid w:val="00EF332B"/>
    <w:rsid w:val="00EF422B"/>
    <w:rsid w:val="00EF4B24"/>
    <w:rsid w:val="00EF4DBA"/>
    <w:rsid w:val="00EF509B"/>
    <w:rsid w:val="00EF5128"/>
    <w:rsid w:val="00EF70EE"/>
    <w:rsid w:val="00EF715A"/>
    <w:rsid w:val="00EF7877"/>
    <w:rsid w:val="00EF7DF5"/>
    <w:rsid w:val="00EF7E19"/>
    <w:rsid w:val="00F0006A"/>
    <w:rsid w:val="00F00671"/>
    <w:rsid w:val="00F00C74"/>
    <w:rsid w:val="00F00CC6"/>
    <w:rsid w:val="00F01636"/>
    <w:rsid w:val="00F01C6E"/>
    <w:rsid w:val="00F020A8"/>
    <w:rsid w:val="00F02981"/>
    <w:rsid w:val="00F02FAD"/>
    <w:rsid w:val="00F03FEB"/>
    <w:rsid w:val="00F040EE"/>
    <w:rsid w:val="00F052B3"/>
    <w:rsid w:val="00F052BA"/>
    <w:rsid w:val="00F055BE"/>
    <w:rsid w:val="00F058A9"/>
    <w:rsid w:val="00F05982"/>
    <w:rsid w:val="00F05F13"/>
    <w:rsid w:val="00F06E14"/>
    <w:rsid w:val="00F0742F"/>
    <w:rsid w:val="00F07D9F"/>
    <w:rsid w:val="00F1000E"/>
    <w:rsid w:val="00F10574"/>
    <w:rsid w:val="00F109C4"/>
    <w:rsid w:val="00F10AF0"/>
    <w:rsid w:val="00F110D3"/>
    <w:rsid w:val="00F1295C"/>
    <w:rsid w:val="00F1376E"/>
    <w:rsid w:val="00F13E9A"/>
    <w:rsid w:val="00F13FC8"/>
    <w:rsid w:val="00F140CD"/>
    <w:rsid w:val="00F1531F"/>
    <w:rsid w:val="00F16715"/>
    <w:rsid w:val="00F16BA6"/>
    <w:rsid w:val="00F175E3"/>
    <w:rsid w:val="00F17754"/>
    <w:rsid w:val="00F178CD"/>
    <w:rsid w:val="00F179D4"/>
    <w:rsid w:val="00F20864"/>
    <w:rsid w:val="00F209B5"/>
    <w:rsid w:val="00F2127D"/>
    <w:rsid w:val="00F212AB"/>
    <w:rsid w:val="00F214F3"/>
    <w:rsid w:val="00F21843"/>
    <w:rsid w:val="00F22224"/>
    <w:rsid w:val="00F22784"/>
    <w:rsid w:val="00F22A23"/>
    <w:rsid w:val="00F22AA2"/>
    <w:rsid w:val="00F22E8B"/>
    <w:rsid w:val="00F23847"/>
    <w:rsid w:val="00F2501F"/>
    <w:rsid w:val="00F253DE"/>
    <w:rsid w:val="00F259E1"/>
    <w:rsid w:val="00F266B4"/>
    <w:rsid w:val="00F26B3F"/>
    <w:rsid w:val="00F27127"/>
    <w:rsid w:val="00F2789C"/>
    <w:rsid w:val="00F30392"/>
    <w:rsid w:val="00F305D4"/>
    <w:rsid w:val="00F30BE0"/>
    <w:rsid w:val="00F31DA0"/>
    <w:rsid w:val="00F32157"/>
    <w:rsid w:val="00F336D3"/>
    <w:rsid w:val="00F33C56"/>
    <w:rsid w:val="00F33F9E"/>
    <w:rsid w:val="00F342C3"/>
    <w:rsid w:val="00F347C7"/>
    <w:rsid w:val="00F34848"/>
    <w:rsid w:val="00F34A9F"/>
    <w:rsid w:val="00F34D19"/>
    <w:rsid w:val="00F356EB"/>
    <w:rsid w:val="00F35A79"/>
    <w:rsid w:val="00F35A9E"/>
    <w:rsid w:val="00F3611A"/>
    <w:rsid w:val="00F361D7"/>
    <w:rsid w:val="00F367EF"/>
    <w:rsid w:val="00F36FBD"/>
    <w:rsid w:val="00F37170"/>
    <w:rsid w:val="00F37286"/>
    <w:rsid w:val="00F40153"/>
    <w:rsid w:val="00F404F8"/>
    <w:rsid w:val="00F406A8"/>
    <w:rsid w:val="00F40A3F"/>
    <w:rsid w:val="00F420C0"/>
    <w:rsid w:val="00F42D46"/>
    <w:rsid w:val="00F4378B"/>
    <w:rsid w:val="00F440DB"/>
    <w:rsid w:val="00F4430C"/>
    <w:rsid w:val="00F447AE"/>
    <w:rsid w:val="00F447B9"/>
    <w:rsid w:val="00F4496C"/>
    <w:rsid w:val="00F44F3A"/>
    <w:rsid w:val="00F4528A"/>
    <w:rsid w:val="00F452C3"/>
    <w:rsid w:val="00F45414"/>
    <w:rsid w:val="00F460AE"/>
    <w:rsid w:val="00F46152"/>
    <w:rsid w:val="00F4661D"/>
    <w:rsid w:val="00F46948"/>
    <w:rsid w:val="00F47716"/>
    <w:rsid w:val="00F47782"/>
    <w:rsid w:val="00F47821"/>
    <w:rsid w:val="00F47B51"/>
    <w:rsid w:val="00F47ECF"/>
    <w:rsid w:val="00F5056D"/>
    <w:rsid w:val="00F50B88"/>
    <w:rsid w:val="00F50D3F"/>
    <w:rsid w:val="00F515E7"/>
    <w:rsid w:val="00F51697"/>
    <w:rsid w:val="00F516D6"/>
    <w:rsid w:val="00F51E6F"/>
    <w:rsid w:val="00F51F10"/>
    <w:rsid w:val="00F52328"/>
    <w:rsid w:val="00F529A5"/>
    <w:rsid w:val="00F52E80"/>
    <w:rsid w:val="00F52EE1"/>
    <w:rsid w:val="00F5310D"/>
    <w:rsid w:val="00F53E05"/>
    <w:rsid w:val="00F54071"/>
    <w:rsid w:val="00F5581E"/>
    <w:rsid w:val="00F55A09"/>
    <w:rsid w:val="00F567FF"/>
    <w:rsid w:val="00F56D78"/>
    <w:rsid w:val="00F5755E"/>
    <w:rsid w:val="00F57BC0"/>
    <w:rsid w:val="00F60736"/>
    <w:rsid w:val="00F60ADB"/>
    <w:rsid w:val="00F60F00"/>
    <w:rsid w:val="00F614C0"/>
    <w:rsid w:val="00F61D80"/>
    <w:rsid w:val="00F62022"/>
    <w:rsid w:val="00F621F3"/>
    <w:rsid w:val="00F63CCE"/>
    <w:rsid w:val="00F63D9A"/>
    <w:rsid w:val="00F647F5"/>
    <w:rsid w:val="00F65392"/>
    <w:rsid w:val="00F65784"/>
    <w:rsid w:val="00F6728F"/>
    <w:rsid w:val="00F70762"/>
    <w:rsid w:val="00F70D99"/>
    <w:rsid w:val="00F711E7"/>
    <w:rsid w:val="00F71496"/>
    <w:rsid w:val="00F71814"/>
    <w:rsid w:val="00F71947"/>
    <w:rsid w:val="00F71BB4"/>
    <w:rsid w:val="00F72138"/>
    <w:rsid w:val="00F72EB0"/>
    <w:rsid w:val="00F732A3"/>
    <w:rsid w:val="00F7380A"/>
    <w:rsid w:val="00F74123"/>
    <w:rsid w:val="00F747DA"/>
    <w:rsid w:val="00F74C7B"/>
    <w:rsid w:val="00F75561"/>
    <w:rsid w:val="00F76D4A"/>
    <w:rsid w:val="00F77C4B"/>
    <w:rsid w:val="00F77EA1"/>
    <w:rsid w:val="00F80468"/>
    <w:rsid w:val="00F80846"/>
    <w:rsid w:val="00F817DE"/>
    <w:rsid w:val="00F81C32"/>
    <w:rsid w:val="00F824B0"/>
    <w:rsid w:val="00F82656"/>
    <w:rsid w:val="00F82AC5"/>
    <w:rsid w:val="00F83015"/>
    <w:rsid w:val="00F83848"/>
    <w:rsid w:val="00F83AB0"/>
    <w:rsid w:val="00F8447F"/>
    <w:rsid w:val="00F845DD"/>
    <w:rsid w:val="00F8468A"/>
    <w:rsid w:val="00F84D18"/>
    <w:rsid w:val="00F851CD"/>
    <w:rsid w:val="00F8528C"/>
    <w:rsid w:val="00F856FF"/>
    <w:rsid w:val="00F8572C"/>
    <w:rsid w:val="00F8626F"/>
    <w:rsid w:val="00F8676D"/>
    <w:rsid w:val="00F8714E"/>
    <w:rsid w:val="00F87781"/>
    <w:rsid w:val="00F90158"/>
    <w:rsid w:val="00F901F9"/>
    <w:rsid w:val="00F90335"/>
    <w:rsid w:val="00F90797"/>
    <w:rsid w:val="00F909F3"/>
    <w:rsid w:val="00F91180"/>
    <w:rsid w:val="00F917B8"/>
    <w:rsid w:val="00F91CB3"/>
    <w:rsid w:val="00F927D9"/>
    <w:rsid w:val="00F92A62"/>
    <w:rsid w:val="00F92F19"/>
    <w:rsid w:val="00F93B6D"/>
    <w:rsid w:val="00F94D0D"/>
    <w:rsid w:val="00F9574E"/>
    <w:rsid w:val="00F95C9C"/>
    <w:rsid w:val="00F96678"/>
    <w:rsid w:val="00F9668F"/>
    <w:rsid w:val="00F971B4"/>
    <w:rsid w:val="00F971BE"/>
    <w:rsid w:val="00F974F7"/>
    <w:rsid w:val="00F975E9"/>
    <w:rsid w:val="00FA0564"/>
    <w:rsid w:val="00FA0E5C"/>
    <w:rsid w:val="00FA113B"/>
    <w:rsid w:val="00FA1B7D"/>
    <w:rsid w:val="00FA2593"/>
    <w:rsid w:val="00FA2A84"/>
    <w:rsid w:val="00FA3613"/>
    <w:rsid w:val="00FA3EB3"/>
    <w:rsid w:val="00FA40A8"/>
    <w:rsid w:val="00FA4AB4"/>
    <w:rsid w:val="00FA4C65"/>
    <w:rsid w:val="00FA545E"/>
    <w:rsid w:val="00FA59BC"/>
    <w:rsid w:val="00FA6169"/>
    <w:rsid w:val="00FA61CF"/>
    <w:rsid w:val="00FA6D57"/>
    <w:rsid w:val="00FB02C4"/>
    <w:rsid w:val="00FB04AA"/>
    <w:rsid w:val="00FB178B"/>
    <w:rsid w:val="00FB1AA7"/>
    <w:rsid w:val="00FB1EB3"/>
    <w:rsid w:val="00FB2A8C"/>
    <w:rsid w:val="00FB2AB4"/>
    <w:rsid w:val="00FB33E9"/>
    <w:rsid w:val="00FB3454"/>
    <w:rsid w:val="00FB456B"/>
    <w:rsid w:val="00FB490E"/>
    <w:rsid w:val="00FB4B69"/>
    <w:rsid w:val="00FB50A8"/>
    <w:rsid w:val="00FB52D0"/>
    <w:rsid w:val="00FB6229"/>
    <w:rsid w:val="00FB6A13"/>
    <w:rsid w:val="00FB6EF2"/>
    <w:rsid w:val="00FB7506"/>
    <w:rsid w:val="00FB76E2"/>
    <w:rsid w:val="00FB7EBB"/>
    <w:rsid w:val="00FC07A2"/>
    <w:rsid w:val="00FC07B9"/>
    <w:rsid w:val="00FC095D"/>
    <w:rsid w:val="00FC1B36"/>
    <w:rsid w:val="00FC1C8D"/>
    <w:rsid w:val="00FC2060"/>
    <w:rsid w:val="00FC2899"/>
    <w:rsid w:val="00FC2A89"/>
    <w:rsid w:val="00FC2D17"/>
    <w:rsid w:val="00FC3355"/>
    <w:rsid w:val="00FC387F"/>
    <w:rsid w:val="00FC3BFB"/>
    <w:rsid w:val="00FC3DEB"/>
    <w:rsid w:val="00FC3F05"/>
    <w:rsid w:val="00FC41F1"/>
    <w:rsid w:val="00FC45B3"/>
    <w:rsid w:val="00FC49B0"/>
    <w:rsid w:val="00FC4E21"/>
    <w:rsid w:val="00FC4EC1"/>
    <w:rsid w:val="00FC5091"/>
    <w:rsid w:val="00FC520A"/>
    <w:rsid w:val="00FC5E7D"/>
    <w:rsid w:val="00FC5F6D"/>
    <w:rsid w:val="00FC6A2B"/>
    <w:rsid w:val="00FD0107"/>
    <w:rsid w:val="00FD0E6E"/>
    <w:rsid w:val="00FD1148"/>
    <w:rsid w:val="00FD11DB"/>
    <w:rsid w:val="00FD1508"/>
    <w:rsid w:val="00FD1AA1"/>
    <w:rsid w:val="00FD2677"/>
    <w:rsid w:val="00FD2C2F"/>
    <w:rsid w:val="00FD370F"/>
    <w:rsid w:val="00FD37B4"/>
    <w:rsid w:val="00FD3B31"/>
    <w:rsid w:val="00FD3CAA"/>
    <w:rsid w:val="00FD4525"/>
    <w:rsid w:val="00FD46D1"/>
    <w:rsid w:val="00FD4A66"/>
    <w:rsid w:val="00FD552F"/>
    <w:rsid w:val="00FD5D54"/>
    <w:rsid w:val="00FD67CA"/>
    <w:rsid w:val="00FD697E"/>
    <w:rsid w:val="00FE0973"/>
    <w:rsid w:val="00FE1823"/>
    <w:rsid w:val="00FE2278"/>
    <w:rsid w:val="00FE2ADC"/>
    <w:rsid w:val="00FE2D95"/>
    <w:rsid w:val="00FE3543"/>
    <w:rsid w:val="00FE487A"/>
    <w:rsid w:val="00FE5C93"/>
    <w:rsid w:val="00FE5CFC"/>
    <w:rsid w:val="00FE60A5"/>
    <w:rsid w:val="00FE7F07"/>
    <w:rsid w:val="00FF02CA"/>
    <w:rsid w:val="00FF0569"/>
    <w:rsid w:val="00FF08AF"/>
    <w:rsid w:val="00FF1A74"/>
    <w:rsid w:val="00FF206E"/>
    <w:rsid w:val="00FF3C69"/>
    <w:rsid w:val="00FF40F7"/>
    <w:rsid w:val="00FF45DF"/>
    <w:rsid w:val="00FF4F12"/>
    <w:rsid w:val="00FF50C7"/>
    <w:rsid w:val="00FF50EC"/>
    <w:rsid w:val="00FF6E0A"/>
    <w:rsid w:val="00FF6EAE"/>
    <w:rsid w:val="00FF7346"/>
    <w:rsid w:val="00FF7525"/>
    <w:rsid w:val="00FF7ED5"/>
    <w:rsid w:val="00FF7FAF"/>
    <w:rsid w:val="011413B7"/>
    <w:rsid w:val="01442ED0"/>
    <w:rsid w:val="01A8D5B1"/>
    <w:rsid w:val="02D11AB4"/>
    <w:rsid w:val="02DFFF31"/>
    <w:rsid w:val="037FB238"/>
    <w:rsid w:val="03D01F6C"/>
    <w:rsid w:val="042862B1"/>
    <w:rsid w:val="045F4776"/>
    <w:rsid w:val="0517094A"/>
    <w:rsid w:val="05917319"/>
    <w:rsid w:val="0599609F"/>
    <w:rsid w:val="05B581CA"/>
    <w:rsid w:val="0626F481"/>
    <w:rsid w:val="069C82A3"/>
    <w:rsid w:val="06D3F8CF"/>
    <w:rsid w:val="071C08A3"/>
    <w:rsid w:val="07400C53"/>
    <w:rsid w:val="0768F62F"/>
    <w:rsid w:val="0A6DB4F5"/>
    <w:rsid w:val="0B38D2D6"/>
    <w:rsid w:val="0B6FFFC3"/>
    <w:rsid w:val="0BEF79C6"/>
    <w:rsid w:val="0CA456BD"/>
    <w:rsid w:val="0CA823F7"/>
    <w:rsid w:val="0DD5744F"/>
    <w:rsid w:val="0DF3012E"/>
    <w:rsid w:val="0E2C5627"/>
    <w:rsid w:val="0EFFACAF"/>
    <w:rsid w:val="0F5B7652"/>
    <w:rsid w:val="0FD01597"/>
    <w:rsid w:val="105B0E12"/>
    <w:rsid w:val="10893D02"/>
    <w:rsid w:val="10974395"/>
    <w:rsid w:val="10FBBB38"/>
    <w:rsid w:val="110D1511"/>
    <w:rsid w:val="11182717"/>
    <w:rsid w:val="1177C7E0"/>
    <w:rsid w:val="11A5C687"/>
    <w:rsid w:val="126DA1FB"/>
    <w:rsid w:val="12894D10"/>
    <w:rsid w:val="1291B897"/>
    <w:rsid w:val="12A8E572"/>
    <w:rsid w:val="12E1653F"/>
    <w:rsid w:val="1394BADF"/>
    <w:rsid w:val="14026306"/>
    <w:rsid w:val="143E53AA"/>
    <w:rsid w:val="14842812"/>
    <w:rsid w:val="14D1F52C"/>
    <w:rsid w:val="15965C0C"/>
    <w:rsid w:val="159FC392"/>
    <w:rsid w:val="164B3903"/>
    <w:rsid w:val="16849251"/>
    <w:rsid w:val="16AE8CEB"/>
    <w:rsid w:val="16C62042"/>
    <w:rsid w:val="17322C6D"/>
    <w:rsid w:val="17FF3DDC"/>
    <w:rsid w:val="1850C1D3"/>
    <w:rsid w:val="18E7252B"/>
    <w:rsid w:val="1934A01D"/>
    <w:rsid w:val="1A69CD2F"/>
    <w:rsid w:val="1C4FC7B8"/>
    <w:rsid w:val="1C9183AC"/>
    <w:rsid w:val="1CDCFBC8"/>
    <w:rsid w:val="1CE03826"/>
    <w:rsid w:val="1CF96083"/>
    <w:rsid w:val="1DC8D135"/>
    <w:rsid w:val="1E3936FD"/>
    <w:rsid w:val="1E64BA35"/>
    <w:rsid w:val="1EF3B43C"/>
    <w:rsid w:val="1F12743D"/>
    <w:rsid w:val="1F3D3E52"/>
    <w:rsid w:val="1FA15E52"/>
    <w:rsid w:val="20791F62"/>
    <w:rsid w:val="2096BDB0"/>
    <w:rsid w:val="20D90EB3"/>
    <w:rsid w:val="21118284"/>
    <w:rsid w:val="21887D53"/>
    <w:rsid w:val="21B3A949"/>
    <w:rsid w:val="223EA2E2"/>
    <w:rsid w:val="229675B2"/>
    <w:rsid w:val="22A4A9EE"/>
    <w:rsid w:val="22A75611"/>
    <w:rsid w:val="2307E3B7"/>
    <w:rsid w:val="23C0F349"/>
    <w:rsid w:val="242C9A66"/>
    <w:rsid w:val="24FDE1D4"/>
    <w:rsid w:val="250A62C6"/>
    <w:rsid w:val="254985FD"/>
    <w:rsid w:val="255A4AA0"/>
    <w:rsid w:val="27813F88"/>
    <w:rsid w:val="27B8036E"/>
    <w:rsid w:val="27EF13B7"/>
    <w:rsid w:val="28D7C7C4"/>
    <w:rsid w:val="29445F60"/>
    <w:rsid w:val="2A1CF720"/>
    <w:rsid w:val="2A558249"/>
    <w:rsid w:val="2B5A8B8F"/>
    <w:rsid w:val="2BE3289A"/>
    <w:rsid w:val="2C1383F4"/>
    <w:rsid w:val="2C23ADF1"/>
    <w:rsid w:val="2C76149F"/>
    <w:rsid w:val="2C8B7491"/>
    <w:rsid w:val="2D3B6F85"/>
    <w:rsid w:val="2D3E7A0D"/>
    <w:rsid w:val="2DAB38E7"/>
    <w:rsid w:val="2EF06843"/>
    <w:rsid w:val="2F0F7EE1"/>
    <w:rsid w:val="2F7EF1E2"/>
    <w:rsid w:val="2F9A7887"/>
    <w:rsid w:val="308CE385"/>
    <w:rsid w:val="31BAFC8B"/>
    <w:rsid w:val="31C5B47E"/>
    <w:rsid w:val="31ED6F53"/>
    <w:rsid w:val="31F13057"/>
    <w:rsid w:val="320EE0A8"/>
    <w:rsid w:val="32AE23D1"/>
    <w:rsid w:val="32D21949"/>
    <w:rsid w:val="33442310"/>
    <w:rsid w:val="336D8AFA"/>
    <w:rsid w:val="340CF9CF"/>
    <w:rsid w:val="343BFF8D"/>
    <w:rsid w:val="35C141B2"/>
    <w:rsid w:val="36C27FA0"/>
    <w:rsid w:val="37A2728B"/>
    <w:rsid w:val="37F7DFCB"/>
    <w:rsid w:val="3840FC1D"/>
    <w:rsid w:val="39368DB2"/>
    <w:rsid w:val="395EEE78"/>
    <w:rsid w:val="39D8E4AE"/>
    <w:rsid w:val="39E85555"/>
    <w:rsid w:val="3A6D4DB1"/>
    <w:rsid w:val="3AAC3D30"/>
    <w:rsid w:val="3ACD115E"/>
    <w:rsid w:val="3AFABED9"/>
    <w:rsid w:val="3B70AF59"/>
    <w:rsid w:val="3C308EC7"/>
    <w:rsid w:val="3CFF5300"/>
    <w:rsid w:val="3E3D04B0"/>
    <w:rsid w:val="3E4852E3"/>
    <w:rsid w:val="3E5ABC89"/>
    <w:rsid w:val="3EE19AED"/>
    <w:rsid w:val="3EE4996B"/>
    <w:rsid w:val="3F7FD51D"/>
    <w:rsid w:val="3F8816FB"/>
    <w:rsid w:val="3F8CA6D9"/>
    <w:rsid w:val="3FCE2FFC"/>
    <w:rsid w:val="404EEBB9"/>
    <w:rsid w:val="41643EE1"/>
    <w:rsid w:val="416E40B2"/>
    <w:rsid w:val="41E7DE63"/>
    <w:rsid w:val="43BBEE7B"/>
    <w:rsid w:val="446F8431"/>
    <w:rsid w:val="45B7F02D"/>
    <w:rsid w:val="469DEDB1"/>
    <w:rsid w:val="47280E60"/>
    <w:rsid w:val="472B7B25"/>
    <w:rsid w:val="484F3261"/>
    <w:rsid w:val="49EB02C2"/>
    <w:rsid w:val="49F2F048"/>
    <w:rsid w:val="4A1B05BB"/>
    <w:rsid w:val="4A3AE3CE"/>
    <w:rsid w:val="4A5BC821"/>
    <w:rsid w:val="4BD8EAD1"/>
    <w:rsid w:val="4CB4A08A"/>
    <w:rsid w:val="4CB753D5"/>
    <w:rsid w:val="4D59ECCC"/>
    <w:rsid w:val="4D7E2787"/>
    <w:rsid w:val="4E3D776F"/>
    <w:rsid w:val="4EFABD35"/>
    <w:rsid w:val="4F0BEF36"/>
    <w:rsid w:val="4F62ECC2"/>
    <w:rsid w:val="4FCBCE74"/>
    <w:rsid w:val="5003B8CB"/>
    <w:rsid w:val="5198FFA7"/>
    <w:rsid w:val="52045199"/>
    <w:rsid w:val="52B39F9A"/>
    <w:rsid w:val="532998A2"/>
    <w:rsid w:val="53B505FB"/>
    <w:rsid w:val="53FA1156"/>
    <w:rsid w:val="5409F5FF"/>
    <w:rsid w:val="549F3F97"/>
    <w:rsid w:val="551EBF8F"/>
    <w:rsid w:val="5535A2EF"/>
    <w:rsid w:val="56D17350"/>
    <w:rsid w:val="57E34F15"/>
    <w:rsid w:val="586D43B1"/>
    <w:rsid w:val="5908C1A2"/>
    <w:rsid w:val="591A35FE"/>
    <w:rsid w:val="594FB5A2"/>
    <w:rsid w:val="5972B0BA"/>
    <w:rsid w:val="59D6EB91"/>
    <w:rsid w:val="5A5369C9"/>
    <w:rsid w:val="5AF95BEA"/>
    <w:rsid w:val="5B180A72"/>
    <w:rsid w:val="5BA4E473"/>
    <w:rsid w:val="5BC017E0"/>
    <w:rsid w:val="5BFBDF87"/>
    <w:rsid w:val="5C875664"/>
    <w:rsid w:val="5CB080D4"/>
    <w:rsid w:val="5D0718E5"/>
    <w:rsid w:val="5DFADAFB"/>
    <w:rsid w:val="5E2326C5"/>
    <w:rsid w:val="5E464383"/>
    <w:rsid w:val="5F5F37CD"/>
    <w:rsid w:val="5F8D51B1"/>
    <w:rsid w:val="5FB71FCB"/>
    <w:rsid w:val="5FEB7B95"/>
    <w:rsid w:val="600149F3"/>
    <w:rsid w:val="60024DF6"/>
    <w:rsid w:val="6052D465"/>
    <w:rsid w:val="607846FE"/>
    <w:rsid w:val="6183F1F7"/>
    <w:rsid w:val="61F7E788"/>
    <w:rsid w:val="6209E876"/>
    <w:rsid w:val="631CBBEC"/>
    <w:rsid w:val="63D3174B"/>
    <w:rsid w:val="6461FCBE"/>
    <w:rsid w:val="6497CFB6"/>
    <w:rsid w:val="651D2A0D"/>
    <w:rsid w:val="656EE7AC"/>
    <w:rsid w:val="659E96D8"/>
    <w:rsid w:val="65A74ABC"/>
    <w:rsid w:val="65E14B72"/>
    <w:rsid w:val="6657631A"/>
    <w:rsid w:val="6668E45A"/>
    <w:rsid w:val="666B74E4"/>
    <w:rsid w:val="66708B77"/>
    <w:rsid w:val="66CD1CB3"/>
    <w:rsid w:val="6815C82D"/>
    <w:rsid w:val="681A967D"/>
    <w:rsid w:val="6854CACF"/>
    <w:rsid w:val="68761AC2"/>
    <w:rsid w:val="68DEEB7E"/>
    <w:rsid w:val="69DD77E3"/>
    <w:rsid w:val="69F09B30"/>
    <w:rsid w:val="6A4258CF"/>
    <w:rsid w:val="6A7C9777"/>
    <w:rsid w:val="6A9BEF2C"/>
    <w:rsid w:val="6B140DAF"/>
    <w:rsid w:val="6B5AB13D"/>
    <w:rsid w:val="6B6DF1F2"/>
    <w:rsid w:val="6B8C6B91"/>
    <w:rsid w:val="6BADBB84"/>
    <w:rsid w:val="6BDE2930"/>
    <w:rsid w:val="6BFF3F7B"/>
    <w:rsid w:val="6C2B945F"/>
    <w:rsid w:val="6D498BE5"/>
    <w:rsid w:val="6F575315"/>
    <w:rsid w:val="6FF92ECD"/>
    <w:rsid w:val="706A99AF"/>
    <w:rsid w:val="706AC92F"/>
    <w:rsid w:val="7133A8D8"/>
    <w:rsid w:val="71473362"/>
    <w:rsid w:val="714ECE13"/>
    <w:rsid w:val="72712D1F"/>
    <w:rsid w:val="7335B80E"/>
    <w:rsid w:val="733DD3A8"/>
    <w:rsid w:val="737B6C4F"/>
    <w:rsid w:val="739DD110"/>
    <w:rsid w:val="740A5160"/>
    <w:rsid w:val="7526A77B"/>
    <w:rsid w:val="75F9D3DE"/>
    <w:rsid w:val="77B20063"/>
    <w:rsid w:val="77ED81C8"/>
    <w:rsid w:val="79C33140"/>
    <w:rsid w:val="7A17C7FB"/>
    <w:rsid w:val="7A2C755D"/>
    <w:rsid w:val="7C3D9B4D"/>
    <w:rsid w:val="7C7D29F1"/>
    <w:rsid w:val="7DD878E1"/>
    <w:rsid w:val="7DF9A5C0"/>
    <w:rsid w:val="7E0C8E0D"/>
    <w:rsid w:val="7E5DBF6B"/>
    <w:rsid w:val="7E6D67FC"/>
    <w:rsid w:val="7E80864F"/>
    <w:rsid w:val="7E8CDD7B"/>
    <w:rsid w:val="7E8EAD69"/>
    <w:rsid w:val="7F4D5E13"/>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2677F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C2DFA"/>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CE0529"/>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F361D7"/>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paragraph" w:styleId="ListParagraph">
    <w:name w:val="List Paragraph"/>
    <w:basedOn w:val="Normal"/>
    <w:uiPriority w:val="34"/>
    <w:qFormat/>
    <w:rsid w:val="00B51853"/>
    <w:pPr>
      <w:spacing w:after="160" w:line="256" w:lineRule="auto"/>
      <w:ind w:left="720"/>
      <w:contextualSpacing/>
    </w:pPr>
    <w:rPr>
      <w:rFonts w:asciiTheme="minorHAnsi" w:eastAsiaTheme="minorHAnsi" w:hAnsiTheme="minorHAnsi" w:cstheme="minorBidi"/>
      <w:sz w:val="22"/>
      <w:szCs w:val="22"/>
      <w:lang w:eastAsia="en-US"/>
    </w:rPr>
  </w:style>
  <w:style w:type="paragraph" w:customStyle="1" w:styleId="ItemHead">
    <w:name w:val="ItemHead"/>
    <w:aliases w:val="ih"/>
    <w:basedOn w:val="Normal"/>
    <w:next w:val="Normal"/>
    <w:rsid w:val="00D852E3"/>
    <w:pPr>
      <w:keepNext/>
      <w:keepLines/>
      <w:spacing w:before="220" w:after="0" w:line="240" w:lineRule="auto"/>
      <w:ind w:left="709" w:hanging="709"/>
    </w:pPr>
    <w:rPr>
      <w:b/>
      <w:kern w:val="28"/>
      <w:sz w:val="24"/>
      <w:szCs w:val="20"/>
    </w:rPr>
  </w:style>
  <w:style w:type="paragraph" w:customStyle="1" w:styleId="TableColHead">
    <w:name w:val="TableColHead"/>
    <w:basedOn w:val="Normal"/>
    <w:rsid w:val="00D852E3"/>
    <w:pPr>
      <w:keepNext/>
      <w:spacing w:before="120" w:after="60" w:line="200" w:lineRule="exact"/>
    </w:pPr>
    <w:rPr>
      <w:b/>
      <w:sz w:val="18"/>
      <w:lang w:eastAsia="en-US"/>
    </w:rPr>
  </w:style>
  <w:style w:type="paragraph" w:customStyle="1" w:styleId="TableText">
    <w:name w:val="TableText"/>
    <w:basedOn w:val="Normal"/>
    <w:rsid w:val="00D852E3"/>
    <w:pPr>
      <w:spacing w:before="60" w:after="60" w:line="240" w:lineRule="exact"/>
    </w:pPr>
    <w:rPr>
      <w:rFonts w:ascii="Times New Roman" w:hAnsi="Times New Roman"/>
      <w:sz w:val="22"/>
      <w:lang w:eastAsia="en-US"/>
    </w:rPr>
  </w:style>
  <w:style w:type="paragraph" w:customStyle="1" w:styleId="paragraph0">
    <w:name w:val="paragraph"/>
    <w:aliases w:val="a"/>
    <w:basedOn w:val="Normal"/>
    <w:link w:val="paragraphChar"/>
    <w:rsid w:val="00B44174"/>
    <w:pPr>
      <w:spacing w:before="100" w:beforeAutospacing="1" w:after="100" w:afterAutospacing="1" w:line="240" w:lineRule="auto"/>
    </w:pPr>
    <w:rPr>
      <w:rFonts w:ascii="Times New Roman" w:hAnsi="Times New Roman"/>
      <w:sz w:val="24"/>
    </w:rPr>
  </w:style>
  <w:style w:type="paragraph" w:customStyle="1" w:styleId="paragraphsub">
    <w:name w:val="paragraphsub"/>
    <w:basedOn w:val="Normal"/>
    <w:rsid w:val="00B44174"/>
    <w:pPr>
      <w:spacing w:before="100" w:beforeAutospacing="1" w:after="100" w:afterAutospacing="1" w:line="240" w:lineRule="auto"/>
    </w:pPr>
    <w:rPr>
      <w:rFonts w:ascii="Times New Roman" w:hAnsi="Times New Roman"/>
      <w:sz w:val="24"/>
    </w:rPr>
  </w:style>
  <w:style w:type="paragraph" w:customStyle="1" w:styleId="LI-BodyTextNote">
    <w:name w:val="LI - Body Text Note"/>
    <w:basedOn w:val="Normal"/>
    <w:link w:val="LI-BodyTextNoteChar"/>
    <w:rsid w:val="00B44174"/>
    <w:pPr>
      <w:spacing w:before="200" w:after="0" w:line="240" w:lineRule="auto"/>
      <w:ind w:left="1701" w:hanging="567"/>
    </w:pPr>
    <w:rPr>
      <w:rFonts w:ascii="Times New Roman" w:hAnsi="Times New Roman"/>
      <w:sz w:val="18"/>
      <w:szCs w:val="20"/>
    </w:rPr>
  </w:style>
  <w:style w:type="character" w:customStyle="1" w:styleId="LI-BodyTextNoteChar">
    <w:name w:val="LI - Body Text Note Char"/>
    <w:link w:val="LI-BodyTextNote"/>
    <w:rsid w:val="00B44174"/>
    <w:rPr>
      <w:sz w:val="18"/>
      <w:szCs w:val="20"/>
    </w:rPr>
  </w:style>
  <w:style w:type="paragraph" w:customStyle="1" w:styleId="subsection">
    <w:name w:val="subsection"/>
    <w:aliases w:val="ss"/>
    <w:basedOn w:val="Normal"/>
    <w:link w:val="subsectionChar"/>
    <w:rsid w:val="00FC3F05"/>
    <w:pPr>
      <w:tabs>
        <w:tab w:val="right" w:pos="1021"/>
      </w:tabs>
      <w:spacing w:before="180" w:after="0" w:line="240" w:lineRule="auto"/>
      <w:ind w:left="1134" w:hanging="1134"/>
    </w:pPr>
    <w:rPr>
      <w:rFonts w:ascii="Times New Roman" w:hAnsi="Times New Roman"/>
      <w:sz w:val="22"/>
      <w:szCs w:val="20"/>
    </w:rPr>
  </w:style>
  <w:style w:type="character" w:customStyle="1" w:styleId="subsectionChar">
    <w:name w:val="subsection Char"/>
    <w:aliases w:val="ss Char"/>
    <w:basedOn w:val="DefaultParagraphFont"/>
    <w:link w:val="subsection"/>
    <w:locked/>
    <w:rsid w:val="00FC3F05"/>
    <w:rPr>
      <w:sz w:val="22"/>
      <w:szCs w:val="20"/>
    </w:rPr>
  </w:style>
  <w:style w:type="character" w:customStyle="1" w:styleId="paragraphChar">
    <w:name w:val="paragraph Char"/>
    <w:aliases w:val="a Char"/>
    <w:link w:val="paragraph0"/>
    <w:rsid w:val="00FC3F05"/>
  </w:style>
  <w:style w:type="paragraph" w:customStyle="1" w:styleId="ACMABulletLevel1">
    <w:name w:val="ACMA Bullet Level 1"/>
    <w:rsid w:val="00B907FF"/>
    <w:pPr>
      <w:tabs>
        <w:tab w:val="num" w:pos="-31680"/>
      </w:tabs>
      <w:spacing w:after="120"/>
      <w:ind w:left="357" w:hanging="357"/>
    </w:pPr>
    <w:rPr>
      <w:szCs w:val="20"/>
      <w:lang w:eastAsia="en-US"/>
    </w:rPr>
  </w:style>
  <w:style w:type="character" w:styleId="Mention">
    <w:name w:val="Mention"/>
    <w:basedOn w:val="DefaultParagraphFont"/>
    <w:uiPriority w:val="99"/>
    <w:unhideWhenUsed/>
    <w:rsid w:val="00AE47E1"/>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449198">
      <w:bodyDiv w:val="1"/>
      <w:marLeft w:val="0"/>
      <w:marRight w:val="0"/>
      <w:marTop w:val="0"/>
      <w:marBottom w:val="0"/>
      <w:divBdr>
        <w:top w:val="none" w:sz="0" w:space="0" w:color="auto"/>
        <w:left w:val="none" w:sz="0" w:space="0" w:color="auto"/>
        <w:bottom w:val="none" w:sz="0" w:space="0" w:color="auto"/>
        <w:right w:val="none" w:sz="0" w:space="0" w:color="auto"/>
      </w:divBdr>
    </w:div>
    <w:div w:id="38481960">
      <w:bodyDiv w:val="1"/>
      <w:marLeft w:val="0"/>
      <w:marRight w:val="0"/>
      <w:marTop w:val="0"/>
      <w:marBottom w:val="0"/>
      <w:divBdr>
        <w:top w:val="none" w:sz="0" w:space="0" w:color="auto"/>
        <w:left w:val="none" w:sz="0" w:space="0" w:color="auto"/>
        <w:bottom w:val="none" w:sz="0" w:space="0" w:color="auto"/>
        <w:right w:val="none" w:sz="0" w:space="0" w:color="auto"/>
      </w:divBdr>
    </w:div>
    <w:div w:id="50420572">
      <w:bodyDiv w:val="1"/>
      <w:marLeft w:val="0"/>
      <w:marRight w:val="0"/>
      <w:marTop w:val="0"/>
      <w:marBottom w:val="0"/>
      <w:divBdr>
        <w:top w:val="none" w:sz="0" w:space="0" w:color="auto"/>
        <w:left w:val="none" w:sz="0" w:space="0" w:color="auto"/>
        <w:bottom w:val="none" w:sz="0" w:space="0" w:color="auto"/>
        <w:right w:val="none" w:sz="0" w:space="0" w:color="auto"/>
      </w:divBdr>
    </w:div>
    <w:div w:id="53159484">
      <w:bodyDiv w:val="1"/>
      <w:marLeft w:val="0"/>
      <w:marRight w:val="0"/>
      <w:marTop w:val="0"/>
      <w:marBottom w:val="0"/>
      <w:divBdr>
        <w:top w:val="none" w:sz="0" w:space="0" w:color="auto"/>
        <w:left w:val="none" w:sz="0" w:space="0" w:color="auto"/>
        <w:bottom w:val="none" w:sz="0" w:space="0" w:color="auto"/>
        <w:right w:val="none" w:sz="0" w:space="0" w:color="auto"/>
      </w:divBdr>
    </w:div>
    <w:div w:id="86662056">
      <w:bodyDiv w:val="1"/>
      <w:marLeft w:val="0"/>
      <w:marRight w:val="0"/>
      <w:marTop w:val="0"/>
      <w:marBottom w:val="0"/>
      <w:divBdr>
        <w:top w:val="none" w:sz="0" w:space="0" w:color="auto"/>
        <w:left w:val="none" w:sz="0" w:space="0" w:color="auto"/>
        <w:bottom w:val="none" w:sz="0" w:space="0" w:color="auto"/>
        <w:right w:val="none" w:sz="0" w:space="0" w:color="auto"/>
      </w:divBdr>
    </w:div>
    <w:div w:id="96409007">
      <w:bodyDiv w:val="1"/>
      <w:marLeft w:val="0"/>
      <w:marRight w:val="0"/>
      <w:marTop w:val="0"/>
      <w:marBottom w:val="0"/>
      <w:divBdr>
        <w:top w:val="none" w:sz="0" w:space="0" w:color="auto"/>
        <w:left w:val="none" w:sz="0" w:space="0" w:color="auto"/>
        <w:bottom w:val="none" w:sz="0" w:space="0" w:color="auto"/>
        <w:right w:val="none" w:sz="0" w:space="0" w:color="auto"/>
      </w:divBdr>
    </w:div>
    <w:div w:id="110982907">
      <w:bodyDiv w:val="1"/>
      <w:marLeft w:val="0"/>
      <w:marRight w:val="0"/>
      <w:marTop w:val="0"/>
      <w:marBottom w:val="0"/>
      <w:divBdr>
        <w:top w:val="none" w:sz="0" w:space="0" w:color="auto"/>
        <w:left w:val="none" w:sz="0" w:space="0" w:color="auto"/>
        <w:bottom w:val="none" w:sz="0" w:space="0" w:color="auto"/>
        <w:right w:val="none" w:sz="0" w:space="0" w:color="auto"/>
      </w:divBdr>
    </w:div>
    <w:div w:id="118837335">
      <w:bodyDiv w:val="1"/>
      <w:marLeft w:val="0"/>
      <w:marRight w:val="0"/>
      <w:marTop w:val="0"/>
      <w:marBottom w:val="0"/>
      <w:divBdr>
        <w:top w:val="none" w:sz="0" w:space="0" w:color="auto"/>
        <w:left w:val="none" w:sz="0" w:space="0" w:color="auto"/>
        <w:bottom w:val="none" w:sz="0" w:space="0" w:color="auto"/>
        <w:right w:val="none" w:sz="0" w:space="0" w:color="auto"/>
      </w:divBdr>
    </w:div>
    <w:div w:id="119345837">
      <w:bodyDiv w:val="1"/>
      <w:marLeft w:val="0"/>
      <w:marRight w:val="0"/>
      <w:marTop w:val="0"/>
      <w:marBottom w:val="0"/>
      <w:divBdr>
        <w:top w:val="none" w:sz="0" w:space="0" w:color="auto"/>
        <w:left w:val="none" w:sz="0" w:space="0" w:color="auto"/>
        <w:bottom w:val="none" w:sz="0" w:space="0" w:color="auto"/>
        <w:right w:val="none" w:sz="0" w:space="0" w:color="auto"/>
      </w:divBdr>
    </w:div>
    <w:div w:id="141776922">
      <w:bodyDiv w:val="1"/>
      <w:marLeft w:val="0"/>
      <w:marRight w:val="0"/>
      <w:marTop w:val="0"/>
      <w:marBottom w:val="0"/>
      <w:divBdr>
        <w:top w:val="none" w:sz="0" w:space="0" w:color="auto"/>
        <w:left w:val="none" w:sz="0" w:space="0" w:color="auto"/>
        <w:bottom w:val="none" w:sz="0" w:space="0" w:color="auto"/>
        <w:right w:val="none" w:sz="0" w:space="0" w:color="auto"/>
      </w:divBdr>
    </w:div>
    <w:div w:id="180121128">
      <w:bodyDiv w:val="1"/>
      <w:marLeft w:val="0"/>
      <w:marRight w:val="0"/>
      <w:marTop w:val="0"/>
      <w:marBottom w:val="0"/>
      <w:divBdr>
        <w:top w:val="none" w:sz="0" w:space="0" w:color="auto"/>
        <w:left w:val="none" w:sz="0" w:space="0" w:color="auto"/>
        <w:bottom w:val="none" w:sz="0" w:space="0" w:color="auto"/>
        <w:right w:val="none" w:sz="0" w:space="0" w:color="auto"/>
      </w:divBdr>
    </w:div>
    <w:div w:id="207500243">
      <w:bodyDiv w:val="1"/>
      <w:marLeft w:val="0"/>
      <w:marRight w:val="0"/>
      <w:marTop w:val="0"/>
      <w:marBottom w:val="0"/>
      <w:divBdr>
        <w:top w:val="none" w:sz="0" w:space="0" w:color="auto"/>
        <w:left w:val="none" w:sz="0" w:space="0" w:color="auto"/>
        <w:bottom w:val="none" w:sz="0" w:space="0" w:color="auto"/>
        <w:right w:val="none" w:sz="0" w:space="0" w:color="auto"/>
      </w:divBdr>
    </w:div>
    <w:div w:id="210659364">
      <w:bodyDiv w:val="1"/>
      <w:marLeft w:val="0"/>
      <w:marRight w:val="0"/>
      <w:marTop w:val="0"/>
      <w:marBottom w:val="0"/>
      <w:divBdr>
        <w:top w:val="none" w:sz="0" w:space="0" w:color="auto"/>
        <w:left w:val="none" w:sz="0" w:space="0" w:color="auto"/>
        <w:bottom w:val="none" w:sz="0" w:space="0" w:color="auto"/>
        <w:right w:val="none" w:sz="0" w:space="0" w:color="auto"/>
      </w:divBdr>
    </w:div>
    <w:div w:id="244385905">
      <w:bodyDiv w:val="1"/>
      <w:marLeft w:val="0"/>
      <w:marRight w:val="0"/>
      <w:marTop w:val="0"/>
      <w:marBottom w:val="0"/>
      <w:divBdr>
        <w:top w:val="none" w:sz="0" w:space="0" w:color="auto"/>
        <w:left w:val="none" w:sz="0" w:space="0" w:color="auto"/>
        <w:bottom w:val="none" w:sz="0" w:space="0" w:color="auto"/>
        <w:right w:val="none" w:sz="0" w:space="0" w:color="auto"/>
      </w:divBdr>
    </w:div>
    <w:div w:id="245498417">
      <w:bodyDiv w:val="1"/>
      <w:marLeft w:val="0"/>
      <w:marRight w:val="0"/>
      <w:marTop w:val="0"/>
      <w:marBottom w:val="0"/>
      <w:divBdr>
        <w:top w:val="none" w:sz="0" w:space="0" w:color="auto"/>
        <w:left w:val="none" w:sz="0" w:space="0" w:color="auto"/>
        <w:bottom w:val="none" w:sz="0" w:space="0" w:color="auto"/>
        <w:right w:val="none" w:sz="0" w:space="0" w:color="auto"/>
      </w:divBdr>
    </w:div>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290551371">
      <w:bodyDiv w:val="1"/>
      <w:marLeft w:val="0"/>
      <w:marRight w:val="0"/>
      <w:marTop w:val="0"/>
      <w:marBottom w:val="0"/>
      <w:divBdr>
        <w:top w:val="none" w:sz="0" w:space="0" w:color="auto"/>
        <w:left w:val="none" w:sz="0" w:space="0" w:color="auto"/>
        <w:bottom w:val="none" w:sz="0" w:space="0" w:color="auto"/>
        <w:right w:val="none" w:sz="0" w:space="0" w:color="auto"/>
      </w:divBdr>
    </w:div>
    <w:div w:id="291525350">
      <w:bodyDiv w:val="1"/>
      <w:marLeft w:val="0"/>
      <w:marRight w:val="0"/>
      <w:marTop w:val="0"/>
      <w:marBottom w:val="0"/>
      <w:divBdr>
        <w:top w:val="none" w:sz="0" w:space="0" w:color="auto"/>
        <w:left w:val="none" w:sz="0" w:space="0" w:color="auto"/>
        <w:bottom w:val="none" w:sz="0" w:space="0" w:color="auto"/>
        <w:right w:val="none" w:sz="0" w:space="0" w:color="auto"/>
      </w:divBdr>
    </w:div>
    <w:div w:id="298534713">
      <w:bodyDiv w:val="1"/>
      <w:marLeft w:val="0"/>
      <w:marRight w:val="0"/>
      <w:marTop w:val="0"/>
      <w:marBottom w:val="0"/>
      <w:divBdr>
        <w:top w:val="none" w:sz="0" w:space="0" w:color="auto"/>
        <w:left w:val="none" w:sz="0" w:space="0" w:color="auto"/>
        <w:bottom w:val="none" w:sz="0" w:space="0" w:color="auto"/>
        <w:right w:val="none" w:sz="0" w:space="0" w:color="auto"/>
      </w:divBdr>
    </w:div>
    <w:div w:id="323627311">
      <w:bodyDiv w:val="1"/>
      <w:marLeft w:val="0"/>
      <w:marRight w:val="0"/>
      <w:marTop w:val="0"/>
      <w:marBottom w:val="0"/>
      <w:divBdr>
        <w:top w:val="none" w:sz="0" w:space="0" w:color="auto"/>
        <w:left w:val="none" w:sz="0" w:space="0" w:color="auto"/>
        <w:bottom w:val="none" w:sz="0" w:space="0" w:color="auto"/>
        <w:right w:val="none" w:sz="0" w:space="0" w:color="auto"/>
      </w:divBdr>
    </w:div>
    <w:div w:id="332688381">
      <w:bodyDiv w:val="1"/>
      <w:marLeft w:val="0"/>
      <w:marRight w:val="0"/>
      <w:marTop w:val="0"/>
      <w:marBottom w:val="0"/>
      <w:divBdr>
        <w:top w:val="none" w:sz="0" w:space="0" w:color="auto"/>
        <w:left w:val="none" w:sz="0" w:space="0" w:color="auto"/>
        <w:bottom w:val="none" w:sz="0" w:space="0" w:color="auto"/>
        <w:right w:val="none" w:sz="0" w:space="0" w:color="auto"/>
      </w:divBdr>
    </w:div>
    <w:div w:id="345906730">
      <w:bodyDiv w:val="1"/>
      <w:marLeft w:val="0"/>
      <w:marRight w:val="0"/>
      <w:marTop w:val="0"/>
      <w:marBottom w:val="0"/>
      <w:divBdr>
        <w:top w:val="none" w:sz="0" w:space="0" w:color="auto"/>
        <w:left w:val="none" w:sz="0" w:space="0" w:color="auto"/>
        <w:bottom w:val="none" w:sz="0" w:space="0" w:color="auto"/>
        <w:right w:val="none" w:sz="0" w:space="0" w:color="auto"/>
      </w:divBdr>
    </w:div>
    <w:div w:id="353725281">
      <w:bodyDiv w:val="1"/>
      <w:marLeft w:val="0"/>
      <w:marRight w:val="0"/>
      <w:marTop w:val="0"/>
      <w:marBottom w:val="0"/>
      <w:divBdr>
        <w:top w:val="none" w:sz="0" w:space="0" w:color="auto"/>
        <w:left w:val="none" w:sz="0" w:space="0" w:color="auto"/>
        <w:bottom w:val="none" w:sz="0" w:space="0" w:color="auto"/>
        <w:right w:val="none" w:sz="0" w:space="0" w:color="auto"/>
      </w:divBdr>
    </w:div>
    <w:div w:id="392430653">
      <w:bodyDiv w:val="1"/>
      <w:marLeft w:val="0"/>
      <w:marRight w:val="0"/>
      <w:marTop w:val="0"/>
      <w:marBottom w:val="0"/>
      <w:divBdr>
        <w:top w:val="none" w:sz="0" w:space="0" w:color="auto"/>
        <w:left w:val="none" w:sz="0" w:space="0" w:color="auto"/>
        <w:bottom w:val="none" w:sz="0" w:space="0" w:color="auto"/>
        <w:right w:val="none" w:sz="0" w:space="0" w:color="auto"/>
      </w:divBdr>
    </w:div>
    <w:div w:id="397020194">
      <w:bodyDiv w:val="1"/>
      <w:marLeft w:val="0"/>
      <w:marRight w:val="0"/>
      <w:marTop w:val="0"/>
      <w:marBottom w:val="0"/>
      <w:divBdr>
        <w:top w:val="none" w:sz="0" w:space="0" w:color="auto"/>
        <w:left w:val="none" w:sz="0" w:space="0" w:color="auto"/>
        <w:bottom w:val="none" w:sz="0" w:space="0" w:color="auto"/>
        <w:right w:val="none" w:sz="0" w:space="0" w:color="auto"/>
      </w:divBdr>
    </w:div>
    <w:div w:id="421998938">
      <w:bodyDiv w:val="1"/>
      <w:marLeft w:val="0"/>
      <w:marRight w:val="0"/>
      <w:marTop w:val="0"/>
      <w:marBottom w:val="0"/>
      <w:divBdr>
        <w:top w:val="none" w:sz="0" w:space="0" w:color="auto"/>
        <w:left w:val="none" w:sz="0" w:space="0" w:color="auto"/>
        <w:bottom w:val="none" w:sz="0" w:space="0" w:color="auto"/>
        <w:right w:val="none" w:sz="0" w:space="0" w:color="auto"/>
      </w:divBdr>
    </w:div>
    <w:div w:id="453790834">
      <w:bodyDiv w:val="1"/>
      <w:marLeft w:val="0"/>
      <w:marRight w:val="0"/>
      <w:marTop w:val="0"/>
      <w:marBottom w:val="0"/>
      <w:divBdr>
        <w:top w:val="none" w:sz="0" w:space="0" w:color="auto"/>
        <w:left w:val="none" w:sz="0" w:space="0" w:color="auto"/>
        <w:bottom w:val="none" w:sz="0" w:space="0" w:color="auto"/>
        <w:right w:val="none" w:sz="0" w:space="0" w:color="auto"/>
      </w:divBdr>
    </w:div>
    <w:div w:id="466241567">
      <w:bodyDiv w:val="1"/>
      <w:marLeft w:val="0"/>
      <w:marRight w:val="0"/>
      <w:marTop w:val="0"/>
      <w:marBottom w:val="0"/>
      <w:divBdr>
        <w:top w:val="none" w:sz="0" w:space="0" w:color="auto"/>
        <w:left w:val="none" w:sz="0" w:space="0" w:color="auto"/>
        <w:bottom w:val="none" w:sz="0" w:space="0" w:color="auto"/>
        <w:right w:val="none" w:sz="0" w:space="0" w:color="auto"/>
      </w:divBdr>
    </w:div>
    <w:div w:id="498354102">
      <w:bodyDiv w:val="1"/>
      <w:marLeft w:val="0"/>
      <w:marRight w:val="0"/>
      <w:marTop w:val="0"/>
      <w:marBottom w:val="0"/>
      <w:divBdr>
        <w:top w:val="none" w:sz="0" w:space="0" w:color="auto"/>
        <w:left w:val="none" w:sz="0" w:space="0" w:color="auto"/>
        <w:bottom w:val="none" w:sz="0" w:space="0" w:color="auto"/>
        <w:right w:val="none" w:sz="0" w:space="0" w:color="auto"/>
      </w:divBdr>
    </w:div>
    <w:div w:id="498616234">
      <w:bodyDiv w:val="1"/>
      <w:marLeft w:val="0"/>
      <w:marRight w:val="0"/>
      <w:marTop w:val="0"/>
      <w:marBottom w:val="0"/>
      <w:divBdr>
        <w:top w:val="none" w:sz="0" w:space="0" w:color="auto"/>
        <w:left w:val="none" w:sz="0" w:space="0" w:color="auto"/>
        <w:bottom w:val="none" w:sz="0" w:space="0" w:color="auto"/>
        <w:right w:val="none" w:sz="0" w:space="0" w:color="auto"/>
      </w:divBdr>
    </w:div>
    <w:div w:id="520167491">
      <w:bodyDiv w:val="1"/>
      <w:marLeft w:val="0"/>
      <w:marRight w:val="0"/>
      <w:marTop w:val="0"/>
      <w:marBottom w:val="0"/>
      <w:divBdr>
        <w:top w:val="none" w:sz="0" w:space="0" w:color="auto"/>
        <w:left w:val="none" w:sz="0" w:space="0" w:color="auto"/>
        <w:bottom w:val="none" w:sz="0" w:space="0" w:color="auto"/>
        <w:right w:val="none" w:sz="0" w:space="0" w:color="auto"/>
      </w:divBdr>
    </w:div>
    <w:div w:id="567544069">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13904912">
      <w:bodyDiv w:val="1"/>
      <w:marLeft w:val="0"/>
      <w:marRight w:val="0"/>
      <w:marTop w:val="0"/>
      <w:marBottom w:val="0"/>
      <w:divBdr>
        <w:top w:val="none" w:sz="0" w:space="0" w:color="auto"/>
        <w:left w:val="none" w:sz="0" w:space="0" w:color="auto"/>
        <w:bottom w:val="none" w:sz="0" w:space="0" w:color="auto"/>
        <w:right w:val="none" w:sz="0" w:space="0" w:color="auto"/>
      </w:divBdr>
    </w:div>
    <w:div w:id="665329850">
      <w:bodyDiv w:val="1"/>
      <w:marLeft w:val="0"/>
      <w:marRight w:val="0"/>
      <w:marTop w:val="0"/>
      <w:marBottom w:val="0"/>
      <w:divBdr>
        <w:top w:val="none" w:sz="0" w:space="0" w:color="auto"/>
        <w:left w:val="none" w:sz="0" w:space="0" w:color="auto"/>
        <w:bottom w:val="none" w:sz="0" w:space="0" w:color="auto"/>
        <w:right w:val="none" w:sz="0" w:space="0" w:color="auto"/>
      </w:divBdr>
    </w:div>
    <w:div w:id="667758786">
      <w:bodyDiv w:val="1"/>
      <w:marLeft w:val="0"/>
      <w:marRight w:val="0"/>
      <w:marTop w:val="0"/>
      <w:marBottom w:val="0"/>
      <w:divBdr>
        <w:top w:val="none" w:sz="0" w:space="0" w:color="auto"/>
        <w:left w:val="none" w:sz="0" w:space="0" w:color="auto"/>
        <w:bottom w:val="none" w:sz="0" w:space="0" w:color="auto"/>
        <w:right w:val="none" w:sz="0" w:space="0" w:color="auto"/>
      </w:divBdr>
    </w:div>
    <w:div w:id="689452913">
      <w:bodyDiv w:val="1"/>
      <w:marLeft w:val="0"/>
      <w:marRight w:val="0"/>
      <w:marTop w:val="0"/>
      <w:marBottom w:val="0"/>
      <w:divBdr>
        <w:top w:val="none" w:sz="0" w:space="0" w:color="auto"/>
        <w:left w:val="none" w:sz="0" w:space="0" w:color="auto"/>
        <w:bottom w:val="none" w:sz="0" w:space="0" w:color="auto"/>
        <w:right w:val="none" w:sz="0" w:space="0" w:color="auto"/>
      </w:divBdr>
    </w:div>
    <w:div w:id="692340195">
      <w:bodyDiv w:val="1"/>
      <w:marLeft w:val="0"/>
      <w:marRight w:val="0"/>
      <w:marTop w:val="0"/>
      <w:marBottom w:val="0"/>
      <w:divBdr>
        <w:top w:val="none" w:sz="0" w:space="0" w:color="auto"/>
        <w:left w:val="none" w:sz="0" w:space="0" w:color="auto"/>
        <w:bottom w:val="none" w:sz="0" w:space="0" w:color="auto"/>
        <w:right w:val="none" w:sz="0" w:space="0" w:color="auto"/>
      </w:divBdr>
    </w:div>
    <w:div w:id="705181572">
      <w:bodyDiv w:val="1"/>
      <w:marLeft w:val="0"/>
      <w:marRight w:val="0"/>
      <w:marTop w:val="0"/>
      <w:marBottom w:val="0"/>
      <w:divBdr>
        <w:top w:val="none" w:sz="0" w:space="0" w:color="auto"/>
        <w:left w:val="none" w:sz="0" w:space="0" w:color="auto"/>
        <w:bottom w:val="none" w:sz="0" w:space="0" w:color="auto"/>
        <w:right w:val="none" w:sz="0" w:space="0" w:color="auto"/>
      </w:divBdr>
    </w:div>
    <w:div w:id="718364410">
      <w:bodyDiv w:val="1"/>
      <w:marLeft w:val="0"/>
      <w:marRight w:val="0"/>
      <w:marTop w:val="0"/>
      <w:marBottom w:val="0"/>
      <w:divBdr>
        <w:top w:val="none" w:sz="0" w:space="0" w:color="auto"/>
        <w:left w:val="none" w:sz="0" w:space="0" w:color="auto"/>
        <w:bottom w:val="none" w:sz="0" w:space="0" w:color="auto"/>
        <w:right w:val="none" w:sz="0" w:space="0" w:color="auto"/>
      </w:divBdr>
    </w:div>
    <w:div w:id="726614763">
      <w:bodyDiv w:val="1"/>
      <w:marLeft w:val="0"/>
      <w:marRight w:val="0"/>
      <w:marTop w:val="0"/>
      <w:marBottom w:val="0"/>
      <w:divBdr>
        <w:top w:val="none" w:sz="0" w:space="0" w:color="auto"/>
        <w:left w:val="none" w:sz="0" w:space="0" w:color="auto"/>
        <w:bottom w:val="none" w:sz="0" w:space="0" w:color="auto"/>
        <w:right w:val="none" w:sz="0" w:space="0" w:color="auto"/>
      </w:divBdr>
    </w:div>
    <w:div w:id="729302672">
      <w:bodyDiv w:val="1"/>
      <w:marLeft w:val="0"/>
      <w:marRight w:val="0"/>
      <w:marTop w:val="0"/>
      <w:marBottom w:val="0"/>
      <w:divBdr>
        <w:top w:val="none" w:sz="0" w:space="0" w:color="auto"/>
        <w:left w:val="none" w:sz="0" w:space="0" w:color="auto"/>
        <w:bottom w:val="none" w:sz="0" w:space="0" w:color="auto"/>
        <w:right w:val="none" w:sz="0" w:space="0" w:color="auto"/>
      </w:divBdr>
    </w:div>
    <w:div w:id="744259476">
      <w:bodyDiv w:val="1"/>
      <w:marLeft w:val="0"/>
      <w:marRight w:val="0"/>
      <w:marTop w:val="0"/>
      <w:marBottom w:val="0"/>
      <w:divBdr>
        <w:top w:val="none" w:sz="0" w:space="0" w:color="auto"/>
        <w:left w:val="none" w:sz="0" w:space="0" w:color="auto"/>
        <w:bottom w:val="none" w:sz="0" w:space="0" w:color="auto"/>
        <w:right w:val="none" w:sz="0" w:space="0" w:color="auto"/>
      </w:divBdr>
    </w:div>
    <w:div w:id="808591916">
      <w:bodyDiv w:val="1"/>
      <w:marLeft w:val="0"/>
      <w:marRight w:val="0"/>
      <w:marTop w:val="0"/>
      <w:marBottom w:val="0"/>
      <w:divBdr>
        <w:top w:val="none" w:sz="0" w:space="0" w:color="auto"/>
        <w:left w:val="none" w:sz="0" w:space="0" w:color="auto"/>
        <w:bottom w:val="none" w:sz="0" w:space="0" w:color="auto"/>
        <w:right w:val="none" w:sz="0" w:space="0" w:color="auto"/>
      </w:divBdr>
    </w:div>
    <w:div w:id="809518391">
      <w:bodyDiv w:val="1"/>
      <w:marLeft w:val="0"/>
      <w:marRight w:val="0"/>
      <w:marTop w:val="0"/>
      <w:marBottom w:val="0"/>
      <w:divBdr>
        <w:top w:val="none" w:sz="0" w:space="0" w:color="auto"/>
        <w:left w:val="none" w:sz="0" w:space="0" w:color="auto"/>
        <w:bottom w:val="none" w:sz="0" w:space="0" w:color="auto"/>
        <w:right w:val="none" w:sz="0" w:space="0" w:color="auto"/>
      </w:divBdr>
    </w:div>
    <w:div w:id="816922733">
      <w:bodyDiv w:val="1"/>
      <w:marLeft w:val="0"/>
      <w:marRight w:val="0"/>
      <w:marTop w:val="0"/>
      <w:marBottom w:val="0"/>
      <w:divBdr>
        <w:top w:val="none" w:sz="0" w:space="0" w:color="auto"/>
        <w:left w:val="none" w:sz="0" w:space="0" w:color="auto"/>
        <w:bottom w:val="none" w:sz="0" w:space="0" w:color="auto"/>
        <w:right w:val="none" w:sz="0" w:space="0" w:color="auto"/>
      </w:divBdr>
    </w:div>
    <w:div w:id="824976876">
      <w:bodyDiv w:val="1"/>
      <w:marLeft w:val="0"/>
      <w:marRight w:val="0"/>
      <w:marTop w:val="0"/>
      <w:marBottom w:val="0"/>
      <w:divBdr>
        <w:top w:val="none" w:sz="0" w:space="0" w:color="auto"/>
        <w:left w:val="none" w:sz="0" w:space="0" w:color="auto"/>
        <w:bottom w:val="none" w:sz="0" w:space="0" w:color="auto"/>
        <w:right w:val="none" w:sz="0" w:space="0" w:color="auto"/>
      </w:divBdr>
    </w:div>
    <w:div w:id="829756315">
      <w:bodyDiv w:val="1"/>
      <w:marLeft w:val="0"/>
      <w:marRight w:val="0"/>
      <w:marTop w:val="0"/>
      <w:marBottom w:val="0"/>
      <w:divBdr>
        <w:top w:val="none" w:sz="0" w:space="0" w:color="auto"/>
        <w:left w:val="none" w:sz="0" w:space="0" w:color="auto"/>
        <w:bottom w:val="none" w:sz="0" w:space="0" w:color="auto"/>
        <w:right w:val="none" w:sz="0" w:space="0" w:color="auto"/>
      </w:divBdr>
    </w:div>
    <w:div w:id="859323086">
      <w:bodyDiv w:val="1"/>
      <w:marLeft w:val="0"/>
      <w:marRight w:val="0"/>
      <w:marTop w:val="0"/>
      <w:marBottom w:val="0"/>
      <w:divBdr>
        <w:top w:val="none" w:sz="0" w:space="0" w:color="auto"/>
        <w:left w:val="none" w:sz="0" w:space="0" w:color="auto"/>
        <w:bottom w:val="none" w:sz="0" w:space="0" w:color="auto"/>
        <w:right w:val="none" w:sz="0" w:space="0" w:color="auto"/>
      </w:divBdr>
    </w:div>
    <w:div w:id="887842556">
      <w:bodyDiv w:val="1"/>
      <w:marLeft w:val="0"/>
      <w:marRight w:val="0"/>
      <w:marTop w:val="0"/>
      <w:marBottom w:val="0"/>
      <w:divBdr>
        <w:top w:val="none" w:sz="0" w:space="0" w:color="auto"/>
        <w:left w:val="none" w:sz="0" w:space="0" w:color="auto"/>
        <w:bottom w:val="none" w:sz="0" w:space="0" w:color="auto"/>
        <w:right w:val="none" w:sz="0" w:space="0" w:color="auto"/>
      </w:divBdr>
    </w:div>
    <w:div w:id="890308770">
      <w:bodyDiv w:val="1"/>
      <w:marLeft w:val="0"/>
      <w:marRight w:val="0"/>
      <w:marTop w:val="0"/>
      <w:marBottom w:val="0"/>
      <w:divBdr>
        <w:top w:val="none" w:sz="0" w:space="0" w:color="auto"/>
        <w:left w:val="none" w:sz="0" w:space="0" w:color="auto"/>
        <w:bottom w:val="none" w:sz="0" w:space="0" w:color="auto"/>
        <w:right w:val="none" w:sz="0" w:space="0" w:color="auto"/>
      </w:divBdr>
    </w:div>
    <w:div w:id="892887321">
      <w:bodyDiv w:val="1"/>
      <w:marLeft w:val="0"/>
      <w:marRight w:val="0"/>
      <w:marTop w:val="0"/>
      <w:marBottom w:val="0"/>
      <w:divBdr>
        <w:top w:val="none" w:sz="0" w:space="0" w:color="auto"/>
        <w:left w:val="none" w:sz="0" w:space="0" w:color="auto"/>
        <w:bottom w:val="none" w:sz="0" w:space="0" w:color="auto"/>
        <w:right w:val="none" w:sz="0" w:space="0" w:color="auto"/>
      </w:divBdr>
    </w:div>
    <w:div w:id="894703129">
      <w:bodyDiv w:val="1"/>
      <w:marLeft w:val="0"/>
      <w:marRight w:val="0"/>
      <w:marTop w:val="0"/>
      <w:marBottom w:val="0"/>
      <w:divBdr>
        <w:top w:val="none" w:sz="0" w:space="0" w:color="auto"/>
        <w:left w:val="none" w:sz="0" w:space="0" w:color="auto"/>
        <w:bottom w:val="none" w:sz="0" w:space="0" w:color="auto"/>
        <w:right w:val="none" w:sz="0" w:space="0" w:color="auto"/>
      </w:divBdr>
    </w:div>
    <w:div w:id="910652402">
      <w:bodyDiv w:val="1"/>
      <w:marLeft w:val="0"/>
      <w:marRight w:val="0"/>
      <w:marTop w:val="0"/>
      <w:marBottom w:val="0"/>
      <w:divBdr>
        <w:top w:val="none" w:sz="0" w:space="0" w:color="auto"/>
        <w:left w:val="none" w:sz="0" w:space="0" w:color="auto"/>
        <w:bottom w:val="none" w:sz="0" w:space="0" w:color="auto"/>
        <w:right w:val="none" w:sz="0" w:space="0" w:color="auto"/>
      </w:divBdr>
    </w:div>
    <w:div w:id="916742165">
      <w:bodyDiv w:val="1"/>
      <w:marLeft w:val="0"/>
      <w:marRight w:val="0"/>
      <w:marTop w:val="0"/>
      <w:marBottom w:val="0"/>
      <w:divBdr>
        <w:top w:val="none" w:sz="0" w:space="0" w:color="auto"/>
        <w:left w:val="none" w:sz="0" w:space="0" w:color="auto"/>
        <w:bottom w:val="none" w:sz="0" w:space="0" w:color="auto"/>
        <w:right w:val="none" w:sz="0" w:space="0" w:color="auto"/>
      </w:divBdr>
    </w:div>
    <w:div w:id="931595198">
      <w:bodyDiv w:val="1"/>
      <w:marLeft w:val="0"/>
      <w:marRight w:val="0"/>
      <w:marTop w:val="0"/>
      <w:marBottom w:val="0"/>
      <w:divBdr>
        <w:top w:val="none" w:sz="0" w:space="0" w:color="auto"/>
        <w:left w:val="none" w:sz="0" w:space="0" w:color="auto"/>
        <w:bottom w:val="none" w:sz="0" w:space="0" w:color="auto"/>
        <w:right w:val="none" w:sz="0" w:space="0" w:color="auto"/>
      </w:divBdr>
    </w:div>
    <w:div w:id="934557737">
      <w:bodyDiv w:val="1"/>
      <w:marLeft w:val="0"/>
      <w:marRight w:val="0"/>
      <w:marTop w:val="0"/>
      <w:marBottom w:val="0"/>
      <w:divBdr>
        <w:top w:val="none" w:sz="0" w:space="0" w:color="auto"/>
        <w:left w:val="none" w:sz="0" w:space="0" w:color="auto"/>
        <w:bottom w:val="none" w:sz="0" w:space="0" w:color="auto"/>
        <w:right w:val="none" w:sz="0" w:space="0" w:color="auto"/>
      </w:divBdr>
    </w:div>
    <w:div w:id="946546332">
      <w:bodyDiv w:val="1"/>
      <w:marLeft w:val="0"/>
      <w:marRight w:val="0"/>
      <w:marTop w:val="0"/>
      <w:marBottom w:val="0"/>
      <w:divBdr>
        <w:top w:val="none" w:sz="0" w:space="0" w:color="auto"/>
        <w:left w:val="none" w:sz="0" w:space="0" w:color="auto"/>
        <w:bottom w:val="none" w:sz="0" w:space="0" w:color="auto"/>
        <w:right w:val="none" w:sz="0" w:space="0" w:color="auto"/>
      </w:divBdr>
    </w:div>
    <w:div w:id="948127664">
      <w:bodyDiv w:val="1"/>
      <w:marLeft w:val="0"/>
      <w:marRight w:val="0"/>
      <w:marTop w:val="0"/>
      <w:marBottom w:val="0"/>
      <w:divBdr>
        <w:top w:val="none" w:sz="0" w:space="0" w:color="auto"/>
        <w:left w:val="none" w:sz="0" w:space="0" w:color="auto"/>
        <w:bottom w:val="none" w:sz="0" w:space="0" w:color="auto"/>
        <w:right w:val="none" w:sz="0" w:space="0" w:color="auto"/>
      </w:divBdr>
    </w:div>
    <w:div w:id="949894974">
      <w:bodyDiv w:val="1"/>
      <w:marLeft w:val="0"/>
      <w:marRight w:val="0"/>
      <w:marTop w:val="0"/>
      <w:marBottom w:val="0"/>
      <w:divBdr>
        <w:top w:val="none" w:sz="0" w:space="0" w:color="auto"/>
        <w:left w:val="none" w:sz="0" w:space="0" w:color="auto"/>
        <w:bottom w:val="none" w:sz="0" w:space="0" w:color="auto"/>
        <w:right w:val="none" w:sz="0" w:space="0" w:color="auto"/>
      </w:divBdr>
    </w:div>
    <w:div w:id="956179665">
      <w:bodyDiv w:val="1"/>
      <w:marLeft w:val="0"/>
      <w:marRight w:val="0"/>
      <w:marTop w:val="0"/>
      <w:marBottom w:val="0"/>
      <w:divBdr>
        <w:top w:val="none" w:sz="0" w:space="0" w:color="auto"/>
        <w:left w:val="none" w:sz="0" w:space="0" w:color="auto"/>
        <w:bottom w:val="none" w:sz="0" w:space="0" w:color="auto"/>
        <w:right w:val="none" w:sz="0" w:space="0" w:color="auto"/>
      </w:divBdr>
    </w:div>
    <w:div w:id="991714783">
      <w:bodyDiv w:val="1"/>
      <w:marLeft w:val="0"/>
      <w:marRight w:val="0"/>
      <w:marTop w:val="0"/>
      <w:marBottom w:val="0"/>
      <w:divBdr>
        <w:top w:val="none" w:sz="0" w:space="0" w:color="auto"/>
        <w:left w:val="none" w:sz="0" w:space="0" w:color="auto"/>
        <w:bottom w:val="none" w:sz="0" w:space="0" w:color="auto"/>
        <w:right w:val="none" w:sz="0" w:space="0" w:color="auto"/>
      </w:divBdr>
    </w:div>
    <w:div w:id="1028333122">
      <w:bodyDiv w:val="1"/>
      <w:marLeft w:val="0"/>
      <w:marRight w:val="0"/>
      <w:marTop w:val="0"/>
      <w:marBottom w:val="0"/>
      <w:divBdr>
        <w:top w:val="none" w:sz="0" w:space="0" w:color="auto"/>
        <w:left w:val="none" w:sz="0" w:space="0" w:color="auto"/>
        <w:bottom w:val="none" w:sz="0" w:space="0" w:color="auto"/>
        <w:right w:val="none" w:sz="0" w:space="0" w:color="auto"/>
      </w:divBdr>
    </w:div>
    <w:div w:id="1046956171">
      <w:bodyDiv w:val="1"/>
      <w:marLeft w:val="0"/>
      <w:marRight w:val="0"/>
      <w:marTop w:val="0"/>
      <w:marBottom w:val="0"/>
      <w:divBdr>
        <w:top w:val="none" w:sz="0" w:space="0" w:color="auto"/>
        <w:left w:val="none" w:sz="0" w:space="0" w:color="auto"/>
        <w:bottom w:val="none" w:sz="0" w:space="0" w:color="auto"/>
        <w:right w:val="none" w:sz="0" w:space="0" w:color="auto"/>
      </w:divBdr>
    </w:div>
    <w:div w:id="1081369449">
      <w:bodyDiv w:val="1"/>
      <w:marLeft w:val="0"/>
      <w:marRight w:val="0"/>
      <w:marTop w:val="0"/>
      <w:marBottom w:val="0"/>
      <w:divBdr>
        <w:top w:val="none" w:sz="0" w:space="0" w:color="auto"/>
        <w:left w:val="none" w:sz="0" w:space="0" w:color="auto"/>
        <w:bottom w:val="none" w:sz="0" w:space="0" w:color="auto"/>
        <w:right w:val="none" w:sz="0" w:space="0" w:color="auto"/>
      </w:divBdr>
    </w:div>
    <w:div w:id="1094011786">
      <w:bodyDiv w:val="1"/>
      <w:marLeft w:val="0"/>
      <w:marRight w:val="0"/>
      <w:marTop w:val="0"/>
      <w:marBottom w:val="0"/>
      <w:divBdr>
        <w:top w:val="none" w:sz="0" w:space="0" w:color="auto"/>
        <w:left w:val="none" w:sz="0" w:space="0" w:color="auto"/>
        <w:bottom w:val="none" w:sz="0" w:space="0" w:color="auto"/>
        <w:right w:val="none" w:sz="0" w:space="0" w:color="auto"/>
      </w:divBdr>
    </w:div>
    <w:div w:id="1110591201">
      <w:bodyDiv w:val="1"/>
      <w:marLeft w:val="0"/>
      <w:marRight w:val="0"/>
      <w:marTop w:val="0"/>
      <w:marBottom w:val="0"/>
      <w:divBdr>
        <w:top w:val="none" w:sz="0" w:space="0" w:color="auto"/>
        <w:left w:val="none" w:sz="0" w:space="0" w:color="auto"/>
        <w:bottom w:val="none" w:sz="0" w:space="0" w:color="auto"/>
        <w:right w:val="none" w:sz="0" w:space="0" w:color="auto"/>
      </w:divBdr>
    </w:div>
    <w:div w:id="1145584112">
      <w:bodyDiv w:val="1"/>
      <w:marLeft w:val="0"/>
      <w:marRight w:val="0"/>
      <w:marTop w:val="0"/>
      <w:marBottom w:val="0"/>
      <w:divBdr>
        <w:top w:val="none" w:sz="0" w:space="0" w:color="auto"/>
        <w:left w:val="none" w:sz="0" w:space="0" w:color="auto"/>
        <w:bottom w:val="none" w:sz="0" w:space="0" w:color="auto"/>
        <w:right w:val="none" w:sz="0" w:space="0" w:color="auto"/>
      </w:divBdr>
    </w:div>
    <w:div w:id="1167212364">
      <w:bodyDiv w:val="1"/>
      <w:marLeft w:val="0"/>
      <w:marRight w:val="0"/>
      <w:marTop w:val="0"/>
      <w:marBottom w:val="0"/>
      <w:divBdr>
        <w:top w:val="none" w:sz="0" w:space="0" w:color="auto"/>
        <w:left w:val="none" w:sz="0" w:space="0" w:color="auto"/>
        <w:bottom w:val="none" w:sz="0" w:space="0" w:color="auto"/>
        <w:right w:val="none" w:sz="0" w:space="0" w:color="auto"/>
      </w:divBdr>
    </w:div>
    <w:div w:id="1188712760">
      <w:bodyDiv w:val="1"/>
      <w:marLeft w:val="0"/>
      <w:marRight w:val="0"/>
      <w:marTop w:val="0"/>
      <w:marBottom w:val="0"/>
      <w:divBdr>
        <w:top w:val="none" w:sz="0" w:space="0" w:color="auto"/>
        <w:left w:val="none" w:sz="0" w:space="0" w:color="auto"/>
        <w:bottom w:val="none" w:sz="0" w:space="0" w:color="auto"/>
        <w:right w:val="none" w:sz="0" w:space="0" w:color="auto"/>
      </w:divBdr>
    </w:div>
    <w:div w:id="1203175680">
      <w:bodyDiv w:val="1"/>
      <w:marLeft w:val="0"/>
      <w:marRight w:val="0"/>
      <w:marTop w:val="0"/>
      <w:marBottom w:val="0"/>
      <w:divBdr>
        <w:top w:val="none" w:sz="0" w:space="0" w:color="auto"/>
        <w:left w:val="none" w:sz="0" w:space="0" w:color="auto"/>
        <w:bottom w:val="none" w:sz="0" w:space="0" w:color="auto"/>
        <w:right w:val="none" w:sz="0" w:space="0" w:color="auto"/>
      </w:divBdr>
    </w:div>
    <w:div w:id="1211961957">
      <w:bodyDiv w:val="1"/>
      <w:marLeft w:val="0"/>
      <w:marRight w:val="0"/>
      <w:marTop w:val="0"/>
      <w:marBottom w:val="0"/>
      <w:divBdr>
        <w:top w:val="none" w:sz="0" w:space="0" w:color="auto"/>
        <w:left w:val="none" w:sz="0" w:space="0" w:color="auto"/>
        <w:bottom w:val="none" w:sz="0" w:space="0" w:color="auto"/>
        <w:right w:val="none" w:sz="0" w:space="0" w:color="auto"/>
      </w:divBdr>
    </w:div>
    <w:div w:id="1273632581">
      <w:bodyDiv w:val="1"/>
      <w:marLeft w:val="0"/>
      <w:marRight w:val="0"/>
      <w:marTop w:val="0"/>
      <w:marBottom w:val="0"/>
      <w:divBdr>
        <w:top w:val="none" w:sz="0" w:space="0" w:color="auto"/>
        <w:left w:val="none" w:sz="0" w:space="0" w:color="auto"/>
        <w:bottom w:val="none" w:sz="0" w:space="0" w:color="auto"/>
        <w:right w:val="none" w:sz="0" w:space="0" w:color="auto"/>
      </w:divBdr>
    </w:div>
    <w:div w:id="1280836182">
      <w:bodyDiv w:val="1"/>
      <w:marLeft w:val="0"/>
      <w:marRight w:val="0"/>
      <w:marTop w:val="0"/>
      <w:marBottom w:val="0"/>
      <w:divBdr>
        <w:top w:val="none" w:sz="0" w:space="0" w:color="auto"/>
        <w:left w:val="none" w:sz="0" w:space="0" w:color="auto"/>
        <w:bottom w:val="none" w:sz="0" w:space="0" w:color="auto"/>
        <w:right w:val="none" w:sz="0" w:space="0" w:color="auto"/>
      </w:divBdr>
    </w:div>
    <w:div w:id="1294797491">
      <w:bodyDiv w:val="1"/>
      <w:marLeft w:val="0"/>
      <w:marRight w:val="0"/>
      <w:marTop w:val="0"/>
      <w:marBottom w:val="0"/>
      <w:divBdr>
        <w:top w:val="none" w:sz="0" w:space="0" w:color="auto"/>
        <w:left w:val="none" w:sz="0" w:space="0" w:color="auto"/>
        <w:bottom w:val="none" w:sz="0" w:space="0" w:color="auto"/>
        <w:right w:val="none" w:sz="0" w:space="0" w:color="auto"/>
      </w:divBdr>
    </w:div>
    <w:div w:id="1295671209">
      <w:bodyDiv w:val="1"/>
      <w:marLeft w:val="0"/>
      <w:marRight w:val="0"/>
      <w:marTop w:val="0"/>
      <w:marBottom w:val="0"/>
      <w:divBdr>
        <w:top w:val="none" w:sz="0" w:space="0" w:color="auto"/>
        <w:left w:val="none" w:sz="0" w:space="0" w:color="auto"/>
        <w:bottom w:val="none" w:sz="0" w:space="0" w:color="auto"/>
        <w:right w:val="none" w:sz="0" w:space="0" w:color="auto"/>
      </w:divBdr>
    </w:div>
    <w:div w:id="1323850216">
      <w:bodyDiv w:val="1"/>
      <w:marLeft w:val="0"/>
      <w:marRight w:val="0"/>
      <w:marTop w:val="0"/>
      <w:marBottom w:val="0"/>
      <w:divBdr>
        <w:top w:val="none" w:sz="0" w:space="0" w:color="auto"/>
        <w:left w:val="none" w:sz="0" w:space="0" w:color="auto"/>
        <w:bottom w:val="none" w:sz="0" w:space="0" w:color="auto"/>
        <w:right w:val="none" w:sz="0" w:space="0" w:color="auto"/>
      </w:divBdr>
    </w:div>
    <w:div w:id="1342203546">
      <w:bodyDiv w:val="1"/>
      <w:marLeft w:val="0"/>
      <w:marRight w:val="0"/>
      <w:marTop w:val="0"/>
      <w:marBottom w:val="0"/>
      <w:divBdr>
        <w:top w:val="none" w:sz="0" w:space="0" w:color="auto"/>
        <w:left w:val="none" w:sz="0" w:space="0" w:color="auto"/>
        <w:bottom w:val="none" w:sz="0" w:space="0" w:color="auto"/>
        <w:right w:val="none" w:sz="0" w:space="0" w:color="auto"/>
      </w:divBdr>
    </w:div>
    <w:div w:id="1344279322">
      <w:bodyDiv w:val="1"/>
      <w:marLeft w:val="0"/>
      <w:marRight w:val="0"/>
      <w:marTop w:val="0"/>
      <w:marBottom w:val="0"/>
      <w:divBdr>
        <w:top w:val="none" w:sz="0" w:space="0" w:color="auto"/>
        <w:left w:val="none" w:sz="0" w:space="0" w:color="auto"/>
        <w:bottom w:val="none" w:sz="0" w:space="0" w:color="auto"/>
        <w:right w:val="none" w:sz="0" w:space="0" w:color="auto"/>
      </w:divBdr>
    </w:div>
    <w:div w:id="1347171122">
      <w:bodyDiv w:val="1"/>
      <w:marLeft w:val="0"/>
      <w:marRight w:val="0"/>
      <w:marTop w:val="0"/>
      <w:marBottom w:val="0"/>
      <w:divBdr>
        <w:top w:val="none" w:sz="0" w:space="0" w:color="auto"/>
        <w:left w:val="none" w:sz="0" w:space="0" w:color="auto"/>
        <w:bottom w:val="none" w:sz="0" w:space="0" w:color="auto"/>
        <w:right w:val="none" w:sz="0" w:space="0" w:color="auto"/>
      </w:divBdr>
    </w:div>
    <w:div w:id="136409620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39566373">
      <w:bodyDiv w:val="1"/>
      <w:marLeft w:val="0"/>
      <w:marRight w:val="0"/>
      <w:marTop w:val="0"/>
      <w:marBottom w:val="0"/>
      <w:divBdr>
        <w:top w:val="none" w:sz="0" w:space="0" w:color="auto"/>
        <w:left w:val="none" w:sz="0" w:space="0" w:color="auto"/>
        <w:bottom w:val="none" w:sz="0" w:space="0" w:color="auto"/>
        <w:right w:val="none" w:sz="0" w:space="0" w:color="auto"/>
      </w:divBdr>
    </w:div>
    <w:div w:id="1476989616">
      <w:bodyDiv w:val="1"/>
      <w:marLeft w:val="0"/>
      <w:marRight w:val="0"/>
      <w:marTop w:val="0"/>
      <w:marBottom w:val="0"/>
      <w:divBdr>
        <w:top w:val="none" w:sz="0" w:space="0" w:color="auto"/>
        <w:left w:val="none" w:sz="0" w:space="0" w:color="auto"/>
        <w:bottom w:val="none" w:sz="0" w:space="0" w:color="auto"/>
        <w:right w:val="none" w:sz="0" w:space="0" w:color="auto"/>
      </w:divBdr>
    </w:div>
    <w:div w:id="1506822030">
      <w:bodyDiv w:val="1"/>
      <w:marLeft w:val="0"/>
      <w:marRight w:val="0"/>
      <w:marTop w:val="0"/>
      <w:marBottom w:val="0"/>
      <w:divBdr>
        <w:top w:val="none" w:sz="0" w:space="0" w:color="auto"/>
        <w:left w:val="none" w:sz="0" w:space="0" w:color="auto"/>
        <w:bottom w:val="none" w:sz="0" w:space="0" w:color="auto"/>
        <w:right w:val="none" w:sz="0" w:space="0" w:color="auto"/>
      </w:divBdr>
    </w:div>
    <w:div w:id="1522086707">
      <w:bodyDiv w:val="1"/>
      <w:marLeft w:val="0"/>
      <w:marRight w:val="0"/>
      <w:marTop w:val="0"/>
      <w:marBottom w:val="0"/>
      <w:divBdr>
        <w:top w:val="none" w:sz="0" w:space="0" w:color="auto"/>
        <w:left w:val="none" w:sz="0" w:space="0" w:color="auto"/>
        <w:bottom w:val="none" w:sz="0" w:space="0" w:color="auto"/>
        <w:right w:val="none" w:sz="0" w:space="0" w:color="auto"/>
      </w:divBdr>
    </w:div>
    <w:div w:id="1562978356">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00866147">
      <w:bodyDiv w:val="1"/>
      <w:marLeft w:val="0"/>
      <w:marRight w:val="0"/>
      <w:marTop w:val="0"/>
      <w:marBottom w:val="0"/>
      <w:divBdr>
        <w:top w:val="none" w:sz="0" w:space="0" w:color="auto"/>
        <w:left w:val="none" w:sz="0" w:space="0" w:color="auto"/>
        <w:bottom w:val="none" w:sz="0" w:space="0" w:color="auto"/>
        <w:right w:val="none" w:sz="0" w:space="0" w:color="auto"/>
      </w:divBdr>
    </w:div>
    <w:div w:id="1622951995">
      <w:bodyDiv w:val="1"/>
      <w:marLeft w:val="0"/>
      <w:marRight w:val="0"/>
      <w:marTop w:val="0"/>
      <w:marBottom w:val="0"/>
      <w:divBdr>
        <w:top w:val="none" w:sz="0" w:space="0" w:color="auto"/>
        <w:left w:val="none" w:sz="0" w:space="0" w:color="auto"/>
        <w:bottom w:val="none" w:sz="0" w:space="0" w:color="auto"/>
        <w:right w:val="none" w:sz="0" w:space="0" w:color="auto"/>
      </w:divBdr>
    </w:div>
    <w:div w:id="1623686367">
      <w:bodyDiv w:val="1"/>
      <w:marLeft w:val="0"/>
      <w:marRight w:val="0"/>
      <w:marTop w:val="0"/>
      <w:marBottom w:val="0"/>
      <w:divBdr>
        <w:top w:val="none" w:sz="0" w:space="0" w:color="auto"/>
        <w:left w:val="none" w:sz="0" w:space="0" w:color="auto"/>
        <w:bottom w:val="none" w:sz="0" w:space="0" w:color="auto"/>
        <w:right w:val="none" w:sz="0" w:space="0" w:color="auto"/>
      </w:divBdr>
    </w:div>
    <w:div w:id="1647397664">
      <w:bodyDiv w:val="1"/>
      <w:marLeft w:val="0"/>
      <w:marRight w:val="0"/>
      <w:marTop w:val="0"/>
      <w:marBottom w:val="0"/>
      <w:divBdr>
        <w:top w:val="none" w:sz="0" w:space="0" w:color="auto"/>
        <w:left w:val="none" w:sz="0" w:space="0" w:color="auto"/>
        <w:bottom w:val="none" w:sz="0" w:space="0" w:color="auto"/>
        <w:right w:val="none" w:sz="0" w:space="0" w:color="auto"/>
      </w:divBdr>
    </w:div>
    <w:div w:id="1658723825">
      <w:bodyDiv w:val="1"/>
      <w:marLeft w:val="0"/>
      <w:marRight w:val="0"/>
      <w:marTop w:val="0"/>
      <w:marBottom w:val="0"/>
      <w:divBdr>
        <w:top w:val="none" w:sz="0" w:space="0" w:color="auto"/>
        <w:left w:val="none" w:sz="0" w:space="0" w:color="auto"/>
        <w:bottom w:val="none" w:sz="0" w:space="0" w:color="auto"/>
        <w:right w:val="none" w:sz="0" w:space="0" w:color="auto"/>
      </w:divBdr>
    </w:div>
    <w:div w:id="1681589253">
      <w:bodyDiv w:val="1"/>
      <w:marLeft w:val="0"/>
      <w:marRight w:val="0"/>
      <w:marTop w:val="0"/>
      <w:marBottom w:val="0"/>
      <w:divBdr>
        <w:top w:val="none" w:sz="0" w:space="0" w:color="auto"/>
        <w:left w:val="none" w:sz="0" w:space="0" w:color="auto"/>
        <w:bottom w:val="none" w:sz="0" w:space="0" w:color="auto"/>
        <w:right w:val="none" w:sz="0" w:space="0" w:color="auto"/>
      </w:divBdr>
    </w:div>
    <w:div w:id="1690181853">
      <w:bodyDiv w:val="1"/>
      <w:marLeft w:val="0"/>
      <w:marRight w:val="0"/>
      <w:marTop w:val="0"/>
      <w:marBottom w:val="0"/>
      <w:divBdr>
        <w:top w:val="none" w:sz="0" w:space="0" w:color="auto"/>
        <w:left w:val="none" w:sz="0" w:space="0" w:color="auto"/>
        <w:bottom w:val="none" w:sz="0" w:space="0" w:color="auto"/>
        <w:right w:val="none" w:sz="0" w:space="0" w:color="auto"/>
      </w:divBdr>
    </w:div>
    <w:div w:id="1695763851">
      <w:bodyDiv w:val="1"/>
      <w:marLeft w:val="0"/>
      <w:marRight w:val="0"/>
      <w:marTop w:val="0"/>
      <w:marBottom w:val="0"/>
      <w:divBdr>
        <w:top w:val="none" w:sz="0" w:space="0" w:color="auto"/>
        <w:left w:val="none" w:sz="0" w:space="0" w:color="auto"/>
        <w:bottom w:val="none" w:sz="0" w:space="0" w:color="auto"/>
        <w:right w:val="none" w:sz="0" w:space="0" w:color="auto"/>
      </w:divBdr>
    </w:div>
    <w:div w:id="1706829123">
      <w:bodyDiv w:val="1"/>
      <w:marLeft w:val="0"/>
      <w:marRight w:val="0"/>
      <w:marTop w:val="0"/>
      <w:marBottom w:val="0"/>
      <w:divBdr>
        <w:top w:val="none" w:sz="0" w:space="0" w:color="auto"/>
        <w:left w:val="none" w:sz="0" w:space="0" w:color="auto"/>
        <w:bottom w:val="none" w:sz="0" w:space="0" w:color="auto"/>
        <w:right w:val="none" w:sz="0" w:space="0" w:color="auto"/>
      </w:divBdr>
    </w:div>
    <w:div w:id="1711568539">
      <w:bodyDiv w:val="1"/>
      <w:marLeft w:val="0"/>
      <w:marRight w:val="0"/>
      <w:marTop w:val="0"/>
      <w:marBottom w:val="0"/>
      <w:divBdr>
        <w:top w:val="none" w:sz="0" w:space="0" w:color="auto"/>
        <w:left w:val="none" w:sz="0" w:space="0" w:color="auto"/>
        <w:bottom w:val="none" w:sz="0" w:space="0" w:color="auto"/>
        <w:right w:val="none" w:sz="0" w:space="0" w:color="auto"/>
      </w:divBdr>
    </w:div>
    <w:div w:id="1724937804">
      <w:bodyDiv w:val="1"/>
      <w:marLeft w:val="0"/>
      <w:marRight w:val="0"/>
      <w:marTop w:val="0"/>
      <w:marBottom w:val="0"/>
      <w:divBdr>
        <w:top w:val="none" w:sz="0" w:space="0" w:color="auto"/>
        <w:left w:val="none" w:sz="0" w:space="0" w:color="auto"/>
        <w:bottom w:val="none" w:sz="0" w:space="0" w:color="auto"/>
        <w:right w:val="none" w:sz="0" w:space="0" w:color="auto"/>
      </w:divBdr>
    </w:div>
    <w:div w:id="1727679549">
      <w:bodyDiv w:val="1"/>
      <w:marLeft w:val="0"/>
      <w:marRight w:val="0"/>
      <w:marTop w:val="0"/>
      <w:marBottom w:val="0"/>
      <w:divBdr>
        <w:top w:val="none" w:sz="0" w:space="0" w:color="auto"/>
        <w:left w:val="none" w:sz="0" w:space="0" w:color="auto"/>
        <w:bottom w:val="none" w:sz="0" w:space="0" w:color="auto"/>
        <w:right w:val="none" w:sz="0" w:space="0" w:color="auto"/>
      </w:divBdr>
    </w:div>
    <w:div w:id="1744377242">
      <w:bodyDiv w:val="1"/>
      <w:marLeft w:val="0"/>
      <w:marRight w:val="0"/>
      <w:marTop w:val="0"/>
      <w:marBottom w:val="0"/>
      <w:divBdr>
        <w:top w:val="none" w:sz="0" w:space="0" w:color="auto"/>
        <w:left w:val="none" w:sz="0" w:space="0" w:color="auto"/>
        <w:bottom w:val="none" w:sz="0" w:space="0" w:color="auto"/>
        <w:right w:val="none" w:sz="0" w:space="0" w:color="auto"/>
      </w:divBdr>
    </w:div>
    <w:div w:id="1749422965">
      <w:bodyDiv w:val="1"/>
      <w:marLeft w:val="0"/>
      <w:marRight w:val="0"/>
      <w:marTop w:val="0"/>
      <w:marBottom w:val="0"/>
      <w:divBdr>
        <w:top w:val="none" w:sz="0" w:space="0" w:color="auto"/>
        <w:left w:val="none" w:sz="0" w:space="0" w:color="auto"/>
        <w:bottom w:val="none" w:sz="0" w:space="0" w:color="auto"/>
        <w:right w:val="none" w:sz="0" w:space="0" w:color="auto"/>
      </w:divBdr>
    </w:div>
    <w:div w:id="1751846322">
      <w:bodyDiv w:val="1"/>
      <w:marLeft w:val="0"/>
      <w:marRight w:val="0"/>
      <w:marTop w:val="0"/>
      <w:marBottom w:val="0"/>
      <w:divBdr>
        <w:top w:val="none" w:sz="0" w:space="0" w:color="auto"/>
        <w:left w:val="none" w:sz="0" w:space="0" w:color="auto"/>
        <w:bottom w:val="none" w:sz="0" w:space="0" w:color="auto"/>
        <w:right w:val="none" w:sz="0" w:space="0" w:color="auto"/>
      </w:divBdr>
    </w:div>
    <w:div w:id="1752434519">
      <w:bodyDiv w:val="1"/>
      <w:marLeft w:val="0"/>
      <w:marRight w:val="0"/>
      <w:marTop w:val="0"/>
      <w:marBottom w:val="0"/>
      <w:divBdr>
        <w:top w:val="none" w:sz="0" w:space="0" w:color="auto"/>
        <w:left w:val="none" w:sz="0" w:space="0" w:color="auto"/>
        <w:bottom w:val="none" w:sz="0" w:space="0" w:color="auto"/>
        <w:right w:val="none" w:sz="0" w:space="0" w:color="auto"/>
      </w:divBdr>
    </w:div>
    <w:div w:id="1767118245">
      <w:bodyDiv w:val="1"/>
      <w:marLeft w:val="0"/>
      <w:marRight w:val="0"/>
      <w:marTop w:val="0"/>
      <w:marBottom w:val="0"/>
      <w:divBdr>
        <w:top w:val="none" w:sz="0" w:space="0" w:color="auto"/>
        <w:left w:val="none" w:sz="0" w:space="0" w:color="auto"/>
        <w:bottom w:val="none" w:sz="0" w:space="0" w:color="auto"/>
        <w:right w:val="none" w:sz="0" w:space="0" w:color="auto"/>
      </w:divBdr>
    </w:div>
    <w:div w:id="1772048426">
      <w:bodyDiv w:val="1"/>
      <w:marLeft w:val="0"/>
      <w:marRight w:val="0"/>
      <w:marTop w:val="0"/>
      <w:marBottom w:val="0"/>
      <w:divBdr>
        <w:top w:val="none" w:sz="0" w:space="0" w:color="auto"/>
        <w:left w:val="none" w:sz="0" w:space="0" w:color="auto"/>
        <w:bottom w:val="none" w:sz="0" w:space="0" w:color="auto"/>
        <w:right w:val="none" w:sz="0" w:space="0" w:color="auto"/>
      </w:divBdr>
    </w:div>
    <w:div w:id="1790203713">
      <w:bodyDiv w:val="1"/>
      <w:marLeft w:val="0"/>
      <w:marRight w:val="0"/>
      <w:marTop w:val="0"/>
      <w:marBottom w:val="0"/>
      <w:divBdr>
        <w:top w:val="none" w:sz="0" w:space="0" w:color="auto"/>
        <w:left w:val="none" w:sz="0" w:space="0" w:color="auto"/>
        <w:bottom w:val="none" w:sz="0" w:space="0" w:color="auto"/>
        <w:right w:val="none" w:sz="0" w:space="0" w:color="auto"/>
      </w:divBdr>
    </w:div>
    <w:div w:id="1797210586">
      <w:bodyDiv w:val="1"/>
      <w:marLeft w:val="0"/>
      <w:marRight w:val="0"/>
      <w:marTop w:val="0"/>
      <w:marBottom w:val="0"/>
      <w:divBdr>
        <w:top w:val="none" w:sz="0" w:space="0" w:color="auto"/>
        <w:left w:val="none" w:sz="0" w:space="0" w:color="auto"/>
        <w:bottom w:val="none" w:sz="0" w:space="0" w:color="auto"/>
        <w:right w:val="none" w:sz="0" w:space="0" w:color="auto"/>
      </w:divBdr>
    </w:div>
    <w:div w:id="1832938851">
      <w:bodyDiv w:val="1"/>
      <w:marLeft w:val="0"/>
      <w:marRight w:val="0"/>
      <w:marTop w:val="0"/>
      <w:marBottom w:val="0"/>
      <w:divBdr>
        <w:top w:val="none" w:sz="0" w:space="0" w:color="auto"/>
        <w:left w:val="none" w:sz="0" w:space="0" w:color="auto"/>
        <w:bottom w:val="none" w:sz="0" w:space="0" w:color="auto"/>
        <w:right w:val="none" w:sz="0" w:space="0" w:color="auto"/>
      </w:divBdr>
    </w:div>
    <w:div w:id="1849059297">
      <w:bodyDiv w:val="1"/>
      <w:marLeft w:val="0"/>
      <w:marRight w:val="0"/>
      <w:marTop w:val="0"/>
      <w:marBottom w:val="0"/>
      <w:divBdr>
        <w:top w:val="none" w:sz="0" w:space="0" w:color="auto"/>
        <w:left w:val="none" w:sz="0" w:space="0" w:color="auto"/>
        <w:bottom w:val="none" w:sz="0" w:space="0" w:color="auto"/>
        <w:right w:val="none" w:sz="0" w:space="0" w:color="auto"/>
      </w:divBdr>
    </w:div>
    <w:div w:id="1865559744">
      <w:bodyDiv w:val="1"/>
      <w:marLeft w:val="0"/>
      <w:marRight w:val="0"/>
      <w:marTop w:val="0"/>
      <w:marBottom w:val="0"/>
      <w:divBdr>
        <w:top w:val="none" w:sz="0" w:space="0" w:color="auto"/>
        <w:left w:val="none" w:sz="0" w:space="0" w:color="auto"/>
        <w:bottom w:val="none" w:sz="0" w:space="0" w:color="auto"/>
        <w:right w:val="none" w:sz="0" w:space="0" w:color="auto"/>
      </w:divBdr>
    </w:div>
    <w:div w:id="1870412277">
      <w:bodyDiv w:val="1"/>
      <w:marLeft w:val="0"/>
      <w:marRight w:val="0"/>
      <w:marTop w:val="0"/>
      <w:marBottom w:val="0"/>
      <w:divBdr>
        <w:top w:val="none" w:sz="0" w:space="0" w:color="auto"/>
        <w:left w:val="none" w:sz="0" w:space="0" w:color="auto"/>
        <w:bottom w:val="none" w:sz="0" w:space="0" w:color="auto"/>
        <w:right w:val="none" w:sz="0" w:space="0" w:color="auto"/>
      </w:divBdr>
    </w:div>
    <w:div w:id="1886982965">
      <w:bodyDiv w:val="1"/>
      <w:marLeft w:val="0"/>
      <w:marRight w:val="0"/>
      <w:marTop w:val="0"/>
      <w:marBottom w:val="0"/>
      <w:divBdr>
        <w:top w:val="none" w:sz="0" w:space="0" w:color="auto"/>
        <w:left w:val="none" w:sz="0" w:space="0" w:color="auto"/>
        <w:bottom w:val="none" w:sz="0" w:space="0" w:color="auto"/>
        <w:right w:val="none" w:sz="0" w:space="0" w:color="auto"/>
      </w:divBdr>
    </w:div>
    <w:div w:id="19020159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52010197">
      <w:bodyDiv w:val="1"/>
      <w:marLeft w:val="0"/>
      <w:marRight w:val="0"/>
      <w:marTop w:val="0"/>
      <w:marBottom w:val="0"/>
      <w:divBdr>
        <w:top w:val="none" w:sz="0" w:space="0" w:color="auto"/>
        <w:left w:val="none" w:sz="0" w:space="0" w:color="auto"/>
        <w:bottom w:val="none" w:sz="0" w:space="0" w:color="auto"/>
        <w:right w:val="none" w:sz="0" w:space="0" w:color="auto"/>
      </w:divBdr>
    </w:div>
    <w:div w:id="1971590214">
      <w:bodyDiv w:val="1"/>
      <w:marLeft w:val="0"/>
      <w:marRight w:val="0"/>
      <w:marTop w:val="0"/>
      <w:marBottom w:val="0"/>
      <w:divBdr>
        <w:top w:val="none" w:sz="0" w:space="0" w:color="auto"/>
        <w:left w:val="none" w:sz="0" w:space="0" w:color="auto"/>
        <w:bottom w:val="none" w:sz="0" w:space="0" w:color="auto"/>
        <w:right w:val="none" w:sz="0" w:space="0" w:color="auto"/>
      </w:divBdr>
    </w:div>
    <w:div w:id="2014792257">
      <w:bodyDiv w:val="1"/>
      <w:marLeft w:val="0"/>
      <w:marRight w:val="0"/>
      <w:marTop w:val="0"/>
      <w:marBottom w:val="0"/>
      <w:divBdr>
        <w:top w:val="none" w:sz="0" w:space="0" w:color="auto"/>
        <w:left w:val="none" w:sz="0" w:space="0" w:color="auto"/>
        <w:bottom w:val="none" w:sz="0" w:space="0" w:color="auto"/>
        <w:right w:val="none" w:sz="0" w:space="0" w:color="auto"/>
      </w:divBdr>
    </w:div>
    <w:div w:id="2023319995">
      <w:bodyDiv w:val="1"/>
      <w:marLeft w:val="0"/>
      <w:marRight w:val="0"/>
      <w:marTop w:val="0"/>
      <w:marBottom w:val="0"/>
      <w:divBdr>
        <w:top w:val="none" w:sz="0" w:space="0" w:color="auto"/>
        <w:left w:val="none" w:sz="0" w:space="0" w:color="auto"/>
        <w:bottom w:val="none" w:sz="0" w:space="0" w:color="auto"/>
        <w:right w:val="none" w:sz="0" w:space="0" w:color="auto"/>
      </w:divBdr>
    </w:div>
    <w:div w:id="2072389867">
      <w:bodyDiv w:val="1"/>
      <w:marLeft w:val="0"/>
      <w:marRight w:val="0"/>
      <w:marTop w:val="0"/>
      <w:marBottom w:val="0"/>
      <w:divBdr>
        <w:top w:val="none" w:sz="0" w:space="0" w:color="auto"/>
        <w:left w:val="none" w:sz="0" w:space="0" w:color="auto"/>
        <w:bottom w:val="none" w:sz="0" w:space="0" w:color="auto"/>
        <w:right w:val="none" w:sz="0" w:space="0" w:color="auto"/>
      </w:divBdr>
    </w:div>
    <w:div w:id="2076465944">
      <w:bodyDiv w:val="1"/>
      <w:marLeft w:val="0"/>
      <w:marRight w:val="0"/>
      <w:marTop w:val="0"/>
      <w:marBottom w:val="0"/>
      <w:divBdr>
        <w:top w:val="none" w:sz="0" w:space="0" w:color="auto"/>
        <w:left w:val="none" w:sz="0" w:space="0" w:color="auto"/>
        <w:bottom w:val="none" w:sz="0" w:space="0" w:color="auto"/>
        <w:right w:val="none" w:sz="0" w:space="0" w:color="auto"/>
      </w:divBdr>
    </w:div>
    <w:div w:id="2088649158">
      <w:bodyDiv w:val="1"/>
      <w:marLeft w:val="0"/>
      <w:marRight w:val="0"/>
      <w:marTop w:val="0"/>
      <w:marBottom w:val="0"/>
      <w:divBdr>
        <w:top w:val="none" w:sz="0" w:space="0" w:color="auto"/>
        <w:left w:val="none" w:sz="0" w:space="0" w:color="auto"/>
        <w:bottom w:val="none" w:sz="0" w:space="0" w:color="auto"/>
        <w:right w:val="none" w:sz="0" w:space="0" w:color="auto"/>
      </w:divBdr>
    </w:div>
    <w:div w:id="2131707685">
      <w:bodyDiv w:val="1"/>
      <w:marLeft w:val="0"/>
      <w:marRight w:val="0"/>
      <w:marTop w:val="0"/>
      <w:marBottom w:val="0"/>
      <w:divBdr>
        <w:top w:val="none" w:sz="0" w:space="0" w:color="auto"/>
        <w:left w:val="none" w:sz="0" w:space="0" w:color="auto"/>
        <w:bottom w:val="none" w:sz="0" w:space="0" w:color="auto"/>
        <w:right w:val="none" w:sz="0" w:space="0" w:color="auto"/>
      </w:divBdr>
    </w:div>
    <w:div w:id="2133667073">
      <w:bodyDiv w:val="1"/>
      <w:marLeft w:val="0"/>
      <w:marRight w:val="0"/>
      <w:marTop w:val="0"/>
      <w:marBottom w:val="0"/>
      <w:divBdr>
        <w:top w:val="none" w:sz="0" w:space="0" w:color="auto"/>
        <w:left w:val="none" w:sz="0" w:space="0" w:color="auto"/>
        <w:bottom w:val="none" w:sz="0" w:space="0" w:color="auto"/>
        <w:right w:val="none" w:sz="0" w:space="0" w:color="auto"/>
      </w:divBdr>
    </w:div>
    <w:div w:id="2139298489">
      <w:bodyDiv w:val="1"/>
      <w:marLeft w:val="0"/>
      <w:marRight w:val="0"/>
      <w:marTop w:val="0"/>
      <w:marBottom w:val="0"/>
      <w:divBdr>
        <w:top w:val="none" w:sz="0" w:space="0" w:color="auto"/>
        <w:left w:val="none" w:sz="0" w:space="0" w:color="auto"/>
        <w:bottom w:val="none" w:sz="0" w:space="0" w:color="auto"/>
        <w:right w:val="none" w:sz="0" w:space="0" w:color="auto"/>
      </w:divBdr>
    </w:div>
    <w:div w:id="2144809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chart" Target="charts/chart1.xml"/><Relationship Id="rId39" Type="http://schemas.openxmlformats.org/officeDocument/2006/relationships/header" Target="header11.xml"/><Relationship Id="rId21" Type="http://schemas.openxmlformats.org/officeDocument/2006/relationships/footer" Target="footer4.xml"/><Relationship Id="rId34" Type="http://schemas.openxmlformats.org/officeDocument/2006/relationships/footer" Target="footer8.xml"/><Relationship Id="rId42" Type="http://schemas.openxmlformats.org/officeDocument/2006/relationships/footer" Target="footer12.xml"/><Relationship Id="rId47" Type="http://schemas.openxmlformats.org/officeDocument/2006/relationships/hyperlink" Target="https://www.acma.gov.au/publications/2022-10/guide/apparatus-licence-fee-schedule" TargetMode="External"/><Relationship Id="rId50" Type="http://schemas.openxmlformats.org/officeDocument/2006/relationships/hyperlink" Target="https://www.acma.gov.au/publications/2022-09/plan/five-year-spectrum-outlook-2022-27" TargetMode="External"/><Relationship Id="rId55" Type="http://schemas.openxmlformats.org/officeDocument/2006/relationships/hyperlink" Target="https://www.acma.gov.au/privacy-policy"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yperlink" Target="https://www.abs.gov.au/statistics/standards/australian-statistical-geography-standard-asgs-edition-3/jul2021-jun2026/significant-urban-areas-urban-centres-and-localities-section-state/significant-urban-areas" TargetMode="External"/><Relationship Id="rId11" Type="http://schemas.openxmlformats.org/officeDocument/2006/relationships/hyperlink" Target="http://i.creativecommons.org/l/by/3.0/88x31.png" TargetMode="External"/><Relationship Id="rId24" Type="http://schemas.openxmlformats.org/officeDocument/2006/relationships/hyperlink" Target="https://www.acma.gov.au/sites/default/files/2022-07/Outcomes%20paper_ACMA%20Spectrum%20Pricing%20Review.docx" TargetMode="External"/><Relationship Id="rId32" Type="http://schemas.openxmlformats.org/officeDocument/2006/relationships/header" Target="header8.xml"/><Relationship Id="rId37" Type="http://schemas.openxmlformats.org/officeDocument/2006/relationships/footer" Target="footer9.xml"/><Relationship Id="rId40" Type="http://schemas.openxmlformats.org/officeDocument/2006/relationships/header" Target="header12.xml"/><Relationship Id="rId45" Type="http://schemas.openxmlformats.org/officeDocument/2006/relationships/footer" Target="footer13.xml"/><Relationship Id="rId53" Type="http://schemas.openxmlformats.org/officeDocument/2006/relationships/hyperlink" Target="mailto:spectrumpricing@acma.gov.au" TargetMode="External"/><Relationship Id="rId5" Type="http://schemas.openxmlformats.org/officeDocument/2006/relationships/webSettings" Target="webSettings.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chart" Target="charts/chart2.xml"/><Relationship Id="rId30" Type="http://schemas.openxmlformats.org/officeDocument/2006/relationships/hyperlink" Target="https://www.abs.gov.au/statistics/people/population/regional-population/latest-release" TargetMode="External"/><Relationship Id="rId35" Type="http://schemas.openxmlformats.org/officeDocument/2006/relationships/header" Target="header9.xml"/><Relationship Id="rId43" Type="http://schemas.openxmlformats.org/officeDocument/2006/relationships/header" Target="header13.xml"/><Relationship Id="rId48" Type="http://schemas.openxmlformats.org/officeDocument/2006/relationships/hyperlink" Target="https://www.acma.gov.au/consultations/2021-10/response-implementation-spectrum-pricing-review-part-2-consultation-382021" TargetMode="External"/><Relationship Id="rId56"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yperlink" Target="https://www.acma.gov.au/publications/2022-10/guide/apparatus-licence-fee-schedule" TargetMode="Externa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consultations/2021-10/response-implementation-spectrum-pricing-review-part-2-consultation-382021" TargetMode="External"/><Relationship Id="rId33" Type="http://schemas.openxmlformats.org/officeDocument/2006/relationships/footer" Target="footer7.xml"/><Relationship Id="rId38" Type="http://schemas.openxmlformats.org/officeDocument/2006/relationships/footer" Target="footer10.xml"/><Relationship Id="rId46" Type="http://schemas.openxmlformats.org/officeDocument/2006/relationships/footer" Target="footer14.xml"/><Relationship Id="rId20" Type="http://schemas.openxmlformats.org/officeDocument/2006/relationships/header" Target="header6.xml"/><Relationship Id="rId41" Type="http://schemas.openxmlformats.org/officeDocument/2006/relationships/footer" Target="footer11.xml"/><Relationship Id="rId54" Type="http://schemas.openxmlformats.org/officeDocument/2006/relationships/hyperlink" Target="https://www.acma.gov.au/publication-submissions"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consultations/2021-10/response-implementation-spectrum-pricing-review-part-2-consultation-382021" TargetMode="External"/><Relationship Id="rId36" Type="http://schemas.openxmlformats.org/officeDocument/2006/relationships/header" Target="header10.xml"/><Relationship Id="rId49" Type="http://schemas.openxmlformats.org/officeDocument/2006/relationships/hyperlink" Target="https://www.acma.gov.au/publications/2019-11/instruction/72-ghz-7100-7425-mhz" TargetMode="External"/><Relationship Id="rId57" Type="http://schemas.openxmlformats.org/officeDocument/2006/relationships/theme" Target="theme/theme1.xml"/><Relationship Id="rId10" Type="http://schemas.openxmlformats.org/officeDocument/2006/relationships/header" Target="header2.xml"/><Relationship Id="rId31" Type="http://schemas.openxmlformats.org/officeDocument/2006/relationships/header" Target="header7.xml"/><Relationship Id="rId44" Type="http://schemas.openxmlformats.org/officeDocument/2006/relationships/header" Target="header14.xml"/><Relationship Id="rId52" Type="http://schemas.openxmlformats.org/officeDocument/2006/relationships/hyperlink" Target="https://www.acma.gov.au/have-your-say"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acma.gov.au/sites/default/files/2022-08/RALI%20FX21_0.docx" TargetMode="External"/><Relationship Id="rId1" Type="http://schemas.openxmlformats.org/officeDocument/2006/relationships/hyperlink" Target="https://www.acma.gov.au/television-outside-broadcast-13-ghz-ban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oleObject" Target="https://acmagovau-my.sharepoint.com/personal/han_zhou_acma_gov_au/Documents/Downloads/population%20vs%20CPI.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acmagovau-my.sharepoint.com/personal/han_zhou_acma_gov_au/Documents/Downloads/population%20vs%20CPI.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Sheet1!$B$9</c:f>
              <c:strCache>
                <c:ptCount val="1"/>
                <c:pt idx="0">
                  <c:v>Sydney</c:v>
                </c:pt>
              </c:strCache>
            </c:strRef>
          </c:tx>
          <c:spPr>
            <a:ln w="28575" cap="rnd">
              <a:solidFill>
                <a:schemeClr val="accent1"/>
              </a:solidFill>
              <a:round/>
            </a:ln>
            <a:effectLst/>
          </c:spPr>
          <c:marker>
            <c:symbol val="none"/>
          </c:marker>
          <c:cat>
            <c:numRef>
              <c:f>Sheet1!$C$8:$AQ$8</c:f>
              <c:numCache>
                <c:formatCode>General</c:formatCode>
                <c:ptCount val="41"/>
                <c:pt idx="0">
                  <c:v>1976</c:v>
                </c:pt>
                <c:pt idx="1">
                  <c:v>1977</c:v>
                </c:pt>
                <c:pt idx="2">
                  <c:v>1978</c:v>
                </c:pt>
                <c:pt idx="3">
                  <c:v>1979</c:v>
                </c:pt>
                <c:pt idx="4">
                  <c:v>1980</c:v>
                </c:pt>
                <c:pt idx="5">
                  <c:v>1981</c:v>
                </c:pt>
                <c:pt idx="6">
                  <c:v>1982</c:v>
                </c:pt>
                <c:pt idx="7">
                  <c:v>1983</c:v>
                </c:pt>
                <c:pt idx="8">
                  <c:v>1984</c:v>
                </c:pt>
                <c:pt idx="9">
                  <c:v>1985</c:v>
                </c:pt>
                <c:pt idx="10">
                  <c:v>1986</c:v>
                </c:pt>
                <c:pt idx="11">
                  <c:v>1987</c:v>
                </c:pt>
                <c:pt idx="12">
                  <c:v>1988</c:v>
                </c:pt>
                <c:pt idx="13">
                  <c:v>1989</c:v>
                </c:pt>
                <c:pt idx="14">
                  <c:v>1990</c:v>
                </c:pt>
                <c:pt idx="15">
                  <c:v>1991</c:v>
                </c:pt>
                <c:pt idx="16">
                  <c:v>1992</c:v>
                </c:pt>
                <c:pt idx="17">
                  <c:v>1993</c:v>
                </c:pt>
                <c:pt idx="18">
                  <c:v>1994</c:v>
                </c:pt>
                <c:pt idx="19">
                  <c:v>1995</c:v>
                </c:pt>
                <c:pt idx="20">
                  <c:v>1996</c:v>
                </c:pt>
                <c:pt idx="21">
                  <c:v>1997</c:v>
                </c:pt>
                <c:pt idx="22">
                  <c:v>1998</c:v>
                </c:pt>
                <c:pt idx="23">
                  <c:v>1999</c:v>
                </c:pt>
                <c:pt idx="24">
                  <c:v>2000</c:v>
                </c:pt>
                <c:pt idx="25">
                  <c:v>2001</c:v>
                </c:pt>
                <c:pt idx="26">
                  <c:v>2002</c:v>
                </c:pt>
                <c:pt idx="27">
                  <c:v>2003</c:v>
                </c:pt>
                <c:pt idx="28">
                  <c:v>2004</c:v>
                </c:pt>
                <c:pt idx="29">
                  <c:v>2005</c:v>
                </c:pt>
                <c:pt idx="30">
                  <c:v>2006</c:v>
                </c:pt>
                <c:pt idx="31">
                  <c:v>2007</c:v>
                </c:pt>
                <c:pt idx="32">
                  <c:v>2008</c:v>
                </c:pt>
                <c:pt idx="33">
                  <c:v>2009</c:v>
                </c:pt>
                <c:pt idx="34">
                  <c:v>2010</c:v>
                </c:pt>
                <c:pt idx="35">
                  <c:v>2011</c:v>
                </c:pt>
                <c:pt idx="36">
                  <c:v>2012</c:v>
                </c:pt>
                <c:pt idx="37">
                  <c:v>2013</c:v>
                </c:pt>
                <c:pt idx="38">
                  <c:v>2014</c:v>
                </c:pt>
                <c:pt idx="39">
                  <c:v>2015</c:v>
                </c:pt>
                <c:pt idx="40">
                  <c:v>2016</c:v>
                </c:pt>
              </c:numCache>
            </c:numRef>
          </c:cat>
          <c:val>
            <c:numRef>
              <c:f>Sheet1!$C$9:$AQ$9</c:f>
              <c:numCache>
                <c:formatCode>0.00%</c:formatCode>
                <c:ptCount val="41"/>
                <c:pt idx="0">
                  <c:v>4.7299456695428788E-3</c:v>
                </c:pt>
                <c:pt idx="1">
                  <c:v>7.7294993320184968E-3</c:v>
                </c:pt>
                <c:pt idx="2">
                  <c:v>9.3431394211040963E-3</c:v>
                </c:pt>
                <c:pt idx="3">
                  <c:v>9.1002908340369615E-3</c:v>
                </c:pt>
                <c:pt idx="4">
                  <c:v>9.5140696665427793E-3</c:v>
                </c:pt>
                <c:pt idx="5">
                  <c:v>6.7656178050652382E-3</c:v>
                </c:pt>
                <c:pt idx="6">
                  <c:v>1.2124569947178587E-2</c:v>
                </c:pt>
                <c:pt idx="7">
                  <c:v>9.581231234759624E-3</c:v>
                </c:pt>
                <c:pt idx="8">
                  <c:v>1.0119647101478391E-2</c:v>
                </c:pt>
                <c:pt idx="9">
                  <c:v>1.1691817205053967E-2</c:v>
                </c:pt>
                <c:pt idx="10">
                  <c:v>1.3693594043556745E-2</c:v>
                </c:pt>
                <c:pt idx="11">
                  <c:v>1.5750301959764235E-2</c:v>
                </c:pt>
                <c:pt idx="12">
                  <c:v>1.7535476208437206E-2</c:v>
                </c:pt>
                <c:pt idx="13">
                  <c:v>9.2736926626790783E-3</c:v>
                </c:pt>
                <c:pt idx="14">
                  <c:v>5.9343772203863665E-3</c:v>
                </c:pt>
                <c:pt idx="15">
                  <c:v>8.276959000626638E-3</c:v>
                </c:pt>
                <c:pt idx="16">
                  <c:v>9.6370347903598219E-3</c:v>
                </c:pt>
                <c:pt idx="17">
                  <c:v>5.4245734579903004E-3</c:v>
                </c:pt>
                <c:pt idx="18">
                  <c:v>8.1584025001435467E-3</c:v>
                </c:pt>
                <c:pt idx="19">
                  <c:v>1.169029627193896E-2</c:v>
                </c:pt>
                <c:pt idx="20">
                  <c:v>1.4163300275114032E-2</c:v>
                </c:pt>
                <c:pt idx="21">
                  <c:v>1.2569730278589208E-2</c:v>
                </c:pt>
                <c:pt idx="22">
                  <c:v>1.023655336848539E-2</c:v>
                </c:pt>
                <c:pt idx="23">
                  <c:v>1.1882087593261259E-2</c:v>
                </c:pt>
                <c:pt idx="24">
                  <c:v>1.2464009034127033E-2</c:v>
                </c:pt>
                <c:pt idx="25">
                  <c:v>1.5055434182887018E-2</c:v>
                </c:pt>
                <c:pt idx="26">
                  <c:v>8.0576125267515231E-3</c:v>
                </c:pt>
                <c:pt idx="27">
                  <c:v>6.5179801805623772E-3</c:v>
                </c:pt>
                <c:pt idx="28">
                  <c:v>5.3260071306515666E-3</c:v>
                </c:pt>
                <c:pt idx="29">
                  <c:v>7.8379588043575588E-3</c:v>
                </c:pt>
                <c:pt idx="30">
                  <c:v>9.1517305135691007E-3</c:v>
                </c:pt>
                <c:pt idx="31">
                  <c:v>1.6297315820524627E-2</c:v>
                </c:pt>
                <c:pt idx="32">
                  <c:v>1.9428161899422536E-2</c:v>
                </c:pt>
                <c:pt idx="33">
                  <c:v>1.87814572059537E-2</c:v>
                </c:pt>
                <c:pt idx="34">
                  <c:v>1.4054020363370778E-2</c:v>
                </c:pt>
                <c:pt idx="35">
                  <c:v>1.172929696657854E-2</c:v>
                </c:pt>
                <c:pt idx="36">
                  <c:v>1.4807497327481878E-2</c:v>
                </c:pt>
                <c:pt idx="37">
                  <c:v>1.7140183990578928E-2</c:v>
                </c:pt>
                <c:pt idx="38">
                  <c:v>1.7653683846768908E-2</c:v>
                </c:pt>
                <c:pt idx="39">
                  <c:v>1.8350257335300491E-2</c:v>
                </c:pt>
                <c:pt idx="40">
                  <c:v>1.9215084857801656E-2</c:v>
                </c:pt>
              </c:numCache>
            </c:numRef>
          </c:val>
          <c:smooth val="0"/>
          <c:extLst>
            <c:ext xmlns:c16="http://schemas.microsoft.com/office/drawing/2014/chart" uri="{C3380CC4-5D6E-409C-BE32-E72D297353CC}">
              <c16:uniqueId val="{00000000-3336-46C4-9BD3-A274343AD459}"/>
            </c:ext>
          </c:extLst>
        </c:ser>
        <c:ser>
          <c:idx val="1"/>
          <c:order val="1"/>
          <c:tx>
            <c:strRef>
              <c:f>Sheet1!$B$10</c:f>
              <c:strCache>
                <c:ptCount val="1"/>
                <c:pt idx="0">
                  <c:v>Melbourne</c:v>
                </c:pt>
              </c:strCache>
            </c:strRef>
          </c:tx>
          <c:spPr>
            <a:ln w="28575" cap="rnd">
              <a:solidFill>
                <a:schemeClr val="accent2"/>
              </a:solidFill>
              <a:round/>
            </a:ln>
            <a:effectLst/>
          </c:spPr>
          <c:marker>
            <c:symbol val="none"/>
          </c:marker>
          <c:cat>
            <c:numRef>
              <c:f>Sheet1!$C$8:$AQ$8</c:f>
              <c:numCache>
                <c:formatCode>General</c:formatCode>
                <c:ptCount val="41"/>
                <c:pt idx="0">
                  <c:v>1976</c:v>
                </c:pt>
                <c:pt idx="1">
                  <c:v>1977</c:v>
                </c:pt>
                <c:pt idx="2">
                  <c:v>1978</c:v>
                </c:pt>
                <c:pt idx="3">
                  <c:v>1979</c:v>
                </c:pt>
                <c:pt idx="4">
                  <c:v>1980</c:v>
                </c:pt>
                <c:pt idx="5">
                  <c:v>1981</c:v>
                </c:pt>
                <c:pt idx="6">
                  <c:v>1982</c:v>
                </c:pt>
                <c:pt idx="7">
                  <c:v>1983</c:v>
                </c:pt>
                <c:pt idx="8">
                  <c:v>1984</c:v>
                </c:pt>
                <c:pt idx="9">
                  <c:v>1985</c:v>
                </c:pt>
                <c:pt idx="10">
                  <c:v>1986</c:v>
                </c:pt>
                <c:pt idx="11">
                  <c:v>1987</c:v>
                </c:pt>
                <c:pt idx="12">
                  <c:v>1988</c:v>
                </c:pt>
                <c:pt idx="13">
                  <c:v>1989</c:v>
                </c:pt>
                <c:pt idx="14">
                  <c:v>1990</c:v>
                </c:pt>
                <c:pt idx="15">
                  <c:v>1991</c:v>
                </c:pt>
                <c:pt idx="16">
                  <c:v>1992</c:v>
                </c:pt>
                <c:pt idx="17">
                  <c:v>1993</c:v>
                </c:pt>
                <c:pt idx="18">
                  <c:v>1994</c:v>
                </c:pt>
                <c:pt idx="19">
                  <c:v>1995</c:v>
                </c:pt>
                <c:pt idx="20">
                  <c:v>1996</c:v>
                </c:pt>
                <c:pt idx="21">
                  <c:v>1997</c:v>
                </c:pt>
                <c:pt idx="22">
                  <c:v>1998</c:v>
                </c:pt>
                <c:pt idx="23">
                  <c:v>1999</c:v>
                </c:pt>
                <c:pt idx="24">
                  <c:v>2000</c:v>
                </c:pt>
                <c:pt idx="25">
                  <c:v>2001</c:v>
                </c:pt>
                <c:pt idx="26">
                  <c:v>2002</c:v>
                </c:pt>
                <c:pt idx="27">
                  <c:v>2003</c:v>
                </c:pt>
                <c:pt idx="28">
                  <c:v>2004</c:v>
                </c:pt>
                <c:pt idx="29">
                  <c:v>2005</c:v>
                </c:pt>
                <c:pt idx="30">
                  <c:v>2006</c:v>
                </c:pt>
                <c:pt idx="31">
                  <c:v>2007</c:v>
                </c:pt>
                <c:pt idx="32">
                  <c:v>2008</c:v>
                </c:pt>
                <c:pt idx="33">
                  <c:v>2009</c:v>
                </c:pt>
                <c:pt idx="34">
                  <c:v>2010</c:v>
                </c:pt>
                <c:pt idx="35">
                  <c:v>2011</c:v>
                </c:pt>
                <c:pt idx="36">
                  <c:v>2012</c:v>
                </c:pt>
                <c:pt idx="37">
                  <c:v>2013</c:v>
                </c:pt>
                <c:pt idx="38">
                  <c:v>2014</c:v>
                </c:pt>
                <c:pt idx="39">
                  <c:v>2015</c:v>
                </c:pt>
                <c:pt idx="40">
                  <c:v>2016</c:v>
                </c:pt>
              </c:numCache>
            </c:numRef>
          </c:cat>
          <c:val>
            <c:numRef>
              <c:f>Sheet1!$C$10:$AQ$10</c:f>
              <c:numCache>
                <c:formatCode>0.00%</c:formatCode>
                <c:ptCount val="41"/>
                <c:pt idx="0">
                  <c:v>6.5180977350520752E-3</c:v>
                </c:pt>
                <c:pt idx="1">
                  <c:v>6.6929561159148054E-3</c:v>
                </c:pt>
                <c:pt idx="2">
                  <c:v>6.5047078272120196E-3</c:v>
                </c:pt>
                <c:pt idx="3">
                  <c:v>5.5700360624129086E-3</c:v>
                </c:pt>
                <c:pt idx="4">
                  <c:v>6.8174555267550563E-3</c:v>
                </c:pt>
                <c:pt idx="5">
                  <c:v>7.9023099982367118E-3</c:v>
                </c:pt>
                <c:pt idx="6">
                  <c:v>1.0440157779801895E-2</c:v>
                </c:pt>
                <c:pt idx="7">
                  <c:v>9.9662573967775892E-3</c:v>
                </c:pt>
                <c:pt idx="8">
                  <c:v>9.0048976109917689E-3</c:v>
                </c:pt>
                <c:pt idx="9">
                  <c:v>9.4604196634007209E-3</c:v>
                </c:pt>
                <c:pt idx="10">
                  <c:v>8.7880437362213293E-3</c:v>
                </c:pt>
                <c:pt idx="11">
                  <c:v>1.2845989282328496E-2</c:v>
                </c:pt>
                <c:pt idx="12">
                  <c:v>1.3405248829659877E-2</c:v>
                </c:pt>
                <c:pt idx="13">
                  <c:v>1.4665220160361869E-2</c:v>
                </c:pt>
                <c:pt idx="14">
                  <c:v>1.3637822946684919E-2</c:v>
                </c:pt>
                <c:pt idx="15">
                  <c:v>9.8359774812792899E-3</c:v>
                </c:pt>
                <c:pt idx="16">
                  <c:v>7.2210064960573916E-3</c:v>
                </c:pt>
                <c:pt idx="17">
                  <c:v>4.2970672911974983E-3</c:v>
                </c:pt>
                <c:pt idx="18">
                  <c:v>3.6864057868495337E-3</c:v>
                </c:pt>
                <c:pt idx="19">
                  <c:v>7.8202173197234881E-3</c:v>
                </c:pt>
                <c:pt idx="20">
                  <c:v>1.1022426328765045E-2</c:v>
                </c:pt>
                <c:pt idx="21">
                  <c:v>9.4332315051051108E-3</c:v>
                </c:pt>
                <c:pt idx="22">
                  <c:v>9.8552556167583738E-3</c:v>
                </c:pt>
                <c:pt idx="23">
                  <c:v>1.1374409833759147E-2</c:v>
                </c:pt>
                <c:pt idx="24">
                  <c:v>1.2558675731946245E-2</c:v>
                </c:pt>
                <c:pt idx="25">
                  <c:v>1.4542284128731042E-2</c:v>
                </c:pt>
                <c:pt idx="26">
                  <c:v>1.2950507235342412E-2</c:v>
                </c:pt>
                <c:pt idx="27">
                  <c:v>1.3665469024946253E-2</c:v>
                </c:pt>
                <c:pt idx="28">
                  <c:v>1.3333218327832963E-2</c:v>
                </c:pt>
                <c:pt idx="29">
                  <c:v>1.5217393095074527E-2</c:v>
                </c:pt>
                <c:pt idx="30">
                  <c:v>1.7144068814282099E-2</c:v>
                </c:pt>
                <c:pt idx="31">
                  <c:v>2.1538199725587459E-2</c:v>
                </c:pt>
                <c:pt idx="32">
                  <c:v>2.3342946982632951E-2</c:v>
                </c:pt>
                <c:pt idx="33">
                  <c:v>2.5524757099056439E-2</c:v>
                </c:pt>
                <c:pt idx="34">
                  <c:v>1.8371506232844226E-2</c:v>
                </c:pt>
                <c:pt idx="35">
                  <c:v>1.5467903533902927E-2</c:v>
                </c:pt>
                <c:pt idx="36">
                  <c:v>2.3139489313243278E-2</c:v>
                </c:pt>
                <c:pt idx="37">
                  <c:v>2.443221656305683E-2</c:v>
                </c:pt>
                <c:pt idx="38">
                  <c:v>2.4247454329647589E-2</c:v>
                </c:pt>
                <c:pt idx="39">
                  <c:v>2.457132771674897E-2</c:v>
                </c:pt>
                <c:pt idx="40">
                  <c:v>2.7992730939212507E-2</c:v>
                </c:pt>
              </c:numCache>
            </c:numRef>
          </c:val>
          <c:smooth val="0"/>
          <c:extLst>
            <c:ext xmlns:c16="http://schemas.microsoft.com/office/drawing/2014/chart" uri="{C3380CC4-5D6E-409C-BE32-E72D297353CC}">
              <c16:uniqueId val="{00000001-3336-46C4-9BD3-A274343AD459}"/>
            </c:ext>
          </c:extLst>
        </c:ser>
        <c:ser>
          <c:idx val="2"/>
          <c:order val="2"/>
          <c:tx>
            <c:strRef>
              <c:f>Sheet1!$B$11</c:f>
              <c:strCache>
                <c:ptCount val="1"/>
                <c:pt idx="0">
                  <c:v>Brisbane</c:v>
                </c:pt>
              </c:strCache>
            </c:strRef>
          </c:tx>
          <c:spPr>
            <a:ln w="28575" cap="rnd">
              <a:solidFill>
                <a:schemeClr val="accent3"/>
              </a:solidFill>
              <a:round/>
            </a:ln>
            <a:effectLst/>
          </c:spPr>
          <c:marker>
            <c:symbol val="none"/>
          </c:marker>
          <c:cat>
            <c:numRef>
              <c:f>Sheet1!$C$8:$AQ$8</c:f>
              <c:numCache>
                <c:formatCode>General</c:formatCode>
                <c:ptCount val="41"/>
                <c:pt idx="0">
                  <c:v>1976</c:v>
                </c:pt>
                <c:pt idx="1">
                  <c:v>1977</c:v>
                </c:pt>
                <c:pt idx="2">
                  <c:v>1978</c:v>
                </c:pt>
                <c:pt idx="3">
                  <c:v>1979</c:v>
                </c:pt>
                <c:pt idx="4">
                  <c:v>1980</c:v>
                </c:pt>
                <c:pt idx="5">
                  <c:v>1981</c:v>
                </c:pt>
                <c:pt idx="6">
                  <c:v>1982</c:v>
                </c:pt>
                <c:pt idx="7">
                  <c:v>1983</c:v>
                </c:pt>
                <c:pt idx="8">
                  <c:v>1984</c:v>
                </c:pt>
                <c:pt idx="9">
                  <c:v>1985</c:v>
                </c:pt>
                <c:pt idx="10">
                  <c:v>1986</c:v>
                </c:pt>
                <c:pt idx="11">
                  <c:v>1987</c:v>
                </c:pt>
                <c:pt idx="12">
                  <c:v>1988</c:v>
                </c:pt>
                <c:pt idx="13">
                  <c:v>1989</c:v>
                </c:pt>
                <c:pt idx="14">
                  <c:v>1990</c:v>
                </c:pt>
                <c:pt idx="15">
                  <c:v>1991</c:v>
                </c:pt>
                <c:pt idx="16">
                  <c:v>1992</c:v>
                </c:pt>
                <c:pt idx="17">
                  <c:v>1993</c:v>
                </c:pt>
                <c:pt idx="18">
                  <c:v>1994</c:v>
                </c:pt>
                <c:pt idx="19">
                  <c:v>1995</c:v>
                </c:pt>
                <c:pt idx="20">
                  <c:v>1996</c:v>
                </c:pt>
                <c:pt idx="21">
                  <c:v>1997</c:v>
                </c:pt>
                <c:pt idx="22">
                  <c:v>1998</c:v>
                </c:pt>
                <c:pt idx="23">
                  <c:v>1999</c:v>
                </c:pt>
                <c:pt idx="24">
                  <c:v>2000</c:v>
                </c:pt>
                <c:pt idx="25">
                  <c:v>2001</c:v>
                </c:pt>
                <c:pt idx="26">
                  <c:v>2002</c:v>
                </c:pt>
                <c:pt idx="27">
                  <c:v>2003</c:v>
                </c:pt>
                <c:pt idx="28">
                  <c:v>2004</c:v>
                </c:pt>
                <c:pt idx="29">
                  <c:v>2005</c:v>
                </c:pt>
                <c:pt idx="30">
                  <c:v>2006</c:v>
                </c:pt>
                <c:pt idx="31">
                  <c:v>2007</c:v>
                </c:pt>
                <c:pt idx="32">
                  <c:v>2008</c:v>
                </c:pt>
                <c:pt idx="33">
                  <c:v>2009</c:v>
                </c:pt>
                <c:pt idx="34">
                  <c:v>2010</c:v>
                </c:pt>
                <c:pt idx="35">
                  <c:v>2011</c:v>
                </c:pt>
                <c:pt idx="36">
                  <c:v>2012</c:v>
                </c:pt>
                <c:pt idx="37">
                  <c:v>2013</c:v>
                </c:pt>
                <c:pt idx="38">
                  <c:v>2014</c:v>
                </c:pt>
                <c:pt idx="39">
                  <c:v>2015</c:v>
                </c:pt>
                <c:pt idx="40">
                  <c:v>2016</c:v>
                </c:pt>
              </c:numCache>
            </c:numRef>
          </c:cat>
          <c:val>
            <c:numRef>
              <c:f>Sheet1!$C$11:$AQ$11</c:f>
              <c:numCache>
                <c:formatCode>0.00%</c:formatCode>
                <c:ptCount val="41"/>
                <c:pt idx="0">
                  <c:v>1.5353612897034852E-2</c:v>
                </c:pt>
                <c:pt idx="1">
                  <c:v>1.4743407995463587E-2</c:v>
                </c:pt>
                <c:pt idx="2">
                  <c:v>1.5274285182080627E-2</c:v>
                </c:pt>
                <c:pt idx="3">
                  <c:v>1.4494083111641132E-2</c:v>
                </c:pt>
                <c:pt idx="4">
                  <c:v>1.8265665973415279E-2</c:v>
                </c:pt>
                <c:pt idx="5">
                  <c:v>2.5401829322440284E-2</c:v>
                </c:pt>
                <c:pt idx="6">
                  <c:v>3.128504683014266E-2</c:v>
                </c:pt>
                <c:pt idx="7">
                  <c:v>1.912699545695018E-2</c:v>
                </c:pt>
                <c:pt idx="8">
                  <c:v>1.1409789165685469E-2</c:v>
                </c:pt>
                <c:pt idx="9">
                  <c:v>1.4358175540590601E-2</c:v>
                </c:pt>
                <c:pt idx="10">
                  <c:v>1.6092164506962714E-2</c:v>
                </c:pt>
                <c:pt idx="11">
                  <c:v>1.6932070943804334E-2</c:v>
                </c:pt>
                <c:pt idx="12">
                  <c:v>2.0607290124248445E-2</c:v>
                </c:pt>
                <c:pt idx="13">
                  <c:v>2.7947209810463836E-2</c:v>
                </c:pt>
                <c:pt idx="14">
                  <c:v>2.423424311146638E-2</c:v>
                </c:pt>
                <c:pt idx="15">
                  <c:v>2.1208677618696603E-2</c:v>
                </c:pt>
                <c:pt idx="16">
                  <c:v>1.6887275787254685E-2</c:v>
                </c:pt>
                <c:pt idx="17">
                  <c:v>2.0126579985985105E-2</c:v>
                </c:pt>
                <c:pt idx="18">
                  <c:v>2.064242735444255E-2</c:v>
                </c:pt>
                <c:pt idx="19">
                  <c:v>2.2177115871065078E-2</c:v>
                </c:pt>
                <c:pt idx="20">
                  <c:v>2.1210978815201065E-2</c:v>
                </c:pt>
                <c:pt idx="21">
                  <c:v>1.5247106959192402E-2</c:v>
                </c:pt>
                <c:pt idx="22">
                  <c:v>1.470879737590014E-2</c:v>
                </c:pt>
                <c:pt idx="23">
                  <c:v>1.5443085854922156E-2</c:v>
                </c:pt>
                <c:pt idx="24">
                  <c:v>1.7432816508180071E-2</c:v>
                </c:pt>
                <c:pt idx="25">
                  <c:v>1.9807149313256112E-2</c:v>
                </c:pt>
                <c:pt idx="26">
                  <c:v>2.490263091388778E-2</c:v>
                </c:pt>
                <c:pt idx="27">
                  <c:v>2.587960109003129E-2</c:v>
                </c:pt>
                <c:pt idx="28">
                  <c:v>2.406199983152213E-2</c:v>
                </c:pt>
                <c:pt idx="29">
                  <c:v>2.3424235644059488E-2</c:v>
                </c:pt>
                <c:pt idx="30">
                  <c:v>2.2534977306948312E-2</c:v>
                </c:pt>
                <c:pt idx="31">
                  <c:v>2.6538242854110994E-2</c:v>
                </c:pt>
                <c:pt idx="32">
                  <c:v>2.7207519295198823E-2</c:v>
                </c:pt>
                <c:pt idx="33">
                  <c:v>2.7966846303853821E-2</c:v>
                </c:pt>
                <c:pt idx="34">
                  <c:v>1.9274549076882197E-2</c:v>
                </c:pt>
                <c:pt idx="35">
                  <c:v>1.8539633874483652E-2</c:v>
                </c:pt>
                <c:pt idx="36">
                  <c:v>2.2748989958257138E-2</c:v>
                </c:pt>
                <c:pt idx="37">
                  <c:v>2.0787801964041064E-2</c:v>
                </c:pt>
                <c:pt idx="38">
                  <c:v>1.7750666385957903E-2</c:v>
                </c:pt>
                <c:pt idx="39">
                  <c:v>1.6177566243305463E-2</c:v>
                </c:pt>
                <c:pt idx="40">
                  <c:v>1.898472949596175E-2</c:v>
                </c:pt>
              </c:numCache>
            </c:numRef>
          </c:val>
          <c:smooth val="0"/>
          <c:extLst>
            <c:ext xmlns:c16="http://schemas.microsoft.com/office/drawing/2014/chart" uri="{C3380CC4-5D6E-409C-BE32-E72D297353CC}">
              <c16:uniqueId val="{00000002-3336-46C4-9BD3-A274343AD459}"/>
            </c:ext>
          </c:extLst>
        </c:ser>
        <c:ser>
          <c:idx val="3"/>
          <c:order val="3"/>
          <c:tx>
            <c:strRef>
              <c:f>Sheet1!$B$12</c:f>
              <c:strCache>
                <c:ptCount val="1"/>
                <c:pt idx="0">
                  <c:v>CPI</c:v>
                </c:pt>
              </c:strCache>
            </c:strRef>
          </c:tx>
          <c:spPr>
            <a:ln w="28575" cap="rnd">
              <a:solidFill>
                <a:schemeClr val="accent4"/>
              </a:solidFill>
              <a:round/>
            </a:ln>
            <a:effectLst/>
          </c:spPr>
          <c:marker>
            <c:symbol val="none"/>
          </c:marker>
          <c:cat>
            <c:numRef>
              <c:f>Sheet1!$C$8:$AQ$8</c:f>
              <c:numCache>
                <c:formatCode>General</c:formatCode>
                <c:ptCount val="41"/>
                <c:pt idx="0">
                  <c:v>1976</c:v>
                </c:pt>
                <c:pt idx="1">
                  <c:v>1977</c:v>
                </c:pt>
                <c:pt idx="2">
                  <c:v>1978</c:v>
                </c:pt>
                <c:pt idx="3">
                  <c:v>1979</c:v>
                </c:pt>
                <c:pt idx="4">
                  <c:v>1980</c:v>
                </c:pt>
                <c:pt idx="5">
                  <c:v>1981</c:v>
                </c:pt>
                <c:pt idx="6">
                  <c:v>1982</c:v>
                </c:pt>
                <c:pt idx="7">
                  <c:v>1983</c:v>
                </c:pt>
                <c:pt idx="8">
                  <c:v>1984</c:v>
                </c:pt>
                <c:pt idx="9">
                  <c:v>1985</c:v>
                </c:pt>
                <c:pt idx="10">
                  <c:v>1986</c:v>
                </c:pt>
                <c:pt idx="11">
                  <c:v>1987</c:v>
                </c:pt>
                <c:pt idx="12">
                  <c:v>1988</c:v>
                </c:pt>
                <c:pt idx="13">
                  <c:v>1989</c:v>
                </c:pt>
                <c:pt idx="14">
                  <c:v>1990</c:v>
                </c:pt>
                <c:pt idx="15">
                  <c:v>1991</c:v>
                </c:pt>
                <c:pt idx="16">
                  <c:v>1992</c:v>
                </c:pt>
                <c:pt idx="17">
                  <c:v>1993</c:v>
                </c:pt>
                <c:pt idx="18">
                  <c:v>1994</c:v>
                </c:pt>
                <c:pt idx="19">
                  <c:v>1995</c:v>
                </c:pt>
                <c:pt idx="20">
                  <c:v>1996</c:v>
                </c:pt>
                <c:pt idx="21">
                  <c:v>1997</c:v>
                </c:pt>
                <c:pt idx="22">
                  <c:v>1998</c:v>
                </c:pt>
                <c:pt idx="23">
                  <c:v>1999</c:v>
                </c:pt>
                <c:pt idx="24">
                  <c:v>2000</c:v>
                </c:pt>
                <c:pt idx="25">
                  <c:v>2001</c:v>
                </c:pt>
                <c:pt idx="26">
                  <c:v>2002</c:v>
                </c:pt>
                <c:pt idx="27">
                  <c:v>2003</c:v>
                </c:pt>
                <c:pt idx="28">
                  <c:v>2004</c:v>
                </c:pt>
                <c:pt idx="29">
                  <c:v>2005</c:v>
                </c:pt>
                <c:pt idx="30">
                  <c:v>2006</c:v>
                </c:pt>
                <c:pt idx="31">
                  <c:v>2007</c:v>
                </c:pt>
                <c:pt idx="32">
                  <c:v>2008</c:v>
                </c:pt>
                <c:pt idx="33">
                  <c:v>2009</c:v>
                </c:pt>
                <c:pt idx="34">
                  <c:v>2010</c:v>
                </c:pt>
                <c:pt idx="35">
                  <c:v>2011</c:v>
                </c:pt>
                <c:pt idx="36">
                  <c:v>2012</c:v>
                </c:pt>
                <c:pt idx="37">
                  <c:v>2013</c:v>
                </c:pt>
                <c:pt idx="38">
                  <c:v>2014</c:v>
                </c:pt>
                <c:pt idx="39">
                  <c:v>2015</c:v>
                </c:pt>
                <c:pt idx="40">
                  <c:v>2016</c:v>
                </c:pt>
              </c:numCache>
            </c:numRef>
          </c:cat>
          <c:val>
            <c:numRef>
              <c:f>Sheet1!$C$12:$AQ$12</c:f>
              <c:numCache>
                <c:formatCode>0.00%</c:formatCode>
                <c:ptCount val="41"/>
                <c:pt idx="0">
                  <c:v>0.120253164556962</c:v>
                </c:pt>
                <c:pt idx="1">
                  <c:v>0.13559322033898313</c:v>
                </c:pt>
                <c:pt idx="2">
                  <c:v>7.9601990049751103E-2</c:v>
                </c:pt>
                <c:pt idx="3">
                  <c:v>8.7557603686636121E-2</c:v>
                </c:pt>
                <c:pt idx="4">
                  <c:v>0.11016949152542366</c:v>
                </c:pt>
                <c:pt idx="5">
                  <c:v>8.3969465648854991E-2</c:v>
                </c:pt>
                <c:pt idx="6">
                  <c:v>0.10915492957746475</c:v>
                </c:pt>
                <c:pt idx="7">
                  <c:v>0.11111111111111116</c:v>
                </c:pt>
                <c:pt idx="8">
                  <c:v>4.0000000000000036E-2</c:v>
                </c:pt>
                <c:pt idx="9">
                  <c:v>6.5934065934065922E-2</c:v>
                </c:pt>
                <c:pt idx="10">
                  <c:v>8.5051546391752719E-2</c:v>
                </c:pt>
                <c:pt idx="11">
                  <c:v>9.263657957244642E-2</c:v>
                </c:pt>
                <c:pt idx="12">
                  <c:v>7.1739130434782528E-2</c:v>
                </c:pt>
                <c:pt idx="13">
                  <c:v>7.5050709939148197E-2</c:v>
                </c:pt>
                <c:pt idx="14">
                  <c:v>7.735849056603783E-2</c:v>
                </c:pt>
                <c:pt idx="15">
                  <c:v>3.327495621716281E-2</c:v>
                </c:pt>
                <c:pt idx="16">
                  <c:v>1.1864406779661163E-2</c:v>
                </c:pt>
                <c:pt idx="17">
                  <c:v>1.8425460636515734E-2</c:v>
                </c:pt>
                <c:pt idx="18">
                  <c:v>1.8092105263157965E-2</c:v>
                </c:pt>
                <c:pt idx="19">
                  <c:v>4.5234248788368348E-2</c:v>
                </c:pt>
                <c:pt idx="20">
                  <c:v>3.0911901081916549E-2</c:v>
                </c:pt>
                <c:pt idx="21">
                  <c:v>2.9985007496251548E-3</c:v>
                </c:pt>
                <c:pt idx="22">
                  <c:v>7.4738415545589909E-3</c:v>
                </c:pt>
                <c:pt idx="23">
                  <c:v>1.0385756676557722E-2</c:v>
                </c:pt>
                <c:pt idx="24">
                  <c:v>3.0837004405286361E-2</c:v>
                </c:pt>
                <c:pt idx="25">
                  <c:v>6.1253561253561184E-2</c:v>
                </c:pt>
                <c:pt idx="26">
                  <c:v>2.8187919463087185E-2</c:v>
                </c:pt>
                <c:pt idx="27">
                  <c:v>2.6109660574412441E-2</c:v>
                </c:pt>
                <c:pt idx="28">
                  <c:v>2.5445292620865034E-2</c:v>
                </c:pt>
                <c:pt idx="29">
                  <c:v>2.4813895781637729E-2</c:v>
                </c:pt>
                <c:pt idx="30">
                  <c:v>3.9951573849879018E-2</c:v>
                </c:pt>
                <c:pt idx="31">
                  <c:v>2.0954598370197974E-2</c:v>
                </c:pt>
                <c:pt idx="32">
                  <c:v>4.4469783352337311E-2</c:v>
                </c:pt>
                <c:pt idx="33">
                  <c:v>1.4192139737991383E-2</c:v>
                </c:pt>
                <c:pt idx="34">
                  <c:v>3.1216361679224924E-2</c:v>
                </c:pt>
                <c:pt idx="35">
                  <c:v>3.5490605427975108E-2</c:v>
                </c:pt>
                <c:pt idx="36">
                  <c:v>1.2096774193548487E-2</c:v>
                </c:pt>
                <c:pt idx="37">
                  <c:v>2.3904382470119501E-2</c:v>
                </c:pt>
                <c:pt idx="38">
                  <c:v>3.0155642023346418E-2</c:v>
                </c:pt>
                <c:pt idx="39">
                  <c:v>1.5108593012275628E-2</c:v>
                </c:pt>
                <c:pt idx="40">
                  <c:v>1.0232558139534831E-2</c:v>
                </c:pt>
              </c:numCache>
            </c:numRef>
          </c:val>
          <c:smooth val="0"/>
          <c:extLst>
            <c:ext xmlns:c16="http://schemas.microsoft.com/office/drawing/2014/chart" uri="{C3380CC4-5D6E-409C-BE32-E72D297353CC}">
              <c16:uniqueId val="{00000003-3336-46C4-9BD3-A274343AD459}"/>
            </c:ext>
          </c:extLst>
        </c:ser>
        <c:dLbls>
          <c:showLegendKey val="0"/>
          <c:showVal val="0"/>
          <c:showCatName val="0"/>
          <c:showSerName val="0"/>
          <c:showPercent val="0"/>
          <c:showBubbleSize val="0"/>
        </c:dLbls>
        <c:smooth val="0"/>
        <c:axId val="933516640"/>
        <c:axId val="933515328"/>
      </c:lineChart>
      <c:catAx>
        <c:axId val="9335166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33515328"/>
        <c:crosses val="autoZero"/>
        <c:auto val="1"/>
        <c:lblAlgn val="ctr"/>
        <c:lblOffset val="100"/>
        <c:noMultiLvlLbl val="0"/>
      </c:catAx>
      <c:valAx>
        <c:axId val="93351532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335166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Sheet1!$A$15</c:f>
              <c:strCache>
                <c:ptCount val="1"/>
                <c:pt idx="0">
                  <c:v>Sydney</c:v>
                </c:pt>
              </c:strCache>
            </c:strRef>
          </c:tx>
          <c:spPr>
            <a:ln w="28575" cap="rnd">
              <a:solidFill>
                <a:schemeClr val="accent1"/>
              </a:solidFill>
              <a:round/>
            </a:ln>
            <a:effectLst/>
          </c:spPr>
          <c:marker>
            <c:symbol val="none"/>
          </c:marker>
          <c:cat>
            <c:numRef>
              <c:f>Sheet1!$B$14:$AQ$14</c:f>
              <c:numCache>
                <c:formatCode>General</c:formatCode>
                <c:ptCount val="42"/>
                <c:pt idx="0">
                  <c:v>1975</c:v>
                </c:pt>
                <c:pt idx="1">
                  <c:v>1976</c:v>
                </c:pt>
                <c:pt idx="2">
                  <c:v>1977</c:v>
                </c:pt>
                <c:pt idx="3">
                  <c:v>1978</c:v>
                </c:pt>
                <c:pt idx="4">
                  <c:v>1979</c:v>
                </c:pt>
                <c:pt idx="5">
                  <c:v>1980</c:v>
                </c:pt>
                <c:pt idx="6">
                  <c:v>1981</c:v>
                </c:pt>
                <c:pt idx="7">
                  <c:v>1982</c:v>
                </c:pt>
                <c:pt idx="8">
                  <c:v>1983</c:v>
                </c:pt>
                <c:pt idx="9">
                  <c:v>1984</c:v>
                </c:pt>
                <c:pt idx="10">
                  <c:v>1985</c:v>
                </c:pt>
                <c:pt idx="11">
                  <c:v>1986</c:v>
                </c:pt>
                <c:pt idx="12">
                  <c:v>1987</c:v>
                </c:pt>
                <c:pt idx="13">
                  <c:v>1988</c:v>
                </c:pt>
                <c:pt idx="14">
                  <c:v>1989</c:v>
                </c:pt>
                <c:pt idx="15">
                  <c:v>1990</c:v>
                </c:pt>
                <c:pt idx="16">
                  <c:v>1991</c:v>
                </c:pt>
                <c:pt idx="17">
                  <c:v>1992</c:v>
                </c:pt>
                <c:pt idx="18">
                  <c:v>1993</c:v>
                </c:pt>
                <c:pt idx="19">
                  <c:v>1994</c:v>
                </c:pt>
                <c:pt idx="20">
                  <c:v>1995</c:v>
                </c:pt>
                <c:pt idx="21">
                  <c:v>1996</c:v>
                </c:pt>
                <c:pt idx="22">
                  <c:v>1997</c:v>
                </c:pt>
                <c:pt idx="23">
                  <c:v>1998</c:v>
                </c:pt>
                <c:pt idx="24">
                  <c:v>1999</c:v>
                </c:pt>
                <c:pt idx="25">
                  <c:v>2000</c:v>
                </c:pt>
                <c:pt idx="26">
                  <c:v>2001</c:v>
                </c:pt>
                <c:pt idx="27">
                  <c:v>2002</c:v>
                </c:pt>
                <c:pt idx="28">
                  <c:v>2003</c:v>
                </c:pt>
                <c:pt idx="29">
                  <c:v>2004</c:v>
                </c:pt>
                <c:pt idx="30">
                  <c:v>2005</c:v>
                </c:pt>
                <c:pt idx="31">
                  <c:v>2006</c:v>
                </c:pt>
                <c:pt idx="32">
                  <c:v>2007</c:v>
                </c:pt>
                <c:pt idx="33">
                  <c:v>2008</c:v>
                </c:pt>
                <c:pt idx="34">
                  <c:v>2009</c:v>
                </c:pt>
                <c:pt idx="35">
                  <c:v>2010</c:v>
                </c:pt>
                <c:pt idx="36">
                  <c:v>2011</c:v>
                </c:pt>
                <c:pt idx="37">
                  <c:v>2012</c:v>
                </c:pt>
                <c:pt idx="38">
                  <c:v>2013</c:v>
                </c:pt>
                <c:pt idx="39">
                  <c:v>2014</c:v>
                </c:pt>
                <c:pt idx="40">
                  <c:v>2015</c:v>
                </c:pt>
                <c:pt idx="41">
                  <c:v>2016</c:v>
                </c:pt>
              </c:numCache>
            </c:numRef>
          </c:cat>
          <c:val>
            <c:numRef>
              <c:f>Sheet1!$B$15:$AQ$15</c:f>
              <c:numCache>
                <c:formatCode>General</c:formatCode>
                <c:ptCount val="42"/>
                <c:pt idx="0">
                  <c:v>1</c:v>
                </c:pt>
                <c:pt idx="1">
                  <c:v>1.0047299456695429</c:v>
                </c:pt>
                <c:pt idx="2">
                  <c:v>1.0124960051134546</c:v>
                </c:pt>
                <c:pt idx="3">
                  <c:v>1.0219558964525406</c:v>
                </c:pt>
                <c:pt idx="4">
                  <c:v>1.0312559923298177</c:v>
                </c:pt>
                <c:pt idx="5">
                  <c:v>1.0410674336848833</c:v>
                </c:pt>
                <c:pt idx="6">
                  <c:v>1.0481108980504954</c:v>
                </c:pt>
                <c:pt idx="7">
                  <c:v>1.0608187919463088</c:v>
                </c:pt>
                <c:pt idx="8">
                  <c:v>1.0709827420901248</c:v>
                </c:pt>
                <c:pt idx="9">
                  <c:v>1.0818207094918504</c:v>
                </c:pt>
                <c:pt idx="10">
                  <c:v>1.0944691594758709</c:v>
                </c:pt>
                <c:pt idx="11">
                  <c:v>1.1094563758389262</c:v>
                </c:pt>
                <c:pt idx="12">
                  <c:v>1.1269306487695749</c:v>
                </c:pt>
                <c:pt idx="13">
                  <c:v>1.1466919143496326</c:v>
                </c:pt>
                <c:pt idx="14">
                  <c:v>1.1573259827420901</c:v>
                </c:pt>
                <c:pt idx="15">
                  <c:v>1.1641939916906361</c:v>
                </c:pt>
                <c:pt idx="16">
                  <c:v>1.1738299776286354</c:v>
                </c:pt>
                <c:pt idx="17">
                  <c:v>1.1851422179610098</c:v>
                </c:pt>
                <c:pt idx="18">
                  <c:v>1.1915711089805048</c:v>
                </c:pt>
                <c:pt idx="19">
                  <c:v>1.2012924256951101</c:v>
                </c:pt>
                <c:pt idx="20">
                  <c:v>1.2153358900607221</c:v>
                </c:pt>
                <c:pt idx="21">
                  <c:v>1.232549057206775</c:v>
                </c:pt>
                <c:pt idx="22">
                  <c:v>1.2480418664109936</c:v>
                </c:pt>
                <c:pt idx="23">
                  <c:v>1.2608175135826138</c:v>
                </c:pt>
                <c:pt idx="24">
                  <c:v>1.2757986577181204</c:v>
                </c:pt>
                <c:pt idx="25">
                  <c:v>1.2917002237136461</c:v>
                </c:pt>
                <c:pt idx="26">
                  <c:v>1.3111473314157873</c:v>
                </c:pt>
                <c:pt idx="27">
                  <c:v>1.32171204857782</c:v>
                </c:pt>
                <c:pt idx="28">
                  <c:v>1.3303269415148606</c:v>
                </c:pt>
                <c:pt idx="29">
                  <c:v>1.3374122722914668</c:v>
                </c:pt>
                <c:pt idx="30">
                  <c:v>1.3478948545861296</c:v>
                </c:pt>
                <c:pt idx="31">
                  <c:v>1.3602304250559283</c:v>
                </c:pt>
                <c:pt idx="32">
                  <c:v>1.3823985298817512</c:v>
                </c:pt>
                <c:pt idx="33">
                  <c:v>1.4092559923298176</c:v>
                </c:pt>
                <c:pt idx="34">
                  <c:v>1.4357238734419939</c:v>
                </c:pt>
                <c:pt idx="35">
                  <c:v>1.4559015659955252</c:v>
                </c:pt>
                <c:pt idx="36">
                  <c:v>1.4729782678171934</c:v>
                </c:pt>
                <c:pt idx="37">
                  <c:v>1.4947893895813353</c:v>
                </c:pt>
                <c:pt idx="38">
                  <c:v>1.5204103547459247</c:v>
                </c:pt>
                <c:pt idx="39">
                  <c:v>1.5472511984659629</c:v>
                </c:pt>
                <c:pt idx="40">
                  <c:v>1.5756436561201654</c:v>
                </c:pt>
                <c:pt idx="41">
                  <c:v>1.6059197826781713</c:v>
                </c:pt>
              </c:numCache>
            </c:numRef>
          </c:val>
          <c:smooth val="0"/>
          <c:extLst>
            <c:ext xmlns:c16="http://schemas.microsoft.com/office/drawing/2014/chart" uri="{C3380CC4-5D6E-409C-BE32-E72D297353CC}">
              <c16:uniqueId val="{00000000-581C-4AB8-9106-4B8D928D6456}"/>
            </c:ext>
          </c:extLst>
        </c:ser>
        <c:ser>
          <c:idx val="1"/>
          <c:order val="1"/>
          <c:tx>
            <c:strRef>
              <c:f>Sheet1!$A$16</c:f>
              <c:strCache>
                <c:ptCount val="1"/>
                <c:pt idx="0">
                  <c:v>Melbourne</c:v>
                </c:pt>
              </c:strCache>
            </c:strRef>
          </c:tx>
          <c:spPr>
            <a:ln w="28575" cap="rnd">
              <a:solidFill>
                <a:schemeClr val="accent2"/>
              </a:solidFill>
              <a:round/>
            </a:ln>
            <a:effectLst/>
          </c:spPr>
          <c:marker>
            <c:symbol val="none"/>
          </c:marker>
          <c:cat>
            <c:numRef>
              <c:f>Sheet1!$B$14:$AQ$14</c:f>
              <c:numCache>
                <c:formatCode>General</c:formatCode>
                <c:ptCount val="42"/>
                <c:pt idx="0">
                  <c:v>1975</c:v>
                </c:pt>
                <c:pt idx="1">
                  <c:v>1976</c:v>
                </c:pt>
                <c:pt idx="2">
                  <c:v>1977</c:v>
                </c:pt>
                <c:pt idx="3">
                  <c:v>1978</c:v>
                </c:pt>
                <c:pt idx="4">
                  <c:v>1979</c:v>
                </c:pt>
                <c:pt idx="5">
                  <c:v>1980</c:v>
                </c:pt>
                <c:pt idx="6">
                  <c:v>1981</c:v>
                </c:pt>
                <c:pt idx="7">
                  <c:v>1982</c:v>
                </c:pt>
                <c:pt idx="8">
                  <c:v>1983</c:v>
                </c:pt>
                <c:pt idx="9">
                  <c:v>1984</c:v>
                </c:pt>
                <c:pt idx="10">
                  <c:v>1985</c:v>
                </c:pt>
                <c:pt idx="11">
                  <c:v>1986</c:v>
                </c:pt>
                <c:pt idx="12">
                  <c:v>1987</c:v>
                </c:pt>
                <c:pt idx="13">
                  <c:v>1988</c:v>
                </c:pt>
                <c:pt idx="14">
                  <c:v>1989</c:v>
                </c:pt>
                <c:pt idx="15">
                  <c:v>1990</c:v>
                </c:pt>
                <c:pt idx="16">
                  <c:v>1991</c:v>
                </c:pt>
                <c:pt idx="17">
                  <c:v>1992</c:v>
                </c:pt>
                <c:pt idx="18">
                  <c:v>1993</c:v>
                </c:pt>
                <c:pt idx="19">
                  <c:v>1994</c:v>
                </c:pt>
                <c:pt idx="20">
                  <c:v>1995</c:v>
                </c:pt>
                <c:pt idx="21">
                  <c:v>1996</c:v>
                </c:pt>
                <c:pt idx="22">
                  <c:v>1997</c:v>
                </c:pt>
                <c:pt idx="23">
                  <c:v>1998</c:v>
                </c:pt>
                <c:pt idx="24">
                  <c:v>1999</c:v>
                </c:pt>
                <c:pt idx="25">
                  <c:v>2000</c:v>
                </c:pt>
                <c:pt idx="26">
                  <c:v>2001</c:v>
                </c:pt>
                <c:pt idx="27">
                  <c:v>2002</c:v>
                </c:pt>
                <c:pt idx="28">
                  <c:v>2003</c:v>
                </c:pt>
                <c:pt idx="29">
                  <c:v>2004</c:v>
                </c:pt>
                <c:pt idx="30">
                  <c:v>2005</c:v>
                </c:pt>
                <c:pt idx="31">
                  <c:v>2006</c:v>
                </c:pt>
                <c:pt idx="32">
                  <c:v>2007</c:v>
                </c:pt>
                <c:pt idx="33">
                  <c:v>2008</c:v>
                </c:pt>
                <c:pt idx="34">
                  <c:v>2009</c:v>
                </c:pt>
                <c:pt idx="35">
                  <c:v>2010</c:v>
                </c:pt>
                <c:pt idx="36">
                  <c:v>2011</c:v>
                </c:pt>
                <c:pt idx="37">
                  <c:v>2012</c:v>
                </c:pt>
                <c:pt idx="38">
                  <c:v>2013</c:v>
                </c:pt>
                <c:pt idx="39">
                  <c:v>2014</c:v>
                </c:pt>
                <c:pt idx="40">
                  <c:v>2015</c:v>
                </c:pt>
                <c:pt idx="41">
                  <c:v>2016</c:v>
                </c:pt>
              </c:numCache>
            </c:numRef>
          </c:cat>
          <c:val>
            <c:numRef>
              <c:f>Sheet1!$B$16:$AQ$16</c:f>
              <c:numCache>
                <c:formatCode>General</c:formatCode>
                <c:ptCount val="42"/>
                <c:pt idx="0">
                  <c:v>1</c:v>
                </c:pt>
                <c:pt idx="1">
                  <c:v>1.0065180977350521</c:v>
                </c:pt>
                <c:pt idx="2">
                  <c:v>1.0132546791930668</c:v>
                </c:pt>
                <c:pt idx="3">
                  <c:v>1.0198456048357731</c:v>
                </c:pt>
                <c:pt idx="4">
                  <c:v>1.0255261816328016</c:v>
                </c:pt>
                <c:pt idx="5">
                  <c:v>1.0325176607676061</c:v>
                </c:pt>
                <c:pt idx="6">
                  <c:v>1.0406769354016459</c:v>
                </c:pt>
                <c:pt idx="7">
                  <c:v>1.0515417668050397</c:v>
                </c:pt>
                <c:pt idx="8">
                  <c:v>1.0620217027164811</c:v>
                </c:pt>
                <c:pt idx="9">
                  <c:v>1.0715850994100942</c:v>
                </c:pt>
                <c:pt idx="10">
                  <c:v>1.0817227441555606</c:v>
                </c:pt>
                <c:pt idx="11">
                  <c:v>1.0912289709416649</c:v>
                </c:pt>
                <c:pt idx="12">
                  <c:v>1.1052468866069478</c:v>
                </c:pt>
                <c:pt idx="13">
                  <c:v>1.1200629961401207</c:v>
                </c:pt>
                <c:pt idx="14">
                  <c:v>1.1364889665719902</c:v>
                </c:pt>
                <c:pt idx="15">
                  <c:v>1.1519882018789598</c:v>
                </c:pt>
                <c:pt idx="16">
                  <c:v>1.1633191318913407</c:v>
                </c:pt>
                <c:pt idx="17">
                  <c:v>1.171719466899716</c:v>
                </c:pt>
                <c:pt idx="18">
                  <c:v>1.17675442429539</c:v>
                </c:pt>
                <c:pt idx="19">
                  <c:v>1.1810924186148133</c:v>
                </c:pt>
                <c:pt idx="20">
                  <c:v>1.1903288180030589</c:v>
                </c:pt>
                <c:pt idx="21">
                  <c:v>1.2034491297065035</c:v>
                </c:pt>
                <c:pt idx="22">
                  <c:v>1.2148015439516422</c:v>
                </c:pt>
                <c:pt idx="23">
                  <c:v>1.2267737236909184</c:v>
                </c:pt>
                <c:pt idx="24">
                  <c:v>1.2407275507974658</c:v>
                </c:pt>
                <c:pt idx="25">
                  <c:v>1.2563094457796231</c:v>
                </c:pt>
                <c:pt idx="26">
                  <c:v>1.274579054693759</c:v>
                </c:pt>
                <c:pt idx="27">
                  <c:v>1.2910854999635863</c:v>
                </c:pt>
                <c:pt idx="28">
                  <c:v>1.3087287888718959</c:v>
                </c:pt>
                <c:pt idx="29">
                  <c:v>1.3261783555458453</c:v>
                </c:pt>
                <c:pt idx="30">
                  <c:v>1.3463593328963659</c:v>
                </c:pt>
                <c:pt idx="31">
                  <c:v>1.3694414099482921</c:v>
                </c:pt>
                <c:pt idx="32">
                  <c:v>1.3989367125482486</c:v>
                </c:pt>
                <c:pt idx="33">
                  <c:v>1.4315920180613211</c:v>
                </c:pt>
                <c:pt idx="34">
                  <c:v>1.4681330565872843</c:v>
                </c:pt>
                <c:pt idx="35">
                  <c:v>1.4951048721870224</c:v>
                </c:pt>
                <c:pt idx="36">
                  <c:v>1.5182310101230796</c:v>
                </c:pt>
                <c:pt idx="37">
                  <c:v>1.5533621003568572</c:v>
                </c:pt>
                <c:pt idx="38">
                  <c:v>1.5913141795936208</c:v>
                </c:pt>
                <c:pt idx="39">
                  <c:v>1.6298994974874377</c:v>
                </c:pt>
                <c:pt idx="40">
                  <c:v>1.669948292185566</c:v>
                </c:pt>
                <c:pt idx="41">
                  <c:v>1.7166947054111139</c:v>
                </c:pt>
              </c:numCache>
            </c:numRef>
          </c:val>
          <c:smooth val="0"/>
          <c:extLst>
            <c:ext xmlns:c16="http://schemas.microsoft.com/office/drawing/2014/chart" uri="{C3380CC4-5D6E-409C-BE32-E72D297353CC}">
              <c16:uniqueId val="{00000001-581C-4AB8-9106-4B8D928D6456}"/>
            </c:ext>
          </c:extLst>
        </c:ser>
        <c:ser>
          <c:idx val="2"/>
          <c:order val="2"/>
          <c:tx>
            <c:strRef>
              <c:f>Sheet1!$A$17</c:f>
              <c:strCache>
                <c:ptCount val="1"/>
                <c:pt idx="0">
                  <c:v>Brisbane</c:v>
                </c:pt>
              </c:strCache>
            </c:strRef>
          </c:tx>
          <c:spPr>
            <a:ln w="28575" cap="rnd">
              <a:solidFill>
                <a:schemeClr val="accent3"/>
              </a:solidFill>
              <a:round/>
            </a:ln>
            <a:effectLst/>
          </c:spPr>
          <c:marker>
            <c:symbol val="none"/>
          </c:marker>
          <c:cat>
            <c:numRef>
              <c:f>Sheet1!$B$14:$AQ$14</c:f>
              <c:numCache>
                <c:formatCode>General</c:formatCode>
                <c:ptCount val="42"/>
                <c:pt idx="0">
                  <c:v>1975</c:v>
                </c:pt>
                <c:pt idx="1">
                  <c:v>1976</c:v>
                </c:pt>
                <c:pt idx="2">
                  <c:v>1977</c:v>
                </c:pt>
                <c:pt idx="3">
                  <c:v>1978</c:v>
                </c:pt>
                <c:pt idx="4">
                  <c:v>1979</c:v>
                </c:pt>
                <c:pt idx="5">
                  <c:v>1980</c:v>
                </c:pt>
                <c:pt idx="6">
                  <c:v>1981</c:v>
                </c:pt>
                <c:pt idx="7">
                  <c:v>1982</c:v>
                </c:pt>
                <c:pt idx="8">
                  <c:v>1983</c:v>
                </c:pt>
                <c:pt idx="9">
                  <c:v>1984</c:v>
                </c:pt>
                <c:pt idx="10">
                  <c:v>1985</c:v>
                </c:pt>
                <c:pt idx="11">
                  <c:v>1986</c:v>
                </c:pt>
                <c:pt idx="12">
                  <c:v>1987</c:v>
                </c:pt>
                <c:pt idx="13">
                  <c:v>1988</c:v>
                </c:pt>
                <c:pt idx="14">
                  <c:v>1989</c:v>
                </c:pt>
                <c:pt idx="15">
                  <c:v>1990</c:v>
                </c:pt>
                <c:pt idx="16">
                  <c:v>1991</c:v>
                </c:pt>
                <c:pt idx="17">
                  <c:v>1992</c:v>
                </c:pt>
                <c:pt idx="18">
                  <c:v>1993</c:v>
                </c:pt>
                <c:pt idx="19">
                  <c:v>1994</c:v>
                </c:pt>
                <c:pt idx="20">
                  <c:v>1995</c:v>
                </c:pt>
                <c:pt idx="21">
                  <c:v>1996</c:v>
                </c:pt>
                <c:pt idx="22">
                  <c:v>1997</c:v>
                </c:pt>
                <c:pt idx="23">
                  <c:v>1998</c:v>
                </c:pt>
                <c:pt idx="24">
                  <c:v>1999</c:v>
                </c:pt>
                <c:pt idx="25">
                  <c:v>2000</c:v>
                </c:pt>
                <c:pt idx="26">
                  <c:v>2001</c:v>
                </c:pt>
                <c:pt idx="27">
                  <c:v>2002</c:v>
                </c:pt>
                <c:pt idx="28">
                  <c:v>2003</c:v>
                </c:pt>
                <c:pt idx="29">
                  <c:v>2004</c:v>
                </c:pt>
                <c:pt idx="30">
                  <c:v>2005</c:v>
                </c:pt>
                <c:pt idx="31">
                  <c:v>2006</c:v>
                </c:pt>
                <c:pt idx="32">
                  <c:v>2007</c:v>
                </c:pt>
                <c:pt idx="33">
                  <c:v>2008</c:v>
                </c:pt>
                <c:pt idx="34">
                  <c:v>2009</c:v>
                </c:pt>
                <c:pt idx="35">
                  <c:v>2010</c:v>
                </c:pt>
                <c:pt idx="36">
                  <c:v>2011</c:v>
                </c:pt>
                <c:pt idx="37">
                  <c:v>2012</c:v>
                </c:pt>
                <c:pt idx="38">
                  <c:v>2013</c:v>
                </c:pt>
                <c:pt idx="39">
                  <c:v>2014</c:v>
                </c:pt>
                <c:pt idx="40">
                  <c:v>2015</c:v>
                </c:pt>
                <c:pt idx="41">
                  <c:v>2016</c:v>
                </c:pt>
              </c:numCache>
            </c:numRef>
          </c:cat>
          <c:val>
            <c:numRef>
              <c:f>Sheet1!$B$17:$AQ$17</c:f>
              <c:numCache>
                <c:formatCode>General</c:formatCode>
                <c:ptCount val="42"/>
                <c:pt idx="0">
                  <c:v>1</c:v>
                </c:pt>
                <c:pt idx="1">
                  <c:v>1.0153536128970349</c:v>
                </c:pt>
                <c:pt idx="2">
                  <c:v>1.0303233854716438</c:v>
                </c:pt>
                <c:pt idx="3">
                  <c:v>1.0460608386911046</c:v>
                </c:pt>
                <c:pt idx="4">
                  <c:v>1.0612225314269264</c:v>
                </c:pt>
                <c:pt idx="5">
                  <c:v>1.0806064677094327</c:v>
                </c:pt>
                <c:pt idx="6">
                  <c:v>1.1080558487669128</c:v>
                </c:pt>
                <c:pt idx="7">
                  <c:v>1.1427214278859992</c:v>
                </c:pt>
                <c:pt idx="8">
                  <c:v>1.1645782554457342</c:v>
                </c:pt>
                <c:pt idx="9">
                  <c:v>1.1778658478073118</c:v>
                </c:pt>
                <c:pt idx="10">
                  <c:v>1.1947778524133958</c:v>
                </c:pt>
                <c:pt idx="11">
                  <c:v>1.2140044141637079</c:v>
                </c:pt>
                <c:pt idx="12">
                  <c:v>1.2345600230304195</c:v>
                </c:pt>
                <c:pt idx="13">
                  <c:v>1.2600009596008062</c:v>
                </c:pt>
                <c:pt idx="14">
                  <c:v>1.2952144707801556</c:v>
                </c:pt>
                <c:pt idx="15">
                  <c:v>1.3266030131465312</c:v>
                </c:pt>
                <c:pt idx="16">
                  <c:v>1.3547385087803474</c:v>
                </c:pt>
                <c:pt idx="17">
                  <c:v>1.3776163515977353</c:v>
                </c:pt>
                <c:pt idx="18">
                  <c:v>1.4053430572881682</c:v>
                </c:pt>
                <c:pt idx="19">
                  <c:v>1.4343527492563095</c:v>
                </c:pt>
                <c:pt idx="20">
                  <c:v>1.4661625563765475</c:v>
                </c:pt>
                <c:pt idx="21">
                  <c:v>1.4972612992994914</c:v>
                </c:pt>
                <c:pt idx="22">
                  <c:v>1.5200902024757701</c:v>
                </c:pt>
                <c:pt idx="23">
                  <c:v>1.5424489012570772</c:v>
                </c:pt>
                <c:pt idx="24">
                  <c:v>1.5662690720660206</c:v>
                </c:pt>
                <c:pt idx="25">
                  <c:v>1.593573553401785</c:v>
                </c:pt>
                <c:pt idx="26">
                  <c:v>1.6251377027156702</c:v>
                </c:pt>
                <c:pt idx="27">
                  <c:v>1.665607907110642</c:v>
                </c:pt>
                <c:pt idx="28">
                  <c:v>1.7087131753190672</c:v>
                </c:pt>
                <c:pt idx="29">
                  <c:v>1.7498282314557143</c:v>
                </c:pt>
                <c:pt idx="30">
                  <c:v>1.7908166202859608</c:v>
                </c:pt>
                <c:pt idx="31">
                  <c:v>1.8311726321850108</c:v>
                </c:pt>
                <c:pt idx="32">
                  <c:v>1.8797687362057383</c:v>
                </c:pt>
                <c:pt idx="33">
                  <c:v>1.9309125803665674</c:v>
                </c:pt>
                <c:pt idx="34">
                  <c:v>1.9849141157278569</c:v>
                </c:pt>
                <c:pt idx="35">
                  <c:v>2.0231724402648497</c:v>
                </c:pt>
                <c:pt idx="36">
                  <c:v>2.0606813165723055</c:v>
                </c:pt>
                <c:pt idx="37">
                  <c:v>2.1075597351501769</c:v>
                </c:pt>
                <c:pt idx="38">
                  <c:v>2.1513712695518654</c:v>
                </c:pt>
                <c:pt idx="39">
                  <c:v>2.1895595432300152</c:v>
                </c:pt>
                <c:pt idx="40">
                  <c:v>2.2249812877842805</c:v>
                </c:pt>
                <c:pt idx="41">
                  <c:v>2.2672219556664417</c:v>
                </c:pt>
              </c:numCache>
            </c:numRef>
          </c:val>
          <c:smooth val="0"/>
          <c:extLst>
            <c:ext xmlns:c16="http://schemas.microsoft.com/office/drawing/2014/chart" uri="{C3380CC4-5D6E-409C-BE32-E72D297353CC}">
              <c16:uniqueId val="{00000002-581C-4AB8-9106-4B8D928D6456}"/>
            </c:ext>
          </c:extLst>
        </c:ser>
        <c:ser>
          <c:idx val="3"/>
          <c:order val="3"/>
          <c:tx>
            <c:strRef>
              <c:f>Sheet1!$A$18</c:f>
              <c:strCache>
                <c:ptCount val="1"/>
                <c:pt idx="0">
                  <c:v>CPI</c:v>
                </c:pt>
              </c:strCache>
            </c:strRef>
          </c:tx>
          <c:spPr>
            <a:ln w="28575" cap="rnd">
              <a:solidFill>
                <a:schemeClr val="accent4"/>
              </a:solidFill>
              <a:round/>
            </a:ln>
            <a:effectLst/>
          </c:spPr>
          <c:marker>
            <c:symbol val="none"/>
          </c:marker>
          <c:cat>
            <c:numRef>
              <c:f>Sheet1!$B$14:$AQ$14</c:f>
              <c:numCache>
                <c:formatCode>General</c:formatCode>
                <c:ptCount val="42"/>
                <c:pt idx="0">
                  <c:v>1975</c:v>
                </c:pt>
                <c:pt idx="1">
                  <c:v>1976</c:v>
                </c:pt>
                <c:pt idx="2">
                  <c:v>1977</c:v>
                </c:pt>
                <c:pt idx="3">
                  <c:v>1978</c:v>
                </c:pt>
                <c:pt idx="4">
                  <c:v>1979</c:v>
                </c:pt>
                <c:pt idx="5">
                  <c:v>1980</c:v>
                </c:pt>
                <c:pt idx="6">
                  <c:v>1981</c:v>
                </c:pt>
                <c:pt idx="7">
                  <c:v>1982</c:v>
                </c:pt>
                <c:pt idx="8">
                  <c:v>1983</c:v>
                </c:pt>
                <c:pt idx="9">
                  <c:v>1984</c:v>
                </c:pt>
                <c:pt idx="10">
                  <c:v>1985</c:v>
                </c:pt>
                <c:pt idx="11">
                  <c:v>1986</c:v>
                </c:pt>
                <c:pt idx="12">
                  <c:v>1987</c:v>
                </c:pt>
                <c:pt idx="13">
                  <c:v>1988</c:v>
                </c:pt>
                <c:pt idx="14">
                  <c:v>1989</c:v>
                </c:pt>
                <c:pt idx="15">
                  <c:v>1990</c:v>
                </c:pt>
                <c:pt idx="16">
                  <c:v>1991</c:v>
                </c:pt>
                <c:pt idx="17">
                  <c:v>1992</c:v>
                </c:pt>
                <c:pt idx="18">
                  <c:v>1993</c:v>
                </c:pt>
                <c:pt idx="19">
                  <c:v>1994</c:v>
                </c:pt>
                <c:pt idx="20">
                  <c:v>1995</c:v>
                </c:pt>
                <c:pt idx="21">
                  <c:v>1996</c:v>
                </c:pt>
                <c:pt idx="22">
                  <c:v>1997</c:v>
                </c:pt>
                <c:pt idx="23">
                  <c:v>1998</c:v>
                </c:pt>
                <c:pt idx="24">
                  <c:v>1999</c:v>
                </c:pt>
                <c:pt idx="25">
                  <c:v>2000</c:v>
                </c:pt>
                <c:pt idx="26">
                  <c:v>2001</c:v>
                </c:pt>
                <c:pt idx="27">
                  <c:v>2002</c:v>
                </c:pt>
                <c:pt idx="28">
                  <c:v>2003</c:v>
                </c:pt>
                <c:pt idx="29">
                  <c:v>2004</c:v>
                </c:pt>
                <c:pt idx="30">
                  <c:v>2005</c:v>
                </c:pt>
                <c:pt idx="31">
                  <c:v>2006</c:v>
                </c:pt>
                <c:pt idx="32">
                  <c:v>2007</c:v>
                </c:pt>
                <c:pt idx="33">
                  <c:v>2008</c:v>
                </c:pt>
                <c:pt idx="34">
                  <c:v>2009</c:v>
                </c:pt>
                <c:pt idx="35">
                  <c:v>2010</c:v>
                </c:pt>
                <c:pt idx="36">
                  <c:v>2011</c:v>
                </c:pt>
                <c:pt idx="37">
                  <c:v>2012</c:v>
                </c:pt>
                <c:pt idx="38">
                  <c:v>2013</c:v>
                </c:pt>
                <c:pt idx="39">
                  <c:v>2014</c:v>
                </c:pt>
                <c:pt idx="40">
                  <c:v>2015</c:v>
                </c:pt>
                <c:pt idx="41">
                  <c:v>2016</c:v>
                </c:pt>
              </c:numCache>
            </c:numRef>
          </c:cat>
          <c:val>
            <c:numRef>
              <c:f>Sheet1!$B$18:$AQ$18</c:f>
              <c:numCache>
                <c:formatCode>General</c:formatCode>
                <c:ptCount val="42"/>
                <c:pt idx="0">
                  <c:v>1</c:v>
                </c:pt>
                <c:pt idx="1">
                  <c:v>1.120253164556962</c:v>
                </c:pt>
                <c:pt idx="2">
                  <c:v>1.2721518987341773</c:v>
                </c:pt>
                <c:pt idx="3">
                  <c:v>1.3734177215189873</c:v>
                </c:pt>
                <c:pt idx="4">
                  <c:v>1.4936708860759496</c:v>
                </c:pt>
                <c:pt idx="5">
                  <c:v>1.658227848101266</c:v>
                </c:pt>
                <c:pt idx="6">
                  <c:v>1.79746835443038</c:v>
                </c:pt>
                <c:pt idx="7">
                  <c:v>1.9936708860759496</c:v>
                </c:pt>
                <c:pt idx="8">
                  <c:v>2.2151898734177218</c:v>
                </c:pt>
                <c:pt idx="9">
                  <c:v>2.3037974683544307</c:v>
                </c:pt>
                <c:pt idx="10">
                  <c:v>2.4556962025316458</c:v>
                </c:pt>
                <c:pt idx="11">
                  <c:v>2.6645569620253169</c:v>
                </c:pt>
                <c:pt idx="12">
                  <c:v>2.9113924050632911</c:v>
                </c:pt>
                <c:pt idx="13">
                  <c:v>3.1202531645569618</c:v>
                </c:pt>
                <c:pt idx="14">
                  <c:v>3.3544303797468356</c:v>
                </c:pt>
                <c:pt idx="15">
                  <c:v>3.613924050632912</c:v>
                </c:pt>
                <c:pt idx="16">
                  <c:v>3.7341772151898738</c:v>
                </c:pt>
                <c:pt idx="17">
                  <c:v>3.7784810126582289</c:v>
                </c:pt>
                <c:pt idx="18">
                  <c:v>3.8481012658227853</c:v>
                </c:pt>
                <c:pt idx="19">
                  <c:v>3.9177215189873427</c:v>
                </c:pt>
                <c:pt idx="20">
                  <c:v>4.0949367088607609</c:v>
                </c:pt>
                <c:pt idx="21">
                  <c:v>4.2215189873417733</c:v>
                </c:pt>
                <c:pt idx="22">
                  <c:v>4.2341772151898747</c:v>
                </c:pt>
                <c:pt idx="23">
                  <c:v>4.265822784810128</c:v>
                </c:pt>
                <c:pt idx="24">
                  <c:v>4.3101265822784818</c:v>
                </c:pt>
                <c:pt idx="25">
                  <c:v>4.4430379746835449</c:v>
                </c:pt>
                <c:pt idx="26">
                  <c:v>4.7151898734177218</c:v>
                </c:pt>
                <c:pt idx="27">
                  <c:v>4.8481012658227849</c:v>
                </c:pt>
                <c:pt idx="28">
                  <c:v>4.9746835443037973</c:v>
                </c:pt>
                <c:pt idx="29">
                  <c:v>5.1012658227848098</c:v>
                </c:pt>
                <c:pt idx="30">
                  <c:v>5.2278481012658222</c:v>
                </c:pt>
                <c:pt idx="31">
                  <c:v>5.4367088607594933</c:v>
                </c:pt>
                <c:pt idx="32">
                  <c:v>5.5506329113924053</c:v>
                </c:pt>
                <c:pt idx="33">
                  <c:v>5.7974683544303787</c:v>
                </c:pt>
                <c:pt idx="34">
                  <c:v>5.8797468354430373</c:v>
                </c:pt>
                <c:pt idx="35">
                  <c:v>6.0632911392405058</c:v>
                </c:pt>
                <c:pt idx="36">
                  <c:v>6.2784810126582284</c:v>
                </c:pt>
                <c:pt idx="37">
                  <c:v>6.3544303797468364</c:v>
                </c:pt>
                <c:pt idx="38">
                  <c:v>6.5063291139240516</c:v>
                </c:pt>
                <c:pt idx="39">
                  <c:v>6.7025316455696222</c:v>
                </c:pt>
                <c:pt idx="40">
                  <c:v>6.803797468354432</c:v>
                </c:pt>
                <c:pt idx="41">
                  <c:v>6.8734177215189884</c:v>
                </c:pt>
              </c:numCache>
            </c:numRef>
          </c:val>
          <c:smooth val="0"/>
          <c:extLst>
            <c:ext xmlns:c16="http://schemas.microsoft.com/office/drawing/2014/chart" uri="{C3380CC4-5D6E-409C-BE32-E72D297353CC}">
              <c16:uniqueId val="{00000003-581C-4AB8-9106-4B8D928D6456}"/>
            </c:ext>
          </c:extLst>
        </c:ser>
        <c:dLbls>
          <c:showLegendKey val="0"/>
          <c:showVal val="0"/>
          <c:showCatName val="0"/>
          <c:showSerName val="0"/>
          <c:showPercent val="0"/>
          <c:showBubbleSize val="0"/>
        </c:dLbls>
        <c:smooth val="0"/>
        <c:axId val="766203920"/>
        <c:axId val="766205888"/>
      </c:lineChart>
      <c:catAx>
        <c:axId val="7662039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66205888"/>
        <c:crosses val="autoZero"/>
        <c:auto val="1"/>
        <c:lblAlgn val="ctr"/>
        <c:lblOffset val="100"/>
        <c:noMultiLvlLbl val="0"/>
      </c:catAx>
      <c:valAx>
        <c:axId val="76620588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662039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9599</Words>
  <Characters>51547</Characters>
  <Application>Microsoft Office Word</Application>
  <DocSecurity>0</DocSecurity>
  <Lines>2577</Lines>
  <Paragraphs>2183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58963</CharactersWithSpaces>
  <SharedDoc>false</SharedDoc>
  <HyperlinkBase/>
  <HLinks>
    <vt:vector size="216" baseType="variant">
      <vt:variant>
        <vt:i4>2097192</vt:i4>
      </vt:variant>
      <vt:variant>
        <vt:i4>159</vt:i4>
      </vt:variant>
      <vt:variant>
        <vt:i4>0</vt:i4>
      </vt:variant>
      <vt:variant>
        <vt:i4>5</vt:i4>
      </vt:variant>
      <vt:variant>
        <vt:lpwstr>https://www.acma.gov.au/privacy-policy</vt:lpwstr>
      </vt:variant>
      <vt:variant>
        <vt:lpwstr/>
      </vt:variant>
      <vt:variant>
        <vt:i4>3473455</vt:i4>
      </vt:variant>
      <vt:variant>
        <vt:i4>156</vt:i4>
      </vt:variant>
      <vt:variant>
        <vt:i4>0</vt:i4>
      </vt:variant>
      <vt:variant>
        <vt:i4>5</vt:i4>
      </vt:variant>
      <vt:variant>
        <vt:lpwstr>https://www.acma.gov.au/publication-submissions</vt:lpwstr>
      </vt:variant>
      <vt:variant>
        <vt:lpwstr/>
      </vt:variant>
      <vt:variant>
        <vt:i4>7602187</vt:i4>
      </vt:variant>
      <vt:variant>
        <vt:i4>153</vt:i4>
      </vt:variant>
      <vt:variant>
        <vt:i4>0</vt:i4>
      </vt:variant>
      <vt:variant>
        <vt:i4>5</vt:i4>
      </vt:variant>
      <vt:variant>
        <vt:lpwstr>mailto:spectrumpricing@acma.gov.au</vt:lpwstr>
      </vt:variant>
      <vt:variant>
        <vt:lpwstr/>
      </vt:variant>
      <vt:variant>
        <vt:i4>5308427</vt:i4>
      </vt:variant>
      <vt:variant>
        <vt:i4>150</vt:i4>
      </vt:variant>
      <vt:variant>
        <vt:i4>0</vt:i4>
      </vt:variant>
      <vt:variant>
        <vt:i4>5</vt:i4>
      </vt:variant>
      <vt:variant>
        <vt:lpwstr>https://www.acma.gov.au/have-your-say</vt:lpwstr>
      </vt:variant>
      <vt:variant>
        <vt:lpwstr/>
      </vt:variant>
      <vt:variant>
        <vt:i4>65559</vt:i4>
      </vt:variant>
      <vt:variant>
        <vt:i4>147</vt:i4>
      </vt:variant>
      <vt:variant>
        <vt:i4>0</vt:i4>
      </vt:variant>
      <vt:variant>
        <vt:i4>5</vt:i4>
      </vt:variant>
      <vt:variant>
        <vt:lpwstr>https://www.acma.gov.au/publications/2022-10/guide/apparatus-licence-fee-schedule</vt:lpwstr>
      </vt:variant>
      <vt:variant>
        <vt:lpwstr/>
      </vt:variant>
      <vt:variant>
        <vt:i4>655425</vt:i4>
      </vt:variant>
      <vt:variant>
        <vt:i4>144</vt:i4>
      </vt:variant>
      <vt:variant>
        <vt:i4>0</vt:i4>
      </vt:variant>
      <vt:variant>
        <vt:i4>5</vt:i4>
      </vt:variant>
      <vt:variant>
        <vt:lpwstr>https://www.acma.gov.au/publications/2019-11/instruction/72-ghz-7100-7425-mhz</vt:lpwstr>
      </vt:variant>
      <vt:variant>
        <vt:lpwstr/>
      </vt:variant>
      <vt:variant>
        <vt:i4>327759</vt:i4>
      </vt:variant>
      <vt:variant>
        <vt:i4>141</vt:i4>
      </vt:variant>
      <vt:variant>
        <vt:i4>0</vt:i4>
      </vt:variant>
      <vt:variant>
        <vt:i4>5</vt:i4>
      </vt:variant>
      <vt:variant>
        <vt:lpwstr>https://www.acma.gov.au/consultations/2021-10/response-implementation-spectrum-pricing-review-part-2-consultation-382021</vt:lpwstr>
      </vt:variant>
      <vt:variant>
        <vt:lpwstr/>
      </vt:variant>
      <vt:variant>
        <vt:i4>65559</vt:i4>
      </vt:variant>
      <vt:variant>
        <vt:i4>138</vt:i4>
      </vt:variant>
      <vt:variant>
        <vt:i4>0</vt:i4>
      </vt:variant>
      <vt:variant>
        <vt:i4>5</vt:i4>
      </vt:variant>
      <vt:variant>
        <vt:lpwstr>https://www.acma.gov.au/publications/2022-10/guide/apparatus-licence-fee-schedule</vt:lpwstr>
      </vt:variant>
      <vt:variant>
        <vt:lpwstr/>
      </vt:variant>
      <vt:variant>
        <vt:i4>6750267</vt:i4>
      </vt:variant>
      <vt:variant>
        <vt:i4>135</vt:i4>
      </vt:variant>
      <vt:variant>
        <vt:i4>0</vt:i4>
      </vt:variant>
      <vt:variant>
        <vt:i4>5</vt:i4>
      </vt:variant>
      <vt:variant>
        <vt:lpwstr>https://www.abs.gov.au/statistics/people/population/regional-population/latest-release</vt:lpwstr>
      </vt:variant>
      <vt:variant>
        <vt:lpwstr/>
      </vt:variant>
      <vt:variant>
        <vt:i4>7536748</vt:i4>
      </vt:variant>
      <vt:variant>
        <vt:i4>132</vt:i4>
      </vt:variant>
      <vt:variant>
        <vt:i4>0</vt:i4>
      </vt:variant>
      <vt:variant>
        <vt:i4>5</vt:i4>
      </vt:variant>
      <vt:variant>
        <vt:lpwstr>https://www.abs.gov.au/statistics/standards/australian-statistical-geography-standard-asgs-edition-3/jul2021-jun2026/significant-urban-areas-urban-centres-and-localities-section-state/significant-urban-areas</vt:lpwstr>
      </vt:variant>
      <vt:variant>
        <vt:lpwstr/>
      </vt:variant>
      <vt:variant>
        <vt:i4>327759</vt:i4>
      </vt:variant>
      <vt:variant>
        <vt:i4>129</vt:i4>
      </vt:variant>
      <vt:variant>
        <vt:i4>0</vt:i4>
      </vt:variant>
      <vt:variant>
        <vt:i4>5</vt:i4>
      </vt:variant>
      <vt:variant>
        <vt:lpwstr>https://www.acma.gov.au/consultations/2021-10/response-implementation-spectrum-pricing-review-part-2-consultation-382021</vt:lpwstr>
      </vt:variant>
      <vt:variant>
        <vt:lpwstr/>
      </vt:variant>
      <vt:variant>
        <vt:i4>327759</vt:i4>
      </vt:variant>
      <vt:variant>
        <vt:i4>126</vt:i4>
      </vt:variant>
      <vt:variant>
        <vt:i4>0</vt:i4>
      </vt:variant>
      <vt:variant>
        <vt:i4>5</vt:i4>
      </vt:variant>
      <vt:variant>
        <vt:lpwstr>https://www.acma.gov.au/consultations/2021-10/response-implementation-spectrum-pricing-review-part-2-consultation-382021</vt:lpwstr>
      </vt:variant>
      <vt:variant>
        <vt:lpwstr/>
      </vt:variant>
      <vt:variant>
        <vt:i4>5898302</vt:i4>
      </vt:variant>
      <vt:variant>
        <vt:i4>123</vt:i4>
      </vt:variant>
      <vt:variant>
        <vt:i4>0</vt:i4>
      </vt:variant>
      <vt:variant>
        <vt:i4>5</vt:i4>
      </vt:variant>
      <vt:variant>
        <vt:lpwstr>https://www.acma.gov.au/sites/default/files/2022-07/Outcomes paper_ACMA Spectrum Pricing Review.docx</vt:lpwstr>
      </vt:variant>
      <vt:variant>
        <vt:lpwstr/>
      </vt:variant>
      <vt:variant>
        <vt:i4>1179709</vt:i4>
      </vt:variant>
      <vt:variant>
        <vt:i4>116</vt:i4>
      </vt:variant>
      <vt:variant>
        <vt:i4>0</vt:i4>
      </vt:variant>
      <vt:variant>
        <vt:i4>5</vt:i4>
      </vt:variant>
      <vt:variant>
        <vt:lpwstr/>
      </vt:variant>
      <vt:variant>
        <vt:lpwstr>_Toc126322867</vt:lpwstr>
      </vt:variant>
      <vt:variant>
        <vt:i4>1179709</vt:i4>
      </vt:variant>
      <vt:variant>
        <vt:i4>110</vt:i4>
      </vt:variant>
      <vt:variant>
        <vt:i4>0</vt:i4>
      </vt:variant>
      <vt:variant>
        <vt:i4>5</vt:i4>
      </vt:variant>
      <vt:variant>
        <vt:lpwstr/>
      </vt:variant>
      <vt:variant>
        <vt:lpwstr>_Toc126322866</vt:lpwstr>
      </vt:variant>
      <vt:variant>
        <vt:i4>1179709</vt:i4>
      </vt:variant>
      <vt:variant>
        <vt:i4>104</vt:i4>
      </vt:variant>
      <vt:variant>
        <vt:i4>0</vt:i4>
      </vt:variant>
      <vt:variant>
        <vt:i4>5</vt:i4>
      </vt:variant>
      <vt:variant>
        <vt:lpwstr/>
      </vt:variant>
      <vt:variant>
        <vt:lpwstr>_Toc126322865</vt:lpwstr>
      </vt:variant>
      <vt:variant>
        <vt:i4>1179709</vt:i4>
      </vt:variant>
      <vt:variant>
        <vt:i4>98</vt:i4>
      </vt:variant>
      <vt:variant>
        <vt:i4>0</vt:i4>
      </vt:variant>
      <vt:variant>
        <vt:i4>5</vt:i4>
      </vt:variant>
      <vt:variant>
        <vt:lpwstr/>
      </vt:variant>
      <vt:variant>
        <vt:lpwstr>_Toc126322864</vt:lpwstr>
      </vt:variant>
      <vt:variant>
        <vt:i4>1179709</vt:i4>
      </vt:variant>
      <vt:variant>
        <vt:i4>92</vt:i4>
      </vt:variant>
      <vt:variant>
        <vt:i4>0</vt:i4>
      </vt:variant>
      <vt:variant>
        <vt:i4>5</vt:i4>
      </vt:variant>
      <vt:variant>
        <vt:lpwstr/>
      </vt:variant>
      <vt:variant>
        <vt:lpwstr>_Toc126322863</vt:lpwstr>
      </vt:variant>
      <vt:variant>
        <vt:i4>1179709</vt:i4>
      </vt:variant>
      <vt:variant>
        <vt:i4>86</vt:i4>
      </vt:variant>
      <vt:variant>
        <vt:i4>0</vt:i4>
      </vt:variant>
      <vt:variant>
        <vt:i4>5</vt:i4>
      </vt:variant>
      <vt:variant>
        <vt:lpwstr/>
      </vt:variant>
      <vt:variant>
        <vt:lpwstr>_Toc126322862</vt:lpwstr>
      </vt:variant>
      <vt:variant>
        <vt:i4>1179709</vt:i4>
      </vt:variant>
      <vt:variant>
        <vt:i4>80</vt:i4>
      </vt:variant>
      <vt:variant>
        <vt:i4>0</vt:i4>
      </vt:variant>
      <vt:variant>
        <vt:i4>5</vt:i4>
      </vt:variant>
      <vt:variant>
        <vt:lpwstr/>
      </vt:variant>
      <vt:variant>
        <vt:lpwstr>_Toc126322861</vt:lpwstr>
      </vt:variant>
      <vt:variant>
        <vt:i4>1179709</vt:i4>
      </vt:variant>
      <vt:variant>
        <vt:i4>74</vt:i4>
      </vt:variant>
      <vt:variant>
        <vt:i4>0</vt:i4>
      </vt:variant>
      <vt:variant>
        <vt:i4>5</vt:i4>
      </vt:variant>
      <vt:variant>
        <vt:lpwstr/>
      </vt:variant>
      <vt:variant>
        <vt:lpwstr>_Toc126322860</vt:lpwstr>
      </vt:variant>
      <vt:variant>
        <vt:i4>1114173</vt:i4>
      </vt:variant>
      <vt:variant>
        <vt:i4>68</vt:i4>
      </vt:variant>
      <vt:variant>
        <vt:i4>0</vt:i4>
      </vt:variant>
      <vt:variant>
        <vt:i4>5</vt:i4>
      </vt:variant>
      <vt:variant>
        <vt:lpwstr/>
      </vt:variant>
      <vt:variant>
        <vt:lpwstr>_Toc126322859</vt:lpwstr>
      </vt:variant>
      <vt:variant>
        <vt:i4>1114173</vt:i4>
      </vt:variant>
      <vt:variant>
        <vt:i4>62</vt:i4>
      </vt:variant>
      <vt:variant>
        <vt:i4>0</vt:i4>
      </vt:variant>
      <vt:variant>
        <vt:i4>5</vt:i4>
      </vt:variant>
      <vt:variant>
        <vt:lpwstr/>
      </vt:variant>
      <vt:variant>
        <vt:lpwstr>_Toc126322858</vt:lpwstr>
      </vt:variant>
      <vt:variant>
        <vt:i4>1114173</vt:i4>
      </vt:variant>
      <vt:variant>
        <vt:i4>56</vt:i4>
      </vt:variant>
      <vt:variant>
        <vt:i4>0</vt:i4>
      </vt:variant>
      <vt:variant>
        <vt:i4>5</vt:i4>
      </vt:variant>
      <vt:variant>
        <vt:lpwstr/>
      </vt:variant>
      <vt:variant>
        <vt:lpwstr>_Toc126322857</vt:lpwstr>
      </vt:variant>
      <vt:variant>
        <vt:i4>1114173</vt:i4>
      </vt:variant>
      <vt:variant>
        <vt:i4>50</vt:i4>
      </vt:variant>
      <vt:variant>
        <vt:i4>0</vt:i4>
      </vt:variant>
      <vt:variant>
        <vt:i4>5</vt:i4>
      </vt:variant>
      <vt:variant>
        <vt:lpwstr/>
      </vt:variant>
      <vt:variant>
        <vt:lpwstr>_Toc126322856</vt:lpwstr>
      </vt:variant>
      <vt:variant>
        <vt:i4>1114173</vt:i4>
      </vt:variant>
      <vt:variant>
        <vt:i4>44</vt:i4>
      </vt:variant>
      <vt:variant>
        <vt:i4>0</vt:i4>
      </vt:variant>
      <vt:variant>
        <vt:i4>5</vt:i4>
      </vt:variant>
      <vt:variant>
        <vt:lpwstr/>
      </vt:variant>
      <vt:variant>
        <vt:lpwstr>_Toc126322855</vt:lpwstr>
      </vt:variant>
      <vt:variant>
        <vt:i4>1114173</vt:i4>
      </vt:variant>
      <vt:variant>
        <vt:i4>38</vt:i4>
      </vt:variant>
      <vt:variant>
        <vt:i4>0</vt:i4>
      </vt:variant>
      <vt:variant>
        <vt:i4>5</vt:i4>
      </vt:variant>
      <vt:variant>
        <vt:lpwstr/>
      </vt:variant>
      <vt:variant>
        <vt:lpwstr>_Toc126322854</vt:lpwstr>
      </vt:variant>
      <vt:variant>
        <vt:i4>1114173</vt:i4>
      </vt:variant>
      <vt:variant>
        <vt:i4>32</vt:i4>
      </vt:variant>
      <vt:variant>
        <vt:i4>0</vt:i4>
      </vt:variant>
      <vt:variant>
        <vt:i4>5</vt:i4>
      </vt:variant>
      <vt:variant>
        <vt:lpwstr/>
      </vt:variant>
      <vt:variant>
        <vt:lpwstr>_Toc126322853</vt:lpwstr>
      </vt:variant>
      <vt:variant>
        <vt:i4>1114173</vt:i4>
      </vt:variant>
      <vt:variant>
        <vt:i4>26</vt:i4>
      </vt:variant>
      <vt:variant>
        <vt:i4>0</vt:i4>
      </vt:variant>
      <vt:variant>
        <vt:i4>5</vt:i4>
      </vt:variant>
      <vt:variant>
        <vt:lpwstr/>
      </vt:variant>
      <vt:variant>
        <vt:lpwstr>_Toc126322852</vt:lpwstr>
      </vt:variant>
      <vt:variant>
        <vt:i4>1114173</vt:i4>
      </vt:variant>
      <vt:variant>
        <vt:i4>20</vt:i4>
      </vt:variant>
      <vt:variant>
        <vt:i4>0</vt:i4>
      </vt:variant>
      <vt:variant>
        <vt:i4>5</vt:i4>
      </vt:variant>
      <vt:variant>
        <vt:lpwstr/>
      </vt:variant>
      <vt:variant>
        <vt:lpwstr>_Toc126322851</vt:lpwstr>
      </vt:variant>
      <vt:variant>
        <vt:i4>1114173</vt:i4>
      </vt:variant>
      <vt:variant>
        <vt:i4>14</vt:i4>
      </vt:variant>
      <vt:variant>
        <vt:i4>0</vt:i4>
      </vt:variant>
      <vt:variant>
        <vt:i4>5</vt:i4>
      </vt:variant>
      <vt:variant>
        <vt:lpwstr/>
      </vt:variant>
      <vt:variant>
        <vt:lpwstr>_Toc126322850</vt:lpwstr>
      </vt:variant>
      <vt:variant>
        <vt:i4>1048637</vt:i4>
      </vt:variant>
      <vt:variant>
        <vt:i4>8</vt:i4>
      </vt:variant>
      <vt:variant>
        <vt:i4>0</vt:i4>
      </vt:variant>
      <vt:variant>
        <vt:i4>5</vt:i4>
      </vt:variant>
      <vt:variant>
        <vt:lpwstr/>
      </vt:variant>
      <vt:variant>
        <vt:lpwstr>_Toc126322849</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7667725</vt:i4>
      </vt:variant>
      <vt:variant>
        <vt:i4>3</vt:i4>
      </vt:variant>
      <vt:variant>
        <vt:i4>0</vt:i4>
      </vt:variant>
      <vt:variant>
        <vt:i4>5</vt:i4>
      </vt:variant>
      <vt:variant>
        <vt:lpwstr>https://www.acma.gov.au/sites/default/files/2022-08/RALI FX21_0.docx</vt:lpwstr>
      </vt:variant>
      <vt:variant>
        <vt:lpwstr/>
      </vt:variant>
      <vt:variant>
        <vt:i4>4980810</vt:i4>
      </vt:variant>
      <vt:variant>
        <vt:i4>0</vt:i4>
      </vt:variant>
      <vt:variant>
        <vt:i4>0</vt:i4>
      </vt:variant>
      <vt:variant>
        <vt:i4>5</vt:i4>
      </vt:variant>
      <vt:variant>
        <vt:lpwstr>https://www.acma.gov.au/television-outside-broadcast-13-ghz-band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2023-03-22T00:07:00Z</dcterms:created>
  <dcterms:modified xsi:type="dcterms:W3CDTF">2023-03-22T00:16:00Z</dcterms:modified>
  <cp:category/>
</cp:coreProperties>
</file>