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80C8A" w14:textId="77777777" w:rsidR="004D086D" w:rsidRPr="0004117E" w:rsidRDefault="004D086D" w:rsidP="00123BC4">
      <w:pPr>
        <w:tabs>
          <w:tab w:val="num" w:pos="295"/>
        </w:tabs>
        <w:spacing w:after="0" w:line="240" w:lineRule="auto"/>
        <w:jc w:val="both"/>
        <w:rPr>
          <w:rFonts w:cstheme="minorHAnsi"/>
          <w:sz w:val="24"/>
        </w:rPr>
      </w:pPr>
      <w:r w:rsidRPr="0004117E">
        <w:rPr>
          <w:rFonts w:cstheme="minorHAnsi"/>
          <w:sz w:val="24"/>
        </w:rPr>
        <w:t>The Manager</w:t>
      </w:r>
    </w:p>
    <w:p w14:paraId="6B2C5BB4" w14:textId="77777777" w:rsidR="00F07D4E" w:rsidRPr="00A00DF4" w:rsidRDefault="00F07D4E" w:rsidP="00F07D4E">
      <w:pPr>
        <w:spacing w:after="0"/>
        <w:rPr>
          <w:szCs w:val="20"/>
        </w:rPr>
      </w:pPr>
      <w:r w:rsidRPr="00A00DF4">
        <w:rPr>
          <w:szCs w:val="20"/>
        </w:rPr>
        <w:t>Spectrum Planning Section</w:t>
      </w:r>
    </w:p>
    <w:p w14:paraId="1FC6ED8C" w14:textId="77777777" w:rsidR="00F07D4E" w:rsidRPr="00A00DF4" w:rsidRDefault="00F07D4E" w:rsidP="00F07D4E">
      <w:pPr>
        <w:spacing w:after="0"/>
        <w:rPr>
          <w:szCs w:val="20"/>
        </w:rPr>
      </w:pPr>
      <w:r w:rsidRPr="00A00DF4">
        <w:rPr>
          <w:szCs w:val="20"/>
        </w:rPr>
        <w:t>Australian Communications and Media Authority</w:t>
      </w:r>
    </w:p>
    <w:p w14:paraId="2D93CFBB" w14:textId="77777777" w:rsidR="00F07D4E" w:rsidRPr="00A00DF4" w:rsidRDefault="00F07D4E" w:rsidP="00F07D4E">
      <w:pPr>
        <w:spacing w:after="0"/>
        <w:rPr>
          <w:szCs w:val="20"/>
        </w:rPr>
      </w:pPr>
      <w:r w:rsidRPr="00A00DF4">
        <w:rPr>
          <w:szCs w:val="20"/>
        </w:rPr>
        <w:t>PO Box 78</w:t>
      </w:r>
    </w:p>
    <w:p w14:paraId="1A94F16F" w14:textId="77777777" w:rsidR="00F07D4E" w:rsidRPr="00A00DF4" w:rsidRDefault="00F07D4E" w:rsidP="00F07D4E">
      <w:pPr>
        <w:rPr>
          <w:szCs w:val="20"/>
        </w:rPr>
      </w:pPr>
      <w:r w:rsidRPr="00A00DF4">
        <w:rPr>
          <w:szCs w:val="20"/>
        </w:rPr>
        <w:t>Belconnen ACT 2616</w:t>
      </w:r>
    </w:p>
    <w:p w14:paraId="301F74C4" w14:textId="77777777" w:rsidR="00FA295A" w:rsidRPr="00123BC4" w:rsidRDefault="00FA295A" w:rsidP="00123BC4">
      <w:pPr>
        <w:spacing w:line="240" w:lineRule="auto"/>
        <w:jc w:val="both"/>
        <w:rPr>
          <w:rFonts w:cstheme="minorHAnsi"/>
          <w:sz w:val="24"/>
          <w:lang w:val="en-US"/>
        </w:rPr>
      </w:pPr>
    </w:p>
    <w:p w14:paraId="528535C5" w14:textId="77777777" w:rsidR="00253F84" w:rsidRPr="00253F84" w:rsidRDefault="00253F84" w:rsidP="004D2272">
      <w:pPr>
        <w:jc w:val="both"/>
        <w:rPr>
          <w:rFonts w:cstheme="minorHAnsi"/>
          <w:b/>
          <w:bCs/>
          <w:sz w:val="24"/>
          <w:lang w:val="en-US"/>
        </w:rPr>
      </w:pPr>
      <w:r w:rsidRPr="00253F84">
        <w:rPr>
          <w:rFonts w:cstheme="minorHAnsi"/>
          <w:b/>
          <w:bCs/>
          <w:sz w:val="24"/>
          <w:lang w:val="en-US"/>
        </w:rPr>
        <w:t xml:space="preserve">Variation to the Low Interference Potential Device Class </w:t>
      </w:r>
      <w:proofErr w:type="spellStart"/>
      <w:r w:rsidRPr="00253F84">
        <w:rPr>
          <w:rFonts w:cstheme="minorHAnsi"/>
          <w:b/>
          <w:bCs/>
          <w:sz w:val="24"/>
          <w:lang w:val="en-US"/>
        </w:rPr>
        <w:t>Licence</w:t>
      </w:r>
      <w:proofErr w:type="spellEnd"/>
    </w:p>
    <w:p w14:paraId="442AD57E" w14:textId="4D65B95E" w:rsidR="00D532D4" w:rsidRDefault="004D086D" w:rsidP="004D2272">
      <w:pPr>
        <w:jc w:val="both"/>
        <w:rPr>
          <w:rFonts w:cstheme="minorHAnsi"/>
          <w:sz w:val="24"/>
          <w:lang w:val="en-US"/>
        </w:rPr>
      </w:pPr>
      <w:r>
        <w:rPr>
          <w:rFonts w:cstheme="minorHAnsi"/>
          <w:sz w:val="24"/>
          <w:lang w:val="en-US"/>
        </w:rPr>
        <w:t>Thank you for the opportunity to comment on the paper listed above.</w:t>
      </w:r>
    </w:p>
    <w:p w14:paraId="0E960299" w14:textId="1110895A" w:rsidR="00FB1017" w:rsidRDefault="00DB167B" w:rsidP="005118B3">
      <w:pPr>
        <w:jc w:val="both"/>
        <w:rPr>
          <w:rFonts w:cstheme="minorHAnsi"/>
          <w:sz w:val="24"/>
          <w:lang w:val="en-US"/>
        </w:rPr>
      </w:pPr>
      <w:r>
        <w:rPr>
          <w:rFonts w:cstheme="minorHAnsi"/>
          <w:sz w:val="24"/>
          <w:lang w:val="en-US"/>
        </w:rPr>
        <w:t xml:space="preserve">Profiles Resource Management (PRM) is Australia’s </w:t>
      </w:r>
      <w:r w:rsidR="0034444E">
        <w:rPr>
          <w:rFonts w:cstheme="minorHAnsi"/>
          <w:sz w:val="24"/>
          <w:lang w:val="en-US"/>
        </w:rPr>
        <w:t xml:space="preserve">premier wireless spectrum management service for live events in Australia. </w:t>
      </w:r>
      <w:r w:rsidR="00D4678D">
        <w:rPr>
          <w:rFonts w:cstheme="minorHAnsi"/>
          <w:sz w:val="24"/>
          <w:lang w:val="en-US"/>
        </w:rPr>
        <w:t>We have a broad clientele that cover most major sporting events</w:t>
      </w:r>
      <w:r w:rsidR="007D1DCE">
        <w:rPr>
          <w:rFonts w:cstheme="minorHAnsi"/>
          <w:sz w:val="24"/>
          <w:lang w:val="en-US"/>
        </w:rPr>
        <w:t>, large concerts, music festival</w:t>
      </w:r>
      <w:r w:rsidR="00795F4C">
        <w:rPr>
          <w:rFonts w:cstheme="minorHAnsi"/>
          <w:sz w:val="24"/>
          <w:lang w:val="en-US"/>
        </w:rPr>
        <w:t xml:space="preserve"> and</w:t>
      </w:r>
      <w:r w:rsidR="007D1DCE">
        <w:rPr>
          <w:rFonts w:cstheme="minorHAnsi"/>
          <w:sz w:val="24"/>
          <w:lang w:val="en-US"/>
        </w:rPr>
        <w:t xml:space="preserve"> </w:t>
      </w:r>
      <w:r w:rsidR="00795F4C">
        <w:rPr>
          <w:rFonts w:cstheme="minorHAnsi"/>
          <w:sz w:val="24"/>
          <w:lang w:val="en-US"/>
        </w:rPr>
        <w:t xml:space="preserve">cultural activities such as the Australia Day festivities on Sydney </w:t>
      </w:r>
      <w:proofErr w:type="spellStart"/>
      <w:r w:rsidR="00795F4C">
        <w:rPr>
          <w:rFonts w:cstheme="minorHAnsi"/>
          <w:sz w:val="24"/>
          <w:lang w:val="en-US"/>
        </w:rPr>
        <w:t>Harbour</w:t>
      </w:r>
      <w:proofErr w:type="spellEnd"/>
      <w:r w:rsidR="00795F4C">
        <w:rPr>
          <w:rFonts w:cstheme="minorHAnsi"/>
          <w:sz w:val="24"/>
          <w:lang w:val="en-US"/>
        </w:rPr>
        <w:t xml:space="preserve"> each year.</w:t>
      </w:r>
      <w:r w:rsidR="00845ADE">
        <w:rPr>
          <w:rFonts w:cstheme="minorHAnsi"/>
          <w:sz w:val="24"/>
          <w:lang w:val="en-US"/>
        </w:rPr>
        <w:t xml:space="preserve"> </w:t>
      </w:r>
      <w:r w:rsidR="001C4752">
        <w:rPr>
          <w:rFonts w:cstheme="minorHAnsi"/>
          <w:sz w:val="24"/>
          <w:lang w:val="en-US"/>
        </w:rPr>
        <w:t xml:space="preserve">It is not unusual for us to have </w:t>
      </w:r>
      <w:r w:rsidR="00980516">
        <w:rPr>
          <w:rFonts w:cstheme="minorHAnsi"/>
          <w:sz w:val="24"/>
          <w:lang w:val="en-US"/>
        </w:rPr>
        <w:t>an event with 300 or more wireless devices under management.</w:t>
      </w:r>
      <w:r w:rsidR="00732BCA">
        <w:rPr>
          <w:rFonts w:cstheme="minorHAnsi"/>
          <w:sz w:val="24"/>
          <w:lang w:val="en-US"/>
        </w:rPr>
        <w:t xml:space="preserve"> </w:t>
      </w:r>
    </w:p>
    <w:p w14:paraId="0272DD34" w14:textId="5094B664" w:rsidR="00DB4314" w:rsidRDefault="004E4294" w:rsidP="00D96A3B">
      <w:pPr>
        <w:jc w:val="both"/>
        <w:rPr>
          <w:rFonts w:cstheme="minorHAnsi"/>
          <w:sz w:val="24"/>
          <w:lang w:val="en-US"/>
        </w:rPr>
      </w:pPr>
      <w:r>
        <w:rPr>
          <w:rFonts w:cstheme="minorHAnsi"/>
          <w:sz w:val="24"/>
          <w:lang w:val="en-US"/>
        </w:rPr>
        <w:t xml:space="preserve">PRM supports the changes to the </w:t>
      </w:r>
      <w:r w:rsidR="00D96A3B">
        <w:rPr>
          <w:rFonts w:cstheme="minorHAnsi"/>
          <w:sz w:val="24"/>
          <w:lang w:val="en-US"/>
        </w:rPr>
        <w:t xml:space="preserve">LIPD regarding wireless devices, particularly the </w:t>
      </w:r>
      <w:r w:rsidR="005A7761">
        <w:rPr>
          <w:rFonts w:cstheme="minorHAnsi"/>
          <w:sz w:val="24"/>
          <w:lang w:val="en-US"/>
        </w:rPr>
        <w:t>acceptance of international compliance standards.</w:t>
      </w:r>
    </w:p>
    <w:p w14:paraId="0296AEF9" w14:textId="1BC0A03F" w:rsidR="006C1367" w:rsidRDefault="006C1367" w:rsidP="00D96A3B">
      <w:pPr>
        <w:jc w:val="both"/>
        <w:rPr>
          <w:rFonts w:cstheme="minorHAnsi"/>
          <w:sz w:val="24"/>
          <w:lang w:val="en-US"/>
        </w:rPr>
      </w:pPr>
      <w:r>
        <w:rPr>
          <w:rFonts w:cstheme="minorHAnsi"/>
          <w:sz w:val="24"/>
          <w:lang w:val="en-US"/>
        </w:rPr>
        <w:t>We do however question the proposed definition of “indoors” in relation to the LIPD</w:t>
      </w:r>
      <w:r w:rsidR="00C360FC">
        <w:rPr>
          <w:rFonts w:cstheme="minorHAnsi"/>
          <w:sz w:val="24"/>
          <w:lang w:val="en-US"/>
        </w:rPr>
        <w:t>. The draft definition states that:</w:t>
      </w:r>
    </w:p>
    <w:p w14:paraId="1D12D11D" w14:textId="38775307" w:rsidR="00FB5293" w:rsidRPr="00C40896" w:rsidRDefault="00B957CB" w:rsidP="00FB5293">
      <w:pPr>
        <w:spacing w:line="240" w:lineRule="auto"/>
        <w:rPr>
          <w:i/>
          <w:iCs/>
        </w:rPr>
      </w:pPr>
      <w:r>
        <w:rPr>
          <w:i/>
          <w:iCs/>
        </w:rPr>
        <w:t>“</w:t>
      </w:r>
      <w:proofErr w:type="gramStart"/>
      <w:r w:rsidR="00FB5293" w:rsidRPr="00C40896">
        <w:rPr>
          <w:i/>
          <w:iCs/>
        </w:rPr>
        <w:t>indoors</w:t>
      </w:r>
      <w:proofErr w:type="gramEnd"/>
      <w:r w:rsidR="00FB5293" w:rsidRPr="00C40896">
        <w:rPr>
          <w:i/>
          <w:iCs/>
        </w:rPr>
        <w:t xml:space="preserve"> means a space on or above land that is:</w:t>
      </w:r>
    </w:p>
    <w:p w14:paraId="75ECF722" w14:textId="77777777" w:rsidR="00FB5293" w:rsidRPr="00C40896" w:rsidRDefault="00FB5293" w:rsidP="00FB5293">
      <w:pPr>
        <w:spacing w:line="240" w:lineRule="auto"/>
        <w:rPr>
          <w:i/>
          <w:iCs/>
        </w:rPr>
      </w:pPr>
      <w:r w:rsidRPr="00C40896">
        <w:rPr>
          <w:i/>
          <w:iCs/>
        </w:rPr>
        <w:t xml:space="preserve">               (a)          enclosed by permanent walls on all sides, a permanent </w:t>
      </w:r>
      <w:proofErr w:type="gramStart"/>
      <w:r w:rsidRPr="00C40896">
        <w:rPr>
          <w:i/>
          <w:iCs/>
        </w:rPr>
        <w:t>roof</w:t>
      </w:r>
      <w:proofErr w:type="gramEnd"/>
      <w:r w:rsidRPr="00C40896">
        <w:rPr>
          <w:i/>
          <w:iCs/>
        </w:rPr>
        <w:t xml:space="preserve"> and a permanent floor; and</w:t>
      </w:r>
    </w:p>
    <w:p w14:paraId="1ED1DCFF" w14:textId="4C9E0BC1" w:rsidR="00FB5293" w:rsidRPr="00C40896" w:rsidRDefault="00FB5293" w:rsidP="00FB5293">
      <w:pPr>
        <w:spacing w:line="240" w:lineRule="auto"/>
        <w:rPr>
          <w:i/>
          <w:iCs/>
        </w:rPr>
      </w:pPr>
      <w:r w:rsidRPr="00C40896">
        <w:rPr>
          <w:i/>
          <w:iCs/>
        </w:rPr>
        <w:t>               (b)          permanently fixed to the land.</w:t>
      </w:r>
      <w:r w:rsidR="00B957CB">
        <w:rPr>
          <w:i/>
          <w:iCs/>
        </w:rPr>
        <w:t>”</w:t>
      </w:r>
    </w:p>
    <w:p w14:paraId="7417F009" w14:textId="77777777" w:rsidR="00FB5293" w:rsidRDefault="00FB5293" w:rsidP="00FB5293">
      <w:pPr>
        <w:spacing w:line="240" w:lineRule="auto"/>
      </w:pPr>
    </w:p>
    <w:p w14:paraId="55607B76" w14:textId="62027546" w:rsidR="00FB5293" w:rsidRDefault="00FB5293" w:rsidP="00FB5293">
      <w:pPr>
        <w:spacing w:line="240" w:lineRule="auto"/>
      </w:pPr>
      <w:r>
        <w:t xml:space="preserve">We </w:t>
      </w:r>
      <w:r w:rsidR="00B957CB">
        <w:t>contend that under this definition</w:t>
      </w:r>
      <w:r>
        <w:t xml:space="preserve"> a building that is:</w:t>
      </w:r>
    </w:p>
    <w:p w14:paraId="716D30CF" w14:textId="77777777" w:rsidR="00FB5293" w:rsidRDefault="00FB5293" w:rsidP="00FB5293">
      <w:pPr>
        <w:spacing w:line="240" w:lineRule="auto"/>
      </w:pPr>
      <w:r>
        <w:t xml:space="preserve">               (a)          enclosed by permanent walls on all sides, a permanent </w:t>
      </w:r>
      <w:proofErr w:type="gramStart"/>
      <w:r>
        <w:t>roof</w:t>
      </w:r>
      <w:proofErr w:type="gramEnd"/>
      <w:r>
        <w:t xml:space="preserve"> and a permanent floor; and</w:t>
      </w:r>
    </w:p>
    <w:p w14:paraId="04F67854" w14:textId="77777777" w:rsidR="00FB5293" w:rsidRDefault="00FB5293" w:rsidP="00FB5293">
      <w:pPr>
        <w:spacing w:line="240" w:lineRule="auto"/>
      </w:pPr>
      <w:r>
        <w:t>               (b)          permanently fixed to the land.</w:t>
      </w:r>
    </w:p>
    <w:p w14:paraId="7E72DD31" w14:textId="77777777" w:rsidR="00FB5293" w:rsidRDefault="00FB5293" w:rsidP="00FB5293">
      <w:pPr>
        <w:spacing w:line="240" w:lineRule="auto"/>
      </w:pPr>
      <w:r>
        <w:t>BUT is totally or predominantly below ground would be excluded.</w:t>
      </w:r>
    </w:p>
    <w:p w14:paraId="179CA73A" w14:textId="77777777" w:rsidR="00FB5293" w:rsidRDefault="00FB5293" w:rsidP="00FB5293">
      <w:r>
        <w:t>For example, there are many performing arts centres including the Hamer Hall in Melbourne and the Theatre Royal in Sydney that are predominantly or totally below ground.</w:t>
      </w:r>
    </w:p>
    <w:p w14:paraId="6FC80A73" w14:textId="77777777" w:rsidR="00FB5293" w:rsidRDefault="00FB5293" w:rsidP="00FB5293">
      <w:r>
        <w:lastRenderedPageBreak/>
        <w:t>Both the examples mentioned are significant users of wireless microphones and in ear monitors. External TV signal are unmeasurable within the venue.</w:t>
      </w:r>
    </w:p>
    <w:p w14:paraId="6845C853" w14:textId="77777777" w:rsidR="00FB5293" w:rsidRDefault="00FB5293" w:rsidP="00FB5293"/>
    <w:p w14:paraId="5822FD61" w14:textId="77777777" w:rsidR="00FB5293" w:rsidRDefault="00FB5293" w:rsidP="00FB5293">
      <w:r>
        <w:t>We would suggest the removal of the words “on or above land”.</w:t>
      </w:r>
    </w:p>
    <w:p w14:paraId="0A147D69" w14:textId="77777777" w:rsidR="007F2ED2" w:rsidRDefault="007F2ED2" w:rsidP="004D2272">
      <w:pPr>
        <w:jc w:val="both"/>
        <w:rPr>
          <w:rFonts w:cstheme="minorHAnsi"/>
          <w:b/>
          <w:bCs/>
          <w:sz w:val="24"/>
          <w:lang w:val="en-US"/>
        </w:rPr>
      </w:pPr>
    </w:p>
    <w:p w14:paraId="0656ADE2" w14:textId="6E533B3D" w:rsidR="00AB4845" w:rsidRPr="007F2ED2" w:rsidRDefault="00847F03" w:rsidP="004D2272">
      <w:pPr>
        <w:jc w:val="both"/>
        <w:rPr>
          <w:rStyle w:val="Emphasis"/>
          <w:rFonts w:cstheme="minorHAnsi"/>
          <w:b/>
          <w:bCs/>
          <w:i w:val="0"/>
          <w:iCs w:val="0"/>
          <w:sz w:val="24"/>
          <w:lang w:val="en-US"/>
        </w:rPr>
      </w:pPr>
      <w:r w:rsidRPr="007F2ED2">
        <w:rPr>
          <w:rFonts w:cstheme="minorHAnsi"/>
          <w:b/>
          <w:bCs/>
          <w:sz w:val="24"/>
          <w:lang w:val="en-US"/>
        </w:rPr>
        <w:t>W. Peter T</w:t>
      </w:r>
      <w:r w:rsidR="00AB4845" w:rsidRPr="007F2ED2">
        <w:rPr>
          <w:rFonts w:cstheme="minorHAnsi"/>
          <w:b/>
          <w:bCs/>
          <w:sz w:val="24"/>
          <w:lang w:val="en-US"/>
        </w:rPr>
        <w:t>wartz</w:t>
      </w:r>
      <w:r w:rsidR="00A74153" w:rsidRPr="007F2ED2">
        <w:rPr>
          <w:rFonts w:cstheme="minorHAnsi"/>
          <w:b/>
          <w:bCs/>
          <w:sz w:val="24"/>
          <w:lang w:val="en-US"/>
        </w:rPr>
        <w:tab/>
      </w:r>
      <w:r w:rsidR="00A74153" w:rsidRPr="007F2ED2">
        <w:rPr>
          <w:rFonts w:cstheme="minorHAnsi"/>
          <w:b/>
          <w:bCs/>
          <w:sz w:val="24"/>
          <w:lang w:val="en-US"/>
        </w:rPr>
        <w:tab/>
      </w:r>
      <w:r w:rsidR="00A74153" w:rsidRPr="007F2ED2">
        <w:rPr>
          <w:rFonts w:cstheme="minorHAnsi"/>
          <w:b/>
          <w:bCs/>
          <w:sz w:val="24"/>
          <w:lang w:val="en-US"/>
        </w:rPr>
        <w:tab/>
      </w:r>
      <w:r w:rsidR="00AB4845" w:rsidRPr="007F2ED2">
        <w:rPr>
          <w:rFonts w:cstheme="minorHAnsi"/>
          <w:b/>
          <w:bCs/>
          <w:sz w:val="24"/>
          <w:lang w:val="en-US"/>
        </w:rPr>
        <w:t>Susan Twartz</w:t>
      </w:r>
    </w:p>
    <w:sectPr w:rsidR="00AB4845" w:rsidRPr="007F2ED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29B51" w14:textId="77777777" w:rsidR="007C7B39" w:rsidRDefault="007C7B39" w:rsidP="0016619A">
      <w:pPr>
        <w:spacing w:after="0" w:line="240" w:lineRule="auto"/>
      </w:pPr>
      <w:r>
        <w:separator/>
      </w:r>
    </w:p>
  </w:endnote>
  <w:endnote w:type="continuationSeparator" w:id="0">
    <w:p w14:paraId="7D835C28" w14:textId="77777777" w:rsidR="007C7B39" w:rsidRDefault="007C7B39" w:rsidP="0016619A">
      <w:pPr>
        <w:spacing w:after="0" w:line="240" w:lineRule="auto"/>
      </w:pPr>
      <w:r>
        <w:continuationSeparator/>
      </w:r>
    </w:p>
  </w:endnote>
  <w:endnote w:type="continuationNotice" w:id="1">
    <w:p w14:paraId="6DC140D1" w14:textId="77777777" w:rsidR="007C7B39" w:rsidRDefault="007C7B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E866C" w14:textId="33F59882" w:rsidR="0016619A" w:rsidRDefault="0016619A">
    <w:pPr>
      <w:pStyle w:val="Footer"/>
    </w:pPr>
    <w:r>
      <w:t>Profiles Resource Management</w:t>
    </w:r>
  </w:p>
  <w:p w14:paraId="1AC99692" w14:textId="5CBDEB61" w:rsidR="0016619A" w:rsidRDefault="00000000">
    <w:pPr>
      <w:pStyle w:val="Footer"/>
      <w:rPr>
        <w:rStyle w:val="Hyperlink"/>
      </w:rPr>
    </w:pPr>
    <w:hyperlink r:id="rId1" w:history="1">
      <w:r w:rsidR="0016619A" w:rsidRPr="000747CA">
        <w:rPr>
          <w:rStyle w:val="Hyperlink"/>
        </w:rPr>
        <w:t>www.prm.com.au</w:t>
      </w:r>
    </w:hyperlink>
  </w:p>
  <w:p w14:paraId="7CFBC572" w14:textId="5EED108C" w:rsidR="000079C0" w:rsidRDefault="00000000" w:rsidP="000B48C0">
    <w:pPr>
      <w:pStyle w:val="Footer"/>
    </w:pPr>
    <w:hyperlink r:id="rId2" w:history="1">
      <w:r w:rsidR="000B48C0">
        <w:rPr>
          <w:rStyle w:val="Hyperlink"/>
        </w:rPr>
        <w:t>www.facebook.com/prmaus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986B5" w14:textId="77777777" w:rsidR="007C7B39" w:rsidRDefault="007C7B39" w:rsidP="0016619A">
      <w:pPr>
        <w:spacing w:after="0" w:line="240" w:lineRule="auto"/>
      </w:pPr>
      <w:r>
        <w:separator/>
      </w:r>
    </w:p>
  </w:footnote>
  <w:footnote w:type="continuationSeparator" w:id="0">
    <w:p w14:paraId="43F709BA" w14:textId="77777777" w:rsidR="007C7B39" w:rsidRDefault="007C7B39" w:rsidP="0016619A">
      <w:pPr>
        <w:spacing w:after="0" w:line="240" w:lineRule="auto"/>
      </w:pPr>
      <w:r>
        <w:continuationSeparator/>
      </w:r>
    </w:p>
  </w:footnote>
  <w:footnote w:type="continuationNotice" w:id="1">
    <w:p w14:paraId="79F31412" w14:textId="77777777" w:rsidR="007C7B39" w:rsidRDefault="007C7B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A59E" w14:textId="59D015E9" w:rsidR="0016619A" w:rsidRDefault="0016619A">
    <w:pPr>
      <w:pStyle w:val="Header"/>
    </w:pPr>
    <w:r>
      <w:rPr>
        <w:noProof/>
      </w:rPr>
      <w:drawing>
        <wp:inline distT="0" distB="0" distL="0" distR="0" wp14:anchorId="1EE57E36" wp14:editId="50601EE8">
          <wp:extent cx="1219200" cy="1143674"/>
          <wp:effectExtent l="0" t="0" r="0" b="0"/>
          <wp:docPr id="1" name="Picture 1" descr="Diagram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iagram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410" t="14094" r="12752" b="14765"/>
                  <a:stretch/>
                </pic:blipFill>
                <pic:spPr bwMode="auto">
                  <a:xfrm>
                    <a:off x="0" y="0"/>
                    <a:ext cx="1224191" cy="11483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E03E030" w14:textId="77777777" w:rsidR="0016619A" w:rsidRDefault="001661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E264E"/>
    <w:multiLevelType w:val="hybridMultilevel"/>
    <w:tmpl w:val="6E08AFB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076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41"/>
    <w:rsid w:val="000067A1"/>
    <w:rsid w:val="000079C0"/>
    <w:rsid w:val="00011541"/>
    <w:rsid w:val="00012252"/>
    <w:rsid w:val="00013266"/>
    <w:rsid w:val="000235C7"/>
    <w:rsid w:val="00045FED"/>
    <w:rsid w:val="00051A8A"/>
    <w:rsid w:val="000653F4"/>
    <w:rsid w:val="00086658"/>
    <w:rsid w:val="00086D4F"/>
    <w:rsid w:val="0009136D"/>
    <w:rsid w:val="000B0158"/>
    <w:rsid w:val="000B1A11"/>
    <w:rsid w:val="000B1ADF"/>
    <w:rsid w:val="000B44C6"/>
    <w:rsid w:val="000B48C0"/>
    <w:rsid w:val="000C7E63"/>
    <w:rsid w:val="000E54E8"/>
    <w:rsid w:val="00102B34"/>
    <w:rsid w:val="00105829"/>
    <w:rsid w:val="001131A9"/>
    <w:rsid w:val="00123BC4"/>
    <w:rsid w:val="00126C54"/>
    <w:rsid w:val="001374D3"/>
    <w:rsid w:val="00144853"/>
    <w:rsid w:val="001478C3"/>
    <w:rsid w:val="00160B36"/>
    <w:rsid w:val="0016619A"/>
    <w:rsid w:val="00172537"/>
    <w:rsid w:val="00180DBC"/>
    <w:rsid w:val="00184CC8"/>
    <w:rsid w:val="001B071D"/>
    <w:rsid w:val="001C06F0"/>
    <w:rsid w:val="001C1903"/>
    <w:rsid w:val="001C4752"/>
    <w:rsid w:val="001C7903"/>
    <w:rsid w:val="001D47B3"/>
    <w:rsid w:val="001E41AD"/>
    <w:rsid w:val="001E68B0"/>
    <w:rsid w:val="001F365C"/>
    <w:rsid w:val="00200444"/>
    <w:rsid w:val="00210BCC"/>
    <w:rsid w:val="002201EF"/>
    <w:rsid w:val="00240586"/>
    <w:rsid w:val="00240BD7"/>
    <w:rsid w:val="00244FD6"/>
    <w:rsid w:val="002453C4"/>
    <w:rsid w:val="00247C38"/>
    <w:rsid w:val="00252263"/>
    <w:rsid w:val="00253F84"/>
    <w:rsid w:val="00255B6D"/>
    <w:rsid w:val="0025795E"/>
    <w:rsid w:val="002666B3"/>
    <w:rsid w:val="002823A2"/>
    <w:rsid w:val="00286550"/>
    <w:rsid w:val="002911DF"/>
    <w:rsid w:val="00293E76"/>
    <w:rsid w:val="00295005"/>
    <w:rsid w:val="002A0F50"/>
    <w:rsid w:val="002A2AEE"/>
    <w:rsid w:val="002A7A28"/>
    <w:rsid w:val="002B1441"/>
    <w:rsid w:val="002B28FD"/>
    <w:rsid w:val="002B5974"/>
    <w:rsid w:val="002C1C8F"/>
    <w:rsid w:val="002C4FAD"/>
    <w:rsid w:val="002E072A"/>
    <w:rsid w:val="002E46F3"/>
    <w:rsid w:val="002F05A7"/>
    <w:rsid w:val="00312389"/>
    <w:rsid w:val="00337E50"/>
    <w:rsid w:val="0034444E"/>
    <w:rsid w:val="00344DF5"/>
    <w:rsid w:val="003452FD"/>
    <w:rsid w:val="003512D3"/>
    <w:rsid w:val="0035190D"/>
    <w:rsid w:val="003730A7"/>
    <w:rsid w:val="00373E70"/>
    <w:rsid w:val="00377210"/>
    <w:rsid w:val="003B60EA"/>
    <w:rsid w:val="003C2F00"/>
    <w:rsid w:val="003C6294"/>
    <w:rsid w:val="003D003D"/>
    <w:rsid w:val="003D4C66"/>
    <w:rsid w:val="003E0681"/>
    <w:rsid w:val="003E30B6"/>
    <w:rsid w:val="003F4215"/>
    <w:rsid w:val="003F4B3E"/>
    <w:rsid w:val="0042518A"/>
    <w:rsid w:val="00440208"/>
    <w:rsid w:val="00443585"/>
    <w:rsid w:val="004518BA"/>
    <w:rsid w:val="004521FF"/>
    <w:rsid w:val="00457818"/>
    <w:rsid w:val="00475570"/>
    <w:rsid w:val="004A2439"/>
    <w:rsid w:val="004A29F8"/>
    <w:rsid w:val="004B06BB"/>
    <w:rsid w:val="004B1720"/>
    <w:rsid w:val="004B3AAF"/>
    <w:rsid w:val="004C5A73"/>
    <w:rsid w:val="004D086D"/>
    <w:rsid w:val="004D2272"/>
    <w:rsid w:val="004D78D3"/>
    <w:rsid w:val="004E255B"/>
    <w:rsid w:val="004E4294"/>
    <w:rsid w:val="004F1EC7"/>
    <w:rsid w:val="00501D4E"/>
    <w:rsid w:val="005060FB"/>
    <w:rsid w:val="005118B3"/>
    <w:rsid w:val="00533933"/>
    <w:rsid w:val="0053596A"/>
    <w:rsid w:val="00541018"/>
    <w:rsid w:val="00546604"/>
    <w:rsid w:val="00554CF2"/>
    <w:rsid w:val="00557CB2"/>
    <w:rsid w:val="005617F9"/>
    <w:rsid w:val="0057490E"/>
    <w:rsid w:val="00584F58"/>
    <w:rsid w:val="005877E7"/>
    <w:rsid w:val="00590078"/>
    <w:rsid w:val="005928AA"/>
    <w:rsid w:val="0059549A"/>
    <w:rsid w:val="005A7761"/>
    <w:rsid w:val="005B1E17"/>
    <w:rsid w:val="005B334C"/>
    <w:rsid w:val="005B55AF"/>
    <w:rsid w:val="005C08FA"/>
    <w:rsid w:val="005D14F6"/>
    <w:rsid w:val="005D5E2A"/>
    <w:rsid w:val="005E43E4"/>
    <w:rsid w:val="005F3564"/>
    <w:rsid w:val="005F4122"/>
    <w:rsid w:val="00601B7B"/>
    <w:rsid w:val="00604AF2"/>
    <w:rsid w:val="00615398"/>
    <w:rsid w:val="006262F9"/>
    <w:rsid w:val="00643A87"/>
    <w:rsid w:val="0064484E"/>
    <w:rsid w:val="00655ADA"/>
    <w:rsid w:val="00656B2A"/>
    <w:rsid w:val="00665394"/>
    <w:rsid w:val="00670371"/>
    <w:rsid w:val="00676C2F"/>
    <w:rsid w:val="006809DB"/>
    <w:rsid w:val="00694CE0"/>
    <w:rsid w:val="006A4DEA"/>
    <w:rsid w:val="006A7C53"/>
    <w:rsid w:val="006B3E82"/>
    <w:rsid w:val="006C1367"/>
    <w:rsid w:val="006D1DC6"/>
    <w:rsid w:val="006D4B99"/>
    <w:rsid w:val="006D560C"/>
    <w:rsid w:val="006D7A18"/>
    <w:rsid w:val="006E1CE4"/>
    <w:rsid w:val="006E7A7A"/>
    <w:rsid w:val="006F0520"/>
    <w:rsid w:val="006F33E2"/>
    <w:rsid w:val="006F723A"/>
    <w:rsid w:val="00706985"/>
    <w:rsid w:val="00732BCA"/>
    <w:rsid w:val="007419EC"/>
    <w:rsid w:val="00781792"/>
    <w:rsid w:val="007826B8"/>
    <w:rsid w:val="00787AD7"/>
    <w:rsid w:val="00793B21"/>
    <w:rsid w:val="00795F4C"/>
    <w:rsid w:val="007A1620"/>
    <w:rsid w:val="007A30DB"/>
    <w:rsid w:val="007A6590"/>
    <w:rsid w:val="007A777D"/>
    <w:rsid w:val="007B02EC"/>
    <w:rsid w:val="007B47A7"/>
    <w:rsid w:val="007C1608"/>
    <w:rsid w:val="007C7B39"/>
    <w:rsid w:val="007D1DCE"/>
    <w:rsid w:val="007D7B5B"/>
    <w:rsid w:val="007E1880"/>
    <w:rsid w:val="007E40D5"/>
    <w:rsid w:val="007F1397"/>
    <w:rsid w:val="007F2ED2"/>
    <w:rsid w:val="007F39DA"/>
    <w:rsid w:val="00802061"/>
    <w:rsid w:val="00812128"/>
    <w:rsid w:val="0082074D"/>
    <w:rsid w:val="00824683"/>
    <w:rsid w:val="00845ADE"/>
    <w:rsid w:val="008467CA"/>
    <w:rsid w:val="008468E6"/>
    <w:rsid w:val="00847F03"/>
    <w:rsid w:val="0086435E"/>
    <w:rsid w:val="008647EF"/>
    <w:rsid w:val="008717CF"/>
    <w:rsid w:val="00874DE6"/>
    <w:rsid w:val="0087617E"/>
    <w:rsid w:val="0088574B"/>
    <w:rsid w:val="00885C0C"/>
    <w:rsid w:val="008B692F"/>
    <w:rsid w:val="008D2517"/>
    <w:rsid w:val="008E480C"/>
    <w:rsid w:val="008E785E"/>
    <w:rsid w:val="00900781"/>
    <w:rsid w:val="00901FDB"/>
    <w:rsid w:val="009058BF"/>
    <w:rsid w:val="0091637E"/>
    <w:rsid w:val="00933A02"/>
    <w:rsid w:val="00944534"/>
    <w:rsid w:val="009607E4"/>
    <w:rsid w:val="0097126F"/>
    <w:rsid w:val="00971887"/>
    <w:rsid w:val="00976A8D"/>
    <w:rsid w:val="00980516"/>
    <w:rsid w:val="00996D4F"/>
    <w:rsid w:val="009A04AB"/>
    <w:rsid w:val="009A46B7"/>
    <w:rsid w:val="009A77CB"/>
    <w:rsid w:val="009B60B0"/>
    <w:rsid w:val="009C223B"/>
    <w:rsid w:val="009D0B43"/>
    <w:rsid w:val="009F4609"/>
    <w:rsid w:val="00A00D57"/>
    <w:rsid w:val="00A0349B"/>
    <w:rsid w:val="00A26B55"/>
    <w:rsid w:val="00A32AAF"/>
    <w:rsid w:val="00A44269"/>
    <w:rsid w:val="00A541C7"/>
    <w:rsid w:val="00A74153"/>
    <w:rsid w:val="00A7737F"/>
    <w:rsid w:val="00A95E2B"/>
    <w:rsid w:val="00AA0C6C"/>
    <w:rsid w:val="00AA20AD"/>
    <w:rsid w:val="00AB4845"/>
    <w:rsid w:val="00AC12B2"/>
    <w:rsid w:val="00AC5600"/>
    <w:rsid w:val="00AE286F"/>
    <w:rsid w:val="00AF3784"/>
    <w:rsid w:val="00B06876"/>
    <w:rsid w:val="00B238AB"/>
    <w:rsid w:val="00B35054"/>
    <w:rsid w:val="00B35246"/>
    <w:rsid w:val="00B63009"/>
    <w:rsid w:val="00B64D1A"/>
    <w:rsid w:val="00B73D1D"/>
    <w:rsid w:val="00B818BD"/>
    <w:rsid w:val="00B81CFC"/>
    <w:rsid w:val="00B87BC0"/>
    <w:rsid w:val="00B957CB"/>
    <w:rsid w:val="00BE3E1A"/>
    <w:rsid w:val="00BF0D8D"/>
    <w:rsid w:val="00C22FBC"/>
    <w:rsid w:val="00C30F19"/>
    <w:rsid w:val="00C360FC"/>
    <w:rsid w:val="00C40896"/>
    <w:rsid w:val="00C616AF"/>
    <w:rsid w:val="00C63965"/>
    <w:rsid w:val="00CA4077"/>
    <w:rsid w:val="00CA46F4"/>
    <w:rsid w:val="00CA47FB"/>
    <w:rsid w:val="00CB71BF"/>
    <w:rsid w:val="00CC4666"/>
    <w:rsid w:val="00CD28AC"/>
    <w:rsid w:val="00D10997"/>
    <w:rsid w:val="00D1119C"/>
    <w:rsid w:val="00D15BAB"/>
    <w:rsid w:val="00D26C45"/>
    <w:rsid w:val="00D36846"/>
    <w:rsid w:val="00D4678D"/>
    <w:rsid w:val="00D532D4"/>
    <w:rsid w:val="00D60C26"/>
    <w:rsid w:val="00D61FB5"/>
    <w:rsid w:val="00D9346D"/>
    <w:rsid w:val="00D96A3B"/>
    <w:rsid w:val="00DA100A"/>
    <w:rsid w:val="00DA4F57"/>
    <w:rsid w:val="00DB167B"/>
    <w:rsid w:val="00DB4314"/>
    <w:rsid w:val="00DB647B"/>
    <w:rsid w:val="00DC031B"/>
    <w:rsid w:val="00DD3191"/>
    <w:rsid w:val="00DD352F"/>
    <w:rsid w:val="00DE72E5"/>
    <w:rsid w:val="00E05B39"/>
    <w:rsid w:val="00E179C7"/>
    <w:rsid w:val="00E32BCA"/>
    <w:rsid w:val="00E3518D"/>
    <w:rsid w:val="00E4644F"/>
    <w:rsid w:val="00E85F83"/>
    <w:rsid w:val="00E9120D"/>
    <w:rsid w:val="00E94EC8"/>
    <w:rsid w:val="00EA3EAF"/>
    <w:rsid w:val="00EA5E71"/>
    <w:rsid w:val="00EB23F9"/>
    <w:rsid w:val="00ED4284"/>
    <w:rsid w:val="00ED59E3"/>
    <w:rsid w:val="00EE05F1"/>
    <w:rsid w:val="00F049E6"/>
    <w:rsid w:val="00F06950"/>
    <w:rsid w:val="00F07D4E"/>
    <w:rsid w:val="00F15690"/>
    <w:rsid w:val="00F54E2B"/>
    <w:rsid w:val="00F6283B"/>
    <w:rsid w:val="00F67883"/>
    <w:rsid w:val="00F72913"/>
    <w:rsid w:val="00F73AE5"/>
    <w:rsid w:val="00F75A1E"/>
    <w:rsid w:val="00F856F5"/>
    <w:rsid w:val="00FA295A"/>
    <w:rsid w:val="00FB0467"/>
    <w:rsid w:val="00FB1017"/>
    <w:rsid w:val="00FB5293"/>
    <w:rsid w:val="00FC24BA"/>
    <w:rsid w:val="00FC2A95"/>
    <w:rsid w:val="00FC3F1D"/>
    <w:rsid w:val="00FD0A4F"/>
    <w:rsid w:val="00FD759F"/>
    <w:rsid w:val="00FE3145"/>
    <w:rsid w:val="00FE6FEF"/>
    <w:rsid w:val="00FF0B15"/>
    <w:rsid w:val="08E0674B"/>
    <w:rsid w:val="1A4CA33D"/>
    <w:rsid w:val="3A348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29B59D"/>
  <w15:chartTrackingRefBased/>
  <w15:docId w15:val="{EEE46939-602D-40E6-A597-8DC48BAE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7A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B647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AA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19A"/>
  </w:style>
  <w:style w:type="paragraph" w:styleId="Footer">
    <w:name w:val="footer"/>
    <w:basedOn w:val="Normal"/>
    <w:link w:val="FooterChar"/>
    <w:uiPriority w:val="99"/>
    <w:unhideWhenUsed/>
    <w:rsid w:val="00166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19A"/>
  </w:style>
  <w:style w:type="character" w:styleId="Hyperlink">
    <w:name w:val="Hyperlink"/>
    <w:basedOn w:val="DefaultParagraphFont"/>
    <w:uiPriority w:val="99"/>
    <w:unhideWhenUsed/>
    <w:rsid w:val="001661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19A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2C4F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4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B64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11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11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119C"/>
    <w:rPr>
      <w:vertAlign w:val="superscript"/>
    </w:rPr>
  </w:style>
  <w:style w:type="paragraph" w:styleId="ListParagraph">
    <w:name w:val="List Paragraph"/>
    <w:basedOn w:val="Normal"/>
    <w:uiPriority w:val="34"/>
    <w:qFormat/>
    <w:rsid w:val="00252263"/>
    <w:pPr>
      <w:spacing w:after="160" w:line="259" w:lineRule="auto"/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B3A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DD352F"/>
    <w:rPr>
      <w:i/>
      <w:iCs/>
    </w:rPr>
  </w:style>
  <w:style w:type="paragraph" w:styleId="Revision">
    <w:name w:val="Revision"/>
    <w:hidden/>
    <w:uiPriority w:val="99"/>
    <w:semiHidden/>
    <w:rsid w:val="00694CE0"/>
    <w:pPr>
      <w:spacing w:after="0" w:line="240" w:lineRule="auto"/>
    </w:pPr>
  </w:style>
  <w:style w:type="paragraph" w:customStyle="1" w:styleId="Reporttitle">
    <w:name w:val="Report title"/>
    <w:basedOn w:val="Normal"/>
    <w:uiPriority w:val="19"/>
    <w:qFormat/>
    <w:rsid w:val="003E30B6"/>
    <w:pPr>
      <w:spacing w:after="0" w:line="560" w:lineRule="exact"/>
    </w:pPr>
    <w:rPr>
      <w:rFonts w:ascii="Arial" w:eastAsia="Times New Roman" w:hAnsi="Arial" w:cs="Times New Roman"/>
      <w:b/>
      <w:spacing w:val="-28"/>
      <w:sz w:val="53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rmaus" TargetMode="External"/><Relationship Id="rId1" Type="http://schemas.openxmlformats.org/officeDocument/2006/relationships/hyperlink" Target="http://www.prm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9E035-CEC4-4EED-9075-1CEE472B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Twartz</dc:creator>
  <cp:keywords/>
  <dc:description/>
  <cp:lastModifiedBy>Susan Twartz</cp:lastModifiedBy>
  <cp:revision>29</cp:revision>
  <dcterms:created xsi:type="dcterms:W3CDTF">2022-12-15T02:00:00Z</dcterms:created>
  <dcterms:modified xsi:type="dcterms:W3CDTF">2022-12-16T01:19:00Z</dcterms:modified>
</cp:coreProperties>
</file>