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3D3AE5" w14:textId="7FEEE22C" w:rsidR="00F06E14" w:rsidRPr="00E162C4" w:rsidRDefault="006D30C5" w:rsidP="00A51D1A">
      <w:pPr>
        <w:pStyle w:val="Reporttitle"/>
      </w:pPr>
      <w:r w:rsidRPr="00057029">
        <w:t xml:space="preserve">Review </w:t>
      </w:r>
      <w:r w:rsidRPr="00057029" w:rsidDel="00286119">
        <w:t xml:space="preserve">of the </w:t>
      </w:r>
      <w:r>
        <w:t>2</w:t>
      </w:r>
      <w:r w:rsidRPr="00057029">
        <w:t xml:space="preserve"> </w:t>
      </w:r>
      <w:r>
        <w:t>G</w:t>
      </w:r>
      <w:r w:rsidRPr="00057029">
        <w:t>Hz band spectrum licence technical framework</w:t>
      </w:r>
    </w:p>
    <w:p w14:paraId="110940C8" w14:textId="60D542F4" w:rsidR="00F06E14" w:rsidRPr="00E162C4" w:rsidRDefault="006D30C5" w:rsidP="00F06E14">
      <w:pPr>
        <w:pStyle w:val="Reportsubtitle"/>
      </w:pPr>
      <w:r w:rsidRPr="00057029">
        <w:t>Outcomes paper</w:t>
      </w:r>
    </w:p>
    <w:p w14:paraId="2B06E71D" w14:textId="7CC0C564" w:rsidR="00C97736" w:rsidRPr="00E162C4" w:rsidRDefault="006D30C5" w:rsidP="00EC2B68">
      <w:pPr>
        <w:pStyle w:val="Reportdate"/>
        <w:spacing w:after="720"/>
        <w:rPr>
          <w:rFonts w:cs="Arial"/>
        </w:rPr>
        <w:sectPr w:rsidR="00C97736" w:rsidRPr="00E162C4"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february</w:t>
      </w:r>
      <w:r w:rsidR="00BD4421" w:rsidRPr="00E162C4">
        <w:t xml:space="preserve"> 20</w:t>
      </w:r>
      <w:r w:rsidR="008E0428" w:rsidRPr="00E162C4">
        <w:t>2</w:t>
      </w:r>
      <w:r w:rsidR="008500E5">
        <w:t>3</w:t>
      </w:r>
    </w:p>
    <w:p w14:paraId="42DD0EB0" w14:textId="77777777" w:rsidR="0005011A" w:rsidRPr="00E162C4" w:rsidRDefault="0005011A" w:rsidP="00FC07B9">
      <w:pPr>
        <w:pStyle w:val="ACMACorporateAddressHeader"/>
      </w:pPr>
      <w:r w:rsidRPr="00E162C4">
        <w:lastRenderedPageBreak/>
        <w:t>Canberra</w:t>
      </w:r>
    </w:p>
    <w:p w14:paraId="358956E5"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70D76AAD" w14:textId="77777777" w:rsidR="0005011A" w:rsidRPr="00E162C4" w:rsidRDefault="0005011A" w:rsidP="00FC07B9">
      <w:pPr>
        <w:pStyle w:val="ACMACorporateAddresses"/>
      </w:pPr>
      <w:r w:rsidRPr="00E162C4">
        <w:t>PO Box 78</w:t>
      </w:r>
      <w:r w:rsidRPr="00E162C4">
        <w:br/>
        <w:t>Belconnen ACT 2616</w:t>
      </w:r>
    </w:p>
    <w:p w14:paraId="132466BC" w14:textId="77777777" w:rsidR="00FE1823" w:rsidRPr="00E162C4" w:rsidRDefault="0005011A" w:rsidP="00FC07B9">
      <w:pPr>
        <w:pStyle w:val="ACMACorporateAddresses"/>
      </w:pPr>
      <w:r w:rsidRPr="00E162C4">
        <w:t>T</w:t>
      </w:r>
      <w:r w:rsidR="00537604" w:rsidRPr="00E162C4">
        <w:tab/>
      </w:r>
      <w:r w:rsidRPr="00E162C4">
        <w:t>+61 2 6219 5555</w:t>
      </w:r>
      <w:r w:rsidRPr="00E162C4">
        <w:br/>
        <w:t>F</w:t>
      </w:r>
      <w:r w:rsidR="00537604" w:rsidRPr="00E162C4">
        <w:tab/>
      </w:r>
      <w:r w:rsidRPr="00E162C4">
        <w:t>+61 2 6219 5353</w:t>
      </w:r>
    </w:p>
    <w:p w14:paraId="768605BF" w14:textId="77777777" w:rsidR="0005011A" w:rsidRPr="00E162C4" w:rsidRDefault="0005011A" w:rsidP="00FC07B9">
      <w:pPr>
        <w:pStyle w:val="ACMACorporateAddressHeader"/>
      </w:pPr>
      <w:r w:rsidRPr="00E162C4">
        <w:t>Melbourne</w:t>
      </w:r>
    </w:p>
    <w:p w14:paraId="0E976D38"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6245C87F"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2A299118"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17B02135" w14:textId="77777777" w:rsidR="0005011A" w:rsidRPr="00E162C4" w:rsidRDefault="0005011A" w:rsidP="00FC07B9">
      <w:pPr>
        <w:pStyle w:val="ACMACorporateAddressHeader"/>
      </w:pPr>
      <w:r w:rsidRPr="00E162C4">
        <w:t>Sydney</w:t>
      </w:r>
    </w:p>
    <w:p w14:paraId="5AF6BFC6"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472800BF"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64B175DA"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07031D91" w14:textId="77777777" w:rsidR="00140318" w:rsidRPr="00E162C4" w:rsidRDefault="00140318" w:rsidP="00FC07B9">
      <w:pPr>
        <w:pStyle w:val="ACMACopyrightHeader"/>
      </w:pPr>
      <w:r w:rsidRPr="00E162C4">
        <w:t>Copyright notice</w:t>
      </w:r>
    </w:p>
    <w:p w14:paraId="1D91F056" w14:textId="77777777" w:rsidR="00140318" w:rsidRPr="00E162C4" w:rsidRDefault="00623FF9" w:rsidP="00623FF9">
      <w:pPr>
        <w:pStyle w:val="ACMACClogo"/>
      </w:pPr>
      <w:r w:rsidRPr="00E162C4">
        <w:rPr>
          <w:noProof/>
        </w:rPr>
        <w:drawing>
          <wp:inline distT="0" distB="0" distL="0" distR="0" wp14:anchorId="60AE7F18" wp14:editId="214EA71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02BDD09D" w14:textId="77777777" w:rsidR="00AA2DE5" w:rsidRPr="00E162C4" w:rsidRDefault="00666A0E" w:rsidP="00AA2DE5">
      <w:pPr>
        <w:pStyle w:val="ACMACorporateAddresses"/>
        <w:rPr>
          <w:rStyle w:val="Hyperlink"/>
        </w:rPr>
      </w:pPr>
      <w:hyperlink r:id="rId13" w:history="1">
        <w:r w:rsidR="00AA2DE5" w:rsidRPr="00E162C4">
          <w:rPr>
            <w:rStyle w:val="Hyperlink"/>
          </w:rPr>
          <w:t>https://creativecommons.org/licenses/by/4.0/</w:t>
        </w:r>
      </w:hyperlink>
    </w:p>
    <w:p w14:paraId="46F8C172"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502204E9"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8500E5">
        <w:t>3</w:t>
      </w:r>
      <w:r w:rsidRPr="00E162C4">
        <w:t>.</w:t>
      </w:r>
    </w:p>
    <w:p w14:paraId="44234EF6" w14:textId="77777777" w:rsidR="00AA2DE5" w:rsidRPr="00E162C4" w:rsidRDefault="00AA2DE5" w:rsidP="00AA2DE5">
      <w:pPr>
        <w:pStyle w:val="ACMACorporateAddresses"/>
      </w:pPr>
      <w:r w:rsidRPr="00E162C4">
        <w:t>All other rights are reserved.</w:t>
      </w:r>
    </w:p>
    <w:p w14:paraId="199917EC"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137896F" w14:textId="77777777" w:rsidR="00AA2DE5" w:rsidRPr="00E162C4" w:rsidRDefault="00AA2DE5" w:rsidP="00AA2DE5">
      <w:pPr>
        <w:pStyle w:val="ACMACorporateAddresses"/>
      </w:pPr>
      <w:r w:rsidRPr="00E162C4">
        <w:t>Written enquiries may be sent to:</w:t>
      </w:r>
    </w:p>
    <w:p w14:paraId="6AA032DA"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4" w:history="1">
        <w:r w:rsidRPr="00E162C4">
          <w:rPr>
            <w:rStyle w:val="Hyperlink"/>
          </w:rPr>
          <w:t>info@acma.gov.au</w:t>
        </w:r>
      </w:hyperlink>
    </w:p>
    <w:p w14:paraId="1ECBB2A2" w14:textId="77777777" w:rsidR="00D16FE3" w:rsidRPr="00E162C4" w:rsidRDefault="00D16FE3" w:rsidP="00D16FE3">
      <w:pPr>
        <w:pStyle w:val="ACMACorporateAddresses"/>
        <w:rPr>
          <w:rStyle w:val="Hyperlink"/>
        </w:rPr>
      </w:pPr>
    </w:p>
    <w:p w14:paraId="0790B7BD" w14:textId="77777777" w:rsidR="00D16FE3" w:rsidRPr="00E162C4" w:rsidRDefault="00D16FE3" w:rsidP="00D16FE3">
      <w:pPr>
        <w:pStyle w:val="ACMACorporateAddresses"/>
        <w:sectPr w:rsidR="00D16FE3" w:rsidRPr="00E162C4">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39710D5" w14:textId="734132BA" w:rsidR="005605F9" w:rsidRDefault="006A3ECF">
      <w:pPr>
        <w:pStyle w:val="TOC1"/>
        <w:tabs>
          <w:tab w:val="left" w:pos="885"/>
        </w:tabs>
        <w:rPr>
          <w:rFonts w:asciiTheme="minorHAnsi" w:eastAsiaTheme="minorEastAsia" w:hAnsiTheme="minorHAnsi" w:cstheme="minorBidi"/>
          <w:b w:val="0"/>
          <w:spacing w:val="0"/>
          <w:sz w:val="22"/>
          <w:szCs w:val="22"/>
        </w:rPr>
      </w:pPr>
      <w:r w:rsidRPr="00E162C4">
        <w:rPr>
          <w:rFonts w:cs="Arial"/>
        </w:rPr>
        <w:fldChar w:fldCharType="begin"/>
      </w:r>
      <w:r w:rsidRPr="00E162C4">
        <w:rPr>
          <w:rFonts w:cs="Arial"/>
        </w:rPr>
        <w:instrText xml:space="preserve"> TOC \o "1-2" \h \z \t "Exec summary heading,1" </w:instrText>
      </w:r>
      <w:r w:rsidRPr="00E162C4">
        <w:rPr>
          <w:rFonts w:cs="Arial"/>
        </w:rPr>
        <w:fldChar w:fldCharType="separate"/>
      </w:r>
      <w:hyperlink w:anchor="_Toc128580639" w:history="1">
        <w:r w:rsidR="005605F9" w:rsidRPr="00211F46">
          <w:rPr>
            <w:rStyle w:val="Hyperlink"/>
          </w:rPr>
          <w:t>1.</w:t>
        </w:r>
        <w:r w:rsidR="005605F9">
          <w:rPr>
            <w:rFonts w:asciiTheme="minorHAnsi" w:eastAsiaTheme="minorEastAsia" w:hAnsiTheme="minorHAnsi" w:cstheme="minorBidi"/>
            <w:b w:val="0"/>
            <w:spacing w:val="0"/>
            <w:sz w:val="22"/>
            <w:szCs w:val="22"/>
          </w:rPr>
          <w:tab/>
        </w:r>
        <w:r w:rsidR="005605F9" w:rsidRPr="00211F46">
          <w:rPr>
            <w:rStyle w:val="Hyperlink"/>
          </w:rPr>
          <w:t>Introduction</w:t>
        </w:r>
        <w:r w:rsidR="005605F9">
          <w:rPr>
            <w:webHidden/>
          </w:rPr>
          <w:tab/>
        </w:r>
        <w:r w:rsidR="005605F9">
          <w:rPr>
            <w:webHidden/>
          </w:rPr>
          <w:fldChar w:fldCharType="begin"/>
        </w:r>
        <w:r w:rsidR="005605F9">
          <w:rPr>
            <w:webHidden/>
          </w:rPr>
          <w:instrText xml:space="preserve"> PAGEREF _Toc128580639 \h </w:instrText>
        </w:r>
        <w:r w:rsidR="005605F9">
          <w:rPr>
            <w:webHidden/>
          </w:rPr>
        </w:r>
        <w:r w:rsidR="005605F9">
          <w:rPr>
            <w:webHidden/>
          </w:rPr>
          <w:fldChar w:fldCharType="separate"/>
        </w:r>
        <w:r w:rsidR="005605F9">
          <w:rPr>
            <w:webHidden/>
          </w:rPr>
          <w:t>1</w:t>
        </w:r>
        <w:r w:rsidR="005605F9">
          <w:rPr>
            <w:webHidden/>
          </w:rPr>
          <w:fldChar w:fldCharType="end"/>
        </w:r>
      </w:hyperlink>
    </w:p>
    <w:p w14:paraId="756D87E1" w14:textId="45AA881B" w:rsidR="005605F9" w:rsidRDefault="005605F9">
      <w:pPr>
        <w:pStyle w:val="TOC1"/>
        <w:tabs>
          <w:tab w:val="left" w:pos="885"/>
        </w:tabs>
        <w:rPr>
          <w:rFonts w:asciiTheme="minorHAnsi" w:eastAsiaTheme="minorEastAsia" w:hAnsiTheme="minorHAnsi" w:cstheme="minorBidi"/>
          <w:b w:val="0"/>
          <w:spacing w:val="0"/>
          <w:sz w:val="22"/>
          <w:szCs w:val="22"/>
        </w:rPr>
      </w:pPr>
      <w:hyperlink w:anchor="_Toc128580640" w:history="1">
        <w:r w:rsidRPr="00211F46">
          <w:rPr>
            <w:rStyle w:val="Hyperlink"/>
          </w:rPr>
          <w:t>2.</w:t>
        </w:r>
        <w:r>
          <w:rPr>
            <w:rFonts w:asciiTheme="minorHAnsi" w:eastAsiaTheme="minorEastAsia" w:hAnsiTheme="minorHAnsi" w:cstheme="minorBidi"/>
            <w:b w:val="0"/>
            <w:spacing w:val="0"/>
            <w:sz w:val="22"/>
            <w:szCs w:val="22"/>
          </w:rPr>
          <w:tab/>
        </w:r>
        <w:r w:rsidRPr="00211F46">
          <w:rPr>
            <w:rStyle w:val="Hyperlink"/>
          </w:rPr>
          <w:t>Summary and response to issues</w:t>
        </w:r>
        <w:r>
          <w:rPr>
            <w:webHidden/>
          </w:rPr>
          <w:tab/>
        </w:r>
        <w:r>
          <w:rPr>
            <w:webHidden/>
          </w:rPr>
          <w:fldChar w:fldCharType="begin"/>
        </w:r>
        <w:r>
          <w:rPr>
            <w:webHidden/>
          </w:rPr>
          <w:instrText xml:space="preserve"> PAGEREF _Toc128580640 \h </w:instrText>
        </w:r>
        <w:r>
          <w:rPr>
            <w:webHidden/>
          </w:rPr>
        </w:r>
        <w:r>
          <w:rPr>
            <w:webHidden/>
          </w:rPr>
          <w:fldChar w:fldCharType="separate"/>
        </w:r>
        <w:r>
          <w:rPr>
            <w:webHidden/>
          </w:rPr>
          <w:t>3</w:t>
        </w:r>
        <w:r>
          <w:rPr>
            <w:webHidden/>
          </w:rPr>
          <w:fldChar w:fldCharType="end"/>
        </w:r>
      </w:hyperlink>
    </w:p>
    <w:p w14:paraId="0602AE0A" w14:textId="697693E9" w:rsidR="005605F9" w:rsidRDefault="005605F9">
      <w:pPr>
        <w:pStyle w:val="TOC2"/>
        <w:rPr>
          <w:rFonts w:asciiTheme="minorHAnsi" w:eastAsiaTheme="minorEastAsia" w:hAnsiTheme="minorHAnsi" w:cstheme="minorBidi"/>
          <w:spacing w:val="0"/>
          <w:sz w:val="22"/>
          <w:szCs w:val="22"/>
        </w:rPr>
      </w:pPr>
      <w:hyperlink w:anchor="_Toc128580641" w:history="1">
        <w:r w:rsidRPr="00211F46">
          <w:rPr>
            <w:rStyle w:val="Hyperlink"/>
          </w:rPr>
          <w:t>Issues for comment</w:t>
        </w:r>
        <w:r>
          <w:rPr>
            <w:webHidden/>
          </w:rPr>
          <w:tab/>
        </w:r>
        <w:r>
          <w:rPr>
            <w:webHidden/>
          </w:rPr>
          <w:fldChar w:fldCharType="begin"/>
        </w:r>
        <w:r>
          <w:rPr>
            <w:webHidden/>
          </w:rPr>
          <w:instrText xml:space="preserve"> PAGEREF _Toc128580641 \h </w:instrText>
        </w:r>
        <w:r>
          <w:rPr>
            <w:webHidden/>
          </w:rPr>
        </w:r>
        <w:r>
          <w:rPr>
            <w:webHidden/>
          </w:rPr>
          <w:fldChar w:fldCharType="separate"/>
        </w:r>
        <w:r>
          <w:rPr>
            <w:webHidden/>
          </w:rPr>
          <w:t>3</w:t>
        </w:r>
        <w:r>
          <w:rPr>
            <w:webHidden/>
          </w:rPr>
          <w:fldChar w:fldCharType="end"/>
        </w:r>
      </w:hyperlink>
    </w:p>
    <w:p w14:paraId="2FDB6D4E" w14:textId="0D8DFD35" w:rsidR="005605F9" w:rsidRDefault="005605F9">
      <w:pPr>
        <w:pStyle w:val="TOC2"/>
        <w:rPr>
          <w:rFonts w:asciiTheme="minorHAnsi" w:eastAsiaTheme="minorEastAsia" w:hAnsiTheme="minorHAnsi" w:cstheme="minorBidi"/>
          <w:spacing w:val="0"/>
          <w:sz w:val="22"/>
          <w:szCs w:val="22"/>
        </w:rPr>
      </w:pPr>
      <w:hyperlink w:anchor="_Toc128580642" w:history="1">
        <w:r w:rsidRPr="00211F46">
          <w:rPr>
            <w:rStyle w:val="Hyperlink"/>
          </w:rPr>
          <w:t>Other issues</w:t>
        </w:r>
        <w:r>
          <w:rPr>
            <w:webHidden/>
          </w:rPr>
          <w:tab/>
        </w:r>
        <w:r>
          <w:rPr>
            <w:webHidden/>
          </w:rPr>
          <w:fldChar w:fldCharType="begin"/>
        </w:r>
        <w:r>
          <w:rPr>
            <w:webHidden/>
          </w:rPr>
          <w:instrText xml:space="preserve"> PAGEREF _Toc128580642 \h </w:instrText>
        </w:r>
        <w:r>
          <w:rPr>
            <w:webHidden/>
          </w:rPr>
        </w:r>
        <w:r>
          <w:rPr>
            <w:webHidden/>
          </w:rPr>
          <w:fldChar w:fldCharType="separate"/>
        </w:r>
        <w:r>
          <w:rPr>
            <w:webHidden/>
          </w:rPr>
          <w:t>9</w:t>
        </w:r>
        <w:r>
          <w:rPr>
            <w:webHidden/>
          </w:rPr>
          <w:fldChar w:fldCharType="end"/>
        </w:r>
      </w:hyperlink>
    </w:p>
    <w:p w14:paraId="0FFD219B" w14:textId="29E03924" w:rsidR="005605F9" w:rsidRDefault="005605F9">
      <w:pPr>
        <w:pStyle w:val="TOC1"/>
        <w:tabs>
          <w:tab w:val="left" w:pos="885"/>
        </w:tabs>
        <w:rPr>
          <w:rFonts w:asciiTheme="minorHAnsi" w:eastAsiaTheme="minorEastAsia" w:hAnsiTheme="minorHAnsi" w:cstheme="minorBidi"/>
          <w:b w:val="0"/>
          <w:spacing w:val="0"/>
          <w:sz w:val="22"/>
          <w:szCs w:val="22"/>
        </w:rPr>
      </w:pPr>
      <w:hyperlink w:anchor="_Toc128580643" w:history="1">
        <w:r w:rsidRPr="00211F46">
          <w:rPr>
            <w:rStyle w:val="Hyperlink"/>
          </w:rPr>
          <w:t>3.</w:t>
        </w:r>
        <w:r>
          <w:rPr>
            <w:rFonts w:asciiTheme="minorHAnsi" w:eastAsiaTheme="minorEastAsia" w:hAnsiTheme="minorHAnsi" w:cstheme="minorBidi"/>
            <w:b w:val="0"/>
            <w:spacing w:val="0"/>
            <w:sz w:val="22"/>
            <w:szCs w:val="22"/>
          </w:rPr>
          <w:tab/>
        </w:r>
        <w:r w:rsidRPr="00211F46">
          <w:rPr>
            <w:rStyle w:val="Hyperlink"/>
          </w:rPr>
          <w:t>Outcomes of the consultation</w:t>
        </w:r>
        <w:r>
          <w:rPr>
            <w:webHidden/>
          </w:rPr>
          <w:tab/>
        </w:r>
        <w:r>
          <w:rPr>
            <w:webHidden/>
          </w:rPr>
          <w:fldChar w:fldCharType="begin"/>
        </w:r>
        <w:r>
          <w:rPr>
            <w:webHidden/>
          </w:rPr>
          <w:instrText xml:space="preserve"> PAGEREF _Toc128580643 \h </w:instrText>
        </w:r>
        <w:r>
          <w:rPr>
            <w:webHidden/>
          </w:rPr>
        </w:r>
        <w:r>
          <w:rPr>
            <w:webHidden/>
          </w:rPr>
          <w:fldChar w:fldCharType="separate"/>
        </w:r>
        <w:r>
          <w:rPr>
            <w:webHidden/>
          </w:rPr>
          <w:t>11</w:t>
        </w:r>
        <w:r>
          <w:rPr>
            <w:webHidden/>
          </w:rPr>
          <w:fldChar w:fldCharType="end"/>
        </w:r>
      </w:hyperlink>
    </w:p>
    <w:p w14:paraId="66283612" w14:textId="04B7B159" w:rsidR="004D56FF" w:rsidRPr="00E162C4" w:rsidRDefault="006A3ECF">
      <w:pPr>
        <w:rPr>
          <w:rFonts w:cs="Arial"/>
        </w:rPr>
        <w:sectPr w:rsidR="004D56FF" w:rsidRPr="00E162C4"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E162C4">
        <w:rPr>
          <w:rFonts w:cs="Arial"/>
          <w:noProof/>
          <w:spacing w:val="-14"/>
          <w:sz w:val="28"/>
        </w:rPr>
        <w:fldChar w:fldCharType="end"/>
      </w:r>
    </w:p>
    <w:p w14:paraId="31CC6283" w14:textId="40D7752D" w:rsidR="00715722" w:rsidRPr="00E162C4" w:rsidRDefault="006D30C5" w:rsidP="00715722">
      <w:pPr>
        <w:pStyle w:val="Heading1"/>
      </w:pPr>
      <w:bookmarkStart w:id="0" w:name="_Toc441074798"/>
      <w:bookmarkStart w:id="1" w:name="_Toc89760801"/>
      <w:bookmarkStart w:id="2" w:name="_Toc128580639"/>
      <w:r w:rsidRPr="00057029">
        <w:t>1</w:t>
      </w:r>
      <w:r w:rsidR="00507609">
        <w:t>.</w:t>
      </w:r>
      <w:r w:rsidRPr="00057029">
        <w:tab/>
        <w:t>Introduction</w:t>
      </w:r>
      <w:bookmarkEnd w:id="0"/>
      <w:bookmarkEnd w:id="1"/>
      <w:bookmarkEnd w:id="2"/>
    </w:p>
    <w:p w14:paraId="691809DA" w14:textId="263E3E93" w:rsidR="006D30C5" w:rsidRPr="00057029" w:rsidRDefault="006D30C5" w:rsidP="002B2375">
      <w:pPr>
        <w:pStyle w:val="Paragraphbeforelist"/>
      </w:pPr>
      <w:r w:rsidRPr="00057029">
        <w:t>The Australian Communications and Media Authority (the ACMA) released the consultation paper</w:t>
      </w:r>
      <w:r w:rsidR="006269EA">
        <w:t>,</w:t>
      </w:r>
      <w:r w:rsidRPr="00057029">
        <w:rPr>
          <w:szCs w:val="20"/>
        </w:rPr>
        <w:t> </w:t>
      </w:r>
      <w:hyperlink r:id="rId24" w:history="1">
        <w:r w:rsidRPr="002B2375">
          <w:rPr>
            <w:rStyle w:val="Hyperlink"/>
            <w:i/>
            <w:iCs/>
            <w:szCs w:val="20"/>
          </w:rPr>
          <w:t>Review of the 2 GHz band spectrum licence technical framework</w:t>
        </w:r>
      </w:hyperlink>
      <w:r w:rsidR="006269EA" w:rsidRPr="006269EA">
        <w:rPr>
          <w:rStyle w:val="Hyperlink"/>
          <w:color w:val="auto"/>
          <w:szCs w:val="20"/>
          <w:u w:val="none"/>
        </w:rPr>
        <w:t>,</w:t>
      </w:r>
      <w:hyperlink r:id="rId25" w:history="1"/>
      <w:r w:rsidRPr="00057029">
        <w:rPr>
          <w:szCs w:val="20"/>
        </w:rPr>
        <w:t xml:space="preserve"> on </w:t>
      </w:r>
      <w:r>
        <w:rPr>
          <w:szCs w:val="20"/>
        </w:rPr>
        <w:t>18 November 2022</w:t>
      </w:r>
      <w:r w:rsidRPr="00057029">
        <w:rPr>
          <w:szCs w:val="20"/>
        </w:rPr>
        <w:t xml:space="preserve">. The paper sought industry feedback on </w:t>
      </w:r>
      <w:r w:rsidR="001A00AA">
        <w:rPr>
          <w:szCs w:val="20"/>
        </w:rPr>
        <w:t xml:space="preserve">our </w:t>
      </w:r>
      <w:r>
        <w:rPr>
          <w:szCs w:val="20"/>
        </w:rPr>
        <w:t>proposals in relation</w:t>
      </w:r>
      <w:r w:rsidRPr="00057029">
        <w:rPr>
          <w:szCs w:val="20"/>
        </w:rPr>
        <w:t xml:space="preserve"> to</w:t>
      </w:r>
      <w:r w:rsidRPr="00057029">
        <w:t xml:space="preserve"> the following </w:t>
      </w:r>
      <w:r>
        <w:t>elements of the 2 G</w:t>
      </w:r>
      <w:r w:rsidRPr="00057029">
        <w:t>Hz band</w:t>
      </w:r>
      <w:r>
        <w:t xml:space="preserve"> (1920 MHz to 1980 MHz and 2100 MHz to 2170 MHz)</w:t>
      </w:r>
      <w:r w:rsidRPr="00057029">
        <w:t xml:space="preserve"> spectrum licence technical framework:</w:t>
      </w:r>
    </w:p>
    <w:p w14:paraId="5A3EF03F" w14:textId="3CF34959" w:rsidR="006D30C5" w:rsidRPr="00057029" w:rsidRDefault="006269EA" w:rsidP="002B2375">
      <w:pPr>
        <w:pStyle w:val="Bulletlevel1"/>
      </w:pPr>
      <w:r>
        <w:t>v</w:t>
      </w:r>
      <w:r w:rsidR="006D30C5">
        <w:t>ariations to 2 G</w:t>
      </w:r>
      <w:r w:rsidR="006D30C5" w:rsidRPr="00057029">
        <w:t>Hz spectrum licence conditions</w:t>
      </w:r>
    </w:p>
    <w:p w14:paraId="3B938AFC" w14:textId="5C51B1CC" w:rsidR="006D30C5" w:rsidRPr="00FC7A1E" w:rsidRDefault="006D30C5" w:rsidP="002B2375">
      <w:pPr>
        <w:pStyle w:val="Bulletlevel1"/>
        <w:rPr>
          <w:i/>
        </w:rPr>
      </w:pPr>
      <w:r>
        <w:rPr>
          <w:iCs/>
        </w:rPr>
        <w:t>making the new</w:t>
      </w:r>
      <w:r>
        <w:rPr>
          <w:i/>
        </w:rPr>
        <w:t xml:space="preserve"> </w:t>
      </w:r>
      <w:r w:rsidRPr="002B2375">
        <w:rPr>
          <w:iCs/>
        </w:rPr>
        <w:t>Radiocommunications Advisory Guidelines (Managing Interference from Spectrum Licensed Transmitters – 2 GHz Band) 2023</w:t>
      </w:r>
      <w:r>
        <w:rPr>
          <w:i/>
        </w:rPr>
        <w:t xml:space="preserve"> </w:t>
      </w:r>
      <w:r w:rsidRPr="005D54EF">
        <w:t>(RAG Tx)</w:t>
      </w:r>
    </w:p>
    <w:p w14:paraId="2647C72E" w14:textId="77777777" w:rsidR="006D30C5" w:rsidRPr="00FC7A1E" w:rsidRDefault="006D30C5" w:rsidP="002B2375">
      <w:pPr>
        <w:pStyle w:val="Bulletlevel1"/>
        <w:rPr>
          <w:i/>
        </w:rPr>
      </w:pPr>
      <w:r>
        <w:rPr>
          <w:iCs/>
        </w:rPr>
        <w:t>making the new</w:t>
      </w:r>
      <w:r>
        <w:rPr>
          <w:i/>
        </w:rPr>
        <w:t xml:space="preserve"> </w:t>
      </w:r>
      <w:r w:rsidRPr="002B2375">
        <w:t>Radiocommunications Advisory Guidelines (Managing Interference to Spectrum Licensed Receivers – 2 GHz Band) 2023</w:t>
      </w:r>
      <w:r>
        <w:rPr>
          <w:i/>
          <w:iCs/>
        </w:rPr>
        <w:t xml:space="preserve"> </w:t>
      </w:r>
      <w:r w:rsidRPr="005D54EF">
        <w:t>(RAG Rx)</w:t>
      </w:r>
    </w:p>
    <w:p w14:paraId="2AB0FD30" w14:textId="5FD2391D" w:rsidR="006D30C5" w:rsidRPr="00057029" w:rsidRDefault="006D30C5" w:rsidP="002B2375">
      <w:pPr>
        <w:pStyle w:val="Bulletlevel1last"/>
      </w:pPr>
      <w:r>
        <w:t xml:space="preserve">making the new </w:t>
      </w:r>
      <w:r w:rsidRPr="00FC7A1E">
        <w:t xml:space="preserve">Radiocommunications (Unacceptable Levels of Interference – </w:t>
      </w:r>
      <w:r w:rsidR="006269EA">
        <w:br/>
      </w:r>
      <w:r>
        <w:t>2</w:t>
      </w:r>
      <w:r w:rsidRPr="00FC7A1E">
        <w:t xml:space="preserve"> </w:t>
      </w:r>
      <w:r>
        <w:t>G</w:t>
      </w:r>
      <w:r w:rsidRPr="00FC7A1E">
        <w:t>Hz Band) Determination 20</w:t>
      </w:r>
      <w:r>
        <w:t>23</w:t>
      </w:r>
      <w:r w:rsidRPr="00057029">
        <w:t xml:space="preserve"> (the s.145(4) determination)</w:t>
      </w:r>
      <w:r w:rsidR="006269EA">
        <w:t>.</w:t>
      </w:r>
    </w:p>
    <w:p w14:paraId="62EDED3B" w14:textId="77777777" w:rsidR="006D30C5" w:rsidRPr="00057029" w:rsidRDefault="006D30C5" w:rsidP="006D30C5">
      <w:pPr>
        <w:spacing w:before="240"/>
      </w:pPr>
      <w:r w:rsidRPr="00057029">
        <w:t xml:space="preserve">The consultation paper also sought feedback on how the proposed amendments may affect incumbent co-channel and adjacent channel services. </w:t>
      </w:r>
    </w:p>
    <w:p w14:paraId="5CB2E59F" w14:textId="451ED07A" w:rsidR="006D30C5" w:rsidRPr="00057029" w:rsidRDefault="006D30C5" w:rsidP="006D30C5">
      <w:pPr>
        <w:spacing w:after="80"/>
      </w:pPr>
      <w:r w:rsidRPr="00057029">
        <w:rPr>
          <w:rFonts w:cs="Arial"/>
          <w:szCs w:val="20"/>
        </w:rPr>
        <w:t xml:space="preserve">An illustration of </w:t>
      </w:r>
      <w:r>
        <w:rPr>
          <w:rFonts w:cs="Arial"/>
          <w:szCs w:val="20"/>
        </w:rPr>
        <w:t>arrangements</w:t>
      </w:r>
      <w:r w:rsidRPr="00057029">
        <w:rPr>
          <w:rFonts w:cs="Arial"/>
          <w:szCs w:val="20"/>
        </w:rPr>
        <w:t xml:space="preserve"> </w:t>
      </w:r>
      <w:r>
        <w:rPr>
          <w:rFonts w:cs="Arial"/>
          <w:szCs w:val="20"/>
        </w:rPr>
        <w:t xml:space="preserve">in and around </w:t>
      </w:r>
      <w:r w:rsidRPr="00057029">
        <w:rPr>
          <w:rFonts w:cs="Arial"/>
          <w:szCs w:val="20"/>
        </w:rPr>
        <w:t xml:space="preserve">the </w:t>
      </w:r>
      <w:r>
        <w:rPr>
          <w:rFonts w:cs="Arial"/>
          <w:szCs w:val="20"/>
        </w:rPr>
        <w:t>2 GHz</w:t>
      </w:r>
      <w:r w:rsidRPr="00057029">
        <w:rPr>
          <w:rFonts w:cs="Arial"/>
          <w:szCs w:val="20"/>
        </w:rPr>
        <w:t xml:space="preserve"> band is provided </w:t>
      </w:r>
      <w:r w:rsidR="00507609">
        <w:rPr>
          <w:rFonts w:cs="Arial"/>
          <w:szCs w:val="20"/>
        </w:rPr>
        <w:t xml:space="preserve">below in </w:t>
      </w:r>
      <w:r w:rsidRPr="00057029">
        <w:rPr>
          <w:rFonts w:cs="Arial"/>
          <w:szCs w:val="20"/>
        </w:rPr>
        <w:t xml:space="preserve">Figure 1. </w:t>
      </w:r>
    </w:p>
    <w:p w14:paraId="561FE1E6" w14:textId="77777777" w:rsidR="006D30C5" w:rsidRPr="00057029" w:rsidRDefault="006D30C5" w:rsidP="006D30C5">
      <w:pPr>
        <w:pStyle w:val="ACMAFigureHeader"/>
        <w:numPr>
          <w:ilvl w:val="0"/>
          <w:numId w:val="21"/>
        </w:numPr>
        <w:spacing w:before="360" w:after="0"/>
      </w:pPr>
      <w:r w:rsidRPr="00057029">
        <w:t xml:space="preserve">Current arrangements in the </w:t>
      </w:r>
      <w:r>
        <w:t>2</w:t>
      </w:r>
      <w:r w:rsidRPr="00057029">
        <w:t xml:space="preserve"> </w:t>
      </w:r>
      <w:r>
        <w:t>G</w:t>
      </w:r>
      <w:r w:rsidRPr="00057029">
        <w:t>Hz and adjacent band</w:t>
      </w:r>
      <w:r>
        <w:t>s</w:t>
      </w:r>
      <w:r w:rsidRPr="00057029">
        <w:t xml:space="preserve"> </w:t>
      </w:r>
    </w:p>
    <w:p w14:paraId="202A05EE" w14:textId="77777777" w:rsidR="006D30C5" w:rsidRPr="00057029" w:rsidRDefault="006D30C5" w:rsidP="006D30C5">
      <w:pPr>
        <w:spacing w:after="0" w:line="0" w:lineRule="atLeast"/>
        <w:rPr>
          <w:sz w:val="16"/>
        </w:rPr>
      </w:pPr>
      <w:r w:rsidRPr="00057029">
        <w:rPr>
          <w:sz w:val="16"/>
        </w:rPr>
        <w:t xml:space="preserve"> </w:t>
      </w:r>
    </w:p>
    <w:p w14:paraId="073238FB" w14:textId="77777777" w:rsidR="006D30C5" w:rsidRPr="00057029" w:rsidRDefault="006D30C5" w:rsidP="006D30C5">
      <w:r>
        <w:rPr>
          <w:noProof/>
        </w:rPr>
        <w:drawing>
          <wp:inline distT="0" distB="0" distL="0" distR="0" wp14:anchorId="0ECFB4DD" wp14:editId="51B5D7D5">
            <wp:extent cx="5419725" cy="3474720"/>
            <wp:effectExtent l="0" t="0" r="9525" b="0"/>
            <wp:docPr id="2" name="Picture 2" descr="Figure 1: Current arrangements in the 2 GHz and adjacent ban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Figure 1: Current arrangements in the 2 GHz and adjacent bands."/>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419725" cy="3474720"/>
                    </a:xfrm>
                    <a:prstGeom prst="rect">
                      <a:avLst/>
                    </a:prstGeom>
                    <a:noFill/>
                  </pic:spPr>
                </pic:pic>
              </a:graphicData>
            </a:graphic>
          </wp:inline>
        </w:drawing>
      </w:r>
    </w:p>
    <w:p w14:paraId="2CC0AD88" w14:textId="77777777" w:rsidR="006D30C5" w:rsidRPr="00057029" w:rsidRDefault="006D30C5" w:rsidP="002B2375">
      <w:pPr>
        <w:pStyle w:val="Paragraphbeforelist"/>
        <w:keepNext/>
        <w:keepLines/>
      </w:pPr>
      <w:r>
        <w:t>Nine</w:t>
      </w:r>
      <w:r w:rsidRPr="00057029">
        <w:t xml:space="preserve"> submissions were received to the consultation paper from the following organisations:</w:t>
      </w:r>
    </w:p>
    <w:p w14:paraId="76CE04A8" w14:textId="77777777" w:rsidR="006D30C5" w:rsidRPr="00057029" w:rsidRDefault="006D30C5" w:rsidP="00507609">
      <w:pPr>
        <w:keepNext/>
        <w:keepLines/>
        <w:numPr>
          <w:ilvl w:val="0"/>
          <w:numId w:val="20"/>
        </w:numPr>
        <w:spacing w:after="0"/>
        <w:ind w:left="709"/>
        <w:contextualSpacing/>
        <w:rPr>
          <w:rFonts w:cs="Arial"/>
        </w:rPr>
      </w:pPr>
      <w:r w:rsidRPr="00057029">
        <w:rPr>
          <w:rFonts w:cs="Arial"/>
        </w:rPr>
        <w:t xml:space="preserve">Australian </w:t>
      </w:r>
      <w:r>
        <w:rPr>
          <w:rFonts w:cs="Arial"/>
        </w:rPr>
        <w:t>Broadcasting Corporation</w:t>
      </w:r>
      <w:r w:rsidRPr="00057029">
        <w:rPr>
          <w:rFonts w:cs="Arial"/>
        </w:rPr>
        <w:t xml:space="preserve"> (A</w:t>
      </w:r>
      <w:r>
        <w:rPr>
          <w:rFonts w:cs="Arial"/>
        </w:rPr>
        <w:t>BC</w:t>
      </w:r>
      <w:r w:rsidRPr="00057029">
        <w:rPr>
          <w:rFonts w:cs="Arial"/>
        </w:rPr>
        <w:t>)</w:t>
      </w:r>
    </w:p>
    <w:p w14:paraId="5895A175" w14:textId="77777777" w:rsidR="006D30C5" w:rsidRDefault="006D30C5" w:rsidP="00507609">
      <w:pPr>
        <w:keepNext/>
        <w:keepLines/>
        <w:numPr>
          <w:ilvl w:val="0"/>
          <w:numId w:val="20"/>
        </w:numPr>
        <w:spacing w:after="0"/>
        <w:ind w:left="709"/>
        <w:contextualSpacing/>
        <w:rPr>
          <w:rFonts w:cs="Arial"/>
        </w:rPr>
      </w:pPr>
      <w:r w:rsidRPr="00057029">
        <w:rPr>
          <w:rFonts w:cs="Arial"/>
        </w:rPr>
        <w:t>Australian Mobile Telecommunications Association (AMTA)</w:t>
      </w:r>
    </w:p>
    <w:p w14:paraId="7F5FEC3A" w14:textId="77777777" w:rsidR="006D30C5" w:rsidRDefault="006D30C5" w:rsidP="00507609">
      <w:pPr>
        <w:keepNext/>
        <w:keepLines/>
        <w:numPr>
          <w:ilvl w:val="0"/>
          <w:numId w:val="20"/>
        </w:numPr>
        <w:spacing w:after="0"/>
        <w:ind w:left="709"/>
        <w:contextualSpacing/>
        <w:rPr>
          <w:rFonts w:cs="Arial"/>
        </w:rPr>
      </w:pPr>
      <w:r>
        <w:rPr>
          <w:rFonts w:cs="Arial"/>
        </w:rPr>
        <w:t>Communications Alliance Satellite Services Working Group (CA SSWG)</w:t>
      </w:r>
    </w:p>
    <w:p w14:paraId="1DF66E66" w14:textId="77777777" w:rsidR="006D30C5" w:rsidRDefault="006D30C5" w:rsidP="00507609">
      <w:pPr>
        <w:keepNext/>
        <w:keepLines/>
        <w:numPr>
          <w:ilvl w:val="0"/>
          <w:numId w:val="20"/>
        </w:numPr>
        <w:spacing w:after="0"/>
        <w:ind w:left="709"/>
        <w:contextualSpacing/>
        <w:rPr>
          <w:rFonts w:cs="Arial"/>
        </w:rPr>
      </w:pPr>
      <w:r w:rsidRPr="001A1F91">
        <w:rPr>
          <w:rFonts w:cs="Arial"/>
        </w:rPr>
        <w:t>Commonwealth Scientific and Industrial Research Organisation</w:t>
      </w:r>
      <w:r>
        <w:rPr>
          <w:rFonts w:cs="Arial"/>
        </w:rPr>
        <w:t xml:space="preserve"> (CSIRO)</w:t>
      </w:r>
    </w:p>
    <w:p w14:paraId="11F60651" w14:textId="77777777" w:rsidR="006D30C5" w:rsidRPr="00057029" w:rsidRDefault="006D30C5" w:rsidP="006D30C5">
      <w:pPr>
        <w:keepNext/>
        <w:keepLines/>
        <w:numPr>
          <w:ilvl w:val="0"/>
          <w:numId w:val="20"/>
        </w:numPr>
        <w:spacing w:after="0"/>
        <w:ind w:left="709"/>
        <w:contextualSpacing/>
        <w:rPr>
          <w:rFonts w:cs="Arial"/>
        </w:rPr>
      </w:pPr>
      <w:r>
        <w:rPr>
          <w:rFonts w:cs="Arial"/>
        </w:rPr>
        <w:t>EchoStar</w:t>
      </w:r>
    </w:p>
    <w:p w14:paraId="265CFAF0" w14:textId="77777777" w:rsidR="006D30C5" w:rsidRDefault="006D30C5" w:rsidP="006D30C5">
      <w:pPr>
        <w:keepNext/>
        <w:keepLines/>
        <w:numPr>
          <w:ilvl w:val="0"/>
          <w:numId w:val="20"/>
        </w:numPr>
        <w:spacing w:after="0"/>
        <w:ind w:left="709"/>
        <w:contextualSpacing/>
        <w:rPr>
          <w:rFonts w:cs="Arial"/>
        </w:rPr>
      </w:pPr>
      <w:r w:rsidRPr="00057029">
        <w:rPr>
          <w:rFonts w:cs="Arial"/>
        </w:rPr>
        <w:t>Ericsson</w:t>
      </w:r>
    </w:p>
    <w:p w14:paraId="581394CA" w14:textId="77777777" w:rsidR="006D30C5" w:rsidRPr="00057029" w:rsidRDefault="006D30C5" w:rsidP="006D30C5">
      <w:pPr>
        <w:keepNext/>
        <w:keepLines/>
        <w:numPr>
          <w:ilvl w:val="0"/>
          <w:numId w:val="20"/>
        </w:numPr>
        <w:spacing w:after="0"/>
        <w:ind w:left="709"/>
        <w:contextualSpacing/>
        <w:rPr>
          <w:rFonts w:cs="Arial"/>
        </w:rPr>
      </w:pPr>
      <w:proofErr w:type="spellStart"/>
      <w:r>
        <w:rPr>
          <w:rFonts w:cs="Arial"/>
        </w:rPr>
        <w:t>FreeTV</w:t>
      </w:r>
      <w:proofErr w:type="spellEnd"/>
    </w:p>
    <w:p w14:paraId="023FEDCA" w14:textId="77777777" w:rsidR="006D30C5" w:rsidRDefault="006D30C5" w:rsidP="006D30C5">
      <w:pPr>
        <w:keepNext/>
        <w:keepLines/>
        <w:numPr>
          <w:ilvl w:val="0"/>
          <w:numId w:val="20"/>
        </w:numPr>
        <w:spacing w:after="0"/>
        <w:ind w:left="709"/>
        <w:contextualSpacing/>
        <w:rPr>
          <w:rFonts w:cs="Arial"/>
        </w:rPr>
      </w:pPr>
      <w:r w:rsidRPr="00057029">
        <w:rPr>
          <w:rFonts w:cs="Arial"/>
        </w:rPr>
        <w:t>Optus</w:t>
      </w:r>
    </w:p>
    <w:p w14:paraId="69922124" w14:textId="4A11DD71" w:rsidR="006D30C5" w:rsidRPr="00057029" w:rsidRDefault="006D30C5" w:rsidP="006D30C5">
      <w:pPr>
        <w:keepNext/>
        <w:keepLines/>
        <w:numPr>
          <w:ilvl w:val="0"/>
          <w:numId w:val="20"/>
        </w:numPr>
        <w:spacing w:after="0"/>
        <w:ind w:left="709"/>
        <w:contextualSpacing/>
        <w:rPr>
          <w:rFonts w:cs="Arial"/>
        </w:rPr>
      </w:pPr>
      <w:r>
        <w:rPr>
          <w:rFonts w:cs="Arial"/>
        </w:rPr>
        <w:t>Telstra</w:t>
      </w:r>
      <w:r w:rsidR="00507609">
        <w:rPr>
          <w:rFonts w:cs="Arial"/>
        </w:rPr>
        <w:t>.</w:t>
      </w:r>
    </w:p>
    <w:p w14:paraId="260E5C37" w14:textId="77777777" w:rsidR="006D30C5" w:rsidRPr="00057029" w:rsidRDefault="006D30C5" w:rsidP="006D30C5">
      <w:pPr>
        <w:spacing w:after="0"/>
        <w:ind w:left="720"/>
        <w:rPr>
          <w:rFonts w:cs="Arial"/>
        </w:rPr>
      </w:pPr>
    </w:p>
    <w:p w14:paraId="0FF4774F" w14:textId="10281005" w:rsidR="006D30C5" w:rsidRPr="00057029" w:rsidRDefault="006D30C5" w:rsidP="006D30C5">
      <w:pPr>
        <w:rPr>
          <w:rFonts w:cs="Arial"/>
        </w:rPr>
      </w:pPr>
      <w:r w:rsidRPr="00057029">
        <w:rPr>
          <w:rFonts w:cs="Arial"/>
        </w:rPr>
        <w:t xml:space="preserve">A summary of submissions received and </w:t>
      </w:r>
      <w:r w:rsidR="00507609">
        <w:rPr>
          <w:rFonts w:cs="Arial"/>
        </w:rPr>
        <w:t xml:space="preserve">our </w:t>
      </w:r>
      <w:r w:rsidRPr="00057029">
        <w:rPr>
          <w:rFonts w:cs="Arial"/>
        </w:rPr>
        <w:t xml:space="preserve">response to the issues raised is </w:t>
      </w:r>
      <w:r>
        <w:rPr>
          <w:rFonts w:cs="Arial"/>
        </w:rPr>
        <w:t>provided</w:t>
      </w:r>
      <w:r w:rsidRPr="00057029">
        <w:rPr>
          <w:rFonts w:cs="Arial"/>
        </w:rPr>
        <w:t xml:space="preserve"> in </w:t>
      </w:r>
      <w:hyperlink w:anchor="_2_Summary_and" w:history="1">
        <w:r w:rsidR="00507609" w:rsidRPr="00507609">
          <w:rPr>
            <w:rStyle w:val="Hyperlink"/>
            <w:rFonts w:cs="Arial"/>
          </w:rPr>
          <w:t>s</w:t>
        </w:r>
        <w:r w:rsidRPr="00507609">
          <w:rPr>
            <w:rStyle w:val="Hyperlink"/>
            <w:rFonts w:cs="Arial"/>
          </w:rPr>
          <w:t>ection 2</w:t>
        </w:r>
      </w:hyperlink>
      <w:r w:rsidR="00507609">
        <w:rPr>
          <w:rFonts w:cs="Arial"/>
        </w:rPr>
        <w:t xml:space="preserve"> of this paper</w:t>
      </w:r>
      <w:r w:rsidRPr="00057029">
        <w:rPr>
          <w:rFonts w:cs="Arial"/>
        </w:rPr>
        <w:t xml:space="preserve">. The outcomes of the consultation and </w:t>
      </w:r>
      <w:r>
        <w:rPr>
          <w:rFonts w:cs="Arial"/>
        </w:rPr>
        <w:t>implementation of</w:t>
      </w:r>
      <w:r w:rsidRPr="00057029">
        <w:rPr>
          <w:rFonts w:cs="Arial"/>
        </w:rPr>
        <w:t xml:space="preserve"> these are outlined in </w:t>
      </w:r>
      <w:hyperlink w:anchor="_3_Outcomes_of" w:history="1">
        <w:r w:rsidR="00507609" w:rsidRPr="00507609">
          <w:rPr>
            <w:rStyle w:val="Hyperlink"/>
            <w:rFonts w:cs="Arial"/>
          </w:rPr>
          <w:t>s</w:t>
        </w:r>
        <w:r w:rsidRPr="00507609">
          <w:rPr>
            <w:rStyle w:val="Hyperlink"/>
            <w:rFonts w:cs="Arial"/>
          </w:rPr>
          <w:t>ection 3</w:t>
        </w:r>
      </w:hyperlink>
      <w:r w:rsidRPr="00057029">
        <w:rPr>
          <w:rFonts w:cs="Arial"/>
        </w:rPr>
        <w:t xml:space="preserve">. </w:t>
      </w:r>
    </w:p>
    <w:p w14:paraId="3091D68F" w14:textId="303719B5" w:rsidR="006D30C5" w:rsidRPr="00057029" w:rsidRDefault="006D30C5" w:rsidP="006D30C5">
      <w:pPr>
        <w:pStyle w:val="Heading1"/>
      </w:pPr>
      <w:bookmarkStart w:id="3" w:name="_2_Summary_and"/>
      <w:bookmarkStart w:id="4" w:name="_Toc441074818"/>
      <w:bookmarkStart w:id="5" w:name="_Toc89760802"/>
      <w:bookmarkStart w:id="6" w:name="_Toc128580640"/>
      <w:bookmarkEnd w:id="3"/>
      <w:r w:rsidRPr="00057029">
        <w:t>2</w:t>
      </w:r>
      <w:r w:rsidR="00507609">
        <w:t>.</w:t>
      </w:r>
      <w:r w:rsidRPr="00057029">
        <w:tab/>
        <w:t>Summary and response to issues</w:t>
      </w:r>
      <w:bookmarkEnd w:id="4"/>
      <w:bookmarkEnd w:id="5"/>
      <w:bookmarkEnd w:id="6"/>
    </w:p>
    <w:p w14:paraId="65E10304" w14:textId="77777777" w:rsidR="006D30C5" w:rsidRPr="00057029" w:rsidRDefault="006D30C5" w:rsidP="006D30C5">
      <w:pPr>
        <w:rPr>
          <w:rFonts w:cs="Arial"/>
          <w:szCs w:val="20"/>
        </w:rPr>
      </w:pPr>
      <w:r w:rsidRPr="00057029">
        <w:rPr>
          <w:rFonts w:cs="Arial"/>
          <w:szCs w:val="20"/>
        </w:rPr>
        <w:t xml:space="preserve">Submissions were generally </w:t>
      </w:r>
      <w:r w:rsidRPr="00057029">
        <w:t xml:space="preserve">supportive of the proposed amendments to the </w:t>
      </w:r>
      <w:r>
        <w:t>2</w:t>
      </w:r>
      <w:r w:rsidRPr="00057029">
        <w:t xml:space="preserve"> </w:t>
      </w:r>
      <w:r>
        <w:t>G</w:t>
      </w:r>
      <w:r w:rsidRPr="00057029">
        <w:t>Hz technical framework</w:t>
      </w:r>
      <w:r w:rsidRPr="00057029">
        <w:rPr>
          <w:rFonts w:cs="Arial"/>
          <w:szCs w:val="20"/>
        </w:rPr>
        <w:t xml:space="preserve">. However, some additional amendments were also proposed. </w:t>
      </w:r>
    </w:p>
    <w:p w14:paraId="043D8CD8" w14:textId="7A11DB60" w:rsidR="006D30C5" w:rsidRPr="00057029" w:rsidRDefault="006D30C5" w:rsidP="006D30C5">
      <w:pPr>
        <w:rPr>
          <w:rFonts w:cs="Arial"/>
          <w:szCs w:val="20"/>
        </w:rPr>
      </w:pPr>
      <w:r w:rsidRPr="00057029">
        <w:rPr>
          <w:rFonts w:cs="Arial"/>
          <w:szCs w:val="20"/>
        </w:rPr>
        <w:t xml:space="preserve">This section summarises responses made on the issues for comment in the consultation paper as well as additional issues raised. </w:t>
      </w:r>
      <w:r w:rsidR="001A00AA">
        <w:rPr>
          <w:rFonts w:cs="Arial"/>
          <w:szCs w:val="20"/>
        </w:rPr>
        <w:t xml:space="preserve">Our </w:t>
      </w:r>
      <w:r w:rsidRPr="00057029">
        <w:rPr>
          <w:rFonts w:cs="Arial"/>
          <w:szCs w:val="20"/>
        </w:rPr>
        <w:t xml:space="preserve">views on these responses </w:t>
      </w:r>
      <w:r w:rsidR="001A00AA">
        <w:rPr>
          <w:rFonts w:cs="Arial"/>
          <w:szCs w:val="20"/>
        </w:rPr>
        <w:t>are</w:t>
      </w:r>
      <w:r w:rsidR="001A00AA" w:rsidRPr="00057029">
        <w:rPr>
          <w:rFonts w:cs="Arial"/>
          <w:szCs w:val="20"/>
        </w:rPr>
        <w:t xml:space="preserve"> </w:t>
      </w:r>
      <w:r w:rsidRPr="00057029">
        <w:rPr>
          <w:rFonts w:cs="Arial"/>
          <w:szCs w:val="20"/>
        </w:rPr>
        <w:t>also provided.</w:t>
      </w:r>
    </w:p>
    <w:p w14:paraId="4850EC85" w14:textId="4412B94D" w:rsidR="006D30C5" w:rsidRPr="00057029" w:rsidRDefault="006D30C5" w:rsidP="002B2375">
      <w:pPr>
        <w:pStyle w:val="Heading2"/>
        <w:spacing w:after="240"/>
      </w:pPr>
      <w:bookmarkStart w:id="7" w:name="_Toc89760803"/>
      <w:bookmarkStart w:id="8" w:name="_Toc128580641"/>
      <w:bookmarkStart w:id="9" w:name="_Toc441074847"/>
      <w:r w:rsidRPr="00057029">
        <w:t xml:space="preserve">Issues for </w:t>
      </w:r>
      <w:r w:rsidR="001A00AA">
        <w:t>c</w:t>
      </w:r>
      <w:r w:rsidRPr="00057029">
        <w:t>omment</w:t>
      </w:r>
      <w:bookmarkEnd w:id="7"/>
      <w:bookmarkEnd w:id="8"/>
      <w:r w:rsidRPr="00057029">
        <w:t xml:space="preserve"> </w:t>
      </w:r>
    </w:p>
    <w:p w14:paraId="638E910B" w14:textId="77777777" w:rsidR="006D30C5" w:rsidRPr="00057029" w:rsidRDefault="006D30C5" w:rsidP="006D30C5">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10" w:name="_Toc89760804"/>
      <w:r w:rsidRPr="00057029">
        <w:t>Question 1</w:t>
      </w:r>
      <w:bookmarkEnd w:id="10"/>
    </w:p>
    <w:p w14:paraId="6F5F2DF5" w14:textId="1D5B8568" w:rsidR="006D30C5" w:rsidRPr="00057029" w:rsidRDefault="006D30C5" w:rsidP="006D30C5">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spacing w:after="120"/>
      </w:pPr>
      <w:r w:rsidRPr="00B857EB">
        <w:t xml:space="preserve">The ACMA is seeking comment on the </w:t>
      </w:r>
      <w:r w:rsidR="001A00AA">
        <w:t>2</w:t>
      </w:r>
      <w:r w:rsidR="001A00AA" w:rsidRPr="00B857EB">
        <w:t xml:space="preserve"> </w:t>
      </w:r>
      <w:r w:rsidRPr="00B857EB">
        <w:t xml:space="preserve">options proposed for unwanted emissions in the frequency range 2100–2110 </w:t>
      </w:r>
      <w:proofErr w:type="spellStart"/>
      <w:r w:rsidRPr="00B857EB">
        <w:t>MHz</w:t>
      </w:r>
      <w:r w:rsidR="001A00AA">
        <w:t>.</w:t>
      </w:r>
      <w:proofErr w:type="spellEnd"/>
    </w:p>
    <w:p w14:paraId="3172FD7A" w14:textId="77777777" w:rsidR="006D30C5" w:rsidRDefault="006D30C5" w:rsidP="006D30C5">
      <w:pPr>
        <w:spacing w:before="360"/>
      </w:pPr>
      <w:r>
        <w:t>Five</w:t>
      </w:r>
      <w:r w:rsidRPr="00057029">
        <w:t xml:space="preserve"> submissions were received on this question.</w:t>
      </w:r>
    </w:p>
    <w:p w14:paraId="2372F356" w14:textId="77777777" w:rsidR="006D30C5" w:rsidRDefault="006D30C5" w:rsidP="006D30C5">
      <w:pPr>
        <w:spacing w:before="360"/>
      </w:pPr>
      <w:r>
        <w:t>AMTA, Optus and Telstra all indicated</w:t>
      </w:r>
      <w:r w:rsidRPr="00057029">
        <w:t xml:space="preserve"> a </w:t>
      </w:r>
      <w:r>
        <w:t xml:space="preserve">strong </w:t>
      </w:r>
      <w:r w:rsidRPr="00057029">
        <w:t xml:space="preserve">preference </w:t>
      </w:r>
      <w:r>
        <w:t>to align with</w:t>
      </w:r>
      <w:r w:rsidRPr="00057029">
        <w:t xml:space="preserve"> </w:t>
      </w:r>
      <w:r>
        <w:t>3</w:t>
      </w:r>
      <w:r w:rsidRPr="0061094D">
        <w:rPr>
          <w:vertAlign w:val="superscript"/>
        </w:rPr>
        <w:t>rd</w:t>
      </w:r>
      <w:r>
        <w:t xml:space="preserve"> Generation Partnership Project (</w:t>
      </w:r>
      <w:r w:rsidRPr="00057029">
        <w:t>3GPP</w:t>
      </w:r>
      <w:r>
        <w:t>)</w:t>
      </w:r>
      <w:r w:rsidRPr="00057029">
        <w:t xml:space="preserve"> standards</w:t>
      </w:r>
      <w:r>
        <w:t xml:space="preserve">. They argued that the nature of adaptive antenna systems (AAS) reduced the potential for interference and the more conservative bespoke Australian arrangements can increase equipment costs. However, given the options provided by the ACMA in the consultation paper (both of which are more stringent than applicable 3GPP standards), they preferred Option 2 (based on a combination of 3GPP Category B Option 2 limits and the existing 2.3 GHz band unwanted emission limits) over Option 1 (based on the existing 2 GHz band unwanted emission limits) as it is the less stringent of the two options. Telstra identified that off the shelf equipment for current mobile generations (4G and 5G) can comply with Option 2, but Telstra expressed concern and uncertainty about the capability of future generation equipment. </w:t>
      </w:r>
    </w:p>
    <w:p w14:paraId="0BEDDEB2" w14:textId="77777777" w:rsidR="006D30C5" w:rsidRDefault="006D30C5" w:rsidP="006D30C5">
      <w:pPr>
        <w:spacing w:before="80" w:after="80"/>
      </w:pPr>
      <w:r>
        <w:t>AMTA also made the following observations and proposed the following amendments to Option 2:</w:t>
      </w:r>
    </w:p>
    <w:p w14:paraId="3F850BD6" w14:textId="5B19B6BA" w:rsidR="006D30C5" w:rsidRDefault="006D30C5" w:rsidP="002B2375">
      <w:pPr>
        <w:pStyle w:val="Bulletlevel1"/>
      </w:pPr>
      <w:r>
        <w:t xml:space="preserve">Option 2 should include the ‘step’ of (-26 dBm + 9 =) -17 dBm/(30 kHz) for </w:t>
      </w:r>
      <w:r w:rsidR="001A00AA">
        <w:br/>
      </w:r>
      <w:r>
        <w:t>offsets between 1 and 1.5 MHz, to match Table 6.6.4.2.2.2-1 of 3GPP TS 38.104. AMTA also proposed this step be included to the unwanted emission limits in 2170</w:t>
      </w:r>
      <w:r w:rsidR="001A00AA">
        <w:t>–</w:t>
      </w:r>
      <w:r>
        <w:t>2180 MHz frequency range detailed in Table 4 of the consultation paper.</w:t>
      </w:r>
    </w:p>
    <w:p w14:paraId="6E23DAEB" w14:textId="55949325" w:rsidR="006D30C5" w:rsidRDefault="006D30C5" w:rsidP="002B2375">
      <w:pPr>
        <w:pStyle w:val="Bulletlevel1"/>
      </w:pPr>
      <w:r>
        <w:t xml:space="preserve">There is a discontinuity between the non-spurious emission limits applicable at 2100 MHz and the spurious emission limits which would apply immediately below 2100 </w:t>
      </w:r>
      <w:proofErr w:type="spellStart"/>
      <w:r>
        <w:t>MHz.</w:t>
      </w:r>
      <w:proofErr w:type="spellEnd"/>
      <w:r>
        <w:t xml:space="preserve"> Either the Adaptive Antenna System (AAS) Base Station (BS) non-spurious emission limit applicable between 2100 MHz to ~2103 MHz should be no lower than -21 dBm/MHz (preferred), or the AAS BS spurious emission limits should be limited to -30 dBm/MHz but only within the frequency range </w:t>
      </w:r>
      <w:r w:rsidR="001A00AA">
        <w:br/>
      </w:r>
      <w:r>
        <w:t>1980</w:t>
      </w:r>
      <w:r w:rsidR="001A00AA">
        <w:t>–</w:t>
      </w:r>
      <w:r>
        <w:t xml:space="preserve">2100 </w:t>
      </w:r>
      <w:proofErr w:type="spellStart"/>
      <w:r>
        <w:t>MHz.</w:t>
      </w:r>
      <w:proofErr w:type="spellEnd"/>
    </w:p>
    <w:p w14:paraId="709262D4" w14:textId="3FDDDBF1" w:rsidR="006D30C5" w:rsidRDefault="006D30C5" w:rsidP="002B2375">
      <w:pPr>
        <w:pStyle w:val="Bulletlevel1"/>
      </w:pPr>
      <w:r>
        <w:t>The unwanted emission limits between 2106</w:t>
      </w:r>
      <w:r w:rsidR="001A00AA">
        <w:t>–</w:t>
      </w:r>
      <w:r>
        <w:t xml:space="preserve">2110 MHz should be aligned to 3GPP Category B Option 1 limits. This spectrum does not overlap the television outside broadcast (TOB) spectrum, so such a change would provide greater flexibility to spectrum licensees with no increase in the interference potential to TOB services below 2106 </w:t>
      </w:r>
      <w:proofErr w:type="spellStart"/>
      <w:r>
        <w:t>MHz.</w:t>
      </w:r>
      <w:proofErr w:type="spellEnd"/>
      <w:r>
        <w:t xml:space="preserve"> </w:t>
      </w:r>
    </w:p>
    <w:p w14:paraId="3AE649CA" w14:textId="77777777" w:rsidR="006D30C5" w:rsidRDefault="006D30C5" w:rsidP="002B2375">
      <w:pPr>
        <w:pStyle w:val="Bulletlevel1last"/>
      </w:pPr>
      <w:r>
        <w:t>Any adoption of unwanted emission limits not compliant with 3GPP should be limited to base stations in the vicinity of the collection stations that the TOB operators are concerned about protecting. Imposing these “Australian-specific” conditions on base stations in areas that are large distances from any collection stations would place undue constraints on spectrum licensees.</w:t>
      </w:r>
    </w:p>
    <w:p w14:paraId="2FA99E14" w14:textId="77777777" w:rsidR="006D30C5" w:rsidRDefault="006D30C5" w:rsidP="006D30C5">
      <w:pPr>
        <w:spacing w:before="360"/>
      </w:pPr>
      <w:proofErr w:type="spellStart"/>
      <w:r>
        <w:t>FreeTV</w:t>
      </w:r>
      <w:proofErr w:type="spellEnd"/>
      <w:r>
        <w:t xml:space="preserve"> indicated a preference for Option 1. However, they stated that they would be able to</w:t>
      </w:r>
      <w:r w:rsidRPr="00250BB1">
        <w:t xml:space="preserve"> accept the hybrid mask</w:t>
      </w:r>
      <w:r>
        <w:t xml:space="preserve"> (Option 2)</w:t>
      </w:r>
      <w:r w:rsidRPr="00250BB1">
        <w:t xml:space="preserve"> as a reasonable compromise</w:t>
      </w:r>
      <w:r>
        <w:t xml:space="preserve"> as long as manufacturers adhere to the emission limits.</w:t>
      </w:r>
    </w:p>
    <w:p w14:paraId="19223AFC" w14:textId="77777777" w:rsidR="006D30C5" w:rsidRDefault="006D30C5" w:rsidP="006D30C5">
      <w:pPr>
        <w:spacing w:before="360"/>
      </w:pPr>
      <w:r>
        <w:t>The ABC indicated a preference for Option 1.</w:t>
      </w:r>
    </w:p>
    <w:p w14:paraId="513DA798" w14:textId="77777777" w:rsidR="006D30C5" w:rsidRPr="00057029" w:rsidRDefault="006D30C5" w:rsidP="002B2375">
      <w:pPr>
        <w:pStyle w:val="Heading4"/>
      </w:pPr>
      <w:r w:rsidRPr="00057029">
        <w:t>ACMA response</w:t>
      </w:r>
    </w:p>
    <w:p w14:paraId="45534816" w14:textId="13FF8C8F" w:rsidR="006D30C5" w:rsidRDefault="006D30C5" w:rsidP="006D30C5">
      <w:pPr>
        <w:spacing w:after="80"/>
      </w:pPr>
      <w:r>
        <w:t>After considering submissions</w:t>
      </w:r>
      <w:r w:rsidR="00935CB6">
        <w:t xml:space="preserve">, we </w:t>
      </w:r>
      <w:r>
        <w:t>will</w:t>
      </w:r>
      <w:r w:rsidRPr="00057029">
        <w:t xml:space="preserve"> adopt</w:t>
      </w:r>
      <w:r>
        <w:t xml:space="preserve"> a hybrid model. This emission mask </w:t>
      </w:r>
      <w:r w:rsidR="00935CB6">
        <w:br/>
      </w:r>
      <w:r>
        <w:t>will be:</w:t>
      </w:r>
    </w:p>
    <w:p w14:paraId="270153FA" w14:textId="4DBFF362" w:rsidR="006D30C5" w:rsidRDefault="006D30C5" w:rsidP="002B2375">
      <w:pPr>
        <w:pStyle w:val="Bulletlevel1"/>
      </w:pPr>
      <w:r>
        <w:t>2109</w:t>
      </w:r>
      <w:r w:rsidR="00935CB6">
        <w:t>–</w:t>
      </w:r>
      <w:r>
        <w:t>2110 MHz: 3GPP Category B Option 1</w:t>
      </w:r>
    </w:p>
    <w:p w14:paraId="78FF6B71" w14:textId="57E8E199" w:rsidR="006D30C5" w:rsidRDefault="006D30C5" w:rsidP="002B2375">
      <w:pPr>
        <w:pStyle w:val="Bulletlevel1"/>
      </w:pPr>
      <w:r>
        <w:t>2106</w:t>
      </w:r>
      <w:r w:rsidR="00935CB6">
        <w:t>–</w:t>
      </w:r>
      <w:r>
        <w:t>2109 MHz: Option 1 as presented in the consultation paper</w:t>
      </w:r>
    </w:p>
    <w:p w14:paraId="79C9D525" w14:textId="1C23931C" w:rsidR="006D30C5" w:rsidRDefault="006D30C5" w:rsidP="002B2375">
      <w:pPr>
        <w:pStyle w:val="Bulletlevel1last"/>
      </w:pPr>
      <w:r>
        <w:t>2100</w:t>
      </w:r>
      <w:r w:rsidR="00935CB6">
        <w:t>–</w:t>
      </w:r>
      <w:r>
        <w:t>2106 MHz</w:t>
      </w:r>
      <w:r w:rsidR="00935CB6">
        <w:t>:</w:t>
      </w:r>
      <w:r>
        <w:t xml:space="preserve"> Option 2 as presented in the consultation paper</w:t>
      </w:r>
      <w:r w:rsidR="00935CB6">
        <w:t>.</w:t>
      </w:r>
    </w:p>
    <w:p w14:paraId="4F02D976" w14:textId="1BCF5B90" w:rsidR="006D30C5" w:rsidRDefault="006D30C5" w:rsidP="006D30C5">
      <w:pPr>
        <w:spacing w:before="360" w:after="360"/>
      </w:pPr>
      <w:r>
        <w:t xml:space="preserve">The ACMA considers that this hybrid represents an efficient outcome that balances the requirements of both TOB operators and spectrum licensees in the band. </w:t>
      </w:r>
    </w:p>
    <w:p w14:paraId="3B5D68CC" w14:textId="7CF8543D" w:rsidR="006D30C5" w:rsidRDefault="006D30C5" w:rsidP="006D30C5">
      <w:pPr>
        <w:spacing w:after="360"/>
      </w:pPr>
      <w:r>
        <w:t>3GPP Category B Option 1 between 2109</w:t>
      </w:r>
      <w:r w:rsidR="00935CB6">
        <w:t>–</w:t>
      </w:r>
      <w:r>
        <w:t>2110 MHz, provides flexibility for the spectrum licensees to possibly use #GPP Category B Option 1 equipment. Generally, the first 1 MHz from the band edge is the most problematic in meeting emission limit criteria. By using 3GPP Category B Option 1 emission limits, spectrum licensees may be able to use 3GPP Category B Option 1 equipment if this equipment can meet the other emission limit criteria.</w:t>
      </w:r>
    </w:p>
    <w:p w14:paraId="098A274A" w14:textId="18B7C332" w:rsidR="006D30C5" w:rsidRDefault="006D30C5" w:rsidP="006D30C5">
      <w:pPr>
        <w:spacing w:after="360"/>
      </w:pPr>
      <w:r>
        <w:t>Option 1 emission limits between 2106</w:t>
      </w:r>
      <w:r w:rsidR="00935CB6">
        <w:t>–</w:t>
      </w:r>
      <w:r>
        <w:t xml:space="preserve">2109 MHz, provides certainty for TOB operators and provides greater flexibility for spectrum licensees. By adopting the existing limits of Option 1, the increase in emissions in the </w:t>
      </w:r>
      <w:r w:rsidR="00611C99">
        <w:t>first</w:t>
      </w:r>
      <w:r>
        <w:t xml:space="preserve"> adjacent channel of the TOB services will be limited. This will provide a greater level of certainty in the interference environment for the TOB operators. Additionally, by adopting Option 1 between 2106</w:t>
      </w:r>
      <w:r w:rsidR="00611C99">
        <w:t>–</w:t>
      </w:r>
      <w:r>
        <w:t>2109 MHz and 3GPP Category B Option 1 between 2109</w:t>
      </w:r>
      <w:r w:rsidR="00611C99">
        <w:t>–</w:t>
      </w:r>
      <w:r>
        <w:t>2110 MHz, the spectrum licensees existing equipment will be able to comply and will also allow for 3GPP Category B Option 2 equipment. As such, this provides spectrum licensees greater flexibility.</w:t>
      </w:r>
    </w:p>
    <w:p w14:paraId="1411F8CF" w14:textId="0402AA98" w:rsidR="006D30C5" w:rsidRDefault="006D30C5" w:rsidP="006D30C5">
      <w:pPr>
        <w:spacing w:after="360"/>
      </w:pPr>
      <w:r>
        <w:t>Option 2 criteria between 2100</w:t>
      </w:r>
      <w:r w:rsidR="00611C99">
        <w:t>–</w:t>
      </w:r>
      <w:r>
        <w:t>2106 MHz will provide the necessary flexibility for spectrum licensees to introduce 5G networks using AAS with a limited change to the interference environment for TOB operations in the 2103</w:t>
      </w:r>
      <w:r w:rsidR="00611C99">
        <w:t>–</w:t>
      </w:r>
      <w:r>
        <w:t xml:space="preserve">2106 MHz frequency range.    </w:t>
      </w:r>
    </w:p>
    <w:p w14:paraId="1082D626" w14:textId="11FECF7B" w:rsidR="006D30C5" w:rsidRDefault="00611C99" w:rsidP="006D30C5">
      <w:pPr>
        <w:spacing w:after="80"/>
      </w:pPr>
      <w:r>
        <w:t>We have</w:t>
      </w:r>
      <w:r w:rsidR="006D30C5">
        <w:t xml:space="preserve"> considered AMTA’s proposed amendments to Option 2. </w:t>
      </w:r>
      <w:r>
        <w:t xml:space="preserve">We </w:t>
      </w:r>
      <w:r w:rsidR="006D30C5">
        <w:t>propose to:</w:t>
      </w:r>
    </w:p>
    <w:p w14:paraId="065E2515" w14:textId="68DA4944" w:rsidR="006D30C5" w:rsidRDefault="00611C99" w:rsidP="002B2375">
      <w:pPr>
        <w:pStyle w:val="Bulletlevel1"/>
      </w:pPr>
      <w:r>
        <w:t>A</w:t>
      </w:r>
      <w:r w:rsidR="006D30C5">
        <w:t xml:space="preserve">dopt 3GPP Category B Option 1 between 2109–2110 </w:t>
      </w:r>
      <w:proofErr w:type="spellStart"/>
      <w:r w:rsidR="006D30C5">
        <w:t>MHz.</w:t>
      </w:r>
      <w:proofErr w:type="spellEnd"/>
      <w:r w:rsidR="006D30C5">
        <w:t xml:space="preserve"> The ACMA made this decision as </w:t>
      </w:r>
      <w:r>
        <w:t>we</w:t>
      </w:r>
      <w:r w:rsidR="006D30C5">
        <w:t xml:space="preserve"> considered that adopting the 3GPP Category B Option 1 between 2106–2110 MHz would potentially represent a significant increase in the interference environment in the </w:t>
      </w:r>
      <w:r>
        <w:t>first</w:t>
      </w:r>
      <w:r w:rsidR="006D30C5">
        <w:t xml:space="preserve"> adjacent channel for TOB Operators. </w:t>
      </w:r>
    </w:p>
    <w:p w14:paraId="64C14FB9" w14:textId="572D8BE6" w:rsidR="006D30C5" w:rsidRDefault="00611C99" w:rsidP="006D30C5">
      <w:pPr>
        <w:pStyle w:val="ListBullet"/>
        <w:numPr>
          <w:ilvl w:val="0"/>
          <w:numId w:val="0"/>
        </w:numPr>
        <w:ind w:left="295"/>
      </w:pPr>
      <w:r>
        <w:t>We</w:t>
      </w:r>
      <w:r w:rsidR="006D30C5">
        <w:t xml:space="preserve"> note that AMTA’s proposal to include the step between 1 MHz to 1.5 MHz offset would be unnecessary as </w:t>
      </w:r>
      <w:r>
        <w:t xml:space="preserve">we have </w:t>
      </w:r>
      <w:r w:rsidR="006D30C5">
        <w:t>chosen to adopt the 3GPP Category B Option 1 between 2109</w:t>
      </w:r>
      <w:r>
        <w:t>–</w:t>
      </w:r>
      <w:r w:rsidR="006D30C5">
        <w:t>2110 MHz and Option 1 between 2106</w:t>
      </w:r>
      <w:r>
        <w:t>–</w:t>
      </w:r>
      <w:r w:rsidR="006D30C5">
        <w:t xml:space="preserve">2109 </w:t>
      </w:r>
      <w:proofErr w:type="spellStart"/>
      <w:r w:rsidR="006D30C5">
        <w:t>MHz.</w:t>
      </w:r>
      <w:proofErr w:type="spellEnd"/>
    </w:p>
    <w:p w14:paraId="671C55C7" w14:textId="4644C55C" w:rsidR="006D30C5" w:rsidRDefault="00946F73" w:rsidP="006D30C5">
      <w:pPr>
        <w:pStyle w:val="ListBullet"/>
      </w:pPr>
      <w:r>
        <w:t>A</w:t>
      </w:r>
      <w:r w:rsidR="006D30C5">
        <w:t xml:space="preserve">mend the unwanted emission limits </w:t>
      </w:r>
      <w:r w:rsidR="006D30C5" w:rsidRPr="00970114">
        <w:t>for transmitters in the 21</w:t>
      </w:r>
      <w:r w:rsidR="006D30C5">
        <w:t>7</w:t>
      </w:r>
      <w:r w:rsidR="006D30C5" w:rsidRPr="00970114">
        <w:t>0</w:t>
      </w:r>
      <w:r>
        <w:t>–</w:t>
      </w:r>
      <w:r w:rsidR="006D30C5" w:rsidRPr="00970114">
        <w:t>21</w:t>
      </w:r>
      <w:r w:rsidR="006D30C5">
        <w:t>8</w:t>
      </w:r>
      <w:r w:rsidR="006D30C5" w:rsidRPr="00970114">
        <w:t>0 MHz frequency range</w:t>
      </w:r>
      <w:r w:rsidR="006D30C5">
        <w:t xml:space="preserve"> </w:t>
      </w:r>
      <w:r w:rsidR="002B2375">
        <w:t xml:space="preserve">to </w:t>
      </w:r>
      <w:r w:rsidR="006D30C5">
        <w:t>include the ‘step’ of (-26 dBm + 9 =) -17 dBm/(30 kHz) for offsets between 1</w:t>
      </w:r>
      <w:r w:rsidR="007F242E">
        <w:t>–</w:t>
      </w:r>
      <w:r w:rsidR="006D30C5">
        <w:t xml:space="preserve">1.5 </w:t>
      </w:r>
      <w:proofErr w:type="spellStart"/>
      <w:r w:rsidR="006D30C5">
        <w:t>MHz.</w:t>
      </w:r>
      <w:proofErr w:type="spellEnd"/>
      <w:r w:rsidR="006D30C5">
        <w:t xml:space="preserve"> This amendment ensures the adopted limits match </w:t>
      </w:r>
      <w:r w:rsidR="003E2938">
        <w:br/>
      </w:r>
      <w:r w:rsidR="006D30C5">
        <w:t>Table 6.6.4.2.2.2-1 of 3GPP TS 38.104.</w:t>
      </w:r>
    </w:p>
    <w:p w14:paraId="4513B0DF" w14:textId="6A9A5EAC" w:rsidR="006D30C5" w:rsidRDefault="00946F73" w:rsidP="006D30C5">
      <w:pPr>
        <w:pStyle w:val="ListBullet"/>
      </w:pPr>
      <w:r>
        <w:t>A</w:t>
      </w:r>
      <w:r w:rsidR="006D30C5">
        <w:t xml:space="preserve">mend the spurious emission limits for transmitters operating in the 2110 to 2170 MHz frequency range to account for the discrepancy in emission limits. </w:t>
      </w:r>
      <w:r w:rsidR="007F242E">
        <w:br/>
      </w:r>
      <w:r w:rsidR="006D30C5">
        <w:t xml:space="preserve">Table 9 in the consultation paper would be amended to include a level of </w:t>
      </w:r>
      <w:r w:rsidR="007F242E">
        <w:br/>
      </w:r>
      <w:r w:rsidR="006D30C5">
        <w:t>-30 dBm/1MHz between 1.98</w:t>
      </w:r>
      <w:r w:rsidR="007F242E">
        <w:t>–</w:t>
      </w:r>
      <w:r w:rsidR="006D30C5">
        <w:t>2.1</w:t>
      </w:r>
      <w:r w:rsidR="007F242E">
        <w:t>0</w:t>
      </w:r>
      <w:r w:rsidR="006D30C5">
        <w:t xml:space="preserve"> GHz</w:t>
      </w:r>
    </w:p>
    <w:p w14:paraId="1F754556" w14:textId="0121E854" w:rsidR="006D30C5" w:rsidRPr="00057029" w:rsidRDefault="007F242E" w:rsidP="006D30C5">
      <w:pPr>
        <w:pStyle w:val="ListBullet"/>
        <w:spacing w:after="360"/>
      </w:pPr>
      <w:r>
        <w:t>N</w:t>
      </w:r>
      <w:r w:rsidR="006D30C5">
        <w:t xml:space="preserve">ot include any criteria restricting any changed unwanted emission limits to the vicinity of TOB collection stations. The limits would apply to all relevant radiocommunications equipment operated under the spectrum licence. </w:t>
      </w:r>
      <w:r>
        <w:t>We</w:t>
      </w:r>
      <w:r w:rsidR="006D30C5">
        <w:t xml:space="preserve"> made this</w:t>
      </w:r>
      <w:r w:rsidR="006D30C5" w:rsidRPr="003402D6">
        <w:t xml:space="preserve"> decision </w:t>
      </w:r>
      <w:r w:rsidR="006D30C5">
        <w:t xml:space="preserve">as </w:t>
      </w:r>
      <w:r w:rsidR="006D30C5" w:rsidRPr="003402D6">
        <w:t xml:space="preserve">coexistence is not just limited to collection stations, but also includes other receivers </w:t>
      </w:r>
      <w:r w:rsidR="006D30C5">
        <w:t>such as</w:t>
      </w:r>
      <w:r w:rsidR="006D30C5" w:rsidRPr="003402D6">
        <w:t xml:space="preserve"> mobile and nomadic stations, helicopters, etc. </w:t>
      </w:r>
      <w:r w:rsidR="006D30C5">
        <w:t xml:space="preserve">Such stations operate in both metropolitan and regional areas. Furthermore, flexibility is required to deploy these at any time or location.  </w:t>
      </w:r>
      <w:r w:rsidR="006D30C5" w:rsidRPr="003402D6">
        <w:t xml:space="preserve"> </w:t>
      </w:r>
    </w:p>
    <w:p w14:paraId="70F1C46A" w14:textId="77777777" w:rsidR="006D30C5" w:rsidRPr="00057029" w:rsidRDefault="006D30C5" w:rsidP="006D30C5">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11" w:name="_Toc89760805"/>
      <w:r w:rsidRPr="00057029">
        <w:t>Question 2</w:t>
      </w:r>
      <w:bookmarkEnd w:id="11"/>
    </w:p>
    <w:p w14:paraId="0608FDFD" w14:textId="77777777" w:rsidR="006D30C5" w:rsidRPr="00057029" w:rsidRDefault="006D30C5" w:rsidP="006D30C5">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spacing w:before="120" w:after="120"/>
      </w:pPr>
      <w:r w:rsidRPr="00B857EB">
        <w:t>Comment is sought on the effect the proposed changes to the 2 GHz technical framework may have on incumbent services in the 2 GHz band and adjacent bands.</w:t>
      </w:r>
    </w:p>
    <w:p w14:paraId="2204808B" w14:textId="77777777" w:rsidR="006D30C5" w:rsidRDefault="006D30C5" w:rsidP="006D30C5">
      <w:pPr>
        <w:spacing w:before="360"/>
      </w:pPr>
      <w:r>
        <w:t xml:space="preserve">While </w:t>
      </w:r>
      <w:r w:rsidRPr="00057029">
        <w:t>AMTA</w:t>
      </w:r>
      <w:r>
        <w:t xml:space="preserve"> and Optus did not</w:t>
      </w:r>
      <w:r w:rsidRPr="00057029">
        <w:t xml:space="preserve"> provide a comment </w:t>
      </w:r>
      <w:r>
        <w:t>directly to</w:t>
      </w:r>
      <w:r w:rsidRPr="00057029">
        <w:t xml:space="preserve"> this question</w:t>
      </w:r>
      <w:r>
        <w:t>, they commented on the subject matter</w:t>
      </w:r>
      <w:r w:rsidRPr="00057029">
        <w:t>.</w:t>
      </w:r>
      <w:r>
        <w:t xml:space="preserve"> AMTA noted</w:t>
      </w:r>
      <w:r w:rsidRPr="00D02E94">
        <w:t xml:space="preserve"> there will be n</w:t>
      </w:r>
      <w:r>
        <w:t>egligible</w:t>
      </w:r>
      <w:r w:rsidRPr="00D02E94">
        <w:t xml:space="preserve"> to limited impact on other services</w:t>
      </w:r>
      <w:r>
        <w:t xml:space="preserve">, </w:t>
      </w:r>
      <w:r w:rsidRPr="00D02E94">
        <w:t>except for TOB</w:t>
      </w:r>
      <w:r>
        <w:t xml:space="preserve"> services</w:t>
      </w:r>
      <w:r w:rsidRPr="00D02E94">
        <w:t xml:space="preserve"> below 2110 MHz </w:t>
      </w:r>
      <w:r>
        <w:t xml:space="preserve">in the </w:t>
      </w:r>
      <w:r w:rsidRPr="00D02E94">
        <w:t xml:space="preserve">long term. </w:t>
      </w:r>
      <w:r>
        <w:t xml:space="preserve">They both noted that the main argument presented by TOB operators is that helicopter (down) links operate below 2110 MHz, which may operate closer to the minimum carrier-to-noise (C/N) threshold than other links using directional antennas pointing to the collection stations. They suggested this is a network design issue and that TOB operators could either increase the transmitter power or use </w:t>
      </w:r>
      <w:proofErr w:type="gramStart"/>
      <w:r>
        <w:t>other</w:t>
      </w:r>
      <w:proofErr w:type="gramEnd"/>
      <w:r>
        <w:t xml:space="preserve"> available spectrum. </w:t>
      </w:r>
    </w:p>
    <w:p w14:paraId="21C41FBA" w14:textId="2820AB99" w:rsidR="006D30C5" w:rsidRDefault="006D30C5" w:rsidP="006D30C5">
      <w:pPr>
        <w:spacing w:before="360"/>
      </w:pPr>
      <w:r>
        <w:t>They put forward their belief that making spectrum-licensing arrangements fit-for-purpose should be a top priority for the ACMA, as spectrum licences provide a high degree of certainty and exclusivity over the use of their spectrum. The high cost of Australian-specific solutions is inconsistent with the priority afforded to spectrum licensees. AMTA also suggested the cost placed on spectrum licensees would far outweigh the costs to TOB operators</w:t>
      </w:r>
      <w:r w:rsidR="000E6A0F">
        <w:t>.</w:t>
      </w:r>
      <w:r>
        <w:t xml:space="preserve">  </w:t>
      </w:r>
    </w:p>
    <w:p w14:paraId="7C01E421" w14:textId="77777777" w:rsidR="006D30C5" w:rsidRDefault="006D30C5" w:rsidP="006D30C5">
      <w:pPr>
        <w:spacing w:before="360"/>
      </w:pPr>
      <w:r>
        <w:t>Telstra identified that the need to maximise the utility of the available spectrum, required a compromise between needs of the spectrum licensees and the TOB operators. Telstra’s view is that the ACMA’s Option 2 achieves this balance, as it informs TOB operators the further they move down from 2106 MHz, the lower the out-of-band emissions from IMT base stations.</w:t>
      </w:r>
    </w:p>
    <w:p w14:paraId="6F99C3B7" w14:textId="77777777" w:rsidR="006D30C5" w:rsidRDefault="006D30C5" w:rsidP="006D30C5">
      <w:pPr>
        <w:spacing w:before="360"/>
      </w:pPr>
      <w:proofErr w:type="spellStart"/>
      <w:r>
        <w:t>FreeTV</w:t>
      </w:r>
      <w:proofErr w:type="spellEnd"/>
      <w:r>
        <w:t xml:space="preserve"> provided background on the use of the adjacent band by TOB operators. TOB licensees operate a network of 26 main collection sites around Australia. Typically located on elevated locations, these collection sites are highly sensitive, omni-directional, and able to receive signals from hundreds of kilometres away. Each is fitted with expensive filters at the band-edge. TOB operators often coordinate shared access, so if interference from adjacent bands adversely affects these collection sites, all broadcasters could be impacted to some extent. Interference issues, by the time they emerged, would be irreversible. The only mitigation available to TOB operators would be replacing the present band-edge filters, in essence creating a pseudo guard band within the industry’s current TOB allocation. In addition to the loss of TOB spectrum utility, filter replacement costs alone would exceed US$1M.</w:t>
      </w:r>
    </w:p>
    <w:p w14:paraId="78F63BE3" w14:textId="36BB1EFC" w:rsidR="006D30C5" w:rsidRDefault="006D30C5" w:rsidP="006D30C5">
      <w:pPr>
        <w:spacing w:before="360"/>
      </w:pPr>
      <w:r>
        <w:t>TOB operators routinely use the 2010–2106 MHz frequency range for helicopter operations. These sometimes operate over long distances, resulting in very low receive signal levels. Any increase in the noise floor within the lower TOB allocation effectively reduces the range where helicopter links can be used.</w:t>
      </w:r>
    </w:p>
    <w:p w14:paraId="19646FC6" w14:textId="61CCC202" w:rsidR="006D30C5" w:rsidRDefault="006D30C5" w:rsidP="006D30C5">
      <w:pPr>
        <w:spacing w:before="360"/>
      </w:pPr>
      <w:r>
        <w:t>The ABC highlighted the importance of the band for TOB operators. The ABC indicated the concern by TOB operators to preserve the utility of these services despite ongoing proliferation and technical evolution of adjacent spectrum licensed services. They stated the importance of the adjacent spectrum (2010–2110 MHz</w:t>
      </w:r>
      <w:r>
        <w:rPr>
          <w:rStyle w:val="FootnoteReference"/>
        </w:rPr>
        <w:footnoteReference w:id="1"/>
      </w:r>
      <w:r>
        <w:t xml:space="preserve"> and 2200–2300 MHz) to the ABC, Seven Network, Nine Entertainment and Network TEN as TOB operators. The 2010</w:t>
      </w:r>
      <w:r w:rsidR="009D5C27">
        <w:t>–</w:t>
      </w:r>
      <w:r>
        <w:t xml:space="preserve">2106 MHz frequency range is used by helicopters as aerial outside broadcast platforms. It is important for the networks that these services are not impaired by an increase in interference. </w:t>
      </w:r>
    </w:p>
    <w:p w14:paraId="3D20BF98" w14:textId="196E3F9B" w:rsidR="006D30C5" w:rsidRDefault="006D30C5" w:rsidP="006D30C5">
      <w:pPr>
        <w:spacing w:before="360"/>
      </w:pPr>
      <w:r>
        <w:t>CA SSWG</w:t>
      </w:r>
      <w:r w:rsidRPr="007B31DD">
        <w:t xml:space="preserve"> </w:t>
      </w:r>
      <w:r>
        <w:t>supported the proposed changes. These proposed unwanted emission limits in the 2170–2180 MHz band will in their view reduce the probability of interference into mobile-satellite service (MSS) systems.</w:t>
      </w:r>
    </w:p>
    <w:p w14:paraId="2C62FAB1" w14:textId="358AC9E4" w:rsidR="006D30C5" w:rsidRPr="00057029" w:rsidRDefault="006D30C5" w:rsidP="006D30C5">
      <w:pPr>
        <w:spacing w:before="360"/>
      </w:pPr>
      <w:proofErr w:type="spellStart"/>
      <w:r>
        <w:t>Echostar</w:t>
      </w:r>
      <w:proofErr w:type="spellEnd"/>
      <w:r>
        <w:t xml:space="preserve"> considered that the changes are acceptable. The proposed unwanted emissions limits into the 2170</w:t>
      </w:r>
      <w:r w:rsidR="009D5C27">
        <w:t>–</w:t>
      </w:r>
      <w:r>
        <w:t>2180 MHz frequency range will adequately reduce the probability of harmful interference into MSS operations.</w:t>
      </w:r>
    </w:p>
    <w:p w14:paraId="6C383549" w14:textId="77777777" w:rsidR="006D30C5" w:rsidRPr="00057029" w:rsidRDefault="006D30C5" w:rsidP="002B2375">
      <w:pPr>
        <w:pStyle w:val="Heading4"/>
      </w:pPr>
      <w:r w:rsidRPr="00057029">
        <w:t>ACMA response</w:t>
      </w:r>
    </w:p>
    <w:p w14:paraId="43611B52" w14:textId="247C3BDA" w:rsidR="006D30C5" w:rsidRDefault="006D30C5" w:rsidP="006D30C5">
      <w:pPr>
        <w:spacing w:after="360"/>
      </w:pPr>
      <w:r>
        <w:t xml:space="preserve">The ACMA has considered the effect on incumbent services </w:t>
      </w:r>
      <w:r w:rsidRPr="00004C40">
        <w:t>in the 2 GHz band and adjacent bands.</w:t>
      </w:r>
      <w:r>
        <w:t xml:space="preserve"> </w:t>
      </w:r>
      <w:r w:rsidR="009D5C27">
        <w:t xml:space="preserve">We </w:t>
      </w:r>
      <w:r>
        <w:t xml:space="preserve">consider that the proposed changes would have a </w:t>
      </w:r>
      <w:r w:rsidRPr="00A862FF">
        <w:t xml:space="preserve">low impact on </w:t>
      </w:r>
      <w:r>
        <w:t>fixed point-to-point services</w:t>
      </w:r>
      <w:r w:rsidRPr="00A862FF">
        <w:t>,</w:t>
      </w:r>
      <w:r>
        <w:t xml:space="preserve"> p</w:t>
      </w:r>
      <w:r w:rsidRPr="00865A55">
        <w:t>ublic telecommunications services</w:t>
      </w:r>
      <w:r>
        <w:t>,</w:t>
      </w:r>
      <w:r w:rsidRPr="00A862FF">
        <w:t xml:space="preserve"> </w:t>
      </w:r>
      <w:r>
        <w:t>mobile satellite services</w:t>
      </w:r>
      <w:r w:rsidRPr="00A862FF">
        <w:t xml:space="preserve">, </w:t>
      </w:r>
      <w:r>
        <w:t xml:space="preserve">space </w:t>
      </w:r>
      <w:r w:rsidRPr="006860F4">
        <w:t xml:space="preserve">operations, </w:t>
      </w:r>
      <w:r>
        <w:t>s</w:t>
      </w:r>
      <w:r w:rsidRPr="006860F4">
        <w:t xml:space="preserve">pace research, </w:t>
      </w:r>
      <w:r>
        <w:t>earth exploration satellite services and class licensed services. All submissions supported this position</w:t>
      </w:r>
      <w:r w:rsidRPr="00A862FF">
        <w:t>.</w:t>
      </w:r>
    </w:p>
    <w:p w14:paraId="7F61DE8B" w14:textId="6600156F" w:rsidR="006D30C5" w:rsidRDefault="006D30C5" w:rsidP="006D30C5">
      <w:pPr>
        <w:spacing w:after="360"/>
      </w:pPr>
      <w:r>
        <w:t xml:space="preserve">The only incumbent service that was identified as potentially affected is TOB services in the frequency range 2010–2106 </w:t>
      </w:r>
      <w:proofErr w:type="spellStart"/>
      <w:r>
        <w:t>MHz.</w:t>
      </w:r>
      <w:proofErr w:type="spellEnd"/>
      <w:r>
        <w:t xml:space="preserve"> The ACMA considers Option 2, while allowing spectrum licensees to deploy 5G networks with AAS, mitigates the potential increase in the interference environment of TOB operators. TOB operators highlighted the need for preserving the utility of the spectrum for their services and the spectrum licensees highlighted the need to allow for developing technologies to be deployed.</w:t>
      </w:r>
    </w:p>
    <w:p w14:paraId="68A37ED1" w14:textId="26A5BBB7" w:rsidR="006D30C5" w:rsidRDefault="006D30C5" w:rsidP="006D30C5">
      <w:pPr>
        <w:spacing w:after="360"/>
      </w:pPr>
      <w:r>
        <w:t xml:space="preserve">In </w:t>
      </w:r>
      <w:r w:rsidRPr="00A46768">
        <w:t>reviewing spectrum licence technical frameworks</w:t>
      </w:r>
      <w:r>
        <w:t xml:space="preserve">, </w:t>
      </w:r>
      <w:proofErr w:type="gramStart"/>
      <w:r>
        <w:t xml:space="preserve">the </w:t>
      </w:r>
      <w:r w:rsidR="00AD4292">
        <w:t>we</w:t>
      </w:r>
      <w:proofErr w:type="gramEnd"/>
      <w:r w:rsidR="00AD4292">
        <w:t xml:space="preserve"> are</w:t>
      </w:r>
      <w:r w:rsidRPr="00A46768">
        <w:t xml:space="preserve"> aware of the investment </w:t>
      </w:r>
      <w:r>
        <w:t xml:space="preserve">made </w:t>
      </w:r>
      <w:r w:rsidRPr="00A46768">
        <w:t>by spectrum licensees when obtaining a spectrum licence. These licences provide licensees with exclusive spectrum access to large geographical areas for a significant period of time. Spectrum licences are allocated with clearly defined technical conditions. The ACMA is under no obligation to review these conditions, however, given the evolution of technology (including 5G and AAS), a review was seen as prudent to determine if changes to the spectrum licence technical framework were possible without disadvantaging incumbent users. Spectrum licensee</w:t>
      </w:r>
      <w:r>
        <w:t>s</w:t>
      </w:r>
      <w:r w:rsidRPr="00A46768">
        <w:t xml:space="preserve"> do not have the right to expect their licence conditions be changed at the expense of other incumbent services. Nor should a spectrum licensee expect that the </w:t>
      </w:r>
      <w:r w:rsidRPr="00DC03C7">
        <w:t>arrangements for incumbent services should change</w:t>
      </w:r>
      <w:r>
        <w:t xml:space="preserve"> </w:t>
      </w:r>
      <w:r w:rsidRPr="00A46768">
        <w:t>significantly</w:t>
      </w:r>
      <w:r>
        <w:t>.</w:t>
      </w:r>
    </w:p>
    <w:p w14:paraId="63450FBC" w14:textId="28705D71" w:rsidR="006D30C5" w:rsidRDefault="006D30C5" w:rsidP="006D30C5">
      <w:pPr>
        <w:spacing w:after="360"/>
      </w:pPr>
      <w:r>
        <w:t xml:space="preserve">It is worth noting that the ACMA has adopted 3GPP limits for most frequency ranges where unwanted emission limits apply. However, to manage coexistence with </w:t>
      </w:r>
      <w:r w:rsidR="000476E9">
        <w:br/>
      </w:r>
      <w:r>
        <w:t xml:space="preserve">TOB services, our policy is that lower limits are more appropriate within the </w:t>
      </w:r>
      <w:r w:rsidR="000476E9">
        <w:br/>
      </w:r>
      <w:r>
        <w:t>2100</w:t>
      </w:r>
      <w:r w:rsidR="000476E9">
        <w:t>–</w:t>
      </w:r>
      <w:r>
        <w:t>2106 MHz frequency range (and subsequently the 1980</w:t>
      </w:r>
      <w:r w:rsidR="000476E9">
        <w:t>–</w:t>
      </w:r>
      <w:r>
        <w:t>2100 MHz frequency range as proposed by AMTA). We consider the limits proposed would strike a reasonable balance between ensuring coexistence and assisting 5G and AAS to be deployed by spectrum licensees.</w:t>
      </w:r>
    </w:p>
    <w:p w14:paraId="6B798A24" w14:textId="77777777" w:rsidR="006D30C5" w:rsidRPr="00057029" w:rsidRDefault="006D30C5" w:rsidP="006D30C5">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12" w:name="_Toc89760806"/>
      <w:r w:rsidRPr="00057029">
        <w:t>Question 3</w:t>
      </w:r>
      <w:bookmarkEnd w:id="12"/>
    </w:p>
    <w:p w14:paraId="30B58808" w14:textId="77777777" w:rsidR="006D30C5" w:rsidRPr="00057029" w:rsidRDefault="006D30C5" w:rsidP="006D30C5">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spacing w:before="120" w:after="120"/>
      </w:pPr>
      <w:r w:rsidRPr="00057029">
        <w:t>Comment is sought on the changes proposed to the:</w:t>
      </w:r>
    </w:p>
    <w:p w14:paraId="3F30659C" w14:textId="77777777" w:rsidR="006D30C5" w:rsidRPr="00057029" w:rsidRDefault="006D30C5" w:rsidP="006D30C5">
      <w:pPr>
        <w:pStyle w:val="Paragraph"/>
        <w:numPr>
          <w:ilvl w:val="0"/>
          <w:numId w:val="22"/>
        </w:numPr>
        <w:pBdr>
          <w:top w:val="single" w:sz="4" w:space="1" w:color="auto"/>
          <w:left w:val="single" w:sz="4" w:space="4" w:color="auto"/>
          <w:bottom w:val="single" w:sz="4" w:space="1" w:color="auto"/>
          <w:right w:val="single" w:sz="4" w:space="4" w:color="auto"/>
        </w:pBdr>
        <w:shd w:val="clear" w:color="auto" w:fill="F2F2F2" w:themeFill="background1" w:themeFillShade="F2"/>
        <w:spacing w:before="120" w:after="120"/>
      </w:pPr>
      <w:r>
        <w:t>2 G</w:t>
      </w:r>
      <w:r w:rsidRPr="00057029">
        <w:t>Hz band spectrum licence conditions</w:t>
      </w:r>
    </w:p>
    <w:p w14:paraId="3EB6EF2F" w14:textId="7ADCF1DB" w:rsidR="006D30C5" w:rsidRPr="00057029" w:rsidRDefault="006D30C5" w:rsidP="006D30C5">
      <w:pPr>
        <w:pStyle w:val="Paragraph"/>
        <w:numPr>
          <w:ilvl w:val="0"/>
          <w:numId w:val="22"/>
        </w:numPr>
        <w:pBdr>
          <w:top w:val="single" w:sz="4" w:space="1" w:color="auto"/>
          <w:left w:val="single" w:sz="4" w:space="4" w:color="auto"/>
          <w:bottom w:val="single" w:sz="4" w:space="1" w:color="auto"/>
          <w:right w:val="single" w:sz="4" w:space="4" w:color="auto"/>
        </w:pBdr>
        <w:shd w:val="clear" w:color="auto" w:fill="F2F2F2" w:themeFill="background1" w:themeFillShade="F2"/>
        <w:spacing w:before="120"/>
      </w:pPr>
      <w:bookmarkStart w:id="13" w:name="_Hlk125631248"/>
      <w:r w:rsidRPr="00B857EB">
        <w:t>Draft Radiocommunications (Unacceptable Levels of Interference – 2 GHz Band) Determination 20</w:t>
      </w:r>
      <w:r>
        <w:t>23</w:t>
      </w:r>
      <w:r w:rsidRPr="00B857EB">
        <w:t xml:space="preserve"> </w:t>
      </w:r>
      <w:bookmarkEnd w:id="13"/>
      <w:r w:rsidRPr="00B857EB">
        <w:t>(s.145(4) determination 2023</w:t>
      </w:r>
      <w:r>
        <w:t>)</w:t>
      </w:r>
      <w:r w:rsidR="000476E9">
        <w:t>.</w:t>
      </w:r>
    </w:p>
    <w:p w14:paraId="0B02ABEE" w14:textId="2A4AC4B9" w:rsidR="006D30C5" w:rsidRDefault="006D30C5" w:rsidP="006D30C5">
      <w:pPr>
        <w:spacing w:before="360"/>
      </w:pPr>
      <w:r>
        <w:t xml:space="preserve">CA SSWG and EchoStar </w:t>
      </w:r>
      <w:r w:rsidRPr="00057029">
        <w:t>support</w:t>
      </w:r>
      <w:r>
        <w:t>ed the use of the 3GPP standards as used to derive the out</w:t>
      </w:r>
      <w:r w:rsidR="000476E9">
        <w:t>-</w:t>
      </w:r>
      <w:r>
        <w:t>of</w:t>
      </w:r>
      <w:r w:rsidR="000476E9">
        <w:t>-</w:t>
      </w:r>
      <w:r>
        <w:t>band emission limits into the 2170–2180 MHz MSS band. They believed the proposed changes to Schedule 2 and 3 maintain an acceptable level of protection for adjacent MSS operations.</w:t>
      </w:r>
    </w:p>
    <w:p w14:paraId="008A7260" w14:textId="328EBE1F" w:rsidR="006D30C5" w:rsidRDefault="006D30C5" w:rsidP="006D30C5">
      <w:r>
        <w:t xml:space="preserve">In </w:t>
      </w:r>
      <w:r w:rsidR="003A3F3D">
        <w:t xml:space="preserve">relation </w:t>
      </w:r>
      <w:r>
        <w:t xml:space="preserve">to the proposed changes to the conditions on the 2 GHz spectrum licences, Optus generally supported the ACMA’s approach, though it expressed concerns about the options to change spectrum licence core conditions relating to unwanted emission limits. Optus supported </w:t>
      </w:r>
      <w:proofErr w:type="gramStart"/>
      <w:r>
        <w:t xml:space="preserve">the </w:t>
      </w:r>
      <w:r w:rsidR="003A3F3D">
        <w:t>our</w:t>
      </w:r>
      <w:proofErr w:type="gramEnd"/>
      <w:r>
        <w:t xml:space="preserve"> proposed amendments set out in the draft Radiocommunications (Unacceptable Levels of Interference – 2 GHz Band) Determination 2023 (s.145(4) Determination).</w:t>
      </w:r>
    </w:p>
    <w:p w14:paraId="5A528718" w14:textId="5E1259F6" w:rsidR="006D30C5" w:rsidRDefault="006D30C5" w:rsidP="006D30C5">
      <w:r>
        <w:t>Telstra supported the proposed changes to the conditions on the 2 GHz spectrum licences, with the exception of the additional comments provided above regarding unwanted emission limits in the 2100–2110 MHz frequency range. They also supported the adoption of the changes proposed in the Draft Radiocommunications (Unacceptable Levels of Interference – 2 GHz Band) Determination 2023 (s.145(4) determination).</w:t>
      </w:r>
    </w:p>
    <w:p w14:paraId="2B1582BB" w14:textId="77777777" w:rsidR="006D30C5" w:rsidRDefault="006D30C5" w:rsidP="006D30C5">
      <w:pPr>
        <w:spacing w:after="80"/>
      </w:pPr>
      <w:r>
        <w:t>CSIRO supported the proposed changes to the conditions on the 2 GHz spectrum licences, but raised the following issues:</w:t>
      </w:r>
    </w:p>
    <w:p w14:paraId="73450B29" w14:textId="16502D60" w:rsidR="006D30C5" w:rsidRDefault="006D30C5" w:rsidP="006D30C5">
      <w:pPr>
        <w:pStyle w:val="ListBullet"/>
      </w:pPr>
      <w:r>
        <w:t xml:space="preserve">HAPS exemption from registration. CSIRO raised their concern that </w:t>
      </w:r>
      <w:r w:rsidR="003A3F3D">
        <w:t>h</w:t>
      </w:r>
      <w:r>
        <w:t xml:space="preserve">igh </w:t>
      </w:r>
      <w:r w:rsidR="003A3F3D">
        <w:t>a</w:t>
      </w:r>
      <w:r>
        <w:t xml:space="preserve">ltitude </w:t>
      </w:r>
      <w:r w:rsidR="003A3F3D">
        <w:t>p</w:t>
      </w:r>
      <w:r>
        <w:t xml:space="preserve">latform </w:t>
      </w:r>
      <w:r w:rsidR="003A3F3D">
        <w:t>s</w:t>
      </w:r>
      <w:r>
        <w:t xml:space="preserve">tation (HAPS) transmitters operating in the 2110–2170 MHz frequency range may cause interference to the sensitive </w:t>
      </w:r>
      <w:r w:rsidR="003A3F3D">
        <w:t>s</w:t>
      </w:r>
      <w:r>
        <w:t xml:space="preserve">pace </w:t>
      </w:r>
      <w:r w:rsidR="003A3F3D">
        <w:t>r</w:t>
      </w:r>
      <w:r>
        <w:t xml:space="preserve">esearch </w:t>
      </w:r>
      <w:r w:rsidR="003A3F3D">
        <w:t>s</w:t>
      </w:r>
      <w:r>
        <w:t xml:space="preserve">ervices (SRS) receivers operating in the 2200–2290 MHz frequency range. Their main concern was the source of interference may not be able to be identified as they are not registered in the Radiocommunications Register of Licences (RRL). While CSIRO acknowledged this is out of the scope of this review, they requested this issue be considered by the ACMA. </w:t>
      </w:r>
    </w:p>
    <w:p w14:paraId="3ACA0BD2" w14:textId="77777777" w:rsidR="006D30C5" w:rsidRPr="00057029" w:rsidRDefault="006D30C5" w:rsidP="006D30C5">
      <w:pPr>
        <w:pStyle w:val="ListBullet"/>
      </w:pPr>
      <w:r>
        <w:t>Registration exemption for non-HAPS transmitters. The change in metric from effective isotropic radiated power (EIRP) to total radiated power (TRP) presents increased potential for exceedance of the SRS protection criteria through the usage of the dynamic phased array AAS. While recognising that operators are required to protect other services, CSIRO was seeking from the ACMA an assurance that there is no scope for these registration exempt services to exceed an EIRP emission limit of 25 dBm within that sector of their AAS that encompasses the SRS stations.</w:t>
      </w:r>
    </w:p>
    <w:p w14:paraId="74344EBA" w14:textId="77777777" w:rsidR="006D30C5" w:rsidRPr="00057029" w:rsidRDefault="006D30C5" w:rsidP="002B2375">
      <w:pPr>
        <w:pStyle w:val="Heading4"/>
        <w:rPr>
          <w:bCs/>
        </w:rPr>
      </w:pPr>
      <w:r w:rsidRPr="00057029">
        <w:t>ACMA response</w:t>
      </w:r>
    </w:p>
    <w:p w14:paraId="15BD34CD" w14:textId="3AED1B25" w:rsidR="006D30C5" w:rsidRDefault="001506DB" w:rsidP="006D30C5">
      <w:pPr>
        <w:pStyle w:val="ListBullet"/>
        <w:numPr>
          <w:ilvl w:val="0"/>
          <w:numId w:val="0"/>
        </w:numPr>
        <w:spacing w:after="240"/>
      </w:pPr>
      <w:r>
        <w:t>We have</w:t>
      </w:r>
      <w:bookmarkStart w:id="14" w:name="_Toc89760807"/>
      <w:r w:rsidR="006D30C5" w:rsidRPr="00057029">
        <w:t xml:space="preserve"> adopted </w:t>
      </w:r>
      <w:r w:rsidR="006D30C5">
        <w:t xml:space="preserve">the proposed changes to </w:t>
      </w:r>
      <w:r w:rsidR="006D30C5" w:rsidRPr="00117561">
        <w:t>2 GHz band spectrum licence conditions</w:t>
      </w:r>
      <w:r w:rsidR="006D30C5">
        <w:t xml:space="preserve"> and the d</w:t>
      </w:r>
      <w:r w:rsidR="006D30C5" w:rsidRPr="00117561">
        <w:t>raft Radiocommunications (Unacceptable Levels of Interference – 2 GHz Band) Determination 2016 (s.145(4) determination 2023)</w:t>
      </w:r>
      <w:r w:rsidR="006D30C5" w:rsidRPr="00057029">
        <w:t xml:space="preserve">. </w:t>
      </w:r>
      <w:r w:rsidR="007F0E17">
        <w:t>We</w:t>
      </w:r>
      <w:r w:rsidR="006D30C5">
        <w:t xml:space="preserve"> </w:t>
      </w:r>
      <w:bookmarkEnd w:id="14"/>
      <w:r w:rsidR="006D30C5">
        <w:t>will make the relevant changes to the unwanted emission limits between 2100–2110 MHz</w:t>
      </w:r>
      <w:r w:rsidR="007F0E17">
        <w:t>,</w:t>
      </w:r>
      <w:r w:rsidR="006D30C5">
        <w:t xml:space="preserve"> as discussed in the response to Question 1. The ACMA also identified an error in Table 10 of the consultation paper. The title incorrectly included the text </w:t>
      </w:r>
      <w:r w:rsidR="007F0E17">
        <w:t>‘</w:t>
      </w:r>
      <w:r w:rsidR="006D30C5">
        <w:t>outside the 1920</w:t>
      </w:r>
      <w:r w:rsidR="007F0E17">
        <w:t>–</w:t>
      </w:r>
      <w:r w:rsidR="006D30C5">
        <w:t>1980 MHz</w:t>
      </w:r>
      <w:r w:rsidR="007F0E17">
        <w:t>’</w:t>
      </w:r>
      <w:r w:rsidR="006D30C5">
        <w:t xml:space="preserve">. The table title has been amended to </w:t>
      </w:r>
      <w:r w:rsidR="007F0E17">
        <w:t>‘</w:t>
      </w:r>
      <w:r w:rsidR="006D30C5" w:rsidRPr="002B2375">
        <w:t>Unwanted emission limits for transmitters operating in the lower 2 GHz band at frequencies outside +/- (channel bandwidth + 5 MHz) – all transmitters</w:t>
      </w:r>
      <w:r w:rsidR="007F0E17">
        <w:t>’</w:t>
      </w:r>
      <w:r w:rsidR="006D30C5">
        <w:t>.</w:t>
      </w:r>
    </w:p>
    <w:p w14:paraId="169F606F" w14:textId="353739C0" w:rsidR="006D30C5" w:rsidRDefault="006D30C5" w:rsidP="006D30C5">
      <w:r>
        <w:t xml:space="preserve">CSIRO raised concerns related to the exemption from registration for HAPS. The ACMA did not consider placing extra restrictions on the existing arrangements for spectrum licensees, although it notes that </w:t>
      </w:r>
      <w:r w:rsidRPr="00CD7EA3">
        <w:t>even though</w:t>
      </w:r>
      <w:r>
        <w:t xml:space="preserve"> the HAPS transmitters </w:t>
      </w:r>
      <w:r w:rsidRPr="00CD7EA3">
        <w:t>are exempt from registration</w:t>
      </w:r>
      <w:r>
        <w:t>,</w:t>
      </w:r>
      <w:r w:rsidRPr="00CD7EA3">
        <w:t xml:space="preserve"> they are still </w:t>
      </w:r>
      <w:r>
        <w:t>expected</w:t>
      </w:r>
      <w:r w:rsidRPr="00CD7EA3">
        <w:t xml:space="preserve"> to protect SRS and other adjacent band services to the protection levels specified in the </w:t>
      </w:r>
      <w:r w:rsidRPr="002B2375">
        <w:t>Radiocommunications Advisory Guidelines (Managing Interference from Spectrum Licensed Transmitters – 2 GHz Band) 2023</w:t>
      </w:r>
      <w:r w:rsidRPr="00CD7EA3">
        <w:t xml:space="preserve">. </w:t>
      </w:r>
      <w:r>
        <w:t>There is also a minimum 30 MHz guard band between these services that will help to reduce the potential for interference. Should interference occur from a non-registered HAPS transmitter, there are only a limited number of spectrum licensees in the 2 GHz band. These licensees can be contacted to help to quickly identify the source of interference.</w:t>
      </w:r>
    </w:p>
    <w:p w14:paraId="7B43527F" w14:textId="22AF5664" w:rsidR="006D30C5" w:rsidRDefault="006D30C5" w:rsidP="006D30C5">
      <w:pPr>
        <w:spacing w:after="80"/>
      </w:pPr>
      <w:r>
        <w:t xml:space="preserve">The other issue raised by CSIRO was the exemption from registration for non-HAPS services changing the metric from EIRP to TRP. Due to the nature of AAS the ACMA cannot provide any guarantees regarding the on-axis power exceeding 25 dBm EIRP. However, when deploying a base station (whether exempt from registration or not) spectrum licensees are required to consider and manage interference with adjacent band services. This is further mitigated by the small number of SRS sites in the </w:t>
      </w:r>
      <w:r w:rsidR="007F0E17">
        <w:br/>
      </w:r>
      <w:r>
        <w:t>2200</w:t>
      </w:r>
      <w:r w:rsidR="007F0E17">
        <w:t>–</w:t>
      </w:r>
      <w:r>
        <w:t>2290 MHz band, the remote location of most SRS operations and the minimum 30 MHz guard band with 2 GHz band spectrum licences. The ACMA considers these factors combined provide a high degree of certainty of protection from both base stations and the associated user terminals. As a further example, the same exemption from registration limits have applied to 2.3 GHz spectrum licences for nearly a decade. There is a minimum 10 MHz guard band to SRS in that case and the ACMA is unaware of any issues.</w:t>
      </w:r>
    </w:p>
    <w:p w14:paraId="60C0B99C" w14:textId="77777777" w:rsidR="006D30C5" w:rsidRPr="00057029" w:rsidRDefault="006D30C5" w:rsidP="006D30C5">
      <w:pPr>
        <w:spacing w:after="80"/>
      </w:pPr>
    </w:p>
    <w:p w14:paraId="5C9D9007" w14:textId="77777777" w:rsidR="006D30C5" w:rsidRPr="008377EF" w:rsidRDefault="006D30C5" w:rsidP="006D30C5">
      <w:pPr>
        <w:pStyle w:val="ListNumber"/>
        <w:numPr>
          <w:ilvl w:val="0"/>
          <w:numId w:val="0"/>
        </w:numPr>
        <w:pBdr>
          <w:top w:val="single" w:sz="4" w:space="8" w:color="auto"/>
          <w:left w:val="single" w:sz="4" w:space="4" w:color="auto"/>
          <w:bottom w:val="single" w:sz="4" w:space="1" w:color="auto"/>
          <w:right w:val="single" w:sz="4" w:space="4" w:color="auto"/>
        </w:pBdr>
        <w:shd w:val="clear" w:color="auto" w:fill="F2F2F2" w:themeFill="background1" w:themeFillShade="F2"/>
        <w:spacing w:before="100"/>
        <w:rPr>
          <w:b/>
          <w:bCs/>
        </w:rPr>
      </w:pPr>
      <w:r w:rsidRPr="008377EF">
        <w:rPr>
          <w:b/>
          <w:bCs/>
        </w:rPr>
        <w:t>Question 4</w:t>
      </w:r>
    </w:p>
    <w:p w14:paraId="23AB4E23" w14:textId="77777777" w:rsidR="006D30C5" w:rsidRDefault="006D30C5" w:rsidP="006D30C5">
      <w:pPr>
        <w:pStyle w:val="ListNumber"/>
        <w:numPr>
          <w:ilvl w:val="0"/>
          <w:numId w:val="0"/>
        </w:numPr>
        <w:pBdr>
          <w:top w:val="single" w:sz="4" w:space="8" w:color="auto"/>
          <w:left w:val="single" w:sz="4" w:space="4" w:color="auto"/>
          <w:bottom w:val="single" w:sz="4" w:space="1" w:color="auto"/>
          <w:right w:val="single" w:sz="4" w:space="4" w:color="auto"/>
        </w:pBdr>
        <w:shd w:val="clear" w:color="auto" w:fill="F2F2F2" w:themeFill="background1" w:themeFillShade="F2"/>
        <w:spacing w:before="100"/>
      </w:pPr>
      <w:r>
        <w:t xml:space="preserve">The Radiocommunications Advisory Guidelines for this band </w:t>
      </w:r>
      <w:proofErr w:type="gramStart"/>
      <w:r>
        <w:t>will</w:t>
      </w:r>
      <w:proofErr w:type="gramEnd"/>
      <w:r>
        <w:t xml:space="preserve"> sunset in 2026. The ACMA is proposing to remake the instruments. This will ensure the instruments remain valid for the remainder of the spectrum licence period. Comment is sought on the proposal to remake the following instruments:</w:t>
      </w:r>
    </w:p>
    <w:p w14:paraId="7DE15646" w14:textId="77777777" w:rsidR="006D30C5" w:rsidRDefault="006D30C5" w:rsidP="006D30C5">
      <w:pPr>
        <w:pStyle w:val="ListNumber"/>
        <w:numPr>
          <w:ilvl w:val="0"/>
          <w:numId w:val="0"/>
        </w:numPr>
        <w:pBdr>
          <w:top w:val="single" w:sz="4" w:space="8" w:color="auto"/>
          <w:left w:val="single" w:sz="4" w:space="4" w:color="auto"/>
          <w:bottom w:val="single" w:sz="4" w:space="1" w:color="auto"/>
          <w:right w:val="single" w:sz="4" w:space="4" w:color="auto"/>
        </w:pBdr>
        <w:shd w:val="clear" w:color="auto" w:fill="F2F2F2" w:themeFill="background1" w:themeFillShade="F2"/>
        <w:ind w:left="284" w:hanging="284"/>
      </w:pPr>
      <w:r>
        <w:t>&gt;</w:t>
      </w:r>
      <w:r>
        <w:tab/>
        <w:t xml:space="preserve">Draft </w:t>
      </w:r>
      <w:r w:rsidRPr="00BC05CF">
        <w:t xml:space="preserve">Radiocommunications Advisory Guidelines (Managing Interference from Spectrum Licensed Transmitters – 2 GHz Band) </w:t>
      </w:r>
      <w:r>
        <w:t>2023</w:t>
      </w:r>
    </w:p>
    <w:p w14:paraId="48B7B929" w14:textId="77777777" w:rsidR="006D30C5" w:rsidRDefault="006D30C5" w:rsidP="006D30C5">
      <w:pPr>
        <w:pStyle w:val="ListNumber"/>
        <w:numPr>
          <w:ilvl w:val="0"/>
          <w:numId w:val="0"/>
        </w:numPr>
        <w:pBdr>
          <w:top w:val="single" w:sz="4" w:space="8" w:color="auto"/>
          <w:left w:val="single" w:sz="4" w:space="4" w:color="auto"/>
          <w:bottom w:val="single" w:sz="4" w:space="1" w:color="auto"/>
          <w:right w:val="single" w:sz="4" w:space="4" w:color="auto"/>
        </w:pBdr>
        <w:shd w:val="clear" w:color="auto" w:fill="F2F2F2" w:themeFill="background1" w:themeFillShade="F2"/>
        <w:spacing w:after="120"/>
        <w:ind w:left="284" w:hanging="284"/>
      </w:pPr>
      <w:r>
        <w:t xml:space="preserve">&gt;   Draft </w:t>
      </w:r>
      <w:r w:rsidRPr="00BC05CF">
        <w:t xml:space="preserve">Radiocommunications Advisory Guidelines (Managing Interference to Spectrum Licensed Receivers – 2 GHz Band) </w:t>
      </w:r>
      <w:r>
        <w:t>2023.</w:t>
      </w:r>
    </w:p>
    <w:p w14:paraId="4B472BF1" w14:textId="77777777" w:rsidR="006D30C5" w:rsidRDefault="006D30C5" w:rsidP="006D30C5">
      <w:pPr>
        <w:spacing w:before="360"/>
      </w:pPr>
      <w:r>
        <w:t xml:space="preserve">CA SSWG and EchoStar supported the proposed changes. They were satisfied that a compliant transmitter operating under a 2 GHz spectrum licence will not interfere with MSS receivers. They also believed the </w:t>
      </w:r>
      <w:r w:rsidRPr="001F1B35">
        <w:t>proposed changes provide clarity for the rules and guidelines for licensed receivers.</w:t>
      </w:r>
    </w:p>
    <w:p w14:paraId="046D926C" w14:textId="69345FCE" w:rsidR="006D30C5" w:rsidRDefault="006D30C5" w:rsidP="006D30C5">
      <w:r>
        <w:t xml:space="preserve">Optus supported the proposed changes to the </w:t>
      </w:r>
      <w:r w:rsidR="002F5EED">
        <w:t>a</w:t>
      </w:r>
      <w:r>
        <w:t xml:space="preserve">dvisory </w:t>
      </w:r>
      <w:r w:rsidR="002F5EED">
        <w:t>g</w:t>
      </w:r>
      <w:r>
        <w:t>uidelines</w:t>
      </w:r>
      <w:r w:rsidR="002F5EED">
        <w:t>.</w:t>
      </w:r>
    </w:p>
    <w:p w14:paraId="7A96F2DA" w14:textId="27E2EA8A" w:rsidR="006D30C5" w:rsidRDefault="006D30C5" w:rsidP="002B2375">
      <w:pPr>
        <w:keepNext/>
        <w:keepLines/>
      </w:pPr>
      <w:r>
        <w:t xml:space="preserve">Telstra supported the proposed changes to the </w:t>
      </w:r>
      <w:r w:rsidR="002F5EED">
        <w:t>a</w:t>
      </w:r>
      <w:r>
        <w:t xml:space="preserve">dvisory </w:t>
      </w:r>
      <w:r w:rsidR="002F5EED">
        <w:t>g</w:t>
      </w:r>
      <w:r>
        <w:t xml:space="preserve">uidelines. They noted that in the </w:t>
      </w:r>
      <w:r w:rsidRPr="001F1B35">
        <w:t>Draft Radiocommunications Advisory Guidelines (Managing Interference from Spectrum Licensed Transmitters – 2 GHz Band) 2023</w:t>
      </w:r>
      <w:r>
        <w:t xml:space="preserve">, Part 6 Section 16 </w:t>
      </w:r>
      <w:r w:rsidR="002F5EED">
        <w:t>‘</w:t>
      </w:r>
      <w:r>
        <w:t>Protection requirements</w:t>
      </w:r>
      <w:r w:rsidR="002F5EED">
        <w:t>’</w:t>
      </w:r>
      <w:r>
        <w:t xml:space="preserve"> for TOB services only mentions 2170</w:t>
      </w:r>
      <w:r w:rsidR="002F5EED">
        <w:t>–</w:t>
      </w:r>
      <w:r>
        <w:t>2300 MHz and that TOB services operating in 1980</w:t>
      </w:r>
      <w:r w:rsidR="002F5EED">
        <w:t>–</w:t>
      </w:r>
      <w:r>
        <w:t>2110 MHz are not mentioned.</w:t>
      </w:r>
    </w:p>
    <w:p w14:paraId="0BEF8930" w14:textId="5B50A9EB" w:rsidR="006D30C5" w:rsidRDefault="006D30C5" w:rsidP="006D30C5">
      <w:r>
        <w:t xml:space="preserve">AMTA supported the proposed changes to the </w:t>
      </w:r>
      <w:r w:rsidR="003E66C3">
        <w:t>a</w:t>
      </w:r>
      <w:r>
        <w:t xml:space="preserve">dvisory </w:t>
      </w:r>
      <w:r w:rsidR="003E66C3">
        <w:t>g</w:t>
      </w:r>
      <w:r>
        <w:t xml:space="preserve">uidelines. It proposed that in the </w:t>
      </w:r>
      <w:r w:rsidRPr="001F1B35">
        <w:t>Draft Radiocommunications Advisory Guidelines (Managing Interference to Spectrum Licensed Receivers – 2 GHz Band) 2023</w:t>
      </w:r>
      <w:r>
        <w:t xml:space="preserve">, Schedule 1, Notional receiver performance level, should be ‘modernised’ to support wider-bandwidths (including 5G) receivers, as was done for the 850/900 </w:t>
      </w:r>
      <w:proofErr w:type="spellStart"/>
      <w:r>
        <w:t>MHz.</w:t>
      </w:r>
      <w:proofErr w:type="spellEnd"/>
    </w:p>
    <w:p w14:paraId="7F6EB0CE" w14:textId="77777777" w:rsidR="006D30C5" w:rsidRPr="00057029" w:rsidRDefault="006D30C5" w:rsidP="002B2375">
      <w:pPr>
        <w:pStyle w:val="Heading4"/>
      </w:pPr>
      <w:r w:rsidRPr="00057029">
        <w:t>ACMA response</w:t>
      </w:r>
    </w:p>
    <w:p w14:paraId="5481BBC8" w14:textId="409371CA" w:rsidR="006D30C5" w:rsidRPr="00057029" w:rsidRDefault="006D30C5" w:rsidP="006D30C5">
      <w:pPr>
        <w:spacing w:after="80"/>
      </w:pPr>
      <w:bookmarkStart w:id="15" w:name="_Toc89760808"/>
      <w:bookmarkEnd w:id="9"/>
      <w:r w:rsidRPr="00057029">
        <w:t xml:space="preserve">The ACMA has adopted </w:t>
      </w:r>
      <w:r>
        <w:t>the proposed changes to Advisory Guidelines. The ACMA will include the TOB frequency range of 1980-2100 MHz in the RAG Tx, which was inadvertently omitted from the consultation document. The ACMA has also included the amendments as proposed by AMTA, to ensure wider-bandwidth receivers are supported in the RAG Rx.</w:t>
      </w:r>
      <w:r w:rsidRPr="00057029">
        <w:t xml:space="preserve"> </w:t>
      </w:r>
      <w:r>
        <w:t>Schedule 1 of the RAG Rx was amended to include criteria for receivers with bandwidths greater than 20 MHz (see clause 2</w:t>
      </w:r>
      <w:r w:rsidR="00F112EE">
        <w:t>:</w:t>
      </w:r>
      <w:r>
        <w:t xml:space="preserve"> </w:t>
      </w:r>
      <w:r w:rsidRPr="004900E8">
        <w:t>Adjacent channel selectivity</w:t>
      </w:r>
      <w:r w:rsidR="00F112EE">
        <w:t>;</w:t>
      </w:r>
      <w:r>
        <w:t xml:space="preserve"> clause 3</w:t>
      </w:r>
      <w:r w:rsidR="00F112EE">
        <w:t>:</w:t>
      </w:r>
      <w:r>
        <w:t xml:space="preserve"> </w:t>
      </w:r>
      <w:r w:rsidRPr="004900E8">
        <w:t>Intermodulation response rejection</w:t>
      </w:r>
      <w:r w:rsidR="00F112EE">
        <w:t>,</w:t>
      </w:r>
      <w:r>
        <w:t xml:space="preserve"> and clause 4</w:t>
      </w:r>
      <w:r w:rsidR="00F112EE">
        <w:t>:</w:t>
      </w:r>
      <w:r>
        <w:t xml:space="preserve"> Receiver blocking.</w:t>
      </w:r>
    </w:p>
    <w:p w14:paraId="100DC5B2" w14:textId="77777777" w:rsidR="006D30C5" w:rsidRPr="00057029" w:rsidRDefault="006D30C5" w:rsidP="006D30C5">
      <w:pPr>
        <w:pStyle w:val="Heading2"/>
      </w:pPr>
      <w:bookmarkStart w:id="16" w:name="_Toc128580642"/>
      <w:r w:rsidRPr="00057029">
        <w:t>Other issues</w:t>
      </w:r>
      <w:bookmarkEnd w:id="15"/>
      <w:bookmarkEnd w:id="16"/>
    </w:p>
    <w:p w14:paraId="7B65EF90" w14:textId="77777777" w:rsidR="006D30C5" w:rsidRPr="00057029" w:rsidRDefault="006D30C5" w:rsidP="006D30C5">
      <w:pPr>
        <w:pStyle w:val="Heading3"/>
      </w:pPr>
      <w:bookmarkStart w:id="17" w:name="_Toc89760809"/>
      <w:r>
        <w:t>Applying 3GPP standards</w:t>
      </w:r>
      <w:bookmarkEnd w:id="17"/>
    </w:p>
    <w:p w14:paraId="10A46678" w14:textId="77777777" w:rsidR="006D30C5" w:rsidRPr="00057029" w:rsidRDefault="006D30C5" w:rsidP="006D30C5">
      <w:r>
        <w:t>AMTA. Ericsson, Optus and Telstra’s submissions all indicated a strong desire to adopt 3GPP standards for the emission limits for spectrum licensed services. Optus stated that technical requirements that necessitate market specific equipment will create delays and add costs to network deployment</w:t>
      </w:r>
      <w:r w:rsidRPr="0035245C">
        <w:t xml:space="preserve"> </w:t>
      </w:r>
      <w:r>
        <w:t xml:space="preserve">while noting that this is not an issue for the 2 GHz band. The imposition of Australian-specific licence conditions will hinder licensees’ ability to deploy 5G networks in a cost-effective and timely manner, and ultimately undermine the potential benefits of fully realised 5G networks for Australia. This point was echoed either in part or in whole in the submissions by AMTA, Ericsson and Telstra (who also noted that compliant equipment is available for this band). </w:t>
      </w:r>
    </w:p>
    <w:p w14:paraId="0DFBC684" w14:textId="77777777" w:rsidR="006D30C5" w:rsidRPr="00057029" w:rsidRDefault="006D30C5" w:rsidP="002B2375">
      <w:pPr>
        <w:pStyle w:val="Heading4"/>
      </w:pPr>
      <w:r w:rsidRPr="00057029">
        <w:t>ACMA response</w:t>
      </w:r>
    </w:p>
    <w:p w14:paraId="0EFB5CEB" w14:textId="77777777" w:rsidR="006D30C5" w:rsidRDefault="006D30C5" w:rsidP="006D30C5">
      <w:r>
        <w:t>The ACMA recognises</w:t>
      </w:r>
      <w:r w:rsidRPr="00071DBD">
        <w:t xml:space="preserve"> that harmonisation with industry standards such as those developed by 3GPP is understandably preferred by the wireless broadband industry</w:t>
      </w:r>
      <w:r>
        <w:t xml:space="preserve">. </w:t>
      </w:r>
      <w:r w:rsidRPr="00071DBD">
        <w:t xml:space="preserve">However, they cannot be adopted in the absence of considering the broader domestic spectrum management environment. </w:t>
      </w:r>
      <w:r>
        <w:t xml:space="preserve">This includes the management of interference with other services. </w:t>
      </w:r>
    </w:p>
    <w:p w14:paraId="5C28683B" w14:textId="77777777" w:rsidR="006D30C5" w:rsidRPr="0070066D" w:rsidRDefault="006D30C5" w:rsidP="006D30C5">
      <w:r w:rsidRPr="00071DBD">
        <w:t xml:space="preserve">In this </w:t>
      </w:r>
      <w:r>
        <w:t xml:space="preserve">specific </w:t>
      </w:r>
      <w:r w:rsidRPr="00071DBD">
        <w:t xml:space="preserve">case there is an </w:t>
      </w:r>
      <w:r>
        <w:t>existing</w:t>
      </w:r>
      <w:r w:rsidRPr="00071DBD">
        <w:t xml:space="preserve"> technical framework for the 2 GHz band with established coexistence arrangements </w:t>
      </w:r>
      <w:r>
        <w:t>with other users of the spectrum (in particular TOB). This review of the 2 GHz technical framework has been</w:t>
      </w:r>
      <w:r w:rsidRPr="00071DBD">
        <w:t xml:space="preserve"> </w:t>
      </w:r>
      <w:r>
        <w:t>undertaken</w:t>
      </w:r>
      <w:r w:rsidRPr="00071DBD">
        <w:t xml:space="preserve"> to identify what changes can be made</w:t>
      </w:r>
      <w:r>
        <w:t xml:space="preserve"> in this broader environment while also considering other spectrum uses and users</w:t>
      </w:r>
      <w:r w:rsidRPr="00071DBD">
        <w:t>.</w:t>
      </w:r>
      <w:r>
        <w:t xml:space="preserve"> </w:t>
      </w:r>
    </w:p>
    <w:p w14:paraId="15337681" w14:textId="77777777" w:rsidR="006D30C5" w:rsidRPr="00057029" w:rsidRDefault="006D30C5" w:rsidP="002B2375">
      <w:pPr>
        <w:pStyle w:val="Heading3"/>
        <w:keepLines/>
      </w:pPr>
      <w:r>
        <w:t>RALI FX 21 update</w:t>
      </w:r>
    </w:p>
    <w:p w14:paraId="7255E8E2" w14:textId="77777777" w:rsidR="006D30C5" w:rsidRPr="00057029" w:rsidRDefault="006D30C5" w:rsidP="002B2375">
      <w:pPr>
        <w:keepNext/>
        <w:keepLines/>
      </w:pPr>
      <w:proofErr w:type="spellStart"/>
      <w:r>
        <w:t>FreeTV</w:t>
      </w:r>
      <w:proofErr w:type="spellEnd"/>
      <w:r>
        <w:t xml:space="preserve"> proposed that while updating section 6.5 of </w:t>
      </w:r>
      <w:r w:rsidRPr="004E596F">
        <w:t xml:space="preserve">Radiocommunications </w:t>
      </w:r>
      <w:r>
        <w:t>A</w:t>
      </w:r>
      <w:r w:rsidRPr="004E596F">
        <w:t xml:space="preserve">ssignment and </w:t>
      </w:r>
      <w:r>
        <w:t>L</w:t>
      </w:r>
      <w:r w:rsidRPr="004E596F">
        <w:t xml:space="preserve">icensing </w:t>
      </w:r>
      <w:r>
        <w:t>I</w:t>
      </w:r>
      <w:r w:rsidRPr="004E596F">
        <w:t>nstructions</w:t>
      </w:r>
      <w:r>
        <w:t xml:space="preserve"> (RALI) FX21: Television outside broadcasting services 1980–2110 MHz and 2170–2300 MHz, the ACMA should take this opportunity to also include the 'designated areas' resulting from the recent review of the frequency band plan that applies to TOB in and near the 2 GHz band.</w:t>
      </w:r>
    </w:p>
    <w:p w14:paraId="64D424E1" w14:textId="77777777" w:rsidR="006D30C5" w:rsidRPr="00057029" w:rsidRDefault="006D30C5" w:rsidP="002B2375">
      <w:pPr>
        <w:pStyle w:val="Heading4"/>
        <w:keepNext/>
        <w:keepLines/>
      </w:pPr>
      <w:r w:rsidRPr="00057029">
        <w:t>ACMA response</w:t>
      </w:r>
    </w:p>
    <w:p w14:paraId="3997B277" w14:textId="77777777" w:rsidR="006D30C5" w:rsidRPr="00057029" w:rsidRDefault="006D30C5" w:rsidP="002B2375">
      <w:pPr>
        <w:keepNext/>
        <w:keepLines/>
      </w:pPr>
      <w:r w:rsidRPr="002730C0">
        <w:t xml:space="preserve">While RALI FX21 was not part of this consultation, </w:t>
      </w:r>
      <w:r>
        <w:t>RALI FX 21 will require updating to reflect changes due to the proposed update to the 2GHz spectrum licence emission limits. T</w:t>
      </w:r>
      <w:r w:rsidRPr="002730C0">
        <w:t>h</w:t>
      </w:r>
      <w:r>
        <w:t>e</w:t>
      </w:r>
      <w:r w:rsidRPr="002730C0">
        <w:t xml:space="preserve"> </w:t>
      </w:r>
      <w:r>
        <w:t xml:space="preserve">additional suggestion from </w:t>
      </w:r>
      <w:proofErr w:type="spellStart"/>
      <w:r>
        <w:t>FreeTV</w:t>
      </w:r>
      <w:proofErr w:type="spellEnd"/>
      <w:r w:rsidRPr="002730C0">
        <w:t xml:space="preserve"> will be </w:t>
      </w:r>
      <w:r>
        <w:t>considered in any future review of RALI FX21.</w:t>
      </w:r>
    </w:p>
    <w:p w14:paraId="0BA65A32" w14:textId="0AB0BFDA" w:rsidR="006D30C5" w:rsidRPr="00057029" w:rsidRDefault="006D30C5" w:rsidP="006D30C5">
      <w:pPr>
        <w:pStyle w:val="Heading1"/>
      </w:pPr>
      <w:bookmarkStart w:id="18" w:name="_3_Outcomes_of"/>
      <w:bookmarkStart w:id="19" w:name="_Toc89760811"/>
      <w:bookmarkStart w:id="20" w:name="_Toc128580643"/>
      <w:bookmarkEnd w:id="18"/>
      <w:r w:rsidRPr="00057029">
        <w:t>3</w:t>
      </w:r>
      <w:r w:rsidR="00507609">
        <w:t>.</w:t>
      </w:r>
      <w:r w:rsidRPr="00057029">
        <w:tab/>
        <w:t xml:space="preserve">Outcomes of </w:t>
      </w:r>
      <w:r w:rsidR="00507609">
        <w:t xml:space="preserve">the </w:t>
      </w:r>
      <w:r w:rsidRPr="00057029">
        <w:t>consultation</w:t>
      </w:r>
      <w:bookmarkEnd w:id="19"/>
      <w:bookmarkEnd w:id="20"/>
    </w:p>
    <w:p w14:paraId="07DEF746" w14:textId="77777777" w:rsidR="006D30C5" w:rsidRPr="00057029" w:rsidRDefault="006D30C5" w:rsidP="006D30C5">
      <w:pPr>
        <w:spacing w:after="80"/>
        <w:rPr>
          <w:rFonts w:cs="Arial"/>
          <w:szCs w:val="20"/>
        </w:rPr>
      </w:pPr>
      <w:r w:rsidRPr="00057029">
        <w:rPr>
          <w:rFonts w:cs="Arial"/>
          <w:szCs w:val="20"/>
        </w:rPr>
        <w:t xml:space="preserve">The ACMA </w:t>
      </w:r>
      <w:r>
        <w:t>proposes to work with spectrum licensees on variations to the conditions of their spectrum licences</w:t>
      </w:r>
      <w:r w:rsidRPr="00057029">
        <w:rPr>
          <w:rFonts w:cs="Arial"/>
          <w:szCs w:val="20"/>
        </w:rPr>
        <w:t xml:space="preserve"> </w:t>
      </w:r>
      <w:r w:rsidRPr="00057029">
        <w:t>under section 72 of the Act as proposed in the consultation paper, with the following amendments:</w:t>
      </w:r>
      <w:r w:rsidRPr="00057029">
        <w:rPr>
          <w:rFonts w:cs="Arial"/>
          <w:szCs w:val="20"/>
        </w:rPr>
        <w:t xml:space="preserve"> </w:t>
      </w:r>
    </w:p>
    <w:p w14:paraId="0FC0FA5F" w14:textId="693246DC" w:rsidR="006D30C5" w:rsidRDefault="006D30C5" w:rsidP="002B2375">
      <w:pPr>
        <w:pStyle w:val="Bulletlevel1"/>
      </w:pPr>
      <w:r w:rsidRPr="00057029">
        <w:t xml:space="preserve">For the unwanted emission limits </w:t>
      </w:r>
      <w:r>
        <w:t>between 2100–2110 MHz the following limits would apply to all devices</w:t>
      </w:r>
    </w:p>
    <w:tbl>
      <w:tblPr>
        <w:tblW w:w="7083" w:type="dxa"/>
        <w:jc w:val="center"/>
        <w:tblCellMar>
          <w:left w:w="0" w:type="dxa"/>
          <w:right w:w="0" w:type="dxa"/>
        </w:tblCellMar>
        <w:tblLook w:val="04A0" w:firstRow="1" w:lastRow="0" w:firstColumn="1" w:lastColumn="0" w:noHBand="0" w:noVBand="1"/>
      </w:tblPr>
      <w:tblGrid>
        <w:gridCol w:w="2972"/>
        <w:gridCol w:w="2552"/>
        <w:gridCol w:w="1559"/>
      </w:tblGrid>
      <w:tr w:rsidR="006D30C5" w:rsidRPr="001B6B4C" w14:paraId="5189FF82" w14:textId="77777777" w:rsidTr="00D41009">
        <w:trPr>
          <w:jc w:val="center"/>
        </w:trPr>
        <w:tc>
          <w:tcPr>
            <w:tcW w:w="2972" w:type="dxa"/>
            <w:tcBorders>
              <w:top w:val="single" w:sz="8" w:space="0" w:color="auto"/>
              <w:left w:val="single" w:sz="8" w:space="0" w:color="auto"/>
              <w:bottom w:val="single" w:sz="8" w:space="0" w:color="auto"/>
              <w:right w:val="single" w:sz="8" w:space="0" w:color="auto"/>
            </w:tcBorders>
            <w:shd w:val="clear" w:color="auto" w:fill="404040"/>
            <w:tcMar>
              <w:top w:w="0" w:type="dxa"/>
              <w:left w:w="108" w:type="dxa"/>
              <w:bottom w:w="0" w:type="dxa"/>
              <w:right w:w="108" w:type="dxa"/>
            </w:tcMar>
            <w:hideMark/>
          </w:tcPr>
          <w:p w14:paraId="7951BBFD" w14:textId="77777777" w:rsidR="006D30C5" w:rsidRPr="001B6B4C" w:rsidRDefault="006D30C5" w:rsidP="00D41009">
            <w:pPr>
              <w:keepNext/>
              <w:spacing w:after="0"/>
              <w:contextualSpacing/>
              <w:jc w:val="center"/>
              <w:rPr>
                <w:rFonts w:cs="Arial"/>
                <w:b/>
                <w:bCs/>
                <w:color w:val="FFFFFF"/>
              </w:rPr>
            </w:pPr>
            <w:r w:rsidRPr="001B6B4C">
              <w:rPr>
                <w:rFonts w:cs="Arial"/>
                <w:b/>
                <w:bCs/>
                <w:color w:val="FFFFFF"/>
              </w:rPr>
              <w:t>Frequency offset</w:t>
            </w:r>
          </w:p>
          <w:p w14:paraId="4FA5E2ED" w14:textId="77777777" w:rsidR="006D30C5" w:rsidRPr="001B6B4C" w:rsidRDefault="006D30C5" w:rsidP="00D41009">
            <w:pPr>
              <w:keepNext/>
              <w:spacing w:after="0"/>
              <w:contextualSpacing/>
              <w:jc w:val="center"/>
              <w:rPr>
                <w:rFonts w:cs="Arial"/>
                <w:b/>
                <w:bCs/>
                <w:color w:val="FFFFFF"/>
                <w:vertAlign w:val="superscript"/>
              </w:rPr>
            </w:pPr>
            <w:r w:rsidRPr="001B6B4C">
              <w:rPr>
                <w:rFonts w:cs="Arial"/>
                <w:b/>
                <w:bCs/>
                <w:color w:val="FFFFFF"/>
              </w:rPr>
              <w:t>(</w:t>
            </w:r>
            <w:proofErr w:type="spellStart"/>
            <w:r w:rsidRPr="001B6B4C">
              <w:rPr>
                <w:rFonts w:cs="Arial"/>
                <w:b/>
                <w:bCs/>
                <w:color w:val="FFFFFF"/>
              </w:rPr>
              <w:t>f</w:t>
            </w:r>
            <w:r w:rsidRPr="001B6B4C">
              <w:rPr>
                <w:rFonts w:cs="Arial"/>
                <w:b/>
                <w:bCs/>
                <w:color w:val="FFFFFF"/>
                <w:vertAlign w:val="subscript"/>
              </w:rPr>
              <w:t>offset</w:t>
            </w:r>
            <w:proofErr w:type="spellEnd"/>
            <w:r w:rsidRPr="001B6B4C">
              <w:rPr>
                <w:rFonts w:cs="Arial"/>
                <w:b/>
                <w:bCs/>
                <w:color w:val="FFFFFF"/>
              </w:rPr>
              <w:t>)</w:t>
            </w:r>
          </w:p>
        </w:tc>
        <w:tc>
          <w:tcPr>
            <w:tcW w:w="2552" w:type="dxa"/>
            <w:tcBorders>
              <w:top w:val="single" w:sz="8" w:space="0" w:color="auto"/>
              <w:left w:val="nil"/>
              <w:bottom w:val="single" w:sz="8" w:space="0" w:color="auto"/>
              <w:right w:val="single" w:sz="8" w:space="0" w:color="auto"/>
            </w:tcBorders>
            <w:shd w:val="clear" w:color="auto" w:fill="404040"/>
            <w:tcMar>
              <w:top w:w="0" w:type="dxa"/>
              <w:left w:w="108" w:type="dxa"/>
              <w:bottom w:w="0" w:type="dxa"/>
              <w:right w:w="108" w:type="dxa"/>
            </w:tcMar>
            <w:hideMark/>
          </w:tcPr>
          <w:p w14:paraId="29FF8E6B" w14:textId="77777777" w:rsidR="006D30C5" w:rsidRPr="001B6B4C" w:rsidRDefault="006D30C5" w:rsidP="00D41009">
            <w:pPr>
              <w:keepNext/>
              <w:spacing w:after="0"/>
              <w:contextualSpacing/>
              <w:jc w:val="center"/>
              <w:rPr>
                <w:rFonts w:cs="Arial"/>
                <w:b/>
                <w:bCs/>
                <w:color w:val="FFFFFF"/>
              </w:rPr>
            </w:pPr>
            <w:r w:rsidRPr="001B6B4C">
              <w:rPr>
                <w:rFonts w:cs="Arial"/>
                <w:b/>
                <w:bCs/>
                <w:color w:val="FFFFFF"/>
              </w:rPr>
              <w:t>Total radiated power (dBm) per cell/sector</w:t>
            </w:r>
          </w:p>
        </w:tc>
        <w:tc>
          <w:tcPr>
            <w:tcW w:w="1559" w:type="dxa"/>
            <w:tcBorders>
              <w:top w:val="single" w:sz="8" w:space="0" w:color="auto"/>
              <w:left w:val="nil"/>
              <w:bottom w:val="single" w:sz="8" w:space="0" w:color="auto"/>
              <w:right w:val="single" w:sz="8" w:space="0" w:color="auto"/>
            </w:tcBorders>
            <w:shd w:val="clear" w:color="auto" w:fill="404040"/>
            <w:tcMar>
              <w:top w:w="0" w:type="dxa"/>
              <w:left w:w="108" w:type="dxa"/>
              <w:bottom w:w="0" w:type="dxa"/>
              <w:right w:w="108" w:type="dxa"/>
            </w:tcMar>
            <w:hideMark/>
          </w:tcPr>
          <w:p w14:paraId="4C075D10" w14:textId="77777777" w:rsidR="006D30C5" w:rsidRPr="001B6B4C" w:rsidRDefault="006D30C5" w:rsidP="00D41009">
            <w:pPr>
              <w:keepNext/>
              <w:spacing w:after="0"/>
              <w:contextualSpacing/>
              <w:jc w:val="center"/>
              <w:rPr>
                <w:rFonts w:cs="Arial"/>
                <w:b/>
                <w:bCs/>
                <w:color w:val="FFFFFF"/>
              </w:rPr>
            </w:pPr>
            <w:r w:rsidRPr="001B6B4C">
              <w:rPr>
                <w:rFonts w:cs="Arial"/>
                <w:b/>
                <w:bCs/>
                <w:color w:val="FFFFFF"/>
              </w:rPr>
              <w:t>Measurement bandwidth</w:t>
            </w:r>
          </w:p>
        </w:tc>
      </w:tr>
      <w:tr w:rsidR="006D30C5" w:rsidRPr="001B6B4C" w14:paraId="2339ED2C" w14:textId="77777777" w:rsidTr="002B2375">
        <w:trPr>
          <w:jc w:val="center"/>
        </w:trPr>
        <w:tc>
          <w:tcPr>
            <w:tcW w:w="2972" w:type="dxa"/>
            <w:tcBorders>
              <w:top w:val="nil"/>
              <w:left w:val="single" w:sz="8"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361C101E" w14:textId="77777777" w:rsidR="006D30C5" w:rsidRPr="001B6B4C" w:rsidRDefault="006D30C5" w:rsidP="00D41009">
            <w:pPr>
              <w:keepNext/>
              <w:spacing w:after="0"/>
              <w:contextualSpacing/>
              <w:jc w:val="center"/>
              <w:rPr>
                <w:rFonts w:cs="Arial"/>
                <w:sz w:val="18"/>
                <w:szCs w:val="18"/>
              </w:rPr>
            </w:pPr>
            <w:r>
              <w:rPr>
                <w:rFonts w:cs="Arial"/>
                <w:sz w:val="18"/>
                <w:szCs w:val="18"/>
              </w:rPr>
              <w:t>0</w:t>
            </w:r>
            <w:r w:rsidRPr="001B6B4C">
              <w:rPr>
                <w:rFonts w:cs="Arial"/>
                <w:sz w:val="18"/>
                <w:szCs w:val="18"/>
              </w:rPr>
              <w:t xml:space="preserve"> MHz</w:t>
            </w:r>
            <w:r w:rsidRPr="001B6B4C">
              <w:rPr>
                <w:rFonts w:cs="Arial"/>
                <w:spacing w:val="13"/>
                <w:sz w:val="18"/>
                <w:szCs w:val="18"/>
              </w:rPr>
              <w:t xml:space="preserve"> </w:t>
            </w:r>
            <w:r w:rsidRPr="001B6B4C">
              <w:rPr>
                <w:rFonts w:cs="Arial"/>
                <w:sz w:val="18"/>
                <w:szCs w:val="18"/>
              </w:rPr>
              <w:t xml:space="preserve">≤ </w:t>
            </w:r>
            <w:proofErr w:type="spellStart"/>
            <w:r w:rsidRPr="001B6B4C">
              <w:rPr>
                <w:rFonts w:cs="Arial"/>
                <w:sz w:val="18"/>
                <w:szCs w:val="18"/>
              </w:rPr>
              <w:t>f</w:t>
            </w:r>
            <w:r w:rsidRPr="001B6B4C">
              <w:rPr>
                <w:rFonts w:cs="Arial"/>
                <w:sz w:val="18"/>
                <w:szCs w:val="18"/>
                <w:vertAlign w:val="subscript"/>
              </w:rPr>
              <w:t>offset</w:t>
            </w:r>
            <w:proofErr w:type="spellEnd"/>
            <w:r w:rsidRPr="001B6B4C">
              <w:rPr>
                <w:rFonts w:cs="Arial"/>
                <w:spacing w:val="27"/>
                <w:position w:val="-1"/>
                <w:sz w:val="18"/>
                <w:szCs w:val="18"/>
              </w:rPr>
              <w:t xml:space="preserve"> </w:t>
            </w:r>
            <w:r w:rsidRPr="001B6B4C">
              <w:rPr>
                <w:rFonts w:cs="Arial"/>
                <w:sz w:val="18"/>
                <w:szCs w:val="18"/>
              </w:rPr>
              <w:t>&lt;</w:t>
            </w:r>
            <w:r w:rsidRPr="001B6B4C">
              <w:rPr>
                <w:rFonts w:cs="Arial"/>
                <w:spacing w:val="1"/>
                <w:sz w:val="18"/>
                <w:szCs w:val="18"/>
              </w:rPr>
              <w:t xml:space="preserve"> </w:t>
            </w:r>
            <w:r>
              <w:rPr>
                <w:rFonts w:cs="Arial"/>
                <w:spacing w:val="1"/>
                <w:sz w:val="18"/>
                <w:szCs w:val="18"/>
              </w:rPr>
              <w:t>1</w:t>
            </w:r>
            <w:r w:rsidRPr="001B6B4C">
              <w:rPr>
                <w:rFonts w:cs="Arial"/>
                <w:spacing w:val="1"/>
                <w:sz w:val="18"/>
                <w:szCs w:val="18"/>
              </w:rPr>
              <w:t xml:space="preserve"> MHz</w:t>
            </w:r>
          </w:p>
        </w:tc>
        <w:tc>
          <w:tcPr>
            <w:tcW w:w="2552" w:type="dxa"/>
            <w:tcBorders>
              <w:top w:val="nil"/>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6DA32C55" w14:textId="77777777" w:rsidR="006D30C5" w:rsidRPr="001B6B4C" w:rsidRDefault="006D30C5" w:rsidP="00D41009">
            <w:pPr>
              <w:keepNext/>
              <w:spacing w:after="0"/>
              <w:contextualSpacing/>
              <w:jc w:val="center"/>
              <w:rPr>
                <w:rFonts w:cs="Arial"/>
                <w:sz w:val="18"/>
                <w:szCs w:val="18"/>
              </w:rPr>
            </w:pPr>
            <w:r w:rsidRPr="000177C3">
              <w:rPr>
                <w:rFonts w:cs="Arial"/>
                <w:sz w:val="18"/>
                <w:szCs w:val="18"/>
              </w:rPr>
              <w:t>2 – (7/5) x (</w:t>
            </w:r>
            <w:proofErr w:type="spellStart"/>
            <w:r w:rsidRPr="000177C3">
              <w:rPr>
                <w:rFonts w:cs="Arial"/>
                <w:sz w:val="18"/>
                <w:szCs w:val="18"/>
              </w:rPr>
              <w:t>f</w:t>
            </w:r>
            <w:r w:rsidRPr="000177C3">
              <w:rPr>
                <w:rFonts w:cs="Arial"/>
                <w:sz w:val="18"/>
                <w:szCs w:val="18"/>
                <w:vertAlign w:val="subscript"/>
              </w:rPr>
              <w:t>offset</w:t>
            </w:r>
            <w:proofErr w:type="spellEnd"/>
            <w:r w:rsidRPr="000177C3">
              <w:rPr>
                <w:rFonts w:cs="Arial"/>
                <w:sz w:val="18"/>
                <w:szCs w:val="18"/>
              </w:rPr>
              <w:t xml:space="preserve"> )</w:t>
            </w:r>
          </w:p>
        </w:tc>
        <w:tc>
          <w:tcPr>
            <w:tcW w:w="1559" w:type="dxa"/>
            <w:tcBorders>
              <w:top w:val="nil"/>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27E8A620" w14:textId="77777777" w:rsidR="006D30C5" w:rsidRPr="001B6B4C" w:rsidRDefault="006D30C5" w:rsidP="00D41009">
            <w:pPr>
              <w:keepNext/>
              <w:spacing w:after="0"/>
              <w:contextualSpacing/>
              <w:jc w:val="center"/>
              <w:rPr>
                <w:rFonts w:cs="Arial"/>
                <w:sz w:val="18"/>
                <w:szCs w:val="18"/>
              </w:rPr>
            </w:pPr>
            <w:r w:rsidRPr="001B6B4C">
              <w:rPr>
                <w:rFonts w:cs="Arial"/>
                <w:sz w:val="18"/>
                <w:szCs w:val="18"/>
              </w:rPr>
              <w:t>1</w:t>
            </w:r>
            <w:r>
              <w:rPr>
                <w:rFonts w:cs="Arial"/>
                <w:sz w:val="18"/>
                <w:szCs w:val="18"/>
              </w:rPr>
              <w:t>00</w:t>
            </w:r>
            <w:r w:rsidRPr="001B6B4C">
              <w:rPr>
                <w:rFonts w:cs="Arial"/>
                <w:sz w:val="18"/>
                <w:szCs w:val="18"/>
              </w:rPr>
              <w:t xml:space="preserve"> </w:t>
            </w:r>
            <w:r>
              <w:rPr>
                <w:rFonts w:cs="Arial"/>
                <w:sz w:val="18"/>
                <w:szCs w:val="18"/>
              </w:rPr>
              <w:t>k</w:t>
            </w:r>
            <w:r w:rsidRPr="001B6B4C">
              <w:rPr>
                <w:rFonts w:cs="Arial"/>
                <w:sz w:val="18"/>
                <w:szCs w:val="18"/>
              </w:rPr>
              <w:t>Hz</w:t>
            </w:r>
          </w:p>
        </w:tc>
      </w:tr>
      <w:tr w:rsidR="006D30C5" w:rsidRPr="001B6B4C" w14:paraId="59325739" w14:textId="77777777" w:rsidTr="00D41009">
        <w:trPr>
          <w:jc w:val="center"/>
        </w:trPr>
        <w:tc>
          <w:tcPr>
            <w:tcW w:w="2972"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04C78C5" w14:textId="77777777" w:rsidR="006D30C5" w:rsidRDefault="006D30C5" w:rsidP="00D41009">
            <w:pPr>
              <w:keepNext/>
              <w:spacing w:after="0"/>
              <w:contextualSpacing/>
              <w:jc w:val="center"/>
              <w:rPr>
                <w:rFonts w:cs="Arial"/>
                <w:sz w:val="18"/>
                <w:szCs w:val="18"/>
              </w:rPr>
            </w:pPr>
            <w:r>
              <w:rPr>
                <w:rFonts w:cs="Arial"/>
                <w:sz w:val="18"/>
                <w:szCs w:val="18"/>
              </w:rPr>
              <w:t>1</w:t>
            </w:r>
            <w:r w:rsidRPr="001B6B4C">
              <w:rPr>
                <w:rFonts w:cs="Arial"/>
                <w:sz w:val="18"/>
                <w:szCs w:val="18"/>
              </w:rPr>
              <w:t xml:space="preserve"> MHz</w:t>
            </w:r>
            <w:r w:rsidRPr="001B6B4C">
              <w:rPr>
                <w:rFonts w:cs="Arial"/>
                <w:spacing w:val="13"/>
                <w:sz w:val="18"/>
                <w:szCs w:val="18"/>
              </w:rPr>
              <w:t xml:space="preserve"> </w:t>
            </w:r>
            <w:r w:rsidRPr="001B6B4C">
              <w:rPr>
                <w:rFonts w:cs="Arial"/>
                <w:sz w:val="18"/>
                <w:szCs w:val="18"/>
              </w:rPr>
              <w:t xml:space="preserve">≤ </w:t>
            </w:r>
            <w:proofErr w:type="spellStart"/>
            <w:r w:rsidRPr="001B6B4C">
              <w:rPr>
                <w:rFonts w:cs="Arial"/>
                <w:sz w:val="18"/>
                <w:szCs w:val="18"/>
              </w:rPr>
              <w:t>f</w:t>
            </w:r>
            <w:r w:rsidRPr="001B6B4C">
              <w:rPr>
                <w:rFonts w:cs="Arial"/>
                <w:sz w:val="18"/>
                <w:szCs w:val="18"/>
                <w:vertAlign w:val="subscript"/>
              </w:rPr>
              <w:t>offset</w:t>
            </w:r>
            <w:proofErr w:type="spellEnd"/>
            <w:r w:rsidRPr="001B6B4C">
              <w:rPr>
                <w:rFonts w:cs="Arial"/>
                <w:spacing w:val="27"/>
                <w:position w:val="-1"/>
                <w:sz w:val="18"/>
                <w:szCs w:val="18"/>
              </w:rPr>
              <w:t xml:space="preserve"> </w:t>
            </w:r>
            <w:r w:rsidRPr="001B6B4C">
              <w:rPr>
                <w:rFonts w:cs="Arial"/>
                <w:sz w:val="18"/>
                <w:szCs w:val="18"/>
              </w:rPr>
              <w:t>&lt;</w:t>
            </w:r>
            <w:r w:rsidRPr="001B6B4C">
              <w:rPr>
                <w:rFonts w:cs="Arial"/>
                <w:spacing w:val="1"/>
                <w:sz w:val="18"/>
                <w:szCs w:val="18"/>
              </w:rPr>
              <w:t xml:space="preserve"> </w:t>
            </w:r>
            <w:r>
              <w:rPr>
                <w:rFonts w:cs="Arial"/>
                <w:spacing w:val="1"/>
                <w:sz w:val="18"/>
                <w:szCs w:val="18"/>
              </w:rPr>
              <w:t>4</w:t>
            </w:r>
            <w:r w:rsidRPr="001B6B4C">
              <w:rPr>
                <w:rFonts w:cs="Arial"/>
                <w:spacing w:val="1"/>
                <w:sz w:val="18"/>
                <w:szCs w:val="18"/>
              </w:rPr>
              <w:t xml:space="preserve"> MHz</w:t>
            </w:r>
          </w:p>
        </w:tc>
        <w:tc>
          <w:tcPr>
            <w:tcW w:w="2552" w:type="dxa"/>
            <w:tcBorders>
              <w:top w:val="nil"/>
              <w:left w:val="nil"/>
              <w:bottom w:val="single" w:sz="8" w:space="0" w:color="auto"/>
              <w:right w:val="single" w:sz="8" w:space="0" w:color="auto"/>
            </w:tcBorders>
            <w:tcMar>
              <w:top w:w="0" w:type="dxa"/>
              <w:left w:w="108" w:type="dxa"/>
              <w:bottom w:w="0" w:type="dxa"/>
              <w:right w:w="108" w:type="dxa"/>
            </w:tcMar>
          </w:tcPr>
          <w:p w14:paraId="10C1D17F" w14:textId="77777777" w:rsidR="006D30C5" w:rsidRPr="000177C3" w:rsidRDefault="006D30C5" w:rsidP="00D41009">
            <w:pPr>
              <w:keepNext/>
              <w:spacing w:after="0"/>
              <w:contextualSpacing/>
              <w:jc w:val="center"/>
              <w:rPr>
                <w:rFonts w:cs="Arial"/>
                <w:sz w:val="18"/>
                <w:szCs w:val="18"/>
              </w:rPr>
            </w:pPr>
            <w:r>
              <w:rPr>
                <w:rFonts w:cs="Arial"/>
                <w:sz w:val="18"/>
                <w:szCs w:val="18"/>
              </w:rPr>
              <w:t>-7</w:t>
            </w:r>
            <w:r w:rsidRPr="000177C3">
              <w:rPr>
                <w:rFonts w:cs="Arial"/>
                <w:sz w:val="18"/>
                <w:szCs w:val="18"/>
              </w:rPr>
              <w:t xml:space="preserve"> – (7/5) x (</w:t>
            </w:r>
            <w:proofErr w:type="spellStart"/>
            <w:r w:rsidRPr="000177C3">
              <w:rPr>
                <w:rFonts w:cs="Arial"/>
                <w:sz w:val="18"/>
                <w:szCs w:val="18"/>
              </w:rPr>
              <w:t>f</w:t>
            </w:r>
            <w:r w:rsidRPr="000177C3">
              <w:rPr>
                <w:rFonts w:cs="Arial"/>
                <w:sz w:val="18"/>
                <w:szCs w:val="18"/>
                <w:vertAlign w:val="subscript"/>
              </w:rPr>
              <w:t>offset</w:t>
            </w:r>
            <w:proofErr w:type="spellEnd"/>
            <w:r w:rsidRPr="000177C3">
              <w:rPr>
                <w:rFonts w:cs="Arial"/>
                <w:sz w:val="18"/>
                <w:szCs w:val="18"/>
              </w:rPr>
              <w:t xml:space="preserve"> )</w:t>
            </w:r>
          </w:p>
        </w:tc>
        <w:tc>
          <w:tcPr>
            <w:tcW w:w="1559" w:type="dxa"/>
            <w:tcBorders>
              <w:top w:val="nil"/>
              <w:left w:val="nil"/>
              <w:bottom w:val="single" w:sz="8" w:space="0" w:color="auto"/>
              <w:right w:val="single" w:sz="8" w:space="0" w:color="auto"/>
            </w:tcBorders>
            <w:tcMar>
              <w:top w:w="0" w:type="dxa"/>
              <w:left w:w="108" w:type="dxa"/>
              <w:bottom w:w="0" w:type="dxa"/>
              <w:right w:w="108" w:type="dxa"/>
            </w:tcMar>
          </w:tcPr>
          <w:p w14:paraId="768EA3E4" w14:textId="77777777" w:rsidR="006D30C5" w:rsidRPr="001B6B4C" w:rsidRDefault="006D30C5" w:rsidP="00D41009">
            <w:pPr>
              <w:keepNext/>
              <w:spacing w:after="0"/>
              <w:contextualSpacing/>
              <w:jc w:val="center"/>
              <w:rPr>
                <w:rFonts w:cs="Arial"/>
                <w:sz w:val="18"/>
                <w:szCs w:val="18"/>
              </w:rPr>
            </w:pPr>
            <w:r w:rsidRPr="001B6B4C">
              <w:rPr>
                <w:rFonts w:cs="Arial"/>
                <w:sz w:val="18"/>
                <w:szCs w:val="18"/>
              </w:rPr>
              <w:t>1</w:t>
            </w:r>
            <w:r>
              <w:rPr>
                <w:rFonts w:cs="Arial"/>
                <w:sz w:val="18"/>
                <w:szCs w:val="18"/>
              </w:rPr>
              <w:t>00</w:t>
            </w:r>
            <w:r w:rsidRPr="001B6B4C">
              <w:rPr>
                <w:rFonts w:cs="Arial"/>
                <w:sz w:val="18"/>
                <w:szCs w:val="18"/>
              </w:rPr>
              <w:t xml:space="preserve"> </w:t>
            </w:r>
            <w:r>
              <w:rPr>
                <w:rFonts w:cs="Arial"/>
                <w:sz w:val="18"/>
                <w:szCs w:val="18"/>
              </w:rPr>
              <w:t>k</w:t>
            </w:r>
            <w:r w:rsidRPr="001B6B4C">
              <w:rPr>
                <w:rFonts w:cs="Arial"/>
                <w:sz w:val="18"/>
                <w:szCs w:val="18"/>
              </w:rPr>
              <w:t>Hz</w:t>
            </w:r>
          </w:p>
        </w:tc>
      </w:tr>
      <w:tr w:rsidR="006D30C5" w:rsidRPr="001B6B4C" w14:paraId="619F080B" w14:textId="77777777" w:rsidTr="00D41009">
        <w:trPr>
          <w:jc w:val="center"/>
        </w:trPr>
        <w:tc>
          <w:tcPr>
            <w:tcW w:w="2972" w:type="dxa"/>
            <w:tcBorders>
              <w:top w:val="nil"/>
              <w:left w:val="single" w:sz="8"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7B48F940" w14:textId="77777777" w:rsidR="006D30C5" w:rsidRPr="001B6B4C" w:rsidRDefault="006D30C5" w:rsidP="00D41009">
            <w:pPr>
              <w:keepNext/>
              <w:spacing w:after="0"/>
              <w:contextualSpacing/>
              <w:jc w:val="center"/>
              <w:rPr>
                <w:rFonts w:cs="Arial"/>
                <w:sz w:val="18"/>
                <w:szCs w:val="18"/>
              </w:rPr>
            </w:pPr>
            <w:r w:rsidRPr="001B6B4C">
              <w:rPr>
                <w:rFonts w:cs="Arial"/>
                <w:sz w:val="18"/>
                <w:szCs w:val="18"/>
              </w:rPr>
              <w:t>4 MHz</w:t>
            </w:r>
            <w:r w:rsidRPr="001B6B4C">
              <w:rPr>
                <w:rFonts w:cs="Arial"/>
                <w:spacing w:val="13"/>
                <w:sz w:val="18"/>
                <w:szCs w:val="18"/>
              </w:rPr>
              <w:t xml:space="preserve"> </w:t>
            </w:r>
            <w:r w:rsidRPr="001B6B4C">
              <w:rPr>
                <w:rFonts w:cs="Arial"/>
                <w:sz w:val="18"/>
                <w:szCs w:val="18"/>
              </w:rPr>
              <w:t xml:space="preserve">≤ </w:t>
            </w:r>
            <w:proofErr w:type="spellStart"/>
            <w:r w:rsidRPr="001B6B4C">
              <w:rPr>
                <w:rFonts w:cs="Arial"/>
                <w:sz w:val="18"/>
                <w:szCs w:val="18"/>
              </w:rPr>
              <w:t>f</w:t>
            </w:r>
            <w:r w:rsidRPr="001B6B4C">
              <w:rPr>
                <w:rFonts w:cs="Arial"/>
                <w:sz w:val="18"/>
                <w:szCs w:val="18"/>
                <w:vertAlign w:val="subscript"/>
              </w:rPr>
              <w:t>offset</w:t>
            </w:r>
            <w:proofErr w:type="spellEnd"/>
            <w:r w:rsidRPr="001B6B4C">
              <w:rPr>
                <w:rFonts w:cs="Arial"/>
                <w:spacing w:val="27"/>
                <w:position w:val="-1"/>
                <w:sz w:val="18"/>
                <w:szCs w:val="18"/>
              </w:rPr>
              <w:t xml:space="preserve"> </w:t>
            </w:r>
            <w:r w:rsidRPr="001B6B4C">
              <w:rPr>
                <w:rFonts w:cs="Arial"/>
                <w:sz w:val="18"/>
                <w:szCs w:val="18"/>
              </w:rPr>
              <w:t>&lt;</w:t>
            </w:r>
            <w:r w:rsidRPr="001B6B4C">
              <w:rPr>
                <w:rFonts w:cs="Arial"/>
                <w:spacing w:val="1"/>
                <w:sz w:val="18"/>
                <w:szCs w:val="18"/>
              </w:rPr>
              <w:t xml:space="preserve"> 5 MHz</w:t>
            </w:r>
          </w:p>
        </w:tc>
        <w:tc>
          <w:tcPr>
            <w:tcW w:w="2552" w:type="dxa"/>
            <w:tcBorders>
              <w:top w:val="nil"/>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398EFA65" w14:textId="77777777" w:rsidR="006D30C5" w:rsidRPr="001B6B4C" w:rsidRDefault="006D30C5" w:rsidP="00D41009">
            <w:pPr>
              <w:keepNext/>
              <w:spacing w:after="0"/>
              <w:contextualSpacing/>
              <w:jc w:val="center"/>
              <w:rPr>
                <w:rFonts w:cs="Arial"/>
                <w:sz w:val="18"/>
                <w:szCs w:val="18"/>
              </w:rPr>
            </w:pPr>
            <w:r w:rsidRPr="001B6B4C">
              <w:rPr>
                <w:rFonts w:cs="Arial"/>
                <w:sz w:val="18"/>
                <w:szCs w:val="18"/>
              </w:rPr>
              <w:t>32 – 9 x (</w:t>
            </w:r>
            <w:proofErr w:type="spellStart"/>
            <w:r w:rsidRPr="001B6B4C">
              <w:rPr>
                <w:rFonts w:cs="Arial"/>
                <w:sz w:val="18"/>
                <w:szCs w:val="18"/>
              </w:rPr>
              <w:t>f</w:t>
            </w:r>
            <w:r w:rsidRPr="001B6B4C">
              <w:rPr>
                <w:rFonts w:cs="Arial"/>
                <w:sz w:val="18"/>
                <w:szCs w:val="18"/>
                <w:vertAlign w:val="subscript"/>
              </w:rPr>
              <w:t>offset</w:t>
            </w:r>
            <w:proofErr w:type="spellEnd"/>
            <w:r w:rsidRPr="001B6B4C">
              <w:rPr>
                <w:rFonts w:cs="Arial"/>
                <w:sz w:val="18"/>
                <w:szCs w:val="18"/>
              </w:rPr>
              <w:t xml:space="preserve"> )</w:t>
            </w:r>
          </w:p>
        </w:tc>
        <w:tc>
          <w:tcPr>
            <w:tcW w:w="1559" w:type="dxa"/>
            <w:tcBorders>
              <w:top w:val="nil"/>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3D28CF21" w14:textId="77777777" w:rsidR="006D30C5" w:rsidRPr="001B6B4C" w:rsidRDefault="006D30C5" w:rsidP="00D41009">
            <w:pPr>
              <w:keepNext/>
              <w:spacing w:after="0"/>
              <w:contextualSpacing/>
              <w:jc w:val="center"/>
              <w:rPr>
                <w:rFonts w:cs="Arial"/>
                <w:sz w:val="18"/>
                <w:szCs w:val="18"/>
              </w:rPr>
            </w:pPr>
            <w:r w:rsidRPr="001B6B4C">
              <w:rPr>
                <w:rFonts w:cs="Arial"/>
                <w:sz w:val="18"/>
                <w:szCs w:val="18"/>
              </w:rPr>
              <w:t>1 MHz</w:t>
            </w:r>
          </w:p>
        </w:tc>
      </w:tr>
      <w:tr w:rsidR="006D30C5" w:rsidRPr="001B6B4C" w14:paraId="1F71202A" w14:textId="77777777" w:rsidTr="00D41009">
        <w:trPr>
          <w:jc w:val="center"/>
        </w:trPr>
        <w:tc>
          <w:tcPr>
            <w:tcW w:w="29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D046CC8" w14:textId="77777777" w:rsidR="006D30C5" w:rsidRPr="001B6B4C" w:rsidRDefault="006D30C5" w:rsidP="00D41009">
            <w:pPr>
              <w:keepNext/>
              <w:spacing w:after="0"/>
              <w:contextualSpacing/>
              <w:jc w:val="center"/>
              <w:rPr>
                <w:rFonts w:cs="Arial"/>
                <w:sz w:val="18"/>
                <w:szCs w:val="18"/>
              </w:rPr>
            </w:pPr>
            <w:r w:rsidRPr="001B6B4C">
              <w:rPr>
                <w:rFonts w:cs="Arial"/>
                <w:sz w:val="18"/>
                <w:szCs w:val="18"/>
              </w:rPr>
              <w:t>5 MHz</w:t>
            </w:r>
            <w:r w:rsidRPr="001B6B4C">
              <w:rPr>
                <w:rFonts w:cs="Arial"/>
                <w:spacing w:val="13"/>
                <w:sz w:val="18"/>
                <w:szCs w:val="18"/>
              </w:rPr>
              <w:t xml:space="preserve"> </w:t>
            </w:r>
            <w:r w:rsidRPr="001B6B4C">
              <w:rPr>
                <w:rFonts w:cs="Arial"/>
                <w:sz w:val="18"/>
                <w:szCs w:val="18"/>
              </w:rPr>
              <w:t xml:space="preserve">≤ </w:t>
            </w:r>
            <w:proofErr w:type="spellStart"/>
            <w:r w:rsidRPr="001B6B4C">
              <w:rPr>
                <w:rFonts w:cs="Arial"/>
                <w:sz w:val="18"/>
                <w:szCs w:val="18"/>
              </w:rPr>
              <w:t>f</w:t>
            </w:r>
            <w:r w:rsidRPr="001B6B4C">
              <w:rPr>
                <w:rFonts w:cs="Arial"/>
                <w:sz w:val="18"/>
                <w:szCs w:val="18"/>
                <w:vertAlign w:val="subscript"/>
              </w:rPr>
              <w:t>offset</w:t>
            </w:r>
            <w:proofErr w:type="spellEnd"/>
            <w:r w:rsidRPr="001B6B4C">
              <w:rPr>
                <w:rFonts w:cs="Arial"/>
                <w:spacing w:val="27"/>
                <w:position w:val="-1"/>
                <w:sz w:val="18"/>
                <w:szCs w:val="18"/>
              </w:rPr>
              <w:t xml:space="preserve"> </w:t>
            </w:r>
            <w:r w:rsidRPr="001B6B4C">
              <w:rPr>
                <w:rFonts w:cs="Arial"/>
                <w:sz w:val="18"/>
                <w:szCs w:val="18"/>
              </w:rPr>
              <w:t>&lt;</w:t>
            </w:r>
            <w:r w:rsidRPr="001B6B4C">
              <w:rPr>
                <w:rFonts w:cs="Arial"/>
                <w:spacing w:val="1"/>
                <w:sz w:val="18"/>
                <w:szCs w:val="18"/>
              </w:rPr>
              <w:t xml:space="preserve"> 10 MHz</w:t>
            </w:r>
          </w:p>
        </w:tc>
        <w:tc>
          <w:tcPr>
            <w:tcW w:w="2552" w:type="dxa"/>
            <w:tcBorders>
              <w:top w:val="nil"/>
              <w:left w:val="nil"/>
              <w:bottom w:val="single" w:sz="8" w:space="0" w:color="auto"/>
              <w:right w:val="single" w:sz="8" w:space="0" w:color="auto"/>
            </w:tcBorders>
            <w:tcMar>
              <w:top w:w="0" w:type="dxa"/>
              <w:left w:w="108" w:type="dxa"/>
              <w:bottom w:w="0" w:type="dxa"/>
              <w:right w:w="108" w:type="dxa"/>
            </w:tcMar>
            <w:hideMark/>
          </w:tcPr>
          <w:p w14:paraId="1DCE05E2" w14:textId="77777777" w:rsidR="006D30C5" w:rsidRPr="001B6B4C" w:rsidRDefault="006D30C5" w:rsidP="00D41009">
            <w:pPr>
              <w:keepNext/>
              <w:spacing w:after="0"/>
              <w:contextualSpacing/>
              <w:jc w:val="center"/>
              <w:rPr>
                <w:rFonts w:cs="Arial"/>
                <w:sz w:val="18"/>
                <w:szCs w:val="18"/>
              </w:rPr>
            </w:pPr>
            <w:r w:rsidRPr="001B6B4C">
              <w:rPr>
                <w:rFonts w:cs="Arial"/>
                <w:sz w:val="18"/>
                <w:szCs w:val="18"/>
              </w:rPr>
              <w:t>4 – 3.4 x (</w:t>
            </w:r>
            <w:proofErr w:type="spellStart"/>
            <w:r w:rsidRPr="001B6B4C">
              <w:rPr>
                <w:rFonts w:cs="Arial"/>
                <w:sz w:val="18"/>
                <w:szCs w:val="18"/>
              </w:rPr>
              <w:t>f</w:t>
            </w:r>
            <w:r w:rsidRPr="001B6B4C">
              <w:rPr>
                <w:rFonts w:cs="Arial"/>
                <w:sz w:val="18"/>
                <w:szCs w:val="18"/>
                <w:vertAlign w:val="subscript"/>
              </w:rPr>
              <w:t>offset</w:t>
            </w:r>
            <w:proofErr w:type="spellEnd"/>
            <w:r w:rsidRPr="001B6B4C">
              <w:rPr>
                <w:rFonts w:cs="Arial"/>
                <w:sz w:val="18"/>
                <w:szCs w:val="18"/>
              </w:rPr>
              <w:t xml:space="preserve"> )</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14:paraId="03C45EAF" w14:textId="77777777" w:rsidR="006D30C5" w:rsidRPr="001B6B4C" w:rsidRDefault="006D30C5" w:rsidP="00D41009">
            <w:pPr>
              <w:keepNext/>
              <w:spacing w:after="0"/>
              <w:contextualSpacing/>
              <w:jc w:val="center"/>
              <w:rPr>
                <w:rFonts w:cs="Arial"/>
                <w:sz w:val="18"/>
                <w:szCs w:val="18"/>
              </w:rPr>
            </w:pPr>
            <w:r w:rsidRPr="001B6B4C">
              <w:rPr>
                <w:rFonts w:cs="Arial"/>
                <w:sz w:val="18"/>
                <w:szCs w:val="18"/>
              </w:rPr>
              <w:t>1 MHz</w:t>
            </w:r>
          </w:p>
        </w:tc>
      </w:tr>
    </w:tbl>
    <w:p w14:paraId="51EBB4C3" w14:textId="77777777" w:rsidR="006D30C5" w:rsidRDefault="006D30C5" w:rsidP="006D30C5">
      <w:pPr>
        <w:pStyle w:val="ListBullet2"/>
        <w:numPr>
          <w:ilvl w:val="0"/>
          <w:numId w:val="0"/>
        </w:numPr>
        <w:ind w:left="845"/>
      </w:pPr>
    </w:p>
    <w:p w14:paraId="5A827DF2" w14:textId="69F799B9" w:rsidR="006D30C5" w:rsidRDefault="006D30C5" w:rsidP="002B2375">
      <w:pPr>
        <w:pStyle w:val="Bulletlevel1"/>
        <w:spacing w:after="240"/>
      </w:pPr>
      <w:r w:rsidRPr="00057029">
        <w:t xml:space="preserve">For the unwanted emission limits </w:t>
      </w:r>
      <w:r>
        <w:t xml:space="preserve">between 2170–2180 MHz the step between </w:t>
      </w:r>
      <w:r w:rsidR="003E2938">
        <w:br/>
      </w:r>
      <w:r>
        <w:t>1</w:t>
      </w:r>
      <w:r w:rsidR="003E2938">
        <w:t>–</w:t>
      </w:r>
      <w:r>
        <w:t>1.5 MHz was included to align with the 3GPP standard. The following limits would apply to AAS devices</w:t>
      </w:r>
      <w:r w:rsidR="008E7E48">
        <w:t>:</w:t>
      </w:r>
    </w:p>
    <w:p w14:paraId="5B269656" w14:textId="5AD13E39" w:rsidR="006D30C5" w:rsidRPr="007D04B2" w:rsidRDefault="006D30C5" w:rsidP="002B2375">
      <w:pPr>
        <w:pStyle w:val="ACMATableHeader"/>
        <w:numPr>
          <w:ilvl w:val="0"/>
          <w:numId w:val="0"/>
        </w:numPr>
        <w:ind w:left="284"/>
      </w:pPr>
      <w:r>
        <w:rPr>
          <w:rFonts w:cs="Arial"/>
        </w:rPr>
        <w:t>U</w:t>
      </w:r>
      <w:r w:rsidRPr="007D04B2">
        <w:rPr>
          <w:rFonts w:cs="Arial"/>
        </w:rPr>
        <w:t>nwanted emission limits</w:t>
      </w:r>
      <w:r>
        <w:rPr>
          <w:rFonts w:cs="Arial"/>
        </w:rPr>
        <w:t xml:space="preserve"> for transmitters operating in the upper 2 GHz band at frequencies inside</w:t>
      </w:r>
      <w:r w:rsidRPr="007D04B2">
        <w:rPr>
          <w:rFonts w:cs="Arial"/>
        </w:rPr>
        <w:t xml:space="preserve"> the </w:t>
      </w:r>
      <w:r>
        <w:t xml:space="preserve">2170–2180 </w:t>
      </w:r>
      <w:r w:rsidRPr="007D04B2">
        <w:rPr>
          <w:rFonts w:cs="Arial"/>
        </w:rPr>
        <w:t>MHz ban</w:t>
      </w:r>
      <w:r>
        <w:rPr>
          <w:rFonts w:cs="Arial"/>
        </w:rPr>
        <w:t>d</w:t>
      </w:r>
      <w:r w:rsidRPr="007D04B2">
        <w:rPr>
          <w:rFonts w:cs="Arial"/>
        </w:rPr>
        <w:t xml:space="preserve"> –</w:t>
      </w:r>
      <w:r>
        <w:rPr>
          <w:rFonts w:cs="Arial"/>
        </w:rPr>
        <w:t xml:space="preserve"> AAS </w:t>
      </w:r>
      <w:r w:rsidRPr="007D04B2">
        <w:rPr>
          <w:rFonts w:cs="Arial"/>
        </w:rPr>
        <w:t>devices</w:t>
      </w:r>
      <w:r>
        <w:rPr>
          <w:rFonts w:cs="Arial"/>
        </w:rPr>
        <w:t xml:space="preserve"> </w:t>
      </w:r>
      <w:r>
        <w:t xml:space="preserve"> </w:t>
      </w:r>
    </w:p>
    <w:tbl>
      <w:tblPr>
        <w:tblStyle w:val="TableGrid"/>
        <w:tblW w:w="7230" w:type="dxa"/>
        <w:jc w:val="center"/>
        <w:tblLook w:val="04A0" w:firstRow="1" w:lastRow="0" w:firstColumn="1" w:lastColumn="0" w:noHBand="0" w:noVBand="1"/>
      </w:tblPr>
      <w:tblGrid>
        <w:gridCol w:w="3119"/>
        <w:gridCol w:w="2552"/>
        <w:gridCol w:w="1559"/>
      </w:tblGrid>
      <w:tr w:rsidR="006D30C5" w:rsidRPr="00EC24A0" w14:paraId="6487381C" w14:textId="77777777" w:rsidTr="00D41009">
        <w:trPr>
          <w:jc w:val="center"/>
        </w:trPr>
        <w:tc>
          <w:tcPr>
            <w:tcW w:w="3119" w:type="dxa"/>
            <w:shd w:val="clear" w:color="auto" w:fill="404040" w:themeFill="text1" w:themeFillTint="BF"/>
          </w:tcPr>
          <w:p w14:paraId="726250E2" w14:textId="77777777" w:rsidR="006D30C5" w:rsidRPr="00EC24A0" w:rsidRDefault="006D30C5" w:rsidP="00D41009">
            <w:pPr>
              <w:keepNext/>
              <w:keepLines/>
              <w:spacing w:after="0"/>
              <w:contextualSpacing/>
              <w:jc w:val="center"/>
              <w:rPr>
                <w:rFonts w:cs="Arial"/>
                <w:b/>
                <w:color w:val="FFFFFF" w:themeColor="background1"/>
              </w:rPr>
            </w:pPr>
            <w:r w:rsidRPr="00EC24A0">
              <w:rPr>
                <w:rFonts w:cs="Arial"/>
                <w:b/>
                <w:color w:val="FFFFFF" w:themeColor="background1"/>
              </w:rPr>
              <w:t>Frequency offset</w:t>
            </w:r>
          </w:p>
          <w:p w14:paraId="40C5E0AB" w14:textId="77777777" w:rsidR="006D30C5" w:rsidRPr="00EC24A0" w:rsidRDefault="006D30C5" w:rsidP="00D41009">
            <w:pPr>
              <w:keepNext/>
              <w:keepLines/>
              <w:spacing w:after="0"/>
              <w:contextualSpacing/>
              <w:jc w:val="center"/>
              <w:rPr>
                <w:rFonts w:cs="Arial"/>
                <w:b/>
                <w:color w:val="FFFFFF" w:themeColor="background1"/>
                <w:vertAlign w:val="superscript"/>
              </w:rPr>
            </w:pPr>
            <w:r w:rsidRPr="00EC24A0">
              <w:rPr>
                <w:rFonts w:cs="Arial"/>
                <w:b/>
                <w:color w:val="FFFFFF" w:themeColor="background1"/>
              </w:rPr>
              <w:t>(</w:t>
            </w:r>
            <w:proofErr w:type="spellStart"/>
            <w:r w:rsidRPr="00EC24A0">
              <w:rPr>
                <w:rFonts w:cs="Arial"/>
                <w:b/>
                <w:color w:val="FFFFFF" w:themeColor="background1"/>
              </w:rPr>
              <w:t>f</w:t>
            </w:r>
            <w:r w:rsidRPr="00EC24A0">
              <w:rPr>
                <w:rFonts w:cs="Arial"/>
                <w:b/>
                <w:color w:val="FFFFFF" w:themeColor="background1"/>
                <w:vertAlign w:val="subscript"/>
              </w:rPr>
              <w:t>offset</w:t>
            </w:r>
            <w:proofErr w:type="spellEnd"/>
            <w:r w:rsidRPr="00EC24A0">
              <w:rPr>
                <w:rFonts w:cs="Arial"/>
                <w:b/>
                <w:color w:val="FFFFFF" w:themeColor="background1"/>
              </w:rPr>
              <w:t xml:space="preserve">) </w:t>
            </w:r>
          </w:p>
        </w:tc>
        <w:tc>
          <w:tcPr>
            <w:tcW w:w="2552" w:type="dxa"/>
            <w:shd w:val="clear" w:color="auto" w:fill="404040" w:themeFill="text1" w:themeFillTint="BF"/>
          </w:tcPr>
          <w:p w14:paraId="0248CFA0" w14:textId="77777777" w:rsidR="006D30C5" w:rsidRPr="00EC24A0" w:rsidRDefault="006D30C5" w:rsidP="00D41009">
            <w:pPr>
              <w:keepNext/>
              <w:keepLines/>
              <w:spacing w:after="0"/>
              <w:contextualSpacing/>
              <w:jc w:val="center"/>
              <w:rPr>
                <w:rFonts w:cs="Arial"/>
                <w:b/>
                <w:color w:val="FFFFFF" w:themeColor="background1"/>
              </w:rPr>
            </w:pPr>
            <w:r w:rsidRPr="00EC24A0">
              <w:rPr>
                <w:rFonts w:cs="Arial"/>
                <w:b/>
                <w:color w:val="FFFFFF" w:themeColor="background1"/>
              </w:rPr>
              <w:t>Total radiated power (dBm) per cell/sector</w:t>
            </w:r>
          </w:p>
        </w:tc>
        <w:tc>
          <w:tcPr>
            <w:tcW w:w="1559" w:type="dxa"/>
            <w:shd w:val="clear" w:color="auto" w:fill="404040" w:themeFill="text1" w:themeFillTint="BF"/>
          </w:tcPr>
          <w:p w14:paraId="3E51D5E3" w14:textId="77777777" w:rsidR="006D30C5" w:rsidRPr="00EC24A0" w:rsidRDefault="006D30C5" w:rsidP="00D41009">
            <w:pPr>
              <w:keepNext/>
              <w:keepLines/>
              <w:spacing w:after="0"/>
              <w:contextualSpacing/>
              <w:jc w:val="center"/>
              <w:rPr>
                <w:rFonts w:cs="Arial"/>
                <w:b/>
                <w:color w:val="FFFFFF" w:themeColor="background1"/>
              </w:rPr>
            </w:pPr>
            <w:r w:rsidRPr="00EC24A0">
              <w:rPr>
                <w:rFonts w:cs="Arial"/>
                <w:b/>
                <w:color w:val="FFFFFF" w:themeColor="background1"/>
              </w:rPr>
              <w:t>Measurement bandwidth</w:t>
            </w:r>
          </w:p>
        </w:tc>
      </w:tr>
      <w:tr w:rsidR="006D30C5" w:rsidRPr="00EC24A0" w14:paraId="762ACA33" w14:textId="77777777" w:rsidTr="00D41009">
        <w:trPr>
          <w:jc w:val="center"/>
        </w:trPr>
        <w:tc>
          <w:tcPr>
            <w:tcW w:w="3119" w:type="dxa"/>
          </w:tcPr>
          <w:p w14:paraId="3280886D" w14:textId="77777777" w:rsidR="006D30C5" w:rsidRPr="00EC24A0" w:rsidRDefault="006D30C5" w:rsidP="00D41009">
            <w:pPr>
              <w:keepNext/>
              <w:keepLines/>
              <w:spacing w:after="0"/>
              <w:contextualSpacing/>
              <w:jc w:val="center"/>
              <w:rPr>
                <w:rFonts w:cs="Arial"/>
                <w:sz w:val="16"/>
                <w:szCs w:val="16"/>
                <w:u w:val="single"/>
              </w:rPr>
            </w:pPr>
            <w:r w:rsidRPr="00EC24A0">
              <w:rPr>
                <w:rFonts w:cs="Arial"/>
                <w:sz w:val="18"/>
                <w:szCs w:val="18"/>
              </w:rPr>
              <w:t>0 MHz</w:t>
            </w:r>
            <w:r w:rsidRPr="00EC24A0">
              <w:rPr>
                <w:rFonts w:cs="Arial"/>
                <w:spacing w:val="13"/>
                <w:sz w:val="18"/>
                <w:szCs w:val="18"/>
              </w:rPr>
              <w:t xml:space="preserve"> </w:t>
            </w:r>
            <w:r w:rsidRPr="00EC24A0">
              <w:rPr>
                <w:rFonts w:cs="Arial"/>
              </w:rPr>
              <w:t xml:space="preserve">≤ </w:t>
            </w:r>
            <w:proofErr w:type="spellStart"/>
            <w:r w:rsidRPr="00EC24A0">
              <w:rPr>
                <w:rFonts w:cs="Arial"/>
                <w:sz w:val="18"/>
                <w:szCs w:val="18"/>
              </w:rPr>
              <w:t>f</w:t>
            </w:r>
            <w:r w:rsidRPr="00EC24A0">
              <w:rPr>
                <w:rFonts w:cs="Arial"/>
                <w:sz w:val="18"/>
                <w:szCs w:val="18"/>
                <w:vertAlign w:val="subscript"/>
              </w:rPr>
              <w:t>offset</w:t>
            </w:r>
            <w:proofErr w:type="spellEnd"/>
            <w:r w:rsidRPr="00EC24A0">
              <w:rPr>
                <w:rFonts w:cs="Arial"/>
                <w:spacing w:val="27"/>
                <w:position w:val="-1"/>
                <w:sz w:val="18"/>
                <w:szCs w:val="18"/>
              </w:rPr>
              <w:t xml:space="preserve"> </w:t>
            </w:r>
            <w:r w:rsidRPr="00EC24A0">
              <w:rPr>
                <w:rFonts w:cs="Arial"/>
              </w:rPr>
              <w:t>&lt;</w:t>
            </w:r>
            <w:r w:rsidRPr="00EC24A0">
              <w:rPr>
                <w:rFonts w:cs="Arial"/>
                <w:spacing w:val="1"/>
                <w:sz w:val="18"/>
                <w:szCs w:val="18"/>
              </w:rPr>
              <w:t xml:space="preserve"> </w:t>
            </w:r>
            <w:r w:rsidRPr="00EC24A0">
              <w:rPr>
                <w:rFonts w:cs="Arial"/>
                <w:sz w:val="18"/>
                <w:szCs w:val="18"/>
              </w:rPr>
              <w:t>200 kHz</w:t>
            </w:r>
          </w:p>
        </w:tc>
        <w:tc>
          <w:tcPr>
            <w:tcW w:w="2552" w:type="dxa"/>
          </w:tcPr>
          <w:p w14:paraId="07FE99EA" w14:textId="77777777" w:rsidR="006D30C5" w:rsidRPr="00EC24A0" w:rsidRDefault="006D30C5" w:rsidP="00D41009">
            <w:pPr>
              <w:keepNext/>
              <w:keepLines/>
              <w:spacing w:after="0"/>
              <w:contextualSpacing/>
              <w:jc w:val="center"/>
              <w:rPr>
                <w:rFonts w:cs="Arial"/>
                <w:sz w:val="18"/>
                <w:szCs w:val="18"/>
              </w:rPr>
            </w:pPr>
            <w:r w:rsidRPr="00EC24A0">
              <w:rPr>
                <w:rFonts w:cs="Arial"/>
                <w:sz w:val="18"/>
                <w:szCs w:val="18"/>
              </w:rPr>
              <w:t>-5</w:t>
            </w:r>
          </w:p>
        </w:tc>
        <w:tc>
          <w:tcPr>
            <w:tcW w:w="1559" w:type="dxa"/>
          </w:tcPr>
          <w:p w14:paraId="4D635117" w14:textId="77777777" w:rsidR="006D30C5" w:rsidRPr="00EC24A0" w:rsidRDefault="006D30C5" w:rsidP="00D41009">
            <w:pPr>
              <w:keepNext/>
              <w:keepLines/>
              <w:spacing w:after="0"/>
              <w:contextualSpacing/>
              <w:jc w:val="center"/>
              <w:rPr>
                <w:rFonts w:cs="Arial"/>
                <w:sz w:val="18"/>
                <w:szCs w:val="18"/>
              </w:rPr>
            </w:pPr>
            <w:r w:rsidRPr="00EC24A0">
              <w:rPr>
                <w:rFonts w:cs="Arial"/>
                <w:sz w:val="18"/>
                <w:szCs w:val="18"/>
              </w:rPr>
              <w:t>30 kHz</w:t>
            </w:r>
          </w:p>
        </w:tc>
      </w:tr>
      <w:tr w:rsidR="006D30C5" w:rsidRPr="00EC24A0" w14:paraId="07DE012D" w14:textId="77777777" w:rsidTr="00D41009">
        <w:trPr>
          <w:jc w:val="center"/>
        </w:trPr>
        <w:tc>
          <w:tcPr>
            <w:tcW w:w="3119" w:type="dxa"/>
            <w:shd w:val="clear" w:color="auto" w:fill="F2F2F2" w:themeFill="background1" w:themeFillShade="F2"/>
          </w:tcPr>
          <w:p w14:paraId="629C077A" w14:textId="77777777" w:rsidR="006D30C5" w:rsidRPr="00EC24A0" w:rsidRDefault="006D30C5" w:rsidP="00D41009">
            <w:pPr>
              <w:keepNext/>
              <w:keepLines/>
              <w:spacing w:after="0"/>
              <w:contextualSpacing/>
              <w:jc w:val="center"/>
              <w:rPr>
                <w:rFonts w:cs="Arial"/>
                <w:sz w:val="18"/>
                <w:szCs w:val="18"/>
              </w:rPr>
            </w:pPr>
            <w:r w:rsidRPr="00EC24A0">
              <w:rPr>
                <w:rFonts w:cs="Arial"/>
                <w:sz w:val="18"/>
                <w:szCs w:val="18"/>
              </w:rPr>
              <w:t>200 kHz</w:t>
            </w:r>
            <w:r w:rsidRPr="00EC24A0">
              <w:rPr>
                <w:rFonts w:cs="Arial"/>
                <w:spacing w:val="13"/>
                <w:sz w:val="18"/>
                <w:szCs w:val="18"/>
              </w:rPr>
              <w:t xml:space="preserve"> </w:t>
            </w:r>
            <w:r w:rsidRPr="00EC24A0">
              <w:rPr>
                <w:rFonts w:cs="Arial"/>
              </w:rPr>
              <w:t xml:space="preserve">≤ </w:t>
            </w:r>
            <w:proofErr w:type="spellStart"/>
            <w:r w:rsidRPr="00EC24A0">
              <w:rPr>
                <w:rFonts w:cs="Arial"/>
                <w:sz w:val="18"/>
                <w:szCs w:val="18"/>
              </w:rPr>
              <w:t>f</w:t>
            </w:r>
            <w:r w:rsidRPr="00EC24A0">
              <w:rPr>
                <w:rFonts w:cs="Arial"/>
                <w:sz w:val="18"/>
                <w:szCs w:val="18"/>
                <w:vertAlign w:val="subscript"/>
              </w:rPr>
              <w:t>offset</w:t>
            </w:r>
            <w:proofErr w:type="spellEnd"/>
            <w:r w:rsidRPr="00EC24A0">
              <w:rPr>
                <w:rFonts w:cs="Arial"/>
                <w:spacing w:val="27"/>
                <w:position w:val="-1"/>
                <w:sz w:val="18"/>
                <w:szCs w:val="18"/>
              </w:rPr>
              <w:t xml:space="preserve"> </w:t>
            </w:r>
            <w:r w:rsidRPr="00EC24A0">
              <w:rPr>
                <w:rFonts w:cs="Arial"/>
              </w:rPr>
              <w:t>&lt;</w:t>
            </w:r>
            <w:r w:rsidRPr="00EC24A0">
              <w:rPr>
                <w:rFonts w:cs="Arial"/>
                <w:spacing w:val="1"/>
                <w:sz w:val="18"/>
                <w:szCs w:val="18"/>
              </w:rPr>
              <w:t xml:space="preserve"> 1 MHz</w:t>
            </w:r>
          </w:p>
        </w:tc>
        <w:tc>
          <w:tcPr>
            <w:tcW w:w="2552" w:type="dxa"/>
            <w:shd w:val="clear" w:color="auto" w:fill="F2F2F2" w:themeFill="background1" w:themeFillShade="F2"/>
          </w:tcPr>
          <w:p w14:paraId="16D7C464" w14:textId="77777777" w:rsidR="006D30C5" w:rsidRPr="00EC24A0" w:rsidRDefault="006D30C5" w:rsidP="00D41009">
            <w:pPr>
              <w:keepNext/>
              <w:keepLines/>
              <w:spacing w:after="0"/>
              <w:contextualSpacing/>
              <w:jc w:val="center"/>
              <w:rPr>
                <w:rFonts w:cs="Arial"/>
                <w:sz w:val="18"/>
                <w:szCs w:val="18"/>
              </w:rPr>
            </w:pPr>
            <w:r w:rsidRPr="00EC24A0">
              <w:rPr>
                <w:rFonts w:cs="Arial"/>
                <w:sz w:val="18"/>
                <w:szCs w:val="18"/>
              </w:rPr>
              <w:t>-5 – 15 x (</w:t>
            </w:r>
            <w:proofErr w:type="spellStart"/>
            <w:r w:rsidRPr="00EC24A0">
              <w:rPr>
                <w:rFonts w:cs="Arial"/>
                <w:sz w:val="18"/>
                <w:szCs w:val="18"/>
              </w:rPr>
              <w:t>f</w:t>
            </w:r>
            <w:r w:rsidRPr="00EC24A0">
              <w:rPr>
                <w:rFonts w:cs="Arial"/>
                <w:sz w:val="18"/>
                <w:szCs w:val="18"/>
                <w:vertAlign w:val="subscript"/>
              </w:rPr>
              <w:t>offset</w:t>
            </w:r>
            <w:proofErr w:type="spellEnd"/>
            <w:r w:rsidRPr="00EC24A0">
              <w:rPr>
                <w:rFonts w:cs="Arial"/>
                <w:sz w:val="18"/>
                <w:szCs w:val="18"/>
              </w:rPr>
              <w:t xml:space="preserve"> – 0.215)</w:t>
            </w:r>
          </w:p>
        </w:tc>
        <w:tc>
          <w:tcPr>
            <w:tcW w:w="1559" w:type="dxa"/>
            <w:shd w:val="clear" w:color="auto" w:fill="F2F2F2" w:themeFill="background1" w:themeFillShade="F2"/>
          </w:tcPr>
          <w:p w14:paraId="6E95E779" w14:textId="77777777" w:rsidR="006D30C5" w:rsidRPr="00EC24A0" w:rsidRDefault="006D30C5" w:rsidP="00D41009">
            <w:pPr>
              <w:keepNext/>
              <w:keepLines/>
              <w:spacing w:after="0"/>
              <w:contextualSpacing/>
              <w:jc w:val="center"/>
              <w:rPr>
                <w:rFonts w:cs="Arial"/>
                <w:sz w:val="18"/>
                <w:szCs w:val="18"/>
              </w:rPr>
            </w:pPr>
            <w:r w:rsidRPr="00EC24A0">
              <w:rPr>
                <w:rFonts w:cs="Arial"/>
                <w:sz w:val="18"/>
                <w:szCs w:val="18"/>
              </w:rPr>
              <w:t>30 kHz</w:t>
            </w:r>
          </w:p>
        </w:tc>
      </w:tr>
      <w:tr w:rsidR="006D30C5" w:rsidRPr="00EC24A0" w14:paraId="54540113" w14:textId="77777777" w:rsidTr="002B2375">
        <w:trPr>
          <w:jc w:val="center"/>
        </w:trPr>
        <w:tc>
          <w:tcPr>
            <w:tcW w:w="3119" w:type="dxa"/>
            <w:shd w:val="clear" w:color="auto" w:fill="FFFFFF" w:themeFill="background1"/>
          </w:tcPr>
          <w:p w14:paraId="6ADFC455" w14:textId="77777777" w:rsidR="006D30C5" w:rsidRPr="00EC24A0" w:rsidRDefault="006D30C5" w:rsidP="00D41009">
            <w:pPr>
              <w:keepNext/>
              <w:keepLines/>
              <w:spacing w:after="0"/>
              <w:contextualSpacing/>
              <w:jc w:val="center"/>
              <w:rPr>
                <w:rFonts w:cs="Arial"/>
                <w:sz w:val="18"/>
                <w:szCs w:val="18"/>
              </w:rPr>
            </w:pPr>
            <w:r>
              <w:rPr>
                <w:rFonts w:cs="Arial"/>
                <w:sz w:val="18"/>
                <w:szCs w:val="18"/>
              </w:rPr>
              <w:t>1</w:t>
            </w:r>
            <w:r w:rsidRPr="00EC24A0">
              <w:rPr>
                <w:rFonts w:cs="Arial"/>
                <w:sz w:val="18"/>
                <w:szCs w:val="18"/>
              </w:rPr>
              <w:t xml:space="preserve"> </w:t>
            </w:r>
            <w:r>
              <w:rPr>
                <w:rFonts w:cs="Arial"/>
                <w:sz w:val="18"/>
                <w:szCs w:val="18"/>
              </w:rPr>
              <w:t>M</w:t>
            </w:r>
            <w:r w:rsidRPr="00EC24A0">
              <w:rPr>
                <w:rFonts w:cs="Arial"/>
                <w:sz w:val="18"/>
                <w:szCs w:val="18"/>
              </w:rPr>
              <w:t>Hz</w:t>
            </w:r>
            <w:r w:rsidRPr="00EC24A0">
              <w:rPr>
                <w:rFonts w:cs="Arial"/>
                <w:spacing w:val="13"/>
                <w:sz w:val="18"/>
                <w:szCs w:val="18"/>
              </w:rPr>
              <w:t xml:space="preserve"> </w:t>
            </w:r>
            <w:r w:rsidRPr="00EC24A0">
              <w:rPr>
                <w:rFonts w:cs="Arial"/>
              </w:rPr>
              <w:t xml:space="preserve">≤ </w:t>
            </w:r>
            <w:proofErr w:type="spellStart"/>
            <w:r w:rsidRPr="00EC24A0">
              <w:rPr>
                <w:rFonts w:cs="Arial"/>
                <w:sz w:val="18"/>
                <w:szCs w:val="18"/>
              </w:rPr>
              <w:t>f</w:t>
            </w:r>
            <w:r w:rsidRPr="00EC24A0">
              <w:rPr>
                <w:rFonts w:cs="Arial"/>
                <w:sz w:val="18"/>
                <w:szCs w:val="18"/>
                <w:vertAlign w:val="subscript"/>
              </w:rPr>
              <w:t>offset</w:t>
            </w:r>
            <w:proofErr w:type="spellEnd"/>
            <w:r w:rsidRPr="00EC24A0">
              <w:rPr>
                <w:rFonts w:cs="Arial"/>
                <w:spacing w:val="27"/>
                <w:position w:val="-1"/>
                <w:sz w:val="18"/>
                <w:szCs w:val="18"/>
              </w:rPr>
              <w:t xml:space="preserve"> </w:t>
            </w:r>
            <w:r w:rsidRPr="00EC24A0">
              <w:rPr>
                <w:rFonts w:cs="Arial"/>
              </w:rPr>
              <w:t>&lt;</w:t>
            </w:r>
            <w:r w:rsidRPr="00EC24A0">
              <w:rPr>
                <w:rFonts w:cs="Arial"/>
                <w:spacing w:val="1"/>
                <w:sz w:val="18"/>
                <w:szCs w:val="18"/>
              </w:rPr>
              <w:t xml:space="preserve"> 1</w:t>
            </w:r>
            <w:r>
              <w:rPr>
                <w:rFonts w:cs="Arial"/>
                <w:spacing w:val="1"/>
                <w:sz w:val="18"/>
                <w:szCs w:val="18"/>
              </w:rPr>
              <w:t>.485</w:t>
            </w:r>
            <w:r w:rsidRPr="00EC24A0">
              <w:rPr>
                <w:rFonts w:cs="Arial"/>
                <w:spacing w:val="1"/>
                <w:sz w:val="18"/>
                <w:szCs w:val="18"/>
              </w:rPr>
              <w:t xml:space="preserve"> MHz</w:t>
            </w:r>
          </w:p>
        </w:tc>
        <w:tc>
          <w:tcPr>
            <w:tcW w:w="2552" w:type="dxa"/>
            <w:shd w:val="clear" w:color="auto" w:fill="FFFFFF" w:themeFill="background1"/>
          </w:tcPr>
          <w:p w14:paraId="257BD86F" w14:textId="77777777" w:rsidR="006D30C5" w:rsidRPr="00EC24A0" w:rsidRDefault="006D30C5" w:rsidP="00D41009">
            <w:pPr>
              <w:keepNext/>
              <w:keepLines/>
              <w:spacing w:after="0"/>
              <w:contextualSpacing/>
              <w:jc w:val="center"/>
              <w:rPr>
                <w:rFonts w:cs="Arial"/>
                <w:sz w:val="18"/>
                <w:szCs w:val="18"/>
              </w:rPr>
            </w:pPr>
            <w:r w:rsidRPr="00EC24A0">
              <w:rPr>
                <w:rFonts w:cs="Arial"/>
                <w:sz w:val="18"/>
                <w:szCs w:val="18"/>
              </w:rPr>
              <w:t>-</w:t>
            </w:r>
            <w:r>
              <w:rPr>
                <w:rFonts w:cs="Arial"/>
                <w:sz w:val="18"/>
                <w:szCs w:val="18"/>
              </w:rPr>
              <w:t>17</w:t>
            </w:r>
          </w:p>
        </w:tc>
        <w:tc>
          <w:tcPr>
            <w:tcW w:w="1559" w:type="dxa"/>
            <w:shd w:val="clear" w:color="auto" w:fill="FFFFFF" w:themeFill="background1"/>
          </w:tcPr>
          <w:p w14:paraId="1B2ACF00" w14:textId="77777777" w:rsidR="006D30C5" w:rsidRPr="00EC24A0" w:rsidRDefault="006D30C5" w:rsidP="00D41009">
            <w:pPr>
              <w:keepNext/>
              <w:keepLines/>
              <w:spacing w:after="0"/>
              <w:contextualSpacing/>
              <w:jc w:val="center"/>
              <w:rPr>
                <w:rFonts w:cs="Arial"/>
                <w:sz w:val="18"/>
                <w:szCs w:val="18"/>
              </w:rPr>
            </w:pPr>
            <w:r w:rsidRPr="00EC24A0">
              <w:rPr>
                <w:rFonts w:cs="Arial"/>
                <w:sz w:val="18"/>
                <w:szCs w:val="18"/>
              </w:rPr>
              <w:t>30 kHz</w:t>
            </w:r>
          </w:p>
        </w:tc>
      </w:tr>
      <w:tr w:rsidR="006D30C5" w:rsidRPr="00EC24A0" w14:paraId="67D9364A" w14:textId="77777777" w:rsidTr="002B2375">
        <w:trPr>
          <w:jc w:val="center"/>
        </w:trPr>
        <w:tc>
          <w:tcPr>
            <w:tcW w:w="3119" w:type="dxa"/>
            <w:shd w:val="clear" w:color="auto" w:fill="F2F2F2" w:themeFill="background1" w:themeFillShade="F2"/>
          </w:tcPr>
          <w:p w14:paraId="35BA1A15" w14:textId="77777777" w:rsidR="006D30C5" w:rsidRPr="00EC24A0" w:rsidRDefault="006D30C5" w:rsidP="00D41009">
            <w:pPr>
              <w:keepNext/>
              <w:keepLines/>
              <w:spacing w:after="0"/>
              <w:contextualSpacing/>
              <w:jc w:val="center"/>
              <w:rPr>
                <w:rFonts w:cs="Arial"/>
                <w:sz w:val="18"/>
                <w:szCs w:val="18"/>
              </w:rPr>
            </w:pPr>
            <w:r w:rsidRPr="00EC24A0">
              <w:rPr>
                <w:rFonts w:cs="Arial"/>
                <w:sz w:val="18"/>
                <w:szCs w:val="18"/>
              </w:rPr>
              <w:t>1 MHz</w:t>
            </w:r>
            <w:r w:rsidRPr="00EC24A0">
              <w:rPr>
                <w:rFonts w:cs="Arial"/>
                <w:spacing w:val="13"/>
                <w:sz w:val="18"/>
                <w:szCs w:val="18"/>
              </w:rPr>
              <w:t xml:space="preserve"> </w:t>
            </w:r>
            <w:r w:rsidRPr="00EC24A0">
              <w:rPr>
                <w:rFonts w:cs="Arial"/>
              </w:rPr>
              <w:t xml:space="preserve">≤ </w:t>
            </w:r>
            <w:proofErr w:type="spellStart"/>
            <w:r w:rsidRPr="00EC24A0">
              <w:rPr>
                <w:rFonts w:cs="Arial"/>
                <w:sz w:val="18"/>
                <w:szCs w:val="18"/>
              </w:rPr>
              <w:t>f</w:t>
            </w:r>
            <w:r w:rsidRPr="00EC24A0">
              <w:rPr>
                <w:rFonts w:cs="Arial"/>
                <w:sz w:val="18"/>
                <w:szCs w:val="18"/>
                <w:vertAlign w:val="subscript"/>
              </w:rPr>
              <w:t>offset</w:t>
            </w:r>
            <w:proofErr w:type="spellEnd"/>
            <w:r w:rsidRPr="00EC24A0">
              <w:rPr>
                <w:rFonts w:cs="Arial"/>
                <w:spacing w:val="27"/>
                <w:position w:val="-1"/>
                <w:sz w:val="18"/>
                <w:szCs w:val="18"/>
              </w:rPr>
              <w:t xml:space="preserve"> </w:t>
            </w:r>
            <w:r w:rsidRPr="00EC24A0">
              <w:rPr>
                <w:rFonts w:cs="Arial"/>
              </w:rPr>
              <w:t>&lt;</w:t>
            </w:r>
            <w:r w:rsidRPr="00EC24A0">
              <w:rPr>
                <w:rFonts w:cs="Arial"/>
                <w:spacing w:val="1"/>
                <w:sz w:val="18"/>
                <w:szCs w:val="18"/>
              </w:rPr>
              <w:t xml:space="preserve"> 10 MHz</w:t>
            </w:r>
          </w:p>
        </w:tc>
        <w:tc>
          <w:tcPr>
            <w:tcW w:w="2552" w:type="dxa"/>
            <w:shd w:val="clear" w:color="auto" w:fill="F2F2F2" w:themeFill="background1" w:themeFillShade="F2"/>
          </w:tcPr>
          <w:p w14:paraId="3F876BD9" w14:textId="77777777" w:rsidR="006D30C5" w:rsidRPr="00EC24A0" w:rsidDel="00CF0645" w:rsidRDefault="006D30C5" w:rsidP="00D41009">
            <w:pPr>
              <w:keepNext/>
              <w:keepLines/>
              <w:spacing w:after="0"/>
              <w:contextualSpacing/>
              <w:jc w:val="center"/>
              <w:rPr>
                <w:rFonts w:cs="Arial"/>
                <w:sz w:val="18"/>
                <w:szCs w:val="18"/>
              </w:rPr>
            </w:pPr>
            <w:r w:rsidRPr="00EC24A0">
              <w:rPr>
                <w:rFonts w:cs="Arial"/>
                <w:sz w:val="18"/>
                <w:szCs w:val="18"/>
              </w:rPr>
              <w:t>-4</w:t>
            </w:r>
          </w:p>
        </w:tc>
        <w:tc>
          <w:tcPr>
            <w:tcW w:w="1559" w:type="dxa"/>
            <w:shd w:val="clear" w:color="auto" w:fill="F2F2F2" w:themeFill="background1" w:themeFillShade="F2"/>
          </w:tcPr>
          <w:p w14:paraId="494143F7" w14:textId="77777777" w:rsidR="006D30C5" w:rsidRPr="00EC24A0" w:rsidRDefault="006D30C5" w:rsidP="00D41009">
            <w:pPr>
              <w:keepNext/>
              <w:keepLines/>
              <w:spacing w:after="0"/>
              <w:contextualSpacing/>
              <w:jc w:val="center"/>
              <w:rPr>
                <w:rFonts w:cs="Arial"/>
                <w:sz w:val="18"/>
                <w:szCs w:val="18"/>
              </w:rPr>
            </w:pPr>
            <w:r w:rsidRPr="00EC24A0">
              <w:rPr>
                <w:rFonts w:cs="Arial"/>
                <w:sz w:val="18"/>
                <w:szCs w:val="18"/>
              </w:rPr>
              <w:t>1 MHz</w:t>
            </w:r>
          </w:p>
        </w:tc>
      </w:tr>
    </w:tbl>
    <w:p w14:paraId="1304B3BD" w14:textId="77777777" w:rsidR="006D30C5" w:rsidRDefault="006D30C5" w:rsidP="006D30C5">
      <w:pPr>
        <w:pStyle w:val="ListBullet2"/>
        <w:numPr>
          <w:ilvl w:val="0"/>
          <w:numId w:val="0"/>
        </w:numPr>
        <w:ind w:left="845"/>
      </w:pPr>
    </w:p>
    <w:p w14:paraId="367020FE" w14:textId="2CFC49EF" w:rsidR="006D30C5" w:rsidRDefault="006D30C5" w:rsidP="002B2375">
      <w:pPr>
        <w:pStyle w:val="Bulletlevel1"/>
        <w:spacing w:after="240"/>
      </w:pPr>
      <w:r>
        <w:t xml:space="preserve">In </w:t>
      </w:r>
      <w:r w:rsidR="003E2938">
        <w:t>T</w:t>
      </w:r>
      <w:r>
        <w:t>able 9 of the consultation paper,</w:t>
      </w:r>
      <w:r w:rsidRPr="0010511D">
        <w:t xml:space="preserve"> </w:t>
      </w:r>
      <w:r w:rsidRPr="00C45B04">
        <w:t>Unwanted emission limits for transmitters operating in the upper 2 GHz band at frequencies outside the 2100–2180 MHz band – AAS devices</w:t>
      </w:r>
      <w:r>
        <w:t xml:space="preserve">, </w:t>
      </w:r>
      <w:r w:rsidRPr="00057029">
        <w:t xml:space="preserve">the insertion </w:t>
      </w:r>
      <w:r>
        <w:t xml:space="preserve">of -30 dBm/1MHz for the frequency range </w:t>
      </w:r>
      <w:r w:rsidR="00615C06">
        <w:br/>
      </w:r>
      <w:r>
        <w:t>1.98</w:t>
      </w:r>
      <w:r w:rsidR="00615C06">
        <w:t>–</w:t>
      </w:r>
      <w:r>
        <w:t>2.1</w:t>
      </w:r>
      <w:r w:rsidR="00615C06">
        <w:t>0</w:t>
      </w:r>
      <w:r>
        <w:t xml:space="preserve"> GHz. The following limits would apply:</w:t>
      </w:r>
    </w:p>
    <w:p w14:paraId="70825161" w14:textId="25C39443" w:rsidR="006D30C5" w:rsidRPr="00347698" w:rsidRDefault="006D30C5" w:rsidP="002B2375">
      <w:pPr>
        <w:pStyle w:val="ListBullet2"/>
        <w:numPr>
          <w:ilvl w:val="0"/>
          <w:numId w:val="0"/>
        </w:numPr>
        <w:ind w:left="284"/>
        <w:rPr>
          <w:b/>
          <w:bCs/>
        </w:rPr>
      </w:pPr>
      <w:r w:rsidRPr="00347698">
        <w:rPr>
          <w:b/>
          <w:bCs/>
        </w:rPr>
        <w:t>Unwanted emission limits for transmitters operating in the upper 2 GHz band at frequencies outside the 2100–2180 MHz band –</w:t>
      </w:r>
      <w:r w:rsidR="00615C06">
        <w:rPr>
          <w:b/>
          <w:bCs/>
        </w:rPr>
        <w:t xml:space="preserve"> </w:t>
      </w:r>
      <w:r w:rsidRPr="00347698">
        <w:rPr>
          <w:b/>
          <w:bCs/>
        </w:rPr>
        <w:t>AAS devices</w:t>
      </w:r>
    </w:p>
    <w:tbl>
      <w:tblPr>
        <w:tblStyle w:val="TableGrid1"/>
        <w:tblW w:w="7083" w:type="dxa"/>
        <w:jc w:val="center"/>
        <w:tblLook w:val="04A0" w:firstRow="1" w:lastRow="0" w:firstColumn="1" w:lastColumn="0" w:noHBand="0" w:noVBand="1"/>
      </w:tblPr>
      <w:tblGrid>
        <w:gridCol w:w="3114"/>
        <w:gridCol w:w="2410"/>
        <w:gridCol w:w="1559"/>
      </w:tblGrid>
      <w:tr w:rsidR="006D30C5" w:rsidRPr="00347698" w14:paraId="48356A91" w14:textId="77777777" w:rsidTr="00D41009">
        <w:trPr>
          <w:jc w:val="center"/>
        </w:trPr>
        <w:tc>
          <w:tcPr>
            <w:tcW w:w="3114" w:type="dxa"/>
            <w:shd w:val="clear" w:color="auto" w:fill="404040"/>
          </w:tcPr>
          <w:p w14:paraId="5278DB04" w14:textId="77777777" w:rsidR="006D30C5" w:rsidRPr="00346541" w:rsidRDefault="006D30C5" w:rsidP="00D41009">
            <w:pPr>
              <w:spacing w:after="35" w:line="270" w:lineRule="auto"/>
              <w:ind w:hanging="10"/>
              <w:contextualSpacing/>
              <w:jc w:val="center"/>
              <w:rPr>
                <w:rFonts w:cs="Arial"/>
                <w:b/>
                <w:color w:val="FFFFFF"/>
                <w:szCs w:val="20"/>
              </w:rPr>
            </w:pPr>
            <w:r w:rsidRPr="00346541">
              <w:rPr>
                <w:rFonts w:cs="Arial"/>
                <w:b/>
                <w:color w:val="FFFFFF"/>
                <w:szCs w:val="20"/>
              </w:rPr>
              <w:t xml:space="preserve">Frequency range </w:t>
            </w:r>
          </w:p>
          <w:p w14:paraId="01770E23" w14:textId="77777777" w:rsidR="006D30C5" w:rsidRPr="00346541" w:rsidRDefault="006D30C5" w:rsidP="00D41009">
            <w:pPr>
              <w:spacing w:after="35" w:line="270" w:lineRule="auto"/>
              <w:ind w:hanging="10"/>
              <w:contextualSpacing/>
              <w:jc w:val="center"/>
              <w:rPr>
                <w:rFonts w:cs="Arial"/>
                <w:b/>
                <w:color w:val="FFFFFF"/>
                <w:szCs w:val="20"/>
              </w:rPr>
            </w:pPr>
            <w:r w:rsidRPr="00346541">
              <w:rPr>
                <w:rFonts w:cs="Arial"/>
                <w:b/>
                <w:color w:val="FFFFFF"/>
                <w:szCs w:val="20"/>
              </w:rPr>
              <w:t>(f)</w:t>
            </w:r>
          </w:p>
        </w:tc>
        <w:tc>
          <w:tcPr>
            <w:tcW w:w="2410" w:type="dxa"/>
            <w:shd w:val="clear" w:color="auto" w:fill="404040"/>
          </w:tcPr>
          <w:p w14:paraId="4F65F47C" w14:textId="77777777" w:rsidR="006D30C5" w:rsidRPr="00346541" w:rsidRDefault="006D30C5" w:rsidP="00D41009">
            <w:pPr>
              <w:spacing w:after="35" w:line="270" w:lineRule="auto"/>
              <w:ind w:hanging="10"/>
              <w:contextualSpacing/>
              <w:jc w:val="center"/>
              <w:rPr>
                <w:rFonts w:cs="Arial"/>
                <w:b/>
                <w:color w:val="FFFFFF"/>
                <w:szCs w:val="20"/>
              </w:rPr>
            </w:pPr>
            <w:r w:rsidRPr="00346541">
              <w:rPr>
                <w:rFonts w:cs="Arial"/>
                <w:b/>
                <w:color w:val="FFFFFF"/>
                <w:szCs w:val="20"/>
              </w:rPr>
              <w:t>Total radiated power (dBm) per cell/sector</w:t>
            </w:r>
          </w:p>
        </w:tc>
        <w:tc>
          <w:tcPr>
            <w:tcW w:w="1559" w:type="dxa"/>
            <w:shd w:val="clear" w:color="auto" w:fill="404040"/>
          </w:tcPr>
          <w:p w14:paraId="1561137D" w14:textId="77777777" w:rsidR="006D30C5" w:rsidRPr="00346541" w:rsidRDefault="006D30C5" w:rsidP="00D41009">
            <w:pPr>
              <w:spacing w:after="35" w:line="270" w:lineRule="auto"/>
              <w:ind w:hanging="10"/>
              <w:contextualSpacing/>
              <w:jc w:val="center"/>
              <w:rPr>
                <w:rFonts w:cs="Arial"/>
                <w:b/>
                <w:color w:val="FFFFFF"/>
                <w:szCs w:val="20"/>
              </w:rPr>
            </w:pPr>
            <w:r w:rsidRPr="00346541">
              <w:rPr>
                <w:rFonts w:cs="Arial"/>
                <w:b/>
                <w:color w:val="FFFFFF"/>
                <w:szCs w:val="20"/>
              </w:rPr>
              <w:t>Measurement bandwidth</w:t>
            </w:r>
          </w:p>
        </w:tc>
      </w:tr>
      <w:tr w:rsidR="006D30C5" w:rsidRPr="00347698" w14:paraId="24B5F3DE" w14:textId="77777777" w:rsidTr="00D41009">
        <w:trPr>
          <w:jc w:val="center"/>
        </w:trPr>
        <w:tc>
          <w:tcPr>
            <w:tcW w:w="3114" w:type="dxa"/>
          </w:tcPr>
          <w:p w14:paraId="44461371"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9 kHz ≤ f &lt; 150 kHz</w:t>
            </w:r>
          </w:p>
        </w:tc>
        <w:tc>
          <w:tcPr>
            <w:tcW w:w="2410" w:type="dxa"/>
          </w:tcPr>
          <w:p w14:paraId="4F64BCED"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-27</w:t>
            </w:r>
          </w:p>
        </w:tc>
        <w:tc>
          <w:tcPr>
            <w:tcW w:w="1559" w:type="dxa"/>
          </w:tcPr>
          <w:p w14:paraId="66B0B8FF"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1 kHz</w:t>
            </w:r>
          </w:p>
        </w:tc>
      </w:tr>
      <w:tr w:rsidR="006D30C5" w:rsidRPr="00347698" w14:paraId="7522F041" w14:textId="77777777" w:rsidTr="00D41009">
        <w:trPr>
          <w:jc w:val="center"/>
        </w:trPr>
        <w:tc>
          <w:tcPr>
            <w:tcW w:w="3114" w:type="dxa"/>
            <w:shd w:val="clear" w:color="auto" w:fill="F2F2F2"/>
          </w:tcPr>
          <w:p w14:paraId="73594E55"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150 kHz ≤ f &lt; 30 MHz</w:t>
            </w:r>
          </w:p>
        </w:tc>
        <w:tc>
          <w:tcPr>
            <w:tcW w:w="2410" w:type="dxa"/>
            <w:shd w:val="clear" w:color="auto" w:fill="F2F2F2"/>
          </w:tcPr>
          <w:p w14:paraId="441F060B"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-27</w:t>
            </w:r>
          </w:p>
        </w:tc>
        <w:tc>
          <w:tcPr>
            <w:tcW w:w="1559" w:type="dxa"/>
            <w:shd w:val="clear" w:color="auto" w:fill="F2F2F2"/>
          </w:tcPr>
          <w:p w14:paraId="7537B4E0"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10 kHz</w:t>
            </w:r>
          </w:p>
        </w:tc>
      </w:tr>
      <w:tr w:rsidR="006D30C5" w:rsidRPr="00347698" w14:paraId="46D80738" w14:textId="77777777" w:rsidTr="00D41009">
        <w:trPr>
          <w:jc w:val="center"/>
        </w:trPr>
        <w:tc>
          <w:tcPr>
            <w:tcW w:w="3114" w:type="dxa"/>
          </w:tcPr>
          <w:p w14:paraId="5867E99E"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30 MHz ≤ f &lt; 1 GHz</w:t>
            </w:r>
          </w:p>
        </w:tc>
        <w:tc>
          <w:tcPr>
            <w:tcW w:w="2410" w:type="dxa"/>
          </w:tcPr>
          <w:p w14:paraId="257A43EB"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-27</w:t>
            </w:r>
          </w:p>
        </w:tc>
        <w:tc>
          <w:tcPr>
            <w:tcW w:w="1559" w:type="dxa"/>
          </w:tcPr>
          <w:p w14:paraId="5E8C48F7"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100 kHz</w:t>
            </w:r>
          </w:p>
        </w:tc>
      </w:tr>
      <w:tr w:rsidR="006D30C5" w:rsidRPr="00347698" w14:paraId="1E011B2A" w14:textId="77777777" w:rsidTr="00D41009">
        <w:trPr>
          <w:jc w:val="center"/>
        </w:trPr>
        <w:tc>
          <w:tcPr>
            <w:tcW w:w="3114" w:type="dxa"/>
            <w:shd w:val="clear" w:color="auto" w:fill="F2F2F2"/>
          </w:tcPr>
          <w:p w14:paraId="6899C0DD"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1 GHz ≤ f &lt; 1.98 GHz</w:t>
            </w:r>
          </w:p>
        </w:tc>
        <w:tc>
          <w:tcPr>
            <w:tcW w:w="2410" w:type="dxa"/>
            <w:shd w:val="clear" w:color="auto" w:fill="F2F2F2"/>
          </w:tcPr>
          <w:p w14:paraId="6D88D019"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-21</w:t>
            </w:r>
          </w:p>
        </w:tc>
        <w:tc>
          <w:tcPr>
            <w:tcW w:w="1559" w:type="dxa"/>
            <w:shd w:val="clear" w:color="auto" w:fill="F2F2F2"/>
          </w:tcPr>
          <w:p w14:paraId="34A44BEA"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1 MHz</w:t>
            </w:r>
          </w:p>
        </w:tc>
      </w:tr>
      <w:tr w:rsidR="006D30C5" w:rsidRPr="00347698" w14:paraId="0398E38A" w14:textId="77777777" w:rsidTr="00D41009">
        <w:trPr>
          <w:jc w:val="center"/>
        </w:trPr>
        <w:tc>
          <w:tcPr>
            <w:tcW w:w="3114" w:type="dxa"/>
          </w:tcPr>
          <w:p w14:paraId="2B7BD4DA"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1.98 GHz ≤ f &lt; 2.1 GHz</w:t>
            </w:r>
          </w:p>
        </w:tc>
        <w:tc>
          <w:tcPr>
            <w:tcW w:w="2410" w:type="dxa"/>
          </w:tcPr>
          <w:p w14:paraId="48A18AAF"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-30</w:t>
            </w:r>
          </w:p>
        </w:tc>
        <w:tc>
          <w:tcPr>
            <w:tcW w:w="1559" w:type="dxa"/>
          </w:tcPr>
          <w:p w14:paraId="78522D18"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1 MHz</w:t>
            </w:r>
          </w:p>
        </w:tc>
      </w:tr>
      <w:tr w:rsidR="006D30C5" w:rsidRPr="00347698" w14:paraId="77B28DCC" w14:textId="77777777" w:rsidTr="00D41009">
        <w:trPr>
          <w:jc w:val="center"/>
        </w:trPr>
        <w:tc>
          <w:tcPr>
            <w:tcW w:w="3114" w:type="dxa"/>
            <w:shd w:val="clear" w:color="auto" w:fill="F2F2F2"/>
          </w:tcPr>
          <w:p w14:paraId="1B5DD550" w14:textId="77777777" w:rsidR="006D30C5" w:rsidRPr="00347698" w:rsidRDefault="006D30C5" w:rsidP="00D41009">
            <w:pPr>
              <w:spacing w:after="35" w:line="270" w:lineRule="auto"/>
              <w:ind w:hanging="10"/>
              <w:contextualSpacing/>
              <w:jc w:val="center"/>
              <w:rPr>
                <w:rFonts w:cs="Arial"/>
                <w:color w:val="000000"/>
                <w:sz w:val="18"/>
                <w:szCs w:val="18"/>
              </w:rPr>
            </w:pPr>
            <w:r>
              <w:rPr>
                <w:rFonts w:cs="Arial"/>
                <w:color w:val="000000"/>
                <w:sz w:val="18"/>
                <w:szCs w:val="18"/>
              </w:rPr>
              <w:t>2.1</w:t>
            </w:r>
            <w:r w:rsidRPr="00347698">
              <w:rPr>
                <w:rFonts w:cs="Arial"/>
                <w:color w:val="000000"/>
                <w:sz w:val="18"/>
                <w:szCs w:val="18"/>
              </w:rPr>
              <w:t xml:space="preserve"> GHz ≤ f &lt; 12.75 GHz</w:t>
            </w:r>
          </w:p>
        </w:tc>
        <w:tc>
          <w:tcPr>
            <w:tcW w:w="2410" w:type="dxa"/>
            <w:shd w:val="clear" w:color="auto" w:fill="F2F2F2"/>
          </w:tcPr>
          <w:p w14:paraId="79CD3008"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-21</w:t>
            </w:r>
          </w:p>
        </w:tc>
        <w:tc>
          <w:tcPr>
            <w:tcW w:w="1559" w:type="dxa"/>
            <w:shd w:val="clear" w:color="auto" w:fill="F2F2F2"/>
          </w:tcPr>
          <w:p w14:paraId="4FB8982B" w14:textId="77777777" w:rsidR="006D30C5" w:rsidRPr="00347698" w:rsidRDefault="006D30C5" w:rsidP="00D41009">
            <w:pPr>
              <w:spacing w:after="35" w:line="270" w:lineRule="auto"/>
              <w:ind w:hanging="10"/>
              <w:contextualSpacing/>
              <w:jc w:val="center"/>
              <w:rPr>
                <w:rFonts w:cs="Arial"/>
                <w:color w:val="000000"/>
                <w:sz w:val="18"/>
                <w:szCs w:val="18"/>
              </w:rPr>
            </w:pPr>
            <w:r w:rsidRPr="00347698">
              <w:rPr>
                <w:rFonts w:cs="Arial"/>
                <w:color w:val="000000"/>
                <w:sz w:val="18"/>
                <w:szCs w:val="18"/>
              </w:rPr>
              <w:t>1 MHz</w:t>
            </w:r>
          </w:p>
        </w:tc>
      </w:tr>
    </w:tbl>
    <w:p w14:paraId="17F6C5B2" w14:textId="77777777" w:rsidR="006D30C5" w:rsidRPr="00057029" w:rsidRDefault="006D30C5" w:rsidP="006D30C5">
      <w:pPr>
        <w:pStyle w:val="ListBullet2"/>
        <w:numPr>
          <w:ilvl w:val="0"/>
          <w:numId w:val="0"/>
        </w:numPr>
        <w:ind w:left="845" w:hanging="544"/>
        <w:rPr>
          <w:rFonts w:cs="Arial"/>
          <w:szCs w:val="20"/>
        </w:rPr>
      </w:pPr>
    </w:p>
    <w:p w14:paraId="710AF76E" w14:textId="77777777" w:rsidR="006D30C5" w:rsidRDefault="006D30C5" w:rsidP="002B2375">
      <w:pPr>
        <w:pStyle w:val="Paragraphbeforelist"/>
      </w:pPr>
      <w:r>
        <w:t>The title of Table 10 of the consultation paper would be amended to:</w:t>
      </w:r>
      <w:r>
        <w:tab/>
      </w:r>
    </w:p>
    <w:p w14:paraId="4CC338E3" w14:textId="3DABD9B8" w:rsidR="006D30C5" w:rsidRDefault="008E7E48" w:rsidP="002B2375">
      <w:pPr>
        <w:pStyle w:val="Bulletlevel1"/>
      </w:pPr>
      <w:r>
        <w:t>‘</w:t>
      </w:r>
      <w:r w:rsidR="006D30C5" w:rsidRPr="001B500E">
        <w:t>Unwanted emission limits for transmitters operating in the lower 2 GHz band at frequencies outside +/- (channel bandwidth + 5 MHz) – all transmitters</w:t>
      </w:r>
      <w:r>
        <w:t>’.</w:t>
      </w:r>
    </w:p>
    <w:p w14:paraId="786A351A" w14:textId="77777777" w:rsidR="006D30C5" w:rsidRDefault="006D30C5" w:rsidP="006D30C5">
      <w:pPr>
        <w:pStyle w:val="ListBullet"/>
        <w:numPr>
          <w:ilvl w:val="0"/>
          <w:numId w:val="0"/>
        </w:numPr>
        <w:ind w:left="295"/>
      </w:pPr>
    </w:p>
    <w:p w14:paraId="1D842214" w14:textId="1EF5DE32" w:rsidR="006D30C5" w:rsidRDefault="006D30C5" w:rsidP="002B2375">
      <w:pPr>
        <w:keepNext/>
        <w:keepLines/>
      </w:pPr>
      <w:r w:rsidRPr="00057029">
        <w:rPr>
          <w:rFonts w:cs="Arial"/>
          <w:szCs w:val="20"/>
        </w:rPr>
        <w:t xml:space="preserve">The ACMA has </w:t>
      </w:r>
      <w:r>
        <w:rPr>
          <w:rFonts w:cs="Arial"/>
          <w:szCs w:val="20"/>
        </w:rPr>
        <w:t>re</w:t>
      </w:r>
      <w:r w:rsidRPr="00057029">
        <w:rPr>
          <w:rFonts w:cs="Arial"/>
          <w:szCs w:val="20"/>
        </w:rPr>
        <w:t>made the</w:t>
      </w:r>
      <w:r w:rsidRPr="00057029">
        <w:t xml:space="preserve"> </w:t>
      </w:r>
      <w:r w:rsidRPr="002B2375">
        <w:rPr>
          <w:iCs/>
        </w:rPr>
        <w:t>Radiocommunications (Unacceptable Levels of Interference – 2 GHz Band) Determination 2023</w:t>
      </w:r>
      <w:r w:rsidRPr="0083053B">
        <w:rPr>
          <w:i/>
        </w:rPr>
        <w:t xml:space="preserve"> </w:t>
      </w:r>
      <w:r w:rsidRPr="00057029">
        <w:t xml:space="preserve">as proposed in the </w:t>
      </w:r>
      <w:r w:rsidR="008E7E48">
        <w:br/>
      </w:r>
      <w:r w:rsidRPr="00057029">
        <w:t>consultation paper</w:t>
      </w:r>
      <w:r>
        <w:t>.</w:t>
      </w:r>
    </w:p>
    <w:p w14:paraId="711C2803" w14:textId="19AE6F42" w:rsidR="006D30C5" w:rsidRDefault="008E7E48" w:rsidP="002B2375">
      <w:pPr>
        <w:keepNext/>
        <w:keepLines/>
      </w:pPr>
      <w:r>
        <w:rPr>
          <w:rFonts w:cs="Arial"/>
          <w:szCs w:val="20"/>
        </w:rPr>
        <w:t xml:space="preserve">We have </w:t>
      </w:r>
      <w:r w:rsidR="006D30C5">
        <w:rPr>
          <w:rFonts w:cs="Arial"/>
          <w:szCs w:val="20"/>
        </w:rPr>
        <w:t>re</w:t>
      </w:r>
      <w:r w:rsidR="006D30C5" w:rsidRPr="00057029">
        <w:rPr>
          <w:rFonts w:cs="Arial"/>
          <w:szCs w:val="20"/>
        </w:rPr>
        <w:t>made the</w:t>
      </w:r>
      <w:r w:rsidR="006D30C5" w:rsidRPr="00057029">
        <w:t xml:space="preserve"> </w:t>
      </w:r>
      <w:r w:rsidR="006D30C5" w:rsidRPr="002B2375">
        <w:rPr>
          <w:iCs/>
        </w:rPr>
        <w:t xml:space="preserve">Radiocommunications Advisory Guidelines (Managing Interference from Spectrum Licensed Transmitters – 2 GHz Band) 2023 </w:t>
      </w:r>
      <w:r w:rsidR="006D30C5" w:rsidRPr="00057029">
        <w:t>as proposed in the consultation paper</w:t>
      </w:r>
      <w:r>
        <w:t>,</w:t>
      </w:r>
      <w:r w:rsidR="006D30C5">
        <w:t xml:space="preserve"> </w:t>
      </w:r>
      <w:r w:rsidR="006D30C5" w:rsidRPr="00057029">
        <w:t>with the insertion</w:t>
      </w:r>
      <w:r w:rsidR="006D30C5">
        <w:t xml:space="preserve"> of the frequency range 1980–2010 MHz in Part 6 Section 16 </w:t>
      </w:r>
      <w:r>
        <w:t>‘</w:t>
      </w:r>
      <w:r w:rsidR="006D30C5">
        <w:t>Protection requirements</w:t>
      </w:r>
      <w:r>
        <w:t>’</w:t>
      </w:r>
      <w:r w:rsidR="006D30C5">
        <w:t xml:space="preserve"> for TOB services.</w:t>
      </w:r>
    </w:p>
    <w:p w14:paraId="6037F79E" w14:textId="75439883" w:rsidR="006D30C5" w:rsidRPr="00057029" w:rsidRDefault="006D30C5" w:rsidP="002B2375">
      <w:pPr>
        <w:keepNext/>
        <w:keepLines/>
      </w:pPr>
      <w:r w:rsidRPr="00057029">
        <w:rPr>
          <w:rFonts w:cs="Arial"/>
          <w:szCs w:val="20"/>
        </w:rPr>
        <w:t xml:space="preserve">The ACMA has </w:t>
      </w:r>
      <w:r>
        <w:rPr>
          <w:rFonts w:cs="Arial"/>
          <w:szCs w:val="20"/>
        </w:rPr>
        <w:t>re</w:t>
      </w:r>
      <w:r w:rsidRPr="00057029">
        <w:rPr>
          <w:rFonts w:cs="Arial"/>
          <w:szCs w:val="20"/>
        </w:rPr>
        <w:t>made the</w:t>
      </w:r>
      <w:r w:rsidRPr="00057029">
        <w:t xml:space="preserve"> </w:t>
      </w:r>
      <w:r w:rsidRPr="002B2375">
        <w:rPr>
          <w:iCs/>
        </w:rPr>
        <w:t>Radiocommunications Advisory Guidelines (Managing Interference to Spectrum Licensed Receivers – 2 GHz Band) 2023</w:t>
      </w:r>
      <w:r>
        <w:rPr>
          <w:i/>
        </w:rPr>
        <w:t xml:space="preserve"> </w:t>
      </w:r>
      <w:r w:rsidRPr="00057029">
        <w:t>as proposed</w:t>
      </w:r>
      <w:r w:rsidR="00926D0E">
        <w:t>,</w:t>
      </w:r>
      <w:r>
        <w:t xml:space="preserve"> </w:t>
      </w:r>
      <w:r w:rsidRPr="00057029">
        <w:t xml:space="preserve">with the </w:t>
      </w:r>
      <w:r>
        <w:t xml:space="preserve">inclusion of provisions in </w:t>
      </w:r>
      <w:r w:rsidR="00926D0E">
        <w:t>‘</w:t>
      </w:r>
      <w:r w:rsidRPr="002B2375">
        <w:rPr>
          <w:iCs/>
        </w:rPr>
        <w:t>Schedule 1, Notional receiver performance</w:t>
      </w:r>
      <w:r w:rsidRPr="00926D0E">
        <w:rPr>
          <w:iCs/>
        </w:rPr>
        <w:t xml:space="preserve"> </w:t>
      </w:r>
      <w:r w:rsidRPr="002B2375">
        <w:rPr>
          <w:iCs/>
        </w:rPr>
        <w:t>level</w:t>
      </w:r>
      <w:r w:rsidR="00926D0E">
        <w:rPr>
          <w:iCs/>
        </w:rPr>
        <w:t>’</w:t>
      </w:r>
      <w:r w:rsidRPr="00926D0E">
        <w:rPr>
          <w:iCs/>
        </w:rPr>
        <w:t>,</w:t>
      </w:r>
      <w:r w:rsidRPr="00C53BF8">
        <w:t xml:space="preserve"> to support wider-bandwidth (including 5G) receivers</w:t>
      </w:r>
      <w:r>
        <w:t>.</w:t>
      </w:r>
    </w:p>
    <w:p w14:paraId="5E236467" w14:textId="53EF0593" w:rsidR="006D30C5" w:rsidRPr="00057029" w:rsidRDefault="00926D0E" w:rsidP="002B2375">
      <w:pPr>
        <w:keepNext/>
        <w:keepLines/>
        <w:rPr>
          <w:rFonts w:cs="Arial"/>
          <w:szCs w:val="20"/>
        </w:rPr>
      </w:pPr>
      <w:r>
        <w:rPr>
          <w:rFonts w:cs="Arial"/>
          <w:szCs w:val="20"/>
        </w:rPr>
        <w:t xml:space="preserve">We </w:t>
      </w:r>
      <w:r w:rsidR="006D30C5">
        <w:rPr>
          <w:rFonts w:cs="Arial"/>
          <w:szCs w:val="20"/>
        </w:rPr>
        <w:t>will u</w:t>
      </w:r>
      <w:r w:rsidR="006D30C5">
        <w:t>pdate RALI FX21 to reflect changes to unwanted emission limits for 2 GHz spectrum licences.</w:t>
      </w:r>
    </w:p>
    <w:p w14:paraId="1DAF1467" w14:textId="0B341BB8" w:rsidR="00FF3C69" w:rsidRPr="00E162C4" w:rsidRDefault="00FF3C69" w:rsidP="006D30C5">
      <w:pPr>
        <w:pStyle w:val="Paragraph"/>
      </w:pPr>
    </w:p>
    <w:sectPr w:rsidR="00FF3C69" w:rsidRPr="00E162C4" w:rsidSect="00C77380">
      <w:headerReference w:type="even" r:id="rId27"/>
      <w:headerReference w:type="default" r:id="rId28"/>
      <w:footerReference w:type="even" r:id="rId29"/>
      <w:footerReference w:type="default" r:id="rId3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5DA325" w14:textId="77777777" w:rsidR="006D30C5" w:rsidRDefault="006D30C5">
      <w:r>
        <w:separator/>
      </w:r>
    </w:p>
  </w:endnote>
  <w:endnote w:type="continuationSeparator" w:id="0">
    <w:p w14:paraId="509DEA7D" w14:textId="77777777" w:rsidR="006D30C5" w:rsidRDefault="006D30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B78BC" w14:textId="77777777" w:rsidR="005E250B" w:rsidRDefault="005E250B" w:rsidP="005E250B">
    <w:pPr>
      <w:pStyle w:val="Footer"/>
      <w:jc w:val="right"/>
    </w:pPr>
    <w:r w:rsidRPr="005E250B">
      <w:rPr>
        <w:noProof/>
        <w:vertAlign w:val="subscript"/>
      </w:rPr>
      <w:drawing>
        <wp:inline distT="0" distB="0" distL="0" distR="0" wp14:anchorId="560A065B" wp14:editId="59A2AE45">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8B96E"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64389"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B5CA8"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4CCE787D"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D66C3"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391C312A"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28B4E"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4887257F"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27B02"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495C60F"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4A95B"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73C1D575"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2C2ED7" w14:textId="77777777" w:rsidR="006D30C5" w:rsidRDefault="006D30C5" w:rsidP="00EA0969">
      <w:pPr>
        <w:spacing w:after="0"/>
      </w:pPr>
      <w:r>
        <w:separator/>
      </w:r>
    </w:p>
  </w:footnote>
  <w:footnote w:type="continuationSeparator" w:id="0">
    <w:p w14:paraId="0C9C9680" w14:textId="77777777" w:rsidR="006D30C5" w:rsidRDefault="006D30C5">
      <w:r>
        <w:continuationSeparator/>
      </w:r>
    </w:p>
  </w:footnote>
  <w:footnote w:id="1">
    <w:p w14:paraId="0CD30B42" w14:textId="7887D944" w:rsidR="006D30C5" w:rsidRDefault="006D30C5" w:rsidP="006D30C5">
      <w:pPr>
        <w:pStyle w:val="FootnoteText"/>
      </w:pPr>
      <w:r>
        <w:rPr>
          <w:rStyle w:val="FootnoteReference"/>
        </w:rPr>
        <w:footnoteRef/>
      </w:r>
      <w:r>
        <w:t xml:space="preserve"> While TOB channelling arrangements constrain the use of T</w:t>
      </w:r>
      <w:r w:rsidR="00AD4292">
        <w:t>OB</w:t>
      </w:r>
      <w:r>
        <w:t xml:space="preserve"> to 2010–2106 MHz, the Australian Radiofrequency Spectrum Plan allocation allows for the uses of TOB up to 2110 </w:t>
      </w:r>
      <w:proofErr w:type="spellStart"/>
      <w:r>
        <w:t>MHz</w:t>
      </w:r>
      <w:r w:rsidR="00AD4292">
        <w:t>.</w:t>
      </w:r>
      <w:proofErr w:type="spellEnd"/>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492AB" w14:textId="77777777" w:rsidR="00C053A1" w:rsidRPr="00A5474E" w:rsidRDefault="0021426C" w:rsidP="00A5474E">
    <w:pPr>
      <w:pStyle w:val="Header"/>
    </w:pPr>
    <w:r>
      <w:rPr>
        <w:noProof/>
      </w:rPr>
      <w:drawing>
        <wp:inline distT="0" distB="0" distL="0" distR="0" wp14:anchorId="66885382" wp14:editId="16F87E17">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62FEB"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B546D"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A20BB"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A0724CC" w14:textId="77777777" w:rsidTr="003B0421">
      <w:trPr>
        <w:trHeight w:hRule="exact" w:val="988"/>
      </w:trPr>
      <w:tc>
        <w:tcPr>
          <w:tcW w:w="7678" w:type="dxa"/>
          <w:shd w:val="clear" w:color="auto" w:fill="auto"/>
        </w:tcPr>
        <w:p w14:paraId="1D47795A" w14:textId="77777777" w:rsidR="00971914" w:rsidRDefault="00971914" w:rsidP="00971914">
          <w:pPr>
            <w:pStyle w:val="Header"/>
          </w:pPr>
        </w:p>
      </w:tc>
    </w:tr>
    <w:tr w:rsidR="00971914" w14:paraId="3C5626F8" w14:textId="77777777" w:rsidTr="003B0421">
      <w:tc>
        <w:tcPr>
          <w:tcW w:w="7678" w:type="dxa"/>
          <w:shd w:val="clear" w:color="auto" w:fill="auto"/>
        </w:tcPr>
        <w:p w14:paraId="5F1B7B4D" w14:textId="77777777" w:rsidR="00971914" w:rsidRDefault="00971914" w:rsidP="00971914">
          <w:pPr>
            <w:pStyle w:val="GridTable31"/>
          </w:pPr>
          <w:r>
            <w:t xml:space="preserve">Contents </w:t>
          </w:r>
          <w:r w:rsidRPr="00915B1C">
            <w:rPr>
              <w:b w:val="0"/>
              <w:spacing w:val="0"/>
              <w:sz w:val="28"/>
              <w:szCs w:val="28"/>
            </w:rPr>
            <w:t>(Continued)</w:t>
          </w:r>
        </w:p>
      </w:tc>
    </w:tr>
    <w:tr w:rsidR="00971914" w14:paraId="3A7A26C6" w14:textId="77777777" w:rsidTr="003B0421">
      <w:trPr>
        <w:trHeight w:val="1220"/>
      </w:trPr>
      <w:tc>
        <w:tcPr>
          <w:tcW w:w="7678" w:type="dxa"/>
          <w:shd w:val="clear" w:color="auto" w:fill="auto"/>
        </w:tcPr>
        <w:p w14:paraId="5021C472" w14:textId="77777777" w:rsidR="00971914" w:rsidRDefault="00971914" w:rsidP="00971914"/>
      </w:tc>
    </w:tr>
  </w:tbl>
  <w:p w14:paraId="7B2E6034"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A61C81B" w14:textId="77777777" w:rsidTr="003B0421">
      <w:trPr>
        <w:trHeight w:hRule="exact" w:val="988"/>
      </w:trPr>
      <w:tc>
        <w:tcPr>
          <w:tcW w:w="7678" w:type="dxa"/>
          <w:shd w:val="clear" w:color="auto" w:fill="auto"/>
        </w:tcPr>
        <w:p w14:paraId="1BB06D67" w14:textId="77777777" w:rsidR="00971914" w:rsidRDefault="00971914" w:rsidP="00971914">
          <w:pPr>
            <w:pStyle w:val="Header"/>
          </w:pPr>
        </w:p>
      </w:tc>
    </w:tr>
    <w:tr w:rsidR="00971914" w14:paraId="53F990DA" w14:textId="77777777" w:rsidTr="003B0421">
      <w:tc>
        <w:tcPr>
          <w:tcW w:w="7678" w:type="dxa"/>
          <w:shd w:val="clear" w:color="auto" w:fill="auto"/>
        </w:tcPr>
        <w:p w14:paraId="74469CC8" w14:textId="77777777" w:rsidR="00971914" w:rsidRDefault="00971914" w:rsidP="00971914">
          <w:pPr>
            <w:pStyle w:val="GridTable31"/>
          </w:pPr>
          <w:r>
            <w:t xml:space="preserve">Contents </w:t>
          </w:r>
          <w:r w:rsidRPr="00915B1C">
            <w:rPr>
              <w:b w:val="0"/>
              <w:spacing w:val="0"/>
              <w:sz w:val="28"/>
              <w:szCs w:val="28"/>
            </w:rPr>
            <w:t>(Continued)</w:t>
          </w:r>
        </w:p>
      </w:tc>
    </w:tr>
    <w:tr w:rsidR="00971914" w14:paraId="5C40F8CD" w14:textId="77777777" w:rsidTr="003B0421">
      <w:trPr>
        <w:trHeight w:val="1220"/>
      </w:trPr>
      <w:tc>
        <w:tcPr>
          <w:tcW w:w="7678" w:type="dxa"/>
          <w:shd w:val="clear" w:color="auto" w:fill="auto"/>
        </w:tcPr>
        <w:p w14:paraId="2836E020" w14:textId="77777777" w:rsidR="00971914" w:rsidRDefault="00971914" w:rsidP="00971914"/>
      </w:tc>
    </w:tr>
  </w:tbl>
  <w:p w14:paraId="4395ADC2"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F34C0"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E391E"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3BB41F0B"/>
    <w:multiLevelType w:val="hybridMultilevel"/>
    <w:tmpl w:val="49D6E9B0"/>
    <w:lvl w:ilvl="0" w:tplc="47306316">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3C9F6F3C"/>
    <w:multiLevelType w:val="hybridMultilevel"/>
    <w:tmpl w:val="9144886C"/>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40794340">
    <w:abstractNumId w:val="3"/>
  </w:num>
  <w:num w:numId="2" w16cid:durableId="961808067">
    <w:abstractNumId w:val="1"/>
  </w:num>
  <w:num w:numId="3" w16cid:durableId="823132573">
    <w:abstractNumId w:val="2"/>
  </w:num>
  <w:num w:numId="4" w16cid:durableId="1435860948">
    <w:abstractNumId w:val="0"/>
  </w:num>
  <w:num w:numId="5" w16cid:durableId="1458793115">
    <w:abstractNumId w:val="6"/>
  </w:num>
  <w:num w:numId="6" w16cid:durableId="1170756036">
    <w:abstractNumId w:val="12"/>
  </w:num>
  <w:num w:numId="7" w16cid:durableId="1179462982">
    <w:abstractNumId w:val="10"/>
  </w:num>
  <w:num w:numId="8" w16cid:durableId="2010865431">
    <w:abstractNumId w:val="11"/>
  </w:num>
  <w:num w:numId="9" w16cid:durableId="153958827">
    <w:abstractNumId w:val="13"/>
  </w:num>
  <w:num w:numId="10" w16cid:durableId="770122694">
    <w:abstractNumId w:val="5"/>
  </w:num>
  <w:num w:numId="11" w16cid:durableId="1981958685">
    <w:abstractNumId w:val="4"/>
  </w:num>
  <w:num w:numId="12" w16cid:durableId="454564071">
    <w:abstractNumId w:val="3"/>
  </w:num>
  <w:num w:numId="13" w16cid:durableId="1550874486">
    <w:abstractNumId w:val="2"/>
    <w:lvlOverride w:ilvl="0">
      <w:startOverride w:val="1"/>
    </w:lvlOverride>
  </w:num>
  <w:num w:numId="14" w16cid:durableId="825971527">
    <w:abstractNumId w:val="2"/>
    <w:lvlOverride w:ilvl="0">
      <w:startOverride w:val="1"/>
    </w:lvlOverride>
  </w:num>
  <w:num w:numId="15" w16cid:durableId="889999444">
    <w:abstractNumId w:val="2"/>
    <w:lvlOverride w:ilvl="0">
      <w:startOverride w:val="1"/>
    </w:lvlOverride>
  </w:num>
  <w:num w:numId="16" w16cid:durableId="271406163">
    <w:abstractNumId w:val="7"/>
  </w:num>
  <w:num w:numId="17" w16cid:durableId="1271475918">
    <w:abstractNumId w:val="2"/>
    <w:lvlOverride w:ilvl="0">
      <w:startOverride w:val="1"/>
    </w:lvlOverride>
  </w:num>
  <w:num w:numId="18" w16cid:durableId="2118475825">
    <w:abstractNumId w:val="3"/>
  </w:num>
  <w:num w:numId="19" w16cid:durableId="1206605668">
    <w:abstractNumId w:val="3"/>
  </w:num>
  <w:num w:numId="20" w16cid:durableId="1043943618">
    <w:abstractNumId w:val="8"/>
  </w:num>
  <w:num w:numId="21" w16cid:durableId="571889725">
    <w:abstractNumId w:val="12"/>
    <w:lvlOverride w:ilvl="0">
      <w:startOverride w:val="1"/>
    </w:lvlOverride>
  </w:num>
  <w:num w:numId="22" w16cid:durableId="1453943580">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savePreviewPicture/>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30C5"/>
    <w:rsid w:val="00010667"/>
    <w:rsid w:val="000129D5"/>
    <w:rsid w:val="00015AE7"/>
    <w:rsid w:val="00016E21"/>
    <w:rsid w:val="0001719C"/>
    <w:rsid w:val="0002224E"/>
    <w:rsid w:val="00023A36"/>
    <w:rsid w:val="000245E5"/>
    <w:rsid w:val="00026F91"/>
    <w:rsid w:val="00032621"/>
    <w:rsid w:val="0004764C"/>
    <w:rsid w:val="000476E9"/>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A0C22"/>
    <w:rsid w:val="000A1400"/>
    <w:rsid w:val="000A3C43"/>
    <w:rsid w:val="000A4A51"/>
    <w:rsid w:val="000A5D2B"/>
    <w:rsid w:val="000B4664"/>
    <w:rsid w:val="000B5DE3"/>
    <w:rsid w:val="000C0A57"/>
    <w:rsid w:val="000C230C"/>
    <w:rsid w:val="000C6AB4"/>
    <w:rsid w:val="000D71D9"/>
    <w:rsid w:val="000D76E0"/>
    <w:rsid w:val="000D7E8B"/>
    <w:rsid w:val="000E2C9E"/>
    <w:rsid w:val="000E4449"/>
    <w:rsid w:val="000E6097"/>
    <w:rsid w:val="000E6A0F"/>
    <w:rsid w:val="00103829"/>
    <w:rsid w:val="00104BFD"/>
    <w:rsid w:val="00111FCE"/>
    <w:rsid w:val="001229A5"/>
    <w:rsid w:val="0012489B"/>
    <w:rsid w:val="00130017"/>
    <w:rsid w:val="00130F91"/>
    <w:rsid w:val="001349ED"/>
    <w:rsid w:val="00137424"/>
    <w:rsid w:val="00140318"/>
    <w:rsid w:val="00141AD9"/>
    <w:rsid w:val="00146CE6"/>
    <w:rsid w:val="001506DB"/>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00AA"/>
    <w:rsid w:val="001A44EC"/>
    <w:rsid w:val="001B58AA"/>
    <w:rsid w:val="001B7E48"/>
    <w:rsid w:val="001C17CE"/>
    <w:rsid w:val="001C36CA"/>
    <w:rsid w:val="001C44D1"/>
    <w:rsid w:val="001C6AEE"/>
    <w:rsid w:val="001C7630"/>
    <w:rsid w:val="001D6D15"/>
    <w:rsid w:val="001F50F7"/>
    <w:rsid w:val="001F7558"/>
    <w:rsid w:val="00201EE2"/>
    <w:rsid w:val="00205B57"/>
    <w:rsid w:val="0021426C"/>
    <w:rsid w:val="002157E0"/>
    <w:rsid w:val="00216047"/>
    <w:rsid w:val="00216A57"/>
    <w:rsid w:val="00217448"/>
    <w:rsid w:val="0022334F"/>
    <w:rsid w:val="00226819"/>
    <w:rsid w:val="00233101"/>
    <w:rsid w:val="00233817"/>
    <w:rsid w:val="0023539A"/>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2375"/>
    <w:rsid w:val="002B381A"/>
    <w:rsid w:val="002B4FCC"/>
    <w:rsid w:val="002B7408"/>
    <w:rsid w:val="002B7CFD"/>
    <w:rsid w:val="002C0530"/>
    <w:rsid w:val="002C210F"/>
    <w:rsid w:val="002D3600"/>
    <w:rsid w:val="002E4DDC"/>
    <w:rsid w:val="002E4EC0"/>
    <w:rsid w:val="002F5EED"/>
    <w:rsid w:val="00302480"/>
    <w:rsid w:val="00302758"/>
    <w:rsid w:val="003165E6"/>
    <w:rsid w:val="003215B5"/>
    <w:rsid w:val="003221CF"/>
    <w:rsid w:val="003233ED"/>
    <w:rsid w:val="00324D9F"/>
    <w:rsid w:val="003253EE"/>
    <w:rsid w:val="00327948"/>
    <w:rsid w:val="0033000F"/>
    <w:rsid w:val="00332011"/>
    <w:rsid w:val="00332518"/>
    <w:rsid w:val="00332925"/>
    <w:rsid w:val="00332E3F"/>
    <w:rsid w:val="003332ED"/>
    <w:rsid w:val="003368DC"/>
    <w:rsid w:val="0034490B"/>
    <w:rsid w:val="00345927"/>
    <w:rsid w:val="00350584"/>
    <w:rsid w:val="00351857"/>
    <w:rsid w:val="003545E8"/>
    <w:rsid w:val="003610E1"/>
    <w:rsid w:val="003671BE"/>
    <w:rsid w:val="00372485"/>
    <w:rsid w:val="00373200"/>
    <w:rsid w:val="00375EF5"/>
    <w:rsid w:val="003767A5"/>
    <w:rsid w:val="003803BD"/>
    <w:rsid w:val="00381D15"/>
    <w:rsid w:val="00385254"/>
    <w:rsid w:val="00390D91"/>
    <w:rsid w:val="003933E8"/>
    <w:rsid w:val="00394031"/>
    <w:rsid w:val="00396DC2"/>
    <w:rsid w:val="003A04DB"/>
    <w:rsid w:val="003A3F3D"/>
    <w:rsid w:val="003A5F5B"/>
    <w:rsid w:val="003A789A"/>
    <w:rsid w:val="003B12EC"/>
    <w:rsid w:val="003C03B8"/>
    <w:rsid w:val="003C77E0"/>
    <w:rsid w:val="003D17D7"/>
    <w:rsid w:val="003D2678"/>
    <w:rsid w:val="003D71A3"/>
    <w:rsid w:val="003E2938"/>
    <w:rsid w:val="003E2B8A"/>
    <w:rsid w:val="003E66C3"/>
    <w:rsid w:val="003F10EE"/>
    <w:rsid w:val="003F16F6"/>
    <w:rsid w:val="003F4DC7"/>
    <w:rsid w:val="003F5235"/>
    <w:rsid w:val="004027E4"/>
    <w:rsid w:val="0041071D"/>
    <w:rsid w:val="00414AFC"/>
    <w:rsid w:val="004151A7"/>
    <w:rsid w:val="00415310"/>
    <w:rsid w:val="00420E42"/>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86FF6"/>
    <w:rsid w:val="00495A96"/>
    <w:rsid w:val="00495BB3"/>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609"/>
    <w:rsid w:val="005079BF"/>
    <w:rsid w:val="0051269A"/>
    <w:rsid w:val="005219E7"/>
    <w:rsid w:val="00531B9A"/>
    <w:rsid w:val="00531D15"/>
    <w:rsid w:val="00537604"/>
    <w:rsid w:val="00542377"/>
    <w:rsid w:val="005476EB"/>
    <w:rsid w:val="00551782"/>
    <w:rsid w:val="005605F9"/>
    <w:rsid w:val="00563EF1"/>
    <w:rsid w:val="00566AB4"/>
    <w:rsid w:val="00573812"/>
    <w:rsid w:val="00575AC5"/>
    <w:rsid w:val="0057605D"/>
    <w:rsid w:val="00581347"/>
    <w:rsid w:val="00581AC9"/>
    <w:rsid w:val="005849F8"/>
    <w:rsid w:val="00584B51"/>
    <w:rsid w:val="005938DF"/>
    <w:rsid w:val="00594E9C"/>
    <w:rsid w:val="005A099B"/>
    <w:rsid w:val="005A2D9C"/>
    <w:rsid w:val="005A55FE"/>
    <w:rsid w:val="005A6A11"/>
    <w:rsid w:val="005B2F0D"/>
    <w:rsid w:val="005B4AED"/>
    <w:rsid w:val="005C34EF"/>
    <w:rsid w:val="005D2502"/>
    <w:rsid w:val="005D40BB"/>
    <w:rsid w:val="005D47F3"/>
    <w:rsid w:val="005D49BF"/>
    <w:rsid w:val="005D4AA5"/>
    <w:rsid w:val="005D6F4E"/>
    <w:rsid w:val="005D7C73"/>
    <w:rsid w:val="005E250B"/>
    <w:rsid w:val="005E3ACD"/>
    <w:rsid w:val="005E7226"/>
    <w:rsid w:val="005E7A57"/>
    <w:rsid w:val="005F24B0"/>
    <w:rsid w:val="00604315"/>
    <w:rsid w:val="00604E26"/>
    <w:rsid w:val="0060523F"/>
    <w:rsid w:val="006052CF"/>
    <w:rsid w:val="00607B8D"/>
    <w:rsid w:val="00611C99"/>
    <w:rsid w:val="00611F5C"/>
    <w:rsid w:val="00615C06"/>
    <w:rsid w:val="00616E09"/>
    <w:rsid w:val="00622A3B"/>
    <w:rsid w:val="00622EEA"/>
    <w:rsid w:val="0062396C"/>
    <w:rsid w:val="00623FF9"/>
    <w:rsid w:val="0062437D"/>
    <w:rsid w:val="006269EA"/>
    <w:rsid w:val="00627D4E"/>
    <w:rsid w:val="00632B89"/>
    <w:rsid w:val="0063346D"/>
    <w:rsid w:val="00634478"/>
    <w:rsid w:val="00644373"/>
    <w:rsid w:val="00645915"/>
    <w:rsid w:val="00646CC4"/>
    <w:rsid w:val="006519C3"/>
    <w:rsid w:val="00652B30"/>
    <w:rsid w:val="00656345"/>
    <w:rsid w:val="00656DC6"/>
    <w:rsid w:val="00660EC6"/>
    <w:rsid w:val="00664110"/>
    <w:rsid w:val="00664D17"/>
    <w:rsid w:val="00666520"/>
    <w:rsid w:val="00666A0E"/>
    <w:rsid w:val="00667C5B"/>
    <w:rsid w:val="00691EB8"/>
    <w:rsid w:val="00692CDE"/>
    <w:rsid w:val="00693073"/>
    <w:rsid w:val="006977FF"/>
    <w:rsid w:val="006A01FA"/>
    <w:rsid w:val="006A0E9E"/>
    <w:rsid w:val="006A25C7"/>
    <w:rsid w:val="006A3ECF"/>
    <w:rsid w:val="006A4AAD"/>
    <w:rsid w:val="006A4CCA"/>
    <w:rsid w:val="006A6DA2"/>
    <w:rsid w:val="006A7AB2"/>
    <w:rsid w:val="006B0765"/>
    <w:rsid w:val="006B0912"/>
    <w:rsid w:val="006B52DE"/>
    <w:rsid w:val="006B5717"/>
    <w:rsid w:val="006B582F"/>
    <w:rsid w:val="006B5EB2"/>
    <w:rsid w:val="006C0CEB"/>
    <w:rsid w:val="006C1631"/>
    <w:rsid w:val="006C3B1E"/>
    <w:rsid w:val="006C47FD"/>
    <w:rsid w:val="006C5C19"/>
    <w:rsid w:val="006C5FD4"/>
    <w:rsid w:val="006C70A0"/>
    <w:rsid w:val="006D27CB"/>
    <w:rsid w:val="006D2F08"/>
    <w:rsid w:val="006D30C5"/>
    <w:rsid w:val="006D576C"/>
    <w:rsid w:val="006D5865"/>
    <w:rsid w:val="006E4B1B"/>
    <w:rsid w:val="006E5445"/>
    <w:rsid w:val="006E7D93"/>
    <w:rsid w:val="0070133D"/>
    <w:rsid w:val="007029A3"/>
    <w:rsid w:val="00706E4E"/>
    <w:rsid w:val="0070791C"/>
    <w:rsid w:val="0071383C"/>
    <w:rsid w:val="007141A7"/>
    <w:rsid w:val="00715722"/>
    <w:rsid w:val="00715BAF"/>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0B3F"/>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1AF4"/>
    <w:rsid w:val="007C5D5A"/>
    <w:rsid w:val="007C607F"/>
    <w:rsid w:val="007C79DD"/>
    <w:rsid w:val="007D1A97"/>
    <w:rsid w:val="007D2CD6"/>
    <w:rsid w:val="007D3063"/>
    <w:rsid w:val="007D3CEB"/>
    <w:rsid w:val="007E7683"/>
    <w:rsid w:val="007F0E17"/>
    <w:rsid w:val="007F242E"/>
    <w:rsid w:val="007F49FA"/>
    <w:rsid w:val="007F54C4"/>
    <w:rsid w:val="007F6E9A"/>
    <w:rsid w:val="00800CCD"/>
    <w:rsid w:val="00801FEB"/>
    <w:rsid w:val="008044D4"/>
    <w:rsid w:val="00810AB4"/>
    <w:rsid w:val="00817B56"/>
    <w:rsid w:val="00821A88"/>
    <w:rsid w:val="0082322E"/>
    <w:rsid w:val="0082495D"/>
    <w:rsid w:val="00831AC3"/>
    <w:rsid w:val="00836FCE"/>
    <w:rsid w:val="008408FF"/>
    <w:rsid w:val="008500E5"/>
    <w:rsid w:val="00851F3F"/>
    <w:rsid w:val="00856EDC"/>
    <w:rsid w:val="008623B5"/>
    <w:rsid w:val="00870ABA"/>
    <w:rsid w:val="008710E1"/>
    <w:rsid w:val="008716E5"/>
    <w:rsid w:val="00881CA9"/>
    <w:rsid w:val="00883628"/>
    <w:rsid w:val="00885544"/>
    <w:rsid w:val="0088634E"/>
    <w:rsid w:val="00893AB8"/>
    <w:rsid w:val="008A04C8"/>
    <w:rsid w:val="008A4066"/>
    <w:rsid w:val="008A6913"/>
    <w:rsid w:val="008B70F3"/>
    <w:rsid w:val="008B71C4"/>
    <w:rsid w:val="008B76DF"/>
    <w:rsid w:val="008C10F4"/>
    <w:rsid w:val="008C65F7"/>
    <w:rsid w:val="008E0428"/>
    <w:rsid w:val="008E4767"/>
    <w:rsid w:val="008E7A8C"/>
    <w:rsid w:val="008E7E48"/>
    <w:rsid w:val="0090203B"/>
    <w:rsid w:val="00903285"/>
    <w:rsid w:val="00906F40"/>
    <w:rsid w:val="0090731E"/>
    <w:rsid w:val="00915B1C"/>
    <w:rsid w:val="009174F3"/>
    <w:rsid w:val="0091797D"/>
    <w:rsid w:val="00923CBA"/>
    <w:rsid w:val="00926703"/>
    <w:rsid w:val="00926D0E"/>
    <w:rsid w:val="00927691"/>
    <w:rsid w:val="00927A5F"/>
    <w:rsid w:val="00930510"/>
    <w:rsid w:val="00935B63"/>
    <w:rsid w:val="00935CB6"/>
    <w:rsid w:val="00936E95"/>
    <w:rsid w:val="0094078F"/>
    <w:rsid w:val="00940FA3"/>
    <w:rsid w:val="00941FB0"/>
    <w:rsid w:val="009426D4"/>
    <w:rsid w:val="00946F73"/>
    <w:rsid w:val="00947F25"/>
    <w:rsid w:val="00950159"/>
    <w:rsid w:val="0095490B"/>
    <w:rsid w:val="00960A33"/>
    <w:rsid w:val="009712D9"/>
    <w:rsid w:val="00971914"/>
    <w:rsid w:val="00974363"/>
    <w:rsid w:val="00981898"/>
    <w:rsid w:val="0099577C"/>
    <w:rsid w:val="009A021C"/>
    <w:rsid w:val="009A25CC"/>
    <w:rsid w:val="009B24A5"/>
    <w:rsid w:val="009B2601"/>
    <w:rsid w:val="009B4E9E"/>
    <w:rsid w:val="009C1690"/>
    <w:rsid w:val="009C2480"/>
    <w:rsid w:val="009C6881"/>
    <w:rsid w:val="009C7759"/>
    <w:rsid w:val="009D043D"/>
    <w:rsid w:val="009D07C8"/>
    <w:rsid w:val="009D4C85"/>
    <w:rsid w:val="009D5C27"/>
    <w:rsid w:val="009D6C71"/>
    <w:rsid w:val="009E0631"/>
    <w:rsid w:val="009E16D0"/>
    <w:rsid w:val="009E2051"/>
    <w:rsid w:val="009E38FD"/>
    <w:rsid w:val="009E735B"/>
    <w:rsid w:val="009F13D6"/>
    <w:rsid w:val="009F4C6B"/>
    <w:rsid w:val="009F78A8"/>
    <w:rsid w:val="00A017E0"/>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38D4"/>
    <w:rsid w:val="00A74B5E"/>
    <w:rsid w:val="00A81BED"/>
    <w:rsid w:val="00A81EC4"/>
    <w:rsid w:val="00A824E8"/>
    <w:rsid w:val="00A82661"/>
    <w:rsid w:val="00A85C35"/>
    <w:rsid w:val="00A967FD"/>
    <w:rsid w:val="00AA2DE5"/>
    <w:rsid w:val="00AB156C"/>
    <w:rsid w:val="00AB6814"/>
    <w:rsid w:val="00AC04BA"/>
    <w:rsid w:val="00AC0E39"/>
    <w:rsid w:val="00AD3082"/>
    <w:rsid w:val="00AD32B4"/>
    <w:rsid w:val="00AD4292"/>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A66BC"/>
    <w:rsid w:val="00BB2308"/>
    <w:rsid w:val="00BB45A1"/>
    <w:rsid w:val="00BB6335"/>
    <w:rsid w:val="00BB7686"/>
    <w:rsid w:val="00BB7802"/>
    <w:rsid w:val="00BC23F9"/>
    <w:rsid w:val="00BC3421"/>
    <w:rsid w:val="00BC732C"/>
    <w:rsid w:val="00BD12D2"/>
    <w:rsid w:val="00BD4421"/>
    <w:rsid w:val="00BE2580"/>
    <w:rsid w:val="00BE266D"/>
    <w:rsid w:val="00BE3938"/>
    <w:rsid w:val="00BE4C11"/>
    <w:rsid w:val="00BE71C0"/>
    <w:rsid w:val="00BF610C"/>
    <w:rsid w:val="00C0060B"/>
    <w:rsid w:val="00C01A6C"/>
    <w:rsid w:val="00C0277D"/>
    <w:rsid w:val="00C02F26"/>
    <w:rsid w:val="00C053A1"/>
    <w:rsid w:val="00C13CA7"/>
    <w:rsid w:val="00C16198"/>
    <w:rsid w:val="00C2083D"/>
    <w:rsid w:val="00C24466"/>
    <w:rsid w:val="00C24A53"/>
    <w:rsid w:val="00C34A05"/>
    <w:rsid w:val="00C35CCE"/>
    <w:rsid w:val="00C4032F"/>
    <w:rsid w:val="00C41F21"/>
    <w:rsid w:val="00C44047"/>
    <w:rsid w:val="00C45155"/>
    <w:rsid w:val="00C5498F"/>
    <w:rsid w:val="00C55235"/>
    <w:rsid w:val="00C64CD0"/>
    <w:rsid w:val="00C65F61"/>
    <w:rsid w:val="00C6684F"/>
    <w:rsid w:val="00C70E70"/>
    <w:rsid w:val="00C75F8D"/>
    <w:rsid w:val="00C77380"/>
    <w:rsid w:val="00C87E8A"/>
    <w:rsid w:val="00C913D6"/>
    <w:rsid w:val="00C97736"/>
    <w:rsid w:val="00CA345A"/>
    <w:rsid w:val="00CB1E82"/>
    <w:rsid w:val="00CB4BA8"/>
    <w:rsid w:val="00CB52D7"/>
    <w:rsid w:val="00CC6732"/>
    <w:rsid w:val="00CD6ACF"/>
    <w:rsid w:val="00CE3C96"/>
    <w:rsid w:val="00CE51A8"/>
    <w:rsid w:val="00CF0BFE"/>
    <w:rsid w:val="00CF369B"/>
    <w:rsid w:val="00D00E28"/>
    <w:rsid w:val="00D0269E"/>
    <w:rsid w:val="00D03276"/>
    <w:rsid w:val="00D05D6C"/>
    <w:rsid w:val="00D12079"/>
    <w:rsid w:val="00D15810"/>
    <w:rsid w:val="00D16D4E"/>
    <w:rsid w:val="00D16FE3"/>
    <w:rsid w:val="00D27F41"/>
    <w:rsid w:val="00D36441"/>
    <w:rsid w:val="00D4064E"/>
    <w:rsid w:val="00D43B47"/>
    <w:rsid w:val="00D44E9B"/>
    <w:rsid w:val="00D47AEB"/>
    <w:rsid w:val="00D50DB9"/>
    <w:rsid w:val="00D51302"/>
    <w:rsid w:val="00D52C43"/>
    <w:rsid w:val="00D61243"/>
    <w:rsid w:val="00D6507F"/>
    <w:rsid w:val="00D730BC"/>
    <w:rsid w:val="00D73912"/>
    <w:rsid w:val="00D85226"/>
    <w:rsid w:val="00D87B94"/>
    <w:rsid w:val="00D92D49"/>
    <w:rsid w:val="00D92EC1"/>
    <w:rsid w:val="00D96DEA"/>
    <w:rsid w:val="00DA4E41"/>
    <w:rsid w:val="00DB117A"/>
    <w:rsid w:val="00DB5173"/>
    <w:rsid w:val="00DB7873"/>
    <w:rsid w:val="00DC187B"/>
    <w:rsid w:val="00DD1A43"/>
    <w:rsid w:val="00DD73C2"/>
    <w:rsid w:val="00DE319B"/>
    <w:rsid w:val="00DE7C9D"/>
    <w:rsid w:val="00DF34FE"/>
    <w:rsid w:val="00DF56AA"/>
    <w:rsid w:val="00DF56AF"/>
    <w:rsid w:val="00DF78E7"/>
    <w:rsid w:val="00E110E0"/>
    <w:rsid w:val="00E15371"/>
    <w:rsid w:val="00E162C4"/>
    <w:rsid w:val="00E21056"/>
    <w:rsid w:val="00E24104"/>
    <w:rsid w:val="00E302D0"/>
    <w:rsid w:val="00E35707"/>
    <w:rsid w:val="00E36AA1"/>
    <w:rsid w:val="00E41ECB"/>
    <w:rsid w:val="00E42676"/>
    <w:rsid w:val="00E5426D"/>
    <w:rsid w:val="00E54FDB"/>
    <w:rsid w:val="00E5617D"/>
    <w:rsid w:val="00E563D7"/>
    <w:rsid w:val="00E663F4"/>
    <w:rsid w:val="00E666F2"/>
    <w:rsid w:val="00E66DD4"/>
    <w:rsid w:val="00E71872"/>
    <w:rsid w:val="00E748CC"/>
    <w:rsid w:val="00E74F15"/>
    <w:rsid w:val="00E75415"/>
    <w:rsid w:val="00E775B1"/>
    <w:rsid w:val="00E77682"/>
    <w:rsid w:val="00E810A7"/>
    <w:rsid w:val="00E8152A"/>
    <w:rsid w:val="00E93629"/>
    <w:rsid w:val="00E93B5C"/>
    <w:rsid w:val="00E94CEC"/>
    <w:rsid w:val="00EA04EF"/>
    <w:rsid w:val="00EA0969"/>
    <w:rsid w:val="00EA53C3"/>
    <w:rsid w:val="00EA6C79"/>
    <w:rsid w:val="00EA6F19"/>
    <w:rsid w:val="00EB7090"/>
    <w:rsid w:val="00EC1BBE"/>
    <w:rsid w:val="00EC2B68"/>
    <w:rsid w:val="00EC3AEF"/>
    <w:rsid w:val="00EC5CD7"/>
    <w:rsid w:val="00EE5FB3"/>
    <w:rsid w:val="00EE7F79"/>
    <w:rsid w:val="00EF715A"/>
    <w:rsid w:val="00F06E14"/>
    <w:rsid w:val="00F112EE"/>
    <w:rsid w:val="00F179D4"/>
    <w:rsid w:val="00F22A23"/>
    <w:rsid w:val="00F33C56"/>
    <w:rsid w:val="00F347C7"/>
    <w:rsid w:val="00F34848"/>
    <w:rsid w:val="00F361D7"/>
    <w:rsid w:val="00F42D46"/>
    <w:rsid w:val="00F4496C"/>
    <w:rsid w:val="00F44F3A"/>
    <w:rsid w:val="00F51F10"/>
    <w:rsid w:val="00F529A5"/>
    <w:rsid w:val="00F5310D"/>
    <w:rsid w:val="00F60F00"/>
    <w:rsid w:val="00F614C0"/>
    <w:rsid w:val="00F83848"/>
    <w:rsid w:val="00F975E9"/>
    <w:rsid w:val="00FA1B7D"/>
    <w:rsid w:val="00FC07B9"/>
    <w:rsid w:val="00FC4E21"/>
    <w:rsid w:val="00FC5F6D"/>
    <w:rsid w:val="00FD0107"/>
    <w:rsid w:val="00FD2C2F"/>
    <w:rsid w:val="00FD3B31"/>
    <w:rsid w:val="00FD40F9"/>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4AEA3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qFormat/>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qFormat/>
    <w:rsid w:val="006D30C5"/>
    <w:rPr>
      <w:rFonts w:ascii="Arial" w:hAnsi="Arial"/>
      <w:sz w:val="16"/>
      <w:szCs w:val="16"/>
    </w:rPr>
  </w:style>
  <w:style w:type="table" w:customStyle="1" w:styleId="TableGrid1">
    <w:name w:val="Table Grid1"/>
    <w:basedOn w:val="TableNormal"/>
    <w:next w:val="TableGrid"/>
    <w:uiPriority w:val="39"/>
    <w:rsid w:val="006D30C5"/>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BulletChar">
    <w:name w:val="List Bullet Char"/>
    <w:basedOn w:val="DefaultParagraphFont"/>
    <w:link w:val="ListBullet"/>
    <w:rsid w:val="006D30C5"/>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image" Target="media/image4.png"/><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www.acma.gov.au/~/media/Spectrum%20Transformation%20and%20Government/Issue%20for%20comment/Word%20Document/IFC%2022%202015%20MBB%20Strategy%20consultation%20paper%20docx.docx" TargetMode="Externa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consultations/2022-11/review-2-ghz-spectrum-licensing-technical-framework-consultation-382022"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eader" Target="header8.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eader" Target="header7.xml"/><Relationship Id="rId30" Type="http://schemas.openxmlformats.org/officeDocument/2006/relationships/footer" Target="foot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4668</Words>
  <Characters>24977</Characters>
  <Application>Microsoft Office Word</Application>
  <DocSecurity>0</DocSecurity>
  <Lines>531</Lines>
  <Paragraphs>235</Paragraphs>
  <ScaleCrop>false</ScaleCrop>
  <Manager/>
  <Company/>
  <LinksUpToDate>false</LinksUpToDate>
  <CharactersWithSpaces>29410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2023-03-01T23:56:00Z</dcterms:created>
  <dcterms:modified xsi:type="dcterms:W3CDTF">2023-03-01T23:56:00Z</dcterms:modified>
  <cp:category/>
</cp:coreProperties>
</file>