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29E47" w14:textId="14C0A878" w:rsidR="00D425E7" w:rsidRPr="00E162C4" w:rsidRDefault="000D19DC" w:rsidP="00D425E7">
      <w:pPr>
        <w:pStyle w:val="Reporttitle"/>
      </w:pPr>
      <w:r>
        <w:t>C</w:t>
      </w:r>
      <w:r w:rsidR="00D425E7">
        <w:t>hanges to radiocommunications equipment regulation</w:t>
      </w:r>
    </w:p>
    <w:p w14:paraId="25FEDE50" w14:textId="77777777" w:rsidR="00D425E7" w:rsidRPr="00E162C4" w:rsidRDefault="00D425E7" w:rsidP="00D425E7">
      <w:pPr>
        <w:pStyle w:val="Reportsubtitle"/>
        <w:spacing w:before="120"/>
      </w:pPr>
      <w:r>
        <w:t>Outcomes paper</w:t>
      </w:r>
    </w:p>
    <w:p w14:paraId="3DA378B5" w14:textId="77777777" w:rsidR="00D425E7" w:rsidRPr="00E162C4" w:rsidRDefault="00D425E7" w:rsidP="00D425E7">
      <w:pPr>
        <w:pStyle w:val="Reportdate"/>
        <w:spacing w:after="720"/>
        <w:rPr>
          <w:rFonts w:cs="Arial"/>
        </w:rPr>
        <w:sectPr w:rsidR="00D425E7"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march</w:t>
      </w:r>
      <w:r w:rsidRPr="00E162C4">
        <w:t xml:space="preserve"> 202</w:t>
      </w:r>
      <w:r>
        <w:t>3</w:t>
      </w:r>
    </w:p>
    <w:p w14:paraId="435A82D5" w14:textId="77777777" w:rsidR="00D425E7" w:rsidRPr="00E162C4" w:rsidRDefault="00D425E7" w:rsidP="00D425E7">
      <w:pPr>
        <w:pStyle w:val="ACMACorporateAddressHeader"/>
      </w:pPr>
      <w:r w:rsidRPr="00E162C4">
        <w:lastRenderedPageBreak/>
        <w:t>Canberra</w:t>
      </w:r>
    </w:p>
    <w:p w14:paraId="0259FF5F" w14:textId="77777777" w:rsidR="00D425E7" w:rsidRPr="00E162C4" w:rsidRDefault="00D425E7" w:rsidP="00D425E7">
      <w:pPr>
        <w:pStyle w:val="ACMACorporateAddresses"/>
      </w:pPr>
      <w:r w:rsidRPr="00E162C4">
        <w:t xml:space="preserve">Red Building </w:t>
      </w:r>
      <w:r w:rsidRPr="00E162C4">
        <w:br/>
        <w:t>Benjamin Offices</w:t>
      </w:r>
      <w:r w:rsidRPr="00E162C4">
        <w:br/>
        <w:t xml:space="preserve">Chan Street </w:t>
      </w:r>
      <w:r w:rsidRPr="00E162C4">
        <w:br/>
        <w:t>Belconnen ACT</w:t>
      </w:r>
    </w:p>
    <w:p w14:paraId="51A698C2" w14:textId="77777777" w:rsidR="00D425E7" w:rsidRPr="00E162C4" w:rsidRDefault="00D425E7" w:rsidP="00D425E7">
      <w:pPr>
        <w:pStyle w:val="ACMACorporateAddresses"/>
      </w:pPr>
      <w:r w:rsidRPr="00E162C4">
        <w:t>PO Box 78</w:t>
      </w:r>
      <w:r w:rsidRPr="00E162C4">
        <w:br/>
        <w:t>Belconnen ACT 2616</w:t>
      </w:r>
    </w:p>
    <w:p w14:paraId="7F3F1B9F" w14:textId="77777777" w:rsidR="00D425E7" w:rsidRPr="00E162C4" w:rsidRDefault="00D425E7" w:rsidP="00D425E7">
      <w:pPr>
        <w:pStyle w:val="ACMACorporateAddresses"/>
      </w:pPr>
      <w:r w:rsidRPr="00E162C4">
        <w:t>T</w:t>
      </w:r>
      <w:r w:rsidRPr="00E162C4">
        <w:tab/>
        <w:t>+61 2 6219 5555</w:t>
      </w:r>
      <w:r w:rsidRPr="00E162C4">
        <w:br/>
        <w:t>F</w:t>
      </w:r>
      <w:r w:rsidRPr="00E162C4">
        <w:tab/>
        <w:t>+61 2 6219 5353</w:t>
      </w:r>
    </w:p>
    <w:p w14:paraId="3313AF1B" w14:textId="77777777" w:rsidR="00D425E7" w:rsidRPr="00E162C4" w:rsidRDefault="00D425E7" w:rsidP="00D425E7">
      <w:pPr>
        <w:pStyle w:val="ACMACorporateAddressHeader"/>
      </w:pPr>
      <w:r w:rsidRPr="00E162C4">
        <w:t>Melbourne</w:t>
      </w:r>
    </w:p>
    <w:p w14:paraId="15315A88" w14:textId="77777777" w:rsidR="00D425E7" w:rsidRPr="00E162C4" w:rsidRDefault="00D425E7" w:rsidP="00D425E7">
      <w:pPr>
        <w:pStyle w:val="ACMACorporateAddresses"/>
      </w:pPr>
      <w:r w:rsidRPr="00E162C4">
        <w:t xml:space="preserve">Level 32 </w:t>
      </w:r>
      <w:r w:rsidRPr="00E162C4">
        <w:br/>
        <w:t>Melbourne Central Tower</w:t>
      </w:r>
      <w:r w:rsidRPr="00E162C4">
        <w:br/>
        <w:t xml:space="preserve">360 Elizabeth Street </w:t>
      </w:r>
      <w:r w:rsidRPr="00E162C4">
        <w:br/>
        <w:t>Melbourne VIC</w:t>
      </w:r>
    </w:p>
    <w:p w14:paraId="216ABDF8" w14:textId="77777777" w:rsidR="00D425E7" w:rsidRPr="00E162C4" w:rsidRDefault="00D425E7" w:rsidP="00D425E7">
      <w:pPr>
        <w:pStyle w:val="ACMACorporateAddresses"/>
      </w:pPr>
      <w:r w:rsidRPr="00E162C4">
        <w:t>PO Box 13112</w:t>
      </w:r>
      <w:r w:rsidRPr="00E162C4">
        <w:br/>
        <w:t xml:space="preserve">Law Courts </w:t>
      </w:r>
      <w:r w:rsidRPr="00E162C4">
        <w:br/>
        <w:t>Melbourne VIC 8010</w:t>
      </w:r>
    </w:p>
    <w:p w14:paraId="17068D2A" w14:textId="77777777" w:rsidR="00D425E7" w:rsidRPr="00E162C4" w:rsidRDefault="00D425E7" w:rsidP="00D425E7">
      <w:pPr>
        <w:pStyle w:val="ACMACorporateAddresses"/>
      </w:pPr>
      <w:r w:rsidRPr="00E162C4">
        <w:t>T</w:t>
      </w:r>
      <w:r w:rsidRPr="00E162C4">
        <w:tab/>
        <w:t>+61 3 9963 6800</w:t>
      </w:r>
      <w:r w:rsidRPr="00E162C4">
        <w:br/>
        <w:t>F</w:t>
      </w:r>
      <w:r w:rsidRPr="00E162C4">
        <w:tab/>
        <w:t>+61 3 9963 6899</w:t>
      </w:r>
    </w:p>
    <w:p w14:paraId="71625554" w14:textId="77777777" w:rsidR="00D425E7" w:rsidRPr="00E162C4" w:rsidRDefault="00D425E7" w:rsidP="00D425E7">
      <w:pPr>
        <w:pStyle w:val="ACMACorporateAddressHeader"/>
      </w:pPr>
      <w:r w:rsidRPr="00E162C4">
        <w:t>Sydney</w:t>
      </w:r>
    </w:p>
    <w:p w14:paraId="647065E2" w14:textId="77777777" w:rsidR="00D425E7" w:rsidRPr="00E162C4" w:rsidRDefault="00D425E7" w:rsidP="00D425E7">
      <w:pPr>
        <w:pStyle w:val="ACMACorporateAddresses"/>
      </w:pPr>
      <w:r w:rsidRPr="00E162C4">
        <w:t xml:space="preserve">Level 5 </w:t>
      </w:r>
      <w:r w:rsidRPr="00E162C4">
        <w:br/>
        <w:t>The Bay Centre</w:t>
      </w:r>
      <w:r w:rsidRPr="00E162C4">
        <w:br/>
        <w:t xml:space="preserve">65 Pirrama Road </w:t>
      </w:r>
      <w:r w:rsidRPr="00E162C4">
        <w:br/>
        <w:t>Pyrmont NSW</w:t>
      </w:r>
    </w:p>
    <w:p w14:paraId="47017E5F" w14:textId="77777777" w:rsidR="00D425E7" w:rsidRPr="00E162C4" w:rsidRDefault="00D425E7" w:rsidP="00D425E7">
      <w:pPr>
        <w:pStyle w:val="ACMACorporateAddresses"/>
      </w:pPr>
      <w:r w:rsidRPr="00E162C4">
        <w:t>PO Box Q500</w:t>
      </w:r>
      <w:r w:rsidRPr="00E162C4">
        <w:br/>
        <w:t xml:space="preserve">Queen Victoria Building </w:t>
      </w:r>
      <w:r w:rsidRPr="00E162C4">
        <w:br/>
        <w:t>NSW 1230</w:t>
      </w:r>
    </w:p>
    <w:p w14:paraId="1F59D23D" w14:textId="77777777" w:rsidR="00D425E7" w:rsidRPr="00E162C4" w:rsidRDefault="00D425E7" w:rsidP="00D425E7">
      <w:pPr>
        <w:pStyle w:val="ACMACorporateAddresses"/>
      </w:pPr>
      <w:r w:rsidRPr="00E162C4">
        <w:t>T</w:t>
      </w:r>
      <w:r w:rsidRPr="00E162C4">
        <w:tab/>
        <w:t>+61 2 9334 7700 or 1800 226 667</w:t>
      </w:r>
      <w:r w:rsidRPr="00E162C4">
        <w:br/>
        <w:t>F</w:t>
      </w:r>
      <w:r w:rsidRPr="00E162C4">
        <w:tab/>
        <w:t>+61 2 9334 7799</w:t>
      </w:r>
    </w:p>
    <w:p w14:paraId="53E32BD3" w14:textId="77777777" w:rsidR="00D425E7" w:rsidRPr="00E162C4" w:rsidRDefault="00D425E7" w:rsidP="00D425E7">
      <w:pPr>
        <w:pStyle w:val="ACMACopyrightHeader"/>
      </w:pPr>
      <w:r w:rsidRPr="00E162C4">
        <w:t>Copyright notice</w:t>
      </w:r>
    </w:p>
    <w:p w14:paraId="4D152A4C" w14:textId="77777777" w:rsidR="00D425E7" w:rsidRPr="00E162C4" w:rsidRDefault="00D425E7" w:rsidP="00D425E7">
      <w:pPr>
        <w:pStyle w:val="ACMACClogo"/>
      </w:pPr>
      <w:r w:rsidRPr="00E162C4">
        <w:rPr>
          <w:noProof/>
        </w:rPr>
        <w:drawing>
          <wp:inline distT="0" distB="0" distL="0" distR="0" wp14:anchorId="5B07E521" wp14:editId="58EE1A33">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0048DFC" w14:textId="77777777" w:rsidR="00D425E7" w:rsidRPr="00E162C4" w:rsidRDefault="00BA48D3" w:rsidP="00D425E7">
      <w:pPr>
        <w:pStyle w:val="ACMACorporateAddresses"/>
        <w:rPr>
          <w:rStyle w:val="Hyperlink"/>
        </w:rPr>
      </w:pPr>
      <w:hyperlink r:id="rId13" w:history="1">
        <w:r w:rsidR="00D425E7" w:rsidRPr="00E162C4">
          <w:rPr>
            <w:rStyle w:val="Hyperlink"/>
          </w:rPr>
          <w:t>https://creativecommons.org/licenses/by/4.0/</w:t>
        </w:r>
      </w:hyperlink>
    </w:p>
    <w:p w14:paraId="09C7D75D" w14:textId="77777777" w:rsidR="00D425E7" w:rsidRPr="00E162C4" w:rsidRDefault="00D425E7" w:rsidP="00D425E7">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529DC3F4" w14:textId="77777777" w:rsidR="00D425E7" w:rsidRPr="00E162C4" w:rsidRDefault="00D425E7" w:rsidP="00D425E7">
      <w:pPr>
        <w:pStyle w:val="ACMACorporateAddresses"/>
      </w:pPr>
      <w:r w:rsidRPr="00E162C4">
        <w:t>We request attribution as © Commonwealth of Australia (Australian Communications and Media Authority) 202</w:t>
      </w:r>
      <w:r>
        <w:t>3</w:t>
      </w:r>
      <w:r w:rsidRPr="00E162C4">
        <w:t>.</w:t>
      </w:r>
    </w:p>
    <w:p w14:paraId="09735830" w14:textId="77777777" w:rsidR="00D425E7" w:rsidRPr="00E162C4" w:rsidRDefault="00D425E7" w:rsidP="00D425E7">
      <w:pPr>
        <w:pStyle w:val="ACMACorporateAddresses"/>
      </w:pPr>
      <w:r w:rsidRPr="00E162C4">
        <w:t>All other rights are reserved.</w:t>
      </w:r>
    </w:p>
    <w:p w14:paraId="290AD62C" w14:textId="77777777" w:rsidR="00D425E7" w:rsidRPr="00E162C4" w:rsidRDefault="00D425E7" w:rsidP="00D425E7">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FC71A52" w14:textId="77777777" w:rsidR="00D425E7" w:rsidRPr="00E162C4" w:rsidRDefault="00D425E7" w:rsidP="00D425E7">
      <w:pPr>
        <w:pStyle w:val="ACMACorporateAddresses"/>
      </w:pPr>
      <w:r w:rsidRPr="00E162C4">
        <w:t>Written enquiries may be sent to:</w:t>
      </w:r>
    </w:p>
    <w:p w14:paraId="34498871" w14:textId="77777777" w:rsidR="00D425E7" w:rsidRPr="00E162C4" w:rsidRDefault="00D425E7" w:rsidP="00D425E7">
      <w:pPr>
        <w:pStyle w:val="ACMACorporateAddresses"/>
        <w:rPr>
          <w:rStyle w:val="Hyperlink"/>
        </w:rPr>
      </w:pPr>
      <w:r w:rsidRPr="00E162C4">
        <w:t>Manager, Editorial 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040429ED" w14:textId="77777777" w:rsidR="00D425E7" w:rsidRPr="00E162C4" w:rsidRDefault="00D425E7" w:rsidP="00D425E7">
      <w:pPr>
        <w:pStyle w:val="ACMACorporateAddresses"/>
        <w:rPr>
          <w:rStyle w:val="Hyperlink"/>
        </w:rPr>
      </w:pPr>
    </w:p>
    <w:p w14:paraId="2EC91887" w14:textId="77777777" w:rsidR="00D425E7" w:rsidRPr="00E162C4" w:rsidRDefault="00D425E7" w:rsidP="00D425E7">
      <w:pPr>
        <w:pStyle w:val="ACMACorporateAddresses"/>
        <w:sectPr w:rsidR="00D425E7"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DCE69FA" w14:textId="29545D54" w:rsidR="00A24816" w:rsidRDefault="00D425E7">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29856971" w:history="1">
        <w:r w:rsidR="00A24816" w:rsidRPr="004D4E1F">
          <w:rPr>
            <w:rStyle w:val="Hyperlink"/>
          </w:rPr>
          <w:t>Executive summary</w:t>
        </w:r>
        <w:r w:rsidR="00A24816">
          <w:rPr>
            <w:webHidden/>
          </w:rPr>
          <w:tab/>
        </w:r>
        <w:r w:rsidR="00A24816">
          <w:rPr>
            <w:webHidden/>
          </w:rPr>
          <w:fldChar w:fldCharType="begin"/>
        </w:r>
        <w:r w:rsidR="00A24816">
          <w:rPr>
            <w:webHidden/>
          </w:rPr>
          <w:instrText xml:space="preserve"> PAGEREF _Toc129856971 \h </w:instrText>
        </w:r>
        <w:r w:rsidR="00A24816">
          <w:rPr>
            <w:webHidden/>
          </w:rPr>
        </w:r>
        <w:r w:rsidR="00A24816">
          <w:rPr>
            <w:webHidden/>
          </w:rPr>
          <w:fldChar w:fldCharType="separate"/>
        </w:r>
        <w:r w:rsidR="00A24816">
          <w:rPr>
            <w:webHidden/>
          </w:rPr>
          <w:t>1</w:t>
        </w:r>
        <w:r w:rsidR="00A24816">
          <w:rPr>
            <w:webHidden/>
          </w:rPr>
          <w:fldChar w:fldCharType="end"/>
        </w:r>
      </w:hyperlink>
    </w:p>
    <w:p w14:paraId="52C48086" w14:textId="7A6AADCC" w:rsidR="00A24816" w:rsidRDefault="00BA48D3">
      <w:pPr>
        <w:pStyle w:val="TOC2"/>
        <w:rPr>
          <w:rFonts w:asciiTheme="minorHAnsi" w:eastAsiaTheme="minorEastAsia" w:hAnsiTheme="minorHAnsi" w:cstheme="minorBidi"/>
          <w:spacing w:val="0"/>
          <w:sz w:val="22"/>
          <w:szCs w:val="22"/>
        </w:rPr>
      </w:pPr>
      <w:hyperlink w:anchor="_Toc129856972" w:history="1">
        <w:r w:rsidR="00A24816" w:rsidRPr="004D4E1F">
          <w:rPr>
            <w:rStyle w:val="Hyperlink"/>
          </w:rPr>
          <w:t>General Equipment Rules</w:t>
        </w:r>
        <w:r w:rsidR="00A24816">
          <w:rPr>
            <w:webHidden/>
          </w:rPr>
          <w:tab/>
        </w:r>
        <w:r w:rsidR="00A24816">
          <w:rPr>
            <w:webHidden/>
          </w:rPr>
          <w:fldChar w:fldCharType="begin"/>
        </w:r>
        <w:r w:rsidR="00A24816">
          <w:rPr>
            <w:webHidden/>
          </w:rPr>
          <w:instrText xml:space="preserve"> PAGEREF _Toc129856972 \h </w:instrText>
        </w:r>
        <w:r w:rsidR="00A24816">
          <w:rPr>
            <w:webHidden/>
          </w:rPr>
        </w:r>
        <w:r w:rsidR="00A24816">
          <w:rPr>
            <w:webHidden/>
          </w:rPr>
          <w:fldChar w:fldCharType="separate"/>
        </w:r>
        <w:r w:rsidR="00A24816">
          <w:rPr>
            <w:webHidden/>
          </w:rPr>
          <w:t>1</w:t>
        </w:r>
        <w:r w:rsidR="00A24816">
          <w:rPr>
            <w:webHidden/>
          </w:rPr>
          <w:fldChar w:fldCharType="end"/>
        </w:r>
      </w:hyperlink>
    </w:p>
    <w:p w14:paraId="57837350" w14:textId="2862C8B1" w:rsidR="00A24816" w:rsidRDefault="00BA48D3">
      <w:pPr>
        <w:pStyle w:val="TOC2"/>
        <w:rPr>
          <w:rFonts w:asciiTheme="minorHAnsi" w:eastAsiaTheme="minorEastAsia" w:hAnsiTheme="minorHAnsi" w:cstheme="minorBidi"/>
          <w:spacing w:val="0"/>
          <w:sz w:val="22"/>
          <w:szCs w:val="22"/>
        </w:rPr>
      </w:pPr>
      <w:hyperlink w:anchor="_Toc129856973" w:history="1">
        <w:r w:rsidR="00A24816" w:rsidRPr="004D4E1F">
          <w:rPr>
            <w:rStyle w:val="Hyperlink"/>
          </w:rPr>
          <w:t>Significant event provisions</w:t>
        </w:r>
        <w:r w:rsidR="00A24816">
          <w:rPr>
            <w:webHidden/>
          </w:rPr>
          <w:tab/>
        </w:r>
        <w:r w:rsidR="00A24816">
          <w:rPr>
            <w:webHidden/>
          </w:rPr>
          <w:fldChar w:fldCharType="begin"/>
        </w:r>
        <w:r w:rsidR="00A24816">
          <w:rPr>
            <w:webHidden/>
          </w:rPr>
          <w:instrText xml:space="preserve"> PAGEREF _Toc129856973 \h </w:instrText>
        </w:r>
        <w:r w:rsidR="00A24816">
          <w:rPr>
            <w:webHidden/>
          </w:rPr>
        </w:r>
        <w:r w:rsidR="00A24816">
          <w:rPr>
            <w:webHidden/>
          </w:rPr>
          <w:fldChar w:fldCharType="separate"/>
        </w:r>
        <w:r w:rsidR="00A24816">
          <w:rPr>
            <w:webHidden/>
          </w:rPr>
          <w:t>2</w:t>
        </w:r>
        <w:r w:rsidR="00A24816">
          <w:rPr>
            <w:webHidden/>
          </w:rPr>
          <w:fldChar w:fldCharType="end"/>
        </w:r>
      </w:hyperlink>
    </w:p>
    <w:p w14:paraId="68EBADB6" w14:textId="5B052638" w:rsidR="00A24816" w:rsidRDefault="00BA48D3">
      <w:pPr>
        <w:pStyle w:val="TOC2"/>
        <w:rPr>
          <w:rFonts w:asciiTheme="minorHAnsi" w:eastAsiaTheme="minorEastAsia" w:hAnsiTheme="minorHAnsi" w:cstheme="minorBidi"/>
          <w:spacing w:val="0"/>
          <w:sz w:val="22"/>
          <w:szCs w:val="22"/>
        </w:rPr>
      </w:pPr>
      <w:hyperlink w:anchor="_Toc129856974" w:history="1">
        <w:r w:rsidR="00A24816" w:rsidRPr="004D4E1F">
          <w:rPr>
            <w:rStyle w:val="Hyperlink"/>
          </w:rPr>
          <w:t>Protected Symbols Determination 2023</w:t>
        </w:r>
        <w:r w:rsidR="00A24816">
          <w:rPr>
            <w:webHidden/>
          </w:rPr>
          <w:tab/>
        </w:r>
        <w:r w:rsidR="00A24816">
          <w:rPr>
            <w:webHidden/>
          </w:rPr>
          <w:fldChar w:fldCharType="begin"/>
        </w:r>
        <w:r w:rsidR="00A24816">
          <w:rPr>
            <w:webHidden/>
          </w:rPr>
          <w:instrText xml:space="preserve"> PAGEREF _Toc129856974 \h </w:instrText>
        </w:r>
        <w:r w:rsidR="00A24816">
          <w:rPr>
            <w:webHidden/>
          </w:rPr>
        </w:r>
        <w:r w:rsidR="00A24816">
          <w:rPr>
            <w:webHidden/>
          </w:rPr>
          <w:fldChar w:fldCharType="separate"/>
        </w:r>
        <w:r w:rsidR="00A24816">
          <w:rPr>
            <w:webHidden/>
          </w:rPr>
          <w:t>2</w:t>
        </w:r>
        <w:r w:rsidR="00A24816">
          <w:rPr>
            <w:webHidden/>
          </w:rPr>
          <w:fldChar w:fldCharType="end"/>
        </w:r>
      </w:hyperlink>
    </w:p>
    <w:p w14:paraId="3473FD4E" w14:textId="06496F91" w:rsidR="00A24816" w:rsidRDefault="00BA48D3">
      <w:pPr>
        <w:pStyle w:val="TOC1"/>
        <w:rPr>
          <w:rFonts w:asciiTheme="minorHAnsi" w:eastAsiaTheme="minorEastAsia" w:hAnsiTheme="minorHAnsi" w:cstheme="minorBidi"/>
          <w:b w:val="0"/>
          <w:spacing w:val="0"/>
          <w:sz w:val="22"/>
          <w:szCs w:val="22"/>
        </w:rPr>
      </w:pPr>
      <w:hyperlink w:anchor="_Toc129856975" w:history="1">
        <w:r w:rsidR="00A24816" w:rsidRPr="004D4E1F">
          <w:rPr>
            <w:rStyle w:val="Hyperlink"/>
          </w:rPr>
          <w:t>Introduction</w:t>
        </w:r>
        <w:r w:rsidR="00A24816">
          <w:rPr>
            <w:webHidden/>
          </w:rPr>
          <w:tab/>
        </w:r>
        <w:r w:rsidR="00A24816">
          <w:rPr>
            <w:webHidden/>
          </w:rPr>
          <w:fldChar w:fldCharType="begin"/>
        </w:r>
        <w:r w:rsidR="00A24816">
          <w:rPr>
            <w:webHidden/>
          </w:rPr>
          <w:instrText xml:space="preserve"> PAGEREF _Toc129856975 \h </w:instrText>
        </w:r>
        <w:r w:rsidR="00A24816">
          <w:rPr>
            <w:webHidden/>
          </w:rPr>
        </w:r>
        <w:r w:rsidR="00A24816">
          <w:rPr>
            <w:webHidden/>
          </w:rPr>
          <w:fldChar w:fldCharType="separate"/>
        </w:r>
        <w:r w:rsidR="00A24816">
          <w:rPr>
            <w:webHidden/>
          </w:rPr>
          <w:t>3</w:t>
        </w:r>
        <w:r w:rsidR="00A24816">
          <w:rPr>
            <w:webHidden/>
          </w:rPr>
          <w:fldChar w:fldCharType="end"/>
        </w:r>
      </w:hyperlink>
    </w:p>
    <w:p w14:paraId="60C9592C" w14:textId="2B8FCDF1" w:rsidR="00A24816" w:rsidRDefault="00BA48D3">
      <w:pPr>
        <w:pStyle w:val="TOC1"/>
        <w:rPr>
          <w:rFonts w:asciiTheme="minorHAnsi" w:eastAsiaTheme="minorEastAsia" w:hAnsiTheme="minorHAnsi" w:cstheme="minorBidi"/>
          <w:b w:val="0"/>
          <w:spacing w:val="0"/>
          <w:sz w:val="22"/>
          <w:szCs w:val="22"/>
        </w:rPr>
      </w:pPr>
      <w:hyperlink w:anchor="_Toc129856976" w:history="1">
        <w:r w:rsidR="00A24816" w:rsidRPr="004D4E1F">
          <w:rPr>
            <w:rStyle w:val="Hyperlink"/>
          </w:rPr>
          <w:t>Summary of submissions and consultation outcomes</w:t>
        </w:r>
        <w:r w:rsidR="00A24816">
          <w:rPr>
            <w:webHidden/>
          </w:rPr>
          <w:tab/>
        </w:r>
        <w:r w:rsidR="00A24816">
          <w:rPr>
            <w:webHidden/>
          </w:rPr>
          <w:fldChar w:fldCharType="begin"/>
        </w:r>
        <w:r w:rsidR="00A24816">
          <w:rPr>
            <w:webHidden/>
          </w:rPr>
          <w:instrText xml:space="preserve"> PAGEREF _Toc129856976 \h </w:instrText>
        </w:r>
        <w:r w:rsidR="00A24816">
          <w:rPr>
            <w:webHidden/>
          </w:rPr>
        </w:r>
        <w:r w:rsidR="00A24816">
          <w:rPr>
            <w:webHidden/>
          </w:rPr>
          <w:fldChar w:fldCharType="separate"/>
        </w:r>
        <w:r w:rsidR="00A24816">
          <w:rPr>
            <w:webHidden/>
          </w:rPr>
          <w:t>4</w:t>
        </w:r>
        <w:r w:rsidR="00A24816">
          <w:rPr>
            <w:webHidden/>
          </w:rPr>
          <w:fldChar w:fldCharType="end"/>
        </w:r>
      </w:hyperlink>
    </w:p>
    <w:p w14:paraId="276EE3E6" w14:textId="69187D31" w:rsidR="00A24816" w:rsidRDefault="00BA48D3">
      <w:pPr>
        <w:pStyle w:val="TOC2"/>
        <w:rPr>
          <w:rFonts w:asciiTheme="minorHAnsi" w:eastAsiaTheme="minorEastAsia" w:hAnsiTheme="minorHAnsi" w:cstheme="minorBidi"/>
          <w:spacing w:val="0"/>
          <w:sz w:val="22"/>
          <w:szCs w:val="22"/>
        </w:rPr>
      </w:pPr>
      <w:hyperlink w:anchor="_Toc129856977" w:history="1">
        <w:r w:rsidR="00A24816" w:rsidRPr="004D4E1F">
          <w:rPr>
            <w:rStyle w:val="Hyperlink"/>
          </w:rPr>
          <w:t>Other issues raised</w:t>
        </w:r>
        <w:r w:rsidR="00A24816">
          <w:rPr>
            <w:webHidden/>
          </w:rPr>
          <w:tab/>
        </w:r>
        <w:r w:rsidR="00A24816">
          <w:rPr>
            <w:webHidden/>
          </w:rPr>
          <w:fldChar w:fldCharType="begin"/>
        </w:r>
        <w:r w:rsidR="00A24816">
          <w:rPr>
            <w:webHidden/>
          </w:rPr>
          <w:instrText xml:space="preserve"> PAGEREF _Toc129856977 \h </w:instrText>
        </w:r>
        <w:r w:rsidR="00A24816">
          <w:rPr>
            <w:webHidden/>
          </w:rPr>
        </w:r>
        <w:r w:rsidR="00A24816">
          <w:rPr>
            <w:webHidden/>
          </w:rPr>
          <w:fldChar w:fldCharType="separate"/>
        </w:r>
        <w:r w:rsidR="00A24816">
          <w:rPr>
            <w:webHidden/>
          </w:rPr>
          <w:t>19</w:t>
        </w:r>
        <w:r w:rsidR="00A24816">
          <w:rPr>
            <w:webHidden/>
          </w:rPr>
          <w:fldChar w:fldCharType="end"/>
        </w:r>
      </w:hyperlink>
    </w:p>
    <w:p w14:paraId="6429AC25" w14:textId="58AA2ACE" w:rsidR="00A24816" w:rsidRDefault="00BA48D3">
      <w:pPr>
        <w:pStyle w:val="TOC1"/>
        <w:rPr>
          <w:rFonts w:asciiTheme="minorHAnsi" w:eastAsiaTheme="minorEastAsia" w:hAnsiTheme="minorHAnsi" w:cstheme="minorBidi"/>
          <w:b w:val="0"/>
          <w:spacing w:val="0"/>
          <w:sz w:val="22"/>
          <w:szCs w:val="22"/>
        </w:rPr>
      </w:pPr>
      <w:hyperlink w:anchor="_Toc129856978" w:history="1">
        <w:r w:rsidR="00A24816" w:rsidRPr="004D4E1F">
          <w:rPr>
            <w:rStyle w:val="Hyperlink"/>
          </w:rPr>
          <w:t>Appendix A: List of consultation respondents</w:t>
        </w:r>
        <w:r w:rsidR="00A24816">
          <w:rPr>
            <w:webHidden/>
          </w:rPr>
          <w:tab/>
        </w:r>
        <w:r w:rsidR="00A24816">
          <w:rPr>
            <w:webHidden/>
          </w:rPr>
          <w:fldChar w:fldCharType="begin"/>
        </w:r>
        <w:r w:rsidR="00A24816">
          <w:rPr>
            <w:webHidden/>
          </w:rPr>
          <w:instrText xml:space="preserve"> PAGEREF _Toc129856978 \h </w:instrText>
        </w:r>
        <w:r w:rsidR="00A24816">
          <w:rPr>
            <w:webHidden/>
          </w:rPr>
        </w:r>
        <w:r w:rsidR="00A24816">
          <w:rPr>
            <w:webHidden/>
          </w:rPr>
          <w:fldChar w:fldCharType="separate"/>
        </w:r>
        <w:r w:rsidR="00A24816">
          <w:rPr>
            <w:webHidden/>
          </w:rPr>
          <w:t>21</w:t>
        </w:r>
        <w:r w:rsidR="00A24816">
          <w:rPr>
            <w:webHidden/>
          </w:rPr>
          <w:fldChar w:fldCharType="end"/>
        </w:r>
      </w:hyperlink>
    </w:p>
    <w:p w14:paraId="4EE68F6D" w14:textId="2DBDED1F" w:rsidR="00D425E7" w:rsidRPr="00E162C4" w:rsidRDefault="00D425E7" w:rsidP="00D425E7">
      <w:pPr>
        <w:rPr>
          <w:rFonts w:cs="Arial"/>
        </w:rPr>
        <w:sectPr w:rsidR="00D425E7"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7E19159F" w14:textId="77777777" w:rsidR="00D425E7" w:rsidRPr="00E162C4" w:rsidRDefault="00D425E7" w:rsidP="00D425E7">
      <w:pPr>
        <w:pStyle w:val="Execsummaryheading"/>
      </w:pPr>
      <w:bookmarkStart w:id="0" w:name="_Toc129856971"/>
      <w:r w:rsidRPr="00E162C4">
        <w:lastRenderedPageBreak/>
        <w:t>Executive summary</w:t>
      </w:r>
      <w:bookmarkEnd w:id="0"/>
    </w:p>
    <w:p w14:paraId="235F6A7A" w14:textId="371CB59E" w:rsidR="00D425E7" w:rsidRDefault="00D425E7" w:rsidP="00D425E7">
      <w:pPr>
        <w:pStyle w:val="Paragraph"/>
      </w:pPr>
      <w:bookmarkStart w:id="1" w:name="_Toc433122125"/>
      <w:bookmarkStart w:id="2" w:name="_Hlk127176257"/>
      <w:r>
        <w:t xml:space="preserve">This </w:t>
      </w:r>
      <w:r w:rsidR="00D640CB">
        <w:t>paper</w:t>
      </w:r>
      <w:r>
        <w:t xml:space="preserve"> </w:t>
      </w:r>
      <w:r w:rsidR="00D61361">
        <w:t xml:space="preserve">sets out </w:t>
      </w:r>
      <w:r>
        <w:t>decisions</w:t>
      </w:r>
      <w:r w:rsidR="000C054B">
        <w:t xml:space="preserve"> that</w:t>
      </w:r>
      <w:r>
        <w:t xml:space="preserve"> the Australian Communications and Media Authority (ACMA) has</w:t>
      </w:r>
      <w:r w:rsidR="00D61361">
        <w:t xml:space="preserve"> made</w:t>
      </w:r>
      <w:r>
        <w:t xml:space="preserve"> </w:t>
      </w:r>
      <w:r w:rsidR="00D640CB">
        <w:t>following</w:t>
      </w:r>
      <w:r>
        <w:t xml:space="preserve"> the </w:t>
      </w:r>
      <w:hyperlink r:id="rId24" w:history="1">
        <w:r w:rsidR="00A8329F">
          <w:rPr>
            <w:rStyle w:val="Hyperlink"/>
          </w:rPr>
          <w:t>p</w:t>
        </w:r>
        <w:r w:rsidRPr="00834DE2">
          <w:rPr>
            <w:rStyle w:val="Hyperlink"/>
          </w:rPr>
          <w:t>roposed changes to radiocommunications equipment regulation</w:t>
        </w:r>
      </w:hyperlink>
      <w:r>
        <w:t xml:space="preserve"> consultation. The consultation </w:t>
      </w:r>
      <w:r w:rsidR="00D61361">
        <w:t>is</w:t>
      </w:r>
      <w:r>
        <w:t xml:space="preserve"> part of a staged program to re</w:t>
      </w:r>
      <w:r w:rsidR="000D19DC">
        <w:t>form</w:t>
      </w:r>
      <w:r>
        <w:t xml:space="preserve"> the ACMA’s radiocommunications equipment regulation, following the passage of the </w:t>
      </w:r>
      <w:r w:rsidRPr="007E77CC">
        <w:rPr>
          <w:i/>
          <w:iCs/>
        </w:rPr>
        <w:t>Radiocommunications Legislation Amendment (Reform and Modernisation) Act</w:t>
      </w:r>
      <w:r w:rsidRPr="00483641">
        <w:t xml:space="preserve"> </w:t>
      </w:r>
      <w:r w:rsidRPr="00E30CDC">
        <w:rPr>
          <w:i/>
          <w:iCs/>
        </w:rPr>
        <w:t>2020</w:t>
      </w:r>
      <w:r>
        <w:t xml:space="preserve"> (the Reform and Modernisation Act)</w:t>
      </w:r>
      <w:r w:rsidR="00A8329F">
        <w:t>,</w:t>
      </w:r>
      <w:r>
        <w:t xml:space="preserve"> which amended the </w:t>
      </w:r>
      <w:r w:rsidRPr="002C22F1">
        <w:rPr>
          <w:i/>
          <w:iCs/>
        </w:rPr>
        <w:t>Radiocommunications Act 1992</w:t>
      </w:r>
      <w:r>
        <w:t xml:space="preserve"> (the Act). </w:t>
      </w:r>
    </w:p>
    <w:p w14:paraId="1E848B96" w14:textId="72C89A98" w:rsidR="00D425E7" w:rsidRDefault="00D425E7" w:rsidP="00D425E7">
      <w:pPr>
        <w:pStyle w:val="Paragraph"/>
      </w:pPr>
      <w:r>
        <w:t xml:space="preserve">We received 11 submissions to the </w:t>
      </w:r>
      <w:r w:rsidR="00A8329F">
        <w:t>c</w:t>
      </w:r>
      <w:r>
        <w:t xml:space="preserve">onsultation </w:t>
      </w:r>
      <w:r w:rsidR="00A8329F">
        <w:t>p</w:t>
      </w:r>
      <w:r>
        <w:t xml:space="preserve">aper. This </w:t>
      </w:r>
      <w:r w:rsidR="00A8329F">
        <w:t>o</w:t>
      </w:r>
      <w:r w:rsidR="00D61361">
        <w:t xml:space="preserve">utcomes </w:t>
      </w:r>
      <w:r w:rsidR="00A8329F">
        <w:t>p</w:t>
      </w:r>
      <w:r>
        <w:t>aper summarises the</w:t>
      </w:r>
      <w:r w:rsidR="00D61361">
        <w:t xml:space="preserve"> issues in the</w:t>
      </w:r>
      <w:r>
        <w:t xml:space="preserve"> submissions, </w:t>
      </w:r>
      <w:r w:rsidR="009D1413">
        <w:t xml:space="preserve">the </w:t>
      </w:r>
      <w:r w:rsidR="00D61361">
        <w:t>ACMA’s consideration of</w:t>
      </w:r>
      <w:r>
        <w:t xml:space="preserve"> the </w:t>
      </w:r>
      <w:r w:rsidR="00D61361">
        <w:t xml:space="preserve">issues in the submissions and </w:t>
      </w:r>
      <w:r w:rsidR="00F95B31">
        <w:t xml:space="preserve">our </w:t>
      </w:r>
      <w:r w:rsidR="00D61361">
        <w:t>re</w:t>
      </w:r>
      <w:r w:rsidR="00F95B31">
        <w:t>sponse</w:t>
      </w:r>
      <w:r>
        <w:t xml:space="preserve">. Full copies of the submissions are available on the </w:t>
      </w:r>
      <w:hyperlink r:id="rId25" w:history="1">
        <w:r w:rsidRPr="005E1C70">
          <w:rPr>
            <w:rStyle w:val="Hyperlink"/>
          </w:rPr>
          <w:t>consultation website</w:t>
        </w:r>
      </w:hyperlink>
      <w:r>
        <w:t>.</w:t>
      </w:r>
    </w:p>
    <w:p w14:paraId="5DEBB4FC" w14:textId="650166E7" w:rsidR="00D425E7" w:rsidRDefault="00A45FAC" w:rsidP="00672442">
      <w:pPr>
        <w:pStyle w:val="Paragraphbeforelist"/>
      </w:pPr>
      <w:r>
        <w:t>On 23 February 2023, we</w:t>
      </w:r>
      <w:r w:rsidR="00D425E7">
        <w:t xml:space="preserve"> made the following legislative instruments:</w:t>
      </w:r>
    </w:p>
    <w:p w14:paraId="368B09EE" w14:textId="14DFA2F2" w:rsidR="00D425E7" w:rsidRDefault="00D425E7" w:rsidP="00D425E7">
      <w:pPr>
        <w:pStyle w:val="Bulletlevel1"/>
        <w:tabs>
          <w:tab w:val="clear" w:pos="1572"/>
          <w:tab w:val="num" w:pos="295"/>
        </w:tabs>
        <w:ind w:left="295"/>
      </w:pPr>
      <w:r>
        <w:t xml:space="preserve">the </w:t>
      </w:r>
      <w:r w:rsidRPr="00672442">
        <w:t>Radiocommunications Equipment (General) Amendment Rules 2023 (No.1</w:t>
      </w:r>
      <w:r w:rsidRPr="004D7CDB">
        <w:t xml:space="preserve">) </w:t>
      </w:r>
      <w:r>
        <w:t>(</w:t>
      </w:r>
      <w:r w:rsidR="00D640CB">
        <w:t xml:space="preserve">the </w:t>
      </w:r>
      <w:r>
        <w:t>Amendment Rules)</w:t>
      </w:r>
    </w:p>
    <w:p w14:paraId="0F08B5E6" w14:textId="174FA469" w:rsidR="00D425E7" w:rsidRDefault="00D425E7" w:rsidP="00D425E7">
      <w:pPr>
        <w:pStyle w:val="Bulletlevel1"/>
        <w:tabs>
          <w:tab w:val="clear" w:pos="1572"/>
          <w:tab w:val="num" w:pos="295"/>
        </w:tabs>
        <w:ind w:left="295"/>
      </w:pPr>
      <w:r>
        <w:t xml:space="preserve">the </w:t>
      </w:r>
      <w:r w:rsidRPr="00672442">
        <w:t>Radiocommunications (Low Interference Potential Devices) Class Licence Variation 2023 (No.1)</w:t>
      </w:r>
      <w:r>
        <w:t xml:space="preserve"> (</w:t>
      </w:r>
      <w:r w:rsidR="00D640CB">
        <w:t xml:space="preserve">the </w:t>
      </w:r>
      <w:r>
        <w:t>LIPD Class Licence Variation)</w:t>
      </w:r>
    </w:p>
    <w:p w14:paraId="5C36E223" w14:textId="6563032B" w:rsidR="00D425E7" w:rsidRDefault="00D425E7" w:rsidP="00D425E7">
      <w:pPr>
        <w:pStyle w:val="Bulletlevel1"/>
        <w:tabs>
          <w:tab w:val="clear" w:pos="1572"/>
          <w:tab w:val="num" w:pos="295"/>
        </w:tabs>
        <w:ind w:left="295"/>
      </w:pPr>
      <w:r>
        <w:t xml:space="preserve">the </w:t>
      </w:r>
      <w:r w:rsidRPr="00672442">
        <w:t>Telecommunications Legislative Amendment (Significant Event) Instrument (No.1) 2023</w:t>
      </w:r>
      <w:r>
        <w:rPr>
          <w:i/>
          <w:iCs/>
        </w:rPr>
        <w:t xml:space="preserve"> </w:t>
      </w:r>
      <w:r w:rsidRPr="005505DB">
        <w:t>(</w:t>
      </w:r>
      <w:r w:rsidR="00D640CB">
        <w:t xml:space="preserve">the </w:t>
      </w:r>
      <w:r w:rsidRPr="005505DB">
        <w:t>Telco</w:t>
      </w:r>
      <w:r>
        <w:t xml:space="preserve"> Significant Event Instrument)</w:t>
      </w:r>
    </w:p>
    <w:p w14:paraId="408E51A6" w14:textId="3D131D41" w:rsidR="00D425E7" w:rsidRDefault="00D425E7" w:rsidP="00D425E7">
      <w:pPr>
        <w:pStyle w:val="Bulletlevel1"/>
        <w:tabs>
          <w:tab w:val="clear" w:pos="1572"/>
          <w:tab w:val="num" w:pos="295"/>
        </w:tabs>
        <w:ind w:left="295"/>
      </w:pPr>
      <w:r>
        <w:t xml:space="preserve">the </w:t>
      </w:r>
      <w:r w:rsidRPr="00672442">
        <w:t>Communications Legislation (Protected Symbols) Determination 2023</w:t>
      </w:r>
      <w:r>
        <w:rPr>
          <w:i/>
          <w:iCs/>
        </w:rPr>
        <w:t xml:space="preserve"> </w:t>
      </w:r>
      <w:r w:rsidRPr="005505DB">
        <w:t>(</w:t>
      </w:r>
      <w:r w:rsidR="00D640CB">
        <w:t xml:space="preserve">the </w:t>
      </w:r>
      <w:r w:rsidRPr="005505DB">
        <w:t>Protected Symbols Determination 2023)</w:t>
      </w:r>
      <w:r>
        <w:t>.</w:t>
      </w:r>
    </w:p>
    <w:p w14:paraId="79C4300E" w14:textId="77777777" w:rsidR="00F11C6F" w:rsidRDefault="00F11C6F" w:rsidP="00F11C6F">
      <w:pPr>
        <w:pStyle w:val="Heading2"/>
      </w:pPr>
      <w:bookmarkStart w:id="3" w:name="_Toc128401333"/>
      <w:bookmarkStart w:id="4" w:name="_Toc129856972"/>
      <w:r>
        <w:t>General Equipment Rules</w:t>
      </w:r>
      <w:bookmarkEnd w:id="3"/>
      <w:bookmarkEnd w:id="4"/>
    </w:p>
    <w:p w14:paraId="76747727" w14:textId="227D7D36" w:rsidR="00F11C6F" w:rsidRDefault="00F11C6F" w:rsidP="00672442">
      <w:pPr>
        <w:pStyle w:val="Paragraphbeforelist"/>
      </w:pPr>
      <w:r>
        <w:t xml:space="preserve">The </w:t>
      </w:r>
      <w:r w:rsidR="00707C75" w:rsidRPr="00672442">
        <w:t>Radiocommunications Equipment (General) Rules 2021</w:t>
      </w:r>
      <w:r w:rsidR="00707C75">
        <w:t xml:space="preserve"> (the </w:t>
      </w:r>
      <w:r>
        <w:t>General Equipment Rules</w:t>
      </w:r>
      <w:r w:rsidR="00707C75">
        <w:t>)</w:t>
      </w:r>
      <w:r>
        <w:t xml:space="preserve"> ha</w:t>
      </w:r>
      <w:r w:rsidR="00917A59">
        <w:t>ve</w:t>
      </w:r>
      <w:r>
        <w:t xml:space="preserve"> been </w:t>
      </w:r>
      <w:r w:rsidR="004D7CDB">
        <w:t xml:space="preserve">updated </w:t>
      </w:r>
      <w:r>
        <w:t>by the Amendment Rules to:</w:t>
      </w:r>
    </w:p>
    <w:p w14:paraId="6D0C0CED" w14:textId="6E611ABC" w:rsidR="00F11C6F" w:rsidRDefault="00F11C6F" w:rsidP="00DF103D">
      <w:pPr>
        <w:pStyle w:val="Bulletlevel1"/>
        <w:tabs>
          <w:tab w:val="clear" w:pos="1572"/>
          <w:tab w:val="num" w:pos="295"/>
        </w:tabs>
        <w:ind w:left="295"/>
      </w:pPr>
      <w:r w:rsidRPr="000308FF">
        <w:t>repeal 13 ACMA</w:t>
      </w:r>
      <w:r w:rsidR="00F55FBD">
        <w:t>-</w:t>
      </w:r>
      <w:r>
        <w:t>mandated technical</w:t>
      </w:r>
      <w:r w:rsidRPr="000308FF">
        <w:t xml:space="preserve"> </w:t>
      </w:r>
      <w:r w:rsidR="00A830E2">
        <w:t>S</w:t>
      </w:r>
      <w:r w:rsidRPr="000308FF">
        <w:t xml:space="preserve">tandards and the </w:t>
      </w:r>
      <w:r w:rsidRPr="00672442">
        <w:t>Radiocommunications (Compliance Labelling – Devices) Notice 2014</w:t>
      </w:r>
      <w:r>
        <w:t xml:space="preserve"> (RLN)</w:t>
      </w:r>
      <w:r w:rsidR="00F55FBD">
        <w:t>,</w:t>
      </w:r>
      <w:r w:rsidRPr="000308FF">
        <w:t xml:space="preserve"> and incorporat</w:t>
      </w:r>
      <w:r>
        <w:t>e</w:t>
      </w:r>
      <w:r w:rsidRPr="000308FF">
        <w:t xml:space="preserve"> their content into the General Equipment Rules with some minor amendments </w:t>
      </w:r>
    </w:p>
    <w:p w14:paraId="0258C062" w14:textId="60A8168D" w:rsidR="00F11C6F" w:rsidRDefault="00F11C6F" w:rsidP="00DF103D">
      <w:pPr>
        <w:pStyle w:val="Bulletlevel1"/>
        <w:tabs>
          <w:tab w:val="clear" w:pos="1572"/>
          <w:tab w:val="num" w:pos="295"/>
        </w:tabs>
        <w:ind w:left="295"/>
      </w:pPr>
      <w:r w:rsidRPr="000308FF">
        <w:t xml:space="preserve">adopt </w:t>
      </w:r>
      <w:r w:rsidR="00F55FBD">
        <w:t>5</w:t>
      </w:r>
      <w:r w:rsidR="00F55FBD" w:rsidRPr="000308FF">
        <w:t xml:space="preserve"> </w:t>
      </w:r>
      <w:r w:rsidRPr="000308FF">
        <w:t xml:space="preserve">additional international </w:t>
      </w:r>
      <w:r w:rsidR="00A830E2">
        <w:t>S</w:t>
      </w:r>
      <w:r w:rsidRPr="000308FF">
        <w:t xml:space="preserve">tandards as alternative test method </w:t>
      </w:r>
      <w:r w:rsidR="00A830E2">
        <w:t>S</w:t>
      </w:r>
      <w:r w:rsidRPr="000308FF">
        <w:t>tandards</w:t>
      </w:r>
    </w:p>
    <w:p w14:paraId="36B7028E" w14:textId="0600D9EC" w:rsidR="00610B97" w:rsidRDefault="00E70BCD" w:rsidP="00DF103D">
      <w:pPr>
        <w:pStyle w:val="Bulletlevel1"/>
        <w:tabs>
          <w:tab w:val="clear" w:pos="1572"/>
          <w:tab w:val="num" w:pos="295"/>
        </w:tabs>
        <w:ind w:left="295"/>
      </w:pPr>
      <w:bookmarkStart w:id="5" w:name="_Hlk129013012"/>
      <w:r>
        <w:t xml:space="preserve">include the paging frequencies that apply in Australia </w:t>
      </w:r>
      <w:r w:rsidR="00610B97">
        <w:t>in Part 6 – Paging Service Equipment Standard of Schedule 5 to the General Equipment Rules by:</w:t>
      </w:r>
    </w:p>
    <w:p w14:paraId="43861730" w14:textId="535704CD" w:rsidR="00610B97" w:rsidRDefault="00610B97" w:rsidP="008128C7">
      <w:pPr>
        <w:pStyle w:val="Bulletlevel2"/>
        <w:ind w:left="590" w:hanging="295"/>
      </w:pPr>
      <w:r>
        <w:t>modifying the adoption of ETSI 300 224:2017 to incorporate by reference clause 8.3.3 and Table ZZ1 in AS/NZS 4769.1:2000</w:t>
      </w:r>
    </w:p>
    <w:p w14:paraId="12A48016" w14:textId="2C9E5690" w:rsidR="00F11C6F" w:rsidRDefault="00707C75" w:rsidP="008128C7">
      <w:pPr>
        <w:pStyle w:val="Bulletlevel2"/>
        <w:ind w:left="590" w:hanging="295"/>
      </w:pPr>
      <w:r>
        <w:t>amend</w:t>
      </w:r>
      <w:r w:rsidR="00610B97">
        <w:t>ing</w:t>
      </w:r>
      <w:r>
        <w:t xml:space="preserve"> column 1 of Table ZZ1 t</w:t>
      </w:r>
      <w:r w:rsidR="00F11C6F" w:rsidRPr="00E74ED7">
        <w:t>o chang</w:t>
      </w:r>
      <w:r w:rsidR="00610B97">
        <w:t>e</w:t>
      </w:r>
      <w:r w:rsidR="00F11C6F" w:rsidRPr="00E74ED7">
        <w:t xml:space="preserve"> </w:t>
      </w:r>
      <w:r w:rsidR="00E70BCD">
        <w:t xml:space="preserve">the boundary of a paging frequency range from </w:t>
      </w:r>
      <w:r w:rsidR="00F11C6F" w:rsidRPr="00E74ED7">
        <w:t>460.375 MHz to 450.375 MHz to fix an error in the table</w:t>
      </w:r>
    </w:p>
    <w:bookmarkEnd w:id="5"/>
    <w:p w14:paraId="21D932D0" w14:textId="4C408D63" w:rsidR="00F11C6F" w:rsidRDefault="00F11C6F" w:rsidP="00DF103D">
      <w:pPr>
        <w:pStyle w:val="Bulletlevel1"/>
        <w:tabs>
          <w:tab w:val="clear" w:pos="1572"/>
          <w:tab w:val="num" w:pos="295"/>
        </w:tabs>
        <w:ind w:left="295"/>
      </w:pPr>
      <w:r w:rsidRPr="000308FF">
        <w:t>repeal</w:t>
      </w:r>
      <w:r>
        <w:t xml:space="preserve"> </w:t>
      </w:r>
      <w:r w:rsidRPr="000308FF">
        <w:t xml:space="preserve">the redundant </w:t>
      </w:r>
      <w:r w:rsidRPr="00672442">
        <w:t>Radiocommunications (121.5 MHz and 243.0 MHz Emergency Position Indicating Radio Beacons) Standard 2014</w:t>
      </w:r>
      <w:r w:rsidRPr="00F55FBD">
        <w:t xml:space="preserve"> </w:t>
      </w:r>
      <w:r w:rsidRPr="000308FF">
        <w:t>(121.5 MHz and 243.0 EPIRB Standard)</w:t>
      </w:r>
      <w:r>
        <w:t xml:space="preserve"> </w:t>
      </w:r>
    </w:p>
    <w:p w14:paraId="247F2CC9" w14:textId="10C1448F" w:rsidR="00F11C6F" w:rsidRDefault="00F11C6F" w:rsidP="00DF103D">
      <w:pPr>
        <w:pStyle w:val="Bulletlevel1"/>
        <w:tabs>
          <w:tab w:val="clear" w:pos="1572"/>
          <w:tab w:val="num" w:pos="295"/>
        </w:tabs>
        <w:ind w:left="295"/>
      </w:pPr>
      <w:r w:rsidRPr="000308FF">
        <w:t>replac</w:t>
      </w:r>
      <w:r>
        <w:t>e</w:t>
      </w:r>
      <w:r w:rsidRPr="000308FF">
        <w:t xml:space="preserve"> the interim electromagnetic energy (EME) test method IEC TR 63170 with IEC/IEEE 63195-1:2022 and IEC/IEEE 63195-2:2022 to allow suppliers to use both computational methods and physical measurements to determine compliance with Australian Radiation Protection and Nuclear Safety Agency (ARPANSA) EME limits for transmitters operating above 6 GHz</w:t>
      </w:r>
      <w:r>
        <w:t xml:space="preserve"> </w:t>
      </w:r>
    </w:p>
    <w:p w14:paraId="4A05B03B" w14:textId="1D6056B6" w:rsidR="009B39ED" w:rsidRDefault="009B39ED" w:rsidP="00DF103D">
      <w:pPr>
        <w:pStyle w:val="Bulletlevel1"/>
        <w:tabs>
          <w:tab w:val="clear" w:pos="1572"/>
          <w:tab w:val="num" w:pos="295"/>
        </w:tabs>
        <w:ind w:left="295"/>
      </w:pPr>
      <w:r>
        <w:lastRenderedPageBreak/>
        <w:t xml:space="preserve">rename the description of devices in relation to their compliance categories for the applicable </w:t>
      </w:r>
      <w:r w:rsidR="00A830E2">
        <w:t>S</w:t>
      </w:r>
      <w:r>
        <w:t>tandards such as general compliance level 1 or 2 and EME compliance level 1</w:t>
      </w:r>
      <w:r w:rsidR="00F55FBD">
        <w:t>–</w:t>
      </w:r>
      <w:r>
        <w:t>3</w:t>
      </w:r>
    </w:p>
    <w:p w14:paraId="5044773A" w14:textId="13EB3B6B" w:rsidR="00610B97" w:rsidRDefault="00F11C6F" w:rsidP="00610B97">
      <w:pPr>
        <w:pStyle w:val="Bulletlevel1"/>
        <w:tabs>
          <w:tab w:val="clear" w:pos="1572"/>
          <w:tab w:val="num" w:pos="295"/>
        </w:tabs>
        <w:ind w:left="295"/>
      </w:pPr>
      <w:r>
        <w:t xml:space="preserve">create a significant event provision with similar effect to the significant event provisions previously contained in the repealed radiocommunications technical </w:t>
      </w:r>
      <w:r w:rsidR="00A830E2">
        <w:t>S</w:t>
      </w:r>
      <w:r>
        <w:t>tandards</w:t>
      </w:r>
      <w:r w:rsidR="00917A59">
        <w:t>, while</w:t>
      </w:r>
      <w:r w:rsidR="00DF103D">
        <w:t xml:space="preserve"> </w:t>
      </w:r>
      <w:r w:rsidR="00917A59">
        <w:t>retaining the</w:t>
      </w:r>
      <w:r w:rsidR="00D61361">
        <w:t xml:space="preserve"> </w:t>
      </w:r>
      <w:r w:rsidR="00216BA0">
        <w:t xml:space="preserve">requirement </w:t>
      </w:r>
      <w:r w:rsidR="00D61361">
        <w:t xml:space="preserve">to publish </w:t>
      </w:r>
      <w:r w:rsidR="00216BA0">
        <w:t>a new significant event declaration on the ACMA website.</w:t>
      </w:r>
    </w:p>
    <w:p w14:paraId="5FE272FA" w14:textId="27EDC168" w:rsidR="00216BA0" w:rsidRDefault="00216BA0" w:rsidP="00216BA0">
      <w:pPr>
        <w:pStyle w:val="Heading2"/>
      </w:pPr>
      <w:bookmarkStart w:id="6" w:name="_Toc128401334"/>
      <w:bookmarkStart w:id="7" w:name="_Toc129856973"/>
      <w:r>
        <w:t>Significant event provision</w:t>
      </w:r>
      <w:bookmarkEnd w:id="6"/>
      <w:r w:rsidR="00AB40C6">
        <w:t>s</w:t>
      </w:r>
      <w:bookmarkEnd w:id="7"/>
    </w:p>
    <w:p w14:paraId="0D61CAFF" w14:textId="616CD9D6" w:rsidR="00216BA0" w:rsidRPr="00A31EA0" w:rsidRDefault="00216BA0" w:rsidP="00672442">
      <w:pPr>
        <w:pStyle w:val="Paragraph"/>
      </w:pPr>
      <w:r w:rsidRPr="00446BC3">
        <w:t xml:space="preserve">The Amendment Rules inserted section 54A in the General Equipment Rules to create a </w:t>
      </w:r>
      <w:r w:rsidR="00AB40C6">
        <w:t xml:space="preserve">new </w:t>
      </w:r>
      <w:r w:rsidRPr="00446BC3">
        <w:t xml:space="preserve">significant event provision. The new significant event provision </w:t>
      </w:r>
      <w:r w:rsidRPr="00A31EA0">
        <w:t>confer</w:t>
      </w:r>
      <w:r>
        <w:t>s</w:t>
      </w:r>
      <w:r w:rsidRPr="00A31EA0">
        <w:t xml:space="preserve"> the power to declare a significant event on the ACMA</w:t>
      </w:r>
      <w:r>
        <w:t xml:space="preserve">, thereby allowing delegation of the power </w:t>
      </w:r>
      <w:r w:rsidRPr="00A31EA0">
        <w:t xml:space="preserve">under the </w:t>
      </w:r>
      <w:r w:rsidRPr="00446BC3">
        <w:rPr>
          <w:i/>
          <w:iCs/>
        </w:rPr>
        <w:t>Australian Communications and Media Authority Act 2005</w:t>
      </w:r>
      <w:r w:rsidRPr="00A31EA0">
        <w:t>.</w:t>
      </w:r>
      <w:r>
        <w:t xml:space="preserve"> Previously, the power was only conferred on the Chair of the ACMA, which was not a delegable power.</w:t>
      </w:r>
    </w:p>
    <w:p w14:paraId="3F3D691E" w14:textId="24BBBFD0" w:rsidR="00606D42" w:rsidRDefault="00216BA0" w:rsidP="00672442">
      <w:pPr>
        <w:pStyle w:val="Paragraph"/>
      </w:pPr>
      <w:r>
        <w:t xml:space="preserve">The LIPD Class Licence Variation amends the definition of ‘significant event’ in the </w:t>
      </w:r>
      <w:r w:rsidRPr="00672442">
        <w:t>Radiocommunications (Low Interference Potential Devices) Class Licence 2015</w:t>
      </w:r>
      <w:r>
        <w:t xml:space="preserve"> (</w:t>
      </w:r>
      <w:r w:rsidR="00670E10">
        <w:t xml:space="preserve">the </w:t>
      </w:r>
      <w:r>
        <w:t xml:space="preserve">LIPD Class Licence) to </w:t>
      </w:r>
      <w:r w:rsidR="00670E10">
        <w:t xml:space="preserve">reference </w:t>
      </w:r>
      <w:r>
        <w:t xml:space="preserve">an event declared under subsection 54A(2) of the General Equipment Rules. </w:t>
      </w:r>
    </w:p>
    <w:p w14:paraId="7BB55ADF" w14:textId="14C6110A" w:rsidR="00216BA0" w:rsidRPr="00A31EA0" w:rsidRDefault="00216BA0" w:rsidP="00672442">
      <w:pPr>
        <w:pStyle w:val="Paragraphbeforelist"/>
      </w:pPr>
      <w:r>
        <w:t xml:space="preserve">The </w:t>
      </w:r>
      <w:r w:rsidR="00333284">
        <w:t>T</w:t>
      </w:r>
      <w:r>
        <w:t xml:space="preserve">elco </w:t>
      </w:r>
      <w:r w:rsidR="00333284">
        <w:t>S</w:t>
      </w:r>
      <w:r>
        <w:t xml:space="preserve">ignificant Event </w:t>
      </w:r>
      <w:r w:rsidR="00333284">
        <w:t>I</w:t>
      </w:r>
      <w:r>
        <w:t>nstrument similarly amends the definition of ‘significant event’ in:</w:t>
      </w:r>
    </w:p>
    <w:p w14:paraId="776C0CBA" w14:textId="47F7F483" w:rsidR="00216BA0" w:rsidRPr="00A31EA0" w:rsidRDefault="00216BA0" w:rsidP="00E47DF8">
      <w:pPr>
        <w:pStyle w:val="Bulletlevel1"/>
        <w:tabs>
          <w:tab w:val="clear" w:pos="1572"/>
          <w:tab w:val="num" w:pos="295"/>
        </w:tabs>
        <w:ind w:left="295"/>
      </w:pPr>
      <w:r>
        <w:t xml:space="preserve">the </w:t>
      </w:r>
      <w:r w:rsidRPr="00672442">
        <w:t>Telecommunications (Labelling Notice for Customer Equipment and Customer Cabling) Instrument 2015</w:t>
      </w:r>
      <w:r>
        <w:rPr>
          <w:i/>
          <w:iCs/>
        </w:rPr>
        <w:t xml:space="preserve"> </w:t>
      </w:r>
      <w:r w:rsidRPr="004051EE">
        <w:t>(TLN)</w:t>
      </w:r>
    </w:p>
    <w:p w14:paraId="0731352F" w14:textId="77777777" w:rsidR="00216BA0" w:rsidRDefault="00216BA0" w:rsidP="00216BA0">
      <w:pPr>
        <w:pStyle w:val="Bulletlevel1"/>
        <w:tabs>
          <w:tab w:val="clear" w:pos="1572"/>
          <w:tab w:val="num" w:pos="295"/>
        </w:tabs>
        <w:ind w:left="295"/>
      </w:pPr>
      <w:r>
        <w:t xml:space="preserve">the </w:t>
      </w:r>
      <w:r w:rsidRPr="00672442">
        <w:t>Telecommunications (Types of Cabling Work) Declaration 2013</w:t>
      </w:r>
      <w:r>
        <w:t xml:space="preserve"> (Types of Cabling Work Declaration).</w:t>
      </w:r>
    </w:p>
    <w:p w14:paraId="1B576775" w14:textId="77777777" w:rsidR="00216BA0" w:rsidRDefault="00216BA0" w:rsidP="00216BA0">
      <w:pPr>
        <w:pStyle w:val="Heading2"/>
      </w:pPr>
      <w:bookmarkStart w:id="8" w:name="_Toc128401335"/>
      <w:bookmarkStart w:id="9" w:name="_Toc129856974"/>
      <w:r>
        <w:t>Protected Symbols Determination 2023</w:t>
      </w:r>
      <w:bookmarkEnd w:id="8"/>
      <w:bookmarkEnd w:id="9"/>
    </w:p>
    <w:p w14:paraId="0328B465" w14:textId="49960B10" w:rsidR="00216BA0" w:rsidRDefault="00216BA0" w:rsidP="00672442">
      <w:pPr>
        <w:pStyle w:val="Paragraph"/>
      </w:pPr>
      <w:r w:rsidRPr="003E1973">
        <w:t xml:space="preserve">The Protected Symbols Determination 2023 </w:t>
      </w:r>
      <w:r w:rsidR="00482AE7">
        <w:t xml:space="preserve">largely </w:t>
      </w:r>
      <w:r w:rsidRPr="003E1973">
        <w:t xml:space="preserve">preserves the effect of </w:t>
      </w:r>
      <w:r>
        <w:t xml:space="preserve">the </w:t>
      </w:r>
      <w:r w:rsidRPr="00672442">
        <w:t>Protected Symbols Determination 2013</w:t>
      </w:r>
      <w:r>
        <w:t xml:space="preserve"> </w:t>
      </w:r>
      <w:r w:rsidRPr="003E1973">
        <w:t xml:space="preserve">that is sunsetting on 1 April 2023. </w:t>
      </w:r>
    </w:p>
    <w:p w14:paraId="4B9D45B5" w14:textId="2A62FB50" w:rsidR="00216BA0" w:rsidRDefault="00216BA0" w:rsidP="00672442">
      <w:pPr>
        <w:pStyle w:val="Paragraph"/>
      </w:pPr>
      <w:r>
        <w:t>By making the Protected Symbols Determination 2023, the</w:t>
      </w:r>
      <w:r w:rsidRPr="003E1973">
        <w:t xml:space="preserve"> status of </w:t>
      </w:r>
      <w:r>
        <w:t>the</w:t>
      </w:r>
      <w:r w:rsidRPr="003E1973">
        <w:t xml:space="preserve"> Regulatory Compliance Mark</w:t>
      </w:r>
      <w:r>
        <w:t xml:space="preserve"> (RCM)</w:t>
      </w:r>
      <w:r w:rsidRPr="003E1973">
        <w:t xml:space="preserve"> as a protected symbol under the Act and the</w:t>
      </w:r>
      <w:r>
        <w:t xml:space="preserve"> </w:t>
      </w:r>
      <w:r w:rsidRPr="00DF103D">
        <w:rPr>
          <w:i/>
          <w:iCs/>
        </w:rPr>
        <w:t>Tel</w:t>
      </w:r>
      <w:r w:rsidR="00482AE7" w:rsidRPr="00DF103D">
        <w:rPr>
          <w:i/>
          <w:iCs/>
        </w:rPr>
        <w:t>e</w:t>
      </w:r>
      <w:r w:rsidRPr="00DF103D">
        <w:rPr>
          <w:i/>
          <w:iCs/>
        </w:rPr>
        <w:t>co</w:t>
      </w:r>
      <w:r w:rsidR="00482AE7" w:rsidRPr="00DF103D">
        <w:rPr>
          <w:i/>
          <w:iCs/>
        </w:rPr>
        <w:t>mmunications</w:t>
      </w:r>
      <w:r w:rsidRPr="00DF103D">
        <w:rPr>
          <w:i/>
          <w:iCs/>
        </w:rPr>
        <w:t xml:space="preserve"> Act </w:t>
      </w:r>
      <w:r w:rsidR="00482AE7" w:rsidRPr="00DF103D">
        <w:rPr>
          <w:i/>
          <w:iCs/>
        </w:rPr>
        <w:t>1997</w:t>
      </w:r>
      <w:r w:rsidR="00482AE7">
        <w:t xml:space="preserve"> </w:t>
      </w:r>
      <w:r>
        <w:t>has been</w:t>
      </w:r>
      <w:r w:rsidRPr="003E1973">
        <w:t xml:space="preserve"> maintained. The A-Tick and C-Tick marks cease to be protected symbols as their use on newly supplied equipment has not been permitted since the end of February 2016.</w:t>
      </w:r>
    </w:p>
    <w:p w14:paraId="23970088" w14:textId="77777777" w:rsidR="00216BA0" w:rsidRDefault="00216BA0" w:rsidP="00216BA0">
      <w:pPr>
        <w:pStyle w:val="Paragraph"/>
      </w:pPr>
    </w:p>
    <w:p w14:paraId="6E93C795" w14:textId="77777777" w:rsidR="00D425E7" w:rsidRPr="00E162C4" w:rsidRDefault="00D425E7" w:rsidP="00D425E7">
      <w:pPr>
        <w:pStyle w:val="Heading1"/>
      </w:pPr>
      <w:bookmarkStart w:id="10" w:name="_Toc129856975"/>
      <w:bookmarkStart w:id="11" w:name="_Hlk127177245"/>
      <w:bookmarkEnd w:id="1"/>
      <w:bookmarkEnd w:id="2"/>
      <w:r>
        <w:lastRenderedPageBreak/>
        <w:t>Introduction</w:t>
      </w:r>
      <w:bookmarkEnd w:id="10"/>
    </w:p>
    <w:p w14:paraId="3A0FA250" w14:textId="025CF9DA" w:rsidR="00AB40C6" w:rsidRDefault="00D425E7" w:rsidP="00793BC1">
      <w:pPr>
        <w:pStyle w:val="Paragraph"/>
      </w:pPr>
      <w:bookmarkStart w:id="12" w:name="_Hlk115775643"/>
      <w:r w:rsidRPr="00B05F3D">
        <w:t xml:space="preserve">The Reform and Modernisation Act introduced a new framework that enables </w:t>
      </w:r>
      <w:r>
        <w:t xml:space="preserve">the ACMA </w:t>
      </w:r>
      <w:r w:rsidRPr="00B05F3D">
        <w:t xml:space="preserve">to make equipment rules </w:t>
      </w:r>
      <w:r w:rsidR="00AB40C6">
        <w:t>to, among other things, con</w:t>
      </w:r>
      <w:r w:rsidR="00793BC1">
        <w:t>tain</w:t>
      </w:r>
      <w:r w:rsidR="00AB40C6">
        <w:t xml:space="preserve"> interference </w:t>
      </w:r>
      <w:r w:rsidR="00793BC1">
        <w:t>to radiocommunications and interference to any uses or functions of equipment</w:t>
      </w:r>
      <w:r w:rsidR="00AB40C6">
        <w:t>.</w:t>
      </w:r>
    </w:p>
    <w:p w14:paraId="177972BC" w14:textId="5D3992DE" w:rsidR="00D425E7" w:rsidRDefault="003364E4" w:rsidP="00AB40C6">
      <w:pPr>
        <w:pStyle w:val="Paragraph"/>
      </w:pPr>
      <w:r>
        <w:t>O</w:t>
      </w:r>
      <w:r w:rsidR="00D425E7">
        <w:t xml:space="preserve">n 17 June 2021, </w:t>
      </w:r>
      <w:r>
        <w:t>ACMA</w:t>
      </w:r>
      <w:r w:rsidR="00D425E7">
        <w:t xml:space="preserve"> made the </w:t>
      </w:r>
      <w:r w:rsidR="00897A63">
        <w:t>General Equipment Rules</w:t>
      </w:r>
      <w:r w:rsidR="00D425E7">
        <w:t xml:space="preserve">. </w:t>
      </w:r>
    </w:p>
    <w:p w14:paraId="728D6D51" w14:textId="05CE3005" w:rsidR="00E47C81" w:rsidRDefault="00E47DF8" w:rsidP="00E47C81">
      <w:pPr>
        <w:pStyle w:val="Paragraph"/>
        <w:spacing w:before="120"/>
      </w:pPr>
      <w:r>
        <w:t xml:space="preserve">We are </w:t>
      </w:r>
      <w:r w:rsidR="00E47C81">
        <w:t>undertak</w:t>
      </w:r>
      <w:r w:rsidR="008B48F8">
        <w:t>ing</w:t>
      </w:r>
      <w:r w:rsidR="00E47C81">
        <w:t xml:space="preserve"> a staged program </w:t>
      </w:r>
      <w:r w:rsidR="00D425E7">
        <w:t xml:space="preserve">to review existing </w:t>
      </w:r>
      <w:r w:rsidR="003364E4">
        <w:t xml:space="preserve">legislative </w:t>
      </w:r>
      <w:r w:rsidR="00D425E7">
        <w:t>instruments and consider incorpora</w:t>
      </w:r>
      <w:r w:rsidR="003364E4">
        <w:t>ting</w:t>
      </w:r>
      <w:r w:rsidR="00D425E7">
        <w:t xml:space="preserve"> relevant </w:t>
      </w:r>
      <w:r w:rsidR="003364E4">
        <w:t>content</w:t>
      </w:r>
      <w:r w:rsidR="00D425E7">
        <w:t xml:space="preserve"> into the new </w:t>
      </w:r>
      <w:r w:rsidR="003364E4">
        <w:t xml:space="preserve">equipment rules </w:t>
      </w:r>
      <w:r w:rsidR="00D425E7">
        <w:t>framework</w:t>
      </w:r>
      <w:r w:rsidR="00E47C81">
        <w:t>. We envisage th</w:t>
      </w:r>
      <w:r w:rsidR="003364E4">
        <w:t>at the</w:t>
      </w:r>
      <w:r w:rsidR="00E47C81">
        <w:t xml:space="preserve"> General Equipment Rules will become a ‘one-stop</w:t>
      </w:r>
      <w:r w:rsidR="0043577E">
        <w:t>-</w:t>
      </w:r>
      <w:r w:rsidR="00E47C81">
        <w:t>shop’ for radiocommunications equipment regulation.</w:t>
      </w:r>
    </w:p>
    <w:p w14:paraId="2933637A" w14:textId="052A13E4" w:rsidR="00D425E7" w:rsidRDefault="00E47C81" w:rsidP="00D425E7">
      <w:pPr>
        <w:pStyle w:val="Paragraph"/>
      </w:pPr>
      <w:r>
        <w:t xml:space="preserve">In November 2022, we released </w:t>
      </w:r>
      <w:r w:rsidR="00E47DF8">
        <w:t xml:space="preserve">our </w:t>
      </w:r>
      <w:hyperlink r:id="rId26" w:history="1">
        <w:r w:rsidR="00E47DF8">
          <w:rPr>
            <w:rStyle w:val="Hyperlink"/>
          </w:rPr>
          <w:t>p</w:t>
        </w:r>
        <w:r w:rsidRPr="00E47C81">
          <w:rPr>
            <w:rStyle w:val="Hyperlink"/>
          </w:rPr>
          <w:t>roposed changes to radiocommunications equipment regulation</w:t>
        </w:r>
      </w:hyperlink>
      <w:r>
        <w:t xml:space="preserve"> as part of Stage 2 of the </w:t>
      </w:r>
      <w:r w:rsidR="003364E4">
        <w:t xml:space="preserve">staged </w:t>
      </w:r>
      <w:r>
        <w:t>reform program</w:t>
      </w:r>
      <w:r w:rsidR="00D425E7">
        <w:t xml:space="preserve">. </w:t>
      </w:r>
      <w:r w:rsidR="00D37B8A">
        <w:t>The c</w:t>
      </w:r>
      <w:r>
        <w:t>onsultation closed in December 2022</w:t>
      </w:r>
      <w:r w:rsidR="00E47DF8">
        <w:t>,</w:t>
      </w:r>
      <w:r>
        <w:t xml:space="preserve"> and we received 11 submissions.</w:t>
      </w:r>
    </w:p>
    <w:p w14:paraId="5F72895C" w14:textId="3A49B592" w:rsidR="003364E4" w:rsidRPr="003364E4" w:rsidRDefault="003364E4" w:rsidP="00672442">
      <w:pPr>
        <w:pStyle w:val="Tableheading"/>
      </w:pPr>
      <w:r w:rsidRPr="003364E4">
        <w:t>ACMA’s staged reform program for radiocommunications equipment regulation</w:t>
      </w:r>
    </w:p>
    <w:tbl>
      <w:tblPr>
        <w:tblStyle w:val="ACMAtablestyle"/>
        <w:tblW w:w="9072" w:type="dxa"/>
        <w:tblInd w:w="-5" w:type="dxa"/>
        <w:tblLook w:val="04A0" w:firstRow="1" w:lastRow="0" w:firstColumn="1" w:lastColumn="0" w:noHBand="0" w:noVBand="1"/>
      </w:tblPr>
      <w:tblGrid>
        <w:gridCol w:w="993"/>
        <w:gridCol w:w="5670"/>
        <w:gridCol w:w="2409"/>
      </w:tblGrid>
      <w:tr w:rsidR="00D425E7" w:rsidRPr="007E6B0B" w14:paraId="7322C2E9" w14:textId="77777777" w:rsidTr="00672442">
        <w:trPr>
          <w:cnfStyle w:val="100000000000" w:firstRow="1" w:lastRow="0" w:firstColumn="0" w:lastColumn="0" w:oddVBand="0" w:evenVBand="0" w:oddHBand="0" w:evenHBand="0" w:firstRowFirstColumn="0" w:firstRowLastColumn="0" w:lastRowFirstColumn="0" w:lastRowLastColumn="0"/>
        </w:trPr>
        <w:tc>
          <w:tcPr>
            <w:tcW w:w="993" w:type="dxa"/>
            <w:tcBorders>
              <w:right w:val="single" w:sz="4" w:space="0" w:color="auto"/>
            </w:tcBorders>
          </w:tcPr>
          <w:p w14:paraId="337BF63E" w14:textId="77777777" w:rsidR="00D425E7" w:rsidRPr="00672442" w:rsidRDefault="00D425E7" w:rsidP="00672442">
            <w:pPr>
              <w:pStyle w:val="Paragraph"/>
              <w:spacing w:after="0"/>
              <w:rPr>
                <w:b/>
                <w:szCs w:val="20"/>
              </w:rPr>
            </w:pPr>
            <w:r w:rsidRPr="00672442">
              <w:rPr>
                <w:b/>
                <w:szCs w:val="20"/>
              </w:rPr>
              <w:t>Project stage</w:t>
            </w:r>
          </w:p>
        </w:tc>
        <w:tc>
          <w:tcPr>
            <w:tcW w:w="5670" w:type="dxa"/>
            <w:tcBorders>
              <w:left w:val="single" w:sz="4" w:space="0" w:color="auto"/>
              <w:right w:val="single" w:sz="4" w:space="0" w:color="auto"/>
            </w:tcBorders>
          </w:tcPr>
          <w:p w14:paraId="35A287D5" w14:textId="77777777" w:rsidR="00D425E7" w:rsidRPr="00672442" w:rsidRDefault="00D425E7" w:rsidP="00672442">
            <w:pPr>
              <w:pStyle w:val="Paragraph"/>
              <w:spacing w:after="0"/>
              <w:rPr>
                <w:b/>
                <w:szCs w:val="20"/>
              </w:rPr>
            </w:pPr>
            <w:r w:rsidRPr="00672442">
              <w:rPr>
                <w:b/>
                <w:szCs w:val="20"/>
              </w:rPr>
              <w:t>Technical standard(s) and labelling notice(s) to be incorporated in the General Equipment Rules</w:t>
            </w:r>
          </w:p>
        </w:tc>
        <w:tc>
          <w:tcPr>
            <w:tcW w:w="2409" w:type="dxa"/>
            <w:tcBorders>
              <w:left w:val="single" w:sz="4" w:space="0" w:color="auto"/>
            </w:tcBorders>
          </w:tcPr>
          <w:p w14:paraId="3741D204" w14:textId="77777777" w:rsidR="00D425E7" w:rsidRPr="00672442" w:rsidRDefault="00D425E7" w:rsidP="00672442">
            <w:pPr>
              <w:pStyle w:val="Paragraph"/>
              <w:spacing w:after="0"/>
              <w:rPr>
                <w:b/>
                <w:szCs w:val="20"/>
              </w:rPr>
            </w:pPr>
            <w:r w:rsidRPr="00672442">
              <w:rPr>
                <w:b/>
                <w:szCs w:val="20"/>
              </w:rPr>
              <w:t>Timeframe</w:t>
            </w:r>
          </w:p>
        </w:tc>
      </w:tr>
      <w:tr w:rsidR="00D425E7" w14:paraId="501F887E" w14:textId="77777777" w:rsidTr="00672442">
        <w:trPr>
          <w:cnfStyle w:val="000000100000" w:firstRow="0" w:lastRow="0" w:firstColumn="0" w:lastColumn="0" w:oddVBand="0" w:evenVBand="0" w:oddHBand="1" w:evenHBand="0" w:firstRowFirstColumn="0" w:firstRowLastColumn="0" w:lastRowFirstColumn="0" w:lastRowLastColumn="0"/>
        </w:trPr>
        <w:tc>
          <w:tcPr>
            <w:tcW w:w="993" w:type="dxa"/>
          </w:tcPr>
          <w:p w14:paraId="179C4E39" w14:textId="77777777" w:rsidR="00D425E7" w:rsidRPr="00672442" w:rsidRDefault="00D425E7" w:rsidP="00672442">
            <w:pPr>
              <w:pStyle w:val="Paragraph"/>
              <w:spacing w:after="0"/>
              <w:rPr>
                <w:b/>
                <w:bCs/>
                <w:szCs w:val="20"/>
              </w:rPr>
            </w:pPr>
            <w:r w:rsidRPr="00672442">
              <w:rPr>
                <w:b/>
                <w:bCs/>
                <w:szCs w:val="20"/>
              </w:rPr>
              <w:t>Stage 1</w:t>
            </w:r>
          </w:p>
        </w:tc>
        <w:tc>
          <w:tcPr>
            <w:tcW w:w="5670" w:type="dxa"/>
          </w:tcPr>
          <w:p w14:paraId="627191A2" w14:textId="1C200764" w:rsidR="00D425E7" w:rsidRPr="00672442" w:rsidRDefault="00D425E7" w:rsidP="00672442">
            <w:pPr>
              <w:pStyle w:val="Paragraph"/>
              <w:spacing w:after="0"/>
              <w:rPr>
                <w:szCs w:val="20"/>
              </w:rPr>
            </w:pPr>
            <w:r w:rsidRPr="00672442">
              <w:rPr>
                <w:szCs w:val="20"/>
              </w:rPr>
              <w:t xml:space="preserve">Radiocommunications (Electromagnetic Radiation – Human Exposure) Standard 2014 and Radiocommunications (Compliance Labelling – Electromagnetic Radiation) </w:t>
            </w:r>
            <w:r w:rsidR="00E47DF8" w:rsidRPr="00672442">
              <w:rPr>
                <w:szCs w:val="20"/>
              </w:rPr>
              <w:br/>
            </w:r>
            <w:r w:rsidRPr="00672442">
              <w:rPr>
                <w:szCs w:val="20"/>
              </w:rPr>
              <w:t>Notice 2014</w:t>
            </w:r>
          </w:p>
        </w:tc>
        <w:tc>
          <w:tcPr>
            <w:tcW w:w="2409" w:type="dxa"/>
          </w:tcPr>
          <w:p w14:paraId="39ECE525" w14:textId="77777777" w:rsidR="00D425E7" w:rsidRPr="00672442" w:rsidRDefault="00D425E7" w:rsidP="00672442">
            <w:pPr>
              <w:pStyle w:val="Paragraph"/>
              <w:spacing w:after="0"/>
              <w:rPr>
                <w:szCs w:val="20"/>
              </w:rPr>
            </w:pPr>
            <w:r w:rsidRPr="00672442">
              <w:rPr>
                <w:szCs w:val="20"/>
              </w:rPr>
              <w:t>Completed in November 2021</w:t>
            </w:r>
          </w:p>
        </w:tc>
      </w:tr>
      <w:tr w:rsidR="00D425E7" w14:paraId="28FA2B96" w14:textId="77777777" w:rsidTr="00672442">
        <w:trPr>
          <w:cnfStyle w:val="000000010000" w:firstRow="0" w:lastRow="0" w:firstColumn="0" w:lastColumn="0" w:oddVBand="0" w:evenVBand="0" w:oddHBand="0" w:evenHBand="1" w:firstRowFirstColumn="0" w:firstRowLastColumn="0" w:lastRowFirstColumn="0" w:lastRowLastColumn="0"/>
        </w:trPr>
        <w:tc>
          <w:tcPr>
            <w:tcW w:w="993" w:type="dxa"/>
          </w:tcPr>
          <w:p w14:paraId="64C4319F" w14:textId="77777777" w:rsidR="00D425E7" w:rsidRPr="00672442" w:rsidRDefault="00D425E7" w:rsidP="00672442">
            <w:pPr>
              <w:pStyle w:val="Paragraph"/>
              <w:spacing w:after="0"/>
              <w:rPr>
                <w:b/>
                <w:bCs/>
                <w:szCs w:val="20"/>
              </w:rPr>
            </w:pPr>
            <w:r w:rsidRPr="00672442">
              <w:rPr>
                <w:b/>
                <w:bCs/>
                <w:szCs w:val="20"/>
              </w:rPr>
              <w:t>Stage 2</w:t>
            </w:r>
          </w:p>
        </w:tc>
        <w:tc>
          <w:tcPr>
            <w:tcW w:w="5670" w:type="dxa"/>
          </w:tcPr>
          <w:p w14:paraId="55B09786" w14:textId="3026A3FD" w:rsidR="00D425E7" w:rsidRPr="00672442" w:rsidRDefault="00D425E7" w:rsidP="00672442">
            <w:pPr>
              <w:pStyle w:val="Paragraph"/>
              <w:spacing w:after="0"/>
              <w:rPr>
                <w:szCs w:val="20"/>
              </w:rPr>
            </w:pPr>
            <w:r w:rsidRPr="00672442">
              <w:rPr>
                <w:szCs w:val="20"/>
              </w:rPr>
              <w:t xml:space="preserve">13 radiocommunications mandatory technical </w:t>
            </w:r>
            <w:r w:rsidR="00A830E2">
              <w:rPr>
                <w:szCs w:val="20"/>
              </w:rPr>
              <w:t>S</w:t>
            </w:r>
            <w:r w:rsidRPr="00672442">
              <w:rPr>
                <w:szCs w:val="20"/>
              </w:rPr>
              <w:t>tandards and the RLN</w:t>
            </w:r>
          </w:p>
        </w:tc>
        <w:tc>
          <w:tcPr>
            <w:tcW w:w="2409" w:type="dxa"/>
          </w:tcPr>
          <w:p w14:paraId="72B1C5B2" w14:textId="13D027FC" w:rsidR="00D425E7" w:rsidRPr="00672442" w:rsidRDefault="00D425E7" w:rsidP="00672442">
            <w:pPr>
              <w:pStyle w:val="Paragraph"/>
              <w:spacing w:after="0"/>
              <w:rPr>
                <w:szCs w:val="20"/>
              </w:rPr>
            </w:pPr>
            <w:r w:rsidRPr="00672442">
              <w:rPr>
                <w:szCs w:val="20"/>
              </w:rPr>
              <w:t>Completed in February</w:t>
            </w:r>
            <w:r w:rsidR="001A6C23" w:rsidRPr="00672442">
              <w:rPr>
                <w:szCs w:val="20"/>
              </w:rPr>
              <w:t xml:space="preserve"> </w:t>
            </w:r>
            <w:r w:rsidRPr="00672442">
              <w:rPr>
                <w:szCs w:val="20"/>
              </w:rPr>
              <w:t>2023</w:t>
            </w:r>
          </w:p>
        </w:tc>
      </w:tr>
      <w:tr w:rsidR="00D425E7" w14:paraId="70442D1B" w14:textId="77777777" w:rsidTr="00672442">
        <w:trPr>
          <w:cnfStyle w:val="000000100000" w:firstRow="0" w:lastRow="0" w:firstColumn="0" w:lastColumn="0" w:oddVBand="0" w:evenVBand="0" w:oddHBand="1" w:evenHBand="0" w:firstRowFirstColumn="0" w:firstRowLastColumn="0" w:lastRowFirstColumn="0" w:lastRowLastColumn="0"/>
        </w:trPr>
        <w:tc>
          <w:tcPr>
            <w:tcW w:w="993" w:type="dxa"/>
          </w:tcPr>
          <w:p w14:paraId="2066DEF4" w14:textId="77777777" w:rsidR="00D425E7" w:rsidRPr="00672442" w:rsidRDefault="00D425E7" w:rsidP="00672442">
            <w:pPr>
              <w:pStyle w:val="Paragraph"/>
              <w:spacing w:after="0"/>
              <w:rPr>
                <w:b/>
                <w:bCs/>
                <w:szCs w:val="20"/>
              </w:rPr>
            </w:pPr>
            <w:r w:rsidRPr="00672442">
              <w:rPr>
                <w:b/>
                <w:bCs/>
                <w:szCs w:val="20"/>
              </w:rPr>
              <w:t>Stage 3</w:t>
            </w:r>
          </w:p>
        </w:tc>
        <w:tc>
          <w:tcPr>
            <w:tcW w:w="5670" w:type="dxa"/>
          </w:tcPr>
          <w:p w14:paraId="2583F8BB" w14:textId="7C950975" w:rsidR="00D425E7" w:rsidRPr="00672442" w:rsidRDefault="00D425E7" w:rsidP="00672442">
            <w:pPr>
              <w:pStyle w:val="Paragraph"/>
              <w:spacing w:after="0"/>
              <w:rPr>
                <w:szCs w:val="20"/>
              </w:rPr>
            </w:pPr>
            <w:r w:rsidRPr="00672442">
              <w:rPr>
                <w:szCs w:val="20"/>
              </w:rPr>
              <w:t>Consideration of the Radiocommunications (Electromagnetic Compatibility) Standard 2017 and Radiocommunications Labelling (Electromagnetic Compatibility) Notice 2017</w:t>
            </w:r>
            <w:r w:rsidR="00E079C8" w:rsidRPr="00672442">
              <w:rPr>
                <w:i/>
                <w:iCs/>
                <w:szCs w:val="20"/>
              </w:rPr>
              <w:t xml:space="preserve"> </w:t>
            </w:r>
            <w:r w:rsidR="00E079C8" w:rsidRPr="00672442">
              <w:rPr>
                <w:szCs w:val="20"/>
              </w:rPr>
              <w:t>(EMC Labelling Notice)</w:t>
            </w:r>
          </w:p>
        </w:tc>
        <w:tc>
          <w:tcPr>
            <w:tcW w:w="2409" w:type="dxa"/>
          </w:tcPr>
          <w:p w14:paraId="52E9D95A" w14:textId="2DDC89A1" w:rsidR="00D425E7" w:rsidRPr="00672442" w:rsidRDefault="00DA7180" w:rsidP="00672442">
            <w:pPr>
              <w:pStyle w:val="Paragraph"/>
              <w:spacing w:after="0"/>
              <w:rPr>
                <w:szCs w:val="20"/>
              </w:rPr>
            </w:pPr>
            <w:r w:rsidRPr="00672442">
              <w:rPr>
                <w:szCs w:val="20"/>
              </w:rPr>
              <w:t xml:space="preserve">Consultation expected to commence in </w:t>
            </w:r>
            <w:r w:rsidR="00D145E4" w:rsidRPr="00672442">
              <w:rPr>
                <w:szCs w:val="20"/>
              </w:rPr>
              <w:br/>
            </w:r>
            <w:r w:rsidRPr="00672442">
              <w:rPr>
                <w:szCs w:val="20"/>
              </w:rPr>
              <w:t>Q4 2023</w:t>
            </w:r>
          </w:p>
        </w:tc>
      </w:tr>
      <w:bookmarkEnd w:id="12"/>
    </w:tbl>
    <w:p w14:paraId="15B46DFF" w14:textId="1CE1B41A" w:rsidR="00E47C81" w:rsidRDefault="00E47C81" w:rsidP="00D425E7">
      <w:pPr>
        <w:pStyle w:val="Paragraph"/>
        <w:rPr>
          <w:bCs/>
        </w:rPr>
      </w:pPr>
    </w:p>
    <w:p w14:paraId="1BEBAA67" w14:textId="31551F49" w:rsidR="009B6EAE" w:rsidRDefault="009B6EAE" w:rsidP="00A243BD">
      <w:pPr>
        <w:pStyle w:val="Bulletlevel1"/>
        <w:numPr>
          <w:ilvl w:val="0"/>
          <w:numId w:val="0"/>
        </w:numPr>
      </w:pPr>
      <w:bookmarkStart w:id="13" w:name="_Toc118731003"/>
    </w:p>
    <w:bookmarkEnd w:id="13"/>
    <w:bookmarkEnd w:id="11"/>
    <w:p w14:paraId="61C0A9D0" w14:textId="77777777" w:rsidR="00E258B2" w:rsidRDefault="00E258B2">
      <w:pPr>
        <w:spacing w:after="160" w:line="259" w:lineRule="auto"/>
        <w:rPr>
          <w:rFonts w:cs="Arial"/>
          <w:bCs/>
          <w:color w:val="323232"/>
          <w:kern w:val="32"/>
          <w:sz w:val="53"/>
          <w:szCs w:val="32"/>
        </w:rPr>
      </w:pPr>
      <w:r>
        <w:br w:type="page"/>
      </w:r>
    </w:p>
    <w:p w14:paraId="243D2101" w14:textId="77777777" w:rsidR="00E258B2" w:rsidRDefault="00E258B2" w:rsidP="0013573F">
      <w:pPr>
        <w:pStyle w:val="Heading1"/>
        <w:sectPr w:rsidR="00E258B2" w:rsidSect="00E258B2">
          <w:headerReference w:type="even" r:id="rId27"/>
          <w:headerReference w:type="default" r:id="rId28"/>
          <w:footerReference w:type="even" r:id="rId29"/>
          <w:footerReference w:type="default" r:id="rId30"/>
          <w:pgSz w:w="11906" w:h="16838" w:code="9"/>
          <w:pgMar w:top="1945" w:right="3101" w:bottom="1134" w:left="1134" w:header="709" w:footer="119" w:gutter="0"/>
          <w:pgNumType w:start="1"/>
          <w:cols w:space="708"/>
          <w:docGrid w:linePitch="360"/>
        </w:sectPr>
      </w:pPr>
    </w:p>
    <w:p w14:paraId="078FA156" w14:textId="410FB5B6" w:rsidR="0013573F" w:rsidRPr="001444D8" w:rsidRDefault="0013573F" w:rsidP="0013573F">
      <w:pPr>
        <w:pStyle w:val="Heading1"/>
      </w:pPr>
      <w:bookmarkStart w:id="14" w:name="_Toc129856976"/>
      <w:r>
        <w:lastRenderedPageBreak/>
        <w:t xml:space="preserve">Summary of submissions </w:t>
      </w:r>
      <w:r w:rsidR="00A3571A">
        <w:t>and consultation outcomes</w:t>
      </w:r>
      <w:bookmarkEnd w:id="14"/>
    </w:p>
    <w:p w14:paraId="2C2D2447" w14:textId="30B7A480" w:rsidR="0013573F" w:rsidRDefault="00A3571A" w:rsidP="00B7688B">
      <w:pPr>
        <w:pStyle w:val="Paragraph"/>
      </w:pPr>
      <w:r>
        <w:t xml:space="preserve">The ACMA received 11 submissions to the consultation. The submissions broadly supported making the </w:t>
      </w:r>
      <w:r w:rsidR="005971E4">
        <w:t xml:space="preserve">legislative </w:t>
      </w:r>
      <w:r>
        <w:t>instruments, with some submissions</w:t>
      </w:r>
      <w:r w:rsidR="005971E4">
        <w:t xml:space="preserve"> proposing </w:t>
      </w:r>
      <w:r w:rsidR="005054C4">
        <w:t xml:space="preserve">additional </w:t>
      </w:r>
      <w:r>
        <w:t>amendment</w:t>
      </w:r>
      <w:r w:rsidR="005971E4">
        <w:t>s to the legislative instruments</w:t>
      </w:r>
      <w:r>
        <w:t xml:space="preserve">. </w:t>
      </w:r>
      <w:r w:rsidR="0013573F">
        <w:t xml:space="preserve">The submissions can be found on the </w:t>
      </w:r>
      <w:hyperlink r:id="rId31" w:history="1">
        <w:r w:rsidR="0013573F" w:rsidRPr="00B7688B">
          <w:rPr>
            <w:rStyle w:val="Hyperlink"/>
          </w:rPr>
          <w:t>ACMA’s website</w:t>
        </w:r>
      </w:hyperlink>
      <w:r w:rsidR="0013573F">
        <w:t xml:space="preserve">, and a list of submitters is provided at Appendix </w:t>
      </w:r>
      <w:r w:rsidR="004B434B">
        <w:t>A</w:t>
      </w:r>
      <w:r w:rsidR="0013573F">
        <w:t>.</w:t>
      </w:r>
    </w:p>
    <w:p w14:paraId="1252EA61" w14:textId="57BEF417" w:rsidR="00E74ED7" w:rsidRDefault="00E74ED7" w:rsidP="00B7688B">
      <w:pPr>
        <w:pStyle w:val="Paragraph"/>
      </w:pPr>
      <w:r>
        <w:t xml:space="preserve">We considered the submissions, and </w:t>
      </w:r>
      <w:r w:rsidR="005971E4">
        <w:t>in response</w:t>
      </w:r>
      <w:r w:rsidR="005054C4">
        <w:t>,</w:t>
      </w:r>
      <w:r w:rsidR="005971E4">
        <w:t xml:space="preserve"> </w:t>
      </w:r>
      <w:r>
        <w:t>some minor changes were made to the Amendment Rules.</w:t>
      </w:r>
      <w:r w:rsidR="006C4F9A">
        <w:t xml:space="preserve"> </w:t>
      </w:r>
      <w:r>
        <w:t>On 23 February 2023, we</w:t>
      </w:r>
      <w:r w:rsidR="00FD7C42">
        <w:t xml:space="preserve"> made</w:t>
      </w:r>
      <w:r w:rsidR="00140EEE">
        <w:t xml:space="preserve"> the </w:t>
      </w:r>
      <w:r w:rsidR="00FD7C42">
        <w:t>Amendment Rules,</w:t>
      </w:r>
      <w:r>
        <w:t xml:space="preserve"> LIPD Class Variation, </w:t>
      </w:r>
      <w:r w:rsidRPr="005505DB">
        <w:t>Telco</w:t>
      </w:r>
      <w:r>
        <w:t xml:space="preserve"> Significant Event Instrument and Protected Symbols Determination 2023.</w:t>
      </w:r>
    </w:p>
    <w:p w14:paraId="3FC9D737" w14:textId="6CB33B0B" w:rsidR="00897A63" w:rsidRDefault="00897A63" w:rsidP="00B7688B">
      <w:pPr>
        <w:pStyle w:val="Paragraph"/>
      </w:pPr>
      <w:r>
        <w:t xml:space="preserve">This section summarises the </w:t>
      </w:r>
      <w:r w:rsidR="00481148">
        <w:t>submissions to the consultation</w:t>
      </w:r>
      <w:r>
        <w:t xml:space="preserve"> and the consultation outcomes.</w:t>
      </w:r>
      <w:r w:rsidR="00481148">
        <w:t xml:space="preserve"> The issues are set out under the relevant question for comment in the ACMA </w:t>
      </w:r>
      <w:r w:rsidR="0043577E">
        <w:t>c</w:t>
      </w:r>
      <w:r w:rsidR="00481148">
        <w:t xml:space="preserve">onsultation </w:t>
      </w:r>
      <w:r w:rsidR="0043577E">
        <w:t>p</w:t>
      </w:r>
      <w:r w:rsidR="00481148">
        <w:t xml:space="preserve">aper. </w:t>
      </w:r>
    </w:p>
    <w:p w14:paraId="21C2E22C" w14:textId="77777777" w:rsidR="00FB0583" w:rsidRPr="00E162C4" w:rsidRDefault="00FB0583" w:rsidP="00FB0583">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Question 1</w:t>
      </w:r>
    </w:p>
    <w:p w14:paraId="4C6B7019" w14:textId="1ECDD340" w:rsidR="00FB0583" w:rsidRPr="00E162C4" w:rsidRDefault="00FB0583" w:rsidP="00FB0583">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comments on the proposal to incorporate the content of the ACMA’s 13 radiocommunications mandatory technical </w:t>
      </w:r>
      <w:r w:rsidR="00A830E2">
        <w:t>S</w:t>
      </w:r>
      <w:r>
        <w:t>tandards and the RLN into the General Equipment Rules?</w:t>
      </w:r>
    </w:p>
    <w:p w14:paraId="1FFE66B1" w14:textId="0A392E1B" w:rsidR="00FB0583" w:rsidRDefault="00180147" w:rsidP="00FB0583">
      <w:pPr>
        <w:pStyle w:val="Paragraph"/>
      </w:pPr>
      <w:r>
        <w:t>Four</w:t>
      </w:r>
      <w:r w:rsidR="00FB0583">
        <w:t xml:space="preserve"> submitter</w:t>
      </w:r>
      <w:r w:rsidR="00676CC6">
        <w:t>s</w:t>
      </w:r>
      <w:r w:rsidR="00FB0583">
        <w:t xml:space="preserve"> expressed support without further suggestion</w:t>
      </w:r>
      <w:r w:rsidR="00676CC6">
        <w:t xml:space="preserve">s for amendment and </w:t>
      </w:r>
      <w:r w:rsidR="0043577E">
        <w:t xml:space="preserve">2 </w:t>
      </w:r>
      <w:r w:rsidR="00676CC6">
        <w:t xml:space="preserve">submitters provided no comment </w:t>
      </w:r>
      <w:r w:rsidR="008A5A46">
        <w:t>on</w:t>
      </w:r>
      <w:r w:rsidR="00676CC6">
        <w:t xml:space="preserve"> this proposal</w:t>
      </w:r>
      <w:r w:rsidR="00FB0583">
        <w:t>. The remaining</w:t>
      </w:r>
      <w:r>
        <w:t xml:space="preserve"> </w:t>
      </w:r>
      <w:r w:rsidR="0043577E">
        <w:t xml:space="preserve">5 </w:t>
      </w:r>
      <w:r w:rsidR="00FB0583">
        <w:t xml:space="preserve">submitters broadly expressed support </w:t>
      </w:r>
      <w:r w:rsidR="008A5A46">
        <w:t>for</w:t>
      </w:r>
      <w:r w:rsidR="00FB0583">
        <w:t xml:space="preserve"> this </w:t>
      </w:r>
      <w:r w:rsidR="00481148">
        <w:t xml:space="preserve">ACMA </w:t>
      </w:r>
      <w:r w:rsidR="00FB0583">
        <w:t xml:space="preserve">proposal </w:t>
      </w:r>
      <w:r w:rsidR="00481148">
        <w:t xml:space="preserve">and also proposed some </w:t>
      </w:r>
      <w:r w:rsidR="005054C4">
        <w:t xml:space="preserve">additional </w:t>
      </w:r>
      <w:r w:rsidR="00FB0583">
        <w:t>amendment</w:t>
      </w:r>
      <w:r w:rsidR="00481148">
        <w:t>s</w:t>
      </w:r>
      <w:r w:rsidR="00AF7DDE">
        <w:t xml:space="preserve"> as summarised in Table </w:t>
      </w:r>
      <w:r w:rsidR="00EE5DA0">
        <w:t>2</w:t>
      </w:r>
      <w:r w:rsidR="00FB0583">
        <w:t xml:space="preserve">. </w:t>
      </w:r>
    </w:p>
    <w:p w14:paraId="762F5345" w14:textId="0E62699A" w:rsidR="00FB0583" w:rsidRDefault="00FB0583" w:rsidP="00FB0583">
      <w:pPr>
        <w:pStyle w:val="Paragraph"/>
      </w:pPr>
      <w:r>
        <w:t>A key theme from</w:t>
      </w:r>
      <w:r w:rsidR="00481148">
        <w:t xml:space="preserve"> </w:t>
      </w:r>
      <w:r w:rsidR="00EC1F34">
        <w:t xml:space="preserve">a number </w:t>
      </w:r>
      <w:r w:rsidR="00481148">
        <w:t xml:space="preserve">of </w:t>
      </w:r>
      <w:r>
        <w:t>submissions was that the General Equipment Rules were becoming difficult to understand. While we acknowledge the legislative framework is complex, we consider th</w:t>
      </w:r>
      <w:r w:rsidR="00D767FC">
        <w:t xml:space="preserve">at the proposed incorporation of 14 separate legislative instruments into the General Equipment Rules will reduce </w:t>
      </w:r>
      <w:r w:rsidR="003A6602">
        <w:t xml:space="preserve">overall </w:t>
      </w:r>
      <w:r w:rsidR="00D767FC">
        <w:t xml:space="preserve">informational costs for suppliers </w:t>
      </w:r>
      <w:r w:rsidR="003A6602">
        <w:t>by</w:t>
      </w:r>
      <w:r w:rsidR="00D767FC">
        <w:t xml:space="preserve"> simplifying and streamlining </w:t>
      </w:r>
      <w:r w:rsidR="003A6602">
        <w:t>the legislative framework. This will result in</w:t>
      </w:r>
      <w:r w:rsidR="00D767FC">
        <w:t xml:space="preserve"> improved</w:t>
      </w:r>
      <w:r w:rsidR="00EC1F34">
        <w:t xml:space="preserve"> clarity,</w:t>
      </w:r>
      <w:r w:rsidR="00D767FC">
        <w:t xml:space="preserve"> </w:t>
      </w:r>
      <w:r w:rsidR="00EC1F34">
        <w:t>consistency</w:t>
      </w:r>
      <w:r w:rsidR="00D767FC">
        <w:t xml:space="preserve"> and interpretation of </w:t>
      </w:r>
      <w:r w:rsidR="003A6602">
        <w:t xml:space="preserve">the applicable </w:t>
      </w:r>
      <w:r w:rsidR="00D767FC">
        <w:t>regulatory provisions, compared to the previous arrangements.</w:t>
      </w:r>
    </w:p>
    <w:p w14:paraId="3C8B0814" w14:textId="1D7201BF" w:rsidR="00AF7DDE" w:rsidRPr="00AF7DDE" w:rsidRDefault="00AF7DDE" w:rsidP="00672442">
      <w:pPr>
        <w:pStyle w:val="Heading3"/>
      </w:pPr>
      <w:r w:rsidRPr="00AF7DDE">
        <w:t>Outcome</w:t>
      </w:r>
    </w:p>
    <w:p w14:paraId="4532CAF7" w14:textId="57C04A06" w:rsidR="00AF7DDE" w:rsidRDefault="00AF7DDE" w:rsidP="00AF7DDE">
      <w:pPr>
        <w:pStyle w:val="Paragraph"/>
      </w:pPr>
      <w:r>
        <w:t xml:space="preserve">We repealed 13 radiocommunications mandatory technical </w:t>
      </w:r>
      <w:r w:rsidR="00A830E2">
        <w:t>S</w:t>
      </w:r>
      <w:r>
        <w:t xml:space="preserve">tandards and the RLN and included their content </w:t>
      </w:r>
      <w:r w:rsidR="00C4144D">
        <w:t xml:space="preserve">with some modifications </w:t>
      </w:r>
      <w:r>
        <w:t xml:space="preserve">in the General Equipment Rules. We plan to </w:t>
      </w:r>
      <w:r w:rsidR="00D767FC">
        <w:t>publish additional</w:t>
      </w:r>
      <w:r>
        <w:t xml:space="preserve"> guidance material</w:t>
      </w:r>
      <w:r w:rsidR="00D767FC">
        <w:t xml:space="preserve"> on the ACMA website. This will</w:t>
      </w:r>
      <w:r>
        <w:t xml:space="preserve"> assist industry </w:t>
      </w:r>
      <w:r w:rsidR="00D767FC">
        <w:t>in</w:t>
      </w:r>
      <w:r>
        <w:t xml:space="preserve"> interpreting the applicable </w:t>
      </w:r>
      <w:r w:rsidR="00D767FC">
        <w:t xml:space="preserve">regulatory requirement, including identifying the relevant version of any adopted industry </w:t>
      </w:r>
      <w:r w:rsidR="00A830E2">
        <w:t>S</w:t>
      </w:r>
      <w:r>
        <w:t>tandards.</w:t>
      </w:r>
    </w:p>
    <w:p w14:paraId="0B155BCB" w14:textId="77777777" w:rsidR="00701A15" w:rsidRDefault="00701A15" w:rsidP="00AF7DDE">
      <w:pPr>
        <w:pStyle w:val="Paragraph"/>
        <w:sectPr w:rsidR="00701A15" w:rsidSect="00672442">
          <w:pgSz w:w="11906" w:h="16838" w:code="9"/>
          <w:pgMar w:top="1945" w:right="3117" w:bottom="1134" w:left="1134" w:header="709" w:footer="119" w:gutter="0"/>
          <w:cols w:space="708"/>
          <w:docGrid w:linePitch="360"/>
        </w:sectPr>
      </w:pPr>
    </w:p>
    <w:p w14:paraId="012A1F1B" w14:textId="755B02E3" w:rsidR="0013573F" w:rsidRPr="0043577E" w:rsidRDefault="00432B7C" w:rsidP="0043577E">
      <w:pPr>
        <w:pStyle w:val="Tableheading"/>
      </w:pPr>
      <w:r w:rsidRPr="0043577E">
        <w:lastRenderedPageBreak/>
        <w:t xml:space="preserve">Summary of </w:t>
      </w:r>
      <w:r w:rsidR="003A6602" w:rsidRPr="0043577E">
        <w:t>submissions</w:t>
      </w:r>
      <w:r w:rsidRPr="0043577E">
        <w:t xml:space="preserve"> </w:t>
      </w:r>
      <w:r w:rsidR="00406C7B" w:rsidRPr="0043577E">
        <w:t xml:space="preserve">and outcomes </w:t>
      </w:r>
      <w:r w:rsidRPr="0043577E">
        <w:t>for Question 1</w:t>
      </w:r>
    </w:p>
    <w:tbl>
      <w:tblPr>
        <w:tblStyle w:val="ACMAtablestyle"/>
        <w:tblW w:w="9493" w:type="dxa"/>
        <w:tblLayout w:type="fixed"/>
        <w:tblLook w:val="01E0" w:firstRow="1" w:lastRow="1" w:firstColumn="1" w:lastColumn="1" w:noHBand="0" w:noVBand="0"/>
        <w:tblCaption w:val="Table title to go here"/>
        <w:tblDescription w:val="Table description to go here"/>
      </w:tblPr>
      <w:tblGrid>
        <w:gridCol w:w="2122"/>
        <w:gridCol w:w="3402"/>
        <w:gridCol w:w="3969"/>
      </w:tblGrid>
      <w:tr w:rsidR="00F42B87" w:rsidRPr="00E162C4" w14:paraId="33E2F124" w14:textId="77777777" w:rsidTr="00672442">
        <w:trPr>
          <w:cnfStyle w:val="100000000000" w:firstRow="1" w:lastRow="0" w:firstColumn="0" w:lastColumn="0" w:oddVBand="0" w:evenVBand="0" w:oddHBand="0" w:evenHBand="0" w:firstRowFirstColumn="0" w:firstRowLastColumn="0" w:lastRowFirstColumn="0" w:lastRowLastColumn="0"/>
        </w:trPr>
        <w:tc>
          <w:tcPr>
            <w:tcW w:w="2122" w:type="dxa"/>
          </w:tcPr>
          <w:p w14:paraId="6AE2D5BE" w14:textId="7D9F2596" w:rsidR="00F42B87" w:rsidRDefault="00F42B87" w:rsidP="00DA7FEA">
            <w:pPr>
              <w:pStyle w:val="Tableheaderrow"/>
            </w:pPr>
            <w:r>
              <w:t>Submitter</w:t>
            </w:r>
          </w:p>
        </w:tc>
        <w:tc>
          <w:tcPr>
            <w:tcW w:w="3402" w:type="dxa"/>
          </w:tcPr>
          <w:p w14:paraId="47F80A60" w14:textId="297AE653" w:rsidR="00F42B87" w:rsidRPr="00E162C4" w:rsidRDefault="00F42B87" w:rsidP="00DA7FEA">
            <w:pPr>
              <w:pStyle w:val="Tableheaderrow"/>
            </w:pPr>
            <w:r>
              <w:t>Submission</w:t>
            </w:r>
          </w:p>
        </w:tc>
        <w:tc>
          <w:tcPr>
            <w:tcW w:w="3969" w:type="dxa"/>
          </w:tcPr>
          <w:p w14:paraId="1869F4D9" w14:textId="295D5053" w:rsidR="00F42B87" w:rsidRPr="00A85C35" w:rsidRDefault="00F42B87" w:rsidP="00DA7FEA">
            <w:pPr>
              <w:pStyle w:val="Tableheaderrow"/>
            </w:pPr>
            <w:r>
              <w:t>Consultation outcome</w:t>
            </w:r>
          </w:p>
        </w:tc>
      </w:tr>
      <w:tr w:rsidR="00F42B87" w:rsidRPr="00E162C4" w14:paraId="0F37D4C7"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shd w:val="clear" w:color="auto" w:fill="F2F2F2" w:themeFill="background1" w:themeFillShade="F2"/>
          </w:tcPr>
          <w:p w14:paraId="189FABF9" w14:textId="3BA44729" w:rsidR="00F42B87" w:rsidRPr="00F42B87" w:rsidRDefault="00F42B87" w:rsidP="00950394">
            <w:pPr>
              <w:pStyle w:val="Bulletlevel1"/>
              <w:numPr>
                <w:ilvl w:val="0"/>
                <w:numId w:val="16"/>
              </w:numPr>
              <w:ind w:left="368"/>
              <w:rPr>
                <w:b/>
                <w:bCs/>
              </w:rPr>
            </w:pPr>
            <w:r w:rsidRPr="00F42B87">
              <w:rPr>
                <w:b/>
                <w:bCs/>
              </w:rPr>
              <w:t>Australian Industry Group (AIG)</w:t>
            </w:r>
          </w:p>
        </w:tc>
        <w:tc>
          <w:tcPr>
            <w:tcW w:w="3402" w:type="dxa"/>
            <w:shd w:val="clear" w:color="auto" w:fill="F2F2F2" w:themeFill="background1" w:themeFillShade="F2"/>
          </w:tcPr>
          <w:p w14:paraId="45828E57" w14:textId="24E15DF6" w:rsidR="00F42B87" w:rsidRDefault="00F42B87" w:rsidP="00672442">
            <w:pPr>
              <w:pStyle w:val="Paragraph"/>
              <w:spacing w:after="120"/>
            </w:pPr>
            <w:r w:rsidRPr="007F586D">
              <w:t xml:space="preserve">AIG’s submission supported the proposal but raised concern that the </w:t>
            </w:r>
            <w:proofErr w:type="gramStart"/>
            <w:r w:rsidRPr="00DA369E">
              <w:t>Short Range</w:t>
            </w:r>
            <w:proofErr w:type="gramEnd"/>
            <w:r w:rsidRPr="00DA369E">
              <w:t xml:space="preserve"> Equipment Standard</w:t>
            </w:r>
            <w:r w:rsidRPr="007F586D">
              <w:t xml:space="preserve"> does not contain any industry </w:t>
            </w:r>
            <w:r w:rsidR="00A830E2">
              <w:t>S</w:t>
            </w:r>
            <w:r w:rsidRPr="007F586D">
              <w:t>tandards applicable to Radio Local Area Network transmitters authorised to operate under items 63AA and 63AB of Schedule 1 to the LIPD Class Licence, i.e.</w:t>
            </w:r>
            <w:r w:rsidR="0043577E">
              <w:t>,</w:t>
            </w:r>
            <w:r w:rsidRPr="007F586D">
              <w:t xml:space="preserve"> operation at 5925</w:t>
            </w:r>
            <w:r w:rsidR="0043577E">
              <w:t>–</w:t>
            </w:r>
            <w:r w:rsidRPr="007F586D">
              <w:t xml:space="preserve">6425 MHz with maximum EIRPs 250 </w:t>
            </w:r>
            <w:proofErr w:type="spellStart"/>
            <w:r w:rsidRPr="007F586D">
              <w:t>mW</w:t>
            </w:r>
            <w:proofErr w:type="spellEnd"/>
            <w:r w:rsidRPr="007F586D">
              <w:t xml:space="preserve"> and 25 </w:t>
            </w:r>
            <w:proofErr w:type="spellStart"/>
            <w:r w:rsidRPr="007F586D">
              <w:t>mW</w:t>
            </w:r>
            <w:proofErr w:type="spellEnd"/>
            <w:r w:rsidR="0043577E">
              <w:t>,</w:t>
            </w:r>
            <w:r w:rsidRPr="007F586D">
              <w:t xml:space="preserve"> respectively. </w:t>
            </w:r>
          </w:p>
          <w:p w14:paraId="2449B06C" w14:textId="15F0795B" w:rsidR="00F42B87" w:rsidRPr="007F586D" w:rsidRDefault="00F42B87" w:rsidP="007F586D">
            <w:pPr>
              <w:pStyle w:val="Bulletlevel1"/>
              <w:numPr>
                <w:ilvl w:val="0"/>
                <w:numId w:val="0"/>
              </w:numPr>
            </w:pPr>
            <w:r w:rsidRPr="007F586D">
              <w:t xml:space="preserve">AIG suggested that ETSI EN 303 687 be adopted for these items in the </w:t>
            </w:r>
            <w:proofErr w:type="gramStart"/>
            <w:r w:rsidRPr="007F586D">
              <w:t>Short Range</w:t>
            </w:r>
            <w:proofErr w:type="gramEnd"/>
            <w:r w:rsidRPr="007F586D">
              <w:t xml:space="preserve"> Equipment Standard as the </w:t>
            </w:r>
            <w:r w:rsidR="0043577E">
              <w:t>2</w:t>
            </w:r>
            <w:r w:rsidR="0043577E" w:rsidRPr="007F586D">
              <w:t xml:space="preserve"> </w:t>
            </w:r>
            <w:r w:rsidRPr="007F586D">
              <w:t xml:space="preserve">items are popular emerging technology in </w:t>
            </w:r>
            <w:r w:rsidR="0043577E">
              <w:t>w</w:t>
            </w:r>
            <w:r w:rsidRPr="007F586D">
              <w:t>i-</w:t>
            </w:r>
            <w:r w:rsidR="0043577E">
              <w:t>f</w:t>
            </w:r>
            <w:r w:rsidRPr="007F586D">
              <w:t>i applications.</w:t>
            </w:r>
          </w:p>
        </w:tc>
        <w:tc>
          <w:tcPr>
            <w:tcW w:w="3969" w:type="dxa"/>
            <w:shd w:val="clear" w:color="auto" w:fill="F2F2F2" w:themeFill="background1" w:themeFillShade="F2"/>
          </w:tcPr>
          <w:p w14:paraId="47CC3E74" w14:textId="3F8AB9B9" w:rsidR="00F42B87" w:rsidRDefault="00F42B87" w:rsidP="007F586D">
            <w:pPr>
              <w:pStyle w:val="Bulletlevel1"/>
              <w:numPr>
                <w:ilvl w:val="0"/>
                <w:numId w:val="0"/>
              </w:numPr>
            </w:pPr>
            <w:r>
              <w:t>We considered the concern, noting:</w:t>
            </w:r>
          </w:p>
          <w:p w14:paraId="69DBE807" w14:textId="62CB06F4" w:rsidR="00F42B87" w:rsidRDefault="00F42B87" w:rsidP="00FF48D5">
            <w:pPr>
              <w:pStyle w:val="Bulletlevel1"/>
              <w:tabs>
                <w:tab w:val="clear" w:pos="1572"/>
                <w:tab w:val="num" w:pos="295"/>
              </w:tabs>
              <w:ind w:left="295"/>
            </w:pPr>
            <w:r>
              <w:t>ETSI EN 303 687 is still under development and is not yet published.</w:t>
            </w:r>
          </w:p>
          <w:p w14:paraId="245407D2" w14:textId="31B0E207" w:rsidR="00F42B87" w:rsidRDefault="00F42B87" w:rsidP="00FF48D5">
            <w:pPr>
              <w:pStyle w:val="Bulletlevel1"/>
              <w:tabs>
                <w:tab w:val="clear" w:pos="1572"/>
                <w:tab w:val="num" w:pos="295"/>
              </w:tabs>
              <w:ind w:left="295"/>
            </w:pPr>
            <w:r>
              <w:t>These Radio Local Area Network transmitters are regulated under equivalent requirements in Part 15 – Short Range Equipment Standard of Schedule 5 to the General Equipment Rules.</w:t>
            </w:r>
          </w:p>
          <w:p w14:paraId="1643916A" w14:textId="384CA38C" w:rsidR="00F42B87" w:rsidRDefault="00F42B87" w:rsidP="00FF48D5">
            <w:pPr>
              <w:pStyle w:val="Bulletlevel1"/>
              <w:tabs>
                <w:tab w:val="clear" w:pos="1572"/>
                <w:tab w:val="num" w:pos="295"/>
              </w:tabs>
              <w:ind w:left="295"/>
            </w:pPr>
            <w:r>
              <w:t xml:space="preserve">The </w:t>
            </w:r>
            <w:proofErr w:type="gramStart"/>
            <w:r>
              <w:t>Short Range</w:t>
            </w:r>
            <w:proofErr w:type="gramEnd"/>
            <w:r>
              <w:t xml:space="preserve"> Equipment Standard </w:t>
            </w:r>
            <w:r w:rsidRPr="00A91CB9">
              <w:t xml:space="preserve">adopts </w:t>
            </w:r>
            <w:r>
              <w:t xml:space="preserve">the </w:t>
            </w:r>
            <w:r w:rsidRPr="00A91CB9">
              <w:t>Federal Communications Commission (FCC) Rules Title 47 (Telecommunications) Part 15–Radio Frequency Devices. The FCC Rules have equivalent requirements to the draft ETSI EN 303 687.</w:t>
            </w:r>
          </w:p>
          <w:p w14:paraId="1B49A16B" w14:textId="72C249C1" w:rsidR="00F42B87" w:rsidRDefault="00F42B87" w:rsidP="00672442">
            <w:pPr>
              <w:pStyle w:val="Bulletlevel1"/>
              <w:tabs>
                <w:tab w:val="clear" w:pos="1572"/>
                <w:tab w:val="num" w:pos="295"/>
              </w:tabs>
              <w:spacing w:after="120"/>
              <w:ind w:left="295"/>
            </w:pPr>
            <w:r w:rsidRPr="00A91CB9">
              <w:t xml:space="preserve">The above FCC Rules </w:t>
            </w:r>
            <w:r>
              <w:t>were previously</w:t>
            </w:r>
            <w:r w:rsidRPr="00A91CB9">
              <w:t xml:space="preserve"> adopted in the</w:t>
            </w:r>
            <w:r>
              <w:t xml:space="preserve"> repealed</w:t>
            </w:r>
            <w:r w:rsidRPr="00A91CB9">
              <w:t xml:space="preserve"> </w:t>
            </w:r>
            <w:r w:rsidRPr="00672442">
              <w:t>Radiocommunications (Short Range Devices) Standard 2014</w:t>
            </w:r>
            <w:r>
              <w:rPr>
                <w:i/>
                <w:iCs/>
              </w:rPr>
              <w:t>.</w:t>
            </w:r>
          </w:p>
          <w:p w14:paraId="73B55982" w14:textId="7451A4DB" w:rsidR="00F42B87" w:rsidRPr="00E162C4" w:rsidRDefault="008D5F80" w:rsidP="00672442">
            <w:pPr>
              <w:pStyle w:val="Bulletlevel1"/>
              <w:numPr>
                <w:ilvl w:val="0"/>
                <w:numId w:val="0"/>
              </w:numPr>
              <w:spacing w:after="0"/>
            </w:pPr>
            <w:r>
              <w:t xml:space="preserve">We </w:t>
            </w:r>
            <w:r w:rsidR="003A6602">
              <w:t>will</w:t>
            </w:r>
            <w:r w:rsidR="00F42B87">
              <w:t xml:space="preserve"> consider</w:t>
            </w:r>
            <w:r>
              <w:t xml:space="preserve"> </w:t>
            </w:r>
            <w:r w:rsidR="00F42B87">
              <w:t>adopt</w:t>
            </w:r>
            <w:r>
              <w:t>ing</w:t>
            </w:r>
            <w:r w:rsidR="00F42B87">
              <w:t xml:space="preserve"> ETSI EN 303 687 when the document is published.</w:t>
            </w:r>
          </w:p>
        </w:tc>
      </w:tr>
      <w:tr w:rsidR="00F42B87" w:rsidRPr="00E162C4" w14:paraId="1A3ED61C"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vMerge w:val="restart"/>
            <w:shd w:val="clear" w:color="auto" w:fill="auto"/>
          </w:tcPr>
          <w:p w14:paraId="7642A66B" w14:textId="65ECECCC" w:rsidR="00F42B87" w:rsidRPr="00F42B87" w:rsidRDefault="00F42B87" w:rsidP="00950394">
            <w:pPr>
              <w:pStyle w:val="Bulletlevel1"/>
              <w:numPr>
                <w:ilvl w:val="0"/>
                <w:numId w:val="16"/>
              </w:numPr>
              <w:ind w:left="368"/>
              <w:rPr>
                <w:b/>
                <w:bCs/>
              </w:rPr>
            </w:pPr>
            <w:r w:rsidRPr="00F42B87">
              <w:rPr>
                <w:b/>
                <w:bCs/>
              </w:rPr>
              <w:t>Australian Maritime Safety Authority (AMSA)</w:t>
            </w:r>
            <w:r>
              <w:rPr>
                <w:b/>
                <w:bCs/>
              </w:rPr>
              <w:t xml:space="preserve"> </w:t>
            </w:r>
          </w:p>
        </w:tc>
        <w:tc>
          <w:tcPr>
            <w:tcW w:w="3402" w:type="dxa"/>
            <w:shd w:val="clear" w:color="auto" w:fill="auto"/>
          </w:tcPr>
          <w:p w14:paraId="5D779462" w14:textId="1142B062" w:rsidR="00F42B87" w:rsidRPr="00F42B87" w:rsidRDefault="00F42B87" w:rsidP="00672442">
            <w:pPr>
              <w:pStyle w:val="Paragraph"/>
              <w:spacing w:after="120"/>
            </w:pPr>
            <w:r w:rsidRPr="00F42B87">
              <w:t>AMSA’s submission supported the adoption of specified clauses of AS/NZS 4280.1:2022 ‘406 MHz satellite distress beacons Part 1: Marine emergency position-indicating radio beacons (EPIRB) (IEC 61097-2, Ed.3.0 (2208), MOD)</w:t>
            </w:r>
            <w:r w:rsidR="006E0946">
              <w:t>.</w:t>
            </w:r>
            <w:r w:rsidRPr="00F42B87">
              <w:t xml:space="preserve">’ </w:t>
            </w:r>
          </w:p>
          <w:p w14:paraId="6BEA9634" w14:textId="0F662A75" w:rsidR="00F42B87" w:rsidRPr="00F42B87" w:rsidRDefault="00F42B87" w:rsidP="00672442">
            <w:pPr>
              <w:pStyle w:val="Bulletlevel1"/>
              <w:numPr>
                <w:ilvl w:val="0"/>
                <w:numId w:val="0"/>
              </w:numPr>
              <w:spacing w:after="0"/>
            </w:pPr>
            <w:r w:rsidRPr="00F42B87">
              <w:t>AMSA suggested the activation requirements (item 2 of clause 30 of Part 9 in Schedule 5 to the General Equipment Rules) should adopt Paragraph (e) of subclause 4.3.3 (Activation), which provides for 406 MHz signal and message format (section 5.2 of 4280.1:2022), 121.5 MHz homing signal (section 5.5 of 4280.1:2022) and AIS locating signal (section 5.6 of 4280.1:2022) instead of Paragraph (f) of subclause 4.3.3 (Activation). Alternatively, each of sections 5.2 (Signal and message format), 5.5 (121.5 MHz homing signal) and 5.6 (AIS homing signal) could be included as separate line items in the table.</w:t>
            </w:r>
          </w:p>
        </w:tc>
        <w:tc>
          <w:tcPr>
            <w:tcW w:w="3969" w:type="dxa"/>
            <w:shd w:val="clear" w:color="auto" w:fill="auto"/>
          </w:tcPr>
          <w:p w14:paraId="565024DE" w14:textId="77777777" w:rsidR="00F42B87" w:rsidRDefault="00F42B87" w:rsidP="001B36E1">
            <w:pPr>
              <w:spacing w:after="80"/>
            </w:pPr>
            <w:r>
              <w:t>We considered the suggestion, noting:</w:t>
            </w:r>
          </w:p>
          <w:p w14:paraId="5571C125" w14:textId="456C4FCE" w:rsidR="00F42B87" w:rsidRDefault="0043577E" w:rsidP="002C0FFA">
            <w:pPr>
              <w:pStyle w:val="Bulletlevel1"/>
              <w:tabs>
                <w:tab w:val="clear" w:pos="1572"/>
                <w:tab w:val="num" w:pos="295"/>
              </w:tabs>
              <w:ind w:left="295"/>
            </w:pPr>
            <w:r>
              <w:t>O</w:t>
            </w:r>
            <w:r w:rsidR="00F42B87">
              <w:t xml:space="preserve">nly select text from AS/NZS 4280.1:2022 was adopted to maintain the status quo with the repealed </w:t>
            </w:r>
            <w:r w:rsidR="00F42B87" w:rsidRPr="00672442">
              <w:t>Radiocommunications (406 MHz Satellite Distress Beacons) Standard 2014</w:t>
            </w:r>
            <w:r w:rsidR="00F42B87">
              <w:t xml:space="preserve">. </w:t>
            </w:r>
          </w:p>
          <w:p w14:paraId="4A5F35C8" w14:textId="673E7111" w:rsidR="00F42B87" w:rsidRDefault="0043577E" w:rsidP="00672442">
            <w:pPr>
              <w:pStyle w:val="Bulletlevel1"/>
              <w:tabs>
                <w:tab w:val="clear" w:pos="1572"/>
                <w:tab w:val="num" w:pos="295"/>
              </w:tabs>
              <w:spacing w:after="120"/>
              <w:ind w:left="295"/>
            </w:pPr>
            <w:r>
              <w:t>A</w:t>
            </w:r>
            <w:r w:rsidR="00F42B87">
              <w:t>doption of additional clauses or remaining text will require</w:t>
            </w:r>
            <w:r w:rsidR="00F42B87" w:rsidRPr="00315A4B">
              <w:t xml:space="preserve"> </w:t>
            </w:r>
            <w:r w:rsidR="00F42B87">
              <w:t>further</w:t>
            </w:r>
            <w:r w:rsidR="00F42B87" w:rsidRPr="00315A4B">
              <w:t xml:space="preserve"> </w:t>
            </w:r>
            <w:r w:rsidR="006E0946">
              <w:t xml:space="preserve">public </w:t>
            </w:r>
            <w:r w:rsidR="00F42B87" w:rsidRPr="00315A4B">
              <w:t>consultation</w:t>
            </w:r>
            <w:r w:rsidR="005B44CE">
              <w:t xml:space="preserve"> in order to consider the potential benefits and costs to members of the public, suppliers and stakeholders.</w:t>
            </w:r>
          </w:p>
          <w:p w14:paraId="5D54D366" w14:textId="61849435" w:rsidR="00F42B87" w:rsidRPr="00B008BB" w:rsidRDefault="00F42B87" w:rsidP="00672442">
            <w:pPr>
              <w:spacing w:after="0"/>
            </w:pPr>
            <w:r>
              <w:t xml:space="preserve">The ACMA will work with AMSA to identify the </w:t>
            </w:r>
            <w:r w:rsidR="00B61C52">
              <w:t xml:space="preserve">additional </w:t>
            </w:r>
            <w:r>
              <w:t xml:space="preserve">provisions within AS/NZS 4280.1:2022 </w:t>
            </w:r>
            <w:r w:rsidR="006E0946">
              <w:t xml:space="preserve">to adopt </w:t>
            </w:r>
            <w:r>
              <w:t xml:space="preserve">at the same time </w:t>
            </w:r>
            <w:r w:rsidR="002E6397">
              <w:t>as</w:t>
            </w:r>
            <w:r w:rsidRPr="001B36E1">
              <w:t xml:space="preserve"> AS/NZS 4280.2:2023</w:t>
            </w:r>
            <w:r w:rsidR="002E6397">
              <w:t xml:space="preserve"> </w:t>
            </w:r>
            <w:r w:rsidR="00B61C52">
              <w:t>is published</w:t>
            </w:r>
            <w:r w:rsidR="002A3089">
              <w:t>.  ACMA notes that AS/NZS 4280.2:2023 will be</w:t>
            </w:r>
            <w:r w:rsidR="002E6397">
              <w:t xml:space="preserve"> </w:t>
            </w:r>
            <w:r w:rsidR="00B61C52">
              <w:t xml:space="preserve">automatically adopted as a replacement </w:t>
            </w:r>
            <w:r w:rsidR="00A830E2">
              <w:t>S</w:t>
            </w:r>
            <w:r w:rsidR="00B61C52">
              <w:t xml:space="preserve">tandard under clause </w:t>
            </w:r>
            <w:r w:rsidR="009B3324">
              <w:t>4</w:t>
            </w:r>
            <w:r w:rsidR="00B61C52">
              <w:t xml:space="preserve"> of Schedule 5 of the General Equipment Rules</w:t>
            </w:r>
            <w:r w:rsidRPr="001B36E1">
              <w:t>. AMSA has advised AS/NZS 4280.2:2023 is expected to be published around June 2023.</w:t>
            </w:r>
          </w:p>
        </w:tc>
      </w:tr>
      <w:tr w:rsidR="00F42B87" w:rsidRPr="00E162C4" w14:paraId="03CF42E0"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vMerge/>
            <w:shd w:val="clear" w:color="auto" w:fill="auto"/>
          </w:tcPr>
          <w:p w14:paraId="2BBBA942" w14:textId="77777777" w:rsidR="00F42B87" w:rsidRPr="00F90C8E" w:rsidRDefault="00F42B87" w:rsidP="0038655B">
            <w:pPr>
              <w:pStyle w:val="Bulletlevel1"/>
              <w:numPr>
                <w:ilvl w:val="0"/>
                <w:numId w:val="0"/>
              </w:numPr>
              <w:rPr>
                <w:b/>
                <w:bCs/>
              </w:rPr>
            </w:pPr>
          </w:p>
        </w:tc>
        <w:tc>
          <w:tcPr>
            <w:tcW w:w="3402" w:type="dxa"/>
            <w:shd w:val="clear" w:color="auto" w:fill="auto"/>
          </w:tcPr>
          <w:p w14:paraId="723C5FC9" w14:textId="5BB8144A" w:rsidR="00F42B87" w:rsidRPr="003410F4" w:rsidRDefault="00F42B87" w:rsidP="00672442">
            <w:pPr>
              <w:keepNext/>
              <w:keepLines/>
              <w:spacing w:after="0"/>
            </w:pPr>
            <w:r w:rsidRPr="001B36E1">
              <w:t>For subclause 30(3) of Part 9 of Schedule 5 to the General Equipment Rules, which adopts part of clause 6.3.4.1 (EPIRB self-test) in AS/NZS 4280.1:2022, AMSA stated they were unable to determine why only certain text has been adopted, while the rest has been omitted. AMSA noted that similar text also appears in paragraph 4.3.4.2 (First generation beacons) and 4.3.4.4 (Second generation beacons) of 4280.1:2022. AMSA would appreciate further guidance on this decision.</w:t>
            </w:r>
          </w:p>
        </w:tc>
        <w:tc>
          <w:tcPr>
            <w:tcW w:w="3969" w:type="dxa"/>
            <w:shd w:val="clear" w:color="auto" w:fill="auto"/>
          </w:tcPr>
          <w:p w14:paraId="11339B08" w14:textId="75EC5990" w:rsidR="00F42B87" w:rsidRDefault="00F42B87" w:rsidP="00672442">
            <w:pPr>
              <w:keepNext/>
              <w:keepLines/>
              <w:spacing w:after="80"/>
            </w:pPr>
            <w:r>
              <w:t xml:space="preserve">The ACMA adopted select text from AS/NZS 4280.1:2022 to maintain the </w:t>
            </w:r>
            <w:r w:rsidR="00EF6C1A">
              <w:br/>
            </w:r>
            <w:r>
              <w:t xml:space="preserve">status quo with the repealed </w:t>
            </w:r>
            <w:r w:rsidRPr="00672442">
              <w:t>Radiocommunications (406 MHz Satellite Distress Beacons) Standard 2014</w:t>
            </w:r>
            <w:r w:rsidRPr="0043577E">
              <w:t>.</w:t>
            </w:r>
          </w:p>
        </w:tc>
      </w:tr>
      <w:tr w:rsidR="00F42B87" w:rsidRPr="00E162C4" w14:paraId="491E043C"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vMerge/>
            <w:shd w:val="clear" w:color="auto" w:fill="auto"/>
          </w:tcPr>
          <w:p w14:paraId="12E53007" w14:textId="77777777" w:rsidR="00F42B87" w:rsidRPr="00F90C8E" w:rsidRDefault="00F42B87" w:rsidP="0038655B">
            <w:pPr>
              <w:pStyle w:val="Bulletlevel1"/>
              <w:numPr>
                <w:ilvl w:val="0"/>
                <w:numId w:val="0"/>
              </w:numPr>
              <w:rPr>
                <w:b/>
                <w:bCs/>
              </w:rPr>
            </w:pPr>
          </w:p>
        </w:tc>
        <w:tc>
          <w:tcPr>
            <w:tcW w:w="3402" w:type="dxa"/>
            <w:shd w:val="clear" w:color="auto" w:fill="auto"/>
          </w:tcPr>
          <w:p w14:paraId="680BB95C" w14:textId="0A901936" w:rsidR="00F42B87" w:rsidRPr="001B36E1" w:rsidRDefault="00F42B87" w:rsidP="00672442">
            <w:pPr>
              <w:pStyle w:val="Paragraph"/>
              <w:spacing w:after="0"/>
            </w:pPr>
            <w:r w:rsidRPr="007F586D">
              <w:t xml:space="preserve">AMSA noted there are </w:t>
            </w:r>
            <w:r w:rsidR="0043577E">
              <w:t>2</w:t>
            </w:r>
            <w:r w:rsidR="0043577E" w:rsidRPr="007F586D">
              <w:t xml:space="preserve"> </w:t>
            </w:r>
            <w:r w:rsidRPr="007F586D">
              <w:t>subclauses 30(3) in Part 9 of Schedule 5 to the General Equipment Rules.</w:t>
            </w:r>
          </w:p>
        </w:tc>
        <w:tc>
          <w:tcPr>
            <w:tcW w:w="3969" w:type="dxa"/>
            <w:shd w:val="clear" w:color="auto" w:fill="auto"/>
          </w:tcPr>
          <w:p w14:paraId="24D2E167" w14:textId="6E122465" w:rsidR="00F42B87" w:rsidRDefault="00F42B87" w:rsidP="00672442">
            <w:pPr>
              <w:pStyle w:val="Paragraph"/>
              <w:spacing w:after="0"/>
            </w:pPr>
            <w:r>
              <w:t>We have corrected the issue with duplicate number of subclauses 30(3) in Part 9 of Schedule 5 to the General Equipment Rules.</w:t>
            </w:r>
          </w:p>
        </w:tc>
      </w:tr>
      <w:tr w:rsidR="00F42B87" w:rsidRPr="00E162C4" w14:paraId="7F483CF9"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vMerge/>
            <w:shd w:val="clear" w:color="auto" w:fill="auto"/>
          </w:tcPr>
          <w:p w14:paraId="65546650" w14:textId="77777777" w:rsidR="00F42B87" w:rsidRPr="00F90C8E" w:rsidRDefault="00F42B87" w:rsidP="0038655B">
            <w:pPr>
              <w:pStyle w:val="Bulletlevel1"/>
              <w:numPr>
                <w:ilvl w:val="0"/>
                <w:numId w:val="0"/>
              </w:numPr>
              <w:rPr>
                <w:b/>
                <w:bCs/>
              </w:rPr>
            </w:pPr>
          </w:p>
        </w:tc>
        <w:tc>
          <w:tcPr>
            <w:tcW w:w="3402" w:type="dxa"/>
            <w:shd w:val="clear" w:color="auto" w:fill="auto"/>
          </w:tcPr>
          <w:p w14:paraId="15529063" w14:textId="20AD0BC9" w:rsidR="00F42B87" w:rsidRDefault="00F42B87" w:rsidP="00672442">
            <w:pPr>
              <w:pStyle w:val="Paragraph"/>
              <w:spacing w:after="120"/>
            </w:pPr>
            <w:r w:rsidRPr="007F586D">
              <w:t xml:space="preserve">AMSA noted that a consultation by Standards Australia is underway proposing to amend AS/NZS 4280.2:2023 to partially adopt the RTCM 11010.3 personal locator beacon </w:t>
            </w:r>
            <w:r w:rsidR="00A830E2">
              <w:t>S</w:t>
            </w:r>
            <w:r w:rsidRPr="007F586D">
              <w:t xml:space="preserve">tandard – this process is anticipated to be finalised </w:t>
            </w:r>
            <w:r>
              <w:t xml:space="preserve">around </w:t>
            </w:r>
            <w:r w:rsidRPr="007F586D">
              <w:t xml:space="preserve">mid-2023. </w:t>
            </w:r>
          </w:p>
          <w:p w14:paraId="2F9FB2CE" w14:textId="77777777" w:rsidR="00F42B87" w:rsidRDefault="00F42B87" w:rsidP="00672442">
            <w:pPr>
              <w:pStyle w:val="Paragraph"/>
              <w:spacing w:after="120"/>
            </w:pPr>
            <w:r w:rsidRPr="007F586D">
              <w:t xml:space="preserve">AMSA suggested the inclusion of AS/NZS 4280.2:2023 in Part 9 of Schedule 5 to the General Equipment Rules. </w:t>
            </w:r>
          </w:p>
          <w:p w14:paraId="27B7BF0E" w14:textId="1B79EDAC" w:rsidR="00F42B87" w:rsidRPr="007F586D" w:rsidRDefault="00F42B87" w:rsidP="00672442">
            <w:pPr>
              <w:pStyle w:val="Paragraph"/>
              <w:spacing w:after="0"/>
            </w:pPr>
            <w:r w:rsidRPr="007F586D">
              <w:t>AMSA noted they would appreciate being consulted when the ACMA reviews AS/NZS 4280.2:2023 to determine if amendments are required to section 31 of Part 9 of Schedule 5 to the General Equipment Rules.</w:t>
            </w:r>
          </w:p>
        </w:tc>
        <w:tc>
          <w:tcPr>
            <w:tcW w:w="3969" w:type="dxa"/>
            <w:shd w:val="clear" w:color="auto" w:fill="auto"/>
          </w:tcPr>
          <w:p w14:paraId="4F295254" w14:textId="29A9CFC6" w:rsidR="00F42B87" w:rsidRDefault="00F02002" w:rsidP="00672442">
            <w:pPr>
              <w:pStyle w:val="Paragraph"/>
            </w:pPr>
            <w:r>
              <w:t xml:space="preserve">The ACMA will work with AMSA to identify the </w:t>
            </w:r>
            <w:r w:rsidR="00B61C52">
              <w:t xml:space="preserve">additional </w:t>
            </w:r>
            <w:r>
              <w:t xml:space="preserve">provisions within </w:t>
            </w:r>
            <w:r w:rsidRPr="001B36E1">
              <w:t>AS/NZS 4280.</w:t>
            </w:r>
            <w:r w:rsidR="00B61C52">
              <w:t>1</w:t>
            </w:r>
            <w:r w:rsidRPr="001B36E1">
              <w:t>:202</w:t>
            </w:r>
            <w:r w:rsidR="00B61C52">
              <w:t>2</w:t>
            </w:r>
            <w:r>
              <w:t xml:space="preserve"> </w:t>
            </w:r>
            <w:r w:rsidR="00B61C52">
              <w:t>when</w:t>
            </w:r>
            <w:r>
              <w:t xml:space="preserve"> AS/NZS 4280.2:2023 </w:t>
            </w:r>
            <w:r w:rsidR="00B61C52">
              <w:t>is published</w:t>
            </w:r>
            <w:r w:rsidR="002A3089">
              <w:t>. ACMA notes that AS/NSZ</w:t>
            </w:r>
            <w:r>
              <w:t xml:space="preserve"> 4280.2:2023 </w:t>
            </w:r>
            <w:r w:rsidR="002A3089">
              <w:t>will be</w:t>
            </w:r>
            <w:r w:rsidR="00B61C52">
              <w:t xml:space="preserve"> automatically adopted as a replacement </w:t>
            </w:r>
            <w:r w:rsidR="00A830E2">
              <w:t>S</w:t>
            </w:r>
            <w:r w:rsidR="00B61C52">
              <w:t xml:space="preserve">tandard under clause </w:t>
            </w:r>
            <w:r w:rsidR="009B3324">
              <w:t>4</w:t>
            </w:r>
            <w:r w:rsidR="00B61C52">
              <w:t xml:space="preserve"> of Schedule 5 of the General Equipment Rules.</w:t>
            </w:r>
            <w:r w:rsidRPr="001B36E1">
              <w:t xml:space="preserve"> AMSA has advised AS/NZS 4280.2:2023 is expected to be published around June 2023</w:t>
            </w:r>
          </w:p>
        </w:tc>
      </w:tr>
      <w:tr w:rsidR="00F42B87" w:rsidRPr="00E162C4" w14:paraId="50533FB6"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tcPr>
          <w:p w14:paraId="07768613" w14:textId="5E253F42" w:rsidR="00F42B87" w:rsidRPr="00F42B87" w:rsidRDefault="00F42B87" w:rsidP="00950394">
            <w:pPr>
              <w:pStyle w:val="Bulletlevel1"/>
              <w:numPr>
                <w:ilvl w:val="0"/>
                <w:numId w:val="16"/>
              </w:numPr>
              <w:ind w:left="368"/>
              <w:rPr>
                <w:b/>
                <w:bCs/>
              </w:rPr>
            </w:pPr>
            <w:r w:rsidRPr="00F42B87">
              <w:rPr>
                <w:b/>
                <w:bCs/>
              </w:rPr>
              <w:t>Analyse Solve and Test Pty Ltd</w:t>
            </w:r>
            <w:r w:rsidR="00F95B31">
              <w:rPr>
                <w:b/>
                <w:bCs/>
              </w:rPr>
              <w:t xml:space="preserve"> (Analyse Solve and Test)</w:t>
            </w:r>
          </w:p>
        </w:tc>
        <w:tc>
          <w:tcPr>
            <w:tcW w:w="3402" w:type="dxa"/>
          </w:tcPr>
          <w:p w14:paraId="70CE8935" w14:textId="3FC25224" w:rsidR="00F42B87" w:rsidRDefault="00F42B87" w:rsidP="0038655B">
            <w:pPr>
              <w:spacing w:after="80"/>
            </w:pPr>
            <w:r>
              <w:t xml:space="preserve">Analyse Solve and Test raised concerns that: </w:t>
            </w:r>
          </w:p>
          <w:p w14:paraId="3E72A60C" w14:textId="19160CD1" w:rsidR="00F42B87" w:rsidRDefault="00F42B87" w:rsidP="0038655B">
            <w:pPr>
              <w:pStyle w:val="Bulletlevel1"/>
              <w:tabs>
                <w:tab w:val="clear" w:pos="1572"/>
                <w:tab w:val="num" w:pos="295"/>
              </w:tabs>
              <w:ind w:left="295"/>
            </w:pPr>
            <w:r>
              <w:t>The</w:t>
            </w:r>
            <w:r w:rsidRPr="00842373">
              <w:t xml:space="preserve"> General Equipment Rules are not written in plain English, which may pose interpretation difficulties for suppliers, particularly for those who may not have English as their first language</w:t>
            </w:r>
            <w:r w:rsidR="0043577E">
              <w:t>.</w:t>
            </w:r>
          </w:p>
          <w:p w14:paraId="7567F782" w14:textId="77777777" w:rsidR="00F42B87" w:rsidRDefault="00F42B87" w:rsidP="0038655B">
            <w:pPr>
              <w:pStyle w:val="Bulletlevel1"/>
              <w:tabs>
                <w:tab w:val="clear" w:pos="1572"/>
                <w:tab w:val="num" w:pos="295"/>
              </w:tabs>
              <w:ind w:left="295"/>
            </w:pPr>
            <w:r>
              <w:t xml:space="preserve">The </w:t>
            </w:r>
            <w:r w:rsidRPr="00FA6FFE">
              <w:t xml:space="preserve">previous ACMA website contained plain English guides to the legislation, however this </w:t>
            </w:r>
            <w:r w:rsidRPr="00FA6FFE">
              <w:lastRenderedPageBreak/>
              <w:t>content has since been removed which may contribute to interpretation</w:t>
            </w:r>
            <w:r>
              <w:t xml:space="preserve"> difficulties.</w:t>
            </w:r>
          </w:p>
          <w:p w14:paraId="1F427C95" w14:textId="24367844" w:rsidR="00F42B87" w:rsidRPr="00E162C4" w:rsidRDefault="0043577E" w:rsidP="00672442">
            <w:pPr>
              <w:pStyle w:val="Bulletlevel1"/>
              <w:tabs>
                <w:tab w:val="clear" w:pos="1572"/>
                <w:tab w:val="num" w:pos="295"/>
              </w:tabs>
              <w:spacing w:after="0"/>
              <w:ind w:left="295"/>
            </w:pPr>
            <w:r>
              <w:t>They said: ‘</w:t>
            </w:r>
            <w:r w:rsidR="00F42B87">
              <w:t xml:space="preserve">Too much </w:t>
            </w:r>
            <w:r w:rsidR="00F42B87" w:rsidRPr="007027C8">
              <w:t>legalese in the rules plus low levels of ACMA auditing and resultant high levels of non-compliant equipment will likely disadvantage those who actually know what is required and do the right thing and result in spectrum pollution and ongoing interference issues</w:t>
            </w:r>
            <w:r>
              <w:t>’</w:t>
            </w:r>
            <w:r w:rsidR="00F42B87">
              <w:t>.</w:t>
            </w:r>
          </w:p>
        </w:tc>
        <w:tc>
          <w:tcPr>
            <w:tcW w:w="3969" w:type="dxa"/>
          </w:tcPr>
          <w:p w14:paraId="7E1BAEFF" w14:textId="787CC53C" w:rsidR="00F42B87" w:rsidRDefault="00F42B87" w:rsidP="0038655B">
            <w:pPr>
              <w:spacing w:after="80"/>
            </w:pPr>
            <w:r>
              <w:lastRenderedPageBreak/>
              <w:t>We acknowledge the legislative framework is complex</w:t>
            </w:r>
            <w:r w:rsidR="002E6397">
              <w:t>, but</w:t>
            </w:r>
            <w:r>
              <w:t xml:space="preserve"> the degree of complexity is necessary because:</w:t>
            </w:r>
          </w:p>
          <w:p w14:paraId="158B6606" w14:textId="58B09D12" w:rsidR="00B5773D" w:rsidRDefault="00B5773D" w:rsidP="00911601">
            <w:pPr>
              <w:pStyle w:val="Bulletlevel1"/>
              <w:tabs>
                <w:tab w:val="clear" w:pos="1572"/>
                <w:tab w:val="num" w:pos="295"/>
              </w:tabs>
              <w:ind w:left="295"/>
              <w:rPr>
                <w:rFonts w:cs="Times New Roman"/>
              </w:rPr>
            </w:pPr>
            <w:r w:rsidRPr="00B5773D">
              <w:rPr>
                <w:rFonts w:cs="Times New Roman"/>
              </w:rPr>
              <w:t>provisions need to be drafted as laws and interpreted by courts in order to achieve the policy goals of the laws. Further, some policy goals are complex and require additional provisions to assist the court’s interpretation</w:t>
            </w:r>
          </w:p>
          <w:p w14:paraId="0715704A" w14:textId="561872F0" w:rsidR="00F42B87" w:rsidRPr="008E2081" w:rsidRDefault="00F42B87" w:rsidP="0038655B">
            <w:pPr>
              <w:pStyle w:val="Bulletlevel1"/>
              <w:tabs>
                <w:tab w:val="clear" w:pos="1572"/>
                <w:tab w:val="num" w:pos="295"/>
              </w:tabs>
              <w:ind w:left="295"/>
              <w:rPr>
                <w:rFonts w:cs="Times New Roman"/>
              </w:rPr>
            </w:pPr>
            <w:r w:rsidRPr="008E2081">
              <w:rPr>
                <w:rFonts w:cs="Times New Roman"/>
              </w:rPr>
              <w:t xml:space="preserve">some of the more complex and lengthy provisions are designed to benefit the industry with greater flexibility to comply </w:t>
            </w:r>
            <w:r w:rsidRPr="008E2081">
              <w:rPr>
                <w:rFonts w:cs="Times New Roman"/>
              </w:rPr>
              <w:lastRenderedPageBreak/>
              <w:t>(e.g. transitional provisions) or minimise the number of legislative amendments required (e.g.</w:t>
            </w:r>
            <w:r w:rsidR="0043577E">
              <w:rPr>
                <w:rFonts w:cs="Times New Roman"/>
              </w:rPr>
              <w:t>,</w:t>
            </w:r>
            <w:r w:rsidRPr="008E2081">
              <w:rPr>
                <w:rFonts w:cs="Times New Roman"/>
              </w:rPr>
              <w:t xml:space="preserve"> automatically adopting evolving industry </w:t>
            </w:r>
            <w:r w:rsidR="00A830E2">
              <w:rPr>
                <w:rFonts w:cs="Times New Roman"/>
              </w:rPr>
              <w:t>S</w:t>
            </w:r>
            <w:r w:rsidRPr="008E2081">
              <w:rPr>
                <w:rFonts w:cs="Times New Roman"/>
              </w:rPr>
              <w:t>tandards)</w:t>
            </w:r>
          </w:p>
          <w:p w14:paraId="5C817FE7" w14:textId="6A0B2334" w:rsidR="00F42B87" w:rsidRPr="008E2081" w:rsidRDefault="00F42B87" w:rsidP="00672442">
            <w:pPr>
              <w:pStyle w:val="Bulletlevel1"/>
              <w:tabs>
                <w:tab w:val="clear" w:pos="1572"/>
                <w:tab w:val="num" w:pos="295"/>
              </w:tabs>
              <w:spacing w:after="120"/>
              <w:ind w:left="295"/>
              <w:rPr>
                <w:rFonts w:cs="Times New Roman"/>
              </w:rPr>
            </w:pPr>
            <w:r w:rsidRPr="008E2081">
              <w:rPr>
                <w:rFonts w:cs="Times New Roman"/>
              </w:rPr>
              <w:t>as a result of the Reform and Modernisation Act, the General Equipment Rules need to set out many provisions that were formerly contained in the Act (e.g.</w:t>
            </w:r>
            <w:r w:rsidR="0043577E">
              <w:rPr>
                <w:rFonts w:cs="Times New Roman"/>
              </w:rPr>
              <w:t>,</w:t>
            </w:r>
            <w:r w:rsidRPr="008E2081">
              <w:rPr>
                <w:rFonts w:cs="Times New Roman"/>
              </w:rPr>
              <w:t xml:space="preserve"> the</w:t>
            </w:r>
            <w:r w:rsidR="005B44CE">
              <w:rPr>
                <w:rFonts w:cs="Times New Roman"/>
              </w:rPr>
              <w:t xml:space="preserve"> </w:t>
            </w:r>
            <w:r w:rsidRPr="008E2081">
              <w:rPr>
                <w:rFonts w:cs="Times New Roman"/>
              </w:rPr>
              <w:t>prohibitions and obligations, the constitutional validity provisions, the permit regime).</w:t>
            </w:r>
          </w:p>
          <w:p w14:paraId="54B21EC5" w14:textId="190E5C58" w:rsidR="00F42B87" w:rsidRDefault="00F42B87" w:rsidP="00672442">
            <w:pPr>
              <w:spacing w:after="0"/>
            </w:pPr>
            <w:r>
              <w:t xml:space="preserve">The ACMA is currently developing </w:t>
            </w:r>
            <w:r w:rsidR="00B5773D">
              <w:t xml:space="preserve">additional </w:t>
            </w:r>
            <w:r>
              <w:t xml:space="preserve">guidance </w:t>
            </w:r>
            <w:r w:rsidR="00B5773D">
              <w:t xml:space="preserve">material </w:t>
            </w:r>
            <w:r>
              <w:t>to assist industry</w:t>
            </w:r>
            <w:r w:rsidR="00B5773D">
              <w:t xml:space="preserve"> in interpreting and applying the applicable regulatory requirements for a particular device. This </w:t>
            </w:r>
            <w:r>
              <w:t>will be published on the ACMA website</w:t>
            </w:r>
            <w:r w:rsidR="005054C4">
              <w:t>.</w:t>
            </w:r>
          </w:p>
        </w:tc>
      </w:tr>
      <w:tr w:rsidR="00F42B87" w:rsidRPr="00432B7C" w14:paraId="60070623"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vMerge w:val="restart"/>
            <w:shd w:val="clear" w:color="auto" w:fill="auto"/>
          </w:tcPr>
          <w:p w14:paraId="7D108A1B" w14:textId="3344B660" w:rsidR="00F42B87" w:rsidRDefault="00F42B87" w:rsidP="00950394">
            <w:pPr>
              <w:pStyle w:val="Bulletlevel1"/>
              <w:numPr>
                <w:ilvl w:val="0"/>
                <w:numId w:val="16"/>
              </w:numPr>
              <w:ind w:left="368"/>
              <w:rPr>
                <w:b/>
                <w:bCs/>
              </w:rPr>
            </w:pPr>
            <w:r w:rsidRPr="00F42B87">
              <w:rPr>
                <w:b/>
                <w:bCs/>
              </w:rPr>
              <w:lastRenderedPageBreak/>
              <w:t>Communications Alliance (CA)</w:t>
            </w:r>
          </w:p>
        </w:tc>
        <w:tc>
          <w:tcPr>
            <w:tcW w:w="3402" w:type="dxa"/>
            <w:shd w:val="clear" w:color="auto" w:fill="auto"/>
          </w:tcPr>
          <w:p w14:paraId="1FE5546E" w14:textId="7242DA3D" w:rsidR="00F42B87" w:rsidRPr="00FE1B4F" w:rsidRDefault="00F42B87" w:rsidP="00672442">
            <w:pPr>
              <w:pStyle w:val="Paragraphbeforelist"/>
            </w:pPr>
            <w:r w:rsidRPr="000404A2">
              <w:t xml:space="preserve">CA supported the proposal but noted </w:t>
            </w:r>
            <w:r>
              <w:t>the following concerns:</w:t>
            </w:r>
          </w:p>
          <w:p w14:paraId="69A36740" w14:textId="3A4F1D90" w:rsidR="00F42B87" w:rsidRDefault="00F42B87" w:rsidP="0038655B">
            <w:pPr>
              <w:pStyle w:val="Bulletlevel1"/>
              <w:tabs>
                <w:tab w:val="clear" w:pos="1572"/>
                <w:tab w:val="num" w:pos="295"/>
              </w:tabs>
              <w:ind w:left="295"/>
            </w:pPr>
            <w:r w:rsidRPr="000404A2">
              <w:t xml:space="preserve">The General Equipment Rules are becoming </w:t>
            </w:r>
            <w:r w:rsidR="00AB2A06">
              <w:t>‘</w:t>
            </w:r>
            <w:r w:rsidRPr="000404A2">
              <w:t>more legalistic and increasingly more difficult for industry to understand and apply</w:t>
            </w:r>
            <w:r w:rsidR="00AB2A06">
              <w:t>’.</w:t>
            </w:r>
          </w:p>
          <w:p w14:paraId="5BCD653B" w14:textId="15E0BC45" w:rsidR="00F42B87" w:rsidRPr="000404A2" w:rsidRDefault="00F42B87" w:rsidP="0038655B">
            <w:pPr>
              <w:pStyle w:val="Bulletlevel1"/>
              <w:tabs>
                <w:tab w:val="clear" w:pos="1572"/>
                <w:tab w:val="num" w:pos="295"/>
              </w:tabs>
              <w:ind w:left="295"/>
            </w:pPr>
            <w:r w:rsidRPr="000404A2">
              <w:t>‘Regulatory drafting myopia’ in the drafting of these instruments may result in industry misinterpreting the legislation, or not become adequately versed with the material.</w:t>
            </w:r>
          </w:p>
          <w:p w14:paraId="71B1705B" w14:textId="77777777" w:rsidR="00F42B87" w:rsidRPr="000404A2" w:rsidRDefault="00F42B87" w:rsidP="0038655B">
            <w:pPr>
              <w:pStyle w:val="Bulletlevel1"/>
              <w:tabs>
                <w:tab w:val="clear" w:pos="1572"/>
                <w:tab w:val="num" w:pos="295"/>
              </w:tabs>
              <w:ind w:left="295"/>
            </w:pPr>
            <w:r w:rsidRPr="000404A2">
              <w:t>The current language used is not plain English, which may hinder suppliers’ comprehension, especially if they do not have a legal background or if their first language is not English.</w:t>
            </w:r>
          </w:p>
          <w:p w14:paraId="6AC862CE" w14:textId="4B659FED" w:rsidR="00F42B87" w:rsidRPr="00E162C4" w:rsidRDefault="00F42B87" w:rsidP="00672442">
            <w:pPr>
              <w:pStyle w:val="Bulletlevel1"/>
              <w:tabs>
                <w:tab w:val="clear" w:pos="1572"/>
                <w:tab w:val="num" w:pos="295"/>
              </w:tabs>
              <w:spacing w:after="0"/>
              <w:ind w:left="295"/>
            </w:pPr>
            <w:r w:rsidRPr="000404A2">
              <w:t xml:space="preserve">The General Equipment Rules have portions that are </w:t>
            </w:r>
            <w:r w:rsidR="00AB2A06">
              <w:t>‘</w:t>
            </w:r>
            <w:r w:rsidRPr="000404A2">
              <w:t>written for the regulator to enforce its powers and not for the reader to address its obligations</w:t>
            </w:r>
            <w:r w:rsidR="00AB2A06">
              <w:t>’</w:t>
            </w:r>
            <w:r w:rsidRPr="000404A2">
              <w:t xml:space="preserve">. This gives rise to a need for guidance/explanatory material to accompany the General Equipment Rules, which will benefit the ACMA in terms of </w:t>
            </w:r>
            <w:r w:rsidR="00AB2A06">
              <w:t>‘</w:t>
            </w:r>
            <w:r w:rsidRPr="000404A2">
              <w:t>improved equipment compliance and a reduction in queries for the ACMA to manage</w:t>
            </w:r>
            <w:r w:rsidR="00AB2A06">
              <w:t>’</w:t>
            </w:r>
            <w:r w:rsidRPr="000404A2">
              <w:t>.</w:t>
            </w:r>
          </w:p>
        </w:tc>
        <w:tc>
          <w:tcPr>
            <w:tcW w:w="3969" w:type="dxa"/>
            <w:shd w:val="clear" w:color="auto" w:fill="auto"/>
          </w:tcPr>
          <w:p w14:paraId="44CBA7B9" w14:textId="275BDFA6" w:rsidR="005B44CE" w:rsidRDefault="005B44CE" w:rsidP="005B44CE">
            <w:pPr>
              <w:spacing w:after="80"/>
            </w:pPr>
            <w:r>
              <w:t>We acknowledge the legislative framework is complex</w:t>
            </w:r>
            <w:r w:rsidR="005E67B8">
              <w:t>, but</w:t>
            </w:r>
            <w:r>
              <w:t xml:space="preserve"> the degree of complexity is necessary because:</w:t>
            </w:r>
          </w:p>
          <w:p w14:paraId="6F291CA4" w14:textId="1235AA7C" w:rsidR="00B5773D" w:rsidRPr="00B5773D" w:rsidRDefault="00B5773D" w:rsidP="009B136A">
            <w:pPr>
              <w:pStyle w:val="Bulletlevel1"/>
              <w:tabs>
                <w:tab w:val="clear" w:pos="1572"/>
                <w:tab w:val="num" w:pos="295"/>
              </w:tabs>
              <w:ind w:left="295"/>
              <w:rPr>
                <w:rFonts w:cs="Times New Roman"/>
              </w:rPr>
            </w:pPr>
            <w:r w:rsidRPr="00B5773D">
              <w:rPr>
                <w:rFonts w:cs="Times New Roman"/>
              </w:rPr>
              <w:t>provisions need to be drafted as laws and interpreted by courts in order to achieve the policy goals of the laws. Further, some policy goals are complex and require additional provisions to assist the court’s interpretation</w:t>
            </w:r>
          </w:p>
          <w:p w14:paraId="53EE32E1" w14:textId="03076FD5" w:rsidR="005B44CE" w:rsidRPr="008E2081" w:rsidRDefault="005B44CE" w:rsidP="005B44CE">
            <w:pPr>
              <w:pStyle w:val="Bulletlevel1"/>
              <w:tabs>
                <w:tab w:val="clear" w:pos="1572"/>
                <w:tab w:val="num" w:pos="295"/>
              </w:tabs>
              <w:ind w:left="295"/>
              <w:rPr>
                <w:rFonts w:cs="Times New Roman"/>
              </w:rPr>
            </w:pPr>
            <w:r w:rsidRPr="008E2081">
              <w:rPr>
                <w:rFonts w:cs="Times New Roman"/>
              </w:rPr>
              <w:t>some of the more complex and lengthy provisions are designed to benefit the industry with greater flexibility to comply (e.g. transitional provisions) or minimise the number of legislative amendments required (e.g.</w:t>
            </w:r>
            <w:r w:rsidR="00A830E2">
              <w:rPr>
                <w:rFonts w:cs="Times New Roman"/>
              </w:rPr>
              <w:t>,</w:t>
            </w:r>
            <w:r w:rsidRPr="008E2081">
              <w:rPr>
                <w:rFonts w:cs="Times New Roman"/>
              </w:rPr>
              <w:t xml:space="preserve"> automatically adopting evolving industry </w:t>
            </w:r>
            <w:r w:rsidR="00A830E2">
              <w:rPr>
                <w:rFonts w:cs="Times New Roman"/>
              </w:rPr>
              <w:t>S</w:t>
            </w:r>
            <w:r w:rsidRPr="008E2081">
              <w:rPr>
                <w:rFonts w:cs="Times New Roman"/>
              </w:rPr>
              <w:t>tandards)</w:t>
            </w:r>
          </w:p>
          <w:p w14:paraId="7422D74C" w14:textId="369FB99D" w:rsidR="005B44CE" w:rsidRPr="008E2081" w:rsidRDefault="005B44CE" w:rsidP="00672442">
            <w:pPr>
              <w:pStyle w:val="Bulletlevel1"/>
              <w:tabs>
                <w:tab w:val="clear" w:pos="1572"/>
                <w:tab w:val="num" w:pos="295"/>
              </w:tabs>
              <w:spacing w:after="120"/>
              <w:ind w:left="295"/>
              <w:rPr>
                <w:rFonts w:cs="Times New Roman"/>
              </w:rPr>
            </w:pPr>
            <w:r w:rsidRPr="008E2081">
              <w:rPr>
                <w:rFonts w:cs="Times New Roman"/>
              </w:rPr>
              <w:t>as a result of the Reform and Modernisation Act, the General Equipment Rules need to set out many provisions that were formerly contained in the Act (e.g.</w:t>
            </w:r>
            <w:r w:rsidR="00AB2A06">
              <w:rPr>
                <w:rFonts w:cs="Times New Roman"/>
              </w:rPr>
              <w:t>,</w:t>
            </w:r>
            <w:r w:rsidRPr="008E2081">
              <w:rPr>
                <w:rFonts w:cs="Times New Roman"/>
              </w:rPr>
              <w:t xml:space="preserve"> the</w:t>
            </w:r>
            <w:r>
              <w:rPr>
                <w:rFonts w:cs="Times New Roman"/>
              </w:rPr>
              <w:t xml:space="preserve"> </w:t>
            </w:r>
            <w:r w:rsidRPr="008E2081">
              <w:rPr>
                <w:rFonts w:cs="Times New Roman"/>
              </w:rPr>
              <w:t>prohibitions and obligations, the constitutional validity provisions, the permit regime).</w:t>
            </w:r>
          </w:p>
          <w:p w14:paraId="248366AF" w14:textId="6D52B8A4" w:rsidR="00F42B87" w:rsidRPr="00FD67A7" w:rsidRDefault="00B5773D" w:rsidP="00672442">
            <w:pPr>
              <w:spacing w:after="0"/>
            </w:pPr>
            <w:r w:rsidRPr="00B5773D">
              <w:t>The ACMA is currently developing additional guidance material to assist industry in interpreting and applying the applicable regulatory requirements for a particular device. This will be published on the ACMA website</w:t>
            </w:r>
            <w:r w:rsidR="005054C4">
              <w:t>.</w:t>
            </w:r>
          </w:p>
        </w:tc>
      </w:tr>
      <w:tr w:rsidR="00F42B87" w:rsidRPr="00432B7C" w14:paraId="26B1B6E0"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vMerge/>
            <w:shd w:val="clear" w:color="auto" w:fill="auto"/>
          </w:tcPr>
          <w:p w14:paraId="2F312CAD" w14:textId="77777777" w:rsidR="00F42B87" w:rsidRDefault="00F42B87" w:rsidP="0038655B">
            <w:pPr>
              <w:spacing w:after="80"/>
              <w:rPr>
                <w:b/>
                <w:bCs/>
              </w:rPr>
            </w:pPr>
            <w:bookmarkStart w:id="15" w:name="_Hlk128466947"/>
          </w:p>
        </w:tc>
        <w:tc>
          <w:tcPr>
            <w:tcW w:w="3402" w:type="dxa"/>
            <w:shd w:val="clear" w:color="auto" w:fill="auto"/>
          </w:tcPr>
          <w:p w14:paraId="031A183B" w14:textId="633A69EC" w:rsidR="00F42B87" w:rsidRDefault="00F42B87" w:rsidP="00672442">
            <w:pPr>
              <w:keepNext/>
              <w:keepLines/>
              <w:spacing w:after="120" w:line="240" w:lineRule="auto"/>
            </w:pPr>
            <w:r w:rsidRPr="000404A2">
              <w:t xml:space="preserve">CA </w:t>
            </w:r>
            <w:r>
              <w:t>raised</w:t>
            </w:r>
            <w:r w:rsidRPr="000404A2">
              <w:t xml:space="preserve"> concerns about the use of inconsistent phrasing in the General Equipment Rules to identify the instrument or </w:t>
            </w:r>
            <w:r w:rsidR="00A830E2">
              <w:t>S</w:t>
            </w:r>
            <w:r w:rsidRPr="000404A2">
              <w:t xml:space="preserve">tandard applicable at a particular </w:t>
            </w:r>
            <w:r w:rsidRPr="008E2081">
              <w:t xml:space="preserve">point in time. CA noted that while the referencing of industry </w:t>
            </w:r>
            <w:r w:rsidR="00A830E2">
              <w:t>S</w:t>
            </w:r>
            <w:r w:rsidRPr="008E2081">
              <w:t>tandards in the General Equipment Rules is legally sound, the current approach</w:t>
            </w:r>
            <w:r>
              <w:t xml:space="preserve"> leaves room for misinterpretation.</w:t>
            </w:r>
            <w:r w:rsidRPr="000404A2">
              <w:t xml:space="preserve"> </w:t>
            </w:r>
          </w:p>
          <w:p w14:paraId="59E99977" w14:textId="52FE6EB5" w:rsidR="00F42B87" w:rsidRDefault="00F42B87" w:rsidP="00672442">
            <w:pPr>
              <w:keepNext/>
              <w:keepLines/>
              <w:spacing w:after="80" w:line="240" w:lineRule="auto"/>
            </w:pPr>
            <w:r>
              <w:t xml:space="preserve">CA provided the following </w:t>
            </w:r>
            <w:r w:rsidR="00AB2A06">
              <w:t xml:space="preserve">6 </w:t>
            </w:r>
            <w:r>
              <w:t>examples:</w:t>
            </w:r>
          </w:p>
          <w:p w14:paraId="355804B0" w14:textId="77777777" w:rsidR="00AD084D" w:rsidRPr="00D9074C" w:rsidRDefault="00AD084D" w:rsidP="00672442">
            <w:pPr>
              <w:pStyle w:val="ListParagraph"/>
              <w:keepNext/>
              <w:keepLines/>
              <w:numPr>
                <w:ilvl w:val="0"/>
                <w:numId w:val="11"/>
              </w:numPr>
              <w:spacing w:after="80" w:line="240" w:lineRule="auto"/>
              <w:ind w:left="365"/>
              <w:contextualSpacing w:val="0"/>
              <w:rPr>
                <w:i/>
                <w:iCs/>
              </w:rPr>
            </w:pPr>
            <w:r w:rsidRPr="00D9074C">
              <w:rPr>
                <w:i/>
                <w:iCs/>
              </w:rPr>
              <w:t>Section 1. Part 1. Section 5 References to other instruments</w:t>
            </w:r>
          </w:p>
          <w:p w14:paraId="21D7886A" w14:textId="4ADE98F2" w:rsidR="00F42B87" w:rsidRDefault="00F42B87" w:rsidP="00672442">
            <w:pPr>
              <w:pStyle w:val="ListParagraph"/>
              <w:keepNext/>
              <w:keepLines/>
              <w:spacing w:after="80" w:line="240" w:lineRule="auto"/>
              <w:ind w:left="365"/>
              <w:contextualSpacing w:val="0"/>
            </w:pPr>
            <w:r w:rsidRPr="003E7FB8">
              <w:rPr>
                <w:u w:val="single"/>
              </w:rPr>
              <w:t>as in force from time to time</w:t>
            </w:r>
            <w:r w:rsidRPr="000404A2">
              <w:t>;</w:t>
            </w:r>
          </w:p>
          <w:p w14:paraId="06A782F9" w14:textId="0D24DF92" w:rsidR="00AD084D" w:rsidRPr="00D9074C" w:rsidRDefault="00AD084D" w:rsidP="00672442">
            <w:pPr>
              <w:pStyle w:val="ListParagraph"/>
              <w:keepNext/>
              <w:keepLines/>
              <w:numPr>
                <w:ilvl w:val="0"/>
                <w:numId w:val="11"/>
              </w:numPr>
              <w:spacing w:after="80" w:line="240" w:lineRule="auto"/>
              <w:ind w:left="365"/>
              <w:contextualSpacing w:val="0"/>
              <w:rPr>
                <w:i/>
                <w:iCs/>
              </w:rPr>
            </w:pPr>
            <w:r w:rsidRPr="00D9074C">
              <w:rPr>
                <w:i/>
                <w:iCs/>
              </w:rPr>
              <w:t>Schedule 4. Section 2. Interpretation</w:t>
            </w:r>
          </w:p>
          <w:p w14:paraId="61EE50BE" w14:textId="7CC4B38A" w:rsidR="00F42B87" w:rsidRDefault="00F42B87" w:rsidP="00672442">
            <w:pPr>
              <w:pStyle w:val="ListParagraph"/>
              <w:keepNext/>
              <w:keepLines/>
              <w:spacing w:after="80" w:line="240" w:lineRule="auto"/>
              <w:ind w:left="365"/>
              <w:contextualSpacing w:val="0"/>
            </w:pPr>
            <w:r w:rsidRPr="00AD084D">
              <w:rPr>
                <w:b/>
                <w:bCs/>
                <w:i/>
                <w:iCs/>
              </w:rPr>
              <w:t xml:space="preserve">ARPANSA </w:t>
            </w:r>
            <w:r w:rsidR="00A830E2">
              <w:rPr>
                <w:b/>
                <w:bCs/>
                <w:i/>
                <w:iCs/>
              </w:rPr>
              <w:t>S</w:t>
            </w:r>
            <w:r w:rsidRPr="00AD084D">
              <w:rPr>
                <w:b/>
                <w:bCs/>
                <w:i/>
                <w:iCs/>
              </w:rPr>
              <w:t>tandard</w:t>
            </w:r>
            <w:r w:rsidRPr="00AD084D">
              <w:rPr>
                <w:i/>
                <w:iCs/>
              </w:rPr>
              <w:t xml:space="preserve"> </w:t>
            </w:r>
            <w:r w:rsidRPr="00D9074C">
              <w:t>means</w:t>
            </w:r>
            <w:r w:rsidR="00C01A6E" w:rsidRPr="00D9074C">
              <w:t xml:space="preserve"> </w:t>
            </w:r>
            <w:r w:rsidR="00C01A6E">
              <w:rPr>
                <w:i/>
                <w:iCs/>
              </w:rPr>
              <w:t>…</w:t>
            </w:r>
            <w:r w:rsidR="00AD084D" w:rsidRPr="00AD084D">
              <w:rPr>
                <w:i/>
                <w:iCs/>
              </w:rPr>
              <w:t xml:space="preserve"> </w:t>
            </w:r>
            <w:r w:rsidRPr="003E7FB8">
              <w:rPr>
                <w:u w:val="single"/>
              </w:rPr>
              <w:t xml:space="preserve">any </w:t>
            </w:r>
            <w:r w:rsidR="00A830E2">
              <w:rPr>
                <w:u w:val="single"/>
              </w:rPr>
              <w:t>S</w:t>
            </w:r>
            <w:r w:rsidRPr="003E7FB8">
              <w:rPr>
                <w:u w:val="single"/>
              </w:rPr>
              <w:t xml:space="preserve">tandard published as a replacement of that </w:t>
            </w:r>
            <w:r w:rsidR="00A830E2">
              <w:rPr>
                <w:u w:val="single"/>
              </w:rPr>
              <w:t>S</w:t>
            </w:r>
            <w:r w:rsidRPr="003E7FB8">
              <w:rPr>
                <w:u w:val="single"/>
              </w:rPr>
              <w:t>tandard by ARPANSA</w:t>
            </w:r>
          </w:p>
          <w:p w14:paraId="21F2B9A0" w14:textId="32764B40" w:rsidR="00F42B87" w:rsidRDefault="00F42B87" w:rsidP="00672442">
            <w:pPr>
              <w:pStyle w:val="ListParagraph"/>
              <w:keepNext/>
              <w:keepLines/>
              <w:spacing w:after="80" w:line="240" w:lineRule="auto"/>
              <w:ind w:left="365"/>
              <w:contextualSpacing w:val="0"/>
            </w:pPr>
            <w:r w:rsidRPr="000D3E28">
              <w:rPr>
                <w:b/>
                <w:bCs/>
              </w:rPr>
              <w:t>AS/NZS 2772.2</w:t>
            </w:r>
            <w:r w:rsidRPr="000404A2">
              <w:t xml:space="preserve"> mean</w:t>
            </w:r>
            <w:r w:rsidR="00AD084D">
              <w:t>s</w:t>
            </w:r>
            <w:r w:rsidR="00D9074C">
              <w:t xml:space="preserve"> … </w:t>
            </w:r>
            <w:r w:rsidRPr="003E7FB8">
              <w:rPr>
                <w:u w:val="single"/>
              </w:rPr>
              <w:t>if a later document published by Standards Australia is expressed to replace the document mentioned in paragraph (a) – the later document</w:t>
            </w:r>
            <w:r w:rsidRPr="000404A2">
              <w:t>.</w:t>
            </w:r>
          </w:p>
          <w:p w14:paraId="4B21B60C" w14:textId="77777777" w:rsidR="00F42B87" w:rsidRPr="00D9074C" w:rsidRDefault="00F42B87" w:rsidP="00672442">
            <w:pPr>
              <w:pStyle w:val="ListParagraph"/>
              <w:keepNext/>
              <w:keepLines/>
              <w:numPr>
                <w:ilvl w:val="0"/>
                <w:numId w:val="11"/>
              </w:numPr>
              <w:spacing w:after="80" w:line="240" w:lineRule="auto"/>
              <w:ind w:left="365"/>
              <w:contextualSpacing w:val="0"/>
              <w:rPr>
                <w:i/>
                <w:iCs/>
              </w:rPr>
            </w:pPr>
            <w:r w:rsidRPr="00D9074C">
              <w:rPr>
                <w:i/>
                <w:iCs/>
              </w:rPr>
              <w:t xml:space="preserve">Schedule 4. Part 3. Table </w:t>
            </w:r>
          </w:p>
          <w:p w14:paraId="6751C5B2" w14:textId="77777777" w:rsidR="00F42B87" w:rsidRDefault="00F42B87" w:rsidP="00672442">
            <w:pPr>
              <w:pStyle w:val="ListParagraph"/>
              <w:keepNext/>
              <w:keepLines/>
              <w:spacing w:after="80" w:line="240" w:lineRule="auto"/>
              <w:ind w:left="365"/>
              <w:contextualSpacing w:val="0"/>
            </w:pPr>
            <w:r w:rsidRPr="000404A2">
              <w:t>Standards listed without version identification in their designations.</w:t>
            </w:r>
          </w:p>
          <w:p w14:paraId="516E85BB" w14:textId="45FEC167" w:rsidR="00F42B87" w:rsidRPr="00D9074C" w:rsidRDefault="00D9074C" w:rsidP="00672442">
            <w:pPr>
              <w:pStyle w:val="ListParagraph"/>
              <w:keepNext/>
              <w:keepLines/>
              <w:numPr>
                <w:ilvl w:val="0"/>
                <w:numId w:val="11"/>
              </w:numPr>
              <w:spacing w:after="80" w:line="240" w:lineRule="auto"/>
              <w:ind w:left="365"/>
              <w:contextualSpacing w:val="0"/>
              <w:rPr>
                <w:i/>
                <w:iCs/>
              </w:rPr>
            </w:pPr>
            <w:r w:rsidRPr="00D9074C">
              <w:rPr>
                <w:i/>
                <w:iCs/>
              </w:rPr>
              <w:t>S</w:t>
            </w:r>
            <w:r w:rsidR="00F42B87" w:rsidRPr="00D9074C">
              <w:rPr>
                <w:i/>
                <w:iCs/>
              </w:rPr>
              <w:t xml:space="preserve">chedule 5. Part 2. Table </w:t>
            </w:r>
          </w:p>
          <w:p w14:paraId="330DD4A8" w14:textId="77777777" w:rsidR="00F42B87" w:rsidRDefault="00F42B87" w:rsidP="00672442">
            <w:pPr>
              <w:pStyle w:val="ListParagraph"/>
              <w:keepNext/>
              <w:keepLines/>
              <w:spacing w:after="80" w:line="240" w:lineRule="auto"/>
              <w:ind w:left="365"/>
              <w:contextualSpacing w:val="0"/>
            </w:pPr>
            <w:r w:rsidRPr="000404A2">
              <w:t xml:space="preserve">Standards listed without version identification in their designations. </w:t>
            </w:r>
          </w:p>
          <w:p w14:paraId="3EEC7933" w14:textId="77777777" w:rsidR="00AD084D" w:rsidRPr="00D9074C" w:rsidRDefault="00AD084D" w:rsidP="00672442">
            <w:pPr>
              <w:pStyle w:val="ListParagraph"/>
              <w:keepNext/>
              <w:keepLines/>
              <w:numPr>
                <w:ilvl w:val="0"/>
                <w:numId w:val="11"/>
              </w:numPr>
              <w:spacing w:after="80" w:line="240" w:lineRule="auto"/>
              <w:ind w:left="365"/>
              <w:contextualSpacing w:val="0"/>
              <w:rPr>
                <w:i/>
                <w:iCs/>
              </w:rPr>
            </w:pPr>
            <w:r w:rsidRPr="00D9074C">
              <w:rPr>
                <w:i/>
                <w:iCs/>
              </w:rPr>
              <w:t>Schedule 5. Part 3. Analogue Speech (Angle Modulated Equipment Standard)</w:t>
            </w:r>
          </w:p>
          <w:p w14:paraId="2CF6E6D7" w14:textId="77777777" w:rsidR="00AD084D" w:rsidRPr="00AD084D" w:rsidRDefault="00AD084D" w:rsidP="00672442">
            <w:pPr>
              <w:pStyle w:val="ListParagraph"/>
              <w:keepNext/>
              <w:keepLines/>
              <w:spacing w:after="80" w:line="240" w:lineRule="auto"/>
              <w:ind w:left="365"/>
              <w:contextualSpacing w:val="0"/>
              <w:rPr>
                <w:b/>
                <w:bCs/>
              </w:rPr>
            </w:pPr>
            <w:r w:rsidRPr="00AD084D">
              <w:rPr>
                <w:b/>
                <w:bCs/>
              </w:rPr>
              <w:t>7 AS/NZS 4295</w:t>
            </w:r>
          </w:p>
          <w:p w14:paraId="36DE53A6" w14:textId="2D20F7DA" w:rsidR="00F42B87" w:rsidRDefault="00AD084D" w:rsidP="00672442">
            <w:pPr>
              <w:pStyle w:val="ListParagraph"/>
              <w:keepNext/>
              <w:keepLines/>
              <w:spacing w:after="80" w:line="240" w:lineRule="auto"/>
              <w:ind w:left="365"/>
              <w:contextualSpacing w:val="0"/>
            </w:pPr>
            <w:r w:rsidRPr="00AD084D">
              <w:t xml:space="preserve">In this Schedule, </w:t>
            </w:r>
            <w:r w:rsidR="00F42B87" w:rsidRPr="003E7FB8">
              <w:rPr>
                <w:u w:val="single"/>
              </w:rPr>
              <w:t>AS/NZS 4295 means AS/NZS 4295:2015</w:t>
            </w:r>
            <w:r w:rsidRPr="00AD084D">
              <w:t xml:space="preserve"> </w:t>
            </w:r>
          </w:p>
          <w:p w14:paraId="246E8DA1" w14:textId="6855F246" w:rsidR="00AD084D" w:rsidRPr="00AD084D" w:rsidRDefault="00AD084D" w:rsidP="00672442">
            <w:pPr>
              <w:pStyle w:val="ListParagraph"/>
              <w:keepNext/>
              <w:keepLines/>
              <w:spacing w:after="80" w:line="240" w:lineRule="auto"/>
              <w:ind w:left="365"/>
              <w:contextualSpacing w:val="0"/>
              <w:rPr>
                <w:b/>
                <w:bCs/>
              </w:rPr>
            </w:pPr>
            <w:r w:rsidRPr="00AD084D">
              <w:rPr>
                <w:b/>
                <w:bCs/>
              </w:rPr>
              <w:t>8 ETSI EN 300 086</w:t>
            </w:r>
          </w:p>
          <w:p w14:paraId="38259F91" w14:textId="54F9D8D3" w:rsidR="00AD084D" w:rsidRDefault="00AD084D" w:rsidP="00672442">
            <w:pPr>
              <w:pStyle w:val="ListParagraph"/>
              <w:keepNext/>
              <w:keepLines/>
              <w:spacing w:after="80" w:line="240" w:lineRule="auto"/>
              <w:ind w:left="365"/>
              <w:contextualSpacing w:val="0"/>
            </w:pPr>
            <w:r>
              <w:t xml:space="preserve">In this Schedule, </w:t>
            </w:r>
            <w:r w:rsidR="00F42B87" w:rsidRPr="003E7FB8">
              <w:rPr>
                <w:u w:val="single"/>
              </w:rPr>
              <w:t>ETSI EN 300 086 means ETSI EN 300 086 V2.1.2 (2016-08)</w:t>
            </w:r>
            <w:r w:rsidRPr="00AD084D">
              <w:t xml:space="preserve"> </w:t>
            </w:r>
          </w:p>
          <w:p w14:paraId="08578C21" w14:textId="097F7754" w:rsidR="00AD084D" w:rsidRPr="00D9074C" w:rsidRDefault="00AD084D" w:rsidP="00672442">
            <w:pPr>
              <w:pStyle w:val="ListParagraph"/>
              <w:keepNext/>
              <w:keepLines/>
              <w:numPr>
                <w:ilvl w:val="0"/>
                <w:numId w:val="11"/>
              </w:numPr>
              <w:spacing w:after="80" w:line="240" w:lineRule="auto"/>
              <w:ind w:left="365"/>
              <w:contextualSpacing w:val="0"/>
              <w:rPr>
                <w:i/>
                <w:iCs/>
              </w:rPr>
            </w:pPr>
            <w:r w:rsidRPr="00D9074C">
              <w:rPr>
                <w:i/>
                <w:iCs/>
              </w:rPr>
              <w:t>Schedule 5. Part 15 – Short Range Equipment Standard</w:t>
            </w:r>
          </w:p>
          <w:p w14:paraId="58AF4EA7" w14:textId="77777777" w:rsidR="00AD084D" w:rsidRPr="00AD084D" w:rsidRDefault="00AD084D" w:rsidP="00672442">
            <w:pPr>
              <w:pStyle w:val="ListParagraph"/>
              <w:keepNext/>
              <w:keepLines/>
              <w:spacing w:after="80" w:line="240" w:lineRule="auto"/>
              <w:ind w:left="365"/>
              <w:contextualSpacing w:val="0"/>
              <w:rPr>
                <w:b/>
                <w:bCs/>
              </w:rPr>
            </w:pPr>
            <w:r w:rsidRPr="00AD084D">
              <w:rPr>
                <w:b/>
                <w:bCs/>
              </w:rPr>
              <w:t xml:space="preserve">54 Additional definitions for Short Range Equipment Standard </w:t>
            </w:r>
          </w:p>
          <w:p w14:paraId="586951A1" w14:textId="55C83415" w:rsidR="00AD084D" w:rsidRPr="00AD084D" w:rsidRDefault="00285319" w:rsidP="00672442">
            <w:pPr>
              <w:pStyle w:val="ListParagraph"/>
              <w:keepNext/>
              <w:keepLines/>
              <w:spacing w:after="80" w:line="240" w:lineRule="auto"/>
              <w:ind w:left="363"/>
              <w:contextualSpacing w:val="0"/>
            </w:pPr>
            <w:r>
              <w:lastRenderedPageBreak/>
              <w:br/>
            </w:r>
            <w:r w:rsidR="00AD084D" w:rsidRPr="00AD084D">
              <w:t xml:space="preserve">In this Schedule: </w:t>
            </w:r>
          </w:p>
          <w:p w14:paraId="5B6D7C15" w14:textId="77777777" w:rsidR="00AD084D" w:rsidRPr="00AD084D" w:rsidRDefault="00AD084D" w:rsidP="00672442">
            <w:pPr>
              <w:pStyle w:val="ListParagraph"/>
              <w:keepNext/>
              <w:keepLines/>
              <w:spacing w:after="80" w:line="240" w:lineRule="auto"/>
              <w:ind w:left="363"/>
              <w:contextualSpacing w:val="0"/>
            </w:pPr>
            <w:r w:rsidRPr="00D9074C">
              <w:rPr>
                <w:b/>
                <w:bCs/>
                <w:i/>
                <w:iCs/>
              </w:rPr>
              <w:t>AS/NZS 4268</w:t>
            </w:r>
            <w:r w:rsidRPr="00AD084D">
              <w:t xml:space="preserve"> means: </w:t>
            </w:r>
          </w:p>
          <w:p w14:paraId="69C17F8F" w14:textId="5469A00E" w:rsidR="00AD084D" w:rsidRPr="00AD084D" w:rsidRDefault="00AD084D" w:rsidP="00672442">
            <w:pPr>
              <w:pStyle w:val="ListParagraph"/>
              <w:keepNext/>
              <w:keepLines/>
              <w:spacing w:after="80" w:line="240" w:lineRule="auto"/>
              <w:ind w:left="363"/>
              <w:contextualSpacing w:val="0"/>
            </w:pPr>
            <w:r w:rsidRPr="00AD084D">
              <w:t xml:space="preserve">(b) </w:t>
            </w:r>
            <w:r w:rsidRPr="00D9074C">
              <w:rPr>
                <w:u w:val="single"/>
              </w:rPr>
              <w:t>if a later document</w:t>
            </w:r>
            <w:r w:rsidRPr="00AD084D">
              <w:t xml:space="preserve"> published by Standards Australia and Standards New Zealand replaces that document – </w:t>
            </w:r>
            <w:r w:rsidRPr="00D9074C">
              <w:rPr>
                <w:u w:val="single"/>
              </w:rPr>
              <w:t>the later document</w:t>
            </w:r>
            <w:r w:rsidRPr="00AD084D">
              <w:t xml:space="preserve">. </w:t>
            </w:r>
            <w:r w:rsidRPr="00AD084D">
              <w:br/>
            </w:r>
            <w:r w:rsidRPr="00D9074C">
              <w:rPr>
                <w:b/>
                <w:bCs/>
                <w:i/>
                <w:iCs/>
              </w:rPr>
              <w:t>ETSI EN 300 220-1</w:t>
            </w:r>
            <w:r w:rsidRPr="00AD084D">
              <w:t xml:space="preserve"> means: </w:t>
            </w:r>
          </w:p>
          <w:p w14:paraId="71F70366" w14:textId="5E94D50A" w:rsidR="00F42B87" w:rsidRDefault="00AD084D" w:rsidP="00672442">
            <w:pPr>
              <w:pStyle w:val="ListParagraph"/>
              <w:keepNext/>
              <w:keepLines/>
              <w:spacing w:after="120" w:line="240" w:lineRule="auto"/>
              <w:ind w:left="365"/>
              <w:contextualSpacing w:val="0"/>
            </w:pPr>
            <w:r w:rsidRPr="00AD084D">
              <w:t xml:space="preserve">(b) </w:t>
            </w:r>
            <w:r w:rsidRPr="00D9074C">
              <w:rPr>
                <w:u w:val="single"/>
              </w:rPr>
              <w:t>if a later document published</w:t>
            </w:r>
            <w:r w:rsidRPr="00AD084D">
              <w:t xml:space="preserve"> by the European Telecommunications Standard Institute replaces that document – </w:t>
            </w:r>
            <w:r w:rsidRPr="00D9074C">
              <w:rPr>
                <w:u w:val="single"/>
              </w:rPr>
              <w:t>the later document</w:t>
            </w:r>
            <w:r w:rsidRPr="00AD084D">
              <w:t xml:space="preserve">. </w:t>
            </w:r>
          </w:p>
          <w:p w14:paraId="08FAD4ED" w14:textId="52993EE3" w:rsidR="00F42B87" w:rsidRDefault="00F42B87" w:rsidP="00672442">
            <w:pPr>
              <w:keepNext/>
              <w:keepLines/>
              <w:spacing w:after="80" w:line="240" w:lineRule="auto"/>
            </w:pPr>
            <w:bookmarkStart w:id="16" w:name="_Hlk123886821"/>
            <w:r>
              <w:t xml:space="preserve">CA suggested industry </w:t>
            </w:r>
            <w:r w:rsidR="00A830E2">
              <w:t>S</w:t>
            </w:r>
            <w:r>
              <w:t>tandards should have explicitly versioned references as this is the most unambiguous and preferred mechanism. Failing this, CA recommended:</w:t>
            </w:r>
          </w:p>
          <w:p w14:paraId="75AEBB6B" w14:textId="1E1468BF" w:rsidR="00F42B87" w:rsidRDefault="00F42B87" w:rsidP="00672442">
            <w:pPr>
              <w:pStyle w:val="Bulletlevel1"/>
              <w:keepNext/>
              <w:keepLines/>
              <w:tabs>
                <w:tab w:val="clear" w:pos="1572"/>
                <w:tab w:val="num" w:pos="295"/>
              </w:tabs>
              <w:ind w:left="295"/>
            </w:pPr>
            <w:r>
              <w:t xml:space="preserve">The </w:t>
            </w:r>
            <w:bookmarkEnd w:id="16"/>
            <w:r w:rsidRPr="000404A2">
              <w:t>ACMA could p</w:t>
            </w:r>
            <w:r>
              <w:t>ublish an informative list/table of current applicable</w:t>
            </w:r>
            <w:r w:rsidRPr="000404A2">
              <w:t xml:space="preserve"> </w:t>
            </w:r>
            <w:r w:rsidR="00AB2A06">
              <w:t>S</w:t>
            </w:r>
            <w:r w:rsidRPr="000404A2">
              <w:t xml:space="preserve">tandards and their calling </w:t>
            </w:r>
            <w:r>
              <w:t>i</w:t>
            </w:r>
            <w:r w:rsidRPr="000404A2">
              <w:t xml:space="preserve">nstruments as well as a separate list of expired </w:t>
            </w:r>
            <w:r w:rsidR="00AB2A06">
              <w:t>S</w:t>
            </w:r>
            <w:r w:rsidRPr="000404A2">
              <w:t>tandards</w:t>
            </w:r>
            <w:r>
              <w:t xml:space="preserve"> on the ACMA website</w:t>
            </w:r>
            <w:r w:rsidR="00AB2A06">
              <w:t>.</w:t>
            </w:r>
            <w:r>
              <w:t xml:space="preserve"> </w:t>
            </w:r>
          </w:p>
          <w:p w14:paraId="1FBCC2F5" w14:textId="420BA059" w:rsidR="00F42B87" w:rsidRDefault="00F42B87" w:rsidP="00672442">
            <w:pPr>
              <w:pStyle w:val="Bulletlevel1"/>
              <w:keepNext/>
              <w:keepLines/>
              <w:tabs>
                <w:tab w:val="clear" w:pos="1572"/>
                <w:tab w:val="num" w:pos="295"/>
              </w:tabs>
              <w:ind w:left="295"/>
            </w:pPr>
            <w:r>
              <w:t>Aligning the styles in designated applicable Standards where appropriate;</w:t>
            </w:r>
          </w:p>
          <w:p w14:paraId="465D7C71" w14:textId="17C77310" w:rsidR="00F42B87" w:rsidRPr="000404A2" w:rsidRDefault="00F42B87" w:rsidP="00672442">
            <w:pPr>
              <w:pStyle w:val="Bulletlevel1"/>
              <w:keepNext/>
              <w:keepLines/>
              <w:tabs>
                <w:tab w:val="clear" w:pos="1572"/>
                <w:tab w:val="num" w:pos="295"/>
              </w:tabs>
              <w:ind w:left="295"/>
            </w:pPr>
            <w:r>
              <w:t xml:space="preserve">Providing clarity </w:t>
            </w:r>
            <w:r w:rsidRPr="000404A2">
              <w:t xml:space="preserve">concerning the applicability of undated Standards references, in the situation where an undated Standard is later updated. </w:t>
            </w:r>
            <w:r>
              <w:t>CA</w:t>
            </w:r>
            <w:r w:rsidRPr="000404A2">
              <w:t xml:space="preserve"> noted that the phrase ‘as in force from time to time’ means as soon as the Standard is updated, it is in force with no transition, which is unworkable for suppliers and the supply chain.</w:t>
            </w:r>
          </w:p>
        </w:tc>
        <w:tc>
          <w:tcPr>
            <w:tcW w:w="3969" w:type="dxa"/>
            <w:shd w:val="clear" w:color="auto" w:fill="auto"/>
          </w:tcPr>
          <w:p w14:paraId="0E053933" w14:textId="785EA3C6" w:rsidR="00F42B87" w:rsidRDefault="00F42B87" w:rsidP="00672442">
            <w:pPr>
              <w:keepNext/>
              <w:keepLines/>
              <w:spacing w:after="80"/>
            </w:pPr>
            <w:r>
              <w:lastRenderedPageBreak/>
              <w:t>We considered the</w:t>
            </w:r>
            <w:r w:rsidR="00787EF9">
              <w:t>se</w:t>
            </w:r>
            <w:r>
              <w:t xml:space="preserve"> </w:t>
            </w:r>
            <w:proofErr w:type="gramStart"/>
            <w:r w:rsidR="005B44CE">
              <w:t>concerns</w:t>
            </w:r>
            <w:proofErr w:type="gramEnd"/>
            <w:r>
              <w:t xml:space="preserve"> </w:t>
            </w:r>
            <w:r w:rsidR="00787EF9">
              <w:t xml:space="preserve">and we </w:t>
            </w:r>
            <w:r>
              <w:t>not</w:t>
            </w:r>
            <w:r w:rsidR="00787EF9">
              <w:t>e</w:t>
            </w:r>
            <w:r>
              <w:t xml:space="preserve"> th</w:t>
            </w:r>
            <w:r w:rsidR="00787EF9">
              <w:t>at the</w:t>
            </w:r>
            <w:r>
              <w:t xml:space="preserve"> differences in phrasing when referencing instruments and standards in the General Equipment Rules </w:t>
            </w:r>
            <w:r w:rsidR="001B1E0D">
              <w:t>are</w:t>
            </w:r>
            <w:r>
              <w:t xml:space="preserve"> justified by the context:</w:t>
            </w:r>
          </w:p>
          <w:p w14:paraId="7970062E" w14:textId="75A0DD1F" w:rsidR="00F42B87" w:rsidRDefault="00F42B87" w:rsidP="00672442">
            <w:pPr>
              <w:pStyle w:val="Paragraph"/>
              <w:keepNext/>
              <w:keepLines/>
              <w:numPr>
                <w:ilvl w:val="0"/>
                <w:numId w:val="9"/>
              </w:numPr>
              <w:spacing w:after="80"/>
              <w:ind w:left="363"/>
            </w:pPr>
            <w:r>
              <w:t xml:space="preserve">The phrase </w:t>
            </w:r>
            <w:r w:rsidR="00AB2A06">
              <w:t>‘</w:t>
            </w:r>
            <w:r>
              <w:t>as in force from time to time</w:t>
            </w:r>
            <w:r w:rsidR="00AB2A06">
              <w:t>’</w:t>
            </w:r>
            <w:r>
              <w:t xml:space="preserve"> in section 5 of the General Equipment Rules provides necessary guidance on the iteration of each </w:t>
            </w:r>
            <w:r w:rsidR="00A830E2">
              <w:t>S</w:t>
            </w:r>
            <w:r>
              <w:t>tandard or instrument which is referenced</w:t>
            </w:r>
            <w:r w:rsidR="00AB2A06">
              <w:t>.</w:t>
            </w:r>
          </w:p>
          <w:p w14:paraId="59AA1CCD" w14:textId="0CEFD46B" w:rsidR="00F42B87" w:rsidRPr="00936553" w:rsidRDefault="00F42B87" w:rsidP="00672442">
            <w:pPr>
              <w:pStyle w:val="Paragraph"/>
              <w:keepNext/>
              <w:keepLines/>
              <w:numPr>
                <w:ilvl w:val="0"/>
                <w:numId w:val="9"/>
              </w:numPr>
              <w:spacing w:after="80"/>
              <w:ind w:left="363"/>
            </w:pPr>
            <w:r>
              <w:t>The ARPANSA Standard is a ‘</w:t>
            </w:r>
            <w:r w:rsidR="00A830E2">
              <w:t>S</w:t>
            </w:r>
            <w:r>
              <w:t xml:space="preserve">tandard’ made under the </w:t>
            </w:r>
            <w:r w:rsidRPr="00936553">
              <w:rPr>
                <w:i/>
                <w:iCs/>
              </w:rPr>
              <w:t>Australian Radiation Protection and Nuclear Safety Act 1998</w:t>
            </w:r>
            <w:r>
              <w:t xml:space="preserve">. It is therefore appropriate to use </w:t>
            </w:r>
            <w:r w:rsidR="00AB2A06">
              <w:t>‘</w:t>
            </w:r>
            <w:r>
              <w:t xml:space="preserve">or any </w:t>
            </w:r>
            <w:r w:rsidR="00A830E2">
              <w:t>S</w:t>
            </w:r>
            <w:r>
              <w:t>tandard</w:t>
            </w:r>
            <w:r w:rsidR="00AB2A06">
              <w:t xml:space="preserve"> </w:t>
            </w:r>
            <w:r>
              <w:t>...</w:t>
            </w:r>
            <w:r w:rsidR="00AB2A06">
              <w:t>’</w:t>
            </w:r>
            <w:r>
              <w:t xml:space="preserve"> rather than </w:t>
            </w:r>
            <w:r w:rsidR="00AB2A06">
              <w:t>‘</w:t>
            </w:r>
            <w:r>
              <w:t>or any document</w:t>
            </w:r>
            <w:r w:rsidR="00AB2A06">
              <w:t xml:space="preserve"> </w:t>
            </w:r>
            <w:r>
              <w:t>…</w:t>
            </w:r>
            <w:r w:rsidR="00AB2A06">
              <w:t>’</w:t>
            </w:r>
          </w:p>
          <w:p w14:paraId="6E1FDBAE" w14:textId="72465DC3" w:rsidR="00F42B87" w:rsidRPr="00936553" w:rsidRDefault="00F42B87" w:rsidP="00672442">
            <w:pPr>
              <w:pStyle w:val="Paragraph"/>
              <w:keepNext/>
              <w:keepLines/>
              <w:numPr>
                <w:ilvl w:val="0"/>
                <w:numId w:val="9"/>
              </w:numPr>
              <w:spacing w:after="80"/>
              <w:ind w:left="363"/>
            </w:pPr>
            <w:r>
              <w:t>S</w:t>
            </w:r>
            <w:r w:rsidRPr="0070484F">
              <w:t xml:space="preserve">tandards are listed without version identification in </w:t>
            </w:r>
            <w:r w:rsidRPr="00E16E00">
              <w:t xml:space="preserve">a table at </w:t>
            </w:r>
            <w:r w:rsidRPr="0070484F">
              <w:t>Part 3 of Schedule 4 to the General Equipment Rules</w:t>
            </w:r>
            <w:r>
              <w:t xml:space="preserve"> to </w:t>
            </w:r>
            <w:r w:rsidRPr="00E16E00">
              <w:t xml:space="preserve">aid the reader and abbreviate references for ease of use. Each of the </w:t>
            </w:r>
            <w:r w:rsidR="00A830E2">
              <w:t>S</w:t>
            </w:r>
            <w:r w:rsidRPr="00E16E00">
              <w:t xml:space="preserve">tandards is defined by reference to a particular iteration of that </w:t>
            </w:r>
            <w:r w:rsidR="00A830E2">
              <w:t>S</w:t>
            </w:r>
            <w:r w:rsidRPr="00E16E00">
              <w:t>tandard in clause 2 of Schedule 4</w:t>
            </w:r>
            <w:r w:rsidR="00AB2A06">
              <w:t>.</w:t>
            </w:r>
          </w:p>
          <w:p w14:paraId="573BA20A" w14:textId="28F44CF7" w:rsidR="00F42B87" w:rsidRPr="00936553" w:rsidRDefault="00F42B87" w:rsidP="00672442">
            <w:pPr>
              <w:pStyle w:val="Paragraph"/>
              <w:keepNext/>
              <w:keepLines/>
              <w:numPr>
                <w:ilvl w:val="0"/>
                <w:numId w:val="9"/>
              </w:numPr>
              <w:spacing w:after="80"/>
              <w:ind w:left="363"/>
            </w:pPr>
            <w:r>
              <w:t>S</w:t>
            </w:r>
            <w:r w:rsidRPr="0070484F">
              <w:t xml:space="preserve">tandards are listed without version identification in </w:t>
            </w:r>
            <w:r w:rsidRPr="00E16E00">
              <w:t xml:space="preserve">a table at </w:t>
            </w:r>
            <w:r w:rsidRPr="0070484F">
              <w:t>Part 2 of Schedule 5 to the General Equipment Rules</w:t>
            </w:r>
            <w:r>
              <w:t xml:space="preserve"> to</w:t>
            </w:r>
            <w:r w:rsidRPr="00E16E00">
              <w:t xml:space="preserve"> aid the reader and abbreviate references for ease of use. Each of the </w:t>
            </w:r>
            <w:r w:rsidR="00A830E2">
              <w:t>S</w:t>
            </w:r>
            <w:r w:rsidRPr="00E16E00">
              <w:t xml:space="preserve">tandards is defined by reference to a particular iteration of that </w:t>
            </w:r>
            <w:r w:rsidR="00A830E2">
              <w:t>S</w:t>
            </w:r>
            <w:r w:rsidRPr="00E16E00">
              <w:t>tandard in subsequent provisions in the various parts of Schedule 5</w:t>
            </w:r>
            <w:r w:rsidR="00AB2A06">
              <w:t>.</w:t>
            </w:r>
          </w:p>
          <w:p w14:paraId="25C42EFA" w14:textId="2EF2E760" w:rsidR="00F42B87" w:rsidRDefault="00F42B87" w:rsidP="00672442">
            <w:pPr>
              <w:pStyle w:val="Paragraph"/>
              <w:keepNext/>
              <w:keepLines/>
              <w:numPr>
                <w:ilvl w:val="0"/>
                <w:numId w:val="9"/>
              </w:numPr>
              <w:spacing w:after="80"/>
              <w:ind w:left="363"/>
            </w:pPr>
            <w:r>
              <w:t xml:space="preserve">In relation to </w:t>
            </w:r>
            <w:r w:rsidR="00AB2A06">
              <w:t>‘</w:t>
            </w:r>
            <w:r w:rsidRPr="00936553">
              <w:t>AS/NZS 4295 means AS/NZS 4295:2015</w:t>
            </w:r>
            <w:r w:rsidR="00AB2A06">
              <w:t>’</w:t>
            </w:r>
            <w:r>
              <w:t xml:space="preserve"> and </w:t>
            </w:r>
            <w:r w:rsidR="00AB2A06">
              <w:t>‘</w:t>
            </w:r>
            <w:r w:rsidRPr="00936553">
              <w:t>ETSI EN 300 086 means ETSI EN 300 086 V2.1.2 (2016-08)</w:t>
            </w:r>
            <w:r w:rsidR="00AB2A06">
              <w:t>’</w:t>
            </w:r>
            <w:r>
              <w:t xml:space="preserve">, the use of version identification is appropriate because it indicates the relevant version of the </w:t>
            </w:r>
            <w:r w:rsidR="00A830E2">
              <w:t>S</w:t>
            </w:r>
            <w:r>
              <w:t xml:space="preserve">tandard that will apply upon commencement of the instrument. For the majority of </w:t>
            </w:r>
            <w:r w:rsidR="00A830E2">
              <w:t>S</w:t>
            </w:r>
            <w:r>
              <w:t xml:space="preserve">tandards incorporated in Schedule 5 to the General Equipment Rules, clause 4 of Schedule 5 to the General Equipment Rules provides for replacement </w:t>
            </w:r>
            <w:r w:rsidR="00A830E2">
              <w:t>S</w:t>
            </w:r>
            <w:r>
              <w:t xml:space="preserve">tandards and therefore the subclause </w:t>
            </w:r>
            <w:r w:rsidR="00AB2A06">
              <w:t>‘</w:t>
            </w:r>
            <w:r>
              <w:t>if a later document published</w:t>
            </w:r>
            <w:r w:rsidR="00AB2A06">
              <w:t xml:space="preserve"> </w:t>
            </w:r>
            <w:r>
              <w:t>…</w:t>
            </w:r>
            <w:r w:rsidR="00AB2A06">
              <w:t>’</w:t>
            </w:r>
            <w:r>
              <w:t xml:space="preserve"> is not required</w:t>
            </w:r>
            <w:r w:rsidR="00AB2A06">
              <w:t>.</w:t>
            </w:r>
            <w:r>
              <w:t xml:space="preserve"> and </w:t>
            </w:r>
          </w:p>
          <w:p w14:paraId="724B0263" w14:textId="4F16B99B" w:rsidR="00F42B87" w:rsidRPr="00B26DF2" w:rsidRDefault="00F42B87" w:rsidP="00672442">
            <w:pPr>
              <w:pStyle w:val="Paragraph"/>
              <w:keepNext/>
              <w:keepLines/>
              <w:numPr>
                <w:ilvl w:val="0"/>
                <w:numId w:val="9"/>
              </w:numPr>
              <w:spacing w:after="120"/>
              <w:ind w:left="364" w:hanging="364"/>
            </w:pPr>
            <w:r>
              <w:t>I</w:t>
            </w:r>
            <w:r w:rsidRPr="00B26DF2">
              <w:t xml:space="preserve">n relation to </w:t>
            </w:r>
            <w:r w:rsidR="00285319">
              <w:t>‘</w:t>
            </w:r>
            <w:r w:rsidRPr="00936553">
              <w:t>if a later document</w:t>
            </w:r>
            <w:r w:rsidR="00285319">
              <w:t xml:space="preserve"> </w:t>
            </w:r>
            <w:r w:rsidRPr="00936553">
              <w:t>…</w:t>
            </w:r>
            <w:r w:rsidR="00285319">
              <w:t xml:space="preserve"> </w:t>
            </w:r>
            <w:r w:rsidRPr="00936553">
              <w:t>the later document</w:t>
            </w:r>
            <w:r w:rsidR="00285319">
              <w:t>’</w:t>
            </w:r>
            <w:r w:rsidRPr="00B26DF2">
              <w:t xml:space="preserve"> in Part 15 (Short Range Equipment Standard) of Schedule 5 to the General Equipment </w:t>
            </w:r>
            <w:r w:rsidRPr="00B26DF2">
              <w:lastRenderedPageBreak/>
              <w:t xml:space="preserve">Rules, this text is required because clause 4 (requirement to comply with a General Standard) of Schedule 5 does not apply to the </w:t>
            </w:r>
            <w:proofErr w:type="gramStart"/>
            <w:r w:rsidRPr="00B26DF2">
              <w:t>Short Range</w:t>
            </w:r>
            <w:proofErr w:type="gramEnd"/>
            <w:r w:rsidRPr="00B26DF2">
              <w:t xml:space="preserve"> Equipment Standard. The </w:t>
            </w:r>
            <w:proofErr w:type="gramStart"/>
            <w:r w:rsidRPr="00B26DF2">
              <w:t>Short Range</w:t>
            </w:r>
            <w:proofErr w:type="gramEnd"/>
            <w:r w:rsidRPr="00B26DF2">
              <w:t xml:space="preserve"> Equipment Standard specifically reference</w:t>
            </w:r>
            <w:r>
              <w:t>s</w:t>
            </w:r>
            <w:r w:rsidRPr="00B26DF2">
              <w:t xml:space="preserve"> provisions in the LIPD Class Licence </w:t>
            </w:r>
            <w:r>
              <w:t xml:space="preserve">as the </w:t>
            </w:r>
            <w:r w:rsidR="00A830E2">
              <w:t>S</w:t>
            </w:r>
            <w:r>
              <w:t xml:space="preserve">tandard to be met by devices, and the industry </w:t>
            </w:r>
            <w:r w:rsidR="00A830E2">
              <w:t>S</w:t>
            </w:r>
            <w:r>
              <w:t xml:space="preserve">tandards incorporated only set the rules for testing whether devices comply with those provisions of the LIPD Class Licence </w:t>
            </w:r>
            <w:r w:rsidRPr="00B26DF2">
              <w:t>(see Part 15 of Schedule 5).</w:t>
            </w:r>
          </w:p>
          <w:p w14:paraId="101ED3B6" w14:textId="35DB524A" w:rsidR="002668EA" w:rsidRDefault="002668EA" w:rsidP="00672442">
            <w:pPr>
              <w:pStyle w:val="Paragraph"/>
              <w:keepNext/>
              <w:keepLines/>
              <w:spacing w:after="120"/>
            </w:pPr>
            <w:r>
              <w:t xml:space="preserve">Our approach to referencing instruments and standards in the General Equipment Rules is designed to </w:t>
            </w:r>
            <w:r w:rsidRPr="008E2081">
              <w:t>minimise the number of legislative amendments required</w:t>
            </w:r>
            <w:r>
              <w:t xml:space="preserve"> as industry </w:t>
            </w:r>
            <w:r w:rsidR="00A830E2">
              <w:t>S</w:t>
            </w:r>
            <w:r>
              <w:t>tandards evolve.</w:t>
            </w:r>
          </w:p>
          <w:p w14:paraId="60E40A04" w14:textId="0FEF7C7A" w:rsidR="002668EA" w:rsidRDefault="00C02441" w:rsidP="00672442">
            <w:pPr>
              <w:pStyle w:val="Paragraph"/>
              <w:keepNext/>
              <w:keepLines/>
              <w:spacing w:after="120"/>
            </w:pPr>
            <w:r>
              <w:t xml:space="preserve">Additionally, the </w:t>
            </w:r>
            <w:r w:rsidR="002668EA" w:rsidRPr="001507AD">
              <w:t>General Equipment Rules have been amended to provide a blanket transition period of 12 months</w:t>
            </w:r>
            <w:r w:rsidR="002668EA">
              <w:t>.</w:t>
            </w:r>
          </w:p>
          <w:p w14:paraId="0B7BC7EE" w14:textId="39F0B8B3" w:rsidR="00F42B87" w:rsidRDefault="00787EF9" w:rsidP="00672442">
            <w:pPr>
              <w:pStyle w:val="Paragraph"/>
              <w:keepNext/>
              <w:keepLines/>
              <w:spacing w:after="0"/>
            </w:pPr>
            <w:r w:rsidRPr="00B5773D">
              <w:t>The ACMA is currently developing additional guidance material to assist industry in interpreting and applying the applicable regulatory requirements for a particular device. This will be published on the ACMA website</w:t>
            </w:r>
            <w:r w:rsidR="005054C4">
              <w:t>.</w:t>
            </w:r>
          </w:p>
        </w:tc>
      </w:tr>
      <w:bookmarkEnd w:id="15"/>
      <w:tr w:rsidR="00F42B87" w:rsidRPr="00E162C4" w14:paraId="6930F366"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vMerge w:val="restart"/>
            <w:shd w:val="clear" w:color="auto" w:fill="auto"/>
          </w:tcPr>
          <w:p w14:paraId="0054827B" w14:textId="77777777" w:rsidR="00F42B87" w:rsidRDefault="00F42B87" w:rsidP="0038655B">
            <w:pPr>
              <w:pStyle w:val="Bulletlevel1"/>
              <w:numPr>
                <w:ilvl w:val="0"/>
                <w:numId w:val="0"/>
              </w:numPr>
              <w:rPr>
                <w:b/>
                <w:bCs/>
              </w:rPr>
            </w:pPr>
          </w:p>
        </w:tc>
        <w:tc>
          <w:tcPr>
            <w:tcW w:w="3402" w:type="dxa"/>
            <w:shd w:val="clear" w:color="auto" w:fill="auto"/>
          </w:tcPr>
          <w:p w14:paraId="564D20F2" w14:textId="77777777" w:rsidR="00F42B87" w:rsidRPr="00BF5C58" w:rsidRDefault="00F42B87" w:rsidP="0038655B">
            <w:pPr>
              <w:spacing w:after="80" w:line="240" w:lineRule="auto"/>
            </w:pPr>
            <w:r w:rsidRPr="00BF5C58">
              <w:t>CA’s submission noted:</w:t>
            </w:r>
          </w:p>
          <w:p w14:paraId="034668AF" w14:textId="77777777" w:rsidR="00F42B87" w:rsidRPr="00BF5C58" w:rsidRDefault="00F42B87" w:rsidP="00BF5C58">
            <w:pPr>
              <w:pStyle w:val="Bulletlevel1"/>
              <w:tabs>
                <w:tab w:val="clear" w:pos="1572"/>
                <w:tab w:val="num" w:pos="295"/>
              </w:tabs>
              <w:ind w:left="295"/>
            </w:pPr>
            <w:r w:rsidRPr="00BF5C58">
              <w:t xml:space="preserve">The recent amendment to AS/NZS 4268:2017 (Radio equipment and systems - </w:t>
            </w:r>
            <w:proofErr w:type="gramStart"/>
            <w:r w:rsidRPr="00BF5C58">
              <w:t>Short</w:t>
            </w:r>
            <w:proofErr w:type="gramEnd"/>
            <w:r w:rsidRPr="00BF5C58">
              <w:t xml:space="preserve"> range devices - Limits and methods of measurement) is not explicitly referenced in the General Equipment Rules.</w:t>
            </w:r>
          </w:p>
          <w:p w14:paraId="2E16585A" w14:textId="24DFF32B" w:rsidR="00F42B87" w:rsidRPr="00BF5C58" w:rsidRDefault="00F42B87" w:rsidP="00672442">
            <w:pPr>
              <w:pStyle w:val="Bulletlevel1"/>
              <w:keepNext/>
              <w:keepLines/>
              <w:tabs>
                <w:tab w:val="clear" w:pos="1572"/>
                <w:tab w:val="num" w:pos="295"/>
              </w:tabs>
              <w:spacing w:line="240" w:lineRule="auto"/>
              <w:ind w:left="295"/>
            </w:pPr>
            <w:r w:rsidRPr="00BF5C58">
              <w:lastRenderedPageBreak/>
              <w:t>This creates issues for CA members having to demonstrate what is the applicable version of a Standard/amendment.</w:t>
            </w:r>
          </w:p>
          <w:p w14:paraId="38DFAEBC" w14:textId="77777777" w:rsidR="00F42B87" w:rsidRDefault="00F42B87" w:rsidP="00672442">
            <w:pPr>
              <w:pStyle w:val="Bulletlevel1"/>
              <w:keepNext/>
              <w:keepLines/>
              <w:tabs>
                <w:tab w:val="clear" w:pos="1572"/>
                <w:tab w:val="num" w:pos="295"/>
              </w:tabs>
              <w:spacing w:line="240" w:lineRule="auto"/>
              <w:ind w:left="295"/>
            </w:pPr>
            <w:r w:rsidRPr="00BF5C58">
              <w:t xml:space="preserve">CA reported that currently it is not unusual for industry members to refer to AS/NZS 4268 and the LIPD Class Licence and pay little heed to the </w:t>
            </w:r>
            <w:proofErr w:type="gramStart"/>
            <w:r w:rsidRPr="00BF5C58">
              <w:t>Short Range</w:t>
            </w:r>
            <w:proofErr w:type="gramEnd"/>
            <w:r w:rsidRPr="00BF5C58">
              <w:t xml:space="preserve"> Equipment Standard. CA states that this behavioural issue can be addressed by complementing the instruments with further explanatory material.</w:t>
            </w:r>
          </w:p>
          <w:p w14:paraId="7B6ABFB9" w14:textId="34DA619E" w:rsidR="00F42B87" w:rsidRPr="00BF5C58" w:rsidRDefault="00F42B87" w:rsidP="00BF5C58">
            <w:pPr>
              <w:pStyle w:val="Bulletlevel1"/>
              <w:tabs>
                <w:tab w:val="clear" w:pos="1572"/>
                <w:tab w:val="num" w:pos="295"/>
              </w:tabs>
              <w:spacing w:line="240" w:lineRule="auto"/>
              <w:ind w:left="295"/>
            </w:pPr>
            <w:r w:rsidRPr="00BF5C58">
              <w:t>CA noted that a common question they have encountered is whether the applicable Standard is the Standard at the time of importation of the device and not at the time of testing the device.</w:t>
            </w:r>
          </w:p>
        </w:tc>
        <w:tc>
          <w:tcPr>
            <w:tcW w:w="3969" w:type="dxa"/>
            <w:shd w:val="clear" w:color="auto" w:fill="auto"/>
          </w:tcPr>
          <w:p w14:paraId="3A73026D" w14:textId="07620E93" w:rsidR="00F42B87" w:rsidRDefault="00787EF9" w:rsidP="00B30E05">
            <w:pPr>
              <w:spacing w:after="80"/>
            </w:pPr>
            <w:r w:rsidRPr="00B5773D">
              <w:lastRenderedPageBreak/>
              <w:t>The ACMA is currently developing additional guidance material to assist industry in interpreting and applying the applicable regulatory requirements for a particular device.</w:t>
            </w:r>
            <w:r>
              <w:t xml:space="preserve"> This will include </w:t>
            </w:r>
            <w:r w:rsidR="00687656">
              <w:t xml:space="preserve">guidance </w:t>
            </w:r>
            <w:r>
              <w:t xml:space="preserve">related to the </w:t>
            </w:r>
            <w:proofErr w:type="gramStart"/>
            <w:r>
              <w:t>Short Range</w:t>
            </w:r>
            <w:proofErr w:type="gramEnd"/>
            <w:r>
              <w:t xml:space="preserve"> Equipment Standard.</w:t>
            </w:r>
            <w:r w:rsidRPr="00B5773D">
              <w:t xml:space="preserve"> This will be published on the ACMA website</w:t>
            </w:r>
            <w:r w:rsidR="005054C4">
              <w:t>.</w:t>
            </w:r>
          </w:p>
        </w:tc>
      </w:tr>
      <w:tr w:rsidR="00F42B87" w:rsidRPr="00432B7C" w14:paraId="4B00F30A"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vMerge/>
            <w:shd w:val="clear" w:color="auto" w:fill="auto"/>
          </w:tcPr>
          <w:p w14:paraId="03544BC7" w14:textId="77777777" w:rsidR="00F42B87" w:rsidRDefault="00F42B87" w:rsidP="0038655B">
            <w:pPr>
              <w:spacing w:after="80"/>
              <w:rPr>
                <w:b/>
                <w:bCs/>
              </w:rPr>
            </w:pPr>
          </w:p>
        </w:tc>
        <w:tc>
          <w:tcPr>
            <w:tcW w:w="3402" w:type="dxa"/>
            <w:shd w:val="clear" w:color="auto" w:fill="auto"/>
          </w:tcPr>
          <w:p w14:paraId="64B55651" w14:textId="0A27C167" w:rsidR="00F42B87" w:rsidRPr="000404A2" w:rsidRDefault="00F42B87" w:rsidP="001B36E1">
            <w:pPr>
              <w:spacing w:after="80"/>
            </w:pPr>
            <w:r w:rsidRPr="001B36E1">
              <w:t xml:space="preserve">CA’s submission recommended the ACMA adopt ETSI EN 303 687 for Radio Local Area Network transmitters operating in the </w:t>
            </w:r>
            <w:r w:rsidR="00DA369E">
              <w:br/>
            </w:r>
            <w:r w:rsidRPr="001B36E1">
              <w:t>5925–6425 MHz frequency range (as listed in Schedule 1 to the LIPD Class Licence).</w:t>
            </w:r>
          </w:p>
        </w:tc>
        <w:tc>
          <w:tcPr>
            <w:tcW w:w="3969" w:type="dxa"/>
            <w:shd w:val="clear" w:color="auto" w:fill="auto"/>
          </w:tcPr>
          <w:p w14:paraId="1BBD5F62" w14:textId="2F2BE89E" w:rsidR="00F42B87" w:rsidRDefault="00F42B87" w:rsidP="001B36E1">
            <w:pPr>
              <w:spacing w:after="80"/>
            </w:pPr>
            <w:r w:rsidRPr="001B36E1">
              <w:t xml:space="preserve">We considered the submission, noting ETSI EN 303 687 is still under development and is not yet published. </w:t>
            </w:r>
            <w:r>
              <w:t xml:space="preserve">The ACMA </w:t>
            </w:r>
            <w:r w:rsidR="00787EF9">
              <w:t>will</w:t>
            </w:r>
            <w:r>
              <w:t xml:space="preserve"> consider amending the General Equipment Rules to adopt ETSI EN 303 687 when the document is published.</w:t>
            </w:r>
          </w:p>
        </w:tc>
      </w:tr>
      <w:tr w:rsidR="00F42B87" w:rsidRPr="00432B7C" w14:paraId="79229112"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vMerge/>
            <w:shd w:val="clear" w:color="auto" w:fill="auto"/>
          </w:tcPr>
          <w:p w14:paraId="044922B7" w14:textId="77777777" w:rsidR="00F42B87" w:rsidRDefault="00F42B87" w:rsidP="0038655B">
            <w:pPr>
              <w:spacing w:after="80"/>
              <w:rPr>
                <w:b/>
                <w:bCs/>
              </w:rPr>
            </w:pPr>
          </w:p>
        </w:tc>
        <w:tc>
          <w:tcPr>
            <w:tcW w:w="3402" w:type="dxa"/>
            <w:shd w:val="clear" w:color="auto" w:fill="auto"/>
          </w:tcPr>
          <w:p w14:paraId="201E3DF9" w14:textId="32334849" w:rsidR="00F42B87" w:rsidRPr="001B36E1" w:rsidRDefault="00F42B87" w:rsidP="001B36E1">
            <w:pPr>
              <w:spacing w:after="80"/>
            </w:pPr>
            <w:r w:rsidRPr="001B36E1">
              <w:t xml:space="preserve">CA stated that their understanding was that a test report against a </w:t>
            </w:r>
            <w:r w:rsidR="00A830E2">
              <w:t>S</w:t>
            </w:r>
            <w:r w:rsidRPr="001B36E1">
              <w:t xml:space="preserve">tandard mentioned in Column 4 of Schedule 1 to the LIPD Class Licence can be used as proof of compliance with the </w:t>
            </w:r>
            <w:proofErr w:type="gramStart"/>
            <w:r w:rsidRPr="001B36E1">
              <w:t>Short Range</w:t>
            </w:r>
            <w:proofErr w:type="gramEnd"/>
            <w:r w:rsidRPr="001B36E1">
              <w:t xml:space="preserve"> Equipment Standard. CA recommended that this clarification be added to the General Equipment Rules.</w:t>
            </w:r>
          </w:p>
        </w:tc>
        <w:tc>
          <w:tcPr>
            <w:tcW w:w="3969" w:type="dxa"/>
            <w:shd w:val="clear" w:color="auto" w:fill="auto"/>
          </w:tcPr>
          <w:p w14:paraId="433C3DFB" w14:textId="4924E526" w:rsidR="00F42B87" w:rsidRPr="001B36E1" w:rsidRDefault="00F42B87" w:rsidP="001B36E1">
            <w:pPr>
              <w:spacing w:after="80"/>
            </w:pPr>
            <w:r w:rsidRPr="001B36E1">
              <w:t xml:space="preserve">The ACMA notes test reports against a </w:t>
            </w:r>
            <w:r w:rsidR="00A830E2">
              <w:t>S</w:t>
            </w:r>
            <w:r w:rsidRPr="001B36E1">
              <w:t xml:space="preserve">tandard mentioned in Column 4 of Schedule 1 to the LIPD Class Licence cannot be used as proof of compliance with the </w:t>
            </w:r>
            <w:proofErr w:type="gramStart"/>
            <w:r w:rsidRPr="001B36E1">
              <w:t>Short Range</w:t>
            </w:r>
            <w:proofErr w:type="gramEnd"/>
            <w:r w:rsidRPr="001B36E1">
              <w:t xml:space="preserve"> Equipment Standard, unless any differences with the LIPD Class Licence are </w:t>
            </w:r>
            <w:r w:rsidR="00787EF9">
              <w:t>acquitted</w:t>
            </w:r>
            <w:r w:rsidRPr="001B36E1">
              <w:t xml:space="preserve">. The ACMA is considering clarifying the use of a test report </w:t>
            </w:r>
            <w:r w:rsidR="00787EF9">
              <w:t xml:space="preserve">for the </w:t>
            </w:r>
            <w:proofErr w:type="gramStart"/>
            <w:r w:rsidR="00787EF9">
              <w:t>Short Range</w:t>
            </w:r>
            <w:proofErr w:type="gramEnd"/>
            <w:r w:rsidR="00787EF9">
              <w:t xml:space="preserve"> Equipment Standard </w:t>
            </w:r>
            <w:r w:rsidRPr="001B36E1">
              <w:t xml:space="preserve">on the ACMA website, to be published alongside the guidance </w:t>
            </w:r>
            <w:r w:rsidR="00286D9F">
              <w:t>material</w:t>
            </w:r>
            <w:r w:rsidR="00787EF9">
              <w:t xml:space="preserve"> mentioned above.</w:t>
            </w:r>
          </w:p>
        </w:tc>
      </w:tr>
      <w:tr w:rsidR="00F42B87" w:rsidRPr="00432B7C" w14:paraId="5C229C7C"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tcPr>
          <w:p w14:paraId="7F1837FE" w14:textId="4D76DECE" w:rsidR="00F42B87" w:rsidRPr="00F42B87" w:rsidRDefault="00F42B87" w:rsidP="00950394">
            <w:pPr>
              <w:pStyle w:val="Bulletlevel1"/>
              <w:numPr>
                <w:ilvl w:val="0"/>
                <w:numId w:val="16"/>
              </w:numPr>
              <w:ind w:left="368"/>
              <w:rPr>
                <w:b/>
                <w:bCs/>
              </w:rPr>
            </w:pPr>
            <w:r w:rsidRPr="00F42B87">
              <w:rPr>
                <w:b/>
                <w:bCs/>
              </w:rPr>
              <w:t>Optus</w:t>
            </w:r>
          </w:p>
        </w:tc>
        <w:tc>
          <w:tcPr>
            <w:tcW w:w="3402" w:type="dxa"/>
          </w:tcPr>
          <w:p w14:paraId="77F6F18F" w14:textId="6A89BD06" w:rsidR="00F42B87" w:rsidRPr="0090297F" w:rsidRDefault="00F42B87" w:rsidP="0038655B">
            <w:pPr>
              <w:spacing w:after="80"/>
            </w:pPr>
            <w:r w:rsidRPr="0090297F">
              <w:t xml:space="preserve">Optus supported the proposal, stating </w:t>
            </w:r>
            <w:r w:rsidR="00A830E2">
              <w:t>‘</w:t>
            </w:r>
            <w:r w:rsidRPr="0090297F">
              <w:t>that the consolidation of the Equipment Rules will promote some administrative efficiency, in particular by reducing search time for interested stakeholders</w:t>
            </w:r>
            <w:r w:rsidR="00A830E2">
              <w:t>’</w:t>
            </w:r>
            <w:r w:rsidRPr="0090297F">
              <w:t>.</w:t>
            </w:r>
          </w:p>
          <w:p w14:paraId="579DFDC6" w14:textId="6ECD883E" w:rsidR="00F42B87" w:rsidRDefault="00F42B87" w:rsidP="0038655B">
            <w:pPr>
              <w:spacing w:after="80"/>
            </w:pPr>
            <w:r w:rsidRPr="00EF14FE">
              <w:t>Optus noted some concerns:</w:t>
            </w:r>
          </w:p>
          <w:p w14:paraId="73A9B679" w14:textId="41257276" w:rsidR="00F42B87" w:rsidRDefault="00F42B87" w:rsidP="0038655B">
            <w:pPr>
              <w:pStyle w:val="Bulletlevel1"/>
              <w:tabs>
                <w:tab w:val="clear" w:pos="1572"/>
                <w:tab w:val="num" w:pos="295"/>
              </w:tabs>
              <w:ind w:left="295"/>
            </w:pPr>
            <w:r>
              <w:t xml:space="preserve">Phrasing </w:t>
            </w:r>
            <w:r w:rsidRPr="00EF14FE">
              <w:t xml:space="preserve">and terminology inconsistencies have arisen due to the different drafting styles of legacy documents incorporated </w:t>
            </w:r>
            <w:r w:rsidRPr="00EF14FE">
              <w:lastRenderedPageBreak/>
              <w:t xml:space="preserve">into the Equipment Rules. In particular, the language used to identify the instrument or </w:t>
            </w:r>
            <w:r w:rsidR="00A830E2">
              <w:t>S</w:t>
            </w:r>
            <w:r w:rsidRPr="00EF14FE">
              <w:t xml:space="preserve">tandard applicable at a particular point in time differs across the Equipment </w:t>
            </w:r>
            <w:r>
              <w:t>Rules.</w:t>
            </w:r>
          </w:p>
          <w:p w14:paraId="6459C3B0" w14:textId="4E61470D" w:rsidR="00F42B87" w:rsidRPr="00E162C4" w:rsidRDefault="00F42B87" w:rsidP="0038655B">
            <w:pPr>
              <w:pStyle w:val="Bulletlevel1"/>
              <w:tabs>
                <w:tab w:val="clear" w:pos="1572"/>
                <w:tab w:val="num" w:pos="295"/>
              </w:tabs>
              <w:ind w:left="295"/>
            </w:pPr>
            <w:r>
              <w:t xml:space="preserve">The </w:t>
            </w:r>
            <w:r w:rsidRPr="00EF14FE">
              <w:t xml:space="preserve">compliance requirements under new Part 2 of Schedule 5 to the Equipment Rules </w:t>
            </w:r>
            <w:r w:rsidR="00A830E2">
              <w:t>‘</w:t>
            </w:r>
            <w:r w:rsidRPr="00EF14FE">
              <w:t xml:space="preserve">Prescribed </w:t>
            </w:r>
            <w:r w:rsidR="00A830E2">
              <w:t>S</w:t>
            </w:r>
            <w:r w:rsidRPr="00EF14FE">
              <w:t xml:space="preserve">tandards and how equipment complies with </w:t>
            </w:r>
            <w:r w:rsidR="00A830E2">
              <w:t>S</w:t>
            </w:r>
            <w:r w:rsidRPr="00EF14FE">
              <w:t>tandards</w:t>
            </w:r>
            <w:r w:rsidR="00A830E2">
              <w:t>’</w:t>
            </w:r>
            <w:r w:rsidRPr="00EF14FE">
              <w:t xml:space="preserve"> are not entirely clear from the existing text. Optus suggest that comprehension might benefit from some graphical/tabular representation of the text possibly expanding on the proposed table in the new clause 3 of that Part by including additional columns to explain compliance with an industry</w:t>
            </w:r>
            <w:r>
              <w:t xml:space="preserve"> document.</w:t>
            </w:r>
          </w:p>
        </w:tc>
        <w:tc>
          <w:tcPr>
            <w:tcW w:w="3969" w:type="dxa"/>
          </w:tcPr>
          <w:p w14:paraId="597138D4" w14:textId="762A445E" w:rsidR="00F42B87" w:rsidRPr="00B26DF2" w:rsidRDefault="00F42B87" w:rsidP="0038655B">
            <w:pPr>
              <w:spacing w:after="80"/>
            </w:pPr>
            <w:r>
              <w:lastRenderedPageBreak/>
              <w:t xml:space="preserve">We considered the submission, noting the differences in phrasing when referencing instruments and </w:t>
            </w:r>
            <w:r w:rsidR="00A830E2">
              <w:t>S</w:t>
            </w:r>
            <w:r>
              <w:t xml:space="preserve">tandards in the General Equipment Rules </w:t>
            </w:r>
            <w:r w:rsidR="001B1E0D">
              <w:t>are</w:t>
            </w:r>
            <w:r>
              <w:t xml:space="preserve"> justified by context.</w:t>
            </w:r>
          </w:p>
          <w:p w14:paraId="62B530EB" w14:textId="4156526D" w:rsidR="00F42B87" w:rsidRPr="00DD41EF" w:rsidRDefault="00787EF9" w:rsidP="0038655B">
            <w:pPr>
              <w:pStyle w:val="Default"/>
              <w:spacing w:after="80" w:line="240" w:lineRule="atLeast"/>
              <w:rPr>
                <w:rFonts w:cs="Times New Roman"/>
                <w:color w:val="auto"/>
                <w:sz w:val="20"/>
              </w:rPr>
            </w:pPr>
            <w:r w:rsidRPr="00787EF9">
              <w:rPr>
                <w:rFonts w:cs="Times New Roman"/>
                <w:color w:val="auto"/>
                <w:sz w:val="20"/>
              </w:rPr>
              <w:t>The ACMA is currently developing additional guidance material to assist industry in interpreting and applying the applicable regulatory requirements for a particular device. This will be published on the ACMA website.</w:t>
            </w:r>
          </w:p>
        </w:tc>
      </w:tr>
    </w:tbl>
    <w:p w14:paraId="155593F7" w14:textId="0F1A2F4B" w:rsidR="00676CC6" w:rsidRDefault="00676CC6" w:rsidP="0013573F"/>
    <w:p w14:paraId="42E4B48F" w14:textId="77777777" w:rsidR="00676CC6" w:rsidRPr="00E162C4" w:rsidRDefault="00676CC6" w:rsidP="00676CC6">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2</w:t>
      </w:r>
    </w:p>
    <w:p w14:paraId="5AEFA8F1" w14:textId="77777777" w:rsidR="00676CC6" w:rsidRPr="00E162C4" w:rsidRDefault="00676CC6" w:rsidP="00676CC6">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thoughts on the proposal to repeal the </w:t>
      </w:r>
      <w:r w:rsidRPr="00672442">
        <w:t>Radiocommunications (121.5 MHz and 243.0 MHz Emergency Position Indicating Radio Beacons) Standard 2014?</w:t>
      </w:r>
    </w:p>
    <w:p w14:paraId="7A950B70" w14:textId="142B804F" w:rsidR="00676CC6" w:rsidRDefault="00C530C5" w:rsidP="0013573F">
      <w:r>
        <w:t>A total of 3</w:t>
      </w:r>
      <w:r w:rsidR="00676CC6">
        <w:t xml:space="preserve"> submitters expressed support</w:t>
      </w:r>
      <w:r w:rsidR="00676CC6" w:rsidRPr="00676CC6">
        <w:t xml:space="preserve"> </w:t>
      </w:r>
      <w:r w:rsidR="00676CC6">
        <w:t xml:space="preserve">without further suggestions for amendment and </w:t>
      </w:r>
      <w:r>
        <w:t xml:space="preserve">6 </w:t>
      </w:r>
      <w:r w:rsidR="00676CC6">
        <w:t xml:space="preserve">submitters provided no comment. The remaining </w:t>
      </w:r>
      <w:r>
        <w:t xml:space="preserve">2 </w:t>
      </w:r>
      <w:r w:rsidR="00676CC6">
        <w:t>submitters</w:t>
      </w:r>
      <w:r w:rsidR="002B26E7">
        <w:t xml:space="preserve">, </w:t>
      </w:r>
      <w:bookmarkStart w:id="17" w:name="_Hlk129011380"/>
      <w:r w:rsidR="00C66B09">
        <w:t>AMSA</w:t>
      </w:r>
      <w:r w:rsidR="002B26E7">
        <w:t xml:space="preserve"> and Analyse Solve and Test</w:t>
      </w:r>
      <w:r>
        <w:t>,</w:t>
      </w:r>
      <w:r w:rsidR="002B26E7">
        <w:t xml:space="preserve"> </w:t>
      </w:r>
      <w:bookmarkEnd w:id="17"/>
      <w:r w:rsidR="002B26E7">
        <w:t xml:space="preserve">raised concerns that the </w:t>
      </w:r>
      <w:r w:rsidR="002B26E7" w:rsidRPr="002B26E7">
        <w:t>121.5 MHz</w:t>
      </w:r>
      <w:r w:rsidR="002B26E7" w:rsidRPr="000308FF">
        <w:t xml:space="preserve"> and 243.0 EPIRB Standard</w:t>
      </w:r>
      <w:r w:rsidR="002B26E7">
        <w:rPr>
          <w:i/>
          <w:iCs/>
        </w:rPr>
        <w:t xml:space="preserve"> </w:t>
      </w:r>
      <w:r w:rsidR="002B26E7" w:rsidRPr="002B26E7">
        <w:t>may</w:t>
      </w:r>
      <w:r w:rsidR="002B26E7">
        <w:t xml:space="preserve"> need to be retained to prohibit the potential supply of 121.5 MHz and 243.0 MHz EPIRBs in Australia.</w:t>
      </w:r>
    </w:p>
    <w:p w14:paraId="336632D8" w14:textId="77777777" w:rsidR="00F02002" w:rsidRDefault="002B26E7" w:rsidP="00192203">
      <w:r w:rsidRPr="00854C77">
        <w:t>We considered the submission</w:t>
      </w:r>
      <w:r>
        <w:t>s</w:t>
      </w:r>
      <w:r w:rsidR="00F02002">
        <w:t xml:space="preserve"> from AMSA and Analyse Solve and Test</w:t>
      </w:r>
      <w:r w:rsidRPr="00854C77">
        <w:t xml:space="preserve">, noting that </w:t>
      </w:r>
      <w:r>
        <w:t xml:space="preserve">retaining the </w:t>
      </w:r>
      <w:r w:rsidRPr="002B26E7">
        <w:t xml:space="preserve">121.5 MHz and 243.0 MHz EPIRB Standard </w:t>
      </w:r>
      <w:r w:rsidRPr="00854C77">
        <w:t>would not prohibi</w:t>
      </w:r>
      <w:r>
        <w:t>t</w:t>
      </w:r>
      <w:r w:rsidRPr="00854C77">
        <w:t xml:space="preserve"> the potential supply of 121.5 and 243.0 MHz EPIRBs in Australia</w:t>
      </w:r>
      <w:r>
        <w:t xml:space="preserve">. </w:t>
      </w:r>
    </w:p>
    <w:p w14:paraId="578F9C1F" w14:textId="7A35FB65" w:rsidR="00192203" w:rsidRDefault="002B26E7" w:rsidP="00192203">
      <w:r>
        <w:t xml:space="preserve">The ACMA </w:t>
      </w:r>
      <w:r w:rsidR="00C66B09">
        <w:t xml:space="preserve">has </w:t>
      </w:r>
      <w:r>
        <w:t>consulted further with AMSA</w:t>
      </w:r>
      <w:r w:rsidR="001504F6">
        <w:t>,</w:t>
      </w:r>
      <w:r>
        <w:t xml:space="preserve"> wh</w:t>
      </w:r>
      <w:r w:rsidR="00687656">
        <w:t xml:space="preserve">ich </w:t>
      </w:r>
      <w:r w:rsidR="00192203">
        <w:t xml:space="preserve">confirmed </w:t>
      </w:r>
      <w:r w:rsidR="00687656">
        <w:t xml:space="preserve">it does not take issue </w:t>
      </w:r>
      <w:r w:rsidR="00192203">
        <w:t>with the</w:t>
      </w:r>
      <w:r>
        <w:t xml:space="preserve"> repeal</w:t>
      </w:r>
      <w:r w:rsidR="00192203">
        <w:t xml:space="preserve"> of</w:t>
      </w:r>
      <w:r>
        <w:t xml:space="preserve"> the Standard</w:t>
      </w:r>
      <w:r w:rsidR="001504F6">
        <w:t>,</w:t>
      </w:r>
      <w:r>
        <w:t xml:space="preserve"> </w:t>
      </w:r>
      <w:r w:rsidR="00C66B09">
        <w:t>because</w:t>
      </w:r>
      <w:r>
        <w:t xml:space="preserve"> retaining it would not prevent supply of these devices. </w:t>
      </w:r>
      <w:r w:rsidR="00192203">
        <w:t>At this point of time, AMSA staff are not requesting that</w:t>
      </w:r>
      <w:r w:rsidR="000803E6">
        <w:t xml:space="preserve"> the</w:t>
      </w:r>
      <w:r w:rsidR="00192203">
        <w:t xml:space="preserve"> </w:t>
      </w:r>
      <w:r w:rsidR="001504F6">
        <w:t xml:space="preserve">Australian </w:t>
      </w:r>
      <w:r w:rsidR="00192203">
        <w:t>Government make regulations prohibiting the supply of 121.5 MHz devices. If, due to innovation or changes, supply of 121.5 MHz only devices emerged in Australia</w:t>
      </w:r>
      <w:r w:rsidR="001504F6">
        <w:t>,</w:t>
      </w:r>
      <w:r w:rsidR="00192203">
        <w:t xml:space="preserve"> then AMSA </w:t>
      </w:r>
      <w:r w:rsidR="002F022D">
        <w:t xml:space="preserve">may request </w:t>
      </w:r>
      <w:r w:rsidR="001504F6">
        <w:t>the g</w:t>
      </w:r>
      <w:r w:rsidR="00192203">
        <w:t>overnment make regulation to prohibit their supply in Australia. It should be noted that AMSA staff are currently not aware of any global suppliers of 121.5 MHz devices</w:t>
      </w:r>
      <w:r w:rsidR="00676BF6">
        <w:t xml:space="preserve"> in Australia</w:t>
      </w:r>
      <w:r w:rsidR="00192203">
        <w:t>. AMSA staff have seen cases of second-hand stock of 121.5 MHz EPIRBs being sold (e.g</w:t>
      </w:r>
      <w:r w:rsidR="00666EC3">
        <w:t>.</w:t>
      </w:r>
      <w:r w:rsidR="001504F6">
        <w:t>,</w:t>
      </w:r>
      <w:r w:rsidR="00192203">
        <w:t xml:space="preserve"> on eBay). When this occurs, </w:t>
      </w:r>
      <w:r w:rsidR="001504F6">
        <w:br/>
      </w:r>
      <w:r w:rsidR="00192203">
        <w:t xml:space="preserve">AMSA will usually publish a media release reminding the public not to use </w:t>
      </w:r>
      <w:r w:rsidR="001504F6">
        <w:br/>
      </w:r>
      <w:r w:rsidR="00192203">
        <w:t>121.5 MHz EPIRBs</w:t>
      </w:r>
      <w:r w:rsidR="00676BF6">
        <w:t>.</w:t>
      </w:r>
      <w:r w:rsidR="00F02002">
        <w:t xml:space="preserve">  </w:t>
      </w:r>
    </w:p>
    <w:p w14:paraId="37442505" w14:textId="25AAF0B6" w:rsidR="002B26E7" w:rsidRDefault="002B26E7" w:rsidP="009064D2">
      <w:pPr>
        <w:pStyle w:val="CommentText"/>
      </w:pPr>
      <w:r>
        <w:t xml:space="preserve">Analyse Solve and Test also raised </w:t>
      </w:r>
      <w:r w:rsidR="00A17F97">
        <w:t xml:space="preserve">an additional </w:t>
      </w:r>
      <w:r>
        <w:t xml:space="preserve">concern that the </w:t>
      </w:r>
      <w:r w:rsidRPr="002B26E7">
        <w:t xml:space="preserve">121.5 MHz and 243.0 MHz EPIRB Standard </w:t>
      </w:r>
      <w:r w:rsidRPr="00854C77">
        <w:t>would</w:t>
      </w:r>
      <w:r>
        <w:t xml:space="preserve"> need to be retained due to a safety issue </w:t>
      </w:r>
      <w:r w:rsidRPr="00854C77">
        <w:t xml:space="preserve">with the import and use of 121.5 MHz beacons as people may buy the beacons expecting that </w:t>
      </w:r>
      <w:r w:rsidRPr="00854C77">
        <w:lastRenderedPageBreak/>
        <w:t>if they operate the device someone will be monitoring it and save them.</w:t>
      </w:r>
      <w:r>
        <w:t xml:space="preserve"> We consider</w:t>
      </w:r>
      <w:r w:rsidR="00677F33">
        <w:t xml:space="preserve">ed the concern, noting that while </w:t>
      </w:r>
      <w:r w:rsidR="00C80147">
        <w:t xml:space="preserve">the </w:t>
      </w:r>
      <w:r w:rsidR="00677F33">
        <w:t>121.5 MHz frequency is no longer being monitored by satellites</w:t>
      </w:r>
      <w:r w:rsidR="00CD695E">
        <w:t>,</w:t>
      </w:r>
      <w:r w:rsidR="00677F33">
        <w:t xml:space="preserve"> it is still being used for terrestrial homing pur</w:t>
      </w:r>
      <w:r w:rsidR="007F7F54">
        <w:t>p</w:t>
      </w:r>
      <w:r w:rsidR="00677F33">
        <w:t>oses</w:t>
      </w:r>
      <w:r w:rsidR="00C80147">
        <w:t xml:space="preserve"> with aircraft tuning in to the 121.5 MHz frequency. </w:t>
      </w:r>
      <w:r w:rsidR="005C4CAD">
        <w:t xml:space="preserve">For example, </w:t>
      </w:r>
      <w:r w:rsidR="00C80147">
        <w:t>406 MHz satellite distress beacon equipment</w:t>
      </w:r>
      <w:r w:rsidR="005C4CAD">
        <w:t xml:space="preserve"> </w:t>
      </w:r>
      <w:r w:rsidR="00C80147">
        <w:t xml:space="preserve">incorporates a 121.5 MHz homing transmitter, </w:t>
      </w:r>
      <w:r w:rsidR="005C4CAD">
        <w:t xml:space="preserve">where </w:t>
      </w:r>
      <w:r w:rsidR="00C80147">
        <w:t>the emissions are intended to facilitate search and rescue operations</w:t>
      </w:r>
      <w:r w:rsidR="00CD695E">
        <w:t>.</w:t>
      </w:r>
      <w:r w:rsidR="00876B1D">
        <w:rPr>
          <w:rStyle w:val="FootnoteReference"/>
        </w:rPr>
        <w:footnoteReference w:id="2"/>
      </w:r>
    </w:p>
    <w:p w14:paraId="063A245C" w14:textId="77777777" w:rsidR="002B26E7" w:rsidRDefault="002B26E7" w:rsidP="00672442">
      <w:pPr>
        <w:pStyle w:val="Heading3"/>
      </w:pPr>
      <w:r w:rsidRPr="002B26E7">
        <w:t>Outcome</w:t>
      </w:r>
    </w:p>
    <w:p w14:paraId="319B0A80" w14:textId="7FBBAE49" w:rsidR="002B26E7" w:rsidRDefault="002B26E7" w:rsidP="002B26E7">
      <w:r w:rsidRPr="002B26E7">
        <w:t>We repeal</w:t>
      </w:r>
      <w:r w:rsidR="003761A6">
        <w:t>ed</w:t>
      </w:r>
      <w:r w:rsidRPr="002B26E7">
        <w:t xml:space="preserve"> the redundant 121.5 MHz</w:t>
      </w:r>
      <w:r w:rsidRPr="000308FF">
        <w:t xml:space="preserve"> and 243.0 EPIRB Standard</w:t>
      </w:r>
      <w:r>
        <w:t>.</w:t>
      </w:r>
    </w:p>
    <w:p w14:paraId="10B7188D" w14:textId="77777777" w:rsidR="002B26E7" w:rsidRPr="00E162C4" w:rsidRDefault="002B26E7" w:rsidP="002B26E7">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3</w:t>
      </w:r>
    </w:p>
    <w:p w14:paraId="5B35879B" w14:textId="724E0CFA" w:rsidR="002B26E7" w:rsidRPr="00E162C4" w:rsidRDefault="002B26E7" w:rsidP="002B26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any issues with the proposed adoption of the European Telecommunications Standards Institute </w:t>
      </w:r>
      <w:r w:rsidR="00A830E2">
        <w:t>S</w:t>
      </w:r>
      <w:r>
        <w:t>tandards specified in Appendix A?</w:t>
      </w:r>
    </w:p>
    <w:p w14:paraId="47BA97D7" w14:textId="6F1F03A9" w:rsidR="00230BD6" w:rsidRDefault="00A13066" w:rsidP="00230BD6">
      <w:pPr>
        <w:pStyle w:val="Paragraph"/>
      </w:pPr>
      <w:r>
        <w:t xml:space="preserve">A total of 6 </w:t>
      </w:r>
      <w:r w:rsidR="003761A6">
        <w:t>submitters expressed support without further</w:t>
      </w:r>
      <w:r w:rsidR="00AF7DDE">
        <w:t xml:space="preserve"> suggestions for amendment </w:t>
      </w:r>
      <w:r w:rsidR="003761A6">
        <w:t xml:space="preserve">and </w:t>
      </w:r>
      <w:r>
        <w:t xml:space="preserve">2 </w:t>
      </w:r>
      <w:r w:rsidR="003761A6">
        <w:t xml:space="preserve">submitters made no comment. </w:t>
      </w:r>
      <w:r>
        <w:t>A further 3</w:t>
      </w:r>
      <w:r w:rsidR="003761A6">
        <w:t xml:space="preserve"> submitters expressed support with suggestions for further amendment</w:t>
      </w:r>
      <w:r w:rsidR="00655CDD">
        <w:t xml:space="preserve"> on different issues. Table </w:t>
      </w:r>
      <w:r w:rsidR="0013625D">
        <w:t>3</w:t>
      </w:r>
      <w:r w:rsidR="00655CDD">
        <w:t xml:space="preserve"> summarises the suggestions and the outcomes.</w:t>
      </w:r>
    </w:p>
    <w:p w14:paraId="4C88E327" w14:textId="2391CCCE" w:rsidR="0013573F" w:rsidRPr="00E162C4" w:rsidRDefault="00406C7B" w:rsidP="00FD7C42">
      <w:pPr>
        <w:pStyle w:val="Tableheading"/>
      </w:pPr>
      <w:r>
        <w:t xml:space="preserve">Summary of </w:t>
      </w:r>
      <w:r w:rsidR="00655CDD">
        <w:t>suggestions for amendment</w:t>
      </w:r>
      <w:r>
        <w:t xml:space="preserve"> and outcomes for </w:t>
      </w:r>
      <w:r w:rsidR="00A13066">
        <w:br/>
      </w:r>
      <w:r>
        <w:t>Question 3</w:t>
      </w:r>
    </w:p>
    <w:tbl>
      <w:tblPr>
        <w:tblStyle w:val="ACMAtablestyle"/>
        <w:tblW w:w="8642" w:type="dxa"/>
        <w:tblLayout w:type="fixed"/>
        <w:tblLook w:val="01E0" w:firstRow="1" w:lastRow="1" w:firstColumn="1" w:lastColumn="1" w:noHBand="0" w:noVBand="0"/>
      </w:tblPr>
      <w:tblGrid>
        <w:gridCol w:w="2405"/>
        <w:gridCol w:w="2835"/>
        <w:gridCol w:w="3402"/>
      </w:tblGrid>
      <w:tr w:rsidR="00950394" w:rsidRPr="00A85C35" w14:paraId="6D31193E" w14:textId="77777777" w:rsidTr="00672442">
        <w:trPr>
          <w:cnfStyle w:val="100000000000" w:firstRow="1" w:lastRow="0" w:firstColumn="0" w:lastColumn="0" w:oddVBand="0" w:evenVBand="0" w:oddHBand="0" w:evenHBand="0" w:firstRowFirstColumn="0" w:firstRowLastColumn="0" w:lastRowFirstColumn="0" w:lastRowLastColumn="0"/>
        </w:trPr>
        <w:tc>
          <w:tcPr>
            <w:tcW w:w="2405" w:type="dxa"/>
          </w:tcPr>
          <w:p w14:paraId="7A685E87" w14:textId="5BC77BDF" w:rsidR="00950394" w:rsidRDefault="00950394" w:rsidP="00DA7FEA">
            <w:pPr>
              <w:pStyle w:val="Tableheaderrow"/>
            </w:pPr>
            <w:r>
              <w:t>Submitter</w:t>
            </w:r>
          </w:p>
        </w:tc>
        <w:tc>
          <w:tcPr>
            <w:tcW w:w="2835" w:type="dxa"/>
          </w:tcPr>
          <w:p w14:paraId="5C3E845A" w14:textId="5EA85241" w:rsidR="00950394" w:rsidRPr="00E162C4" w:rsidRDefault="00950394" w:rsidP="00DA7FEA">
            <w:pPr>
              <w:pStyle w:val="Tableheaderrow"/>
            </w:pPr>
            <w:r>
              <w:t>Submission</w:t>
            </w:r>
          </w:p>
        </w:tc>
        <w:tc>
          <w:tcPr>
            <w:tcW w:w="3402" w:type="dxa"/>
          </w:tcPr>
          <w:p w14:paraId="65684BCE" w14:textId="77777777" w:rsidR="00950394" w:rsidRPr="00A85C35" w:rsidRDefault="00950394" w:rsidP="00DA7FEA">
            <w:pPr>
              <w:pStyle w:val="Tableheaderrow"/>
            </w:pPr>
            <w:r>
              <w:t>Consultation outcome</w:t>
            </w:r>
          </w:p>
        </w:tc>
      </w:tr>
      <w:tr w:rsidR="00950394" w14:paraId="258F6B0A" w14:textId="77777777" w:rsidTr="00672442">
        <w:trPr>
          <w:cnfStyle w:val="000000100000" w:firstRow="0" w:lastRow="0" w:firstColumn="0" w:lastColumn="0" w:oddVBand="0" w:evenVBand="0" w:oddHBand="1" w:evenHBand="0" w:firstRowFirstColumn="0" w:firstRowLastColumn="0" w:lastRowFirstColumn="0" w:lastRowLastColumn="0"/>
        </w:trPr>
        <w:tc>
          <w:tcPr>
            <w:tcW w:w="2405" w:type="dxa"/>
            <w:vMerge w:val="restart"/>
            <w:shd w:val="clear" w:color="auto" w:fill="F2F2F2" w:themeFill="background1" w:themeFillShade="F2"/>
          </w:tcPr>
          <w:p w14:paraId="6BF690B3" w14:textId="4763FC28" w:rsidR="00950394" w:rsidRPr="005E3115" w:rsidRDefault="00950394" w:rsidP="00950394">
            <w:pPr>
              <w:pStyle w:val="ListParagraph"/>
              <w:numPr>
                <w:ilvl w:val="0"/>
                <w:numId w:val="18"/>
              </w:numPr>
              <w:spacing w:after="80"/>
              <w:ind w:left="368"/>
              <w:rPr>
                <w:b/>
                <w:bCs/>
              </w:rPr>
            </w:pPr>
            <w:r w:rsidRPr="00950394">
              <w:rPr>
                <w:rFonts w:cs="Arial"/>
                <w:b/>
                <w:bCs/>
              </w:rPr>
              <w:t>Analyse Solve and Test</w:t>
            </w:r>
          </w:p>
        </w:tc>
        <w:tc>
          <w:tcPr>
            <w:tcW w:w="2835" w:type="dxa"/>
            <w:shd w:val="clear" w:color="auto" w:fill="F2F2F2" w:themeFill="background1" w:themeFillShade="F2"/>
          </w:tcPr>
          <w:p w14:paraId="06FB51A2" w14:textId="77777777" w:rsidR="00950394" w:rsidRPr="002254E0" w:rsidRDefault="00950394" w:rsidP="002254E0">
            <w:pPr>
              <w:spacing w:after="80"/>
              <w:rPr>
                <w:b/>
                <w:bCs/>
              </w:rPr>
            </w:pPr>
            <w:bookmarkStart w:id="18" w:name="_Hlk123648253"/>
            <w:r w:rsidRPr="002254E0">
              <w:rPr>
                <w:b/>
                <w:bCs/>
              </w:rPr>
              <w:t>HF CB and Handphone Equipment Standard</w:t>
            </w:r>
          </w:p>
          <w:bookmarkEnd w:id="18"/>
          <w:p w14:paraId="259AEC7D" w14:textId="33880F1D" w:rsidR="00950394" w:rsidRPr="002254E0" w:rsidRDefault="00950394" w:rsidP="002254E0">
            <w:pPr>
              <w:spacing w:after="80"/>
            </w:pPr>
            <w:r w:rsidRPr="002254E0">
              <w:t xml:space="preserve">Analyse Solve and Test’s submission </w:t>
            </w:r>
            <w:r>
              <w:t>raised concerns:</w:t>
            </w:r>
          </w:p>
          <w:p w14:paraId="5DEE3B0E" w14:textId="4E7FF79C" w:rsidR="00950394" w:rsidRPr="002254E0" w:rsidRDefault="00950394" w:rsidP="002254E0">
            <w:pPr>
              <w:pStyle w:val="Bulletlevel1"/>
              <w:tabs>
                <w:tab w:val="clear" w:pos="1572"/>
                <w:tab w:val="num" w:pos="295"/>
              </w:tabs>
              <w:ind w:left="295"/>
            </w:pPr>
            <w:r>
              <w:t>T</w:t>
            </w:r>
            <w:r w:rsidRPr="002254E0">
              <w:t xml:space="preserve">he adoption of ETSI EN 300 433 as an additional test method </w:t>
            </w:r>
            <w:r w:rsidR="00A830E2">
              <w:t>S</w:t>
            </w:r>
            <w:r w:rsidRPr="002254E0">
              <w:t>tandard would permit the importation of devices using</w:t>
            </w:r>
            <w:r w:rsidRPr="002254E0" w:rsidDel="001863D2">
              <w:t xml:space="preserve"> </w:t>
            </w:r>
            <w:r w:rsidRPr="002254E0">
              <w:t xml:space="preserve">frequency modulation, as distinct from the currently permitted single side band (SSB) and amplitude modulation (AM). This would allow importation of a device </w:t>
            </w:r>
            <w:r w:rsidR="009706BD">
              <w:t xml:space="preserve">where </w:t>
            </w:r>
            <w:r w:rsidRPr="002254E0">
              <w:t xml:space="preserve">the use of which would not be compliant with the </w:t>
            </w:r>
            <w:r w:rsidRPr="00672442">
              <w:t>Radiocommunications (Citizen Band Radio Stations) Class Licence 2015</w:t>
            </w:r>
            <w:r w:rsidRPr="009706BD">
              <w:t xml:space="preserve"> </w:t>
            </w:r>
            <w:r w:rsidRPr="002254E0">
              <w:t>(CB Class Licence)</w:t>
            </w:r>
            <w:r w:rsidR="009706BD">
              <w:t>,</w:t>
            </w:r>
            <w:r w:rsidRPr="002254E0">
              <w:t xml:space="preserve"> which only authorises the use of AM or SSB modulation for HF CB transceivers.</w:t>
            </w:r>
          </w:p>
          <w:p w14:paraId="175C5E68" w14:textId="77777777" w:rsidR="00950394" w:rsidRPr="002254E0" w:rsidDel="000E1020" w:rsidRDefault="00950394" w:rsidP="002254E0">
            <w:pPr>
              <w:pStyle w:val="Bulletlevel1"/>
              <w:tabs>
                <w:tab w:val="clear" w:pos="1572"/>
                <w:tab w:val="num" w:pos="295"/>
              </w:tabs>
              <w:ind w:left="295"/>
            </w:pPr>
            <w:r w:rsidRPr="002254E0" w:rsidDel="000E1020">
              <w:lastRenderedPageBreak/>
              <w:t>It is illegal to possess or operate an HF CB transceiver, utilising frequency modulation, as it could not be licensed nor is it authorised to be possessed or used under the CB Class Licence.</w:t>
            </w:r>
          </w:p>
          <w:p w14:paraId="4D9E78D9" w14:textId="77777777" w:rsidR="00950394" w:rsidRPr="002254E0" w:rsidDel="000E1020" w:rsidRDefault="00950394" w:rsidP="002254E0">
            <w:pPr>
              <w:pStyle w:val="Bulletlevel1"/>
              <w:tabs>
                <w:tab w:val="clear" w:pos="1572"/>
                <w:tab w:val="num" w:pos="295"/>
              </w:tabs>
              <w:ind w:left="295"/>
            </w:pPr>
            <w:r w:rsidRPr="002254E0" w:rsidDel="000E1020">
              <w:t>In addition, suppliers of HF CB transceivers utilising frequency modulation could possibly be prosecuted by the ACCC for supplying a device that is not fit for purpose as it cannot legally be possessed or operated.</w:t>
            </w:r>
          </w:p>
          <w:p w14:paraId="0B7FCCD3" w14:textId="2948D5B4" w:rsidR="00950394" w:rsidRPr="002254E0" w:rsidRDefault="00950394" w:rsidP="00FD7C42">
            <w:pPr>
              <w:pStyle w:val="Bulletlevel1"/>
              <w:tabs>
                <w:tab w:val="clear" w:pos="1572"/>
                <w:tab w:val="num" w:pos="295"/>
              </w:tabs>
              <w:ind w:left="295"/>
            </w:pPr>
            <w:r w:rsidRPr="002254E0" w:rsidDel="00E064EB">
              <w:t>As the CB Class Licence relies on equipment supply regulation to ensure that frequencies, power levels and modulation schemes are correct, the submitter recommends that ETSI EN 300 433 not be adopted</w:t>
            </w:r>
            <w:r w:rsidR="00CC68B8">
              <w:t>. A</w:t>
            </w:r>
            <w:r w:rsidRPr="002254E0" w:rsidDel="00E064EB">
              <w:t>lternatively</w:t>
            </w:r>
            <w:r w:rsidR="00CC68B8">
              <w:t>, we could</w:t>
            </w:r>
            <w:r w:rsidRPr="002254E0" w:rsidDel="00E064EB">
              <w:t xml:space="preserve"> make sure that there is a proviso added for the General Equipment Rules to identify the issue and include a warning that supply of frequency modulation enabled devices is illegal</w:t>
            </w:r>
            <w:r w:rsidRPr="002254E0">
              <w:t>.</w:t>
            </w:r>
          </w:p>
        </w:tc>
        <w:tc>
          <w:tcPr>
            <w:tcW w:w="3402" w:type="dxa"/>
            <w:shd w:val="clear" w:color="auto" w:fill="F2F2F2" w:themeFill="background1" w:themeFillShade="F2"/>
          </w:tcPr>
          <w:p w14:paraId="4B1DD772" w14:textId="1241B6DA" w:rsidR="00950394" w:rsidRPr="00F37288" w:rsidRDefault="00950394" w:rsidP="002254E0">
            <w:pPr>
              <w:spacing w:after="80"/>
              <w:rPr>
                <w:rFonts w:cs="Arial"/>
              </w:rPr>
            </w:pPr>
            <w:r w:rsidRPr="00F37288">
              <w:rPr>
                <w:rFonts w:cs="Arial"/>
              </w:rPr>
              <w:lastRenderedPageBreak/>
              <w:t>The ACMA considered the submission noting:</w:t>
            </w:r>
          </w:p>
          <w:p w14:paraId="37AB4D2E" w14:textId="0BC512FD" w:rsidR="00950394" w:rsidRDefault="004967E0" w:rsidP="00F37288">
            <w:pPr>
              <w:pStyle w:val="Bulletlevel1"/>
              <w:tabs>
                <w:tab w:val="clear" w:pos="1572"/>
                <w:tab w:val="num" w:pos="295"/>
              </w:tabs>
              <w:ind w:left="295"/>
            </w:pPr>
            <w:r>
              <w:t>T</w:t>
            </w:r>
            <w:r w:rsidR="00950394" w:rsidRPr="002254E0">
              <w:t>he supply and use of frequency modulation for HF CB is already implemented in Europe and the US</w:t>
            </w:r>
            <w:r>
              <w:t>,</w:t>
            </w:r>
            <w:r w:rsidR="002B4D40">
              <w:t xml:space="preserve"> </w:t>
            </w:r>
            <w:r w:rsidR="000E1020">
              <w:t xml:space="preserve">and there </w:t>
            </w:r>
            <w:r w:rsidR="00950394" w:rsidRPr="002254E0">
              <w:t xml:space="preserve">is no apparent impediment for Australia to also adopt frequency modulation in </w:t>
            </w:r>
            <w:r w:rsidR="00950394">
              <w:t xml:space="preserve">the </w:t>
            </w:r>
            <w:r w:rsidR="00950394" w:rsidRPr="002254E0">
              <w:t>future</w:t>
            </w:r>
            <w:r>
              <w:t>.</w:t>
            </w:r>
          </w:p>
          <w:p w14:paraId="23C4F6B5" w14:textId="6F7DFB93" w:rsidR="00950394" w:rsidRPr="00F37288" w:rsidRDefault="004967E0" w:rsidP="008128C7">
            <w:pPr>
              <w:pStyle w:val="Bulletlevel1"/>
              <w:tabs>
                <w:tab w:val="clear" w:pos="1572"/>
                <w:tab w:val="num" w:pos="295"/>
              </w:tabs>
              <w:ind w:left="295"/>
            </w:pPr>
            <w:r>
              <w:t>R</w:t>
            </w:r>
            <w:r w:rsidR="00950394" w:rsidRPr="002254E0">
              <w:t>estricting the supply of frequency modulated HF CB transceivers in Australia while Europe and the US are supporting it may be a restriction on innovation and a barrier to trade</w:t>
            </w:r>
            <w:r w:rsidR="00950394" w:rsidRPr="00F37288">
              <w:t>.</w:t>
            </w:r>
          </w:p>
          <w:p w14:paraId="40E17D44" w14:textId="793317AC" w:rsidR="00950394" w:rsidRPr="00F37288" w:rsidRDefault="000E1020" w:rsidP="007D295F">
            <w:pPr>
              <w:pStyle w:val="Bulletlevel1"/>
              <w:numPr>
                <w:ilvl w:val="0"/>
                <w:numId w:val="0"/>
              </w:numPr>
            </w:pPr>
            <w:r>
              <w:t xml:space="preserve">The ACMA </w:t>
            </w:r>
            <w:r w:rsidR="009B5A93">
              <w:t xml:space="preserve">proposes to </w:t>
            </w:r>
            <w:r w:rsidR="00B07AF7">
              <w:t xml:space="preserve">review whether </w:t>
            </w:r>
            <w:r w:rsidR="009B5A93">
              <w:t xml:space="preserve">the existing </w:t>
            </w:r>
            <w:r w:rsidR="00C24CCE">
              <w:t>CB Class Licence</w:t>
            </w:r>
            <w:r w:rsidR="009B5A93">
              <w:t xml:space="preserve"> </w:t>
            </w:r>
            <w:r w:rsidR="00E064EB">
              <w:t>should be</w:t>
            </w:r>
            <w:r>
              <w:t xml:space="preserve"> </w:t>
            </w:r>
            <w:r w:rsidR="00B07AF7">
              <w:t xml:space="preserve">amended </w:t>
            </w:r>
            <w:r w:rsidR="009B5A93">
              <w:t>to</w:t>
            </w:r>
            <w:r w:rsidR="00C24CCE">
              <w:t xml:space="preserve"> specifically</w:t>
            </w:r>
            <w:r>
              <w:t xml:space="preserve"> </w:t>
            </w:r>
            <w:r w:rsidR="00950394" w:rsidRPr="00F37288">
              <w:t xml:space="preserve">allow </w:t>
            </w:r>
            <w:r w:rsidR="00E064EB" w:rsidRPr="00F37288">
              <w:t xml:space="preserve">for </w:t>
            </w:r>
            <w:r w:rsidR="00950394" w:rsidRPr="00F37288">
              <w:t xml:space="preserve">frequency modulation </w:t>
            </w:r>
            <w:r w:rsidR="005E1C01" w:rsidRPr="00F37288">
              <w:t>for HB CB transceivers</w:t>
            </w:r>
            <w:r w:rsidR="006633FC">
              <w:t>. This proposed amendment would be</w:t>
            </w:r>
            <w:r w:rsidR="005E1C01" w:rsidRPr="00F37288">
              <w:t xml:space="preserve"> </w:t>
            </w:r>
            <w:r w:rsidR="006633FC">
              <w:t xml:space="preserve">considered within </w:t>
            </w:r>
            <w:r w:rsidR="00C24CCE" w:rsidRPr="00F37288">
              <w:t xml:space="preserve">the public consultation process to remake the </w:t>
            </w:r>
            <w:r w:rsidR="006633FC">
              <w:t xml:space="preserve">CB </w:t>
            </w:r>
            <w:r w:rsidR="00C24CCE" w:rsidRPr="00F37288">
              <w:t xml:space="preserve">Class Licence before its sunset </w:t>
            </w:r>
            <w:r w:rsidR="00950394" w:rsidRPr="00F37288">
              <w:t xml:space="preserve">on 1 October 2025. </w:t>
            </w:r>
          </w:p>
        </w:tc>
      </w:tr>
      <w:tr w:rsidR="00950394" w14:paraId="22522BD1" w14:textId="77777777" w:rsidTr="00672442">
        <w:trPr>
          <w:cnfStyle w:val="000000010000" w:firstRow="0" w:lastRow="0" w:firstColumn="0" w:lastColumn="0" w:oddVBand="0" w:evenVBand="0" w:oddHBand="0" w:evenHBand="1" w:firstRowFirstColumn="0" w:firstRowLastColumn="0" w:lastRowFirstColumn="0" w:lastRowLastColumn="0"/>
        </w:trPr>
        <w:tc>
          <w:tcPr>
            <w:tcW w:w="2405" w:type="dxa"/>
            <w:vMerge/>
            <w:shd w:val="clear" w:color="auto" w:fill="auto"/>
          </w:tcPr>
          <w:p w14:paraId="27249666" w14:textId="77777777" w:rsidR="00950394" w:rsidRDefault="00950394" w:rsidP="00DA7FEA">
            <w:pPr>
              <w:pStyle w:val="Paragraph"/>
              <w:rPr>
                <w:b/>
                <w:bCs/>
              </w:rPr>
            </w:pPr>
          </w:p>
        </w:tc>
        <w:tc>
          <w:tcPr>
            <w:tcW w:w="2835" w:type="dxa"/>
          </w:tcPr>
          <w:p w14:paraId="03D2993E" w14:textId="544229DD" w:rsidR="00950394" w:rsidRPr="002254E0" w:rsidRDefault="00950394" w:rsidP="00010EA3">
            <w:pPr>
              <w:spacing w:after="80"/>
              <w:rPr>
                <w:b/>
                <w:bCs/>
              </w:rPr>
            </w:pPr>
            <w:r>
              <w:rPr>
                <w:b/>
                <w:bCs/>
              </w:rPr>
              <w:t>Paging Service</w:t>
            </w:r>
            <w:r w:rsidRPr="002254E0">
              <w:rPr>
                <w:b/>
                <w:bCs/>
              </w:rPr>
              <w:t xml:space="preserve"> Equipment Standard</w:t>
            </w:r>
          </w:p>
          <w:p w14:paraId="414D89EF" w14:textId="4F291C28" w:rsidR="00950394" w:rsidRPr="002254E0" w:rsidRDefault="00950394" w:rsidP="00010EA3">
            <w:pPr>
              <w:spacing w:after="80"/>
            </w:pPr>
            <w:r w:rsidRPr="002254E0">
              <w:t xml:space="preserve">Analyse Solve and Test’s submission </w:t>
            </w:r>
            <w:r>
              <w:t xml:space="preserve">supported adopting the ETSI 300 224:2017 </w:t>
            </w:r>
            <w:r w:rsidR="00A830E2">
              <w:t>S</w:t>
            </w:r>
            <w:r>
              <w:t>tandard but raised concerns:</w:t>
            </w:r>
          </w:p>
          <w:p w14:paraId="173224D2" w14:textId="112AC821" w:rsidR="00950394" w:rsidRDefault="00950394" w:rsidP="00A4494D">
            <w:pPr>
              <w:pStyle w:val="Bulletlevel1"/>
              <w:tabs>
                <w:tab w:val="clear" w:pos="1572"/>
                <w:tab w:val="num" w:pos="295"/>
              </w:tabs>
              <w:ind w:left="295"/>
            </w:pPr>
            <w:r w:rsidRPr="00010EA3">
              <w:t>AS/NZS 4769.1 and AS/NZS 4769.</w:t>
            </w:r>
            <w:r>
              <w:t>2 should continue to be adopted</w:t>
            </w:r>
            <w:r w:rsidR="00CC68B8">
              <w:t>,</w:t>
            </w:r>
            <w:r>
              <w:t xml:space="preserve"> as well as the proposed ETSI 300 224:2017</w:t>
            </w:r>
            <w:r w:rsidR="00CC68B8">
              <w:t>,</w:t>
            </w:r>
            <w:r>
              <w:t xml:space="preserve"> </w:t>
            </w:r>
            <w:r w:rsidRPr="00010EA3">
              <w:t>so it does not ignore supply regulation for AM equipment or disadvantage existing suppliers</w:t>
            </w:r>
            <w:r w:rsidR="00DD5F4A">
              <w:t>.</w:t>
            </w:r>
          </w:p>
          <w:p w14:paraId="681B9578" w14:textId="2D480EC7" w:rsidR="00950394" w:rsidRPr="00010EA3" w:rsidRDefault="00950394" w:rsidP="00A4494D">
            <w:pPr>
              <w:pStyle w:val="Bulletlevel1"/>
              <w:tabs>
                <w:tab w:val="clear" w:pos="1572"/>
                <w:tab w:val="num" w:pos="295"/>
              </w:tabs>
              <w:ind w:left="295"/>
            </w:pPr>
            <w:r w:rsidRPr="00010EA3">
              <w:t xml:space="preserve">The receiver tests </w:t>
            </w:r>
            <w:r>
              <w:t xml:space="preserve">in ETSI 300 224 </w:t>
            </w:r>
            <w:r w:rsidRPr="00010EA3">
              <w:t>would appear to</w:t>
            </w:r>
            <w:r>
              <w:t xml:space="preserve"> </w:t>
            </w:r>
            <w:r w:rsidRPr="00010EA3">
              <w:lastRenderedPageBreak/>
              <w:t xml:space="preserve">increase the regulatory burden for suppliers, which is said to be contrary to government policy. </w:t>
            </w:r>
            <w:r>
              <w:t>ETSI 300 224</w:t>
            </w:r>
            <w:r w:rsidRPr="00010EA3">
              <w:t xml:space="preserve"> adds many paging receiver performance tests that were not previously required in AS/NZS 4769.1, which technically should have been covered off in a regulatory impact statement. </w:t>
            </w:r>
          </w:p>
          <w:p w14:paraId="054212AF" w14:textId="77777777" w:rsidR="00950394" w:rsidRPr="00010EA3" w:rsidRDefault="00950394" w:rsidP="00A4494D">
            <w:pPr>
              <w:pStyle w:val="Bulletlevel1"/>
              <w:tabs>
                <w:tab w:val="clear" w:pos="1572"/>
                <w:tab w:val="num" w:pos="295"/>
              </w:tabs>
              <w:ind w:left="295"/>
            </w:pPr>
            <w:r w:rsidRPr="00010EA3">
              <w:t>It does not cater for the AS/NZS 4769.2 AM paging systems.</w:t>
            </w:r>
          </w:p>
          <w:p w14:paraId="52D3813D" w14:textId="201397EA" w:rsidR="00950394" w:rsidRPr="00010EA3" w:rsidRDefault="00950394" w:rsidP="00A4494D">
            <w:pPr>
              <w:pStyle w:val="Bulletlevel1"/>
              <w:tabs>
                <w:tab w:val="clear" w:pos="1572"/>
                <w:tab w:val="num" w:pos="295"/>
              </w:tabs>
              <w:ind w:left="295"/>
            </w:pPr>
            <w:r w:rsidRPr="00010EA3">
              <w:t xml:space="preserve">The ETSI </w:t>
            </w:r>
            <w:r w:rsidR="00A830E2">
              <w:t>S</w:t>
            </w:r>
            <w:r w:rsidRPr="00010EA3">
              <w:t>tandard relaxes the maximum temperature requirement from 60 degrees to 55 degrees, which means retesting of high</w:t>
            </w:r>
            <w:r w:rsidR="00B3484E">
              <w:t>-</w:t>
            </w:r>
            <w:r w:rsidRPr="00010EA3">
              <w:t>power transmitters for the local market would not be required.</w:t>
            </w:r>
          </w:p>
          <w:p w14:paraId="3FC42B7E" w14:textId="271ABD09" w:rsidR="00950394" w:rsidRPr="00010EA3" w:rsidRDefault="00950394" w:rsidP="00A4494D">
            <w:pPr>
              <w:pStyle w:val="Bulletlevel1"/>
              <w:numPr>
                <w:ilvl w:val="0"/>
                <w:numId w:val="0"/>
              </w:numPr>
            </w:pPr>
            <w:r w:rsidRPr="00010EA3">
              <w:t>The submitter subsequently provided a further proposal to ACMA staff that ETSI 300 224:2017 should be modified to include a table for Australian paging frequencies on page 64 in AS/NZS 4769.1:2000 (with a minor amendment to change 460.375MHz to 450.375 MHz to fix an error in the table).</w:t>
            </w:r>
          </w:p>
        </w:tc>
        <w:tc>
          <w:tcPr>
            <w:tcW w:w="3402" w:type="dxa"/>
          </w:tcPr>
          <w:p w14:paraId="5BADCB95" w14:textId="76C2E716" w:rsidR="00950394" w:rsidRPr="002254E0" w:rsidRDefault="00950394" w:rsidP="000D3B14">
            <w:pPr>
              <w:spacing w:after="80"/>
            </w:pPr>
            <w:r>
              <w:lastRenderedPageBreak/>
              <w:t xml:space="preserve">The </w:t>
            </w:r>
            <w:r w:rsidRPr="002254E0">
              <w:t>ACMA considered the submission</w:t>
            </w:r>
            <w:r>
              <w:t xml:space="preserve"> and </w:t>
            </w:r>
            <w:r w:rsidR="00DD5F4A">
              <w:t>decided it</w:t>
            </w:r>
            <w:r>
              <w:t xml:space="preserve"> was </w:t>
            </w:r>
            <w:r w:rsidR="00DD5F4A">
              <w:t xml:space="preserve">not </w:t>
            </w:r>
            <w:r>
              <w:t>necessary to continue adopting</w:t>
            </w:r>
            <w:r w:rsidRPr="00010EA3">
              <w:t xml:space="preserve"> AS/NZS 4769.1 and AS/NZS 4769.2</w:t>
            </w:r>
            <w:r>
              <w:t>,</w:t>
            </w:r>
            <w:r w:rsidRPr="002254E0">
              <w:t xml:space="preserve"> noting:</w:t>
            </w:r>
          </w:p>
          <w:p w14:paraId="02BFFA02" w14:textId="2AB7A0FC" w:rsidR="00950394" w:rsidRDefault="00950394" w:rsidP="0062292C">
            <w:pPr>
              <w:pStyle w:val="Bulletlevel1"/>
              <w:tabs>
                <w:tab w:val="clear" w:pos="1572"/>
                <w:tab w:val="num" w:pos="295"/>
              </w:tabs>
              <w:ind w:left="295"/>
            </w:pPr>
            <w:r w:rsidRPr="00010EA3">
              <w:t>AS/NZS 4769.1 and AS/NZS 4769.2</w:t>
            </w:r>
            <w:r>
              <w:t xml:space="preserve"> are withdrawn industry </w:t>
            </w:r>
            <w:r w:rsidR="00A830E2">
              <w:t>S</w:t>
            </w:r>
            <w:r>
              <w:t>tandards that were published in 2000 and were direct text adoptions of ETSI 300 224:1998</w:t>
            </w:r>
          </w:p>
          <w:p w14:paraId="5CAC2E45" w14:textId="61A7A721" w:rsidR="00950394" w:rsidRDefault="00950394" w:rsidP="0062292C">
            <w:pPr>
              <w:pStyle w:val="Bulletlevel1"/>
              <w:tabs>
                <w:tab w:val="clear" w:pos="1572"/>
                <w:tab w:val="num" w:pos="295"/>
              </w:tabs>
              <w:ind w:left="295"/>
            </w:pPr>
            <w:r>
              <w:t>While</w:t>
            </w:r>
            <w:r w:rsidRPr="0062292C">
              <w:t xml:space="preserve"> </w:t>
            </w:r>
            <w:r>
              <w:t xml:space="preserve">the more recent version of </w:t>
            </w:r>
            <w:r w:rsidRPr="0062292C">
              <w:t xml:space="preserve">ETSI 300 224 </w:t>
            </w:r>
            <w:r>
              <w:t xml:space="preserve">adds further paging receiver tests compared to AS/NZS 4769.1, this </w:t>
            </w:r>
            <w:r w:rsidR="00DD5F4A">
              <w:t>incorporates</w:t>
            </w:r>
            <w:r>
              <w:t xml:space="preserve"> technical </w:t>
            </w:r>
            <w:r w:rsidR="00DD5F4A">
              <w:t xml:space="preserve">performance </w:t>
            </w:r>
            <w:r>
              <w:t>requirements</w:t>
            </w:r>
            <w:r w:rsidR="00DD5F4A">
              <w:t xml:space="preserve"> for paging equipment manufactured in the last 5</w:t>
            </w:r>
            <w:r w:rsidR="00CC68B8">
              <w:t>–</w:t>
            </w:r>
            <w:r w:rsidR="00DD5F4A">
              <w:t>10 years.</w:t>
            </w:r>
            <w:r>
              <w:t xml:space="preserve"> </w:t>
            </w:r>
          </w:p>
          <w:p w14:paraId="1AB4868E" w14:textId="2C8BBFC7" w:rsidR="00950394" w:rsidRDefault="00950394" w:rsidP="0062292C">
            <w:pPr>
              <w:pStyle w:val="Bulletlevel1"/>
              <w:tabs>
                <w:tab w:val="clear" w:pos="1572"/>
                <w:tab w:val="num" w:pos="295"/>
              </w:tabs>
              <w:ind w:left="295"/>
            </w:pPr>
            <w:r>
              <w:lastRenderedPageBreak/>
              <w:t>The Paging Service Equipment Standard adopts the essential (i.e.</w:t>
            </w:r>
            <w:r w:rsidR="00B3484E">
              <w:t>,</w:t>
            </w:r>
            <w:r>
              <w:t xml:space="preserve"> baseline) requirements of the European Directive and a pager supplied in Europe will already meet the requirements of ETSI 300 224.</w:t>
            </w:r>
          </w:p>
          <w:p w14:paraId="74B276F1" w14:textId="77C3970B" w:rsidR="00950394" w:rsidRDefault="00950394" w:rsidP="0002676C">
            <w:pPr>
              <w:pStyle w:val="Bulletlevel1"/>
              <w:tabs>
                <w:tab w:val="clear" w:pos="1572"/>
                <w:tab w:val="num" w:pos="295"/>
              </w:tabs>
              <w:ind w:left="295"/>
            </w:pPr>
            <w:r>
              <w:t xml:space="preserve">ETSI 300 224 does not contain requirements for AM pagers and there is also no other apparent international </w:t>
            </w:r>
            <w:r w:rsidR="00A830E2">
              <w:t>S</w:t>
            </w:r>
            <w:r>
              <w:t>tandard that does. This suggests there is no longer a substantive market for AM paging devices</w:t>
            </w:r>
            <w:r w:rsidR="00DD5F4A">
              <w:t>.</w:t>
            </w:r>
          </w:p>
          <w:p w14:paraId="78954802" w14:textId="6454D0E8" w:rsidR="00950394" w:rsidRDefault="00950394" w:rsidP="0062292C">
            <w:pPr>
              <w:pStyle w:val="Bulletlevel1"/>
              <w:tabs>
                <w:tab w:val="clear" w:pos="1572"/>
                <w:tab w:val="num" w:pos="295"/>
              </w:tabs>
              <w:ind w:left="295"/>
            </w:pPr>
            <w:r>
              <w:t xml:space="preserve">The maximum temperature requirement in </w:t>
            </w:r>
            <w:r w:rsidRPr="00010EA3">
              <w:t>AS/NZS 4769.1</w:t>
            </w:r>
            <w:r>
              <w:t xml:space="preserve">:2000 is 60 degrees while ETSI 300 224 specifies a maximum temperature of 55 degrees, which is a relaxation by 5 degrees. The maximum temperature of 55 degrees in ETSI 300 224 aligns with the maximum temperature in </w:t>
            </w:r>
            <w:r w:rsidRPr="00010EA3">
              <w:t>AS/NZS 4769.</w:t>
            </w:r>
            <w:r>
              <w:t>2:2000.</w:t>
            </w:r>
          </w:p>
          <w:p w14:paraId="281E6674" w14:textId="55BF850D" w:rsidR="00950394" w:rsidRDefault="00950394" w:rsidP="008C7736">
            <w:pPr>
              <w:pStyle w:val="Bulletlevel1"/>
              <w:numPr>
                <w:ilvl w:val="0"/>
                <w:numId w:val="0"/>
              </w:numPr>
            </w:pPr>
            <w:r>
              <w:t xml:space="preserve">The ACMA considered the submitter’s further proposal that ETSI 300 224:2017 should be modified to include a table for Australian paging frequencies. We agreed to modify the adoption of ETSI 300 224 to include clause 8.3.3 and Table ZZ1 of AS/NZS 4769.1:2000. This will maintain the status quo with the repealed </w:t>
            </w:r>
            <w:r w:rsidRPr="00672442">
              <w:t>Radiocommunications (Paging Service Equipment) Standard 2014</w:t>
            </w:r>
            <w:r w:rsidR="00B3484E">
              <w:t>. P</w:t>
            </w:r>
            <w:r w:rsidRPr="008C7736">
              <w:t>aging devices will need to meet specified transmitter requirements within permitted Australian paging frequencies</w:t>
            </w:r>
            <w:r>
              <w:t xml:space="preserve">. </w:t>
            </w:r>
            <w:r w:rsidRPr="008C7736">
              <w:t>Historically, the European market has operated on different paging frequencies</w:t>
            </w:r>
            <w:r w:rsidR="00B3484E">
              <w:t>. M</w:t>
            </w:r>
            <w:r w:rsidRPr="008C7736">
              <w:t xml:space="preserve">odifying the ETSI </w:t>
            </w:r>
            <w:r w:rsidR="00A830E2">
              <w:t>S</w:t>
            </w:r>
            <w:r w:rsidRPr="008C7736">
              <w:t>tandard will prevent the supply of any high</w:t>
            </w:r>
            <w:r w:rsidR="00B3484E">
              <w:t>-</w:t>
            </w:r>
            <w:r w:rsidRPr="008C7736">
              <w:t>powered pagers causing interference from operating outside permitted Australian licen</w:t>
            </w:r>
            <w:r w:rsidR="00F92E3C">
              <w:t>s</w:t>
            </w:r>
            <w:r w:rsidRPr="008C7736">
              <w:t>ing requirements</w:t>
            </w:r>
            <w:r>
              <w:t>.</w:t>
            </w:r>
          </w:p>
          <w:p w14:paraId="63C5476E" w14:textId="518E7C57" w:rsidR="00950394" w:rsidRPr="008C7736" w:rsidRDefault="00950394" w:rsidP="00672442">
            <w:pPr>
              <w:pStyle w:val="Bulletlevel1"/>
              <w:keepNext/>
              <w:keepLines/>
              <w:numPr>
                <w:ilvl w:val="0"/>
                <w:numId w:val="0"/>
              </w:numPr>
            </w:pPr>
            <w:r>
              <w:lastRenderedPageBreak/>
              <w:t xml:space="preserve">We also agreed to change </w:t>
            </w:r>
            <w:r w:rsidR="00B3484E">
              <w:br/>
            </w:r>
            <w:r>
              <w:t>460.375 MHz to 450.375 MHz in Table ZZ1 to correct an error noted by the submitte</w:t>
            </w:r>
            <w:r w:rsidR="00F92E3C">
              <w:t>r</w:t>
            </w:r>
            <w:r>
              <w:t xml:space="preserve">. The correct 450.375 MHz reference is also set out in the </w:t>
            </w:r>
            <w:hyperlink r:id="rId32" w:history="1">
              <w:r w:rsidRPr="00A4494D">
                <w:rPr>
                  <w:rStyle w:val="Hyperlink"/>
                </w:rPr>
                <w:t>ACMA Radiocommunications Assignment and Licensing instruction</w:t>
              </w:r>
            </w:hyperlink>
            <w:r>
              <w:t>.</w:t>
            </w:r>
          </w:p>
        </w:tc>
      </w:tr>
      <w:tr w:rsidR="00950394" w14:paraId="3D4977B4" w14:textId="77777777" w:rsidTr="00672442">
        <w:trPr>
          <w:cnfStyle w:val="000000100000" w:firstRow="0" w:lastRow="0" w:firstColumn="0" w:lastColumn="0" w:oddVBand="0" w:evenVBand="0" w:oddHBand="1" w:evenHBand="0" w:firstRowFirstColumn="0" w:firstRowLastColumn="0" w:lastRowFirstColumn="0" w:lastRowLastColumn="0"/>
        </w:trPr>
        <w:tc>
          <w:tcPr>
            <w:tcW w:w="2405" w:type="dxa"/>
            <w:vMerge/>
            <w:shd w:val="clear" w:color="auto" w:fill="auto"/>
          </w:tcPr>
          <w:p w14:paraId="44F44813" w14:textId="77777777" w:rsidR="00950394" w:rsidRDefault="00950394" w:rsidP="00DA7FEA">
            <w:pPr>
              <w:pStyle w:val="Paragraph"/>
              <w:rPr>
                <w:b/>
                <w:bCs/>
              </w:rPr>
            </w:pPr>
          </w:p>
        </w:tc>
        <w:tc>
          <w:tcPr>
            <w:tcW w:w="2835" w:type="dxa"/>
            <w:shd w:val="clear" w:color="auto" w:fill="F2F2F2" w:themeFill="background1" w:themeFillShade="F2"/>
          </w:tcPr>
          <w:p w14:paraId="4B28F799" w14:textId="48799389" w:rsidR="00950394" w:rsidRPr="00DD27E1" w:rsidRDefault="00950394" w:rsidP="00DD27E1">
            <w:pPr>
              <w:pStyle w:val="Bulletlevel1"/>
              <w:numPr>
                <w:ilvl w:val="0"/>
                <w:numId w:val="0"/>
              </w:numPr>
              <w:rPr>
                <w:b/>
                <w:bCs/>
              </w:rPr>
            </w:pPr>
            <w:r w:rsidRPr="00DD27E1">
              <w:rPr>
                <w:b/>
                <w:bCs/>
              </w:rPr>
              <w:t>UHF CB Radio Equipment Standard</w:t>
            </w:r>
          </w:p>
          <w:p w14:paraId="7DAF7A07" w14:textId="77777777" w:rsidR="00950394" w:rsidRPr="002254E0" w:rsidRDefault="00950394" w:rsidP="00DD27E1">
            <w:pPr>
              <w:pStyle w:val="Bulletlevel1"/>
              <w:numPr>
                <w:ilvl w:val="0"/>
                <w:numId w:val="0"/>
              </w:numPr>
            </w:pPr>
            <w:r w:rsidRPr="002254E0">
              <w:t xml:space="preserve">Analyse Solve and Test’s submission </w:t>
            </w:r>
            <w:r>
              <w:t>raised concerns:</w:t>
            </w:r>
          </w:p>
          <w:p w14:paraId="429AA1B1" w14:textId="2F601F36" w:rsidR="00950394" w:rsidRPr="00DD27E1" w:rsidRDefault="00950394" w:rsidP="00DD27E1">
            <w:pPr>
              <w:pStyle w:val="Bulletlevel1"/>
              <w:tabs>
                <w:tab w:val="clear" w:pos="1572"/>
                <w:tab w:val="num" w:pos="295"/>
              </w:tabs>
              <w:ind w:left="295"/>
            </w:pPr>
            <w:r w:rsidRPr="00DD27E1">
              <w:t xml:space="preserve">Analyse Solve and Test made a submission to the ACMA FYSO outlining that it was now time the ACMA fully converted this band to 12.5 kHz operation, but this was not accepted by the ACMA. </w:t>
            </w:r>
          </w:p>
          <w:p w14:paraId="4139D32D" w14:textId="744F867B" w:rsidR="00950394" w:rsidRPr="00DD27E1" w:rsidRDefault="00950394" w:rsidP="00DD27E1">
            <w:pPr>
              <w:pStyle w:val="Bulletlevel1"/>
              <w:tabs>
                <w:tab w:val="clear" w:pos="1572"/>
                <w:tab w:val="num" w:pos="295"/>
              </w:tabs>
              <w:ind w:left="295"/>
            </w:pPr>
            <w:r>
              <w:t>T</w:t>
            </w:r>
            <w:r w:rsidRPr="00DD27E1">
              <w:t xml:space="preserve">here is a pressing argument for changes to the current UHF CB equipment </w:t>
            </w:r>
            <w:r w:rsidR="00A830E2">
              <w:t>S</w:t>
            </w:r>
            <w:r w:rsidRPr="00DD27E1">
              <w:t>tandards to reduce costs for suppliers.</w:t>
            </w:r>
          </w:p>
          <w:p w14:paraId="626730F3" w14:textId="6B0C44DB" w:rsidR="00950394" w:rsidRPr="00DD27E1" w:rsidRDefault="00950394" w:rsidP="00DD27E1">
            <w:pPr>
              <w:pStyle w:val="Bulletlevel1"/>
              <w:tabs>
                <w:tab w:val="clear" w:pos="1572"/>
                <w:tab w:val="num" w:pos="295"/>
              </w:tabs>
              <w:ind w:left="295"/>
            </w:pPr>
            <w:r w:rsidRPr="00DD27E1">
              <w:t>The UHF CB Radio Equipment Standard adopts AS/NZS 4365:2011, which was based on test methods from the then AS/NZS 4295 Land Mobile Standard</w:t>
            </w:r>
            <w:r w:rsidR="002E1CA7">
              <w:t>,</w:t>
            </w:r>
            <w:r w:rsidRPr="00DD27E1">
              <w:t xml:space="preserve"> which followed ETSI (international) test methods. However</w:t>
            </w:r>
            <w:r w:rsidR="002E1CA7">
              <w:t>,</w:t>
            </w:r>
            <w:r w:rsidRPr="00DD27E1">
              <w:t xml:space="preserve"> AS/NZS 4295 was subsequently revised at industry request to follow instead the ETSI 300 086 (regional) </w:t>
            </w:r>
            <w:r w:rsidR="00A830E2">
              <w:t>S</w:t>
            </w:r>
            <w:r w:rsidRPr="00DD27E1">
              <w:t xml:space="preserve">tandards methods and limits. </w:t>
            </w:r>
          </w:p>
          <w:p w14:paraId="29A77A9D" w14:textId="2AEDF83B" w:rsidR="00950394" w:rsidRPr="00DD27E1" w:rsidRDefault="00950394" w:rsidP="00DD27E1">
            <w:pPr>
              <w:pStyle w:val="Bulletlevel1"/>
              <w:tabs>
                <w:tab w:val="clear" w:pos="1572"/>
                <w:tab w:val="num" w:pos="295"/>
              </w:tabs>
              <w:ind w:left="295"/>
            </w:pPr>
            <w:r w:rsidRPr="00DD27E1">
              <w:t>Adopting AS/NZS 4365:2011 has created an additional cost for industry in having to retest aspects by the old methods and limits</w:t>
            </w:r>
            <w:r w:rsidR="002E1CA7">
              <w:t>,</w:t>
            </w:r>
            <w:r w:rsidRPr="00DD27E1">
              <w:t xml:space="preserve"> which in some cases might require design changes due to the different deviation limiting test methods, and so forth.</w:t>
            </w:r>
          </w:p>
          <w:p w14:paraId="301B9CC2" w14:textId="7DC18BA9" w:rsidR="00950394" w:rsidRPr="00DD27E1" w:rsidRDefault="00950394" w:rsidP="00DD27E1">
            <w:pPr>
              <w:pStyle w:val="Bulletlevel1"/>
              <w:tabs>
                <w:tab w:val="clear" w:pos="1572"/>
                <w:tab w:val="num" w:pos="295"/>
              </w:tabs>
              <w:ind w:left="295"/>
            </w:pPr>
            <w:r w:rsidRPr="00DD27E1">
              <w:lastRenderedPageBreak/>
              <w:t xml:space="preserve">If the ‘amended’ General Equipment Rules permitted compliance with the Prescribed </w:t>
            </w:r>
            <w:r w:rsidR="00A830E2">
              <w:t>S</w:t>
            </w:r>
            <w:r w:rsidRPr="00DD27E1">
              <w:t xml:space="preserve">tandards table </w:t>
            </w:r>
            <w:r w:rsidR="002E1CA7">
              <w:t>–</w:t>
            </w:r>
            <w:r w:rsidRPr="00DD27E1">
              <w:t xml:space="preserve"> Item 1 transmitter clauses, limited to 5 watts power but in all other aspects required that the equipment complied with AS/NZS 4365:2011 </w:t>
            </w:r>
            <w:r w:rsidR="002E1CA7">
              <w:br/>
            </w:r>
            <w:r w:rsidRPr="00DD27E1">
              <w:t>(No. 1), then that would avoid additional costs for multi-role devices</w:t>
            </w:r>
            <w:r w:rsidR="0091064F">
              <w:t>. This is because</w:t>
            </w:r>
            <w:r w:rsidRPr="00DD27E1">
              <w:t xml:space="preserve"> in practice</w:t>
            </w:r>
            <w:r w:rsidR="0091064F">
              <w:t>,</w:t>
            </w:r>
            <w:r w:rsidRPr="00DD27E1">
              <w:t xml:space="preserve"> the UHF CBRS band sits in the middle of normal land mobile apparatus</w:t>
            </w:r>
            <w:r w:rsidR="0091064F">
              <w:t>-</w:t>
            </w:r>
            <w:r w:rsidRPr="00DD27E1">
              <w:t>licenced spectrum. There is market demand for this multi-service requirement, particularly in regional and rural markets</w:t>
            </w:r>
            <w:r w:rsidR="0091064F">
              <w:t>,</w:t>
            </w:r>
            <w:r w:rsidRPr="00DD27E1">
              <w:t xml:space="preserve"> and obviously it is more practical to access this dual service functionality in one device.</w:t>
            </w:r>
          </w:p>
        </w:tc>
        <w:tc>
          <w:tcPr>
            <w:tcW w:w="3402" w:type="dxa"/>
            <w:shd w:val="clear" w:color="auto" w:fill="F2F2F2" w:themeFill="background1" w:themeFillShade="F2"/>
          </w:tcPr>
          <w:p w14:paraId="2E59922C" w14:textId="66D8FC46" w:rsidR="00950394" w:rsidRPr="00E56D43" w:rsidRDefault="00950394" w:rsidP="00FD7C42">
            <w:pPr>
              <w:pStyle w:val="Bulletlevel1"/>
              <w:numPr>
                <w:ilvl w:val="0"/>
                <w:numId w:val="0"/>
              </w:numPr>
            </w:pPr>
            <w:r>
              <w:lastRenderedPageBreak/>
              <w:t>We considered the submission, noting the amendments proposed by the submitter were not included in this consultation and will require further consultation.</w:t>
            </w:r>
          </w:p>
        </w:tc>
      </w:tr>
      <w:tr w:rsidR="00950394" w:rsidRPr="00FD67A7" w14:paraId="6A297035" w14:textId="77777777" w:rsidTr="00672442">
        <w:trPr>
          <w:cnfStyle w:val="000000010000" w:firstRow="0" w:lastRow="0" w:firstColumn="0" w:lastColumn="0" w:oddVBand="0" w:evenVBand="0" w:oddHBand="0" w:evenHBand="1" w:firstRowFirstColumn="0" w:firstRowLastColumn="0" w:lastRowFirstColumn="0" w:lastRowLastColumn="0"/>
        </w:trPr>
        <w:tc>
          <w:tcPr>
            <w:tcW w:w="2405" w:type="dxa"/>
            <w:shd w:val="clear" w:color="auto" w:fill="auto"/>
          </w:tcPr>
          <w:p w14:paraId="51ECA247" w14:textId="1F70C39C" w:rsidR="00950394" w:rsidRPr="001B34D4" w:rsidRDefault="00950394" w:rsidP="00950394">
            <w:pPr>
              <w:pStyle w:val="ListParagraph"/>
              <w:numPr>
                <w:ilvl w:val="0"/>
                <w:numId w:val="18"/>
              </w:numPr>
              <w:spacing w:after="80"/>
              <w:ind w:left="368"/>
            </w:pPr>
            <w:r w:rsidRPr="00950394">
              <w:rPr>
                <w:rFonts w:cs="Arial"/>
                <w:b/>
                <w:bCs/>
              </w:rPr>
              <w:t>CA</w:t>
            </w:r>
          </w:p>
        </w:tc>
        <w:tc>
          <w:tcPr>
            <w:tcW w:w="2835" w:type="dxa"/>
            <w:shd w:val="clear" w:color="auto" w:fill="auto"/>
          </w:tcPr>
          <w:p w14:paraId="67A74E9A" w14:textId="0E4E5A4D" w:rsidR="00950394" w:rsidRPr="00566CB1" w:rsidRDefault="00950394" w:rsidP="00566CB1">
            <w:pPr>
              <w:spacing w:after="80"/>
              <w:rPr>
                <w:highlight w:val="yellow"/>
              </w:rPr>
            </w:pPr>
            <w:r w:rsidRPr="001B34D4">
              <w:t xml:space="preserve">CA’s submission suggested tying the expiry dates of applicable international </w:t>
            </w:r>
            <w:r w:rsidR="00A830E2">
              <w:t>S</w:t>
            </w:r>
            <w:r w:rsidRPr="001B34D4">
              <w:t xml:space="preserve">tandards to those listed in the Official Journal of the European Union (OJEU), following the precedent set by the </w:t>
            </w:r>
            <w:hyperlink r:id="rId33" w:history="1">
              <w:r w:rsidRPr="001B34D4">
                <w:t>ACMA</w:t>
              </w:r>
              <w:r w:rsidR="007C2D1A">
                <w:t>-</w:t>
              </w:r>
              <w:r w:rsidRPr="001B34D4">
                <w:t xml:space="preserve">mandated Electromagnetic Compatibility </w:t>
              </w:r>
              <w:r w:rsidR="00A830E2">
                <w:t>S</w:t>
              </w:r>
              <w:r w:rsidRPr="001B34D4">
                <w:t>tandards</w:t>
              </w:r>
            </w:hyperlink>
            <w:r w:rsidRPr="001B34D4">
              <w:t xml:space="preserve"> to harmonise with overseas regimes that recognise the OJEU.</w:t>
            </w:r>
          </w:p>
        </w:tc>
        <w:tc>
          <w:tcPr>
            <w:tcW w:w="3402" w:type="dxa"/>
            <w:shd w:val="clear" w:color="auto" w:fill="auto"/>
          </w:tcPr>
          <w:p w14:paraId="4C4A824E" w14:textId="6D171E68" w:rsidR="00950394" w:rsidRPr="001507AD" w:rsidRDefault="00950394" w:rsidP="001507AD">
            <w:pPr>
              <w:spacing w:after="80"/>
            </w:pPr>
            <w:r w:rsidRPr="001507AD">
              <w:t>The ACMA considered the submission</w:t>
            </w:r>
            <w:r>
              <w:t xml:space="preserve"> and </w:t>
            </w:r>
            <w:r w:rsidR="005419F4">
              <w:t>decided it</w:t>
            </w:r>
            <w:r>
              <w:t xml:space="preserve"> was</w:t>
            </w:r>
            <w:r w:rsidR="005419F4">
              <w:t xml:space="preserve"> not</w:t>
            </w:r>
            <w:r>
              <w:t xml:space="preserve"> necessary to align transition periods with the OJEU expiry dates, </w:t>
            </w:r>
            <w:r w:rsidRPr="001507AD">
              <w:t>noting:</w:t>
            </w:r>
          </w:p>
          <w:p w14:paraId="384025FF" w14:textId="44BD025A" w:rsidR="00950394" w:rsidRPr="001507AD" w:rsidRDefault="00950394" w:rsidP="001507AD">
            <w:pPr>
              <w:pStyle w:val="Bulletlevel1"/>
              <w:tabs>
                <w:tab w:val="clear" w:pos="1572"/>
                <w:tab w:val="num" w:pos="295"/>
              </w:tabs>
              <w:ind w:left="295"/>
            </w:pPr>
            <w:r w:rsidRPr="001507AD">
              <w:t xml:space="preserve">The OJEU can provide transition periods which are less than 12 months and, in some instances, more than 12 months. </w:t>
            </w:r>
          </w:p>
          <w:p w14:paraId="27330716" w14:textId="23B08469" w:rsidR="00950394" w:rsidRPr="001507AD" w:rsidRDefault="00950394" w:rsidP="001507AD">
            <w:pPr>
              <w:pStyle w:val="Bulletlevel1"/>
              <w:tabs>
                <w:tab w:val="clear" w:pos="1572"/>
                <w:tab w:val="num" w:pos="295"/>
              </w:tabs>
              <w:ind w:left="295"/>
            </w:pPr>
            <w:r w:rsidRPr="001507AD">
              <w:t xml:space="preserve">Tying expiry dates to the OJEU may result in varying transition periods for when a </w:t>
            </w:r>
            <w:r w:rsidR="00A830E2">
              <w:t>S</w:t>
            </w:r>
            <w:r w:rsidRPr="001507AD">
              <w:t>tandard is replaced or amended</w:t>
            </w:r>
            <w:r>
              <w:t>.</w:t>
            </w:r>
          </w:p>
          <w:p w14:paraId="187F63EE" w14:textId="5B80C19C" w:rsidR="00950394" w:rsidRPr="001507AD" w:rsidRDefault="00950394" w:rsidP="001507AD">
            <w:pPr>
              <w:pStyle w:val="Bulletlevel1"/>
              <w:tabs>
                <w:tab w:val="clear" w:pos="1572"/>
                <w:tab w:val="num" w:pos="295"/>
              </w:tabs>
              <w:ind w:left="295"/>
            </w:pPr>
            <w:r w:rsidRPr="001507AD">
              <w:t xml:space="preserve">The General Equipment Rules have been amended to provide a blanket transition period of </w:t>
            </w:r>
            <w:r w:rsidR="007C2D1A">
              <w:br/>
            </w:r>
            <w:r w:rsidRPr="001507AD">
              <w:t>12 months</w:t>
            </w:r>
            <w:r>
              <w:t>.</w:t>
            </w:r>
          </w:p>
        </w:tc>
      </w:tr>
      <w:tr w:rsidR="00950394" w:rsidRPr="00432B7C" w14:paraId="208A71A6" w14:textId="77777777" w:rsidTr="00672442">
        <w:trPr>
          <w:cnfStyle w:val="000000100000" w:firstRow="0" w:lastRow="0" w:firstColumn="0" w:lastColumn="0" w:oddVBand="0" w:evenVBand="0" w:oddHBand="1" w:evenHBand="0" w:firstRowFirstColumn="0" w:firstRowLastColumn="0" w:lastRowFirstColumn="0" w:lastRowLastColumn="0"/>
        </w:trPr>
        <w:tc>
          <w:tcPr>
            <w:tcW w:w="2405" w:type="dxa"/>
            <w:shd w:val="clear" w:color="auto" w:fill="F2F2F2" w:themeFill="background1" w:themeFillShade="F2"/>
          </w:tcPr>
          <w:p w14:paraId="550B2440" w14:textId="257179F5" w:rsidR="00950394" w:rsidRPr="001B36E1" w:rsidRDefault="00950394" w:rsidP="00672442">
            <w:pPr>
              <w:pStyle w:val="ListParagraph"/>
              <w:keepNext/>
              <w:keepLines/>
              <w:numPr>
                <w:ilvl w:val="0"/>
                <w:numId w:val="18"/>
              </w:numPr>
              <w:spacing w:after="80"/>
              <w:ind w:left="368"/>
            </w:pPr>
            <w:r w:rsidRPr="00950394">
              <w:rPr>
                <w:rFonts w:cs="Arial"/>
                <w:b/>
                <w:bCs/>
              </w:rPr>
              <w:lastRenderedPageBreak/>
              <w:t>Optus</w:t>
            </w:r>
          </w:p>
        </w:tc>
        <w:tc>
          <w:tcPr>
            <w:tcW w:w="2835" w:type="dxa"/>
            <w:shd w:val="clear" w:color="auto" w:fill="F2F2F2" w:themeFill="background1" w:themeFillShade="F2"/>
          </w:tcPr>
          <w:p w14:paraId="37265FA8" w14:textId="17A2D559" w:rsidR="00950394" w:rsidRPr="001B36E1" w:rsidRDefault="00177DF0" w:rsidP="00672442">
            <w:pPr>
              <w:keepNext/>
              <w:keepLines/>
              <w:spacing w:after="80"/>
            </w:pPr>
            <w:r>
              <w:t xml:space="preserve">The </w:t>
            </w:r>
            <w:r w:rsidR="00950394" w:rsidRPr="001B36E1">
              <w:t xml:space="preserve">Optus submission queried whether the proposed </w:t>
            </w:r>
            <w:r w:rsidR="00A830E2">
              <w:t>‘</w:t>
            </w:r>
            <w:r w:rsidR="00950394" w:rsidRPr="001B36E1">
              <w:t xml:space="preserve">adoption of </w:t>
            </w:r>
            <w:r>
              <w:t>5</w:t>
            </w:r>
            <w:r w:rsidRPr="001B36E1">
              <w:t xml:space="preserve"> </w:t>
            </w:r>
            <w:r w:rsidR="00950394" w:rsidRPr="001B36E1">
              <w:t xml:space="preserve">equivalent international </w:t>
            </w:r>
            <w:r w:rsidR="00A830E2">
              <w:t>S</w:t>
            </w:r>
            <w:r w:rsidR="00950394" w:rsidRPr="001B36E1">
              <w:t>tandards to provide suppliers with greater flexibility in achieving compliance with relevant technical requirements</w:t>
            </w:r>
            <w:r w:rsidR="00A830E2">
              <w:t>’</w:t>
            </w:r>
            <w:r w:rsidR="00950394" w:rsidRPr="001B36E1">
              <w:t xml:space="preserve"> will promote regulatory certainty. Optus raised concerns that the proposed adoptions may lead to misinterpretation.</w:t>
            </w:r>
          </w:p>
        </w:tc>
        <w:tc>
          <w:tcPr>
            <w:tcW w:w="3402" w:type="dxa"/>
            <w:shd w:val="clear" w:color="auto" w:fill="F2F2F2" w:themeFill="background1" w:themeFillShade="F2"/>
          </w:tcPr>
          <w:p w14:paraId="56309329" w14:textId="0184C0D0" w:rsidR="00950394" w:rsidRPr="001B36E1" w:rsidRDefault="00950394" w:rsidP="00566CB1">
            <w:pPr>
              <w:pStyle w:val="Default"/>
              <w:spacing w:after="80" w:line="240" w:lineRule="atLeast"/>
              <w:rPr>
                <w:rFonts w:cs="Times New Roman"/>
                <w:color w:val="auto"/>
                <w:sz w:val="20"/>
              </w:rPr>
            </w:pPr>
            <w:r w:rsidRPr="00DD41EF">
              <w:rPr>
                <w:rFonts w:cs="Times New Roman"/>
                <w:color w:val="auto"/>
                <w:sz w:val="20"/>
              </w:rPr>
              <w:t>The ACMA</w:t>
            </w:r>
            <w:r>
              <w:rPr>
                <w:rFonts w:cs="Times New Roman"/>
                <w:color w:val="auto"/>
                <w:sz w:val="20"/>
              </w:rPr>
              <w:t xml:space="preserve"> considered the concerns raised</w:t>
            </w:r>
            <w:r w:rsidR="00177DF0">
              <w:rPr>
                <w:rFonts w:cs="Times New Roman"/>
                <w:color w:val="auto"/>
                <w:sz w:val="20"/>
              </w:rPr>
              <w:t>,</w:t>
            </w:r>
            <w:r>
              <w:rPr>
                <w:rFonts w:cs="Times New Roman"/>
                <w:color w:val="auto"/>
                <w:sz w:val="20"/>
              </w:rPr>
              <w:t xml:space="preserve"> and we are</w:t>
            </w:r>
            <w:r w:rsidRPr="00DD41EF">
              <w:rPr>
                <w:rFonts w:cs="Times New Roman"/>
                <w:color w:val="auto"/>
                <w:sz w:val="20"/>
              </w:rPr>
              <w:t xml:space="preserve"> currently developing guidance </w:t>
            </w:r>
            <w:r w:rsidRPr="00B51F31">
              <w:rPr>
                <w:rFonts w:cs="Times New Roman"/>
                <w:color w:val="auto"/>
                <w:sz w:val="20"/>
              </w:rPr>
              <w:t>to assist industry</w:t>
            </w:r>
            <w:r w:rsidR="00177DF0">
              <w:rPr>
                <w:rFonts w:cs="Times New Roman"/>
                <w:color w:val="auto"/>
                <w:sz w:val="20"/>
              </w:rPr>
              <w:t xml:space="preserve">. This </w:t>
            </w:r>
            <w:r w:rsidRPr="00B51F31">
              <w:rPr>
                <w:rFonts w:cs="Times New Roman"/>
                <w:color w:val="auto"/>
                <w:sz w:val="20"/>
              </w:rPr>
              <w:t>will be published on the ACMA website.</w:t>
            </w:r>
          </w:p>
        </w:tc>
      </w:tr>
    </w:tbl>
    <w:p w14:paraId="7BD9F73C" w14:textId="77777777" w:rsidR="002B26E7" w:rsidRDefault="002B26E7" w:rsidP="00C50322">
      <w:pPr>
        <w:pStyle w:val="Paragraph"/>
      </w:pPr>
    </w:p>
    <w:p w14:paraId="73EEA25E" w14:textId="77777777" w:rsidR="002B26E7" w:rsidRPr="00E162C4" w:rsidRDefault="002B26E7" w:rsidP="002B26E7">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4</w:t>
      </w:r>
    </w:p>
    <w:p w14:paraId="24D7EDCE" w14:textId="77777777" w:rsidR="002B26E7" w:rsidRPr="00E162C4" w:rsidRDefault="002B26E7" w:rsidP="002B26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comments on the proposed remaking of the </w:t>
      </w:r>
      <w:r w:rsidRPr="00FC50C0">
        <w:t>Protected Symbols Determination 2013</w:t>
      </w:r>
      <w:r>
        <w:t>, including the removal of reference to the C-Tick and A-Tick?</w:t>
      </w:r>
    </w:p>
    <w:p w14:paraId="0CC22698" w14:textId="41C124FF" w:rsidR="00FF3E98" w:rsidRDefault="00177DF0" w:rsidP="00FF3E98">
      <w:pPr>
        <w:pStyle w:val="Paragraph"/>
      </w:pPr>
      <w:r>
        <w:t>A total of 6</w:t>
      </w:r>
      <w:r w:rsidR="00FF3E98">
        <w:t xml:space="preserve"> submitters supported remaking the instrument and the removal of A-Tick and C-Tick marks as protected symbols. The remaining submitters made no comment.</w:t>
      </w:r>
    </w:p>
    <w:p w14:paraId="0F5368B6" w14:textId="24A84FA5" w:rsidR="002B26E7" w:rsidRPr="00FF3E98" w:rsidRDefault="00FF3E98" w:rsidP="00672442">
      <w:pPr>
        <w:pStyle w:val="Heading3"/>
      </w:pPr>
      <w:r w:rsidRPr="00FF3E98">
        <w:t>Outcome</w:t>
      </w:r>
    </w:p>
    <w:p w14:paraId="1C057EB9" w14:textId="033DD316" w:rsidR="00FF3E98" w:rsidRDefault="00FF3E98" w:rsidP="00FF3E98">
      <w:pPr>
        <w:pStyle w:val="Paragraph"/>
      </w:pPr>
      <w:r>
        <w:t>We made</w:t>
      </w:r>
      <w:r w:rsidRPr="003E1973">
        <w:t xml:space="preserve"> </w:t>
      </w:r>
      <w:r w:rsidR="005419F4">
        <w:t>the</w:t>
      </w:r>
      <w:r w:rsidR="00721787">
        <w:t xml:space="preserve"> </w:t>
      </w:r>
      <w:r w:rsidRPr="003E1973">
        <w:t xml:space="preserve">Protected Symbols Determination 2023 </w:t>
      </w:r>
      <w:r>
        <w:t>to preserve the</w:t>
      </w:r>
      <w:r w:rsidRPr="003E1973">
        <w:t xml:space="preserve"> status of </w:t>
      </w:r>
      <w:r>
        <w:t>the</w:t>
      </w:r>
      <w:r w:rsidRPr="003E1973">
        <w:t xml:space="preserve"> </w:t>
      </w:r>
      <w:r>
        <w:t>RCM</w:t>
      </w:r>
      <w:r w:rsidRPr="003E1973">
        <w:t xml:space="preserve"> as a protected symbol under the Act and the</w:t>
      </w:r>
      <w:r>
        <w:t xml:space="preserve"> </w:t>
      </w:r>
      <w:r w:rsidR="00E079C8">
        <w:t>Telecommunications</w:t>
      </w:r>
      <w:r>
        <w:t xml:space="preserve"> Act</w:t>
      </w:r>
      <w:r w:rsidRPr="003E1973">
        <w:t xml:space="preserve">. The </w:t>
      </w:r>
      <w:r w:rsidR="00177DF0">
        <w:br/>
      </w:r>
      <w:r w:rsidRPr="003E1973">
        <w:t>A-Tick and C-Tick marks cease</w:t>
      </w:r>
      <w:r>
        <w:t>d</w:t>
      </w:r>
      <w:r w:rsidRPr="003E1973">
        <w:t xml:space="preserve"> to be protected symbols as their use on newly supplied equipment has not been permitted since the end of February 2016.</w:t>
      </w:r>
    </w:p>
    <w:p w14:paraId="47EC0DAF" w14:textId="77777777" w:rsidR="00FF3E98" w:rsidRPr="00E162C4" w:rsidRDefault="00FF3E98" w:rsidP="00FF3E98">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5</w:t>
      </w:r>
    </w:p>
    <w:p w14:paraId="45D5D328" w14:textId="77777777" w:rsidR="00FF3E98" w:rsidRPr="00E162C4" w:rsidRDefault="00FF3E98" w:rsidP="00FF3E98">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thoughts on the proposed replacement of the interim EME Technical Report IEC TR 63170 in the General Equipment Rules with IEC/IEEE 63195-1 and IEC/IEEE 63195-2?</w:t>
      </w:r>
    </w:p>
    <w:p w14:paraId="2FEA8E73" w14:textId="0B9396A8" w:rsidR="00FF3E98" w:rsidRDefault="00FF3E98" w:rsidP="00FF3E98">
      <w:pPr>
        <w:pStyle w:val="Paragraph"/>
      </w:pPr>
      <w:r w:rsidRPr="00597F5F">
        <w:t>Subsection 156(4) of the Act requires the ACMA to consult with ARPANSA before making equipment rules</w:t>
      </w:r>
      <w:r w:rsidR="00333E61">
        <w:t xml:space="preserve"> that</w:t>
      </w:r>
      <w:r w:rsidRPr="00597F5F">
        <w:t xml:space="preserve"> protect the health or safety of individuals from any adverse effects attributable to radio emissions from a reasonably foreseeable use (including a misuse) of radiocommunications transmitters. The ACMA consulted with ARPANSA on a draft of the instrument in accordance with this requirement. ARPANSA supported the adoption of IEC/IEEE 63195-1 and IEC/IEEE 63195-2 test method </w:t>
      </w:r>
      <w:r w:rsidR="00A830E2">
        <w:t>S</w:t>
      </w:r>
      <w:r w:rsidRPr="00597F5F">
        <w:t>tandards to determine compliance of equipment with EME limits set by the General Equipment Rules</w:t>
      </w:r>
      <w:r>
        <w:t>.</w:t>
      </w:r>
    </w:p>
    <w:p w14:paraId="21F93F24" w14:textId="7CEE67A8" w:rsidR="00FF3E98" w:rsidRDefault="00FF3E98" w:rsidP="00FF3E98">
      <w:pPr>
        <w:pStyle w:val="Paragraph"/>
      </w:pPr>
      <w:r>
        <w:t xml:space="preserve">In addition to ARPANA’s support </w:t>
      </w:r>
      <w:r w:rsidR="00EE40E4">
        <w:t>for the</w:t>
      </w:r>
      <w:r>
        <w:t xml:space="preserve"> proposal, </w:t>
      </w:r>
      <w:r w:rsidR="00333E61">
        <w:t xml:space="preserve">3 </w:t>
      </w:r>
      <w:r>
        <w:t>submitters also expressed support without further suggestion for amendment</w:t>
      </w:r>
      <w:r w:rsidR="00333E61">
        <w:t>,</w:t>
      </w:r>
      <w:r>
        <w:t xml:space="preserve"> and </w:t>
      </w:r>
      <w:r w:rsidR="00333E61">
        <w:t xml:space="preserve">4 </w:t>
      </w:r>
      <w:r>
        <w:t xml:space="preserve">made no comment. </w:t>
      </w:r>
    </w:p>
    <w:p w14:paraId="15221622" w14:textId="72B61907" w:rsidR="00FF3E98" w:rsidRDefault="00333E61" w:rsidP="00FF3E98">
      <w:pPr>
        <w:pStyle w:val="Paragraph"/>
      </w:pPr>
      <w:r>
        <w:t>A total of 2</w:t>
      </w:r>
      <w:r w:rsidR="00FF3E98">
        <w:t xml:space="preserve"> submitters expressed support and recommend </w:t>
      </w:r>
      <w:r w:rsidR="00FF3E98" w:rsidRPr="001B36E1">
        <w:t>the EN versions of IEC/IEEE 63195-1 and IEC/IEEE 63195-2 be listed as applicable Standards when they become available</w:t>
      </w:r>
      <w:r w:rsidR="00FF3E98">
        <w:t xml:space="preserve">. We will </w:t>
      </w:r>
      <w:r w:rsidR="00FF3E98" w:rsidRPr="001B36E1">
        <w:t xml:space="preserve">consider adoption of the EN versions once </w:t>
      </w:r>
      <w:r w:rsidR="00FF3E98" w:rsidRPr="007F586D">
        <w:t>th</w:t>
      </w:r>
      <w:r w:rsidR="00FF3E98">
        <w:t>e documents have</w:t>
      </w:r>
      <w:r w:rsidR="00FF3E98" w:rsidRPr="007F586D">
        <w:t xml:space="preserve"> been published</w:t>
      </w:r>
      <w:r w:rsidR="00FF3E98">
        <w:t xml:space="preserve">. </w:t>
      </w:r>
    </w:p>
    <w:p w14:paraId="6CA66E8D" w14:textId="7804956A" w:rsidR="00FF3E98" w:rsidRDefault="00FF3E98" w:rsidP="00FF3E98">
      <w:pPr>
        <w:pStyle w:val="Paragraph"/>
      </w:pPr>
      <w:r>
        <w:t>The remaining submitter, Mobile &amp; Wireless Forum (MWF) also expressed support and stated it was their</w:t>
      </w:r>
      <w:r w:rsidRPr="001B36E1">
        <w:t xml:space="preserve"> understanding that the intent was only to replace IEC TR 63170 (and by extension SA TR IEC 63170)</w:t>
      </w:r>
      <w:r w:rsidR="00333E61">
        <w:t>,</w:t>
      </w:r>
      <w:r w:rsidRPr="001B36E1">
        <w:t xml:space="preserve"> and that </w:t>
      </w:r>
      <w:r>
        <w:t xml:space="preserve">a </w:t>
      </w:r>
      <w:r w:rsidRPr="001B36E1">
        <w:t xml:space="preserve">supplier </w:t>
      </w:r>
      <w:r>
        <w:t>would be able to</w:t>
      </w:r>
      <w:r w:rsidRPr="001B36E1">
        <w:t xml:space="preserve"> continue to use AS/NZS 2772.2 for instances where the device is normally used more than 20</w:t>
      </w:r>
      <w:r w:rsidR="00333E61">
        <w:t> cm</w:t>
      </w:r>
      <w:r w:rsidRPr="001B36E1">
        <w:t xml:space="preserve"> </w:t>
      </w:r>
      <w:r w:rsidRPr="001B36E1">
        <w:lastRenderedPageBreak/>
        <w:t>from the human body.</w:t>
      </w:r>
      <w:r>
        <w:t xml:space="preserve"> We </w:t>
      </w:r>
      <w:r w:rsidRPr="001B36E1">
        <w:t xml:space="preserve">confirm MWF’s understanding is correct and </w:t>
      </w:r>
      <w:r w:rsidR="00D02333">
        <w:t xml:space="preserve">that </w:t>
      </w:r>
      <w:r w:rsidR="00333E61">
        <w:br/>
      </w:r>
      <w:r w:rsidRPr="001B36E1">
        <w:t xml:space="preserve">AS/NZS 2772.2 can </w:t>
      </w:r>
      <w:r w:rsidR="00D02333">
        <w:t xml:space="preserve">continue to </w:t>
      </w:r>
      <w:r w:rsidRPr="001B36E1">
        <w:t xml:space="preserve">be used </w:t>
      </w:r>
      <w:r w:rsidR="00D02333">
        <w:t>in</w:t>
      </w:r>
      <w:r w:rsidRPr="001B36E1">
        <w:t xml:space="preserve"> instances whe</w:t>
      </w:r>
      <w:r w:rsidR="00D02333">
        <w:t>n</w:t>
      </w:r>
      <w:r w:rsidRPr="001B36E1">
        <w:t xml:space="preserve"> the device is normally used more than 20 c</w:t>
      </w:r>
      <w:r w:rsidR="00333E61">
        <w:t xml:space="preserve">m </w:t>
      </w:r>
      <w:r w:rsidRPr="001B36E1">
        <w:t>from the human body.</w:t>
      </w:r>
    </w:p>
    <w:p w14:paraId="1C3F06D1" w14:textId="4B94818E" w:rsidR="00FF3E98" w:rsidRPr="00FF3E98" w:rsidRDefault="00FF3E98" w:rsidP="00672442">
      <w:pPr>
        <w:pStyle w:val="Heading3"/>
      </w:pPr>
      <w:r w:rsidRPr="00FF3E98">
        <w:t>Outcome</w:t>
      </w:r>
    </w:p>
    <w:p w14:paraId="1B3AFAD5" w14:textId="5C90519A" w:rsidR="00FF3E98" w:rsidRDefault="00FF3E98" w:rsidP="00FF3E98">
      <w:pPr>
        <w:pStyle w:val="Paragraph"/>
      </w:pPr>
      <w:r>
        <w:t xml:space="preserve">We amended the General Equipment Rules to </w:t>
      </w:r>
      <w:r w:rsidR="00E03D51" w:rsidRPr="00597F5F">
        <w:t xml:space="preserve">adopt IEC/IEEE 63195-1 and IEC/IEEE 63195-2 test method </w:t>
      </w:r>
      <w:r w:rsidR="00A830E2">
        <w:t>S</w:t>
      </w:r>
      <w:r w:rsidR="00E03D51" w:rsidRPr="00597F5F">
        <w:t xml:space="preserve">tandards to determine compliance of equipment with </w:t>
      </w:r>
      <w:r w:rsidR="00EE40E4">
        <w:t xml:space="preserve">the </w:t>
      </w:r>
      <w:r w:rsidR="00E03D51" w:rsidRPr="00597F5F">
        <w:t>EME limits set</w:t>
      </w:r>
      <w:r w:rsidR="00EE40E4">
        <w:t xml:space="preserve"> by the General Equipment Rules.</w:t>
      </w:r>
      <w:r w:rsidR="000E1EE4">
        <w:t xml:space="preserve"> </w:t>
      </w:r>
      <w:r w:rsidR="005054C4">
        <w:t>S</w:t>
      </w:r>
      <w:r w:rsidR="00936BB1">
        <w:t xml:space="preserve">uppliers now </w:t>
      </w:r>
      <w:r w:rsidR="00EE40E4">
        <w:t>have</w:t>
      </w:r>
      <w:r w:rsidR="00E03D51">
        <w:t xml:space="preserve"> the flexibility to choose between measurement </w:t>
      </w:r>
      <w:r w:rsidR="00936BB1">
        <w:t>or</w:t>
      </w:r>
      <w:r w:rsidR="00E03D51">
        <w:t xml:space="preserve"> computation test methods. </w:t>
      </w:r>
    </w:p>
    <w:p w14:paraId="7B76B77A" w14:textId="77777777" w:rsidR="00E03D51" w:rsidRPr="00E162C4" w:rsidRDefault="00E03D51" w:rsidP="00E03D51">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6</w:t>
      </w:r>
    </w:p>
    <w:p w14:paraId="1469C998" w14:textId="77777777" w:rsidR="00E03D51" w:rsidRPr="00E162C4" w:rsidRDefault="00E03D51" w:rsidP="00E03D51">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issues with the proposed amendments to the significant event provisions to allow delegated ACMA staff to declare a significant event?</w:t>
      </w:r>
    </w:p>
    <w:p w14:paraId="2C2FF81E" w14:textId="15E98172" w:rsidR="00D9447C" w:rsidRDefault="00D9447C" w:rsidP="00D9447C">
      <w:pPr>
        <w:pStyle w:val="Paragraph"/>
      </w:pPr>
      <w:r w:rsidRPr="00B7688B">
        <w:t>The LIPD Class Licence Variation amends the definition of ‘significant event’ in th</w:t>
      </w:r>
      <w:r w:rsidR="00721787">
        <w:t xml:space="preserve">e </w:t>
      </w:r>
      <w:r w:rsidRPr="00B7688B">
        <w:t xml:space="preserve">LIPD Class Licence to </w:t>
      </w:r>
      <w:r w:rsidR="00D02333">
        <w:t>reference</w:t>
      </w:r>
      <w:r w:rsidRPr="00B7688B">
        <w:t xml:space="preserve"> an event declared under subsection 54A(2) of the General Equipment Rules. The Telco Significant Event Instrument similarly amends the definition of ‘significant event’ in</w:t>
      </w:r>
      <w:r>
        <w:t xml:space="preserve"> the </w:t>
      </w:r>
      <w:r w:rsidRPr="004051EE">
        <w:t>TLN</w:t>
      </w:r>
      <w:r>
        <w:t xml:space="preserve"> and the</w:t>
      </w:r>
      <w:r w:rsidR="00721787">
        <w:t xml:space="preserve"> </w:t>
      </w:r>
      <w:r>
        <w:t>Types of Cabling Work Declaration.</w:t>
      </w:r>
    </w:p>
    <w:p w14:paraId="474E5F5B" w14:textId="1EFEB186" w:rsidR="00D9447C" w:rsidRPr="00B7688B" w:rsidRDefault="00D9447C" w:rsidP="00D9447C">
      <w:pPr>
        <w:pStyle w:val="Paragraph"/>
      </w:pPr>
      <w:r w:rsidRPr="0045271A">
        <w:t xml:space="preserve">Section 136 of the Act requires that a notice setting out particular details of the </w:t>
      </w:r>
      <w:r>
        <w:t xml:space="preserve">proposed </w:t>
      </w:r>
      <w:r w:rsidRPr="0045271A">
        <w:t xml:space="preserve">variation </w:t>
      </w:r>
      <w:r>
        <w:t xml:space="preserve">to the LIPD Class Licence </w:t>
      </w:r>
      <w:r w:rsidRPr="0045271A">
        <w:t>be published on the ACMA website, and in one or more other forms that are readily accessible by the public. The notice must allow for a period of at least one month to be provided for public comment. Paragraph 136(1A)(b) of the Act also requires consultation with spectrum licensees if their licences would be affected by the instrument.</w:t>
      </w:r>
    </w:p>
    <w:p w14:paraId="24ACF256" w14:textId="063C9737" w:rsidR="00D9447C" w:rsidRPr="0045271A" w:rsidRDefault="00D9447C" w:rsidP="00D9447C">
      <w:pPr>
        <w:pStyle w:val="Paragraph"/>
      </w:pPr>
      <w:r w:rsidRPr="0045271A">
        <w:t xml:space="preserve">A public consultation process was conducted during the period 10 November 2022 to 15 December 2022. A draft of the instrument and a consultation paper containing explanatory information were made available on the ACMA website during that period. A notice setting out the ACMA’s intent to vary the LIPD Class Licence was published in the </w:t>
      </w:r>
      <w:r w:rsidRPr="00672442">
        <w:rPr>
          <w:i/>
          <w:iCs/>
        </w:rPr>
        <w:t>Government Gazette</w:t>
      </w:r>
      <w:r w:rsidRPr="0045271A">
        <w:t xml:space="preserve"> on 10 November 2022, and also on the ACMA website. Interested parties were notified of the consultation and invited to comment. On </w:t>
      </w:r>
      <w:r w:rsidR="00BC5506">
        <w:br/>
      </w:r>
      <w:r w:rsidRPr="0045271A">
        <w:t xml:space="preserve">10 November 2022, the ACMA notified spectrum licensees of the proposed </w:t>
      </w:r>
      <w:r w:rsidR="00BC5506">
        <w:br/>
      </w:r>
      <w:r w:rsidRPr="0045271A">
        <w:t xml:space="preserve">variation of the LIPD Class Licence and invited them to </w:t>
      </w:r>
      <w:r w:rsidR="00936BB1">
        <w:t>provide comments</w:t>
      </w:r>
      <w:r w:rsidRPr="0045271A">
        <w:t xml:space="preserve"> by </w:t>
      </w:r>
      <w:r w:rsidR="00BC5506">
        <w:br/>
      </w:r>
      <w:r w:rsidRPr="0045271A">
        <w:t>15 December 2022.</w:t>
      </w:r>
    </w:p>
    <w:p w14:paraId="78AA28AB" w14:textId="47DDAB7F" w:rsidR="000B5622" w:rsidRDefault="00BC5506" w:rsidP="0013573F">
      <w:r>
        <w:t>A total of 4</w:t>
      </w:r>
      <w:r w:rsidR="00E03D51">
        <w:t xml:space="preserve"> submitters expressed support without further </w:t>
      </w:r>
      <w:r w:rsidR="00D9447C">
        <w:t>comment</w:t>
      </w:r>
      <w:r>
        <w:t>,</w:t>
      </w:r>
      <w:r w:rsidR="00E03D51">
        <w:t xml:space="preserve"> and </w:t>
      </w:r>
      <w:r>
        <w:t>3</w:t>
      </w:r>
      <w:r w:rsidR="00E03D51">
        <w:t xml:space="preserve"> made no comment. The remaining </w:t>
      </w:r>
      <w:r>
        <w:t xml:space="preserve">4 </w:t>
      </w:r>
      <w:r w:rsidR="00E03D51">
        <w:t>submitters expressed support with suggestions for amendment.</w:t>
      </w:r>
    </w:p>
    <w:p w14:paraId="68BDCD00" w14:textId="032E5189" w:rsidR="000B5622" w:rsidRDefault="00E03D51" w:rsidP="0013573F">
      <w:r>
        <w:t xml:space="preserve">A key theme of the submissions was the need for public notification when a significant event is declared.  </w:t>
      </w:r>
    </w:p>
    <w:p w14:paraId="3135C2BE" w14:textId="6FC273A2" w:rsidR="00E03D51" w:rsidRDefault="00E03D51" w:rsidP="00672442">
      <w:pPr>
        <w:pStyle w:val="Paragraphbeforelist"/>
      </w:pPr>
      <w:r>
        <w:t>We considered the submission</w:t>
      </w:r>
      <w:r w:rsidR="005F2DFF">
        <w:t>s</w:t>
      </w:r>
      <w:r>
        <w:t xml:space="preserve"> and agreed to:</w:t>
      </w:r>
    </w:p>
    <w:p w14:paraId="767CC97D" w14:textId="762DD062" w:rsidR="00E03D51" w:rsidRDefault="00E03D51" w:rsidP="00E03D51">
      <w:pPr>
        <w:pStyle w:val="Bulletlevel1"/>
        <w:tabs>
          <w:tab w:val="clear" w:pos="1572"/>
          <w:tab w:val="num" w:pos="295"/>
        </w:tabs>
        <w:ind w:left="295"/>
        <w:rPr>
          <w:szCs w:val="20"/>
        </w:rPr>
      </w:pPr>
      <w:r w:rsidRPr="00FF6719">
        <w:t>retain a</w:t>
      </w:r>
      <w:r w:rsidR="000A2CDA">
        <w:t xml:space="preserve"> </w:t>
      </w:r>
      <w:r w:rsidRPr="00FF6719">
        <w:t>requirement to publish details of a significant event on the ACMA website in addition to making a notifiable instrument to declare a significant event</w:t>
      </w:r>
    </w:p>
    <w:p w14:paraId="2D449CFB" w14:textId="1B87B085" w:rsidR="00D9447C" w:rsidRDefault="00E03D51" w:rsidP="00D9447C">
      <w:pPr>
        <w:pStyle w:val="Bulletlevel1"/>
        <w:tabs>
          <w:tab w:val="clear" w:pos="1572"/>
          <w:tab w:val="num" w:pos="295"/>
        </w:tabs>
        <w:ind w:left="295"/>
        <w:rPr>
          <w:szCs w:val="20"/>
        </w:rPr>
      </w:pPr>
      <w:r>
        <w:rPr>
          <w:szCs w:val="20"/>
        </w:rPr>
        <w:t>consider implementing a mechanism on the ACMA website for an email alert to be sent to interested stakeholders when a new significant event declaration is made</w:t>
      </w:r>
    </w:p>
    <w:p w14:paraId="2E4ABB98" w14:textId="242EAA36" w:rsidR="00D9447C" w:rsidRPr="00D9447C" w:rsidRDefault="00E03D51" w:rsidP="00672442">
      <w:pPr>
        <w:pStyle w:val="Bulletlevel1"/>
        <w:tabs>
          <w:tab w:val="clear" w:pos="1572"/>
          <w:tab w:val="num" w:pos="295"/>
        </w:tabs>
        <w:spacing w:after="240"/>
        <w:ind w:left="295"/>
        <w:rPr>
          <w:szCs w:val="20"/>
        </w:rPr>
      </w:pPr>
      <w:r w:rsidRPr="00D9447C">
        <w:rPr>
          <w:szCs w:val="20"/>
        </w:rPr>
        <w:t>arrange for the ACMA website to be updated to reflect changes to the conferral of power.</w:t>
      </w:r>
    </w:p>
    <w:p w14:paraId="0313AD7B" w14:textId="3C4707F9" w:rsidR="00D9447C" w:rsidRDefault="00D9447C" w:rsidP="00672442">
      <w:pPr>
        <w:pStyle w:val="Heading3"/>
      </w:pPr>
      <w:r w:rsidRPr="00D9447C">
        <w:t>Outcome</w:t>
      </w:r>
    </w:p>
    <w:p w14:paraId="0C09BD8B" w14:textId="64374EC8" w:rsidR="00D9447C" w:rsidRDefault="000A2CDA" w:rsidP="00D9447C">
      <w:pPr>
        <w:pStyle w:val="Paragraph"/>
        <w:rPr>
          <w:szCs w:val="20"/>
        </w:rPr>
      </w:pPr>
      <w:r w:rsidRPr="000A2CDA">
        <w:t xml:space="preserve">The </w:t>
      </w:r>
      <w:r>
        <w:t xml:space="preserve">General Equipment Rules were amended </w:t>
      </w:r>
      <w:r w:rsidRPr="000A2CDA">
        <w:t xml:space="preserve">to </w:t>
      </w:r>
      <w:r>
        <w:t xml:space="preserve">include a </w:t>
      </w:r>
      <w:r w:rsidRPr="000A2CDA">
        <w:t>significant event provision</w:t>
      </w:r>
      <w:r>
        <w:t xml:space="preserve">, which conferred the power to declare a significant event on the ACMA. We included a </w:t>
      </w:r>
      <w:r>
        <w:lastRenderedPageBreak/>
        <w:t>requirement to publish details of a significant event declaration on the ACMA website with subsection 54A(</w:t>
      </w:r>
      <w:r w:rsidR="00503916">
        <w:t>5</w:t>
      </w:r>
      <w:r>
        <w:t>) of the General Equipment Rules</w:t>
      </w:r>
      <w:r w:rsidR="00503916">
        <w:t>.</w:t>
      </w:r>
      <w:r>
        <w:t xml:space="preserve"> </w:t>
      </w:r>
      <w:r w:rsidR="00503916">
        <w:t xml:space="preserve">We included subsection 54A(6) to provide </w:t>
      </w:r>
      <w:r>
        <w:t xml:space="preserve">that </w:t>
      </w:r>
      <w:r>
        <w:rPr>
          <w:szCs w:val="20"/>
        </w:rPr>
        <w:t xml:space="preserve">a failure to publish a statement about a declared significant event on the ACMA website will not affect the validity of the instrument declaring a significant event. </w:t>
      </w:r>
    </w:p>
    <w:p w14:paraId="603408CB" w14:textId="52E7258D" w:rsidR="0079751B" w:rsidRDefault="0079751B" w:rsidP="00D9447C">
      <w:pPr>
        <w:pStyle w:val="Paragraph"/>
        <w:rPr>
          <w:szCs w:val="20"/>
        </w:rPr>
      </w:pPr>
      <w:r>
        <w:rPr>
          <w:szCs w:val="20"/>
        </w:rPr>
        <w:t xml:space="preserve">We have updated the ACMA website to reflect changes to the conferral of power to declare a significant event. </w:t>
      </w:r>
      <w:bookmarkStart w:id="19" w:name="_Hlk128663978"/>
      <w:r w:rsidR="009066C8">
        <w:rPr>
          <w:szCs w:val="20"/>
        </w:rPr>
        <w:t xml:space="preserve">We </w:t>
      </w:r>
      <w:r w:rsidR="00EE5DA0">
        <w:rPr>
          <w:szCs w:val="20"/>
        </w:rPr>
        <w:t xml:space="preserve">have </w:t>
      </w:r>
      <w:r w:rsidR="009066C8">
        <w:rPr>
          <w:szCs w:val="20"/>
        </w:rPr>
        <w:t>develop</w:t>
      </w:r>
      <w:r w:rsidR="00EE5DA0">
        <w:rPr>
          <w:szCs w:val="20"/>
        </w:rPr>
        <w:t>ed</w:t>
      </w:r>
      <w:r w:rsidR="009066C8">
        <w:rPr>
          <w:szCs w:val="20"/>
        </w:rPr>
        <w:t xml:space="preserve"> a mechanism for i</w:t>
      </w:r>
      <w:r>
        <w:rPr>
          <w:szCs w:val="20"/>
        </w:rPr>
        <w:t xml:space="preserve">nterested </w:t>
      </w:r>
      <w:r w:rsidR="00F236F8">
        <w:rPr>
          <w:szCs w:val="20"/>
        </w:rPr>
        <w:t xml:space="preserve">parties </w:t>
      </w:r>
      <w:r>
        <w:rPr>
          <w:szCs w:val="20"/>
        </w:rPr>
        <w:t>to receive email alerts when the ACMA makes a new significant event declaration</w:t>
      </w:r>
      <w:r w:rsidR="009066C8">
        <w:rPr>
          <w:szCs w:val="20"/>
        </w:rPr>
        <w:t>.</w:t>
      </w:r>
      <w:r w:rsidR="00EE5DA0">
        <w:rPr>
          <w:szCs w:val="20"/>
        </w:rPr>
        <w:t xml:space="preserve"> Interested parties can now receive email alerts by visiting </w:t>
      </w:r>
      <w:hyperlink r:id="rId34" w:history="1">
        <w:r w:rsidR="00EE5DA0" w:rsidRPr="00EE5DA0">
          <w:rPr>
            <w:rStyle w:val="Hyperlink"/>
            <w:szCs w:val="20"/>
          </w:rPr>
          <w:t>Subscribe to our newsletters</w:t>
        </w:r>
      </w:hyperlink>
      <w:r w:rsidR="00EE5DA0">
        <w:rPr>
          <w:szCs w:val="20"/>
        </w:rPr>
        <w:t xml:space="preserve"> and selecting ‘Significant event declarations’.</w:t>
      </w:r>
    </w:p>
    <w:p w14:paraId="195A9EBE" w14:textId="1DD127BD" w:rsidR="00230BD6" w:rsidRDefault="00230BD6" w:rsidP="00230BD6">
      <w:pPr>
        <w:pStyle w:val="Heading2"/>
      </w:pPr>
      <w:bookmarkStart w:id="20" w:name="_Toc129856977"/>
      <w:bookmarkEnd w:id="19"/>
      <w:r>
        <w:t>Other issues raised</w:t>
      </w:r>
      <w:bookmarkEnd w:id="20"/>
    </w:p>
    <w:p w14:paraId="33586694" w14:textId="7153FD33" w:rsidR="00230BD6" w:rsidRDefault="008F3D41" w:rsidP="00230BD6">
      <w:pPr>
        <w:pStyle w:val="Paragraph"/>
      </w:pPr>
      <w:r>
        <w:t>A total of 4</w:t>
      </w:r>
      <w:r w:rsidR="00230BD6">
        <w:t xml:space="preserve"> submitters made comments on additional issues not raised in the </w:t>
      </w:r>
      <w:r>
        <w:t xml:space="preserve">6 </w:t>
      </w:r>
      <w:r w:rsidR="00230BD6">
        <w:t xml:space="preserve">questions for comment. We have summarised the additional issues raised in Table </w:t>
      </w:r>
      <w:r w:rsidR="00EE5DA0">
        <w:t>4</w:t>
      </w:r>
      <w:r w:rsidR="00230BD6">
        <w:t xml:space="preserve"> and the outcomes.</w:t>
      </w:r>
    </w:p>
    <w:p w14:paraId="71642FF6" w14:textId="77777777" w:rsidR="004835A7" w:rsidRPr="00E162C4" w:rsidRDefault="004835A7" w:rsidP="004835A7">
      <w:pPr>
        <w:pStyle w:val="Tableheading"/>
      </w:pPr>
      <w:r>
        <w:t>Summary of other issues raised and outcomes</w:t>
      </w:r>
    </w:p>
    <w:tbl>
      <w:tblPr>
        <w:tblStyle w:val="ACMAtablestyle"/>
        <w:tblW w:w="8642" w:type="dxa"/>
        <w:tblLayout w:type="fixed"/>
        <w:tblLook w:val="01E0" w:firstRow="1" w:lastRow="1" w:firstColumn="1" w:lastColumn="1" w:noHBand="0" w:noVBand="0"/>
      </w:tblPr>
      <w:tblGrid>
        <w:gridCol w:w="2122"/>
        <w:gridCol w:w="3118"/>
        <w:gridCol w:w="3402"/>
      </w:tblGrid>
      <w:tr w:rsidR="00EA3049" w:rsidRPr="00A85C35" w14:paraId="1A60DCE1" w14:textId="77777777" w:rsidTr="00672442">
        <w:trPr>
          <w:cnfStyle w:val="100000000000" w:firstRow="1" w:lastRow="0" w:firstColumn="0" w:lastColumn="0" w:oddVBand="0" w:evenVBand="0" w:oddHBand="0" w:evenHBand="0" w:firstRowFirstColumn="0" w:firstRowLastColumn="0" w:lastRowFirstColumn="0" w:lastRowLastColumn="0"/>
        </w:trPr>
        <w:tc>
          <w:tcPr>
            <w:tcW w:w="2122" w:type="dxa"/>
          </w:tcPr>
          <w:p w14:paraId="32AA1A7B" w14:textId="76C97448" w:rsidR="00EA3049" w:rsidRDefault="00EA3049" w:rsidP="007775E6">
            <w:pPr>
              <w:pStyle w:val="Tableheaderrow"/>
            </w:pPr>
            <w:r>
              <w:t>Submitter</w:t>
            </w:r>
          </w:p>
        </w:tc>
        <w:tc>
          <w:tcPr>
            <w:tcW w:w="3118" w:type="dxa"/>
          </w:tcPr>
          <w:p w14:paraId="2B90EE2C" w14:textId="04E72604" w:rsidR="00EA3049" w:rsidRPr="00E162C4" w:rsidRDefault="00EA3049" w:rsidP="007775E6">
            <w:pPr>
              <w:pStyle w:val="Tableheaderrow"/>
            </w:pPr>
            <w:r>
              <w:t>Submission</w:t>
            </w:r>
          </w:p>
        </w:tc>
        <w:tc>
          <w:tcPr>
            <w:tcW w:w="3402" w:type="dxa"/>
          </w:tcPr>
          <w:p w14:paraId="720DE6EC" w14:textId="77777777" w:rsidR="00EA3049" w:rsidRPr="00A85C35" w:rsidRDefault="00EA3049" w:rsidP="007775E6">
            <w:pPr>
              <w:pStyle w:val="Tableheaderrow"/>
            </w:pPr>
            <w:r>
              <w:t>Consultation outcome</w:t>
            </w:r>
          </w:p>
        </w:tc>
      </w:tr>
      <w:tr w:rsidR="00EA3049" w:rsidRPr="00B008BB" w14:paraId="402EB986" w14:textId="77777777" w:rsidTr="00672442">
        <w:trPr>
          <w:cnfStyle w:val="000000100000" w:firstRow="0" w:lastRow="0" w:firstColumn="0" w:lastColumn="0" w:oddVBand="0" w:evenVBand="0" w:oddHBand="1" w:evenHBand="0" w:firstRowFirstColumn="0" w:firstRowLastColumn="0" w:lastRowFirstColumn="0" w:lastRowLastColumn="0"/>
        </w:trPr>
        <w:tc>
          <w:tcPr>
            <w:tcW w:w="2122" w:type="dxa"/>
            <w:shd w:val="clear" w:color="auto" w:fill="F2F2F2" w:themeFill="background1" w:themeFillShade="F2"/>
          </w:tcPr>
          <w:p w14:paraId="5FE1DB69" w14:textId="37F650FE" w:rsidR="00EA3049" w:rsidRDefault="00EA3049" w:rsidP="00EA3049">
            <w:pPr>
              <w:pStyle w:val="ListParagraph"/>
              <w:numPr>
                <w:ilvl w:val="0"/>
                <w:numId w:val="22"/>
              </w:numPr>
              <w:spacing w:after="80"/>
              <w:ind w:left="368"/>
            </w:pPr>
            <w:r w:rsidRPr="00EA3049">
              <w:rPr>
                <w:rFonts w:cs="Arial"/>
                <w:b/>
                <w:bCs/>
              </w:rPr>
              <w:t>AMSA</w:t>
            </w:r>
          </w:p>
        </w:tc>
        <w:tc>
          <w:tcPr>
            <w:tcW w:w="3118" w:type="dxa"/>
            <w:shd w:val="clear" w:color="auto" w:fill="F2F2F2" w:themeFill="background1" w:themeFillShade="F2"/>
          </w:tcPr>
          <w:p w14:paraId="0ED73251" w14:textId="614BB434" w:rsidR="00EA3049" w:rsidRPr="001B36E1" w:rsidRDefault="00EA3049" w:rsidP="001B36E1">
            <w:pPr>
              <w:spacing w:after="80"/>
            </w:pPr>
            <w:r>
              <w:t>AMSA’s submission noted that AMSA regulations, including the National Standard for Commercial Vessels</w:t>
            </w:r>
            <w:r w:rsidR="00D02333">
              <w:t>,</w:t>
            </w:r>
            <w:r>
              <w:t xml:space="preserve"> </w:t>
            </w:r>
            <w:r w:rsidR="00D02333">
              <w:t>r</w:t>
            </w:r>
            <w:r>
              <w:t xml:space="preserve">efer to many of the existing </w:t>
            </w:r>
            <w:r w:rsidR="00A830E2">
              <w:t>S</w:t>
            </w:r>
            <w:r>
              <w:t>tandards referenced in the consultation paper. AMSA commented it would appreciate further liaison with the ACMA so that references can be checked and corrected as required.</w:t>
            </w:r>
          </w:p>
        </w:tc>
        <w:tc>
          <w:tcPr>
            <w:tcW w:w="3402" w:type="dxa"/>
            <w:shd w:val="clear" w:color="auto" w:fill="F2F2F2" w:themeFill="background1" w:themeFillShade="F2"/>
          </w:tcPr>
          <w:p w14:paraId="70B204DF" w14:textId="3EB0C5D4" w:rsidR="00EA3049" w:rsidRDefault="00F32232" w:rsidP="001B36E1">
            <w:pPr>
              <w:spacing w:after="80"/>
            </w:pPr>
            <w:r>
              <w:t xml:space="preserve">We </w:t>
            </w:r>
            <w:r w:rsidR="00EA3049">
              <w:t>will liaise further with AMSA so that their regulations reference the General Equipment Rules correctly.</w:t>
            </w:r>
          </w:p>
          <w:p w14:paraId="7871C8BC" w14:textId="77777777" w:rsidR="00EA3049" w:rsidRPr="00B008BB" w:rsidRDefault="00EA3049" w:rsidP="001B36E1">
            <w:pPr>
              <w:spacing w:after="80"/>
            </w:pPr>
          </w:p>
        </w:tc>
      </w:tr>
      <w:tr w:rsidR="00EA3049" w14:paraId="1CCA110A" w14:textId="77777777" w:rsidTr="00672442">
        <w:trPr>
          <w:cnfStyle w:val="000000010000" w:firstRow="0" w:lastRow="0" w:firstColumn="0" w:lastColumn="0" w:oddVBand="0" w:evenVBand="0" w:oddHBand="0" w:evenHBand="1" w:firstRowFirstColumn="0" w:firstRowLastColumn="0" w:lastRowFirstColumn="0" w:lastRowLastColumn="0"/>
        </w:trPr>
        <w:tc>
          <w:tcPr>
            <w:tcW w:w="2122" w:type="dxa"/>
            <w:shd w:val="clear" w:color="auto" w:fill="FFFFFF" w:themeFill="background1"/>
          </w:tcPr>
          <w:p w14:paraId="385D3865" w14:textId="02742F4D" w:rsidR="00EA3049" w:rsidRPr="00EA3049" w:rsidRDefault="00EA3049" w:rsidP="00EA3049">
            <w:pPr>
              <w:pStyle w:val="ListParagraph"/>
              <w:numPr>
                <w:ilvl w:val="0"/>
                <w:numId w:val="22"/>
              </w:numPr>
              <w:spacing w:after="80"/>
              <w:ind w:left="368"/>
              <w:rPr>
                <w:rFonts w:cs="Arial"/>
                <w:b/>
                <w:bCs/>
              </w:rPr>
            </w:pPr>
            <w:r w:rsidRPr="00EA3049">
              <w:rPr>
                <w:rFonts w:cs="Arial"/>
                <w:b/>
                <w:bCs/>
              </w:rPr>
              <w:t>Australian Mobile Telecommunications Association (AMTA)</w:t>
            </w:r>
            <w:r w:rsidR="00230BD6">
              <w:rPr>
                <w:rFonts w:cs="Arial"/>
                <w:b/>
                <w:bCs/>
              </w:rPr>
              <w:t>, Optus</w:t>
            </w:r>
            <w:r w:rsidRPr="00EA3049">
              <w:rPr>
                <w:rFonts w:cs="Arial"/>
                <w:b/>
                <w:bCs/>
              </w:rPr>
              <w:t xml:space="preserve"> and Telstra</w:t>
            </w:r>
          </w:p>
        </w:tc>
        <w:tc>
          <w:tcPr>
            <w:tcW w:w="3118" w:type="dxa"/>
            <w:shd w:val="clear" w:color="auto" w:fill="FFFFFF" w:themeFill="background1"/>
          </w:tcPr>
          <w:p w14:paraId="216F7002" w14:textId="50E4A291" w:rsidR="00EA3049" w:rsidRDefault="00EA3049" w:rsidP="001B36E1">
            <w:pPr>
              <w:spacing w:after="80"/>
            </w:pPr>
            <w:r w:rsidRPr="001B36E1">
              <w:t xml:space="preserve">Both AMTA and Telstra </w:t>
            </w:r>
            <w:r w:rsidRPr="004E735F">
              <w:t xml:space="preserve">recommended renaming the description of devices from </w:t>
            </w:r>
            <w:r w:rsidR="00034C6A">
              <w:t>‘</w:t>
            </w:r>
            <w:r w:rsidRPr="004E735F">
              <w:t>low-risk</w:t>
            </w:r>
            <w:r w:rsidR="00034C6A">
              <w:t>’</w:t>
            </w:r>
            <w:r w:rsidRPr="004E735F">
              <w:t xml:space="preserve">, </w:t>
            </w:r>
            <w:r w:rsidR="00034C6A">
              <w:t>‘</w:t>
            </w:r>
            <w:r w:rsidRPr="004E735F">
              <w:t>medium-risk</w:t>
            </w:r>
            <w:r w:rsidR="00034C6A">
              <w:t>’</w:t>
            </w:r>
            <w:r w:rsidRPr="004E735F">
              <w:t xml:space="preserve"> and </w:t>
            </w:r>
            <w:r w:rsidR="00034C6A">
              <w:t>‘</w:t>
            </w:r>
            <w:r w:rsidRPr="004E735F">
              <w:t>high-risk</w:t>
            </w:r>
            <w:r w:rsidR="00034C6A">
              <w:t>’</w:t>
            </w:r>
            <w:r w:rsidRPr="004E735F">
              <w:t xml:space="preserve"> devices to Category 1, 2 and 3 due to the potential of the former terminology to be misleading</w:t>
            </w:r>
            <w:r w:rsidRPr="001B36E1">
              <w:t>. The submitters proposed the terminology be amended to Category 1/2/3 or A/B/C, with Category 3 used for devices that require the highest level of compliance testing.</w:t>
            </w:r>
          </w:p>
          <w:p w14:paraId="37B6EEA1" w14:textId="19C03E67" w:rsidR="00230BD6" w:rsidRPr="001B36E1" w:rsidRDefault="00230BD6" w:rsidP="001B36E1">
            <w:pPr>
              <w:spacing w:after="80"/>
            </w:pPr>
            <w:r w:rsidRPr="001B36E1">
              <w:t xml:space="preserve">Optus’ submission suggested the ACMA consider the language used to describe the device categories for the purposes of the EME </w:t>
            </w:r>
            <w:r w:rsidR="00A830E2">
              <w:t>S</w:t>
            </w:r>
            <w:r w:rsidRPr="001B36E1">
              <w:t>tandard but did not specify the nature of the changes sought.</w:t>
            </w:r>
          </w:p>
        </w:tc>
        <w:tc>
          <w:tcPr>
            <w:tcW w:w="3402" w:type="dxa"/>
            <w:shd w:val="clear" w:color="auto" w:fill="FFFFFF" w:themeFill="background1"/>
          </w:tcPr>
          <w:p w14:paraId="5334959A" w14:textId="5543661D" w:rsidR="00EA3049" w:rsidRPr="001B36E1" w:rsidRDefault="00F32232" w:rsidP="001B36E1">
            <w:pPr>
              <w:spacing w:after="80"/>
            </w:pPr>
            <w:r>
              <w:t xml:space="preserve">We </w:t>
            </w:r>
            <w:r w:rsidR="00EA3049" w:rsidRPr="001B36E1">
              <w:t>considered the submissions</w:t>
            </w:r>
            <w:r w:rsidR="0085452D">
              <w:t xml:space="preserve"> and have decided to</w:t>
            </w:r>
            <w:r w:rsidR="00EA3049" w:rsidRPr="001B36E1">
              <w:t xml:space="preserve"> rename the description of devices </w:t>
            </w:r>
            <w:r w:rsidR="0085452D">
              <w:t>for</w:t>
            </w:r>
            <w:r w:rsidR="00EA3049" w:rsidRPr="001B36E1">
              <w:t xml:space="preserve"> their compliance categories as </w:t>
            </w:r>
            <w:r w:rsidR="00034C6A">
              <w:t>‘</w:t>
            </w:r>
            <w:r w:rsidR="00EA3049" w:rsidRPr="001B36E1">
              <w:t>general compliance level 1 or 2</w:t>
            </w:r>
            <w:r w:rsidR="00034C6A">
              <w:t>’</w:t>
            </w:r>
            <w:r w:rsidR="00EA3049" w:rsidRPr="001B36E1">
              <w:t xml:space="preserve"> and </w:t>
            </w:r>
            <w:r w:rsidR="00034C6A">
              <w:t>‘</w:t>
            </w:r>
            <w:r w:rsidR="00EA3049" w:rsidRPr="001B36E1">
              <w:t>EME compliance level 1</w:t>
            </w:r>
            <w:r w:rsidR="00034C6A">
              <w:t>–</w:t>
            </w:r>
            <w:r w:rsidR="00EA3049" w:rsidRPr="001B36E1">
              <w:t>3</w:t>
            </w:r>
            <w:r w:rsidR="00034C6A">
              <w:t>’</w:t>
            </w:r>
            <w:r w:rsidR="0085452D">
              <w:t xml:space="preserve"> (as applicable) in the General Equipment Rules</w:t>
            </w:r>
            <w:r w:rsidR="00EA3049" w:rsidRPr="001B36E1">
              <w:t xml:space="preserve">. </w:t>
            </w:r>
          </w:p>
          <w:p w14:paraId="6C7B3BAA" w14:textId="0545CA7C" w:rsidR="00EA3049" w:rsidRDefault="00EA3049" w:rsidP="001B36E1">
            <w:pPr>
              <w:spacing w:after="80"/>
            </w:pPr>
            <w:r w:rsidRPr="001B36E1">
              <w:t xml:space="preserve">We note this will result in a difference between the General Equipment Rules and the EMC Labelling Notice. </w:t>
            </w:r>
          </w:p>
          <w:p w14:paraId="32DFC4A5" w14:textId="4D87C41C" w:rsidR="00EA3049" w:rsidRDefault="00EA3049" w:rsidP="001B36E1">
            <w:pPr>
              <w:spacing w:after="80"/>
            </w:pPr>
            <w:r w:rsidRPr="001B36E1">
              <w:t xml:space="preserve">However, we also note the EMC Labelling Notice already uses the terminology of compliance levels (see sections 4.4, 4.5 and 4.6 of the EMC Labelling Notice). </w:t>
            </w:r>
          </w:p>
          <w:p w14:paraId="235C08CB" w14:textId="149EF9ED" w:rsidR="00EA3049" w:rsidRDefault="00A96E0B" w:rsidP="00672442">
            <w:pPr>
              <w:keepNext/>
              <w:keepLines/>
              <w:spacing w:after="80"/>
            </w:pPr>
            <w:r>
              <w:lastRenderedPageBreak/>
              <w:t>In Stage 3 of the proposed Equipment Rules reform program, t</w:t>
            </w:r>
            <w:r w:rsidR="00EA3049" w:rsidRPr="001B36E1">
              <w:t>he ACMA</w:t>
            </w:r>
            <w:r>
              <w:t xml:space="preserve"> will consider</w:t>
            </w:r>
            <w:r w:rsidR="00EA3049" w:rsidRPr="001B36E1">
              <w:t xml:space="preserve"> align</w:t>
            </w:r>
            <w:r>
              <w:t>ing</w:t>
            </w:r>
            <w:r w:rsidR="00EA3049" w:rsidRPr="001B36E1">
              <w:t xml:space="preserve"> the terminology across </w:t>
            </w:r>
            <w:r>
              <w:t xml:space="preserve">all of </w:t>
            </w:r>
            <w:r w:rsidR="00EA3049" w:rsidRPr="001B36E1">
              <w:t>the ACMA’s radiocommunications labelling arrangements</w:t>
            </w:r>
            <w:r>
              <w:t>. ACMA will consider incorporating</w:t>
            </w:r>
            <w:r w:rsidR="00EA3049" w:rsidRPr="001B36E1">
              <w:t xml:space="preserve"> the electromagnetic compatibility requirements </w:t>
            </w:r>
            <w:r>
              <w:t xml:space="preserve">in the EMC Labelling Notice </w:t>
            </w:r>
            <w:r w:rsidR="00EA3049" w:rsidRPr="001B36E1">
              <w:t>into the General Equipment Rules.</w:t>
            </w:r>
          </w:p>
        </w:tc>
      </w:tr>
    </w:tbl>
    <w:p w14:paraId="4C002D5F" w14:textId="4647815F" w:rsidR="00045D52" w:rsidRDefault="00045D52">
      <w:pPr>
        <w:spacing w:after="160" w:line="259" w:lineRule="auto"/>
        <w:rPr>
          <w:rFonts w:cs="Arial"/>
          <w:b/>
          <w:bCs/>
          <w:iCs/>
          <w:sz w:val="28"/>
          <w:szCs w:val="28"/>
        </w:rPr>
      </w:pPr>
      <w:r>
        <w:lastRenderedPageBreak/>
        <w:br w:type="page"/>
      </w:r>
    </w:p>
    <w:p w14:paraId="5827F45C" w14:textId="77777777" w:rsidR="00E258B2" w:rsidRDefault="00E258B2" w:rsidP="00D425E7">
      <w:pPr>
        <w:pStyle w:val="Heading1"/>
        <w:sectPr w:rsidR="00E258B2" w:rsidSect="00672442">
          <w:pgSz w:w="11906" w:h="16838" w:code="9"/>
          <w:pgMar w:top="1945" w:right="3117" w:bottom="1134" w:left="1134" w:header="709" w:footer="119" w:gutter="0"/>
          <w:cols w:space="708"/>
          <w:docGrid w:linePitch="360"/>
        </w:sectPr>
      </w:pPr>
      <w:bookmarkStart w:id="21" w:name="_Hlk127176286"/>
    </w:p>
    <w:p w14:paraId="782B500C" w14:textId="4B42AB77" w:rsidR="00D425E7" w:rsidRPr="00E162C4" w:rsidRDefault="00D425E7" w:rsidP="00D425E7">
      <w:pPr>
        <w:pStyle w:val="Heading1"/>
      </w:pPr>
      <w:bookmarkStart w:id="22" w:name="_Toc348105641"/>
      <w:bookmarkStart w:id="23" w:name="_Toc129856978"/>
      <w:bookmarkStart w:id="24" w:name="_Hlk127176310"/>
      <w:bookmarkEnd w:id="21"/>
      <w:r w:rsidRPr="00E162C4">
        <w:lastRenderedPageBreak/>
        <w:t xml:space="preserve">Appendix </w:t>
      </w:r>
      <w:bookmarkEnd w:id="22"/>
      <w:r w:rsidR="004B434B">
        <w:t>A</w:t>
      </w:r>
      <w:r w:rsidRPr="00E162C4">
        <w:t xml:space="preserve">: </w:t>
      </w:r>
      <w:r>
        <w:t>List of consultation respondents</w:t>
      </w:r>
      <w:bookmarkEnd w:id="23"/>
    </w:p>
    <w:p w14:paraId="30AAE2C8" w14:textId="0DE46209" w:rsidR="00D425E7" w:rsidRDefault="00D425E7" w:rsidP="00672442">
      <w:pPr>
        <w:pStyle w:val="Paragraphbeforelist"/>
      </w:pPr>
      <w:r>
        <w:t xml:space="preserve">We consulted on proposed changes to radiocommunications equipment regulation from 10 November to 15 December 2022. </w:t>
      </w:r>
      <w:r w:rsidR="00245C5A">
        <w:t>A total of 11 submissions</w:t>
      </w:r>
      <w:r>
        <w:t xml:space="preserve"> were received to this consultation. A list of the submitters who provided non-confidential responses is as follows:</w:t>
      </w:r>
    </w:p>
    <w:p w14:paraId="26CAE767" w14:textId="77777777" w:rsidR="00D425E7" w:rsidRDefault="00D425E7" w:rsidP="005C7DEB">
      <w:pPr>
        <w:pStyle w:val="Bulletlevel1"/>
        <w:tabs>
          <w:tab w:val="clear" w:pos="1572"/>
          <w:tab w:val="num" w:pos="295"/>
        </w:tabs>
        <w:ind w:left="295"/>
      </w:pPr>
      <w:r>
        <w:t>Australian Industry Group (AIG)</w:t>
      </w:r>
    </w:p>
    <w:p w14:paraId="511C1E9A" w14:textId="77777777" w:rsidR="00D425E7" w:rsidRDefault="00D425E7" w:rsidP="005C7DEB">
      <w:pPr>
        <w:pStyle w:val="Bulletlevel1"/>
        <w:tabs>
          <w:tab w:val="clear" w:pos="1572"/>
          <w:tab w:val="num" w:pos="295"/>
        </w:tabs>
        <w:ind w:left="295"/>
      </w:pPr>
      <w:r>
        <w:t>Australian Maritime Safety Authority (AMSA)</w:t>
      </w:r>
    </w:p>
    <w:p w14:paraId="3ECEDF06" w14:textId="77777777" w:rsidR="00D425E7" w:rsidRDefault="00D425E7" w:rsidP="005C7DEB">
      <w:pPr>
        <w:pStyle w:val="Bulletlevel1"/>
        <w:tabs>
          <w:tab w:val="clear" w:pos="1572"/>
          <w:tab w:val="num" w:pos="295"/>
        </w:tabs>
        <w:ind w:left="295"/>
      </w:pPr>
      <w:r>
        <w:t>Australian Mobile Telecommunications Association (AMTA)</w:t>
      </w:r>
    </w:p>
    <w:p w14:paraId="214EC44B" w14:textId="6175A13B" w:rsidR="00D425E7" w:rsidRDefault="00D425E7" w:rsidP="005C7DEB">
      <w:pPr>
        <w:pStyle w:val="Bulletlevel1"/>
        <w:tabs>
          <w:tab w:val="clear" w:pos="1572"/>
          <w:tab w:val="num" w:pos="295"/>
        </w:tabs>
        <w:ind w:left="295"/>
      </w:pPr>
      <w:r>
        <w:t>Analyse Solve &amp; Test Pty Ltd (</w:t>
      </w:r>
      <w:r w:rsidR="00F95B31">
        <w:t>Analy</w:t>
      </w:r>
      <w:r>
        <w:t>s</w:t>
      </w:r>
      <w:r w:rsidR="00F95B31">
        <w:t>e Solve and Test</w:t>
      </w:r>
      <w:r>
        <w:t>)</w:t>
      </w:r>
    </w:p>
    <w:p w14:paraId="65CD464A" w14:textId="77777777" w:rsidR="00D425E7" w:rsidRDefault="00D425E7" w:rsidP="005C7DEB">
      <w:pPr>
        <w:pStyle w:val="Bulletlevel1"/>
        <w:tabs>
          <w:tab w:val="clear" w:pos="1572"/>
          <w:tab w:val="num" w:pos="295"/>
        </w:tabs>
        <w:ind w:left="295"/>
      </w:pPr>
      <w:r>
        <w:t>Australian Radiation Protection and Nuclear Safety Agency (ARPANSA)</w:t>
      </w:r>
    </w:p>
    <w:p w14:paraId="0F0E64F2" w14:textId="77777777" w:rsidR="00D425E7" w:rsidRDefault="00D425E7" w:rsidP="005C7DEB">
      <w:pPr>
        <w:pStyle w:val="Bulletlevel1"/>
        <w:tabs>
          <w:tab w:val="clear" w:pos="1572"/>
          <w:tab w:val="num" w:pos="295"/>
        </w:tabs>
        <w:ind w:left="295"/>
      </w:pPr>
      <w:r>
        <w:t>Communications Alliance (CA)</w:t>
      </w:r>
    </w:p>
    <w:p w14:paraId="36434625" w14:textId="77777777" w:rsidR="00D425E7" w:rsidRDefault="00D425E7" w:rsidP="005C7DEB">
      <w:pPr>
        <w:pStyle w:val="Bulletlevel1"/>
        <w:tabs>
          <w:tab w:val="clear" w:pos="1572"/>
          <w:tab w:val="num" w:pos="295"/>
        </w:tabs>
        <w:ind w:left="295"/>
      </w:pPr>
      <w:r>
        <w:t>Consumer Electronics Suppliers Association (CESA)</w:t>
      </w:r>
    </w:p>
    <w:p w14:paraId="4DE6D60D" w14:textId="77777777" w:rsidR="00D425E7" w:rsidRDefault="00D425E7" w:rsidP="005C7DEB">
      <w:pPr>
        <w:pStyle w:val="Bulletlevel1"/>
        <w:tabs>
          <w:tab w:val="clear" w:pos="1572"/>
          <w:tab w:val="num" w:pos="295"/>
        </w:tabs>
        <w:ind w:left="295"/>
      </w:pPr>
      <w:r>
        <w:t>Mobile Wireless Forum (MWF)</w:t>
      </w:r>
    </w:p>
    <w:p w14:paraId="2BAE9E0B" w14:textId="77777777" w:rsidR="00D425E7" w:rsidRDefault="00D425E7" w:rsidP="005C7DEB">
      <w:pPr>
        <w:pStyle w:val="Bulletlevel1"/>
        <w:tabs>
          <w:tab w:val="clear" w:pos="1572"/>
          <w:tab w:val="num" w:pos="295"/>
        </w:tabs>
        <w:ind w:left="295"/>
      </w:pPr>
      <w:r>
        <w:t>Optus</w:t>
      </w:r>
    </w:p>
    <w:p w14:paraId="64F1E65C" w14:textId="77777777" w:rsidR="00D425E7" w:rsidRDefault="00D425E7" w:rsidP="005C7DEB">
      <w:pPr>
        <w:pStyle w:val="Bulletlevel1"/>
        <w:tabs>
          <w:tab w:val="clear" w:pos="1572"/>
          <w:tab w:val="num" w:pos="295"/>
        </w:tabs>
        <w:ind w:left="295"/>
      </w:pPr>
      <w:r>
        <w:t>Profiles Resource Management</w:t>
      </w:r>
    </w:p>
    <w:p w14:paraId="2F1F3383" w14:textId="1BE8FF81" w:rsidR="00D425E7" w:rsidRPr="00E162C4" w:rsidRDefault="00D425E7" w:rsidP="005C7DEB">
      <w:pPr>
        <w:pStyle w:val="Bulletlevel1"/>
        <w:tabs>
          <w:tab w:val="clear" w:pos="1572"/>
          <w:tab w:val="num" w:pos="295"/>
        </w:tabs>
        <w:ind w:left="295"/>
      </w:pPr>
      <w:r>
        <w:t>Telstra</w:t>
      </w:r>
      <w:bookmarkEnd w:id="24"/>
      <w:r w:rsidR="00DA369E">
        <w:t>.</w:t>
      </w:r>
    </w:p>
    <w:p w14:paraId="70FD0200" w14:textId="77777777" w:rsidR="00514B19" w:rsidRDefault="00514B19"/>
    <w:sectPr w:rsidR="00514B19" w:rsidSect="006D04E3">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66836" w14:textId="77777777" w:rsidR="0024542F" w:rsidRDefault="00EA564E">
      <w:pPr>
        <w:spacing w:after="0" w:line="240" w:lineRule="auto"/>
      </w:pPr>
      <w:r>
        <w:separator/>
      </w:r>
    </w:p>
  </w:endnote>
  <w:endnote w:type="continuationSeparator" w:id="0">
    <w:p w14:paraId="520B190F" w14:textId="77777777" w:rsidR="0024542F" w:rsidRDefault="00EA564E">
      <w:pPr>
        <w:spacing w:after="0" w:line="240" w:lineRule="auto"/>
      </w:pPr>
      <w:r>
        <w:continuationSeparator/>
      </w:r>
    </w:p>
  </w:endnote>
  <w:endnote w:type="continuationNotice" w:id="1">
    <w:p w14:paraId="7404D58E" w14:textId="77777777" w:rsidR="003E6BD7" w:rsidRDefault="003E6BD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NeueLT Std Lt">
    <w:altName w:val="Malgun Gothic"/>
    <w:panose1 w:val="020B0403020202020204"/>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92899" w14:textId="77777777" w:rsidR="005E250B" w:rsidRDefault="008478AD" w:rsidP="005E250B">
    <w:pPr>
      <w:pStyle w:val="Footer"/>
      <w:jc w:val="right"/>
    </w:pPr>
    <w:r w:rsidRPr="005E250B">
      <w:rPr>
        <w:noProof/>
        <w:vertAlign w:val="subscript"/>
      </w:rPr>
      <w:drawing>
        <wp:inline distT="0" distB="0" distL="0" distR="0" wp14:anchorId="1CC11BDA" wp14:editId="37562A6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EDD1A" w14:textId="77777777" w:rsidR="00C053A1" w:rsidRDefault="00BA48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F2BCD" w14:textId="77777777" w:rsidR="00C053A1" w:rsidRDefault="00BA48D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960E3" w14:textId="77777777" w:rsidR="00971914" w:rsidRPr="00622A3B" w:rsidRDefault="008478AD"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BF6B996" w14:textId="77777777" w:rsidR="00C053A1" w:rsidRPr="00A5474E" w:rsidRDefault="00BA48D3"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D7F01" w14:textId="77777777" w:rsidR="00971914" w:rsidRPr="00622A3B" w:rsidRDefault="008478AD"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92E265A" w14:textId="77777777" w:rsidR="00C053A1" w:rsidRPr="00A5474E" w:rsidRDefault="00BA48D3"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4F41B" w14:textId="77777777" w:rsidR="00C053A1" w:rsidRPr="00622A3B" w:rsidRDefault="008478AD"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DF5B423" w14:textId="77777777" w:rsidR="00C053A1" w:rsidRPr="00A5474E" w:rsidRDefault="00BA48D3"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97740" w14:textId="77777777" w:rsidR="00C053A1" w:rsidRPr="00622A3B" w:rsidRDefault="008478A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E708774" w14:textId="77777777" w:rsidR="00C053A1" w:rsidRPr="00A5474E" w:rsidRDefault="00BA48D3"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3D9B2" w14:textId="77777777" w:rsidR="00C053A1" w:rsidRPr="00622A3B" w:rsidRDefault="008478AD" w:rsidP="00573A0A">
    <w:pPr>
      <w:pStyle w:val="Footer"/>
      <w:framePr w:w="2731"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1735967" w14:textId="77777777" w:rsidR="00C053A1" w:rsidRPr="00A5474E" w:rsidRDefault="00BA48D3"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97F8CF" w14:textId="77777777" w:rsidR="0024542F" w:rsidRDefault="00EA564E">
      <w:pPr>
        <w:spacing w:after="0" w:line="240" w:lineRule="auto"/>
      </w:pPr>
      <w:r>
        <w:separator/>
      </w:r>
    </w:p>
  </w:footnote>
  <w:footnote w:type="continuationSeparator" w:id="0">
    <w:p w14:paraId="38B6A387" w14:textId="77777777" w:rsidR="0024542F" w:rsidRDefault="00EA564E">
      <w:pPr>
        <w:spacing w:after="0" w:line="240" w:lineRule="auto"/>
      </w:pPr>
      <w:r>
        <w:continuationSeparator/>
      </w:r>
    </w:p>
  </w:footnote>
  <w:footnote w:type="continuationNotice" w:id="1">
    <w:p w14:paraId="59161837" w14:textId="77777777" w:rsidR="003E6BD7" w:rsidRDefault="003E6BD7">
      <w:pPr>
        <w:spacing w:after="0" w:line="240" w:lineRule="auto"/>
      </w:pPr>
    </w:p>
  </w:footnote>
  <w:footnote w:id="2">
    <w:p w14:paraId="6DB12A1F" w14:textId="22F6BE98" w:rsidR="00876B1D" w:rsidRDefault="00876B1D">
      <w:pPr>
        <w:pStyle w:val="FootnoteText"/>
      </w:pPr>
      <w:r>
        <w:rPr>
          <w:rStyle w:val="FootnoteReference"/>
        </w:rPr>
        <w:footnoteRef/>
      </w:r>
      <w:r>
        <w:t xml:space="preserve"> </w:t>
      </w:r>
      <w:r w:rsidRPr="009064D2">
        <w:rPr>
          <w:sz w:val="18"/>
          <w:szCs w:val="18"/>
        </w:rPr>
        <w:t>Clause 29 of Part 9 – 406 MHz Satellite Distress Beacon Standard of Schedule 5 to the General Equipment Rules</w:t>
      </w:r>
      <w:r w:rsidR="004967E0">
        <w:rPr>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F9B39" w14:textId="77777777" w:rsidR="00C053A1" w:rsidRPr="00A5474E" w:rsidRDefault="008478AD" w:rsidP="00A5474E">
    <w:pPr>
      <w:pStyle w:val="Header"/>
    </w:pPr>
    <w:r>
      <w:rPr>
        <w:noProof/>
      </w:rPr>
      <w:drawing>
        <wp:inline distT="0" distB="0" distL="0" distR="0" wp14:anchorId="411175F5" wp14:editId="55E7129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C20A7" w14:textId="77777777" w:rsidR="00C053A1" w:rsidRPr="00A5474E" w:rsidRDefault="008478AD"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AAC3" w14:textId="77777777" w:rsidR="00C053A1" w:rsidRDefault="00BA48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F03AB" w14:textId="77777777" w:rsidR="00C053A1" w:rsidRDefault="00BA48D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06B2517" w14:textId="77777777" w:rsidTr="003B0421">
      <w:trPr>
        <w:trHeight w:hRule="exact" w:val="988"/>
      </w:trPr>
      <w:tc>
        <w:tcPr>
          <w:tcW w:w="7678" w:type="dxa"/>
          <w:shd w:val="clear" w:color="auto" w:fill="auto"/>
        </w:tcPr>
        <w:p w14:paraId="49D80CAD" w14:textId="77777777" w:rsidR="00971914" w:rsidRDefault="00BA48D3" w:rsidP="00971914">
          <w:pPr>
            <w:pStyle w:val="Header"/>
          </w:pPr>
        </w:p>
      </w:tc>
    </w:tr>
    <w:tr w:rsidR="00971914" w14:paraId="5CABF590" w14:textId="77777777" w:rsidTr="003B0421">
      <w:tc>
        <w:tcPr>
          <w:tcW w:w="7678" w:type="dxa"/>
          <w:shd w:val="clear" w:color="auto" w:fill="auto"/>
        </w:tcPr>
        <w:p w14:paraId="297A8779" w14:textId="77777777" w:rsidR="00971914" w:rsidRDefault="008478AD" w:rsidP="00971914">
          <w:pPr>
            <w:pStyle w:val="GridTable31"/>
          </w:pPr>
          <w:r>
            <w:t xml:space="preserve">Contents </w:t>
          </w:r>
          <w:r w:rsidRPr="00915B1C">
            <w:rPr>
              <w:b w:val="0"/>
              <w:spacing w:val="0"/>
              <w:sz w:val="28"/>
              <w:szCs w:val="28"/>
            </w:rPr>
            <w:t>(Continued)</w:t>
          </w:r>
        </w:p>
      </w:tc>
    </w:tr>
    <w:tr w:rsidR="00971914" w14:paraId="1694984F" w14:textId="77777777" w:rsidTr="003B0421">
      <w:trPr>
        <w:trHeight w:val="1220"/>
      </w:trPr>
      <w:tc>
        <w:tcPr>
          <w:tcW w:w="7678" w:type="dxa"/>
          <w:shd w:val="clear" w:color="auto" w:fill="auto"/>
        </w:tcPr>
        <w:p w14:paraId="4BF87B07" w14:textId="77777777" w:rsidR="00971914" w:rsidRDefault="00BA48D3" w:rsidP="00971914"/>
      </w:tc>
    </w:tr>
  </w:tbl>
  <w:p w14:paraId="5DA3BD3A" w14:textId="77777777" w:rsidR="00971914" w:rsidRDefault="00BA48D3"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77D812B" w14:textId="77777777" w:rsidTr="003B0421">
      <w:trPr>
        <w:trHeight w:hRule="exact" w:val="988"/>
      </w:trPr>
      <w:tc>
        <w:tcPr>
          <w:tcW w:w="7678" w:type="dxa"/>
          <w:shd w:val="clear" w:color="auto" w:fill="auto"/>
        </w:tcPr>
        <w:p w14:paraId="142EEE6D" w14:textId="77777777" w:rsidR="00971914" w:rsidRDefault="00BA48D3" w:rsidP="00971914">
          <w:pPr>
            <w:pStyle w:val="Header"/>
          </w:pPr>
        </w:p>
      </w:tc>
    </w:tr>
    <w:tr w:rsidR="00971914" w14:paraId="7C0EEEBA" w14:textId="77777777" w:rsidTr="003B0421">
      <w:tc>
        <w:tcPr>
          <w:tcW w:w="7678" w:type="dxa"/>
          <w:shd w:val="clear" w:color="auto" w:fill="auto"/>
        </w:tcPr>
        <w:p w14:paraId="54D149F4" w14:textId="77777777" w:rsidR="00971914" w:rsidRDefault="008478AD" w:rsidP="00971914">
          <w:pPr>
            <w:pStyle w:val="GridTable31"/>
          </w:pPr>
          <w:r>
            <w:t xml:space="preserve">Contents </w:t>
          </w:r>
          <w:r w:rsidRPr="00915B1C">
            <w:rPr>
              <w:b w:val="0"/>
              <w:spacing w:val="0"/>
              <w:sz w:val="28"/>
              <w:szCs w:val="28"/>
            </w:rPr>
            <w:t>(Continued)</w:t>
          </w:r>
        </w:p>
      </w:tc>
    </w:tr>
    <w:tr w:rsidR="00971914" w14:paraId="0961408C" w14:textId="77777777" w:rsidTr="003B0421">
      <w:trPr>
        <w:trHeight w:val="1220"/>
      </w:trPr>
      <w:tc>
        <w:tcPr>
          <w:tcW w:w="7678" w:type="dxa"/>
          <w:shd w:val="clear" w:color="auto" w:fill="auto"/>
        </w:tcPr>
        <w:p w14:paraId="63E954A6" w14:textId="77777777" w:rsidR="00971914" w:rsidRDefault="00BA48D3" w:rsidP="00971914"/>
      </w:tc>
    </w:tr>
  </w:tbl>
  <w:p w14:paraId="72F5DEF9" w14:textId="77777777" w:rsidR="00C053A1" w:rsidRPr="00A5474E" w:rsidRDefault="00BA48D3"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476D8" w14:textId="77777777" w:rsidR="00C053A1" w:rsidRDefault="00BA48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0B71C" w14:textId="77777777" w:rsidR="00C053A1" w:rsidRDefault="00BA48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9"/>
    <w:multiLevelType w:val="singleLevel"/>
    <w:tmpl w:val="29D4316E"/>
    <w:lvl w:ilvl="0">
      <w:start w:val="1"/>
      <w:numFmt w:val="bullet"/>
      <w:pStyle w:val="ListBullet"/>
      <w:lvlText w:val="&gt;"/>
      <w:lvlJc w:val="left"/>
      <w:pPr>
        <w:tabs>
          <w:tab w:val="num" w:pos="1572"/>
        </w:tabs>
        <w:ind w:left="1572" w:hanging="295"/>
      </w:pPr>
      <w:rPr>
        <w:rFonts w:ascii="HelveticaNeueLT Std Lt" w:hAnsi="HelveticaNeueLT Std Lt" w:hint="default"/>
        <w:sz w:val="20"/>
      </w:rPr>
    </w:lvl>
  </w:abstractNum>
  <w:abstractNum w:abstractNumId="2" w15:restartNumberingAfterBreak="0">
    <w:nsid w:val="0C5C5146"/>
    <w:multiLevelType w:val="hybridMultilevel"/>
    <w:tmpl w:val="530664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60D281D"/>
    <w:multiLevelType w:val="hybridMultilevel"/>
    <w:tmpl w:val="C666B004"/>
    <w:lvl w:ilvl="0" w:tplc="EF6CC7A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7AD0D77"/>
    <w:multiLevelType w:val="hybridMultilevel"/>
    <w:tmpl w:val="873EEFA0"/>
    <w:lvl w:ilvl="0" w:tplc="FFFFFFFF">
      <w:start w:val="1"/>
      <w:numFmt w:val="decimal"/>
      <w:lvlText w:val="%1."/>
      <w:lvlJc w:val="left"/>
      <w:pPr>
        <w:ind w:left="720" w:hanging="360"/>
      </w:pPr>
      <w:rPr>
        <w:rFonts w:cs="Arial"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5A274FE"/>
    <w:multiLevelType w:val="hybridMultilevel"/>
    <w:tmpl w:val="D0BAFC7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6A70FF8"/>
    <w:multiLevelType w:val="hybridMultilevel"/>
    <w:tmpl w:val="9D069680"/>
    <w:lvl w:ilvl="0" w:tplc="F844EA00">
      <w:start w:val="1"/>
      <w:numFmt w:val="lowerRoman"/>
      <w:lvlText w:val="(%1)"/>
      <w:lvlJc w:val="left"/>
      <w:pPr>
        <w:ind w:left="1440" w:hanging="720"/>
      </w:pPr>
      <w:rPr>
        <w:rFonts w:hint="default"/>
      </w:rPr>
    </w:lvl>
    <w:lvl w:ilvl="1" w:tplc="315843BE">
      <w:start w:val="1"/>
      <w:numFmt w:val="lowerLetter"/>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1247AD0"/>
    <w:multiLevelType w:val="hybridMultilevel"/>
    <w:tmpl w:val="5E4E378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C1C4242"/>
    <w:multiLevelType w:val="hybridMultilevel"/>
    <w:tmpl w:val="873EEFA0"/>
    <w:lvl w:ilvl="0" w:tplc="FFFFFFFF">
      <w:start w:val="1"/>
      <w:numFmt w:val="decimal"/>
      <w:lvlText w:val="%1."/>
      <w:lvlJc w:val="left"/>
      <w:pPr>
        <w:ind w:left="720" w:hanging="360"/>
      </w:pPr>
      <w:rPr>
        <w:rFonts w:cs="Arial"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21D17C4"/>
    <w:multiLevelType w:val="hybridMultilevel"/>
    <w:tmpl w:val="7EEEFB44"/>
    <w:lvl w:ilvl="0" w:tplc="F10851A2">
      <w:start w:val="1"/>
      <w:numFmt w:val="decimal"/>
      <w:lvlText w:val="%1."/>
      <w:lvlJc w:val="left"/>
      <w:pPr>
        <w:ind w:left="720" w:hanging="360"/>
      </w:pPr>
      <w:rPr>
        <w:rFonts w:hint="default"/>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3183516"/>
    <w:multiLevelType w:val="hybridMultilevel"/>
    <w:tmpl w:val="75DACCAC"/>
    <w:lvl w:ilvl="0" w:tplc="E912ED4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AB2535C"/>
    <w:multiLevelType w:val="hybridMultilevel"/>
    <w:tmpl w:val="3FE6A834"/>
    <w:lvl w:ilvl="0" w:tplc="EF6CC7AE">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55AA21F0"/>
    <w:multiLevelType w:val="hybridMultilevel"/>
    <w:tmpl w:val="9B5CB936"/>
    <w:lvl w:ilvl="0" w:tplc="CCA08FFA">
      <w:start w:val="1"/>
      <w:numFmt w:val="decimal"/>
      <w:pStyle w:val="ACMATableHeader"/>
      <w:lvlText w:val="Table %1:"/>
      <w:lvlJc w:val="left"/>
      <w:pPr>
        <w:tabs>
          <w:tab w:val="num" w:pos="5501"/>
        </w:tabs>
        <w:ind w:left="5501"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6FE23E7"/>
    <w:multiLevelType w:val="hybridMultilevel"/>
    <w:tmpl w:val="873EEFA0"/>
    <w:lvl w:ilvl="0" w:tplc="FFFFFFFF">
      <w:start w:val="1"/>
      <w:numFmt w:val="decimal"/>
      <w:lvlText w:val="%1."/>
      <w:lvlJc w:val="left"/>
      <w:pPr>
        <w:ind w:left="720" w:hanging="360"/>
      </w:pPr>
      <w:rPr>
        <w:rFonts w:cs="Arial"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9B54F08"/>
    <w:multiLevelType w:val="hybridMultilevel"/>
    <w:tmpl w:val="873EEFA0"/>
    <w:lvl w:ilvl="0" w:tplc="F8B4A65C">
      <w:start w:val="1"/>
      <w:numFmt w:val="decimal"/>
      <w:lvlText w:val="%1."/>
      <w:lvlJc w:val="left"/>
      <w:pPr>
        <w:ind w:left="720" w:hanging="360"/>
      </w:pPr>
      <w:rPr>
        <w:rFonts w:cs="Arial"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A6C063E"/>
    <w:multiLevelType w:val="hybridMultilevel"/>
    <w:tmpl w:val="530664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C567146"/>
    <w:multiLevelType w:val="hybridMultilevel"/>
    <w:tmpl w:val="873EEFA0"/>
    <w:lvl w:ilvl="0" w:tplc="FFFFFFFF">
      <w:start w:val="1"/>
      <w:numFmt w:val="decimal"/>
      <w:lvlText w:val="%1."/>
      <w:lvlJc w:val="left"/>
      <w:pPr>
        <w:ind w:left="720" w:hanging="360"/>
      </w:pPr>
      <w:rPr>
        <w:rFonts w:cs="Arial"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D150D45"/>
    <w:multiLevelType w:val="hybridMultilevel"/>
    <w:tmpl w:val="6D8861FE"/>
    <w:lvl w:ilvl="0" w:tplc="70A86072">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E5F028F"/>
    <w:multiLevelType w:val="hybridMultilevel"/>
    <w:tmpl w:val="6BB4341A"/>
    <w:lvl w:ilvl="0" w:tplc="CF28BD0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926789D"/>
    <w:multiLevelType w:val="hybridMultilevel"/>
    <w:tmpl w:val="530664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7C2265B5"/>
    <w:multiLevelType w:val="hybridMultilevel"/>
    <w:tmpl w:val="C666B00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C675633"/>
    <w:multiLevelType w:val="hybridMultilevel"/>
    <w:tmpl w:val="D69E08F0"/>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D0A2F42"/>
    <w:multiLevelType w:val="hybridMultilevel"/>
    <w:tmpl w:val="7FF2DD78"/>
    <w:lvl w:ilvl="0" w:tplc="08782966">
      <w:start w:val="1"/>
      <w:numFmt w:val="decimal"/>
      <w:lvlText w:val="%1."/>
      <w:lvlJc w:val="left"/>
      <w:pPr>
        <w:ind w:left="420" w:hanging="360"/>
      </w:pPr>
      <w:rPr>
        <w:rFonts w:hint="default"/>
        <w:sz w:val="20"/>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num w:numId="1" w16cid:durableId="2146965944">
    <w:abstractNumId w:val="1"/>
  </w:num>
  <w:num w:numId="2" w16cid:durableId="1612322771">
    <w:abstractNumId w:val="16"/>
  </w:num>
  <w:num w:numId="3" w16cid:durableId="1385718580">
    <w:abstractNumId w:val="22"/>
  </w:num>
  <w:num w:numId="4" w16cid:durableId="2104185870">
    <w:abstractNumId w:val="23"/>
  </w:num>
  <w:num w:numId="5" w16cid:durableId="259262479">
    <w:abstractNumId w:val="19"/>
  </w:num>
  <w:num w:numId="6" w16cid:durableId="557059185">
    <w:abstractNumId w:val="6"/>
  </w:num>
  <w:num w:numId="7" w16cid:durableId="56632651">
    <w:abstractNumId w:val="11"/>
  </w:num>
  <w:num w:numId="8" w16cid:durableId="1126006547">
    <w:abstractNumId w:val="7"/>
  </w:num>
  <w:num w:numId="9" w16cid:durableId="1605183837">
    <w:abstractNumId w:val="20"/>
  </w:num>
  <w:num w:numId="10" w16cid:durableId="1644308924">
    <w:abstractNumId w:val="13"/>
  </w:num>
  <w:num w:numId="11" w16cid:durableId="541484908">
    <w:abstractNumId w:val="10"/>
  </w:num>
  <w:num w:numId="12" w16cid:durableId="901908482">
    <w:abstractNumId w:val="18"/>
  </w:num>
  <w:num w:numId="13" w16cid:durableId="1203522">
    <w:abstractNumId w:val="5"/>
  </w:num>
  <w:num w:numId="14" w16cid:durableId="1167749463">
    <w:abstractNumId w:val="12"/>
  </w:num>
  <w:num w:numId="15" w16cid:durableId="1656492489">
    <w:abstractNumId w:val="8"/>
  </w:num>
  <w:num w:numId="16" w16cid:durableId="601377699">
    <w:abstractNumId w:val="3"/>
  </w:num>
  <w:num w:numId="17" w16cid:durableId="273488603">
    <w:abstractNumId w:val="21"/>
  </w:num>
  <w:num w:numId="18" w16cid:durableId="12348816">
    <w:abstractNumId w:val="15"/>
  </w:num>
  <w:num w:numId="19" w16cid:durableId="1232276285">
    <w:abstractNumId w:val="17"/>
  </w:num>
  <w:num w:numId="20" w16cid:durableId="915675738">
    <w:abstractNumId w:val="4"/>
  </w:num>
  <w:num w:numId="21" w16cid:durableId="615218420">
    <w:abstractNumId w:val="9"/>
  </w:num>
  <w:num w:numId="22" w16cid:durableId="287249034">
    <w:abstractNumId w:val="14"/>
  </w:num>
  <w:num w:numId="23" w16cid:durableId="1469586885">
    <w:abstractNumId w:val="1"/>
  </w:num>
  <w:num w:numId="24" w16cid:durableId="1465541447">
    <w:abstractNumId w:val="1"/>
  </w:num>
  <w:num w:numId="25" w16cid:durableId="1702390152">
    <w:abstractNumId w:val="1"/>
  </w:num>
  <w:num w:numId="26" w16cid:durableId="193081287">
    <w:abstractNumId w:val="1"/>
  </w:num>
  <w:num w:numId="27" w16cid:durableId="2048796287">
    <w:abstractNumId w:val="1"/>
  </w:num>
  <w:num w:numId="28" w16cid:durableId="556284892">
    <w:abstractNumId w:val="1"/>
  </w:num>
  <w:num w:numId="29" w16cid:durableId="1102459842">
    <w:abstractNumId w:val="2"/>
  </w:num>
  <w:num w:numId="30" w16cid:durableId="293799143">
    <w:abstractNumId w:val="1"/>
  </w:num>
  <w:num w:numId="31" w16cid:durableId="1697924585">
    <w:abstractNumId w:val="1"/>
  </w:num>
  <w:num w:numId="32" w16cid:durableId="125852529">
    <w:abstractNumId w:val="1"/>
  </w:num>
  <w:num w:numId="33" w16cid:durableId="902257162">
    <w:abstractNumId w:val="1"/>
  </w:num>
  <w:num w:numId="34" w16cid:durableId="1095634222">
    <w:abstractNumId w:val="0"/>
  </w:num>
  <w:num w:numId="35" w16cid:durableId="1265379639">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trackRevisions/>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844"/>
    <w:rsid w:val="00003D6E"/>
    <w:rsid w:val="00004340"/>
    <w:rsid w:val="00010EA3"/>
    <w:rsid w:val="000155C9"/>
    <w:rsid w:val="0002676C"/>
    <w:rsid w:val="00033E8E"/>
    <w:rsid w:val="00034C6A"/>
    <w:rsid w:val="00035516"/>
    <w:rsid w:val="000362A1"/>
    <w:rsid w:val="000404A2"/>
    <w:rsid w:val="00045D52"/>
    <w:rsid w:val="00046C39"/>
    <w:rsid w:val="00046DF0"/>
    <w:rsid w:val="00052B40"/>
    <w:rsid w:val="00060BD5"/>
    <w:rsid w:val="000774EB"/>
    <w:rsid w:val="000803E6"/>
    <w:rsid w:val="0008135B"/>
    <w:rsid w:val="0009738E"/>
    <w:rsid w:val="000A2CDA"/>
    <w:rsid w:val="000B3601"/>
    <w:rsid w:val="000B5622"/>
    <w:rsid w:val="000B604B"/>
    <w:rsid w:val="000C054B"/>
    <w:rsid w:val="000C1071"/>
    <w:rsid w:val="000C6565"/>
    <w:rsid w:val="000D19DC"/>
    <w:rsid w:val="000D3B14"/>
    <w:rsid w:val="000D3E28"/>
    <w:rsid w:val="000E1020"/>
    <w:rsid w:val="000E1B89"/>
    <w:rsid w:val="000E1EE4"/>
    <w:rsid w:val="000F6663"/>
    <w:rsid w:val="00104961"/>
    <w:rsid w:val="001116DF"/>
    <w:rsid w:val="0011187C"/>
    <w:rsid w:val="0013573F"/>
    <w:rsid w:val="0013625D"/>
    <w:rsid w:val="00140EEE"/>
    <w:rsid w:val="001444D8"/>
    <w:rsid w:val="001504F6"/>
    <w:rsid w:val="001507AD"/>
    <w:rsid w:val="00177DF0"/>
    <w:rsid w:val="00180147"/>
    <w:rsid w:val="001825F0"/>
    <w:rsid w:val="001841BF"/>
    <w:rsid w:val="00192203"/>
    <w:rsid w:val="00194B44"/>
    <w:rsid w:val="001A6C23"/>
    <w:rsid w:val="001A6C46"/>
    <w:rsid w:val="001B1E0D"/>
    <w:rsid w:val="001B34D4"/>
    <w:rsid w:val="001B36E1"/>
    <w:rsid w:val="001B4ED4"/>
    <w:rsid w:val="001C3DBE"/>
    <w:rsid w:val="001C7206"/>
    <w:rsid w:val="001F57F3"/>
    <w:rsid w:val="00205DDA"/>
    <w:rsid w:val="00206507"/>
    <w:rsid w:val="00211D00"/>
    <w:rsid w:val="0021688C"/>
    <w:rsid w:val="00216BA0"/>
    <w:rsid w:val="002254E0"/>
    <w:rsid w:val="002264D9"/>
    <w:rsid w:val="00230BD6"/>
    <w:rsid w:val="00244AB6"/>
    <w:rsid w:val="0024542F"/>
    <w:rsid w:val="00245C5A"/>
    <w:rsid w:val="00254E9E"/>
    <w:rsid w:val="002668EA"/>
    <w:rsid w:val="002773B4"/>
    <w:rsid w:val="00285319"/>
    <w:rsid w:val="00286D9F"/>
    <w:rsid w:val="002974FA"/>
    <w:rsid w:val="002A3089"/>
    <w:rsid w:val="002B26E7"/>
    <w:rsid w:val="002B4D40"/>
    <w:rsid w:val="002C0FFA"/>
    <w:rsid w:val="002E1CA7"/>
    <w:rsid w:val="002E6397"/>
    <w:rsid w:val="002E74FF"/>
    <w:rsid w:val="002F022D"/>
    <w:rsid w:val="002F0C03"/>
    <w:rsid w:val="002F3D27"/>
    <w:rsid w:val="002F43BB"/>
    <w:rsid w:val="00302A83"/>
    <w:rsid w:val="003116B9"/>
    <w:rsid w:val="00333284"/>
    <w:rsid w:val="00333CBE"/>
    <w:rsid w:val="00333E61"/>
    <w:rsid w:val="003364E4"/>
    <w:rsid w:val="003410F4"/>
    <w:rsid w:val="0035438E"/>
    <w:rsid w:val="0036453A"/>
    <w:rsid w:val="00365BDE"/>
    <w:rsid w:val="0037129F"/>
    <w:rsid w:val="00374237"/>
    <w:rsid w:val="003761A6"/>
    <w:rsid w:val="0038655B"/>
    <w:rsid w:val="003879A8"/>
    <w:rsid w:val="003A6602"/>
    <w:rsid w:val="003C0754"/>
    <w:rsid w:val="003C0CFE"/>
    <w:rsid w:val="003C170F"/>
    <w:rsid w:val="003E6BD7"/>
    <w:rsid w:val="003E7FB8"/>
    <w:rsid w:val="003F31B3"/>
    <w:rsid w:val="00401D2E"/>
    <w:rsid w:val="00403384"/>
    <w:rsid w:val="004051EE"/>
    <w:rsid w:val="00406C7B"/>
    <w:rsid w:val="004159E2"/>
    <w:rsid w:val="0042299E"/>
    <w:rsid w:val="00424480"/>
    <w:rsid w:val="00425844"/>
    <w:rsid w:val="00432B7C"/>
    <w:rsid w:val="0043577E"/>
    <w:rsid w:val="00447838"/>
    <w:rsid w:val="00450142"/>
    <w:rsid w:val="0045271A"/>
    <w:rsid w:val="00460E19"/>
    <w:rsid w:val="00481148"/>
    <w:rsid w:val="00482AE7"/>
    <w:rsid w:val="004835A7"/>
    <w:rsid w:val="004967E0"/>
    <w:rsid w:val="004A37C5"/>
    <w:rsid w:val="004A45BD"/>
    <w:rsid w:val="004B434B"/>
    <w:rsid w:val="004B6FFC"/>
    <w:rsid w:val="004C0BAA"/>
    <w:rsid w:val="004C490D"/>
    <w:rsid w:val="004D0F62"/>
    <w:rsid w:val="004D167E"/>
    <w:rsid w:val="004D7CDB"/>
    <w:rsid w:val="004E1EB6"/>
    <w:rsid w:val="004E735F"/>
    <w:rsid w:val="00503916"/>
    <w:rsid w:val="00504914"/>
    <w:rsid w:val="005054C4"/>
    <w:rsid w:val="00514B19"/>
    <w:rsid w:val="005244EF"/>
    <w:rsid w:val="00525B65"/>
    <w:rsid w:val="00526E11"/>
    <w:rsid w:val="0052706A"/>
    <w:rsid w:val="005419F4"/>
    <w:rsid w:val="005468E7"/>
    <w:rsid w:val="00551E78"/>
    <w:rsid w:val="0055436F"/>
    <w:rsid w:val="00555162"/>
    <w:rsid w:val="00556F4E"/>
    <w:rsid w:val="00566CB1"/>
    <w:rsid w:val="00573A0A"/>
    <w:rsid w:val="00584913"/>
    <w:rsid w:val="005855F6"/>
    <w:rsid w:val="00593B1C"/>
    <w:rsid w:val="00593D0C"/>
    <w:rsid w:val="00593F75"/>
    <w:rsid w:val="005971E4"/>
    <w:rsid w:val="00597F5F"/>
    <w:rsid w:val="005B4377"/>
    <w:rsid w:val="005B44CE"/>
    <w:rsid w:val="005B7F0C"/>
    <w:rsid w:val="005C144C"/>
    <w:rsid w:val="005C1DC6"/>
    <w:rsid w:val="005C4CAD"/>
    <w:rsid w:val="005C6A55"/>
    <w:rsid w:val="005C7DEB"/>
    <w:rsid w:val="005D0AAC"/>
    <w:rsid w:val="005E1C01"/>
    <w:rsid w:val="005E3115"/>
    <w:rsid w:val="005E67B8"/>
    <w:rsid w:val="005F1932"/>
    <w:rsid w:val="005F2DFF"/>
    <w:rsid w:val="005F688C"/>
    <w:rsid w:val="00606D42"/>
    <w:rsid w:val="00610B97"/>
    <w:rsid w:val="00621141"/>
    <w:rsid w:val="00621500"/>
    <w:rsid w:val="0062292C"/>
    <w:rsid w:val="0062437A"/>
    <w:rsid w:val="006250EE"/>
    <w:rsid w:val="0062537A"/>
    <w:rsid w:val="00626C90"/>
    <w:rsid w:val="00632240"/>
    <w:rsid w:val="0064154B"/>
    <w:rsid w:val="006436F1"/>
    <w:rsid w:val="00645118"/>
    <w:rsid w:val="00655458"/>
    <w:rsid w:val="00655CDD"/>
    <w:rsid w:val="006633FC"/>
    <w:rsid w:val="00666EC3"/>
    <w:rsid w:val="00670E10"/>
    <w:rsid w:val="00672442"/>
    <w:rsid w:val="00673D5F"/>
    <w:rsid w:val="00673EA0"/>
    <w:rsid w:val="00676BF6"/>
    <w:rsid w:val="00676CC6"/>
    <w:rsid w:val="006778D8"/>
    <w:rsid w:val="00677F33"/>
    <w:rsid w:val="0068544B"/>
    <w:rsid w:val="00687656"/>
    <w:rsid w:val="006A5280"/>
    <w:rsid w:val="006C4F9A"/>
    <w:rsid w:val="006C7A11"/>
    <w:rsid w:val="006D04E3"/>
    <w:rsid w:val="006D2666"/>
    <w:rsid w:val="006D36A5"/>
    <w:rsid w:val="006E0946"/>
    <w:rsid w:val="006E0EA1"/>
    <w:rsid w:val="006E3922"/>
    <w:rsid w:val="006F361A"/>
    <w:rsid w:val="00701A15"/>
    <w:rsid w:val="007027C8"/>
    <w:rsid w:val="00707C75"/>
    <w:rsid w:val="00721787"/>
    <w:rsid w:val="00732430"/>
    <w:rsid w:val="00734A61"/>
    <w:rsid w:val="00735CF3"/>
    <w:rsid w:val="00743A62"/>
    <w:rsid w:val="00745094"/>
    <w:rsid w:val="00750647"/>
    <w:rsid w:val="00751924"/>
    <w:rsid w:val="007611AC"/>
    <w:rsid w:val="00770BB4"/>
    <w:rsid w:val="00787EF9"/>
    <w:rsid w:val="00793BC1"/>
    <w:rsid w:val="007951D8"/>
    <w:rsid w:val="0079751B"/>
    <w:rsid w:val="007B2605"/>
    <w:rsid w:val="007B4F57"/>
    <w:rsid w:val="007C2D1A"/>
    <w:rsid w:val="007D295F"/>
    <w:rsid w:val="007E126B"/>
    <w:rsid w:val="007E268A"/>
    <w:rsid w:val="007E4C71"/>
    <w:rsid w:val="007F24DB"/>
    <w:rsid w:val="007F322C"/>
    <w:rsid w:val="007F586D"/>
    <w:rsid w:val="007F7F54"/>
    <w:rsid w:val="00811269"/>
    <w:rsid w:val="008128C7"/>
    <w:rsid w:val="0081421F"/>
    <w:rsid w:val="00823EEE"/>
    <w:rsid w:val="00830C9E"/>
    <w:rsid w:val="00842373"/>
    <w:rsid w:val="00845FF2"/>
    <w:rsid w:val="008478AD"/>
    <w:rsid w:val="00854356"/>
    <w:rsid w:val="0085452D"/>
    <w:rsid w:val="00854C77"/>
    <w:rsid w:val="008620DC"/>
    <w:rsid w:val="00876B1D"/>
    <w:rsid w:val="00880F83"/>
    <w:rsid w:val="0088277C"/>
    <w:rsid w:val="008877CA"/>
    <w:rsid w:val="00897A63"/>
    <w:rsid w:val="008A5A46"/>
    <w:rsid w:val="008B48F8"/>
    <w:rsid w:val="008B75B9"/>
    <w:rsid w:val="008C7736"/>
    <w:rsid w:val="008D37B9"/>
    <w:rsid w:val="008D4B83"/>
    <w:rsid w:val="008D5F80"/>
    <w:rsid w:val="008E2081"/>
    <w:rsid w:val="008E4FB7"/>
    <w:rsid w:val="008F24A6"/>
    <w:rsid w:val="008F3D41"/>
    <w:rsid w:val="008F470F"/>
    <w:rsid w:val="0090297F"/>
    <w:rsid w:val="00904A97"/>
    <w:rsid w:val="009064D2"/>
    <w:rsid w:val="009066C8"/>
    <w:rsid w:val="0091064F"/>
    <w:rsid w:val="00911601"/>
    <w:rsid w:val="00912B25"/>
    <w:rsid w:val="009160CB"/>
    <w:rsid w:val="00917A59"/>
    <w:rsid w:val="0092493B"/>
    <w:rsid w:val="00927214"/>
    <w:rsid w:val="00935102"/>
    <w:rsid w:val="00935971"/>
    <w:rsid w:val="00936553"/>
    <w:rsid w:val="00936BB1"/>
    <w:rsid w:val="009406CC"/>
    <w:rsid w:val="0094369D"/>
    <w:rsid w:val="00950018"/>
    <w:rsid w:val="00950394"/>
    <w:rsid w:val="009522AC"/>
    <w:rsid w:val="0095294B"/>
    <w:rsid w:val="00953C6D"/>
    <w:rsid w:val="009651D9"/>
    <w:rsid w:val="009706BD"/>
    <w:rsid w:val="009771CF"/>
    <w:rsid w:val="009848D8"/>
    <w:rsid w:val="00986C0D"/>
    <w:rsid w:val="0099424D"/>
    <w:rsid w:val="009B136A"/>
    <w:rsid w:val="009B3324"/>
    <w:rsid w:val="009B39ED"/>
    <w:rsid w:val="009B5A93"/>
    <w:rsid w:val="009B6EAE"/>
    <w:rsid w:val="009C77B9"/>
    <w:rsid w:val="009D1413"/>
    <w:rsid w:val="009E314B"/>
    <w:rsid w:val="009F4F23"/>
    <w:rsid w:val="00A014CD"/>
    <w:rsid w:val="00A113AD"/>
    <w:rsid w:val="00A13066"/>
    <w:rsid w:val="00A13CD7"/>
    <w:rsid w:val="00A16B11"/>
    <w:rsid w:val="00A17F97"/>
    <w:rsid w:val="00A243BD"/>
    <w:rsid w:val="00A24816"/>
    <w:rsid w:val="00A24977"/>
    <w:rsid w:val="00A3571A"/>
    <w:rsid w:val="00A4494D"/>
    <w:rsid w:val="00A44C82"/>
    <w:rsid w:val="00A45FAC"/>
    <w:rsid w:val="00A659BC"/>
    <w:rsid w:val="00A82D6A"/>
    <w:rsid w:val="00A830E2"/>
    <w:rsid w:val="00A8329F"/>
    <w:rsid w:val="00A91CB9"/>
    <w:rsid w:val="00A9569C"/>
    <w:rsid w:val="00A96E0B"/>
    <w:rsid w:val="00AA21C7"/>
    <w:rsid w:val="00AA4952"/>
    <w:rsid w:val="00AA5514"/>
    <w:rsid w:val="00AB2A06"/>
    <w:rsid w:val="00AB40C6"/>
    <w:rsid w:val="00AC318C"/>
    <w:rsid w:val="00AD084D"/>
    <w:rsid w:val="00AD0D14"/>
    <w:rsid w:val="00AD38D2"/>
    <w:rsid w:val="00AE27B5"/>
    <w:rsid w:val="00AF0D01"/>
    <w:rsid w:val="00AF7DDE"/>
    <w:rsid w:val="00B008BB"/>
    <w:rsid w:val="00B07AF7"/>
    <w:rsid w:val="00B17F93"/>
    <w:rsid w:val="00B30E05"/>
    <w:rsid w:val="00B33AB0"/>
    <w:rsid w:val="00B34370"/>
    <w:rsid w:val="00B3484E"/>
    <w:rsid w:val="00B3557A"/>
    <w:rsid w:val="00B51F31"/>
    <w:rsid w:val="00B5773D"/>
    <w:rsid w:val="00B61C52"/>
    <w:rsid w:val="00B64AA2"/>
    <w:rsid w:val="00B668CD"/>
    <w:rsid w:val="00B70071"/>
    <w:rsid w:val="00B7688B"/>
    <w:rsid w:val="00B9089A"/>
    <w:rsid w:val="00B93D78"/>
    <w:rsid w:val="00BA48D3"/>
    <w:rsid w:val="00BB5EF6"/>
    <w:rsid w:val="00BC5506"/>
    <w:rsid w:val="00BD25A9"/>
    <w:rsid w:val="00BD5C9C"/>
    <w:rsid w:val="00BD708B"/>
    <w:rsid w:val="00BE2068"/>
    <w:rsid w:val="00BF1A38"/>
    <w:rsid w:val="00BF5C58"/>
    <w:rsid w:val="00C01149"/>
    <w:rsid w:val="00C01A6E"/>
    <w:rsid w:val="00C02441"/>
    <w:rsid w:val="00C106EA"/>
    <w:rsid w:val="00C10E3F"/>
    <w:rsid w:val="00C1638B"/>
    <w:rsid w:val="00C24CCE"/>
    <w:rsid w:val="00C4144D"/>
    <w:rsid w:val="00C50322"/>
    <w:rsid w:val="00C51E27"/>
    <w:rsid w:val="00C530C5"/>
    <w:rsid w:val="00C6558A"/>
    <w:rsid w:val="00C66B09"/>
    <w:rsid w:val="00C7126B"/>
    <w:rsid w:val="00C80147"/>
    <w:rsid w:val="00C90FF0"/>
    <w:rsid w:val="00CA052D"/>
    <w:rsid w:val="00CA3237"/>
    <w:rsid w:val="00CB6740"/>
    <w:rsid w:val="00CB7225"/>
    <w:rsid w:val="00CC68B8"/>
    <w:rsid w:val="00CD5CBF"/>
    <w:rsid w:val="00CD695E"/>
    <w:rsid w:val="00CF0AB0"/>
    <w:rsid w:val="00CF0C78"/>
    <w:rsid w:val="00CF6EBA"/>
    <w:rsid w:val="00D02333"/>
    <w:rsid w:val="00D05543"/>
    <w:rsid w:val="00D07396"/>
    <w:rsid w:val="00D101F7"/>
    <w:rsid w:val="00D145E4"/>
    <w:rsid w:val="00D24A2E"/>
    <w:rsid w:val="00D3207B"/>
    <w:rsid w:val="00D35051"/>
    <w:rsid w:val="00D37B8A"/>
    <w:rsid w:val="00D425E7"/>
    <w:rsid w:val="00D45BA4"/>
    <w:rsid w:val="00D61361"/>
    <w:rsid w:val="00D615F6"/>
    <w:rsid w:val="00D62844"/>
    <w:rsid w:val="00D640CB"/>
    <w:rsid w:val="00D767FC"/>
    <w:rsid w:val="00D7744F"/>
    <w:rsid w:val="00D81645"/>
    <w:rsid w:val="00D83E97"/>
    <w:rsid w:val="00D85858"/>
    <w:rsid w:val="00D9074C"/>
    <w:rsid w:val="00D9447C"/>
    <w:rsid w:val="00DA20BA"/>
    <w:rsid w:val="00DA369E"/>
    <w:rsid w:val="00DA7180"/>
    <w:rsid w:val="00DB2352"/>
    <w:rsid w:val="00DB3766"/>
    <w:rsid w:val="00DC5B2B"/>
    <w:rsid w:val="00DC5DA0"/>
    <w:rsid w:val="00DC7FBA"/>
    <w:rsid w:val="00DD27E1"/>
    <w:rsid w:val="00DD41EF"/>
    <w:rsid w:val="00DD5F4A"/>
    <w:rsid w:val="00DD6C5B"/>
    <w:rsid w:val="00DE19FD"/>
    <w:rsid w:val="00DE3077"/>
    <w:rsid w:val="00DE6931"/>
    <w:rsid w:val="00DF103D"/>
    <w:rsid w:val="00E03D51"/>
    <w:rsid w:val="00E064EB"/>
    <w:rsid w:val="00E079C8"/>
    <w:rsid w:val="00E07CBF"/>
    <w:rsid w:val="00E15C6B"/>
    <w:rsid w:val="00E258B2"/>
    <w:rsid w:val="00E44837"/>
    <w:rsid w:val="00E47C81"/>
    <w:rsid w:val="00E47DF8"/>
    <w:rsid w:val="00E56D43"/>
    <w:rsid w:val="00E652BB"/>
    <w:rsid w:val="00E70BCD"/>
    <w:rsid w:val="00E74ED7"/>
    <w:rsid w:val="00E7687A"/>
    <w:rsid w:val="00E774B0"/>
    <w:rsid w:val="00E82369"/>
    <w:rsid w:val="00E8286A"/>
    <w:rsid w:val="00E9334C"/>
    <w:rsid w:val="00E97630"/>
    <w:rsid w:val="00EA3049"/>
    <w:rsid w:val="00EA564E"/>
    <w:rsid w:val="00EC1F34"/>
    <w:rsid w:val="00EE40E4"/>
    <w:rsid w:val="00EE5DA0"/>
    <w:rsid w:val="00EE6DBA"/>
    <w:rsid w:val="00EF14FE"/>
    <w:rsid w:val="00EF26C3"/>
    <w:rsid w:val="00EF6C1A"/>
    <w:rsid w:val="00F02002"/>
    <w:rsid w:val="00F0622C"/>
    <w:rsid w:val="00F1066E"/>
    <w:rsid w:val="00F112A4"/>
    <w:rsid w:val="00F11C6F"/>
    <w:rsid w:val="00F14391"/>
    <w:rsid w:val="00F236F8"/>
    <w:rsid w:val="00F32232"/>
    <w:rsid w:val="00F35E10"/>
    <w:rsid w:val="00F37288"/>
    <w:rsid w:val="00F42B87"/>
    <w:rsid w:val="00F55FBD"/>
    <w:rsid w:val="00F62FB4"/>
    <w:rsid w:val="00F7619B"/>
    <w:rsid w:val="00F90C8E"/>
    <w:rsid w:val="00F92E3C"/>
    <w:rsid w:val="00F95B31"/>
    <w:rsid w:val="00FB0583"/>
    <w:rsid w:val="00FB0CDA"/>
    <w:rsid w:val="00FB44D2"/>
    <w:rsid w:val="00FC49DF"/>
    <w:rsid w:val="00FD2FCC"/>
    <w:rsid w:val="00FD67A7"/>
    <w:rsid w:val="00FD7C42"/>
    <w:rsid w:val="00FE1B4F"/>
    <w:rsid w:val="00FF3E98"/>
    <w:rsid w:val="00FF48D5"/>
    <w:rsid w:val="00FF5D72"/>
    <w:rsid w:val="00FF67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7B34D2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2"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25E7"/>
    <w:pPr>
      <w:spacing w:after="240" w:line="240" w:lineRule="atLeast"/>
    </w:pPr>
    <w:rPr>
      <w:rFonts w:ascii="Arial" w:eastAsia="Times New Roman" w:hAnsi="Arial" w:cs="Times New Roman"/>
      <w:sz w:val="20"/>
      <w:szCs w:val="24"/>
      <w:lang w:eastAsia="en-AU"/>
    </w:rPr>
  </w:style>
  <w:style w:type="paragraph" w:styleId="Heading1">
    <w:name w:val="heading 1"/>
    <w:basedOn w:val="Normal"/>
    <w:next w:val="Normal"/>
    <w:link w:val="Heading1Char"/>
    <w:uiPriority w:val="1"/>
    <w:qFormat/>
    <w:rsid w:val="00D425E7"/>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D425E7"/>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D425E7"/>
    <w:pPr>
      <w:keepNext/>
      <w:spacing w:before="60" w:after="60"/>
      <w:outlineLvl w:val="2"/>
    </w:pPr>
    <w:rPr>
      <w:rFonts w:cs="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D425E7"/>
    <w:rPr>
      <w:rFonts w:ascii="Arial" w:eastAsia="Times New Roman" w:hAnsi="Arial" w:cs="Arial"/>
      <w:bCs/>
      <w:color w:val="323232"/>
      <w:kern w:val="32"/>
      <w:sz w:val="53"/>
      <w:szCs w:val="32"/>
      <w:lang w:eastAsia="en-AU"/>
    </w:rPr>
  </w:style>
  <w:style w:type="character" w:customStyle="1" w:styleId="Heading2Char">
    <w:name w:val="Heading 2 Char"/>
    <w:basedOn w:val="DefaultParagraphFont"/>
    <w:link w:val="Heading2"/>
    <w:uiPriority w:val="1"/>
    <w:rsid w:val="00D425E7"/>
    <w:rPr>
      <w:rFonts w:ascii="Arial" w:eastAsia="Times New Roman" w:hAnsi="Arial" w:cs="Arial"/>
      <w:b/>
      <w:bCs/>
      <w:iCs/>
      <w:sz w:val="28"/>
      <w:szCs w:val="28"/>
      <w:lang w:eastAsia="en-AU"/>
    </w:rPr>
  </w:style>
  <w:style w:type="character" w:customStyle="1" w:styleId="Heading3Char">
    <w:name w:val="Heading 3 Char"/>
    <w:basedOn w:val="DefaultParagraphFont"/>
    <w:link w:val="Heading3"/>
    <w:uiPriority w:val="2"/>
    <w:rsid w:val="00D425E7"/>
    <w:rPr>
      <w:rFonts w:ascii="Arial" w:eastAsia="Times New Roman" w:hAnsi="Arial" w:cs="Arial"/>
      <w:b/>
      <w:bCs/>
      <w:sz w:val="20"/>
      <w:szCs w:val="26"/>
      <w:lang w:eastAsia="en-AU"/>
    </w:rPr>
  </w:style>
  <w:style w:type="paragraph" w:styleId="Header">
    <w:name w:val="header"/>
    <w:basedOn w:val="Normal"/>
    <w:link w:val="HeaderChar"/>
    <w:semiHidden/>
    <w:rsid w:val="00D425E7"/>
    <w:pPr>
      <w:tabs>
        <w:tab w:val="center" w:pos="4153"/>
        <w:tab w:val="right" w:pos="8306"/>
      </w:tabs>
      <w:spacing w:line="240" w:lineRule="auto"/>
    </w:pPr>
    <w:rPr>
      <w:sz w:val="16"/>
    </w:rPr>
  </w:style>
  <w:style w:type="character" w:customStyle="1" w:styleId="HeaderChar">
    <w:name w:val="Header Char"/>
    <w:basedOn w:val="DefaultParagraphFont"/>
    <w:link w:val="Header"/>
    <w:semiHidden/>
    <w:rsid w:val="00D425E7"/>
    <w:rPr>
      <w:rFonts w:ascii="Arial" w:eastAsia="Times New Roman" w:hAnsi="Arial" w:cs="Times New Roman"/>
      <w:sz w:val="16"/>
      <w:szCs w:val="24"/>
      <w:lang w:eastAsia="en-AU"/>
    </w:rPr>
  </w:style>
  <w:style w:type="paragraph" w:styleId="Footer">
    <w:name w:val="footer"/>
    <w:basedOn w:val="Normal"/>
    <w:link w:val="FooterChar"/>
    <w:semiHidden/>
    <w:qFormat/>
    <w:rsid w:val="00D425E7"/>
    <w:pPr>
      <w:tabs>
        <w:tab w:val="right" w:pos="113"/>
      </w:tabs>
      <w:spacing w:line="240" w:lineRule="auto"/>
    </w:pPr>
    <w:rPr>
      <w:color w:val="323232"/>
      <w:sz w:val="16"/>
    </w:rPr>
  </w:style>
  <w:style w:type="character" w:customStyle="1" w:styleId="FooterChar">
    <w:name w:val="Footer Char"/>
    <w:basedOn w:val="DefaultParagraphFont"/>
    <w:link w:val="Footer"/>
    <w:semiHidden/>
    <w:rsid w:val="00D425E7"/>
    <w:rPr>
      <w:rFonts w:ascii="Arial" w:eastAsia="Times New Roman" w:hAnsi="Arial" w:cs="Times New Roman"/>
      <w:color w:val="323232"/>
      <w:sz w:val="16"/>
      <w:szCs w:val="24"/>
      <w:lang w:eastAsia="en-AU"/>
    </w:rPr>
  </w:style>
  <w:style w:type="paragraph" w:customStyle="1" w:styleId="Reporttitle">
    <w:name w:val="Report title"/>
    <w:basedOn w:val="Normal"/>
    <w:uiPriority w:val="19"/>
    <w:qFormat/>
    <w:rsid w:val="00D425E7"/>
    <w:pPr>
      <w:spacing w:after="0" w:line="560" w:lineRule="exact"/>
    </w:pPr>
    <w:rPr>
      <w:b/>
      <w:spacing w:val="-28"/>
      <w:sz w:val="53"/>
    </w:rPr>
  </w:style>
  <w:style w:type="paragraph" w:customStyle="1" w:styleId="Reportsubtitle">
    <w:name w:val="Report subtitle"/>
    <w:basedOn w:val="Normal"/>
    <w:uiPriority w:val="20"/>
    <w:qFormat/>
    <w:rsid w:val="00D425E7"/>
    <w:pPr>
      <w:spacing w:after="200" w:line="560" w:lineRule="exact"/>
    </w:pPr>
    <w:rPr>
      <w:color w:val="323232"/>
      <w:spacing w:val="-28"/>
      <w:sz w:val="53"/>
    </w:rPr>
  </w:style>
  <w:style w:type="table" w:styleId="TableGrid">
    <w:name w:val="Table Grid"/>
    <w:basedOn w:val="TableNormal"/>
    <w:uiPriority w:val="39"/>
    <w:rsid w:val="00D425E7"/>
    <w:pPr>
      <w:spacing w:after="0" w:line="240" w:lineRule="atLeast"/>
    </w:pPr>
    <w:rPr>
      <w:rFonts w:ascii="Times New Roman" w:eastAsia="Times New Roman" w:hAnsi="Times New Roman" w:cs="Times New Roman"/>
      <w:sz w:val="24"/>
      <w:szCs w:val="24"/>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D425E7"/>
    <w:pPr>
      <w:spacing w:after="1200" w:line="240" w:lineRule="auto"/>
    </w:pPr>
    <w:rPr>
      <w:caps/>
      <w:spacing w:val="-10"/>
      <w:sz w:val="20"/>
    </w:rPr>
  </w:style>
  <w:style w:type="paragraph" w:styleId="TOCHeading">
    <w:name w:val="TOC Heading"/>
    <w:basedOn w:val="Normal"/>
    <w:semiHidden/>
    <w:qFormat/>
    <w:rsid w:val="00D425E7"/>
    <w:pPr>
      <w:spacing w:before="1200" w:line="240" w:lineRule="auto"/>
    </w:pPr>
    <w:rPr>
      <w:b/>
      <w:color w:val="323232"/>
      <w:spacing w:val="-28"/>
      <w:sz w:val="53"/>
    </w:rPr>
  </w:style>
  <w:style w:type="paragraph" w:styleId="ListBullet">
    <w:name w:val="List Bullet"/>
    <w:basedOn w:val="Normal"/>
    <w:semiHidden/>
    <w:qFormat/>
    <w:rsid w:val="00D425E7"/>
    <w:pPr>
      <w:numPr>
        <w:numId w:val="1"/>
      </w:numPr>
      <w:spacing w:after="80"/>
    </w:pPr>
  </w:style>
  <w:style w:type="paragraph" w:customStyle="1" w:styleId="Execsummaryheading">
    <w:name w:val="Exec summary heading"/>
    <w:basedOn w:val="Normal"/>
    <w:uiPriority w:val="22"/>
    <w:qFormat/>
    <w:rsid w:val="00D425E7"/>
    <w:pPr>
      <w:pageBreakBefore/>
      <w:spacing w:after="1440" w:line="550" w:lineRule="exact"/>
    </w:pPr>
    <w:rPr>
      <w:b/>
      <w:color w:val="323232"/>
      <w:spacing w:val="-18"/>
      <w:sz w:val="53"/>
    </w:rPr>
  </w:style>
  <w:style w:type="paragraph" w:customStyle="1" w:styleId="Paragraphbeforelist">
    <w:name w:val="Paragraph before list"/>
    <w:basedOn w:val="Paragraph"/>
    <w:uiPriority w:val="4"/>
    <w:qFormat/>
    <w:rsid w:val="00D425E7"/>
    <w:pPr>
      <w:spacing w:after="80"/>
    </w:pPr>
  </w:style>
  <w:style w:type="paragraph" w:styleId="TOC1">
    <w:name w:val="toc 1"/>
    <w:basedOn w:val="Normal"/>
    <w:next w:val="Normal"/>
    <w:uiPriority w:val="39"/>
    <w:qFormat/>
    <w:rsid w:val="00D425E7"/>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D425E7"/>
    <w:pPr>
      <w:tabs>
        <w:tab w:val="right" w:pos="7660"/>
      </w:tabs>
      <w:spacing w:after="80" w:line="300" w:lineRule="exact"/>
      <w:ind w:left="885" w:hanging="885"/>
    </w:pPr>
    <w:rPr>
      <w:noProof/>
      <w:spacing w:val="-14"/>
      <w:sz w:val="26"/>
      <w:szCs w:val="26"/>
    </w:rPr>
  </w:style>
  <w:style w:type="character" w:styleId="Hyperlink">
    <w:name w:val="Hyperlink"/>
    <w:basedOn w:val="DefaultParagraphFont"/>
    <w:uiPriority w:val="99"/>
    <w:qFormat/>
    <w:rsid w:val="00D425E7"/>
    <w:rPr>
      <w:color w:val="0000FF"/>
      <w:u w:val="single" w:color="0000FF"/>
    </w:rPr>
  </w:style>
  <w:style w:type="paragraph" w:customStyle="1" w:styleId="Bulletlevel1">
    <w:name w:val="Bullet level 1"/>
    <w:basedOn w:val="ListBullet"/>
    <w:uiPriority w:val="5"/>
    <w:qFormat/>
    <w:rsid w:val="00D425E7"/>
    <w:rPr>
      <w:rFonts w:cs="Arial"/>
    </w:rPr>
  </w:style>
  <w:style w:type="paragraph" w:customStyle="1" w:styleId="ACMACorporateAddressHeader">
    <w:name w:val="ACMA_CorporateAddressHeader"/>
    <w:basedOn w:val="Normal"/>
    <w:next w:val="ACMACorporateAddresses"/>
    <w:semiHidden/>
    <w:unhideWhenUsed/>
    <w:qFormat/>
    <w:rsid w:val="00D425E7"/>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D425E7"/>
    <w:pPr>
      <w:spacing w:before="0" w:after="120"/>
    </w:pPr>
    <w:rPr>
      <w:b w:val="0"/>
    </w:rPr>
  </w:style>
  <w:style w:type="paragraph" w:customStyle="1" w:styleId="ACMACopyrightHeader">
    <w:name w:val="ACMA_CopyrightHeader"/>
    <w:basedOn w:val="ACMACorporateAddressHeader"/>
    <w:semiHidden/>
    <w:unhideWhenUsed/>
    <w:qFormat/>
    <w:rsid w:val="00D425E7"/>
    <w:pPr>
      <w:spacing w:before="3000"/>
    </w:pPr>
  </w:style>
  <w:style w:type="paragraph" w:customStyle="1" w:styleId="ACMACClogo">
    <w:name w:val="ACMA_CClogo"/>
    <w:semiHidden/>
    <w:unhideWhenUsed/>
    <w:qFormat/>
    <w:rsid w:val="00D425E7"/>
    <w:pPr>
      <w:spacing w:before="160" w:after="120" w:line="240" w:lineRule="auto"/>
    </w:pPr>
    <w:rPr>
      <w:rFonts w:ascii="Arial" w:eastAsia="Times New Roman" w:hAnsi="Arial" w:cs="Times New Roman"/>
      <w:b/>
      <w:sz w:val="13"/>
      <w:szCs w:val="24"/>
      <w:lang w:eastAsia="en-AU"/>
    </w:rPr>
  </w:style>
  <w:style w:type="paragraph" w:customStyle="1" w:styleId="FooterLeft">
    <w:name w:val="Footer Left"/>
    <w:basedOn w:val="Footer"/>
    <w:semiHidden/>
    <w:qFormat/>
    <w:rsid w:val="00D425E7"/>
    <w:pPr>
      <w:framePr w:w="1440" w:h="357" w:hRule="exact" w:vSpace="425" w:wrap="around" w:vAnchor="page" w:hAnchor="page" w:x="935" w:y="15871"/>
      <w:pBdr>
        <w:top w:val="single" w:sz="4" w:space="1" w:color="auto"/>
      </w:pBdr>
    </w:pPr>
    <w:rPr>
      <w:rFonts w:cs="Arial"/>
    </w:rPr>
  </w:style>
  <w:style w:type="paragraph" w:customStyle="1" w:styleId="GridTable31">
    <w:name w:val="Grid Table 31"/>
    <w:basedOn w:val="Normal"/>
    <w:semiHidden/>
    <w:qFormat/>
    <w:rsid w:val="00D425E7"/>
    <w:pPr>
      <w:spacing w:after="0" w:line="240" w:lineRule="auto"/>
    </w:pPr>
    <w:rPr>
      <w:b/>
      <w:color w:val="4D4D4F"/>
      <w:spacing w:val="-28"/>
      <w:sz w:val="53"/>
    </w:rPr>
  </w:style>
  <w:style w:type="paragraph" w:customStyle="1" w:styleId="Paragraph">
    <w:name w:val="Paragraph"/>
    <w:basedOn w:val="Normal"/>
    <w:qFormat/>
    <w:rsid w:val="00D425E7"/>
    <w:rPr>
      <w:rFonts w:cs="Arial"/>
    </w:rPr>
  </w:style>
  <w:style w:type="table" w:customStyle="1" w:styleId="ACMAtablestyle">
    <w:name w:val="ACMA table style"/>
    <w:basedOn w:val="TableNormal"/>
    <w:uiPriority w:val="99"/>
    <w:rsid w:val="00D425E7"/>
    <w:pPr>
      <w:spacing w:after="0" w:line="240" w:lineRule="auto"/>
    </w:pPr>
    <w:rPr>
      <w:rFonts w:ascii="Arial" w:eastAsia="Times New Roman" w:hAnsi="Arial" w:cs="Times New Roman"/>
      <w:sz w:val="20"/>
      <w:szCs w:val="24"/>
      <w:lang w:eastAsia="en-A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styleId="ListParagraph">
    <w:name w:val="List Paragraph"/>
    <w:basedOn w:val="Normal"/>
    <w:uiPriority w:val="34"/>
    <w:qFormat/>
    <w:rsid w:val="00D425E7"/>
    <w:pPr>
      <w:ind w:left="720"/>
      <w:contextualSpacing/>
    </w:pPr>
  </w:style>
  <w:style w:type="character" w:styleId="CommentReference">
    <w:name w:val="annotation reference"/>
    <w:basedOn w:val="DefaultParagraphFont"/>
    <w:uiPriority w:val="99"/>
    <w:semiHidden/>
    <w:unhideWhenUsed/>
    <w:rsid w:val="005F1932"/>
    <w:rPr>
      <w:sz w:val="16"/>
      <w:szCs w:val="16"/>
    </w:rPr>
  </w:style>
  <w:style w:type="paragraph" w:styleId="CommentText">
    <w:name w:val="annotation text"/>
    <w:basedOn w:val="Normal"/>
    <w:link w:val="CommentTextChar"/>
    <w:uiPriority w:val="99"/>
    <w:unhideWhenUsed/>
    <w:rsid w:val="005F1932"/>
    <w:pPr>
      <w:spacing w:line="240" w:lineRule="auto"/>
    </w:pPr>
    <w:rPr>
      <w:szCs w:val="20"/>
    </w:rPr>
  </w:style>
  <w:style w:type="character" w:customStyle="1" w:styleId="CommentTextChar">
    <w:name w:val="Comment Text Char"/>
    <w:basedOn w:val="DefaultParagraphFont"/>
    <w:link w:val="CommentText"/>
    <w:uiPriority w:val="99"/>
    <w:rsid w:val="005F1932"/>
    <w:rPr>
      <w:rFonts w:ascii="Arial" w:eastAsia="Times New Roman" w:hAnsi="Arial"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5F1932"/>
    <w:rPr>
      <w:b/>
      <w:bCs/>
    </w:rPr>
  </w:style>
  <w:style w:type="character" w:customStyle="1" w:styleId="CommentSubjectChar">
    <w:name w:val="Comment Subject Char"/>
    <w:basedOn w:val="CommentTextChar"/>
    <w:link w:val="CommentSubject"/>
    <w:uiPriority w:val="99"/>
    <w:semiHidden/>
    <w:rsid w:val="005F1932"/>
    <w:rPr>
      <w:rFonts w:ascii="Arial" w:eastAsia="Times New Roman" w:hAnsi="Arial" w:cs="Times New Roman"/>
      <w:b/>
      <w:bCs/>
      <w:sz w:val="20"/>
      <w:szCs w:val="20"/>
      <w:lang w:eastAsia="en-AU"/>
    </w:rPr>
  </w:style>
  <w:style w:type="character" w:styleId="UnresolvedMention">
    <w:name w:val="Unresolved Mention"/>
    <w:basedOn w:val="DefaultParagraphFont"/>
    <w:uiPriority w:val="99"/>
    <w:semiHidden/>
    <w:unhideWhenUsed/>
    <w:rsid w:val="00E47C81"/>
    <w:rPr>
      <w:color w:val="605E5C"/>
      <w:shd w:val="clear" w:color="auto" w:fill="E1DFDD"/>
    </w:rPr>
  </w:style>
  <w:style w:type="paragraph" w:customStyle="1" w:styleId="ACMANumberedList">
    <w:name w:val="ACMA Numbered List"/>
    <w:rsid w:val="007E126B"/>
    <w:pPr>
      <w:numPr>
        <w:numId w:val="8"/>
      </w:numPr>
      <w:spacing w:before="20" w:after="20" w:line="240" w:lineRule="auto"/>
    </w:pPr>
    <w:rPr>
      <w:rFonts w:ascii="Times New Roman" w:eastAsia="Times New Roman" w:hAnsi="Times New Roman" w:cs="Times New Roman"/>
      <w:sz w:val="24"/>
      <w:szCs w:val="20"/>
    </w:rPr>
  </w:style>
  <w:style w:type="paragraph" w:styleId="Revision">
    <w:name w:val="Revision"/>
    <w:hidden/>
    <w:uiPriority w:val="99"/>
    <w:semiHidden/>
    <w:rsid w:val="00A82D6A"/>
    <w:pPr>
      <w:spacing w:after="0" w:line="240" w:lineRule="auto"/>
    </w:pPr>
    <w:rPr>
      <w:rFonts w:ascii="Arial" w:eastAsia="Times New Roman" w:hAnsi="Arial" w:cs="Times New Roman"/>
      <w:sz w:val="20"/>
      <w:szCs w:val="24"/>
      <w:lang w:eastAsia="en-AU"/>
    </w:rPr>
  </w:style>
  <w:style w:type="paragraph" w:customStyle="1" w:styleId="Default">
    <w:name w:val="Default"/>
    <w:rsid w:val="00CA052D"/>
    <w:pPr>
      <w:autoSpaceDE w:val="0"/>
      <w:autoSpaceDN w:val="0"/>
      <w:adjustRightInd w:val="0"/>
      <w:spacing w:after="0" w:line="240" w:lineRule="auto"/>
    </w:pPr>
    <w:rPr>
      <w:rFonts w:ascii="Arial" w:hAnsi="Arial" w:cs="Arial"/>
      <w:color w:val="000000"/>
      <w:sz w:val="24"/>
      <w:szCs w:val="24"/>
    </w:rPr>
  </w:style>
  <w:style w:type="paragraph" w:customStyle="1" w:styleId="Tableheaderrow">
    <w:name w:val="Table header row"/>
    <w:basedOn w:val="Normal"/>
    <w:uiPriority w:val="14"/>
    <w:qFormat/>
    <w:rsid w:val="0013573F"/>
    <w:pPr>
      <w:spacing w:after="0"/>
    </w:pPr>
    <w:rPr>
      <w:b/>
    </w:rPr>
  </w:style>
  <w:style w:type="paragraph" w:customStyle="1" w:styleId="TableBody">
    <w:name w:val="Table Body"/>
    <w:basedOn w:val="Normal"/>
    <w:uiPriority w:val="15"/>
    <w:qFormat/>
    <w:rsid w:val="0013573F"/>
    <w:pPr>
      <w:spacing w:after="0" w:line="240" w:lineRule="auto"/>
    </w:pPr>
  </w:style>
  <w:style w:type="paragraph" w:customStyle="1" w:styleId="ACMATableHeader">
    <w:name w:val="ACMA_TableHeader"/>
    <w:semiHidden/>
    <w:qFormat/>
    <w:rsid w:val="0013573F"/>
    <w:pPr>
      <w:numPr>
        <w:numId w:val="10"/>
      </w:numPr>
      <w:tabs>
        <w:tab w:val="clear" w:pos="5501"/>
        <w:tab w:val="num" w:pos="964"/>
      </w:tabs>
      <w:spacing w:line="240" w:lineRule="auto"/>
      <w:ind w:left="964"/>
    </w:pPr>
    <w:rPr>
      <w:rFonts w:ascii="Arial" w:eastAsia="Times New Roman" w:hAnsi="Arial" w:cs="Times New Roman"/>
      <w:b/>
      <w:bCs/>
      <w:color w:val="323232"/>
      <w:sz w:val="20"/>
      <w:szCs w:val="20"/>
      <w:lang w:eastAsia="en-AU"/>
    </w:rPr>
  </w:style>
  <w:style w:type="paragraph" w:customStyle="1" w:styleId="Tableheading">
    <w:name w:val="Table heading"/>
    <w:basedOn w:val="ACMATableHeader"/>
    <w:next w:val="Paragraph"/>
    <w:uiPriority w:val="13"/>
    <w:qFormat/>
    <w:rsid w:val="0013573F"/>
    <w:pPr>
      <w:keepNext/>
      <w:spacing w:line="240" w:lineRule="atLeast"/>
    </w:pPr>
  </w:style>
  <w:style w:type="paragraph" w:customStyle="1" w:styleId="Tableorfigurenote">
    <w:name w:val="Table or figure note"/>
    <w:basedOn w:val="Normal"/>
    <w:uiPriority w:val="17"/>
    <w:qFormat/>
    <w:rsid w:val="0013573F"/>
    <w:pPr>
      <w:spacing w:before="80" w:line="240" w:lineRule="auto"/>
    </w:pPr>
    <w:rPr>
      <w:rFonts w:cs="Arial"/>
      <w:i/>
      <w:sz w:val="16"/>
    </w:rPr>
  </w:style>
  <w:style w:type="paragraph" w:styleId="FootnoteText">
    <w:name w:val="footnote text"/>
    <w:basedOn w:val="Normal"/>
    <w:link w:val="FootnoteTextChar"/>
    <w:uiPriority w:val="99"/>
    <w:semiHidden/>
    <w:unhideWhenUsed/>
    <w:rsid w:val="00A24977"/>
    <w:pPr>
      <w:spacing w:after="0" w:line="240" w:lineRule="auto"/>
    </w:pPr>
    <w:rPr>
      <w:szCs w:val="20"/>
    </w:rPr>
  </w:style>
  <w:style w:type="character" w:customStyle="1" w:styleId="FootnoteTextChar">
    <w:name w:val="Footnote Text Char"/>
    <w:basedOn w:val="DefaultParagraphFont"/>
    <w:link w:val="FootnoteText"/>
    <w:uiPriority w:val="99"/>
    <w:semiHidden/>
    <w:rsid w:val="00A24977"/>
    <w:rPr>
      <w:rFonts w:ascii="Arial" w:eastAsia="Times New Roman" w:hAnsi="Arial" w:cs="Times New Roman"/>
      <w:sz w:val="20"/>
      <w:szCs w:val="20"/>
      <w:lang w:eastAsia="en-AU"/>
    </w:rPr>
  </w:style>
  <w:style w:type="character" w:styleId="FootnoteReference">
    <w:name w:val="footnote reference"/>
    <w:basedOn w:val="DefaultParagraphFont"/>
    <w:uiPriority w:val="99"/>
    <w:semiHidden/>
    <w:unhideWhenUsed/>
    <w:rsid w:val="00A24977"/>
    <w:rPr>
      <w:vertAlign w:val="superscript"/>
    </w:rPr>
  </w:style>
  <w:style w:type="character" w:styleId="FollowedHyperlink">
    <w:name w:val="FollowedHyperlink"/>
    <w:basedOn w:val="DefaultParagraphFont"/>
    <w:uiPriority w:val="99"/>
    <w:semiHidden/>
    <w:unhideWhenUsed/>
    <w:rsid w:val="00D02333"/>
    <w:rPr>
      <w:color w:val="954F72" w:themeColor="followedHyperlink"/>
      <w:u w:val="single"/>
    </w:rPr>
  </w:style>
  <w:style w:type="paragraph" w:styleId="ListBullet2">
    <w:name w:val="List Bullet 2"/>
    <w:basedOn w:val="Normal"/>
    <w:semiHidden/>
    <w:qFormat/>
    <w:rsid w:val="00610B97"/>
    <w:pPr>
      <w:numPr>
        <w:numId w:val="34"/>
      </w:numPr>
      <w:spacing w:after="80"/>
    </w:pPr>
  </w:style>
  <w:style w:type="paragraph" w:customStyle="1" w:styleId="Bulletlevel2">
    <w:name w:val="Bullet level 2"/>
    <w:basedOn w:val="ListBullet2"/>
    <w:uiPriority w:val="7"/>
    <w:qFormat/>
    <w:rsid w:val="00610B97"/>
    <w:rPr>
      <w:rFonts w:cs="Arial"/>
    </w:rPr>
  </w:style>
  <w:style w:type="paragraph" w:customStyle="1" w:styleId="paragraph0">
    <w:name w:val="paragraph"/>
    <w:basedOn w:val="Normal"/>
    <w:rsid w:val="00880F83"/>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880F83"/>
  </w:style>
  <w:style w:type="character" w:customStyle="1" w:styleId="eop">
    <w:name w:val="eop"/>
    <w:basedOn w:val="DefaultParagraphFont"/>
    <w:rsid w:val="00880F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589692">
      <w:bodyDiv w:val="1"/>
      <w:marLeft w:val="0"/>
      <w:marRight w:val="0"/>
      <w:marTop w:val="0"/>
      <w:marBottom w:val="0"/>
      <w:divBdr>
        <w:top w:val="none" w:sz="0" w:space="0" w:color="auto"/>
        <w:left w:val="none" w:sz="0" w:space="0" w:color="auto"/>
        <w:bottom w:val="none" w:sz="0" w:space="0" w:color="auto"/>
        <w:right w:val="none" w:sz="0" w:space="0" w:color="auto"/>
      </w:divBdr>
      <w:divsChild>
        <w:div w:id="2115246936">
          <w:marLeft w:val="0"/>
          <w:marRight w:val="0"/>
          <w:marTop w:val="0"/>
          <w:marBottom w:val="0"/>
          <w:divBdr>
            <w:top w:val="none" w:sz="0" w:space="0" w:color="auto"/>
            <w:left w:val="none" w:sz="0" w:space="0" w:color="auto"/>
            <w:bottom w:val="none" w:sz="0" w:space="0" w:color="auto"/>
            <w:right w:val="none" w:sz="0" w:space="0" w:color="auto"/>
          </w:divBdr>
        </w:div>
        <w:div w:id="333996803">
          <w:marLeft w:val="0"/>
          <w:marRight w:val="0"/>
          <w:marTop w:val="0"/>
          <w:marBottom w:val="0"/>
          <w:divBdr>
            <w:top w:val="none" w:sz="0" w:space="0" w:color="auto"/>
            <w:left w:val="none" w:sz="0" w:space="0" w:color="auto"/>
            <w:bottom w:val="none" w:sz="0" w:space="0" w:color="auto"/>
            <w:right w:val="none" w:sz="0" w:space="0" w:color="auto"/>
          </w:divBdr>
        </w:div>
      </w:divsChild>
    </w:div>
    <w:div w:id="234124558">
      <w:bodyDiv w:val="1"/>
      <w:marLeft w:val="0"/>
      <w:marRight w:val="0"/>
      <w:marTop w:val="0"/>
      <w:marBottom w:val="0"/>
      <w:divBdr>
        <w:top w:val="none" w:sz="0" w:space="0" w:color="auto"/>
        <w:left w:val="none" w:sz="0" w:space="0" w:color="auto"/>
        <w:bottom w:val="none" w:sz="0" w:space="0" w:color="auto"/>
        <w:right w:val="none" w:sz="0" w:space="0" w:color="auto"/>
      </w:divBdr>
    </w:div>
    <w:div w:id="1214149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consultations/2022-11/proposed-changes-radiocommunications-equipment-regulation-consultation-372022"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acma.gov.au/subscribe-our-newsletters"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sultations/2022-11/proposed-changes-radiocommunications-equipment-regulation-consultation-372022" TargetMode="External"/><Relationship Id="rId33" Type="http://schemas.openxmlformats.org/officeDocument/2006/relationships/hyperlink" Target="https://www.acma.gov.au/publications/2019-06/rules/acma-mandated-emc-standard"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22-11/proposed-changes-radiocommunications-equipment-regulation-consultation-372022" TargetMode="External"/><Relationship Id="rId32" Type="http://schemas.openxmlformats.org/officeDocument/2006/relationships/hyperlink" Target="https://www.acma.gov.au/publications/2019-08/instruction/paging-services"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8.xm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consultations/2022-11/proposed-changes-radiocommunications-equipment-regulation-consultation-372022"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footer" Target="footer8.xml"/><Relationship Id="rId35" Type="http://schemas.openxmlformats.org/officeDocument/2006/relationships/fontTable" Target="fontTable.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22DC23-10A0-4F97-8866-5D1A4F9A2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7603</Words>
  <Characters>41669</Characters>
  <Application>Microsoft Office Word</Application>
  <DocSecurity>0</DocSecurity>
  <Lines>1436</Lines>
  <Paragraphs>367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2023-03-17T01:06:00Z</dcterms:created>
  <dcterms:modified xsi:type="dcterms:W3CDTF">2023-03-17T01:06:00Z</dcterms:modified>
</cp:coreProperties>
</file>