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BCE9A" w14:textId="7AE19620" w:rsidR="00CB3DA1" w:rsidRDefault="00CB3DA1" w:rsidP="00CB3DA1">
      <w:pPr>
        <w:pStyle w:val="Reporttitle"/>
      </w:pPr>
      <w:r w:rsidRPr="00CB3DA1">
        <w:t>Regulatory guide</w:t>
      </w:r>
      <w:r w:rsidR="00124CC6">
        <w:t xml:space="preserve"> </w:t>
      </w:r>
      <w:r w:rsidRPr="00CB3DA1">
        <w:t xml:space="preserve">No. </w:t>
      </w:r>
      <w:r w:rsidR="00B91374">
        <w:t>3</w:t>
      </w:r>
      <w:r w:rsidR="00124CC6">
        <w:t>:</w:t>
      </w:r>
      <w:r w:rsidRPr="00CB3DA1">
        <w:t xml:space="preserve"> </w:t>
      </w:r>
    </w:p>
    <w:p w14:paraId="614C51EE" w14:textId="77777777" w:rsidR="00550D0B" w:rsidRDefault="00550D0B" w:rsidP="00550D0B">
      <w:pPr>
        <w:pStyle w:val="Reportsubtitle"/>
      </w:pPr>
      <w:r w:rsidRPr="00550D0B">
        <w:t xml:space="preserve">Information sharing under Part 7A of the </w:t>
      </w:r>
      <w:r w:rsidRPr="00AF36EC">
        <w:rPr>
          <w:i/>
          <w:iCs/>
        </w:rPr>
        <w:t>Australian Communications and Media Authority Act 2005</w:t>
      </w:r>
    </w:p>
    <w:p w14:paraId="22D96714" w14:textId="7B6D0781" w:rsidR="00C97736" w:rsidRPr="000D76E0" w:rsidRDefault="00CB3DA1"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ISSUED </w:t>
      </w:r>
      <w:r w:rsidR="00550D0B">
        <w:t>MAY</w:t>
      </w:r>
      <w:r w:rsidR="00674AD6">
        <w:t xml:space="preserve"> </w:t>
      </w:r>
      <w:r w:rsidR="007B00BD">
        <w:t>20</w:t>
      </w:r>
      <w:r w:rsidR="00B075A6">
        <w:t>1</w:t>
      </w:r>
      <w:r w:rsidR="00550D0B">
        <w:t>1</w:t>
      </w:r>
      <w:r w:rsidR="007B00BD">
        <w:t xml:space="preserve">, UPDATED </w:t>
      </w:r>
      <w:r w:rsidR="006425B8">
        <w:t>FEBRUARY</w:t>
      </w:r>
      <w:r w:rsidR="007D0AF7">
        <w:t xml:space="preserve"> 2023</w:t>
      </w:r>
    </w:p>
    <w:p w14:paraId="0954222A" w14:textId="77777777" w:rsidR="0005011A" w:rsidRPr="00F44F3A" w:rsidRDefault="0005011A" w:rsidP="00FC07B9">
      <w:pPr>
        <w:pStyle w:val="ACMACorporateAddressHeader"/>
      </w:pPr>
      <w:r w:rsidRPr="00F44F3A">
        <w:lastRenderedPageBreak/>
        <w:t>Canberra</w:t>
      </w:r>
    </w:p>
    <w:p w14:paraId="7BAF6C1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3D1949B" w14:textId="77777777" w:rsidR="0005011A" w:rsidRPr="00FC07B9" w:rsidRDefault="0005011A" w:rsidP="00FC07B9">
      <w:pPr>
        <w:pStyle w:val="ACMACorporateAddresses"/>
      </w:pPr>
      <w:r w:rsidRPr="00FC07B9">
        <w:t>PO Box 78</w:t>
      </w:r>
      <w:r w:rsidRPr="00FC07B9">
        <w:br/>
        <w:t>Belconnen ACT 2616</w:t>
      </w:r>
    </w:p>
    <w:p w14:paraId="6A3EBC4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3C9AB97" w14:textId="77777777" w:rsidR="0005011A" w:rsidRPr="00F44F3A" w:rsidRDefault="0005011A" w:rsidP="00FC07B9">
      <w:pPr>
        <w:pStyle w:val="ACMACorporateAddressHeader"/>
      </w:pPr>
      <w:r w:rsidRPr="00F44F3A">
        <w:t>Melbourne</w:t>
      </w:r>
    </w:p>
    <w:p w14:paraId="6AC87161"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6B298E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CA11A7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B80BEFD" w14:textId="77777777" w:rsidR="0005011A" w:rsidRPr="00F44F3A" w:rsidRDefault="0005011A" w:rsidP="00FC07B9">
      <w:pPr>
        <w:pStyle w:val="ACMACorporateAddressHeader"/>
      </w:pPr>
      <w:r w:rsidRPr="00F44F3A">
        <w:t>Sydney</w:t>
      </w:r>
    </w:p>
    <w:p w14:paraId="552BCA7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C045B2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E28D78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FE14E61" w14:textId="77777777" w:rsidR="00140318" w:rsidRPr="006D46E5" w:rsidRDefault="00140318" w:rsidP="00FC07B9">
      <w:pPr>
        <w:pStyle w:val="ACMACopyrightHeader"/>
      </w:pPr>
      <w:r w:rsidRPr="00140318">
        <w:t>Copyright notice</w:t>
      </w:r>
    </w:p>
    <w:p w14:paraId="2188AE24" w14:textId="77777777" w:rsidR="00140318" w:rsidRPr="006D46E5" w:rsidRDefault="00623FF9" w:rsidP="00623FF9">
      <w:pPr>
        <w:pStyle w:val="ACMACClogo"/>
      </w:pPr>
      <w:r w:rsidRPr="00623FF9">
        <w:rPr>
          <w:noProof/>
        </w:rPr>
        <w:drawing>
          <wp:inline distT="0" distB="0" distL="0" distR="0" wp14:anchorId="0ECD5452" wp14:editId="76288C3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138D58D2" w14:textId="77777777" w:rsidR="00AA2DE5" w:rsidRDefault="0011217B" w:rsidP="00AA2DE5">
      <w:pPr>
        <w:pStyle w:val="ACMACorporateAddresses"/>
        <w:rPr>
          <w:rStyle w:val="Hyperlink"/>
        </w:rPr>
      </w:pPr>
      <w:hyperlink r:id="rId13" w:history="1">
        <w:r w:rsidR="00AA2DE5">
          <w:rPr>
            <w:rStyle w:val="Hyperlink"/>
          </w:rPr>
          <w:t>https://creativecommons.org/licenses/by/4.0/</w:t>
        </w:r>
      </w:hyperlink>
    </w:p>
    <w:p w14:paraId="30953D8B"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6866BB62" w14:textId="08956086" w:rsidR="00AA2DE5" w:rsidRDefault="00AA2DE5" w:rsidP="00AA2DE5">
      <w:pPr>
        <w:pStyle w:val="ACMACorporateAddresses"/>
      </w:pPr>
      <w:r>
        <w:t>We request attribution as © Commonwealth of Australia (Australian Communications and Media Authority) 20</w:t>
      </w:r>
      <w:r w:rsidR="007D0AF7">
        <w:t>23</w:t>
      </w:r>
      <w:r>
        <w:t>.</w:t>
      </w:r>
    </w:p>
    <w:p w14:paraId="482FA027" w14:textId="77777777" w:rsidR="00AA2DE5" w:rsidRDefault="00AA2DE5" w:rsidP="00AA2DE5">
      <w:pPr>
        <w:pStyle w:val="ACMACorporateAddresses"/>
      </w:pPr>
      <w:r>
        <w:t>All other rights are reserved.</w:t>
      </w:r>
    </w:p>
    <w:p w14:paraId="661FD42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E1BC4A5" w14:textId="77777777" w:rsidR="00AA2DE5" w:rsidRDefault="00AA2DE5" w:rsidP="00AA2DE5">
      <w:pPr>
        <w:pStyle w:val="ACMACorporateAddresses"/>
      </w:pPr>
      <w:r>
        <w:t>Written enquiries may be sent to:</w:t>
      </w:r>
    </w:p>
    <w:p w14:paraId="3A53E946"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028FBAB" w14:textId="77777777" w:rsidR="00D16FE3" w:rsidRDefault="00D16FE3" w:rsidP="00D16FE3">
      <w:pPr>
        <w:pStyle w:val="ACMACorporateAddresses"/>
        <w:rPr>
          <w:rStyle w:val="Hyperlink"/>
        </w:rPr>
      </w:pPr>
    </w:p>
    <w:p w14:paraId="7F4BB5C5"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AFCBA8E" w14:textId="611A46D3" w:rsidR="00EA49E5"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EA49E5">
        <w:t>Overview</w:t>
      </w:r>
      <w:r w:rsidR="00EA49E5">
        <w:tab/>
      </w:r>
      <w:r w:rsidR="00EA49E5">
        <w:fldChar w:fldCharType="begin"/>
      </w:r>
      <w:r w:rsidR="00EA49E5">
        <w:instrText xml:space="preserve"> PAGEREF _Toc126589280 \h </w:instrText>
      </w:r>
      <w:r w:rsidR="00EA49E5">
        <w:fldChar w:fldCharType="separate"/>
      </w:r>
      <w:r w:rsidR="00EA49E5">
        <w:t>1</w:t>
      </w:r>
      <w:r w:rsidR="00EA49E5">
        <w:fldChar w:fldCharType="end"/>
      </w:r>
    </w:p>
    <w:p w14:paraId="2C8DB8AC" w14:textId="7A2EDD29" w:rsidR="00EA49E5" w:rsidRDefault="00EA49E5">
      <w:pPr>
        <w:pStyle w:val="TOC2"/>
        <w:rPr>
          <w:rFonts w:asciiTheme="minorHAnsi" w:eastAsiaTheme="minorEastAsia" w:hAnsiTheme="minorHAnsi" w:cstheme="minorBidi"/>
          <w:spacing w:val="0"/>
          <w:sz w:val="22"/>
          <w:szCs w:val="22"/>
        </w:rPr>
      </w:pPr>
      <w:r>
        <w:t>1. Purpose of this guide</w:t>
      </w:r>
      <w:r>
        <w:tab/>
      </w:r>
      <w:r>
        <w:fldChar w:fldCharType="begin"/>
      </w:r>
      <w:r>
        <w:instrText xml:space="preserve"> PAGEREF _Toc126589281 \h </w:instrText>
      </w:r>
      <w:r>
        <w:fldChar w:fldCharType="separate"/>
      </w:r>
      <w:r>
        <w:t>2</w:t>
      </w:r>
      <w:r>
        <w:fldChar w:fldCharType="end"/>
      </w:r>
    </w:p>
    <w:p w14:paraId="53F26537" w14:textId="7E2C16FF" w:rsidR="00EA49E5" w:rsidRDefault="00EA49E5">
      <w:pPr>
        <w:pStyle w:val="TOC2"/>
        <w:rPr>
          <w:rFonts w:asciiTheme="minorHAnsi" w:eastAsiaTheme="minorEastAsia" w:hAnsiTheme="minorHAnsi" w:cstheme="minorBidi"/>
          <w:spacing w:val="0"/>
          <w:sz w:val="22"/>
          <w:szCs w:val="22"/>
        </w:rPr>
      </w:pPr>
      <w:r>
        <w:t>2. Overview of the information-sharing provisions</w:t>
      </w:r>
      <w:r>
        <w:tab/>
      </w:r>
      <w:r>
        <w:fldChar w:fldCharType="begin"/>
      </w:r>
      <w:r>
        <w:instrText xml:space="preserve"> PAGEREF _Toc126589282 \h </w:instrText>
      </w:r>
      <w:r>
        <w:fldChar w:fldCharType="separate"/>
      </w:r>
      <w:r>
        <w:t>2</w:t>
      </w:r>
      <w:r>
        <w:fldChar w:fldCharType="end"/>
      </w:r>
    </w:p>
    <w:p w14:paraId="1521DACE" w14:textId="25BE491E" w:rsidR="00EA49E5" w:rsidRDefault="00EA49E5">
      <w:pPr>
        <w:pStyle w:val="TOC2"/>
        <w:rPr>
          <w:rFonts w:asciiTheme="minorHAnsi" w:eastAsiaTheme="minorEastAsia" w:hAnsiTheme="minorHAnsi" w:cstheme="minorBidi"/>
          <w:spacing w:val="0"/>
          <w:sz w:val="22"/>
          <w:szCs w:val="22"/>
        </w:rPr>
      </w:pPr>
      <w:r>
        <w:t>3. What information can be disclosed under Part 7A?</w:t>
      </w:r>
      <w:r>
        <w:tab/>
      </w:r>
      <w:r>
        <w:fldChar w:fldCharType="begin"/>
      </w:r>
      <w:r>
        <w:instrText xml:space="preserve"> PAGEREF _Toc126589283 \h </w:instrText>
      </w:r>
      <w:r>
        <w:fldChar w:fldCharType="separate"/>
      </w:r>
      <w:r>
        <w:t>2</w:t>
      </w:r>
      <w:r>
        <w:fldChar w:fldCharType="end"/>
      </w:r>
    </w:p>
    <w:p w14:paraId="4ED3D2EC" w14:textId="1F6D511D" w:rsidR="00EA49E5" w:rsidRDefault="00EA49E5">
      <w:pPr>
        <w:pStyle w:val="TOC2"/>
        <w:rPr>
          <w:rFonts w:asciiTheme="minorHAnsi" w:eastAsiaTheme="minorEastAsia" w:hAnsiTheme="minorHAnsi" w:cstheme="minorBidi"/>
          <w:spacing w:val="0"/>
          <w:sz w:val="22"/>
          <w:szCs w:val="22"/>
        </w:rPr>
      </w:pPr>
      <w:r>
        <w:t>4. Persons to whom information may be disclosed</w:t>
      </w:r>
      <w:r>
        <w:tab/>
      </w:r>
      <w:r>
        <w:fldChar w:fldCharType="begin"/>
      </w:r>
      <w:r>
        <w:instrText xml:space="preserve"> PAGEREF _Toc126589284 \h </w:instrText>
      </w:r>
      <w:r>
        <w:fldChar w:fldCharType="separate"/>
      </w:r>
      <w:r>
        <w:t>4</w:t>
      </w:r>
      <w:r>
        <w:fldChar w:fldCharType="end"/>
      </w:r>
    </w:p>
    <w:p w14:paraId="2F4F8984" w14:textId="46C23B7F" w:rsidR="00EA49E5" w:rsidRDefault="00EA49E5">
      <w:pPr>
        <w:pStyle w:val="TOC2"/>
        <w:rPr>
          <w:rFonts w:asciiTheme="minorHAnsi" w:eastAsiaTheme="minorEastAsia" w:hAnsiTheme="minorHAnsi" w:cstheme="minorBidi"/>
          <w:spacing w:val="0"/>
          <w:sz w:val="22"/>
          <w:szCs w:val="22"/>
        </w:rPr>
      </w:pPr>
      <w:r>
        <w:t>5. Discretionary factors</w:t>
      </w:r>
      <w:r>
        <w:tab/>
      </w:r>
      <w:r>
        <w:fldChar w:fldCharType="begin"/>
      </w:r>
      <w:r>
        <w:instrText xml:space="preserve"> PAGEREF _Toc126589285 \h </w:instrText>
      </w:r>
      <w:r>
        <w:fldChar w:fldCharType="separate"/>
      </w:r>
      <w:r>
        <w:t>6</w:t>
      </w:r>
      <w:r>
        <w:fldChar w:fldCharType="end"/>
      </w:r>
    </w:p>
    <w:p w14:paraId="195B685E" w14:textId="7645BB5B" w:rsidR="00EA49E5" w:rsidRDefault="00EA49E5">
      <w:pPr>
        <w:pStyle w:val="TOC2"/>
        <w:rPr>
          <w:rFonts w:asciiTheme="minorHAnsi" w:eastAsiaTheme="minorEastAsia" w:hAnsiTheme="minorHAnsi" w:cstheme="minorBidi"/>
          <w:spacing w:val="0"/>
          <w:sz w:val="22"/>
          <w:szCs w:val="22"/>
        </w:rPr>
      </w:pPr>
      <w:r>
        <w:t>6. Assisting the ACMA</w:t>
      </w:r>
      <w:r>
        <w:tab/>
      </w:r>
      <w:r>
        <w:fldChar w:fldCharType="begin"/>
      </w:r>
      <w:r>
        <w:instrText xml:space="preserve"> PAGEREF _Toc126589286 \h </w:instrText>
      </w:r>
      <w:r>
        <w:fldChar w:fldCharType="separate"/>
      </w:r>
      <w:r>
        <w:t>6</w:t>
      </w:r>
      <w:r>
        <w:fldChar w:fldCharType="end"/>
      </w:r>
    </w:p>
    <w:p w14:paraId="37F255D0" w14:textId="62BFA8B3" w:rsidR="004D56FF" w:rsidRPr="000D76E0" w:rsidRDefault="009B24A5">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66D2F0AA" w14:textId="2C524B9B" w:rsidR="009D6C71" w:rsidRPr="009174F3" w:rsidRDefault="00CB3DA1" w:rsidP="009174F3">
      <w:pPr>
        <w:pStyle w:val="Execsummaryheading"/>
      </w:pPr>
      <w:bookmarkStart w:id="0" w:name="_Toc126589280"/>
      <w:r>
        <w:lastRenderedPageBreak/>
        <w:t>Overview</w:t>
      </w:r>
      <w:bookmarkEnd w:id="0"/>
    </w:p>
    <w:p w14:paraId="7D0E4C04" w14:textId="7920151D" w:rsidR="00CB3DA1" w:rsidRPr="00DD3AA5" w:rsidRDefault="00CB3DA1" w:rsidP="001436CA">
      <w:pPr>
        <w:spacing w:after="80"/>
        <w:rPr>
          <w:rFonts w:cs="Arial"/>
          <w:szCs w:val="20"/>
        </w:rPr>
      </w:pPr>
      <w:r w:rsidRPr="00DD3AA5">
        <w:rPr>
          <w:rFonts w:cs="Arial"/>
          <w:szCs w:val="20"/>
        </w:rPr>
        <w:t>The Australian Communications and Media Authority (ACMA) issues regulatory guides to assist both industry and the community by:</w:t>
      </w:r>
    </w:p>
    <w:p w14:paraId="28872BFE" w14:textId="77777777" w:rsidR="00CB3DA1" w:rsidRPr="00DD3AA5" w:rsidRDefault="00CB3DA1" w:rsidP="00CB3DA1">
      <w:pPr>
        <w:pStyle w:val="ListBullet"/>
        <w:rPr>
          <w:rFonts w:cs="Arial"/>
          <w:szCs w:val="20"/>
        </w:rPr>
      </w:pPr>
      <w:r w:rsidRPr="00DD3AA5">
        <w:rPr>
          <w:rFonts w:cs="Arial"/>
          <w:szCs w:val="20"/>
        </w:rPr>
        <w:t>giving practical guidance (for example, guidance about the ACMA’s approach to a particular issue or describing the steps of a process)</w:t>
      </w:r>
    </w:p>
    <w:p w14:paraId="64AF7089" w14:textId="77777777" w:rsidR="00CB3DA1" w:rsidRPr="00DD3AA5" w:rsidRDefault="00CB3DA1" w:rsidP="00CB3DA1">
      <w:pPr>
        <w:pStyle w:val="ListBullet"/>
        <w:rPr>
          <w:rFonts w:cs="Arial"/>
          <w:szCs w:val="20"/>
        </w:rPr>
      </w:pPr>
      <w:r w:rsidRPr="00DD3AA5">
        <w:rPr>
          <w:rFonts w:cs="Arial"/>
          <w:szCs w:val="20"/>
        </w:rPr>
        <w:t>describing the principles underlying the ACMA’s approach in particular areas</w:t>
      </w:r>
    </w:p>
    <w:p w14:paraId="397D19A0" w14:textId="77777777" w:rsidR="00CB3DA1" w:rsidRPr="00DD3AA5" w:rsidRDefault="00CB3DA1" w:rsidP="00CB3DA1">
      <w:pPr>
        <w:pStyle w:val="ListBullet"/>
        <w:rPr>
          <w:rFonts w:cs="Arial"/>
          <w:szCs w:val="20"/>
        </w:rPr>
      </w:pPr>
      <w:r w:rsidRPr="00DD3AA5">
        <w:rPr>
          <w:rFonts w:cs="Arial"/>
          <w:szCs w:val="20"/>
        </w:rPr>
        <w:t>explaining the ACMA’s view on the interpretation of the law or its application to a regulated industry</w:t>
      </w:r>
    </w:p>
    <w:p w14:paraId="0F4CF182" w14:textId="09CCA121" w:rsidR="00CB3DA1" w:rsidRDefault="00CB3DA1" w:rsidP="00CB3DA1">
      <w:pPr>
        <w:pStyle w:val="ListBullet"/>
        <w:spacing w:after="240"/>
        <w:rPr>
          <w:rFonts w:cs="Arial"/>
          <w:szCs w:val="20"/>
        </w:rPr>
      </w:pPr>
      <w:r w:rsidRPr="00DD3AA5">
        <w:rPr>
          <w:rFonts w:cs="Arial"/>
          <w:szCs w:val="20"/>
        </w:rPr>
        <w:t>explaining when and how the ACMA will exercise specific powers under the legislation it administers.</w:t>
      </w:r>
    </w:p>
    <w:p w14:paraId="681597D6" w14:textId="67F8D013" w:rsidR="0044713E" w:rsidRDefault="00CB3DA1" w:rsidP="0044713E">
      <w:pPr>
        <w:pStyle w:val="Paragraph"/>
      </w:pPr>
      <w:r w:rsidRPr="00DD3AA5">
        <w:t>A regulatory guide does not constitute or replace legal advice on obligations under the</w:t>
      </w:r>
      <w:r>
        <w:t xml:space="preserve"> </w:t>
      </w:r>
      <w:r w:rsidRPr="00DD3AA5">
        <w:t>relevant legislation.</w:t>
      </w:r>
    </w:p>
    <w:p w14:paraId="44EE2BBF" w14:textId="77777777" w:rsidR="000A10D4" w:rsidRPr="00F411DF" w:rsidRDefault="0044713E" w:rsidP="00AF36EC">
      <w:pPr>
        <w:pStyle w:val="Heading2"/>
      </w:pPr>
      <w:r>
        <w:br w:type="page"/>
      </w:r>
      <w:bookmarkStart w:id="1" w:name="_Toc355171794"/>
      <w:bookmarkStart w:id="2" w:name="_Toc126589281"/>
      <w:r w:rsidR="000A10D4" w:rsidRPr="00F411DF">
        <w:lastRenderedPageBreak/>
        <w:t xml:space="preserve">1. </w:t>
      </w:r>
      <w:r w:rsidR="000A10D4" w:rsidRPr="00AF36EC">
        <w:t>Purpose</w:t>
      </w:r>
      <w:r w:rsidR="000A10D4" w:rsidRPr="00F411DF">
        <w:t xml:space="preserve"> of this guide</w:t>
      </w:r>
      <w:bookmarkEnd w:id="1"/>
      <w:bookmarkEnd w:id="2"/>
      <w:r w:rsidR="000A10D4" w:rsidRPr="00F411DF">
        <w:t xml:space="preserve"> </w:t>
      </w:r>
    </w:p>
    <w:p w14:paraId="001114EF" w14:textId="00C7E8B1" w:rsidR="000A10D4" w:rsidRPr="00F411DF" w:rsidRDefault="000A10D4" w:rsidP="00AF36EC">
      <w:pPr>
        <w:tabs>
          <w:tab w:val="left" w:pos="567"/>
        </w:tabs>
        <w:spacing w:after="120"/>
        <w:ind w:left="567" w:hanging="567"/>
        <w:rPr>
          <w:rFonts w:cs="Arial"/>
        </w:rPr>
      </w:pPr>
      <w:r w:rsidRPr="00F411DF">
        <w:rPr>
          <w:rFonts w:cs="Arial"/>
        </w:rPr>
        <w:t>1.1</w:t>
      </w:r>
      <w:r w:rsidRPr="00F411DF">
        <w:rPr>
          <w:rFonts w:cs="Arial"/>
        </w:rPr>
        <w:tab/>
        <w:t xml:space="preserve">Part 7A of the </w:t>
      </w:r>
      <w:r w:rsidRPr="00F411DF">
        <w:rPr>
          <w:rFonts w:cs="Arial"/>
          <w:i/>
        </w:rPr>
        <w:t>Australian Communications and Media Authority Act 2005</w:t>
      </w:r>
      <w:r w:rsidRPr="00F411DF">
        <w:rPr>
          <w:rFonts w:cs="Arial"/>
        </w:rPr>
        <w:t xml:space="preserve"> (ACMA Act) creates a class of information called </w:t>
      </w:r>
      <w:hyperlink w:anchor="_3._What_information" w:history="1">
        <w:r w:rsidRPr="00F411DF">
          <w:rPr>
            <w:rStyle w:val="Hyperlink"/>
            <w:rFonts w:cs="Arial"/>
          </w:rPr>
          <w:t>authorised disclosure information</w:t>
        </w:r>
      </w:hyperlink>
      <w:r w:rsidRPr="00F411DF">
        <w:rPr>
          <w:rFonts w:cs="Arial"/>
        </w:rPr>
        <w:t xml:space="preserve"> (defined in section 3 of the ACMA Act)</w:t>
      </w:r>
      <w:r w:rsidR="00124CC6">
        <w:rPr>
          <w:rFonts w:cs="Arial"/>
        </w:rPr>
        <w:t>,</w:t>
      </w:r>
      <w:r w:rsidRPr="00F411DF">
        <w:rPr>
          <w:rFonts w:cs="Arial"/>
        </w:rPr>
        <w:t xml:space="preserve"> which can be shared by the ACMA.</w:t>
      </w:r>
      <w:r>
        <w:rPr>
          <w:rFonts w:cs="Arial"/>
        </w:rPr>
        <w:t xml:space="preserve"> </w:t>
      </w:r>
    </w:p>
    <w:p w14:paraId="2A5CC06F" w14:textId="129B9541" w:rsidR="000A10D4" w:rsidRPr="00F411DF" w:rsidRDefault="000A10D4" w:rsidP="00AF36EC">
      <w:pPr>
        <w:tabs>
          <w:tab w:val="left" w:pos="567"/>
        </w:tabs>
        <w:spacing w:after="120"/>
        <w:ind w:left="567" w:hanging="567"/>
        <w:rPr>
          <w:rFonts w:cs="Arial"/>
        </w:rPr>
      </w:pPr>
      <w:r w:rsidRPr="00F411DF">
        <w:rPr>
          <w:rFonts w:cs="Arial"/>
        </w:rPr>
        <w:t>1.2</w:t>
      </w:r>
      <w:r w:rsidRPr="00F411DF">
        <w:rPr>
          <w:rFonts w:cs="Arial"/>
        </w:rPr>
        <w:tab/>
        <w:t xml:space="preserve">The purpose of this guide is to explain the nature of the discretion conferred on the ACMA under Part 7A of the ACMA Act to share authorised disclosure information. It also highlights the range of factors </w:t>
      </w:r>
      <w:r w:rsidR="00124CC6">
        <w:rPr>
          <w:rFonts w:cs="Arial"/>
        </w:rPr>
        <w:t>that</w:t>
      </w:r>
      <w:r w:rsidR="00124CC6" w:rsidRPr="00F411DF">
        <w:rPr>
          <w:rFonts w:cs="Arial"/>
        </w:rPr>
        <w:t xml:space="preserve"> </w:t>
      </w:r>
      <w:r w:rsidRPr="00F411DF">
        <w:rPr>
          <w:rFonts w:cs="Arial"/>
        </w:rPr>
        <w:t>may impact on the ACMA’s decision to share information (whether as a result of it receiving a request or when it is self-initiated).</w:t>
      </w:r>
      <w:r>
        <w:rPr>
          <w:rFonts w:cs="Arial"/>
        </w:rPr>
        <w:t xml:space="preserve">   </w:t>
      </w:r>
    </w:p>
    <w:p w14:paraId="434F313A" w14:textId="77777777" w:rsidR="000A10D4" w:rsidRPr="00F411DF" w:rsidRDefault="000A10D4" w:rsidP="00AF36EC">
      <w:pPr>
        <w:tabs>
          <w:tab w:val="left" w:pos="567"/>
        </w:tabs>
        <w:spacing w:after="120"/>
        <w:ind w:left="567" w:hanging="567"/>
        <w:rPr>
          <w:rFonts w:cs="Arial"/>
        </w:rPr>
      </w:pPr>
      <w:r w:rsidRPr="00F411DF">
        <w:rPr>
          <w:rFonts w:cs="Arial"/>
        </w:rPr>
        <w:t>1.3</w:t>
      </w:r>
      <w:r w:rsidRPr="00F411DF">
        <w:rPr>
          <w:rFonts w:cs="Arial"/>
        </w:rPr>
        <w:tab/>
        <w:t xml:space="preserve">This guide does not constitute legal advice. </w:t>
      </w:r>
    </w:p>
    <w:p w14:paraId="50204973" w14:textId="77777777" w:rsidR="000A10D4" w:rsidRPr="00F411DF" w:rsidRDefault="000A10D4" w:rsidP="00AF36EC">
      <w:pPr>
        <w:tabs>
          <w:tab w:val="left" w:pos="567"/>
        </w:tabs>
        <w:spacing w:after="120"/>
        <w:ind w:left="567" w:hanging="567"/>
        <w:rPr>
          <w:rFonts w:cs="Arial"/>
        </w:rPr>
      </w:pPr>
      <w:r w:rsidRPr="00F411DF">
        <w:rPr>
          <w:rFonts w:cs="Arial"/>
        </w:rPr>
        <w:t>1.4</w:t>
      </w:r>
      <w:r w:rsidRPr="00F411DF">
        <w:rPr>
          <w:rFonts w:cs="Arial"/>
        </w:rPr>
        <w:tab/>
        <w:t xml:space="preserve">The ACMA has also entered into memoranda of understanding (MOUs) with a number of domestic and international agencies. These MOUs assist the ACMA and the other relevant signatory to respond appropriately to, and manage requests for, assistance including access to information held by the ACMA. This regulatory guide should be read in conjunction with these MOUs, which are available on the ACMA’s website at </w:t>
      </w:r>
      <w:hyperlink r:id="rId24" w:history="1">
        <w:r w:rsidRPr="00F411DF">
          <w:rPr>
            <w:rStyle w:val="Hyperlink"/>
            <w:rFonts w:cs="Arial"/>
          </w:rPr>
          <w:t>www.acma.gov.au</w:t>
        </w:r>
      </w:hyperlink>
      <w:r w:rsidRPr="00F411DF">
        <w:rPr>
          <w:rFonts w:cs="Arial"/>
        </w:rPr>
        <w:t>.</w:t>
      </w:r>
    </w:p>
    <w:p w14:paraId="01AE9048" w14:textId="5253B8CC" w:rsidR="000A10D4" w:rsidRPr="00F411DF" w:rsidRDefault="000A10D4" w:rsidP="00AF36EC">
      <w:pPr>
        <w:pStyle w:val="Heading2"/>
      </w:pPr>
      <w:bookmarkStart w:id="3" w:name="_Toc355171795"/>
      <w:bookmarkStart w:id="4" w:name="_Toc126589282"/>
      <w:r w:rsidRPr="00F411DF">
        <w:t>2. Overview of the information</w:t>
      </w:r>
      <w:r w:rsidR="00E75A08">
        <w:t>-</w:t>
      </w:r>
      <w:r w:rsidRPr="00F411DF">
        <w:t>sharing provisions</w:t>
      </w:r>
      <w:bookmarkEnd w:id="3"/>
      <w:bookmarkEnd w:id="4"/>
    </w:p>
    <w:p w14:paraId="20E1C2EB" w14:textId="0FBA338D" w:rsidR="000A10D4" w:rsidRPr="00F411DF" w:rsidRDefault="000A10D4" w:rsidP="00AF36EC">
      <w:pPr>
        <w:tabs>
          <w:tab w:val="left" w:pos="567"/>
        </w:tabs>
        <w:spacing w:after="120"/>
        <w:ind w:left="567" w:hanging="567"/>
        <w:rPr>
          <w:rFonts w:cs="Arial"/>
        </w:rPr>
      </w:pPr>
      <w:r w:rsidRPr="00F411DF">
        <w:rPr>
          <w:rFonts w:cs="Arial"/>
        </w:rPr>
        <w:t>2.1</w:t>
      </w:r>
      <w:r w:rsidRPr="00F411DF">
        <w:rPr>
          <w:rFonts w:cs="Arial"/>
        </w:rPr>
        <w:tab/>
        <w:t>Part 7A of the ACMA Act confers a discretion on the ACMA to disclose</w:t>
      </w:r>
      <w:r>
        <w:rPr>
          <w:rFonts w:cs="Arial"/>
        </w:rPr>
        <w:t xml:space="preserve"> </w:t>
      </w:r>
      <w:r w:rsidR="00124CC6" w:rsidRPr="00D000C2">
        <w:t>authorised disclosure information</w:t>
      </w:r>
      <w:r w:rsidRPr="00F411DF">
        <w:rPr>
          <w:rFonts w:cs="Arial"/>
        </w:rPr>
        <w:t xml:space="preserve"> obtained in the performance of its functions and the exercise of its powers to other regulatory and administrative bodies and personnel in certain instances (see </w:t>
      </w:r>
      <w:hyperlink w:anchor="_4._Persons_to" w:history="1">
        <w:r w:rsidRPr="00F411DF">
          <w:rPr>
            <w:rStyle w:val="Hyperlink"/>
            <w:rFonts w:cs="Arial"/>
          </w:rPr>
          <w:t>Part 4</w:t>
        </w:r>
      </w:hyperlink>
      <w:r w:rsidRPr="00F411DF">
        <w:rPr>
          <w:rFonts w:cs="Arial"/>
        </w:rPr>
        <w:t xml:space="preserve"> below).</w:t>
      </w:r>
      <w:r>
        <w:rPr>
          <w:rFonts w:cs="Arial"/>
        </w:rPr>
        <w:t xml:space="preserve"> </w:t>
      </w:r>
      <w:r w:rsidRPr="00F411DF">
        <w:rPr>
          <w:rFonts w:cs="Arial"/>
        </w:rPr>
        <w:t xml:space="preserve"> </w:t>
      </w:r>
    </w:p>
    <w:p w14:paraId="0FFF8406" w14:textId="0AD42129" w:rsidR="000A10D4" w:rsidRPr="00F411DF" w:rsidRDefault="000A10D4" w:rsidP="00AF36EC">
      <w:pPr>
        <w:tabs>
          <w:tab w:val="left" w:pos="567"/>
        </w:tabs>
        <w:spacing w:after="120"/>
        <w:ind w:left="567" w:hanging="567"/>
        <w:rPr>
          <w:rFonts w:cs="Arial"/>
        </w:rPr>
      </w:pPr>
      <w:r w:rsidRPr="00F411DF">
        <w:rPr>
          <w:rFonts w:cs="Arial"/>
        </w:rPr>
        <w:t>2.2</w:t>
      </w:r>
      <w:r w:rsidRPr="00F411DF">
        <w:rPr>
          <w:rFonts w:cs="Arial"/>
        </w:rPr>
        <w:tab/>
        <w:t>The provisions in Part 7A are designed to enable the ACMA to share information in appropriate circumstances</w:t>
      </w:r>
      <w:r w:rsidR="00124CC6">
        <w:rPr>
          <w:rFonts w:cs="Arial"/>
        </w:rPr>
        <w:t>,</w:t>
      </w:r>
      <w:r w:rsidRPr="00F411DF">
        <w:rPr>
          <w:rFonts w:cs="Arial"/>
        </w:rPr>
        <w:t xml:space="preserve"> thereby reducing overlapping or duplicative requests for information made to the ACMA’s regulated community by other regulators, including foreign regulators (see section 59D). </w:t>
      </w:r>
    </w:p>
    <w:p w14:paraId="58788BB5" w14:textId="1C1E1513" w:rsidR="000A10D4" w:rsidRPr="00F411DF" w:rsidRDefault="000A10D4" w:rsidP="00AF36EC">
      <w:pPr>
        <w:tabs>
          <w:tab w:val="left" w:pos="567"/>
        </w:tabs>
        <w:spacing w:after="120"/>
        <w:ind w:left="567" w:hanging="567"/>
        <w:rPr>
          <w:rFonts w:cs="Arial"/>
        </w:rPr>
      </w:pPr>
      <w:r w:rsidRPr="00F411DF">
        <w:rPr>
          <w:rFonts w:cs="Arial"/>
        </w:rPr>
        <w:t>2.3</w:t>
      </w:r>
      <w:r w:rsidRPr="00F411DF">
        <w:rPr>
          <w:rFonts w:cs="Arial"/>
        </w:rPr>
        <w:tab/>
        <w:t xml:space="preserve">A disclosure may be made by the ACMA upon a request being made or of its own volition. However, Part 7A does not impose any obligation upon the ACMA to make a disclosure. It is a matter for its discretion (see </w:t>
      </w:r>
      <w:hyperlink w:anchor="_6._Assisting_the" w:history="1">
        <w:r w:rsidRPr="00F411DF">
          <w:rPr>
            <w:rStyle w:val="Hyperlink"/>
            <w:rFonts w:cs="Arial"/>
          </w:rPr>
          <w:t>Part 6</w:t>
        </w:r>
      </w:hyperlink>
      <w:r w:rsidRPr="00F411DF">
        <w:rPr>
          <w:rFonts w:cs="Arial"/>
        </w:rPr>
        <w:t xml:space="preserve"> below).</w:t>
      </w:r>
      <w:r>
        <w:rPr>
          <w:rFonts w:cs="Arial"/>
        </w:rPr>
        <w:t xml:space="preserve"> </w:t>
      </w:r>
    </w:p>
    <w:p w14:paraId="23947B11" w14:textId="77777777" w:rsidR="000A10D4" w:rsidRPr="00F411DF" w:rsidRDefault="000A10D4" w:rsidP="00AF36EC">
      <w:pPr>
        <w:tabs>
          <w:tab w:val="left" w:pos="567"/>
        </w:tabs>
        <w:spacing w:after="120"/>
        <w:ind w:left="567" w:hanging="567"/>
        <w:rPr>
          <w:rFonts w:cs="Arial"/>
        </w:rPr>
      </w:pPr>
      <w:r w:rsidRPr="00F411DF">
        <w:rPr>
          <w:rFonts w:cs="Arial"/>
        </w:rPr>
        <w:t>2.4</w:t>
      </w:r>
      <w:r w:rsidRPr="00F411DF">
        <w:rPr>
          <w:rFonts w:cs="Arial"/>
        </w:rPr>
        <w:tab/>
        <w:t xml:space="preserve">The Act makes clear that the provisions in Part 7A do not limit the circumstances in which authorised to disclose information may otherwise be disclosed by the ACMA (section 59J). For example, the ACMA may disclose information under the </w:t>
      </w:r>
      <w:r w:rsidRPr="00F411DF">
        <w:rPr>
          <w:rFonts w:cs="Arial"/>
          <w:i/>
        </w:rPr>
        <w:t>Freedom of Information Act 1982</w:t>
      </w:r>
      <w:r w:rsidRPr="00F411DF">
        <w:rPr>
          <w:rFonts w:cs="Arial"/>
        </w:rPr>
        <w:t xml:space="preserve">. </w:t>
      </w:r>
    </w:p>
    <w:p w14:paraId="12420CA0" w14:textId="77777777" w:rsidR="000A10D4" w:rsidRPr="00F411DF" w:rsidRDefault="000A10D4" w:rsidP="00AF36EC">
      <w:pPr>
        <w:tabs>
          <w:tab w:val="left" w:pos="567"/>
        </w:tabs>
        <w:spacing w:after="120"/>
        <w:ind w:left="567" w:hanging="567"/>
        <w:rPr>
          <w:rFonts w:cs="Arial"/>
        </w:rPr>
      </w:pPr>
      <w:r w:rsidRPr="00F411DF">
        <w:rPr>
          <w:rFonts w:cs="Arial"/>
        </w:rPr>
        <w:t>2.5</w:t>
      </w:r>
      <w:r w:rsidRPr="00F411DF">
        <w:rPr>
          <w:rFonts w:cs="Arial"/>
        </w:rPr>
        <w:tab/>
        <w:t xml:space="preserve">Part 7A does not authorise disclosure of information that is prohibited by Part 13 of the </w:t>
      </w:r>
      <w:r w:rsidRPr="00F411DF">
        <w:rPr>
          <w:rFonts w:cs="Arial"/>
          <w:i/>
        </w:rPr>
        <w:t>Telecommunications Act 1997</w:t>
      </w:r>
      <w:r w:rsidRPr="00F411DF">
        <w:rPr>
          <w:rFonts w:cs="Arial"/>
        </w:rPr>
        <w:t xml:space="preserve"> (section 59K).</w:t>
      </w:r>
    </w:p>
    <w:p w14:paraId="0AEB1A9D" w14:textId="6C997DDA" w:rsidR="000A10D4" w:rsidRPr="00F411DF" w:rsidRDefault="000A10D4" w:rsidP="00AF36EC">
      <w:pPr>
        <w:tabs>
          <w:tab w:val="left" w:pos="567"/>
        </w:tabs>
        <w:spacing w:after="120"/>
        <w:ind w:left="567" w:hanging="567"/>
        <w:rPr>
          <w:rFonts w:cs="Arial"/>
        </w:rPr>
      </w:pPr>
      <w:r w:rsidRPr="00F411DF">
        <w:rPr>
          <w:rFonts w:cs="Arial"/>
        </w:rPr>
        <w:t>2.6</w:t>
      </w:r>
      <w:r w:rsidRPr="00F411DF">
        <w:rPr>
          <w:rFonts w:cs="Arial"/>
        </w:rPr>
        <w:tab/>
        <w:t xml:space="preserve">The Act also provides that regulations may be made </w:t>
      </w:r>
      <w:r w:rsidR="00124CC6">
        <w:rPr>
          <w:rFonts w:cs="Arial"/>
        </w:rPr>
        <w:t>that</w:t>
      </w:r>
      <w:r w:rsidR="00124CC6" w:rsidRPr="00F411DF">
        <w:rPr>
          <w:rFonts w:cs="Arial"/>
        </w:rPr>
        <w:t xml:space="preserve"> </w:t>
      </w:r>
      <w:r w:rsidRPr="00F411DF">
        <w:rPr>
          <w:rFonts w:cs="Arial"/>
        </w:rPr>
        <w:t xml:space="preserve">authorise disclosure in specified circumstances (section 59H). No regulations have been made to date. </w:t>
      </w:r>
    </w:p>
    <w:p w14:paraId="7868AD42" w14:textId="77777777" w:rsidR="000A10D4" w:rsidRPr="00F411DF" w:rsidRDefault="000A10D4" w:rsidP="00AF36EC">
      <w:pPr>
        <w:pStyle w:val="Heading2"/>
      </w:pPr>
      <w:bookmarkStart w:id="5" w:name="_3._What_information"/>
      <w:bookmarkStart w:id="6" w:name="_Toc355171796"/>
      <w:bookmarkStart w:id="7" w:name="_Toc126589283"/>
      <w:bookmarkEnd w:id="5"/>
      <w:r w:rsidRPr="00F411DF">
        <w:t>3. What information can be disclosed under Part 7A?</w:t>
      </w:r>
      <w:bookmarkEnd w:id="6"/>
      <w:bookmarkEnd w:id="7"/>
    </w:p>
    <w:p w14:paraId="62CBADF7" w14:textId="77777777" w:rsidR="000A10D4" w:rsidRPr="00F411DF" w:rsidRDefault="000A10D4" w:rsidP="00AF36EC">
      <w:pPr>
        <w:tabs>
          <w:tab w:val="left" w:pos="567"/>
        </w:tabs>
        <w:spacing w:after="80"/>
        <w:ind w:left="567" w:hanging="567"/>
        <w:rPr>
          <w:rFonts w:cs="Arial"/>
        </w:rPr>
      </w:pPr>
      <w:r w:rsidRPr="00F411DF">
        <w:rPr>
          <w:rFonts w:cs="Arial"/>
        </w:rPr>
        <w:t>3.1</w:t>
      </w:r>
      <w:r w:rsidRPr="00F411DF">
        <w:rPr>
          <w:rFonts w:cs="Arial"/>
        </w:rPr>
        <w:tab/>
        <w:t>As noted above, the ACMA has had conferred upon it a discretion to disclose authorised disclosure information. Authorised disclosure information is broadly defined to be:</w:t>
      </w:r>
    </w:p>
    <w:p w14:paraId="3ADDD9A3" w14:textId="77777777" w:rsidR="000A10D4" w:rsidRPr="00F411DF" w:rsidRDefault="000A10D4" w:rsidP="004265FB">
      <w:pPr>
        <w:pStyle w:val="BodyText"/>
        <w:numPr>
          <w:ilvl w:val="0"/>
          <w:numId w:val="0"/>
        </w:numPr>
        <w:spacing w:line="240" w:lineRule="atLeast"/>
        <w:ind w:left="1276" w:hanging="698"/>
        <w:rPr>
          <w:rFonts w:ascii="Arial" w:hAnsi="Arial" w:cs="Arial"/>
          <w:sz w:val="20"/>
          <w:szCs w:val="20"/>
        </w:rPr>
      </w:pPr>
      <w:r w:rsidRPr="00F411DF">
        <w:rPr>
          <w:rFonts w:ascii="Arial" w:hAnsi="Arial" w:cs="Arial"/>
          <w:sz w:val="20"/>
          <w:szCs w:val="20"/>
        </w:rPr>
        <w:t>(a)</w:t>
      </w:r>
      <w:r w:rsidRPr="00F411DF">
        <w:rPr>
          <w:rFonts w:ascii="Arial" w:hAnsi="Arial" w:cs="Arial"/>
          <w:sz w:val="20"/>
          <w:szCs w:val="20"/>
        </w:rPr>
        <w:tab/>
        <w:t>information that was given in confidence to the ACMA in connection with the performance of any of the ACMA’s functions or the exercise of any of its powers; or</w:t>
      </w:r>
    </w:p>
    <w:p w14:paraId="6BF3142F" w14:textId="77777777" w:rsidR="000A10D4" w:rsidRPr="00F411DF" w:rsidRDefault="000A10D4" w:rsidP="00AF36EC">
      <w:pPr>
        <w:pStyle w:val="BodyText"/>
        <w:numPr>
          <w:ilvl w:val="0"/>
          <w:numId w:val="0"/>
        </w:numPr>
        <w:spacing w:after="80" w:line="240" w:lineRule="atLeast"/>
        <w:ind w:left="1276" w:hanging="698"/>
        <w:rPr>
          <w:rFonts w:ascii="Arial" w:hAnsi="Arial" w:cs="Arial"/>
          <w:sz w:val="20"/>
          <w:szCs w:val="20"/>
        </w:rPr>
      </w:pPr>
      <w:r w:rsidRPr="00F411DF">
        <w:rPr>
          <w:rFonts w:ascii="Arial" w:hAnsi="Arial" w:cs="Arial"/>
          <w:sz w:val="20"/>
          <w:szCs w:val="20"/>
        </w:rPr>
        <w:t>(b)</w:t>
      </w:r>
      <w:r w:rsidRPr="00F411DF">
        <w:rPr>
          <w:rFonts w:ascii="Arial" w:hAnsi="Arial" w:cs="Arial"/>
          <w:sz w:val="20"/>
          <w:szCs w:val="20"/>
        </w:rPr>
        <w:tab/>
        <w:t xml:space="preserve">information that was obtained by the ACMA as a result of the exercise of any of its powers under: </w:t>
      </w:r>
    </w:p>
    <w:p w14:paraId="675A4456" w14:textId="77777777" w:rsidR="000A10D4" w:rsidRDefault="000A10D4" w:rsidP="00AF36EC">
      <w:pPr>
        <w:pStyle w:val="BodyText"/>
        <w:numPr>
          <w:ilvl w:val="0"/>
          <w:numId w:val="0"/>
        </w:numPr>
        <w:tabs>
          <w:tab w:val="left" w:pos="1985"/>
          <w:tab w:val="num" w:pos="2880"/>
        </w:tabs>
        <w:spacing w:line="240" w:lineRule="atLeast"/>
        <w:ind w:left="1701" w:hanging="365"/>
        <w:rPr>
          <w:rFonts w:ascii="Arial" w:hAnsi="Arial" w:cs="Arial"/>
          <w:sz w:val="20"/>
          <w:szCs w:val="20"/>
        </w:rPr>
      </w:pPr>
      <w:r w:rsidRPr="00F411DF">
        <w:rPr>
          <w:rFonts w:ascii="Arial" w:hAnsi="Arial" w:cs="Arial"/>
          <w:sz w:val="20"/>
          <w:szCs w:val="20"/>
        </w:rPr>
        <w:t xml:space="preserve">(i) </w:t>
      </w:r>
      <w:r>
        <w:rPr>
          <w:rFonts w:ascii="Arial" w:hAnsi="Arial" w:cs="Arial"/>
          <w:sz w:val="20"/>
          <w:szCs w:val="20"/>
        </w:rPr>
        <w:tab/>
      </w:r>
      <w:r w:rsidRPr="00F411DF">
        <w:rPr>
          <w:rFonts w:ascii="Arial" w:hAnsi="Arial" w:cs="Arial"/>
          <w:sz w:val="20"/>
          <w:szCs w:val="20"/>
        </w:rPr>
        <w:t xml:space="preserve">Part 2, 5, 7 or 13 of the </w:t>
      </w:r>
      <w:r w:rsidRPr="00F411DF">
        <w:rPr>
          <w:rFonts w:ascii="Arial" w:hAnsi="Arial" w:cs="Arial"/>
          <w:i/>
          <w:sz w:val="20"/>
          <w:szCs w:val="20"/>
        </w:rPr>
        <w:t>Broadcasting Services Act 1992</w:t>
      </w:r>
      <w:r w:rsidRPr="00F411DF">
        <w:rPr>
          <w:rFonts w:ascii="Arial" w:hAnsi="Arial" w:cs="Arial"/>
          <w:sz w:val="20"/>
          <w:szCs w:val="20"/>
        </w:rPr>
        <w:t>; or</w:t>
      </w:r>
    </w:p>
    <w:p w14:paraId="0CFC7B6D" w14:textId="77777777" w:rsidR="000A10D4" w:rsidRPr="00F411DF" w:rsidRDefault="000A10D4" w:rsidP="00AF36EC">
      <w:pPr>
        <w:pStyle w:val="BodyText"/>
        <w:numPr>
          <w:ilvl w:val="0"/>
          <w:numId w:val="0"/>
        </w:numPr>
        <w:tabs>
          <w:tab w:val="left" w:pos="1134"/>
        </w:tabs>
        <w:spacing w:line="240" w:lineRule="atLeast"/>
        <w:ind w:left="1701" w:hanging="425"/>
        <w:rPr>
          <w:rFonts w:ascii="Arial" w:hAnsi="Arial" w:cs="Arial"/>
          <w:sz w:val="20"/>
          <w:szCs w:val="20"/>
        </w:rPr>
      </w:pPr>
      <w:r w:rsidRPr="00F411DF" w:rsidDel="004C221A">
        <w:rPr>
          <w:rFonts w:ascii="Arial" w:hAnsi="Arial" w:cs="Arial"/>
          <w:sz w:val="20"/>
          <w:szCs w:val="20"/>
        </w:rPr>
        <w:lastRenderedPageBreak/>
        <w:t xml:space="preserve"> </w:t>
      </w:r>
      <w:r w:rsidRPr="00F411DF">
        <w:rPr>
          <w:rFonts w:ascii="Arial" w:hAnsi="Arial" w:cs="Arial"/>
          <w:sz w:val="20"/>
          <w:szCs w:val="20"/>
        </w:rPr>
        <w:t xml:space="preserve">(ii) </w:t>
      </w:r>
      <w:r>
        <w:rPr>
          <w:rFonts w:ascii="Arial" w:hAnsi="Arial" w:cs="Arial"/>
          <w:sz w:val="20"/>
          <w:szCs w:val="20"/>
        </w:rPr>
        <w:tab/>
      </w:r>
      <w:r w:rsidRPr="00F411DF">
        <w:rPr>
          <w:rFonts w:ascii="Arial" w:hAnsi="Arial" w:cs="Arial"/>
          <w:sz w:val="20"/>
          <w:szCs w:val="20"/>
        </w:rPr>
        <w:t xml:space="preserve">Chapter 3, 5 or 6 of the </w:t>
      </w:r>
      <w:r w:rsidRPr="00F411DF">
        <w:rPr>
          <w:rFonts w:ascii="Arial" w:hAnsi="Arial" w:cs="Arial"/>
          <w:i/>
          <w:sz w:val="20"/>
          <w:szCs w:val="20"/>
        </w:rPr>
        <w:t>Radiocommunications Act 1992</w:t>
      </w:r>
      <w:r w:rsidRPr="00F411DF">
        <w:rPr>
          <w:rFonts w:ascii="Arial" w:hAnsi="Arial" w:cs="Arial"/>
          <w:sz w:val="20"/>
          <w:szCs w:val="20"/>
        </w:rPr>
        <w:t>; or</w:t>
      </w:r>
    </w:p>
    <w:p w14:paraId="4D17B274" w14:textId="2E8CE1FF" w:rsidR="000A10D4" w:rsidRPr="00F411DF" w:rsidRDefault="000A10D4" w:rsidP="00AF36EC">
      <w:pPr>
        <w:pStyle w:val="BodyText"/>
        <w:numPr>
          <w:ilvl w:val="0"/>
          <w:numId w:val="0"/>
        </w:numPr>
        <w:tabs>
          <w:tab w:val="left" w:pos="1985"/>
        </w:tabs>
        <w:spacing w:line="240" w:lineRule="atLeast"/>
        <w:ind w:left="1701" w:hanging="365"/>
        <w:rPr>
          <w:rFonts w:ascii="Arial" w:hAnsi="Arial" w:cs="Arial"/>
          <w:sz w:val="20"/>
          <w:szCs w:val="20"/>
        </w:rPr>
      </w:pPr>
      <w:r w:rsidRPr="00F411DF">
        <w:rPr>
          <w:rFonts w:ascii="Arial" w:hAnsi="Arial" w:cs="Arial"/>
          <w:sz w:val="20"/>
          <w:szCs w:val="20"/>
        </w:rPr>
        <w:t>(iii)</w:t>
      </w:r>
      <w:r>
        <w:rPr>
          <w:rFonts w:ascii="Arial" w:hAnsi="Arial" w:cs="Arial"/>
          <w:sz w:val="20"/>
          <w:szCs w:val="20"/>
        </w:rPr>
        <w:t xml:space="preserve"> </w:t>
      </w:r>
      <w:r w:rsidRPr="00F411DF">
        <w:rPr>
          <w:rFonts w:ascii="Arial" w:hAnsi="Arial" w:cs="Arial"/>
          <w:sz w:val="20"/>
          <w:szCs w:val="20"/>
        </w:rPr>
        <w:t xml:space="preserve">Part 3, 6, 21, 26 or 27 of the </w:t>
      </w:r>
      <w:r w:rsidRPr="00D000C2">
        <w:rPr>
          <w:rFonts w:ascii="Arial" w:hAnsi="Arial" w:cs="Arial"/>
          <w:iCs/>
          <w:sz w:val="20"/>
          <w:szCs w:val="20"/>
        </w:rPr>
        <w:t>Telecommunications Act</w:t>
      </w:r>
      <w:r w:rsidRPr="00F411DF">
        <w:rPr>
          <w:rFonts w:ascii="Arial" w:hAnsi="Arial" w:cs="Arial"/>
          <w:sz w:val="20"/>
          <w:szCs w:val="20"/>
        </w:rPr>
        <w:t>; or</w:t>
      </w:r>
    </w:p>
    <w:p w14:paraId="2125EC47" w14:textId="27CD0EC1" w:rsidR="000A10D4" w:rsidRPr="00AF36EC" w:rsidRDefault="000A10D4" w:rsidP="00AF36EC">
      <w:pPr>
        <w:pStyle w:val="BodyText"/>
        <w:numPr>
          <w:ilvl w:val="0"/>
          <w:numId w:val="0"/>
        </w:numPr>
        <w:tabs>
          <w:tab w:val="left" w:pos="1985"/>
          <w:tab w:val="num" w:pos="2880"/>
        </w:tabs>
        <w:spacing w:line="240" w:lineRule="atLeast"/>
        <w:ind w:left="1701" w:hanging="365"/>
        <w:rPr>
          <w:rFonts w:ascii="Arial" w:hAnsi="Arial" w:cs="Arial"/>
          <w:sz w:val="20"/>
          <w:szCs w:val="20"/>
        </w:rPr>
      </w:pPr>
      <w:r w:rsidRPr="00F411DF">
        <w:rPr>
          <w:rFonts w:ascii="Arial" w:hAnsi="Arial" w:cs="Arial"/>
          <w:sz w:val="20"/>
          <w:szCs w:val="20"/>
        </w:rPr>
        <w:t xml:space="preserve">(iv) </w:t>
      </w:r>
      <w:r>
        <w:rPr>
          <w:rFonts w:ascii="Arial" w:hAnsi="Arial" w:cs="Arial"/>
          <w:sz w:val="20"/>
          <w:szCs w:val="20"/>
        </w:rPr>
        <w:tab/>
      </w:r>
      <w:r w:rsidRPr="00F411DF">
        <w:rPr>
          <w:rFonts w:ascii="Arial" w:hAnsi="Arial" w:cs="Arial"/>
          <w:sz w:val="20"/>
          <w:szCs w:val="20"/>
        </w:rPr>
        <w:t>Schedul</w:t>
      </w:r>
      <w:r w:rsidRPr="00AF36EC">
        <w:rPr>
          <w:rFonts w:ascii="Arial" w:hAnsi="Arial" w:cs="Arial"/>
          <w:sz w:val="20"/>
          <w:szCs w:val="20"/>
        </w:rPr>
        <w:t xml:space="preserve">e 3A of the </w:t>
      </w:r>
      <w:r w:rsidRPr="00D000C2">
        <w:rPr>
          <w:rFonts w:ascii="Arial" w:hAnsi="Arial" w:cs="Arial"/>
          <w:iCs/>
          <w:sz w:val="20"/>
          <w:szCs w:val="20"/>
        </w:rPr>
        <w:t>Telecommunications Act</w:t>
      </w:r>
      <w:r w:rsidRPr="00AF36EC">
        <w:rPr>
          <w:rFonts w:ascii="Arial" w:hAnsi="Arial" w:cs="Arial"/>
          <w:sz w:val="20"/>
          <w:szCs w:val="20"/>
        </w:rPr>
        <w:t>; or</w:t>
      </w:r>
    </w:p>
    <w:p w14:paraId="46E614FE" w14:textId="77777777" w:rsidR="000A10D4" w:rsidRPr="00AF36EC" w:rsidRDefault="000A10D4" w:rsidP="00AF36EC">
      <w:pPr>
        <w:pStyle w:val="BodyText"/>
        <w:numPr>
          <w:ilvl w:val="0"/>
          <w:numId w:val="0"/>
        </w:numPr>
        <w:tabs>
          <w:tab w:val="left" w:pos="1985"/>
          <w:tab w:val="num" w:pos="2880"/>
        </w:tabs>
        <w:spacing w:line="240" w:lineRule="atLeast"/>
        <w:ind w:left="1701" w:hanging="365"/>
        <w:rPr>
          <w:rFonts w:ascii="Arial" w:hAnsi="Arial" w:cs="Arial"/>
          <w:sz w:val="20"/>
          <w:szCs w:val="20"/>
        </w:rPr>
      </w:pPr>
      <w:r w:rsidRPr="00AF36EC">
        <w:rPr>
          <w:rFonts w:ascii="Arial" w:hAnsi="Arial" w:cs="Arial"/>
          <w:sz w:val="20"/>
          <w:szCs w:val="20"/>
        </w:rPr>
        <w:t xml:space="preserve">(v) </w:t>
      </w:r>
      <w:r w:rsidRPr="00AF36EC">
        <w:rPr>
          <w:rFonts w:ascii="Arial" w:hAnsi="Arial" w:cs="Arial"/>
          <w:sz w:val="20"/>
          <w:szCs w:val="20"/>
        </w:rPr>
        <w:tab/>
        <w:t xml:space="preserve">Part 2 of the </w:t>
      </w:r>
      <w:r w:rsidRPr="00AF36EC">
        <w:rPr>
          <w:rFonts w:ascii="Arial" w:hAnsi="Arial" w:cs="Arial"/>
          <w:i/>
          <w:sz w:val="20"/>
          <w:szCs w:val="20"/>
        </w:rPr>
        <w:t>Telecommunications (Consumer Protection and Service Standards) Act 1999</w:t>
      </w:r>
      <w:r w:rsidRPr="00AF36EC">
        <w:rPr>
          <w:rFonts w:ascii="Arial" w:hAnsi="Arial" w:cs="Arial"/>
          <w:sz w:val="20"/>
          <w:szCs w:val="20"/>
        </w:rPr>
        <w:t>; or</w:t>
      </w:r>
    </w:p>
    <w:p w14:paraId="03C02CC5" w14:textId="77777777" w:rsidR="000A10D4" w:rsidRPr="00AF36EC" w:rsidRDefault="000A10D4" w:rsidP="00AF36EC">
      <w:pPr>
        <w:pStyle w:val="BodyText"/>
        <w:numPr>
          <w:ilvl w:val="0"/>
          <w:numId w:val="0"/>
        </w:numPr>
        <w:tabs>
          <w:tab w:val="left" w:pos="1985"/>
          <w:tab w:val="num" w:pos="2880"/>
        </w:tabs>
        <w:spacing w:line="240" w:lineRule="atLeast"/>
        <w:ind w:left="1701" w:hanging="365"/>
        <w:rPr>
          <w:rFonts w:ascii="Arial" w:hAnsi="Arial" w:cs="Arial"/>
          <w:i/>
          <w:sz w:val="20"/>
          <w:szCs w:val="20"/>
        </w:rPr>
      </w:pPr>
      <w:r w:rsidRPr="00AF36EC">
        <w:rPr>
          <w:rFonts w:ascii="Arial" w:hAnsi="Arial" w:cs="Arial"/>
          <w:sz w:val="20"/>
          <w:szCs w:val="20"/>
        </w:rPr>
        <w:t xml:space="preserve">(vi)  Part 3, 4 or 5 of the </w:t>
      </w:r>
      <w:r w:rsidRPr="00AF36EC">
        <w:rPr>
          <w:rFonts w:ascii="Arial" w:hAnsi="Arial" w:cs="Arial"/>
          <w:i/>
          <w:sz w:val="20"/>
          <w:szCs w:val="20"/>
        </w:rPr>
        <w:t xml:space="preserve">Interactive Gambling Act 2001. </w:t>
      </w:r>
    </w:p>
    <w:p w14:paraId="7E822288" w14:textId="760C5E0A" w:rsidR="000A10D4" w:rsidRPr="00AF36EC" w:rsidRDefault="000A10D4" w:rsidP="00AF36EC">
      <w:pPr>
        <w:pStyle w:val="BodyText"/>
        <w:numPr>
          <w:ilvl w:val="0"/>
          <w:numId w:val="0"/>
        </w:numPr>
        <w:spacing w:after="80" w:line="240" w:lineRule="atLeast"/>
        <w:ind w:left="1276" w:hanging="698"/>
        <w:rPr>
          <w:rFonts w:ascii="Arial" w:hAnsi="Arial" w:cs="Arial"/>
          <w:sz w:val="20"/>
          <w:szCs w:val="20"/>
        </w:rPr>
      </w:pPr>
      <w:r w:rsidRPr="00AF36EC">
        <w:rPr>
          <w:rFonts w:ascii="Arial" w:hAnsi="Arial" w:cs="Arial"/>
          <w:sz w:val="20"/>
          <w:szCs w:val="20"/>
        </w:rPr>
        <w:t xml:space="preserve">(c) </w:t>
      </w:r>
      <w:r w:rsidRPr="00AF36EC">
        <w:rPr>
          <w:rFonts w:ascii="Arial" w:hAnsi="Arial" w:cs="Arial"/>
          <w:sz w:val="20"/>
          <w:szCs w:val="20"/>
        </w:rPr>
        <w:tab/>
        <w:t>information that was obtained by the ACMA as a result of the exercise of powers under a provision that:</w:t>
      </w:r>
    </w:p>
    <w:p w14:paraId="6173B89C" w14:textId="77777777" w:rsidR="000A10D4" w:rsidRPr="00AF36EC" w:rsidRDefault="000A10D4" w:rsidP="00AF36EC">
      <w:pPr>
        <w:pStyle w:val="BodyText"/>
        <w:numPr>
          <w:ilvl w:val="0"/>
          <w:numId w:val="0"/>
        </w:numPr>
        <w:tabs>
          <w:tab w:val="left" w:pos="1985"/>
          <w:tab w:val="num" w:pos="2880"/>
        </w:tabs>
        <w:spacing w:line="240" w:lineRule="atLeast"/>
        <w:ind w:left="1701" w:hanging="365"/>
        <w:rPr>
          <w:rFonts w:ascii="Arial" w:hAnsi="Arial" w:cs="Arial"/>
          <w:sz w:val="20"/>
          <w:szCs w:val="20"/>
        </w:rPr>
      </w:pPr>
      <w:r w:rsidRPr="00AF36EC">
        <w:rPr>
          <w:rFonts w:ascii="Arial" w:hAnsi="Arial" w:cs="Arial"/>
          <w:sz w:val="20"/>
          <w:szCs w:val="20"/>
        </w:rPr>
        <w:t xml:space="preserve">(i) </w:t>
      </w:r>
      <w:r w:rsidRPr="00AF36EC">
        <w:rPr>
          <w:rFonts w:ascii="Arial" w:hAnsi="Arial" w:cs="Arial"/>
          <w:sz w:val="20"/>
          <w:szCs w:val="20"/>
        </w:rPr>
        <w:tab/>
        <w:t>allows the ACMA or an ACMA official to require a person to give information or to produce a document; and</w:t>
      </w:r>
    </w:p>
    <w:p w14:paraId="2F7E2698" w14:textId="77777777" w:rsidR="000A10D4" w:rsidRPr="00A73BE3" w:rsidRDefault="000A10D4" w:rsidP="00AF36EC">
      <w:pPr>
        <w:pStyle w:val="BodyText"/>
        <w:numPr>
          <w:ilvl w:val="0"/>
          <w:numId w:val="0"/>
        </w:numPr>
        <w:tabs>
          <w:tab w:val="left" w:pos="1985"/>
          <w:tab w:val="num" w:pos="2880"/>
        </w:tabs>
        <w:spacing w:line="240" w:lineRule="atLeast"/>
        <w:ind w:left="1701" w:hanging="365"/>
        <w:rPr>
          <w:rFonts w:ascii="Arial" w:hAnsi="Arial" w:cs="Arial"/>
          <w:sz w:val="20"/>
          <w:szCs w:val="20"/>
        </w:rPr>
      </w:pPr>
      <w:r w:rsidRPr="00AF36EC">
        <w:rPr>
          <w:rFonts w:ascii="Arial" w:hAnsi="Arial" w:cs="Arial"/>
          <w:sz w:val="20"/>
          <w:szCs w:val="20"/>
        </w:rPr>
        <w:t xml:space="preserve">(ii) </w:t>
      </w:r>
      <w:r w:rsidRPr="00AF36EC">
        <w:rPr>
          <w:rFonts w:ascii="Arial" w:hAnsi="Arial" w:cs="Arial"/>
          <w:sz w:val="20"/>
          <w:szCs w:val="20"/>
        </w:rPr>
        <w:tab/>
        <w:t>is a provision of an Act or a legislativ</w:t>
      </w:r>
      <w:r w:rsidRPr="00A73BE3">
        <w:rPr>
          <w:rFonts w:ascii="Arial" w:hAnsi="Arial" w:cs="Arial"/>
          <w:sz w:val="20"/>
          <w:szCs w:val="20"/>
        </w:rPr>
        <w:t>e instrument; and</w:t>
      </w:r>
    </w:p>
    <w:p w14:paraId="159B5A9B" w14:textId="77777777" w:rsidR="000A10D4" w:rsidRPr="00F411DF" w:rsidRDefault="000A10D4" w:rsidP="00AF36EC">
      <w:pPr>
        <w:pStyle w:val="BodyText"/>
        <w:numPr>
          <w:ilvl w:val="0"/>
          <w:numId w:val="0"/>
        </w:numPr>
        <w:tabs>
          <w:tab w:val="left" w:pos="1980"/>
          <w:tab w:val="num" w:pos="2880"/>
        </w:tabs>
        <w:spacing w:line="240" w:lineRule="atLeast"/>
        <w:ind w:left="1701" w:hanging="365"/>
        <w:rPr>
          <w:rFonts w:ascii="Arial" w:hAnsi="Arial" w:cs="Arial"/>
          <w:sz w:val="20"/>
          <w:szCs w:val="20"/>
        </w:rPr>
      </w:pPr>
      <w:r w:rsidRPr="00F411DF">
        <w:rPr>
          <w:rFonts w:ascii="Arial" w:hAnsi="Arial" w:cs="Arial"/>
          <w:sz w:val="20"/>
          <w:szCs w:val="20"/>
        </w:rPr>
        <w:t xml:space="preserve">(iii) </w:t>
      </w:r>
      <w:r>
        <w:rPr>
          <w:rFonts w:ascii="Arial" w:hAnsi="Arial" w:cs="Arial"/>
          <w:sz w:val="20"/>
          <w:szCs w:val="20"/>
        </w:rPr>
        <w:tab/>
      </w:r>
      <w:r w:rsidRPr="00F411DF">
        <w:rPr>
          <w:rFonts w:ascii="Arial" w:hAnsi="Arial" w:cs="Arial"/>
          <w:sz w:val="20"/>
          <w:szCs w:val="20"/>
        </w:rPr>
        <w:t>is not a provision described in paragraph (b); or</w:t>
      </w:r>
    </w:p>
    <w:p w14:paraId="03EFA76E" w14:textId="77777777" w:rsidR="000A10D4" w:rsidRPr="00F411DF" w:rsidRDefault="000A10D4" w:rsidP="004265FB">
      <w:pPr>
        <w:pStyle w:val="BodyText"/>
        <w:numPr>
          <w:ilvl w:val="0"/>
          <w:numId w:val="0"/>
        </w:numPr>
        <w:spacing w:line="240" w:lineRule="atLeast"/>
        <w:ind w:left="1276" w:hanging="698"/>
        <w:rPr>
          <w:rFonts w:ascii="Arial" w:hAnsi="Arial" w:cs="Arial"/>
          <w:i/>
          <w:sz w:val="20"/>
          <w:szCs w:val="20"/>
        </w:rPr>
      </w:pPr>
      <w:r w:rsidRPr="00F411DF">
        <w:rPr>
          <w:rFonts w:ascii="Arial" w:hAnsi="Arial" w:cs="Arial"/>
          <w:sz w:val="20"/>
          <w:szCs w:val="20"/>
        </w:rPr>
        <w:t>(d)</w:t>
      </w:r>
      <w:r w:rsidRPr="00F411DF">
        <w:rPr>
          <w:rFonts w:ascii="Arial" w:hAnsi="Arial" w:cs="Arial"/>
          <w:sz w:val="20"/>
          <w:szCs w:val="20"/>
        </w:rPr>
        <w:tab/>
        <w:t>information that was given in confidence to the ACMA by a government authority of a foreign country.</w:t>
      </w:r>
    </w:p>
    <w:p w14:paraId="1BF6E681" w14:textId="77777777" w:rsidR="000A10D4" w:rsidRPr="00F411DF" w:rsidRDefault="000A10D4" w:rsidP="000A10D4">
      <w:pPr>
        <w:pStyle w:val="ACMABodyText"/>
        <w:spacing w:after="240"/>
        <w:ind w:left="567"/>
        <w:rPr>
          <w:rFonts w:cs="Arial"/>
          <w:sz w:val="20"/>
        </w:rPr>
      </w:pPr>
      <w:r w:rsidRPr="00F411DF">
        <w:rPr>
          <w:rFonts w:cs="Arial"/>
          <w:sz w:val="20"/>
        </w:rPr>
        <w:t xml:space="preserve">(See section 3 of the ACMA Act.) </w:t>
      </w:r>
    </w:p>
    <w:p w14:paraId="69F59789" w14:textId="77777777" w:rsidR="000A10D4" w:rsidRPr="00F411DF" w:rsidRDefault="000A10D4" w:rsidP="004265FB">
      <w:pPr>
        <w:pStyle w:val="ACMABodyText"/>
        <w:keepNext/>
        <w:spacing w:before="60" w:after="60" w:line="240" w:lineRule="atLeast"/>
        <w:ind w:left="567"/>
        <w:rPr>
          <w:rFonts w:cs="Arial"/>
          <w:b/>
          <w:sz w:val="20"/>
        </w:rPr>
      </w:pPr>
      <w:r w:rsidRPr="00F411DF">
        <w:rPr>
          <w:rFonts w:cs="Arial"/>
          <w:b/>
          <w:sz w:val="20"/>
        </w:rPr>
        <w:t>Information given in confidence</w:t>
      </w:r>
    </w:p>
    <w:p w14:paraId="0DC35736" w14:textId="77777777" w:rsidR="000A10D4" w:rsidRPr="00F411DF" w:rsidRDefault="000A10D4" w:rsidP="00AF36EC">
      <w:pPr>
        <w:tabs>
          <w:tab w:val="left" w:pos="567"/>
        </w:tabs>
        <w:spacing w:after="120"/>
        <w:ind w:left="567" w:hanging="567"/>
        <w:rPr>
          <w:rFonts w:cs="Arial"/>
        </w:rPr>
      </w:pPr>
      <w:r w:rsidRPr="00F411DF">
        <w:rPr>
          <w:rFonts w:cs="Arial"/>
        </w:rPr>
        <w:t>3.2</w:t>
      </w:r>
      <w:r w:rsidRPr="00F411DF">
        <w:rPr>
          <w:rFonts w:cs="Arial"/>
        </w:rPr>
        <w:tab/>
        <w:t>Under general legal principles, confidential information can only be used and disclosed for the purpose for which it was obtained unless the other use or disclosure is impliedly or expressly authorised by the provider of the information or the recipient of the information is a person who is legally entitled to that information.</w:t>
      </w:r>
      <w:r>
        <w:rPr>
          <w:rFonts w:cs="Arial"/>
        </w:rPr>
        <w:t xml:space="preserve"> </w:t>
      </w:r>
    </w:p>
    <w:p w14:paraId="19F57070" w14:textId="77777777" w:rsidR="000A10D4" w:rsidRPr="00F411DF" w:rsidRDefault="000A10D4" w:rsidP="00AF36EC">
      <w:pPr>
        <w:tabs>
          <w:tab w:val="left" w:pos="567"/>
        </w:tabs>
        <w:spacing w:after="120"/>
        <w:ind w:left="567" w:hanging="567"/>
        <w:rPr>
          <w:rFonts w:cs="Arial"/>
        </w:rPr>
      </w:pPr>
      <w:r w:rsidRPr="00F411DF">
        <w:rPr>
          <w:rFonts w:cs="Arial"/>
        </w:rPr>
        <w:t>3.3</w:t>
      </w:r>
      <w:r w:rsidRPr="00F411DF">
        <w:rPr>
          <w:rFonts w:cs="Arial"/>
        </w:rPr>
        <w:tab/>
        <w:t xml:space="preserve">Part 7A of the ACMA Act provides a statutory basis for disclosure to third parties and thereby extends the purposes for which the ACMA may disclose information given to it in confidence (see paragraphs (a) and (d) of the definition of </w:t>
      </w:r>
      <w:r w:rsidRPr="00F411DF">
        <w:rPr>
          <w:rFonts w:cs="Arial"/>
          <w:b/>
        </w:rPr>
        <w:t>authorised disclosure information</w:t>
      </w:r>
      <w:r w:rsidRPr="00F411DF">
        <w:rPr>
          <w:rFonts w:cs="Arial"/>
        </w:rPr>
        <w:t xml:space="preserve"> above).</w:t>
      </w:r>
    </w:p>
    <w:p w14:paraId="77E7268A" w14:textId="36803AA9" w:rsidR="000A10D4" w:rsidRPr="00F411DF" w:rsidRDefault="000A10D4" w:rsidP="00AF36EC">
      <w:pPr>
        <w:tabs>
          <w:tab w:val="left" w:pos="567"/>
        </w:tabs>
        <w:spacing w:after="80"/>
        <w:ind w:left="567" w:hanging="567"/>
        <w:rPr>
          <w:rFonts w:cs="Arial"/>
        </w:rPr>
      </w:pPr>
      <w:r w:rsidRPr="00F411DF">
        <w:rPr>
          <w:rFonts w:cs="Arial"/>
        </w:rPr>
        <w:t>3.4</w:t>
      </w:r>
      <w:r w:rsidRPr="00F411DF">
        <w:rPr>
          <w:rFonts w:cs="Arial"/>
        </w:rPr>
        <w:tab/>
        <w:t>In order for information to be ‘given in confidence’</w:t>
      </w:r>
      <w:r w:rsidR="0038162D">
        <w:rPr>
          <w:rFonts w:cs="Arial"/>
        </w:rPr>
        <w:t>,</w:t>
      </w:r>
      <w:r w:rsidRPr="00F411DF">
        <w:rPr>
          <w:rFonts w:cs="Arial"/>
        </w:rPr>
        <w:t xml:space="preserve"> the information must be:</w:t>
      </w:r>
    </w:p>
    <w:p w14:paraId="79BE82A0" w14:textId="292933CA"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confidential in character (</w:t>
      </w:r>
      <w:r w:rsidR="0038162D">
        <w:rPr>
          <w:rFonts w:cs="Arial"/>
        </w:rPr>
        <w:t>that is,</w:t>
      </w:r>
      <w:r w:rsidRPr="00F411DF">
        <w:rPr>
          <w:rFonts w:cs="Arial"/>
        </w:rPr>
        <w:t xml:space="preserve"> not public knowledge); and</w:t>
      </w:r>
    </w:p>
    <w:p w14:paraId="1CA63621" w14:textId="55B17B3A" w:rsidR="000A10D4" w:rsidRPr="00F411DF" w:rsidRDefault="000A10D4" w:rsidP="004265FB">
      <w:pPr>
        <w:pStyle w:val="ListBullet2"/>
        <w:numPr>
          <w:ilvl w:val="0"/>
          <w:numId w:val="1"/>
        </w:numPr>
        <w:tabs>
          <w:tab w:val="clear" w:pos="295"/>
          <w:tab w:val="num" w:pos="993"/>
        </w:tabs>
        <w:spacing w:after="120"/>
        <w:ind w:left="993" w:hanging="426"/>
        <w:rPr>
          <w:rFonts w:cs="Arial"/>
        </w:rPr>
      </w:pPr>
      <w:r w:rsidRPr="00F411DF">
        <w:rPr>
          <w:rFonts w:cs="Arial"/>
        </w:rPr>
        <w:t>communicated in a relationship of confidence or in circumstances imparting an obligation of confidence (</w:t>
      </w:r>
      <w:r w:rsidR="0038162D">
        <w:rPr>
          <w:rFonts w:cs="Arial"/>
        </w:rPr>
        <w:t>that is,</w:t>
      </w:r>
      <w:r w:rsidRPr="00F411DF">
        <w:rPr>
          <w:rFonts w:cs="Arial"/>
        </w:rPr>
        <w:t xml:space="preserve"> given to and received by the ACMA in confidence (which involves a mutual not unilateral understanding) or given in circumstances where there is an express or inferred understanding that the information will be kept confidential).</w:t>
      </w:r>
    </w:p>
    <w:p w14:paraId="2F774929" w14:textId="77777777" w:rsidR="000A10D4" w:rsidRPr="00F411DF" w:rsidRDefault="000A10D4" w:rsidP="00AF36EC">
      <w:pPr>
        <w:tabs>
          <w:tab w:val="left" w:pos="567"/>
        </w:tabs>
        <w:spacing w:after="120"/>
        <w:ind w:left="567" w:hanging="567"/>
        <w:rPr>
          <w:rFonts w:cs="Arial"/>
        </w:rPr>
      </w:pPr>
      <w:r w:rsidRPr="00F411DF">
        <w:rPr>
          <w:rFonts w:cs="Arial"/>
        </w:rPr>
        <w:t>3.5</w:t>
      </w:r>
      <w:r w:rsidRPr="00F411DF">
        <w:rPr>
          <w:rFonts w:cs="Arial"/>
        </w:rPr>
        <w:tab/>
        <w:t xml:space="preserve">Information will not necessarily be given to the ACMA ‘in confidence’ simply because the confider of information asserts that it is. Information that is otherwise public cannot be rendered confidential by the mere assertion of the person supplying it. Equally, a confider of information cannot, in providing information, fetter the ACMA’s lawful use of that information or impose any higher duty of confidence than that imposed on the ACMA under law. </w:t>
      </w:r>
    </w:p>
    <w:p w14:paraId="0E3E7414" w14:textId="77777777" w:rsidR="000A10D4" w:rsidRPr="00F411DF" w:rsidRDefault="000A10D4" w:rsidP="00AF36EC">
      <w:pPr>
        <w:tabs>
          <w:tab w:val="left" w:pos="567"/>
        </w:tabs>
        <w:spacing w:after="120"/>
        <w:ind w:left="567" w:hanging="567"/>
        <w:rPr>
          <w:rFonts w:cs="Arial"/>
        </w:rPr>
      </w:pPr>
      <w:r w:rsidRPr="00F411DF">
        <w:rPr>
          <w:rFonts w:cs="Arial"/>
        </w:rPr>
        <w:t>3.6</w:t>
      </w:r>
      <w:r w:rsidRPr="00F411DF">
        <w:rPr>
          <w:rFonts w:cs="Arial"/>
        </w:rPr>
        <w:tab/>
        <w:t xml:space="preserve">Not all </w:t>
      </w:r>
      <w:r w:rsidRPr="00F411DF">
        <w:rPr>
          <w:rFonts w:cs="Arial"/>
          <w:b/>
        </w:rPr>
        <w:t>authorised disclosure information</w:t>
      </w:r>
      <w:r w:rsidRPr="00F411DF">
        <w:rPr>
          <w:rFonts w:cs="Arial"/>
        </w:rPr>
        <w:t xml:space="preserve"> is confidential. Whether information is ‘given in confidence’ is determined in light of all of the circumstances of the matter.</w:t>
      </w:r>
      <w:r>
        <w:rPr>
          <w:rFonts w:cs="Arial"/>
        </w:rPr>
        <w:t xml:space="preserve"> </w:t>
      </w:r>
    </w:p>
    <w:p w14:paraId="0CF7D000" w14:textId="77777777" w:rsidR="000A10D4" w:rsidRPr="00F411DF" w:rsidRDefault="000A10D4" w:rsidP="004265FB">
      <w:pPr>
        <w:pStyle w:val="ACMABodyText"/>
        <w:keepNext/>
        <w:spacing w:before="240" w:after="60" w:line="240" w:lineRule="atLeast"/>
        <w:ind w:left="567"/>
        <w:rPr>
          <w:rFonts w:cs="Arial"/>
          <w:b/>
          <w:sz w:val="20"/>
        </w:rPr>
      </w:pPr>
      <w:r w:rsidRPr="00F411DF">
        <w:rPr>
          <w:rFonts w:cs="Arial"/>
          <w:b/>
          <w:sz w:val="20"/>
        </w:rPr>
        <w:t>Information produced under compulsion</w:t>
      </w:r>
    </w:p>
    <w:p w14:paraId="19F35456" w14:textId="77777777" w:rsidR="000A10D4" w:rsidRPr="00F411DF" w:rsidRDefault="000A10D4" w:rsidP="00AF36EC">
      <w:pPr>
        <w:tabs>
          <w:tab w:val="left" w:pos="567"/>
        </w:tabs>
        <w:spacing w:after="120"/>
        <w:ind w:left="567" w:hanging="567"/>
        <w:rPr>
          <w:rFonts w:cs="Arial"/>
        </w:rPr>
      </w:pPr>
      <w:r w:rsidRPr="00F411DF">
        <w:rPr>
          <w:rFonts w:cs="Arial"/>
        </w:rPr>
        <w:t>3.7</w:t>
      </w:r>
      <w:r w:rsidRPr="00F411DF">
        <w:rPr>
          <w:rFonts w:cs="Arial"/>
        </w:rPr>
        <w:tab/>
        <w:t>Under general legal principles, in the absence of statutory authorisation, information acquired under compulsory process can only be used and disclosed for the purpose for which the compulsory power was enacted.</w:t>
      </w:r>
      <w:r>
        <w:rPr>
          <w:rFonts w:cs="Arial"/>
        </w:rPr>
        <w:t xml:space="preserve"> </w:t>
      </w:r>
    </w:p>
    <w:p w14:paraId="26F733E5" w14:textId="3735EB36" w:rsidR="000A10D4" w:rsidRPr="00F411DF" w:rsidRDefault="000A10D4" w:rsidP="00AF36EC">
      <w:pPr>
        <w:tabs>
          <w:tab w:val="left" w:pos="567"/>
        </w:tabs>
        <w:spacing w:after="120"/>
        <w:ind w:left="567" w:hanging="567"/>
        <w:rPr>
          <w:rFonts w:cs="Arial"/>
        </w:rPr>
      </w:pPr>
      <w:r w:rsidRPr="00F411DF">
        <w:rPr>
          <w:rFonts w:cs="Arial"/>
        </w:rPr>
        <w:lastRenderedPageBreak/>
        <w:t>3.8</w:t>
      </w:r>
      <w:r w:rsidRPr="00F411DF">
        <w:rPr>
          <w:rFonts w:cs="Arial"/>
        </w:rPr>
        <w:tab/>
        <w:t>The ACMA has been conferred power to compel the production of information and documents (see</w:t>
      </w:r>
      <w:r w:rsidR="003128EB">
        <w:rPr>
          <w:rFonts w:cs="Arial"/>
        </w:rPr>
        <w:t>,</w:t>
      </w:r>
      <w:r w:rsidRPr="00F411DF">
        <w:rPr>
          <w:rFonts w:cs="Arial"/>
        </w:rPr>
        <w:t xml:space="preserve"> for example</w:t>
      </w:r>
      <w:r w:rsidR="003128EB">
        <w:rPr>
          <w:rFonts w:cs="Arial"/>
        </w:rPr>
        <w:t>,</w:t>
      </w:r>
      <w:r w:rsidRPr="00F411DF">
        <w:rPr>
          <w:rFonts w:cs="Arial"/>
        </w:rPr>
        <w:t xml:space="preserve"> sections 521 and 522 of the </w:t>
      </w:r>
      <w:r w:rsidRPr="00D000C2">
        <w:rPr>
          <w:rFonts w:cs="Arial"/>
          <w:iCs/>
        </w:rPr>
        <w:t>Telecommunications Act</w:t>
      </w:r>
      <w:r w:rsidRPr="00F411DF">
        <w:rPr>
          <w:rFonts w:cs="Arial"/>
          <w:i/>
        </w:rPr>
        <w:t xml:space="preserve"> </w:t>
      </w:r>
      <w:r w:rsidRPr="00F411DF">
        <w:rPr>
          <w:rFonts w:cs="Arial"/>
        </w:rPr>
        <w:t xml:space="preserve">and section 173 of the </w:t>
      </w:r>
      <w:r w:rsidRPr="00F411DF">
        <w:rPr>
          <w:rFonts w:cs="Arial"/>
          <w:i/>
        </w:rPr>
        <w:t>Broadcasting Services Act 1992</w:t>
      </w:r>
      <w:r w:rsidRPr="00F411DF">
        <w:rPr>
          <w:rFonts w:cs="Arial"/>
        </w:rPr>
        <w:t xml:space="preserve">). </w:t>
      </w:r>
    </w:p>
    <w:p w14:paraId="748EAB0F" w14:textId="77777777" w:rsidR="000A10D4" w:rsidRPr="00F411DF" w:rsidRDefault="000A10D4" w:rsidP="00AF36EC">
      <w:pPr>
        <w:tabs>
          <w:tab w:val="left" w:pos="567"/>
        </w:tabs>
        <w:spacing w:after="120"/>
        <w:ind w:left="567" w:hanging="567"/>
        <w:rPr>
          <w:rFonts w:cs="Arial"/>
        </w:rPr>
      </w:pPr>
      <w:r w:rsidRPr="00F411DF">
        <w:rPr>
          <w:rFonts w:cs="Arial"/>
        </w:rPr>
        <w:t>3.9</w:t>
      </w:r>
      <w:r w:rsidRPr="00F411DF">
        <w:rPr>
          <w:rFonts w:cs="Arial"/>
        </w:rPr>
        <w:tab/>
        <w:t>Part 7A of the ACMA Act extends the purposes for which the ACMA may disclose information produced under its compulsory powers by providing statutory authorisation to disclose compelled information to third parties.</w:t>
      </w:r>
      <w:r>
        <w:rPr>
          <w:rFonts w:cs="Arial"/>
        </w:rPr>
        <w:t xml:space="preserve"> </w:t>
      </w:r>
    </w:p>
    <w:p w14:paraId="20455A9C" w14:textId="77777777" w:rsidR="000A10D4" w:rsidRPr="00F411DF" w:rsidRDefault="000A10D4" w:rsidP="004265FB">
      <w:pPr>
        <w:pStyle w:val="ACMABodyText"/>
        <w:keepNext/>
        <w:spacing w:before="240" w:after="60" w:line="240" w:lineRule="atLeast"/>
        <w:ind w:left="567"/>
        <w:rPr>
          <w:rFonts w:cs="Arial"/>
          <w:b/>
          <w:sz w:val="20"/>
        </w:rPr>
      </w:pPr>
      <w:r w:rsidRPr="00F411DF">
        <w:rPr>
          <w:rFonts w:cs="Arial"/>
          <w:b/>
          <w:sz w:val="20"/>
        </w:rPr>
        <w:t>Summaries and statistics</w:t>
      </w:r>
    </w:p>
    <w:p w14:paraId="1FB1C567" w14:textId="77777777" w:rsidR="000A10D4" w:rsidRPr="00F411DF" w:rsidRDefault="000A10D4" w:rsidP="00AF36EC">
      <w:pPr>
        <w:tabs>
          <w:tab w:val="left" w:pos="567"/>
        </w:tabs>
        <w:spacing w:after="120"/>
        <w:ind w:left="567" w:hanging="567"/>
        <w:rPr>
          <w:rFonts w:cs="Arial"/>
        </w:rPr>
      </w:pPr>
      <w:r w:rsidRPr="00F411DF">
        <w:rPr>
          <w:rFonts w:cs="Arial"/>
        </w:rPr>
        <w:t>3.10</w:t>
      </w:r>
      <w:r w:rsidRPr="00F411DF">
        <w:rPr>
          <w:rFonts w:cs="Arial"/>
        </w:rPr>
        <w:tab/>
        <w:t>Summaries of, and statistics derived from, authorised disclosure information may also be released by the ACMA provided the summaries or statistics are not likely to enable the identification of a person (section 59G).</w:t>
      </w:r>
      <w:r>
        <w:rPr>
          <w:rFonts w:cs="Arial"/>
        </w:rPr>
        <w:t xml:space="preserve"> </w:t>
      </w:r>
    </w:p>
    <w:p w14:paraId="01EEB2C6" w14:textId="77777777" w:rsidR="000A10D4" w:rsidRPr="00F411DF" w:rsidRDefault="000A10D4" w:rsidP="00AF36EC">
      <w:pPr>
        <w:tabs>
          <w:tab w:val="left" w:pos="567"/>
        </w:tabs>
        <w:spacing w:after="120"/>
        <w:ind w:left="567" w:hanging="567"/>
        <w:rPr>
          <w:rFonts w:cs="Arial"/>
        </w:rPr>
      </w:pPr>
      <w:r w:rsidRPr="00F411DF">
        <w:rPr>
          <w:rFonts w:cs="Arial"/>
        </w:rPr>
        <w:t>3.11</w:t>
      </w:r>
      <w:r w:rsidRPr="00F411DF">
        <w:rPr>
          <w:rFonts w:cs="Arial"/>
        </w:rPr>
        <w:tab/>
        <w:t xml:space="preserve">The provision of information in the form of a summary or statistics may be an appropriate alternative to provision of the </w:t>
      </w:r>
      <w:r w:rsidRPr="00F411DF">
        <w:rPr>
          <w:rFonts w:cs="Arial"/>
          <w:b/>
        </w:rPr>
        <w:t>authorised disclosure information</w:t>
      </w:r>
      <w:r w:rsidRPr="00F411DF">
        <w:rPr>
          <w:rFonts w:cs="Arial"/>
        </w:rPr>
        <w:t xml:space="preserve"> in a different form (see the discussion below concerning </w:t>
      </w:r>
      <w:hyperlink w:anchor="_6._Assisting_the" w:history="1">
        <w:r w:rsidRPr="00F411DF">
          <w:rPr>
            <w:rStyle w:val="Hyperlink"/>
            <w:rFonts w:cs="Arial"/>
            <w:b/>
          </w:rPr>
          <w:t>procedural fairness</w:t>
        </w:r>
      </w:hyperlink>
      <w:r w:rsidRPr="00F411DF">
        <w:rPr>
          <w:rFonts w:cs="Arial"/>
        </w:rPr>
        <w:t xml:space="preserve">). </w:t>
      </w:r>
    </w:p>
    <w:p w14:paraId="3D4D0BCE" w14:textId="77777777" w:rsidR="000A10D4" w:rsidRPr="00F411DF" w:rsidRDefault="000A10D4" w:rsidP="004265FB">
      <w:pPr>
        <w:pStyle w:val="ACMABodyText"/>
        <w:keepNext/>
        <w:spacing w:before="240" w:after="60" w:line="240" w:lineRule="atLeast"/>
        <w:ind w:left="567"/>
        <w:rPr>
          <w:rFonts w:cs="Arial"/>
          <w:b/>
          <w:sz w:val="20"/>
        </w:rPr>
      </w:pPr>
      <w:r w:rsidRPr="00F411DF">
        <w:rPr>
          <w:rFonts w:cs="Arial"/>
          <w:b/>
          <w:sz w:val="20"/>
        </w:rPr>
        <w:t>Publicly available information</w:t>
      </w:r>
    </w:p>
    <w:p w14:paraId="4FCAA851" w14:textId="7B68C90A" w:rsidR="000A10D4" w:rsidRPr="00F411DF" w:rsidRDefault="000A10D4" w:rsidP="00AF36EC">
      <w:pPr>
        <w:tabs>
          <w:tab w:val="left" w:pos="567"/>
        </w:tabs>
        <w:spacing w:after="120"/>
        <w:ind w:left="567" w:hanging="567"/>
        <w:rPr>
          <w:rFonts w:cs="Arial"/>
        </w:rPr>
      </w:pPr>
      <w:r w:rsidRPr="00F411DF">
        <w:rPr>
          <w:rFonts w:cs="Arial"/>
        </w:rPr>
        <w:t>3.12</w:t>
      </w:r>
      <w:r w:rsidRPr="00F411DF">
        <w:rPr>
          <w:rFonts w:cs="Arial"/>
        </w:rPr>
        <w:tab/>
        <w:t>The ACMA</w:t>
      </w:r>
      <w:r w:rsidRPr="00F411DF">
        <w:rPr>
          <w:rFonts w:cs="Arial"/>
          <w:b/>
        </w:rPr>
        <w:t xml:space="preserve"> </w:t>
      </w:r>
      <w:r w:rsidRPr="00F411DF">
        <w:rPr>
          <w:rFonts w:cs="Arial"/>
        </w:rPr>
        <w:t xml:space="preserve">may disclose authorised disclosure information </w:t>
      </w:r>
      <w:r w:rsidR="0038162D">
        <w:rPr>
          <w:rFonts w:cs="Arial"/>
        </w:rPr>
        <w:t>that</w:t>
      </w:r>
      <w:r w:rsidR="0038162D" w:rsidRPr="00F411DF">
        <w:rPr>
          <w:rFonts w:cs="Arial"/>
        </w:rPr>
        <w:t xml:space="preserve"> </w:t>
      </w:r>
      <w:r w:rsidRPr="00F411DF">
        <w:rPr>
          <w:rFonts w:cs="Arial"/>
        </w:rPr>
        <w:t xml:space="preserve">is publicly available (section 59F). It is not a pre-condition for disclosure that the ACMA has made the information publicly available, merely, that it is publicly available. </w:t>
      </w:r>
    </w:p>
    <w:p w14:paraId="2CA80B09" w14:textId="77777777" w:rsidR="000A10D4" w:rsidRPr="00F411DF" w:rsidRDefault="000A10D4" w:rsidP="00AF36EC">
      <w:pPr>
        <w:tabs>
          <w:tab w:val="left" w:pos="567"/>
        </w:tabs>
        <w:spacing w:after="120"/>
        <w:ind w:left="567" w:hanging="567"/>
        <w:rPr>
          <w:rFonts w:cs="Arial"/>
        </w:rPr>
      </w:pPr>
      <w:r w:rsidRPr="00F411DF">
        <w:rPr>
          <w:rFonts w:cs="Arial"/>
        </w:rPr>
        <w:t>3.13</w:t>
      </w:r>
      <w:r w:rsidRPr="00F411DF">
        <w:rPr>
          <w:rFonts w:cs="Arial"/>
        </w:rPr>
        <w:tab/>
        <w:t>Whether the relevant authorised disclosure information is publicly available is a question of fact.</w:t>
      </w:r>
      <w:r>
        <w:rPr>
          <w:rFonts w:cs="Arial"/>
        </w:rPr>
        <w:t xml:space="preserve"> </w:t>
      </w:r>
    </w:p>
    <w:p w14:paraId="45BC296B" w14:textId="77777777" w:rsidR="000A10D4" w:rsidRPr="00F411DF" w:rsidRDefault="000A10D4" w:rsidP="004265FB">
      <w:pPr>
        <w:pStyle w:val="ACMABodyText"/>
        <w:keepNext/>
        <w:keepLines/>
        <w:spacing w:before="240" w:line="240" w:lineRule="atLeast"/>
        <w:ind w:left="567"/>
        <w:rPr>
          <w:rFonts w:cs="Arial"/>
          <w:b/>
          <w:sz w:val="20"/>
        </w:rPr>
      </w:pPr>
      <w:r w:rsidRPr="00F411DF">
        <w:rPr>
          <w:rFonts w:cs="Arial"/>
          <w:b/>
          <w:sz w:val="20"/>
        </w:rPr>
        <w:t>Information that relates to the affairs of a person</w:t>
      </w:r>
    </w:p>
    <w:p w14:paraId="5E8DBCD8" w14:textId="77777777" w:rsidR="000A10D4" w:rsidRPr="00F411DF" w:rsidRDefault="000A10D4" w:rsidP="00AF36EC">
      <w:pPr>
        <w:tabs>
          <w:tab w:val="left" w:pos="567"/>
        </w:tabs>
        <w:spacing w:after="120"/>
        <w:ind w:left="567" w:hanging="567"/>
        <w:rPr>
          <w:rFonts w:cs="Arial"/>
        </w:rPr>
      </w:pPr>
      <w:r w:rsidRPr="00F411DF">
        <w:rPr>
          <w:rFonts w:cs="Arial"/>
        </w:rPr>
        <w:t>3.14</w:t>
      </w:r>
      <w:r w:rsidRPr="00F411DF">
        <w:rPr>
          <w:rFonts w:cs="Arial"/>
        </w:rPr>
        <w:tab/>
        <w:t>Authorised disclosure information that relates to the affairs of a person may be disclosed by the ACMA with that person’s consent (section 59E).</w:t>
      </w:r>
      <w:r>
        <w:rPr>
          <w:rFonts w:cs="Arial"/>
        </w:rPr>
        <w:t xml:space="preserve"> </w:t>
      </w:r>
    </w:p>
    <w:p w14:paraId="7E92958A" w14:textId="77777777" w:rsidR="000A10D4" w:rsidRPr="00F411DF" w:rsidRDefault="000A10D4" w:rsidP="00AF36EC">
      <w:pPr>
        <w:tabs>
          <w:tab w:val="left" w:pos="567"/>
        </w:tabs>
        <w:spacing w:after="120"/>
        <w:ind w:left="567" w:hanging="567"/>
        <w:rPr>
          <w:rFonts w:cs="Arial"/>
        </w:rPr>
      </w:pPr>
      <w:r w:rsidRPr="00F411DF">
        <w:rPr>
          <w:rFonts w:cs="Arial"/>
        </w:rPr>
        <w:t>3.15</w:t>
      </w:r>
      <w:r w:rsidRPr="00F411DF">
        <w:rPr>
          <w:rFonts w:cs="Arial"/>
        </w:rPr>
        <w:tab/>
        <w:t xml:space="preserve">Any disclosure by the ACMA must be in accordance with the consent given. </w:t>
      </w:r>
    </w:p>
    <w:p w14:paraId="587FBEA0" w14:textId="77777777" w:rsidR="000A10D4" w:rsidRPr="00F411DF" w:rsidRDefault="000A10D4" w:rsidP="00AF36EC">
      <w:pPr>
        <w:pStyle w:val="Heading2"/>
      </w:pPr>
      <w:bookmarkStart w:id="8" w:name="Four_persons"/>
      <w:bookmarkStart w:id="9" w:name="_4._Persons_to"/>
      <w:bookmarkStart w:id="10" w:name="_Toc355171797"/>
      <w:bookmarkStart w:id="11" w:name="_Toc126589284"/>
      <w:bookmarkEnd w:id="8"/>
      <w:bookmarkEnd w:id="9"/>
      <w:r w:rsidRPr="00F411DF">
        <w:t>4. Persons to whom information may be disclosed</w:t>
      </w:r>
      <w:bookmarkEnd w:id="10"/>
      <w:bookmarkEnd w:id="11"/>
    </w:p>
    <w:p w14:paraId="37C0E4C1" w14:textId="77777777" w:rsidR="000A10D4" w:rsidRPr="00F411DF" w:rsidRDefault="000A10D4" w:rsidP="00AF36EC">
      <w:pPr>
        <w:tabs>
          <w:tab w:val="left" w:pos="567"/>
        </w:tabs>
        <w:spacing w:after="120"/>
        <w:ind w:left="567" w:hanging="567"/>
        <w:rPr>
          <w:rFonts w:cs="Arial"/>
          <w:snapToGrid w:val="0"/>
          <w:szCs w:val="20"/>
          <w:lang w:eastAsia="en-US"/>
        </w:rPr>
      </w:pPr>
      <w:r w:rsidRPr="00F411DF">
        <w:rPr>
          <w:rFonts w:cs="Arial"/>
          <w:snapToGrid w:val="0"/>
          <w:szCs w:val="20"/>
          <w:lang w:eastAsia="en-US"/>
        </w:rPr>
        <w:t>4.1</w:t>
      </w:r>
      <w:r w:rsidRPr="00F411DF">
        <w:rPr>
          <w:rFonts w:cs="Arial"/>
          <w:snapToGrid w:val="0"/>
          <w:szCs w:val="20"/>
          <w:lang w:eastAsia="en-US"/>
        </w:rPr>
        <w:tab/>
        <w:t xml:space="preserve">Authorised </w:t>
      </w:r>
      <w:r w:rsidRPr="00AF36EC">
        <w:rPr>
          <w:rFonts w:cs="Arial"/>
        </w:rPr>
        <w:t>disclosure</w:t>
      </w:r>
      <w:r w:rsidRPr="00F411DF">
        <w:rPr>
          <w:rFonts w:cs="Arial"/>
          <w:snapToGrid w:val="0"/>
          <w:szCs w:val="20"/>
          <w:lang w:eastAsia="en-US"/>
        </w:rPr>
        <w:t xml:space="preserve"> information may be disclosed to an authority specified in section 59D of the ACMA Act if the Chair is satisfied that the information will enable or assist the relevant authority to perform or exercise any of its functions or powers.</w:t>
      </w:r>
      <w:r>
        <w:rPr>
          <w:rFonts w:cs="Arial"/>
          <w:snapToGrid w:val="0"/>
          <w:szCs w:val="20"/>
          <w:lang w:eastAsia="en-US"/>
        </w:rPr>
        <w:t xml:space="preserve"> </w:t>
      </w:r>
    </w:p>
    <w:p w14:paraId="7E1497C7" w14:textId="77777777" w:rsidR="000A10D4" w:rsidRPr="00F411DF" w:rsidRDefault="000A10D4" w:rsidP="00AF36EC">
      <w:pPr>
        <w:tabs>
          <w:tab w:val="left" w:pos="567"/>
        </w:tabs>
        <w:spacing w:after="80"/>
        <w:ind w:left="567" w:hanging="567"/>
        <w:rPr>
          <w:rFonts w:cs="Arial"/>
          <w:snapToGrid w:val="0"/>
          <w:szCs w:val="20"/>
          <w:lang w:eastAsia="en-US"/>
        </w:rPr>
      </w:pPr>
      <w:r w:rsidRPr="00F411DF">
        <w:rPr>
          <w:rFonts w:cs="Arial"/>
          <w:snapToGrid w:val="0"/>
          <w:szCs w:val="20"/>
          <w:lang w:eastAsia="en-US"/>
        </w:rPr>
        <w:t>4.2</w:t>
      </w:r>
      <w:r w:rsidRPr="00F411DF">
        <w:rPr>
          <w:rFonts w:cs="Arial"/>
          <w:snapToGrid w:val="0"/>
          <w:szCs w:val="20"/>
          <w:lang w:eastAsia="en-US"/>
        </w:rPr>
        <w:tab/>
        <w:t>The authorities specified in section 59D include:</w:t>
      </w:r>
    </w:p>
    <w:p w14:paraId="770F9B0F"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 xml:space="preserve">the Telecommunications Industry Ombudsman </w:t>
      </w:r>
    </w:p>
    <w:p w14:paraId="2CBC92B3"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 xml:space="preserve">the Australian Competition and Consumer Commission </w:t>
      </w:r>
    </w:p>
    <w:p w14:paraId="5954A76E"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 xml:space="preserve">the Australian Securities and Investments Commission </w:t>
      </w:r>
    </w:p>
    <w:p w14:paraId="1FA80EF7"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the Australian Prudential Regulation Authority</w:t>
      </w:r>
    </w:p>
    <w:p w14:paraId="0D52D1B5"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the Commissioner of Taxation</w:t>
      </w:r>
    </w:p>
    <w:p w14:paraId="3D43B42B"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the Director of Public Prosecutions</w:t>
      </w:r>
    </w:p>
    <w:p w14:paraId="69639DED" w14:textId="77777777" w:rsidR="000A10D4" w:rsidRDefault="000A10D4" w:rsidP="00AF36EC">
      <w:pPr>
        <w:pStyle w:val="ListBullet2"/>
        <w:numPr>
          <w:ilvl w:val="0"/>
          <w:numId w:val="1"/>
        </w:numPr>
        <w:tabs>
          <w:tab w:val="clear" w:pos="295"/>
          <w:tab w:val="num" w:pos="993"/>
        </w:tabs>
        <w:ind w:left="993" w:hanging="426"/>
        <w:rPr>
          <w:rFonts w:cs="Arial"/>
        </w:rPr>
      </w:pPr>
      <w:r w:rsidRPr="00F411DF">
        <w:rPr>
          <w:rFonts w:cs="Arial"/>
        </w:rPr>
        <w:t>the Australian Federal Police</w:t>
      </w:r>
    </w:p>
    <w:p w14:paraId="2DAE71CD" w14:textId="77777777" w:rsidR="000A10D4" w:rsidRDefault="000A10D4" w:rsidP="00AF36EC">
      <w:pPr>
        <w:pStyle w:val="ListBullet2"/>
        <w:numPr>
          <w:ilvl w:val="0"/>
          <w:numId w:val="1"/>
        </w:numPr>
        <w:tabs>
          <w:tab w:val="clear" w:pos="295"/>
          <w:tab w:val="num" w:pos="993"/>
        </w:tabs>
        <w:ind w:left="993" w:hanging="426"/>
        <w:rPr>
          <w:rFonts w:cs="Arial"/>
        </w:rPr>
      </w:pPr>
      <w:r w:rsidRPr="00F411DF">
        <w:rPr>
          <w:rFonts w:cs="Arial"/>
        </w:rPr>
        <w:t>the Australian Bureau of Statistics</w:t>
      </w:r>
    </w:p>
    <w:p w14:paraId="1850A41C" w14:textId="45D0B5B2" w:rsidR="000A10D4" w:rsidRDefault="000A10D4" w:rsidP="00AF36EC">
      <w:pPr>
        <w:pStyle w:val="ListBullet2"/>
        <w:numPr>
          <w:ilvl w:val="0"/>
          <w:numId w:val="1"/>
        </w:numPr>
        <w:tabs>
          <w:tab w:val="clear" w:pos="295"/>
          <w:tab w:val="num" w:pos="993"/>
        </w:tabs>
        <w:ind w:left="993" w:hanging="426"/>
        <w:rPr>
          <w:rFonts w:cs="Arial"/>
        </w:rPr>
      </w:pPr>
      <w:r w:rsidRPr="00F411DF">
        <w:rPr>
          <w:rFonts w:cs="Arial"/>
        </w:rPr>
        <w:t>the Australian Security Intelligence Organisation</w:t>
      </w:r>
    </w:p>
    <w:p w14:paraId="72D73DAF" w14:textId="7A476D93" w:rsidR="004F391D" w:rsidRDefault="004F391D" w:rsidP="00AF36EC">
      <w:pPr>
        <w:pStyle w:val="ListBullet2"/>
        <w:numPr>
          <w:ilvl w:val="0"/>
          <w:numId w:val="1"/>
        </w:numPr>
        <w:tabs>
          <w:tab w:val="clear" w:pos="295"/>
          <w:tab w:val="num" w:pos="993"/>
        </w:tabs>
        <w:ind w:left="993" w:hanging="426"/>
        <w:rPr>
          <w:rFonts w:cs="Arial"/>
        </w:rPr>
      </w:pPr>
      <w:r>
        <w:rPr>
          <w:rFonts w:cs="Arial"/>
        </w:rPr>
        <w:t xml:space="preserve">the </w:t>
      </w:r>
      <w:r w:rsidR="007C3802" w:rsidRPr="007C3802">
        <w:rPr>
          <w:rFonts w:cs="Arial"/>
        </w:rPr>
        <w:t>Australian Signals Directorate</w:t>
      </w:r>
    </w:p>
    <w:p w14:paraId="68B48975" w14:textId="50634D29" w:rsidR="000A10D4" w:rsidRPr="001D0730" w:rsidRDefault="000A10D4" w:rsidP="00AF36EC">
      <w:pPr>
        <w:pStyle w:val="ListBullet2"/>
        <w:numPr>
          <w:ilvl w:val="0"/>
          <w:numId w:val="1"/>
        </w:numPr>
        <w:tabs>
          <w:tab w:val="clear" w:pos="295"/>
          <w:tab w:val="num" w:pos="993"/>
        </w:tabs>
        <w:ind w:left="993" w:hanging="426"/>
        <w:rPr>
          <w:rFonts w:cs="Arial"/>
        </w:rPr>
      </w:pPr>
      <w:r w:rsidRPr="001D0730">
        <w:rPr>
          <w:rFonts w:cs="Arial"/>
        </w:rPr>
        <w:t xml:space="preserve">the </w:t>
      </w:r>
      <w:proofErr w:type="spellStart"/>
      <w:r w:rsidRPr="001D0730">
        <w:rPr>
          <w:rFonts w:cs="Arial"/>
        </w:rPr>
        <w:t>eSafety</w:t>
      </w:r>
      <w:proofErr w:type="spellEnd"/>
      <w:r w:rsidRPr="001D0730">
        <w:rPr>
          <w:rFonts w:cs="Arial"/>
        </w:rPr>
        <w:t xml:space="preserve"> Commissioner </w:t>
      </w:r>
    </w:p>
    <w:p w14:paraId="47BC6BD6" w14:textId="0C229611" w:rsidR="000D1002" w:rsidRPr="00AF36EC" w:rsidRDefault="005B5EF8" w:rsidP="00AF36EC">
      <w:pPr>
        <w:pStyle w:val="ListBullet2"/>
        <w:numPr>
          <w:ilvl w:val="0"/>
          <w:numId w:val="1"/>
        </w:numPr>
        <w:tabs>
          <w:tab w:val="clear" w:pos="295"/>
          <w:tab w:val="num" w:pos="993"/>
        </w:tabs>
        <w:ind w:left="993" w:hanging="426"/>
        <w:rPr>
          <w:rFonts w:cs="Arial"/>
        </w:rPr>
      </w:pPr>
      <w:r w:rsidRPr="00AF36EC">
        <w:rPr>
          <w:rFonts w:cs="Arial"/>
        </w:rPr>
        <w:t>the Regional Telecommunications Independent Review Committee;</w:t>
      </w:r>
    </w:p>
    <w:p w14:paraId="1EC4B667" w14:textId="252FA6EA" w:rsidR="00E74311" w:rsidRDefault="00E74311" w:rsidP="00AF36EC">
      <w:pPr>
        <w:pStyle w:val="ListBullet2"/>
        <w:numPr>
          <w:ilvl w:val="0"/>
          <w:numId w:val="1"/>
        </w:numPr>
        <w:tabs>
          <w:tab w:val="clear" w:pos="295"/>
          <w:tab w:val="num" w:pos="993"/>
        </w:tabs>
        <w:ind w:left="993" w:hanging="426"/>
        <w:rPr>
          <w:rFonts w:cs="Arial"/>
          <w:szCs w:val="20"/>
        </w:rPr>
      </w:pPr>
      <w:r w:rsidRPr="00AF36EC">
        <w:rPr>
          <w:rFonts w:cs="Arial"/>
        </w:rPr>
        <w:t xml:space="preserve">the Secretary of the Department administered by the </w:t>
      </w:r>
      <w:r w:rsidR="00D000C2">
        <w:rPr>
          <w:rFonts w:cs="Arial"/>
        </w:rPr>
        <w:t>M</w:t>
      </w:r>
      <w:r w:rsidR="00D000C2" w:rsidRPr="00AF36EC">
        <w:rPr>
          <w:rFonts w:cs="Arial"/>
        </w:rPr>
        <w:t xml:space="preserve">inister </w:t>
      </w:r>
      <w:r w:rsidRPr="00AF36EC">
        <w:rPr>
          <w:rFonts w:cs="Arial"/>
        </w:rPr>
        <w:t>admi</w:t>
      </w:r>
      <w:r w:rsidRPr="00E74311">
        <w:rPr>
          <w:rFonts w:cs="Arial"/>
          <w:szCs w:val="20"/>
        </w:rPr>
        <w:t xml:space="preserve">nistering the </w:t>
      </w:r>
      <w:r w:rsidRPr="00B24C6A">
        <w:rPr>
          <w:rFonts w:cs="Arial"/>
          <w:i/>
          <w:iCs/>
          <w:szCs w:val="20"/>
        </w:rPr>
        <w:t>Telecommunications (Interception and Access) Act 1979</w:t>
      </w:r>
      <w:r w:rsidRPr="00E74311">
        <w:rPr>
          <w:rFonts w:cs="Arial"/>
          <w:szCs w:val="20"/>
        </w:rPr>
        <w:t xml:space="preserve"> or an APS </w:t>
      </w:r>
      <w:r w:rsidRPr="00E74311">
        <w:rPr>
          <w:rFonts w:cs="Arial"/>
          <w:szCs w:val="20"/>
        </w:rPr>
        <w:lastRenderedPageBreak/>
        <w:t>employee in that Department whose duties relate to telecommunications or law enforcement</w:t>
      </w:r>
    </w:p>
    <w:p w14:paraId="1FEBEF1E" w14:textId="302325F8" w:rsidR="00354BDA" w:rsidRDefault="00354BDA" w:rsidP="00AF36EC">
      <w:pPr>
        <w:pStyle w:val="ListBullet2"/>
        <w:numPr>
          <w:ilvl w:val="0"/>
          <w:numId w:val="1"/>
        </w:numPr>
        <w:tabs>
          <w:tab w:val="clear" w:pos="295"/>
          <w:tab w:val="num" w:pos="993"/>
        </w:tabs>
        <w:ind w:left="993" w:hanging="426"/>
        <w:rPr>
          <w:rFonts w:cs="Arial"/>
          <w:szCs w:val="20"/>
        </w:rPr>
      </w:pPr>
      <w:r w:rsidRPr="00354BDA">
        <w:rPr>
          <w:rFonts w:cs="Arial"/>
          <w:szCs w:val="20"/>
        </w:rPr>
        <w:t xml:space="preserve">the </w:t>
      </w:r>
      <w:r w:rsidRPr="00AF36EC">
        <w:rPr>
          <w:rFonts w:cs="Arial"/>
        </w:rPr>
        <w:t>Secretary</w:t>
      </w:r>
      <w:r w:rsidRPr="00354BDA">
        <w:rPr>
          <w:rFonts w:cs="Arial"/>
          <w:szCs w:val="20"/>
        </w:rPr>
        <w:t xml:space="preserve"> of the Department administered by the Minister administering Part 2 of the </w:t>
      </w:r>
      <w:r w:rsidRPr="00B24C6A">
        <w:rPr>
          <w:rFonts w:cs="Arial"/>
          <w:i/>
          <w:iCs/>
          <w:szCs w:val="20"/>
        </w:rPr>
        <w:t>Telecommunications (Consumer Protection and Service Standards) Act 1999</w:t>
      </w:r>
      <w:r w:rsidRPr="00354BDA">
        <w:rPr>
          <w:rFonts w:cs="Arial"/>
          <w:szCs w:val="20"/>
        </w:rPr>
        <w:t xml:space="preserve"> or an APS employee in that Department whose duties relate to that Part</w:t>
      </w:r>
    </w:p>
    <w:p w14:paraId="710A2BB0" w14:textId="4F745A98" w:rsidR="000A10D4" w:rsidRPr="00474502" w:rsidRDefault="000A10D4" w:rsidP="00AF36EC">
      <w:pPr>
        <w:pStyle w:val="ListBullet2"/>
        <w:numPr>
          <w:ilvl w:val="0"/>
          <w:numId w:val="1"/>
        </w:numPr>
        <w:tabs>
          <w:tab w:val="clear" w:pos="295"/>
          <w:tab w:val="num" w:pos="993"/>
        </w:tabs>
        <w:ind w:left="993" w:hanging="426"/>
        <w:rPr>
          <w:rFonts w:cs="Arial"/>
          <w:szCs w:val="20"/>
        </w:rPr>
      </w:pPr>
      <w:r w:rsidRPr="00474502">
        <w:rPr>
          <w:rFonts w:cs="Arial"/>
          <w:szCs w:val="20"/>
        </w:rPr>
        <w:t xml:space="preserve">the </w:t>
      </w:r>
      <w:r w:rsidRPr="00AF36EC">
        <w:rPr>
          <w:rFonts w:cs="Arial"/>
        </w:rPr>
        <w:t>Secretary</w:t>
      </w:r>
      <w:r w:rsidRPr="00474502">
        <w:rPr>
          <w:rFonts w:cs="Arial"/>
          <w:szCs w:val="20"/>
        </w:rPr>
        <w:t xml:space="preserve"> of the Department administered by the Minister administering the </w:t>
      </w:r>
      <w:r w:rsidRPr="00474502">
        <w:rPr>
          <w:rFonts w:cs="Arial"/>
          <w:i/>
          <w:szCs w:val="20"/>
        </w:rPr>
        <w:t>Migration Act 1958</w:t>
      </w:r>
      <w:r w:rsidRPr="00474502">
        <w:rPr>
          <w:rFonts w:cs="Arial"/>
          <w:szCs w:val="20"/>
        </w:rPr>
        <w:t xml:space="preserve"> or an APS employee in that Department whose duties relate to the </w:t>
      </w:r>
      <w:r w:rsidRPr="00474502">
        <w:rPr>
          <w:rFonts w:cs="Arial"/>
          <w:i/>
          <w:szCs w:val="20"/>
        </w:rPr>
        <w:t>Migration Act 1958</w:t>
      </w:r>
      <w:r w:rsidRPr="00E63B72">
        <w:rPr>
          <w:rStyle w:val="FootnoteReference"/>
          <w:rFonts w:cs="Arial"/>
          <w:szCs w:val="20"/>
        </w:rPr>
        <w:footnoteReference w:id="1"/>
      </w:r>
    </w:p>
    <w:p w14:paraId="5D1F854B" w14:textId="024DA099" w:rsidR="00BA398B" w:rsidRPr="00BA398B" w:rsidRDefault="00BA398B" w:rsidP="00AF36EC">
      <w:pPr>
        <w:pStyle w:val="ListBullet2"/>
        <w:numPr>
          <w:ilvl w:val="0"/>
          <w:numId w:val="1"/>
        </w:numPr>
        <w:tabs>
          <w:tab w:val="clear" w:pos="295"/>
          <w:tab w:val="num" w:pos="993"/>
        </w:tabs>
        <w:ind w:left="993" w:hanging="426"/>
        <w:rPr>
          <w:rFonts w:cs="Arial"/>
        </w:rPr>
      </w:pPr>
      <w:r w:rsidRPr="00BA398B">
        <w:rPr>
          <w:rFonts w:cs="Arial"/>
        </w:rPr>
        <w:t xml:space="preserve">the Secretary of the Department administered by the Minister administering the </w:t>
      </w:r>
      <w:r w:rsidRPr="00B24C6A">
        <w:rPr>
          <w:rFonts w:cs="Arial"/>
          <w:i/>
          <w:iCs/>
        </w:rPr>
        <w:t>Foreign Acquisitions and Takeovers Act 1975</w:t>
      </w:r>
      <w:r w:rsidRPr="00BA398B">
        <w:rPr>
          <w:rFonts w:cs="Arial"/>
        </w:rPr>
        <w:t xml:space="preserve"> or an APS employee in that Department whose duties relate to that Act</w:t>
      </w:r>
    </w:p>
    <w:p w14:paraId="4FCFECFA" w14:textId="614398F0" w:rsidR="00BA398B" w:rsidRDefault="00BA398B" w:rsidP="00AF36EC">
      <w:pPr>
        <w:pStyle w:val="ListBullet2"/>
        <w:numPr>
          <w:ilvl w:val="0"/>
          <w:numId w:val="1"/>
        </w:numPr>
        <w:tabs>
          <w:tab w:val="clear" w:pos="295"/>
          <w:tab w:val="num" w:pos="993"/>
        </w:tabs>
        <w:ind w:left="993" w:hanging="426"/>
        <w:rPr>
          <w:rFonts w:cs="Arial"/>
        </w:rPr>
      </w:pPr>
      <w:r w:rsidRPr="00BA398B">
        <w:rPr>
          <w:rFonts w:cs="Arial"/>
        </w:rPr>
        <w:t xml:space="preserve">the Secretary of the Department administered by the Minister administering the </w:t>
      </w:r>
      <w:r w:rsidRPr="00B24C6A">
        <w:rPr>
          <w:rFonts w:cs="Arial"/>
          <w:i/>
          <w:iCs/>
        </w:rPr>
        <w:t>Classification (Publications, Films and Computer Games) Act 1995</w:t>
      </w:r>
      <w:r w:rsidRPr="00BA398B">
        <w:rPr>
          <w:rFonts w:cs="Arial"/>
        </w:rPr>
        <w:t xml:space="preserve"> or an APS employee in that Department whose duties relate to that Act</w:t>
      </w:r>
    </w:p>
    <w:p w14:paraId="2E3AE524" w14:textId="06318308"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an authority of a State or Territory responsible for enforcing one or more laws</w:t>
      </w:r>
    </w:p>
    <w:p w14:paraId="247566A1" w14:textId="77777777" w:rsidR="000A10D4" w:rsidRPr="00E7544A" w:rsidRDefault="000A10D4" w:rsidP="00AF36EC">
      <w:pPr>
        <w:pStyle w:val="ListBullet2"/>
        <w:numPr>
          <w:ilvl w:val="0"/>
          <w:numId w:val="1"/>
        </w:numPr>
        <w:tabs>
          <w:tab w:val="clear" w:pos="295"/>
          <w:tab w:val="num" w:pos="993"/>
        </w:tabs>
        <w:ind w:left="993" w:hanging="426"/>
        <w:rPr>
          <w:rFonts w:cs="Arial"/>
          <w:szCs w:val="20"/>
        </w:rPr>
      </w:pPr>
      <w:r w:rsidRPr="00E7544A">
        <w:rPr>
          <w:rFonts w:cs="Arial"/>
        </w:rPr>
        <w:t xml:space="preserve">an authority of a foreign country </w:t>
      </w:r>
      <w:r w:rsidRPr="000E7968">
        <w:rPr>
          <w:rFonts w:cs="Arial"/>
        </w:rPr>
        <w:t>responsible for regulating matters relating to communications or media</w:t>
      </w:r>
    </w:p>
    <w:p w14:paraId="46EEEC14" w14:textId="7DA60FCD" w:rsidR="000A10D4" w:rsidRDefault="000A10D4" w:rsidP="00AF36EC">
      <w:pPr>
        <w:pStyle w:val="ListBullet2"/>
        <w:numPr>
          <w:ilvl w:val="0"/>
          <w:numId w:val="1"/>
        </w:numPr>
        <w:tabs>
          <w:tab w:val="clear" w:pos="295"/>
          <w:tab w:val="num" w:pos="993"/>
        </w:tabs>
        <w:ind w:left="993" w:hanging="426"/>
        <w:rPr>
          <w:rFonts w:cs="Arial"/>
          <w:szCs w:val="20"/>
        </w:rPr>
      </w:pPr>
      <w:r w:rsidRPr="00E7544A">
        <w:rPr>
          <w:rFonts w:cs="Arial"/>
          <w:szCs w:val="20"/>
        </w:rPr>
        <w:t xml:space="preserve">an </w:t>
      </w:r>
      <w:r w:rsidRPr="00AF36EC">
        <w:rPr>
          <w:rFonts w:cs="Arial"/>
        </w:rPr>
        <w:t>authority</w:t>
      </w:r>
      <w:r w:rsidRPr="00E7544A">
        <w:rPr>
          <w:rFonts w:cs="Arial"/>
          <w:szCs w:val="20"/>
        </w:rPr>
        <w:t xml:space="preserve"> of a foreign country responsible for regulating matters relating to the provision of gambling services</w:t>
      </w:r>
      <w:r>
        <w:rPr>
          <w:rStyle w:val="FootnoteReference"/>
          <w:rFonts w:cs="Arial"/>
          <w:szCs w:val="20"/>
        </w:rPr>
        <w:footnoteReference w:id="2"/>
      </w:r>
    </w:p>
    <w:p w14:paraId="62ACF81B" w14:textId="683DA40F" w:rsidR="004E78B1" w:rsidRPr="00E7544A" w:rsidRDefault="00332749" w:rsidP="00D000C2">
      <w:pPr>
        <w:pStyle w:val="ListBullet2"/>
        <w:numPr>
          <w:ilvl w:val="0"/>
          <w:numId w:val="1"/>
        </w:numPr>
        <w:tabs>
          <w:tab w:val="clear" w:pos="295"/>
          <w:tab w:val="num" w:pos="993"/>
        </w:tabs>
        <w:spacing w:after="120"/>
        <w:ind w:left="993" w:hanging="426"/>
        <w:rPr>
          <w:rFonts w:cs="Arial"/>
          <w:szCs w:val="20"/>
        </w:rPr>
      </w:pPr>
      <w:r w:rsidRPr="00332749">
        <w:rPr>
          <w:rFonts w:cs="Arial"/>
          <w:szCs w:val="20"/>
        </w:rPr>
        <w:t xml:space="preserve">a </w:t>
      </w:r>
      <w:r w:rsidRPr="00AF36EC">
        <w:rPr>
          <w:rFonts w:cs="Arial"/>
        </w:rPr>
        <w:t>non</w:t>
      </w:r>
      <w:r w:rsidR="00017DA0">
        <w:rPr>
          <w:rFonts w:cs="Arial"/>
          <w:szCs w:val="20"/>
        </w:rPr>
        <w:t>-</w:t>
      </w:r>
      <w:r w:rsidRPr="00332749">
        <w:rPr>
          <w:rFonts w:cs="Arial"/>
          <w:szCs w:val="20"/>
        </w:rPr>
        <w:t xml:space="preserve">corporate Commonwealth entity (within the meaning of the </w:t>
      </w:r>
      <w:r w:rsidRPr="00B24C6A">
        <w:rPr>
          <w:rFonts w:cs="Arial"/>
          <w:i/>
          <w:iCs/>
          <w:szCs w:val="20"/>
        </w:rPr>
        <w:t>Public Governance, Performance and Accountability Act 2013</w:t>
      </w:r>
      <w:r w:rsidRPr="00332749">
        <w:rPr>
          <w:rFonts w:cs="Arial"/>
          <w:szCs w:val="20"/>
        </w:rPr>
        <w:t xml:space="preserve">) not otherwise covered by subsection </w:t>
      </w:r>
      <w:r w:rsidR="00D95D42">
        <w:rPr>
          <w:rFonts w:cs="Arial"/>
          <w:szCs w:val="20"/>
        </w:rPr>
        <w:t xml:space="preserve">59D(1) </w:t>
      </w:r>
      <w:r w:rsidRPr="00332749">
        <w:rPr>
          <w:rFonts w:cs="Arial"/>
          <w:szCs w:val="20"/>
        </w:rPr>
        <w:t>that is responsible for enforcing one or more laws of the Commonwealth.</w:t>
      </w:r>
    </w:p>
    <w:p w14:paraId="56E3A0F1" w14:textId="77777777" w:rsidR="000A10D4" w:rsidRPr="00F411DF" w:rsidRDefault="000A10D4" w:rsidP="00AF36EC">
      <w:pPr>
        <w:tabs>
          <w:tab w:val="left" w:pos="567"/>
        </w:tabs>
        <w:spacing w:after="80"/>
        <w:ind w:left="567" w:hanging="567"/>
        <w:rPr>
          <w:rFonts w:cs="Arial"/>
        </w:rPr>
      </w:pPr>
      <w:r w:rsidRPr="00F411DF">
        <w:rPr>
          <w:rFonts w:cs="Arial"/>
        </w:rPr>
        <w:t>4.3</w:t>
      </w:r>
      <w:r w:rsidRPr="00F411DF">
        <w:rPr>
          <w:rFonts w:cs="Arial"/>
        </w:rPr>
        <w:tab/>
        <w:t>The ACMA may also disclose authorised disclosure information to:</w:t>
      </w:r>
    </w:p>
    <w:p w14:paraId="75A22A0B" w14:textId="238133ED" w:rsidR="000A10D4" w:rsidRPr="00F411DF" w:rsidRDefault="0038162D" w:rsidP="00AF36EC">
      <w:pPr>
        <w:pStyle w:val="ListBullet2"/>
        <w:numPr>
          <w:ilvl w:val="0"/>
          <w:numId w:val="1"/>
        </w:numPr>
        <w:tabs>
          <w:tab w:val="clear" w:pos="295"/>
          <w:tab w:val="num" w:pos="993"/>
        </w:tabs>
        <w:ind w:left="993" w:hanging="426"/>
        <w:rPr>
          <w:rFonts w:cs="Arial"/>
        </w:rPr>
      </w:pPr>
      <w:r>
        <w:rPr>
          <w:rFonts w:cs="Arial"/>
        </w:rPr>
        <w:t>its</w:t>
      </w:r>
      <w:r w:rsidRPr="00F411DF">
        <w:rPr>
          <w:rFonts w:cs="Arial"/>
        </w:rPr>
        <w:t xml:space="preserve"> </w:t>
      </w:r>
      <w:r w:rsidR="000A10D4" w:rsidRPr="00F411DF">
        <w:rPr>
          <w:rFonts w:cs="Arial"/>
        </w:rPr>
        <w:t xml:space="preserve">Minister </w:t>
      </w:r>
    </w:p>
    <w:p w14:paraId="6933E8CC" w14:textId="68D8B704" w:rsidR="000A10D4" w:rsidRDefault="000A10D4" w:rsidP="00AF36EC">
      <w:pPr>
        <w:pStyle w:val="ListBullet2"/>
        <w:numPr>
          <w:ilvl w:val="0"/>
          <w:numId w:val="1"/>
        </w:numPr>
        <w:tabs>
          <w:tab w:val="clear" w:pos="295"/>
          <w:tab w:val="num" w:pos="993"/>
        </w:tabs>
        <w:ind w:left="993" w:hanging="426"/>
        <w:rPr>
          <w:rFonts w:cs="Arial"/>
        </w:rPr>
      </w:pPr>
      <w:r w:rsidRPr="00343521">
        <w:rPr>
          <w:rFonts w:cs="Arial"/>
        </w:rPr>
        <w:t xml:space="preserve">the Secretary of, and an APS employee in, the Department of </w:t>
      </w:r>
      <w:r w:rsidR="006537CC">
        <w:rPr>
          <w:rFonts w:cs="Arial"/>
        </w:rPr>
        <w:t xml:space="preserve">Infrastructure, Transport, Regional Development, </w:t>
      </w:r>
      <w:r w:rsidRPr="00343521">
        <w:rPr>
          <w:rFonts w:cs="Arial"/>
        </w:rPr>
        <w:t>Communications and the Arts</w:t>
      </w:r>
    </w:p>
    <w:p w14:paraId="0776BD3E" w14:textId="068F7032" w:rsidR="000A10D4" w:rsidRDefault="000A10D4" w:rsidP="00AF36EC">
      <w:pPr>
        <w:pStyle w:val="ListBullet2"/>
        <w:numPr>
          <w:ilvl w:val="0"/>
          <w:numId w:val="1"/>
        </w:numPr>
        <w:tabs>
          <w:tab w:val="clear" w:pos="295"/>
          <w:tab w:val="num" w:pos="993"/>
        </w:tabs>
        <w:ind w:left="993" w:hanging="426"/>
        <w:rPr>
          <w:rFonts w:cs="Arial"/>
        </w:rPr>
      </w:pPr>
      <w:r w:rsidRPr="00343521">
        <w:rPr>
          <w:rFonts w:cs="Arial"/>
        </w:rPr>
        <w:t xml:space="preserve">other Ministers of Parliament where the information relates to a matter arising under an Act </w:t>
      </w:r>
      <w:r w:rsidR="0038162D">
        <w:rPr>
          <w:rFonts w:cs="Arial"/>
        </w:rPr>
        <w:t>that</w:t>
      </w:r>
      <w:r w:rsidR="0038162D" w:rsidRPr="00343521">
        <w:rPr>
          <w:rFonts w:cs="Arial"/>
        </w:rPr>
        <w:t xml:space="preserve"> </w:t>
      </w:r>
      <w:r w:rsidRPr="00343521">
        <w:rPr>
          <w:rFonts w:cs="Arial"/>
        </w:rPr>
        <w:t xml:space="preserve">they administer and to the Secretary of, and an APS employee in, their </w:t>
      </w:r>
      <w:proofErr w:type="gramStart"/>
      <w:r w:rsidRPr="00343521">
        <w:rPr>
          <w:rFonts w:cs="Arial"/>
        </w:rPr>
        <w:t>Department</w:t>
      </w:r>
      <w:proofErr w:type="gramEnd"/>
    </w:p>
    <w:p w14:paraId="7146B2E9" w14:textId="77777777" w:rsidR="000A10D4" w:rsidRPr="00F411DF" w:rsidRDefault="000A10D4" w:rsidP="004265FB">
      <w:pPr>
        <w:pStyle w:val="ListBullet2"/>
        <w:numPr>
          <w:ilvl w:val="0"/>
          <w:numId w:val="1"/>
        </w:numPr>
        <w:tabs>
          <w:tab w:val="clear" w:pos="295"/>
          <w:tab w:val="num" w:pos="993"/>
        </w:tabs>
        <w:spacing w:after="120"/>
        <w:ind w:left="993" w:hanging="426"/>
        <w:rPr>
          <w:rFonts w:cs="Arial"/>
        </w:rPr>
      </w:pPr>
      <w:r w:rsidRPr="00F411DF">
        <w:rPr>
          <w:rFonts w:cs="Arial"/>
        </w:rPr>
        <w:t xml:space="preserve">a Royal Commission within the meaning of the </w:t>
      </w:r>
      <w:r w:rsidRPr="00F411DF">
        <w:rPr>
          <w:rFonts w:cs="Arial"/>
          <w:i/>
        </w:rPr>
        <w:t>Royal Commissions Act 1902</w:t>
      </w:r>
      <w:r w:rsidRPr="00F411DF">
        <w:rPr>
          <w:rFonts w:cs="Arial"/>
        </w:rPr>
        <w:t xml:space="preserve">. </w:t>
      </w:r>
    </w:p>
    <w:p w14:paraId="404A881C" w14:textId="77777777" w:rsidR="000A10D4" w:rsidRPr="00F411DF" w:rsidRDefault="000A10D4" w:rsidP="004265FB">
      <w:pPr>
        <w:spacing w:after="120"/>
        <w:ind w:left="567"/>
        <w:rPr>
          <w:rFonts w:cs="Arial"/>
        </w:rPr>
      </w:pPr>
      <w:r w:rsidRPr="00F411DF">
        <w:rPr>
          <w:rFonts w:cs="Arial"/>
        </w:rPr>
        <w:t>(Sections 59A-59C of the ACMA Act.)</w:t>
      </w:r>
    </w:p>
    <w:p w14:paraId="06547091" w14:textId="3F2353F0" w:rsidR="000A10D4" w:rsidRPr="00F411DF" w:rsidRDefault="000A10D4" w:rsidP="00AF36EC">
      <w:pPr>
        <w:tabs>
          <w:tab w:val="left" w:pos="567"/>
        </w:tabs>
        <w:spacing w:after="120"/>
        <w:ind w:left="567" w:hanging="567"/>
        <w:rPr>
          <w:rFonts w:cs="Arial"/>
        </w:rPr>
      </w:pPr>
      <w:r w:rsidRPr="00F411DF">
        <w:rPr>
          <w:rFonts w:cs="Arial"/>
        </w:rPr>
        <w:t>4.4</w:t>
      </w:r>
      <w:r w:rsidRPr="00F411DF">
        <w:rPr>
          <w:rFonts w:cs="Arial"/>
        </w:rPr>
        <w:tab/>
        <w:t>The disclosure to a Secretary and an APS employee is for the purpose of advising the relevant Minister (see section 59B). The APS employee must be authorised in writing by the relevant Secretary for the purpose of section 59B of the ACMA Act.</w:t>
      </w:r>
    </w:p>
    <w:p w14:paraId="706F2EB5" w14:textId="77777777" w:rsidR="000A10D4" w:rsidRPr="00F411DF" w:rsidRDefault="000A10D4" w:rsidP="00D000C2">
      <w:pPr>
        <w:pStyle w:val="Heading2"/>
        <w:keepLines/>
      </w:pPr>
      <w:bookmarkStart w:id="12" w:name="_Toc355171798"/>
      <w:bookmarkStart w:id="13" w:name="_Toc126589285"/>
      <w:r w:rsidRPr="00F411DF">
        <w:lastRenderedPageBreak/>
        <w:t>5. Discretionary factors</w:t>
      </w:r>
      <w:bookmarkEnd w:id="12"/>
      <w:bookmarkEnd w:id="13"/>
    </w:p>
    <w:p w14:paraId="745FD342" w14:textId="77777777" w:rsidR="000A10D4" w:rsidRPr="00F411DF" w:rsidRDefault="000A10D4" w:rsidP="00D000C2">
      <w:pPr>
        <w:keepNext/>
        <w:keepLines/>
        <w:tabs>
          <w:tab w:val="left" w:pos="567"/>
        </w:tabs>
        <w:spacing w:after="120"/>
        <w:ind w:left="567" w:hanging="567"/>
        <w:rPr>
          <w:rFonts w:cs="Arial"/>
        </w:rPr>
      </w:pPr>
      <w:r w:rsidRPr="00F411DF">
        <w:rPr>
          <w:rFonts w:cs="Arial"/>
        </w:rPr>
        <w:t>5.1</w:t>
      </w:r>
      <w:r w:rsidRPr="00F411DF">
        <w:rPr>
          <w:rFonts w:cs="Arial"/>
        </w:rPr>
        <w:tab/>
        <w:t>Each provision in Part 7A of the ACMA sets out who may make the decision to disclose.</w:t>
      </w:r>
      <w:r>
        <w:rPr>
          <w:rFonts w:cs="Arial"/>
        </w:rPr>
        <w:t xml:space="preserve"> </w:t>
      </w:r>
      <w:r w:rsidRPr="00F411DF">
        <w:rPr>
          <w:rFonts w:cs="Arial"/>
        </w:rPr>
        <w:t xml:space="preserve"> </w:t>
      </w:r>
    </w:p>
    <w:p w14:paraId="1B386E69" w14:textId="77777777" w:rsidR="000A10D4" w:rsidRPr="00F411DF" w:rsidRDefault="000A10D4" w:rsidP="00D000C2">
      <w:pPr>
        <w:keepNext/>
        <w:keepLines/>
        <w:tabs>
          <w:tab w:val="left" w:pos="567"/>
        </w:tabs>
        <w:spacing w:after="80"/>
        <w:ind w:left="567" w:hanging="567"/>
        <w:rPr>
          <w:rFonts w:cs="Arial"/>
        </w:rPr>
      </w:pPr>
      <w:r w:rsidRPr="00F411DF">
        <w:rPr>
          <w:rFonts w:cs="Arial"/>
        </w:rPr>
        <w:t>5.2</w:t>
      </w:r>
      <w:r w:rsidRPr="00F411DF">
        <w:rPr>
          <w:rFonts w:cs="Arial"/>
        </w:rPr>
        <w:tab/>
        <w:t>The persons who may be empowered to make the disclosure are:</w:t>
      </w:r>
      <w:r>
        <w:rPr>
          <w:rFonts w:cs="Arial"/>
        </w:rPr>
        <w:t xml:space="preserve"> </w:t>
      </w:r>
      <w:r w:rsidRPr="00F411DF">
        <w:rPr>
          <w:rFonts w:cs="Arial"/>
        </w:rPr>
        <w:t xml:space="preserve"> </w:t>
      </w:r>
    </w:p>
    <w:p w14:paraId="5EF0671E" w14:textId="1FCBC20C" w:rsidR="000A10D4" w:rsidRPr="00F411DF" w:rsidRDefault="000A10D4" w:rsidP="00D000C2">
      <w:pPr>
        <w:pStyle w:val="ListBullet2"/>
        <w:keepNext/>
        <w:keepLines/>
        <w:numPr>
          <w:ilvl w:val="0"/>
          <w:numId w:val="1"/>
        </w:numPr>
        <w:tabs>
          <w:tab w:val="clear" w:pos="295"/>
          <w:tab w:val="num" w:pos="993"/>
        </w:tabs>
        <w:ind w:left="993" w:hanging="426"/>
        <w:rPr>
          <w:rFonts w:cs="Arial"/>
        </w:rPr>
      </w:pPr>
      <w:r w:rsidRPr="00F411DF">
        <w:rPr>
          <w:rFonts w:cs="Arial"/>
        </w:rPr>
        <w:t>the Chair of the ACMA</w:t>
      </w:r>
    </w:p>
    <w:p w14:paraId="47B0D3D9" w14:textId="77777777" w:rsidR="000A10D4" w:rsidRPr="00F411DF" w:rsidRDefault="000A10D4" w:rsidP="00D000C2">
      <w:pPr>
        <w:pStyle w:val="ListBullet2"/>
        <w:keepNext/>
        <w:keepLines/>
        <w:numPr>
          <w:ilvl w:val="0"/>
          <w:numId w:val="1"/>
        </w:numPr>
        <w:tabs>
          <w:tab w:val="clear" w:pos="295"/>
          <w:tab w:val="num" w:pos="993"/>
        </w:tabs>
        <w:ind w:left="993" w:hanging="426"/>
        <w:rPr>
          <w:rFonts w:cs="Arial"/>
        </w:rPr>
      </w:pPr>
      <w:r w:rsidRPr="00F411DF">
        <w:rPr>
          <w:rFonts w:cs="Arial"/>
        </w:rPr>
        <w:t>a member and associate member of the ACMA</w:t>
      </w:r>
    </w:p>
    <w:p w14:paraId="65BBFF86" w14:textId="77777777" w:rsidR="000A10D4" w:rsidRPr="00F411DF" w:rsidRDefault="000A10D4" w:rsidP="00D000C2">
      <w:pPr>
        <w:pStyle w:val="ListBullet2"/>
        <w:keepNext/>
        <w:keepLines/>
        <w:numPr>
          <w:ilvl w:val="0"/>
          <w:numId w:val="1"/>
        </w:numPr>
        <w:tabs>
          <w:tab w:val="clear" w:pos="295"/>
          <w:tab w:val="num" w:pos="993"/>
        </w:tabs>
        <w:ind w:left="993" w:hanging="426"/>
        <w:rPr>
          <w:rFonts w:cs="Arial"/>
        </w:rPr>
      </w:pPr>
      <w:r w:rsidRPr="00F411DF">
        <w:rPr>
          <w:rFonts w:cs="Arial"/>
        </w:rPr>
        <w:t>a member of staff of the ACMA</w:t>
      </w:r>
    </w:p>
    <w:p w14:paraId="7846B3C2" w14:textId="77777777" w:rsidR="000A10D4" w:rsidRPr="00F411DF" w:rsidRDefault="000A10D4" w:rsidP="00D000C2">
      <w:pPr>
        <w:pStyle w:val="ListBullet2"/>
        <w:keepNext/>
        <w:keepLines/>
        <w:numPr>
          <w:ilvl w:val="0"/>
          <w:numId w:val="1"/>
        </w:numPr>
        <w:tabs>
          <w:tab w:val="clear" w:pos="295"/>
          <w:tab w:val="num" w:pos="993"/>
        </w:tabs>
        <w:spacing w:after="120"/>
        <w:ind w:left="993" w:hanging="426"/>
        <w:rPr>
          <w:rFonts w:cs="Arial"/>
        </w:rPr>
      </w:pPr>
      <w:r w:rsidRPr="00F411DF">
        <w:rPr>
          <w:rFonts w:cs="Arial"/>
        </w:rPr>
        <w:t>a person who is seconded to the ACMA under section 55(1) of the ACMA Act.</w:t>
      </w:r>
    </w:p>
    <w:p w14:paraId="4B6B11E3" w14:textId="77777777" w:rsidR="000A10D4" w:rsidRPr="00F411DF" w:rsidRDefault="000A10D4" w:rsidP="007C324E">
      <w:pPr>
        <w:keepLines/>
        <w:tabs>
          <w:tab w:val="left" w:pos="567"/>
        </w:tabs>
        <w:ind w:left="567"/>
        <w:rPr>
          <w:rFonts w:cs="Arial"/>
        </w:rPr>
      </w:pPr>
      <w:r w:rsidRPr="00F411DF">
        <w:rPr>
          <w:rFonts w:cs="Arial"/>
        </w:rPr>
        <w:t xml:space="preserve"> (See sections 3 and 59L of the ACMA Act.)</w:t>
      </w:r>
    </w:p>
    <w:p w14:paraId="659A0768" w14:textId="77777777" w:rsidR="000A10D4" w:rsidRPr="00F411DF" w:rsidRDefault="000A10D4" w:rsidP="00AF36EC">
      <w:pPr>
        <w:pStyle w:val="Heading2"/>
      </w:pPr>
      <w:bookmarkStart w:id="14" w:name="_6._Assisting_the"/>
      <w:bookmarkStart w:id="15" w:name="_Toc355171799"/>
      <w:bookmarkStart w:id="16" w:name="_Toc126589286"/>
      <w:bookmarkEnd w:id="14"/>
      <w:r w:rsidRPr="00F411DF">
        <w:t>6. Assisting the ACMA</w:t>
      </w:r>
      <w:bookmarkEnd w:id="15"/>
      <w:bookmarkEnd w:id="16"/>
      <w:r>
        <w:t xml:space="preserve"> </w:t>
      </w:r>
    </w:p>
    <w:p w14:paraId="611B07BB" w14:textId="34DB16DC" w:rsidR="000A10D4" w:rsidRPr="00F411DF" w:rsidRDefault="000A10D4" w:rsidP="004265FB">
      <w:pPr>
        <w:tabs>
          <w:tab w:val="left" w:pos="567"/>
        </w:tabs>
        <w:ind w:left="567" w:hanging="567"/>
        <w:rPr>
          <w:rFonts w:cs="Arial"/>
        </w:rPr>
      </w:pPr>
      <w:r w:rsidRPr="00F411DF">
        <w:rPr>
          <w:rFonts w:cs="Arial"/>
        </w:rPr>
        <w:t>6.1</w:t>
      </w:r>
      <w:r w:rsidRPr="00F411DF">
        <w:rPr>
          <w:rFonts w:cs="Arial"/>
        </w:rPr>
        <w:tab/>
        <w:t xml:space="preserve">A disclosure may be made by the ACMA upon a request being made or of its own volition. Part 7A does not, however, impose any obligation upon the ACMA to make a disclosure. The decision to disclose information will be made in light of the facts. There is a range of discretionary factors </w:t>
      </w:r>
      <w:r w:rsidR="000E1988">
        <w:rPr>
          <w:rFonts w:cs="Arial"/>
        </w:rPr>
        <w:t>that</w:t>
      </w:r>
      <w:r w:rsidR="000E1988" w:rsidRPr="00F411DF">
        <w:rPr>
          <w:rFonts w:cs="Arial"/>
        </w:rPr>
        <w:t xml:space="preserve"> </w:t>
      </w:r>
      <w:r w:rsidRPr="00F411DF">
        <w:rPr>
          <w:rFonts w:cs="Arial"/>
        </w:rPr>
        <w:t xml:space="preserve">may have a bearing on whether a disclosure should be made, some of which are discussed below. </w:t>
      </w:r>
    </w:p>
    <w:p w14:paraId="650480CD" w14:textId="77777777" w:rsidR="000A10D4" w:rsidRPr="00F411DF" w:rsidRDefault="000A10D4" w:rsidP="004265FB">
      <w:pPr>
        <w:pStyle w:val="ACMABodyText"/>
        <w:keepNext/>
        <w:spacing w:before="60" w:after="60" w:line="240" w:lineRule="atLeast"/>
        <w:ind w:left="567"/>
        <w:rPr>
          <w:rFonts w:cs="Arial"/>
          <w:b/>
          <w:sz w:val="20"/>
        </w:rPr>
      </w:pPr>
      <w:r w:rsidRPr="00F411DF">
        <w:rPr>
          <w:rFonts w:cs="Arial"/>
          <w:b/>
          <w:sz w:val="20"/>
        </w:rPr>
        <w:t>Impact of the disclosure on ACMA</w:t>
      </w:r>
    </w:p>
    <w:p w14:paraId="78CE1994" w14:textId="77777777" w:rsidR="000A10D4" w:rsidRPr="00F411DF" w:rsidRDefault="000A10D4" w:rsidP="00AF36EC">
      <w:pPr>
        <w:tabs>
          <w:tab w:val="left" w:pos="567"/>
        </w:tabs>
        <w:spacing w:after="120"/>
        <w:ind w:left="567" w:hanging="567"/>
        <w:rPr>
          <w:rFonts w:cs="Arial"/>
        </w:rPr>
      </w:pPr>
      <w:r w:rsidRPr="00F411DF">
        <w:rPr>
          <w:rFonts w:cs="Arial"/>
        </w:rPr>
        <w:t>6.2</w:t>
      </w:r>
      <w:r w:rsidRPr="00F411DF">
        <w:rPr>
          <w:rFonts w:cs="Arial"/>
        </w:rPr>
        <w:tab/>
        <w:t>In determining whether the ACMA should exercise its discretion and disclose information under Part 7A of the ACMA Act, the ACMA will consider what, if any, implications the disclosure may have on our compliance and enforcement activities. Where, for example, the authorised disclosure information relates to a current investigation, the ACMA will consider whether disclosure may prejudice that investigation and any possible regulatory or enforcement action it has or may take.</w:t>
      </w:r>
      <w:r>
        <w:rPr>
          <w:rFonts w:cs="Arial"/>
        </w:rPr>
        <w:t xml:space="preserve"> </w:t>
      </w:r>
    </w:p>
    <w:p w14:paraId="15B82C31" w14:textId="609013DE" w:rsidR="000A10D4" w:rsidRPr="00F411DF" w:rsidRDefault="000A10D4" w:rsidP="00AF36EC">
      <w:pPr>
        <w:tabs>
          <w:tab w:val="left" w:pos="567"/>
        </w:tabs>
        <w:spacing w:after="120"/>
        <w:ind w:left="567" w:hanging="567"/>
        <w:rPr>
          <w:rFonts w:cs="Arial"/>
        </w:rPr>
      </w:pPr>
      <w:r w:rsidRPr="00F411DF">
        <w:rPr>
          <w:rFonts w:cs="Arial"/>
        </w:rPr>
        <w:t>6.3</w:t>
      </w:r>
      <w:r w:rsidRPr="00F411DF">
        <w:rPr>
          <w:rFonts w:cs="Arial"/>
        </w:rPr>
        <w:tab/>
        <w:t>The ACMA will also consider what, if any, resource implications the disclosure may have on its day</w:t>
      </w:r>
      <w:r w:rsidR="000E1988">
        <w:rPr>
          <w:rFonts w:cs="Arial"/>
        </w:rPr>
        <w:t>-</w:t>
      </w:r>
      <w:r w:rsidRPr="00F411DF">
        <w:rPr>
          <w:rFonts w:cs="Arial"/>
        </w:rPr>
        <w:t>to</w:t>
      </w:r>
      <w:r w:rsidR="000E1988">
        <w:rPr>
          <w:rFonts w:cs="Arial"/>
        </w:rPr>
        <w:t>-</w:t>
      </w:r>
      <w:r w:rsidRPr="00F411DF">
        <w:rPr>
          <w:rFonts w:cs="Arial"/>
        </w:rPr>
        <w:t xml:space="preserve">day activities. Where, for example, a request has been made for the disclosure of authorised disclosure information, the ACMA will assess the resources that may be required to respond. </w:t>
      </w:r>
    </w:p>
    <w:p w14:paraId="55841D28" w14:textId="77777777" w:rsidR="000A10D4" w:rsidRPr="00F411DF" w:rsidRDefault="000A10D4" w:rsidP="004265FB">
      <w:pPr>
        <w:pStyle w:val="ACMABodyText"/>
        <w:keepNext/>
        <w:spacing w:before="240" w:after="60" w:line="240" w:lineRule="atLeast"/>
        <w:ind w:left="567"/>
        <w:rPr>
          <w:rFonts w:cs="Arial"/>
          <w:b/>
          <w:sz w:val="20"/>
        </w:rPr>
      </w:pPr>
      <w:r w:rsidRPr="00F411DF">
        <w:rPr>
          <w:rFonts w:cs="Arial"/>
          <w:b/>
          <w:sz w:val="20"/>
        </w:rPr>
        <w:t>Procedural fairness</w:t>
      </w:r>
    </w:p>
    <w:p w14:paraId="485F5AB4" w14:textId="77777777" w:rsidR="000A10D4" w:rsidRPr="00F411DF" w:rsidRDefault="000A10D4" w:rsidP="00AF36EC">
      <w:pPr>
        <w:tabs>
          <w:tab w:val="left" w:pos="567"/>
        </w:tabs>
        <w:spacing w:after="120"/>
        <w:ind w:left="567" w:hanging="567"/>
        <w:rPr>
          <w:rFonts w:cs="Arial"/>
        </w:rPr>
      </w:pPr>
      <w:r w:rsidRPr="00F411DF">
        <w:rPr>
          <w:rFonts w:cs="Arial"/>
        </w:rPr>
        <w:t>6.4</w:t>
      </w:r>
      <w:r w:rsidRPr="00F411DF">
        <w:rPr>
          <w:rFonts w:cs="Arial"/>
        </w:rPr>
        <w:tab/>
        <w:t>The ACMA may have an obligation to afford an opportunity to be heard to a person who is directly and materially adversely affected by the disclosure. The adverse effect may result from, for example, the disclosure of confidences or damage to a person’s reputation.</w:t>
      </w:r>
      <w:r>
        <w:rPr>
          <w:rFonts w:cs="Arial"/>
        </w:rPr>
        <w:t xml:space="preserve"> </w:t>
      </w:r>
    </w:p>
    <w:p w14:paraId="0D2776B2" w14:textId="4A414D6F" w:rsidR="000A10D4" w:rsidRPr="00F411DF" w:rsidRDefault="000A10D4" w:rsidP="00AF36EC">
      <w:pPr>
        <w:tabs>
          <w:tab w:val="left" w:pos="567"/>
        </w:tabs>
        <w:spacing w:after="120"/>
        <w:ind w:left="567" w:hanging="567"/>
        <w:rPr>
          <w:rFonts w:cs="Arial"/>
        </w:rPr>
      </w:pPr>
      <w:r w:rsidRPr="00F411DF">
        <w:rPr>
          <w:rFonts w:cs="Arial"/>
        </w:rPr>
        <w:t>6.5</w:t>
      </w:r>
      <w:r w:rsidRPr="00F411DF">
        <w:rPr>
          <w:rFonts w:cs="Arial"/>
        </w:rPr>
        <w:tab/>
        <w:t xml:space="preserve">The nature and extent of any obligation to afford procedural fairness is a factor </w:t>
      </w:r>
      <w:r w:rsidR="000E1988">
        <w:rPr>
          <w:rFonts w:cs="Arial"/>
        </w:rPr>
        <w:t>that</w:t>
      </w:r>
      <w:r w:rsidR="000E1988" w:rsidRPr="00F411DF">
        <w:rPr>
          <w:rFonts w:cs="Arial"/>
        </w:rPr>
        <w:t xml:space="preserve"> </w:t>
      </w:r>
      <w:r w:rsidRPr="00F411DF">
        <w:rPr>
          <w:rFonts w:cs="Arial"/>
        </w:rPr>
        <w:t>will be considered by the ACMA in determining whether disclosure should occur and</w:t>
      </w:r>
      <w:r w:rsidR="000E1988">
        <w:rPr>
          <w:rFonts w:cs="Arial"/>
        </w:rPr>
        <w:t>,</w:t>
      </w:r>
      <w:r w:rsidRPr="00F411DF">
        <w:rPr>
          <w:rFonts w:cs="Arial"/>
        </w:rPr>
        <w:t xml:space="preserve"> if it is to occur, the conditions upon which the disclosure will be made (subsections 59C(2) and 59D(2)) (see paragraphs 6.10</w:t>
      </w:r>
      <w:r w:rsidR="000E1988">
        <w:rPr>
          <w:rFonts w:cs="Arial"/>
        </w:rPr>
        <w:t>–</w:t>
      </w:r>
      <w:r w:rsidRPr="00F411DF">
        <w:rPr>
          <w:rFonts w:cs="Arial"/>
        </w:rPr>
        <w:t>6.13 below)</w:t>
      </w:r>
      <w:r>
        <w:rPr>
          <w:rFonts w:cs="Arial"/>
        </w:rPr>
        <w:t xml:space="preserve">. </w:t>
      </w:r>
    </w:p>
    <w:p w14:paraId="3E015332" w14:textId="7F9D5058" w:rsidR="000A10D4" w:rsidRPr="00F411DF" w:rsidRDefault="000A10D4" w:rsidP="00AF36EC">
      <w:pPr>
        <w:tabs>
          <w:tab w:val="left" w:pos="567"/>
        </w:tabs>
        <w:spacing w:after="80"/>
        <w:ind w:left="567" w:hanging="567"/>
        <w:rPr>
          <w:rFonts w:cs="Arial"/>
        </w:rPr>
      </w:pPr>
      <w:r w:rsidRPr="00F411DF">
        <w:rPr>
          <w:rFonts w:cs="Arial"/>
        </w:rPr>
        <w:t>6.6</w:t>
      </w:r>
      <w:r w:rsidRPr="00F411DF">
        <w:rPr>
          <w:rFonts w:cs="Arial"/>
        </w:rPr>
        <w:tab/>
        <w:t xml:space="preserve">There is a range of the factors </w:t>
      </w:r>
      <w:r w:rsidR="000E1988">
        <w:rPr>
          <w:rFonts w:cs="Arial"/>
        </w:rPr>
        <w:t>that</w:t>
      </w:r>
      <w:r w:rsidR="000E1988" w:rsidRPr="00F411DF">
        <w:rPr>
          <w:rFonts w:cs="Arial"/>
        </w:rPr>
        <w:t xml:space="preserve"> </w:t>
      </w:r>
      <w:r w:rsidRPr="00F411DF">
        <w:rPr>
          <w:rFonts w:cs="Arial"/>
        </w:rPr>
        <w:t xml:space="preserve">have a bearing on whether the ACMA has an obligation to afford procedural fairness and the content of that obligation including: </w:t>
      </w:r>
    </w:p>
    <w:p w14:paraId="53E17869" w14:textId="737F9F3F"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the nature of the information (</w:t>
      </w:r>
      <w:r w:rsidR="000E1988">
        <w:rPr>
          <w:rFonts w:cs="Arial"/>
        </w:rPr>
        <w:t>for example,</w:t>
      </w:r>
      <w:r w:rsidRPr="00F411DF">
        <w:rPr>
          <w:rFonts w:cs="Arial"/>
        </w:rPr>
        <w:t xml:space="preserve"> sensitive personal or commercial/business information)</w:t>
      </w:r>
    </w:p>
    <w:p w14:paraId="0BD5266B" w14:textId="102D9096"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the circumstances in which ACMA acquired the information (</w:t>
      </w:r>
      <w:r w:rsidR="000E1988">
        <w:rPr>
          <w:rFonts w:cs="Arial"/>
        </w:rPr>
        <w:t xml:space="preserve">for example, </w:t>
      </w:r>
      <w:r w:rsidRPr="00F411DF">
        <w:rPr>
          <w:rFonts w:cs="Arial"/>
        </w:rPr>
        <w:t>voluntarily/under compulsion/subject to conditions)</w:t>
      </w:r>
    </w:p>
    <w:p w14:paraId="0B2F9B49" w14:textId="26CBCBA9"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the proposed use/s of the information (</w:t>
      </w:r>
      <w:r w:rsidR="000E1988">
        <w:rPr>
          <w:rFonts w:cs="Arial"/>
        </w:rPr>
        <w:t>for example,</w:t>
      </w:r>
      <w:r w:rsidR="000E1988" w:rsidRPr="00F411DF">
        <w:rPr>
          <w:rFonts w:cs="Arial"/>
        </w:rPr>
        <w:t xml:space="preserve"> </w:t>
      </w:r>
      <w:r w:rsidRPr="00F411DF">
        <w:rPr>
          <w:rFonts w:cs="Arial"/>
        </w:rPr>
        <w:t>an investigation)</w:t>
      </w:r>
    </w:p>
    <w:p w14:paraId="3C64ECC7" w14:textId="73F9249A"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lastRenderedPageBreak/>
        <w:t xml:space="preserve">any statutory obligations imposing restrictions on the use </w:t>
      </w:r>
      <w:r w:rsidR="000E1988">
        <w:rPr>
          <w:rFonts w:cs="Arial"/>
        </w:rPr>
        <w:t>that</w:t>
      </w:r>
      <w:r w:rsidR="000E1988" w:rsidRPr="00F411DF">
        <w:rPr>
          <w:rFonts w:cs="Arial"/>
        </w:rPr>
        <w:t xml:space="preserve"> </w:t>
      </w:r>
      <w:r w:rsidRPr="00F411DF">
        <w:rPr>
          <w:rFonts w:cs="Arial"/>
        </w:rPr>
        <w:t>the recipient of the information may make of information provided to it (</w:t>
      </w:r>
      <w:r w:rsidR="000E1988">
        <w:rPr>
          <w:rFonts w:cs="Arial"/>
        </w:rPr>
        <w:t>for example,</w:t>
      </w:r>
      <w:r w:rsidR="000E1988" w:rsidRPr="00F411DF">
        <w:rPr>
          <w:rFonts w:cs="Arial"/>
        </w:rPr>
        <w:t xml:space="preserve"> </w:t>
      </w:r>
      <w:r w:rsidRPr="00F411DF">
        <w:rPr>
          <w:rFonts w:cs="Arial"/>
        </w:rPr>
        <w:t xml:space="preserve">the confidentiality provisions in the </w:t>
      </w:r>
      <w:r w:rsidRPr="00F411DF">
        <w:rPr>
          <w:rFonts w:cs="Arial"/>
          <w:i/>
        </w:rPr>
        <w:t>Taxation Administration Act 1953</w:t>
      </w:r>
      <w:r w:rsidRPr="00F411DF">
        <w:rPr>
          <w:rFonts w:cs="Arial"/>
        </w:rPr>
        <w:t xml:space="preserve">, </w:t>
      </w:r>
      <w:r w:rsidRPr="00F411DF">
        <w:rPr>
          <w:rFonts w:cs="Arial"/>
          <w:i/>
        </w:rPr>
        <w:t>Australian Prudential Regulation Authority Act 1998</w:t>
      </w:r>
      <w:r w:rsidRPr="00F411DF">
        <w:rPr>
          <w:rFonts w:cs="Arial"/>
        </w:rPr>
        <w:t xml:space="preserve"> and the </w:t>
      </w:r>
      <w:r w:rsidRPr="00F411DF">
        <w:rPr>
          <w:rFonts w:cs="Arial"/>
          <w:i/>
        </w:rPr>
        <w:t>Australian Securities and Investments Commission Act 2001</w:t>
      </w:r>
      <w:r w:rsidRPr="00F411DF">
        <w:rPr>
          <w:rFonts w:cs="Arial"/>
        </w:rPr>
        <w:t>)</w:t>
      </w:r>
    </w:p>
    <w:p w14:paraId="06DC5D0C" w14:textId="7A5E480C"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whether the information is to be or may be published (</w:t>
      </w:r>
      <w:r w:rsidR="000E1988">
        <w:rPr>
          <w:rFonts w:cs="Arial"/>
        </w:rPr>
        <w:t>for example,</w:t>
      </w:r>
      <w:r w:rsidR="000E1988" w:rsidRPr="00F411DF">
        <w:rPr>
          <w:rFonts w:cs="Arial"/>
        </w:rPr>
        <w:t xml:space="preserve"> </w:t>
      </w:r>
      <w:r w:rsidRPr="00F411DF">
        <w:rPr>
          <w:rFonts w:cs="Arial"/>
        </w:rPr>
        <w:t xml:space="preserve">used in proceedings before a court or tribunal </w:t>
      </w:r>
      <w:r w:rsidR="000E1988">
        <w:rPr>
          <w:rFonts w:cs="Arial"/>
        </w:rPr>
        <w:t>that</w:t>
      </w:r>
      <w:r w:rsidR="000E1988" w:rsidRPr="00F411DF">
        <w:rPr>
          <w:rFonts w:cs="Arial"/>
        </w:rPr>
        <w:t xml:space="preserve"> </w:t>
      </w:r>
      <w:r w:rsidRPr="00F411DF">
        <w:rPr>
          <w:rFonts w:cs="Arial"/>
        </w:rPr>
        <w:t>are open to the public, published in a report or other publication, for inclusion in a public register/database)</w:t>
      </w:r>
    </w:p>
    <w:p w14:paraId="4EEA452A" w14:textId="3C199AB3" w:rsidR="000A10D4" w:rsidRPr="00F411DF" w:rsidRDefault="000A10D4" w:rsidP="004265FB">
      <w:pPr>
        <w:pStyle w:val="ListBullet2"/>
        <w:numPr>
          <w:ilvl w:val="0"/>
          <w:numId w:val="1"/>
        </w:numPr>
        <w:tabs>
          <w:tab w:val="clear" w:pos="295"/>
          <w:tab w:val="num" w:pos="993"/>
        </w:tabs>
        <w:spacing w:after="120"/>
        <w:ind w:left="993" w:hanging="426"/>
        <w:rPr>
          <w:rFonts w:cs="Arial"/>
        </w:rPr>
      </w:pPr>
      <w:r w:rsidRPr="00F411DF">
        <w:rPr>
          <w:rFonts w:cs="Arial"/>
        </w:rPr>
        <w:t>the particular circumstances of the matter (</w:t>
      </w:r>
      <w:r w:rsidR="000E1988">
        <w:rPr>
          <w:rFonts w:cs="Arial"/>
        </w:rPr>
        <w:t>for example,</w:t>
      </w:r>
      <w:r w:rsidR="000E1988" w:rsidRPr="00F411DF">
        <w:rPr>
          <w:rFonts w:cs="Arial"/>
        </w:rPr>
        <w:t xml:space="preserve"> </w:t>
      </w:r>
      <w:r w:rsidR="000E1988">
        <w:rPr>
          <w:rFonts w:cs="Arial"/>
        </w:rPr>
        <w:t xml:space="preserve">the </w:t>
      </w:r>
      <w:r w:rsidRPr="00F411DF">
        <w:rPr>
          <w:rFonts w:cs="Arial"/>
        </w:rPr>
        <w:t xml:space="preserve">urgency of the matter). </w:t>
      </w:r>
    </w:p>
    <w:p w14:paraId="0C6C31C1" w14:textId="248F1927" w:rsidR="000A10D4" w:rsidRPr="00F411DF" w:rsidRDefault="000A10D4" w:rsidP="00AF36EC">
      <w:pPr>
        <w:tabs>
          <w:tab w:val="left" w:pos="567"/>
        </w:tabs>
        <w:spacing w:after="120"/>
        <w:ind w:left="567" w:hanging="567"/>
        <w:rPr>
          <w:rFonts w:cs="Arial"/>
        </w:rPr>
      </w:pPr>
      <w:r w:rsidRPr="00F411DF">
        <w:rPr>
          <w:rFonts w:cs="Arial"/>
        </w:rPr>
        <w:t>6.7</w:t>
      </w:r>
      <w:r w:rsidRPr="00F411DF">
        <w:rPr>
          <w:rFonts w:cs="Arial"/>
        </w:rPr>
        <w:tab/>
        <w:t xml:space="preserve">The ACMA may consider whether it is, in the circumstances, appropriate to delete information </w:t>
      </w:r>
      <w:r w:rsidR="000E1988">
        <w:rPr>
          <w:rFonts w:cs="Arial"/>
        </w:rPr>
        <w:t>that</w:t>
      </w:r>
      <w:r w:rsidR="000E1988" w:rsidRPr="00F411DF">
        <w:rPr>
          <w:rFonts w:cs="Arial"/>
        </w:rPr>
        <w:t xml:space="preserve"> </w:t>
      </w:r>
      <w:r w:rsidRPr="00F411DF">
        <w:rPr>
          <w:rFonts w:cs="Arial"/>
        </w:rPr>
        <w:t>may directly and materially adversely affect a person and release the remainder.</w:t>
      </w:r>
      <w:r>
        <w:rPr>
          <w:rFonts w:cs="Arial"/>
        </w:rPr>
        <w:t xml:space="preserve"> </w:t>
      </w:r>
      <w:r w:rsidRPr="00F411DF">
        <w:rPr>
          <w:rFonts w:cs="Arial"/>
        </w:rPr>
        <w:t xml:space="preserve"> </w:t>
      </w:r>
    </w:p>
    <w:p w14:paraId="2DBD7642" w14:textId="234DD418" w:rsidR="000A10D4" w:rsidRPr="00F411DF" w:rsidRDefault="000A10D4" w:rsidP="00AF36EC">
      <w:pPr>
        <w:tabs>
          <w:tab w:val="left" w:pos="567"/>
        </w:tabs>
        <w:spacing w:after="120"/>
        <w:ind w:left="567" w:hanging="567"/>
        <w:rPr>
          <w:rFonts w:cs="Arial"/>
        </w:rPr>
      </w:pPr>
      <w:r w:rsidRPr="00F411DF">
        <w:rPr>
          <w:rFonts w:cs="Arial"/>
        </w:rPr>
        <w:t>6.8</w:t>
      </w:r>
      <w:r w:rsidRPr="00F411DF">
        <w:rPr>
          <w:rFonts w:cs="Arial"/>
        </w:rPr>
        <w:tab/>
        <w:t xml:space="preserve">It may also consider whether the authorised disclosure information can be provided in a form </w:t>
      </w:r>
      <w:r w:rsidR="000E1988">
        <w:rPr>
          <w:rFonts w:cs="Arial"/>
        </w:rPr>
        <w:t>that</w:t>
      </w:r>
      <w:r w:rsidR="000E1988" w:rsidRPr="00F411DF">
        <w:rPr>
          <w:rFonts w:cs="Arial"/>
        </w:rPr>
        <w:t xml:space="preserve"> </w:t>
      </w:r>
      <w:r w:rsidRPr="00F411DF">
        <w:rPr>
          <w:rFonts w:cs="Arial"/>
        </w:rPr>
        <w:t>preserves the anonymity of a person who would otherwise be directly and materially adversely affected (</w:t>
      </w:r>
      <w:r w:rsidR="000E1988">
        <w:rPr>
          <w:rFonts w:cs="Arial"/>
        </w:rPr>
        <w:t>for example,</w:t>
      </w:r>
      <w:r w:rsidR="000E1988" w:rsidRPr="00F411DF">
        <w:rPr>
          <w:rFonts w:cs="Arial"/>
        </w:rPr>
        <w:t xml:space="preserve"> </w:t>
      </w:r>
      <w:r w:rsidRPr="00F411DF">
        <w:rPr>
          <w:rFonts w:cs="Arial"/>
        </w:rPr>
        <w:t>provision of aggregated or statistical data (see section 59G)).</w:t>
      </w:r>
      <w:r>
        <w:rPr>
          <w:rFonts w:cs="Arial"/>
        </w:rPr>
        <w:t xml:space="preserve"> </w:t>
      </w:r>
    </w:p>
    <w:p w14:paraId="586E7DD8" w14:textId="42932AF1" w:rsidR="000A10D4" w:rsidRPr="00F411DF" w:rsidRDefault="000A10D4" w:rsidP="00AF36EC">
      <w:pPr>
        <w:tabs>
          <w:tab w:val="left" w:pos="567"/>
        </w:tabs>
        <w:spacing w:after="120"/>
        <w:ind w:left="567" w:hanging="567"/>
        <w:rPr>
          <w:rFonts w:cs="Arial"/>
        </w:rPr>
      </w:pPr>
      <w:r w:rsidRPr="00F411DF">
        <w:rPr>
          <w:rFonts w:cs="Arial"/>
        </w:rPr>
        <w:t>6.9</w:t>
      </w:r>
      <w:r>
        <w:rPr>
          <w:rFonts w:cs="Arial"/>
        </w:rPr>
        <w:t xml:space="preserve">  </w:t>
      </w:r>
      <w:r>
        <w:rPr>
          <w:rFonts w:cs="Arial"/>
        </w:rPr>
        <w:tab/>
      </w:r>
      <w:r w:rsidRPr="00F411DF">
        <w:rPr>
          <w:rFonts w:cs="Arial"/>
        </w:rPr>
        <w:t xml:space="preserve">The conditions imposed by the ACMA may also mean that there is no direct and material adverse </w:t>
      </w:r>
      <w:r w:rsidR="000E1988">
        <w:rPr>
          <w:rFonts w:cs="Arial"/>
        </w:rPr>
        <w:t>e</w:t>
      </w:r>
      <w:r w:rsidRPr="00F411DF">
        <w:rPr>
          <w:rFonts w:cs="Arial"/>
        </w:rPr>
        <w:t>ffect on a person (see below).</w:t>
      </w:r>
      <w:r>
        <w:rPr>
          <w:rFonts w:cs="Arial"/>
        </w:rPr>
        <w:t xml:space="preserve"> </w:t>
      </w:r>
    </w:p>
    <w:p w14:paraId="21DEA655" w14:textId="77777777" w:rsidR="000A10D4" w:rsidRPr="00F411DF" w:rsidRDefault="000A10D4" w:rsidP="004265FB">
      <w:pPr>
        <w:pStyle w:val="ACMABodyText"/>
        <w:keepNext/>
        <w:spacing w:before="60" w:after="60" w:line="240" w:lineRule="atLeast"/>
        <w:ind w:left="567"/>
        <w:rPr>
          <w:rFonts w:cs="Arial"/>
          <w:b/>
          <w:sz w:val="20"/>
        </w:rPr>
      </w:pPr>
      <w:r w:rsidRPr="00F411DF">
        <w:rPr>
          <w:rFonts w:cs="Arial"/>
          <w:b/>
          <w:sz w:val="20"/>
        </w:rPr>
        <w:t>Conditions</w:t>
      </w:r>
    </w:p>
    <w:p w14:paraId="759FBCB4" w14:textId="739FE546" w:rsidR="000A10D4" w:rsidRPr="00F411DF" w:rsidRDefault="000A10D4" w:rsidP="00AF36EC">
      <w:pPr>
        <w:tabs>
          <w:tab w:val="left" w:pos="567"/>
        </w:tabs>
        <w:spacing w:after="120"/>
        <w:ind w:left="567" w:hanging="567"/>
        <w:rPr>
          <w:rFonts w:cs="Arial"/>
        </w:rPr>
      </w:pPr>
      <w:r w:rsidRPr="00F411DF">
        <w:rPr>
          <w:rFonts w:cs="Arial"/>
        </w:rPr>
        <w:t>6.10</w:t>
      </w:r>
      <w:r w:rsidRPr="00F411DF">
        <w:rPr>
          <w:rFonts w:cs="Arial"/>
        </w:rPr>
        <w:tab/>
        <w:t>When authorised disclosure information is disclosed to an authority under section 59D or a Royal Commission under section 59C</w:t>
      </w:r>
      <w:r w:rsidR="0058444D">
        <w:rPr>
          <w:rFonts w:cs="Arial"/>
        </w:rPr>
        <w:t>,</w:t>
      </w:r>
      <w:r w:rsidRPr="00F411DF">
        <w:rPr>
          <w:rFonts w:cs="Arial"/>
        </w:rPr>
        <w:t xml:space="preserve"> the Chair or</w:t>
      </w:r>
      <w:r w:rsidR="00816FD9">
        <w:rPr>
          <w:rFonts w:cs="Arial"/>
        </w:rPr>
        <w:t xml:space="preserve"> their</w:t>
      </w:r>
      <w:r w:rsidRPr="00F411DF">
        <w:rPr>
          <w:rFonts w:cs="Arial"/>
        </w:rPr>
        <w:t xml:space="preserve"> delegate may impose conditions on the disclosure (subsections 59C(2) and 59D(2) and section 59L of</w:t>
      </w:r>
      <w:r>
        <w:rPr>
          <w:rFonts w:cs="Arial"/>
        </w:rPr>
        <w:t xml:space="preserve"> </w:t>
      </w:r>
      <w:r w:rsidRPr="00F411DF">
        <w:rPr>
          <w:rFonts w:cs="Arial"/>
        </w:rPr>
        <w:t>the ACMA Act). The type of conditions attached to the disclosure of the authorised disclosure information will turn on the facts of the matter.</w:t>
      </w:r>
      <w:r>
        <w:rPr>
          <w:rFonts w:cs="Arial"/>
        </w:rPr>
        <w:t xml:space="preserve"> </w:t>
      </w:r>
    </w:p>
    <w:p w14:paraId="0C173D94" w14:textId="1796C1D2" w:rsidR="000A10D4" w:rsidRPr="00F411DF" w:rsidRDefault="000A10D4" w:rsidP="00AF36EC">
      <w:pPr>
        <w:tabs>
          <w:tab w:val="left" w:pos="567"/>
        </w:tabs>
        <w:spacing w:after="80"/>
        <w:ind w:left="567" w:hanging="567"/>
        <w:rPr>
          <w:rFonts w:cs="Arial"/>
        </w:rPr>
      </w:pPr>
      <w:r w:rsidRPr="00F411DF">
        <w:rPr>
          <w:rFonts w:cs="Arial"/>
        </w:rPr>
        <w:t>6.11</w:t>
      </w:r>
      <w:r w:rsidRPr="00F411DF">
        <w:rPr>
          <w:rFonts w:cs="Arial"/>
        </w:rPr>
        <w:tab/>
        <w:t xml:space="preserve">There is a range of conditions </w:t>
      </w:r>
      <w:r w:rsidR="0058444D">
        <w:rPr>
          <w:rFonts w:cs="Arial"/>
        </w:rPr>
        <w:t>that</w:t>
      </w:r>
      <w:r w:rsidR="0058444D" w:rsidRPr="00F411DF">
        <w:rPr>
          <w:rFonts w:cs="Arial"/>
        </w:rPr>
        <w:t xml:space="preserve"> </w:t>
      </w:r>
      <w:r w:rsidRPr="00F411DF">
        <w:rPr>
          <w:rFonts w:cs="Arial"/>
        </w:rPr>
        <w:t>may be appropriate</w:t>
      </w:r>
      <w:r w:rsidR="0058444D">
        <w:rPr>
          <w:rFonts w:cs="Arial"/>
        </w:rPr>
        <w:t>,</w:t>
      </w:r>
      <w:r w:rsidRPr="00F411DF">
        <w:rPr>
          <w:rFonts w:cs="Arial"/>
        </w:rPr>
        <w:t xml:space="preserve"> including: </w:t>
      </w:r>
    </w:p>
    <w:p w14:paraId="72A217BA"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limitations on further disclosure or publication</w:t>
      </w:r>
    </w:p>
    <w:p w14:paraId="4F7526EB"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 xml:space="preserve">restrictions on the use to which the information may be put </w:t>
      </w:r>
    </w:p>
    <w:p w14:paraId="5C62D205" w14:textId="77777777"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specifications as to who may have access to the information</w:t>
      </w:r>
    </w:p>
    <w:p w14:paraId="5620030D" w14:textId="656EBEA9" w:rsidR="000A10D4" w:rsidRPr="00F411DF" w:rsidRDefault="000A10D4" w:rsidP="00AF36EC">
      <w:pPr>
        <w:pStyle w:val="ListBullet2"/>
        <w:numPr>
          <w:ilvl w:val="0"/>
          <w:numId w:val="1"/>
        </w:numPr>
        <w:tabs>
          <w:tab w:val="clear" w:pos="295"/>
          <w:tab w:val="num" w:pos="993"/>
        </w:tabs>
        <w:ind w:left="993" w:hanging="426"/>
        <w:rPr>
          <w:rFonts w:cs="Arial"/>
        </w:rPr>
      </w:pPr>
      <w:r w:rsidRPr="00F411DF">
        <w:rPr>
          <w:rFonts w:cs="Arial"/>
        </w:rPr>
        <w:t>restrictions on copying of the information</w:t>
      </w:r>
    </w:p>
    <w:p w14:paraId="2521DF84" w14:textId="77777777" w:rsidR="000A10D4" w:rsidRPr="00F411DF" w:rsidRDefault="000A10D4" w:rsidP="004265FB">
      <w:pPr>
        <w:pStyle w:val="ListBullet2"/>
        <w:numPr>
          <w:ilvl w:val="0"/>
          <w:numId w:val="1"/>
        </w:numPr>
        <w:tabs>
          <w:tab w:val="clear" w:pos="295"/>
          <w:tab w:val="num" w:pos="993"/>
        </w:tabs>
        <w:spacing w:after="120"/>
        <w:ind w:left="993" w:hanging="426"/>
        <w:rPr>
          <w:rFonts w:cs="Arial"/>
        </w:rPr>
      </w:pPr>
      <w:r w:rsidRPr="00F411DF">
        <w:rPr>
          <w:rFonts w:cs="Arial"/>
        </w:rPr>
        <w:t>requirements to return or destroy the information.</w:t>
      </w:r>
      <w:r>
        <w:rPr>
          <w:rFonts w:cs="Arial"/>
        </w:rPr>
        <w:t xml:space="preserve"> </w:t>
      </w:r>
    </w:p>
    <w:p w14:paraId="1F88A3F8" w14:textId="2A3218C9" w:rsidR="000A10D4" w:rsidRPr="00F411DF" w:rsidRDefault="000A10D4" w:rsidP="00AF36EC">
      <w:pPr>
        <w:tabs>
          <w:tab w:val="left" w:pos="567"/>
        </w:tabs>
        <w:spacing w:after="120"/>
        <w:ind w:left="567" w:hanging="567"/>
        <w:rPr>
          <w:rFonts w:cs="Arial"/>
        </w:rPr>
      </w:pPr>
      <w:r w:rsidRPr="00F411DF">
        <w:rPr>
          <w:rFonts w:cs="Arial"/>
        </w:rPr>
        <w:t>6.12</w:t>
      </w:r>
      <w:r w:rsidRPr="00F411DF">
        <w:rPr>
          <w:rFonts w:cs="Arial"/>
        </w:rPr>
        <w:tab/>
        <w:t>The ACMA may impose conditions relating to the manner in which the information may be used or published (</w:t>
      </w:r>
      <w:r w:rsidR="0058444D">
        <w:rPr>
          <w:rFonts w:cs="Arial"/>
        </w:rPr>
        <w:t>for example,</w:t>
      </w:r>
      <w:r w:rsidRPr="00F411DF">
        <w:rPr>
          <w:rFonts w:cs="Arial"/>
        </w:rPr>
        <w:t xml:space="preserve"> it may specify that the information may only be used for the purpose of an investigation and it may not be further disclosed).</w:t>
      </w:r>
      <w:r>
        <w:rPr>
          <w:rFonts w:cs="Arial"/>
        </w:rPr>
        <w:t xml:space="preserve"> </w:t>
      </w:r>
    </w:p>
    <w:p w14:paraId="580732D7" w14:textId="77777777" w:rsidR="000A10D4" w:rsidRPr="00F411DF" w:rsidRDefault="000A10D4" w:rsidP="00AF36EC">
      <w:pPr>
        <w:tabs>
          <w:tab w:val="left" w:pos="567"/>
        </w:tabs>
        <w:spacing w:after="120"/>
        <w:ind w:left="567" w:hanging="567"/>
        <w:rPr>
          <w:rFonts w:cs="Arial"/>
        </w:rPr>
      </w:pPr>
      <w:r w:rsidRPr="00F411DF">
        <w:rPr>
          <w:rFonts w:cs="Arial"/>
        </w:rPr>
        <w:t>6.13</w:t>
      </w:r>
      <w:r w:rsidRPr="00F411DF">
        <w:rPr>
          <w:rFonts w:cs="Arial"/>
        </w:rPr>
        <w:tab/>
        <w:t>The conditions imposed may also affect the ACMA’s procedural fairness obligations. As noted above, the ACMA may have an obligation to give a person who is directly and materially adversely affected by the proposed disclosure an opportunity to be heard before the decision to disclose is made. The conditions imposed by the ACMA may mean that the potential for the ‘detriment’ to the person is reduced or eliminated.</w:t>
      </w:r>
      <w:r>
        <w:rPr>
          <w:rFonts w:cs="Arial"/>
        </w:rPr>
        <w:t xml:space="preserve">  </w:t>
      </w:r>
      <w:r w:rsidRPr="00F411DF">
        <w:rPr>
          <w:rFonts w:cs="Arial"/>
        </w:rPr>
        <w:t xml:space="preserve"> </w:t>
      </w:r>
    </w:p>
    <w:p w14:paraId="6FD6C9BE" w14:textId="6239088D" w:rsidR="00D20BBD" w:rsidRPr="00D20BBD" w:rsidRDefault="00D20BBD" w:rsidP="00AF36EC">
      <w:pPr>
        <w:pStyle w:val="Heading2"/>
      </w:pPr>
    </w:p>
    <w:sectPr w:rsidR="00D20BBD" w:rsidRPr="00D20BBD" w:rsidSect="00C77380">
      <w:headerReference w:type="even" r:id="rId25"/>
      <w:headerReference w:type="default" r:id="rId26"/>
      <w:footerReference w:type="even" r:id="rId27"/>
      <w:footerReference w:type="default" r:id="rId2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042815" w14:textId="77777777" w:rsidR="00C401D2" w:rsidRDefault="00C401D2">
      <w:r>
        <w:separator/>
      </w:r>
    </w:p>
  </w:endnote>
  <w:endnote w:type="continuationSeparator" w:id="0">
    <w:p w14:paraId="7D0BB948" w14:textId="77777777" w:rsidR="00C401D2" w:rsidRDefault="00C40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4E15A" w14:textId="77777777" w:rsidR="005E250B" w:rsidRDefault="005E250B" w:rsidP="005E250B">
    <w:pPr>
      <w:pStyle w:val="Footer"/>
      <w:jc w:val="right"/>
    </w:pPr>
    <w:r w:rsidRPr="005E250B">
      <w:rPr>
        <w:noProof/>
        <w:vertAlign w:val="subscript"/>
      </w:rPr>
      <w:drawing>
        <wp:inline distT="0" distB="0" distL="0" distR="0" wp14:anchorId="4A66AE9F" wp14:editId="6045E3A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8E1E0"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4500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5EFD2"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63E0E0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0AA7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00C83ECC"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E1160"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73D5465"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A137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0FA8457"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00751"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69157EB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9F09BB" w14:textId="77777777" w:rsidR="00C401D2" w:rsidRDefault="00C401D2" w:rsidP="00D000C2">
      <w:pPr>
        <w:spacing w:after="120"/>
      </w:pPr>
      <w:r>
        <w:separator/>
      </w:r>
    </w:p>
  </w:footnote>
  <w:footnote w:type="continuationSeparator" w:id="0">
    <w:p w14:paraId="3E9FFA91" w14:textId="77777777" w:rsidR="00C401D2" w:rsidRDefault="00C401D2">
      <w:r>
        <w:continuationSeparator/>
      </w:r>
    </w:p>
  </w:footnote>
  <w:footnote w:id="1">
    <w:p w14:paraId="27364277" w14:textId="77777777" w:rsidR="000A10D4" w:rsidRDefault="000A10D4" w:rsidP="000A10D4">
      <w:pPr>
        <w:pStyle w:val="FootnoteText"/>
      </w:pPr>
      <w:r>
        <w:rPr>
          <w:rStyle w:val="FootnoteReference"/>
        </w:rPr>
        <w:footnoteRef/>
      </w:r>
      <w:r>
        <w:t xml:space="preserve"> </w:t>
      </w:r>
      <w:r>
        <w:rPr>
          <w:rFonts w:cs="Arial"/>
        </w:rPr>
        <w:t xml:space="preserve">See too section 3 and </w:t>
      </w:r>
      <w:r w:rsidRPr="000E4A3F">
        <w:rPr>
          <w:rFonts w:cs="Arial"/>
        </w:rPr>
        <w:t>subsection 59D(1A) of the A</w:t>
      </w:r>
      <w:r>
        <w:rPr>
          <w:rFonts w:cs="Arial"/>
        </w:rPr>
        <w:t>CMA A</w:t>
      </w:r>
      <w:r w:rsidRPr="000E4A3F">
        <w:rPr>
          <w:rFonts w:cs="Arial"/>
        </w:rPr>
        <w:t xml:space="preserve">ct and section 4 of the </w:t>
      </w:r>
      <w:r w:rsidRPr="000E4A3F">
        <w:rPr>
          <w:rFonts w:cs="Arial"/>
          <w:i/>
        </w:rPr>
        <w:t>Interactive Gambling Act</w:t>
      </w:r>
      <w:r w:rsidRPr="000E4A3F">
        <w:rPr>
          <w:rFonts w:cs="Arial"/>
        </w:rPr>
        <w:t xml:space="preserve"> </w:t>
      </w:r>
      <w:r w:rsidRPr="000E4A3F">
        <w:rPr>
          <w:rFonts w:cs="Arial"/>
          <w:i/>
        </w:rPr>
        <w:t>2001</w:t>
      </w:r>
      <w:r w:rsidRPr="000E4A3F">
        <w:rPr>
          <w:rFonts w:cs="Arial"/>
        </w:rPr>
        <w:t>.</w:t>
      </w:r>
    </w:p>
  </w:footnote>
  <w:footnote w:id="2">
    <w:p w14:paraId="67A09955" w14:textId="77777777" w:rsidR="000A10D4" w:rsidRPr="008516D2" w:rsidRDefault="000A10D4" w:rsidP="007C324E">
      <w:pPr>
        <w:pStyle w:val="FootnoteText"/>
        <w:spacing w:after="0"/>
        <w:rPr>
          <w:rFonts w:cs="Arial"/>
        </w:rPr>
      </w:pPr>
      <w:r w:rsidRPr="00474502">
        <w:rPr>
          <w:rStyle w:val="FootnoteReference"/>
          <w:rFonts w:cs="Arial"/>
        </w:rPr>
        <w:footnoteRef/>
      </w:r>
      <w:r w:rsidRPr="008516D2">
        <w:rPr>
          <w:rFonts w:cs="Arial"/>
        </w:rPr>
        <w:t xml:space="preserve"> See fn1.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E2E7F" w14:textId="77777777" w:rsidR="00C053A1" w:rsidRPr="00A5474E" w:rsidRDefault="00C053A1" w:rsidP="00A5474E">
    <w:pPr>
      <w:pStyle w:val="Header"/>
    </w:pPr>
    <w:r>
      <w:rPr>
        <w:noProof/>
      </w:rPr>
      <w:drawing>
        <wp:inline distT="0" distB="0" distL="0" distR="0" wp14:anchorId="133E3B54" wp14:editId="5576D217">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25556"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5BAD9"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1E638"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FA55797" w14:textId="77777777" w:rsidTr="003B0421">
      <w:trPr>
        <w:trHeight w:hRule="exact" w:val="988"/>
      </w:trPr>
      <w:tc>
        <w:tcPr>
          <w:tcW w:w="7678" w:type="dxa"/>
          <w:shd w:val="clear" w:color="auto" w:fill="auto"/>
        </w:tcPr>
        <w:p w14:paraId="14DB6459" w14:textId="77777777" w:rsidR="00971914" w:rsidRDefault="00971914" w:rsidP="00971914">
          <w:pPr>
            <w:pStyle w:val="Header"/>
          </w:pPr>
        </w:p>
      </w:tc>
    </w:tr>
    <w:tr w:rsidR="00971914" w14:paraId="2E42EEAA" w14:textId="77777777" w:rsidTr="003B0421">
      <w:tc>
        <w:tcPr>
          <w:tcW w:w="7678" w:type="dxa"/>
          <w:shd w:val="clear" w:color="auto" w:fill="auto"/>
        </w:tcPr>
        <w:p w14:paraId="451E161B" w14:textId="77777777" w:rsidR="00971914" w:rsidRDefault="00971914" w:rsidP="00971914">
          <w:pPr>
            <w:pStyle w:val="GridTable31"/>
          </w:pPr>
          <w:r>
            <w:t xml:space="preserve">Contents </w:t>
          </w:r>
          <w:r w:rsidRPr="00915B1C">
            <w:rPr>
              <w:b w:val="0"/>
              <w:spacing w:val="0"/>
              <w:sz w:val="28"/>
              <w:szCs w:val="28"/>
            </w:rPr>
            <w:t>(Continued)</w:t>
          </w:r>
        </w:p>
      </w:tc>
    </w:tr>
    <w:tr w:rsidR="00971914" w14:paraId="73B3A622" w14:textId="77777777" w:rsidTr="003B0421">
      <w:trPr>
        <w:trHeight w:val="1220"/>
      </w:trPr>
      <w:tc>
        <w:tcPr>
          <w:tcW w:w="7678" w:type="dxa"/>
          <w:shd w:val="clear" w:color="auto" w:fill="auto"/>
        </w:tcPr>
        <w:p w14:paraId="58CAB5F7" w14:textId="77777777" w:rsidR="00971914" w:rsidRDefault="00971914" w:rsidP="00971914"/>
      </w:tc>
    </w:tr>
  </w:tbl>
  <w:p w14:paraId="4DF96BA6"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1C0E434" w14:textId="77777777" w:rsidTr="003B0421">
      <w:trPr>
        <w:trHeight w:hRule="exact" w:val="988"/>
      </w:trPr>
      <w:tc>
        <w:tcPr>
          <w:tcW w:w="7678" w:type="dxa"/>
          <w:shd w:val="clear" w:color="auto" w:fill="auto"/>
        </w:tcPr>
        <w:p w14:paraId="4405E8CD" w14:textId="77777777" w:rsidR="00971914" w:rsidRDefault="00971914" w:rsidP="00971914">
          <w:pPr>
            <w:pStyle w:val="Header"/>
          </w:pPr>
        </w:p>
      </w:tc>
    </w:tr>
    <w:tr w:rsidR="00971914" w14:paraId="156B9F42" w14:textId="77777777" w:rsidTr="003B0421">
      <w:tc>
        <w:tcPr>
          <w:tcW w:w="7678" w:type="dxa"/>
          <w:shd w:val="clear" w:color="auto" w:fill="auto"/>
        </w:tcPr>
        <w:p w14:paraId="4FFF6FAA" w14:textId="77777777" w:rsidR="00971914" w:rsidRDefault="00971914" w:rsidP="00971914">
          <w:pPr>
            <w:pStyle w:val="GridTable31"/>
          </w:pPr>
          <w:r>
            <w:t xml:space="preserve">Contents </w:t>
          </w:r>
          <w:r w:rsidRPr="00915B1C">
            <w:rPr>
              <w:b w:val="0"/>
              <w:spacing w:val="0"/>
              <w:sz w:val="28"/>
              <w:szCs w:val="28"/>
            </w:rPr>
            <w:t>(Continued)</w:t>
          </w:r>
        </w:p>
      </w:tc>
    </w:tr>
    <w:tr w:rsidR="00971914" w14:paraId="338BC6B8" w14:textId="77777777" w:rsidTr="003B0421">
      <w:trPr>
        <w:trHeight w:val="1220"/>
      </w:trPr>
      <w:tc>
        <w:tcPr>
          <w:tcW w:w="7678" w:type="dxa"/>
          <w:shd w:val="clear" w:color="auto" w:fill="auto"/>
        </w:tcPr>
        <w:p w14:paraId="5CC959ED" w14:textId="77777777" w:rsidR="00971914" w:rsidRDefault="00971914" w:rsidP="00971914"/>
      </w:tc>
    </w:tr>
  </w:tbl>
  <w:p w14:paraId="145350B8"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0FAA1"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DB0AD"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BC2C8916"/>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6503AE"/>
    <w:multiLevelType w:val="hybridMultilevel"/>
    <w:tmpl w:val="B0043E5A"/>
    <w:lvl w:ilvl="0" w:tplc="E62243DC">
      <w:start w:val="1"/>
      <w:numFmt w:val="bullet"/>
      <w:lvlText w:val="&gt;"/>
      <w:lvlJc w:val="left"/>
      <w:pPr>
        <w:ind w:left="1440" w:hanging="360"/>
      </w:pPr>
      <w:rPr>
        <w:rFonts w:ascii="HelveticaNeueLT Std Lt" w:hAnsi="HelveticaNeueLT Std Lt" w:hint="default"/>
        <w:sz w:val="2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810338D"/>
    <w:multiLevelType w:val="hybridMultilevel"/>
    <w:tmpl w:val="EC9A8D7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A5B1F10"/>
    <w:multiLevelType w:val="hybridMultilevel"/>
    <w:tmpl w:val="9686FE88"/>
    <w:lvl w:ilvl="0" w:tplc="E62243DC">
      <w:start w:val="1"/>
      <w:numFmt w:val="bullet"/>
      <w:lvlText w:val="&gt;"/>
      <w:lvlJc w:val="left"/>
      <w:pPr>
        <w:ind w:left="927" w:hanging="360"/>
      </w:pPr>
      <w:rPr>
        <w:rFonts w:ascii="HelveticaNeueLT Std Lt" w:hAnsi="HelveticaNeueLT Std Lt" w:hint="default"/>
        <w:sz w:val="20"/>
      </w:rPr>
    </w:lvl>
    <w:lvl w:ilvl="1" w:tplc="0C090003">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3C7F1364"/>
    <w:multiLevelType w:val="hybridMultilevel"/>
    <w:tmpl w:val="1A408FE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3E1258"/>
    <w:multiLevelType w:val="multilevel"/>
    <w:tmpl w:val="52F88258"/>
    <w:lvl w:ilvl="0">
      <w:start w:val="1"/>
      <w:numFmt w:val="decimal"/>
      <w:lvlText w:val="%1."/>
      <w:lvlJc w:val="left"/>
      <w:pPr>
        <w:tabs>
          <w:tab w:val="num" w:pos="360"/>
        </w:tabs>
        <w:ind w:left="360" w:hanging="360"/>
      </w:pPr>
      <w:rPr>
        <w:rFonts w:hint="default"/>
      </w:rPr>
    </w:lvl>
    <w:lvl w:ilvl="1">
      <w:start w:val="1"/>
      <w:numFmt w:val="decimal"/>
      <w:pStyle w:val="BodyText"/>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5B56C6E"/>
    <w:multiLevelType w:val="multilevel"/>
    <w:tmpl w:val="8416C978"/>
    <w:lvl w:ilvl="0">
      <w:start w:val="1"/>
      <w:numFmt w:val="decimal"/>
      <w:lvlText w:val="%1."/>
      <w:lvlJc w:val="left"/>
      <w:pPr>
        <w:ind w:left="360" w:hanging="360"/>
      </w:pPr>
      <w:rPr>
        <w:rFonts w:hint="default"/>
      </w:rPr>
    </w:lvl>
    <w:lvl w:ilvl="1">
      <w:start w:val="1"/>
      <w:numFmt w:val="decimal"/>
      <w:lvlText w:val="%1.%2."/>
      <w:lvlJc w:val="left"/>
      <w:pPr>
        <w:ind w:left="998" w:hanging="431"/>
      </w:pPr>
      <w:rPr>
        <w:rFonts w:hint="default"/>
        <w:i w:val="0"/>
        <w:color w:val="000000" w:themeColor="text1"/>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866283694">
    <w:abstractNumId w:val="3"/>
  </w:num>
  <w:num w:numId="2" w16cid:durableId="357783716">
    <w:abstractNumId w:val="1"/>
  </w:num>
  <w:num w:numId="3" w16cid:durableId="1488324508">
    <w:abstractNumId w:val="2"/>
  </w:num>
  <w:num w:numId="4" w16cid:durableId="1452744909">
    <w:abstractNumId w:val="0"/>
  </w:num>
  <w:num w:numId="5" w16cid:durableId="366566150">
    <w:abstractNumId w:val="8"/>
  </w:num>
  <w:num w:numId="6" w16cid:durableId="88040512">
    <w:abstractNumId w:val="13"/>
  </w:num>
  <w:num w:numId="7" w16cid:durableId="60519841">
    <w:abstractNumId w:val="10"/>
  </w:num>
  <w:num w:numId="8" w16cid:durableId="1400977290">
    <w:abstractNumId w:val="12"/>
  </w:num>
  <w:num w:numId="9" w16cid:durableId="205264922">
    <w:abstractNumId w:val="14"/>
  </w:num>
  <w:num w:numId="10" w16cid:durableId="111094058">
    <w:abstractNumId w:val="4"/>
  </w:num>
  <w:num w:numId="11" w16cid:durableId="1519391118">
    <w:abstractNumId w:val="2"/>
    <w:lvlOverride w:ilvl="0">
      <w:startOverride w:val="1"/>
    </w:lvlOverride>
  </w:num>
  <w:num w:numId="12" w16cid:durableId="31003843">
    <w:abstractNumId w:val="7"/>
  </w:num>
  <w:num w:numId="13" w16cid:durableId="207302992">
    <w:abstractNumId w:val="15"/>
  </w:num>
  <w:num w:numId="14" w16cid:durableId="1915819944">
    <w:abstractNumId w:val="5"/>
  </w:num>
  <w:num w:numId="15" w16cid:durableId="418017984">
    <w:abstractNumId w:val="9"/>
  </w:num>
  <w:num w:numId="16" w16cid:durableId="1874414792">
    <w:abstractNumId w:val="6"/>
  </w:num>
  <w:num w:numId="17" w16cid:durableId="1083189331">
    <w:abstractNumId w:val="3"/>
  </w:num>
  <w:num w:numId="18" w16cid:durableId="1833333140">
    <w:abstractNumId w:val="11"/>
  </w:num>
  <w:num w:numId="19" w16cid:durableId="2041929416">
    <w:abstractNumId w:val="3"/>
  </w:num>
  <w:num w:numId="20" w16cid:durableId="785006646">
    <w:abstractNumId w:val="11"/>
  </w:num>
  <w:num w:numId="21" w16cid:durableId="1475491239">
    <w:abstractNumId w:val="11"/>
  </w:num>
  <w:num w:numId="22" w16cid:durableId="950168172">
    <w:abstractNumId w:val="11"/>
  </w:num>
  <w:num w:numId="23" w16cid:durableId="1675378094">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DA1"/>
    <w:rsid w:val="0000116E"/>
    <w:rsid w:val="00010667"/>
    <w:rsid w:val="000129D5"/>
    <w:rsid w:val="00015AE7"/>
    <w:rsid w:val="00016E21"/>
    <w:rsid w:val="0001719C"/>
    <w:rsid w:val="00017DA0"/>
    <w:rsid w:val="0002224E"/>
    <w:rsid w:val="000245E5"/>
    <w:rsid w:val="00026F91"/>
    <w:rsid w:val="0002794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0D4"/>
    <w:rsid w:val="000A1400"/>
    <w:rsid w:val="000A3C43"/>
    <w:rsid w:val="000A4A51"/>
    <w:rsid w:val="000A5D2B"/>
    <w:rsid w:val="000B4664"/>
    <w:rsid w:val="000B5DE3"/>
    <w:rsid w:val="000C0A57"/>
    <w:rsid w:val="000C230C"/>
    <w:rsid w:val="000C6AB4"/>
    <w:rsid w:val="000D1002"/>
    <w:rsid w:val="000D71D9"/>
    <w:rsid w:val="000D76E0"/>
    <w:rsid w:val="000D7E8B"/>
    <w:rsid w:val="000E1988"/>
    <w:rsid w:val="000E4449"/>
    <w:rsid w:val="000E6097"/>
    <w:rsid w:val="000F3D67"/>
    <w:rsid w:val="00103829"/>
    <w:rsid w:val="00111FCE"/>
    <w:rsid w:val="0011217B"/>
    <w:rsid w:val="001229A5"/>
    <w:rsid w:val="0012489B"/>
    <w:rsid w:val="00124CC6"/>
    <w:rsid w:val="00130017"/>
    <w:rsid w:val="00130F91"/>
    <w:rsid w:val="001349ED"/>
    <w:rsid w:val="00137424"/>
    <w:rsid w:val="00140318"/>
    <w:rsid w:val="00141AD9"/>
    <w:rsid w:val="001436CA"/>
    <w:rsid w:val="00146CE6"/>
    <w:rsid w:val="00152903"/>
    <w:rsid w:val="00153FD5"/>
    <w:rsid w:val="0015614F"/>
    <w:rsid w:val="001577C2"/>
    <w:rsid w:val="001633C4"/>
    <w:rsid w:val="001704D5"/>
    <w:rsid w:val="001709CF"/>
    <w:rsid w:val="00171591"/>
    <w:rsid w:val="00173981"/>
    <w:rsid w:val="0017719D"/>
    <w:rsid w:val="00183FD7"/>
    <w:rsid w:val="00185CAB"/>
    <w:rsid w:val="001875B7"/>
    <w:rsid w:val="00187CB3"/>
    <w:rsid w:val="0019050A"/>
    <w:rsid w:val="001910D4"/>
    <w:rsid w:val="0019729D"/>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1B4D"/>
    <w:rsid w:val="0022334F"/>
    <w:rsid w:val="00226819"/>
    <w:rsid w:val="00232505"/>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359"/>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07146"/>
    <w:rsid w:val="003128EB"/>
    <w:rsid w:val="003165E6"/>
    <w:rsid w:val="003215B5"/>
    <w:rsid w:val="003221CF"/>
    <w:rsid w:val="003233ED"/>
    <w:rsid w:val="00324D9F"/>
    <w:rsid w:val="00327948"/>
    <w:rsid w:val="0033000F"/>
    <w:rsid w:val="00332011"/>
    <w:rsid w:val="00332518"/>
    <w:rsid w:val="00332749"/>
    <w:rsid w:val="00332925"/>
    <w:rsid w:val="003332ED"/>
    <w:rsid w:val="003368DC"/>
    <w:rsid w:val="00345927"/>
    <w:rsid w:val="0035004B"/>
    <w:rsid w:val="00350584"/>
    <w:rsid w:val="00351857"/>
    <w:rsid w:val="003545E8"/>
    <w:rsid w:val="00354BDA"/>
    <w:rsid w:val="003610E1"/>
    <w:rsid w:val="003671BE"/>
    <w:rsid w:val="00372485"/>
    <w:rsid w:val="00373200"/>
    <w:rsid w:val="00375EF5"/>
    <w:rsid w:val="003767A5"/>
    <w:rsid w:val="0038162D"/>
    <w:rsid w:val="00381D15"/>
    <w:rsid w:val="00382B61"/>
    <w:rsid w:val="00385254"/>
    <w:rsid w:val="003A04DB"/>
    <w:rsid w:val="003A40FE"/>
    <w:rsid w:val="003A5F5B"/>
    <w:rsid w:val="003A789A"/>
    <w:rsid w:val="003B12EC"/>
    <w:rsid w:val="003C77E0"/>
    <w:rsid w:val="003D17D7"/>
    <w:rsid w:val="003D2678"/>
    <w:rsid w:val="003D5EA9"/>
    <w:rsid w:val="003D71A3"/>
    <w:rsid w:val="003E2B8A"/>
    <w:rsid w:val="003F10EE"/>
    <w:rsid w:val="003F16F6"/>
    <w:rsid w:val="003F4DC7"/>
    <w:rsid w:val="003F5235"/>
    <w:rsid w:val="003F59D7"/>
    <w:rsid w:val="004027E4"/>
    <w:rsid w:val="0041071D"/>
    <w:rsid w:val="00414AFC"/>
    <w:rsid w:val="004151A7"/>
    <w:rsid w:val="00415310"/>
    <w:rsid w:val="00421709"/>
    <w:rsid w:val="00423763"/>
    <w:rsid w:val="004265FB"/>
    <w:rsid w:val="0042762F"/>
    <w:rsid w:val="00427DC7"/>
    <w:rsid w:val="00431613"/>
    <w:rsid w:val="00431792"/>
    <w:rsid w:val="0043297A"/>
    <w:rsid w:val="00432EB2"/>
    <w:rsid w:val="0043714F"/>
    <w:rsid w:val="004438B5"/>
    <w:rsid w:val="00447037"/>
    <w:rsid w:val="0044713E"/>
    <w:rsid w:val="0045124D"/>
    <w:rsid w:val="00454596"/>
    <w:rsid w:val="0045605D"/>
    <w:rsid w:val="00461062"/>
    <w:rsid w:val="0046135B"/>
    <w:rsid w:val="00461D47"/>
    <w:rsid w:val="004718CC"/>
    <w:rsid w:val="00481695"/>
    <w:rsid w:val="00495A96"/>
    <w:rsid w:val="00495BB3"/>
    <w:rsid w:val="004A56BB"/>
    <w:rsid w:val="004A70D6"/>
    <w:rsid w:val="004B1751"/>
    <w:rsid w:val="004C0253"/>
    <w:rsid w:val="004D56FF"/>
    <w:rsid w:val="004E39D3"/>
    <w:rsid w:val="004E508A"/>
    <w:rsid w:val="004E616D"/>
    <w:rsid w:val="004E78B1"/>
    <w:rsid w:val="004F0946"/>
    <w:rsid w:val="004F1BDE"/>
    <w:rsid w:val="004F2CEE"/>
    <w:rsid w:val="004F32EF"/>
    <w:rsid w:val="004F391D"/>
    <w:rsid w:val="004F556E"/>
    <w:rsid w:val="004F591C"/>
    <w:rsid w:val="004F7F44"/>
    <w:rsid w:val="005037B4"/>
    <w:rsid w:val="005079BF"/>
    <w:rsid w:val="0051269A"/>
    <w:rsid w:val="005219E7"/>
    <w:rsid w:val="00521ED4"/>
    <w:rsid w:val="005261B2"/>
    <w:rsid w:val="00531B9A"/>
    <w:rsid w:val="00531D15"/>
    <w:rsid w:val="0053582D"/>
    <w:rsid w:val="00537604"/>
    <w:rsid w:val="00542377"/>
    <w:rsid w:val="005476EB"/>
    <w:rsid w:val="00550D0B"/>
    <w:rsid w:val="00551782"/>
    <w:rsid w:val="00563EF1"/>
    <w:rsid w:val="00566AB4"/>
    <w:rsid w:val="00575AC5"/>
    <w:rsid w:val="0057605D"/>
    <w:rsid w:val="00581347"/>
    <w:rsid w:val="00581AC9"/>
    <w:rsid w:val="0058444D"/>
    <w:rsid w:val="005849F8"/>
    <w:rsid w:val="00593860"/>
    <w:rsid w:val="005938DF"/>
    <w:rsid w:val="00594E9C"/>
    <w:rsid w:val="005A099B"/>
    <w:rsid w:val="005A2D9C"/>
    <w:rsid w:val="005A55FE"/>
    <w:rsid w:val="005A6A11"/>
    <w:rsid w:val="005A6A60"/>
    <w:rsid w:val="005B5EF8"/>
    <w:rsid w:val="005D2502"/>
    <w:rsid w:val="005D40BB"/>
    <w:rsid w:val="005D47F3"/>
    <w:rsid w:val="005D49BF"/>
    <w:rsid w:val="005D4AA5"/>
    <w:rsid w:val="005D6F4E"/>
    <w:rsid w:val="005D7C73"/>
    <w:rsid w:val="005E1E8F"/>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34ABE"/>
    <w:rsid w:val="006425B8"/>
    <w:rsid w:val="00644373"/>
    <w:rsid w:val="00645915"/>
    <w:rsid w:val="006519C3"/>
    <w:rsid w:val="00652B30"/>
    <w:rsid w:val="006537CC"/>
    <w:rsid w:val="00656345"/>
    <w:rsid w:val="00656DC6"/>
    <w:rsid w:val="00660EC6"/>
    <w:rsid w:val="00664110"/>
    <w:rsid w:val="00664D17"/>
    <w:rsid w:val="00666520"/>
    <w:rsid w:val="00667C5B"/>
    <w:rsid w:val="00674AD6"/>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6F26B0"/>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00BD"/>
    <w:rsid w:val="007B1499"/>
    <w:rsid w:val="007B1BBF"/>
    <w:rsid w:val="007B2960"/>
    <w:rsid w:val="007B355D"/>
    <w:rsid w:val="007B7980"/>
    <w:rsid w:val="007C0DEF"/>
    <w:rsid w:val="007C324E"/>
    <w:rsid w:val="007C3802"/>
    <w:rsid w:val="007C5D5A"/>
    <w:rsid w:val="007C607F"/>
    <w:rsid w:val="007C6E44"/>
    <w:rsid w:val="007C79DD"/>
    <w:rsid w:val="007D0AF7"/>
    <w:rsid w:val="007D1A97"/>
    <w:rsid w:val="007D2CD6"/>
    <w:rsid w:val="007D3063"/>
    <w:rsid w:val="007D3CEB"/>
    <w:rsid w:val="007E3375"/>
    <w:rsid w:val="007E38EE"/>
    <w:rsid w:val="007E7683"/>
    <w:rsid w:val="007F49FA"/>
    <w:rsid w:val="007F54C4"/>
    <w:rsid w:val="007F6E9A"/>
    <w:rsid w:val="00800CCD"/>
    <w:rsid w:val="008044D4"/>
    <w:rsid w:val="00810AB4"/>
    <w:rsid w:val="00816FD9"/>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36EC"/>
    <w:rsid w:val="00AF3F58"/>
    <w:rsid w:val="00AF63E7"/>
    <w:rsid w:val="00AF6E17"/>
    <w:rsid w:val="00B0165D"/>
    <w:rsid w:val="00B01B60"/>
    <w:rsid w:val="00B031F3"/>
    <w:rsid w:val="00B052A4"/>
    <w:rsid w:val="00B075A6"/>
    <w:rsid w:val="00B125DE"/>
    <w:rsid w:val="00B13FDD"/>
    <w:rsid w:val="00B22EB2"/>
    <w:rsid w:val="00B24C6A"/>
    <w:rsid w:val="00B24F8E"/>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1374"/>
    <w:rsid w:val="00B92812"/>
    <w:rsid w:val="00BA3889"/>
    <w:rsid w:val="00BA398B"/>
    <w:rsid w:val="00BB45A1"/>
    <w:rsid w:val="00BB7686"/>
    <w:rsid w:val="00BC23F9"/>
    <w:rsid w:val="00BC3421"/>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1D2"/>
    <w:rsid w:val="00C4032F"/>
    <w:rsid w:val="00C44047"/>
    <w:rsid w:val="00C45155"/>
    <w:rsid w:val="00C5498F"/>
    <w:rsid w:val="00C55235"/>
    <w:rsid w:val="00C60BC5"/>
    <w:rsid w:val="00C64CD0"/>
    <w:rsid w:val="00C6684F"/>
    <w:rsid w:val="00C70E70"/>
    <w:rsid w:val="00C75F8D"/>
    <w:rsid w:val="00C77380"/>
    <w:rsid w:val="00C8321C"/>
    <w:rsid w:val="00C87E8A"/>
    <w:rsid w:val="00C97736"/>
    <w:rsid w:val="00CA345A"/>
    <w:rsid w:val="00CB1E82"/>
    <w:rsid w:val="00CB3DA1"/>
    <w:rsid w:val="00CB4BA8"/>
    <w:rsid w:val="00CB52D7"/>
    <w:rsid w:val="00CC6732"/>
    <w:rsid w:val="00CD6A61"/>
    <w:rsid w:val="00CE38BA"/>
    <w:rsid w:val="00CE3C96"/>
    <w:rsid w:val="00CE51A8"/>
    <w:rsid w:val="00CF369B"/>
    <w:rsid w:val="00D000C2"/>
    <w:rsid w:val="00D00E28"/>
    <w:rsid w:val="00D0190D"/>
    <w:rsid w:val="00D0269E"/>
    <w:rsid w:val="00D05D6C"/>
    <w:rsid w:val="00D15810"/>
    <w:rsid w:val="00D16D4E"/>
    <w:rsid w:val="00D16FE3"/>
    <w:rsid w:val="00D20BBD"/>
    <w:rsid w:val="00D27F41"/>
    <w:rsid w:val="00D36441"/>
    <w:rsid w:val="00D4064E"/>
    <w:rsid w:val="00D44E9B"/>
    <w:rsid w:val="00D45FD2"/>
    <w:rsid w:val="00D47AEB"/>
    <w:rsid w:val="00D50DB9"/>
    <w:rsid w:val="00D51302"/>
    <w:rsid w:val="00D52C43"/>
    <w:rsid w:val="00D530BA"/>
    <w:rsid w:val="00D6507F"/>
    <w:rsid w:val="00D67018"/>
    <w:rsid w:val="00D730BC"/>
    <w:rsid w:val="00D73912"/>
    <w:rsid w:val="00D73D36"/>
    <w:rsid w:val="00D85226"/>
    <w:rsid w:val="00D87B94"/>
    <w:rsid w:val="00D92D49"/>
    <w:rsid w:val="00D92EC1"/>
    <w:rsid w:val="00D95D42"/>
    <w:rsid w:val="00D96DEA"/>
    <w:rsid w:val="00D97ADC"/>
    <w:rsid w:val="00DA2810"/>
    <w:rsid w:val="00DA33DC"/>
    <w:rsid w:val="00DA4E41"/>
    <w:rsid w:val="00DB117A"/>
    <w:rsid w:val="00DB5173"/>
    <w:rsid w:val="00DB7873"/>
    <w:rsid w:val="00DC187B"/>
    <w:rsid w:val="00DC7DEF"/>
    <w:rsid w:val="00DD1A43"/>
    <w:rsid w:val="00DD508B"/>
    <w:rsid w:val="00DD73C2"/>
    <w:rsid w:val="00DE319B"/>
    <w:rsid w:val="00DF08EF"/>
    <w:rsid w:val="00DF34FE"/>
    <w:rsid w:val="00DF56AA"/>
    <w:rsid w:val="00DF56AF"/>
    <w:rsid w:val="00DF78E7"/>
    <w:rsid w:val="00E110E0"/>
    <w:rsid w:val="00E15371"/>
    <w:rsid w:val="00E23372"/>
    <w:rsid w:val="00E24104"/>
    <w:rsid w:val="00E302D0"/>
    <w:rsid w:val="00E35707"/>
    <w:rsid w:val="00E359AB"/>
    <w:rsid w:val="00E36AA1"/>
    <w:rsid w:val="00E41ECB"/>
    <w:rsid w:val="00E42676"/>
    <w:rsid w:val="00E54FDB"/>
    <w:rsid w:val="00E5617D"/>
    <w:rsid w:val="00E563D7"/>
    <w:rsid w:val="00E663F4"/>
    <w:rsid w:val="00E666F2"/>
    <w:rsid w:val="00E66DD4"/>
    <w:rsid w:val="00E74311"/>
    <w:rsid w:val="00E748CC"/>
    <w:rsid w:val="00E75415"/>
    <w:rsid w:val="00E75A08"/>
    <w:rsid w:val="00E775B1"/>
    <w:rsid w:val="00E8152A"/>
    <w:rsid w:val="00E84AAB"/>
    <w:rsid w:val="00E93629"/>
    <w:rsid w:val="00E93B5C"/>
    <w:rsid w:val="00E94CEC"/>
    <w:rsid w:val="00EA04EF"/>
    <w:rsid w:val="00EA49E5"/>
    <w:rsid w:val="00EA6F19"/>
    <w:rsid w:val="00EB7090"/>
    <w:rsid w:val="00EC1BBE"/>
    <w:rsid w:val="00EC2B68"/>
    <w:rsid w:val="00EC3AEF"/>
    <w:rsid w:val="00EC5CD7"/>
    <w:rsid w:val="00EE5FB3"/>
    <w:rsid w:val="00EE7F79"/>
    <w:rsid w:val="00EF715A"/>
    <w:rsid w:val="00F01BC3"/>
    <w:rsid w:val="00F06E14"/>
    <w:rsid w:val="00F179D4"/>
    <w:rsid w:val="00F21A02"/>
    <w:rsid w:val="00F33C56"/>
    <w:rsid w:val="00F347C7"/>
    <w:rsid w:val="00F34848"/>
    <w:rsid w:val="00F42D46"/>
    <w:rsid w:val="00F4496C"/>
    <w:rsid w:val="00F44F3A"/>
    <w:rsid w:val="00F45DD5"/>
    <w:rsid w:val="00F51F10"/>
    <w:rsid w:val="00F529A5"/>
    <w:rsid w:val="00F60F00"/>
    <w:rsid w:val="00F614C0"/>
    <w:rsid w:val="00F61C77"/>
    <w:rsid w:val="00F71853"/>
    <w:rsid w:val="00F83848"/>
    <w:rsid w:val="00F975E9"/>
    <w:rsid w:val="00FA1B7D"/>
    <w:rsid w:val="00FA53EF"/>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0EDCA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AF36EC"/>
    <w:pPr>
      <w:keepNext/>
      <w:spacing w:before="320" w:after="12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aliases w:val="Footnote text,ACMA Footnote Text"/>
    <w:basedOn w:val="Normal"/>
    <w:link w:val="FootnoteTextChar"/>
    <w:rsid w:val="007C324E"/>
    <w:pPr>
      <w:spacing w:after="4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AF36EC"/>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ListParagraph">
    <w:name w:val="List Paragraph"/>
    <w:basedOn w:val="Normal"/>
    <w:uiPriority w:val="34"/>
    <w:qFormat/>
    <w:rsid w:val="00CB3DA1"/>
    <w:pPr>
      <w:ind w:left="720" w:hanging="567"/>
      <w:contextualSpacing/>
    </w:pPr>
    <w:rPr>
      <w:sz w:val="24"/>
    </w:rPr>
  </w:style>
  <w:style w:type="paragraph" w:styleId="BalloonText">
    <w:name w:val="Balloon Text"/>
    <w:basedOn w:val="Normal"/>
    <w:link w:val="BalloonTextChar"/>
    <w:semiHidden/>
    <w:unhideWhenUsed/>
    <w:rsid w:val="00CB3D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CB3DA1"/>
    <w:rPr>
      <w:rFonts w:ascii="Segoe UI" w:hAnsi="Segoe UI" w:cs="Segoe UI"/>
      <w:sz w:val="18"/>
      <w:szCs w:val="18"/>
    </w:rPr>
  </w:style>
  <w:style w:type="character" w:customStyle="1" w:styleId="FootnoteTextChar">
    <w:name w:val="Footnote Text Char"/>
    <w:aliases w:val="Footnote text Char,ACMA Footnote Text Char"/>
    <w:link w:val="FootnoteText"/>
    <w:rsid w:val="007C324E"/>
    <w:rPr>
      <w:rFonts w:ascii="Arial" w:hAnsi="Arial"/>
      <w:sz w:val="16"/>
      <w:szCs w:val="16"/>
    </w:rPr>
  </w:style>
  <w:style w:type="paragraph" w:customStyle="1" w:styleId="ACMABodyTextnumpara2">
    <w:name w:val="ACMA Body Text num para 2"/>
    <w:basedOn w:val="Normal"/>
    <w:link w:val="ACMABodyTextnumpara2Char"/>
    <w:rsid w:val="00CB3DA1"/>
    <w:pPr>
      <w:tabs>
        <w:tab w:val="left" w:pos="1440"/>
      </w:tabs>
      <w:suppressAutoHyphens/>
      <w:spacing w:before="80" w:after="120" w:line="280" w:lineRule="atLeast"/>
      <w:ind w:left="1440" w:hanging="720"/>
    </w:pPr>
    <w:rPr>
      <w:snapToGrid w:val="0"/>
      <w:sz w:val="24"/>
      <w:szCs w:val="20"/>
      <w:lang w:eastAsia="en-US"/>
    </w:rPr>
  </w:style>
  <w:style w:type="character" w:customStyle="1" w:styleId="ACMABodyTextnumpara2Char">
    <w:name w:val="ACMA Body Text num para 2 Char"/>
    <w:basedOn w:val="DefaultParagraphFont"/>
    <w:link w:val="ACMABodyTextnumpara2"/>
    <w:rsid w:val="00CB3DA1"/>
    <w:rPr>
      <w:rFonts w:ascii="Arial" w:hAnsi="Arial"/>
      <w:snapToGrid w:val="0"/>
      <w:szCs w:val="20"/>
      <w:lang w:eastAsia="en-US"/>
    </w:rPr>
  </w:style>
  <w:style w:type="paragraph" w:customStyle="1" w:styleId="ACMABodyText">
    <w:name w:val="ACMA Body Text"/>
    <w:link w:val="ACMABodyTextChar"/>
    <w:rsid w:val="00CB3DA1"/>
    <w:pPr>
      <w:suppressAutoHyphens/>
      <w:spacing w:before="80" w:after="120" w:line="280" w:lineRule="atLeast"/>
    </w:pPr>
    <w:rPr>
      <w:rFonts w:ascii="Arial" w:hAnsi="Arial"/>
      <w:snapToGrid w:val="0"/>
      <w:szCs w:val="20"/>
      <w:lang w:eastAsia="en-US"/>
    </w:rPr>
  </w:style>
  <w:style w:type="character" w:customStyle="1" w:styleId="ACMABodyTextChar">
    <w:name w:val="ACMA Body Text Char"/>
    <w:link w:val="ACMABodyText"/>
    <w:rsid w:val="00CB3DA1"/>
    <w:rPr>
      <w:rFonts w:ascii="Arial" w:hAnsi="Arial"/>
      <w:snapToGrid w:val="0"/>
      <w:szCs w:val="20"/>
      <w:lang w:eastAsia="en-US"/>
    </w:rPr>
  </w:style>
  <w:style w:type="paragraph" w:styleId="BodyText">
    <w:name w:val="Body Text"/>
    <w:basedOn w:val="Normal"/>
    <w:link w:val="BodyTextChar"/>
    <w:rsid w:val="000A10D4"/>
    <w:pPr>
      <w:numPr>
        <w:ilvl w:val="1"/>
        <w:numId w:val="18"/>
      </w:numPr>
      <w:spacing w:after="120" w:line="240" w:lineRule="auto"/>
    </w:pPr>
    <w:rPr>
      <w:rFonts w:ascii="Times New Roman" w:hAnsi="Times New Roman"/>
      <w:sz w:val="24"/>
    </w:rPr>
  </w:style>
  <w:style w:type="character" w:customStyle="1" w:styleId="BodyTextChar">
    <w:name w:val="Body Text Char"/>
    <w:basedOn w:val="DefaultParagraphFont"/>
    <w:link w:val="BodyText"/>
    <w:rsid w:val="000A10D4"/>
  </w:style>
  <w:style w:type="paragraph" w:styleId="Revision">
    <w:name w:val="Revision"/>
    <w:hidden/>
    <w:semiHidden/>
    <w:rsid w:val="004F0946"/>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www.acma.gov.au"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3DA2FB-C11B-4663-A0FB-4E992F09B1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2833</Words>
  <Characters>16152</Characters>
  <Application>Microsoft Office Word</Application>
  <DocSecurity>0</DocSecurity>
  <Lines>134</Lines>
  <Paragraphs>37</Paragraphs>
  <ScaleCrop>false</ScaleCrop>
  <Manager/>
  <Company/>
  <LinksUpToDate>false</LinksUpToDate>
  <CharactersWithSpaces>18948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2023-02-06T21:40:00Z</dcterms:created>
  <dcterms:modified xsi:type="dcterms:W3CDTF">2023-02-06T21:40:00Z</dcterms:modified>
  <cp:category/>
</cp:coreProperties>
</file>