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2BCE9A" w14:textId="09632144" w:rsidR="00CB3DA1" w:rsidRDefault="00CB3DA1" w:rsidP="00CB3DA1">
      <w:pPr>
        <w:pStyle w:val="Reporttitle"/>
      </w:pPr>
      <w:r w:rsidRPr="00CB3DA1">
        <w:t>Regulatory guide</w:t>
      </w:r>
      <w:r w:rsidR="00403A6A">
        <w:t xml:space="preserve"> </w:t>
      </w:r>
      <w:r w:rsidRPr="00CB3DA1">
        <w:t xml:space="preserve">No. </w:t>
      </w:r>
      <w:r w:rsidR="007B00BD">
        <w:t>2</w:t>
      </w:r>
      <w:r w:rsidR="00403A6A">
        <w:t>:</w:t>
      </w:r>
      <w:r w:rsidRPr="00CB3DA1">
        <w:t xml:space="preserve"> </w:t>
      </w:r>
    </w:p>
    <w:p w14:paraId="35F21341" w14:textId="437ADDB0" w:rsidR="00F06E14" w:rsidRDefault="007B00BD" w:rsidP="00CB3DA1">
      <w:pPr>
        <w:pStyle w:val="Reportsubtitle"/>
      </w:pPr>
      <w:r w:rsidRPr="007B00BD">
        <w:t xml:space="preserve">Purpose of an investigation under the </w:t>
      </w:r>
      <w:r w:rsidRPr="007E38EE">
        <w:rPr>
          <w:i/>
        </w:rPr>
        <w:t>Broadcasting Services Act 1992</w:t>
      </w:r>
    </w:p>
    <w:p w14:paraId="22D96714" w14:textId="0848928A" w:rsidR="00C97736" w:rsidRPr="000D76E0" w:rsidRDefault="00CB3DA1" w:rsidP="00EC2B68">
      <w:pPr>
        <w:pStyle w:val="Reportdate"/>
        <w:spacing w:after="720"/>
        <w:rPr>
          <w:rFonts w:cs="Arial"/>
        </w:rPr>
        <w:sectPr w:rsidR="00C97736" w:rsidRPr="000D76E0"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 xml:space="preserve">ISSUED </w:t>
      </w:r>
      <w:r w:rsidR="007B00BD">
        <w:t xml:space="preserve">FEBRUARY 2011, UPDATED </w:t>
      </w:r>
      <w:r w:rsidR="00403A6A">
        <w:t>FEBRUARY 2023</w:t>
      </w:r>
    </w:p>
    <w:p w14:paraId="0954222A" w14:textId="77777777" w:rsidR="0005011A" w:rsidRPr="00F44F3A" w:rsidRDefault="0005011A" w:rsidP="00FC07B9">
      <w:pPr>
        <w:pStyle w:val="ACMACorporateAddressHeader"/>
      </w:pPr>
      <w:r w:rsidRPr="00F44F3A">
        <w:lastRenderedPageBreak/>
        <w:t>Canberra</w:t>
      </w:r>
    </w:p>
    <w:p w14:paraId="7BAF6C10"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13D1949B" w14:textId="77777777" w:rsidR="0005011A" w:rsidRPr="00FC07B9" w:rsidRDefault="0005011A" w:rsidP="00FC07B9">
      <w:pPr>
        <w:pStyle w:val="ACMACorporateAddresses"/>
      </w:pPr>
      <w:r w:rsidRPr="00FC07B9">
        <w:t>PO Box 78</w:t>
      </w:r>
      <w:r w:rsidRPr="00FC07B9">
        <w:br/>
        <w:t>Belconnen ACT 2616</w:t>
      </w:r>
    </w:p>
    <w:p w14:paraId="6A3EBC46"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03C9AB97" w14:textId="77777777" w:rsidR="0005011A" w:rsidRPr="00F44F3A" w:rsidRDefault="0005011A" w:rsidP="00FC07B9">
      <w:pPr>
        <w:pStyle w:val="ACMACorporateAddressHeader"/>
      </w:pPr>
      <w:r w:rsidRPr="00F44F3A">
        <w:t>Melbourne</w:t>
      </w:r>
    </w:p>
    <w:p w14:paraId="6AC87161"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26B298EA"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2CA11A75"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3B80BEFD" w14:textId="77777777" w:rsidR="0005011A" w:rsidRPr="00F44F3A" w:rsidRDefault="0005011A" w:rsidP="00FC07B9">
      <w:pPr>
        <w:pStyle w:val="ACMACorporateAddressHeader"/>
      </w:pPr>
      <w:r w:rsidRPr="00F44F3A">
        <w:t>Sydney</w:t>
      </w:r>
    </w:p>
    <w:p w14:paraId="552BCA7F"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0C045B22"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1E28D788"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1FE14E61" w14:textId="77777777" w:rsidR="00140318" w:rsidRPr="006D46E5" w:rsidRDefault="00140318" w:rsidP="00FC07B9">
      <w:pPr>
        <w:pStyle w:val="ACMACopyrightHeader"/>
      </w:pPr>
      <w:r w:rsidRPr="00140318">
        <w:t>Copyright notice</w:t>
      </w:r>
    </w:p>
    <w:p w14:paraId="2188AE24" w14:textId="77777777" w:rsidR="00140318" w:rsidRPr="006D46E5" w:rsidRDefault="00623FF9" w:rsidP="00623FF9">
      <w:pPr>
        <w:pStyle w:val="ACMACClogo"/>
      </w:pPr>
      <w:r w:rsidRPr="00623FF9">
        <w:rPr>
          <w:noProof/>
        </w:rPr>
        <w:drawing>
          <wp:inline distT="0" distB="0" distL="0" distR="0" wp14:anchorId="0ECD5452" wp14:editId="76288C34">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138D58D2" w14:textId="77777777" w:rsidR="00AA2DE5" w:rsidRDefault="00802EF2" w:rsidP="00AA2DE5">
      <w:pPr>
        <w:pStyle w:val="ACMACorporateAddresses"/>
        <w:rPr>
          <w:rStyle w:val="Hyperlink"/>
        </w:rPr>
      </w:pPr>
      <w:hyperlink r:id="rId13" w:history="1">
        <w:r w:rsidR="00AA2DE5">
          <w:rPr>
            <w:rStyle w:val="Hyperlink"/>
          </w:rPr>
          <w:t>https://creativecommons.org/licenses/by/4.0/</w:t>
        </w:r>
      </w:hyperlink>
    </w:p>
    <w:p w14:paraId="30953D8B"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6866BB62" w14:textId="5F2A56FA" w:rsidR="00AA2DE5" w:rsidRDefault="00AA2DE5" w:rsidP="00AA2DE5">
      <w:pPr>
        <w:pStyle w:val="ACMACorporateAddresses"/>
      </w:pPr>
      <w:r>
        <w:t xml:space="preserve">We request attribution as © Commonwealth of Australia (Australian Communications and Media Authority) </w:t>
      </w:r>
      <w:r w:rsidR="00403A6A">
        <w:t>2023</w:t>
      </w:r>
      <w:r>
        <w:t>.</w:t>
      </w:r>
    </w:p>
    <w:p w14:paraId="482FA027" w14:textId="77777777" w:rsidR="00AA2DE5" w:rsidRDefault="00AA2DE5" w:rsidP="00AA2DE5">
      <w:pPr>
        <w:pStyle w:val="ACMACorporateAddresses"/>
      </w:pPr>
      <w:r>
        <w:t>All other rights are reserved.</w:t>
      </w:r>
    </w:p>
    <w:p w14:paraId="661FD42E"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6E1BC4A5" w14:textId="77777777" w:rsidR="00AA2DE5" w:rsidRDefault="00AA2DE5" w:rsidP="00AA2DE5">
      <w:pPr>
        <w:pStyle w:val="ACMACorporateAddresses"/>
      </w:pPr>
      <w:r>
        <w:t>Written enquiries may be sent to:</w:t>
      </w:r>
    </w:p>
    <w:p w14:paraId="3A53E946"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4028FBAB" w14:textId="77777777" w:rsidR="00D16FE3" w:rsidRDefault="00D16FE3" w:rsidP="00D16FE3">
      <w:pPr>
        <w:pStyle w:val="ACMACorporateAddresses"/>
        <w:rPr>
          <w:rStyle w:val="Hyperlink"/>
        </w:rPr>
      </w:pPr>
    </w:p>
    <w:p w14:paraId="7F4BB5C5"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65867B10" w14:textId="2B0D2E89" w:rsidR="00403A6A" w:rsidRDefault="00403A6A">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"1-2" \t "Exec summary heading,1" </w:instrText>
      </w:r>
      <w:r>
        <w:rPr>
          <w:rFonts w:cs="Arial"/>
          <w:b w:val="0"/>
        </w:rPr>
        <w:fldChar w:fldCharType="separate"/>
      </w:r>
      <w:r>
        <w:t>Overview</w:t>
      </w:r>
      <w:r>
        <w:tab/>
      </w:r>
      <w:r>
        <w:fldChar w:fldCharType="begin"/>
      </w:r>
      <w:r>
        <w:instrText xml:space="preserve"> PAGEREF _Toc126592645 \h </w:instrText>
      </w:r>
      <w:r>
        <w:fldChar w:fldCharType="separate"/>
      </w:r>
      <w:r>
        <w:t>1</w:t>
      </w:r>
      <w:r>
        <w:fldChar w:fldCharType="end"/>
      </w:r>
    </w:p>
    <w:p w14:paraId="732C0A13" w14:textId="2E0FAC7E" w:rsidR="00403A6A" w:rsidRDefault="00403A6A">
      <w:pPr>
        <w:pStyle w:val="TOC2"/>
        <w:rPr>
          <w:rFonts w:asciiTheme="minorHAnsi" w:eastAsiaTheme="minorEastAsia" w:hAnsiTheme="minorHAnsi" w:cstheme="minorBidi"/>
          <w:spacing w:val="0"/>
          <w:sz w:val="22"/>
          <w:szCs w:val="22"/>
        </w:rPr>
      </w:pPr>
      <w:r>
        <w:t>1. Purpose of this guide</w:t>
      </w:r>
      <w:r>
        <w:tab/>
      </w:r>
      <w:r>
        <w:fldChar w:fldCharType="begin"/>
      </w:r>
      <w:r>
        <w:instrText xml:space="preserve"> PAGEREF _Toc126592646 \h </w:instrText>
      </w:r>
      <w:r>
        <w:fldChar w:fldCharType="separate"/>
      </w:r>
      <w:r>
        <w:t>2</w:t>
      </w:r>
      <w:r>
        <w:fldChar w:fldCharType="end"/>
      </w:r>
    </w:p>
    <w:p w14:paraId="7B8B5F01" w14:textId="73DBFFA1" w:rsidR="00403A6A" w:rsidRDefault="00403A6A">
      <w:pPr>
        <w:pStyle w:val="TOC2"/>
        <w:rPr>
          <w:rFonts w:asciiTheme="minorHAnsi" w:eastAsiaTheme="minorEastAsia" w:hAnsiTheme="minorHAnsi" w:cstheme="minorBidi"/>
          <w:spacing w:val="0"/>
          <w:sz w:val="22"/>
          <w:szCs w:val="22"/>
        </w:rPr>
      </w:pPr>
      <w:r>
        <w:t>2. When will an investigation be commenced?</w:t>
      </w:r>
      <w:r>
        <w:tab/>
      </w:r>
      <w:r>
        <w:fldChar w:fldCharType="begin"/>
      </w:r>
      <w:r>
        <w:instrText xml:space="preserve"> PAGEREF _Toc126592647 \h </w:instrText>
      </w:r>
      <w:r>
        <w:fldChar w:fldCharType="separate"/>
      </w:r>
      <w:r>
        <w:t>2</w:t>
      </w:r>
      <w:r>
        <w:fldChar w:fldCharType="end"/>
      </w:r>
    </w:p>
    <w:p w14:paraId="2CC89CFB" w14:textId="4D76784C" w:rsidR="00403A6A" w:rsidRDefault="00403A6A">
      <w:pPr>
        <w:pStyle w:val="TOC2"/>
        <w:rPr>
          <w:rFonts w:asciiTheme="minorHAnsi" w:eastAsiaTheme="minorEastAsia" w:hAnsiTheme="minorHAnsi" w:cstheme="minorBidi"/>
          <w:spacing w:val="0"/>
          <w:sz w:val="22"/>
          <w:szCs w:val="22"/>
        </w:rPr>
      </w:pPr>
      <w:r>
        <w:t>3. Purpose of an investigation</w:t>
      </w:r>
      <w:r>
        <w:tab/>
      </w:r>
      <w:r>
        <w:fldChar w:fldCharType="begin"/>
      </w:r>
      <w:r>
        <w:instrText xml:space="preserve"> PAGEREF _Toc126592648 \h </w:instrText>
      </w:r>
      <w:r>
        <w:fldChar w:fldCharType="separate"/>
      </w:r>
      <w:r>
        <w:t>2</w:t>
      </w:r>
      <w:r>
        <w:fldChar w:fldCharType="end"/>
      </w:r>
    </w:p>
    <w:p w14:paraId="273B0727" w14:textId="4725B063" w:rsidR="00403A6A" w:rsidRDefault="00403A6A">
      <w:pPr>
        <w:pStyle w:val="TOC2"/>
        <w:rPr>
          <w:rFonts w:asciiTheme="minorHAnsi" w:eastAsiaTheme="minorEastAsia" w:hAnsiTheme="minorHAnsi" w:cstheme="minorBidi"/>
          <w:spacing w:val="0"/>
          <w:sz w:val="22"/>
          <w:szCs w:val="22"/>
        </w:rPr>
      </w:pPr>
      <w:r>
        <w:t>4. Evidential standard</w:t>
      </w:r>
      <w:r>
        <w:tab/>
      </w:r>
      <w:r>
        <w:fldChar w:fldCharType="begin"/>
      </w:r>
      <w:r>
        <w:instrText xml:space="preserve"> PAGEREF _Toc126592649 \h </w:instrText>
      </w:r>
      <w:r>
        <w:fldChar w:fldCharType="separate"/>
      </w:r>
      <w:r>
        <w:t>3</w:t>
      </w:r>
      <w:r>
        <w:fldChar w:fldCharType="end"/>
      </w:r>
    </w:p>
    <w:p w14:paraId="1E8E1EF7" w14:textId="69ED38AB" w:rsidR="00403A6A" w:rsidRDefault="00403A6A">
      <w:pPr>
        <w:pStyle w:val="TOC2"/>
        <w:rPr>
          <w:rFonts w:asciiTheme="minorHAnsi" w:eastAsiaTheme="minorEastAsia" w:hAnsiTheme="minorHAnsi" w:cstheme="minorBidi"/>
          <w:spacing w:val="0"/>
          <w:sz w:val="22"/>
          <w:szCs w:val="22"/>
        </w:rPr>
      </w:pPr>
      <w:r>
        <w:t>5. What to expect</w:t>
      </w:r>
      <w:r>
        <w:tab/>
      </w:r>
      <w:r>
        <w:fldChar w:fldCharType="begin"/>
      </w:r>
      <w:r>
        <w:instrText xml:space="preserve"> PAGEREF _Toc126592650 \h </w:instrText>
      </w:r>
      <w:r>
        <w:fldChar w:fldCharType="separate"/>
      </w:r>
      <w:r>
        <w:t>3</w:t>
      </w:r>
      <w:r>
        <w:fldChar w:fldCharType="end"/>
      </w:r>
    </w:p>
    <w:p w14:paraId="4D469B42" w14:textId="6EB5B136" w:rsidR="00403A6A" w:rsidRDefault="00403A6A">
      <w:pPr>
        <w:pStyle w:val="TOC2"/>
        <w:rPr>
          <w:rFonts w:asciiTheme="minorHAnsi" w:eastAsiaTheme="minorEastAsia" w:hAnsiTheme="minorHAnsi" w:cstheme="minorBidi"/>
          <w:spacing w:val="0"/>
          <w:sz w:val="22"/>
          <w:szCs w:val="22"/>
        </w:rPr>
      </w:pPr>
      <w:r>
        <w:t>6. Assisting the ACMA</w:t>
      </w:r>
      <w:r>
        <w:tab/>
      </w:r>
      <w:r>
        <w:fldChar w:fldCharType="begin"/>
      </w:r>
      <w:r>
        <w:instrText xml:space="preserve"> PAGEREF _Toc126592651 \h </w:instrText>
      </w:r>
      <w:r>
        <w:fldChar w:fldCharType="separate"/>
      </w:r>
      <w:r>
        <w:t>4</w:t>
      </w:r>
      <w:r>
        <w:fldChar w:fldCharType="end"/>
      </w:r>
    </w:p>
    <w:p w14:paraId="28BF0F4A" w14:textId="558E37A4" w:rsidR="00403A6A" w:rsidRDefault="00403A6A">
      <w:pPr>
        <w:pStyle w:val="TOC2"/>
        <w:rPr>
          <w:rFonts w:asciiTheme="minorHAnsi" w:eastAsiaTheme="minorEastAsia" w:hAnsiTheme="minorHAnsi" w:cstheme="minorBidi"/>
          <w:spacing w:val="0"/>
          <w:sz w:val="22"/>
          <w:szCs w:val="22"/>
        </w:rPr>
      </w:pPr>
      <w:r>
        <w:t>7. Outcome of an investigation</w:t>
      </w:r>
      <w:r>
        <w:tab/>
      </w:r>
      <w:r>
        <w:fldChar w:fldCharType="begin"/>
      </w:r>
      <w:r>
        <w:instrText xml:space="preserve"> PAGEREF _Toc126592652 \h </w:instrText>
      </w:r>
      <w:r>
        <w:fldChar w:fldCharType="separate"/>
      </w:r>
      <w:r>
        <w:t>4</w:t>
      </w:r>
      <w:r>
        <w:fldChar w:fldCharType="end"/>
      </w:r>
    </w:p>
    <w:p w14:paraId="37F255D0" w14:textId="1628BA52" w:rsidR="004D56FF" w:rsidRPr="000D76E0" w:rsidRDefault="00403A6A">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66D2F0AA" w14:textId="2C524B9B" w:rsidR="009D6C71" w:rsidRPr="009174F3" w:rsidRDefault="00CB3DA1" w:rsidP="009174F3">
      <w:pPr>
        <w:pStyle w:val="Execsummaryheading"/>
      </w:pPr>
      <w:bookmarkStart w:id="0" w:name="_Toc126592645"/>
      <w:r>
        <w:lastRenderedPageBreak/>
        <w:t>Overview</w:t>
      </w:r>
      <w:bookmarkEnd w:id="0"/>
    </w:p>
    <w:p w14:paraId="7D0E4C04" w14:textId="58FE34C6" w:rsidR="00CB3DA1" w:rsidRPr="00DD3AA5" w:rsidRDefault="00CB3DA1" w:rsidP="00FE6C0D">
      <w:pPr>
        <w:spacing w:after="80"/>
        <w:rPr>
          <w:rFonts w:cs="Arial"/>
          <w:szCs w:val="20"/>
        </w:rPr>
      </w:pPr>
      <w:r w:rsidRPr="00DD3AA5">
        <w:rPr>
          <w:rFonts w:cs="Arial"/>
          <w:szCs w:val="20"/>
        </w:rPr>
        <w:t>The Australian Communications and Media Authority (ACMA) issues regulatory guides to assist both industry and the community by:</w:t>
      </w:r>
    </w:p>
    <w:p w14:paraId="28872BFE" w14:textId="77777777" w:rsidR="00CB3DA1" w:rsidRPr="00DD3AA5" w:rsidRDefault="00CB3DA1" w:rsidP="00CB3DA1">
      <w:pPr>
        <w:pStyle w:val="ListBullet"/>
        <w:rPr>
          <w:rFonts w:cs="Arial"/>
          <w:szCs w:val="20"/>
        </w:rPr>
      </w:pPr>
      <w:r w:rsidRPr="00DD3AA5">
        <w:rPr>
          <w:rFonts w:cs="Arial"/>
          <w:szCs w:val="20"/>
        </w:rPr>
        <w:t>giving practical guidance (for example, guidance about the ACMA’s approach to a particular issue or describing the steps of a process)</w:t>
      </w:r>
    </w:p>
    <w:p w14:paraId="64AF7089" w14:textId="77777777" w:rsidR="00CB3DA1" w:rsidRPr="00DD3AA5" w:rsidRDefault="00CB3DA1" w:rsidP="00CB3DA1">
      <w:pPr>
        <w:pStyle w:val="ListBullet"/>
        <w:rPr>
          <w:rFonts w:cs="Arial"/>
          <w:szCs w:val="20"/>
        </w:rPr>
      </w:pPr>
      <w:r w:rsidRPr="00DD3AA5">
        <w:rPr>
          <w:rFonts w:cs="Arial"/>
          <w:szCs w:val="20"/>
        </w:rPr>
        <w:t>describing the principles underlying the ACMA’s approach in particular areas</w:t>
      </w:r>
    </w:p>
    <w:p w14:paraId="397D19A0" w14:textId="77777777" w:rsidR="00CB3DA1" w:rsidRPr="00DD3AA5" w:rsidRDefault="00CB3DA1" w:rsidP="00CB3DA1">
      <w:pPr>
        <w:pStyle w:val="ListBullet"/>
        <w:rPr>
          <w:rFonts w:cs="Arial"/>
          <w:szCs w:val="20"/>
        </w:rPr>
      </w:pPr>
      <w:r w:rsidRPr="00DD3AA5">
        <w:rPr>
          <w:rFonts w:cs="Arial"/>
          <w:szCs w:val="20"/>
        </w:rPr>
        <w:t>explaining the ACMA’s view on the interpretation of the law or its application to a regulated industry</w:t>
      </w:r>
    </w:p>
    <w:p w14:paraId="0F4CF182" w14:textId="09CCA121" w:rsidR="00CB3DA1" w:rsidRDefault="00CB3DA1" w:rsidP="00CB3DA1">
      <w:pPr>
        <w:pStyle w:val="ListBullet"/>
        <w:spacing w:after="240"/>
        <w:rPr>
          <w:rFonts w:cs="Arial"/>
          <w:szCs w:val="20"/>
        </w:rPr>
      </w:pPr>
      <w:r w:rsidRPr="00DD3AA5">
        <w:rPr>
          <w:rFonts w:cs="Arial"/>
          <w:szCs w:val="20"/>
        </w:rPr>
        <w:t>explaining when and how the ACMA will exercise specific powers under the legislation it administers.</w:t>
      </w:r>
    </w:p>
    <w:p w14:paraId="4E3E1906" w14:textId="77777777" w:rsidR="00797DEB" w:rsidRDefault="00CB3DA1" w:rsidP="00797DEB">
      <w:pPr>
        <w:pStyle w:val="Paragraph"/>
      </w:pPr>
      <w:r w:rsidRPr="00DD3AA5">
        <w:t>A regulatory guide does not constitute or replace legal advice on obligations under the</w:t>
      </w:r>
      <w:r>
        <w:t xml:space="preserve"> </w:t>
      </w:r>
      <w:r w:rsidRPr="00DD3AA5">
        <w:t>relevant legislation.</w:t>
      </w:r>
      <w:r>
        <w:br w:type="page"/>
      </w:r>
      <w:bookmarkStart w:id="1" w:name="_Toc280713613"/>
    </w:p>
    <w:p w14:paraId="37C27F27" w14:textId="593E8340" w:rsidR="007B00BD" w:rsidRPr="00331871" w:rsidRDefault="007B00BD" w:rsidP="00797DEB">
      <w:pPr>
        <w:pStyle w:val="Heading2"/>
      </w:pPr>
      <w:bookmarkStart w:id="2" w:name="_Toc126592646"/>
      <w:r w:rsidRPr="00797DEB">
        <w:lastRenderedPageBreak/>
        <w:t xml:space="preserve">1. </w:t>
      </w:r>
      <w:bookmarkStart w:id="3" w:name="Purpose"/>
      <w:bookmarkEnd w:id="3"/>
      <w:r w:rsidRPr="00797DEB">
        <w:t>Purpose of this guide</w:t>
      </w:r>
      <w:bookmarkEnd w:id="1"/>
      <w:bookmarkEnd w:id="2"/>
      <w:r w:rsidRPr="00331871">
        <w:t xml:space="preserve"> </w:t>
      </w:r>
    </w:p>
    <w:p w14:paraId="3B94D1DC" w14:textId="1D99E1E3" w:rsidR="007B00BD" w:rsidRDefault="007B00BD" w:rsidP="007B00BD">
      <w:pPr>
        <w:tabs>
          <w:tab w:val="left" w:pos="567"/>
        </w:tabs>
        <w:spacing w:after="120"/>
        <w:ind w:left="567" w:hanging="567"/>
        <w:rPr>
          <w:rFonts w:cs="Arial"/>
        </w:rPr>
      </w:pPr>
      <w:r w:rsidRPr="00C61F8F">
        <w:rPr>
          <w:rFonts w:cs="Arial"/>
        </w:rPr>
        <w:t>1.1</w:t>
      </w:r>
      <w:r w:rsidRPr="00C61F8F">
        <w:rPr>
          <w:rFonts w:cs="Arial"/>
        </w:rPr>
        <w:tab/>
        <w:t xml:space="preserve">The </w:t>
      </w:r>
      <w:r w:rsidRPr="00C61F8F">
        <w:rPr>
          <w:rFonts w:cs="Arial"/>
          <w:i/>
        </w:rPr>
        <w:t>Broadcasting Services Act 1992</w:t>
      </w:r>
      <w:r w:rsidRPr="00C61F8F">
        <w:rPr>
          <w:rFonts w:cs="Arial"/>
        </w:rPr>
        <w:t xml:space="preserve"> (</w:t>
      </w:r>
      <w:r>
        <w:rPr>
          <w:rFonts w:cs="Arial"/>
        </w:rPr>
        <w:t xml:space="preserve">the </w:t>
      </w:r>
      <w:r w:rsidRPr="00C61F8F">
        <w:rPr>
          <w:rFonts w:cs="Arial"/>
        </w:rPr>
        <w:t xml:space="preserve">BSA) </w:t>
      </w:r>
      <w:r>
        <w:rPr>
          <w:rFonts w:cs="Arial"/>
        </w:rPr>
        <w:t xml:space="preserve">gives the ACMA a broad discretion to conduct investigations and </w:t>
      </w:r>
      <w:r w:rsidRPr="00C61F8F">
        <w:rPr>
          <w:rFonts w:cs="Arial"/>
        </w:rPr>
        <w:t>imposes an obligation on the ACMA to conduct investigations</w:t>
      </w:r>
      <w:r>
        <w:rPr>
          <w:rFonts w:cs="Arial"/>
        </w:rPr>
        <w:t>,</w:t>
      </w:r>
      <w:r w:rsidRPr="00C61F8F">
        <w:rPr>
          <w:rFonts w:cs="Arial"/>
        </w:rPr>
        <w:t xml:space="preserve"> </w:t>
      </w:r>
      <w:r>
        <w:rPr>
          <w:rFonts w:cs="Arial"/>
        </w:rPr>
        <w:t xml:space="preserve">when directed by the Minister. </w:t>
      </w:r>
    </w:p>
    <w:p w14:paraId="5743C4D4" w14:textId="77777777" w:rsidR="007B00BD" w:rsidRPr="00331871" w:rsidRDefault="007B00BD" w:rsidP="007B00BD">
      <w:pPr>
        <w:tabs>
          <w:tab w:val="left" w:pos="567"/>
        </w:tabs>
        <w:spacing w:after="120"/>
        <w:ind w:left="567" w:hanging="567"/>
        <w:rPr>
          <w:rFonts w:cs="Arial"/>
        </w:rPr>
      </w:pPr>
      <w:r w:rsidRPr="00331871">
        <w:rPr>
          <w:rFonts w:cs="Arial"/>
        </w:rPr>
        <w:t>1.2</w:t>
      </w:r>
      <w:r w:rsidRPr="00331871">
        <w:rPr>
          <w:rFonts w:cs="Arial"/>
        </w:rPr>
        <w:tab/>
      </w:r>
      <w:r w:rsidRPr="00C61F8F">
        <w:rPr>
          <w:rFonts w:cs="Arial"/>
        </w:rPr>
        <w:t>The purpose of this regulatory guide is to provide guidance to those who make a complaint to the ACMA or who may be asked to assist the ACMA in, or are the subject of, an investigation. It explains the nature and purpose of investigations undertake</w:t>
      </w:r>
      <w:r>
        <w:rPr>
          <w:rFonts w:cs="Arial"/>
        </w:rPr>
        <w:t xml:space="preserve">n by the ACMA under the BSA.   </w:t>
      </w:r>
    </w:p>
    <w:p w14:paraId="5DE2E609" w14:textId="77777777" w:rsidR="007B00BD" w:rsidRPr="00C61F8F" w:rsidRDefault="007B00BD" w:rsidP="007B00BD">
      <w:pPr>
        <w:tabs>
          <w:tab w:val="left" w:pos="567"/>
        </w:tabs>
        <w:spacing w:after="120"/>
        <w:ind w:left="567" w:hanging="567"/>
        <w:rPr>
          <w:rFonts w:cs="Arial"/>
        </w:rPr>
      </w:pPr>
      <w:r w:rsidRPr="00331871">
        <w:rPr>
          <w:rFonts w:cs="Arial"/>
        </w:rPr>
        <w:t>1.3</w:t>
      </w:r>
      <w:r w:rsidRPr="00331871">
        <w:rPr>
          <w:rFonts w:cs="Arial"/>
        </w:rPr>
        <w:tab/>
      </w:r>
      <w:r w:rsidRPr="00C61F8F">
        <w:rPr>
          <w:rFonts w:cs="Arial"/>
        </w:rPr>
        <w:t xml:space="preserve">This guide does not constitute legal advice.  </w:t>
      </w:r>
    </w:p>
    <w:p w14:paraId="649FCC1F" w14:textId="765796E6" w:rsidR="007B00BD" w:rsidRDefault="007B00BD" w:rsidP="007B00BD">
      <w:pPr>
        <w:tabs>
          <w:tab w:val="left" w:pos="567"/>
        </w:tabs>
        <w:spacing w:after="120"/>
        <w:ind w:left="567" w:hanging="567"/>
        <w:rPr>
          <w:rFonts w:cs="Arial"/>
        </w:rPr>
      </w:pPr>
      <w:r w:rsidRPr="00C61F8F">
        <w:rPr>
          <w:rFonts w:cs="Arial"/>
        </w:rPr>
        <w:t>1.4</w:t>
      </w:r>
      <w:r w:rsidRPr="00C61F8F">
        <w:rPr>
          <w:rFonts w:cs="Arial"/>
        </w:rPr>
        <w:tab/>
      </w:r>
      <w:r w:rsidRPr="007B00BD">
        <w:rPr>
          <w:rFonts w:cs="Arial"/>
        </w:rPr>
        <w:t xml:space="preserve">This guide should be read in conjunction with </w:t>
      </w:r>
      <w:r w:rsidRPr="00FE6C0D">
        <w:rPr>
          <w:rFonts w:cs="Arial"/>
          <w:i/>
        </w:rPr>
        <w:t xml:space="preserve">Regulatory </w:t>
      </w:r>
      <w:r w:rsidR="00C8321C" w:rsidRPr="00FE6C0D">
        <w:rPr>
          <w:rFonts w:cs="Arial"/>
          <w:i/>
        </w:rPr>
        <w:t>g</w:t>
      </w:r>
      <w:r w:rsidRPr="00FE6C0D">
        <w:rPr>
          <w:rFonts w:cs="Arial"/>
          <w:i/>
        </w:rPr>
        <w:t>uide</w:t>
      </w:r>
      <w:r w:rsidR="00403A6A">
        <w:rPr>
          <w:rFonts w:cs="Arial"/>
          <w:i/>
        </w:rPr>
        <w:t xml:space="preserve"> </w:t>
      </w:r>
      <w:r w:rsidRPr="00FE6C0D">
        <w:rPr>
          <w:rFonts w:cs="Arial"/>
          <w:i/>
        </w:rPr>
        <w:t>No. 6</w:t>
      </w:r>
      <w:r w:rsidR="00C8321C">
        <w:rPr>
          <w:rFonts w:cs="Arial"/>
          <w:i/>
        </w:rPr>
        <w:t xml:space="preserve">: </w:t>
      </w:r>
      <w:r w:rsidRPr="00C8321C">
        <w:rPr>
          <w:rFonts w:cs="Arial"/>
          <w:i/>
          <w:iCs/>
        </w:rPr>
        <w:t xml:space="preserve">Publication of </w:t>
      </w:r>
      <w:r w:rsidR="007E38EE" w:rsidRPr="00C8321C">
        <w:rPr>
          <w:rFonts w:cs="Arial"/>
          <w:i/>
          <w:iCs/>
        </w:rPr>
        <w:t>i</w:t>
      </w:r>
      <w:r w:rsidRPr="00C8321C">
        <w:rPr>
          <w:rFonts w:cs="Arial"/>
          <w:i/>
          <w:iCs/>
        </w:rPr>
        <w:t xml:space="preserve">nvestigations and </w:t>
      </w:r>
      <w:r w:rsidR="00593860" w:rsidRPr="00C8321C">
        <w:rPr>
          <w:rFonts w:cs="Arial"/>
          <w:i/>
          <w:iCs/>
        </w:rPr>
        <w:t>e</w:t>
      </w:r>
      <w:r w:rsidRPr="00C8321C">
        <w:rPr>
          <w:rFonts w:cs="Arial"/>
          <w:i/>
          <w:iCs/>
        </w:rPr>
        <w:t xml:space="preserve">nforcement </w:t>
      </w:r>
      <w:r w:rsidR="00593860" w:rsidRPr="00C8321C">
        <w:rPr>
          <w:rFonts w:cs="Arial"/>
          <w:i/>
          <w:iCs/>
        </w:rPr>
        <w:t>a</w:t>
      </w:r>
      <w:r w:rsidRPr="00C8321C">
        <w:rPr>
          <w:rFonts w:cs="Arial"/>
          <w:i/>
          <w:iCs/>
        </w:rPr>
        <w:t>ctions</w:t>
      </w:r>
      <w:r w:rsidRPr="007B00BD">
        <w:rPr>
          <w:rFonts w:cs="Arial"/>
        </w:rPr>
        <w:t>.</w:t>
      </w:r>
    </w:p>
    <w:p w14:paraId="3B27A5C9" w14:textId="77777777" w:rsidR="007B00BD" w:rsidRPr="00331871" w:rsidRDefault="007B00BD" w:rsidP="007B00BD">
      <w:pPr>
        <w:pStyle w:val="Heading2"/>
        <w:spacing w:after="120"/>
      </w:pPr>
      <w:bookmarkStart w:id="4" w:name="What_is"/>
      <w:bookmarkStart w:id="5" w:name="_Toc280713614"/>
      <w:bookmarkStart w:id="6" w:name="_Toc126592647"/>
      <w:bookmarkEnd w:id="4"/>
      <w:r w:rsidRPr="00331871">
        <w:t xml:space="preserve">2. </w:t>
      </w:r>
      <w:r w:rsidRPr="00C61F8F">
        <w:t>When will an investigation be commenced?</w:t>
      </w:r>
      <w:bookmarkEnd w:id="5"/>
      <w:bookmarkEnd w:id="6"/>
    </w:p>
    <w:p w14:paraId="7B0FEEF3" w14:textId="77777777" w:rsidR="007B00BD" w:rsidRDefault="007B00BD" w:rsidP="007B00BD">
      <w:pPr>
        <w:tabs>
          <w:tab w:val="left" w:pos="567"/>
        </w:tabs>
        <w:spacing w:after="120"/>
        <w:ind w:left="567" w:hanging="567"/>
        <w:rPr>
          <w:rFonts w:cs="Arial"/>
        </w:rPr>
      </w:pPr>
      <w:r w:rsidRPr="00331871">
        <w:rPr>
          <w:rFonts w:cs="Arial"/>
        </w:rPr>
        <w:t>2.1</w:t>
      </w:r>
      <w:r w:rsidRPr="00331871">
        <w:rPr>
          <w:rFonts w:cs="Arial"/>
        </w:rPr>
        <w:tab/>
      </w:r>
      <w:r w:rsidRPr="00C61F8F">
        <w:rPr>
          <w:rFonts w:cs="Arial"/>
        </w:rPr>
        <w:t>Section 170 of the BSA confers a broad discretion on the ACMA to conduct investigations for the purposes of the performance or exercise of any of its broadcasting, content and datacasting functions (and related powers).</w:t>
      </w:r>
      <w:r>
        <w:rPr>
          <w:rFonts w:cs="Arial"/>
        </w:rPr>
        <w:t xml:space="preserve">  </w:t>
      </w:r>
    </w:p>
    <w:p w14:paraId="2D4EE5CD" w14:textId="77777777" w:rsidR="007B00BD" w:rsidRPr="00331871" w:rsidRDefault="007B00BD" w:rsidP="007B00BD">
      <w:pPr>
        <w:tabs>
          <w:tab w:val="left" w:pos="567"/>
        </w:tabs>
        <w:spacing w:after="120"/>
        <w:ind w:left="567" w:hanging="567"/>
        <w:rPr>
          <w:rFonts w:cs="Arial"/>
        </w:rPr>
      </w:pPr>
      <w:r w:rsidRPr="00331871">
        <w:rPr>
          <w:rFonts w:cs="Arial"/>
        </w:rPr>
        <w:t>2.2</w:t>
      </w:r>
      <w:r w:rsidRPr="00331871">
        <w:rPr>
          <w:rFonts w:cs="Arial"/>
        </w:rPr>
        <w:tab/>
      </w:r>
      <w:r w:rsidRPr="00C61F8F">
        <w:rPr>
          <w:rFonts w:cs="Arial"/>
        </w:rPr>
        <w:t xml:space="preserve">It follows that the ACMA may, on its own motion, commence an investigation under section 170 of the BSA if it considers that it is appropriate to do so. Whether an investigation will actually be commenced will turn on the specific circumstances.  </w:t>
      </w:r>
      <w:r w:rsidRPr="00331871">
        <w:rPr>
          <w:rFonts w:cs="Arial"/>
        </w:rPr>
        <w:t xml:space="preserve"> </w:t>
      </w:r>
    </w:p>
    <w:p w14:paraId="46D2B753" w14:textId="77777777" w:rsidR="007B00BD" w:rsidRDefault="007B00BD" w:rsidP="007B00BD">
      <w:pPr>
        <w:tabs>
          <w:tab w:val="left" w:pos="567"/>
        </w:tabs>
        <w:spacing w:after="80"/>
        <w:ind w:left="567" w:hanging="567"/>
        <w:rPr>
          <w:rFonts w:cs="Arial"/>
        </w:rPr>
      </w:pPr>
      <w:r w:rsidRPr="00331871">
        <w:rPr>
          <w:rFonts w:cs="Arial"/>
        </w:rPr>
        <w:t>2.</w:t>
      </w:r>
      <w:r>
        <w:rPr>
          <w:rFonts w:cs="Arial"/>
        </w:rPr>
        <w:t>3</w:t>
      </w:r>
      <w:r w:rsidRPr="00331871">
        <w:rPr>
          <w:rFonts w:cs="Arial"/>
        </w:rPr>
        <w:tab/>
      </w:r>
      <w:r w:rsidRPr="00C61F8F">
        <w:rPr>
          <w:rFonts w:cs="Arial"/>
        </w:rPr>
        <w:t xml:space="preserve">In </w:t>
      </w:r>
      <w:r>
        <w:rPr>
          <w:rFonts w:cs="Arial"/>
        </w:rPr>
        <w:t>particular</w:t>
      </w:r>
      <w:r w:rsidRPr="00C61F8F">
        <w:rPr>
          <w:rFonts w:cs="Arial"/>
        </w:rPr>
        <w:t>, the ACMA</w:t>
      </w:r>
      <w:r>
        <w:rPr>
          <w:rFonts w:cs="Arial"/>
        </w:rPr>
        <w:t xml:space="preserve"> may investigate complaints made under sections 149 or 151 of the BSA, if the ACMA thinks that it is desirable to do so. </w:t>
      </w:r>
    </w:p>
    <w:p w14:paraId="1CCFBA6E" w14:textId="77777777" w:rsidR="007B00BD" w:rsidRDefault="007B00BD" w:rsidP="007B00BD">
      <w:pPr>
        <w:tabs>
          <w:tab w:val="left" w:pos="567"/>
        </w:tabs>
        <w:spacing w:after="80"/>
        <w:ind w:left="567" w:hanging="567"/>
        <w:rPr>
          <w:rFonts w:cs="Arial"/>
        </w:rPr>
      </w:pPr>
      <w:r>
        <w:rPr>
          <w:rFonts w:cs="Arial"/>
        </w:rPr>
        <w:t>2.4</w:t>
      </w:r>
      <w:r>
        <w:rPr>
          <w:rFonts w:cs="Arial"/>
        </w:rPr>
        <w:tab/>
        <w:t>T</w:t>
      </w:r>
      <w:r w:rsidRPr="00C61F8F">
        <w:rPr>
          <w:rFonts w:cs="Arial"/>
        </w:rPr>
        <w:t xml:space="preserve">he Minister may </w:t>
      </w:r>
      <w:r>
        <w:rPr>
          <w:rFonts w:cs="Arial"/>
        </w:rPr>
        <w:t xml:space="preserve">also </w:t>
      </w:r>
      <w:r w:rsidRPr="00C61F8F">
        <w:rPr>
          <w:rFonts w:cs="Arial"/>
        </w:rPr>
        <w:t xml:space="preserve">direct the ACMA to </w:t>
      </w:r>
      <w:proofErr w:type="gramStart"/>
      <w:r w:rsidRPr="00C61F8F">
        <w:rPr>
          <w:rFonts w:cs="Arial"/>
        </w:rPr>
        <w:t>conduct an investigation</w:t>
      </w:r>
      <w:proofErr w:type="gramEnd"/>
      <w:r>
        <w:rPr>
          <w:rFonts w:cs="Arial"/>
        </w:rPr>
        <w:t xml:space="preserve"> (section 171 of the BSA)</w:t>
      </w:r>
      <w:r w:rsidRPr="00C61F8F">
        <w:rPr>
          <w:rFonts w:cs="Arial"/>
        </w:rPr>
        <w:t xml:space="preserve">.  </w:t>
      </w:r>
    </w:p>
    <w:p w14:paraId="0C1F6BB9" w14:textId="77777777" w:rsidR="007B00BD" w:rsidRPr="00331871" w:rsidRDefault="007B00BD" w:rsidP="007B00BD">
      <w:pPr>
        <w:pStyle w:val="Heading2"/>
        <w:spacing w:after="120"/>
      </w:pPr>
      <w:bookmarkStart w:id="7" w:name="Disc_fact"/>
      <w:bookmarkStart w:id="8" w:name="_Toc280713615"/>
      <w:bookmarkStart w:id="9" w:name="_Toc126592648"/>
      <w:bookmarkEnd w:id="7"/>
      <w:r w:rsidRPr="00331871">
        <w:t xml:space="preserve">3. </w:t>
      </w:r>
      <w:r w:rsidRPr="00C61F8F">
        <w:t>Purpose of an investigation</w:t>
      </w:r>
      <w:bookmarkEnd w:id="8"/>
      <w:bookmarkEnd w:id="9"/>
    </w:p>
    <w:p w14:paraId="2C7457F9" w14:textId="77777777" w:rsidR="007B00BD" w:rsidRPr="00296A45" w:rsidRDefault="007B00BD" w:rsidP="007B00BD">
      <w:pPr>
        <w:tabs>
          <w:tab w:val="left" w:pos="567"/>
        </w:tabs>
        <w:spacing w:after="80"/>
        <w:ind w:left="567" w:hanging="567"/>
        <w:rPr>
          <w:rFonts w:cs="Arial"/>
        </w:rPr>
      </w:pPr>
      <w:r w:rsidRPr="00331871">
        <w:rPr>
          <w:rFonts w:cs="Arial"/>
        </w:rPr>
        <w:t>3.1</w:t>
      </w:r>
      <w:r w:rsidRPr="00331871">
        <w:rPr>
          <w:rFonts w:cs="Arial"/>
        </w:rPr>
        <w:tab/>
      </w:r>
      <w:r w:rsidRPr="00296A45">
        <w:rPr>
          <w:rFonts w:cs="Arial"/>
        </w:rPr>
        <w:t>In summary, the purpose of an inves</w:t>
      </w:r>
      <w:r>
        <w:rPr>
          <w:rFonts w:cs="Arial"/>
        </w:rPr>
        <w:t xml:space="preserve">tigation is to enable the ACMA </w:t>
      </w:r>
      <w:r w:rsidRPr="00296A45">
        <w:rPr>
          <w:rFonts w:cs="Arial"/>
        </w:rPr>
        <w:t>to:</w:t>
      </w:r>
    </w:p>
    <w:p w14:paraId="065FB50A" w14:textId="77777777" w:rsidR="007B00BD" w:rsidRDefault="007B00BD" w:rsidP="007B00BD">
      <w:pPr>
        <w:pStyle w:val="ListBullet2"/>
        <w:tabs>
          <w:tab w:val="clear" w:pos="845"/>
          <w:tab w:val="num" w:pos="993"/>
        </w:tabs>
        <w:ind w:left="993" w:hanging="426"/>
        <w:rPr>
          <w:rFonts w:cs="Arial"/>
        </w:rPr>
      </w:pPr>
      <w:r w:rsidRPr="009F3FD3">
        <w:rPr>
          <w:rFonts w:cs="Arial"/>
        </w:rPr>
        <w:t>seek to establish the facts relevant to the issue in question</w:t>
      </w:r>
    </w:p>
    <w:p w14:paraId="20B10259" w14:textId="77777777" w:rsidR="007B00BD" w:rsidRPr="00296A45" w:rsidRDefault="007B00BD" w:rsidP="007B00BD">
      <w:pPr>
        <w:pStyle w:val="ListBullet2"/>
        <w:tabs>
          <w:tab w:val="clear" w:pos="845"/>
          <w:tab w:val="num" w:pos="993"/>
        </w:tabs>
        <w:ind w:left="993" w:hanging="426"/>
        <w:rPr>
          <w:rFonts w:cs="Arial"/>
        </w:rPr>
      </w:pPr>
      <w:r w:rsidRPr="009F3FD3">
        <w:rPr>
          <w:rFonts w:cs="Arial"/>
        </w:rPr>
        <w:t>form a view about the subject matter of the investigation</w:t>
      </w:r>
    </w:p>
    <w:p w14:paraId="41B3CF46" w14:textId="77777777" w:rsidR="007B00BD" w:rsidRPr="009F3FD3" w:rsidRDefault="007B00BD" w:rsidP="007B00BD">
      <w:pPr>
        <w:pStyle w:val="ListBullet2"/>
        <w:tabs>
          <w:tab w:val="clear" w:pos="845"/>
          <w:tab w:val="num" w:pos="993"/>
        </w:tabs>
        <w:spacing w:after="120"/>
        <w:ind w:left="993" w:hanging="426"/>
        <w:rPr>
          <w:rFonts w:cs="Arial"/>
        </w:rPr>
      </w:pPr>
      <w:r w:rsidRPr="009F3FD3">
        <w:rPr>
          <w:rFonts w:cs="Arial"/>
        </w:rPr>
        <w:t xml:space="preserve">determine </w:t>
      </w:r>
      <w:r w:rsidRPr="009B5200">
        <w:rPr>
          <w:rFonts w:cs="Arial"/>
        </w:rPr>
        <w:t xml:space="preserve">what, if any, action should be taken.  </w:t>
      </w:r>
    </w:p>
    <w:p w14:paraId="2A237A16" w14:textId="77777777" w:rsidR="007B00BD" w:rsidRDefault="007B00BD" w:rsidP="007B00BD">
      <w:pPr>
        <w:tabs>
          <w:tab w:val="left" w:pos="567"/>
        </w:tabs>
        <w:spacing w:after="120"/>
        <w:ind w:left="567" w:hanging="567"/>
        <w:rPr>
          <w:rFonts w:cs="Arial"/>
        </w:rPr>
      </w:pPr>
      <w:r w:rsidRPr="00331871">
        <w:rPr>
          <w:rFonts w:cs="Arial"/>
        </w:rPr>
        <w:t>3.2</w:t>
      </w:r>
      <w:r w:rsidRPr="00331871">
        <w:rPr>
          <w:rFonts w:cs="Arial"/>
        </w:rPr>
        <w:tab/>
      </w:r>
      <w:r w:rsidRPr="00296A45">
        <w:rPr>
          <w:rFonts w:cs="Arial"/>
        </w:rPr>
        <w:t xml:space="preserve">In conducting its investigations, the ACMA may gather information, documents and other evidence from a range of sources. It may also seek responses to specified questions and/or ask for submissions on particular issues.  </w:t>
      </w:r>
    </w:p>
    <w:p w14:paraId="2E0F66AD" w14:textId="77777777" w:rsidR="007B00BD" w:rsidRDefault="007B00BD" w:rsidP="007B00BD">
      <w:pPr>
        <w:pStyle w:val="ACMABodyText"/>
        <w:spacing w:line="240" w:lineRule="atLeast"/>
        <w:ind w:left="567" w:hanging="567"/>
        <w:rPr>
          <w:rFonts w:ascii="Calibri" w:hAnsi="Calibri" w:cs="Calibri"/>
        </w:rPr>
      </w:pPr>
      <w:r w:rsidRPr="00296A45">
        <w:rPr>
          <w:rFonts w:cs="Arial"/>
          <w:snapToGrid/>
          <w:sz w:val="20"/>
          <w:szCs w:val="24"/>
          <w:lang w:eastAsia="en-AU"/>
        </w:rPr>
        <w:t>3.3</w:t>
      </w:r>
      <w:r w:rsidRPr="00296A45">
        <w:rPr>
          <w:rFonts w:cs="Arial"/>
          <w:snapToGrid/>
          <w:sz w:val="20"/>
          <w:szCs w:val="24"/>
          <w:lang w:eastAsia="en-AU"/>
        </w:rPr>
        <w:tab/>
        <w:t>‘Evidence’ basically means information, documents and any other material that can be used to demonstrate the existence of a fact or the truth of something. In some instances, it is the absence of information, documents or other material that may provide ‘evidence’. A person’s view or opinion on a particular issue is not ‘evidence’.</w:t>
      </w:r>
      <w:r w:rsidRPr="007436A0">
        <w:rPr>
          <w:rFonts w:ascii="Calibri" w:hAnsi="Calibri" w:cs="Calibri"/>
        </w:rPr>
        <w:t xml:space="preserve"> </w:t>
      </w:r>
    </w:p>
    <w:p w14:paraId="1FE2B5AB" w14:textId="77777777" w:rsidR="007B00BD" w:rsidRPr="007436A0" w:rsidRDefault="007B00BD" w:rsidP="007B00BD">
      <w:pPr>
        <w:pStyle w:val="ACMABodyText"/>
        <w:spacing w:line="240" w:lineRule="atLeast"/>
        <w:ind w:left="567" w:hanging="567"/>
        <w:rPr>
          <w:rFonts w:ascii="Calibri" w:hAnsi="Calibri" w:cs="Calibri"/>
        </w:rPr>
      </w:pPr>
      <w:r w:rsidRPr="00296A45">
        <w:rPr>
          <w:rFonts w:cs="Arial"/>
          <w:snapToGrid/>
          <w:sz w:val="20"/>
          <w:szCs w:val="24"/>
          <w:lang w:eastAsia="en-AU"/>
        </w:rPr>
        <w:t>3.4</w:t>
      </w:r>
      <w:r w:rsidRPr="00296A45">
        <w:rPr>
          <w:rFonts w:ascii="Calibri" w:hAnsi="Calibri" w:cs="Calibri"/>
        </w:rPr>
        <w:tab/>
      </w:r>
      <w:r w:rsidRPr="00296A45">
        <w:rPr>
          <w:rFonts w:cs="Arial"/>
          <w:snapToGrid/>
          <w:sz w:val="20"/>
          <w:szCs w:val="24"/>
          <w:lang w:eastAsia="en-AU"/>
        </w:rPr>
        <w:t xml:space="preserve">While the ACMA may ask for evidence on a voluntary basis it also has power to compel the production of evidence. For example, section 173 of the BSA provides that the ACMA may issue a notice requiring the production of documents and information. The ACMA may also issue a notice requiring a person to attend before a delegate of the ACMA to answer questions (as contemplated within sections 173 to 176 of the BSA). Failure to comply with a compulsory notice may have serious criminal or civil consequences (section 202).  </w:t>
      </w:r>
    </w:p>
    <w:p w14:paraId="57602B26" w14:textId="77777777" w:rsidR="007B00BD" w:rsidRPr="00331871" w:rsidRDefault="007B00BD" w:rsidP="007B00BD">
      <w:pPr>
        <w:tabs>
          <w:tab w:val="left" w:pos="567"/>
        </w:tabs>
        <w:spacing w:after="120"/>
        <w:ind w:left="567" w:hanging="567"/>
        <w:rPr>
          <w:rFonts w:cs="Arial"/>
        </w:rPr>
      </w:pPr>
      <w:bookmarkStart w:id="10" w:name="Guide_princ"/>
      <w:bookmarkStart w:id="11" w:name="_Toc280713616"/>
      <w:bookmarkEnd w:id="10"/>
    </w:p>
    <w:p w14:paraId="1F643C54" w14:textId="77777777" w:rsidR="007B00BD" w:rsidRPr="00331871" w:rsidRDefault="007B00BD" w:rsidP="007B00BD">
      <w:pPr>
        <w:pStyle w:val="Heading2"/>
        <w:spacing w:after="120"/>
      </w:pPr>
      <w:bookmarkStart w:id="12" w:name="_Toc126592649"/>
      <w:r w:rsidRPr="00331871">
        <w:lastRenderedPageBreak/>
        <w:t xml:space="preserve">4. </w:t>
      </w:r>
      <w:r>
        <w:t>Evidential standard</w:t>
      </w:r>
      <w:bookmarkEnd w:id="11"/>
      <w:bookmarkEnd w:id="12"/>
    </w:p>
    <w:p w14:paraId="636B2F17" w14:textId="77777777" w:rsidR="007B00BD" w:rsidRPr="00331871" w:rsidRDefault="007B00BD" w:rsidP="007B00BD">
      <w:pPr>
        <w:tabs>
          <w:tab w:val="left" w:pos="567"/>
        </w:tabs>
        <w:spacing w:after="120"/>
        <w:ind w:left="567" w:hanging="567"/>
        <w:rPr>
          <w:rFonts w:cs="Arial"/>
        </w:rPr>
      </w:pPr>
      <w:r w:rsidRPr="00331871">
        <w:rPr>
          <w:rFonts w:cs="Arial"/>
        </w:rPr>
        <w:t>4.1</w:t>
      </w:r>
      <w:r w:rsidRPr="00331871">
        <w:rPr>
          <w:rFonts w:cs="Arial"/>
        </w:rPr>
        <w:tab/>
      </w:r>
      <w:r>
        <w:rPr>
          <w:rFonts w:cs="Arial"/>
        </w:rPr>
        <w:t>There is no ‘</w:t>
      </w:r>
      <w:r w:rsidRPr="00296A45">
        <w:rPr>
          <w:rFonts w:cs="Arial"/>
        </w:rPr>
        <w:t xml:space="preserve">onus </w:t>
      </w:r>
      <w:r>
        <w:rPr>
          <w:rFonts w:cs="Arial"/>
        </w:rPr>
        <w:t>of proof’ or ‘burden of proof’</w:t>
      </w:r>
      <w:r w:rsidRPr="00296A45">
        <w:rPr>
          <w:rFonts w:cs="Arial"/>
        </w:rPr>
        <w:t xml:space="preserve"> in investigations undertaken by the ACMA under the BSA. These are concepts which arise in judicial processes. Judicial processes are typically adversarial in nature. The courts have established rules and procedures, which include rules of evidence, that apply to their proceedings.    </w:t>
      </w:r>
    </w:p>
    <w:p w14:paraId="21FA77A0" w14:textId="77777777" w:rsidR="007B00BD" w:rsidRPr="00331871" w:rsidRDefault="007B00BD" w:rsidP="007B00BD">
      <w:pPr>
        <w:tabs>
          <w:tab w:val="left" w:pos="567"/>
        </w:tabs>
        <w:spacing w:after="120"/>
        <w:ind w:left="567" w:hanging="567"/>
        <w:rPr>
          <w:rFonts w:cs="Arial"/>
        </w:rPr>
      </w:pPr>
      <w:r w:rsidRPr="00331871">
        <w:rPr>
          <w:rFonts w:cs="Arial"/>
        </w:rPr>
        <w:t>4.2</w:t>
      </w:r>
      <w:r w:rsidRPr="00331871">
        <w:rPr>
          <w:rFonts w:cs="Arial"/>
        </w:rPr>
        <w:tab/>
      </w:r>
      <w:r w:rsidRPr="00296A45">
        <w:rPr>
          <w:rFonts w:cs="Arial"/>
        </w:rPr>
        <w:t>The ACMA is an administrative decision</w:t>
      </w:r>
      <w:r>
        <w:rPr>
          <w:rFonts w:cs="Arial"/>
        </w:rPr>
        <w:t>-</w:t>
      </w:r>
      <w:r w:rsidRPr="00296A45">
        <w:rPr>
          <w:rFonts w:cs="Arial"/>
        </w:rPr>
        <w:t xml:space="preserve">maker. The investigations it conducts are inquisitorial in nature. The ACMA therefore inquires and obtains evidence, often from range of sources, for the purpose of its investigations.    </w:t>
      </w:r>
    </w:p>
    <w:p w14:paraId="20CBE8AE" w14:textId="77777777" w:rsidR="007B00BD" w:rsidRPr="00331871" w:rsidRDefault="007B00BD" w:rsidP="007B00BD">
      <w:pPr>
        <w:tabs>
          <w:tab w:val="left" w:pos="567"/>
        </w:tabs>
        <w:spacing w:after="120"/>
        <w:ind w:left="567" w:hanging="567"/>
        <w:rPr>
          <w:rFonts w:cs="Arial"/>
        </w:rPr>
      </w:pPr>
      <w:r w:rsidRPr="00331871">
        <w:rPr>
          <w:rFonts w:cs="Arial"/>
        </w:rPr>
        <w:t>4.3</w:t>
      </w:r>
      <w:r w:rsidRPr="00331871">
        <w:rPr>
          <w:rFonts w:cs="Arial"/>
        </w:rPr>
        <w:tab/>
      </w:r>
      <w:r w:rsidRPr="00296A45">
        <w:rPr>
          <w:rFonts w:cs="Arial"/>
        </w:rPr>
        <w:t xml:space="preserve">In undertaking an investigation the ACMA seeks to gather relevant and logically probative evidence. Logically probative evidence is material that tends logically to show the existence or non-existence of facts relevant to the issue to be determined, or to show the likelihood or unlikelihood of the occurrence of some future relevant event.  </w:t>
      </w:r>
    </w:p>
    <w:p w14:paraId="49AA0D7D" w14:textId="77777777" w:rsidR="007B00BD" w:rsidRPr="00331871" w:rsidRDefault="007B00BD" w:rsidP="007B00BD">
      <w:pPr>
        <w:tabs>
          <w:tab w:val="left" w:pos="567"/>
        </w:tabs>
        <w:ind w:left="567" w:hanging="567"/>
        <w:rPr>
          <w:rFonts w:cs="Arial"/>
        </w:rPr>
      </w:pPr>
      <w:r w:rsidRPr="00331871">
        <w:rPr>
          <w:rFonts w:cs="Arial"/>
        </w:rPr>
        <w:t>4.4</w:t>
      </w:r>
      <w:r w:rsidRPr="00331871">
        <w:rPr>
          <w:rFonts w:cs="Arial"/>
        </w:rPr>
        <w:tab/>
      </w:r>
      <w:r w:rsidRPr="00BD6C74">
        <w:rPr>
          <w:rFonts w:cs="Arial"/>
        </w:rPr>
        <w:t>As an administrative decision</w:t>
      </w:r>
      <w:r>
        <w:rPr>
          <w:rFonts w:cs="Arial"/>
        </w:rPr>
        <w:t>-</w:t>
      </w:r>
      <w:r w:rsidRPr="00BD6C74">
        <w:rPr>
          <w:rFonts w:cs="Arial"/>
        </w:rPr>
        <w:t xml:space="preserve">maker, the ACMA is entitled to </w:t>
      </w:r>
      <w:proofErr w:type="gramStart"/>
      <w:r w:rsidRPr="00BD6C74">
        <w:rPr>
          <w:rFonts w:cs="Arial"/>
        </w:rPr>
        <w:t>take into account</w:t>
      </w:r>
      <w:proofErr w:type="gramEnd"/>
      <w:r w:rsidRPr="00BD6C74">
        <w:rPr>
          <w:rFonts w:cs="Arial"/>
        </w:rPr>
        <w:t xml:space="preserve"> material that, as a matter of reason, has probative value. What weight should be given to that material is a matter for the ACMA to determine.  </w:t>
      </w:r>
    </w:p>
    <w:p w14:paraId="1BD449AE" w14:textId="77777777" w:rsidR="007B00BD" w:rsidRPr="00BD6C74" w:rsidRDefault="007B00BD" w:rsidP="007B00BD">
      <w:pPr>
        <w:spacing w:after="120" w:line="240" w:lineRule="auto"/>
        <w:ind w:left="567" w:hanging="567"/>
      </w:pPr>
      <w:bookmarkStart w:id="13" w:name="terms"/>
      <w:bookmarkEnd w:id="13"/>
      <w:r w:rsidRPr="00BD6C74">
        <w:t>4.5</w:t>
      </w:r>
      <w:r w:rsidRPr="00BD6C74">
        <w:tab/>
        <w:t xml:space="preserve">Whether the evidence is of sufficient probative value to enable the ACMA to be reasonably satisfied about the issue in question is assessed by the ACMA in light of the facts and circumstances of the case, including the nature and gravity of the consequences of the finding in question.  </w:t>
      </w:r>
    </w:p>
    <w:p w14:paraId="3A1B66D0" w14:textId="77777777" w:rsidR="007B00BD" w:rsidRDefault="007B00BD" w:rsidP="007B00BD">
      <w:pPr>
        <w:spacing w:line="240" w:lineRule="auto"/>
        <w:ind w:left="567" w:hanging="567"/>
      </w:pPr>
      <w:r w:rsidRPr="00BD6C74">
        <w:t>4.6</w:t>
      </w:r>
      <w:r w:rsidRPr="00BD6C74">
        <w:tab/>
        <w:t xml:space="preserve">If, of course, the outcome of the investigation results in civil or criminal proceedings being commenced (see the discussion below at </w:t>
      </w:r>
      <w:r w:rsidRPr="00BD6C74">
        <w:rPr>
          <w:b/>
        </w:rPr>
        <w:t>Outcome of an investigation</w:t>
      </w:r>
      <w:r w:rsidRPr="00BD6C74">
        <w:t xml:space="preserve">), the nature of the evidence presented must be sufficient to satisfy the relevant evidential burden in those proceedings. Who bears the evidentiary burden will also depend on, among other things, the nature of the proceedings and the relevant statutory provision/s in question. The burden may shift. For example, subsection 205PAA(3) of the BSA provides that a person wishing to rely on mistake of fact to avoid liability in civil penalty proceedings commenced by the ACMA under subsection 205G(1) bears an evidential burden in relation to that matter.  </w:t>
      </w:r>
    </w:p>
    <w:p w14:paraId="7405A67B" w14:textId="77777777" w:rsidR="007B00BD" w:rsidRPr="00331871" w:rsidRDefault="007B00BD" w:rsidP="007B00BD">
      <w:pPr>
        <w:pStyle w:val="Heading2"/>
        <w:spacing w:after="120"/>
      </w:pPr>
      <w:bookmarkStart w:id="14" w:name="_Toc280713617"/>
      <w:bookmarkStart w:id="15" w:name="_Toc126592650"/>
      <w:r w:rsidRPr="00331871">
        <w:t xml:space="preserve">5. </w:t>
      </w:r>
      <w:r w:rsidRPr="00BD6C74">
        <w:t>What to expect</w:t>
      </w:r>
      <w:bookmarkEnd w:id="14"/>
      <w:bookmarkEnd w:id="15"/>
    </w:p>
    <w:p w14:paraId="17D09F71" w14:textId="77777777" w:rsidR="007B00BD" w:rsidRPr="00BD6C74" w:rsidRDefault="007B00BD" w:rsidP="007B00BD">
      <w:pPr>
        <w:tabs>
          <w:tab w:val="left" w:pos="567"/>
        </w:tabs>
        <w:spacing w:after="120"/>
        <w:ind w:left="567" w:hanging="567"/>
        <w:rPr>
          <w:rFonts w:cs="Arial"/>
        </w:rPr>
      </w:pPr>
      <w:r w:rsidRPr="00331871">
        <w:rPr>
          <w:rFonts w:cs="Arial"/>
        </w:rPr>
        <w:t>5.1</w:t>
      </w:r>
      <w:r w:rsidRPr="00331871">
        <w:rPr>
          <w:rFonts w:cs="Arial"/>
        </w:rPr>
        <w:tab/>
      </w:r>
      <w:r w:rsidRPr="00BD6C74">
        <w:rPr>
          <w:rFonts w:cs="Arial"/>
        </w:rPr>
        <w:t xml:space="preserve">The issues involved in an investigation vary, in seriousness and in complexity. It follows that the processes adopted by the ACMA must be flexible. What evidence is sought or needed will turn on the issues which are the subject of the investigation.  </w:t>
      </w:r>
    </w:p>
    <w:p w14:paraId="3981751D" w14:textId="77777777" w:rsidR="007B00BD" w:rsidRPr="00BD6C74" w:rsidRDefault="007B00BD" w:rsidP="007B00BD">
      <w:pPr>
        <w:tabs>
          <w:tab w:val="left" w:pos="567"/>
        </w:tabs>
        <w:spacing w:after="120"/>
        <w:ind w:left="567" w:hanging="567"/>
        <w:rPr>
          <w:rFonts w:cs="Arial"/>
        </w:rPr>
      </w:pPr>
      <w:r w:rsidRPr="00BD6C74">
        <w:rPr>
          <w:rFonts w:cs="Arial"/>
        </w:rPr>
        <w:t>5.2</w:t>
      </w:r>
      <w:r w:rsidRPr="00BD6C74">
        <w:rPr>
          <w:rFonts w:cs="Arial"/>
        </w:rPr>
        <w:tab/>
        <w:t xml:space="preserve">Where, for example, an investigation is commenced as a consequence of a complaint under a code of practice (section 148 of the BSA), the complainant will usually have provided the ACMA with a copy of correspondence to, and received from, the broadcaster. If they have not, the ACMA may write to the broadcaster requesting this correspondence as well as a copy of the relevant broadcast. In some instances, this evidence alone will be sufficient to enable the ACMA to form a view as to the substance of the complaint.  </w:t>
      </w:r>
    </w:p>
    <w:p w14:paraId="3676A2D1" w14:textId="77777777" w:rsidR="007B00BD" w:rsidRDefault="007B00BD" w:rsidP="007B00BD">
      <w:pPr>
        <w:tabs>
          <w:tab w:val="left" w:pos="567"/>
        </w:tabs>
        <w:spacing w:after="120"/>
        <w:ind w:left="567" w:hanging="567"/>
        <w:rPr>
          <w:rFonts w:cs="Arial"/>
        </w:rPr>
      </w:pPr>
      <w:r w:rsidRPr="00BD6C74">
        <w:rPr>
          <w:rFonts w:cs="Arial"/>
        </w:rPr>
        <w:t>5.3</w:t>
      </w:r>
      <w:r w:rsidRPr="00BD6C74">
        <w:rPr>
          <w:rFonts w:cs="Arial"/>
        </w:rPr>
        <w:tab/>
        <w:t xml:space="preserve">In other more complex investigations, the issues may require the ACMA to obtain evidence from a range of sources. The ACMA may seek responses to specified questions and/or ask for submissions on particular issues. As noted above, the ACMA may do so on a voluntary basis or it may issue a notice compelling the production of evidence. </w:t>
      </w:r>
    </w:p>
    <w:p w14:paraId="0050F822" w14:textId="77777777" w:rsidR="007B00BD" w:rsidRDefault="007B00BD" w:rsidP="007B00BD">
      <w:pPr>
        <w:tabs>
          <w:tab w:val="left" w:pos="567"/>
        </w:tabs>
        <w:spacing w:after="120"/>
        <w:ind w:left="567" w:hanging="567"/>
        <w:rPr>
          <w:rFonts w:cs="Arial"/>
        </w:rPr>
      </w:pPr>
    </w:p>
    <w:p w14:paraId="3D4BD96A" w14:textId="77777777" w:rsidR="007B00BD" w:rsidRPr="00331871" w:rsidRDefault="007B00BD" w:rsidP="007B00BD">
      <w:pPr>
        <w:pStyle w:val="Heading2"/>
        <w:spacing w:after="120"/>
      </w:pPr>
      <w:bookmarkStart w:id="16" w:name="Who_can"/>
      <w:bookmarkStart w:id="17" w:name="_Toc280713618"/>
      <w:bookmarkStart w:id="18" w:name="_Toc126592651"/>
      <w:bookmarkEnd w:id="16"/>
      <w:r w:rsidRPr="00331871">
        <w:lastRenderedPageBreak/>
        <w:t xml:space="preserve">6. </w:t>
      </w:r>
      <w:r>
        <w:t>Assisting the ACMA</w:t>
      </w:r>
      <w:bookmarkEnd w:id="17"/>
      <w:bookmarkEnd w:id="18"/>
      <w:r w:rsidRPr="00331871">
        <w:t xml:space="preserve">  </w:t>
      </w:r>
    </w:p>
    <w:p w14:paraId="21E07FAB" w14:textId="77777777" w:rsidR="007B00BD" w:rsidRPr="00BD6C74" w:rsidRDefault="007B00BD" w:rsidP="007B00BD">
      <w:pPr>
        <w:tabs>
          <w:tab w:val="left" w:pos="567"/>
        </w:tabs>
        <w:spacing w:after="120"/>
        <w:ind w:left="567" w:hanging="567"/>
        <w:rPr>
          <w:rFonts w:cs="Arial"/>
        </w:rPr>
      </w:pPr>
      <w:r w:rsidRPr="00331871">
        <w:rPr>
          <w:rFonts w:cs="Arial"/>
        </w:rPr>
        <w:t>6.1</w:t>
      </w:r>
      <w:r w:rsidRPr="00331871">
        <w:rPr>
          <w:rFonts w:cs="Arial"/>
        </w:rPr>
        <w:tab/>
      </w:r>
      <w:r w:rsidRPr="00BD6C74">
        <w:rPr>
          <w:rFonts w:cs="Arial"/>
        </w:rPr>
        <w:t>The ACMA is required to complete its investigations within reasonable timeframes. As a consequence, the ACMA will specify a time within which a response to its inquiries is required.</w:t>
      </w:r>
    </w:p>
    <w:p w14:paraId="3C8E81E9" w14:textId="77777777" w:rsidR="007B00BD" w:rsidRPr="00BD6C74" w:rsidRDefault="007B00BD" w:rsidP="007B00BD">
      <w:pPr>
        <w:tabs>
          <w:tab w:val="left" w:pos="567"/>
        </w:tabs>
        <w:spacing w:after="120"/>
        <w:ind w:left="567" w:hanging="567"/>
        <w:rPr>
          <w:rFonts w:cs="Arial"/>
        </w:rPr>
      </w:pPr>
      <w:r w:rsidRPr="00BD6C74">
        <w:rPr>
          <w:rFonts w:cs="Arial"/>
        </w:rPr>
        <w:t>6.2</w:t>
      </w:r>
      <w:r w:rsidRPr="00BD6C74">
        <w:rPr>
          <w:rFonts w:cs="Arial"/>
        </w:rPr>
        <w:tab/>
        <w:t xml:space="preserve">The ACMA will make its decisions concerning an investigation based on the information and evidence before it.  </w:t>
      </w:r>
    </w:p>
    <w:p w14:paraId="421AA9BA" w14:textId="77777777" w:rsidR="007B00BD" w:rsidRDefault="007B00BD" w:rsidP="007B00BD">
      <w:pPr>
        <w:tabs>
          <w:tab w:val="left" w:pos="567"/>
        </w:tabs>
        <w:spacing w:after="120"/>
        <w:ind w:left="567" w:hanging="567"/>
        <w:rPr>
          <w:rFonts w:cs="Arial"/>
        </w:rPr>
      </w:pPr>
      <w:r w:rsidRPr="00BD6C74">
        <w:rPr>
          <w:rFonts w:cs="Arial"/>
        </w:rPr>
        <w:t>6.3</w:t>
      </w:r>
      <w:r w:rsidRPr="00BD6C74">
        <w:rPr>
          <w:rFonts w:cs="Arial"/>
        </w:rPr>
        <w:tab/>
        <w:t>The assistance you provide, whether as the subject of the investigation or as a person who may have relevant information and evidence, will enable the ACMA to make informed decisions in a timely manner. As noted above, in some circumstances the absence of evidence can also have probative value. It is important that interested parties provide any relevant evidence they have to the ACMA while the opportunity to do so exists. If deadlines for the provision of evidence or submissions pass, the ACMA is entitled</w:t>
      </w:r>
      <w:r>
        <w:rPr>
          <w:rFonts w:cs="Arial"/>
        </w:rPr>
        <w:t>,</w:t>
      </w:r>
      <w:r w:rsidRPr="00BD6C74">
        <w:rPr>
          <w:rFonts w:cs="Arial"/>
        </w:rPr>
        <w:t xml:space="preserve"> and may proceed</w:t>
      </w:r>
      <w:r>
        <w:rPr>
          <w:rFonts w:cs="Arial"/>
        </w:rPr>
        <w:t>,</w:t>
      </w:r>
      <w:r w:rsidRPr="00BD6C74">
        <w:rPr>
          <w:rFonts w:cs="Arial"/>
        </w:rPr>
        <w:t xml:space="preserve"> to make its decision without that evidence or those submis</w:t>
      </w:r>
      <w:r>
        <w:rPr>
          <w:rFonts w:cs="Arial"/>
        </w:rPr>
        <w:t>sions</w:t>
      </w:r>
      <w:r w:rsidRPr="00331871">
        <w:rPr>
          <w:rFonts w:cs="Arial"/>
        </w:rPr>
        <w:t xml:space="preserve">.  </w:t>
      </w:r>
    </w:p>
    <w:p w14:paraId="2FBB6335" w14:textId="77777777" w:rsidR="007B00BD" w:rsidRPr="00331871" w:rsidRDefault="007B00BD" w:rsidP="007B00BD">
      <w:pPr>
        <w:pStyle w:val="Heading2"/>
        <w:spacing w:after="120"/>
      </w:pPr>
      <w:bookmarkStart w:id="19" w:name="Who_accepts"/>
      <w:bookmarkStart w:id="20" w:name="_Toc280713619"/>
      <w:bookmarkStart w:id="21" w:name="_Toc126592652"/>
      <w:bookmarkEnd w:id="19"/>
      <w:r w:rsidRPr="00331871">
        <w:t xml:space="preserve">7. </w:t>
      </w:r>
      <w:r w:rsidRPr="00BD6C74">
        <w:t>Outcome of an investigation</w:t>
      </w:r>
      <w:bookmarkEnd w:id="20"/>
      <w:bookmarkEnd w:id="21"/>
    </w:p>
    <w:p w14:paraId="42D9B954" w14:textId="77777777" w:rsidR="007B00BD" w:rsidRPr="00EE5987" w:rsidRDefault="007B00BD" w:rsidP="007B00BD">
      <w:pPr>
        <w:tabs>
          <w:tab w:val="left" w:pos="567"/>
        </w:tabs>
        <w:spacing w:after="120"/>
        <w:ind w:left="567" w:hanging="567"/>
        <w:rPr>
          <w:rFonts w:cs="Arial"/>
        </w:rPr>
      </w:pPr>
      <w:r w:rsidRPr="00331871">
        <w:rPr>
          <w:rFonts w:cs="Arial"/>
        </w:rPr>
        <w:t>7.1</w:t>
      </w:r>
      <w:r w:rsidRPr="00331871">
        <w:rPr>
          <w:rFonts w:cs="Arial"/>
        </w:rPr>
        <w:tab/>
      </w:r>
      <w:r w:rsidRPr="00EE5987">
        <w:rPr>
          <w:rFonts w:cs="Arial"/>
        </w:rPr>
        <w:t xml:space="preserve">Whether it is necessary or appropriate to take any enforcement action will turn on the facts and circumstances of the case.  </w:t>
      </w:r>
    </w:p>
    <w:p w14:paraId="35A79386" w14:textId="77777777" w:rsidR="007B00BD" w:rsidRPr="00EE5987" w:rsidRDefault="007B00BD" w:rsidP="007B00BD">
      <w:pPr>
        <w:tabs>
          <w:tab w:val="left" w:pos="567"/>
        </w:tabs>
        <w:spacing w:after="120"/>
        <w:ind w:left="567" w:hanging="567"/>
        <w:rPr>
          <w:rFonts w:cs="Arial"/>
        </w:rPr>
      </w:pPr>
      <w:r w:rsidRPr="00EE5987">
        <w:rPr>
          <w:rFonts w:cs="Arial"/>
        </w:rPr>
        <w:t>7.2</w:t>
      </w:r>
      <w:r w:rsidRPr="00EE5987">
        <w:rPr>
          <w:rFonts w:cs="Arial"/>
        </w:rPr>
        <w:tab/>
        <w:t xml:space="preserve">The ACMA’s compliance and enforcement approach is to take action that is commensurate with the seriousness of the conduct concerned which includes consideration of the nature and consequences of the conduct (section 5 of the BSA).   </w:t>
      </w:r>
    </w:p>
    <w:p w14:paraId="78D34482" w14:textId="77777777" w:rsidR="007B00BD" w:rsidRPr="00EE5987" w:rsidRDefault="007B00BD" w:rsidP="007B00BD">
      <w:pPr>
        <w:tabs>
          <w:tab w:val="left" w:pos="567"/>
        </w:tabs>
        <w:spacing w:after="120"/>
        <w:ind w:left="567" w:hanging="567"/>
        <w:rPr>
          <w:rFonts w:cs="Arial"/>
        </w:rPr>
      </w:pPr>
      <w:r>
        <w:rPr>
          <w:rFonts w:cs="Arial"/>
        </w:rPr>
        <w:t>7.3</w:t>
      </w:r>
      <w:r>
        <w:rPr>
          <w:rFonts w:cs="Arial"/>
        </w:rPr>
        <w:tab/>
      </w:r>
      <w:r w:rsidRPr="00EE5987">
        <w:rPr>
          <w:rFonts w:cs="Arial"/>
        </w:rPr>
        <w:t>The ACMA’s enforcement powers under the BSA include:</w:t>
      </w:r>
    </w:p>
    <w:p w14:paraId="5BF81E58" w14:textId="77777777" w:rsidR="007B00BD" w:rsidRPr="00EE5987" w:rsidRDefault="007B00BD" w:rsidP="007B00BD">
      <w:pPr>
        <w:pStyle w:val="ListBullet2"/>
        <w:tabs>
          <w:tab w:val="clear" w:pos="845"/>
          <w:tab w:val="num" w:pos="993"/>
        </w:tabs>
        <w:ind w:left="993" w:hanging="426"/>
        <w:rPr>
          <w:rFonts w:cs="Arial"/>
        </w:rPr>
      </w:pPr>
      <w:r w:rsidRPr="00EE5987">
        <w:rPr>
          <w:rFonts w:cs="Arial"/>
        </w:rPr>
        <w:t>giving an infringement notice, accepting an enforceable undertaking, giving a remedial direction, imposing, varying or revoking licence conditions, suspending or cancelling a licence</w:t>
      </w:r>
      <w:r>
        <w:rPr>
          <w:rFonts w:cs="Arial"/>
        </w:rPr>
        <w:t>—</w:t>
      </w:r>
      <w:r w:rsidRPr="00EE5987">
        <w:rPr>
          <w:rFonts w:cs="Arial"/>
        </w:rPr>
        <w:t>administrative action</w:t>
      </w:r>
    </w:p>
    <w:p w14:paraId="58B0FE31" w14:textId="77777777" w:rsidR="007B00BD" w:rsidRPr="00EE5987" w:rsidRDefault="007B00BD" w:rsidP="007B00BD">
      <w:pPr>
        <w:pStyle w:val="ListBullet2"/>
        <w:tabs>
          <w:tab w:val="clear" w:pos="845"/>
          <w:tab w:val="num" w:pos="993"/>
        </w:tabs>
        <w:ind w:left="993" w:hanging="426"/>
        <w:rPr>
          <w:rFonts w:cs="Arial"/>
        </w:rPr>
      </w:pPr>
      <w:r w:rsidRPr="00EE5987">
        <w:rPr>
          <w:rFonts w:cs="Arial"/>
        </w:rPr>
        <w:t>instituting civil proceedings to obtain injunctive relief, civil penalty orders, and orders to enforce compliance with an enforceable undertaking</w:t>
      </w:r>
      <w:r>
        <w:rPr>
          <w:rFonts w:cs="Arial"/>
        </w:rPr>
        <w:t>—</w:t>
      </w:r>
      <w:r w:rsidRPr="00EE5987">
        <w:rPr>
          <w:rFonts w:cs="Arial"/>
        </w:rPr>
        <w:t>civil action</w:t>
      </w:r>
    </w:p>
    <w:p w14:paraId="1914910B" w14:textId="77777777" w:rsidR="007B00BD" w:rsidRPr="00EE5987" w:rsidRDefault="007B00BD" w:rsidP="007B00BD">
      <w:pPr>
        <w:pStyle w:val="ListBullet2"/>
        <w:tabs>
          <w:tab w:val="clear" w:pos="845"/>
          <w:tab w:val="num" w:pos="993"/>
        </w:tabs>
        <w:ind w:left="993" w:hanging="426"/>
        <w:rPr>
          <w:rFonts w:cs="Arial"/>
        </w:rPr>
      </w:pPr>
      <w:r w:rsidRPr="00EE5987">
        <w:rPr>
          <w:rFonts w:cs="Arial"/>
        </w:rPr>
        <w:t>referral to the Commonwealth Director of Public Prosecutions for prosecution of an offence</w:t>
      </w:r>
      <w:r>
        <w:rPr>
          <w:rFonts w:cs="Arial"/>
        </w:rPr>
        <w:t>—</w:t>
      </w:r>
      <w:r w:rsidRPr="00EE5987">
        <w:rPr>
          <w:rFonts w:cs="Arial"/>
        </w:rPr>
        <w:t>criminal action.</w:t>
      </w:r>
    </w:p>
    <w:p w14:paraId="450D1469" w14:textId="796C8334" w:rsidR="007B00BD" w:rsidRDefault="007B00BD" w:rsidP="007B00BD">
      <w:pPr>
        <w:tabs>
          <w:tab w:val="left" w:pos="567"/>
        </w:tabs>
        <w:ind w:left="567" w:hanging="567"/>
        <w:rPr>
          <w:rFonts w:cs="Arial"/>
        </w:rPr>
      </w:pPr>
      <w:r w:rsidRPr="00EE5987">
        <w:rPr>
          <w:rFonts w:cs="Arial"/>
        </w:rPr>
        <w:t>7.4</w:t>
      </w:r>
      <w:r w:rsidRPr="00EE5987">
        <w:rPr>
          <w:rFonts w:cs="Arial"/>
        </w:rPr>
        <w:tab/>
        <w:t xml:space="preserve">Not all of these enforcement powers are available </w:t>
      </w:r>
      <w:r>
        <w:rPr>
          <w:rFonts w:cs="Arial"/>
        </w:rPr>
        <w:t>for</w:t>
      </w:r>
      <w:r w:rsidRPr="00EE5987">
        <w:rPr>
          <w:rFonts w:cs="Arial"/>
        </w:rPr>
        <w:t xml:space="preserve"> every contravention of the BSA or subordinate instruments. </w:t>
      </w:r>
      <w:r>
        <w:rPr>
          <w:rFonts w:cs="Arial"/>
        </w:rPr>
        <w:t xml:space="preserve"> </w:t>
      </w:r>
      <w:r w:rsidRPr="007E38EE">
        <w:rPr>
          <w:rFonts w:cs="Arial"/>
        </w:rPr>
        <w:t xml:space="preserve">See too </w:t>
      </w:r>
      <w:r w:rsidR="00C8321C" w:rsidRPr="00D35442">
        <w:rPr>
          <w:rFonts w:cs="Arial"/>
          <w:i/>
        </w:rPr>
        <w:t>Regulatory guide</w:t>
      </w:r>
      <w:r w:rsidR="00EF3C05">
        <w:rPr>
          <w:rFonts w:cs="Arial"/>
          <w:i/>
        </w:rPr>
        <w:t xml:space="preserve"> </w:t>
      </w:r>
      <w:r w:rsidR="00C8321C" w:rsidRPr="00D35442">
        <w:rPr>
          <w:rFonts w:cs="Arial"/>
          <w:i/>
        </w:rPr>
        <w:t>No. 6</w:t>
      </w:r>
      <w:r w:rsidR="00C8321C">
        <w:rPr>
          <w:rFonts w:cs="Arial"/>
          <w:i/>
        </w:rPr>
        <w:t xml:space="preserve">: </w:t>
      </w:r>
      <w:r w:rsidR="00C8321C" w:rsidRPr="00C8321C">
        <w:rPr>
          <w:rFonts w:cs="Arial"/>
          <w:i/>
          <w:iCs/>
        </w:rPr>
        <w:t>Publication of investigations and enforcement actions</w:t>
      </w:r>
      <w:r w:rsidR="00C8321C" w:rsidRPr="007E38EE" w:rsidDel="00C8321C">
        <w:rPr>
          <w:rFonts w:cs="Arial"/>
        </w:rPr>
        <w:t xml:space="preserve"> </w:t>
      </w:r>
      <w:r w:rsidRPr="007E38EE">
        <w:rPr>
          <w:rFonts w:cs="Arial"/>
          <w:i/>
          <w:iCs/>
        </w:rPr>
        <w:t>.</w:t>
      </w:r>
    </w:p>
    <w:p w14:paraId="21D4C994" w14:textId="77777777" w:rsidR="007B00BD" w:rsidRPr="00926D03" w:rsidRDefault="007B00BD" w:rsidP="007E38EE">
      <w:pPr>
        <w:pStyle w:val="Heading3"/>
      </w:pPr>
      <w:bookmarkStart w:id="22" w:name="_Toc27656306"/>
      <w:bookmarkStart w:id="23" w:name="_Toc27656411"/>
      <w:r w:rsidRPr="00926D03">
        <w:t>Reports on an investigation</w:t>
      </w:r>
      <w:bookmarkEnd w:id="22"/>
      <w:bookmarkEnd w:id="23"/>
    </w:p>
    <w:p w14:paraId="7B45E68A" w14:textId="77777777" w:rsidR="007B00BD" w:rsidRPr="00EE5987" w:rsidRDefault="007B00BD" w:rsidP="007B00BD">
      <w:pPr>
        <w:tabs>
          <w:tab w:val="left" w:pos="567"/>
        </w:tabs>
        <w:spacing w:after="120"/>
        <w:ind w:left="567" w:hanging="567"/>
        <w:rPr>
          <w:rFonts w:cs="Arial"/>
        </w:rPr>
      </w:pPr>
      <w:r w:rsidRPr="00EE5987">
        <w:rPr>
          <w:rFonts w:cs="Arial"/>
        </w:rPr>
        <w:t>7.5</w:t>
      </w:r>
      <w:r w:rsidRPr="00EE5987">
        <w:rPr>
          <w:rFonts w:cs="Arial"/>
        </w:rPr>
        <w:tab/>
        <w:t>Where an investigation has been commenced at the direction of the Minister</w:t>
      </w:r>
      <w:r>
        <w:rPr>
          <w:rFonts w:cs="Arial"/>
        </w:rPr>
        <w:t>,</w:t>
      </w:r>
      <w:r w:rsidRPr="00EE5987">
        <w:rPr>
          <w:rFonts w:cs="Arial"/>
        </w:rPr>
        <w:t xml:space="preserve"> the ACMA must prepare a report to the Minister on the investigation (subsection 178(1)). In all other instances, the preparation of a report is at the discretion of the ACMA (subsections 153(1) and 178(1)).   </w:t>
      </w:r>
    </w:p>
    <w:p w14:paraId="43AA29AE" w14:textId="77777777" w:rsidR="007B00BD" w:rsidRPr="00EE5987" w:rsidRDefault="007B00BD" w:rsidP="007B00BD">
      <w:pPr>
        <w:tabs>
          <w:tab w:val="left" w:pos="567"/>
        </w:tabs>
        <w:spacing w:after="120"/>
        <w:ind w:left="567" w:hanging="567"/>
        <w:rPr>
          <w:rFonts w:cs="Arial"/>
        </w:rPr>
      </w:pPr>
      <w:r w:rsidRPr="00EE5987">
        <w:rPr>
          <w:rFonts w:cs="Arial"/>
        </w:rPr>
        <w:t>7.6</w:t>
      </w:r>
      <w:r w:rsidRPr="00EE5987">
        <w:rPr>
          <w:rFonts w:cs="Arial"/>
        </w:rPr>
        <w:tab/>
      </w:r>
      <w:bookmarkStart w:id="24" w:name="_Hlk24359549"/>
      <w:r>
        <w:rPr>
          <w:rFonts w:cs="Arial"/>
        </w:rPr>
        <w:t>For</w:t>
      </w:r>
      <w:r w:rsidRPr="00EE5987">
        <w:rPr>
          <w:rFonts w:cs="Arial"/>
        </w:rPr>
        <w:t xml:space="preserve"> investigations commenced as a consequence of receipt of complaints under sections 149 and 151 of the BSA, it is the ACMA’s general practice to prepare a report on the investigation. </w:t>
      </w:r>
      <w:bookmarkEnd w:id="24"/>
    </w:p>
    <w:p w14:paraId="720DC143" w14:textId="77777777" w:rsidR="007B00BD" w:rsidRPr="00EE5987" w:rsidRDefault="007B00BD" w:rsidP="007B00BD">
      <w:pPr>
        <w:tabs>
          <w:tab w:val="left" w:pos="567"/>
        </w:tabs>
        <w:spacing w:after="120"/>
        <w:ind w:left="567" w:hanging="567"/>
        <w:rPr>
          <w:rFonts w:cs="Arial"/>
        </w:rPr>
      </w:pPr>
      <w:r w:rsidRPr="00EE5987">
        <w:rPr>
          <w:rFonts w:cs="Arial"/>
        </w:rPr>
        <w:t>7.7</w:t>
      </w:r>
      <w:r w:rsidRPr="00EE5987">
        <w:rPr>
          <w:rFonts w:cs="Arial"/>
        </w:rPr>
        <w:tab/>
        <w:t xml:space="preserve">The power to publish a report on an investigation commenced at the direction of the Minister lies with the Minister. With other investigations, the decision to publish a report is, subject to subsection 179(3) and section 180 of the BSA, entirely a matter for the ACMA. </w:t>
      </w:r>
    </w:p>
    <w:p w14:paraId="14BC2B5E" w14:textId="77777777" w:rsidR="007B00BD" w:rsidRPr="00EE5987" w:rsidRDefault="007B00BD" w:rsidP="007B00BD">
      <w:pPr>
        <w:tabs>
          <w:tab w:val="left" w:pos="567"/>
        </w:tabs>
        <w:spacing w:after="120"/>
        <w:ind w:left="567" w:hanging="567"/>
        <w:rPr>
          <w:rFonts w:cs="Arial"/>
        </w:rPr>
      </w:pPr>
      <w:r w:rsidRPr="00EE5987">
        <w:rPr>
          <w:rFonts w:cs="Arial"/>
        </w:rPr>
        <w:t>7.8</w:t>
      </w:r>
      <w:r w:rsidRPr="00EE5987">
        <w:rPr>
          <w:rFonts w:cs="Arial"/>
        </w:rPr>
        <w:tab/>
      </w:r>
      <w:r>
        <w:rPr>
          <w:rFonts w:cs="Arial"/>
        </w:rPr>
        <w:t>For</w:t>
      </w:r>
      <w:r w:rsidRPr="00EE5987">
        <w:rPr>
          <w:rFonts w:cs="Arial"/>
        </w:rPr>
        <w:t xml:space="preserve"> investigations commenced by the ACMA </w:t>
      </w:r>
      <w:r>
        <w:rPr>
          <w:rFonts w:cs="Arial"/>
        </w:rPr>
        <w:t xml:space="preserve">in relation to </w:t>
      </w:r>
      <w:r w:rsidRPr="00EE5987">
        <w:rPr>
          <w:rFonts w:cs="Arial"/>
        </w:rPr>
        <w:t xml:space="preserve">sections 149 and 151 of the BSA, it is also the ACMA’s general practice to publish the reports prepared on the investigation.  </w:t>
      </w:r>
    </w:p>
    <w:p w14:paraId="11D86ABA" w14:textId="1944ECD8" w:rsidR="007B00BD" w:rsidRDefault="007B00BD" w:rsidP="007B00BD">
      <w:pPr>
        <w:tabs>
          <w:tab w:val="left" w:pos="567"/>
        </w:tabs>
        <w:spacing w:after="120"/>
        <w:ind w:left="567" w:hanging="567"/>
        <w:rPr>
          <w:rFonts w:cs="Arial"/>
        </w:rPr>
      </w:pPr>
      <w:r w:rsidRPr="00EE5987">
        <w:rPr>
          <w:rFonts w:cs="Arial"/>
        </w:rPr>
        <w:lastRenderedPageBreak/>
        <w:t>7.9</w:t>
      </w:r>
      <w:r w:rsidRPr="00EE5987">
        <w:rPr>
          <w:rFonts w:cs="Arial"/>
        </w:rPr>
        <w:tab/>
        <w:t xml:space="preserve">Published reports are ordinarily available on the ACMA’s website. For further information on complaint handling and broadcasting investigation reports see </w:t>
      </w:r>
      <w:hyperlink r:id="rId24" w:history="1">
        <w:r w:rsidRPr="000B7B19">
          <w:rPr>
            <w:rStyle w:val="Hyperlink"/>
            <w:rFonts w:cs="Arial"/>
          </w:rPr>
          <w:t>www.acma.gov.au</w:t>
        </w:r>
      </w:hyperlink>
      <w:r w:rsidRPr="00EE5987">
        <w:rPr>
          <w:rFonts w:cs="Arial"/>
        </w:rPr>
        <w:t>.</w:t>
      </w:r>
      <w:r>
        <w:rPr>
          <w:rFonts w:cs="Arial"/>
        </w:rPr>
        <w:t xml:space="preserve">  </w:t>
      </w:r>
      <w:r w:rsidRPr="007E38EE">
        <w:rPr>
          <w:rFonts w:cs="Arial"/>
        </w:rPr>
        <w:t xml:space="preserve">See too </w:t>
      </w:r>
      <w:r w:rsidR="00C8321C" w:rsidRPr="00D35442">
        <w:rPr>
          <w:rFonts w:cs="Arial"/>
          <w:i/>
        </w:rPr>
        <w:t>Regulatory guide</w:t>
      </w:r>
      <w:r w:rsidR="00172A1C">
        <w:rPr>
          <w:rFonts w:cs="Arial"/>
          <w:i/>
        </w:rPr>
        <w:t xml:space="preserve"> </w:t>
      </w:r>
      <w:r w:rsidR="00C8321C" w:rsidRPr="00D35442">
        <w:rPr>
          <w:rFonts w:cs="Arial"/>
          <w:i/>
        </w:rPr>
        <w:t>No. 6</w:t>
      </w:r>
      <w:r w:rsidR="00C8321C">
        <w:rPr>
          <w:rFonts w:cs="Arial"/>
          <w:i/>
        </w:rPr>
        <w:t xml:space="preserve">: </w:t>
      </w:r>
      <w:r w:rsidR="00C8321C" w:rsidRPr="00C8321C">
        <w:rPr>
          <w:rFonts w:cs="Arial"/>
          <w:i/>
          <w:iCs/>
        </w:rPr>
        <w:t>Publication of investigations and enforcement actions</w:t>
      </w:r>
      <w:r w:rsidRPr="007E38EE">
        <w:rPr>
          <w:rFonts w:cs="Arial"/>
          <w:i/>
          <w:iCs/>
        </w:rPr>
        <w:t>.</w:t>
      </w:r>
    </w:p>
    <w:p w14:paraId="0A4E37E6" w14:textId="75C31BEA" w:rsidR="00CB3DA1" w:rsidRPr="00DD3AA5" w:rsidRDefault="00CB3DA1" w:rsidP="00CB3DA1">
      <w:pPr>
        <w:pStyle w:val="Paragraph"/>
      </w:pPr>
    </w:p>
    <w:sectPr w:rsidR="00CB3DA1" w:rsidRPr="00DD3AA5" w:rsidSect="00C77380">
      <w:headerReference w:type="even" r:id="rId25"/>
      <w:headerReference w:type="default" r:id="rId26"/>
      <w:footerReference w:type="even" r:id="rId27"/>
      <w:footerReference w:type="default" r:id="rId28"/>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1762C1" w14:textId="77777777" w:rsidR="00CB3DA1" w:rsidRDefault="00CB3DA1">
      <w:r>
        <w:separator/>
      </w:r>
    </w:p>
  </w:endnote>
  <w:endnote w:type="continuationSeparator" w:id="0">
    <w:p w14:paraId="04EC704B" w14:textId="77777777" w:rsidR="00CB3DA1" w:rsidRDefault="00CB3D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4E15A" w14:textId="77777777" w:rsidR="005E250B" w:rsidRDefault="005E250B" w:rsidP="005E250B">
    <w:pPr>
      <w:pStyle w:val="Footer"/>
      <w:jc w:val="right"/>
    </w:pPr>
    <w:r w:rsidRPr="005E250B">
      <w:rPr>
        <w:noProof/>
        <w:vertAlign w:val="subscript"/>
      </w:rPr>
      <w:drawing>
        <wp:inline distT="0" distB="0" distL="0" distR="0" wp14:anchorId="4A66AE9F" wp14:editId="6045E3AD">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8E1E0"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45009"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35EFD2"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163E0E0E"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0AA75"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00C83ECC"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E1160"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573D5465"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A137E"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50FA8457"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00751"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69157EBF"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869F88" w14:textId="77777777" w:rsidR="00CB3DA1" w:rsidRDefault="00CB3DA1">
      <w:r>
        <w:separator/>
      </w:r>
    </w:p>
  </w:footnote>
  <w:footnote w:type="continuationSeparator" w:id="0">
    <w:p w14:paraId="6A53B94C" w14:textId="77777777" w:rsidR="00CB3DA1" w:rsidRDefault="00CB3D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7E2E7F" w14:textId="77777777" w:rsidR="00C053A1" w:rsidRPr="00A5474E" w:rsidRDefault="00C053A1" w:rsidP="00A5474E">
    <w:pPr>
      <w:pStyle w:val="Header"/>
    </w:pPr>
    <w:r>
      <w:rPr>
        <w:noProof/>
      </w:rPr>
      <w:drawing>
        <wp:inline distT="0" distB="0" distL="0" distR="0" wp14:anchorId="133E3B54" wp14:editId="5576D217">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25556"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5BAD9"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1E638"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3FA55797" w14:textId="77777777" w:rsidTr="003B0421">
      <w:trPr>
        <w:trHeight w:hRule="exact" w:val="988"/>
      </w:trPr>
      <w:tc>
        <w:tcPr>
          <w:tcW w:w="7678" w:type="dxa"/>
          <w:shd w:val="clear" w:color="auto" w:fill="auto"/>
        </w:tcPr>
        <w:p w14:paraId="14DB6459" w14:textId="77777777" w:rsidR="00971914" w:rsidRDefault="00971914" w:rsidP="00971914">
          <w:pPr>
            <w:pStyle w:val="Header"/>
          </w:pPr>
        </w:p>
      </w:tc>
    </w:tr>
    <w:tr w:rsidR="00971914" w14:paraId="2E42EEAA" w14:textId="77777777" w:rsidTr="003B0421">
      <w:tc>
        <w:tcPr>
          <w:tcW w:w="7678" w:type="dxa"/>
          <w:shd w:val="clear" w:color="auto" w:fill="auto"/>
        </w:tcPr>
        <w:p w14:paraId="451E161B" w14:textId="77777777" w:rsidR="00971914" w:rsidRDefault="00971914" w:rsidP="00971914">
          <w:pPr>
            <w:pStyle w:val="GridTable31"/>
          </w:pPr>
          <w:r>
            <w:t xml:space="preserve">Contents </w:t>
          </w:r>
          <w:r w:rsidRPr="00915B1C">
            <w:rPr>
              <w:b w:val="0"/>
              <w:spacing w:val="0"/>
              <w:sz w:val="28"/>
              <w:szCs w:val="28"/>
            </w:rPr>
            <w:t>(Continued)</w:t>
          </w:r>
        </w:p>
      </w:tc>
    </w:tr>
    <w:tr w:rsidR="00971914" w14:paraId="73B3A622" w14:textId="77777777" w:rsidTr="003B0421">
      <w:trPr>
        <w:trHeight w:val="1220"/>
      </w:trPr>
      <w:tc>
        <w:tcPr>
          <w:tcW w:w="7678" w:type="dxa"/>
          <w:shd w:val="clear" w:color="auto" w:fill="auto"/>
        </w:tcPr>
        <w:p w14:paraId="58CAB5F7" w14:textId="77777777" w:rsidR="00971914" w:rsidRDefault="00971914" w:rsidP="00971914"/>
      </w:tc>
    </w:tr>
  </w:tbl>
  <w:p w14:paraId="4DF96BA6"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31C0E434" w14:textId="77777777" w:rsidTr="003B0421">
      <w:trPr>
        <w:trHeight w:hRule="exact" w:val="988"/>
      </w:trPr>
      <w:tc>
        <w:tcPr>
          <w:tcW w:w="7678" w:type="dxa"/>
          <w:shd w:val="clear" w:color="auto" w:fill="auto"/>
        </w:tcPr>
        <w:p w14:paraId="4405E8CD" w14:textId="77777777" w:rsidR="00971914" w:rsidRDefault="00971914" w:rsidP="00971914">
          <w:pPr>
            <w:pStyle w:val="Header"/>
          </w:pPr>
        </w:p>
      </w:tc>
    </w:tr>
    <w:tr w:rsidR="00971914" w14:paraId="156B9F42" w14:textId="77777777" w:rsidTr="003B0421">
      <w:tc>
        <w:tcPr>
          <w:tcW w:w="7678" w:type="dxa"/>
          <w:shd w:val="clear" w:color="auto" w:fill="auto"/>
        </w:tcPr>
        <w:p w14:paraId="4FFF6FAA" w14:textId="77777777" w:rsidR="00971914" w:rsidRDefault="00971914" w:rsidP="00971914">
          <w:pPr>
            <w:pStyle w:val="GridTable31"/>
          </w:pPr>
          <w:r>
            <w:t xml:space="preserve">Contents </w:t>
          </w:r>
          <w:r w:rsidRPr="00915B1C">
            <w:rPr>
              <w:b w:val="0"/>
              <w:spacing w:val="0"/>
              <w:sz w:val="28"/>
              <w:szCs w:val="28"/>
            </w:rPr>
            <w:t>(Continued)</w:t>
          </w:r>
        </w:p>
      </w:tc>
    </w:tr>
    <w:tr w:rsidR="00971914" w14:paraId="338BC6B8" w14:textId="77777777" w:rsidTr="003B0421">
      <w:trPr>
        <w:trHeight w:val="1220"/>
      </w:trPr>
      <w:tc>
        <w:tcPr>
          <w:tcW w:w="7678" w:type="dxa"/>
          <w:shd w:val="clear" w:color="auto" w:fill="auto"/>
        </w:tcPr>
        <w:p w14:paraId="5CC959ED" w14:textId="77777777" w:rsidR="00971914" w:rsidRDefault="00971914" w:rsidP="00971914"/>
      </w:tc>
    </w:tr>
  </w:tbl>
  <w:p w14:paraId="145350B8"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60FAA1"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DB0AD"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06503AE"/>
    <w:multiLevelType w:val="hybridMultilevel"/>
    <w:tmpl w:val="B0043E5A"/>
    <w:lvl w:ilvl="0" w:tplc="E62243DC">
      <w:start w:val="1"/>
      <w:numFmt w:val="bullet"/>
      <w:lvlText w:val="&gt;"/>
      <w:lvlJc w:val="left"/>
      <w:pPr>
        <w:ind w:left="1440" w:hanging="360"/>
      </w:pPr>
      <w:rPr>
        <w:rFonts w:ascii="HelveticaNeueLT Std Lt" w:hAnsi="HelveticaNeueLT Std Lt" w:hint="default"/>
        <w:sz w:val="20"/>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 w15:restartNumberingAfterBreak="0">
    <w:nsid w:val="2810338D"/>
    <w:multiLevelType w:val="hybridMultilevel"/>
    <w:tmpl w:val="EC9A8D7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2A5B1F10"/>
    <w:multiLevelType w:val="hybridMultilevel"/>
    <w:tmpl w:val="9686FE88"/>
    <w:lvl w:ilvl="0" w:tplc="E62243DC">
      <w:start w:val="1"/>
      <w:numFmt w:val="bullet"/>
      <w:lvlText w:val="&gt;"/>
      <w:lvlJc w:val="left"/>
      <w:pPr>
        <w:ind w:left="927" w:hanging="360"/>
      </w:pPr>
      <w:rPr>
        <w:rFonts w:ascii="HelveticaNeueLT Std Lt" w:hAnsi="HelveticaNeueLT Std Lt" w:hint="default"/>
        <w:sz w:val="20"/>
      </w:rPr>
    </w:lvl>
    <w:lvl w:ilvl="1" w:tplc="0C090003">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8"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9" w15:restartNumberingAfterBreak="0">
    <w:nsid w:val="3C7F1364"/>
    <w:multiLevelType w:val="hybridMultilevel"/>
    <w:tmpl w:val="1A408FE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5B56C6E"/>
    <w:multiLevelType w:val="multilevel"/>
    <w:tmpl w:val="8416C978"/>
    <w:lvl w:ilvl="0">
      <w:start w:val="1"/>
      <w:numFmt w:val="decimal"/>
      <w:lvlText w:val="%1."/>
      <w:lvlJc w:val="left"/>
      <w:pPr>
        <w:ind w:left="360" w:hanging="360"/>
      </w:pPr>
      <w:rPr>
        <w:rFonts w:hint="default"/>
      </w:rPr>
    </w:lvl>
    <w:lvl w:ilvl="1">
      <w:start w:val="1"/>
      <w:numFmt w:val="decimal"/>
      <w:lvlText w:val="%1.%2."/>
      <w:lvlJc w:val="left"/>
      <w:pPr>
        <w:ind w:left="998" w:hanging="431"/>
      </w:pPr>
      <w:rPr>
        <w:rFonts w:hint="default"/>
        <w:i w:val="0"/>
        <w:color w:val="000000" w:themeColor="text1"/>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16cid:durableId="935207555">
    <w:abstractNumId w:val="3"/>
  </w:num>
  <w:num w:numId="2" w16cid:durableId="528295453">
    <w:abstractNumId w:val="1"/>
  </w:num>
  <w:num w:numId="3" w16cid:durableId="2117092002">
    <w:abstractNumId w:val="2"/>
  </w:num>
  <w:num w:numId="4" w16cid:durableId="719128674">
    <w:abstractNumId w:val="0"/>
  </w:num>
  <w:num w:numId="5" w16cid:durableId="1191720388">
    <w:abstractNumId w:val="8"/>
  </w:num>
  <w:num w:numId="6" w16cid:durableId="854421875">
    <w:abstractNumId w:val="12"/>
  </w:num>
  <w:num w:numId="7" w16cid:durableId="1129974954">
    <w:abstractNumId w:val="10"/>
  </w:num>
  <w:num w:numId="8" w16cid:durableId="184483923">
    <w:abstractNumId w:val="11"/>
  </w:num>
  <w:num w:numId="9" w16cid:durableId="835538945">
    <w:abstractNumId w:val="13"/>
  </w:num>
  <w:num w:numId="10" w16cid:durableId="859900226">
    <w:abstractNumId w:val="4"/>
  </w:num>
  <w:num w:numId="11" w16cid:durableId="1859587539">
    <w:abstractNumId w:val="2"/>
    <w:lvlOverride w:ilvl="0">
      <w:startOverride w:val="1"/>
    </w:lvlOverride>
  </w:num>
  <w:num w:numId="12" w16cid:durableId="1880048925">
    <w:abstractNumId w:val="7"/>
  </w:num>
  <w:num w:numId="13" w16cid:durableId="1089496692">
    <w:abstractNumId w:val="14"/>
  </w:num>
  <w:num w:numId="14" w16cid:durableId="439645011">
    <w:abstractNumId w:val="5"/>
  </w:num>
  <w:num w:numId="15" w16cid:durableId="962927601">
    <w:abstractNumId w:val="9"/>
  </w:num>
  <w:num w:numId="16" w16cid:durableId="1035737931">
    <w:abstractNumId w:val="6"/>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481">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3DA1"/>
    <w:rsid w:val="00010667"/>
    <w:rsid w:val="000129D5"/>
    <w:rsid w:val="00015AE7"/>
    <w:rsid w:val="00016E21"/>
    <w:rsid w:val="0001719C"/>
    <w:rsid w:val="0002224E"/>
    <w:rsid w:val="000245E5"/>
    <w:rsid w:val="00026F91"/>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915ED"/>
    <w:rsid w:val="0009209D"/>
    <w:rsid w:val="0009463C"/>
    <w:rsid w:val="000969BD"/>
    <w:rsid w:val="000969BF"/>
    <w:rsid w:val="000971BD"/>
    <w:rsid w:val="000A0C22"/>
    <w:rsid w:val="000A1400"/>
    <w:rsid w:val="000A3C43"/>
    <w:rsid w:val="000A4A51"/>
    <w:rsid w:val="000A5D2B"/>
    <w:rsid w:val="000B4664"/>
    <w:rsid w:val="000B5DE3"/>
    <w:rsid w:val="000C0A57"/>
    <w:rsid w:val="000C230C"/>
    <w:rsid w:val="000C6AB4"/>
    <w:rsid w:val="000D71D9"/>
    <w:rsid w:val="000D76E0"/>
    <w:rsid w:val="000D7E8B"/>
    <w:rsid w:val="000E4449"/>
    <w:rsid w:val="000E6097"/>
    <w:rsid w:val="000F3D67"/>
    <w:rsid w:val="00103829"/>
    <w:rsid w:val="00111FCE"/>
    <w:rsid w:val="001229A5"/>
    <w:rsid w:val="0012489B"/>
    <w:rsid w:val="00130017"/>
    <w:rsid w:val="00130F91"/>
    <w:rsid w:val="001349ED"/>
    <w:rsid w:val="00137424"/>
    <w:rsid w:val="00140318"/>
    <w:rsid w:val="00141AD9"/>
    <w:rsid w:val="00146CE6"/>
    <w:rsid w:val="00152903"/>
    <w:rsid w:val="00153FD5"/>
    <w:rsid w:val="0015614F"/>
    <w:rsid w:val="001577C2"/>
    <w:rsid w:val="001633C4"/>
    <w:rsid w:val="001704D5"/>
    <w:rsid w:val="001709CF"/>
    <w:rsid w:val="00171591"/>
    <w:rsid w:val="00172A1C"/>
    <w:rsid w:val="00173981"/>
    <w:rsid w:val="0017719D"/>
    <w:rsid w:val="00183FD7"/>
    <w:rsid w:val="00185CAB"/>
    <w:rsid w:val="001875B7"/>
    <w:rsid w:val="00187CB3"/>
    <w:rsid w:val="0019050A"/>
    <w:rsid w:val="001910D4"/>
    <w:rsid w:val="001976E3"/>
    <w:rsid w:val="001A44EC"/>
    <w:rsid w:val="001B28D9"/>
    <w:rsid w:val="001B58AA"/>
    <w:rsid w:val="001B7E48"/>
    <w:rsid w:val="001C17CE"/>
    <w:rsid w:val="001C36CA"/>
    <w:rsid w:val="001C44D1"/>
    <w:rsid w:val="001C6AEE"/>
    <w:rsid w:val="001C7630"/>
    <w:rsid w:val="001D6D15"/>
    <w:rsid w:val="001F7558"/>
    <w:rsid w:val="00205B57"/>
    <w:rsid w:val="002157E0"/>
    <w:rsid w:val="00216A57"/>
    <w:rsid w:val="00217448"/>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4DDC"/>
    <w:rsid w:val="00302480"/>
    <w:rsid w:val="00302758"/>
    <w:rsid w:val="00307146"/>
    <w:rsid w:val="003165E6"/>
    <w:rsid w:val="003215B5"/>
    <w:rsid w:val="003221CF"/>
    <w:rsid w:val="003233ED"/>
    <w:rsid w:val="00324D9F"/>
    <w:rsid w:val="00327948"/>
    <w:rsid w:val="0033000F"/>
    <w:rsid w:val="00332011"/>
    <w:rsid w:val="00332518"/>
    <w:rsid w:val="00332925"/>
    <w:rsid w:val="003332ED"/>
    <w:rsid w:val="003368DC"/>
    <w:rsid w:val="00345927"/>
    <w:rsid w:val="0035004B"/>
    <w:rsid w:val="00350584"/>
    <w:rsid w:val="00350701"/>
    <w:rsid w:val="00351857"/>
    <w:rsid w:val="003545E8"/>
    <w:rsid w:val="003610E1"/>
    <w:rsid w:val="003671BE"/>
    <w:rsid w:val="00372485"/>
    <w:rsid w:val="00373200"/>
    <w:rsid w:val="00375EF5"/>
    <w:rsid w:val="003767A5"/>
    <w:rsid w:val="00381D15"/>
    <w:rsid w:val="00385254"/>
    <w:rsid w:val="003A04DB"/>
    <w:rsid w:val="003A5F5B"/>
    <w:rsid w:val="003A789A"/>
    <w:rsid w:val="003B12EC"/>
    <w:rsid w:val="003C77E0"/>
    <w:rsid w:val="003D17D7"/>
    <w:rsid w:val="003D2678"/>
    <w:rsid w:val="003D71A3"/>
    <w:rsid w:val="003E2B8A"/>
    <w:rsid w:val="003F10EE"/>
    <w:rsid w:val="003F16F6"/>
    <w:rsid w:val="003F4DC7"/>
    <w:rsid w:val="003F5235"/>
    <w:rsid w:val="004027E4"/>
    <w:rsid w:val="00403A6A"/>
    <w:rsid w:val="0041071D"/>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6135B"/>
    <w:rsid w:val="00461D47"/>
    <w:rsid w:val="004718CC"/>
    <w:rsid w:val="00481695"/>
    <w:rsid w:val="00495A96"/>
    <w:rsid w:val="00495BB3"/>
    <w:rsid w:val="004A56BB"/>
    <w:rsid w:val="004A70D6"/>
    <w:rsid w:val="004B1751"/>
    <w:rsid w:val="004C0253"/>
    <w:rsid w:val="004D56FF"/>
    <w:rsid w:val="004E39D3"/>
    <w:rsid w:val="004E508A"/>
    <w:rsid w:val="004E616D"/>
    <w:rsid w:val="004F1BDE"/>
    <w:rsid w:val="004F2CEE"/>
    <w:rsid w:val="004F32EF"/>
    <w:rsid w:val="004F556E"/>
    <w:rsid w:val="004F591C"/>
    <w:rsid w:val="004F7F44"/>
    <w:rsid w:val="005037B4"/>
    <w:rsid w:val="005079BF"/>
    <w:rsid w:val="0051269A"/>
    <w:rsid w:val="005219E7"/>
    <w:rsid w:val="00521ED4"/>
    <w:rsid w:val="00531B9A"/>
    <w:rsid w:val="00531D15"/>
    <w:rsid w:val="00537604"/>
    <w:rsid w:val="00542377"/>
    <w:rsid w:val="005476EB"/>
    <w:rsid w:val="00551782"/>
    <w:rsid w:val="00563EF1"/>
    <w:rsid w:val="00566AB4"/>
    <w:rsid w:val="00575AC5"/>
    <w:rsid w:val="0057605D"/>
    <w:rsid w:val="00581347"/>
    <w:rsid w:val="00581AC9"/>
    <w:rsid w:val="005849F8"/>
    <w:rsid w:val="00593860"/>
    <w:rsid w:val="005938DF"/>
    <w:rsid w:val="00594E9C"/>
    <w:rsid w:val="005A099B"/>
    <w:rsid w:val="005A2D9C"/>
    <w:rsid w:val="005A55FE"/>
    <w:rsid w:val="005A6A11"/>
    <w:rsid w:val="005A6A60"/>
    <w:rsid w:val="005D2502"/>
    <w:rsid w:val="005D40BB"/>
    <w:rsid w:val="005D47F3"/>
    <w:rsid w:val="005D49BF"/>
    <w:rsid w:val="005D4AA5"/>
    <w:rsid w:val="005D6F4E"/>
    <w:rsid w:val="005D7C73"/>
    <w:rsid w:val="005E250B"/>
    <w:rsid w:val="005E3ACD"/>
    <w:rsid w:val="005E7226"/>
    <w:rsid w:val="005E7A57"/>
    <w:rsid w:val="005F24B0"/>
    <w:rsid w:val="00601B57"/>
    <w:rsid w:val="00604315"/>
    <w:rsid w:val="00604E26"/>
    <w:rsid w:val="0060523F"/>
    <w:rsid w:val="006052CF"/>
    <w:rsid w:val="00607B8D"/>
    <w:rsid w:val="00611F5C"/>
    <w:rsid w:val="00616E09"/>
    <w:rsid w:val="00622A3B"/>
    <w:rsid w:val="00622EEA"/>
    <w:rsid w:val="0062396C"/>
    <w:rsid w:val="00623FF9"/>
    <w:rsid w:val="00627D4E"/>
    <w:rsid w:val="00632B89"/>
    <w:rsid w:val="0063346D"/>
    <w:rsid w:val="00634478"/>
    <w:rsid w:val="00644373"/>
    <w:rsid w:val="00645915"/>
    <w:rsid w:val="006519C3"/>
    <w:rsid w:val="00652B30"/>
    <w:rsid w:val="00656345"/>
    <w:rsid w:val="00656DC6"/>
    <w:rsid w:val="00660EC6"/>
    <w:rsid w:val="00664110"/>
    <w:rsid w:val="00664D17"/>
    <w:rsid w:val="00666520"/>
    <w:rsid w:val="00667C5B"/>
    <w:rsid w:val="00691EB8"/>
    <w:rsid w:val="00692CDE"/>
    <w:rsid w:val="00693073"/>
    <w:rsid w:val="006977FF"/>
    <w:rsid w:val="006A01FA"/>
    <w:rsid w:val="006A0E9E"/>
    <w:rsid w:val="006A25C7"/>
    <w:rsid w:val="006A4AAD"/>
    <w:rsid w:val="006A6DA2"/>
    <w:rsid w:val="006A7AB2"/>
    <w:rsid w:val="006B52DE"/>
    <w:rsid w:val="006B5717"/>
    <w:rsid w:val="006B582F"/>
    <w:rsid w:val="006B5EB2"/>
    <w:rsid w:val="006C0CEB"/>
    <w:rsid w:val="006C1631"/>
    <w:rsid w:val="006C3B1E"/>
    <w:rsid w:val="006C47FD"/>
    <w:rsid w:val="006C5C19"/>
    <w:rsid w:val="006C70A0"/>
    <w:rsid w:val="006D27CB"/>
    <w:rsid w:val="006D2F08"/>
    <w:rsid w:val="006D576C"/>
    <w:rsid w:val="006D5865"/>
    <w:rsid w:val="006E4B1B"/>
    <w:rsid w:val="006E5445"/>
    <w:rsid w:val="006E7D93"/>
    <w:rsid w:val="007029A3"/>
    <w:rsid w:val="00706E4E"/>
    <w:rsid w:val="0070791C"/>
    <w:rsid w:val="0071383C"/>
    <w:rsid w:val="007141A7"/>
    <w:rsid w:val="00715722"/>
    <w:rsid w:val="00721032"/>
    <w:rsid w:val="00721B55"/>
    <w:rsid w:val="00726CE4"/>
    <w:rsid w:val="00732CFD"/>
    <w:rsid w:val="00734143"/>
    <w:rsid w:val="00737E47"/>
    <w:rsid w:val="00740EAC"/>
    <w:rsid w:val="00744956"/>
    <w:rsid w:val="00745A5C"/>
    <w:rsid w:val="0074605F"/>
    <w:rsid w:val="00747E94"/>
    <w:rsid w:val="00754C83"/>
    <w:rsid w:val="00761E5C"/>
    <w:rsid w:val="00765DF8"/>
    <w:rsid w:val="00766749"/>
    <w:rsid w:val="00767C1B"/>
    <w:rsid w:val="007714A9"/>
    <w:rsid w:val="00774F88"/>
    <w:rsid w:val="00774FDB"/>
    <w:rsid w:val="00777BA2"/>
    <w:rsid w:val="00781408"/>
    <w:rsid w:val="00784F7F"/>
    <w:rsid w:val="007878BD"/>
    <w:rsid w:val="00796F25"/>
    <w:rsid w:val="00797DEB"/>
    <w:rsid w:val="007A2E98"/>
    <w:rsid w:val="007A3BA3"/>
    <w:rsid w:val="007A6CC0"/>
    <w:rsid w:val="007A7FEC"/>
    <w:rsid w:val="007B00BD"/>
    <w:rsid w:val="007B1499"/>
    <w:rsid w:val="007B1BBF"/>
    <w:rsid w:val="007B2960"/>
    <w:rsid w:val="007B355D"/>
    <w:rsid w:val="007B7980"/>
    <w:rsid w:val="007C0DEF"/>
    <w:rsid w:val="007C5D5A"/>
    <w:rsid w:val="007C607F"/>
    <w:rsid w:val="007C6E44"/>
    <w:rsid w:val="007C79DD"/>
    <w:rsid w:val="007D1A97"/>
    <w:rsid w:val="007D2CD6"/>
    <w:rsid w:val="007D3063"/>
    <w:rsid w:val="007D3CEB"/>
    <w:rsid w:val="007E3375"/>
    <w:rsid w:val="007E38EE"/>
    <w:rsid w:val="007E7683"/>
    <w:rsid w:val="007F49FA"/>
    <w:rsid w:val="007F54C4"/>
    <w:rsid w:val="007F6E9A"/>
    <w:rsid w:val="00800CCD"/>
    <w:rsid w:val="00802EF2"/>
    <w:rsid w:val="008044D4"/>
    <w:rsid w:val="00810AB4"/>
    <w:rsid w:val="00817B56"/>
    <w:rsid w:val="00821A88"/>
    <w:rsid w:val="0082495D"/>
    <w:rsid w:val="00831AC3"/>
    <w:rsid w:val="00836FCE"/>
    <w:rsid w:val="008408FF"/>
    <w:rsid w:val="00851F3F"/>
    <w:rsid w:val="0085618F"/>
    <w:rsid w:val="00856EDC"/>
    <w:rsid w:val="008623B5"/>
    <w:rsid w:val="00870ABA"/>
    <w:rsid w:val="008710E1"/>
    <w:rsid w:val="008716E5"/>
    <w:rsid w:val="00881CA9"/>
    <w:rsid w:val="00883628"/>
    <w:rsid w:val="00885544"/>
    <w:rsid w:val="0088634E"/>
    <w:rsid w:val="00893AB8"/>
    <w:rsid w:val="008A04C8"/>
    <w:rsid w:val="008A6913"/>
    <w:rsid w:val="008B70F3"/>
    <w:rsid w:val="008B71C4"/>
    <w:rsid w:val="008B76DF"/>
    <w:rsid w:val="008C10F4"/>
    <w:rsid w:val="008C65F7"/>
    <w:rsid w:val="008E4767"/>
    <w:rsid w:val="008E7A8C"/>
    <w:rsid w:val="0090203B"/>
    <w:rsid w:val="00903285"/>
    <w:rsid w:val="00906F40"/>
    <w:rsid w:val="0090731E"/>
    <w:rsid w:val="00915B1C"/>
    <w:rsid w:val="009174F3"/>
    <w:rsid w:val="0091797D"/>
    <w:rsid w:val="00923CBA"/>
    <w:rsid w:val="00926703"/>
    <w:rsid w:val="00927691"/>
    <w:rsid w:val="00927A5F"/>
    <w:rsid w:val="00930510"/>
    <w:rsid w:val="00935B63"/>
    <w:rsid w:val="0094078F"/>
    <w:rsid w:val="00940FA3"/>
    <w:rsid w:val="00941FB0"/>
    <w:rsid w:val="009426D4"/>
    <w:rsid w:val="00947F25"/>
    <w:rsid w:val="00950159"/>
    <w:rsid w:val="0095490B"/>
    <w:rsid w:val="00960A33"/>
    <w:rsid w:val="00971914"/>
    <w:rsid w:val="00974363"/>
    <w:rsid w:val="00981898"/>
    <w:rsid w:val="0099577C"/>
    <w:rsid w:val="009B24A5"/>
    <w:rsid w:val="009B2601"/>
    <w:rsid w:val="009B4E9E"/>
    <w:rsid w:val="009C1690"/>
    <w:rsid w:val="009C6881"/>
    <w:rsid w:val="009C7759"/>
    <w:rsid w:val="009D043D"/>
    <w:rsid w:val="009D07C8"/>
    <w:rsid w:val="009D6C71"/>
    <w:rsid w:val="009E0631"/>
    <w:rsid w:val="009E16D0"/>
    <w:rsid w:val="009E2051"/>
    <w:rsid w:val="009E38FD"/>
    <w:rsid w:val="009F13D6"/>
    <w:rsid w:val="009F4C6B"/>
    <w:rsid w:val="009F78A8"/>
    <w:rsid w:val="00A02AD6"/>
    <w:rsid w:val="00A07096"/>
    <w:rsid w:val="00A07318"/>
    <w:rsid w:val="00A11370"/>
    <w:rsid w:val="00A224CE"/>
    <w:rsid w:val="00A22522"/>
    <w:rsid w:val="00A2440D"/>
    <w:rsid w:val="00A24AFD"/>
    <w:rsid w:val="00A24F5C"/>
    <w:rsid w:val="00A32F96"/>
    <w:rsid w:val="00A40871"/>
    <w:rsid w:val="00A412AB"/>
    <w:rsid w:val="00A4193E"/>
    <w:rsid w:val="00A440E0"/>
    <w:rsid w:val="00A442EF"/>
    <w:rsid w:val="00A51D1A"/>
    <w:rsid w:val="00A5418D"/>
    <w:rsid w:val="00A5474E"/>
    <w:rsid w:val="00A64234"/>
    <w:rsid w:val="00A70ADF"/>
    <w:rsid w:val="00A71466"/>
    <w:rsid w:val="00A74B5E"/>
    <w:rsid w:val="00A81BED"/>
    <w:rsid w:val="00A81EC4"/>
    <w:rsid w:val="00A824E8"/>
    <w:rsid w:val="00A868AE"/>
    <w:rsid w:val="00A967FD"/>
    <w:rsid w:val="00AA2DE5"/>
    <w:rsid w:val="00AB156C"/>
    <w:rsid w:val="00AB6814"/>
    <w:rsid w:val="00AC04BA"/>
    <w:rsid w:val="00AC0E39"/>
    <w:rsid w:val="00AD3082"/>
    <w:rsid w:val="00AD32B4"/>
    <w:rsid w:val="00AD4AD0"/>
    <w:rsid w:val="00AD5436"/>
    <w:rsid w:val="00AD60CD"/>
    <w:rsid w:val="00AD6C8C"/>
    <w:rsid w:val="00AE091D"/>
    <w:rsid w:val="00AE3B60"/>
    <w:rsid w:val="00AE53A1"/>
    <w:rsid w:val="00AF2484"/>
    <w:rsid w:val="00AF63E7"/>
    <w:rsid w:val="00AF6E17"/>
    <w:rsid w:val="00B00CDB"/>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2F4A"/>
    <w:rsid w:val="00B83C27"/>
    <w:rsid w:val="00B84BC3"/>
    <w:rsid w:val="00B84BDD"/>
    <w:rsid w:val="00B92812"/>
    <w:rsid w:val="00BB45A1"/>
    <w:rsid w:val="00BB7686"/>
    <w:rsid w:val="00BC23F9"/>
    <w:rsid w:val="00BC3421"/>
    <w:rsid w:val="00BC732C"/>
    <w:rsid w:val="00BD4421"/>
    <w:rsid w:val="00BD7249"/>
    <w:rsid w:val="00BE2580"/>
    <w:rsid w:val="00BE266D"/>
    <w:rsid w:val="00BE3938"/>
    <w:rsid w:val="00BE4C11"/>
    <w:rsid w:val="00BE6805"/>
    <w:rsid w:val="00BE71C0"/>
    <w:rsid w:val="00BF610C"/>
    <w:rsid w:val="00C0060B"/>
    <w:rsid w:val="00C01A6C"/>
    <w:rsid w:val="00C0277D"/>
    <w:rsid w:val="00C030DE"/>
    <w:rsid w:val="00C053A1"/>
    <w:rsid w:val="00C16198"/>
    <w:rsid w:val="00C2083D"/>
    <w:rsid w:val="00C24A53"/>
    <w:rsid w:val="00C34A05"/>
    <w:rsid w:val="00C35CCE"/>
    <w:rsid w:val="00C4032F"/>
    <w:rsid w:val="00C44047"/>
    <w:rsid w:val="00C45155"/>
    <w:rsid w:val="00C5498F"/>
    <w:rsid w:val="00C55235"/>
    <w:rsid w:val="00C64CD0"/>
    <w:rsid w:val="00C6684F"/>
    <w:rsid w:val="00C70E70"/>
    <w:rsid w:val="00C75F8D"/>
    <w:rsid w:val="00C77380"/>
    <w:rsid w:val="00C8321C"/>
    <w:rsid w:val="00C87E8A"/>
    <w:rsid w:val="00C97736"/>
    <w:rsid w:val="00CA345A"/>
    <w:rsid w:val="00CB1E82"/>
    <w:rsid w:val="00CB3DA1"/>
    <w:rsid w:val="00CB4BA8"/>
    <w:rsid w:val="00CB52D7"/>
    <w:rsid w:val="00CC6732"/>
    <w:rsid w:val="00CE3C96"/>
    <w:rsid w:val="00CE51A8"/>
    <w:rsid w:val="00CF369B"/>
    <w:rsid w:val="00D00E28"/>
    <w:rsid w:val="00D0269E"/>
    <w:rsid w:val="00D05D6C"/>
    <w:rsid w:val="00D15810"/>
    <w:rsid w:val="00D16D4E"/>
    <w:rsid w:val="00D16FE3"/>
    <w:rsid w:val="00D27F41"/>
    <w:rsid w:val="00D36441"/>
    <w:rsid w:val="00D4064E"/>
    <w:rsid w:val="00D44E9B"/>
    <w:rsid w:val="00D45FD2"/>
    <w:rsid w:val="00D47AEB"/>
    <w:rsid w:val="00D50DB9"/>
    <w:rsid w:val="00D51302"/>
    <w:rsid w:val="00D52C43"/>
    <w:rsid w:val="00D530BA"/>
    <w:rsid w:val="00D6507F"/>
    <w:rsid w:val="00D730BC"/>
    <w:rsid w:val="00D73912"/>
    <w:rsid w:val="00D85226"/>
    <w:rsid w:val="00D87B94"/>
    <w:rsid w:val="00D92D49"/>
    <w:rsid w:val="00D92EC1"/>
    <w:rsid w:val="00D96DEA"/>
    <w:rsid w:val="00DA4E41"/>
    <w:rsid w:val="00DB117A"/>
    <w:rsid w:val="00DB5173"/>
    <w:rsid w:val="00DB7873"/>
    <w:rsid w:val="00DC187B"/>
    <w:rsid w:val="00DC7DEF"/>
    <w:rsid w:val="00DD1A43"/>
    <w:rsid w:val="00DD73C2"/>
    <w:rsid w:val="00DE319B"/>
    <w:rsid w:val="00DF34FE"/>
    <w:rsid w:val="00DF56AA"/>
    <w:rsid w:val="00DF56AF"/>
    <w:rsid w:val="00DF78E7"/>
    <w:rsid w:val="00E110E0"/>
    <w:rsid w:val="00E15371"/>
    <w:rsid w:val="00E23372"/>
    <w:rsid w:val="00E24104"/>
    <w:rsid w:val="00E302D0"/>
    <w:rsid w:val="00E35707"/>
    <w:rsid w:val="00E36AA1"/>
    <w:rsid w:val="00E41ECB"/>
    <w:rsid w:val="00E42676"/>
    <w:rsid w:val="00E54FDB"/>
    <w:rsid w:val="00E5617D"/>
    <w:rsid w:val="00E563D7"/>
    <w:rsid w:val="00E663F4"/>
    <w:rsid w:val="00E666F2"/>
    <w:rsid w:val="00E66DD4"/>
    <w:rsid w:val="00E748CC"/>
    <w:rsid w:val="00E75415"/>
    <w:rsid w:val="00E775B1"/>
    <w:rsid w:val="00E8152A"/>
    <w:rsid w:val="00E93629"/>
    <w:rsid w:val="00E93B5C"/>
    <w:rsid w:val="00E94CEC"/>
    <w:rsid w:val="00EA04EF"/>
    <w:rsid w:val="00EA6F19"/>
    <w:rsid w:val="00EB7090"/>
    <w:rsid w:val="00EC1BBE"/>
    <w:rsid w:val="00EC2B68"/>
    <w:rsid w:val="00EC3AEF"/>
    <w:rsid w:val="00EC5CD7"/>
    <w:rsid w:val="00EE5FB3"/>
    <w:rsid w:val="00EE7F79"/>
    <w:rsid w:val="00EF3C05"/>
    <w:rsid w:val="00EF715A"/>
    <w:rsid w:val="00F01BC3"/>
    <w:rsid w:val="00F06E14"/>
    <w:rsid w:val="00F179D4"/>
    <w:rsid w:val="00F33C56"/>
    <w:rsid w:val="00F347C7"/>
    <w:rsid w:val="00F34848"/>
    <w:rsid w:val="00F42D46"/>
    <w:rsid w:val="00F4496C"/>
    <w:rsid w:val="00F44F3A"/>
    <w:rsid w:val="00F45DD5"/>
    <w:rsid w:val="00F51F10"/>
    <w:rsid w:val="00F529A5"/>
    <w:rsid w:val="00F60F00"/>
    <w:rsid w:val="00F614C0"/>
    <w:rsid w:val="00F61C77"/>
    <w:rsid w:val="00F83848"/>
    <w:rsid w:val="00F975E9"/>
    <w:rsid w:val="00FA1B7D"/>
    <w:rsid w:val="00FC07B9"/>
    <w:rsid w:val="00FC4E21"/>
    <w:rsid w:val="00FC5F6D"/>
    <w:rsid w:val="00FD0107"/>
    <w:rsid w:val="00FD2C2F"/>
    <w:rsid w:val="00FD3B31"/>
    <w:rsid w:val="00FE1823"/>
    <w:rsid w:val="00FE487A"/>
    <w:rsid w:val="00FE6C0D"/>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81">
      <o:colormru v:ext="edit" colors="red,#4d4d4f"/>
    </o:shapedefaults>
    <o:shapelayout v:ext="edit">
      <o:idmap v:ext="edit" data="1"/>
    </o:shapelayout>
  </w:shapeDefaults>
  <w:decimalSymbol w:val="."/>
  <w:listSeparator w:val=","/>
  <w14:docId w14:val="0EDCAC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rsid w:val="00566AB4"/>
    <w:rPr>
      <w:rFonts w:ascii="Arial" w:hAnsi="Arial"/>
      <w:vertAlign w:val="superscript"/>
    </w:rPr>
  </w:style>
  <w:style w:type="paragraph" w:styleId="FootnoteText">
    <w:name w:val="footnote text"/>
    <w:aliases w:val="Footnote text,ACMA Footnote Text"/>
    <w:basedOn w:val="Normal"/>
    <w:link w:val="FootnoteTextChar"/>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character" w:customStyle="1" w:styleId="Heading2Char">
    <w:name w:val="Heading 2 Char"/>
    <w:basedOn w:val="DefaultParagraphFont"/>
    <w:link w:val="Heading2"/>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ListParagraph">
    <w:name w:val="List Paragraph"/>
    <w:basedOn w:val="Normal"/>
    <w:uiPriority w:val="34"/>
    <w:qFormat/>
    <w:rsid w:val="00CB3DA1"/>
    <w:pPr>
      <w:ind w:left="720" w:hanging="567"/>
      <w:contextualSpacing/>
    </w:pPr>
    <w:rPr>
      <w:sz w:val="24"/>
    </w:rPr>
  </w:style>
  <w:style w:type="paragraph" w:styleId="BalloonText">
    <w:name w:val="Balloon Text"/>
    <w:basedOn w:val="Normal"/>
    <w:link w:val="BalloonTextChar"/>
    <w:semiHidden/>
    <w:unhideWhenUsed/>
    <w:rsid w:val="00CB3DA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CB3DA1"/>
    <w:rPr>
      <w:rFonts w:ascii="Segoe UI" w:hAnsi="Segoe UI" w:cs="Segoe UI"/>
      <w:sz w:val="18"/>
      <w:szCs w:val="18"/>
    </w:rPr>
  </w:style>
  <w:style w:type="character" w:customStyle="1" w:styleId="FootnoteTextChar">
    <w:name w:val="Footnote Text Char"/>
    <w:aliases w:val="Footnote text Char,ACMA Footnote Text Char"/>
    <w:link w:val="FootnoteText"/>
    <w:rsid w:val="00CB3DA1"/>
    <w:rPr>
      <w:rFonts w:ascii="Arial" w:hAnsi="Arial"/>
      <w:sz w:val="16"/>
      <w:szCs w:val="16"/>
    </w:rPr>
  </w:style>
  <w:style w:type="paragraph" w:customStyle="1" w:styleId="ACMABodyTextnumpara2">
    <w:name w:val="ACMA Body Text num para 2"/>
    <w:basedOn w:val="Normal"/>
    <w:link w:val="ACMABodyTextnumpara2Char"/>
    <w:rsid w:val="00CB3DA1"/>
    <w:pPr>
      <w:tabs>
        <w:tab w:val="left" w:pos="1440"/>
      </w:tabs>
      <w:suppressAutoHyphens/>
      <w:spacing w:before="80" w:after="120" w:line="280" w:lineRule="atLeast"/>
      <w:ind w:left="1440" w:hanging="720"/>
    </w:pPr>
    <w:rPr>
      <w:snapToGrid w:val="0"/>
      <w:sz w:val="24"/>
      <w:szCs w:val="20"/>
      <w:lang w:eastAsia="en-US"/>
    </w:rPr>
  </w:style>
  <w:style w:type="character" w:customStyle="1" w:styleId="ACMABodyTextnumpara2Char">
    <w:name w:val="ACMA Body Text num para 2 Char"/>
    <w:basedOn w:val="DefaultParagraphFont"/>
    <w:link w:val="ACMABodyTextnumpara2"/>
    <w:rsid w:val="00CB3DA1"/>
    <w:rPr>
      <w:rFonts w:ascii="Arial" w:hAnsi="Arial"/>
      <w:snapToGrid w:val="0"/>
      <w:szCs w:val="20"/>
      <w:lang w:eastAsia="en-US"/>
    </w:rPr>
  </w:style>
  <w:style w:type="paragraph" w:customStyle="1" w:styleId="ACMABodyText">
    <w:name w:val="ACMA Body Text"/>
    <w:link w:val="ACMABodyTextChar"/>
    <w:rsid w:val="00CB3DA1"/>
    <w:pPr>
      <w:suppressAutoHyphens/>
      <w:spacing w:before="80" w:after="120" w:line="280" w:lineRule="atLeast"/>
    </w:pPr>
    <w:rPr>
      <w:rFonts w:ascii="Arial" w:hAnsi="Arial"/>
      <w:snapToGrid w:val="0"/>
      <w:szCs w:val="20"/>
      <w:lang w:eastAsia="en-US"/>
    </w:rPr>
  </w:style>
  <w:style w:type="character" w:customStyle="1" w:styleId="ACMABodyTextChar">
    <w:name w:val="ACMA Body Text Char"/>
    <w:link w:val="ACMABodyText"/>
    <w:rsid w:val="00CB3DA1"/>
    <w:rPr>
      <w:rFonts w:ascii="Arial" w:hAnsi="Arial"/>
      <w:snapToGrid w:val="0"/>
      <w:szCs w:val="20"/>
      <w:lang w:eastAsia="en-US"/>
    </w:rPr>
  </w:style>
  <w:style w:type="paragraph" w:styleId="Revision">
    <w:name w:val="Revision"/>
    <w:hidden/>
    <w:semiHidden/>
    <w:rsid w:val="00403A6A"/>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eader" Target="header8.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eader" Target="header7.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www.acma.gov.au" TargetMode="Externa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footer" Target="footer8.xml"/><Relationship Id="rId10" Type="http://schemas.openxmlformats.org/officeDocument/2006/relationships/header" Target="header2.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footer" Target="footer7.xml"/><Relationship Id="rId30"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4B004C-01D7-4354-981F-54B2964C97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1818</Words>
  <Characters>10368</Characters>
  <Application>Microsoft Office Word</Application>
  <DocSecurity>0</DocSecurity>
  <Lines>86</Lines>
  <Paragraphs>24</Paragraphs>
  <ScaleCrop>false</ScaleCrop>
  <Manager/>
  <Company/>
  <LinksUpToDate>false</LinksUpToDate>
  <CharactersWithSpaces>12162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2023-02-06T22:25:00Z</dcterms:created>
  <dcterms:modified xsi:type="dcterms:W3CDTF">2023-02-06T22:25:00Z</dcterms:modified>
  <cp:category/>
</cp:coreProperties>
</file>