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354A99" w14:textId="4180A67C" w:rsidR="00F06E14" w:rsidRPr="002F0EE6" w:rsidRDefault="00217A80" w:rsidP="00A51D1A">
      <w:pPr>
        <w:pStyle w:val="ACMAReportTitle"/>
      </w:pPr>
      <w:r w:rsidRPr="002F0EE6">
        <w:t>3.4 GHz and 3.6 GHz band spectrum licence technical framework</w:t>
      </w:r>
      <w:r w:rsidR="00265A42" w:rsidRPr="002F0EE6">
        <w:t>—</w:t>
      </w:r>
    </w:p>
    <w:p w14:paraId="407B97AA" w14:textId="7F7FC905" w:rsidR="00F06E14" w:rsidRPr="002F0EE6" w:rsidRDefault="007001F8" w:rsidP="00F06E14">
      <w:pPr>
        <w:pStyle w:val="ACMAReportSubTitle"/>
      </w:pPr>
      <w:r w:rsidRPr="002F0EE6">
        <w:t>Outcomes and</w:t>
      </w:r>
      <w:r w:rsidR="00607088" w:rsidRPr="002F0EE6">
        <w:t xml:space="preserve"> response to</w:t>
      </w:r>
      <w:r w:rsidR="00D26C78" w:rsidRPr="002F0EE6">
        <w:t xml:space="preserve"> submissions</w:t>
      </w:r>
    </w:p>
    <w:p w14:paraId="6076248E" w14:textId="7845ACE0" w:rsidR="00F06E14" w:rsidRPr="002F0EE6" w:rsidRDefault="0021199C" w:rsidP="00D47AEB">
      <w:pPr>
        <w:pStyle w:val="ACMAReportDate"/>
        <w:spacing w:after="720"/>
      </w:pPr>
      <w:r>
        <w:t>August</w:t>
      </w:r>
      <w:r w:rsidR="00217A80" w:rsidRPr="002F0EE6">
        <w:t xml:space="preserve"> 2018</w:t>
      </w:r>
    </w:p>
    <w:p w14:paraId="2F654696" w14:textId="77777777" w:rsidR="00C97736" w:rsidRPr="002F0EE6" w:rsidRDefault="00C97736" w:rsidP="0041071D">
      <w:pPr>
        <w:rPr>
          <w:rFonts w:cs="Arial"/>
        </w:rPr>
      </w:pPr>
    </w:p>
    <w:p w14:paraId="5B51AAA7" w14:textId="77777777" w:rsidR="00C97736" w:rsidRPr="002F0EE6" w:rsidRDefault="00C97736" w:rsidP="0041071D">
      <w:pPr>
        <w:rPr>
          <w:rFonts w:cs="Arial"/>
        </w:rPr>
        <w:sectPr w:rsidR="00C97736" w:rsidRPr="002F0EE6" w:rsidSect="004F556E">
          <w:headerReference w:type="even" r:id="rId8"/>
          <w:headerReference w:type="default" r:id="rId9"/>
          <w:footerReference w:type="even" r:id="rId10"/>
          <w:footerReference w:type="default" r:id="rId11"/>
          <w:headerReference w:type="first" r:id="rId12"/>
          <w:footerReference w:type="first" r:id="rId13"/>
          <w:pgSz w:w="11906" w:h="16838" w:code="9"/>
          <w:pgMar w:top="3924" w:right="1797" w:bottom="1440" w:left="1134" w:header="709" w:footer="454" w:gutter="0"/>
          <w:cols w:space="708"/>
          <w:docGrid w:linePitch="360"/>
        </w:sectPr>
      </w:pPr>
    </w:p>
    <w:p w14:paraId="670CB16A" w14:textId="77777777" w:rsidR="0005011A" w:rsidRPr="002F0EE6" w:rsidRDefault="0005011A" w:rsidP="00FC07B9">
      <w:pPr>
        <w:pStyle w:val="ACMACorporateAddressHeader"/>
      </w:pPr>
      <w:r w:rsidRPr="002F0EE6">
        <w:lastRenderedPageBreak/>
        <w:t>Canberra</w:t>
      </w:r>
    </w:p>
    <w:p w14:paraId="6CFF2D29" w14:textId="77777777" w:rsidR="0005011A" w:rsidRPr="002F0EE6" w:rsidRDefault="0005011A" w:rsidP="00FC07B9">
      <w:pPr>
        <w:pStyle w:val="ACMACorporateAddresses"/>
      </w:pPr>
      <w:r w:rsidRPr="002F0EE6">
        <w:t xml:space="preserve">Red Building </w:t>
      </w:r>
      <w:r w:rsidRPr="002F0EE6">
        <w:br/>
        <w:t>Benjamin Offices</w:t>
      </w:r>
      <w:r w:rsidRPr="002F0EE6">
        <w:br/>
        <w:t xml:space="preserve">Chan Street </w:t>
      </w:r>
      <w:r w:rsidRPr="002F0EE6">
        <w:br/>
        <w:t>Belconnen ACT</w:t>
      </w:r>
    </w:p>
    <w:p w14:paraId="14746F30" w14:textId="77777777" w:rsidR="0005011A" w:rsidRPr="002F0EE6" w:rsidRDefault="0005011A" w:rsidP="00FC07B9">
      <w:pPr>
        <w:pStyle w:val="ACMACorporateAddresses"/>
      </w:pPr>
      <w:r w:rsidRPr="002F0EE6">
        <w:t>PO Box 78</w:t>
      </w:r>
      <w:r w:rsidRPr="002F0EE6">
        <w:br/>
        <w:t>Belconnen ACT 2616</w:t>
      </w:r>
    </w:p>
    <w:p w14:paraId="51DA507D" w14:textId="77777777" w:rsidR="00FE1823" w:rsidRPr="002F0EE6" w:rsidRDefault="0005011A" w:rsidP="00FC07B9">
      <w:pPr>
        <w:pStyle w:val="ACMACorporateAddresses"/>
      </w:pPr>
      <w:r w:rsidRPr="002F0EE6">
        <w:t>T</w:t>
      </w:r>
      <w:r w:rsidR="00537604" w:rsidRPr="002F0EE6">
        <w:tab/>
      </w:r>
      <w:r w:rsidRPr="002F0EE6">
        <w:t>+61 2 6219 5555</w:t>
      </w:r>
      <w:r w:rsidRPr="002F0EE6">
        <w:br/>
        <w:t>F</w:t>
      </w:r>
      <w:r w:rsidR="00537604" w:rsidRPr="002F0EE6">
        <w:tab/>
      </w:r>
      <w:r w:rsidRPr="002F0EE6">
        <w:t>+61 2 6219 5353</w:t>
      </w:r>
    </w:p>
    <w:p w14:paraId="3F4EB343" w14:textId="77777777" w:rsidR="0005011A" w:rsidRPr="002F0EE6" w:rsidRDefault="0005011A" w:rsidP="00FC07B9">
      <w:pPr>
        <w:pStyle w:val="ACMACorporateAddressHeader"/>
      </w:pPr>
      <w:r w:rsidRPr="002F0EE6">
        <w:t>Melbourne</w:t>
      </w:r>
    </w:p>
    <w:p w14:paraId="493FE1BD" w14:textId="77777777" w:rsidR="0005011A" w:rsidRPr="002F0EE6" w:rsidRDefault="0005011A" w:rsidP="00FC07B9">
      <w:pPr>
        <w:pStyle w:val="ACMACorporateAddresses"/>
      </w:pPr>
      <w:r w:rsidRPr="002F0EE6">
        <w:t xml:space="preserve">Level 32 </w:t>
      </w:r>
      <w:r w:rsidRPr="002F0EE6">
        <w:br/>
        <w:t>Melbourne Central Tower</w:t>
      </w:r>
      <w:r w:rsidRPr="002F0EE6">
        <w:br/>
        <w:t xml:space="preserve">360 Elizabeth Street </w:t>
      </w:r>
      <w:r w:rsidR="008C10F4" w:rsidRPr="002F0EE6">
        <w:br/>
      </w:r>
      <w:r w:rsidRPr="002F0EE6">
        <w:t>Melbourne VIC</w:t>
      </w:r>
    </w:p>
    <w:p w14:paraId="32C3E5AE" w14:textId="77777777" w:rsidR="0005011A" w:rsidRPr="002F0EE6" w:rsidRDefault="0005011A" w:rsidP="00FC07B9">
      <w:pPr>
        <w:pStyle w:val="ACMACorporateAddresses"/>
      </w:pPr>
      <w:r w:rsidRPr="002F0EE6">
        <w:t>PO Box 13112</w:t>
      </w:r>
      <w:r w:rsidRPr="002F0EE6">
        <w:br/>
        <w:t xml:space="preserve">Law Courts </w:t>
      </w:r>
      <w:r w:rsidRPr="002F0EE6">
        <w:br/>
        <w:t>Melbourne VIC 8010</w:t>
      </w:r>
    </w:p>
    <w:p w14:paraId="204F0BC5" w14:textId="77777777" w:rsidR="0005011A" w:rsidRPr="002F0EE6" w:rsidRDefault="0005011A" w:rsidP="00FC07B9">
      <w:pPr>
        <w:pStyle w:val="ACMACorporateAddresses"/>
      </w:pPr>
      <w:r w:rsidRPr="002F0EE6">
        <w:t>T</w:t>
      </w:r>
      <w:r w:rsidR="00140318" w:rsidRPr="002F0EE6">
        <w:tab/>
      </w:r>
      <w:r w:rsidRPr="002F0EE6">
        <w:t>+61 3 9963 6800</w:t>
      </w:r>
      <w:r w:rsidRPr="002F0EE6">
        <w:br/>
        <w:t>F</w:t>
      </w:r>
      <w:r w:rsidR="00140318" w:rsidRPr="002F0EE6">
        <w:tab/>
      </w:r>
      <w:r w:rsidRPr="002F0EE6">
        <w:t>+61 3 9963 6899</w:t>
      </w:r>
    </w:p>
    <w:p w14:paraId="138349F4" w14:textId="77777777" w:rsidR="0005011A" w:rsidRPr="002F0EE6" w:rsidRDefault="0005011A" w:rsidP="00FC07B9">
      <w:pPr>
        <w:pStyle w:val="ACMACorporateAddressHeader"/>
      </w:pPr>
      <w:r w:rsidRPr="002F0EE6">
        <w:t>Sydney</w:t>
      </w:r>
    </w:p>
    <w:p w14:paraId="2EB8D0C3" w14:textId="77777777" w:rsidR="0005011A" w:rsidRPr="002F0EE6" w:rsidRDefault="0005011A" w:rsidP="00FC07B9">
      <w:pPr>
        <w:pStyle w:val="ACMACorporateAddresses"/>
      </w:pPr>
      <w:r w:rsidRPr="002F0EE6">
        <w:t xml:space="preserve">Level 5 </w:t>
      </w:r>
      <w:r w:rsidRPr="002F0EE6">
        <w:br/>
        <w:t>The Bay Centre</w:t>
      </w:r>
      <w:r w:rsidRPr="002F0EE6">
        <w:br/>
        <w:t xml:space="preserve">65 Pirrama Road </w:t>
      </w:r>
      <w:r w:rsidRPr="002F0EE6">
        <w:br/>
        <w:t>Pyrmont NSW</w:t>
      </w:r>
    </w:p>
    <w:p w14:paraId="032D8862" w14:textId="77777777" w:rsidR="0005011A" w:rsidRPr="002F0EE6" w:rsidRDefault="0005011A" w:rsidP="00FC07B9">
      <w:pPr>
        <w:pStyle w:val="ACMACorporateAddresses"/>
      </w:pPr>
      <w:r w:rsidRPr="002F0EE6">
        <w:t>PO Box Q500</w:t>
      </w:r>
      <w:r w:rsidRPr="002F0EE6">
        <w:br/>
        <w:t xml:space="preserve">Queen Victoria Building </w:t>
      </w:r>
      <w:r w:rsidRPr="002F0EE6">
        <w:br/>
        <w:t>NSW 1230</w:t>
      </w:r>
    </w:p>
    <w:p w14:paraId="04D5CC48" w14:textId="77777777" w:rsidR="0005011A" w:rsidRPr="002F0EE6" w:rsidRDefault="0005011A" w:rsidP="00FC07B9">
      <w:pPr>
        <w:pStyle w:val="ACMACorporateAddresses"/>
      </w:pPr>
      <w:r w:rsidRPr="002F0EE6">
        <w:t>T</w:t>
      </w:r>
      <w:r w:rsidR="00140318" w:rsidRPr="002F0EE6">
        <w:tab/>
      </w:r>
      <w:r w:rsidRPr="002F0EE6">
        <w:t>+61 2 9334 7700</w:t>
      </w:r>
      <w:r w:rsidR="00140318" w:rsidRPr="002F0EE6">
        <w:t xml:space="preserve"> or</w:t>
      </w:r>
      <w:r w:rsidRPr="002F0EE6">
        <w:t xml:space="preserve"> 1800 226 667</w:t>
      </w:r>
      <w:r w:rsidRPr="002F0EE6">
        <w:br/>
        <w:t>F</w:t>
      </w:r>
      <w:r w:rsidR="00140318" w:rsidRPr="002F0EE6">
        <w:tab/>
      </w:r>
      <w:r w:rsidRPr="002F0EE6">
        <w:t>+61 2 9334 7799</w:t>
      </w:r>
    </w:p>
    <w:p w14:paraId="190A8DE0" w14:textId="77777777" w:rsidR="00140318" w:rsidRPr="002F0EE6" w:rsidRDefault="00140318" w:rsidP="00FC07B9">
      <w:pPr>
        <w:pStyle w:val="ACMACopyrightHeader"/>
      </w:pPr>
      <w:r w:rsidRPr="002F0EE6">
        <w:t>Copyright notice</w:t>
      </w:r>
    </w:p>
    <w:p w14:paraId="44F178D2" w14:textId="77777777" w:rsidR="00140318" w:rsidRPr="002F0EE6" w:rsidRDefault="00623FF9" w:rsidP="00623FF9">
      <w:pPr>
        <w:pStyle w:val="ACMACClogo"/>
      </w:pPr>
      <w:r w:rsidRPr="002F0EE6">
        <w:rPr>
          <w:noProof/>
        </w:rPr>
        <w:drawing>
          <wp:inline distT="0" distB="0" distL="0" distR="0" wp14:anchorId="37CB5A2D" wp14:editId="0F4F45D8">
            <wp:extent cx="838200" cy="295275"/>
            <wp:effectExtent l="0" t="0" r="0" b="0"/>
            <wp:docPr id="1" name="Picture 1" title="Creative Commons logo">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4"/>
                    </pic:cNvPr>
                    <pic:cNvPicPr>
                      <a:picLocks noChangeAspect="1" noChangeArrowheads="1"/>
                    </pic:cNvPicPr>
                  </pic:nvPicPr>
                  <pic:blipFill>
                    <a:blip r:embed="rId15" cstate="print"/>
                    <a:srcRect/>
                    <a:stretch>
                      <a:fillRect/>
                    </a:stretch>
                  </pic:blipFill>
                  <pic:spPr bwMode="auto">
                    <a:xfrm>
                      <a:off x="0" y="0"/>
                      <a:ext cx="838200" cy="295275"/>
                    </a:xfrm>
                    <a:prstGeom prst="rect">
                      <a:avLst/>
                    </a:prstGeom>
                    <a:noFill/>
                  </pic:spPr>
                </pic:pic>
              </a:graphicData>
            </a:graphic>
          </wp:inline>
        </w:drawing>
      </w:r>
    </w:p>
    <w:p w14:paraId="376F4AB3" w14:textId="77777777" w:rsidR="004D60F0" w:rsidRDefault="00856300" w:rsidP="004D60F0">
      <w:pPr>
        <w:pStyle w:val="ACMACorporateAddresses"/>
        <w:rPr>
          <w:rStyle w:val="Hyperlink"/>
        </w:rPr>
      </w:pPr>
      <w:hyperlink r:id="rId16" w:history="1">
        <w:r w:rsidR="004D60F0">
          <w:rPr>
            <w:rStyle w:val="Hyperlink"/>
          </w:rPr>
          <w:t>https://creativecommons.org/licenses/by/4.0//</w:t>
        </w:r>
      </w:hyperlink>
    </w:p>
    <w:p w14:paraId="43919503" w14:textId="77777777" w:rsidR="004D60F0" w:rsidRDefault="004D60F0" w:rsidP="004D60F0">
      <w:pPr>
        <w:pStyle w:val="ACMACorporateAddresses"/>
      </w:pPr>
      <w:r>
        <w:t xml:space="preserve">With the exception of coats of arms, logos, emblems, images, other third-party material or devices protected by a trademark, this content is made available under the terms of the Creative Commons Attribution 4.0 International (CC BY 4.0) licence. </w:t>
      </w:r>
    </w:p>
    <w:p w14:paraId="430E61B7" w14:textId="77777777" w:rsidR="004D60F0" w:rsidRDefault="004D60F0" w:rsidP="004D60F0">
      <w:pPr>
        <w:pStyle w:val="ACMACorporateAddresses"/>
      </w:pPr>
      <w:r>
        <w:t>We request attribution as © Commonwealth of Australia (Australian Communications and Media Authority) 2018.</w:t>
      </w:r>
    </w:p>
    <w:p w14:paraId="27B8A030" w14:textId="77777777" w:rsidR="00140318" w:rsidRPr="002F0EE6" w:rsidRDefault="00140318" w:rsidP="00FC07B9">
      <w:pPr>
        <w:pStyle w:val="ACMACorporateAddresses"/>
      </w:pPr>
      <w:r w:rsidRPr="002F0EE6">
        <w:t>All other rights are reserved.</w:t>
      </w:r>
    </w:p>
    <w:p w14:paraId="70E6176B" w14:textId="77777777" w:rsidR="00140318" w:rsidRPr="002F0EE6" w:rsidRDefault="00140318" w:rsidP="00FC07B9">
      <w:pPr>
        <w:pStyle w:val="ACMACorporateAddresses"/>
      </w:pPr>
      <w:r w:rsidRPr="002F0EE6">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461D56BC" w14:textId="77777777" w:rsidR="00140318" w:rsidRPr="002F0EE6" w:rsidRDefault="00140318" w:rsidP="00FC07B9">
      <w:pPr>
        <w:pStyle w:val="ACMACorporateAddresses"/>
      </w:pPr>
      <w:r w:rsidRPr="002F0EE6">
        <w:t>Written enquiries may be sent to:</w:t>
      </w:r>
    </w:p>
    <w:p w14:paraId="6E9555AB" w14:textId="77777777" w:rsidR="00D16FE3" w:rsidRPr="002F0EE6" w:rsidRDefault="00140318" w:rsidP="00D16FE3">
      <w:pPr>
        <w:pStyle w:val="ACMACorporateAddresses"/>
        <w:rPr>
          <w:rStyle w:val="Hyperlink"/>
        </w:rPr>
      </w:pPr>
      <w:r w:rsidRPr="002F0EE6">
        <w:t>Manager, Editorial and Design</w:t>
      </w:r>
      <w:r w:rsidR="00623FF9" w:rsidRPr="002F0EE6">
        <w:br/>
      </w:r>
      <w:r w:rsidRPr="002F0EE6">
        <w:t>PO Box 13112</w:t>
      </w:r>
      <w:r w:rsidR="00623FF9" w:rsidRPr="002F0EE6">
        <w:br/>
      </w:r>
      <w:r w:rsidRPr="002F0EE6">
        <w:t>Law Courts</w:t>
      </w:r>
      <w:r w:rsidR="00623FF9" w:rsidRPr="002F0EE6">
        <w:br/>
      </w:r>
      <w:r w:rsidRPr="002F0EE6">
        <w:t>Melbourne VIC 8010</w:t>
      </w:r>
      <w:r w:rsidR="00623FF9" w:rsidRPr="002F0EE6">
        <w:br/>
      </w:r>
      <w:r w:rsidRPr="002F0EE6">
        <w:t>Tel: 03 9963 6968</w:t>
      </w:r>
      <w:r w:rsidR="00623FF9" w:rsidRPr="002F0EE6">
        <w:br/>
      </w:r>
      <w:r w:rsidRPr="002F0EE6">
        <w:t xml:space="preserve">Email: </w:t>
      </w:r>
      <w:hyperlink r:id="rId17" w:history="1">
        <w:r w:rsidRPr="002F0EE6">
          <w:rPr>
            <w:rStyle w:val="Hyperlink"/>
          </w:rPr>
          <w:t>candinfo@acma.gov.au</w:t>
        </w:r>
      </w:hyperlink>
    </w:p>
    <w:p w14:paraId="7204661F" w14:textId="77777777" w:rsidR="00D16FE3" w:rsidRPr="002F0EE6" w:rsidRDefault="00D16FE3" w:rsidP="00D16FE3">
      <w:pPr>
        <w:pStyle w:val="ACMACorporateAddresses"/>
        <w:rPr>
          <w:rStyle w:val="Hyperlink"/>
        </w:rPr>
      </w:pPr>
    </w:p>
    <w:p w14:paraId="2DCEADC5" w14:textId="77777777" w:rsidR="00D16FE3" w:rsidRPr="002F0EE6" w:rsidRDefault="00D16FE3" w:rsidP="00D16FE3">
      <w:pPr>
        <w:pStyle w:val="ACMACorporateAddresses"/>
        <w:sectPr w:rsidR="00D16FE3" w:rsidRPr="002F0EE6">
          <w:headerReference w:type="even" r:id="rId18"/>
          <w:headerReference w:type="default" r:id="rId19"/>
          <w:footerReference w:type="even" r:id="rId20"/>
          <w:footerReference w:type="default" r:id="rId21"/>
          <w:pgSz w:w="11906" w:h="16838" w:code="9"/>
          <w:pgMar w:top="3924" w:right="1797" w:bottom="697" w:left="1134" w:header="709" w:footer="119" w:gutter="0"/>
          <w:cols w:space="708"/>
          <w:docGrid w:linePitch="360"/>
        </w:sectPr>
      </w:pPr>
    </w:p>
    <w:p w14:paraId="56A352D6" w14:textId="03222B12" w:rsidR="00342E21" w:rsidRDefault="00342E21" w:rsidP="00342E21">
      <w:pPr>
        <w:pStyle w:val="TOC1"/>
        <w:tabs>
          <w:tab w:val="left" w:pos="0"/>
        </w:tabs>
        <w:rPr>
          <w:rFonts w:asciiTheme="minorHAnsi" w:eastAsiaTheme="minorEastAsia" w:hAnsiTheme="minorHAnsi" w:cstheme="minorBidi"/>
          <w:b w:val="0"/>
          <w:spacing w:val="0"/>
          <w:sz w:val="22"/>
          <w:szCs w:val="22"/>
        </w:rPr>
      </w:pPr>
      <w:r>
        <w:rPr>
          <w:rFonts w:cs="Arial"/>
          <w:b w:val="0"/>
        </w:rPr>
        <w:lastRenderedPageBreak/>
        <w:fldChar w:fldCharType="begin"/>
      </w:r>
      <w:r>
        <w:rPr>
          <w:rFonts w:cs="Arial"/>
          <w:b w:val="0"/>
        </w:rPr>
        <w:instrText xml:space="preserve"> TOC \o "1-2" \h \z \t "ACMA_ExecSummaryHeading,1" </w:instrText>
      </w:r>
      <w:r>
        <w:rPr>
          <w:rFonts w:cs="Arial"/>
          <w:b w:val="0"/>
        </w:rPr>
        <w:fldChar w:fldCharType="separate"/>
      </w:r>
      <w:hyperlink w:anchor="_Toc520719213" w:history="1">
        <w:r w:rsidRPr="00051F15">
          <w:rPr>
            <w:rStyle w:val="Hyperlink"/>
          </w:rPr>
          <w:t>1.</w:t>
        </w:r>
        <w:r>
          <w:rPr>
            <w:rFonts w:asciiTheme="minorHAnsi" w:eastAsiaTheme="minorEastAsia" w:hAnsiTheme="minorHAnsi" w:cstheme="minorBidi"/>
            <w:b w:val="0"/>
            <w:spacing w:val="0"/>
            <w:sz w:val="22"/>
            <w:szCs w:val="22"/>
          </w:rPr>
          <w:t xml:space="preserve"> </w:t>
        </w:r>
        <w:r w:rsidRPr="00051F15">
          <w:rPr>
            <w:rStyle w:val="Hyperlink"/>
          </w:rPr>
          <w:t>Introduction</w:t>
        </w:r>
        <w:r>
          <w:rPr>
            <w:webHidden/>
          </w:rPr>
          <w:tab/>
        </w:r>
        <w:r>
          <w:rPr>
            <w:webHidden/>
          </w:rPr>
          <w:fldChar w:fldCharType="begin"/>
        </w:r>
        <w:r>
          <w:rPr>
            <w:webHidden/>
          </w:rPr>
          <w:instrText xml:space="preserve"> PAGEREF _Toc520719213 \h </w:instrText>
        </w:r>
        <w:r>
          <w:rPr>
            <w:webHidden/>
          </w:rPr>
        </w:r>
        <w:r>
          <w:rPr>
            <w:webHidden/>
          </w:rPr>
          <w:fldChar w:fldCharType="separate"/>
        </w:r>
        <w:r w:rsidR="00856300">
          <w:rPr>
            <w:webHidden/>
          </w:rPr>
          <w:t>1</w:t>
        </w:r>
        <w:r>
          <w:rPr>
            <w:webHidden/>
          </w:rPr>
          <w:fldChar w:fldCharType="end"/>
        </w:r>
      </w:hyperlink>
    </w:p>
    <w:p w14:paraId="52ADAFD0" w14:textId="43360E49" w:rsidR="00342E21" w:rsidRDefault="00856300" w:rsidP="00342E21">
      <w:pPr>
        <w:pStyle w:val="TOC1"/>
        <w:tabs>
          <w:tab w:val="left" w:pos="0"/>
        </w:tabs>
        <w:rPr>
          <w:rFonts w:asciiTheme="minorHAnsi" w:eastAsiaTheme="minorEastAsia" w:hAnsiTheme="minorHAnsi" w:cstheme="minorBidi"/>
          <w:b w:val="0"/>
          <w:spacing w:val="0"/>
          <w:sz w:val="22"/>
          <w:szCs w:val="22"/>
        </w:rPr>
      </w:pPr>
      <w:hyperlink w:anchor="_Toc520719214" w:history="1">
        <w:r w:rsidR="00342E21" w:rsidRPr="00051F15">
          <w:rPr>
            <w:rStyle w:val="Hyperlink"/>
          </w:rPr>
          <w:t>2.</w:t>
        </w:r>
        <w:r w:rsidR="00342E21">
          <w:rPr>
            <w:rFonts w:asciiTheme="minorHAnsi" w:eastAsiaTheme="minorEastAsia" w:hAnsiTheme="minorHAnsi" w:cstheme="minorBidi"/>
            <w:b w:val="0"/>
            <w:spacing w:val="0"/>
            <w:sz w:val="22"/>
            <w:szCs w:val="22"/>
          </w:rPr>
          <w:t xml:space="preserve"> </w:t>
        </w:r>
        <w:r w:rsidR="00342E21" w:rsidRPr="00051F15">
          <w:rPr>
            <w:rStyle w:val="Hyperlink"/>
          </w:rPr>
          <w:t>Consultation outcomes</w:t>
        </w:r>
        <w:r w:rsidR="00342E21">
          <w:rPr>
            <w:webHidden/>
          </w:rPr>
          <w:tab/>
        </w:r>
        <w:r w:rsidR="00342E21">
          <w:rPr>
            <w:webHidden/>
          </w:rPr>
          <w:fldChar w:fldCharType="begin"/>
        </w:r>
        <w:r w:rsidR="00342E21">
          <w:rPr>
            <w:webHidden/>
          </w:rPr>
          <w:instrText xml:space="preserve"> PAGEREF _Toc520719214 \h </w:instrText>
        </w:r>
        <w:r w:rsidR="00342E21">
          <w:rPr>
            <w:webHidden/>
          </w:rPr>
        </w:r>
        <w:r w:rsidR="00342E21">
          <w:rPr>
            <w:webHidden/>
          </w:rPr>
          <w:fldChar w:fldCharType="separate"/>
        </w:r>
        <w:r>
          <w:rPr>
            <w:webHidden/>
          </w:rPr>
          <w:t>2</w:t>
        </w:r>
        <w:r w:rsidR="00342E21">
          <w:rPr>
            <w:webHidden/>
          </w:rPr>
          <w:fldChar w:fldCharType="end"/>
        </w:r>
      </w:hyperlink>
    </w:p>
    <w:p w14:paraId="6C3E90C2" w14:textId="5671C3F5" w:rsidR="00342E21" w:rsidRDefault="00856300">
      <w:pPr>
        <w:pStyle w:val="TOC2"/>
        <w:rPr>
          <w:rFonts w:asciiTheme="minorHAnsi" w:eastAsiaTheme="minorEastAsia" w:hAnsiTheme="minorHAnsi" w:cstheme="minorBidi"/>
          <w:spacing w:val="0"/>
          <w:sz w:val="22"/>
          <w:szCs w:val="22"/>
        </w:rPr>
      </w:pPr>
      <w:hyperlink w:anchor="_Toc520719215" w:history="1">
        <w:r w:rsidR="00342E21" w:rsidRPr="00051F15">
          <w:rPr>
            <w:rStyle w:val="Hyperlink"/>
          </w:rPr>
          <w:t>Ministerial direction</w:t>
        </w:r>
        <w:r w:rsidR="00342E21">
          <w:rPr>
            <w:webHidden/>
          </w:rPr>
          <w:tab/>
        </w:r>
        <w:r w:rsidR="00342E21">
          <w:rPr>
            <w:webHidden/>
          </w:rPr>
          <w:fldChar w:fldCharType="begin"/>
        </w:r>
        <w:r w:rsidR="00342E21">
          <w:rPr>
            <w:webHidden/>
          </w:rPr>
          <w:instrText xml:space="preserve"> PAGEREF _Toc520719215 \h </w:instrText>
        </w:r>
        <w:r w:rsidR="00342E21">
          <w:rPr>
            <w:webHidden/>
          </w:rPr>
        </w:r>
        <w:r w:rsidR="00342E21">
          <w:rPr>
            <w:webHidden/>
          </w:rPr>
          <w:fldChar w:fldCharType="separate"/>
        </w:r>
        <w:r>
          <w:rPr>
            <w:webHidden/>
          </w:rPr>
          <w:t>3</w:t>
        </w:r>
        <w:r w:rsidR="00342E21">
          <w:rPr>
            <w:webHidden/>
          </w:rPr>
          <w:fldChar w:fldCharType="end"/>
        </w:r>
      </w:hyperlink>
    </w:p>
    <w:p w14:paraId="37444648" w14:textId="46CA9818" w:rsidR="00342E21" w:rsidRDefault="00856300">
      <w:pPr>
        <w:pStyle w:val="TOC2"/>
        <w:rPr>
          <w:rFonts w:asciiTheme="minorHAnsi" w:eastAsiaTheme="minorEastAsia" w:hAnsiTheme="minorHAnsi" w:cstheme="minorBidi"/>
          <w:spacing w:val="0"/>
          <w:sz w:val="22"/>
          <w:szCs w:val="22"/>
        </w:rPr>
      </w:pPr>
      <w:hyperlink w:anchor="_Toc520719216" w:history="1">
        <w:r w:rsidR="00342E21" w:rsidRPr="00051F15">
          <w:rPr>
            <w:rStyle w:val="Hyperlink"/>
          </w:rPr>
          <w:t>Technical framework</w:t>
        </w:r>
        <w:r w:rsidR="00342E21">
          <w:rPr>
            <w:webHidden/>
          </w:rPr>
          <w:tab/>
        </w:r>
        <w:r w:rsidR="00342E21">
          <w:rPr>
            <w:webHidden/>
          </w:rPr>
          <w:fldChar w:fldCharType="begin"/>
        </w:r>
        <w:r w:rsidR="00342E21">
          <w:rPr>
            <w:webHidden/>
          </w:rPr>
          <w:instrText xml:space="preserve"> PAGEREF _Toc520719216 \h </w:instrText>
        </w:r>
        <w:r w:rsidR="00342E21">
          <w:rPr>
            <w:webHidden/>
          </w:rPr>
        </w:r>
        <w:r w:rsidR="00342E21">
          <w:rPr>
            <w:webHidden/>
          </w:rPr>
          <w:fldChar w:fldCharType="separate"/>
        </w:r>
        <w:r>
          <w:rPr>
            <w:webHidden/>
          </w:rPr>
          <w:t>3</w:t>
        </w:r>
        <w:r w:rsidR="00342E21">
          <w:rPr>
            <w:webHidden/>
          </w:rPr>
          <w:fldChar w:fldCharType="end"/>
        </w:r>
      </w:hyperlink>
    </w:p>
    <w:p w14:paraId="51490FE6" w14:textId="2C5ECD69" w:rsidR="00342E21" w:rsidRDefault="00856300">
      <w:pPr>
        <w:pStyle w:val="TOC2"/>
        <w:rPr>
          <w:rFonts w:asciiTheme="minorHAnsi" w:eastAsiaTheme="minorEastAsia" w:hAnsiTheme="minorHAnsi" w:cstheme="minorBidi"/>
          <w:spacing w:val="0"/>
          <w:sz w:val="22"/>
          <w:szCs w:val="22"/>
        </w:rPr>
      </w:pPr>
      <w:hyperlink w:anchor="_Toc520719217" w:history="1">
        <w:r w:rsidR="00342E21" w:rsidRPr="00051F15">
          <w:rPr>
            <w:rStyle w:val="Hyperlink"/>
          </w:rPr>
          <w:t>RALI consultation</w:t>
        </w:r>
        <w:r w:rsidR="00342E21">
          <w:rPr>
            <w:webHidden/>
          </w:rPr>
          <w:tab/>
        </w:r>
        <w:r w:rsidR="00342E21">
          <w:rPr>
            <w:webHidden/>
          </w:rPr>
          <w:fldChar w:fldCharType="begin"/>
        </w:r>
        <w:r w:rsidR="00342E21">
          <w:rPr>
            <w:webHidden/>
          </w:rPr>
          <w:instrText xml:space="preserve"> PAGEREF _Toc520719217 \h </w:instrText>
        </w:r>
        <w:r w:rsidR="00342E21">
          <w:rPr>
            <w:webHidden/>
          </w:rPr>
        </w:r>
        <w:r w:rsidR="00342E21">
          <w:rPr>
            <w:webHidden/>
          </w:rPr>
          <w:fldChar w:fldCharType="separate"/>
        </w:r>
        <w:r>
          <w:rPr>
            <w:webHidden/>
          </w:rPr>
          <w:t>4</w:t>
        </w:r>
        <w:r w:rsidR="00342E21">
          <w:rPr>
            <w:webHidden/>
          </w:rPr>
          <w:fldChar w:fldCharType="end"/>
        </w:r>
      </w:hyperlink>
    </w:p>
    <w:p w14:paraId="7AF3B8ED" w14:textId="4463A3F2" w:rsidR="00342E21" w:rsidRDefault="00856300">
      <w:pPr>
        <w:pStyle w:val="TOC2"/>
        <w:rPr>
          <w:rFonts w:asciiTheme="minorHAnsi" w:eastAsiaTheme="minorEastAsia" w:hAnsiTheme="minorHAnsi" w:cstheme="minorBidi"/>
          <w:spacing w:val="0"/>
          <w:sz w:val="22"/>
          <w:szCs w:val="22"/>
        </w:rPr>
      </w:pPr>
      <w:hyperlink w:anchor="_Toc520719218" w:history="1">
        <w:r w:rsidR="00342E21" w:rsidRPr="00051F15">
          <w:rPr>
            <w:rStyle w:val="Hyperlink"/>
          </w:rPr>
          <w:t>Trading determination</w:t>
        </w:r>
        <w:r w:rsidR="00342E21">
          <w:rPr>
            <w:webHidden/>
          </w:rPr>
          <w:tab/>
        </w:r>
        <w:r w:rsidR="00342E21">
          <w:rPr>
            <w:webHidden/>
          </w:rPr>
          <w:fldChar w:fldCharType="begin"/>
        </w:r>
        <w:r w:rsidR="00342E21">
          <w:rPr>
            <w:webHidden/>
          </w:rPr>
          <w:instrText xml:space="preserve"> PAGEREF _Toc520719218 \h </w:instrText>
        </w:r>
        <w:r w:rsidR="00342E21">
          <w:rPr>
            <w:webHidden/>
          </w:rPr>
        </w:r>
        <w:r w:rsidR="00342E21">
          <w:rPr>
            <w:webHidden/>
          </w:rPr>
          <w:fldChar w:fldCharType="separate"/>
        </w:r>
        <w:r>
          <w:rPr>
            <w:webHidden/>
          </w:rPr>
          <w:t>4</w:t>
        </w:r>
        <w:r w:rsidR="00342E21">
          <w:rPr>
            <w:webHidden/>
          </w:rPr>
          <w:fldChar w:fldCharType="end"/>
        </w:r>
      </w:hyperlink>
    </w:p>
    <w:p w14:paraId="730A5C26" w14:textId="14C3AD01" w:rsidR="00342E21" w:rsidRDefault="00856300" w:rsidP="00342E21">
      <w:pPr>
        <w:pStyle w:val="TOC1"/>
        <w:tabs>
          <w:tab w:val="left" w:pos="0"/>
        </w:tabs>
        <w:rPr>
          <w:rFonts w:asciiTheme="minorHAnsi" w:eastAsiaTheme="minorEastAsia" w:hAnsiTheme="minorHAnsi" w:cstheme="minorBidi"/>
          <w:b w:val="0"/>
          <w:spacing w:val="0"/>
          <w:sz w:val="22"/>
          <w:szCs w:val="22"/>
        </w:rPr>
      </w:pPr>
      <w:hyperlink w:anchor="_Toc520719219" w:history="1">
        <w:r w:rsidR="00342E21" w:rsidRPr="00051F15">
          <w:rPr>
            <w:rStyle w:val="Hyperlink"/>
          </w:rPr>
          <w:t>3.</w:t>
        </w:r>
        <w:r w:rsidR="00342E21">
          <w:rPr>
            <w:rFonts w:asciiTheme="minorHAnsi" w:eastAsiaTheme="minorEastAsia" w:hAnsiTheme="minorHAnsi" w:cstheme="minorBidi"/>
            <w:b w:val="0"/>
            <w:spacing w:val="0"/>
            <w:sz w:val="22"/>
            <w:szCs w:val="22"/>
          </w:rPr>
          <w:t xml:space="preserve"> </w:t>
        </w:r>
        <w:r w:rsidR="00342E21" w:rsidRPr="00051F15">
          <w:rPr>
            <w:rStyle w:val="Hyperlink"/>
          </w:rPr>
          <w:t>Summar</w:t>
        </w:r>
        <w:bookmarkStart w:id="0" w:name="_GoBack"/>
        <w:bookmarkEnd w:id="0"/>
        <w:r w:rsidR="00342E21" w:rsidRPr="00051F15">
          <w:rPr>
            <w:rStyle w:val="Hyperlink"/>
          </w:rPr>
          <w:t>y of and response to submissions</w:t>
        </w:r>
        <w:r w:rsidR="00342E21">
          <w:rPr>
            <w:webHidden/>
          </w:rPr>
          <w:tab/>
        </w:r>
        <w:r w:rsidR="00342E21">
          <w:rPr>
            <w:webHidden/>
          </w:rPr>
          <w:fldChar w:fldCharType="begin"/>
        </w:r>
        <w:r w:rsidR="00342E21">
          <w:rPr>
            <w:webHidden/>
          </w:rPr>
          <w:instrText xml:space="preserve"> PAGEREF _Toc520719219 \h </w:instrText>
        </w:r>
        <w:r w:rsidR="00342E21">
          <w:rPr>
            <w:webHidden/>
          </w:rPr>
        </w:r>
        <w:r w:rsidR="00342E21">
          <w:rPr>
            <w:webHidden/>
          </w:rPr>
          <w:fldChar w:fldCharType="separate"/>
        </w:r>
        <w:r>
          <w:rPr>
            <w:webHidden/>
          </w:rPr>
          <w:t>5</w:t>
        </w:r>
        <w:r w:rsidR="00342E21">
          <w:rPr>
            <w:webHidden/>
          </w:rPr>
          <w:fldChar w:fldCharType="end"/>
        </w:r>
      </w:hyperlink>
    </w:p>
    <w:p w14:paraId="6F7E07FA" w14:textId="0294CCB0" w:rsidR="00342E21" w:rsidRDefault="00856300">
      <w:pPr>
        <w:pStyle w:val="TOC2"/>
        <w:rPr>
          <w:rFonts w:asciiTheme="minorHAnsi" w:eastAsiaTheme="minorEastAsia" w:hAnsiTheme="minorHAnsi" w:cstheme="minorBidi"/>
          <w:spacing w:val="0"/>
          <w:sz w:val="22"/>
          <w:szCs w:val="22"/>
        </w:rPr>
      </w:pPr>
      <w:hyperlink w:anchor="_Toc520719220" w:history="1">
        <w:r w:rsidR="00342E21" w:rsidRPr="00051F15">
          <w:rPr>
            <w:rStyle w:val="Hyperlink"/>
          </w:rPr>
          <w:t>Summary of submissions and ACMA response</w:t>
        </w:r>
        <w:r w:rsidR="00342E21">
          <w:rPr>
            <w:webHidden/>
          </w:rPr>
          <w:tab/>
        </w:r>
        <w:r w:rsidR="00342E21">
          <w:rPr>
            <w:webHidden/>
          </w:rPr>
          <w:fldChar w:fldCharType="begin"/>
        </w:r>
        <w:r w:rsidR="00342E21">
          <w:rPr>
            <w:webHidden/>
          </w:rPr>
          <w:instrText xml:space="preserve"> PAGEREF _Toc520719220 \h </w:instrText>
        </w:r>
        <w:r w:rsidR="00342E21">
          <w:rPr>
            <w:webHidden/>
          </w:rPr>
        </w:r>
        <w:r w:rsidR="00342E21">
          <w:rPr>
            <w:webHidden/>
          </w:rPr>
          <w:fldChar w:fldCharType="separate"/>
        </w:r>
        <w:r>
          <w:rPr>
            <w:webHidden/>
          </w:rPr>
          <w:t>5</w:t>
        </w:r>
        <w:r w:rsidR="00342E21">
          <w:rPr>
            <w:webHidden/>
          </w:rPr>
          <w:fldChar w:fldCharType="end"/>
        </w:r>
      </w:hyperlink>
    </w:p>
    <w:p w14:paraId="5104EA7F" w14:textId="4EF349B0" w:rsidR="00342E21" w:rsidRDefault="00856300">
      <w:pPr>
        <w:pStyle w:val="TOC1"/>
        <w:rPr>
          <w:rFonts w:asciiTheme="minorHAnsi" w:eastAsiaTheme="minorEastAsia" w:hAnsiTheme="minorHAnsi" w:cstheme="minorBidi"/>
          <w:b w:val="0"/>
          <w:spacing w:val="0"/>
          <w:sz w:val="22"/>
          <w:szCs w:val="22"/>
        </w:rPr>
      </w:pPr>
      <w:hyperlink w:anchor="_Toc520719221" w:history="1">
        <w:r w:rsidR="00342E21" w:rsidRPr="00051F15">
          <w:rPr>
            <w:rStyle w:val="Hyperlink"/>
          </w:rPr>
          <w:t>Annex A—Submissions received</w:t>
        </w:r>
        <w:r w:rsidR="00342E21">
          <w:rPr>
            <w:webHidden/>
          </w:rPr>
          <w:tab/>
        </w:r>
        <w:r w:rsidR="00342E21">
          <w:rPr>
            <w:webHidden/>
          </w:rPr>
          <w:fldChar w:fldCharType="begin"/>
        </w:r>
        <w:r w:rsidR="00342E21">
          <w:rPr>
            <w:webHidden/>
          </w:rPr>
          <w:instrText xml:space="preserve"> PAGEREF _Toc520719221 \h </w:instrText>
        </w:r>
        <w:r w:rsidR="00342E21">
          <w:rPr>
            <w:webHidden/>
          </w:rPr>
        </w:r>
        <w:r w:rsidR="00342E21">
          <w:rPr>
            <w:webHidden/>
          </w:rPr>
          <w:fldChar w:fldCharType="separate"/>
        </w:r>
        <w:r>
          <w:rPr>
            <w:webHidden/>
          </w:rPr>
          <w:t>12</w:t>
        </w:r>
        <w:r w:rsidR="00342E21">
          <w:rPr>
            <w:webHidden/>
          </w:rPr>
          <w:fldChar w:fldCharType="end"/>
        </w:r>
      </w:hyperlink>
    </w:p>
    <w:p w14:paraId="44A4DA89" w14:textId="29FF3CD5" w:rsidR="00342E21" w:rsidRDefault="00856300">
      <w:pPr>
        <w:pStyle w:val="TOC1"/>
        <w:rPr>
          <w:rFonts w:asciiTheme="minorHAnsi" w:eastAsiaTheme="minorEastAsia" w:hAnsiTheme="minorHAnsi" w:cstheme="minorBidi"/>
          <w:b w:val="0"/>
          <w:spacing w:val="0"/>
          <w:sz w:val="22"/>
          <w:szCs w:val="22"/>
        </w:rPr>
      </w:pPr>
      <w:hyperlink w:anchor="_Toc520719222" w:history="1">
        <w:r w:rsidR="00342E21" w:rsidRPr="00051F15">
          <w:rPr>
            <w:rStyle w:val="Hyperlink"/>
          </w:rPr>
          <w:t>Annex B—Summary of changes</w:t>
        </w:r>
        <w:r w:rsidR="00342E21">
          <w:rPr>
            <w:webHidden/>
          </w:rPr>
          <w:tab/>
        </w:r>
        <w:r w:rsidR="00342E21">
          <w:rPr>
            <w:webHidden/>
          </w:rPr>
          <w:fldChar w:fldCharType="begin"/>
        </w:r>
        <w:r w:rsidR="00342E21">
          <w:rPr>
            <w:webHidden/>
          </w:rPr>
          <w:instrText xml:space="preserve"> PAGEREF _Toc520719222 \h </w:instrText>
        </w:r>
        <w:r w:rsidR="00342E21">
          <w:rPr>
            <w:webHidden/>
          </w:rPr>
        </w:r>
        <w:r w:rsidR="00342E21">
          <w:rPr>
            <w:webHidden/>
          </w:rPr>
          <w:fldChar w:fldCharType="separate"/>
        </w:r>
        <w:r>
          <w:rPr>
            <w:webHidden/>
          </w:rPr>
          <w:t>13</w:t>
        </w:r>
        <w:r w:rsidR="00342E21">
          <w:rPr>
            <w:webHidden/>
          </w:rPr>
          <w:fldChar w:fldCharType="end"/>
        </w:r>
      </w:hyperlink>
    </w:p>
    <w:p w14:paraId="03608FCB" w14:textId="4D6BA4BF" w:rsidR="00342E21" w:rsidRDefault="00856300">
      <w:pPr>
        <w:pStyle w:val="TOC2"/>
        <w:rPr>
          <w:rFonts w:asciiTheme="minorHAnsi" w:eastAsiaTheme="minorEastAsia" w:hAnsiTheme="minorHAnsi" w:cstheme="minorBidi"/>
          <w:spacing w:val="0"/>
          <w:sz w:val="22"/>
          <w:szCs w:val="22"/>
        </w:rPr>
      </w:pPr>
      <w:hyperlink w:anchor="_Toc520719223" w:history="1">
        <w:r w:rsidR="00342E21" w:rsidRPr="00051F15">
          <w:rPr>
            <w:rStyle w:val="Hyperlink"/>
          </w:rPr>
          <w:t>Changes</w:t>
        </w:r>
        <w:r w:rsidR="00342E21">
          <w:rPr>
            <w:webHidden/>
          </w:rPr>
          <w:tab/>
        </w:r>
        <w:r w:rsidR="00342E21">
          <w:rPr>
            <w:webHidden/>
          </w:rPr>
          <w:fldChar w:fldCharType="begin"/>
        </w:r>
        <w:r w:rsidR="00342E21">
          <w:rPr>
            <w:webHidden/>
          </w:rPr>
          <w:instrText xml:space="preserve"> PAGEREF _Toc520719223 \h </w:instrText>
        </w:r>
        <w:r w:rsidR="00342E21">
          <w:rPr>
            <w:webHidden/>
          </w:rPr>
        </w:r>
        <w:r w:rsidR="00342E21">
          <w:rPr>
            <w:webHidden/>
          </w:rPr>
          <w:fldChar w:fldCharType="separate"/>
        </w:r>
        <w:r>
          <w:rPr>
            <w:webHidden/>
          </w:rPr>
          <w:t>13</w:t>
        </w:r>
        <w:r w:rsidR="00342E21">
          <w:rPr>
            <w:webHidden/>
          </w:rPr>
          <w:fldChar w:fldCharType="end"/>
        </w:r>
      </w:hyperlink>
    </w:p>
    <w:p w14:paraId="54680DFB" w14:textId="0D39F91C" w:rsidR="000A4A51" w:rsidRPr="002F0EE6" w:rsidRDefault="00342E21">
      <w:pPr>
        <w:rPr>
          <w:rFonts w:cs="Arial"/>
        </w:rPr>
      </w:pPr>
      <w:r>
        <w:rPr>
          <w:rFonts w:cs="Arial"/>
          <w:b/>
          <w:noProof/>
          <w:spacing w:val="-14"/>
          <w:sz w:val="28"/>
        </w:rPr>
        <w:fldChar w:fldCharType="end"/>
      </w:r>
    </w:p>
    <w:p w14:paraId="36ED3951" w14:textId="77777777" w:rsidR="004D56FF" w:rsidRPr="002F0EE6" w:rsidRDefault="004D56FF">
      <w:pPr>
        <w:rPr>
          <w:rFonts w:cs="Arial"/>
        </w:rPr>
        <w:sectPr w:rsidR="004D56FF" w:rsidRPr="002F0EE6" w:rsidSect="00C77380">
          <w:headerReference w:type="even" r:id="rId22"/>
          <w:headerReference w:type="default" r:id="rId23"/>
          <w:footerReference w:type="even" r:id="rId24"/>
          <w:footerReference w:type="default" r:id="rId25"/>
          <w:footerReference w:type="first" r:id="rId26"/>
          <w:pgSz w:w="11906" w:h="16838" w:code="9"/>
          <w:pgMar w:top="3646" w:right="3101" w:bottom="1134" w:left="1134" w:header="709" w:footer="119" w:gutter="0"/>
          <w:cols w:space="708"/>
          <w:titlePg/>
          <w:docGrid w:linePitch="360"/>
        </w:sectPr>
      </w:pPr>
    </w:p>
    <w:p w14:paraId="45BC97D1" w14:textId="14EA4033" w:rsidR="00BE4C11" w:rsidRPr="002F0EE6" w:rsidRDefault="00777F84" w:rsidP="00777BA2">
      <w:pPr>
        <w:pStyle w:val="Heading1"/>
      </w:pPr>
      <w:bookmarkStart w:id="1" w:name="_Toc441074797"/>
      <w:bookmarkStart w:id="2" w:name="_Toc441074798"/>
      <w:bookmarkStart w:id="3" w:name="_Toc520719213"/>
      <w:bookmarkEnd w:id="1"/>
      <w:r w:rsidRPr="002F0EE6">
        <w:lastRenderedPageBreak/>
        <w:t>1</w:t>
      </w:r>
      <w:r w:rsidR="00FE6882" w:rsidRPr="002F0EE6">
        <w:t>.</w:t>
      </w:r>
      <w:r w:rsidRPr="002F0EE6">
        <w:tab/>
      </w:r>
      <w:r w:rsidR="00D26C78" w:rsidRPr="002F0EE6">
        <w:t>Introduction</w:t>
      </w:r>
      <w:bookmarkEnd w:id="2"/>
      <w:bookmarkEnd w:id="3"/>
      <w:r w:rsidR="0042762F" w:rsidRPr="002F0EE6">
        <w:t xml:space="preserve"> </w:t>
      </w:r>
    </w:p>
    <w:p w14:paraId="3A8BE0EB" w14:textId="137BA2D1" w:rsidR="00217A80" w:rsidRDefault="00D26C78" w:rsidP="004D60F0">
      <w:r w:rsidRPr="002F0EE6">
        <w:t>The Australian Communications and Media Authority (</w:t>
      </w:r>
      <w:r w:rsidR="00F3138B" w:rsidRPr="002F0EE6">
        <w:t xml:space="preserve">the </w:t>
      </w:r>
      <w:r w:rsidRPr="002F0EE6">
        <w:t xml:space="preserve">ACMA) released </w:t>
      </w:r>
      <w:r w:rsidR="00217A80" w:rsidRPr="002F0EE6">
        <w:t xml:space="preserve">the </w:t>
      </w:r>
      <w:r w:rsidRPr="002F0EE6">
        <w:t>discussion paper</w:t>
      </w:r>
      <w:r w:rsidR="008927B9" w:rsidRPr="002F0EE6">
        <w:t xml:space="preserve"> </w:t>
      </w:r>
      <w:hyperlink r:id="rId27" w:history="1">
        <w:r w:rsidR="00217A80" w:rsidRPr="002F0EE6">
          <w:rPr>
            <w:rStyle w:val="Hyperlink"/>
            <w:i/>
          </w:rPr>
          <w:t>3.4 GHz and 3.6 GHz band spectrum licence technical framework</w:t>
        </w:r>
      </w:hyperlink>
      <w:r w:rsidR="008927B9" w:rsidRPr="002F0EE6">
        <w:t xml:space="preserve"> </w:t>
      </w:r>
      <w:r w:rsidRPr="002F0EE6">
        <w:rPr>
          <w:szCs w:val="20"/>
        </w:rPr>
        <w:t xml:space="preserve">on </w:t>
      </w:r>
      <w:r w:rsidR="00217A80" w:rsidRPr="002F0EE6">
        <w:rPr>
          <w:szCs w:val="20"/>
        </w:rPr>
        <w:t>18 May 2018</w:t>
      </w:r>
      <w:r w:rsidR="00EB26D8" w:rsidRPr="002F0EE6">
        <w:rPr>
          <w:szCs w:val="20"/>
        </w:rPr>
        <w:t xml:space="preserve"> </w:t>
      </w:r>
      <w:r w:rsidR="00EB26D8" w:rsidRPr="002F0EE6">
        <w:t xml:space="preserve">(the </w:t>
      </w:r>
      <w:r w:rsidR="00217A80" w:rsidRPr="002F0EE6">
        <w:t>May 2018</w:t>
      </w:r>
      <w:r w:rsidR="00EB26D8" w:rsidRPr="002F0EE6">
        <w:t xml:space="preserve"> discussion paper)</w:t>
      </w:r>
      <w:r w:rsidRPr="002F0EE6">
        <w:rPr>
          <w:szCs w:val="20"/>
        </w:rPr>
        <w:t xml:space="preserve">. The paper </w:t>
      </w:r>
      <w:r w:rsidR="002225FB" w:rsidRPr="002F0EE6">
        <w:rPr>
          <w:szCs w:val="20"/>
        </w:rPr>
        <w:t>sought</w:t>
      </w:r>
      <w:r w:rsidRPr="002F0EE6">
        <w:rPr>
          <w:szCs w:val="20"/>
        </w:rPr>
        <w:t xml:space="preserve"> industry feedback on the </w:t>
      </w:r>
      <w:r w:rsidR="007001F8" w:rsidRPr="002F0EE6">
        <w:rPr>
          <w:szCs w:val="20"/>
        </w:rPr>
        <w:t xml:space="preserve">development of a single spectrum licence technical framework covering </w:t>
      </w:r>
      <w:r w:rsidR="007001F8" w:rsidRPr="002F0EE6">
        <w:t>both the 3.4 GHz</w:t>
      </w:r>
      <w:r w:rsidR="007001F8" w:rsidRPr="002F0EE6">
        <w:rPr>
          <w:rStyle w:val="FootnoteReference"/>
        </w:rPr>
        <w:footnoteReference w:id="2"/>
      </w:r>
      <w:r w:rsidR="007001F8" w:rsidRPr="002F0EE6">
        <w:t xml:space="preserve"> and 3.6</w:t>
      </w:r>
      <w:r w:rsidR="00257881" w:rsidRPr="002F0EE6">
        <w:rPr>
          <w:rStyle w:val="FootnoteReference"/>
        </w:rPr>
        <w:footnoteReference w:id="3"/>
      </w:r>
      <w:r w:rsidR="007001F8" w:rsidRPr="002F0EE6">
        <w:t xml:space="preserve"> GHz bands</w:t>
      </w:r>
      <w:r w:rsidR="00217A80" w:rsidRPr="002F0EE6">
        <w:t>.</w:t>
      </w:r>
    </w:p>
    <w:p w14:paraId="77104972" w14:textId="07944A97" w:rsidR="006B6AC2" w:rsidRDefault="00421797" w:rsidP="004D60F0">
      <w:pPr>
        <w:spacing w:after="80"/>
      </w:pPr>
      <w:r>
        <w:t xml:space="preserve">The instruments consulted on for the </w:t>
      </w:r>
      <w:r w:rsidRPr="002F0EE6">
        <w:t>3.4 GHz and 3.6 GHz bands</w:t>
      </w:r>
      <w:r>
        <w:t xml:space="preserve"> spectrum licence technical framework (the technical framework) were the:</w:t>
      </w:r>
    </w:p>
    <w:p w14:paraId="386547EC" w14:textId="03AC0289" w:rsidR="006B6AC2" w:rsidRDefault="004D60F0" w:rsidP="004D60F0">
      <w:pPr>
        <w:pStyle w:val="ListBullet"/>
        <w:rPr>
          <w:i/>
        </w:rPr>
      </w:pPr>
      <w:r>
        <w:rPr>
          <w:i/>
        </w:rPr>
        <w:t>s</w:t>
      </w:r>
      <w:r w:rsidR="006B6AC2">
        <w:t>ample spectrum licence</w:t>
      </w:r>
    </w:p>
    <w:p w14:paraId="2A41ED42" w14:textId="43BFB48F" w:rsidR="006B6AC2" w:rsidRPr="0082520C" w:rsidRDefault="006B6AC2" w:rsidP="004D60F0">
      <w:pPr>
        <w:pStyle w:val="ListBullet"/>
        <w:rPr>
          <w:i/>
        </w:rPr>
      </w:pPr>
      <w:r w:rsidRPr="00DB6CDD">
        <w:t>Radiocommunications (Unacceptable Levels of Interference</w:t>
      </w:r>
      <w:r w:rsidR="00CC262F" w:rsidRPr="00DB6CDD">
        <w:t xml:space="preserve"> — </w:t>
      </w:r>
      <w:r w:rsidRPr="00DB6CDD">
        <w:t>3.4 GHz Band) Determination 2015</w:t>
      </w:r>
      <w:r w:rsidRPr="0082520C">
        <w:t xml:space="preserve"> (s.145 determination)</w:t>
      </w:r>
    </w:p>
    <w:p w14:paraId="3E37B65F" w14:textId="2C7E99CF" w:rsidR="006B6AC2" w:rsidRPr="0082520C" w:rsidRDefault="006B6AC2" w:rsidP="004D60F0">
      <w:pPr>
        <w:pStyle w:val="ListBullet"/>
        <w:rPr>
          <w:i/>
        </w:rPr>
      </w:pPr>
      <w:r w:rsidRPr="00DB6CDD">
        <w:t>Radiocommunications Advisory Guidelines (Managing Interference from Spectrum Licensed Transmitters — 3.4 GHz Band) 2015</w:t>
      </w:r>
      <w:r w:rsidRPr="0082520C">
        <w:t xml:space="preserve"> (RAG Tx)</w:t>
      </w:r>
    </w:p>
    <w:p w14:paraId="7A5C3998" w14:textId="05D04AB8" w:rsidR="006B6AC2" w:rsidRDefault="006B6AC2" w:rsidP="004D60F0">
      <w:pPr>
        <w:pStyle w:val="ListBullet"/>
        <w:rPr>
          <w:i/>
        </w:rPr>
      </w:pPr>
      <w:r w:rsidRPr="00DB6CDD">
        <w:t>Radiocommunications Advisory Guidelines (Managing Interference to Spectrum Licensed Receivers</w:t>
      </w:r>
      <w:r w:rsidR="00CC262F" w:rsidRPr="00DB6CDD">
        <w:t xml:space="preserve"> — </w:t>
      </w:r>
      <w:r w:rsidRPr="00DB6CDD">
        <w:t>3.4 GHz Band) 2015</w:t>
      </w:r>
      <w:r w:rsidRPr="0082520C">
        <w:t xml:space="preserve"> (RAG Rx)</w:t>
      </w:r>
    </w:p>
    <w:p w14:paraId="5846FF00" w14:textId="0252EC0F" w:rsidR="00DB6CDD" w:rsidRPr="00DB6CDD" w:rsidRDefault="00DB6CDD" w:rsidP="004D60F0">
      <w:pPr>
        <w:pStyle w:val="ListBulletLast"/>
        <w:rPr>
          <w:i/>
        </w:rPr>
      </w:pPr>
      <w:r w:rsidRPr="00DB6CDD">
        <w:t>Radiocommunications (Trading Rules for Spectrum Licences) Determination 2012</w:t>
      </w:r>
      <w:r>
        <w:t xml:space="preserve"> (</w:t>
      </w:r>
      <w:r w:rsidR="00BB018B">
        <w:t>t</w:t>
      </w:r>
      <w:r>
        <w:t>rading determination)</w:t>
      </w:r>
      <w:r w:rsidR="004D60F0">
        <w:t>.</w:t>
      </w:r>
    </w:p>
    <w:p w14:paraId="63D5FD0B" w14:textId="42369D78" w:rsidR="006B6AC2" w:rsidRDefault="00421797" w:rsidP="00217A80">
      <w:r>
        <w:t xml:space="preserve">A total of </w:t>
      </w:r>
      <w:r w:rsidR="007257F5">
        <w:t xml:space="preserve">11 </w:t>
      </w:r>
      <w:r>
        <w:t xml:space="preserve">submissions were received that commented on the technical framework, these submissions are available on the </w:t>
      </w:r>
      <w:hyperlink r:id="rId28" w:history="1">
        <w:r w:rsidRPr="00421797">
          <w:rPr>
            <w:rStyle w:val="Hyperlink"/>
          </w:rPr>
          <w:t>ACMA’s website</w:t>
        </w:r>
      </w:hyperlink>
      <w:r>
        <w:t xml:space="preserve">. </w:t>
      </w:r>
      <w:r w:rsidRPr="007257F5">
        <w:t>Annex A</w:t>
      </w:r>
      <w:r>
        <w:t xml:space="preserve"> provides details of all submitters. </w:t>
      </w:r>
    </w:p>
    <w:p w14:paraId="2C3CB4DD" w14:textId="77A5946E" w:rsidR="001A076C" w:rsidRPr="002F0EE6" w:rsidRDefault="007001F8" w:rsidP="004626F6">
      <w:pPr>
        <w:spacing w:after="80"/>
      </w:pPr>
      <w:r w:rsidRPr="002F0EE6">
        <w:t xml:space="preserve">This paper outlines the outcomes of the </w:t>
      </w:r>
      <w:r w:rsidR="002F6FC5" w:rsidRPr="002F0EE6">
        <w:t>consultation</w:t>
      </w:r>
      <w:r w:rsidRPr="002F0EE6">
        <w:t xml:space="preserve"> process </w:t>
      </w:r>
      <w:r w:rsidR="00421797">
        <w:t xml:space="preserve">and </w:t>
      </w:r>
      <w:r w:rsidRPr="002F0EE6">
        <w:t xml:space="preserve">provides a </w:t>
      </w:r>
      <w:r w:rsidR="00D70360" w:rsidRPr="002F0EE6">
        <w:t xml:space="preserve">response to </w:t>
      </w:r>
      <w:r w:rsidR="00777F84" w:rsidRPr="002F0EE6">
        <w:t xml:space="preserve">feedback </w:t>
      </w:r>
      <w:r w:rsidR="008927B9" w:rsidRPr="002F0EE6">
        <w:t>received</w:t>
      </w:r>
      <w:r w:rsidR="00D70360" w:rsidRPr="002F0EE6">
        <w:t>. The paper is</w:t>
      </w:r>
      <w:r w:rsidR="00BB018B">
        <w:t xml:space="preserve"> structured as</w:t>
      </w:r>
      <w:r w:rsidR="001A076C" w:rsidRPr="002F0EE6">
        <w:t>:</w:t>
      </w:r>
    </w:p>
    <w:p w14:paraId="2FF33F5A" w14:textId="263C4749" w:rsidR="001A076C" w:rsidRPr="002F0EE6" w:rsidRDefault="001A076C" w:rsidP="001A076C">
      <w:pPr>
        <w:pStyle w:val="ListBullet"/>
        <w:rPr>
          <w:rFonts w:cs="Arial"/>
        </w:rPr>
      </w:pPr>
      <w:r w:rsidRPr="002F0EE6">
        <w:rPr>
          <w:rFonts w:cs="Arial"/>
        </w:rPr>
        <w:t>Section 2</w:t>
      </w:r>
      <w:r w:rsidR="007001F8" w:rsidRPr="002F0EE6">
        <w:rPr>
          <w:rFonts w:cs="Arial"/>
        </w:rPr>
        <w:t xml:space="preserve">: </w:t>
      </w:r>
      <w:r w:rsidR="002F6FC5" w:rsidRPr="002F0EE6">
        <w:rPr>
          <w:rFonts w:cs="Arial"/>
        </w:rPr>
        <w:t>Consultation</w:t>
      </w:r>
      <w:r w:rsidR="007001F8" w:rsidRPr="002F0EE6">
        <w:rPr>
          <w:rFonts w:cs="Arial"/>
        </w:rPr>
        <w:t xml:space="preserve"> outcomes</w:t>
      </w:r>
    </w:p>
    <w:p w14:paraId="21D23AF6" w14:textId="718770CA" w:rsidR="00D70360" w:rsidRPr="002F0EE6" w:rsidRDefault="007D3650" w:rsidP="004626F6">
      <w:pPr>
        <w:pStyle w:val="ListBullet"/>
      </w:pPr>
      <w:r w:rsidRPr="002F0EE6">
        <w:t xml:space="preserve">Section </w:t>
      </w:r>
      <w:r w:rsidR="00D70360" w:rsidRPr="002F0EE6">
        <w:t>3</w:t>
      </w:r>
      <w:r w:rsidR="007001F8" w:rsidRPr="002F0EE6">
        <w:t xml:space="preserve">: Summary and response to </w:t>
      </w:r>
      <w:r w:rsidR="002F6FC5" w:rsidRPr="002F0EE6">
        <w:t>submissions</w:t>
      </w:r>
      <w:r w:rsidR="004D60F0">
        <w:t>.</w:t>
      </w:r>
    </w:p>
    <w:p w14:paraId="1DAB628F" w14:textId="1C051D3E" w:rsidR="00777F84" w:rsidRPr="002F0EE6" w:rsidRDefault="00777F84" w:rsidP="00777F84">
      <w:pPr>
        <w:pStyle w:val="Heading1"/>
      </w:pPr>
      <w:bookmarkStart w:id="4" w:name="_Toc441074799"/>
      <w:bookmarkStart w:id="5" w:name="_Toc520719214"/>
      <w:r w:rsidRPr="002F0EE6">
        <w:lastRenderedPageBreak/>
        <w:t>2</w:t>
      </w:r>
      <w:r w:rsidR="00FE6882" w:rsidRPr="002F0EE6">
        <w:t>.</w:t>
      </w:r>
      <w:r w:rsidRPr="002F0EE6">
        <w:tab/>
      </w:r>
      <w:bookmarkEnd w:id="4"/>
      <w:r w:rsidR="002F6FC5">
        <w:t>Consultation outcomes</w:t>
      </w:r>
      <w:bookmarkEnd w:id="5"/>
    </w:p>
    <w:p w14:paraId="52F0CC0F" w14:textId="4A916304" w:rsidR="005B1E00" w:rsidRDefault="002F6FC5" w:rsidP="004D60F0">
      <w:pPr>
        <w:spacing w:after="80"/>
      </w:pPr>
      <w:r>
        <w:t>The May 2018 discussion paper consulted on three</w:t>
      </w:r>
      <w:r w:rsidR="00E32A9E">
        <w:t xml:space="preserve"> possible</w:t>
      </w:r>
      <w:r>
        <w:t xml:space="preserve"> technical framework options </w:t>
      </w:r>
      <w:r w:rsidR="009830EE">
        <w:t xml:space="preserve">for the 3.4 GHz and 3.6 GHz bands. </w:t>
      </w:r>
      <w:r w:rsidR="00411869">
        <w:t>These were:</w:t>
      </w:r>
    </w:p>
    <w:p w14:paraId="295AF6FB" w14:textId="238E43DC" w:rsidR="00411869" w:rsidRPr="00411869" w:rsidRDefault="00411869" w:rsidP="004D60F0">
      <w:pPr>
        <w:pStyle w:val="ListNumber"/>
      </w:pPr>
      <w:r w:rsidRPr="00411869">
        <w:rPr>
          <w:b/>
        </w:rPr>
        <w:t>Option 1</w:t>
      </w:r>
      <w:r w:rsidRPr="00411869">
        <w:t xml:space="preserve">: </w:t>
      </w:r>
      <w:r w:rsidR="00E32A9E">
        <w:t>Have the</w:t>
      </w:r>
      <w:r w:rsidR="00AD06BA" w:rsidRPr="00AD06BA">
        <w:t xml:space="preserve"> same technical framewor</w:t>
      </w:r>
      <w:r w:rsidR="00AD06BA">
        <w:t>k apply to both the 3.4 GH</w:t>
      </w:r>
      <w:r w:rsidR="00AD06BA" w:rsidRPr="00AD06BA">
        <w:t xml:space="preserve">z and 3.6 GHz bands. </w:t>
      </w:r>
      <w:r w:rsidR="00E32A9E">
        <w:t>Mandate a</w:t>
      </w:r>
      <w:r w:rsidR="00AD06BA" w:rsidRPr="00AD06BA">
        <w:t xml:space="preserve"> synchronisation fall-back condition </w:t>
      </w:r>
      <w:r w:rsidRPr="00411869">
        <w:t xml:space="preserve">to manage interference </w:t>
      </w:r>
      <w:r w:rsidR="00AD06BA">
        <w:t>for all</w:t>
      </w:r>
      <w:r w:rsidRPr="00411869">
        <w:t xml:space="preserve"> 3.4 GHz and 3.6 GHz </w:t>
      </w:r>
      <w:r w:rsidR="00EC1048">
        <w:t xml:space="preserve">band </w:t>
      </w:r>
      <w:r w:rsidRPr="00411869">
        <w:t xml:space="preserve">spectrum licences. No spectrum </w:t>
      </w:r>
      <w:r w:rsidR="00C33FAB">
        <w:t xml:space="preserve">would be required for </w:t>
      </w:r>
      <w:r w:rsidRPr="00411869">
        <w:t>guard bands under this option. Two sub-options were identified:</w:t>
      </w:r>
    </w:p>
    <w:p w14:paraId="21C1BB40" w14:textId="17F7E39E" w:rsidR="00411869" w:rsidRPr="00411869" w:rsidRDefault="00411869" w:rsidP="004D60F0">
      <w:pPr>
        <w:pStyle w:val="ACMANumberedList"/>
        <w:numPr>
          <w:ilvl w:val="1"/>
          <w:numId w:val="17"/>
        </w:numPr>
        <w:spacing w:before="0" w:after="80" w:line="240" w:lineRule="atLeast"/>
        <w:ind w:left="709" w:hanging="357"/>
        <w:rPr>
          <w:rFonts w:ascii="Arial" w:hAnsi="Arial" w:cs="Arial"/>
          <w:sz w:val="20"/>
        </w:rPr>
      </w:pPr>
      <w:r w:rsidRPr="00411869">
        <w:rPr>
          <w:rFonts w:ascii="Arial" w:hAnsi="Arial" w:cs="Arial"/>
          <w:sz w:val="20"/>
          <w:u w:val="single"/>
        </w:rPr>
        <w:t>Sub-option 1a:</w:t>
      </w:r>
      <w:r w:rsidRPr="00411869">
        <w:rPr>
          <w:rFonts w:ascii="Arial" w:hAnsi="Arial" w:cs="Arial"/>
          <w:sz w:val="20"/>
        </w:rPr>
        <w:t xml:space="preserve"> A 3:1 frame structure would apply to the synchronisation </w:t>
      </w:r>
      <w:r w:rsidR="007257F5" w:rsidRPr="00411869">
        <w:rPr>
          <w:rFonts w:ascii="Arial" w:hAnsi="Arial" w:cs="Arial"/>
          <w:sz w:val="20"/>
        </w:rPr>
        <w:t>requirement;</w:t>
      </w:r>
      <w:r w:rsidRPr="00411869">
        <w:rPr>
          <w:rFonts w:ascii="Arial" w:hAnsi="Arial" w:cs="Arial"/>
          <w:sz w:val="20"/>
        </w:rPr>
        <w:t xml:space="preserve"> however, the start of the 3.6 GHz band spectrum licence term would be delayed until </w:t>
      </w:r>
      <w:r w:rsidR="00E32A9E">
        <w:rPr>
          <w:rFonts w:ascii="Arial" w:hAnsi="Arial" w:cs="Arial"/>
          <w:sz w:val="20"/>
        </w:rPr>
        <w:t xml:space="preserve">some point on or before </w:t>
      </w:r>
      <w:r w:rsidRPr="00411869">
        <w:rPr>
          <w:rFonts w:ascii="Arial" w:hAnsi="Arial" w:cs="Arial"/>
          <w:sz w:val="20"/>
        </w:rPr>
        <w:t xml:space="preserve">the end of the metro re-allocation period (30 March 2020). In the interim period, early access to the 3.6 GHz band for successful auction bidders would be provided via apparatus licence arrangements that ensure coexistence with existing 3.4 GHz </w:t>
      </w:r>
      <w:r w:rsidR="00EC1048">
        <w:rPr>
          <w:rFonts w:ascii="Arial" w:hAnsi="Arial" w:cs="Arial"/>
          <w:sz w:val="20"/>
        </w:rPr>
        <w:t xml:space="preserve">band </w:t>
      </w:r>
      <w:r w:rsidRPr="00411869">
        <w:rPr>
          <w:rFonts w:ascii="Arial" w:hAnsi="Arial" w:cs="Arial"/>
          <w:sz w:val="20"/>
        </w:rPr>
        <w:t xml:space="preserve">spectrum licensees (and </w:t>
      </w:r>
      <w:r w:rsidR="007257F5">
        <w:rPr>
          <w:rFonts w:ascii="Arial" w:hAnsi="Arial" w:cs="Arial"/>
          <w:sz w:val="20"/>
        </w:rPr>
        <w:t>NBN Co</w:t>
      </w:r>
      <w:r w:rsidR="007257F5" w:rsidRPr="00411869">
        <w:rPr>
          <w:rFonts w:ascii="Arial" w:hAnsi="Arial" w:cs="Arial"/>
          <w:sz w:val="20"/>
        </w:rPr>
        <w:t xml:space="preserve">’s </w:t>
      </w:r>
      <w:r w:rsidRPr="00411869">
        <w:rPr>
          <w:rFonts w:ascii="Arial" w:hAnsi="Arial" w:cs="Arial"/>
          <w:sz w:val="20"/>
        </w:rPr>
        <w:t xml:space="preserve">3.5 GHz </w:t>
      </w:r>
      <w:r w:rsidR="00EC1048">
        <w:rPr>
          <w:rFonts w:ascii="Arial" w:hAnsi="Arial" w:cs="Arial"/>
          <w:sz w:val="20"/>
        </w:rPr>
        <w:t xml:space="preserve">band </w:t>
      </w:r>
      <w:r w:rsidRPr="00411869">
        <w:rPr>
          <w:rFonts w:ascii="Arial" w:hAnsi="Arial" w:cs="Arial"/>
          <w:sz w:val="20"/>
        </w:rPr>
        <w:t>apparatus licences) in</w:t>
      </w:r>
      <w:r w:rsidR="007257F5">
        <w:rPr>
          <w:rFonts w:ascii="Arial" w:hAnsi="Arial" w:cs="Arial"/>
          <w:sz w:val="20"/>
        </w:rPr>
        <w:t xml:space="preserve"> a</w:t>
      </w:r>
      <w:r w:rsidRPr="00411869">
        <w:rPr>
          <w:rFonts w:ascii="Arial" w:hAnsi="Arial" w:cs="Arial"/>
          <w:sz w:val="20"/>
        </w:rPr>
        <w:t xml:space="preserve"> manner suitable for those licensees. At some point before or upon the commencement of the 3.6 GHz licences, the 3.4 GHz </w:t>
      </w:r>
      <w:r w:rsidR="00EC1048">
        <w:rPr>
          <w:rFonts w:ascii="Arial" w:hAnsi="Arial" w:cs="Arial"/>
          <w:sz w:val="20"/>
        </w:rPr>
        <w:t xml:space="preserve">band </w:t>
      </w:r>
      <w:r w:rsidRPr="00411869">
        <w:rPr>
          <w:rFonts w:ascii="Arial" w:hAnsi="Arial" w:cs="Arial"/>
          <w:sz w:val="20"/>
        </w:rPr>
        <w:t xml:space="preserve">spectrum licences and 3.5 GHz </w:t>
      </w:r>
      <w:r w:rsidR="00EC1048">
        <w:rPr>
          <w:rFonts w:ascii="Arial" w:hAnsi="Arial" w:cs="Arial"/>
          <w:sz w:val="20"/>
        </w:rPr>
        <w:t xml:space="preserve">band </w:t>
      </w:r>
      <w:r w:rsidRPr="00411869">
        <w:rPr>
          <w:rFonts w:ascii="Arial" w:hAnsi="Arial" w:cs="Arial"/>
          <w:sz w:val="20"/>
        </w:rPr>
        <w:t>apparatus licences would be amended to adopt the synchronisation and other new conditions.</w:t>
      </w:r>
    </w:p>
    <w:p w14:paraId="20394558" w14:textId="10926A64" w:rsidR="00411869" w:rsidRPr="00411869" w:rsidRDefault="00411869" w:rsidP="004D60F0">
      <w:pPr>
        <w:pStyle w:val="ACMANumberedList"/>
        <w:numPr>
          <w:ilvl w:val="1"/>
          <w:numId w:val="17"/>
        </w:numPr>
        <w:spacing w:before="0" w:after="80" w:line="240" w:lineRule="atLeast"/>
        <w:ind w:left="709" w:hanging="357"/>
        <w:rPr>
          <w:rFonts w:ascii="Arial" w:hAnsi="Arial" w:cs="Arial"/>
          <w:sz w:val="20"/>
        </w:rPr>
      </w:pPr>
      <w:r w:rsidRPr="00411869">
        <w:rPr>
          <w:rFonts w:ascii="Arial" w:hAnsi="Arial" w:cs="Arial"/>
          <w:sz w:val="20"/>
          <w:u w:val="single"/>
        </w:rPr>
        <w:t>Sub-option 1b:</w:t>
      </w:r>
      <w:r w:rsidRPr="00411869">
        <w:rPr>
          <w:rFonts w:ascii="Arial" w:hAnsi="Arial" w:cs="Arial"/>
          <w:sz w:val="20"/>
        </w:rPr>
        <w:t xml:space="preserve"> Two frame structures would be defined on licences. </w:t>
      </w:r>
      <w:r w:rsidR="007257F5" w:rsidRPr="00411869">
        <w:rPr>
          <w:rFonts w:ascii="Arial" w:hAnsi="Arial" w:cs="Arial"/>
          <w:sz w:val="20"/>
        </w:rPr>
        <w:t>A</w:t>
      </w:r>
      <w:r w:rsidR="007257F5">
        <w:rPr>
          <w:rFonts w:ascii="Arial" w:hAnsi="Arial" w:cs="Arial"/>
          <w:sz w:val="20"/>
        </w:rPr>
        <w:t> </w:t>
      </w:r>
      <w:r w:rsidRPr="00411869">
        <w:rPr>
          <w:rFonts w:ascii="Arial" w:hAnsi="Arial" w:cs="Arial"/>
          <w:sz w:val="20"/>
        </w:rPr>
        <w:t xml:space="preserve">temporary 1:1 structure would be in force until a set date, then following notification to affected users and period of transition (for example, </w:t>
      </w:r>
      <w:r w:rsidR="007257F5">
        <w:rPr>
          <w:rFonts w:ascii="Arial" w:hAnsi="Arial" w:cs="Arial"/>
          <w:sz w:val="20"/>
        </w:rPr>
        <w:t xml:space="preserve">four </w:t>
      </w:r>
      <w:r w:rsidRPr="00411869">
        <w:rPr>
          <w:rFonts w:ascii="Arial" w:hAnsi="Arial" w:cs="Arial"/>
          <w:sz w:val="20"/>
        </w:rPr>
        <w:t xml:space="preserve">weeks/months), the 3:1 structure (the preferred approach) would be in force for the remainder of the spectrum licence term. It is noted that an earlier transition to the 3:1 structure could occur where there is agreement to do so from all affected licensees. 3.4 GHz </w:t>
      </w:r>
      <w:r w:rsidR="00EC1048">
        <w:rPr>
          <w:rFonts w:ascii="Arial" w:hAnsi="Arial" w:cs="Arial"/>
          <w:sz w:val="20"/>
        </w:rPr>
        <w:t xml:space="preserve">band </w:t>
      </w:r>
      <w:r w:rsidRPr="00411869">
        <w:rPr>
          <w:rFonts w:ascii="Arial" w:hAnsi="Arial" w:cs="Arial"/>
          <w:sz w:val="20"/>
        </w:rPr>
        <w:t xml:space="preserve">spectrum licences and 3.5 GHz </w:t>
      </w:r>
      <w:r w:rsidR="00EC1048">
        <w:rPr>
          <w:rFonts w:ascii="Arial" w:hAnsi="Arial" w:cs="Arial"/>
          <w:sz w:val="20"/>
        </w:rPr>
        <w:t xml:space="preserve">band </w:t>
      </w:r>
      <w:r w:rsidRPr="00411869">
        <w:rPr>
          <w:rFonts w:ascii="Arial" w:hAnsi="Arial" w:cs="Arial"/>
          <w:sz w:val="20"/>
        </w:rPr>
        <w:t xml:space="preserve">apparatus licences would be amended to adopt the synchronisation and other new conditions before 3.6 GHz band licences are issued. </w:t>
      </w:r>
    </w:p>
    <w:p w14:paraId="5025F232" w14:textId="6CB28CA8" w:rsidR="00411869" w:rsidRPr="00411869" w:rsidRDefault="00411869" w:rsidP="004D60F0">
      <w:pPr>
        <w:pStyle w:val="ListNumber"/>
      </w:pPr>
      <w:r w:rsidRPr="00411869">
        <w:rPr>
          <w:b/>
        </w:rPr>
        <w:t>Option 2</w:t>
      </w:r>
      <w:r w:rsidRPr="00411869">
        <w:t xml:space="preserve">: </w:t>
      </w:r>
      <w:r w:rsidR="00E01350" w:rsidRPr="00E01350">
        <w:t xml:space="preserve">The same s.145 determination and radiocommunications advisory guidelines would apply to both the 3.4 GHz and 3.6 GHz bands. A mandated synchronisation fall-back condition would apply to 3.6 GHz band licences only. </w:t>
      </w:r>
      <w:r w:rsidR="007257F5" w:rsidRPr="00E01350">
        <w:t>A</w:t>
      </w:r>
      <w:r w:rsidR="007257F5">
        <w:t> </w:t>
      </w:r>
      <w:r w:rsidR="00E01350" w:rsidRPr="00E01350">
        <w:t xml:space="preserve">stricter out-of-band emission mask would apply at the frequency boundary between 3.4 GHz </w:t>
      </w:r>
      <w:r w:rsidR="00EC1048">
        <w:t xml:space="preserve">band </w:t>
      </w:r>
      <w:r w:rsidR="00E01350" w:rsidRPr="00E01350">
        <w:t>licences</w:t>
      </w:r>
      <w:r w:rsidR="007257F5">
        <w:t>,</w:t>
      </w:r>
      <w:r w:rsidR="00E01350" w:rsidRPr="00E01350">
        <w:t xml:space="preserve"> as well as 3.4 GHz and 3.6 GHz </w:t>
      </w:r>
      <w:r w:rsidR="00EC1048">
        <w:t xml:space="preserve">band </w:t>
      </w:r>
      <w:r w:rsidR="00E01350" w:rsidRPr="00E01350">
        <w:t xml:space="preserve">licences to manage adjacent band interference. </w:t>
      </w:r>
      <w:r w:rsidRPr="00411869">
        <w:t>Under this approach</w:t>
      </w:r>
      <w:r w:rsidR="007257F5">
        <w:t>,</w:t>
      </w:r>
      <w:r w:rsidRPr="00411869">
        <w:t xml:space="preserve"> up to 20 MHz of spectrum could be required for guard bands between 3.4 GHz and 3.6 GHz band licensees</w:t>
      </w:r>
      <w:r w:rsidR="007257F5">
        <w:t>.</w:t>
      </w:r>
    </w:p>
    <w:p w14:paraId="5AC94EF7" w14:textId="54936ED5" w:rsidR="00411869" w:rsidRPr="00411869" w:rsidRDefault="00411869" w:rsidP="004D60F0">
      <w:pPr>
        <w:pStyle w:val="ListNumber"/>
        <w:spacing w:after="240"/>
      </w:pPr>
      <w:r w:rsidRPr="00411869">
        <w:rPr>
          <w:b/>
        </w:rPr>
        <w:t>Option 3</w:t>
      </w:r>
      <w:r w:rsidRPr="00411869">
        <w:t xml:space="preserve">: The new </w:t>
      </w:r>
      <w:r>
        <w:t>technical framework would</w:t>
      </w:r>
      <w:r w:rsidRPr="00411869">
        <w:t xml:space="preserve"> only </w:t>
      </w:r>
      <w:r w:rsidR="000933D6">
        <w:t xml:space="preserve">be </w:t>
      </w:r>
      <w:r w:rsidRPr="00411869">
        <w:t>adopt</w:t>
      </w:r>
      <w:r w:rsidR="000933D6">
        <w:t>ed</w:t>
      </w:r>
      <w:r w:rsidRPr="00411869">
        <w:t xml:space="preserve"> in the 3.6 GHz band. Existing arrangements will continue to apply in the 3.4 GHz band. </w:t>
      </w:r>
      <w:r w:rsidR="00E01350">
        <w:t>This means a</w:t>
      </w:r>
      <w:r w:rsidR="00E01350" w:rsidRPr="00E01350">
        <w:t xml:space="preserve"> stricter out-of-band emission mask would apply at the frequency boundary between 3.4 GHz </w:t>
      </w:r>
      <w:r w:rsidR="00EC1048">
        <w:t xml:space="preserve">band </w:t>
      </w:r>
      <w:r w:rsidR="00E01350" w:rsidRPr="00E01350">
        <w:t>licences</w:t>
      </w:r>
      <w:r w:rsidR="007257F5">
        <w:t>.</w:t>
      </w:r>
      <w:r w:rsidR="00E01350" w:rsidRPr="00E01350">
        <w:t xml:space="preserve"> as well as 3.4 GHz and 3.6 GHz</w:t>
      </w:r>
      <w:r w:rsidR="00EC1048">
        <w:t xml:space="preserve"> band</w:t>
      </w:r>
      <w:r w:rsidR="00E01350" w:rsidRPr="00E01350">
        <w:t xml:space="preserve"> licences to manage adjacent band interference.</w:t>
      </w:r>
      <w:r w:rsidR="00E01350" w:rsidRPr="00411869">
        <w:t xml:space="preserve"> Under this approach</w:t>
      </w:r>
      <w:r w:rsidR="007257F5">
        <w:t>,</w:t>
      </w:r>
      <w:r w:rsidR="00E01350" w:rsidRPr="00411869">
        <w:t xml:space="preserve"> up to </w:t>
      </w:r>
      <w:r w:rsidR="007257F5" w:rsidRPr="00411869">
        <w:t>20</w:t>
      </w:r>
      <w:r w:rsidR="007257F5">
        <w:t> </w:t>
      </w:r>
      <w:r w:rsidR="00E01350" w:rsidRPr="00411869">
        <w:t>MHz of spectrum could be required for guard bands between 3.4 GHz and 3.</w:t>
      </w:r>
      <w:r w:rsidR="007257F5" w:rsidRPr="00411869">
        <w:t>6</w:t>
      </w:r>
      <w:r w:rsidR="007257F5">
        <w:t> </w:t>
      </w:r>
      <w:r w:rsidR="00E01350" w:rsidRPr="00411869">
        <w:t>GHz band licensees</w:t>
      </w:r>
      <w:r w:rsidR="00E01350">
        <w:t>.</w:t>
      </w:r>
    </w:p>
    <w:p w14:paraId="60D93724" w14:textId="68CEB7A9" w:rsidR="00411869" w:rsidRPr="00CB27BB" w:rsidRDefault="00482A60" w:rsidP="00411869">
      <w:pPr>
        <w:rPr>
          <w:lang w:eastAsia="ja-JP"/>
        </w:rPr>
      </w:pPr>
      <w:r>
        <w:t xml:space="preserve">The May 2018 discussion paper </w:t>
      </w:r>
      <w:r w:rsidR="00411869">
        <w:t xml:space="preserve">indicated that </w:t>
      </w:r>
      <w:r>
        <w:t>the ACMA’s</w:t>
      </w:r>
      <w:r w:rsidR="00411869">
        <w:t xml:space="preserve"> preliminary view was to adopt Option 1</w:t>
      </w:r>
      <w:r w:rsidR="00411869" w:rsidRPr="001768A6">
        <w:t xml:space="preserve"> if all </w:t>
      </w:r>
      <w:r w:rsidR="00411869">
        <w:t xml:space="preserve">existing </w:t>
      </w:r>
      <w:r w:rsidR="00411869" w:rsidRPr="001768A6">
        <w:t>3.4</w:t>
      </w:r>
      <w:r w:rsidR="00411869">
        <w:t> </w:t>
      </w:r>
      <w:r w:rsidR="00411869" w:rsidRPr="001768A6">
        <w:t xml:space="preserve">GHz </w:t>
      </w:r>
      <w:r w:rsidR="00EC1048">
        <w:t xml:space="preserve">band </w:t>
      </w:r>
      <w:r w:rsidR="00411869" w:rsidRPr="001768A6">
        <w:t>spectrum licensees agree</w:t>
      </w:r>
      <w:r w:rsidR="00411869">
        <w:t xml:space="preserve">, and there is general support from prospective 3.6 GHz </w:t>
      </w:r>
      <w:r w:rsidR="00EC1048">
        <w:t xml:space="preserve">band </w:t>
      </w:r>
      <w:r w:rsidR="00411869">
        <w:t>licensees</w:t>
      </w:r>
      <w:r w:rsidR="00411869" w:rsidRPr="001768A6">
        <w:t>.</w:t>
      </w:r>
      <w:r w:rsidR="00411869">
        <w:t xml:space="preserve"> However, in the event there was no agreement on a synchronisation fall-back approach to manage interference, t</w:t>
      </w:r>
      <w:r w:rsidR="00411869" w:rsidRPr="001768A6">
        <w:t xml:space="preserve">he ACMA </w:t>
      </w:r>
      <w:r w:rsidR="00411869">
        <w:t xml:space="preserve">indicated a preliminary view </w:t>
      </w:r>
      <w:r w:rsidR="00411869" w:rsidRPr="001768A6">
        <w:t>that Option 2 should be adopted.</w:t>
      </w:r>
      <w:r w:rsidR="00411869">
        <w:t xml:space="preserve"> Furthermore, Option 3 would only be considered if no agreement could be achieved with 3.4 GHz </w:t>
      </w:r>
      <w:r w:rsidR="00EC1048">
        <w:t xml:space="preserve">band </w:t>
      </w:r>
      <w:r w:rsidR="00411869">
        <w:t xml:space="preserve">spectrum licensees on any changes to the existing 3.4 GHz </w:t>
      </w:r>
      <w:r w:rsidR="00EC1048">
        <w:t xml:space="preserve">band </w:t>
      </w:r>
      <w:r w:rsidR="00411869">
        <w:t xml:space="preserve">spectrum licence technical framework. </w:t>
      </w:r>
    </w:p>
    <w:p w14:paraId="235A373B" w14:textId="797162ED" w:rsidR="00411869" w:rsidRPr="002F0EE6" w:rsidRDefault="00411869" w:rsidP="00411869">
      <w:pPr>
        <w:pStyle w:val="Heading2"/>
      </w:pPr>
      <w:bookmarkStart w:id="6" w:name="_Toc520719215"/>
      <w:r>
        <w:lastRenderedPageBreak/>
        <w:t xml:space="preserve">Ministerial </w:t>
      </w:r>
      <w:r w:rsidR="007257F5">
        <w:t>d</w:t>
      </w:r>
      <w:r>
        <w:t>irection</w:t>
      </w:r>
      <w:bookmarkEnd w:id="6"/>
    </w:p>
    <w:p w14:paraId="7D95A564" w14:textId="4875FFA1" w:rsidR="00240AE9" w:rsidRDefault="009F1129" w:rsidP="00240AE9">
      <w:r>
        <w:t xml:space="preserve">On </w:t>
      </w:r>
      <w:r w:rsidR="00682336" w:rsidRPr="002E0DEE">
        <w:t>17</w:t>
      </w:r>
      <w:r w:rsidRPr="002E0DEE">
        <w:t xml:space="preserve"> July</w:t>
      </w:r>
      <w:r w:rsidR="00682336" w:rsidRPr="002E0DEE">
        <w:t xml:space="preserve"> 2018</w:t>
      </w:r>
      <w:r>
        <w:t>, the M</w:t>
      </w:r>
      <w:r w:rsidR="00240AE9" w:rsidRPr="00240AE9">
        <w:t>inister</w:t>
      </w:r>
      <w:r>
        <w:t xml:space="preserve"> for Communications </w:t>
      </w:r>
      <w:r w:rsidR="002466DD">
        <w:t>signed</w:t>
      </w:r>
      <w:r w:rsidR="00240AE9" w:rsidRPr="00240AE9">
        <w:t xml:space="preserve"> the </w:t>
      </w:r>
      <w:hyperlink r:id="rId29" w:history="1">
        <w:r w:rsidR="007257F5">
          <w:rPr>
            <w:rStyle w:val="Hyperlink"/>
          </w:rPr>
          <w:t>Australian Communications and Media Authority (Radiocommunications Licence Conditions—3.4 and 3.6 GHz Bands Interference Management) Direction 2018</w:t>
        </w:r>
      </w:hyperlink>
      <w:r w:rsidR="002466DD">
        <w:t>. This direction requires the ACMA to take all reasonable steps to ensure</w:t>
      </w:r>
      <w:r w:rsidR="00240AE9" w:rsidRPr="00240AE9">
        <w:t xml:space="preserve"> </w:t>
      </w:r>
      <w:r w:rsidR="00240AE9">
        <w:t xml:space="preserve">3.4 GHz </w:t>
      </w:r>
      <w:r w:rsidR="00EC1048">
        <w:t xml:space="preserve">band </w:t>
      </w:r>
      <w:r w:rsidR="00240AE9">
        <w:t>spectrum licen</w:t>
      </w:r>
      <w:r w:rsidR="009C4613">
        <w:t>se</w:t>
      </w:r>
      <w:r w:rsidR="00240AE9">
        <w:t xml:space="preserve">es and 3.5 GHz </w:t>
      </w:r>
      <w:r w:rsidR="00EC1048">
        <w:t xml:space="preserve">band </w:t>
      </w:r>
      <w:r w:rsidR="00813EF6">
        <w:t>Public telecommunication Service (</w:t>
      </w:r>
      <w:r w:rsidR="00240AE9">
        <w:t>PTS</w:t>
      </w:r>
      <w:r w:rsidR="00813EF6">
        <w:t>)</w:t>
      </w:r>
      <w:r w:rsidR="00240AE9">
        <w:t xml:space="preserve"> apparatus </w:t>
      </w:r>
      <w:r w:rsidR="00240AE9" w:rsidRPr="009C4613">
        <w:t>licen</w:t>
      </w:r>
      <w:r w:rsidR="009C4613" w:rsidRPr="009C4613">
        <w:t>se</w:t>
      </w:r>
      <w:r w:rsidR="00240AE9" w:rsidRPr="009C4613">
        <w:t>es</w:t>
      </w:r>
      <w:r w:rsidR="00240AE9">
        <w:t xml:space="preserve"> </w:t>
      </w:r>
      <w:r w:rsidR="002466DD">
        <w:t xml:space="preserve">are required </w:t>
      </w:r>
      <w:r w:rsidR="00240AE9">
        <w:t xml:space="preserve">to </w:t>
      </w:r>
      <w:r w:rsidR="002466DD">
        <w:t>manage interference via the synchronisation of their services</w:t>
      </w:r>
      <w:r w:rsidR="00835BC2">
        <w:t xml:space="preserve"> by 30 March 2020</w:t>
      </w:r>
      <w:r w:rsidR="002466DD">
        <w:t>, unless other measures can be agreed to</w:t>
      </w:r>
      <w:r w:rsidR="00813EF6">
        <w:t xml:space="preserve"> (the </w:t>
      </w:r>
      <w:r w:rsidR="003A4D41">
        <w:t>synchronisation</w:t>
      </w:r>
      <w:r w:rsidR="00813EF6">
        <w:t xml:space="preserve"> fall-back solution)</w:t>
      </w:r>
      <w:r w:rsidR="002466DD">
        <w:t xml:space="preserve">.  </w:t>
      </w:r>
    </w:p>
    <w:p w14:paraId="4DAECE43" w14:textId="5CCC18B4" w:rsidR="002466DD" w:rsidRDefault="002466DD" w:rsidP="004D60F0">
      <w:pPr>
        <w:spacing w:after="80"/>
      </w:pPr>
      <w:r>
        <w:t xml:space="preserve">The direction </w:t>
      </w:r>
      <w:r w:rsidR="00091422">
        <w:t xml:space="preserve">also </w:t>
      </w:r>
      <w:r>
        <w:t xml:space="preserve">specifies: </w:t>
      </w:r>
    </w:p>
    <w:p w14:paraId="5B387684" w14:textId="7183B62B" w:rsidR="002466DD" w:rsidRDefault="002466DD" w:rsidP="004D60F0">
      <w:pPr>
        <w:pStyle w:val="ListBullet"/>
      </w:pPr>
      <w:r>
        <w:t xml:space="preserve">adoption of a common frame structure (or equivalent in terms of duration and timing of downlink and uplink segments) </w:t>
      </w:r>
      <w:r w:rsidR="00813EF6">
        <w:t xml:space="preserve">if and when required </w:t>
      </w:r>
      <w:r>
        <w:t xml:space="preserve">to support </w:t>
      </w:r>
      <w:r w:rsidR="00813EF6">
        <w:t xml:space="preserve">the </w:t>
      </w:r>
      <w:r>
        <w:t>synchronisation</w:t>
      </w:r>
      <w:r w:rsidR="00813EF6">
        <w:t xml:space="preserve"> fall-back solution</w:t>
      </w:r>
      <w:r>
        <w:t>. Th</w:t>
      </w:r>
      <w:r w:rsidR="00813EF6">
        <w:t>e</w:t>
      </w:r>
      <w:r>
        <w:t xml:space="preserve"> frame structure </w:t>
      </w:r>
      <w:r w:rsidR="00813EF6">
        <w:t xml:space="preserve">specified supports </w:t>
      </w:r>
      <w:r>
        <w:t>a 3:</w:t>
      </w:r>
      <w:r w:rsidR="00DA219C">
        <w:t>1 </w:t>
      </w:r>
      <w:r>
        <w:t>downlink-to-uplink ratio</w:t>
      </w:r>
      <w:r w:rsidR="00DA219C">
        <w:t>,</w:t>
      </w:r>
      <w:r>
        <w:t xml:space="preserve"> which was identified </w:t>
      </w:r>
      <w:r w:rsidR="00813EF6">
        <w:t xml:space="preserve">by a majority of </w:t>
      </w:r>
      <w:r>
        <w:t>the 3.6 GHz band Technical Liaison Group</w:t>
      </w:r>
      <w:r w:rsidR="007F4D23">
        <w:t xml:space="preserve"> (TLG)</w:t>
      </w:r>
      <w:r w:rsidR="007F4D23">
        <w:rPr>
          <w:rStyle w:val="FootnoteReference"/>
        </w:rPr>
        <w:footnoteReference w:id="4"/>
      </w:r>
      <w:r w:rsidR="00813EF6">
        <w:t xml:space="preserve"> participants as the preferred ratio</w:t>
      </w:r>
    </w:p>
    <w:p w14:paraId="45A4E3B6" w14:textId="65538ABF" w:rsidR="00835BC2" w:rsidRDefault="00091422" w:rsidP="004D60F0">
      <w:pPr>
        <w:pStyle w:val="ListBulletLast"/>
      </w:pPr>
      <w:r>
        <w:t xml:space="preserve">the arrangements must take affect from 30 March 2020. </w:t>
      </w:r>
    </w:p>
    <w:p w14:paraId="16143538" w14:textId="4A689F68" w:rsidR="00E32A9E" w:rsidRDefault="00E32A9E" w:rsidP="004D60F0">
      <w:pPr>
        <w:spacing w:after="80"/>
      </w:pPr>
      <w:r>
        <w:t>To implement this direction</w:t>
      </w:r>
      <w:r w:rsidR="004D60F0">
        <w:t>,</w:t>
      </w:r>
      <w:r>
        <w:t xml:space="preserve"> the ACMA will: </w:t>
      </w:r>
    </w:p>
    <w:p w14:paraId="1EE0B8B7" w14:textId="64F08E79" w:rsidR="006F6AA6" w:rsidRDefault="00E32A9E" w:rsidP="004D60F0">
      <w:pPr>
        <w:pStyle w:val="ListBullet"/>
      </w:pPr>
      <w:r>
        <w:t xml:space="preserve">vary existing </w:t>
      </w:r>
      <w:r w:rsidR="006F6AA6">
        <w:t xml:space="preserve">all </w:t>
      </w:r>
      <w:r>
        <w:t>3.4 GHz band spectrum licences to</w:t>
      </w:r>
      <w:r w:rsidR="006F6AA6">
        <w:t xml:space="preserve"> include the relevant condition</w:t>
      </w:r>
    </w:p>
    <w:p w14:paraId="3C2C61BF" w14:textId="4AA418FE" w:rsidR="00E32A9E" w:rsidRDefault="006F6AA6" w:rsidP="004D60F0">
      <w:pPr>
        <w:pStyle w:val="ListBulletLast"/>
      </w:pPr>
      <w:r w:rsidRPr="006F6AA6">
        <w:t>make or amend a licence condition determination to impose the relevant conditions on</w:t>
      </w:r>
      <w:r>
        <w:t xml:space="preserve"> </w:t>
      </w:r>
      <w:r w:rsidR="00C33FAB">
        <w:t>3.5 GHz</w:t>
      </w:r>
      <w:r w:rsidR="00EC1048">
        <w:t xml:space="preserve"> band</w:t>
      </w:r>
      <w:r w:rsidR="00C33FAB">
        <w:t xml:space="preserve"> </w:t>
      </w:r>
      <w:r>
        <w:t>PTS licences in the defined regional and metropolitan areas.</w:t>
      </w:r>
    </w:p>
    <w:p w14:paraId="13BA5847" w14:textId="7B96A5B9" w:rsidR="00813EF6" w:rsidRDefault="00813EF6" w:rsidP="006F6AA6">
      <w:r>
        <w:t xml:space="preserve">In addition to the condition imposed as a result of the </w:t>
      </w:r>
      <w:r w:rsidR="00DA219C">
        <w:t>m</w:t>
      </w:r>
      <w:r>
        <w:t xml:space="preserve">inister’s direction, the ACMA will also propose variations to the core </w:t>
      </w:r>
      <w:r w:rsidR="004D7082">
        <w:t>conditions</w:t>
      </w:r>
      <w:r>
        <w:t xml:space="preserve"> of 3.4 GHz </w:t>
      </w:r>
      <w:r w:rsidR="00EC1048">
        <w:t xml:space="preserve">band </w:t>
      </w:r>
      <w:r>
        <w:t>spectrum licences</w:t>
      </w:r>
      <w:r w:rsidR="00DA219C">
        <w:t>,</w:t>
      </w:r>
      <w:r>
        <w:t xml:space="preserve"> a</w:t>
      </w:r>
      <w:r w:rsidR="004D7082">
        <w:t xml:space="preserve">s well as amendments to </w:t>
      </w:r>
      <w:r w:rsidR="00C33FAB">
        <w:t>Radiocommunications Assignment and Assignment Instruction (</w:t>
      </w:r>
      <w:r w:rsidR="004D7082">
        <w:t>RALI</w:t>
      </w:r>
      <w:r w:rsidR="00C33FAB">
        <w:t>)</w:t>
      </w:r>
      <w:r w:rsidR="004D7082">
        <w:t xml:space="preserve"> MS39</w:t>
      </w:r>
      <w:r w:rsidR="00F45978">
        <w:t>. These changes will allow licensee</w:t>
      </w:r>
      <w:r w:rsidR="00C33FAB">
        <w:t>s</w:t>
      </w:r>
      <w:r w:rsidR="00F45978">
        <w:t xml:space="preserve"> to </w:t>
      </w:r>
      <w:r w:rsidR="004D7082">
        <w:t>take full advantage of the synchronisation fall-back solution</w:t>
      </w:r>
      <w:r w:rsidR="00F45978">
        <w:t xml:space="preserve"> and </w:t>
      </w:r>
      <w:r w:rsidR="003A4D41">
        <w:t xml:space="preserve">remove barriers to the </w:t>
      </w:r>
      <w:r w:rsidR="00F45978">
        <w:t>implement</w:t>
      </w:r>
      <w:r w:rsidR="003A4D41">
        <w:t>ation of</w:t>
      </w:r>
      <w:r w:rsidR="00F45978">
        <w:t xml:space="preserve"> new technologies such </w:t>
      </w:r>
      <w:r w:rsidR="003A4D41">
        <w:t>as active antenna systems</w:t>
      </w:r>
      <w:r w:rsidR="004D7082">
        <w:t xml:space="preserve">. </w:t>
      </w:r>
    </w:p>
    <w:p w14:paraId="1CF93C8A" w14:textId="3D8A3266" w:rsidR="006F6AA6" w:rsidRPr="00240AE9" w:rsidRDefault="00DA219C" w:rsidP="006F6AA6">
      <w:r>
        <w:t>It</w:t>
      </w:r>
      <w:r w:rsidRPr="006F6AA6">
        <w:t xml:space="preserve"> </w:t>
      </w:r>
      <w:r w:rsidR="006F6AA6" w:rsidRPr="006F6AA6">
        <w:t xml:space="preserve">remains </w:t>
      </w:r>
      <w:r>
        <w:t>a</w:t>
      </w:r>
      <w:r w:rsidRPr="006F6AA6">
        <w:t xml:space="preserve"> </w:t>
      </w:r>
      <w:r w:rsidR="006F6AA6" w:rsidRPr="006F6AA6">
        <w:t>possibility that the ACMA will not include the condition on a particular 3.</w:t>
      </w:r>
      <w:r w:rsidRPr="006F6AA6">
        <w:t>4</w:t>
      </w:r>
      <w:r>
        <w:t> </w:t>
      </w:r>
      <w:r w:rsidR="006F6AA6" w:rsidRPr="006F6AA6">
        <w:t xml:space="preserve">GHz </w:t>
      </w:r>
      <w:r w:rsidR="00EC1048">
        <w:t xml:space="preserve">band </w:t>
      </w:r>
      <w:r w:rsidR="006F6AA6" w:rsidRPr="006F6AA6">
        <w:t xml:space="preserve">spectrum licence, or that its decision to include such a condition will be subject to judicial or merits review, or that the House of Representatives or the Senate will disallow the licence condition determination.  </w:t>
      </w:r>
      <w:r w:rsidR="006F6AA6">
        <w:t>I</w:t>
      </w:r>
      <w:r w:rsidR="006F6AA6" w:rsidRPr="006F6AA6">
        <w:t xml:space="preserve">f it is not possible to achieve uniformity of licence conditions across all 3.4 GHz </w:t>
      </w:r>
      <w:r w:rsidR="00EC1048">
        <w:t xml:space="preserve">band </w:t>
      </w:r>
      <w:r w:rsidR="006F6AA6" w:rsidRPr="006F6AA6">
        <w:t xml:space="preserve">spectrum licences and adjacent apparatus licences, the ACMA may </w:t>
      </w:r>
      <w:r w:rsidR="006F6AA6">
        <w:t xml:space="preserve">need to </w:t>
      </w:r>
      <w:r w:rsidR="006F6AA6" w:rsidRPr="006F6AA6">
        <w:t xml:space="preserve">consider applying alternative interference management arrangements to 3.6 GHz </w:t>
      </w:r>
      <w:r w:rsidR="00EC1048">
        <w:t xml:space="preserve">band </w:t>
      </w:r>
      <w:r w:rsidR="006F6AA6" w:rsidRPr="006F6AA6">
        <w:t>spectrum licences.</w:t>
      </w:r>
    </w:p>
    <w:p w14:paraId="0A21C9CC" w14:textId="79BC43F9" w:rsidR="00411869" w:rsidRPr="002F0EE6" w:rsidRDefault="00411869" w:rsidP="00411869">
      <w:pPr>
        <w:pStyle w:val="Heading2"/>
      </w:pPr>
      <w:bookmarkStart w:id="7" w:name="_Toc520719216"/>
      <w:r>
        <w:t xml:space="preserve">Technical </w:t>
      </w:r>
      <w:r w:rsidR="004D60F0">
        <w:t>f</w:t>
      </w:r>
      <w:r>
        <w:t>ramework</w:t>
      </w:r>
      <w:bookmarkEnd w:id="7"/>
      <w:r>
        <w:t xml:space="preserve"> </w:t>
      </w:r>
    </w:p>
    <w:p w14:paraId="09BF4E16" w14:textId="119AC482" w:rsidR="00E43486" w:rsidRDefault="00DD61C3" w:rsidP="00E43486">
      <w:r>
        <w:rPr>
          <w:szCs w:val="20"/>
        </w:rPr>
        <w:t xml:space="preserve">Considering the views expressed in submissions </w:t>
      </w:r>
      <w:r w:rsidR="00E43486">
        <w:rPr>
          <w:szCs w:val="20"/>
        </w:rPr>
        <w:t>to the May 2018 discussion paper</w:t>
      </w:r>
      <w:r>
        <w:rPr>
          <w:szCs w:val="20"/>
        </w:rPr>
        <w:t xml:space="preserve"> and </w:t>
      </w:r>
      <w:r w:rsidR="00091422">
        <w:rPr>
          <w:szCs w:val="20"/>
        </w:rPr>
        <w:t xml:space="preserve">taking into account </w:t>
      </w:r>
      <w:r>
        <w:rPr>
          <w:szCs w:val="20"/>
        </w:rPr>
        <w:t xml:space="preserve">the </w:t>
      </w:r>
      <w:r w:rsidR="00DA219C">
        <w:rPr>
          <w:szCs w:val="20"/>
        </w:rPr>
        <w:t>m</w:t>
      </w:r>
      <w:r w:rsidRPr="00747C61">
        <w:rPr>
          <w:szCs w:val="20"/>
        </w:rPr>
        <w:t>inister</w:t>
      </w:r>
      <w:r w:rsidR="00482A60" w:rsidRPr="00747C61">
        <w:rPr>
          <w:szCs w:val="20"/>
        </w:rPr>
        <w:t>’s</w:t>
      </w:r>
      <w:r w:rsidRPr="00747C61">
        <w:rPr>
          <w:szCs w:val="20"/>
        </w:rPr>
        <w:t xml:space="preserve"> </w:t>
      </w:r>
      <w:r w:rsidR="00DA219C">
        <w:rPr>
          <w:szCs w:val="20"/>
        </w:rPr>
        <w:t>d</w:t>
      </w:r>
      <w:r w:rsidRPr="00747C61">
        <w:rPr>
          <w:szCs w:val="20"/>
        </w:rPr>
        <w:t>irection</w:t>
      </w:r>
      <w:r>
        <w:rPr>
          <w:szCs w:val="20"/>
        </w:rPr>
        <w:t>, the ACMA has decided to adopt sub-option 1a</w:t>
      </w:r>
      <w:r w:rsidR="00482A60">
        <w:rPr>
          <w:szCs w:val="20"/>
        </w:rPr>
        <w:t>.</w:t>
      </w:r>
      <w:r>
        <w:rPr>
          <w:szCs w:val="20"/>
        </w:rPr>
        <w:t xml:space="preserve"> This includes defining a single framework across both the 3.4 GHz and 3.</w:t>
      </w:r>
      <w:r w:rsidR="00DA219C">
        <w:rPr>
          <w:szCs w:val="20"/>
        </w:rPr>
        <w:t>6 </w:t>
      </w:r>
      <w:r>
        <w:rPr>
          <w:szCs w:val="20"/>
        </w:rPr>
        <w:t xml:space="preserve">GHz bands. </w:t>
      </w:r>
      <w:r w:rsidR="00E43486">
        <w:t xml:space="preserve">Refer to </w:t>
      </w:r>
      <w:r w:rsidR="00DA219C">
        <w:t xml:space="preserve">Section </w:t>
      </w:r>
      <w:r w:rsidR="00E43486">
        <w:t>3 for a summary of views received on this issue.</w:t>
      </w:r>
    </w:p>
    <w:p w14:paraId="5BA83B44" w14:textId="77777777" w:rsidR="00E43486" w:rsidRDefault="00E43486" w:rsidP="00E43486">
      <w:pPr>
        <w:rPr>
          <w:szCs w:val="20"/>
        </w:rPr>
      </w:pPr>
      <w:r>
        <w:rPr>
          <w:szCs w:val="20"/>
        </w:rPr>
        <w:t xml:space="preserve">Changes to the technical framework based on the adoption of sub-option 1a and comments received from the public consultation process are detailed in </w:t>
      </w:r>
      <w:r w:rsidRPr="00BB018B">
        <w:rPr>
          <w:szCs w:val="20"/>
        </w:rPr>
        <w:t>Annex B.</w:t>
      </w:r>
      <w:r>
        <w:rPr>
          <w:szCs w:val="20"/>
        </w:rPr>
        <w:t xml:space="preserve"> </w:t>
      </w:r>
    </w:p>
    <w:p w14:paraId="356F39D6" w14:textId="0DED04AE" w:rsidR="00240AE9" w:rsidRPr="00B56C31" w:rsidRDefault="00240AE9" w:rsidP="005B1E00">
      <w:pPr>
        <w:rPr>
          <w:szCs w:val="20"/>
        </w:rPr>
      </w:pPr>
      <w:r>
        <w:rPr>
          <w:szCs w:val="20"/>
        </w:rPr>
        <w:lastRenderedPageBreak/>
        <w:t xml:space="preserve">The final legislative instruments are now available on the </w:t>
      </w:r>
      <w:hyperlink r:id="rId30" w:history="1">
        <w:r w:rsidRPr="00240AE9">
          <w:rPr>
            <w:rStyle w:val="Hyperlink"/>
            <w:szCs w:val="20"/>
          </w:rPr>
          <w:t>ACMA website</w:t>
        </w:r>
      </w:hyperlink>
      <w:r w:rsidR="00BA7D4A">
        <w:rPr>
          <w:rStyle w:val="FootnoteReference"/>
          <w:color w:val="0000FF"/>
          <w:sz w:val="16"/>
          <w:szCs w:val="16"/>
          <w:u w:val="single"/>
        </w:rPr>
        <w:footnoteReference w:id="5"/>
      </w:r>
      <w:r w:rsidR="00DA219C">
        <w:rPr>
          <w:szCs w:val="20"/>
        </w:rPr>
        <w:t>, and</w:t>
      </w:r>
      <w:r>
        <w:rPr>
          <w:szCs w:val="20"/>
        </w:rPr>
        <w:t xml:space="preserve"> the sample spectrum licence is contained within the </w:t>
      </w:r>
      <w:hyperlink r:id="rId31" w:history="1">
        <w:r w:rsidRPr="00B56C31">
          <w:rPr>
            <w:rStyle w:val="Hyperlink"/>
            <w:szCs w:val="20"/>
          </w:rPr>
          <w:t>Radiocommunications Spectrum Marketing Plan (3.6 GHz band) 2018</w:t>
        </w:r>
      </w:hyperlink>
      <w:r w:rsidRPr="00B56C31">
        <w:rPr>
          <w:szCs w:val="20"/>
        </w:rPr>
        <w:t xml:space="preserve">. </w:t>
      </w:r>
    </w:p>
    <w:p w14:paraId="2C069EB7" w14:textId="58D92DF3" w:rsidR="00411869" w:rsidRPr="002F0EE6" w:rsidRDefault="00411869" w:rsidP="00411869">
      <w:pPr>
        <w:pStyle w:val="Heading2"/>
      </w:pPr>
      <w:bookmarkStart w:id="8" w:name="_Toc520719217"/>
      <w:r>
        <w:t xml:space="preserve">RALI </w:t>
      </w:r>
      <w:r w:rsidR="004D60F0">
        <w:t>c</w:t>
      </w:r>
      <w:r>
        <w:t>onsultation</w:t>
      </w:r>
      <w:bookmarkEnd w:id="8"/>
    </w:p>
    <w:p w14:paraId="6EA76C83" w14:textId="6F268062" w:rsidR="00747C61" w:rsidRDefault="00747C61" w:rsidP="004D60F0">
      <w:pPr>
        <w:spacing w:after="80"/>
      </w:pPr>
      <w:r>
        <w:t xml:space="preserve">In parallel to the </w:t>
      </w:r>
      <w:r w:rsidR="006F6AA6">
        <w:t>release of the May 2018 consultation paper</w:t>
      </w:r>
      <w:r>
        <w:t xml:space="preserve">, the ACMA also consulted on changes to the following three </w:t>
      </w:r>
      <w:r w:rsidRPr="00747C61">
        <w:t>Radiocommunications Assignment and Licensing Instructions (RALI</w:t>
      </w:r>
      <w:r w:rsidR="006D109E">
        <w:t>s</w:t>
      </w:r>
      <w:r w:rsidRPr="00747C61">
        <w:t>)</w:t>
      </w:r>
      <w:r>
        <w:t>:</w:t>
      </w:r>
    </w:p>
    <w:p w14:paraId="103E85A6" w14:textId="07BEBB3B" w:rsidR="00747C61" w:rsidRDefault="00747C61" w:rsidP="004D60F0">
      <w:pPr>
        <w:pStyle w:val="ListBullet"/>
      </w:pPr>
      <w:r>
        <w:t>new RALI</w:t>
      </w:r>
      <w:r w:rsidRPr="00747C61">
        <w:t xml:space="preserve"> MS44: Managing interference to Earth station protection zones</w:t>
      </w:r>
      <w:r>
        <w:t xml:space="preserve"> (</w:t>
      </w:r>
      <w:r w:rsidR="004D60F0">
        <w:t>RALI </w:t>
      </w:r>
      <w:r>
        <w:t>MS44)</w:t>
      </w:r>
    </w:p>
    <w:p w14:paraId="4999EF58" w14:textId="64A6249F" w:rsidR="00747C61" w:rsidRDefault="00747C61" w:rsidP="004D60F0">
      <w:pPr>
        <w:pStyle w:val="ListBullet"/>
      </w:pPr>
      <w:r>
        <w:t xml:space="preserve">updates to </w:t>
      </w:r>
      <w:r w:rsidRPr="00747C61">
        <w:t>RALI FX19: Frequency Coordination and Licensing Procedures for apparatus licensed Broadband Wireless Access Services in the 1900</w:t>
      </w:r>
      <w:r w:rsidR="00BB018B">
        <w:t>–</w:t>
      </w:r>
      <w:r w:rsidRPr="00747C61">
        <w:t>1920 and 3575</w:t>
      </w:r>
      <w:r w:rsidR="00BB018B">
        <w:t>–</w:t>
      </w:r>
      <w:r w:rsidRPr="00747C61">
        <w:t>3700 MHz bands</w:t>
      </w:r>
      <w:r>
        <w:t xml:space="preserve"> (RALI FX19)</w:t>
      </w:r>
    </w:p>
    <w:p w14:paraId="1503AC79" w14:textId="3590FE1D" w:rsidR="00411869" w:rsidRDefault="00747C61" w:rsidP="004D60F0">
      <w:pPr>
        <w:pStyle w:val="ListBulletLast"/>
      </w:pPr>
      <w:r>
        <w:t xml:space="preserve">updates to </w:t>
      </w:r>
      <w:r w:rsidRPr="00747C61">
        <w:t xml:space="preserve">RALI MS39: Frequency Coordination and Licensing Procedures for Apparatus Licensed Public Telecommunications Services in the 3.5 GHz Band </w:t>
      </w:r>
      <w:r>
        <w:t>(RALI MS39).</w:t>
      </w:r>
    </w:p>
    <w:p w14:paraId="6CD15404" w14:textId="5F4BA57C" w:rsidR="00747C61" w:rsidRPr="00747C61" w:rsidRDefault="00747C61" w:rsidP="00747C61">
      <w:r>
        <w:t xml:space="preserve">These RALIs are incorporated by reference to the </w:t>
      </w:r>
      <w:r w:rsidR="007F4D23">
        <w:t xml:space="preserve">legislative instruments that form the 3.4 GHz and 3.6 GHz bands technical framework. </w:t>
      </w:r>
      <w:r w:rsidR="007F4D23" w:rsidRPr="007F4D23">
        <w:t xml:space="preserve">Consultation on these RALIs occurred first within the </w:t>
      </w:r>
      <w:r w:rsidR="007F4D23">
        <w:t xml:space="preserve">3.6 GHz band </w:t>
      </w:r>
      <w:r w:rsidR="007F4D23" w:rsidRPr="007F4D23">
        <w:t>TLG in April to May 2018</w:t>
      </w:r>
      <w:r w:rsidR="00DA219C">
        <w:t xml:space="preserve">, followed by </w:t>
      </w:r>
      <w:hyperlink r:id="rId32" w:history="1">
        <w:r w:rsidR="00DA219C" w:rsidRPr="00DA219C">
          <w:rPr>
            <w:rStyle w:val="Hyperlink"/>
          </w:rPr>
          <w:t>public consultation</w:t>
        </w:r>
      </w:hyperlink>
      <w:r w:rsidR="007F4D23" w:rsidRPr="007F4D23">
        <w:t xml:space="preserve"> during June 2018.</w:t>
      </w:r>
    </w:p>
    <w:p w14:paraId="36343092" w14:textId="50924AF8" w:rsidR="00DD61C3" w:rsidRDefault="00240AE9" w:rsidP="00411869">
      <w:r w:rsidRPr="007F4D23">
        <w:t xml:space="preserve">All three RALIs have now been finalised and are available on the </w:t>
      </w:r>
      <w:hyperlink r:id="rId33" w:history="1">
        <w:r w:rsidRPr="007F4D23">
          <w:rPr>
            <w:rStyle w:val="Hyperlink"/>
          </w:rPr>
          <w:t>ACMA website</w:t>
        </w:r>
      </w:hyperlink>
      <w:r w:rsidRPr="007F4D23">
        <w:t xml:space="preserve">. </w:t>
      </w:r>
    </w:p>
    <w:p w14:paraId="35BCD493" w14:textId="741876A9" w:rsidR="00DB6CDD" w:rsidRPr="002F0EE6" w:rsidRDefault="00DB6CDD" w:rsidP="00DB6CDD">
      <w:pPr>
        <w:pStyle w:val="Heading2"/>
      </w:pPr>
      <w:bookmarkStart w:id="9" w:name="_Toc520719218"/>
      <w:r>
        <w:t xml:space="preserve">Trading </w:t>
      </w:r>
      <w:r w:rsidR="00BB018B">
        <w:t>d</w:t>
      </w:r>
      <w:r>
        <w:t>etermination</w:t>
      </w:r>
      <w:bookmarkEnd w:id="9"/>
    </w:p>
    <w:p w14:paraId="2833D4AF" w14:textId="3B3C8DBF" w:rsidR="00DB6CDD" w:rsidRDefault="00DB6CDD" w:rsidP="00DB6CDD">
      <w:r>
        <w:t xml:space="preserve">The ACMA has included the 3.6 GHz band to the </w:t>
      </w:r>
      <w:r w:rsidR="00BB018B">
        <w:t>t</w:t>
      </w:r>
      <w:r>
        <w:t xml:space="preserve">rading </w:t>
      </w:r>
      <w:r w:rsidR="00BB018B">
        <w:t>d</w:t>
      </w:r>
      <w:r>
        <w:t xml:space="preserve">etermination and defined a </w:t>
      </w:r>
      <w:r w:rsidR="001A27A8">
        <w:t>m</w:t>
      </w:r>
      <w:r w:rsidR="004D7082">
        <w:t xml:space="preserve">inimum </w:t>
      </w:r>
      <w:r w:rsidR="001A27A8">
        <w:t>c</w:t>
      </w:r>
      <w:r w:rsidR="004D7082">
        <w:t xml:space="preserve">ontiguous </w:t>
      </w:r>
      <w:r w:rsidR="001A27A8">
        <w:t>b</w:t>
      </w:r>
      <w:r w:rsidR="004D7082">
        <w:t>andwidth (</w:t>
      </w:r>
      <w:r>
        <w:t>MCB</w:t>
      </w:r>
      <w:r w:rsidR="004D7082">
        <w:t>)</w:t>
      </w:r>
      <w:r>
        <w:t xml:space="preserve"> of 10 MHz. </w:t>
      </w:r>
      <w:r w:rsidR="002B6B66">
        <w:t>The 27 GHz band has also been removed from Schedule 1</w:t>
      </w:r>
      <w:r w:rsidR="00E30DC9">
        <w:t xml:space="preserve"> (</w:t>
      </w:r>
      <w:r w:rsidR="004B2D9E">
        <w:t>because of</w:t>
      </w:r>
      <w:r w:rsidR="00E30DC9">
        <w:t xml:space="preserve"> spectrum licensing no longer being applicable in the band)</w:t>
      </w:r>
      <w:r w:rsidR="002B6B66">
        <w:t xml:space="preserve">. </w:t>
      </w:r>
    </w:p>
    <w:p w14:paraId="61668262" w14:textId="77777777" w:rsidR="00BC2555" w:rsidRDefault="00BC2555" w:rsidP="005B1E00"/>
    <w:p w14:paraId="79A45BB4" w14:textId="54BF64BB" w:rsidR="007D3650" w:rsidRPr="002F0EE6" w:rsidRDefault="005C2E34" w:rsidP="007D3650">
      <w:pPr>
        <w:pStyle w:val="Heading1"/>
      </w:pPr>
      <w:bookmarkStart w:id="10" w:name="_Toc520719219"/>
      <w:r w:rsidRPr="002F0EE6">
        <w:lastRenderedPageBreak/>
        <w:t>3</w:t>
      </w:r>
      <w:r w:rsidR="00FE6882" w:rsidRPr="002F0EE6">
        <w:t>.</w:t>
      </w:r>
      <w:r w:rsidR="007D3650" w:rsidRPr="002F0EE6">
        <w:tab/>
      </w:r>
      <w:r w:rsidR="009830EE">
        <w:t>Summary of and response to submission</w:t>
      </w:r>
      <w:r w:rsidR="00E30DC9">
        <w:t>s</w:t>
      </w:r>
      <w:bookmarkEnd w:id="10"/>
    </w:p>
    <w:p w14:paraId="701565FE" w14:textId="0FF0A940" w:rsidR="00C23ABF" w:rsidRDefault="00C23ABF" w:rsidP="004D60F0">
      <w:r w:rsidRPr="009B31A4">
        <w:t xml:space="preserve">This section </w:t>
      </w:r>
      <w:r w:rsidR="009D3D01">
        <w:t>summarises submissions</w:t>
      </w:r>
      <w:r w:rsidRPr="009B31A4">
        <w:t xml:space="preserve"> </w:t>
      </w:r>
      <w:r w:rsidR="007E2DBD">
        <w:t>to the</w:t>
      </w:r>
      <w:r w:rsidR="00BB0C77">
        <w:t xml:space="preserve"> issues for comment </w:t>
      </w:r>
      <w:r w:rsidR="007E2DBD">
        <w:t>in</w:t>
      </w:r>
      <w:r>
        <w:t xml:space="preserve"> the </w:t>
      </w:r>
      <w:r w:rsidRPr="002F0EE6">
        <w:t>May 2018 discussion paper</w:t>
      </w:r>
      <w:r w:rsidR="007E2DBD">
        <w:t xml:space="preserve">. The </w:t>
      </w:r>
      <w:r w:rsidRPr="009B31A4">
        <w:t xml:space="preserve">ACMA’s </w:t>
      </w:r>
      <w:r w:rsidR="00BB0C77">
        <w:t>reply</w:t>
      </w:r>
      <w:r w:rsidR="007E2DBD">
        <w:t xml:space="preserve"> to responses and any resulting changes to the technical framework are also included</w:t>
      </w:r>
      <w:r w:rsidRPr="009B31A4">
        <w:t xml:space="preserve">. </w:t>
      </w:r>
      <w:r w:rsidR="00CC3BBB">
        <w:t xml:space="preserve">A list of all submitters is provided at </w:t>
      </w:r>
      <w:r w:rsidR="00CC3BBB" w:rsidRPr="001A27A8">
        <w:t>Annex A</w:t>
      </w:r>
      <w:r w:rsidR="00CC3BBB">
        <w:t xml:space="preserve">. </w:t>
      </w:r>
      <w:r w:rsidR="001A27A8">
        <w:t>A </w:t>
      </w:r>
      <w:r w:rsidR="00CC3BBB">
        <w:t xml:space="preserve">summary of changes made to the technical framework as a result of the public consultation is provided at </w:t>
      </w:r>
      <w:r w:rsidR="00CC3BBB" w:rsidRPr="001A27A8">
        <w:t>Annex B</w:t>
      </w:r>
      <w:r w:rsidR="00CC3BBB">
        <w:t>.</w:t>
      </w:r>
    </w:p>
    <w:p w14:paraId="7FF6BE7A" w14:textId="1E99AD8E" w:rsidR="00C23ABF" w:rsidRPr="00F91DB9" w:rsidRDefault="00AA1B34" w:rsidP="004D60F0">
      <w:r>
        <w:t>G</w:t>
      </w:r>
      <w:r w:rsidR="00C23ABF">
        <w:t xml:space="preserve">iven the ACMA’s decision to adopt sub-option 1a, submissions that commented on changes to the technical framework </w:t>
      </w:r>
      <w:r>
        <w:t xml:space="preserve">that relate to other options are not </w:t>
      </w:r>
      <w:r w:rsidR="00EB704D">
        <w:t>discussed here</w:t>
      </w:r>
      <w:r>
        <w:t xml:space="preserve">. </w:t>
      </w:r>
    </w:p>
    <w:p w14:paraId="7C71DBFB" w14:textId="08A3E7FF" w:rsidR="00C23ABF" w:rsidRDefault="00C23ABF" w:rsidP="00C23ABF">
      <w:pPr>
        <w:pStyle w:val="Heading2"/>
      </w:pPr>
      <w:bookmarkStart w:id="11" w:name="_Toc412554835"/>
      <w:bookmarkStart w:id="12" w:name="_Toc520719220"/>
      <w:r>
        <w:t xml:space="preserve">Summary of </w:t>
      </w:r>
      <w:r w:rsidR="00235034">
        <w:t>submissions</w:t>
      </w:r>
      <w:r>
        <w:t xml:space="preserve"> and ACMA </w:t>
      </w:r>
      <w:r w:rsidR="004D60F0">
        <w:t>r</w:t>
      </w:r>
      <w:r>
        <w:t>esponse</w:t>
      </w:r>
      <w:bookmarkEnd w:id="11"/>
      <w:bookmarkEnd w:id="12"/>
    </w:p>
    <w:p w14:paraId="0A8526A9" w14:textId="0D20A60B" w:rsidR="00DB218F" w:rsidRPr="00BB018B" w:rsidRDefault="00DB218F" w:rsidP="00BB018B">
      <w:pPr>
        <w:pStyle w:val="Heading3"/>
      </w:pPr>
      <w:r w:rsidRPr="00BB018B">
        <w:t xml:space="preserve">Issue for comment </w:t>
      </w:r>
      <w:r w:rsidR="004564E6" w:rsidRPr="00BB018B">
        <w:t>questions 1 and 2</w:t>
      </w:r>
    </w:p>
    <w:p w14:paraId="754E7DE0" w14:textId="00BCA514" w:rsidR="004D2315" w:rsidRPr="004D60F0" w:rsidRDefault="004D2315" w:rsidP="004D60F0">
      <w:pPr>
        <w:pStyle w:val="ListNumber"/>
        <w:numPr>
          <w:ilvl w:val="0"/>
          <w:numId w:val="28"/>
        </w:numPr>
        <w:rPr>
          <w:i/>
        </w:rPr>
      </w:pPr>
      <w:r w:rsidRPr="004D60F0">
        <w:rPr>
          <w:i/>
        </w:rPr>
        <w:t>The ACMA seeks comment from interested stakeholders on the draft spectrum licences for the 3.4 GHz band at Attachment A (for Option 1) and Attachment B (for Option 2).</w:t>
      </w:r>
    </w:p>
    <w:p w14:paraId="78DE3C4F" w14:textId="44CEDEE2" w:rsidR="00EF7D49" w:rsidRPr="004D60F0" w:rsidRDefault="00EF7D49" w:rsidP="004D60F0">
      <w:pPr>
        <w:pStyle w:val="ListNumber"/>
        <w:numPr>
          <w:ilvl w:val="0"/>
          <w:numId w:val="28"/>
        </w:numPr>
        <w:spacing w:after="240"/>
        <w:rPr>
          <w:i/>
        </w:rPr>
      </w:pPr>
      <w:r w:rsidRPr="004D60F0">
        <w:rPr>
          <w:i/>
        </w:rPr>
        <w:t>The ACMA seeks comment on the proposed sub-options 1a and 1b, including wording for the temporary synchronisation configuration. If sub-option 1b is adopted, what would be an appropriate time frame for the temporary synchronisation configuration to apply? What would be an appropriate time frame for the transition period (when both the temporary and Attachment A configuration would apply)?</w:t>
      </w:r>
    </w:p>
    <w:p w14:paraId="48DFD2E9" w14:textId="77777777" w:rsidR="00834021" w:rsidRPr="004D60F0" w:rsidRDefault="00834021" w:rsidP="004D60F0">
      <w:pPr>
        <w:pStyle w:val="Heading3"/>
      </w:pPr>
      <w:r w:rsidRPr="004D60F0">
        <w:t>Summary of submissions</w:t>
      </w:r>
    </w:p>
    <w:p w14:paraId="120CA9FB" w14:textId="0EC3D46D" w:rsidR="0053460B" w:rsidRPr="0053460B" w:rsidRDefault="0053460B" w:rsidP="00BB018B">
      <w:pPr>
        <w:pStyle w:val="BodySubHeader"/>
        <w:spacing w:before="60"/>
      </w:pPr>
      <w:r>
        <w:t xml:space="preserve">Technical framework option </w:t>
      </w:r>
    </w:p>
    <w:p w14:paraId="28215828" w14:textId="1307D916" w:rsidR="0028604E" w:rsidRPr="0028604E" w:rsidRDefault="004D2315" w:rsidP="0053460B">
      <w:pPr>
        <w:rPr>
          <w:rFonts w:cs="Arial"/>
        </w:rPr>
      </w:pPr>
      <w:r>
        <w:rPr>
          <w:rFonts w:cs="Arial"/>
        </w:rPr>
        <w:t>All but two</w:t>
      </w:r>
      <w:r w:rsidRPr="00271A56">
        <w:rPr>
          <w:rFonts w:cs="Arial"/>
        </w:rPr>
        <w:t xml:space="preserve"> </w:t>
      </w:r>
      <w:r w:rsidR="00EB704D" w:rsidRPr="00271A56">
        <w:rPr>
          <w:rFonts w:cs="Arial"/>
        </w:rPr>
        <w:t>submissions</w:t>
      </w:r>
      <w:r w:rsidRPr="00271A56">
        <w:rPr>
          <w:rFonts w:cs="Arial"/>
        </w:rPr>
        <w:t xml:space="preserve"> to the public consultation supported Option 1</w:t>
      </w:r>
      <w:r w:rsidR="00406B1D">
        <w:rPr>
          <w:rFonts w:cs="Arial"/>
        </w:rPr>
        <w:t xml:space="preserve">. </w:t>
      </w:r>
      <w:r w:rsidR="00EB704D">
        <w:rPr>
          <w:rFonts w:cs="Arial"/>
        </w:rPr>
        <w:t>These submissions</w:t>
      </w:r>
      <w:r w:rsidR="00CC3BBB">
        <w:rPr>
          <w:rFonts w:cs="Arial"/>
        </w:rPr>
        <w:t xml:space="preserve"> </w:t>
      </w:r>
      <w:r w:rsidR="00406B1D">
        <w:rPr>
          <w:rFonts w:cs="Arial"/>
        </w:rPr>
        <w:t xml:space="preserve">also </w:t>
      </w:r>
      <w:r w:rsidR="00CC3BBB">
        <w:rPr>
          <w:rFonts w:cs="Arial"/>
        </w:rPr>
        <w:t xml:space="preserve">indicated a </w:t>
      </w:r>
      <w:r w:rsidR="0062691A">
        <w:rPr>
          <w:rFonts w:cs="Arial"/>
        </w:rPr>
        <w:t xml:space="preserve">preference for </w:t>
      </w:r>
      <w:r w:rsidR="00EF7D49" w:rsidRPr="00271A56">
        <w:rPr>
          <w:rFonts w:cs="Arial"/>
        </w:rPr>
        <w:t xml:space="preserve">sub-option 1a. </w:t>
      </w:r>
      <w:r w:rsidR="0062691A">
        <w:rPr>
          <w:rFonts w:cs="Arial"/>
        </w:rPr>
        <w:t>This is</w:t>
      </w:r>
      <w:r w:rsidR="00406B1D">
        <w:rPr>
          <w:rFonts w:cs="Arial"/>
        </w:rPr>
        <w:t xml:space="preserve"> because there is global consensus from </w:t>
      </w:r>
      <w:r w:rsidR="00D57EF5">
        <w:rPr>
          <w:rFonts w:cs="Arial"/>
        </w:rPr>
        <w:t xml:space="preserve">vendors </w:t>
      </w:r>
      <w:r w:rsidR="00406B1D">
        <w:rPr>
          <w:rFonts w:cs="Arial"/>
        </w:rPr>
        <w:t xml:space="preserve">that first release 5G equipment will </w:t>
      </w:r>
      <w:r w:rsidR="0062691A">
        <w:rPr>
          <w:rFonts w:cs="Arial"/>
        </w:rPr>
        <w:t>support a 3:</w:t>
      </w:r>
      <w:r w:rsidR="001A27A8">
        <w:rPr>
          <w:rFonts w:cs="Arial"/>
        </w:rPr>
        <w:t>1 </w:t>
      </w:r>
      <w:r w:rsidR="0062691A">
        <w:rPr>
          <w:rFonts w:cs="Arial"/>
        </w:rPr>
        <w:t xml:space="preserve">frame structure. </w:t>
      </w:r>
    </w:p>
    <w:p w14:paraId="5B2C0B87" w14:textId="65879BE0" w:rsidR="00EF7D49" w:rsidRPr="002F0EE6" w:rsidRDefault="00EF7D49" w:rsidP="004D60F0">
      <w:pPr>
        <w:rPr>
          <w:szCs w:val="20"/>
        </w:rPr>
      </w:pPr>
      <w:r w:rsidRPr="00271A56">
        <w:t>There was no support for sub-option 1b because early release equipment is not expected to support a 1:1 frame structure</w:t>
      </w:r>
      <w:r>
        <w:t>.</w:t>
      </w:r>
      <w:r w:rsidRPr="00271A56">
        <w:t xml:space="preserve"> </w:t>
      </w:r>
      <w:r w:rsidR="00E32A9E">
        <w:t>Its</w:t>
      </w:r>
      <w:r w:rsidR="009E0FEC">
        <w:t xml:space="preserve"> adoption</w:t>
      </w:r>
      <w:r w:rsidRPr="00271A56">
        <w:t xml:space="preserve"> could therefore delay service deployment and/or limit vendor choice. </w:t>
      </w:r>
      <w:r w:rsidR="009E0FEC">
        <w:t xml:space="preserve">A </w:t>
      </w:r>
      <w:r>
        <w:t>1:1 frame structure was also c</w:t>
      </w:r>
      <w:r w:rsidR="0062691A">
        <w:t xml:space="preserve">onsidered to be </w:t>
      </w:r>
      <w:r>
        <w:t xml:space="preserve">inefficient </w:t>
      </w:r>
      <w:r w:rsidR="009E0FEC">
        <w:t>by most submitters since public fixed and mobile networks</w:t>
      </w:r>
      <w:r>
        <w:t xml:space="preserve"> tend to have much larger downlink capacity requirements.</w:t>
      </w:r>
    </w:p>
    <w:p w14:paraId="219176FB" w14:textId="758835D8" w:rsidR="004D2315" w:rsidRDefault="004D2315" w:rsidP="004D2315">
      <w:pPr>
        <w:rPr>
          <w:rFonts w:cs="Arial"/>
        </w:rPr>
      </w:pPr>
      <w:r>
        <w:rPr>
          <w:rFonts w:cs="Arial"/>
        </w:rPr>
        <w:t xml:space="preserve">Both </w:t>
      </w:r>
      <w:r w:rsidR="001A27A8" w:rsidRPr="00BB018B">
        <w:rPr>
          <w:rFonts w:cs="Arial"/>
        </w:rPr>
        <w:t>NBN Co</w:t>
      </w:r>
      <w:r w:rsidR="00BB018B" w:rsidRPr="00BB018B">
        <w:rPr>
          <w:rFonts w:cs="Arial"/>
        </w:rPr>
        <w:t xml:space="preserve"> Ltd (NBN Co)</w:t>
      </w:r>
      <w:r w:rsidR="001A27A8" w:rsidRPr="00271A56">
        <w:rPr>
          <w:rFonts w:cs="Arial"/>
        </w:rPr>
        <w:t xml:space="preserve"> </w:t>
      </w:r>
      <w:r>
        <w:rPr>
          <w:rFonts w:cs="Arial"/>
        </w:rPr>
        <w:t xml:space="preserve">and Airspan Spectrum Holdings (ASH) </w:t>
      </w:r>
      <w:r w:rsidRPr="00271A56">
        <w:rPr>
          <w:rFonts w:cs="Arial"/>
        </w:rPr>
        <w:t>supported</w:t>
      </w:r>
      <w:r>
        <w:rPr>
          <w:rFonts w:cs="Arial"/>
        </w:rPr>
        <w:t xml:space="preserve"> Option 2</w:t>
      </w:r>
      <w:r w:rsidRPr="00271A56">
        <w:rPr>
          <w:rFonts w:cs="Arial"/>
        </w:rPr>
        <w:t>.</w:t>
      </w:r>
      <w:r w:rsidR="00D57EF5">
        <w:rPr>
          <w:rFonts w:cs="Arial"/>
        </w:rPr>
        <w:t xml:space="preserve"> ASH saw</w:t>
      </w:r>
      <w:r>
        <w:rPr>
          <w:rFonts w:cs="Arial"/>
        </w:rPr>
        <w:t xml:space="preserve"> benefit in identifying up to 20 MHz of spectrum between the 3.4 GHz and 3.6 GHz </w:t>
      </w:r>
      <w:r w:rsidR="00EF7D49">
        <w:rPr>
          <w:rFonts w:cs="Arial"/>
        </w:rPr>
        <w:t>bands, which</w:t>
      </w:r>
      <w:r>
        <w:rPr>
          <w:rFonts w:cs="Arial"/>
        </w:rPr>
        <w:t xml:space="preserve"> would otherwise be used as guard bands</w:t>
      </w:r>
      <w:r w:rsidR="0062691A">
        <w:rPr>
          <w:rFonts w:cs="Arial"/>
        </w:rPr>
        <w:t xml:space="preserve"> under Option 2</w:t>
      </w:r>
      <w:r>
        <w:rPr>
          <w:rFonts w:cs="Arial"/>
        </w:rPr>
        <w:t>, for use by small cell operators</w:t>
      </w:r>
      <w:r w:rsidR="00D57EF5">
        <w:rPr>
          <w:rFonts w:cs="Arial"/>
        </w:rPr>
        <w:t xml:space="preserve"> including </w:t>
      </w:r>
      <w:r w:rsidR="006110DF">
        <w:rPr>
          <w:rFonts w:cs="Arial"/>
        </w:rPr>
        <w:t xml:space="preserve">wholesale </w:t>
      </w:r>
      <w:r w:rsidR="0062691A">
        <w:rPr>
          <w:rFonts w:cs="Arial"/>
        </w:rPr>
        <w:t>neutral host</w:t>
      </w:r>
      <w:r w:rsidR="006110DF">
        <w:rPr>
          <w:rFonts w:cs="Arial"/>
        </w:rPr>
        <w:t xml:space="preserve"> networks</w:t>
      </w:r>
      <w:r>
        <w:rPr>
          <w:rFonts w:cs="Arial"/>
        </w:rPr>
        <w:t>.</w:t>
      </w:r>
      <w:r w:rsidR="00EF7D49">
        <w:rPr>
          <w:rFonts w:cs="Arial"/>
        </w:rPr>
        <w:t xml:space="preserve"> </w:t>
      </w:r>
      <w:r w:rsidR="006110DF">
        <w:rPr>
          <w:rFonts w:cs="Arial"/>
        </w:rPr>
        <w:t xml:space="preserve">While </w:t>
      </w:r>
      <w:r w:rsidR="001A27A8">
        <w:rPr>
          <w:rFonts w:cs="Arial"/>
        </w:rPr>
        <w:t xml:space="preserve">NBN Co </w:t>
      </w:r>
      <w:r w:rsidR="006110DF">
        <w:rPr>
          <w:rFonts w:cs="Arial"/>
        </w:rPr>
        <w:t xml:space="preserve">saw the benefits of Option 1 and adopting a 3:1 frame </w:t>
      </w:r>
      <w:r w:rsidR="0062691A">
        <w:rPr>
          <w:rFonts w:cs="Arial"/>
        </w:rPr>
        <w:t>structure</w:t>
      </w:r>
      <w:r w:rsidR="006110DF">
        <w:rPr>
          <w:rFonts w:cs="Arial"/>
        </w:rPr>
        <w:t xml:space="preserve">, it </w:t>
      </w:r>
      <w:r w:rsidR="00D57EF5">
        <w:rPr>
          <w:rFonts w:cs="Arial"/>
        </w:rPr>
        <w:t xml:space="preserve">was unable to support </w:t>
      </w:r>
      <w:r w:rsidR="006110DF">
        <w:rPr>
          <w:rFonts w:cs="Arial"/>
        </w:rPr>
        <w:t>it</w:t>
      </w:r>
      <w:r w:rsidR="00D57EF5">
        <w:rPr>
          <w:rFonts w:cs="Arial"/>
        </w:rPr>
        <w:t xml:space="preserve"> </w:t>
      </w:r>
      <w:r w:rsidR="006110DF">
        <w:rPr>
          <w:rFonts w:cs="Arial"/>
        </w:rPr>
        <w:t xml:space="preserve">due to uncertainties surrounding </w:t>
      </w:r>
      <w:r w:rsidR="00736235">
        <w:rPr>
          <w:rFonts w:cs="Arial"/>
        </w:rPr>
        <w:t>its</w:t>
      </w:r>
      <w:r w:rsidR="006110DF">
        <w:rPr>
          <w:rFonts w:cs="Arial"/>
        </w:rPr>
        <w:t xml:space="preserve"> ability to move from </w:t>
      </w:r>
      <w:r w:rsidR="00736235">
        <w:rPr>
          <w:rFonts w:cs="Arial"/>
        </w:rPr>
        <w:t>its</w:t>
      </w:r>
      <w:r w:rsidR="006110DF">
        <w:rPr>
          <w:rFonts w:cs="Arial"/>
        </w:rPr>
        <w:t xml:space="preserve"> existing frame</w:t>
      </w:r>
      <w:r w:rsidR="0062691A">
        <w:rPr>
          <w:rFonts w:cs="Arial"/>
        </w:rPr>
        <w:t xml:space="preserve"> structure</w:t>
      </w:r>
      <w:r w:rsidR="00D57EF5">
        <w:rPr>
          <w:rFonts w:cs="Arial"/>
        </w:rPr>
        <w:t>.</w:t>
      </w:r>
      <w:r>
        <w:rPr>
          <w:rFonts w:cs="Arial"/>
        </w:rPr>
        <w:t xml:space="preserve"> </w:t>
      </w:r>
      <w:r w:rsidRPr="00271A56">
        <w:rPr>
          <w:rFonts w:cs="Arial"/>
        </w:rPr>
        <w:t xml:space="preserve"> </w:t>
      </w:r>
    </w:p>
    <w:p w14:paraId="69E34134" w14:textId="0586A7EB" w:rsidR="004D2315" w:rsidRPr="00271A56" w:rsidRDefault="004D2315" w:rsidP="004D2315">
      <w:pPr>
        <w:rPr>
          <w:rFonts w:cs="Arial"/>
        </w:rPr>
      </w:pPr>
      <w:r w:rsidRPr="00271A56">
        <w:rPr>
          <w:rFonts w:cs="Arial"/>
        </w:rPr>
        <w:t xml:space="preserve">Most other respondents rejected Option 2 </w:t>
      </w:r>
      <w:r w:rsidR="00E57458">
        <w:rPr>
          <w:rFonts w:cs="Arial"/>
        </w:rPr>
        <w:t>on the grounds</w:t>
      </w:r>
      <w:r w:rsidR="00E57458" w:rsidRPr="00271A56">
        <w:rPr>
          <w:rFonts w:cs="Arial"/>
        </w:rPr>
        <w:t xml:space="preserve"> </w:t>
      </w:r>
      <w:r w:rsidRPr="00271A56">
        <w:rPr>
          <w:rFonts w:cs="Arial"/>
        </w:rPr>
        <w:t>it would be</w:t>
      </w:r>
      <w:r w:rsidR="001A27A8">
        <w:rPr>
          <w:rFonts w:cs="Arial"/>
        </w:rPr>
        <w:t xml:space="preserve"> an</w:t>
      </w:r>
      <w:r w:rsidRPr="00271A56">
        <w:rPr>
          <w:rFonts w:cs="Arial"/>
        </w:rPr>
        <w:t xml:space="preserve"> inefficient use of the limited spectrum on offer, increase equipment costs and delay the deployment of 5G in Australia. There was, however, limited support for this option from Telstra, but only </w:t>
      </w:r>
      <w:r w:rsidR="001A27A8">
        <w:rPr>
          <w:rFonts w:cs="Arial"/>
        </w:rPr>
        <w:t>if</w:t>
      </w:r>
      <w:r w:rsidRPr="00271A56">
        <w:rPr>
          <w:rFonts w:cs="Arial"/>
        </w:rPr>
        <w:t xml:space="preserve"> Option 1 was not feasible.</w:t>
      </w:r>
    </w:p>
    <w:p w14:paraId="5FC98203" w14:textId="637FB4C7" w:rsidR="006110DF" w:rsidRDefault="004D2315" w:rsidP="004D2315">
      <w:pPr>
        <w:rPr>
          <w:rFonts w:cs="Arial"/>
        </w:rPr>
      </w:pPr>
      <w:r w:rsidRPr="00271A56">
        <w:rPr>
          <w:rFonts w:cs="Arial"/>
        </w:rPr>
        <w:t>There was no support for Option 3.</w:t>
      </w:r>
    </w:p>
    <w:p w14:paraId="609D0B0C" w14:textId="3AEF86A1" w:rsidR="0053460B" w:rsidRPr="0053460B" w:rsidRDefault="0053460B" w:rsidP="00BB018B">
      <w:pPr>
        <w:pStyle w:val="BodySubHeader"/>
        <w:keepNext/>
      </w:pPr>
      <w:r>
        <w:lastRenderedPageBreak/>
        <w:t>Synchronisation requirement</w:t>
      </w:r>
    </w:p>
    <w:p w14:paraId="2F139225" w14:textId="3FAB3606" w:rsidR="0053460B" w:rsidRDefault="0062691A" w:rsidP="0053460B">
      <w:pPr>
        <w:rPr>
          <w:rFonts w:cs="Arial"/>
        </w:rPr>
      </w:pPr>
      <w:r>
        <w:rPr>
          <w:rFonts w:cs="Arial"/>
        </w:rPr>
        <w:t>While there was general support for the proposed synchronisation fall-back solution, s</w:t>
      </w:r>
      <w:r w:rsidR="0053460B">
        <w:rPr>
          <w:rFonts w:cs="Arial"/>
        </w:rPr>
        <w:t>ome submitters indicated that alternative frame structures that match the one proposed by the ACMA in 3GPP TS 36.211 should be allowed, including those defined for New Radio</w:t>
      </w:r>
      <w:r>
        <w:rPr>
          <w:rFonts w:cs="Arial"/>
        </w:rPr>
        <w:t xml:space="preserve"> in 3GPP TS 38.211</w:t>
      </w:r>
      <w:r w:rsidR="0053460B">
        <w:rPr>
          <w:rFonts w:cs="Arial"/>
        </w:rPr>
        <w:t xml:space="preserve">. </w:t>
      </w:r>
    </w:p>
    <w:p w14:paraId="1CDA5E46" w14:textId="22619A28" w:rsidR="0053460B" w:rsidRDefault="0053460B" w:rsidP="0053460B">
      <w:pPr>
        <w:rPr>
          <w:rFonts w:cs="Arial"/>
        </w:rPr>
      </w:pPr>
      <w:r>
        <w:rPr>
          <w:rFonts w:cs="Arial"/>
        </w:rPr>
        <w:t>Telstra requested the removal of the overly prescriptive values for synchronisation (</w:t>
      </w:r>
      <w:r>
        <w:rPr>
          <w:szCs w:val="20"/>
        </w:rPr>
        <w:t xml:space="preserve">referenced to 3GPP standard TS 36.211) from the ACMA’s proposed </w:t>
      </w:r>
      <w:r w:rsidR="001A27A8">
        <w:rPr>
          <w:bCs/>
          <w:szCs w:val="20"/>
        </w:rPr>
        <w:t>s</w:t>
      </w:r>
      <w:r w:rsidRPr="0053460B">
        <w:rPr>
          <w:bCs/>
          <w:szCs w:val="20"/>
        </w:rPr>
        <w:t xml:space="preserve">ynchronisation </w:t>
      </w:r>
      <w:r w:rsidR="001A27A8">
        <w:rPr>
          <w:bCs/>
          <w:szCs w:val="20"/>
        </w:rPr>
        <w:t>r</w:t>
      </w:r>
      <w:r w:rsidRPr="0053460B">
        <w:rPr>
          <w:bCs/>
          <w:szCs w:val="20"/>
        </w:rPr>
        <w:t>equirement</w:t>
      </w:r>
      <w:r w:rsidR="00B552FE">
        <w:rPr>
          <w:bCs/>
          <w:szCs w:val="20"/>
        </w:rPr>
        <w:t xml:space="preserve">. </w:t>
      </w:r>
      <w:r w:rsidR="00E57458">
        <w:rPr>
          <w:bCs/>
          <w:szCs w:val="20"/>
        </w:rPr>
        <w:t xml:space="preserve">Its </w:t>
      </w:r>
      <w:r w:rsidR="00B552FE">
        <w:rPr>
          <w:bCs/>
          <w:szCs w:val="20"/>
        </w:rPr>
        <w:t xml:space="preserve">concern </w:t>
      </w:r>
      <w:r w:rsidR="00822272">
        <w:rPr>
          <w:bCs/>
          <w:szCs w:val="20"/>
        </w:rPr>
        <w:t>wa</w:t>
      </w:r>
      <w:r w:rsidR="00B552FE">
        <w:rPr>
          <w:bCs/>
          <w:szCs w:val="20"/>
        </w:rPr>
        <w:t>s</w:t>
      </w:r>
      <w:r w:rsidR="00822272">
        <w:rPr>
          <w:bCs/>
          <w:szCs w:val="20"/>
        </w:rPr>
        <w:t xml:space="preserve"> that</w:t>
      </w:r>
      <w:r>
        <w:rPr>
          <w:bCs/>
          <w:szCs w:val="20"/>
        </w:rPr>
        <w:t xml:space="preserve"> the approach proposed by the ACMA would lock licensees in to a synchronisation framework that could become obsolete within the lifetime of the licences. </w:t>
      </w:r>
      <w:r w:rsidR="001A27A8">
        <w:rPr>
          <w:bCs/>
          <w:szCs w:val="20"/>
        </w:rPr>
        <w:t xml:space="preserve">Telstra </w:t>
      </w:r>
      <w:r>
        <w:rPr>
          <w:bCs/>
          <w:szCs w:val="20"/>
        </w:rPr>
        <w:t xml:space="preserve">suggested that </w:t>
      </w:r>
      <w:r>
        <w:rPr>
          <w:szCs w:val="20"/>
        </w:rPr>
        <w:t>si</w:t>
      </w:r>
      <w:r w:rsidR="00B552FE">
        <w:rPr>
          <w:szCs w:val="20"/>
        </w:rPr>
        <w:t>mply specifying the alignment of</w:t>
      </w:r>
      <w:r>
        <w:rPr>
          <w:szCs w:val="20"/>
        </w:rPr>
        <w:t xml:space="preserve"> timing of uplink and downlink emissions and a downlink to uplink ratio is sufficient to achieve the objective. Telstra further indicated that if reference to 3GPP TS 36.211 is maintained</w:t>
      </w:r>
      <w:r w:rsidR="001A27A8">
        <w:rPr>
          <w:szCs w:val="20"/>
        </w:rPr>
        <w:t>,</w:t>
      </w:r>
      <w:r>
        <w:rPr>
          <w:szCs w:val="20"/>
        </w:rPr>
        <w:t xml:space="preserve"> then the equivalent parameters in </w:t>
      </w:r>
      <w:r w:rsidR="00B552FE">
        <w:rPr>
          <w:szCs w:val="20"/>
        </w:rPr>
        <w:t xml:space="preserve">3GPP </w:t>
      </w:r>
      <w:r>
        <w:rPr>
          <w:szCs w:val="20"/>
        </w:rPr>
        <w:t xml:space="preserve">TS 38.211 and any other relevant 3GPP standards should be included. </w:t>
      </w:r>
    </w:p>
    <w:p w14:paraId="005F6C30" w14:textId="0165B0A0" w:rsidR="0053460B" w:rsidRDefault="00B552FE" w:rsidP="001A27A8">
      <w:pPr>
        <w:spacing w:after="80"/>
        <w:rPr>
          <w:rFonts w:cs="Arial"/>
        </w:rPr>
      </w:pPr>
      <w:r>
        <w:rPr>
          <w:rFonts w:cs="Arial"/>
        </w:rPr>
        <w:t>Submissions also made</w:t>
      </w:r>
      <w:r w:rsidR="0053460B">
        <w:rPr>
          <w:rFonts w:cs="Arial"/>
        </w:rPr>
        <w:t xml:space="preserve"> the following suggestions: </w:t>
      </w:r>
    </w:p>
    <w:p w14:paraId="655CF914" w14:textId="2DBC8E30" w:rsidR="00B552FE" w:rsidRDefault="00B552FE" w:rsidP="004310A6">
      <w:pPr>
        <w:pStyle w:val="ListBullet"/>
      </w:pPr>
      <w:r>
        <w:t>F</w:t>
      </w:r>
      <w:r w:rsidRPr="0028604E">
        <w:t xml:space="preserve">ull synchronisation should </w:t>
      </w:r>
      <w:r>
        <w:t xml:space="preserve">only </w:t>
      </w:r>
      <w:r w:rsidRPr="0028604E">
        <w:t xml:space="preserve">be invoked when no agreements can be </w:t>
      </w:r>
      <w:r w:rsidR="001A27A8" w:rsidRPr="0028604E">
        <w:t>reached,</w:t>
      </w:r>
      <w:r w:rsidRPr="0028604E">
        <w:t xml:space="preserve"> and int</w:t>
      </w:r>
      <w:r>
        <w:t>erference has not been resolved</w:t>
      </w:r>
      <w:r w:rsidR="001A27A8">
        <w:t>.</w:t>
      </w:r>
    </w:p>
    <w:p w14:paraId="3ACC6F26" w14:textId="7A5EB869" w:rsidR="00B552FE" w:rsidRPr="0028604E" w:rsidRDefault="00B552FE" w:rsidP="004310A6">
      <w:pPr>
        <w:pStyle w:val="ListBullet"/>
      </w:pPr>
      <w:r>
        <w:t>It should be made clear that the synchronisation fall-back solution only applies to affected devices</w:t>
      </w:r>
      <w:r w:rsidR="001A27A8">
        <w:t>,</w:t>
      </w:r>
      <w:r>
        <w:t xml:space="preserve"> rather than applying network-wide</w:t>
      </w:r>
      <w:r w:rsidR="001A27A8">
        <w:t xml:space="preserve">. </w:t>
      </w:r>
    </w:p>
    <w:p w14:paraId="1DB4BF51" w14:textId="1ED591A7" w:rsidR="00B552FE" w:rsidRDefault="00B552FE" w:rsidP="004310A6">
      <w:pPr>
        <w:pStyle w:val="ListBullet"/>
      </w:pPr>
      <w:r>
        <w:t xml:space="preserve">There should be support for </w:t>
      </w:r>
      <w:r w:rsidRPr="0028604E">
        <w:t>semi-synchronised operation</w:t>
      </w:r>
      <w:r w:rsidR="001A27A8">
        <w:t>.</w:t>
      </w:r>
    </w:p>
    <w:p w14:paraId="03DFED57" w14:textId="5FB05847" w:rsidR="0053460B" w:rsidRDefault="00583D15" w:rsidP="004310A6">
      <w:pPr>
        <w:pStyle w:val="ListBulletLast"/>
      </w:pPr>
      <w:r>
        <w:t xml:space="preserve">The ACMA should </w:t>
      </w:r>
      <w:r w:rsidR="001A27A8">
        <w:t>consider</w:t>
      </w:r>
      <w:r>
        <w:t xml:space="preserve"> </w:t>
      </w:r>
      <w:r w:rsidR="0053460B">
        <w:t xml:space="preserve">a staged </w:t>
      </w:r>
      <w:r w:rsidR="00A20EE9">
        <w:t>approach</w:t>
      </w:r>
      <w:r w:rsidR="0053460B">
        <w:t xml:space="preserve"> to</w:t>
      </w:r>
      <w:r w:rsidR="00A20EE9">
        <w:t xml:space="preserve"> managing interference between different parties, including assessment against a defined interference metric,</w:t>
      </w:r>
      <w:r w:rsidR="0053460B">
        <w:t xml:space="preserve"> </w:t>
      </w:r>
      <w:r w:rsidR="00A20EE9">
        <w:t>before synchronisation is enforced. This would avoid enforcement being triggered by a single instance of interference</w:t>
      </w:r>
      <w:r w:rsidR="00853834">
        <w:t xml:space="preserve"> and provide a minimum period to either investigate</w:t>
      </w:r>
      <w:r w:rsidR="00B552FE">
        <w:t xml:space="preserve"> alternative</w:t>
      </w:r>
      <w:r w:rsidR="00853834">
        <w:t xml:space="preserve"> options or implement synchronisation</w:t>
      </w:r>
      <w:r w:rsidR="001A27A8">
        <w:t>.</w:t>
      </w:r>
    </w:p>
    <w:p w14:paraId="6A29E679" w14:textId="77777777" w:rsidR="00834021" w:rsidRPr="00EF7D49" w:rsidRDefault="00834021" w:rsidP="00834021">
      <w:pPr>
        <w:pStyle w:val="Heading3"/>
      </w:pPr>
      <w:r w:rsidRPr="00EF7D49">
        <w:t>ACMA response to submissions</w:t>
      </w:r>
    </w:p>
    <w:p w14:paraId="484AB873" w14:textId="19216CE2" w:rsidR="00DB218F" w:rsidRDefault="00B552FE" w:rsidP="004B6D10">
      <w:pPr>
        <w:rPr>
          <w:rFonts w:cs="Arial"/>
        </w:rPr>
      </w:pPr>
      <w:r>
        <w:t xml:space="preserve">Since submissions to the May 2018 discussion paper closed, the ACMA has received the </w:t>
      </w:r>
      <w:r w:rsidR="001A27A8">
        <w:t>m</w:t>
      </w:r>
      <w:r>
        <w:t xml:space="preserve">inister’s direction. This direction requires the ACMA to define a specific frame structure in </w:t>
      </w:r>
      <w:r>
        <w:rPr>
          <w:rFonts w:cs="Arial"/>
        </w:rPr>
        <w:t xml:space="preserve">3GPP TS 36.211 for adoption as part of a </w:t>
      </w:r>
      <w:r w:rsidR="005676DF">
        <w:rPr>
          <w:rFonts w:cs="Arial"/>
        </w:rPr>
        <w:t>synchronisation</w:t>
      </w:r>
      <w:r>
        <w:rPr>
          <w:rFonts w:cs="Arial"/>
        </w:rPr>
        <w:t xml:space="preserve"> fall-back solution. </w:t>
      </w:r>
      <w:r w:rsidR="005676DF">
        <w:rPr>
          <w:rFonts w:cs="Arial"/>
        </w:rPr>
        <w:t xml:space="preserve">However, the direction also </w:t>
      </w:r>
      <w:r>
        <w:rPr>
          <w:rFonts w:cs="Arial"/>
        </w:rPr>
        <w:t>provide</w:t>
      </w:r>
      <w:r w:rsidR="005676DF">
        <w:rPr>
          <w:rFonts w:cs="Arial"/>
        </w:rPr>
        <w:t>s</w:t>
      </w:r>
      <w:r>
        <w:rPr>
          <w:rFonts w:cs="Arial"/>
        </w:rPr>
        <w:t xml:space="preserve"> flexibility for equivalent frame </w:t>
      </w:r>
      <w:r w:rsidR="005676DF">
        <w:rPr>
          <w:rFonts w:cs="Arial"/>
        </w:rPr>
        <w:t>structures</w:t>
      </w:r>
      <w:r>
        <w:rPr>
          <w:rFonts w:cs="Arial"/>
        </w:rPr>
        <w:t>, such as those defined in 3GPP TS 38.211, to be adopted</w:t>
      </w:r>
      <w:r w:rsidR="005676DF">
        <w:rPr>
          <w:rFonts w:cs="Arial"/>
        </w:rPr>
        <w:t xml:space="preserve"> by licensees</w:t>
      </w:r>
      <w:r w:rsidR="009203E0">
        <w:rPr>
          <w:rFonts w:cs="Arial"/>
        </w:rPr>
        <w:t xml:space="preserve"> (which the ACMA was always supportive of)</w:t>
      </w:r>
      <w:r w:rsidR="005676DF">
        <w:rPr>
          <w:rFonts w:cs="Arial"/>
        </w:rPr>
        <w:t xml:space="preserve">. The </w:t>
      </w:r>
      <w:r w:rsidR="001A27A8">
        <w:rPr>
          <w:rFonts w:cs="Arial"/>
        </w:rPr>
        <w:t>m</w:t>
      </w:r>
      <w:r w:rsidR="005676DF">
        <w:rPr>
          <w:rFonts w:cs="Arial"/>
        </w:rPr>
        <w:t xml:space="preserve">inster’s direction also clearly states that the synchronisation fall-back solution only applies if </w:t>
      </w:r>
      <w:r w:rsidR="001A27A8">
        <w:rPr>
          <w:rFonts w:cs="Arial"/>
        </w:rPr>
        <w:t xml:space="preserve">an </w:t>
      </w:r>
      <w:r w:rsidR="005676DF">
        <w:rPr>
          <w:rFonts w:cs="Arial"/>
        </w:rPr>
        <w:t>agreement on alternative measures to manage interference can</w:t>
      </w:r>
      <w:r w:rsidR="001A27A8">
        <w:rPr>
          <w:rFonts w:cs="Arial"/>
        </w:rPr>
        <w:t>not</w:t>
      </w:r>
      <w:r w:rsidR="005676DF">
        <w:rPr>
          <w:rFonts w:cs="Arial"/>
        </w:rPr>
        <w:t xml:space="preserve"> be reached between affected licensees and </w:t>
      </w:r>
      <w:r w:rsidR="001A27A8">
        <w:rPr>
          <w:rFonts w:cs="Arial"/>
        </w:rPr>
        <w:t xml:space="preserve">that </w:t>
      </w:r>
      <w:r w:rsidR="005676DF">
        <w:rPr>
          <w:rFonts w:cs="Arial"/>
        </w:rPr>
        <w:t xml:space="preserve">it only applies to affected devices, not network-wide. </w:t>
      </w:r>
    </w:p>
    <w:p w14:paraId="695468A8" w14:textId="2CCF9831" w:rsidR="005676DF" w:rsidRDefault="00A2717E" w:rsidP="001A27A8">
      <w:r>
        <w:t xml:space="preserve">Regarding the implementation of a staged process to implementing synchronisation, </w:t>
      </w:r>
      <w:r w:rsidR="00D3333E">
        <w:t xml:space="preserve">the </w:t>
      </w:r>
      <w:r w:rsidR="001A27A8">
        <w:t>m</w:t>
      </w:r>
      <w:r w:rsidR="00D3333E">
        <w:t>inister’s direction does not specify such a requirement be included on licences. However, during any period in which</w:t>
      </w:r>
      <w:r w:rsidR="00D3333E" w:rsidRPr="00D3333E">
        <w:t xml:space="preserve"> </w:t>
      </w:r>
      <w:r w:rsidR="00D3333E">
        <w:t>affected licensees</w:t>
      </w:r>
      <w:r w:rsidR="00D3333E" w:rsidRPr="00D3333E">
        <w:t xml:space="preserve"> are taking steps to resolve the interference issue or synchronise, the ACMA will generally give priority to the device registered first</w:t>
      </w:r>
      <w:r w:rsidR="001A27A8">
        <w:t>-</w:t>
      </w:r>
      <w:r w:rsidR="00D3333E" w:rsidRPr="00D3333E">
        <w:t>in</w:t>
      </w:r>
      <w:r w:rsidR="001A27A8">
        <w:t>-</w:t>
      </w:r>
      <w:r w:rsidR="00D3333E" w:rsidRPr="00D3333E">
        <w:t xml:space="preserve">time in any interference dispute, meaning that </w:t>
      </w:r>
      <w:r w:rsidR="00FB5ED7">
        <w:t xml:space="preserve">a </w:t>
      </w:r>
      <w:r w:rsidR="00D3333E" w:rsidRPr="00D3333E">
        <w:t>device or devices registered later-in-time will generally be required to accept any interference or cease causing interference during this time.</w:t>
      </w:r>
      <w:r w:rsidR="00D3333E">
        <w:t xml:space="preserve"> </w:t>
      </w:r>
      <w:r w:rsidR="00887196">
        <w:t xml:space="preserve">A note to this </w:t>
      </w:r>
      <w:r w:rsidR="00257881">
        <w:t>e</w:t>
      </w:r>
      <w:r w:rsidR="00887196">
        <w:t>ffect will be included on spectrum licences. It is also noted that the ACMA will take any other relevant factors into account when settling an interference dispute.</w:t>
      </w:r>
    </w:p>
    <w:p w14:paraId="1022908E" w14:textId="0B54DE01" w:rsidR="00D3333E" w:rsidRDefault="00887196" w:rsidP="00D3333E">
      <w:pPr>
        <w:spacing w:after="120"/>
        <w:rPr>
          <w:rFonts w:cs="Arial"/>
        </w:rPr>
      </w:pPr>
      <w:r>
        <w:rPr>
          <w:rFonts w:cs="Arial"/>
        </w:rPr>
        <w:t>This approach to managing interference is considered</w:t>
      </w:r>
      <w:r w:rsidR="004B6D10">
        <w:rPr>
          <w:rFonts w:cs="Arial"/>
        </w:rPr>
        <w:t xml:space="preserve"> prudent</w:t>
      </w:r>
      <w:r>
        <w:rPr>
          <w:rFonts w:cs="Arial"/>
        </w:rPr>
        <w:t xml:space="preserve"> to ensure protection of services provided by licensees that do not have spectrum holdings in other bands to </w:t>
      </w:r>
      <w:r w:rsidR="00B67945">
        <w:rPr>
          <w:rFonts w:cs="Arial"/>
        </w:rPr>
        <w:t>fall</w:t>
      </w:r>
      <w:r w:rsidR="003A4D41">
        <w:rPr>
          <w:rFonts w:cs="Arial"/>
        </w:rPr>
        <w:t>-</w:t>
      </w:r>
      <w:r w:rsidR="00B67945">
        <w:rPr>
          <w:rFonts w:cs="Arial"/>
        </w:rPr>
        <w:t>back</w:t>
      </w:r>
      <w:r>
        <w:rPr>
          <w:rFonts w:cs="Arial"/>
        </w:rPr>
        <w:t xml:space="preserve"> on in the event of interference.</w:t>
      </w:r>
      <w:r w:rsidR="00D3333E">
        <w:rPr>
          <w:rFonts w:cs="Arial"/>
        </w:rPr>
        <w:t xml:space="preserve"> In particular, </w:t>
      </w:r>
      <w:r>
        <w:rPr>
          <w:rFonts w:cs="Arial"/>
        </w:rPr>
        <w:t xml:space="preserve">there are significant geographical areas where services provided by </w:t>
      </w:r>
      <w:r w:rsidR="001A27A8">
        <w:rPr>
          <w:rFonts w:cs="Arial"/>
        </w:rPr>
        <w:t>NBN</w:t>
      </w:r>
      <w:r w:rsidR="00B56C31">
        <w:rPr>
          <w:rFonts w:cs="Arial"/>
        </w:rPr>
        <w:t xml:space="preserve"> Co</w:t>
      </w:r>
      <w:r w:rsidR="001A27A8">
        <w:rPr>
          <w:rFonts w:cs="Arial"/>
        </w:rPr>
        <w:t xml:space="preserve"> </w:t>
      </w:r>
      <w:r>
        <w:rPr>
          <w:rFonts w:cs="Arial"/>
        </w:rPr>
        <w:t>rely solely on spectrum in the 3400</w:t>
      </w:r>
      <w:r w:rsidR="001A27A8">
        <w:rPr>
          <w:rFonts w:cs="Arial"/>
        </w:rPr>
        <w:t>–</w:t>
      </w:r>
      <w:r>
        <w:rPr>
          <w:rFonts w:cs="Arial"/>
        </w:rPr>
        <w:t xml:space="preserve">3575 MHz band. Disruption to services at just one of these locations would be considered significant. </w:t>
      </w:r>
    </w:p>
    <w:p w14:paraId="06BB71CC" w14:textId="37379A35" w:rsidR="004B6D10" w:rsidRDefault="004B6D10" w:rsidP="004B6D10">
      <w:r>
        <w:rPr>
          <w:szCs w:val="20"/>
        </w:rPr>
        <w:lastRenderedPageBreak/>
        <w:t xml:space="preserve">Considering the views expressed in submissions and </w:t>
      </w:r>
      <w:r w:rsidR="004B2D9E">
        <w:rPr>
          <w:szCs w:val="20"/>
        </w:rPr>
        <w:t>considering</w:t>
      </w:r>
      <w:r>
        <w:rPr>
          <w:szCs w:val="20"/>
        </w:rPr>
        <w:t xml:space="preserve"> the </w:t>
      </w:r>
      <w:r w:rsidR="001A27A8">
        <w:rPr>
          <w:szCs w:val="20"/>
        </w:rPr>
        <w:t>m</w:t>
      </w:r>
      <w:r w:rsidRPr="00747C61">
        <w:rPr>
          <w:szCs w:val="20"/>
        </w:rPr>
        <w:t xml:space="preserve">inister’s </w:t>
      </w:r>
      <w:r w:rsidR="001A27A8">
        <w:rPr>
          <w:szCs w:val="20"/>
        </w:rPr>
        <w:t>d</w:t>
      </w:r>
      <w:r w:rsidRPr="00747C61">
        <w:rPr>
          <w:szCs w:val="20"/>
        </w:rPr>
        <w:t>irection</w:t>
      </w:r>
      <w:r>
        <w:rPr>
          <w:szCs w:val="20"/>
        </w:rPr>
        <w:t xml:space="preserve">, the ACMA has decided to adopt sub-option 1a. This includes defining a single framework across both the 3.4 GHz and 3.6 GHz bands and adopting a synchronisation fall-back solution consistent with the </w:t>
      </w:r>
      <w:r w:rsidR="001A27A8">
        <w:rPr>
          <w:szCs w:val="20"/>
        </w:rPr>
        <w:t>m</w:t>
      </w:r>
      <w:r>
        <w:rPr>
          <w:szCs w:val="20"/>
        </w:rPr>
        <w:t>inister’s direction.</w:t>
      </w:r>
    </w:p>
    <w:p w14:paraId="7C7AC2D4" w14:textId="3D897B01" w:rsidR="00DB218F" w:rsidRPr="00DB218F" w:rsidRDefault="00DB218F" w:rsidP="00BB018B">
      <w:pPr>
        <w:pStyle w:val="Heading3"/>
      </w:pPr>
      <w:r w:rsidRPr="00DB218F">
        <w:t xml:space="preserve">Issue for comment </w:t>
      </w:r>
      <w:r w:rsidR="004564E6">
        <w:t>question 3</w:t>
      </w:r>
    </w:p>
    <w:p w14:paraId="37DA0C4E" w14:textId="77777777" w:rsidR="00DB218F" w:rsidRPr="00DB6CDD" w:rsidRDefault="00DB218F" w:rsidP="004310A6">
      <w:pPr>
        <w:pStyle w:val="ListNumber"/>
        <w:spacing w:after="240"/>
        <w:rPr>
          <w:i/>
        </w:rPr>
      </w:pPr>
      <w:r w:rsidRPr="00DB6CDD">
        <w:rPr>
          <w:i/>
        </w:rPr>
        <w:t>The ACMA seeks comment on the proposed stricter unwanted emission limit in the 3100–3380 MHz frequency range, including whether it is appropriate to follow the Electronic Communications Committee and adopt an even stricter limit should they decide to adopt one.</w:t>
      </w:r>
    </w:p>
    <w:p w14:paraId="656A8F96" w14:textId="77777777" w:rsidR="00DB218F" w:rsidRPr="004D2315" w:rsidRDefault="00DB218F" w:rsidP="004310A6">
      <w:pPr>
        <w:pStyle w:val="Heading3"/>
      </w:pPr>
      <w:r w:rsidRPr="004310A6">
        <w:t>Summary</w:t>
      </w:r>
      <w:r w:rsidRPr="004D2315">
        <w:t xml:space="preserve"> of submissions</w:t>
      </w:r>
    </w:p>
    <w:p w14:paraId="5F3ED36B" w14:textId="08374056" w:rsidR="00485B11" w:rsidRDefault="001A27A8" w:rsidP="00DB218F">
      <w:pPr>
        <w:rPr>
          <w:rFonts w:cs="Arial"/>
        </w:rPr>
      </w:pPr>
      <w:r>
        <w:rPr>
          <w:rFonts w:cs="Arial"/>
        </w:rPr>
        <w:t xml:space="preserve">NBN Co </w:t>
      </w:r>
      <w:r w:rsidR="00485B11">
        <w:rPr>
          <w:rFonts w:cs="Arial"/>
        </w:rPr>
        <w:t xml:space="preserve">considered that the proposed limits </w:t>
      </w:r>
      <w:r w:rsidR="00BB0C77">
        <w:rPr>
          <w:rFonts w:cs="Arial"/>
        </w:rPr>
        <w:t>in the 3100</w:t>
      </w:r>
      <w:r>
        <w:rPr>
          <w:rFonts w:cs="Arial"/>
        </w:rPr>
        <w:t>–</w:t>
      </w:r>
      <w:r w:rsidR="00BB0C77">
        <w:rPr>
          <w:rFonts w:cs="Arial"/>
        </w:rPr>
        <w:t xml:space="preserve">3180 MHz frequency range </w:t>
      </w:r>
      <w:r w:rsidR="00E43486">
        <w:rPr>
          <w:rFonts w:cs="Arial"/>
        </w:rPr>
        <w:t xml:space="preserve">considered work conducted by the European Communications Committee (ECC) and are </w:t>
      </w:r>
      <w:r w:rsidR="00485B11">
        <w:rPr>
          <w:rFonts w:cs="Arial"/>
        </w:rPr>
        <w:t xml:space="preserve">appropriate. However, all other </w:t>
      </w:r>
      <w:r w:rsidR="00A20522" w:rsidRPr="00A20522">
        <w:rPr>
          <w:rFonts w:cs="Arial"/>
        </w:rPr>
        <w:t xml:space="preserve">submissions that commented on this issue preferred the ACMA </w:t>
      </w:r>
      <w:r w:rsidR="00E97EF9">
        <w:rPr>
          <w:rFonts w:cs="Arial"/>
        </w:rPr>
        <w:t xml:space="preserve">to </w:t>
      </w:r>
      <w:r w:rsidR="00A20522" w:rsidRPr="00A20522">
        <w:rPr>
          <w:rFonts w:cs="Arial"/>
        </w:rPr>
        <w:t>adopt unwanted emission limits that were consistent with 3GPP standards.</w:t>
      </w:r>
      <w:r w:rsidR="00A20522">
        <w:rPr>
          <w:rFonts w:cs="Arial"/>
        </w:rPr>
        <w:t xml:space="preserve"> This </w:t>
      </w:r>
      <w:r w:rsidR="00485B11">
        <w:rPr>
          <w:rFonts w:cs="Arial"/>
        </w:rPr>
        <w:t xml:space="preserve">was because it </w:t>
      </w:r>
      <w:r w:rsidR="00A20522">
        <w:rPr>
          <w:rFonts w:cs="Arial"/>
        </w:rPr>
        <w:t xml:space="preserve">would allow </w:t>
      </w:r>
      <w:r w:rsidR="00485B11">
        <w:rPr>
          <w:rFonts w:cs="Arial"/>
        </w:rPr>
        <w:t>operators</w:t>
      </w:r>
      <w:r w:rsidR="00A20522">
        <w:rPr>
          <w:rFonts w:cs="Arial"/>
        </w:rPr>
        <w:t xml:space="preserve"> to </w:t>
      </w:r>
      <w:r w:rsidR="00485B11">
        <w:rPr>
          <w:rFonts w:cs="Arial"/>
        </w:rPr>
        <w:t>realise</w:t>
      </w:r>
      <w:r w:rsidR="00A20522">
        <w:rPr>
          <w:rFonts w:cs="Arial"/>
        </w:rPr>
        <w:t xml:space="preserve"> the </w:t>
      </w:r>
      <w:r w:rsidR="00485B11">
        <w:rPr>
          <w:rFonts w:cs="Arial"/>
        </w:rPr>
        <w:t xml:space="preserve">full </w:t>
      </w:r>
      <w:r w:rsidR="00A20522">
        <w:rPr>
          <w:rFonts w:cs="Arial"/>
        </w:rPr>
        <w:t xml:space="preserve">benefits of </w:t>
      </w:r>
      <w:r w:rsidR="00485B11">
        <w:rPr>
          <w:rFonts w:cs="Arial"/>
        </w:rPr>
        <w:t xml:space="preserve">global economies of scale for equipment. </w:t>
      </w:r>
    </w:p>
    <w:p w14:paraId="4145A3D2" w14:textId="3D17057E" w:rsidR="00A20522" w:rsidRDefault="00485B11" w:rsidP="00DB218F">
      <w:pPr>
        <w:rPr>
          <w:rFonts w:cs="Arial"/>
        </w:rPr>
      </w:pPr>
      <w:r>
        <w:rPr>
          <w:rFonts w:cs="Arial"/>
        </w:rPr>
        <w:t xml:space="preserve">It was generally felt that interference issues with </w:t>
      </w:r>
      <w:r w:rsidR="001A27A8">
        <w:rPr>
          <w:rFonts w:cs="Arial"/>
        </w:rPr>
        <w:t>r</w:t>
      </w:r>
      <w:r>
        <w:rPr>
          <w:rFonts w:cs="Arial"/>
        </w:rPr>
        <w:t>adiolocation services in the 3100</w:t>
      </w:r>
      <w:r w:rsidR="001A27A8">
        <w:rPr>
          <w:rFonts w:cs="Arial"/>
        </w:rPr>
        <w:t>–</w:t>
      </w:r>
      <w:r>
        <w:rPr>
          <w:rFonts w:cs="Arial"/>
        </w:rPr>
        <w:t>3400 MHz band could be managed on a case-by-case basis</w:t>
      </w:r>
      <w:r w:rsidR="00E43486">
        <w:rPr>
          <w:rFonts w:cs="Arial"/>
        </w:rPr>
        <w:t xml:space="preserve">. This could be facilitated by the identification of likely areas of concern. </w:t>
      </w:r>
      <w:r>
        <w:rPr>
          <w:rFonts w:cs="Arial"/>
        </w:rPr>
        <w:t xml:space="preserve">This approach was supported by the </w:t>
      </w:r>
      <w:r w:rsidR="009E0FEC">
        <w:rPr>
          <w:rFonts w:cs="Arial"/>
        </w:rPr>
        <w:t>Department of Defence</w:t>
      </w:r>
      <w:r w:rsidR="009203E0">
        <w:rPr>
          <w:rFonts w:cs="Arial"/>
        </w:rPr>
        <w:t xml:space="preserve"> (Defence)</w:t>
      </w:r>
      <w:r w:rsidR="009E0FEC">
        <w:rPr>
          <w:rFonts w:cs="Arial"/>
        </w:rPr>
        <w:t>.</w:t>
      </w:r>
    </w:p>
    <w:p w14:paraId="5247C096" w14:textId="2A8A9FF5" w:rsidR="00A20522" w:rsidRDefault="00485B11" w:rsidP="00DB218F">
      <w:pPr>
        <w:rPr>
          <w:rFonts w:cs="Arial"/>
        </w:rPr>
      </w:pPr>
      <w:r>
        <w:rPr>
          <w:rFonts w:cs="Arial"/>
        </w:rPr>
        <w:t xml:space="preserve">Adoption of the stricter limits was only, reluctantly, supported </w:t>
      </w:r>
      <w:r w:rsidR="00934E0C">
        <w:rPr>
          <w:rFonts w:cs="Arial"/>
        </w:rPr>
        <w:t xml:space="preserve">by some submitters </w:t>
      </w:r>
      <w:r>
        <w:rPr>
          <w:rFonts w:cs="Arial"/>
        </w:rPr>
        <w:t xml:space="preserve">if similar limits were adopted in Europe. Otherwise, </w:t>
      </w:r>
      <w:r w:rsidR="009E0FEC">
        <w:rPr>
          <w:rFonts w:cs="Arial"/>
        </w:rPr>
        <w:t xml:space="preserve">submitters stated </w:t>
      </w:r>
      <w:r>
        <w:rPr>
          <w:rFonts w:cs="Arial"/>
        </w:rPr>
        <w:t>the implementation of bespoke requirements would increase equipment costs and could delay the rollout of 5G</w:t>
      </w:r>
      <w:r w:rsidR="009E0FEC">
        <w:rPr>
          <w:rFonts w:cs="Arial"/>
        </w:rPr>
        <w:t xml:space="preserve"> in Australia</w:t>
      </w:r>
      <w:r>
        <w:rPr>
          <w:rFonts w:cs="Arial"/>
        </w:rPr>
        <w:t xml:space="preserve">. </w:t>
      </w:r>
    </w:p>
    <w:p w14:paraId="25219EE6" w14:textId="77777777" w:rsidR="00DB218F" w:rsidRPr="00EF7D49" w:rsidRDefault="00DB218F" w:rsidP="00DB218F">
      <w:pPr>
        <w:pStyle w:val="Heading3"/>
      </w:pPr>
      <w:r w:rsidRPr="00EF7D49">
        <w:t>ACMA response to submissions</w:t>
      </w:r>
    </w:p>
    <w:p w14:paraId="0839F144" w14:textId="373A77DC" w:rsidR="00BC17FC" w:rsidRDefault="009203E0" w:rsidP="004310A6">
      <w:pPr>
        <w:spacing w:after="80"/>
      </w:pPr>
      <w:r>
        <w:t>During the TLG and public consultation process</w:t>
      </w:r>
      <w:r w:rsidR="004C181B">
        <w:t>,</w:t>
      </w:r>
      <w:r>
        <w:t xml:space="preserve"> the ACMA worked with incumbent and prospective spectrum licensees</w:t>
      </w:r>
      <w:r w:rsidR="00E675E2">
        <w:t>,</w:t>
      </w:r>
      <w:r w:rsidR="00537973">
        <w:t xml:space="preserve"> as well as</w:t>
      </w:r>
      <w:r>
        <w:t xml:space="preserve"> Defence</w:t>
      </w:r>
      <w:r w:rsidR="00E675E2">
        <w:t>,</w:t>
      </w:r>
      <w:r>
        <w:t xml:space="preserve"> on how to manage interference to and from radiolocation services operating in the 3100</w:t>
      </w:r>
      <w:r w:rsidR="004C181B">
        <w:t>–</w:t>
      </w:r>
      <w:r>
        <w:t xml:space="preserve">3500 MHz frequency range. </w:t>
      </w:r>
      <w:r w:rsidR="00BC17FC">
        <w:t>The m</w:t>
      </w:r>
      <w:r>
        <w:t>ethod</w:t>
      </w:r>
      <w:r w:rsidR="00BC17FC">
        <w:t>s</w:t>
      </w:r>
      <w:r>
        <w:t xml:space="preserve"> </w:t>
      </w:r>
      <w:r w:rsidR="00BC17FC">
        <w:t>proposed</w:t>
      </w:r>
      <w:r>
        <w:t xml:space="preserve"> by the ACMA </w:t>
      </w:r>
      <w:r w:rsidR="00BC17FC">
        <w:t>as part of the public consultation included:</w:t>
      </w:r>
    </w:p>
    <w:p w14:paraId="1D931323" w14:textId="148F496F" w:rsidR="00BC17FC" w:rsidRDefault="00BC17FC" w:rsidP="004310A6">
      <w:pPr>
        <w:pStyle w:val="ListBullet"/>
      </w:pPr>
      <w:r>
        <w:t>defining</w:t>
      </w:r>
      <w:r w:rsidR="009203E0">
        <w:t xml:space="preserve"> a stricter unwanted emission limit in the 3100</w:t>
      </w:r>
      <w:r w:rsidR="00E675E2">
        <w:t>–</w:t>
      </w:r>
      <w:r w:rsidR="009203E0">
        <w:t>3380 MHz</w:t>
      </w:r>
      <w:r>
        <w:t xml:space="preserve"> frequency range</w:t>
      </w:r>
      <w:r w:rsidR="00537973">
        <w:t xml:space="preserve"> for devices operated under a spectrum licence</w:t>
      </w:r>
      <w:r>
        <w:t xml:space="preserve"> </w:t>
      </w:r>
    </w:p>
    <w:p w14:paraId="0847B7DF" w14:textId="33CB3CAA" w:rsidR="009203E0" w:rsidRDefault="00BC17FC" w:rsidP="004310A6">
      <w:pPr>
        <w:pStyle w:val="ListBullet"/>
      </w:pPr>
      <w:r>
        <w:t xml:space="preserve">defining a level of protection for </w:t>
      </w:r>
      <w:r w:rsidR="00F24122">
        <w:t>services operated under a spectrum licence</w:t>
      </w:r>
      <w:r>
        <w:t xml:space="preserve"> that radiolocation services must not exceed</w:t>
      </w:r>
    </w:p>
    <w:p w14:paraId="62D9C116" w14:textId="43C5B651" w:rsidR="00BC17FC" w:rsidRDefault="00BC17FC" w:rsidP="004310A6">
      <w:pPr>
        <w:pStyle w:val="ListBulletLast"/>
      </w:pPr>
      <w:r>
        <w:t>requesting Defence and spectrum licensees work together to identify areas of concern and</w:t>
      </w:r>
      <w:r w:rsidR="00F24122">
        <w:t xml:space="preserve"> implement</w:t>
      </w:r>
      <w:r>
        <w:t xml:space="preserve"> measures </w:t>
      </w:r>
      <w:r w:rsidR="00F24122">
        <w:t>to manage interference.</w:t>
      </w:r>
    </w:p>
    <w:p w14:paraId="60999240" w14:textId="2EAC0D96" w:rsidR="00F24122" w:rsidRDefault="00537973" w:rsidP="00F24122">
      <w:r>
        <w:t>T</w:t>
      </w:r>
      <w:r w:rsidR="00F24122">
        <w:t>o incr</w:t>
      </w:r>
      <w:r>
        <w:t xml:space="preserve">ease flexibility and remove </w:t>
      </w:r>
      <w:r w:rsidR="00F24122">
        <w:t>restrictions that may only apply in a limited set of circumstance</w:t>
      </w:r>
      <w:r w:rsidR="008A7A21">
        <w:t>s</w:t>
      </w:r>
      <w:r w:rsidR="00F24122">
        <w:t>, the ACMA also investigated defining measures that allowed case-by-case consideration and negotiation of measures to resolve interference between 3.</w:t>
      </w:r>
      <w:r w:rsidR="00E675E2">
        <w:t>4 </w:t>
      </w:r>
      <w:r w:rsidR="00F24122">
        <w:t xml:space="preserve">GHz band </w:t>
      </w:r>
      <w:r w:rsidR="008A7A21">
        <w:t xml:space="preserve">spectrum </w:t>
      </w:r>
      <w:r w:rsidR="00F24122">
        <w:t>licensees and Defence. This approach removes the</w:t>
      </w:r>
      <w:r w:rsidR="008A7A21">
        <w:t xml:space="preserve"> need for the</w:t>
      </w:r>
      <w:r w:rsidR="00F24122">
        <w:t xml:space="preserve"> first two p</w:t>
      </w:r>
      <w:r>
        <w:t>oints of the measure</w:t>
      </w:r>
      <w:r w:rsidR="008A7A21">
        <w:t>s</w:t>
      </w:r>
      <w:r>
        <w:t xml:space="preserve"> consulted</w:t>
      </w:r>
      <w:r w:rsidR="008A7A21">
        <w:t xml:space="preserve"> on</w:t>
      </w:r>
      <w:r>
        <w:t>, leaving only t</w:t>
      </w:r>
      <w:r w:rsidR="00F24122">
        <w:t>he third point</w:t>
      </w:r>
      <w:r>
        <w:t xml:space="preserve">. This approach </w:t>
      </w:r>
      <w:r w:rsidR="00F24122">
        <w:t xml:space="preserve">was supported by numerous submissions to the consultation paper. </w:t>
      </w:r>
    </w:p>
    <w:p w14:paraId="6B7F2050" w14:textId="64C8AF87" w:rsidR="00F24122" w:rsidRDefault="00F24122" w:rsidP="00F24122">
      <w:r>
        <w:t xml:space="preserve">The ACMA recognises the </w:t>
      </w:r>
      <w:r w:rsidR="00537973">
        <w:t>benefits</w:t>
      </w:r>
      <w:r>
        <w:t xml:space="preserve"> of this </w:t>
      </w:r>
      <w:r w:rsidR="00537973">
        <w:t>approach as it allows</w:t>
      </w:r>
      <w:r>
        <w:t xml:space="preserve"> spectrum licensees to buy equipment that aligns with </w:t>
      </w:r>
      <w:r w:rsidR="00537973">
        <w:t>3GPP standards and thereby reduce cost</w:t>
      </w:r>
      <w:r w:rsidR="00B56C31">
        <w:t>s</w:t>
      </w:r>
      <w:r w:rsidR="00537973">
        <w:t xml:space="preserve">. It also removes a coordination requirement that can be complex (or even impractical) for Defence to meet and may only have a limited </w:t>
      </w:r>
      <w:r w:rsidR="008A7A21">
        <w:t>e</w:t>
      </w:r>
      <w:r w:rsidR="00537973">
        <w:t xml:space="preserve">ffect due to the (typically) itinerant nature of interference caused by radiolocation services. </w:t>
      </w:r>
    </w:p>
    <w:p w14:paraId="7AACAC34" w14:textId="173EABB7" w:rsidR="00834021" w:rsidRPr="002F0EE6" w:rsidRDefault="00485B11" w:rsidP="00834021">
      <w:r>
        <w:lastRenderedPageBreak/>
        <w:t xml:space="preserve">On the basis that existing and </w:t>
      </w:r>
      <w:r w:rsidR="00934E0C">
        <w:t>prospective</w:t>
      </w:r>
      <w:r>
        <w:t xml:space="preserve"> spectrum licensees in the 3400</w:t>
      </w:r>
      <w:r w:rsidR="00AA23DA">
        <w:t>–</w:t>
      </w:r>
      <w:r>
        <w:t xml:space="preserve">3700 MHz </w:t>
      </w:r>
      <w:r w:rsidR="00934E0C">
        <w:t>frequency range</w:t>
      </w:r>
      <w:r>
        <w:t xml:space="preserve"> are prepared to work with </w:t>
      </w:r>
      <w:r w:rsidR="00934E0C">
        <w:t>radiolocation licensees to</w:t>
      </w:r>
      <w:r>
        <w:t xml:space="preserve"> manage interference and accept the risks associated with this</w:t>
      </w:r>
      <w:r w:rsidR="00934E0C">
        <w:t xml:space="preserve">, the ACMA </w:t>
      </w:r>
      <w:r w:rsidR="009203E0">
        <w:t>has</w:t>
      </w:r>
      <w:r w:rsidR="00934E0C">
        <w:t xml:space="preserve"> relax</w:t>
      </w:r>
      <w:r w:rsidR="009203E0">
        <w:t>ed</w:t>
      </w:r>
      <w:r w:rsidR="00934E0C">
        <w:t xml:space="preserve"> the unwanted emission limits in the 3100</w:t>
      </w:r>
      <w:r w:rsidR="00AA23DA">
        <w:t>–</w:t>
      </w:r>
      <w:r w:rsidR="00934E0C">
        <w:t>3380 MHz frequency range</w:t>
      </w:r>
      <w:r w:rsidR="00F24122">
        <w:t xml:space="preserve"> and remove</w:t>
      </w:r>
      <w:r w:rsidR="008A7A21">
        <w:t>d</w:t>
      </w:r>
      <w:r w:rsidR="00F24122">
        <w:t xml:space="preserve"> the specific coordination requirements for Defence</w:t>
      </w:r>
      <w:r w:rsidR="00934E0C">
        <w:t xml:space="preserve">. </w:t>
      </w:r>
      <w:r w:rsidR="00E43486">
        <w:t>Th</w:t>
      </w:r>
      <w:r w:rsidR="00537973">
        <w:t xml:space="preserve">is approach </w:t>
      </w:r>
      <w:r w:rsidR="00E43486">
        <w:t>to manag</w:t>
      </w:r>
      <w:r w:rsidR="00537973">
        <w:t xml:space="preserve">ing interference to and from </w:t>
      </w:r>
      <w:r w:rsidR="008A7A21">
        <w:t xml:space="preserve">the </w:t>
      </w:r>
      <w:r w:rsidR="00537973">
        <w:t>radiolocation service</w:t>
      </w:r>
      <w:r w:rsidR="00E43486">
        <w:t xml:space="preserve"> has been captured in </w:t>
      </w:r>
      <w:r w:rsidR="00537973">
        <w:t xml:space="preserve">final </w:t>
      </w:r>
      <w:r w:rsidR="00E43486">
        <w:t>updates to the RAG Tx, R</w:t>
      </w:r>
      <w:r w:rsidR="008A7A21">
        <w:t>AG</w:t>
      </w:r>
      <w:r w:rsidR="00E43486">
        <w:t xml:space="preserve"> Rx and RALI MS39. </w:t>
      </w:r>
    </w:p>
    <w:p w14:paraId="1168600F" w14:textId="4935D9E4" w:rsidR="00DB218F" w:rsidRPr="00DB218F" w:rsidRDefault="00DB218F" w:rsidP="00BB018B">
      <w:pPr>
        <w:pStyle w:val="Heading3"/>
      </w:pPr>
      <w:bookmarkStart w:id="13" w:name="_Toc441074847"/>
      <w:bookmarkEnd w:id="13"/>
      <w:r w:rsidRPr="00DB218F">
        <w:t xml:space="preserve">Issue for comment </w:t>
      </w:r>
      <w:r w:rsidR="004564E6">
        <w:t>questions 4 and 5</w:t>
      </w:r>
    </w:p>
    <w:p w14:paraId="38B63FB4" w14:textId="5A4E580E" w:rsidR="00DB218F" w:rsidRPr="00DB6CDD" w:rsidRDefault="00DB218F" w:rsidP="00DB218F">
      <w:pPr>
        <w:pStyle w:val="ListNumber"/>
        <w:rPr>
          <w:i/>
        </w:rPr>
      </w:pPr>
      <w:r w:rsidRPr="00DB6CDD">
        <w:rPr>
          <w:i/>
        </w:rPr>
        <w:t>The ACMA seeks comment from interested stakeholders on the proposed changes to the arrangements for unacceptable levels of interference in the 3.</w:t>
      </w:r>
      <w:r w:rsidR="00AA23DA" w:rsidRPr="00DB6CDD">
        <w:rPr>
          <w:i/>
        </w:rPr>
        <w:t>4</w:t>
      </w:r>
      <w:r w:rsidR="00AA23DA">
        <w:rPr>
          <w:i/>
        </w:rPr>
        <w:t> </w:t>
      </w:r>
      <w:r w:rsidRPr="00DB6CDD">
        <w:rPr>
          <w:i/>
        </w:rPr>
        <w:t>GHz band set out in the draft Radiocommunications (Unacceptable Levels of Interference – 3.4 GHz Band) Determination 2015 at attachments C, H and I.</w:t>
      </w:r>
    </w:p>
    <w:p w14:paraId="42B6AC90" w14:textId="77777777" w:rsidR="00DB218F" w:rsidRPr="00DB6CDD" w:rsidRDefault="00DB218F" w:rsidP="004310A6">
      <w:pPr>
        <w:pStyle w:val="ListNumber"/>
        <w:spacing w:after="240"/>
        <w:rPr>
          <w:i/>
        </w:rPr>
      </w:pPr>
      <w:r w:rsidRPr="00DB6CDD">
        <w:rPr>
          <w:i/>
        </w:rPr>
        <w:t>The ACMA seeks comment on potential methods to improve the device boundary criteria for paths over water. Is the text proposed by the ACMA suitable?</w:t>
      </w:r>
    </w:p>
    <w:p w14:paraId="1EF0119F" w14:textId="77777777" w:rsidR="00DB218F" w:rsidRPr="004310A6" w:rsidRDefault="00DB218F" w:rsidP="004310A6">
      <w:pPr>
        <w:pStyle w:val="Heading3"/>
      </w:pPr>
      <w:r w:rsidRPr="004310A6">
        <w:t>Summary of submissions</w:t>
      </w:r>
    </w:p>
    <w:p w14:paraId="2E6AD431" w14:textId="0A95035B" w:rsidR="001463A5" w:rsidRDefault="003B3658" w:rsidP="00DB218F">
      <w:r>
        <w:rPr>
          <w:rFonts w:cs="Arial"/>
        </w:rPr>
        <w:t xml:space="preserve">Those submissions that commented on the </w:t>
      </w:r>
      <w:r w:rsidRPr="003B3658">
        <w:t>draft</w:t>
      </w:r>
      <w:r>
        <w:t xml:space="preserve"> </w:t>
      </w:r>
      <w:r w:rsidR="00682546" w:rsidRPr="00682546">
        <w:t xml:space="preserve">s.145 </w:t>
      </w:r>
      <w:r w:rsidR="00BB018B">
        <w:t>d</w:t>
      </w:r>
      <w:r w:rsidR="00682546" w:rsidRPr="00682546">
        <w:t>etermination</w:t>
      </w:r>
      <w:r>
        <w:t xml:space="preserve"> supported the proposed changes. </w:t>
      </w:r>
    </w:p>
    <w:p w14:paraId="7AE0C7F1" w14:textId="11AE6D9D" w:rsidR="00DB218F" w:rsidRDefault="003B3658" w:rsidP="00DB218F">
      <w:bookmarkStart w:id="14" w:name="_Hlk520385411"/>
      <w:r>
        <w:t xml:space="preserve">There was also support to include a clause that gives an automatic </w:t>
      </w:r>
      <w:r w:rsidRPr="00BB018B">
        <w:t xml:space="preserve">pass for any </w:t>
      </w:r>
      <w:r w:rsidR="001463A5" w:rsidRPr="00BB018B">
        <w:t xml:space="preserve">device boundary </w:t>
      </w:r>
      <w:r w:rsidRPr="00BB018B">
        <w:t xml:space="preserve">radials that extend beyond the licence area </w:t>
      </w:r>
      <w:r w:rsidR="004B2D9E">
        <w:t>and</w:t>
      </w:r>
      <w:r w:rsidR="004B2D9E" w:rsidRPr="00BB018B">
        <w:t xml:space="preserve"> </w:t>
      </w:r>
      <w:r w:rsidRPr="00BB018B">
        <w:t>only pass over water</w:t>
      </w:r>
      <w:r w:rsidR="001463A5">
        <w:t xml:space="preserve"> </w:t>
      </w:r>
      <w:bookmarkEnd w:id="14"/>
      <w:r w:rsidR="001463A5">
        <w:t>(the new clause)</w:t>
      </w:r>
      <w:r>
        <w:t>.</w:t>
      </w:r>
      <w:r w:rsidR="001463A5">
        <w:t xml:space="preserve"> While the potential unintended consequences of the new clause were acknowledged, submitters indicated that the current device boundary criteria often fail for devices on or near the coast. Given most of the Australian population live</w:t>
      </w:r>
      <w:r w:rsidR="00E97EF9">
        <w:t>s</w:t>
      </w:r>
      <w:r w:rsidR="001463A5">
        <w:t xml:space="preserve"> on the coast</w:t>
      </w:r>
      <w:r w:rsidR="00E97EF9">
        <w:t>,</w:t>
      </w:r>
      <w:r w:rsidR="001463A5">
        <w:t xml:space="preserve"> submitters felt the benefits of the new clause outweighed the negatives. Optus also provided a proposed modification to the new clause to account for known areas of ducting </w:t>
      </w:r>
      <w:r w:rsidR="00682546">
        <w:t>between Adelaide and</w:t>
      </w:r>
      <w:r w:rsidR="001463A5">
        <w:t xml:space="preserve"> Yorke Peninsula</w:t>
      </w:r>
      <w:r w:rsidR="003D7D65">
        <w:t>,</w:t>
      </w:r>
      <w:r w:rsidR="001463A5">
        <w:t xml:space="preserve"> </w:t>
      </w:r>
      <w:r w:rsidR="00682546">
        <w:t xml:space="preserve">as well as </w:t>
      </w:r>
      <w:r w:rsidR="00837232">
        <w:t xml:space="preserve">between </w:t>
      </w:r>
      <w:r w:rsidR="001463A5">
        <w:t>Victoria and Tasmania</w:t>
      </w:r>
      <w:r w:rsidR="00837232">
        <w:t xml:space="preserve"> across Bass Strait</w:t>
      </w:r>
      <w:r w:rsidR="001463A5">
        <w:t xml:space="preserve">. </w:t>
      </w:r>
    </w:p>
    <w:p w14:paraId="1C6357D2" w14:textId="77777777" w:rsidR="00DB218F" w:rsidRPr="00EF7D49" w:rsidRDefault="00DB218F" w:rsidP="00DB218F">
      <w:pPr>
        <w:pStyle w:val="Heading3"/>
      </w:pPr>
      <w:r w:rsidRPr="00EF7D49">
        <w:t>ACMA response to submissions</w:t>
      </w:r>
    </w:p>
    <w:p w14:paraId="4D5737A8" w14:textId="13344A5C" w:rsidR="00777F84" w:rsidRDefault="001463A5" w:rsidP="00777F84">
      <w:r>
        <w:t>As indicated in the May 2018 discussion paper, the ACMA sees merit in adopting the new clause</w:t>
      </w:r>
      <w:r w:rsidR="004B6D10">
        <w:t>. However, it was felt important that</w:t>
      </w:r>
      <w:r>
        <w:t xml:space="preserve"> existing 3.4 GHz band spectrum </w:t>
      </w:r>
      <w:r w:rsidR="00682546">
        <w:t>licensees</w:t>
      </w:r>
      <w:r>
        <w:t xml:space="preserve"> and </w:t>
      </w:r>
      <w:r w:rsidR="00682546">
        <w:t>prospective</w:t>
      </w:r>
      <w:r>
        <w:t xml:space="preserve"> new licensees </w:t>
      </w:r>
      <w:r w:rsidR="004B6D10">
        <w:t>acknowledged</w:t>
      </w:r>
      <w:r>
        <w:t xml:space="preserve"> </w:t>
      </w:r>
      <w:r w:rsidR="00682546">
        <w:t>and accept</w:t>
      </w:r>
      <w:r w:rsidR="004B6D10">
        <w:t>ed</w:t>
      </w:r>
      <w:r w:rsidR="00682546">
        <w:t xml:space="preserve"> any risks involved before adopting it. This included the </w:t>
      </w:r>
      <w:r w:rsidR="004B6D10">
        <w:t xml:space="preserve">likely </w:t>
      </w:r>
      <w:r w:rsidR="00682546">
        <w:t>risk of interference to and from services deployed in Adelaide and Yorke Peninsula, as well as between Victoria and Tasmania</w:t>
      </w:r>
      <w:r w:rsidR="00784CE3">
        <w:t>,</w:t>
      </w:r>
      <w:r w:rsidR="00682546">
        <w:t xml:space="preserve"> due to frequent and long periods of ducting. </w:t>
      </w:r>
    </w:p>
    <w:p w14:paraId="3EEB16C9" w14:textId="34B56B2F" w:rsidR="001463A5" w:rsidRDefault="00682546" w:rsidP="00777F84">
      <w:pPr>
        <w:rPr>
          <w:rFonts w:cs="Arial"/>
          <w:szCs w:val="20"/>
        </w:rPr>
      </w:pPr>
      <w:r>
        <w:t xml:space="preserve">The ACMA notes that all current 3.4 GHz </w:t>
      </w:r>
      <w:r w:rsidR="00EC1048">
        <w:t xml:space="preserve">band </w:t>
      </w:r>
      <w:r>
        <w:t>spectrum licensees supported the inclusion of the new clause</w:t>
      </w:r>
      <w:r w:rsidR="004B6D10">
        <w:t xml:space="preserve"> in their submissions</w:t>
      </w:r>
      <w:r>
        <w:t>. In addition to this, the edits to the new clause proposed by Optus assist in reducing the known interference risks previously described. As such</w:t>
      </w:r>
      <w:r w:rsidR="003D7D65">
        <w:t>,</w:t>
      </w:r>
      <w:r>
        <w:t xml:space="preserve"> the ACMA has adopted all changes to </w:t>
      </w:r>
      <w:r w:rsidRPr="004B2D9E">
        <w:t xml:space="preserve">the s.145 </w:t>
      </w:r>
      <w:r w:rsidR="00BB018B" w:rsidRPr="004B2D9E">
        <w:t>d</w:t>
      </w:r>
      <w:r w:rsidRPr="004B2D9E">
        <w:t>etermination</w:t>
      </w:r>
      <w:r>
        <w:t xml:space="preserve"> consulted on, including the new clause with the amendments proposed by Optus. </w:t>
      </w:r>
    </w:p>
    <w:p w14:paraId="084268D6" w14:textId="3C538D6E" w:rsidR="00DB218F" w:rsidRPr="00DB218F" w:rsidRDefault="00DB218F" w:rsidP="00BB018B">
      <w:pPr>
        <w:pStyle w:val="Heading3"/>
      </w:pPr>
      <w:r w:rsidRPr="00DB218F">
        <w:t xml:space="preserve">Issue for comment </w:t>
      </w:r>
      <w:r w:rsidR="004564E6">
        <w:t>questions 6, 7 and 8</w:t>
      </w:r>
    </w:p>
    <w:p w14:paraId="4BFE1931" w14:textId="7C8C34AB" w:rsidR="00DB218F" w:rsidRPr="00DB6CDD" w:rsidRDefault="00DB218F" w:rsidP="00DB218F">
      <w:pPr>
        <w:pStyle w:val="ListNumber"/>
        <w:rPr>
          <w:i/>
        </w:rPr>
      </w:pPr>
      <w:r w:rsidRPr="00DB6CDD">
        <w:rPr>
          <w:i/>
        </w:rPr>
        <w:t>The ACMA seeks comment from interested stakeholders on the draft Radiocommunications Advisory Guidelines (Managing Interference from Spectrum Licensed Transmitters – 3.4 GHz Band) 2015</w:t>
      </w:r>
      <w:r w:rsidRPr="00DB6CDD">
        <w:rPr>
          <w:i/>
          <w:lang w:eastAsia="ja-JP"/>
        </w:rPr>
        <w:t xml:space="preserve"> </w:t>
      </w:r>
      <w:r w:rsidRPr="00DB6CDD">
        <w:rPr>
          <w:i/>
        </w:rPr>
        <w:t>at attachments D and H (for Option 1) and attachments E and I (for Option 2)</w:t>
      </w:r>
      <w:r w:rsidR="003D7D65">
        <w:rPr>
          <w:i/>
        </w:rPr>
        <w:t>.</w:t>
      </w:r>
      <w:r w:rsidRPr="00DB6CDD">
        <w:rPr>
          <w:i/>
        </w:rPr>
        <w:t xml:space="preserve"> </w:t>
      </w:r>
    </w:p>
    <w:p w14:paraId="6E194F54" w14:textId="77777777" w:rsidR="00DB218F" w:rsidRPr="00DB6CDD" w:rsidRDefault="00DB218F" w:rsidP="00DB218F">
      <w:pPr>
        <w:pStyle w:val="ListNumber"/>
        <w:rPr>
          <w:i/>
        </w:rPr>
      </w:pPr>
      <w:r w:rsidRPr="00DB6CDD">
        <w:rPr>
          <w:i/>
        </w:rPr>
        <w:t xml:space="preserve">The ACMA seeks comment on the suitability of </w:t>
      </w:r>
      <w:r w:rsidRPr="00DB6CDD">
        <w:rPr>
          <w:i/>
          <w:lang w:eastAsia="ja-JP"/>
        </w:rPr>
        <w:t>the updated coexistence arrangements for earth stations?</w:t>
      </w:r>
    </w:p>
    <w:p w14:paraId="5C05443F" w14:textId="77777777" w:rsidR="00DB218F" w:rsidRPr="00DB6CDD" w:rsidRDefault="00DB218F" w:rsidP="004310A6">
      <w:pPr>
        <w:pStyle w:val="ListNumber"/>
        <w:spacing w:after="240"/>
        <w:rPr>
          <w:i/>
        </w:rPr>
      </w:pPr>
      <w:r w:rsidRPr="00DB6CDD">
        <w:rPr>
          <w:i/>
        </w:rPr>
        <w:t xml:space="preserve">The ACMA seeks comment on the suitability of </w:t>
      </w:r>
      <w:r w:rsidRPr="00DB6CDD">
        <w:rPr>
          <w:i/>
          <w:lang w:eastAsia="ja-JP"/>
        </w:rPr>
        <w:t>the proposed amendments regarding coexistence with apparatus-licensed BWA services?</w:t>
      </w:r>
    </w:p>
    <w:p w14:paraId="227960C1" w14:textId="77777777" w:rsidR="00DB218F" w:rsidRPr="004D2315" w:rsidRDefault="00DB218F" w:rsidP="00DB218F">
      <w:pPr>
        <w:pStyle w:val="Heading3"/>
      </w:pPr>
      <w:r w:rsidRPr="004D2315">
        <w:lastRenderedPageBreak/>
        <w:t>Summary of submissions</w:t>
      </w:r>
    </w:p>
    <w:p w14:paraId="3857DAF4" w14:textId="6D91803D" w:rsidR="008F75C4" w:rsidRDefault="006D0D11" w:rsidP="008F75C4">
      <w:r>
        <w:rPr>
          <w:rFonts w:cs="Arial"/>
        </w:rPr>
        <w:t xml:space="preserve">Most </w:t>
      </w:r>
      <w:r w:rsidR="008F75C4">
        <w:rPr>
          <w:rFonts w:cs="Arial"/>
        </w:rPr>
        <w:t xml:space="preserve">submissions that commented on the </w:t>
      </w:r>
      <w:r w:rsidR="008F75C4" w:rsidRPr="003B3658">
        <w:t>draft</w:t>
      </w:r>
      <w:r w:rsidR="008F75C4">
        <w:t xml:space="preserve"> RAG Tx were generally comfortable with the proposed changes. </w:t>
      </w:r>
      <w:r>
        <w:t>Foxtel did not support the changes proposed as they would allow an unacceptable risk of interference</w:t>
      </w:r>
      <w:r w:rsidR="00A847C2">
        <w:t xml:space="preserve"> to earth station operators</w:t>
      </w:r>
      <w:r>
        <w:t xml:space="preserve">. </w:t>
      </w:r>
    </w:p>
    <w:p w14:paraId="0AD75EF5" w14:textId="64D1F5E1" w:rsidR="00F81E3F" w:rsidRDefault="00F81E3F" w:rsidP="00F81E3F">
      <w:pPr>
        <w:rPr>
          <w:rFonts w:cs="Arial"/>
        </w:rPr>
      </w:pPr>
      <w:r w:rsidRPr="00AB7CCE">
        <w:rPr>
          <w:rFonts w:cs="Arial"/>
        </w:rPr>
        <w:t xml:space="preserve">Optus </w:t>
      </w:r>
      <w:r>
        <w:rPr>
          <w:rFonts w:cs="Arial"/>
        </w:rPr>
        <w:t xml:space="preserve">requested that </w:t>
      </w:r>
      <w:r w:rsidRPr="00AB7CCE">
        <w:rPr>
          <w:rFonts w:cs="Arial"/>
        </w:rPr>
        <w:t xml:space="preserve">additional clarification regarding use of </w:t>
      </w:r>
      <w:r w:rsidR="003D7D65">
        <w:rPr>
          <w:rFonts w:cs="Arial"/>
        </w:rPr>
        <w:t>a</w:t>
      </w:r>
      <w:r>
        <w:rPr>
          <w:rFonts w:cs="Arial"/>
        </w:rPr>
        <w:t xml:space="preserve">ctive </w:t>
      </w:r>
      <w:r w:rsidR="003D7D65">
        <w:rPr>
          <w:rFonts w:cs="Arial"/>
        </w:rPr>
        <w:t>a</w:t>
      </w:r>
      <w:r>
        <w:rPr>
          <w:rFonts w:cs="Arial"/>
        </w:rPr>
        <w:t xml:space="preserve">ntenna </w:t>
      </w:r>
      <w:r w:rsidR="003D7D65">
        <w:rPr>
          <w:rFonts w:cs="Arial"/>
        </w:rPr>
        <w:t>s</w:t>
      </w:r>
      <w:r>
        <w:rPr>
          <w:rFonts w:cs="Arial"/>
        </w:rPr>
        <w:t>ystems</w:t>
      </w:r>
      <w:r w:rsidRPr="00AB7CCE">
        <w:rPr>
          <w:rFonts w:cs="Arial"/>
        </w:rPr>
        <w:t xml:space="preserve"> be included in line with the guidance </w:t>
      </w:r>
      <w:r>
        <w:rPr>
          <w:rFonts w:cs="Arial"/>
        </w:rPr>
        <w:t>provided</w:t>
      </w:r>
      <w:r w:rsidRPr="00AB7CCE">
        <w:rPr>
          <w:rFonts w:cs="Arial"/>
        </w:rPr>
        <w:t xml:space="preserve"> in the s145 Determination.</w:t>
      </w:r>
      <w:r>
        <w:rPr>
          <w:rFonts w:cs="Arial"/>
        </w:rPr>
        <w:t xml:space="preserve"> </w:t>
      </w:r>
    </w:p>
    <w:p w14:paraId="5773C730" w14:textId="46B5B32A" w:rsidR="006843D8" w:rsidRPr="00F81E3F" w:rsidRDefault="00601A05" w:rsidP="004310A6">
      <w:pPr>
        <w:pStyle w:val="BodySubHeader"/>
      </w:pPr>
      <w:r>
        <w:t>Protection of e</w:t>
      </w:r>
      <w:r w:rsidR="006843D8" w:rsidRPr="00F81E3F">
        <w:t>arth stations</w:t>
      </w:r>
    </w:p>
    <w:p w14:paraId="5F364627" w14:textId="20A073BA" w:rsidR="00624A7E" w:rsidRPr="006D0D11" w:rsidRDefault="00624A7E" w:rsidP="004310A6">
      <w:pPr>
        <w:spacing w:after="80"/>
        <w:rPr>
          <w:rFonts w:cs="Arial"/>
        </w:rPr>
      </w:pPr>
      <w:r w:rsidRPr="006D0D11">
        <w:rPr>
          <w:rFonts w:cs="Arial"/>
        </w:rPr>
        <w:t xml:space="preserve">Regarding the RF filter defined in Table </w:t>
      </w:r>
      <w:r w:rsidR="00853834" w:rsidRPr="006D0D11">
        <w:rPr>
          <w:rFonts w:cs="Arial"/>
        </w:rPr>
        <w:t xml:space="preserve">1 </w:t>
      </w:r>
      <w:r w:rsidRPr="006D0D11">
        <w:rPr>
          <w:rFonts w:cs="Arial"/>
        </w:rPr>
        <w:t>of section 4.3 of the RAG Tx:</w:t>
      </w:r>
    </w:p>
    <w:p w14:paraId="4F9157F0" w14:textId="65D2A010" w:rsidR="000F4275" w:rsidRPr="006D0D11" w:rsidRDefault="000F4275" w:rsidP="004310A6">
      <w:pPr>
        <w:pStyle w:val="ListBullet"/>
      </w:pPr>
      <w:r w:rsidRPr="006D0D11">
        <w:t>Foxtel expressed a preference for maintain</w:t>
      </w:r>
      <w:r w:rsidR="00AB33C1">
        <w:t>ing</w:t>
      </w:r>
      <w:r w:rsidRPr="006D0D11">
        <w:t xml:space="preserve"> the existing </w:t>
      </w:r>
      <w:r w:rsidR="00C83EB9">
        <w:t>radiofrequency (</w:t>
      </w:r>
      <w:r w:rsidRPr="006D0D11">
        <w:t>RF</w:t>
      </w:r>
      <w:r w:rsidR="00C83EB9">
        <w:t>)</w:t>
      </w:r>
      <w:r w:rsidRPr="006D0D11">
        <w:t xml:space="preserve"> filter definition due to the difficulty in achieving the steep initial roll-off required by the proposed new filter response</w:t>
      </w:r>
      <w:r w:rsidR="003D7D65">
        <w:t>.</w:t>
      </w:r>
    </w:p>
    <w:p w14:paraId="2EAAA1A0" w14:textId="6171632E" w:rsidR="00DF4340" w:rsidRPr="006D0D11" w:rsidRDefault="00DF4340" w:rsidP="004310A6">
      <w:pPr>
        <w:pStyle w:val="ListBullet"/>
      </w:pPr>
      <w:r>
        <w:rPr>
          <w:rFonts w:cs="Arial"/>
        </w:rPr>
        <w:t xml:space="preserve">Foxtel and the </w:t>
      </w:r>
      <w:r w:rsidR="00486925">
        <w:rPr>
          <w:rFonts w:cs="Arial"/>
        </w:rPr>
        <w:t>Communications Alliance Satellite Service Working Group</w:t>
      </w:r>
      <w:r w:rsidR="00486925" w:rsidRPr="006D0D11">
        <w:rPr>
          <w:rFonts w:cs="Arial"/>
        </w:rPr>
        <w:t xml:space="preserve"> </w:t>
      </w:r>
      <w:r w:rsidR="00486925">
        <w:rPr>
          <w:rFonts w:cs="Arial"/>
        </w:rPr>
        <w:t>(</w:t>
      </w:r>
      <w:r>
        <w:rPr>
          <w:rFonts w:cs="Arial"/>
        </w:rPr>
        <w:t>SSWG</w:t>
      </w:r>
      <w:r w:rsidR="00486925">
        <w:rPr>
          <w:rFonts w:cs="Arial"/>
        </w:rPr>
        <w:t>)</w:t>
      </w:r>
      <w:r>
        <w:rPr>
          <w:rFonts w:cs="Arial"/>
        </w:rPr>
        <w:t xml:space="preserve"> </w:t>
      </w:r>
      <w:r w:rsidRPr="006D0D11">
        <w:rPr>
          <w:rFonts w:cs="Arial"/>
        </w:rPr>
        <w:t>indicate</w:t>
      </w:r>
      <w:r>
        <w:rPr>
          <w:rFonts w:cs="Arial"/>
        </w:rPr>
        <w:t>d</w:t>
      </w:r>
      <w:r w:rsidRPr="006D0D11">
        <w:rPr>
          <w:rFonts w:cs="Arial"/>
        </w:rPr>
        <w:t xml:space="preserve"> that one antenna may support multiple licensed signals across C-</w:t>
      </w:r>
      <w:r w:rsidR="003D7D65">
        <w:rPr>
          <w:rFonts w:cs="Arial"/>
        </w:rPr>
        <w:t>b</w:t>
      </w:r>
      <w:r w:rsidRPr="006D0D11">
        <w:rPr>
          <w:rFonts w:cs="Arial"/>
        </w:rPr>
        <w:t xml:space="preserve">and. For this </w:t>
      </w:r>
      <w:r w:rsidR="003D7D65" w:rsidRPr="006D0D11">
        <w:rPr>
          <w:rFonts w:cs="Arial"/>
        </w:rPr>
        <w:t>reason,</w:t>
      </w:r>
      <w:r w:rsidRPr="006D0D11">
        <w:rPr>
          <w:rFonts w:cs="Arial"/>
        </w:rPr>
        <w:t xml:space="preserve"> it is not practical to assume RF filter roll-off from the lower and upper frequencies of every licence on a single antenna. </w:t>
      </w:r>
      <w:r w:rsidR="003D7D65" w:rsidRPr="006D0D11">
        <w:rPr>
          <w:rFonts w:cs="Arial"/>
        </w:rPr>
        <w:t>Consequently,</w:t>
      </w:r>
      <w:r w:rsidRPr="006D0D11">
        <w:rPr>
          <w:rFonts w:cs="Arial"/>
        </w:rPr>
        <w:t xml:space="preserve"> there was support for the RF filter only applying from the lowest </w:t>
      </w:r>
      <w:r w:rsidR="00C83EB9">
        <w:rPr>
          <w:rFonts w:cs="Arial"/>
        </w:rPr>
        <w:t>licensed</w:t>
      </w:r>
      <w:r w:rsidR="00C83EB9" w:rsidRPr="006D0D11">
        <w:rPr>
          <w:rFonts w:cs="Arial"/>
        </w:rPr>
        <w:t xml:space="preserve"> </w:t>
      </w:r>
      <w:r w:rsidRPr="006D0D11">
        <w:rPr>
          <w:rFonts w:cs="Arial"/>
        </w:rPr>
        <w:t>frequency</w:t>
      </w:r>
      <w:r>
        <w:rPr>
          <w:rFonts w:cs="Arial"/>
        </w:rPr>
        <w:t xml:space="preserve"> on a single antenna</w:t>
      </w:r>
      <w:r w:rsidR="003D7D65">
        <w:rPr>
          <w:rFonts w:cs="Arial"/>
        </w:rPr>
        <w:t>.</w:t>
      </w:r>
    </w:p>
    <w:p w14:paraId="15E76DE7" w14:textId="25EB671D" w:rsidR="000F4275" w:rsidRPr="006D0D11" w:rsidRDefault="000F4275" w:rsidP="004310A6">
      <w:pPr>
        <w:pStyle w:val="ListBullet"/>
        <w:rPr>
          <w:rFonts w:cs="Arial"/>
        </w:rPr>
      </w:pPr>
      <w:r w:rsidRPr="006D0D11">
        <w:rPr>
          <w:rFonts w:cs="Arial"/>
        </w:rPr>
        <w:t xml:space="preserve">Foxtel </w:t>
      </w:r>
      <w:r>
        <w:rPr>
          <w:rFonts w:cs="Arial"/>
        </w:rPr>
        <w:t xml:space="preserve">and the SSWG </w:t>
      </w:r>
      <w:r w:rsidRPr="006D0D11">
        <w:rPr>
          <w:rFonts w:cs="Arial"/>
        </w:rPr>
        <w:t>indicated that, in practice, off</w:t>
      </w:r>
      <w:r w:rsidR="003D7D65">
        <w:rPr>
          <w:rFonts w:cs="Arial"/>
        </w:rPr>
        <w:t>-</w:t>
      </w:r>
      <w:r w:rsidRPr="006D0D11">
        <w:rPr>
          <w:rFonts w:cs="Arial"/>
        </w:rPr>
        <w:t>the</w:t>
      </w:r>
      <w:r w:rsidR="003D7D65">
        <w:rPr>
          <w:rFonts w:cs="Arial"/>
        </w:rPr>
        <w:t>-</w:t>
      </w:r>
      <w:r w:rsidRPr="006D0D11">
        <w:rPr>
          <w:rFonts w:cs="Arial"/>
        </w:rPr>
        <w:t>shelf filters start rolling off from 3700 MHz or 3800 MHz</w:t>
      </w:r>
      <w:r w:rsidR="00DF4340">
        <w:rPr>
          <w:rFonts w:cs="Arial"/>
        </w:rPr>
        <w:t>. They suggested these points should be adopted for the RF filter response that applies to earth stations operating above 3700 MHz</w:t>
      </w:r>
      <w:r w:rsidR="003D7D65">
        <w:rPr>
          <w:rFonts w:cs="Arial"/>
        </w:rPr>
        <w:t>.</w:t>
      </w:r>
    </w:p>
    <w:p w14:paraId="5F077C99" w14:textId="7AD8210D" w:rsidR="00624A7E" w:rsidRPr="006D0D11" w:rsidRDefault="00624A7E" w:rsidP="004310A6">
      <w:pPr>
        <w:pStyle w:val="ListBullet"/>
      </w:pPr>
      <w:r w:rsidRPr="006D0D11">
        <w:rPr>
          <w:rFonts w:cs="Arial"/>
        </w:rPr>
        <w:t>Multiple submissions identified an error in the RF filter equation for frequency offsets between 50-150 MHz. The equation should be</w:t>
      </w:r>
      <w:r w:rsidR="003D7D65">
        <w:rPr>
          <w:rFonts w:cs="Arial"/>
        </w:rPr>
        <w:t>:</w:t>
      </w:r>
      <w:r w:rsidR="003D7D65">
        <w:rPr>
          <w:rFonts w:cs="Arial"/>
        </w:rPr>
        <w:br/>
        <w:t>‘</w:t>
      </w:r>
      <w:r w:rsidRPr="006D0D11">
        <w:t>30.5 + 0.25*(f</w:t>
      </w:r>
      <w:r w:rsidRPr="006D0D11">
        <w:rPr>
          <w:vertAlign w:val="subscript"/>
        </w:rPr>
        <w:t xml:space="preserve">offset </w:t>
      </w:r>
      <w:r w:rsidRPr="006D0D11">
        <w:t>(MHz)-50)</w:t>
      </w:r>
      <w:r w:rsidR="003D7D65">
        <w:t>’.</w:t>
      </w:r>
    </w:p>
    <w:p w14:paraId="4181AD7E" w14:textId="4BB89BE9" w:rsidR="00624A7E" w:rsidRPr="006D0D11" w:rsidRDefault="00F72A33" w:rsidP="004310A6">
      <w:pPr>
        <w:pStyle w:val="ListBulletLast"/>
      </w:pPr>
      <w:r w:rsidRPr="006D0D11">
        <w:t>Optus</w:t>
      </w:r>
      <w:r w:rsidR="00853834" w:rsidRPr="006D0D11">
        <w:t xml:space="preserve"> </w:t>
      </w:r>
      <w:r w:rsidR="00624A7E" w:rsidRPr="006D0D11">
        <w:t>propose</w:t>
      </w:r>
      <w:r w:rsidR="00853834" w:rsidRPr="006D0D11">
        <w:t>d</w:t>
      </w:r>
      <w:r w:rsidR="00624A7E" w:rsidRPr="006D0D11">
        <w:t xml:space="preserve"> to </w:t>
      </w:r>
      <w:r w:rsidR="00853834" w:rsidRPr="006D0D11">
        <w:t>maintain the 45.5 dB RF filter rejection for frequency offset between</w:t>
      </w:r>
      <w:r w:rsidR="00624A7E" w:rsidRPr="006D0D11">
        <w:t xml:space="preserve"> 50</w:t>
      </w:r>
      <w:r w:rsidR="003D7D65">
        <w:t>–</w:t>
      </w:r>
      <w:r w:rsidR="00624A7E" w:rsidRPr="006D0D11">
        <w:t>110 dB</w:t>
      </w:r>
      <w:r w:rsidR="00853834" w:rsidRPr="006D0D11">
        <w:t xml:space="preserve">. This is on the basis that the updated filter should not </w:t>
      </w:r>
      <w:r w:rsidRPr="006D0D11">
        <w:t>be less stringent than the current filter</w:t>
      </w:r>
      <w:r w:rsidR="000F4275">
        <w:t>.</w:t>
      </w:r>
    </w:p>
    <w:p w14:paraId="1CA91AC2" w14:textId="0D5307D9" w:rsidR="00AB7CCE" w:rsidRDefault="00AB7CCE" w:rsidP="00DB218F">
      <w:pPr>
        <w:rPr>
          <w:rFonts w:cs="Arial"/>
        </w:rPr>
      </w:pPr>
      <w:r w:rsidRPr="006D0D11">
        <w:rPr>
          <w:rFonts w:cs="Arial"/>
        </w:rPr>
        <w:t>Optus note</w:t>
      </w:r>
      <w:r w:rsidR="006D0D11" w:rsidRPr="006D0D11">
        <w:rPr>
          <w:rFonts w:cs="Arial"/>
        </w:rPr>
        <w:t>d the protection requirements for incumbent earth stations in</w:t>
      </w:r>
      <w:r w:rsidRPr="006D0D11">
        <w:rPr>
          <w:rFonts w:cs="Arial"/>
        </w:rPr>
        <w:t xml:space="preserve"> Sect</w:t>
      </w:r>
      <w:r w:rsidR="006D0D11" w:rsidRPr="006D0D11">
        <w:rPr>
          <w:rFonts w:cs="Arial"/>
        </w:rPr>
        <w:t>ion</w:t>
      </w:r>
      <w:r w:rsidRPr="006D0D11">
        <w:rPr>
          <w:rFonts w:cs="Arial"/>
        </w:rPr>
        <w:t xml:space="preserve"> 4.4 (3) </w:t>
      </w:r>
      <w:r w:rsidR="006D0D11" w:rsidRPr="006D0D11">
        <w:rPr>
          <w:rFonts w:cs="Arial"/>
        </w:rPr>
        <w:t>of the RAG Tx and sought</w:t>
      </w:r>
      <w:r w:rsidRPr="006D0D11">
        <w:rPr>
          <w:rFonts w:cs="Arial"/>
        </w:rPr>
        <w:t xml:space="preserve"> clarification on the derivation of 0.005% </w:t>
      </w:r>
      <w:r w:rsidR="006D0D11" w:rsidRPr="006D0D11">
        <w:rPr>
          <w:rFonts w:cs="Arial"/>
        </w:rPr>
        <w:t xml:space="preserve">as it </w:t>
      </w:r>
      <w:r w:rsidRPr="006D0D11">
        <w:rPr>
          <w:rFonts w:cs="Arial"/>
        </w:rPr>
        <w:t xml:space="preserve">is not in </w:t>
      </w:r>
      <w:r w:rsidR="004564E6" w:rsidRPr="006D0D11">
        <w:rPr>
          <w:rFonts w:cs="Arial"/>
        </w:rPr>
        <w:t xml:space="preserve">ITU-R </w:t>
      </w:r>
      <w:r w:rsidR="004564E6">
        <w:rPr>
          <w:rFonts w:cs="Arial"/>
        </w:rPr>
        <w:t>Recommendation SF.1006</w:t>
      </w:r>
      <w:r w:rsidRPr="006D0D11">
        <w:rPr>
          <w:rFonts w:cs="Arial"/>
        </w:rPr>
        <w:t>.</w:t>
      </w:r>
    </w:p>
    <w:p w14:paraId="71BC534C" w14:textId="7CFFB5C5" w:rsidR="00601A05" w:rsidRPr="00F81E3F" w:rsidRDefault="00601A05" w:rsidP="004310A6">
      <w:pPr>
        <w:pStyle w:val="BodySubHeader"/>
      </w:pPr>
      <w:r w:rsidRPr="00601A05">
        <w:t>Protection of b</w:t>
      </w:r>
      <w:r>
        <w:t>roadband wireless access services</w:t>
      </w:r>
    </w:p>
    <w:p w14:paraId="703A930B" w14:textId="293558BE" w:rsidR="00601A05" w:rsidRDefault="00601A05" w:rsidP="00DB218F">
      <w:pPr>
        <w:rPr>
          <w:rFonts w:cs="Arial"/>
        </w:rPr>
      </w:pPr>
      <w:r w:rsidRPr="00624A7E">
        <w:rPr>
          <w:rFonts w:cs="Arial"/>
        </w:rPr>
        <w:t xml:space="preserve">Optus suggested that protection requirements for </w:t>
      </w:r>
      <w:r w:rsidR="003D7D65">
        <w:rPr>
          <w:rFonts w:cs="Arial"/>
        </w:rPr>
        <w:t>NBN</w:t>
      </w:r>
      <w:r w:rsidR="003D7D65" w:rsidRPr="00624A7E">
        <w:rPr>
          <w:rFonts w:cs="Arial"/>
        </w:rPr>
        <w:t xml:space="preserve"> </w:t>
      </w:r>
      <w:r w:rsidR="00907DC7">
        <w:rPr>
          <w:rFonts w:cs="Arial"/>
        </w:rPr>
        <w:t xml:space="preserve">Co </w:t>
      </w:r>
      <w:r w:rsidRPr="00624A7E">
        <w:rPr>
          <w:rFonts w:cs="Arial"/>
        </w:rPr>
        <w:t>PTS apparatus licences in the 3400</w:t>
      </w:r>
      <w:r w:rsidR="003D7D65">
        <w:rPr>
          <w:rFonts w:cs="Arial"/>
        </w:rPr>
        <w:t>–</w:t>
      </w:r>
      <w:r w:rsidRPr="00624A7E">
        <w:rPr>
          <w:rFonts w:cs="Arial"/>
        </w:rPr>
        <w:t>3425 MHz and 3492.5</w:t>
      </w:r>
      <w:r w:rsidR="003D7D65">
        <w:rPr>
          <w:rFonts w:cs="Arial"/>
        </w:rPr>
        <w:t>–</w:t>
      </w:r>
      <w:r w:rsidRPr="00624A7E">
        <w:rPr>
          <w:rFonts w:cs="Arial"/>
        </w:rPr>
        <w:t xml:space="preserve">3542.5 MHz (3.5 GHz) bands are clearly separated from other PTS licences. This is because </w:t>
      </w:r>
      <w:r w:rsidR="003D7D65">
        <w:rPr>
          <w:rFonts w:cs="Arial"/>
        </w:rPr>
        <w:t>NBN Co</w:t>
      </w:r>
      <w:r w:rsidRPr="00624A7E">
        <w:rPr>
          <w:rFonts w:cs="Arial"/>
        </w:rPr>
        <w:t xml:space="preserve">’s </w:t>
      </w:r>
      <w:r>
        <w:rPr>
          <w:rFonts w:cs="Arial"/>
        </w:rPr>
        <w:t xml:space="preserve">3.5 GHz </w:t>
      </w:r>
      <w:r w:rsidR="00EC1048">
        <w:rPr>
          <w:rFonts w:cs="Arial"/>
        </w:rPr>
        <w:t xml:space="preserve">band </w:t>
      </w:r>
      <w:r>
        <w:rPr>
          <w:rFonts w:cs="Arial"/>
        </w:rPr>
        <w:t xml:space="preserve">PTS </w:t>
      </w:r>
      <w:r w:rsidRPr="00624A7E">
        <w:rPr>
          <w:rFonts w:cs="Arial"/>
        </w:rPr>
        <w:t>licences are more like a wide area licence</w:t>
      </w:r>
      <w:r>
        <w:rPr>
          <w:rFonts w:cs="Arial"/>
        </w:rPr>
        <w:t xml:space="preserve"> and have implications for any future defragmentation of spectrum holdings in the 3400</w:t>
      </w:r>
      <w:r w:rsidR="003D7D65">
        <w:rPr>
          <w:rFonts w:cs="Arial"/>
        </w:rPr>
        <w:t>–</w:t>
      </w:r>
      <w:r>
        <w:rPr>
          <w:rFonts w:cs="Arial"/>
        </w:rPr>
        <w:t>3700 MHz band</w:t>
      </w:r>
      <w:r w:rsidRPr="00624A7E">
        <w:rPr>
          <w:rFonts w:cs="Arial"/>
        </w:rPr>
        <w:t>.</w:t>
      </w:r>
    </w:p>
    <w:p w14:paraId="78B45FBA" w14:textId="77777777" w:rsidR="00DB218F" w:rsidRPr="00EF7D49" w:rsidRDefault="00DB218F" w:rsidP="00DB218F">
      <w:pPr>
        <w:pStyle w:val="Heading3"/>
      </w:pPr>
      <w:r w:rsidRPr="00EF7D49">
        <w:t>ACMA response to submissions</w:t>
      </w:r>
    </w:p>
    <w:p w14:paraId="5EE26E42" w14:textId="3A4F72B9" w:rsidR="00601A05" w:rsidRDefault="00A847C2" w:rsidP="003D7D65">
      <w:r>
        <w:t xml:space="preserve">The ACMA notes </w:t>
      </w:r>
      <w:r w:rsidR="00DB23E1">
        <w:t xml:space="preserve">the </w:t>
      </w:r>
      <w:r>
        <w:t xml:space="preserve">concerns raised by Foxtel </w:t>
      </w:r>
      <w:r w:rsidR="003D7D65">
        <w:t xml:space="preserve">about </w:t>
      </w:r>
      <w:r>
        <w:t xml:space="preserve">the potential risk of interference to </w:t>
      </w:r>
      <w:r w:rsidR="00C83EB9">
        <w:t xml:space="preserve">their </w:t>
      </w:r>
      <w:r w:rsidR="003D7D65">
        <w:t>e</w:t>
      </w:r>
      <w:r>
        <w:t xml:space="preserve">arth stations. </w:t>
      </w:r>
      <w:r w:rsidR="00601A05">
        <w:t>However, the m</w:t>
      </w:r>
      <w:r>
        <w:t xml:space="preserve">easures </w:t>
      </w:r>
      <w:r w:rsidR="00601A05">
        <w:t xml:space="preserve">proposed by the ACMA </w:t>
      </w:r>
      <w:r>
        <w:t>are common</w:t>
      </w:r>
      <w:r w:rsidR="00601A05">
        <w:t>ly used internationally. Also</w:t>
      </w:r>
      <w:r w:rsidR="00C073DC">
        <w:t>,</w:t>
      </w:r>
      <w:r w:rsidR="00601A05">
        <w:t xml:space="preserve"> </w:t>
      </w:r>
      <w:r w:rsidR="00E97EF9">
        <w:t xml:space="preserve">the ACMA </w:t>
      </w:r>
      <w:r w:rsidR="00612155">
        <w:t>believes adoption</w:t>
      </w:r>
      <w:r w:rsidR="00E97EF9">
        <w:t xml:space="preserve"> of</w:t>
      </w:r>
      <w:r w:rsidR="00601A05">
        <w:t xml:space="preserve"> </w:t>
      </w:r>
      <w:r>
        <w:t xml:space="preserve">some </w:t>
      </w:r>
      <w:r w:rsidR="00601A05">
        <w:t xml:space="preserve">of </w:t>
      </w:r>
      <w:r>
        <w:t xml:space="preserve">the </w:t>
      </w:r>
      <w:r w:rsidR="003834F4">
        <w:t xml:space="preserve">additional </w:t>
      </w:r>
      <w:r w:rsidR="00601A05">
        <w:t xml:space="preserve">changes proposed </w:t>
      </w:r>
      <w:r>
        <w:t>in submissions to the May 2018 consultation paper</w:t>
      </w:r>
      <w:r w:rsidR="00601A05">
        <w:t xml:space="preserve"> (discussed further below)</w:t>
      </w:r>
      <w:r w:rsidR="00E97EF9">
        <w:t xml:space="preserve"> </w:t>
      </w:r>
      <w:r>
        <w:t xml:space="preserve">will help to </w:t>
      </w:r>
      <w:r w:rsidR="00601A05">
        <w:t xml:space="preserve">alleviate </w:t>
      </w:r>
      <w:r w:rsidR="003834F4">
        <w:t xml:space="preserve">the most significant </w:t>
      </w:r>
      <w:r>
        <w:t xml:space="preserve">concerns </w:t>
      </w:r>
      <w:r w:rsidR="00601A05">
        <w:t xml:space="preserve">raised by </w:t>
      </w:r>
      <w:r>
        <w:t>Foxtel.</w:t>
      </w:r>
    </w:p>
    <w:p w14:paraId="34A19477" w14:textId="14F1084A" w:rsidR="00DF4340" w:rsidRDefault="00601A05" w:rsidP="004310A6">
      <w:pPr>
        <w:spacing w:after="80" w:line="240" w:lineRule="auto"/>
        <w:jc w:val="both"/>
      </w:pPr>
      <w:r>
        <w:t>Regarding comments received on the proposed update to the definition of the RF filter:</w:t>
      </w:r>
    </w:p>
    <w:p w14:paraId="31A55852" w14:textId="571322E5" w:rsidR="000F4275" w:rsidRDefault="000F4275" w:rsidP="004310A6">
      <w:pPr>
        <w:pStyle w:val="ListBullet"/>
      </w:pPr>
      <w:r>
        <w:t xml:space="preserve">The revised RF filter performance proposed by the ACMA encompasses the performance of the existing one and is </w:t>
      </w:r>
      <w:r w:rsidR="00612155">
        <w:t>consistent</w:t>
      </w:r>
      <w:r>
        <w:t xml:space="preserve"> with what is defined for earth stations use by the FCC. The main benefit of the change is that it defines a continuous curve for RF filter performance rather than a step function. This is expected to improve spectrum utility and coexistence between earth stations and other services. </w:t>
      </w:r>
      <w:r w:rsidR="00612155">
        <w:t>Therefore,</w:t>
      </w:r>
      <w:r>
        <w:t xml:space="preserve"> the ACMA believes the proposed change is appropriate.</w:t>
      </w:r>
    </w:p>
    <w:p w14:paraId="3B10479B" w14:textId="1EA4A6F9" w:rsidR="003834F4" w:rsidRDefault="003834F4" w:rsidP="004310A6">
      <w:pPr>
        <w:pStyle w:val="ListBullet"/>
      </w:pPr>
      <w:r>
        <w:lastRenderedPageBreak/>
        <w:t xml:space="preserve">The ACMA acknowledges that multiple licensed services can operate within the same satellite band from a single antenna. </w:t>
      </w:r>
      <w:r w:rsidR="00C83EB9">
        <w:t>Such use</w:t>
      </w:r>
      <w:r w:rsidR="00DF4340">
        <w:t xml:space="preserve"> </w:t>
      </w:r>
      <w:r>
        <w:t xml:space="preserve">creates additional </w:t>
      </w:r>
      <w:r w:rsidR="00DF4340">
        <w:t>complexity</w:t>
      </w:r>
      <w:r>
        <w:t xml:space="preserve"> for earth station operators if RF filters are </w:t>
      </w:r>
      <w:r w:rsidR="00DF4340">
        <w:t>required to</w:t>
      </w:r>
      <w:r>
        <w:t xml:space="preserve"> notch out </w:t>
      </w:r>
      <w:r w:rsidR="00DF4340">
        <w:t xml:space="preserve">various </w:t>
      </w:r>
      <w:r>
        <w:t xml:space="preserve">segments of the </w:t>
      </w:r>
      <w:r w:rsidR="00DF4340">
        <w:t>3400</w:t>
      </w:r>
      <w:r w:rsidR="00612155">
        <w:t>–</w:t>
      </w:r>
      <w:r w:rsidR="00DF4340">
        <w:t xml:space="preserve">4200 MHz </w:t>
      </w:r>
      <w:r>
        <w:t>band</w:t>
      </w:r>
      <w:r w:rsidR="00DF4340">
        <w:t xml:space="preserve">. Given Inmarsat’s earth stations in Perth are the only incumbent satellite services remaining below 3700 MHz, the ACMA will modify the RF filter definition to </w:t>
      </w:r>
      <w:r w:rsidR="00C83EB9">
        <w:t xml:space="preserve">only </w:t>
      </w:r>
      <w:r w:rsidR="00DF4340">
        <w:t>apply from the lowest frequency edge of licences operating on a single antenna (</w:t>
      </w:r>
      <w:r w:rsidR="00612155">
        <w:t>that is,</w:t>
      </w:r>
      <w:r w:rsidR="00DF4340">
        <w:t xml:space="preserve"> it will act as a high pass filter)</w:t>
      </w:r>
      <w:r w:rsidR="00612155">
        <w:t>.</w:t>
      </w:r>
      <w:r>
        <w:t xml:space="preserve"> </w:t>
      </w:r>
    </w:p>
    <w:p w14:paraId="20762CC4" w14:textId="675B5B28" w:rsidR="003834F4" w:rsidRDefault="003834F4" w:rsidP="004310A6">
      <w:pPr>
        <w:pStyle w:val="ListBullet"/>
      </w:pPr>
      <w:r>
        <w:t xml:space="preserve">While off-the shelf products may support RF filter roll-offs starting from 3700 MHz and 3800 MHz, their application would have a material effect on the ability of earth stations to share with other services. The </w:t>
      </w:r>
      <w:r w:rsidR="00C83EB9">
        <w:t>application of the RF</w:t>
      </w:r>
      <w:r>
        <w:t xml:space="preserve"> filter </w:t>
      </w:r>
      <w:r w:rsidR="00C83EB9">
        <w:t>is</w:t>
      </w:r>
      <w:r>
        <w:t xml:space="preserve"> also </w:t>
      </w:r>
      <w:r w:rsidR="00C83EB9">
        <w:t>in-line with those defined by the FCC.</w:t>
      </w:r>
      <w:r>
        <w:t xml:space="preserve"> </w:t>
      </w:r>
      <w:r w:rsidR="00C83EB9">
        <w:t xml:space="preserve">This </w:t>
      </w:r>
      <w:r>
        <w:t>indicates filters can be made</w:t>
      </w:r>
      <w:r w:rsidR="00A37B2C">
        <w:t xml:space="preserve"> that start rolling-off at different frequencies</w:t>
      </w:r>
      <w:r>
        <w:t xml:space="preserve">. </w:t>
      </w:r>
      <w:r w:rsidR="00A37B2C">
        <w:t>Consequently, w</w:t>
      </w:r>
      <w:r>
        <w:t xml:space="preserve">hile earth station licensees are free to implement the level of filtering they see fit (at their own risk), the ACMA </w:t>
      </w:r>
      <w:r w:rsidR="00537973">
        <w:t>has decided</w:t>
      </w:r>
      <w:r>
        <w:t xml:space="preserve"> to define a high pass RF filter that applies from</w:t>
      </w:r>
      <w:r w:rsidR="00A37B2C">
        <w:t xml:space="preserve"> the</w:t>
      </w:r>
      <w:r>
        <w:t xml:space="preserve"> </w:t>
      </w:r>
      <w:r w:rsidR="00A37B2C" w:rsidRPr="006D0D11">
        <w:t xml:space="preserve">lowest </w:t>
      </w:r>
      <w:r w:rsidR="00A37B2C">
        <w:t>licensed</w:t>
      </w:r>
      <w:r w:rsidR="00A37B2C" w:rsidRPr="006D0D11">
        <w:t xml:space="preserve"> frequency</w:t>
      </w:r>
      <w:r w:rsidR="00A37B2C">
        <w:t xml:space="preserve"> on a single antenna</w:t>
      </w:r>
      <w:r>
        <w:t xml:space="preserve">. </w:t>
      </w:r>
    </w:p>
    <w:p w14:paraId="230C3F84" w14:textId="6B1CF18D" w:rsidR="00A847C2" w:rsidRPr="004310A6" w:rsidRDefault="00601A05" w:rsidP="004310A6">
      <w:pPr>
        <w:pStyle w:val="ListBulletLast"/>
        <w:rPr>
          <w:b/>
          <w:szCs w:val="20"/>
          <w:u w:val="single"/>
        </w:rPr>
      </w:pPr>
      <w:r w:rsidRPr="00601A05">
        <w:rPr>
          <w:szCs w:val="20"/>
        </w:rPr>
        <w:t xml:space="preserve">The ACMA </w:t>
      </w:r>
      <w:r>
        <w:rPr>
          <w:szCs w:val="20"/>
        </w:rPr>
        <w:t xml:space="preserve">acknowledges and </w:t>
      </w:r>
      <w:r w:rsidRPr="00601A05">
        <w:rPr>
          <w:szCs w:val="20"/>
        </w:rPr>
        <w:t xml:space="preserve">will correct the </w:t>
      </w:r>
      <w:r>
        <w:rPr>
          <w:szCs w:val="20"/>
        </w:rPr>
        <w:t xml:space="preserve">error in the </w:t>
      </w:r>
      <w:r w:rsidRPr="006D0D11">
        <w:t>equation for frequency offsets between 50</w:t>
      </w:r>
      <w:r w:rsidR="00612155">
        <w:t>–</w:t>
      </w:r>
      <w:r w:rsidRPr="006D0D11">
        <w:t>150 MHz</w:t>
      </w:r>
      <w:r>
        <w:t xml:space="preserve">. </w:t>
      </w:r>
      <w:r w:rsidR="000F4275">
        <w:t>O</w:t>
      </w:r>
      <w:r w:rsidR="000F4275" w:rsidRPr="006D0D11">
        <w:t>n the basis that the updated filter should not become less stringent than the current filter</w:t>
      </w:r>
      <w:r w:rsidR="000F4275">
        <w:t xml:space="preserve">, the ACMA will also define a level of </w:t>
      </w:r>
      <w:r w:rsidRPr="006D0D11">
        <w:t xml:space="preserve">RF filter rejection </w:t>
      </w:r>
      <w:r w:rsidR="000F4275">
        <w:t xml:space="preserve">of </w:t>
      </w:r>
      <w:r w:rsidR="000F4275" w:rsidRPr="006D0D11">
        <w:t xml:space="preserve">45.5 dB </w:t>
      </w:r>
      <w:r w:rsidRPr="006D0D11">
        <w:t>for frequency offset between 50</w:t>
      </w:r>
      <w:r w:rsidR="00612155">
        <w:t>–</w:t>
      </w:r>
      <w:r w:rsidRPr="006D0D11">
        <w:t xml:space="preserve">110 dB. </w:t>
      </w:r>
    </w:p>
    <w:p w14:paraId="1CD58A67" w14:textId="15D17559" w:rsidR="004564E6" w:rsidRDefault="004564E6" w:rsidP="004310A6">
      <w:r>
        <w:t>Regarding Optus’</w:t>
      </w:r>
      <w:r w:rsidR="00612155">
        <w:t>s</w:t>
      </w:r>
      <w:r>
        <w:t xml:space="preserve"> request for clarification on the </w:t>
      </w:r>
      <w:r w:rsidRPr="006D0D11">
        <w:t>derivation of 0.005%</w:t>
      </w:r>
      <w:r>
        <w:t xml:space="preserve"> in </w:t>
      </w:r>
      <w:r w:rsidRPr="006D0D11">
        <w:t>Section 4.4 (3) of the RAG Tx</w:t>
      </w:r>
      <w:r>
        <w:t xml:space="preserve">, this value is </w:t>
      </w:r>
      <w:r w:rsidR="0096157C">
        <w:t xml:space="preserve">the value of </w:t>
      </w:r>
      <w:r w:rsidR="0096157C" w:rsidRPr="0096157C">
        <w:rPr>
          <w:i/>
        </w:rPr>
        <w:t>p</w:t>
      </w:r>
      <w:r w:rsidR="0096157C">
        <w:rPr>
          <w:i/>
          <w:vertAlign w:val="subscript"/>
        </w:rPr>
        <w:t>2</w:t>
      </w:r>
      <w:r w:rsidR="0096157C">
        <w:rPr>
          <w:i/>
        </w:rPr>
        <w:t xml:space="preserve">% </w:t>
      </w:r>
      <w:r w:rsidR="0096157C">
        <w:t xml:space="preserve">for digital systems </w:t>
      </w:r>
      <w:r w:rsidR="00A37B2C">
        <w:t xml:space="preserve">contained </w:t>
      </w:r>
      <w:r w:rsidR="0096157C">
        <w:t xml:space="preserve">in </w:t>
      </w:r>
      <w:r w:rsidR="00612155" w:rsidRPr="0096157C">
        <w:t>Table</w:t>
      </w:r>
      <w:r w:rsidR="00612155">
        <w:t> </w:t>
      </w:r>
      <w:r w:rsidR="0096157C">
        <w:t xml:space="preserve">1 of </w:t>
      </w:r>
      <w:r w:rsidRPr="006D0D11">
        <w:t xml:space="preserve">ITU-R </w:t>
      </w:r>
      <w:r>
        <w:t xml:space="preserve">Recommendation </w:t>
      </w:r>
      <w:r w:rsidRPr="006D0D11">
        <w:t>SF.1006.</w:t>
      </w:r>
      <w:r w:rsidR="0096157C">
        <w:t xml:space="preserve"> It is noted that according to </w:t>
      </w:r>
      <w:r w:rsidR="0096157C" w:rsidRPr="006D0D11">
        <w:t xml:space="preserve">ITU-R </w:t>
      </w:r>
      <w:r w:rsidR="0096157C">
        <w:t xml:space="preserve">Recommendation </w:t>
      </w:r>
      <w:r w:rsidR="0096157C" w:rsidRPr="006D0D11">
        <w:t>SF.1006</w:t>
      </w:r>
      <w:r w:rsidR="00612155">
        <w:t>,</w:t>
      </w:r>
      <w:r w:rsidR="0096157C">
        <w:t xml:space="preserve"> the actual value to use when modelling propagation is actually 0.005/3 = 0.0017%. However, a value of 0.005% was the value presented in the 3.6 GHz </w:t>
      </w:r>
      <w:r w:rsidR="00EC1048">
        <w:t xml:space="preserve">band </w:t>
      </w:r>
      <w:r w:rsidR="0096157C">
        <w:t>TLG</w:t>
      </w:r>
      <w:r w:rsidR="00A37B2C">
        <w:t xml:space="preserve"> and is considered reasonable in this case</w:t>
      </w:r>
      <w:r w:rsidR="0096157C">
        <w:t xml:space="preserve">. </w:t>
      </w:r>
    </w:p>
    <w:p w14:paraId="37C777AC" w14:textId="2A1391E5" w:rsidR="00DF4340" w:rsidRDefault="00DF4340" w:rsidP="004310A6">
      <w:r w:rsidRPr="00DF4340">
        <w:t xml:space="preserve">Regarding </w:t>
      </w:r>
      <w:r w:rsidR="004564E6">
        <w:t>Optus</w:t>
      </w:r>
      <w:r w:rsidR="0058097F">
        <w:t>’</w:t>
      </w:r>
      <w:r w:rsidR="00612155">
        <w:t>s</w:t>
      </w:r>
      <w:r w:rsidR="004564E6">
        <w:t xml:space="preserve"> suggestion to</w:t>
      </w:r>
      <w:r w:rsidR="002767F8">
        <w:t xml:space="preserve"> </w:t>
      </w:r>
      <w:r w:rsidR="004564E6">
        <w:t>separate</w:t>
      </w:r>
      <w:r w:rsidR="002767F8">
        <w:t xml:space="preserve"> coordination requirements for </w:t>
      </w:r>
      <w:r w:rsidR="00612155">
        <w:t>NBN</w:t>
      </w:r>
      <w:r w:rsidR="00907DC7">
        <w:t xml:space="preserve"> Co</w:t>
      </w:r>
      <w:r w:rsidR="00612155">
        <w:t xml:space="preserve">’s </w:t>
      </w:r>
      <w:r w:rsidR="002767F8">
        <w:t>3.</w:t>
      </w:r>
      <w:r w:rsidR="00612155">
        <w:t>5 </w:t>
      </w:r>
      <w:r w:rsidR="002767F8">
        <w:t xml:space="preserve">GHz </w:t>
      </w:r>
      <w:r w:rsidR="00EC1048">
        <w:t xml:space="preserve">band </w:t>
      </w:r>
      <w:r w:rsidR="002767F8">
        <w:t xml:space="preserve">PTS licences with other 3.5 GHz </w:t>
      </w:r>
      <w:r w:rsidR="00EC1048">
        <w:t xml:space="preserve">band </w:t>
      </w:r>
      <w:r w:rsidR="002767F8">
        <w:t xml:space="preserve">PTS licences, the </w:t>
      </w:r>
      <w:r w:rsidR="00675D52">
        <w:t xml:space="preserve">recent </w:t>
      </w:r>
      <w:r w:rsidR="00612155">
        <w:t>m</w:t>
      </w:r>
      <w:r w:rsidR="002767F8">
        <w:t xml:space="preserve">inster’s direction has changed the situation </w:t>
      </w:r>
      <w:r w:rsidR="00675D52">
        <w:t>in this case. The direction requires the ACMA to implement the same synchronisation fall-back solution as proposed under sub-option 1</w:t>
      </w:r>
      <w:r w:rsidR="00A37B2C">
        <w:t>a</w:t>
      </w:r>
      <w:r w:rsidR="00675D52">
        <w:t xml:space="preserve"> to all 3.5 GHz </w:t>
      </w:r>
      <w:r w:rsidR="00EC1048">
        <w:t xml:space="preserve">band </w:t>
      </w:r>
      <w:r w:rsidR="00675D52">
        <w:t xml:space="preserve">PTS licences in defined regional and metropolitan areas. As a </w:t>
      </w:r>
      <w:r w:rsidR="00612155">
        <w:t>consequence,</w:t>
      </w:r>
      <w:r w:rsidR="00675D52">
        <w:t xml:space="preserve"> this solution will apply to all </w:t>
      </w:r>
      <w:r w:rsidR="00612155">
        <w:t>NBN</w:t>
      </w:r>
      <w:r w:rsidR="00907DC7">
        <w:t xml:space="preserve"> Co</w:t>
      </w:r>
      <w:r w:rsidR="00675D52">
        <w:t xml:space="preserve">’s 3.5 GHz </w:t>
      </w:r>
      <w:r w:rsidR="00EC1048">
        <w:t xml:space="preserve">band </w:t>
      </w:r>
      <w:r w:rsidR="00675D52">
        <w:t xml:space="preserve">PTS licences and any other PTS licences that may be issued in the defined regional and metropolitan areas. </w:t>
      </w:r>
    </w:p>
    <w:p w14:paraId="6DAC2DF1" w14:textId="2CC87EF0" w:rsidR="00C83EB9" w:rsidRDefault="00C83EB9" w:rsidP="00777F84">
      <w:pPr>
        <w:rPr>
          <w:rFonts w:cs="Arial"/>
          <w:szCs w:val="20"/>
        </w:rPr>
      </w:pPr>
      <w:r>
        <w:rPr>
          <w:szCs w:val="20"/>
        </w:rPr>
        <w:t>Based on Optus</w:t>
      </w:r>
      <w:r w:rsidR="00612155">
        <w:rPr>
          <w:szCs w:val="20"/>
        </w:rPr>
        <w:t>’s</w:t>
      </w:r>
      <w:r>
        <w:rPr>
          <w:szCs w:val="20"/>
        </w:rPr>
        <w:t xml:space="preserve"> request, t</w:t>
      </w:r>
      <w:r>
        <w:t xml:space="preserve">he ACMA will include notes in relevant sections providing guidance on how devices with </w:t>
      </w:r>
      <w:r w:rsidR="00612155">
        <w:t>a</w:t>
      </w:r>
      <w:r>
        <w:t xml:space="preserve">ctive </w:t>
      </w:r>
      <w:r w:rsidR="00612155">
        <w:t>a</w:t>
      </w:r>
      <w:r>
        <w:t xml:space="preserve">ntenna </w:t>
      </w:r>
      <w:r w:rsidR="00612155">
        <w:t>s</w:t>
      </w:r>
      <w:r>
        <w:t xml:space="preserve">ystems can be considered when managing interference. </w:t>
      </w:r>
    </w:p>
    <w:p w14:paraId="7A4B4F45" w14:textId="5BAB3840" w:rsidR="00DB218F" w:rsidRPr="00DB218F" w:rsidRDefault="00DB218F" w:rsidP="00BB018B">
      <w:pPr>
        <w:pStyle w:val="Heading3"/>
      </w:pPr>
      <w:r w:rsidRPr="00DB218F">
        <w:t xml:space="preserve">Issue for comment </w:t>
      </w:r>
      <w:r w:rsidR="004564E6">
        <w:t>question 9</w:t>
      </w:r>
    </w:p>
    <w:p w14:paraId="174A6DA9" w14:textId="77777777" w:rsidR="00DB6CDD" w:rsidRPr="00DB6CDD" w:rsidRDefault="00DB6CDD" w:rsidP="004310A6">
      <w:pPr>
        <w:pStyle w:val="ListNumber"/>
        <w:spacing w:after="240"/>
        <w:rPr>
          <w:i/>
        </w:rPr>
      </w:pPr>
      <w:r w:rsidRPr="00DB6CDD">
        <w:rPr>
          <w:i/>
          <w:lang w:eastAsia="ja-JP"/>
        </w:rPr>
        <w:t xml:space="preserve">The ACMA seeks comment from interested stakeholders on the draft Radiocommunications Advisory Guidelines (Managing Interference to </w:t>
      </w:r>
      <w:r w:rsidRPr="00DB6CDD">
        <w:rPr>
          <w:i/>
        </w:rPr>
        <w:t>Spectrum Licensed</w:t>
      </w:r>
      <w:r w:rsidRPr="00DB6CDD">
        <w:rPr>
          <w:i/>
          <w:lang w:eastAsia="ja-JP"/>
        </w:rPr>
        <w:t xml:space="preserve"> Receivers – 3.4 GHz Band) 2015 at attachments F and H (</w:t>
      </w:r>
      <w:r w:rsidRPr="00DB6CDD">
        <w:rPr>
          <w:i/>
        </w:rPr>
        <w:t xml:space="preserve">for </w:t>
      </w:r>
      <w:r w:rsidRPr="00DB6CDD">
        <w:rPr>
          <w:i/>
          <w:lang w:eastAsia="ja-JP"/>
        </w:rPr>
        <w:t>Option 1) and attachments G and I (</w:t>
      </w:r>
      <w:r w:rsidRPr="00DB6CDD">
        <w:rPr>
          <w:i/>
        </w:rPr>
        <w:t xml:space="preserve">for </w:t>
      </w:r>
      <w:r w:rsidRPr="00DB6CDD">
        <w:rPr>
          <w:i/>
          <w:lang w:eastAsia="ja-JP"/>
        </w:rPr>
        <w:t>Option 2).</w:t>
      </w:r>
    </w:p>
    <w:p w14:paraId="2988E602" w14:textId="77777777" w:rsidR="00DB218F" w:rsidRPr="004D2315" w:rsidRDefault="00DB218F" w:rsidP="00DB218F">
      <w:pPr>
        <w:pStyle w:val="Heading3"/>
      </w:pPr>
      <w:r w:rsidRPr="004D2315">
        <w:t>Summary of submissions</w:t>
      </w:r>
    </w:p>
    <w:p w14:paraId="42E2F1EF" w14:textId="12BA946A" w:rsidR="008F75C4" w:rsidRDefault="008F75C4" w:rsidP="004310A6">
      <w:r>
        <w:rPr>
          <w:rFonts w:cs="Arial"/>
        </w:rPr>
        <w:t xml:space="preserve">Those submissions that commented on the </w:t>
      </w:r>
      <w:r w:rsidRPr="003B3658">
        <w:t>draft</w:t>
      </w:r>
      <w:r>
        <w:t xml:space="preserve"> RAG Rx were generally comfortable with the proposed changes under sub-option 1a. </w:t>
      </w:r>
    </w:p>
    <w:p w14:paraId="6255CE7E" w14:textId="33976045" w:rsidR="000D4505" w:rsidRDefault="007A61C3" w:rsidP="004310A6">
      <w:pPr>
        <w:rPr>
          <w:rFonts w:cs="Arial"/>
        </w:rPr>
      </w:pPr>
      <w:r w:rsidRPr="00AB7CCE">
        <w:rPr>
          <w:rFonts w:cs="Arial"/>
        </w:rPr>
        <w:t xml:space="preserve">Optus </w:t>
      </w:r>
      <w:r w:rsidR="008F75C4">
        <w:rPr>
          <w:rFonts w:cs="Arial"/>
        </w:rPr>
        <w:t xml:space="preserve">requested that </w:t>
      </w:r>
      <w:r w:rsidRPr="00AB7CCE">
        <w:rPr>
          <w:rFonts w:cs="Arial"/>
        </w:rPr>
        <w:t xml:space="preserve">additional clarification regarding use of </w:t>
      </w:r>
      <w:r w:rsidR="00612155">
        <w:rPr>
          <w:rFonts w:cs="Arial"/>
        </w:rPr>
        <w:t>a</w:t>
      </w:r>
      <w:r w:rsidR="008F75C4">
        <w:rPr>
          <w:rFonts w:cs="Arial"/>
        </w:rPr>
        <w:t xml:space="preserve">ctive </w:t>
      </w:r>
      <w:r w:rsidR="00612155">
        <w:rPr>
          <w:rFonts w:cs="Arial"/>
        </w:rPr>
        <w:t>a</w:t>
      </w:r>
      <w:r w:rsidR="008F75C4">
        <w:rPr>
          <w:rFonts w:cs="Arial"/>
        </w:rPr>
        <w:t xml:space="preserve">ntenna </w:t>
      </w:r>
      <w:r w:rsidR="00612155">
        <w:rPr>
          <w:rFonts w:cs="Arial"/>
        </w:rPr>
        <w:t>s</w:t>
      </w:r>
      <w:r w:rsidR="008F75C4">
        <w:rPr>
          <w:rFonts w:cs="Arial"/>
        </w:rPr>
        <w:t>ystems</w:t>
      </w:r>
      <w:r w:rsidRPr="00AB7CCE">
        <w:rPr>
          <w:rFonts w:cs="Arial"/>
        </w:rPr>
        <w:t xml:space="preserve"> be included in line with the guidance </w:t>
      </w:r>
      <w:r w:rsidR="008F75C4">
        <w:rPr>
          <w:rFonts w:cs="Arial"/>
        </w:rPr>
        <w:t>provided</w:t>
      </w:r>
      <w:r w:rsidRPr="00AB7CCE">
        <w:rPr>
          <w:rFonts w:cs="Arial"/>
        </w:rPr>
        <w:t xml:space="preserve"> in the s145 Determination.</w:t>
      </w:r>
      <w:r w:rsidR="008F75C4">
        <w:rPr>
          <w:rFonts w:cs="Arial"/>
        </w:rPr>
        <w:t xml:space="preserve"> </w:t>
      </w:r>
    </w:p>
    <w:p w14:paraId="03EC9733" w14:textId="3FDDC048" w:rsidR="00DB218F" w:rsidRDefault="000D4505" w:rsidP="004310A6">
      <w:pPr>
        <w:rPr>
          <w:rFonts w:cs="Arial"/>
        </w:rPr>
      </w:pPr>
      <w:r>
        <w:rPr>
          <w:rFonts w:cs="Arial"/>
        </w:rPr>
        <w:t xml:space="preserve">Optus also indicated that </w:t>
      </w:r>
      <w:r w:rsidR="0058097F">
        <w:rPr>
          <w:rFonts w:cs="Arial"/>
        </w:rPr>
        <w:t xml:space="preserve">the </w:t>
      </w:r>
      <w:r>
        <w:rPr>
          <w:rFonts w:cs="Arial"/>
        </w:rPr>
        <w:t xml:space="preserve">date defined in </w:t>
      </w:r>
      <w:r w:rsidR="007A61C3" w:rsidRPr="007A61C3">
        <w:rPr>
          <w:rFonts w:cs="Arial"/>
        </w:rPr>
        <w:t>Part 3.1 (5)(a)</w:t>
      </w:r>
      <w:r w:rsidR="00AA5AA7">
        <w:rPr>
          <w:rFonts w:cs="Arial"/>
        </w:rPr>
        <w:t>, 14 December 2015,</w:t>
      </w:r>
      <w:r w:rsidR="007A61C3" w:rsidRPr="007A61C3">
        <w:rPr>
          <w:rFonts w:cs="Arial"/>
        </w:rPr>
        <w:t xml:space="preserve"> was the </w:t>
      </w:r>
      <w:r>
        <w:rPr>
          <w:rFonts w:cs="Arial"/>
        </w:rPr>
        <w:t xml:space="preserve">licence </w:t>
      </w:r>
      <w:r w:rsidR="007A61C3" w:rsidRPr="007A61C3">
        <w:rPr>
          <w:rFonts w:cs="Arial"/>
        </w:rPr>
        <w:t>renewal date</w:t>
      </w:r>
      <w:r w:rsidR="00AA5AA7">
        <w:rPr>
          <w:rFonts w:cs="Arial"/>
        </w:rPr>
        <w:t xml:space="preserve"> of 3.4 GHz band spectrum licences</w:t>
      </w:r>
      <w:r>
        <w:rPr>
          <w:rFonts w:cs="Arial"/>
        </w:rPr>
        <w:t xml:space="preserve"> </w:t>
      </w:r>
      <w:r w:rsidR="00AA5AA7">
        <w:rPr>
          <w:rFonts w:cs="Arial"/>
        </w:rPr>
        <w:t xml:space="preserve">and that </w:t>
      </w:r>
      <w:r>
        <w:rPr>
          <w:rFonts w:cs="Arial"/>
        </w:rPr>
        <w:t>spectrum licen</w:t>
      </w:r>
      <w:r w:rsidR="001C2D18">
        <w:rPr>
          <w:rFonts w:cs="Arial"/>
        </w:rPr>
        <w:t>s</w:t>
      </w:r>
      <w:r>
        <w:rPr>
          <w:rFonts w:cs="Arial"/>
        </w:rPr>
        <w:t>ing</w:t>
      </w:r>
      <w:r w:rsidR="00AA5AA7">
        <w:rPr>
          <w:rFonts w:cs="Arial"/>
        </w:rPr>
        <w:t xml:space="preserve"> </w:t>
      </w:r>
      <w:r>
        <w:rPr>
          <w:rFonts w:cs="Arial"/>
        </w:rPr>
        <w:t xml:space="preserve">has been in </w:t>
      </w:r>
      <w:r w:rsidRPr="007A61C3">
        <w:rPr>
          <w:rFonts w:cs="Arial"/>
        </w:rPr>
        <w:t>effect</w:t>
      </w:r>
      <w:r>
        <w:rPr>
          <w:rFonts w:cs="Arial"/>
        </w:rPr>
        <w:t xml:space="preserve"> </w:t>
      </w:r>
      <w:r w:rsidR="00AA5AA7">
        <w:rPr>
          <w:rFonts w:cs="Arial"/>
        </w:rPr>
        <w:t xml:space="preserve">in the band </w:t>
      </w:r>
      <w:r>
        <w:rPr>
          <w:rFonts w:cs="Arial"/>
        </w:rPr>
        <w:t>since the year 2000</w:t>
      </w:r>
      <w:r w:rsidR="007A61C3" w:rsidRPr="007A61C3">
        <w:rPr>
          <w:rFonts w:cs="Arial"/>
        </w:rPr>
        <w:t xml:space="preserve">. </w:t>
      </w:r>
      <w:r w:rsidR="00327F6B">
        <w:rPr>
          <w:rFonts w:cs="Arial"/>
        </w:rPr>
        <w:t xml:space="preserve">Optus further indicated </w:t>
      </w:r>
      <w:r w:rsidR="00327F6B">
        <w:rPr>
          <w:rFonts w:cs="Arial"/>
        </w:rPr>
        <w:lastRenderedPageBreak/>
        <w:t xml:space="preserve">that as spectrum licences have been in </w:t>
      </w:r>
      <w:r w:rsidR="003D54AD">
        <w:rPr>
          <w:rFonts w:cs="Arial"/>
        </w:rPr>
        <w:t>e</w:t>
      </w:r>
      <w:r w:rsidR="00327F6B">
        <w:rPr>
          <w:rFonts w:cs="Arial"/>
        </w:rPr>
        <w:t>ffect before</w:t>
      </w:r>
      <w:r w:rsidR="00327F6B" w:rsidRPr="007A61C3">
        <w:rPr>
          <w:rFonts w:cs="Arial"/>
        </w:rPr>
        <w:t xml:space="preserve"> </w:t>
      </w:r>
      <w:r w:rsidR="00327F6B">
        <w:rPr>
          <w:rFonts w:cs="Arial"/>
        </w:rPr>
        <w:t xml:space="preserve">the issue date of </w:t>
      </w:r>
      <w:r w:rsidR="00327F6B" w:rsidRPr="007A61C3">
        <w:rPr>
          <w:rFonts w:cs="Arial"/>
        </w:rPr>
        <w:t xml:space="preserve">many of the existing </w:t>
      </w:r>
      <w:r w:rsidR="00327F6B">
        <w:rPr>
          <w:rFonts w:cs="Arial"/>
        </w:rPr>
        <w:t>apparatus licence</w:t>
      </w:r>
      <w:r w:rsidR="003D54AD">
        <w:rPr>
          <w:rFonts w:cs="Arial"/>
        </w:rPr>
        <w:t>s</w:t>
      </w:r>
      <w:r w:rsidR="00327F6B">
        <w:rPr>
          <w:rFonts w:cs="Arial"/>
        </w:rPr>
        <w:t xml:space="preserve"> issued in and adjacent to the 3.4 GHz band, they should be afforded in-band protection from such licences. </w:t>
      </w:r>
      <w:r w:rsidR="00AA5AA7">
        <w:rPr>
          <w:rFonts w:cs="Arial"/>
        </w:rPr>
        <w:t xml:space="preserve">Based on this, </w:t>
      </w:r>
      <w:r>
        <w:rPr>
          <w:rFonts w:cs="Arial"/>
        </w:rPr>
        <w:t>Optus proposed that t</w:t>
      </w:r>
      <w:r w:rsidR="007A61C3" w:rsidRPr="007A61C3">
        <w:rPr>
          <w:rFonts w:cs="Arial"/>
        </w:rPr>
        <w:t xml:space="preserve">he original issue date of </w:t>
      </w:r>
      <w:r>
        <w:rPr>
          <w:rFonts w:cs="Arial"/>
        </w:rPr>
        <w:t xml:space="preserve">spectrum licenses in the 3.4 GHz band </w:t>
      </w:r>
      <w:r w:rsidR="007A61C3" w:rsidRPr="007A61C3">
        <w:rPr>
          <w:rFonts w:cs="Arial"/>
        </w:rPr>
        <w:t xml:space="preserve">should </w:t>
      </w:r>
      <w:r w:rsidR="00AA5AA7">
        <w:rPr>
          <w:rFonts w:cs="Arial"/>
        </w:rPr>
        <w:t>instead be used in</w:t>
      </w:r>
      <w:r w:rsidR="0054225B">
        <w:rPr>
          <w:rFonts w:cs="Arial"/>
        </w:rPr>
        <w:t xml:space="preserve"> Part 3.1 (5)</w:t>
      </w:r>
      <w:r w:rsidR="0054225B" w:rsidRPr="007A61C3">
        <w:rPr>
          <w:rFonts w:cs="Arial"/>
        </w:rPr>
        <w:t>(a)</w:t>
      </w:r>
      <w:r w:rsidR="0054225B">
        <w:rPr>
          <w:rFonts w:cs="Arial"/>
        </w:rPr>
        <w:t xml:space="preserve">. </w:t>
      </w:r>
    </w:p>
    <w:p w14:paraId="2671230C" w14:textId="77777777" w:rsidR="00DB218F" w:rsidRPr="00EF7D49" w:rsidRDefault="00DB218F" w:rsidP="00DB218F">
      <w:pPr>
        <w:pStyle w:val="Heading3"/>
      </w:pPr>
      <w:r w:rsidRPr="00EF7D49">
        <w:t>ACMA response to submissions</w:t>
      </w:r>
    </w:p>
    <w:p w14:paraId="5D5A3A94" w14:textId="3586C992" w:rsidR="00DB218F" w:rsidRDefault="00AA5AA7" w:rsidP="00DB218F">
      <w:pPr>
        <w:rPr>
          <w:rFonts w:cs="Arial"/>
        </w:rPr>
      </w:pPr>
      <w:r>
        <w:t xml:space="preserve">The ACMA will adopt all changes proposed to the RAG Rx and include notes in relevant sections providing guidance on how devices with </w:t>
      </w:r>
      <w:r w:rsidR="00612155">
        <w:rPr>
          <w:rFonts w:cs="Arial"/>
        </w:rPr>
        <w:t>a</w:t>
      </w:r>
      <w:r>
        <w:rPr>
          <w:rFonts w:cs="Arial"/>
        </w:rPr>
        <w:t xml:space="preserve">ctive </w:t>
      </w:r>
      <w:r w:rsidR="00612155">
        <w:rPr>
          <w:rFonts w:cs="Arial"/>
        </w:rPr>
        <w:t>a</w:t>
      </w:r>
      <w:r>
        <w:rPr>
          <w:rFonts w:cs="Arial"/>
        </w:rPr>
        <w:t xml:space="preserve">ntenna </w:t>
      </w:r>
      <w:r w:rsidR="00612155">
        <w:rPr>
          <w:rFonts w:cs="Arial"/>
        </w:rPr>
        <w:t>s</w:t>
      </w:r>
      <w:r>
        <w:rPr>
          <w:rFonts w:cs="Arial"/>
        </w:rPr>
        <w:t xml:space="preserve">ystems can be considered when managing interference. </w:t>
      </w:r>
    </w:p>
    <w:p w14:paraId="29DEE6C5" w14:textId="58D31732" w:rsidR="00E678A0" w:rsidRDefault="00612155" w:rsidP="00DF5E0E">
      <w:pPr>
        <w:rPr>
          <w:rFonts w:cs="Arial"/>
        </w:rPr>
      </w:pPr>
      <w:r>
        <w:rPr>
          <w:rFonts w:cs="Arial"/>
        </w:rPr>
        <w:t>For</w:t>
      </w:r>
      <w:r w:rsidR="00AA5AA7">
        <w:rPr>
          <w:rFonts w:cs="Arial"/>
        </w:rPr>
        <w:t xml:space="preserve"> the proposed changes to </w:t>
      </w:r>
      <w:r w:rsidR="00AA5AA7" w:rsidRPr="007A61C3">
        <w:rPr>
          <w:rFonts w:cs="Arial"/>
        </w:rPr>
        <w:t>Part 3.1 (5)(a)</w:t>
      </w:r>
      <w:r w:rsidR="00AA5AA7">
        <w:rPr>
          <w:rFonts w:cs="Arial"/>
        </w:rPr>
        <w:t xml:space="preserve">, the ACMA notes the 14 December 2015 date was put in the RAG </w:t>
      </w:r>
      <w:r w:rsidR="000835D9">
        <w:rPr>
          <w:rFonts w:cs="Arial"/>
        </w:rPr>
        <w:t xml:space="preserve">Rx </w:t>
      </w:r>
      <w:r w:rsidR="00AA5AA7">
        <w:rPr>
          <w:rFonts w:cs="Arial"/>
        </w:rPr>
        <w:t xml:space="preserve">as part of the revision of the technical framework in 2015. </w:t>
      </w:r>
      <w:r w:rsidR="00DF5E0E">
        <w:rPr>
          <w:rFonts w:cs="Arial"/>
        </w:rPr>
        <w:t xml:space="preserve">This was done because the </w:t>
      </w:r>
      <w:r w:rsidR="00DF5E0E">
        <w:t>in-band interference criteria</w:t>
      </w:r>
      <w:r w:rsidR="00E678A0">
        <w:t xml:space="preserve"> w</w:t>
      </w:r>
      <w:r w:rsidR="002F2B27">
        <w:t>ere</w:t>
      </w:r>
      <w:r w:rsidR="00E678A0">
        <w:t xml:space="preserve"> change</w:t>
      </w:r>
      <w:r w:rsidR="0042575D">
        <w:t>d</w:t>
      </w:r>
      <w:r w:rsidR="00E678A0">
        <w:t xml:space="preserve"> as part of the 2015 review. To ensure </w:t>
      </w:r>
      <w:r w:rsidR="001C2D18">
        <w:t>a</w:t>
      </w:r>
      <w:r w:rsidR="00E678A0">
        <w:t xml:space="preserve">pparatus licences issued between the time the 3.4 GHz band was originally re-allocated for spectrum licensing on 17 June 2000 and the re-issue of spectrum licences on the 14 December 2015 (which would have met the old criteria), suddenly being deemed to cause unacceptable interference, the date in </w:t>
      </w:r>
      <w:r w:rsidR="00E678A0" w:rsidRPr="007A61C3">
        <w:rPr>
          <w:rFonts w:cs="Arial"/>
        </w:rPr>
        <w:t>Part 3.1 (5)(a)</w:t>
      </w:r>
      <w:r w:rsidR="00E678A0">
        <w:rPr>
          <w:rFonts w:cs="Arial"/>
        </w:rPr>
        <w:t xml:space="preserve"> was amended from </w:t>
      </w:r>
      <w:r w:rsidR="00E678A0">
        <w:t xml:space="preserve">17 June 2000 to 14 December 2015. For this </w:t>
      </w:r>
      <w:r w:rsidR="00CC262F">
        <w:t>reason,</w:t>
      </w:r>
      <w:r w:rsidR="00E678A0">
        <w:t xml:space="preserve"> the ACMA believes the date in </w:t>
      </w:r>
      <w:r w:rsidR="00E678A0" w:rsidRPr="007A61C3">
        <w:rPr>
          <w:rFonts w:cs="Arial"/>
        </w:rPr>
        <w:t>Part 3.1 (5)(a)</w:t>
      </w:r>
      <w:r w:rsidR="00E678A0">
        <w:rPr>
          <w:rFonts w:cs="Arial"/>
        </w:rPr>
        <w:t xml:space="preserve"> should remain as is. </w:t>
      </w:r>
    </w:p>
    <w:p w14:paraId="366E6942" w14:textId="1EA43073" w:rsidR="00DB6CDD" w:rsidRPr="00DB218F" w:rsidRDefault="00DB6CDD" w:rsidP="00BB018B">
      <w:pPr>
        <w:pStyle w:val="Heading3"/>
      </w:pPr>
      <w:r w:rsidRPr="00DB218F">
        <w:t xml:space="preserve">Issue for comment </w:t>
      </w:r>
      <w:r w:rsidR="004564E6">
        <w:t>question 10</w:t>
      </w:r>
    </w:p>
    <w:p w14:paraId="7C7032D4" w14:textId="6CDDC93B" w:rsidR="00DB6CDD" w:rsidRPr="00DB6CDD" w:rsidRDefault="00DB6CDD" w:rsidP="004310A6">
      <w:pPr>
        <w:pStyle w:val="ListNumber"/>
        <w:spacing w:after="240"/>
        <w:rPr>
          <w:i/>
        </w:rPr>
      </w:pPr>
      <w:r w:rsidRPr="00DB6CDD">
        <w:rPr>
          <w:i/>
        </w:rPr>
        <w:t xml:space="preserve">The ACMA seeks comment on the proposed additional out-of-band emission limit in cases where a synchronisation requirement does not apply. Is it appropriate to share the 20 MHz guard band equally between adjacent band licensees? </w:t>
      </w:r>
      <w:r w:rsidR="00CC262F" w:rsidRPr="00DB6CDD">
        <w:rPr>
          <w:i/>
          <w:lang w:eastAsia="ja-JP"/>
        </w:rPr>
        <w:t>If</w:t>
      </w:r>
      <w:r w:rsidR="00CC262F">
        <w:rPr>
          <w:i/>
          <w:lang w:eastAsia="ja-JP"/>
        </w:rPr>
        <w:t> </w:t>
      </w:r>
      <w:r w:rsidRPr="00DB6CDD">
        <w:rPr>
          <w:i/>
          <w:lang w:eastAsia="ja-JP"/>
        </w:rPr>
        <w:t xml:space="preserve">agreement cannot be achieved with all 3.4 GHz band licensees to share the </w:t>
      </w:r>
      <w:r w:rsidR="004B2D9E" w:rsidRPr="00DB6CDD">
        <w:rPr>
          <w:i/>
          <w:lang w:eastAsia="ja-JP"/>
        </w:rPr>
        <w:t>20</w:t>
      </w:r>
      <w:r w:rsidR="004B2D9E">
        <w:rPr>
          <w:i/>
          <w:lang w:eastAsia="ja-JP"/>
        </w:rPr>
        <w:t> </w:t>
      </w:r>
      <w:r w:rsidRPr="00DB6CDD">
        <w:rPr>
          <w:i/>
          <w:lang w:eastAsia="ja-JP"/>
        </w:rPr>
        <w:t xml:space="preserve">MHz guard band, are the proposed alternative limits suitable? </w:t>
      </w:r>
    </w:p>
    <w:p w14:paraId="331799E0" w14:textId="77777777" w:rsidR="00DB6CDD" w:rsidRPr="004D2315" w:rsidRDefault="00DB6CDD" w:rsidP="00DB6CDD">
      <w:pPr>
        <w:pStyle w:val="Heading3"/>
      </w:pPr>
      <w:r w:rsidRPr="004D2315">
        <w:t>Summary of submissions</w:t>
      </w:r>
    </w:p>
    <w:p w14:paraId="7EBA26E3" w14:textId="137DD11A" w:rsidR="002B6B66" w:rsidRDefault="00907DC7" w:rsidP="004310A6">
      <w:pPr>
        <w:rPr>
          <w:b/>
        </w:rPr>
      </w:pPr>
      <w:r>
        <w:t>This issue for comment related to changes that only applied to the adoption of the Option 2 technical framework. Since sub-option 1a has been adopted, responses to this question have not been considered further.</w:t>
      </w:r>
    </w:p>
    <w:p w14:paraId="089ACDB5" w14:textId="3C958BD4" w:rsidR="00DB6CDD" w:rsidRPr="00DB218F" w:rsidRDefault="00DB6CDD" w:rsidP="00BB018B">
      <w:pPr>
        <w:pStyle w:val="Heading3"/>
      </w:pPr>
      <w:r w:rsidRPr="00DB218F">
        <w:t xml:space="preserve">Issue for comment </w:t>
      </w:r>
      <w:r w:rsidR="004564E6">
        <w:t>questions 11 and 12</w:t>
      </w:r>
    </w:p>
    <w:p w14:paraId="10FA6C5D" w14:textId="77777777" w:rsidR="00DB6CDD" w:rsidRPr="00DB6CDD" w:rsidRDefault="00DB6CDD" w:rsidP="00DB6CDD">
      <w:pPr>
        <w:pStyle w:val="ListNumber"/>
        <w:rPr>
          <w:i/>
        </w:rPr>
      </w:pPr>
      <w:r w:rsidRPr="00DB6CDD">
        <w:rPr>
          <w:i/>
          <w:lang w:eastAsia="ja-JP"/>
        </w:rPr>
        <w:t>The ACMA seeks comment from interested stakeholders on the proposed amendment to the Radiocommunications (Trading Rules for Spectrum Licences) Determination 2012</w:t>
      </w:r>
      <w:r w:rsidRPr="00DB6CDD">
        <w:rPr>
          <w:i/>
        </w:rPr>
        <w:t xml:space="preserve"> </w:t>
      </w:r>
      <w:r w:rsidRPr="00DB6CDD">
        <w:rPr>
          <w:i/>
          <w:lang w:eastAsia="ja-JP"/>
        </w:rPr>
        <w:t>to define a minimum contiguous bandwidth of 10 MHz for the 3.6 GHz band, as detailed in attachments H and I.</w:t>
      </w:r>
    </w:p>
    <w:p w14:paraId="721BD7C4" w14:textId="77777777" w:rsidR="00DB6CDD" w:rsidRPr="00DB6CDD" w:rsidRDefault="00DB6CDD" w:rsidP="004310A6">
      <w:pPr>
        <w:pStyle w:val="ListNumber"/>
        <w:spacing w:after="240"/>
        <w:rPr>
          <w:i/>
          <w:lang w:eastAsia="ja-JP"/>
        </w:rPr>
      </w:pPr>
      <w:r w:rsidRPr="00DB6CDD">
        <w:rPr>
          <w:i/>
          <w:lang w:eastAsia="ja-JP"/>
        </w:rPr>
        <w:t>The ACMA seeks comment from interested stakeholders on the proposed amendment to the Radiocommunications (Trading Rules for Spectrum Licences) Determination 2012 to remove the minimum contiguous bandwidth for the 27 GHz band, as detailed in attachments H and I.</w:t>
      </w:r>
    </w:p>
    <w:p w14:paraId="1097EF3B" w14:textId="77777777" w:rsidR="00DB6CDD" w:rsidRPr="004D2315" w:rsidRDefault="00DB6CDD" w:rsidP="00DB6CDD">
      <w:pPr>
        <w:pStyle w:val="Heading3"/>
      </w:pPr>
      <w:r w:rsidRPr="004D2315">
        <w:t>Summary of submissions</w:t>
      </w:r>
    </w:p>
    <w:p w14:paraId="2FC1676D" w14:textId="05CF4C91" w:rsidR="00DB6CDD" w:rsidRDefault="00DB6CDD" w:rsidP="00DB6CDD">
      <w:pPr>
        <w:rPr>
          <w:rFonts w:cs="Arial"/>
        </w:rPr>
      </w:pPr>
      <w:r>
        <w:rPr>
          <w:rFonts w:cs="Arial"/>
        </w:rPr>
        <w:t xml:space="preserve">All submissions that commented on the amendments to the </w:t>
      </w:r>
      <w:r w:rsidR="00BB018B">
        <w:rPr>
          <w:rFonts w:cs="Arial"/>
        </w:rPr>
        <w:t>t</w:t>
      </w:r>
      <w:r>
        <w:rPr>
          <w:rFonts w:cs="Arial"/>
        </w:rPr>
        <w:t xml:space="preserve">rading </w:t>
      </w:r>
      <w:r w:rsidR="00BB018B">
        <w:rPr>
          <w:rFonts w:cs="Arial"/>
        </w:rPr>
        <w:t>d</w:t>
      </w:r>
      <w:r>
        <w:rPr>
          <w:rFonts w:cs="Arial"/>
        </w:rPr>
        <w:t xml:space="preserve">etermination supported the proposed changes. </w:t>
      </w:r>
    </w:p>
    <w:p w14:paraId="29A994E5" w14:textId="77777777" w:rsidR="00DB6CDD" w:rsidRPr="00EF7D49" w:rsidRDefault="00DB6CDD" w:rsidP="00DB6CDD">
      <w:pPr>
        <w:pStyle w:val="Heading3"/>
      </w:pPr>
      <w:r w:rsidRPr="00EF7D49">
        <w:t>ACMA response to submissions</w:t>
      </w:r>
    </w:p>
    <w:p w14:paraId="2A4A0866" w14:textId="19016F07" w:rsidR="002B6B66" w:rsidRDefault="002B6B66" w:rsidP="002B6B66">
      <w:r>
        <w:t xml:space="preserve">The ACMA has included the 3.6 GHz band to the </w:t>
      </w:r>
      <w:r w:rsidR="00BB018B">
        <w:t>t</w:t>
      </w:r>
      <w:r>
        <w:t xml:space="preserve">rading </w:t>
      </w:r>
      <w:r w:rsidR="00BB018B">
        <w:t>d</w:t>
      </w:r>
      <w:r>
        <w:t>etermination and defined an MCB of 10 MHz. The 27 GHz band has also been removed from Schedule 1</w:t>
      </w:r>
      <w:r w:rsidR="003D54AD">
        <w:t xml:space="preserve"> (</w:t>
      </w:r>
      <w:r w:rsidR="004B2D9E">
        <w:t>because of</w:t>
      </w:r>
      <w:r w:rsidR="003D54AD">
        <w:t xml:space="preserve"> spectrum licensing no longer being applicable in the band)</w:t>
      </w:r>
      <w:r>
        <w:t xml:space="preserve">. </w:t>
      </w:r>
    </w:p>
    <w:p w14:paraId="2CF1916C" w14:textId="77777777" w:rsidR="004310A6" w:rsidRDefault="004310A6" w:rsidP="004310A6">
      <w:pPr>
        <w:pStyle w:val="Heading1"/>
      </w:pPr>
      <w:bookmarkStart w:id="15" w:name="_Toc520719221"/>
      <w:r>
        <w:lastRenderedPageBreak/>
        <w:t>Annex A—Submissions received</w:t>
      </w:r>
      <w:bookmarkEnd w:id="15"/>
      <w:r>
        <w:t xml:space="preserve"> </w:t>
      </w:r>
    </w:p>
    <w:p w14:paraId="6417EE34" w14:textId="73BCCC2B" w:rsidR="004310A6" w:rsidRDefault="004310A6" w:rsidP="004310A6">
      <w:pPr>
        <w:pStyle w:val="ListBullet"/>
      </w:pPr>
      <w:r>
        <w:t>Airspan Spectrum Holdings Ltd and Dense Air Limited</w:t>
      </w:r>
    </w:p>
    <w:p w14:paraId="051A358F" w14:textId="77777777" w:rsidR="004310A6" w:rsidRDefault="004310A6" w:rsidP="004310A6">
      <w:pPr>
        <w:pStyle w:val="ListBullet"/>
      </w:pPr>
      <w:r>
        <w:t>Australian Mobile Telecommunications Association (AMTA)</w:t>
      </w:r>
    </w:p>
    <w:p w14:paraId="59855B4E" w14:textId="77777777" w:rsidR="004310A6" w:rsidRDefault="004310A6" w:rsidP="004310A6">
      <w:pPr>
        <w:pStyle w:val="ListBullet"/>
      </w:pPr>
      <w:r>
        <w:t>Carriers Alliance Satellite Service Working Group (SSWG)</w:t>
      </w:r>
    </w:p>
    <w:p w14:paraId="6C0CAD8E" w14:textId="77777777" w:rsidR="004310A6" w:rsidRDefault="004310A6" w:rsidP="004310A6">
      <w:pPr>
        <w:pStyle w:val="ListBullet"/>
      </w:pPr>
      <w:r>
        <w:t>Department of Defence</w:t>
      </w:r>
    </w:p>
    <w:p w14:paraId="3D6B01D8" w14:textId="77777777" w:rsidR="004310A6" w:rsidRDefault="004310A6" w:rsidP="004310A6">
      <w:pPr>
        <w:pStyle w:val="ListBullet"/>
      </w:pPr>
      <w:r>
        <w:t>Ericsson</w:t>
      </w:r>
    </w:p>
    <w:p w14:paraId="4D328C9E" w14:textId="77777777" w:rsidR="004310A6" w:rsidRDefault="004310A6" w:rsidP="004310A6">
      <w:pPr>
        <w:pStyle w:val="ListBullet"/>
      </w:pPr>
      <w:r>
        <w:t>Foxtel</w:t>
      </w:r>
    </w:p>
    <w:p w14:paraId="27495860" w14:textId="77777777" w:rsidR="004310A6" w:rsidRDefault="004310A6" w:rsidP="004310A6">
      <w:pPr>
        <w:pStyle w:val="ListBullet"/>
      </w:pPr>
      <w:r>
        <w:t>Huawei</w:t>
      </w:r>
    </w:p>
    <w:p w14:paraId="43D01F96" w14:textId="793E4A1B" w:rsidR="004310A6" w:rsidRDefault="00CC262F" w:rsidP="004310A6">
      <w:pPr>
        <w:pStyle w:val="ListBullet"/>
      </w:pPr>
      <w:r>
        <w:t>NBN Co Ltd</w:t>
      </w:r>
    </w:p>
    <w:p w14:paraId="225886A0" w14:textId="77777777" w:rsidR="004310A6" w:rsidRDefault="004310A6" w:rsidP="004310A6">
      <w:pPr>
        <w:pStyle w:val="ListBullet"/>
      </w:pPr>
      <w:r>
        <w:t>Optus</w:t>
      </w:r>
    </w:p>
    <w:p w14:paraId="39316664" w14:textId="77777777" w:rsidR="004310A6" w:rsidRDefault="004310A6" w:rsidP="004310A6">
      <w:pPr>
        <w:pStyle w:val="ListBullet"/>
      </w:pPr>
      <w:r>
        <w:t>Telstra</w:t>
      </w:r>
    </w:p>
    <w:p w14:paraId="4CE5E291" w14:textId="4E21B71B" w:rsidR="004310A6" w:rsidRDefault="004310A6" w:rsidP="002B6B66">
      <w:pPr>
        <w:pStyle w:val="ListBullet"/>
      </w:pPr>
      <w:r>
        <w:t>Vodafone Hutchinson Australia (VHA)</w:t>
      </w:r>
    </w:p>
    <w:p w14:paraId="7F376F38" w14:textId="14CEE293" w:rsidR="0082520C" w:rsidRPr="002F0EE6" w:rsidRDefault="0082520C" w:rsidP="0082520C">
      <w:pPr>
        <w:pStyle w:val="Heading1"/>
      </w:pPr>
      <w:bookmarkStart w:id="16" w:name="_Toc520719222"/>
      <w:r>
        <w:lastRenderedPageBreak/>
        <w:t>Annex B</w:t>
      </w:r>
      <w:r w:rsidRPr="002F0EE6">
        <w:t>—</w:t>
      </w:r>
      <w:r>
        <w:t>Summary of changes</w:t>
      </w:r>
      <w:bookmarkEnd w:id="16"/>
      <w:r w:rsidRPr="002F0EE6">
        <w:t xml:space="preserve"> </w:t>
      </w:r>
    </w:p>
    <w:p w14:paraId="290CE40E" w14:textId="0232A1A6" w:rsidR="009830EE" w:rsidRDefault="0082520C" w:rsidP="004310A6">
      <w:pPr>
        <w:rPr>
          <w:i/>
          <w:szCs w:val="20"/>
        </w:rPr>
      </w:pPr>
      <w:r>
        <w:rPr>
          <w:szCs w:val="20"/>
        </w:rPr>
        <w:t xml:space="preserve">This </w:t>
      </w:r>
      <w:r w:rsidR="00CC262F">
        <w:rPr>
          <w:szCs w:val="20"/>
        </w:rPr>
        <w:t>a</w:t>
      </w:r>
      <w:r>
        <w:rPr>
          <w:szCs w:val="20"/>
        </w:rPr>
        <w:t>nnex provides a summary of changes to the instruments that form the 3.4 GHz and 3.6 GHz band</w:t>
      </w:r>
      <w:r w:rsidR="003D54AD">
        <w:rPr>
          <w:szCs w:val="20"/>
        </w:rPr>
        <w:t>s</w:t>
      </w:r>
      <w:r>
        <w:rPr>
          <w:szCs w:val="20"/>
        </w:rPr>
        <w:t xml:space="preserve"> technical framework</w:t>
      </w:r>
      <w:r w:rsidR="00CC262F">
        <w:rPr>
          <w:szCs w:val="20"/>
        </w:rPr>
        <w:t>,</w:t>
      </w:r>
      <w:r>
        <w:rPr>
          <w:szCs w:val="20"/>
        </w:rPr>
        <w:t xml:space="preserve"> as a result of submissions received to the May 2018 discussion paper</w:t>
      </w:r>
      <w:r w:rsidR="007901CC">
        <w:rPr>
          <w:szCs w:val="20"/>
        </w:rPr>
        <w:t>. The</w:t>
      </w:r>
      <w:r w:rsidR="006B6AC2">
        <w:rPr>
          <w:szCs w:val="20"/>
        </w:rPr>
        <w:t xml:space="preserve"> changes are based on the adoption of sub-option 1a and submissions received that commented </w:t>
      </w:r>
      <w:r w:rsidR="007901CC">
        <w:rPr>
          <w:szCs w:val="20"/>
        </w:rPr>
        <w:t>on that</w:t>
      </w:r>
      <w:r w:rsidR="006B6AC2">
        <w:rPr>
          <w:szCs w:val="20"/>
        </w:rPr>
        <w:t xml:space="preserve"> sub-option.</w:t>
      </w:r>
    </w:p>
    <w:p w14:paraId="2426DB80" w14:textId="6B6FFE0C" w:rsidR="006B6AC2" w:rsidRDefault="006B6AC2" w:rsidP="004310A6">
      <w:pPr>
        <w:spacing w:after="80"/>
      </w:pPr>
      <w:r>
        <w:rPr>
          <w:szCs w:val="20"/>
        </w:rPr>
        <w:t>The instruments that form the 3.4 GHz and 3.6 GHz band</w:t>
      </w:r>
      <w:r w:rsidR="003D54AD">
        <w:rPr>
          <w:szCs w:val="20"/>
        </w:rPr>
        <w:t>s</w:t>
      </w:r>
      <w:r>
        <w:rPr>
          <w:szCs w:val="20"/>
        </w:rPr>
        <w:t xml:space="preserve"> technical framework are:</w:t>
      </w:r>
    </w:p>
    <w:p w14:paraId="49248419" w14:textId="29AA1052" w:rsidR="0082520C" w:rsidRPr="006B6AC2" w:rsidRDefault="004310A6" w:rsidP="004310A6">
      <w:pPr>
        <w:pStyle w:val="ListBullet"/>
      </w:pPr>
      <w:r>
        <w:t>s</w:t>
      </w:r>
      <w:r w:rsidR="0082520C" w:rsidRPr="006B6AC2">
        <w:t>ample spectrum licence</w:t>
      </w:r>
    </w:p>
    <w:p w14:paraId="530B4969" w14:textId="7C40D4FB" w:rsidR="0082520C" w:rsidRPr="006B6AC2" w:rsidRDefault="0082520C" w:rsidP="004310A6">
      <w:pPr>
        <w:pStyle w:val="ListBullet"/>
      </w:pPr>
      <w:r w:rsidRPr="006B6AC2">
        <w:t>Radiocommunications (Trading Rules for Spectrum Licences) Determination 2012</w:t>
      </w:r>
    </w:p>
    <w:p w14:paraId="2EFFE422" w14:textId="14518615" w:rsidR="0082520C" w:rsidRPr="0082520C" w:rsidRDefault="0082520C" w:rsidP="004310A6">
      <w:pPr>
        <w:pStyle w:val="ListBullet"/>
      </w:pPr>
      <w:r w:rsidRPr="006B6AC2">
        <w:t>Radiocommunications (Unacceptable Levels of Interference</w:t>
      </w:r>
      <w:r w:rsidR="00BB018B" w:rsidRPr="00DB6CDD">
        <w:t xml:space="preserve"> — </w:t>
      </w:r>
      <w:r w:rsidRPr="006B6AC2">
        <w:t>3.4 GHz Band) Determination 2015 (</w:t>
      </w:r>
      <w:r w:rsidRPr="004B2D9E">
        <w:t>s.145 determination)</w:t>
      </w:r>
    </w:p>
    <w:p w14:paraId="55409F38" w14:textId="169182B0" w:rsidR="0082520C" w:rsidRPr="0082520C" w:rsidRDefault="0082520C" w:rsidP="004310A6">
      <w:pPr>
        <w:pStyle w:val="ListBullet"/>
      </w:pPr>
      <w:bookmarkStart w:id="17" w:name="_Toc503948578"/>
      <w:r w:rsidRPr="006B6AC2">
        <w:t xml:space="preserve">Radiocommunications Advisory Guidelines (Managing Interference from Spectrum Licensed Transmitters — 3.4 GHz Band) 2015 </w:t>
      </w:r>
      <w:bookmarkEnd w:id="17"/>
      <w:r w:rsidRPr="006B6AC2">
        <w:t>(RAG Tx)</w:t>
      </w:r>
    </w:p>
    <w:p w14:paraId="470CACD2" w14:textId="674F501C" w:rsidR="0082520C" w:rsidRPr="006B6AC2" w:rsidRDefault="0082520C" w:rsidP="004310A6">
      <w:pPr>
        <w:pStyle w:val="ListBulletLast"/>
      </w:pPr>
      <w:r w:rsidRPr="006B6AC2">
        <w:t>Radiocommunications Advisory Guidelines (Managing Interference to Spectrum Licensed Receivers</w:t>
      </w:r>
      <w:r w:rsidR="00BB018B" w:rsidRPr="00DB6CDD">
        <w:t xml:space="preserve"> — </w:t>
      </w:r>
      <w:r w:rsidRPr="006B6AC2">
        <w:t>3.4 GHz Band) 2015 (RAG Rx)</w:t>
      </w:r>
      <w:r w:rsidR="006B6AC2" w:rsidRPr="006B6AC2">
        <w:t>.</w:t>
      </w:r>
    </w:p>
    <w:p w14:paraId="23B56EE8" w14:textId="181136BE" w:rsidR="007257F5" w:rsidRDefault="007257F5" w:rsidP="007257F5">
      <w:pPr>
        <w:pStyle w:val="Heading2"/>
      </w:pPr>
      <w:bookmarkStart w:id="18" w:name="_Toc520719223"/>
      <w:r>
        <w:t>Changes</w:t>
      </w:r>
      <w:bookmarkEnd w:id="18"/>
    </w:p>
    <w:p w14:paraId="6278FA5F" w14:textId="49999351" w:rsidR="006B6AC2" w:rsidRDefault="006B6AC2" w:rsidP="004310A6">
      <w:pPr>
        <w:rPr>
          <w:i/>
        </w:rPr>
      </w:pPr>
      <w:r>
        <w:t xml:space="preserve">Changes </w:t>
      </w:r>
      <w:r w:rsidR="00F315F9">
        <w:t xml:space="preserve">as a result of public consultation </w:t>
      </w:r>
      <w:r>
        <w:t xml:space="preserve">on a </w:t>
      </w:r>
      <w:r w:rsidRPr="006B6AC2">
        <w:t xml:space="preserve">per instrument basis </w:t>
      </w:r>
      <w:r>
        <w:t xml:space="preserve">are provided </w:t>
      </w:r>
      <w:r w:rsidRPr="006B6AC2">
        <w:t xml:space="preserve">below.  </w:t>
      </w:r>
    </w:p>
    <w:p w14:paraId="17B2E90F" w14:textId="77777777" w:rsidR="006B6AC2" w:rsidRPr="00FF2DFD" w:rsidRDefault="006B6AC2" w:rsidP="007257F5">
      <w:pPr>
        <w:pStyle w:val="Heading3"/>
        <w:rPr>
          <w:iCs/>
          <w:lang w:eastAsia="en-US" w:bidi="he-IL"/>
        </w:rPr>
      </w:pPr>
      <w:bookmarkStart w:id="19" w:name="_Toc503948576"/>
      <w:bookmarkStart w:id="20" w:name="_Toc518561195"/>
      <w:bookmarkStart w:id="21" w:name="_Toc503948575"/>
      <w:r w:rsidRPr="00FF2DFD">
        <w:rPr>
          <w:lang w:eastAsia="en-US" w:bidi="he-IL"/>
        </w:rPr>
        <w:t xml:space="preserve">Spectrum </w:t>
      </w:r>
      <w:r w:rsidRPr="004310A6">
        <w:t>licence</w:t>
      </w:r>
      <w:bookmarkEnd w:id="19"/>
      <w:bookmarkEnd w:id="20"/>
    </w:p>
    <w:p w14:paraId="6D910096" w14:textId="68C12886" w:rsidR="00F315F9" w:rsidRPr="00056143" w:rsidRDefault="00F315F9" w:rsidP="004310A6">
      <w:pPr>
        <w:spacing w:after="80"/>
        <w:rPr>
          <w:rFonts w:cs="Arial"/>
        </w:rPr>
      </w:pPr>
      <w:r>
        <w:t xml:space="preserve">The following changes were made </w:t>
      </w:r>
      <w:r w:rsidR="003D54AD">
        <w:t>a</w:t>
      </w:r>
      <w:r w:rsidR="00315ECB">
        <w:t xml:space="preserve">s a result </w:t>
      </w:r>
      <w:r>
        <w:t>of the public consultation process (excluding simple editorial</w:t>
      </w:r>
      <w:r w:rsidR="00CC262F">
        <w:t xml:space="preserve"> changes</w:t>
      </w:r>
      <w:r>
        <w:t>):</w:t>
      </w:r>
    </w:p>
    <w:p w14:paraId="6ED07A64" w14:textId="77777777" w:rsidR="00F315F9" w:rsidRPr="00A52310" w:rsidRDefault="00F315F9" w:rsidP="004310A6">
      <w:pPr>
        <w:pStyle w:val="ListBullet"/>
      </w:pPr>
      <w:r w:rsidRPr="00A52310">
        <w:t>Corrections to 5(1) and 11-14 of Schedule 1.</w:t>
      </w:r>
      <w:r>
        <w:t xml:space="preserve"> </w:t>
      </w:r>
    </w:p>
    <w:p w14:paraId="4EF450ED" w14:textId="553C7B2A" w:rsidR="00F315F9" w:rsidRPr="00A52310" w:rsidRDefault="00F315F9" w:rsidP="004310A6">
      <w:pPr>
        <w:pStyle w:val="ListBullet"/>
      </w:pPr>
      <w:r>
        <w:t>Updating</w:t>
      </w:r>
      <w:r w:rsidRPr="00A52310">
        <w:t xml:space="preserve"> to spurious emissions limits in 3100</w:t>
      </w:r>
      <w:r w:rsidR="00CC262F">
        <w:t>–</w:t>
      </w:r>
      <w:r w:rsidRPr="00A52310">
        <w:t xml:space="preserve">3380 MHz frequency range to match 3GPP standards. This has resulted in the merging of tables 5 and 6 as well as subsequent changes to following table numbers. </w:t>
      </w:r>
    </w:p>
    <w:p w14:paraId="0DD18505" w14:textId="7866A929" w:rsidR="00F315F9" w:rsidRPr="00A52310" w:rsidRDefault="00F315F9" w:rsidP="004310A6">
      <w:pPr>
        <w:pStyle w:val="ListBullet"/>
      </w:pPr>
      <w:r>
        <w:t>Including</w:t>
      </w:r>
      <w:r w:rsidRPr="00A52310">
        <w:t xml:space="preserve"> a note to the synchronisation requirement indicating that the device or devices registered first-in-time have priority during any period of re-planning or negotiation until the interference issue is either resolved or operation is synchronised</w:t>
      </w:r>
      <w:r w:rsidR="0067799C">
        <w:t>.</w:t>
      </w:r>
    </w:p>
    <w:p w14:paraId="39E8BA07" w14:textId="0C4DD5F9" w:rsidR="00F315F9" w:rsidRPr="00A52310" w:rsidRDefault="00F315F9" w:rsidP="004310A6">
      <w:pPr>
        <w:pStyle w:val="ListBullet"/>
      </w:pPr>
      <w:r>
        <w:t>Including</w:t>
      </w:r>
      <w:r w:rsidRPr="00A52310">
        <w:t xml:space="preserve"> a note to the synchronisation requirement indicating that it only applies to the cell/sector that is causing/receiving interference. It does not mandate network</w:t>
      </w:r>
      <w:r w:rsidR="00CC262F">
        <w:t>-</w:t>
      </w:r>
      <w:r w:rsidRPr="00A52310">
        <w:t xml:space="preserve">wide synchronisation. </w:t>
      </w:r>
    </w:p>
    <w:p w14:paraId="303574A3" w14:textId="21167186" w:rsidR="00F315F9" w:rsidRDefault="00F315F9" w:rsidP="004310A6">
      <w:pPr>
        <w:pStyle w:val="ListBullet"/>
      </w:pPr>
      <w:r>
        <w:t xml:space="preserve">Including </w:t>
      </w:r>
      <w:r w:rsidRPr="00A52310">
        <w:t xml:space="preserve">a reference to 3GPP TS 38.211 in the synchronisation note. This is to </w:t>
      </w:r>
      <w:r w:rsidR="00CC262F">
        <w:t>clarify</w:t>
      </w:r>
      <w:r w:rsidRPr="00A52310">
        <w:t xml:space="preserve"> that other frame structures can be applied (including those defined for 5G) provided they only transmit and receive (or have no emissions) during the same periods as defined in the synchronisation requirement. </w:t>
      </w:r>
    </w:p>
    <w:p w14:paraId="0DC85FBE" w14:textId="74223BA7" w:rsidR="00F315F9" w:rsidRDefault="00F315F9" w:rsidP="004310A6">
      <w:pPr>
        <w:pStyle w:val="ListBullet"/>
      </w:pPr>
      <w:r>
        <w:t>Inclusion of PTS licences in the 3400</w:t>
      </w:r>
      <w:r w:rsidR="00CC262F">
        <w:t>–</w:t>
      </w:r>
      <w:r>
        <w:t xml:space="preserve">3700 MHz band to the synchronisation condition, consistent with the </w:t>
      </w:r>
      <w:r w:rsidR="00A02444">
        <w:t>minister’s</w:t>
      </w:r>
      <w:r>
        <w:t xml:space="preserve"> direction.</w:t>
      </w:r>
    </w:p>
    <w:p w14:paraId="5B0DBD49" w14:textId="2C0B3C71" w:rsidR="00F315F9" w:rsidRDefault="00F315F9" w:rsidP="004310A6">
      <w:pPr>
        <w:pStyle w:val="ListBullet"/>
      </w:pPr>
      <w:r>
        <w:t>General editorial</w:t>
      </w:r>
      <w:r w:rsidR="00CC262F">
        <w:t xml:space="preserve"> changes</w:t>
      </w:r>
      <w:r>
        <w:t xml:space="preserve"> to the synchronisation requirement to make it consistent with the </w:t>
      </w:r>
      <w:r w:rsidR="00CC262F">
        <w:t>m</w:t>
      </w:r>
      <w:r>
        <w:t xml:space="preserve">inister’s direction. </w:t>
      </w:r>
    </w:p>
    <w:p w14:paraId="04EDD539" w14:textId="461A7DD0" w:rsidR="00F84BEF" w:rsidRPr="004310A6" w:rsidRDefault="00F315F9" w:rsidP="004310A6">
      <w:pPr>
        <w:pStyle w:val="ListBulletLast"/>
        <w:rPr>
          <w:szCs w:val="20"/>
        </w:rPr>
      </w:pPr>
      <w:r>
        <w:t xml:space="preserve">For the condition requiring licensees to manage interference with incumbent apparatus licensees, </w:t>
      </w:r>
      <w:r w:rsidR="00FB6CB0">
        <w:t xml:space="preserve">specific reference is now made to </w:t>
      </w:r>
      <w:r>
        <w:t>th</w:t>
      </w:r>
      <w:r w:rsidR="003D54AD">
        <w:t>e</w:t>
      </w:r>
      <w:r>
        <w:t xml:space="preserve"> parts of the RAG Tx that </w:t>
      </w:r>
      <w:r w:rsidR="00FB6CB0">
        <w:t xml:space="preserve">contain the relevant </w:t>
      </w:r>
      <w:r>
        <w:t>protection criteria.</w:t>
      </w:r>
    </w:p>
    <w:p w14:paraId="495A19B5" w14:textId="77777777" w:rsidR="006B6AC2" w:rsidRPr="004310A6" w:rsidRDefault="006B6AC2" w:rsidP="007257F5">
      <w:pPr>
        <w:pStyle w:val="Heading3"/>
      </w:pPr>
      <w:bookmarkStart w:id="22" w:name="_Toc518561196"/>
      <w:r w:rsidRPr="004310A6">
        <w:lastRenderedPageBreak/>
        <w:t>Radiocommunications (Trading Rules for Spectrum Licences) Determination 2012</w:t>
      </w:r>
      <w:bookmarkEnd w:id="21"/>
      <w:bookmarkEnd w:id="22"/>
    </w:p>
    <w:p w14:paraId="24132BC6" w14:textId="77777777" w:rsidR="00F315F9" w:rsidRPr="00F315F9" w:rsidRDefault="00F315F9" w:rsidP="004310A6">
      <w:pPr>
        <w:pStyle w:val="ListBulletLast"/>
      </w:pPr>
      <w:bookmarkStart w:id="23" w:name="_Toc518561197"/>
      <w:bookmarkStart w:id="24" w:name="_Toc503948577"/>
      <w:r w:rsidRPr="00F315F9">
        <w:t>No change from the issues that were consulted on.</w:t>
      </w:r>
    </w:p>
    <w:p w14:paraId="2B9DC5B6" w14:textId="7AF6EC35" w:rsidR="006B6AC2" w:rsidRPr="004310A6" w:rsidRDefault="006B6AC2" w:rsidP="007257F5">
      <w:pPr>
        <w:pStyle w:val="Heading3"/>
      </w:pPr>
      <w:r w:rsidRPr="004310A6">
        <w:t xml:space="preserve">Radiocommunications (Unacceptable Levels of </w:t>
      </w:r>
      <w:r w:rsidRPr="004B2D9E">
        <w:t>Interference</w:t>
      </w:r>
      <w:r w:rsidR="00BB018B" w:rsidRPr="00DB6CDD">
        <w:t xml:space="preserve"> — </w:t>
      </w:r>
      <w:r w:rsidRPr="004310A6">
        <w:t>3.4 GHz Band) Determination 2015 (s.145 determination)</w:t>
      </w:r>
      <w:bookmarkEnd w:id="23"/>
    </w:p>
    <w:p w14:paraId="3C02B118" w14:textId="6DD0B9D1" w:rsidR="00F315F9" w:rsidRPr="00A52310" w:rsidRDefault="00F315F9" w:rsidP="004310A6">
      <w:pPr>
        <w:spacing w:after="80"/>
        <w:rPr>
          <w:rFonts w:cs="Arial"/>
        </w:rPr>
      </w:pPr>
      <w:bookmarkStart w:id="25" w:name="_Toc518561198"/>
      <w:bookmarkEnd w:id="24"/>
      <w:r>
        <w:t xml:space="preserve">The following change was made </w:t>
      </w:r>
      <w:r w:rsidR="00315ECB">
        <w:t xml:space="preserve">as a result </w:t>
      </w:r>
      <w:r>
        <w:t>of the public consultation process (excluding simple editorial</w:t>
      </w:r>
      <w:r w:rsidR="00CC262F">
        <w:t xml:space="preserve"> changes</w:t>
      </w:r>
      <w:r>
        <w:t>):</w:t>
      </w:r>
    </w:p>
    <w:p w14:paraId="4E50BAC3" w14:textId="77777777" w:rsidR="00F315F9" w:rsidRPr="00F315F9" w:rsidRDefault="00F315F9" w:rsidP="004310A6">
      <w:pPr>
        <w:pStyle w:val="ListBulletLast"/>
      </w:pPr>
      <w:r>
        <w:t xml:space="preserve">Including a new subclause 9(4) that states sections of the device boundary that </w:t>
      </w:r>
      <w:r w:rsidRPr="00777A82">
        <w:t xml:space="preserve">extend beyond </w:t>
      </w:r>
      <w:r>
        <w:t xml:space="preserve">a </w:t>
      </w:r>
      <w:r w:rsidRPr="00777A82">
        <w:t xml:space="preserve">licence area </w:t>
      </w:r>
      <w:r>
        <w:t xml:space="preserve">and </w:t>
      </w:r>
      <w:r w:rsidRPr="00777A82">
        <w:t>only pass over water</w:t>
      </w:r>
      <w:r>
        <w:t xml:space="preserve"> are not considered to fail the device boundary criteria. </w:t>
      </w:r>
    </w:p>
    <w:p w14:paraId="07C41BFE" w14:textId="77777777" w:rsidR="006B6AC2" w:rsidRPr="004310A6" w:rsidRDefault="006B6AC2" w:rsidP="007257F5">
      <w:pPr>
        <w:pStyle w:val="Heading3"/>
      </w:pPr>
      <w:r w:rsidRPr="004310A6">
        <w:t>Radiocommunications Advisory Guidelines (Managing Interference from Spectrum Licensed Transmitters — 3.4 GHz Band) 2015 (RAG Tx)</w:t>
      </w:r>
      <w:bookmarkEnd w:id="25"/>
    </w:p>
    <w:p w14:paraId="2A085626" w14:textId="7CF04FF9" w:rsidR="00F315F9" w:rsidRPr="00056143" w:rsidRDefault="00F315F9" w:rsidP="004310A6">
      <w:pPr>
        <w:spacing w:after="80"/>
        <w:rPr>
          <w:rFonts w:cs="Arial"/>
        </w:rPr>
      </w:pPr>
      <w:r>
        <w:t xml:space="preserve">The following changes were made </w:t>
      </w:r>
      <w:r w:rsidR="00315ECB">
        <w:t xml:space="preserve">as a result </w:t>
      </w:r>
      <w:r>
        <w:t>of the public consultation process (excluding simple editorial</w:t>
      </w:r>
      <w:r w:rsidR="00CC262F">
        <w:t xml:space="preserve"> changes</w:t>
      </w:r>
      <w:r>
        <w:t>):</w:t>
      </w:r>
    </w:p>
    <w:p w14:paraId="1CDDB112" w14:textId="2A3909BB" w:rsidR="00F315F9" w:rsidRDefault="00F315F9" w:rsidP="004310A6">
      <w:pPr>
        <w:pStyle w:val="ListBullet"/>
      </w:pPr>
      <w:r>
        <w:t>Including notes in relevant parts providing guidance on how devices with an active antenna system can be considered for the purposes of managing interference</w:t>
      </w:r>
      <w:r w:rsidR="00CC262F">
        <w:t>.</w:t>
      </w:r>
    </w:p>
    <w:p w14:paraId="7FDEBB07" w14:textId="69371197" w:rsidR="00F315F9" w:rsidRDefault="00F315F9" w:rsidP="004310A6">
      <w:pPr>
        <w:pStyle w:val="ListBullet"/>
      </w:pPr>
      <w:r>
        <w:t>Maintaining the current text for the note below subclause 4.3(3) as this more accurately defines how to calculate interference from unwanted emissions</w:t>
      </w:r>
      <w:r w:rsidR="00CC262F">
        <w:t>.</w:t>
      </w:r>
      <w:r>
        <w:t xml:space="preserve"> </w:t>
      </w:r>
    </w:p>
    <w:p w14:paraId="1EBA044A" w14:textId="2F96B654" w:rsidR="00F315F9" w:rsidRDefault="00F315F9" w:rsidP="004310A6">
      <w:pPr>
        <w:pStyle w:val="ListBullet"/>
      </w:pPr>
      <w:r>
        <w:t>Correction to the definition of the RF filter rejection over the 50</w:t>
      </w:r>
      <w:r w:rsidR="00CC262F">
        <w:t>–</w:t>
      </w:r>
      <w:r>
        <w:t>150 MHz frequency range in Table 1 of Part 4</w:t>
      </w:r>
      <w:r w:rsidR="00CC262F">
        <w:t>.</w:t>
      </w:r>
    </w:p>
    <w:p w14:paraId="61435163" w14:textId="210DAB63" w:rsidR="00F315F9" w:rsidRDefault="00F315F9" w:rsidP="004310A6">
      <w:pPr>
        <w:pStyle w:val="ListBullet"/>
      </w:pPr>
      <w:r w:rsidRPr="00A52310">
        <w:t xml:space="preserve">In </w:t>
      </w:r>
      <w:r w:rsidR="00CC262F">
        <w:t>T</w:t>
      </w:r>
      <w:r w:rsidRPr="00A52310">
        <w:t>able 1 of Part 4.3, modification of the RF filter performance at 50</w:t>
      </w:r>
      <w:r w:rsidR="00CC262F">
        <w:t>–</w:t>
      </w:r>
      <w:r w:rsidRPr="00A52310">
        <w:t>110 MHz offsets to increase rejection to 45.5 dB. This matches the RF filter performance over this frequency range that is defined in the current RAG Tx.</w:t>
      </w:r>
    </w:p>
    <w:p w14:paraId="6E96403E" w14:textId="2474BC73" w:rsidR="00F315F9" w:rsidRDefault="00F315F9" w:rsidP="004310A6">
      <w:pPr>
        <w:pStyle w:val="ListBullet"/>
      </w:pPr>
      <w:r>
        <w:t>Including a note below Table 1 of Part 4 clarifying how the RF filter applies to an antenna with multiple earth receive licences on it</w:t>
      </w:r>
      <w:r w:rsidR="00CC262F">
        <w:t>.</w:t>
      </w:r>
    </w:p>
    <w:p w14:paraId="162C8C03" w14:textId="41C773F2" w:rsidR="00CC262F" w:rsidRDefault="00F315F9" w:rsidP="004310A6">
      <w:pPr>
        <w:pStyle w:val="ListBullet"/>
      </w:pPr>
      <w:r w:rsidRPr="007257F5">
        <w:t>Rewording of the last sentence in subclause 4.3(5) to provide clearer guidance on the reasoning for notifying earth receive licensees of new deployments under a 3.</w:t>
      </w:r>
      <w:r w:rsidR="00CC262F" w:rsidRPr="007257F5">
        <w:t>4</w:t>
      </w:r>
      <w:r w:rsidR="00CC262F">
        <w:t> </w:t>
      </w:r>
      <w:r w:rsidRPr="007257F5">
        <w:t>GHz band spectrum licence</w:t>
      </w:r>
      <w:r w:rsidR="00CC262F">
        <w:t>.</w:t>
      </w:r>
    </w:p>
    <w:p w14:paraId="4CAA645F" w14:textId="5C359B43" w:rsidR="007257F5" w:rsidRDefault="007257F5" w:rsidP="00CC262F">
      <w:pPr>
        <w:pStyle w:val="ListBullet"/>
        <w:spacing w:after="240"/>
      </w:pPr>
      <w:r w:rsidRPr="007257F5">
        <w:t xml:space="preserve">Inserting a new subclause 8.2(4) providing guidance on how cross-border interference is managed between 3.4 GHz band spectrum licensees </w:t>
      </w:r>
      <w:r w:rsidR="00CC262F">
        <w:t>if</w:t>
      </w:r>
      <w:r w:rsidRPr="007257F5">
        <w:t xml:space="preserve"> there is no agreement on alternative measures.</w:t>
      </w:r>
    </w:p>
    <w:p w14:paraId="3E3A42F4" w14:textId="169D9B96" w:rsidR="006B6AC2" w:rsidRDefault="006B6AC2" w:rsidP="004310A6">
      <w:pPr>
        <w:rPr>
          <w:rFonts w:cs="Arial"/>
          <w:highlight w:val="yellow"/>
        </w:rPr>
      </w:pPr>
      <w:r>
        <w:rPr>
          <w:rStyle w:val="ECCParagraph"/>
        </w:rPr>
        <w:t xml:space="preserve">Note: RALI MS44, RALI FX19 and RALI MS39 are incorporated by reference into the </w:t>
      </w:r>
      <w:r w:rsidRPr="009B19EF">
        <w:rPr>
          <w:rStyle w:val="ECCParagraph"/>
        </w:rPr>
        <w:t>RAG</w:t>
      </w:r>
      <w:r>
        <w:rPr>
          <w:rStyle w:val="ECCParagraph"/>
        </w:rPr>
        <w:t xml:space="preserve">. The making of the new RALI MS44 and updates to RALI FX19 and RALI MS39 occurred via a parallel consultation process. </w:t>
      </w:r>
      <w:r w:rsidR="007901CC">
        <w:rPr>
          <w:rStyle w:val="ECCParagraph"/>
        </w:rPr>
        <w:t xml:space="preserve">These RALIs are now available on the </w:t>
      </w:r>
      <w:hyperlink r:id="rId34" w:history="1">
        <w:r w:rsidR="007901CC" w:rsidRPr="007901CC">
          <w:rPr>
            <w:rStyle w:val="Hyperlink"/>
            <w:lang w:val="en-GB"/>
          </w:rPr>
          <w:t>ACMA website</w:t>
        </w:r>
      </w:hyperlink>
      <w:r w:rsidR="007901CC">
        <w:rPr>
          <w:rStyle w:val="ECCParagraph"/>
        </w:rPr>
        <w:t>.</w:t>
      </w:r>
    </w:p>
    <w:p w14:paraId="5C275D5C" w14:textId="37668942" w:rsidR="006B6AC2" w:rsidRPr="004310A6" w:rsidRDefault="00856300" w:rsidP="007257F5">
      <w:pPr>
        <w:pStyle w:val="Heading3"/>
      </w:pPr>
      <w:hyperlink r:id="rId35" w:tgtFrame="_self" w:history="1">
        <w:bookmarkStart w:id="26" w:name="_Toc518561199"/>
        <w:r w:rsidR="006B6AC2" w:rsidRPr="004310A6">
          <w:t>Radiocommunications Advisory Guidelines (Managing Interference to Spectrum Licensed Receivers</w:t>
        </w:r>
        <w:r w:rsidR="00BB018B" w:rsidRPr="00DB6CDD">
          <w:t xml:space="preserve"> — </w:t>
        </w:r>
        <w:r w:rsidR="006B6AC2" w:rsidRPr="004310A6">
          <w:t>3.4 GHz Band) 2015</w:t>
        </w:r>
      </w:hyperlink>
      <w:r w:rsidR="006B6AC2" w:rsidRPr="004310A6">
        <w:t xml:space="preserve"> (RAG Rx)</w:t>
      </w:r>
      <w:bookmarkEnd w:id="26"/>
    </w:p>
    <w:p w14:paraId="006EF6F7" w14:textId="047B69FF" w:rsidR="00F315F9" w:rsidRPr="00056143" w:rsidRDefault="00F315F9" w:rsidP="004310A6">
      <w:pPr>
        <w:spacing w:after="80"/>
        <w:rPr>
          <w:rFonts w:cs="Arial"/>
        </w:rPr>
      </w:pPr>
      <w:r>
        <w:t xml:space="preserve">The following changes were made </w:t>
      </w:r>
      <w:r w:rsidR="00315ECB">
        <w:t xml:space="preserve">as a result </w:t>
      </w:r>
      <w:r>
        <w:t>of the public consultation process:</w:t>
      </w:r>
    </w:p>
    <w:p w14:paraId="3C050B64" w14:textId="235D0D26" w:rsidR="00F315F9" w:rsidRDefault="00F315F9" w:rsidP="004310A6">
      <w:pPr>
        <w:pStyle w:val="ListBullet"/>
      </w:pPr>
      <w:r>
        <w:t>Removing the definition for non-AAS as it is not used in the instrument</w:t>
      </w:r>
      <w:r w:rsidR="00CC262F">
        <w:t>.</w:t>
      </w:r>
    </w:p>
    <w:p w14:paraId="2892D4DF" w14:textId="43CE2600" w:rsidR="00F315F9" w:rsidRDefault="00F315F9" w:rsidP="004310A6">
      <w:pPr>
        <w:pStyle w:val="ListBullet"/>
      </w:pPr>
      <w:r>
        <w:t>Including notes in relevant parts to provid</w:t>
      </w:r>
      <w:r w:rsidR="00315ECB">
        <w:t>e</w:t>
      </w:r>
      <w:r>
        <w:t xml:space="preserve"> guidance on how devices with an active antenna system can be considered for the purposes of managing interference</w:t>
      </w:r>
      <w:r w:rsidR="00CC262F">
        <w:t>.</w:t>
      </w:r>
    </w:p>
    <w:p w14:paraId="23FD3047" w14:textId="56949482" w:rsidR="00F315F9" w:rsidRDefault="00F315F9" w:rsidP="004310A6">
      <w:pPr>
        <w:pStyle w:val="ListBullet"/>
      </w:pPr>
      <w:r>
        <w:t>Inclusion of guidance on how interference is managed with devices operating under a class licence</w:t>
      </w:r>
      <w:r w:rsidR="00CC262F">
        <w:t>.</w:t>
      </w:r>
    </w:p>
    <w:p w14:paraId="4ED3355C" w14:textId="59E857E4" w:rsidR="006B6AC2" w:rsidRPr="009830EE" w:rsidRDefault="00F315F9" w:rsidP="007257F5">
      <w:pPr>
        <w:pStyle w:val="ListBulletLast"/>
        <w:rPr>
          <w:i/>
          <w:szCs w:val="20"/>
        </w:rPr>
      </w:pPr>
      <w:r w:rsidRPr="0065049D">
        <w:t xml:space="preserve">Correction to the </w:t>
      </w:r>
      <w:r>
        <w:t xml:space="preserve">definition of </w:t>
      </w:r>
      <w:r w:rsidRPr="0065049D">
        <w:t>receiver bloc</w:t>
      </w:r>
      <w:r>
        <w:t xml:space="preserve">king characteristics in clause </w:t>
      </w:r>
      <w:r w:rsidRPr="0065049D">
        <w:t>5 of Schedule 1</w:t>
      </w:r>
      <w:r>
        <w:t xml:space="preserve"> to match </w:t>
      </w:r>
      <w:r w:rsidRPr="0065049D">
        <w:t>3GPP standards.</w:t>
      </w:r>
    </w:p>
    <w:sectPr w:rsidR="006B6AC2" w:rsidRPr="009830EE" w:rsidSect="00C77380">
      <w:headerReference w:type="even" r:id="rId36"/>
      <w:headerReference w:type="default" r:id="rId37"/>
      <w:footerReference w:type="even" r:id="rId38"/>
      <w:footerReference w:type="default" r:id="rId39"/>
      <w:pgSz w:w="11906" w:h="16838" w:code="9"/>
      <w:pgMar w:top="1945" w:right="3101" w:bottom="1134" w:left="1134" w:header="709" w:footer="119"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B93158" w16cid:durableId="1F0449E8"/>
  <w16cid:commentId w16cid:paraId="18BA7ACA" w16cid:durableId="1EFAC25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321A6A" w14:textId="77777777" w:rsidR="00B56C31" w:rsidRDefault="00B56C31">
      <w:r>
        <w:separator/>
      </w:r>
    </w:p>
  </w:endnote>
  <w:endnote w:type="continuationSeparator" w:id="0">
    <w:p w14:paraId="5F428F42" w14:textId="77777777" w:rsidR="00B56C31" w:rsidRDefault="00B56C31">
      <w:r>
        <w:continuationSeparator/>
      </w:r>
    </w:p>
  </w:endnote>
  <w:endnote w:type="continuationNotice" w:id="1">
    <w:p w14:paraId="76966273" w14:textId="77777777" w:rsidR="00B56C31" w:rsidRDefault="00B56C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HelveticaNeueLT Std Lt">
    <w:panose1 w:val="020B0403020202020204"/>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宋体">
    <w:altName w:val="Arial Unicode MS"/>
    <w:charset w:val="86"/>
    <w:family w:val="auto"/>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1F011" w14:textId="77777777" w:rsidR="00F00A52" w:rsidRDefault="00F00A52">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E41F3" w14:textId="77777777" w:rsidR="00B56C31" w:rsidRPr="00622A3B" w:rsidRDefault="00B56C31"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sidR="00856300">
      <w:rPr>
        <w:noProof/>
        <w:color w:val="505050"/>
      </w:rPr>
      <w:t>3</w:t>
    </w:r>
    <w:r w:rsidRPr="00575AC5">
      <w:rPr>
        <w:color w:val="505050"/>
      </w:rPr>
      <w:fldChar w:fldCharType="end"/>
    </w:r>
  </w:p>
  <w:p w14:paraId="6464BEF2" w14:textId="77777777" w:rsidR="00B56C31" w:rsidRPr="00A5474E" w:rsidRDefault="00B56C31" w:rsidP="00A547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0662B" w14:textId="77777777" w:rsidR="00B56C31" w:rsidRPr="00A5474E" w:rsidRDefault="00B56C31" w:rsidP="00A5474E">
    <w:pPr>
      <w:pStyle w:val="Footer"/>
    </w:pPr>
    <w:r>
      <w:rPr>
        <w:noProof/>
      </w:rPr>
      <w:drawing>
        <wp:inline distT="0" distB="0" distL="0" distR="0" wp14:anchorId="0E4F3872" wp14:editId="10351DBF">
          <wp:extent cx="3483864" cy="249613"/>
          <wp:effectExtent l="0" t="0" r="0" b="0"/>
          <wp:docPr id="24" name="Picture 24" title="Australian communications and Media Authority tagline – communicating, facilitating, regul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M_A4Letterhead_Strapline.jpg"/>
                  <pic:cNvPicPr/>
                </pic:nvPicPr>
                <pic:blipFill>
                  <a:blip r:embed="rId1">
                    <a:extLst>
                      <a:ext uri="{28A0092B-C50C-407E-A947-70E740481C1C}">
                        <a14:useLocalDpi xmlns:a14="http://schemas.microsoft.com/office/drawing/2010/main" val="0"/>
                      </a:ext>
                    </a:extLst>
                  </a:blip>
                  <a:stretch>
                    <a:fillRect/>
                  </a:stretch>
                </pic:blipFill>
                <pic:spPr>
                  <a:xfrm>
                    <a:off x="0" y="0"/>
                    <a:ext cx="3483864" cy="249613"/>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AA8ED" w14:textId="77777777" w:rsidR="00F00A52" w:rsidRDefault="00F00A5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465F0" w14:textId="77777777" w:rsidR="00B56C31" w:rsidRDefault="00B56C3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B3C89" w14:textId="77777777" w:rsidR="00B56C31" w:rsidRDefault="00B56C3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4FA15" w14:textId="77777777" w:rsidR="00B56C31" w:rsidRPr="00622A3B" w:rsidRDefault="00B56C31"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63EACADF" w14:textId="77777777" w:rsidR="00B56C31" w:rsidRPr="00A5474E" w:rsidRDefault="00B56C31" w:rsidP="00A5474E">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C35B6" w14:textId="77777777" w:rsidR="00B56C31" w:rsidRPr="00622A3B" w:rsidRDefault="00B56C31"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61158119" w14:textId="77777777" w:rsidR="00B56C31" w:rsidRPr="00A5474E" w:rsidRDefault="00B56C31" w:rsidP="00A5474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D0155" w14:textId="77777777" w:rsidR="00B56C31" w:rsidRPr="00622A3B" w:rsidRDefault="00B56C31"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856300">
      <w:rPr>
        <w:noProof/>
        <w:color w:val="505050"/>
      </w:rPr>
      <w:t>iii</w:t>
    </w:r>
    <w:r w:rsidRPr="002E4DDC">
      <w:rPr>
        <w:color w:val="505050"/>
      </w:rPr>
      <w:fldChar w:fldCharType="end"/>
    </w:r>
  </w:p>
  <w:p w14:paraId="5C28EF5F" w14:textId="77777777" w:rsidR="00B56C31" w:rsidRPr="00A5474E" w:rsidRDefault="00B56C31" w:rsidP="00A5474E">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CCC41" w14:textId="77777777" w:rsidR="00B56C31" w:rsidRPr="00622A3B" w:rsidRDefault="00B56C31"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sidR="00856300">
      <w:rPr>
        <w:noProof/>
      </w:rPr>
      <w:t>2</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5EF4C5F5" w14:textId="77777777" w:rsidR="00B56C31" w:rsidRPr="00A5474E" w:rsidRDefault="00B56C31" w:rsidP="00A547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B364C2" w14:textId="77777777" w:rsidR="00B56C31" w:rsidRDefault="00B56C31">
      <w:r>
        <w:separator/>
      </w:r>
    </w:p>
  </w:footnote>
  <w:footnote w:type="continuationSeparator" w:id="0">
    <w:p w14:paraId="43B6B266" w14:textId="77777777" w:rsidR="00B56C31" w:rsidRDefault="00B56C31">
      <w:r>
        <w:continuationSeparator/>
      </w:r>
    </w:p>
  </w:footnote>
  <w:footnote w:type="continuationNotice" w:id="1">
    <w:p w14:paraId="7AC54511" w14:textId="77777777" w:rsidR="00B56C31" w:rsidRDefault="00B56C31">
      <w:pPr>
        <w:spacing w:after="0" w:line="240" w:lineRule="auto"/>
      </w:pPr>
    </w:p>
  </w:footnote>
  <w:footnote w:id="2">
    <w:p w14:paraId="6FEBAAB1" w14:textId="77777777" w:rsidR="00B56C31" w:rsidRPr="001768A6" w:rsidRDefault="00B56C31" w:rsidP="004D60F0">
      <w:pPr>
        <w:pStyle w:val="FootnoteText"/>
        <w:spacing w:after="40" w:line="240" w:lineRule="auto"/>
      </w:pPr>
      <w:r w:rsidRPr="001768A6">
        <w:rPr>
          <w:rStyle w:val="FootnoteReference"/>
        </w:rPr>
        <w:footnoteRef/>
      </w:r>
      <w:r w:rsidRPr="001768A6">
        <w:t xml:space="preserve"> The 3.4 GHz band is currently allocated via spectrum licences in metropolitan and regional areas of Australia and covers the 3425</w:t>
      </w:r>
      <w:r>
        <w:t>–</w:t>
      </w:r>
      <w:r w:rsidRPr="001768A6">
        <w:t>3492.5 MHz and 3542.5</w:t>
      </w:r>
      <w:r>
        <w:t>–</w:t>
      </w:r>
      <w:r w:rsidRPr="001768A6">
        <w:t xml:space="preserve">3575 MHz frequency ranges. </w:t>
      </w:r>
    </w:p>
  </w:footnote>
  <w:footnote w:id="3">
    <w:p w14:paraId="0921D584" w14:textId="030F1440" w:rsidR="00B56C31" w:rsidRPr="001768A6" w:rsidRDefault="00B56C31" w:rsidP="00257881">
      <w:pPr>
        <w:pStyle w:val="FootnoteText"/>
        <w:spacing w:after="0" w:line="240" w:lineRule="auto"/>
      </w:pPr>
      <w:r w:rsidRPr="001768A6">
        <w:rPr>
          <w:rStyle w:val="FootnoteReference"/>
        </w:rPr>
        <w:footnoteRef/>
      </w:r>
      <w:r w:rsidRPr="001768A6">
        <w:t xml:space="preserve"> The 3.</w:t>
      </w:r>
      <w:r>
        <w:t>6</w:t>
      </w:r>
      <w:r w:rsidRPr="001768A6">
        <w:t xml:space="preserve"> GHz band covers the 3</w:t>
      </w:r>
      <w:r>
        <w:t>575–</w:t>
      </w:r>
      <w:r w:rsidRPr="001768A6">
        <w:t>3</w:t>
      </w:r>
      <w:r>
        <w:t>700</w:t>
      </w:r>
      <w:r w:rsidRPr="001768A6">
        <w:t xml:space="preserve"> MHz</w:t>
      </w:r>
      <w:r>
        <w:t xml:space="preserve"> frequency range</w:t>
      </w:r>
      <w:r w:rsidRPr="001768A6">
        <w:t xml:space="preserve">. </w:t>
      </w:r>
    </w:p>
  </w:footnote>
  <w:footnote w:id="4">
    <w:p w14:paraId="30255C36" w14:textId="04F6FF6D" w:rsidR="00B56C31" w:rsidRDefault="00B56C31" w:rsidP="004D60F0">
      <w:pPr>
        <w:pStyle w:val="FootnoteText"/>
        <w:spacing w:after="0"/>
      </w:pPr>
      <w:r>
        <w:rPr>
          <w:rStyle w:val="FootnoteReference"/>
        </w:rPr>
        <w:footnoteRef/>
      </w:r>
      <w:r>
        <w:t xml:space="preserve"> The outcomes of the 3.6 GHz band TLG are available on the </w:t>
      </w:r>
      <w:hyperlink r:id="rId1" w:history="1">
        <w:r w:rsidRPr="007F4D23">
          <w:rPr>
            <w:rStyle w:val="Hyperlink"/>
          </w:rPr>
          <w:t>ACMA website</w:t>
        </w:r>
      </w:hyperlink>
      <w:r>
        <w:t xml:space="preserve">. </w:t>
      </w:r>
    </w:p>
  </w:footnote>
  <w:footnote w:id="5">
    <w:p w14:paraId="6F6AA27F" w14:textId="1D169D19" w:rsidR="00B56C31" w:rsidRDefault="00B56C31" w:rsidP="00B56C31">
      <w:pPr>
        <w:pStyle w:val="FootnoteText"/>
        <w:spacing w:after="0"/>
      </w:pPr>
      <w:r>
        <w:rPr>
          <w:rStyle w:val="FootnoteReference"/>
        </w:rPr>
        <w:footnoteRef/>
      </w:r>
      <w:r>
        <w:t xml:space="preserve"> The </w:t>
      </w:r>
      <w:hyperlink r:id="rId2" w:history="1">
        <w:r w:rsidRPr="00BA7D4A">
          <w:rPr>
            <w:rStyle w:val="Hyperlink"/>
          </w:rPr>
          <w:t>Radiocommunications – 3.4 GHz Band Omnibus Variation 2018 (No.1)</w:t>
        </w:r>
      </w:hyperlink>
      <w:r>
        <w:t xml:space="preserve"> that varies the technical framework commenced on the 28 July 2018. While these variations take affect from 28 July 2018, it takes up to 28 days for each individual technical framework instrument on the Federal Register of Legislation (FRoL) to be amended to incorporate the changes. In the interim period, the FRoL will show the previous instruments and point to the unincorporated amendments contained in the </w:t>
      </w:r>
      <w:hyperlink r:id="rId3" w:history="1">
        <w:r w:rsidRPr="00BA7D4A">
          <w:rPr>
            <w:rStyle w:val="Hyperlink"/>
          </w:rPr>
          <w:t>Radiocommunications – 3.4 GHz Band Omnibus Variation 2018 (No.1)</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05BD0" w14:textId="77777777" w:rsidR="00F00A52" w:rsidRDefault="00F00A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9AC97" w14:textId="77777777" w:rsidR="00B56C31" w:rsidRPr="00A5474E" w:rsidRDefault="00B56C31" w:rsidP="00A5474E">
    <w:pPr>
      <w:pStyle w:val="Header"/>
    </w:pPr>
    <w:r>
      <w:rPr>
        <w:noProof/>
      </w:rPr>
      <w:drawing>
        <wp:inline distT="0" distB="0" distL="0" distR="0" wp14:anchorId="2FD034BA" wp14:editId="618389ED">
          <wp:extent cx="6388100" cy="520700"/>
          <wp:effectExtent l="0" t="0" r="0" b="12700"/>
          <wp:docPr id="4" name="Picture 4" title="Australian Communications and Media Authority logo and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extLst>
                      <a:ext uri="{28A0092B-C50C-407E-A947-70E740481C1C}">
                        <a14:useLocalDpi xmlns:a14="http://schemas.microsoft.com/office/drawing/2010/main" val="0"/>
                      </a:ext>
                    </a:extLst>
                  </a:blip>
                  <a:stretch>
                    <a:fillRect/>
                  </a:stretch>
                </pic:blipFill>
                <pic:spPr>
                  <a:xfrm>
                    <a:off x="0" y="0"/>
                    <a:ext cx="6388100" cy="5207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14DAB" w14:textId="238C4C18" w:rsidR="00B56C31" w:rsidRPr="00A5474E" w:rsidRDefault="00B56C31" w:rsidP="00594E9C">
    <w:pPr>
      <w:pStyle w:val="TOCHeading"/>
    </w:pPr>
    <w:r w:rsidRPr="0029593B">
      <w:t>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132E8" w14:textId="77777777" w:rsidR="00B56C31" w:rsidRDefault="00B56C3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9C197" w14:textId="77777777" w:rsidR="00B56C31" w:rsidRDefault="00B56C3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7678" w:type="dxa"/>
      <w:tblLayout w:type="fixed"/>
      <w:tblCellMar>
        <w:left w:w="0" w:type="dxa"/>
        <w:right w:w="0" w:type="dxa"/>
      </w:tblCellMar>
      <w:tblLook w:val="01E0" w:firstRow="1" w:lastRow="1" w:firstColumn="1" w:lastColumn="1" w:noHBand="0" w:noVBand="0"/>
    </w:tblPr>
    <w:tblGrid>
      <w:gridCol w:w="7678"/>
    </w:tblGrid>
    <w:tr w:rsidR="00B56C31" w14:paraId="476D3040" w14:textId="77777777" w:rsidTr="009135A5">
      <w:trPr>
        <w:trHeight w:hRule="exact" w:val="988"/>
      </w:trPr>
      <w:tc>
        <w:tcPr>
          <w:tcW w:w="7678" w:type="dxa"/>
          <w:shd w:val="clear" w:color="auto" w:fill="auto"/>
        </w:tcPr>
        <w:p w14:paraId="40884934" w14:textId="77777777" w:rsidR="00B56C31" w:rsidRDefault="00B56C31" w:rsidP="00971914">
          <w:pPr>
            <w:pStyle w:val="Header"/>
          </w:pPr>
        </w:p>
      </w:tc>
    </w:tr>
    <w:tr w:rsidR="00B56C31" w14:paraId="45CC5C30" w14:textId="77777777" w:rsidTr="009135A5">
      <w:tc>
        <w:tcPr>
          <w:tcW w:w="7678" w:type="dxa"/>
          <w:shd w:val="clear" w:color="auto" w:fill="auto"/>
        </w:tcPr>
        <w:p w14:paraId="42E0D15B" w14:textId="77777777" w:rsidR="00B56C31" w:rsidRDefault="00B56C31" w:rsidP="00971914">
          <w:pPr>
            <w:pStyle w:val="GridTable31"/>
          </w:pPr>
          <w:r>
            <w:t xml:space="preserve">Contents </w:t>
          </w:r>
          <w:r w:rsidRPr="00915B1C">
            <w:rPr>
              <w:b w:val="0"/>
              <w:spacing w:val="0"/>
              <w:sz w:val="28"/>
              <w:szCs w:val="28"/>
            </w:rPr>
            <w:t>(Continued)</w:t>
          </w:r>
        </w:p>
      </w:tc>
    </w:tr>
    <w:tr w:rsidR="00B56C31" w14:paraId="39C6CE78" w14:textId="77777777" w:rsidTr="009135A5">
      <w:trPr>
        <w:trHeight w:val="1220"/>
      </w:trPr>
      <w:tc>
        <w:tcPr>
          <w:tcW w:w="7678" w:type="dxa"/>
          <w:shd w:val="clear" w:color="auto" w:fill="auto"/>
        </w:tcPr>
        <w:p w14:paraId="4BF965E5" w14:textId="77777777" w:rsidR="00B56C31" w:rsidRDefault="00B56C31" w:rsidP="00971914"/>
      </w:tc>
    </w:tr>
  </w:tbl>
  <w:p w14:paraId="1AEBA7FD" w14:textId="77777777" w:rsidR="00B56C31" w:rsidRDefault="00B56C31" w:rsidP="0097191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7678" w:type="dxa"/>
      <w:tblLayout w:type="fixed"/>
      <w:tblCellMar>
        <w:left w:w="0" w:type="dxa"/>
        <w:right w:w="0" w:type="dxa"/>
      </w:tblCellMar>
      <w:tblLook w:val="01E0" w:firstRow="1" w:lastRow="1" w:firstColumn="1" w:lastColumn="1" w:noHBand="0" w:noVBand="0"/>
    </w:tblPr>
    <w:tblGrid>
      <w:gridCol w:w="7678"/>
    </w:tblGrid>
    <w:tr w:rsidR="00B56C31" w14:paraId="637CE370" w14:textId="77777777" w:rsidTr="009135A5">
      <w:trPr>
        <w:trHeight w:hRule="exact" w:val="988"/>
      </w:trPr>
      <w:tc>
        <w:tcPr>
          <w:tcW w:w="7678" w:type="dxa"/>
          <w:shd w:val="clear" w:color="auto" w:fill="auto"/>
        </w:tcPr>
        <w:p w14:paraId="3899130E" w14:textId="77777777" w:rsidR="00B56C31" w:rsidRDefault="00B56C31" w:rsidP="00971914">
          <w:pPr>
            <w:pStyle w:val="Header"/>
          </w:pPr>
        </w:p>
      </w:tc>
    </w:tr>
    <w:tr w:rsidR="00B56C31" w14:paraId="0D812913" w14:textId="77777777" w:rsidTr="009135A5">
      <w:tc>
        <w:tcPr>
          <w:tcW w:w="7678" w:type="dxa"/>
          <w:shd w:val="clear" w:color="auto" w:fill="auto"/>
        </w:tcPr>
        <w:p w14:paraId="492E3A58" w14:textId="77777777" w:rsidR="00B56C31" w:rsidRDefault="00B56C31" w:rsidP="00971914">
          <w:pPr>
            <w:pStyle w:val="GridTable31"/>
          </w:pPr>
          <w:r>
            <w:t xml:space="preserve">Contents </w:t>
          </w:r>
          <w:r w:rsidRPr="00915B1C">
            <w:rPr>
              <w:b w:val="0"/>
              <w:spacing w:val="0"/>
              <w:sz w:val="28"/>
              <w:szCs w:val="28"/>
            </w:rPr>
            <w:t>(Continued)</w:t>
          </w:r>
        </w:p>
      </w:tc>
    </w:tr>
    <w:tr w:rsidR="00B56C31" w14:paraId="4ADB6C0C" w14:textId="77777777" w:rsidTr="009135A5">
      <w:trPr>
        <w:trHeight w:val="1220"/>
      </w:trPr>
      <w:tc>
        <w:tcPr>
          <w:tcW w:w="7678" w:type="dxa"/>
          <w:shd w:val="clear" w:color="auto" w:fill="auto"/>
        </w:tcPr>
        <w:p w14:paraId="2F116EFB" w14:textId="77777777" w:rsidR="00B56C31" w:rsidRDefault="00B56C31" w:rsidP="00971914"/>
      </w:tc>
    </w:tr>
  </w:tbl>
  <w:p w14:paraId="5ECCF288" w14:textId="77777777" w:rsidR="00B56C31" w:rsidRPr="00A5474E" w:rsidRDefault="00B56C31" w:rsidP="00A5474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EC2AF" w14:textId="77777777" w:rsidR="00B56C31" w:rsidRDefault="00B56C3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618483" w14:textId="77777777" w:rsidR="00B56C31" w:rsidRDefault="00B56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B9897E8"/>
    <w:lvl w:ilvl="0">
      <w:start w:val="1"/>
      <w:numFmt w:val="decimal"/>
      <w:lvlText w:val="%1."/>
      <w:lvlJc w:val="left"/>
      <w:pPr>
        <w:tabs>
          <w:tab w:val="num" w:pos="1492"/>
        </w:tabs>
        <w:ind w:left="1492" w:hanging="360"/>
      </w:pPr>
    </w:lvl>
  </w:abstractNum>
  <w:abstractNum w:abstractNumId="1">
    <w:nsid w:val="FFFFFF7F"/>
    <w:multiLevelType w:val="singleLevel"/>
    <w:tmpl w:val="703632DA"/>
    <w:lvl w:ilvl="0">
      <w:start w:val="1"/>
      <w:numFmt w:val="decimal"/>
      <w:pStyle w:val="ListNumber2"/>
      <w:lvlText w:val="%1."/>
      <w:lvlJc w:val="left"/>
      <w:pPr>
        <w:ind w:left="360" w:hanging="360"/>
      </w:pPr>
      <w:rPr>
        <w:rFonts w:hint="default"/>
      </w:rPr>
    </w:lvl>
  </w:abstractNum>
  <w:abstractNum w:abstractNumId="2">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3">
    <w:nsid w:val="FFFFFF88"/>
    <w:multiLevelType w:val="singleLevel"/>
    <w:tmpl w:val="34367B10"/>
    <w:lvl w:ilvl="0">
      <w:start w:val="1"/>
      <w:numFmt w:val="decimal"/>
      <w:pStyle w:val="ListNumber"/>
      <w:lvlText w:val="%1."/>
      <w:lvlJc w:val="left"/>
      <w:pPr>
        <w:ind w:left="360" w:hanging="360"/>
      </w:pPr>
      <w:rPr>
        <w:rFonts w:hint="default"/>
        <w:caps/>
        <w:sz w:val="20"/>
      </w:rPr>
    </w:lvl>
  </w:abstractNum>
  <w:abstractNum w:abstractNumId="4">
    <w:nsid w:val="FFFFFF89"/>
    <w:multiLevelType w:val="singleLevel"/>
    <w:tmpl w:val="8D465DE8"/>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5">
    <w:nsid w:val="0B8B11D7"/>
    <w:multiLevelType w:val="hybridMultilevel"/>
    <w:tmpl w:val="2982AEC0"/>
    <w:lvl w:ilvl="0" w:tplc="55F2986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CFF4564"/>
    <w:multiLevelType w:val="hybridMultilevel"/>
    <w:tmpl w:val="F29E3E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F5E49E7"/>
    <w:multiLevelType w:val="hybridMultilevel"/>
    <w:tmpl w:val="DC2E7186"/>
    <w:lvl w:ilvl="0" w:tplc="1D5CDC32">
      <w:start w:val="16"/>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0AB2B8F"/>
    <w:multiLevelType w:val="hybridMultilevel"/>
    <w:tmpl w:val="A0EE5BDC"/>
    <w:lvl w:ilvl="0" w:tplc="55F2986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9481C82"/>
    <w:multiLevelType w:val="hybridMultilevel"/>
    <w:tmpl w:val="D0DAE8B4"/>
    <w:lvl w:ilvl="0" w:tplc="55F2986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45214F7"/>
    <w:multiLevelType w:val="hybridMultilevel"/>
    <w:tmpl w:val="6268A1E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81D1869"/>
    <w:multiLevelType w:val="hybridMultilevel"/>
    <w:tmpl w:val="44CCDBB4"/>
    <w:lvl w:ilvl="0" w:tplc="B4DE576E">
      <w:start w:val="1"/>
      <w:numFmt w:val="decimal"/>
      <w:pStyle w:val="ACMANumberedLis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9933657"/>
    <w:multiLevelType w:val="hybridMultilevel"/>
    <w:tmpl w:val="EB34D8BC"/>
    <w:lvl w:ilvl="0" w:tplc="55F2986E">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EEC6268"/>
    <w:multiLevelType w:val="hybridMultilevel"/>
    <w:tmpl w:val="EF02E1D0"/>
    <w:lvl w:ilvl="0" w:tplc="55F2986E">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7020905"/>
    <w:multiLevelType w:val="hybridMultilevel"/>
    <w:tmpl w:val="FF889C6C"/>
    <w:lvl w:ilvl="0" w:tplc="6BE0D378">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37A16CC4"/>
    <w:multiLevelType w:val="hybridMultilevel"/>
    <w:tmpl w:val="E988955E"/>
    <w:lvl w:ilvl="0" w:tplc="55F2986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5423EFD"/>
    <w:multiLevelType w:val="hybridMultilevel"/>
    <w:tmpl w:val="435A50C4"/>
    <w:lvl w:ilvl="0" w:tplc="55F2986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5F879D2"/>
    <w:multiLevelType w:val="hybridMultilevel"/>
    <w:tmpl w:val="7294128E"/>
    <w:lvl w:ilvl="0" w:tplc="55F2986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5AA21F0"/>
    <w:multiLevelType w:val="hybridMultilevel"/>
    <w:tmpl w:val="06AC6452"/>
    <w:lvl w:ilvl="0" w:tplc="075A84B2">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6A657B"/>
    <w:multiLevelType w:val="hybridMultilevel"/>
    <w:tmpl w:val="FB56A552"/>
    <w:lvl w:ilvl="0" w:tplc="55F2986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0E1569D"/>
    <w:multiLevelType w:val="hybridMultilevel"/>
    <w:tmpl w:val="F73EC37A"/>
    <w:lvl w:ilvl="0" w:tplc="55F2986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567CC5"/>
    <w:multiLevelType w:val="hybridMultilevel"/>
    <w:tmpl w:val="6F28F270"/>
    <w:lvl w:ilvl="0" w:tplc="55F2986E">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4">
    <w:nsid w:val="65071478"/>
    <w:multiLevelType w:val="hybridMultilevel"/>
    <w:tmpl w:val="4560EABA"/>
    <w:lvl w:ilvl="0" w:tplc="01D2533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AE3E66"/>
    <w:multiLevelType w:val="hybridMultilevel"/>
    <w:tmpl w:val="FDFAEE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13"/>
  </w:num>
  <w:num w:numId="6">
    <w:abstractNumId w:val="24"/>
  </w:num>
  <w:num w:numId="7">
    <w:abstractNumId w:val="19"/>
  </w:num>
  <w:num w:numId="8">
    <w:abstractNumId w:val="22"/>
  </w:num>
  <w:num w:numId="9">
    <w:abstractNumId w:val="25"/>
  </w:num>
  <w:num w:numId="10">
    <w:abstractNumId w:val="7"/>
  </w:num>
  <w:num w:numId="11">
    <w:abstractNumId w:val="9"/>
  </w:num>
  <w:num w:numId="12">
    <w:abstractNumId w:val="5"/>
  </w:num>
  <w:num w:numId="13">
    <w:abstractNumId w:val="6"/>
  </w:num>
  <w:num w:numId="14">
    <w:abstractNumId w:val="10"/>
  </w:num>
  <w:num w:numId="15">
    <w:abstractNumId w:val="14"/>
  </w:num>
  <w:num w:numId="16">
    <w:abstractNumId w:val="11"/>
  </w:num>
  <w:num w:numId="17">
    <w:abstractNumId w:val="15"/>
  </w:num>
  <w:num w:numId="18">
    <w:abstractNumId w:val="26"/>
  </w:num>
  <w:num w:numId="19">
    <w:abstractNumId w:val="16"/>
  </w:num>
  <w:num w:numId="20">
    <w:abstractNumId w:val="17"/>
  </w:num>
  <w:num w:numId="21">
    <w:abstractNumId w:val="20"/>
  </w:num>
  <w:num w:numId="22">
    <w:abstractNumId w:val="18"/>
  </w:num>
  <w:num w:numId="23">
    <w:abstractNumId w:val="12"/>
  </w:num>
  <w:num w:numId="24">
    <w:abstractNumId w:val="8"/>
  </w:num>
  <w:num w:numId="25">
    <w:abstractNumId w:val="21"/>
  </w:num>
  <w:num w:numId="26">
    <w:abstractNumId w:val="23"/>
  </w:num>
  <w:num w:numId="27">
    <w:abstractNumId w:val="0"/>
  </w:num>
  <w:num w:numId="28">
    <w:abstractNumId w:val="3"/>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NotTrackFormatting/>
  <w:defaultTabStop w:val="284"/>
  <w:evenAndOddHeaders/>
  <w:drawingGridHorizontalSpacing w:val="100"/>
  <w:displayHorizontalDrawingGridEvery w:val="2"/>
  <w:characterSpacingControl w:val="doNotCompress"/>
  <w:hdrShapeDefaults>
    <o:shapedefaults v:ext="edit" spidmax="10241">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9A5"/>
    <w:rsid w:val="0000389A"/>
    <w:rsid w:val="00003DF1"/>
    <w:rsid w:val="000043F4"/>
    <w:rsid w:val="00006FB3"/>
    <w:rsid w:val="00010667"/>
    <w:rsid w:val="000117B5"/>
    <w:rsid w:val="00011DF9"/>
    <w:rsid w:val="000129D5"/>
    <w:rsid w:val="00015AE7"/>
    <w:rsid w:val="000164D3"/>
    <w:rsid w:val="00016E21"/>
    <w:rsid w:val="0001719C"/>
    <w:rsid w:val="00023994"/>
    <w:rsid w:val="000256B7"/>
    <w:rsid w:val="00026BD7"/>
    <w:rsid w:val="00026F91"/>
    <w:rsid w:val="00030A15"/>
    <w:rsid w:val="00034622"/>
    <w:rsid w:val="00044F90"/>
    <w:rsid w:val="00047A99"/>
    <w:rsid w:val="0005011A"/>
    <w:rsid w:val="0005045A"/>
    <w:rsid w:val="00051C1E"/>
    <w:rsid w:val="000539F9"/>
    <w:rsid w:val="00054C27"/>
    <w:rsid w:val="00055EC3"/>
    <w:rsid w:val="000563CE"/>
    <w:rsid w:val="000573A8"/>
    <w:rsid w:val="000659B6"/>
    <w:rsid w:val="0006722A"/>
    <w:rsid w:val="00070703"/>
    <w:rsid w:val="00070CE3"/>
    <w:rsid w:val="00072032"/>
    <w:rsid w:val="000729CA"/>
    <w:rsid w:val="00072B26"/>
    <w:rsid w:val="00072C5B"/>
    <w:rsid w:val="000732CF"/>
    <w:rsid w:val="0007375A"/>
    <w:rsid w:val="00075B96"/>
    <w:rsid w:val="0008196A"/>
    <w:rsid w:val="000835D9"/>
    <w:rsid w:val="000844D9"/>
    <w:rsid w:val="00091422"/>
    <w:rsid w:val="000915ED"/>
    <w:rsid w:val="0009209D"/>
    <w:rsid w:val="00092376"/>
    <w:rsid w:val="000933D6"/>
    <w:rsid w:val="000960DE"/>
    <w:rsid w:val="000969BD"/>
    <w:rsid w:val="000969BF"/>
    <w:rsid w:val="000A0C22"/>
    <w:rsid w:val="000A1B18"/>
    <w:rsid w:val="000A3A41"/>
    <w:rsid w:val="000A3C43"/>
    <w:rsid w:val="000A4A51"/>
    <w:rsid w:val="000A58B6"/>
    <w:rsid w:val="000A5D2B"/>
    <w:rsid w:val="000A665A"/>
    <w:rsid w:val="000A6F7E"/>
    <w:rsid w:val="000A72E6"/>
    <w:rsid w:val="000B10F7"/>
    <w:rsid w:val="000B5DE3"/>
    <w:rsid w:val="000C0A57"/>
    <w:rsid w:val="000C0B97"/>
    <w:rsid w:val="000C230C"/>
    <w:rsid w:val="000C2A63"/>
    <w:rsid w:val="000C37B0"/>
    <w:rsid w:val="000C3C11"/>
    <w:rsid w:val="000C4A02"/>
    <w:rsid w:val="000C6AB4"/>
    <w:rsid w:val="000C6F84"/>
    <w:rsid w:val="000C70DE"/>
    <w:rsid w:val="000D0C42"/>
    <w:rsid w:val="000D4505"/>
    <w:rsid w:val="000D64DC"/>
    <w:rsid w:val="000D71D9"/>
    <w:rsid w:val="000D76E0"/>
    <w:rsid w:val="000D7E8B"/>
    <w:rsid w:val="000E2E66"/>
    <w:rsid w:val="000E4449"/>
    <w:rsid w:val="000E45FA"/>
    <w:rsid w:val="000E6097"/>
    <w:rsid w:val="000F4275"/>
    <w:rsid w:val="000F7234"/>
    <w:rsid w:val="00100578"/>
    <w:rsid w:val="00101F81"/>
    <w:rsid w:val="00102E23"/>
    <w:rsid w:val="00103829"/>
    <w:rsid w:val="00105C8A"/>
    <w:rsid w:val="00111113"/>
    <w:rsid w:val="001117CF"/>
    <w:rsid w:val="00111E3D"/>
    <w:rsid w:val="00111FCE"/>
    <w:rsid w:val="00111FF9"/>
    <w:rsid w:val="0011233C"/>
    <w:rsid w:val="00112AF8"/>
    <w:rsid w:val="00113015"/>
    <w:rsid w:val="0011311C"/>
    <w:rsid w:val="00114B15"/>
    <w:rsid w:val="00121D8C"/>
    <w:rsid w:val="001229A5"/>
    <w:rsid w:val="001233C5"/>
    <w:rsid w:val="0012489B"/>
    <w:rsid w:val="00124902"/>
    <w:rsid w:val="00127458"/>
    <w:rsid w:val="00130017"/>
    <w:rsid w:val="00130F91"/>
    <w:rsid w:val="00131F11"/>
    <w:rsid w:val="001349ED"/>
    <w:rsid w:val="0013633D"/>
    <w:rsid w:val="001363ED"/>
    <w:rsid w:val="00137424"/>
    <w:rsid w:val="00137B96"/>
    <w:rsid w:val="00140318"/>
    <w:rsid w:val="00141AD9"/>
    <w:rsid w:val="00142291"/>
    <w:rsid w:val="00145150"/>
    <w:rsid w:val="001463A5"/>
    <w:rsid w:val="00146C74"/>
    <w:rsid w:val="00146CE6"/>
    <w:rsid w:val="00152903"/>
    <w:rsid w:val="001537B3"/>
    <w:rsid w:val="00154AE5"/>
    <w:rsid w:val="00155000"/>
    <w:rsid w:val="0015614F"/>
    <w:rsid w:val="001577C2"/>
    <w:rsid w:val="00157E02"/>
    <w:rsid w:val="001633C4"/>
    <w:rsid w:val="0016458D"/>
    <w:rsid w:val="001652D4"/>
    <w:rsid w:val="00167337"/>
    <w:rsid w:val="001704ED"/>
    <w:rsid w:val="00171591"/>
    <w:rsid w:val="00172BF7"/>
    <w:rsid w:val="00172FFC"/>
    <w:rsid w:val="00173981"/>
    <w:rsid w:val="00174695"/>
    <w:rsid w:val="00175530"/>
    <w:rsid w:val="00176CB0"/>
    <w:rsid w:val="0017719D"/>
    <w:rsid w:val="0018057A"/>
    <w:rsid w:val="001824A2"/>
    <w:rsid w:val="00182882"/>
    <w:rsid w:val="00185750"/>
    <w:rsid w:val="00185CAB"/>
    <w:rsid w:val="00186B47"/>
    <w:rsid w:val="0018704E"/>
    <w:rsid w:val="001875B7"/>
    <w:rsid w:val="00187CB3"/>
    <w:rsid w:val="0019050A"/>
    <w:rsid w:val="00190645"/>
    <w:rsid w:val="00190C00"/>
    <w:rsid w:val="001910D4"/>
    <w:rsid w:val="001910D7"/>
    <w:rsid w:val="001976E3"/>
    <w:rsid w:val="001A076C"/>
    <w:rsid w:val="001A27A8"/>
    <w:rsid w:val="001A44EC"/>
    <w:rsid w:val="001B20CD"/>
    <w:rsid w:val="001B58AA"/>
    <w:rsid w:val="001B5B98"/>
    <w:rsid w:val="001B60F8"/>
    <w:rsid w:val="001B744B"/>
    <w:rsid w:val="001B7E48"/>
    <w:rsid w:val="001C17CE"/>
    <w:rsid w:val="001C2D18"/>
    <w:rsid w:val="001C36CA"/>
    <w:rsid w:val="001C44D1"/>
    <w:rsid w:val="001C6AEE"/>
    <w:rsid w:val="001C7630"/>
    <w:rsid w:val="001D10A8"/>
    <w:rsid w:val="001D219E"/>
    <w:rsid w:val="001D27F0"/>
    <w:rsid w:val="001D5E40"/>
    <w:rsid w:val="001D6ABD"/>
    <w:rsid w:val="001D6C05"/>
    <w:rsid w:val="001D6D15"/>
    <w:rsid w:val="001D6FB2"/>
    <w:rsid w:val="001E05DF"/>
    <w:rsid w:val="001E3D39"/>
    <w:rsid w:val="001E794D"/>
    <w:rsid w:val="001F070A"/>
    <w:rsid w:val="001F0CC3"/>
    <w:rsid w:val="001F230F"/>
    <w:rsid w:val="001F3E51"/>
    <w:rsid w:val="001F6340"/>
    <w:rsid w:val="001F7558"/>
    <w:rsid w:val="002003D9"/>
    <w:rsid w:val="00205B57"/>
    <w:rsid w:val="00207874"/>
    <w:rsid w:val="00210CDD"/>
    <w:rsid w:val="0021199C"/>
    <w:rsid w:val="002132DA"/>
    <w:rsid w:val="00213C1C"/>
    <w:rsid w:val="00214645"/>
    <w:rsid w:val="002157E0"/>
    <w:rsid w:val="00216A57"/>
    <w:rsid w:val="00217154"/>
    <w:rsid w:val="00217A80"/>
    <w:rsid w:val="002204EC"/>
    <w:rsid w:val="002225FB"/>
    <w:rsid w:val="0022334F"/>
    <w:rsid w:val="00224697"/>
    <w:rsid w:val="00224D3C"/>
    <w:rsid w:val="00226471"/>
    <w:rsid w:val="00226819"/>
    <w:rsid w:val="002273C3"/>
    <w:rsid w:val="002310DE"/>
    <w:rsid w:val="00231860"/>
    <w:rsid w:val="00233101"/>
    <w:rsid w:val="00233817"/>
    <w:rsid w:val="00234DB8"/>
    <w:rsid w:val="00235034"/>
    <w:rsid w:val="002367FF"/>
    <w:rsid w:val="00240AE9"/>
    <w:rsid w:val="00240CE9"/>
    <w:rsid w:val="00242F83"/>
    <w:rsid w:val="002434BA"/>
    <w:rsid w:val="00246089"/>
    <w:rsid w:val="00246093"/>
    <w:rsid w:val="002466DD"/>
    <w:rsid w:val="00246702"/>
    <w:rsid w:val="00246CFC"/>
    <w:rsid w:val="00247C59"/>
    <w:rsid w:val="00247F2E"/>
    <w:rsid w:val="0025045C"/>
    <w:rsid w:val="00250A2E"/>
    <w:rsid w:val="00250ADC"/>
    <w:rsid w:val="00250B07"/>
    <w:rsid w:val="00250CB7"/>
    <w:rsid w:val="00253912"/>
    <w:rsid w:val="00257553"/>
    <w:rsid w:val="00257881"/>
    <w:rsid w:val="00260FB2"/>
    <w:rsid w:val="00261ECF"/>
    <w:rsid w:val="00262128"/>
    <w:rsid w:val="00264184"/>
    <w:rsid w:val="00265A42"/>
    <w:rsid w:val="00270E79"/>
    <w:rsid w:val="0027165D"/>
    <w:rsid w:val="00273CEB"/>
    <w:rsid w:val="00274A41"/>
    <w:rsid w:val="002767F8"/>
    <w:rsid w:val="00277A14"/>
    <w:rsid w:val="00281C89"/>
    <w:rsid w:val="00281F4D"/>
    <w:rsid w:val="0028282F"/>
    <w:rsid w:val="002844F0"/>
    <w:rsid w:val="002859FE"/>
    <w:rsid w:val="0028604E"/>
    <w:rsid w:val="002870BD"/>
    <w:rsid w:val="002871F8"/>
    <w:rsid w:val="002876C4"/>
    <w:rsid w:val="00290A62"/>
    <w:rsid w:val="00290ED7"/>
    <w:rsid w:val="002939A4"/>
    <w:rsid w:val="00293A1D"/>
    <w:rsid w:val="00294BCE"/>
    <w:rsid w:val="0029593B"/>
    <w:rsid w:val="00297FC5"/>
    <w:rsid w:val="002A0417"/>
    <w:rsid w:val="002A16D8"/>
    <w:rsid w:val="002A1BC8"/>
    <w:rsid w:val="002A37BB"/>
    <w:rsid w:val="002A3EF2"/>
    <w:rsid w:val="002A6485"/>
    <w:rsid w:val="002A777D"/>
    <w:rsid w:val="002A7824"/>
    <w:rsid w:val="002B0DED"/>
    <w:rsid w:val="002B19A2"/>
    <w:rsid w:val="002B2837"/>
    <w:rsid w:val="002B381A"/>
    <w:rsid w:val="002B4FCC"/>
    <w:rsid w:val="002B6B66"/>
    <w:rsid w:val="002B7174"/>
    <w:rsid w:val="002B7408"/>
    <w:rsid w:val="002B7CFD"/>
    <w:rsid w:val="002C03DE"/>
    <w:rsid w:val="002C1363"/>
    <w:rsid w:val="002C210F"/>
    <w:rsid w:val="002C3366"/>
    <w:rsid w:val="002C7E42"/>
    <w:rsid w:val="002D234E"/>
    <w:rsid w:val="002D35A8"/>
    <w:rsid w:val="002D3600"/>
    <w:rsid w:val="002D798D"/>
    <w:rsid w:val="002E0DEE"/>
    <w:rsid w:val="002E248A"/>
    <w:rsid w:val="002E29A8"/>
    <w:rsid w:val="002E3CF3"/>
    <w:rsid w:val="002E3E1C"/>
    <w:rsid w:val="002E3F57"/>
    <w:rsid w:val="002E4DDC"/>
    <w:rsid w:val="002E78B4"/>
    <w:rsid w:val="002F0196"/>
    <w:rsid w:val="002F0E70"/>
    <w:rsid w:val="002F0EE6"/>
    <w:rsid w:val="002F27FE"/>
    <w:rsid w:val="002F2B27"/>
    <w:rsid w:val="002F5311"/>
    <w:rsid w:val="002F5B33"/>
    <w:rsid w:val="002F5F0B"/>
    <w:rsid w:val="002F6FC5"/>
    <w:rsid w:val="0030125B"/>
    <w:rsid w:val="00302480"/>
    <w:rsid w:val="00303282"/>
    <w:rsid w:val="003032AA"/>
    <w:rsid w:val="003100E7"/>
    <w:rsid w:val="00315ECB"/>
    <w:rsid w:val="003165E6"/>
    <w:rsid w:val="00320A51"/>
    <w:rsid w:val="003217F8"/>
    <w:rsid w:val="003221CF"/>
    <w:rsid w:val="003233ED"/>
    <w:rsid w:val="00324D9F"/>
    <w:rsid w:val="00325DB0"/>
    <w:rsid w:val="003272CD"/>
    <w:rsid w:val="00327948"/>
    <w:rsid w:val="00327F6B"/>
    <w:rsid w:val="0033000F"/>
    <w:rsid w:val="0033158C"/>
    <w:rsid w:val="00332011"/>
    <w:rsid w:val="00332518"/>
    <w:rsid w:val="00332925"/>
    <w:rsid w:val="003332ED"/>
    <w:rsid w:val="0033685F"/>
    <w:rsid w:val="003368DC"/>
    <w:rsid w:val="0034241D"/>
    <w:rsid w:val="00342C21"/>
    <w:rsid w:val="00342E21"/>
    <w:rsid w:val="00345927"/>
    <w:rsid w:val="00350584"/>
    <w:rsid w:val="003513A7"/>
    <w:rsid w:val="00351857"/>
    <w:rsid w:val="00351C8E"/>
    <w:rsid w:val="00354453"/>
    <w:rsid w:val="003552BD"/>
    <w:rsid w:val="003606E8"/>
    <w:rsid w:val="003610E1"/>
    <w:rsid w:val="003615DD"/>
    <w:rsid w:val="003671BE"/>
    <w:rsid w:val="00367243"/>
    <w:rsid w:val="00371938"/>
    <w:rsid w:val="00372485"/>
    <w:rsid w:val="003731BF"/>
    <w:rsid w:val="00373200"/>
    <w:rsid w:val="003732E4"/>
    <w:rsid w:val="003747CF"/>
    <w:rsid w:val="00375EF5"/>
    <w:rsid w:val="003767A5"/>
    <w:rsid w:val="00376BB9"/>
    <w:rsid w:val="003834F4"/>
    <w:rsid w:val="00385254"/>
    <w:rsid w:val="00385477"/>
    <w:rsid w:val="0038619A"/>
    <w:rsid w:val="00390762"/>
    <w:rsid w:val="00392FA8"/>
    <w:rsid w:val="00393C83"/>
    <w:rsid w:val="0039504D"/>
    <w:rsid w:val="00395C18"/>
    <w:rsid w:val="003968A4"/>
    <w:rsid w:val="003968D3"/>
    <w:rsid w:val="003A1F32"/>
    <w:rsid w:val="003A4D41"/>
    <w:rsid w:val="003A5EC2"/>
    <w:rsid w:val="003A5F5B"/>
    <w:rsid w:val="003A69F1"/>
    <w:rsid w:val="003A7427"/>
    <w:rsid w:val="003A766F"/>
    <w:rsid w:val="003A789A"/>
    <w:rsid w:val="003B12EC"/>
    <w:rsid w:val="003B3658"/>
    <w:rsid w:val="003B408C"/>
    <w:rsid w:val="003B551A"/>
    <w:rsid w:val="003B6F58"/>
    <w:rsid w:val="003C02FF"/>
    <w:rsid w:val="003C6035"/>
    <w:rsid w:val="003C69FB"/>
    <w:rsid w:val="003C77E0"/>
    <w:rsid w:val="003C79FA"/>
    <w:rsid w:val="003C7CB9"/>
    <w:rsid w:val="003D17D7"/>
    <w:rsid w:val="003D2678"/>
    <w:rsid w:val="003D3ACB"/>
    <w:rsid w:val="003D54AD"/>
    <w:rsid w:val="003D6D4D"/>
    <w:rsid w:val="003D71A3"/>
    <w:rsid w:val="003D7A63"/>
    <w:rsid w:val="003D7D65"/>
    <w:rsid w:val="003E2B8A"/>
    <w:rsid w:val="003E4BF1"/>
    <w:rsid w:val="003E4E0D"/>
    <w:rsid w:val="003E7778"/>
    <w:rsid w:val="003F05AF"/>
    <w:rsid w:val="003F10EE"/>
    <w:rsid w:val="003F16F6"/>
    <w:rsid w:val="003F25C3"/>
    <w:rsid w:val="003F35FB"/>
    <w:rsid w:val="003F4DC7"/>
    <w:rsid w:val="003F5235"/>
    <w:rsid w:val="00400763"/>
    <w:rsid w:val="004027E4"/>
    <w:rsid w:val="00404883"/>
    <w:rsid w:val="00404DB1"/>
    <w:rsid w:val="00405DFC"/>
    <w:rsid w:val="004060BB"/>
    <w:rsid w:val="00406B1D"/>
    <w:rsid w:val="00406D84"/>
    <w:rsid w:val="00407385"/>
    <w:rsid w:val="0041071D"/>
    <w:rsid w:val="00411869"/>
    <w:rsid w:val="00413029"/>
    <w:rsid w:val="00413408"/>
    <w:rsid w:val="004136E7"/>
    <w:rsid w:val="00414AFC"/>
    <w:rsid w:val="004151A7"/>
    <w:rsid w:val="00415310"/>
    <w:rsid w:val="00417968"/>
    <w:rsid w:val="0042013F"/>
    <w:rsid w:val="00420561"/>
    <w:rsid w:val="00420CDF"/>
    <w:rsid w:val="00421709"/>
    <w:rsid w:val="00421797"/>
    <w:rsid w:val="00421D0B"/>
    <w:rsid w:val="00421E10"/>
    <w:rsid w:val="004233C0"/>
    <w:rsid w:val="00423763"/>
    <w:rsid w:val="00425694"/>
    <w:rsid w:val="0042575D"/>
    <w:rsid w:val="0042762F"/>
    <w:rsid w:val="00427DC7"/>
    <w:rsid w:val="004310A6"/>
    <w:rsid w:val="00431556"/>
    <w:rsid w:val="00431613"/>
    <w:rsid w:val="00431792"/>
    <w:rsid w:val="00432821"/>
    <w:rsid w:val="0043297A"/>
    <w:rsid w:val="00432EB2"/>
    <w:rsid w:val="00433222"/>
    <w:rsid w:val="0043714F"/>
    <w:rsid w:val="00440DEB"/>
    <w:rsid w:val="004438B5"/>
    <w:rsid w:val="004456B2"/>
    <w:rsid w:val="00447037"/>
    <w:rsid w:val="0045124D"/>
    <w:rsid w:val="00451607"/>
    <w:rsid w:val="00454596"/>
    <w:rsid w:val="0045605D"/>
    <w:rsid w:val="004564E6"/>
    <w:rsid w:val="00456D37"/>
    <w:rsid w:val="00460698"/>
    <w:rsid w:val="00460E15"/>
    <w:rsid w:val="0046135B"/>
    <w:rsid w:val="004616F3"/>
    <w:rsid w:val="004626F6"/>
    <w:rsid w:val="00464CA4"/>
    <w:rsid w:val="00465F1A"/>
    <w:rsid w:val="00466AD4"/>
    <w:rsid w:val="004718CC"/>
    <w:rsid w:val="00473D31"/>
    <w:rsid w:val="0047603C"/>
    <w:rsid w:val="0047766B"/>
    <w:rsid w:val="00477D8F"/>
    <w:rsid w:val="004813A3"/>
    <w:rsid w:val="00481695"/>
    <w:rsid w:val="004825B3"/>
    <w:rsid w:val="00482A60"/>
    <w:rsid w:val="00483172"/>
    <w:rsid w:val="00483970"/>
    <w:rsid w:val="00485B11"/>
    <w:rsid w:val="00486925"/>
    <w:rsid w:val="0048724F"/>
    <w:rsid w:val="0049580A"/>
    <w:rsid w:val="00495A96"/>
    <w:rsid w:val="00495BB3"/>
    <w:rsid w:val="00496616"/>
    <w:rsid w:val="004A0203"/>
    <w:rsid w:val="004A2671"/>
    <w:rsid w:val="004A47BF"/>
    <w:rsid w:val="004A4F3D"/>
    <w:rsid w:val="004A52EA"/>
    <w:rsid w:val="004A56BB"/>
    <w:rsid w:val="004B0A55"/>
    <w:rsid w:val="004B10C5"/>
    <w:rsid w:val="004B1751"/>
    <w:rsid w:val="004B2D9E"/>
    <w:rsid w:val="004B44DF"/>
    <w:rsid w:val="004B6D10"/>
    <w:rsid w:val="004C0253"/>
    <w:rsid w:val="004C17A5"/>
    <w:rsid w:val="004C181B"/>
    <w:rsid w:val="004C1A59"/>
    <w:rsid w:val="004C5986"/>
    <w:rsid w:val="004C5C01"/>
    <w:rsid w:val="004C7518"/>
    <w:rsid w:val="004D1193"/>
    <w:rsid w:val="004D2315"/>
    <w:rsid w:val="004D36B9"/>
    <w:rsid w:val="004D49B4"/>
    <w:rsid w:val="004D56FF"/>
    <w:rsid w:val="004D60F0"/>
    <w:rsid w:val="004D7082"/>
    <w:rsid w:val="004D7195"/>
    <w:rsid w:val="004E39D3"/>
    <w:rsid w:val="004E508A"/>
    <w:rsid w:val="004E616D"/>
    <w:rsid w:val="004E7D3E"/>
    <w:rsid w:val="004F061D"/>
    <w:rsid w:val="004F1BDE"/>
    <w:rsid w:val="004F2CEE"/>
    <w:rsid w:val="004F4E78"/>
    <w:rsid w:val="004F556E"/>
    <w:rsid w:val="004F60D6"/>
    <w:rsid w:val="004F682C"/>
    <w:rsid w:val="004F7A12"/>
    <w:rsid w:val="004F7F44"/>
    <w:rsid w:val="005037B4"/>
    <w:rsid w:val="005042A6"/>
    <w:rsid w:val="00505F98"/>
    <w:rsid w:val="00506954"/>
    <w:rsid w:val="00507306"/>
    <w:rsid w:val="005079BF"/>
    <w:rsid w:val="005112AD"/>
    <w:rsid w:val="00512447"/>
    <w:rsid w:val="00515A02"/>
    <w:rsid w:val="005201BA"/>
    <w:rsid w:val="005219E7"/>
    <w:rsid w:val="0052221D"/>
    <w:rsid w:val="00526020"/>
    <w:rsid w:val="005263F3"/>
    <w:rsid w:val="00530C31"/>
    <w:rsid w:val="00531B9A"/>
    <w:rsid w:val="00531BB9"/>
    <w:rsid w:val="00531C78"/>
    <w:rsid w:val="00531D15"/>
    <w:rsid w:val="00532F74"/>
    <w:rsid w:val="00533974"/>
    <w:rsid w:val="0053460B"/>
    <w:rsid w:val="00536FD9"/>
    <w:rsid w:val="00537269"/>
    <w:rsid w:val="00537604"/>
    <w:rsid w:val="00537973"/>
    <w:rsid w:val="005402D0"/>
    <w:rsid w:val="00541FFC"/>
    <w:rsid w:val="0054222D"/>
    <w:rsid w:val="0054225B"/>
    <w:rsid w:val="00542377"/>
    <w:rsid w:val="00545A86"/>
    <w:rsid w:val="00546101"/>
    <w:rsid w:val="005476EB"/>
    <w:rsid w:val="005477E0"/>
    <w:rsid w:val="00550E5E"/>
    <w:rsid w:val="00551782"/>
    <w:rsid w:val="00553938"/>
    <w:rsid w:val="00554C4C"/>
    <w:rsid w:val="0056244C"/>
    <w:rsid w:val="00563EF1"/>
    <w:rsid w:val="00565420"/>
    <w:rsid w:val="00566AB4"/>
    <w:rsid w:val="005676DF"/>
    <w:rsid w:val="00571D2B"/>
    <w:rsid w:val="005739A2"/>
    <w:rsid w:val="00573B23"/>
    <w:rsid w:val="00574350"/>
    <w:rsid w:val="00575AC5"/>
    <w:rsid w:val="0057605D"/>
    <w:rsid w:val="00577D71"/>
    <w:rsid w:val="0058097F"/>
    <w:rsid w:val="00581347"/>
    <w:rsid w:val="00581AC9"/>
    <w:rsid w:val="00582AEE"/>
    <w:rsid w:val="00583697"/>
    <w:rsid w:val="00583D15"/>
    <w:rsid w:val="005849F8"/>
    <w:rsid w:val="005863B9"/>
    <w:rsid w:val="00586EE8"/>
    <w:rsid w:val="00590AE7"/>
    <w:rsid w:val="005910BA"/>
    <w:rsid w:val="00592E1F"/>
    <w:rsid w:val="005938DF"/>
    <w:rsid w:val="00593DDE"/>
    <w:rsid w:val="00594E9C"/>
    <w:rsid w:val="005952D9"/>
    <w:rsid w:val="00596653"/>
    <w:rsid w:val="005968F3"/>
    <w:rsid w:val="005A099B"/>
    <w:rsid w:val="005A2D9C"/>
    <w:rsid w:val="005A3A61"/>
    <w:rsid w:val="005A3E26"/>
    <w:rsid w:val="005A55FE"/>
    <w:rsid w:val="005A627E"/>
    <w:rsid w:val="005A6A11"/>
    <w:rsid w:val="005B01CB"/>
    <w:rsid w:val="005B0224"/>
    <w:rsid w:val="005B0A09"/>
    <w:rsid w:val="005B1E00"/>
    <w:rsid w:val="005B39E7"/>
    <w:rsid w:val="005B5CBD"/>
    <w:rsid w:val="005B63F2"/>
    <w:rsid w:val="005B723F"/>
    <w:rsid w:val="005C2E34"/>
    <w:rsid w:val="005C4E42"/>
    <w:rsid w:val="005D2502"/>
    <w:rsid w:val="005D47F3"/>
    <w:rsid w:val="005D49BF"/>
    <w:rsid w:val="005D4E69"/>
    <w:rsid w:val="005D673E"/>
    <w:rsid w:val="005D6F4E"/>
    <w:rsid w:val="005D7BB8"/>
    <w:rsid w:val="005E106B"/>
    <w:rsid w:val="005E1600"/>
    <w:rsid w:val="005E3708"/>
    <w:rsid w:val="005E3ACD"/>
    <w:rsid w:val="005E7226"/>
    <w:rsid w:val="005E7A57"/>
    <w:rsid w:val="005F159C"/>
    <w:rsid w:val="005F1A1D"/>
    <w:rsid w:val="005F1AE8"/>
    <w:rsid w:val="005F24B0"/>
    <w:rsid w:val="005F2E14"/>
    <w:rsid w:val="00601A05"/>
    <w:rsid w:val="00601EE3"/>
    <w:rsid w:val="00604315"/>
    <w:rsid w:val="00604316"/>
    <w:rsid w:val="00604E26"/>
    <w:rsid w:val="006052CF"/>
    <w:rsid w:val="00605403"/>
    <w:rsid w:val="006057B3"/>
    <w:rsid w:val="00607088"/>
    <w:rsid w:val="00607160"/>
    <w:rsid w:val="00607262"/>
    <w:rsid w:val="00607B8D"/>
    <w:rsid w:val="006110DF"/>
    <w:rsid w:val="00611F5C"/>
    <w:rsid w:val="00612155"/>
    <w:rsid w:val="0061226F"/>
    <w:rsid w:val="006123DB"/>
    <w:rsid w:val="00614CA9"/>
    <w:rsid w:val="00615B4A"/>
    <w:rsid w:val="00616E09"/>
    <w:rsid w:val="00622A3B"/>
    <w:rsid w:val="00622EEA"/>
    <w:rsid w:val="0062396C"/>
    <w:rsid w:val="00623FF9"/>
    <w:rsid w:val="00624602"/>
    <w:rsid w:val="00624A7E"/>
    <w:rsid w:val="0062691A"/>
    <w:rsid w:val="00627D4E"/>
    <w:rsid w:val="006313F7"/>
    <w:rsid w:val="00634478"/>
    <w:rsid w:val="0063478C"/>
    <w:rsid w:val="006360F1"/>
    <w:rsid w:val="00636750"/>
    <w:rsid w:val="00637A6A"/>
    <w:rsid w:val="00643330"/>
    <w:rsid w:val="006436DD"/>
    <w:rsid w:val="00644373"/>
    <w:rsid w:val="006450DB"/>
    <w:rsid w:val="00645915"/>
    <w:rsid w:val="006459E4"/>
    <w:rsid w:val="00650BD6"/>
    <w:rsid w:val="006519C3"/>
    <w:rsid w:val="0065224C"/>
    <w:rsid w:val="00652B30"/>
    <w:rsid w:val="00655306"/>
    <w:rsid w:val="00656345"/>
    <w:rsid w:val="006567C6"/>
    <w:rsid w:val="00656DC6"/>
    <w:rsid w:val="00660121"/>
    <w:rsid w:val="0066228E"/>
    <w:rsid w:val="0066353D"/>
    <w:rsid w:val="00663933"/>
    <w:rsid w:val="00664110"/>
    <w:rsid w:val="00664D17"/>
    <w:rsid w:val="0066612F"/>
    <w:rsid w:val="00666520"/>
    <w:rsid w:val="00666E40"/>
    <w:rsid w:val="00667C5B"/>
    <w:rsid w:val="0067349B"/>
    <w:rsid w:val="00674C0A"/>
    <w:rsid w:val="00674C77"/>
    <w:rsid w:val="00675742"/>
    <w:rsid w:val="00675D52"/>
    <w:rsid w:val="0067799C"/>
    <w:rsid w:val="00680486"/>
    <w:rsid w:val="00682336"/>
    <w:rsid w:val="00682546"/>
    <w:rsid w:val="00683835"/>
    <w:rsid w:val="006843D8"/>
    <w:rsid w:val="006844CE"/>
    <w:rsid w:val="006862B7"/>
    <w:rsid w:val="00690B25"/>
    <w:rsid w:val="0069271A"/>
    <w:rsid w:val="00692CDE"/>
    <w:rsid w:val="00693073"/>
    <w:rsid w:val="006933A0"/>
    <w:rsid w:val="006977FF"/>
    <w:rsid w:val="00697E6B"/>
    <w:rsid w:val="006A004F"/>
    <w:rsid w:val="006A01FA"/>
    <w:rsid w:val="006A0E9E"/>
    <w:rsid w:val="006A25C7"/>
    <w:rsid w:val="006A4AAD"/>
    <w:rsid w:val="006A6DA2"/>
    <w:rsid w:val="006A7AB2"/>
    <w:rsid w:val="006B288F"/>
    <w:rsid w:val="006B5717"/>
    <w:rsid w:val="006B582F"/>
    <w:rsid w:val="006B66EE"/>
    <w:rsid w:val="006B6AC2"/>
    <w:rsid w:val="006B6DFA"/>
    <w:rsid w:val="006B7547"/>
    <w:rsid w:val="006C0CEB"/>
    <w:rsid w:val="006C144F"/>
    <w:rsid w:val="006C2B1E"/>
    <w:rsid w:val="006C2D0C"/>
    <w:rsid w:val="006C3B1E"/>
    <w:rsid w:val="006C47FD"/>
    <w:rsid w:val="006C5587"/>
    <w:rsid w:val="006C70A0"/>
    <w:rsid w:val="006D0D11"/>
    <w:rsid w:val="006D109E"/>
    <w:rsid w:val="006D27CB"/>
    <w:rsid w:val="006D2F08"/>
    <w:rsid w:val="006D576C"/>
    <w:rsid w:val="006D5865"/>
    <w:rsid w:val="006D5AED"/>
    <w:rsid w:val="006D6322"/>
    <w:rsid w:val="006D7CF1"/>
    <w:rsid w:val="006E1570"/>
    <w:rsid w:val="006E4B1B"/>
    <w:rsid w:val="006E5445"/>
    <w:rsid w:val="006E5ABE"/>
    <w:rsid w:val="006E74C0"/>
    <w:rsid w:val="006E7D93"/>
    <w:rsid w:val="006F25A6"/>
    <w:rsid w:val="006F3B0A"/>
    <w:rsid w:val="006F6AA6"/>
    <w:rsid w:val="007001F8"/>
    <w:rsid w:val="00700877"/>
    <w:rsid w:val="00701580"/>
    <w:rsid w:val="007029A3"/>
    <w:rsid w:val="00702DC9"/>
    <w:rsid w:val="00703232"/>
    <w:rsid w:val="00704B6E"/>
    <w:rsid w:val="0070538D"/>
    <w:rsid w:val="00706E4E"/>
    <w:rsid w:val="0070791C"/>
    <w:rsid w:val="00710FC4"/>
    <w:rsid w:val="0071383C"/>
    <w:rsid w:val="007141A7"/>
    <w:rsid w:val="00714F0A"/>
    <w:rsid w:val="00715708"/>
    <w:rsid w:val="00715A63"/>
    <w:rsid w:val="00720E89"/>
    <w:rsid w:val="00721032"/>
    <w:rsid w:val="00721B55"/>
    <w:rsid w:val="00724E75"/>
    <w:rsid w:val="00724E78"/>
    <w:rsid w:val="007257F5"/>
    <w:rsid w:val="0072581D"/>
    <w:rsid w:val="00725AEC"/>
    <w:rsid w:val="00726CE4"/>
    <w:rsid w:val="00727CD3"/>
    <w:rsid w:val="00732C87"/>
    <w:rsid w:val="00734143"/>
    <w:rsid w:val="00735103"/>
    <w:rsid w:val="00736235"/>
    <w:rsid w:val="00736CB1"/>
    <w:rsid w:val="00737E47"/>
    <w:rsid w:val="00740EAC"/>
    <w:rsid w:val="00741D7D"/>
    <w:rsid w:val="007427FE"/>
    <w:rsid w:val="00743358"/>
    <w:rsid w:val="00744956"/>
    <w:rsid w:val="00745A19"/>
    <w:rsid w:val="00745A5C"/>
    <w:rsid w:val="0074605F"/>
    <w:rsid w:val="00746708"/>
    <w:rsid w:val="00747C61"/>
    <w:rsid w:val="00747E94"/>
    <w:rsid w:val="007527A7"/>
    <w:rsid w:val="007541BB"/>
    <w:rsid w:val="00754894"/>
    <w:rsid w:val="00754EFB"/>
    <w:rsid w:val="0075541C"/>
    <w:rsid w:val="00766749"/>
    <w:rsid w:val="00767C1B"/>
    <w:rsid w:val="00771373"/>
    <w:rsid w:val="007714A9"/>
    <w:rsid w:val="00774362"/>
    <w:rsid w:val="00774F88"/>
    <w:rsid w:val="00774FDB"/>
    <w:rsid w:val="00777440"/>
    <w:rsid w:val="00777BA2"/>
    <w:rsid w:val="00777F84"/>
    <w:rsid w:val="007802FB"/>
    <w:rsid w:val="0078092B"/>
    <w:rsid w:val="00781408"/>
    <w:rsid w:val="00781D45"/>
    <w:rsid w:val="00784CE3"/>
    <w:rsid w:val="00784F7F"/>
    <w:rsid w:val="00785FAE"/>
    <w:rsid w:val="00787E49"/>
    <w:rsid w:val="007901CC"/>
    <w:rsid w:val="00794402"/>
    <w:rsid w:val="007947CF"/>
    <w:rsid w:val="00796C91"/>
    <w:rsid w:val="00796F25"/>
    <w:rsid w:val="007A0A58"/>
    <w:rsid w:val="007A2E98"/>
    <w:rsid w:val="007A3BA3"/>
    <w:rsid w:val="007A61C3"/>
    <w:rsid w:val="007A6CC0"/>
    <w:rsid w:val="007A7FEC"/>
    <w:rsid w:val="007B0AD6"/>
    <w:rsid w:val="007B1499"/>
    <w:rsid w:val="007B1BBF"/>
    <w:rsid w:val="007B2960"/>
    <w:rsid w:val="007B355D"/>
    <w:rsid w:val="007B4F9F"/>
    <w:rsid w:val="007B6DBF"/>
    <w:rsid w:val="007B6FE7"/>
    <w:rsid w:val="007B7980"/>
    <w:rsid w:val="007B7C03"/>
    <w:rsid w:val="007C0D0A"/>
    <w:rsid w:val="007C0D77"/>
    <w:rsid w:val="007C5D5A"/>
    <w:rsid w:val="007C607F"/>
    <w:rsid w:val="007C79DD"/>
    <w:rsid w:val="007D1A97"/>
    <w:rsid w:val="007D1CF3"/>
    <w:rsid w:val="007D2CD6"/>
    <w:rsid w:val="007D3063"/>
    <w:rsid w:val="007D3650"/>
    <w:rsid w:val="007D3CEB"/>
    <w:rsid w:val="007E09E3"/>
    <w:rsid w:val="007E2DBD"/>
    <w:rsid w:val="007E46BA"/>
    <w:rsid w:val="007E72A6"/>
    <w:rsid w:val="007E7666"/>
    <w:rsid w:val="007E7683"/>
    <w:rsid w:val="007F2B85"/>
    <w:rsid w:val="007F336B"/>
    <w:rsid w:val="007F49FA"/>
    <w:rsid w:val="007F4D23"/>
    <w:rsid w:val="007F54C4"/>
    <w:rsid w:val="007F5988"/>
    <w:rsid w:val="007F6291"/>
    <w:rsid w:val="007F6E9A"/>
    <w:rsid w:val="007F7AF8"/>
    <w:rsid w:val="00801917"/>
    <w:rsid w:val="008044D4"/>
    <w:rsid w:val="00807B1E"/>
    <w:rsid w:val="00810AB4"/>
    <w:rsid w:val="0081300A"/>
    <w:rsid w:val="00813EF6"/>
    <w:rsid w:val="00815AFD"/>
    <w:rsid w:val="00817B56"/>
    <w:rsid w:val="00821A88"/>
    <w:rsid w:val="00822272"/>
    <w:rsid w:val="0082495D"/>
    <w:rsid w:val="0082520C"/>
    <w:rsid w:val="00831AC3"/>
    <w:rsid w:val="00834021"/>
    <w:rsid w:val="00834D50"/>
    <w:rsid w:val="00835BC2"/>
    <w:rsid w:val="00837232"/>
    <w:rsid w:val="008402D2"/>
    <w:rsid w:val="008408FF"/>
    <w:rsid w:val="00842BE9"/>
    <w:rsid w:val="00845071"/>
    <w:rsid w:val="008450C6"/>
    <w:rsid w:val="00846A3B"/>
    <w:rsid w:val="00847435"/>
    <w:rsid w:val="00847674"/>
    <w:rsid w:val="00847D94"/>
    <w:rsid w:val="00851F3F"/>
    <w:rsid w:val="00853834"/>
    <w:rsid w:val="00854831"/>
    <w:rsid w:val="00856300"/>
    <w:rsid w:val="00856EDC"/>
    <w:rsid w:val="00860300"/>
    <w:rsid w:val="00860594"/>
    <w:rsid w:val="008623B5"/>
    <w:rsid w:val="0086279B"/>
    <w:rsid w:val="00867BA0"/>
    <w:rsid w:val="008703CA"/>
    <w:rsid w:val="00870ABA"/>
    <w:rsid w:val="008710E1"/>
    <w:rsid w:val="008716E5"/>
    <w:rsid w:val="00874496"/>
    <w:rsid w:val="00874603"/>
    <w:rsid w:val="00881CA9"/>
    <w:rsid w:val="008826CC"/>
    <w:rsid w:val="00883628"/>
    <w:rsid w:val="008840F0"/>
    <w:rsid w:val="00885305"/>
    <w:rsid w:val="00885544"/>
    <w:rsid w:val="0088634E"/>
    <w:rsid w:val="008863CB"/>
    <w:rsid w:val="008869EA"/>
    <w:rsid w:val="00887196"/>
    <w:rsid w:val="00887462"/>
    <w:rsid w:val="00891C18"/>
    <w:rsid w:val="008927B9"/>
    <w:rsid w:val="00893AB8"/>
    <w:rsid w:val="008964FD"/>
    <w:rsid w:val="00896AA5"/>
    <w:rsid w:val="00897374"/>
    <w:rsid w:val="0089775D"/>
    <w:rsid w:val="008A04C8"/>
    <w:rsid w:val="008A6913"/>
    <w:rsid w:val="008A6F20"/>
    <w:rsid w:val="008A7A21"/>
    <w:rsid w:val="008B2DAF"/>
    <w:rsid w:val="008B3288"/>
    <w:rsid w:val="008B68FC"/>
    <w:rsid w:val="008B70F3"/>
    <w:rsid w:val="008B76DF"/>
    <w:rsid w:val="008B7757"/>
    <w:rsid w:val="008C05EF"/>
    <w:rsid w:val="008C0B38"/>
    <w:rsid w:val="008C10F4"/>
    <w:rsid w:val="008C1BF9"/>
    <w:rsid w:val="008C3F40"/>
    <w:rsid w:val="008C6596"/>
    <w:rsid w:val="008C65F7"/>
    <w:rsid w:val="008D0B6F"/>
    <w:rsid w:val="008E044E"/>
    <w:rsid w:val="008E378E"/>
    <w:rsid w:val="008E4767"/>
    <w:rsid w:val="008E754E"/>
    <w:rsid w:val="008E7A8C"/>
    <w:rsid w:val="008E7D5B"/>
    <w:rsid w:val="008F13C0"/>
    <w:rsid w:val="008F1ABB"/>
    <w:rsid w:val="008F7292"/>
    <w:rsid w:val="008F75C4"/>
    <w:rsid w:val="00900C85"/>
    <w:rsid w:val="00903285"/>
    <w:rsid w:val="00903728"/>
    <w:rsid w:val="0090395E"/>
    <w:rsid w:val="00906F40"/>
    <w:rsid w:val="00906F59"/>
    <w:rsid w:val="0090731E"/>
    <w:rsid w:val="00907DC7"/>
    <w:rsid w:val="009105D7"/>
    <w:rsid w:val="00911439"/>
    <w:rsid w:val="00912388"/>
    <w:rsid w:val="00912A66"/>
    <w:rsid w:val="009133F8"/>
    <w:rsid w:val="009135A5"/>
    <w:rsid w:val="00914262"/>
    <w:rsid w:val="00915B1C"/>
    <w:rsid w:val="00916D9D"/>
    <w:rsid w:val="009174F3"/>
    <w:rsid w:val="0091797D"/>
    <w:rsid w:val="009179AF"/>
    <w:rsid w:val="009203E0"/>
    <w:rsid w:val="00923CBA"/>
    <w:rsid w:val="00926703"/>
    <w:rsid w:val="009269B5"/>
    <w:rsid w:val="00927691"/>
    <w:rsid w:val="00927A5F"/>
    <w:rsid w:val="00927BDF"/>
    <w:rsid w:val="00933FBE"/>
    <w:rsid w:val="00934E0C"/>
    <w:rsid w:val="00935B63"/>
    <w:rsid w:val="00937060"/>
    <w:rsid w:val="0093752E"/>
    <w:rsid w:val="0094078F"/>
    <w:rsid w:val="00940FA3"/>
    <w:rsid w:val="00941B23"/>
    <w:rsid w:val="00941FB0"/>
    <w:rsid w:val="009426D4"/>
    <w:rsid w:val="00942B09"/>
    <w:rsid w:val="0094390F"/>
    <w:rsid w:val="00943942"/>
    <w:rsid w:val="00945012"/>
    <w:rsid w:val="009460C5"/>
    <w:rsid w:val="00947CB2"/>
    <w:rsid w:val="00947F25"/>
    <w:rsid w:val="00950159"/>
    <w:rsid w:val="009517B3"/>
    <w:rsid w:val="0095490B"/>
    <w:rsid w:val="009566C2"/>
    <w:rsid w:val="00957DF9"/>
    <w:rsid w:val="0096157C"/>
    <w:rsid w:val="00961A9E"/>
    <w:rsid w:val="00962B16"/>
    <w:rsid w:val="00962EE9"/>
    <w:rsid w:val="00963604"/>
    <w:rsid w:val="00965B42"/>
    <w:rsid w:val="00965F7E"/>
    <w:rsid w:val="00967069"/>
    <w:rsid w:val="00970B25"/>
    <w:rsid w:val="00971914"/>
    <w:rsid w:val="00974363"/>
    <w:rsid w:val="00981898"/>
    <w:rsid w:val="00981B82"/>
    <w:rsid w:val="00982D94"/>
    <w:rsid w:val="009830EE"/>
    <w:rsid w:val="00983CE8"/>
    <w:rsid w:val="0099074C"/>
    <w:rsid w:val="00991873"/>
    <w:rsid w:val="00991D05"/>
    <w:rsid w:val="00992EB1"/>
    <w:rsid w:val="0099577C"/>
    <w:rsid w:val="009A025A"/>
    <w:rsid w:val="009A2687"/>
    <w:rsid w:val="009A5018"/>
    <w:rsid w:val="009A59AE"/>
    <w:rsid w:val="009A6904"/>
    <w:rsid w:val="009B0B15"/>
    <w:rsid w:val="009B4370"/>
    <w:rsid w:val="009B4E9E"/>
    <w:rsid w:val="009B674F"/>
    <w:rsid w:val="009B7B95"/>
    <w:rsid w:val="009C1690"/>
    <w:rsid w:val="009C4613"/>
    <w:rsid w:val="009C6881"/>
    <w:rsid w:val="009C7759"/>
    <w:rsid w:val="009D043D"/>
    <w:rsid w:val="009D17C9"/>
    <w:rsid w:val="009D2010"/>
    <w:rsid w:val="009D3D01"/>
    <w:rsid w:val="009D6C71"/>
    <w:rsid w:val="009E0631"/>
    <w:rsid w:val="009E076C"/>
    <w:rsid w:val="009E0E80"/>
    <w:rsid w:val="009E0FEC"/>
    <w:rsid w:val="009E16D0"/>
    <w:rsid w:val="009E38FD"/>
    <w:rsid w:val="009E3E28"/>
    <w:rsid w:val="009E52E6"/>
    <w:rsid w:val="009E68C0"/>
    <w:rsid w:val="009F1129"/>
    <w:rsid w:val="009F1267"/>
    <w:rsid w:val="009F13D6"/>
    <w:rsid w:val="009F278A"/>
    <w:rsid w:val="009F34B1"/>
    <w:rsid w:val="009F4C6B"/>
    <w:rsid w:val="009F672E"/>
    <w:rsid w:val="009F697D"/>
    <w:rsid w:val="009F78A8"/>
    <w:rsid w:val="00A02444"/>
    <w:rsid w:val="00A027FF"/>
    <w:rsid w:val="00A02AA1"/>
    <w:rsid w:val="00A02AD6"/>
    <w:rsid w:val="00A032D5"/>
    <w:rsid w:val="00A07096"/>
    <w:rsid w:val="00A07318"/>
    <w:rsid w:val="00A07BF8"/>
    <w:rsid w:val="00A11370"/>
    <w:rsid w:val="00A12438"/>
    <w:rsid w:val="00A1255D"/>
    <w:rsid w:val="00A126FA"/>
    <w:rsid w:val="00A1305C"/>
    <w:rsid w:val="00A1504A"/>
    <w:rsid w:val="00A1728C"/>
    <w:rsid w:val="00A20522"/>
    <w:rsid w:val="00A20EE9"/>
    <w:rsid w:val="00A22086"/>
    <w:rsid w:val="00A224CE"/>
    <w:rsid w:val="00A22521"/>
    <w:rsid w:val="00A22522"/>
    <w:rsid w:val="00A24774"/>
    <w:rsid w:val="00A24AFD"/>
    <w:rsid w:val="00A24F5C"/>
    <w:rsid w:val="00A268E5"/>
    <w:rsid w:val="00A2717E"/>
    <w:rsid w:val="00A32F96"/>
    <w:rsid w:val="00A33D55"/>
    <w:rsid w:val="00A35176"/>
    <w:rsid w:val="00A353CE"/>
    <w:rsid w:val="00A37B2C"/>
    <w:rsid w:val="00A37EE0"/>
    <w:rsid w:val="00A40871"/>
    <w:rsid w:val="00A40A4C"/>
    <w:rsid w:val="00A412AB"/>
    <w:rsid w:val="00A41728"/>
    <w:rsid w:val="00A4193E"/>
    <w:rsid w:val="00A439BD"/>
    <w:rsid w:val="00A440E0"/>
    <w:rsid w:val="00A442EF"/>
    <w:rsid w:val="00A443A2"/>
    <w:rsid w:val="00A46D65"/>
    <w:rsid w:val="00A47256"/>
    <w:rsid w:val="00A51D1A"/>
    <w:rsid w:val="00A52221"/>
    <w:rsid w:val="00A52D94"/>
    <w:rsid w:val="00A5418D"/>
    <w:rsid w:val="00A5474E"/>
    <w:rsid w:val="00A56D53"/>
    <w:rsid w:val="00A57A1E"/>
    <w:rsid w:val="00A600AF"/>
    <w:rsid w:val="00A60CC3"/>
    <w:rsid w:val="00A6145F"/>
    <w:rsid w:val="00A65411"/>
    <w:rsid w:val="00A70ADF"/>
    <w:rsid w:val="00A71466"/>
    <w:rsid w:val="00A7309A"/>
    <w:rsid w:val="00A73BD7"/>
    <w:rsid w:val="00A74B5E"/>
    <w:rsid w:val="00A81BED"/>
    <w:rsid w:val="00A81EC4"/>
    <w:rsid w:val="00A82222"/>
    <w:rsid w:val="00A8288F"/>
    <w:rsid w:val="00A83BD2"/>
    <w:rsid w:val="00A847C2"/>
    <w:rsid w:val="00A8506A"/>
    <w:rsid w:val="00A959BD"/>
    <w:rsid w:val="00A9628A"/>
    <w:rsid w:val="00A967FD"/>
    <w:rsid w:val="00AA04BB"/>
    <w:rsid w:val="00AA13C9"/>
    <w:rsid w:val="00AA1B34"/>
    <w:rsid w:val="00AA23DA"/>
    <w:rsid w:val="00AA4C41"/>
    <w:rsid w:val="00AA5AA7"/>
    <w:rsid w:val="00AB156C"/>
    <w:rsid w:val="00AB33C1"/>
    <w:rsid w:val="00AB4585"/>
    <w:rsid w:val="00AB4D9E"/>
    <w:rsid w:val="00AB6814"/>
    <w:rsid w:val="00AB7842"/>
    <w:rsid w:val="00AB7CCE"/>
    <w:rsid w:val="00AC04BA"/>
    <w:rsid w:val="00AC0E39"/>
    <w:rsid w:val="00AC2D18"/>
    <w:rsid w:val="00AC569E"/>
    <w:rsid w:val="00AC5E79"/>
    <w:rsid w:val="00AD06BA"/>
    <w:rsid w:val="00AD1EBB"/>
    <w:rsid w:val="00AD25E5"/>
    <w:rsid w:val="00AD3082"/>
    <w:rsid w:val="00AD4482"/>
    <w:rsid w:val="00AD4AD0"/>
    <w:rsid w:val="00AD5436"/>
    <w:rsid w:val="00AD5E2A"/>
    <w:rsid w:val="00AD60CD"/>
    <w:rsid w:val="00AD6C8C"/>
    <w:rsid w:val="00AD6F94"/>
    <w:rsid w:val="00AE091D"/>
    <w:rsid w:val="00AE3B60"/>
    <w:rsid w:val="00AE53A1"/>
    <w:rsid w:val="00AE5C79"/>
    <w:rsid w:val="00AE65C2"/>
    <w:rsid w:val="00AE7174"/>
    <w:rsid w:val="00AF189B"/>
    <w:rsid w:val="00AF2184"/>
    <w:rsid w:val="00AF2484"/>
    <w:rsid w:val="00AF30AA"/>
    <w:rsid w:val="00AF47C3"/>
    <w:rsid w:val="00AF63E7"/>
    <w:rsid w:val="00B0165D"/>
    <w:rsid w:val="00B01C6F"/>
    <w:rsid w:val="00B031F3"/>
    <w:rsid w:val="00B0349C"/>
    <w:rsid w:val="00B03712"/>
    <w:rsid w:val="00B052A4"/>
    <w:rsid w:val="00B07CDA"/>
    <w:rsid w:val="00B10F59"/>
    <w:rsid w:val="00B125DE"/>
    <w:rsid w:val="00B13139"/>
    <w:rsid w:val="00B13FDD"/>
    <w:rsid w:val="00B15CEC"/>
    <w:rsid w:val="00B15D12"/>
    <w:rsid w:val="00B21553"/>
    <w:rsid w:val="00B22EB2"/>
    <w:rsid w:val="00B23251"/>
    <w:rsid w:val="00B23D27"/>
    <w:rsid w:val="00B2430F"/>
    <w:rsid w:val="00B24F33"/>
    <w:rsid w:val="00B27286"/>
    <w:rsid w:val="00B27442"/>
    <w:rsid w:val="00B30E7C"/>
    <w:rsid w:val="00B30F41"/>
    <w:rsid w:val="00B31167"/>
    <w:rsid w:val="00B318C6"/>
    <w:rsid w:val="00B329D8"/>
    <w:rsid w:val="00B32BB9"/>
    <w:rsid w:val="00B3332F"/>
    <w:rsid w:val="00B33AE1"/>
    <w:rsid w:val="00B37046"/>
    <w:rsid w:val="00B374B7"/>
    <w:rsid w:val="00B37C38"/>
    <w:rsid w:val="00B4288C"/>
    <w:rsid w:val="00B43262"/>
    <w:rsid w:val="00B435FF"/>
    <w:rsid w:val="00B44100"/>
    <w:rsid w:val="00B445FD"/>
    <w:rsid w:val="00B46CBA"/>
    <w:rsid w:val="00B46F94"/>
    <w:rsid w:val="00B51954"/>
    <w:rsid w:val="00B52D03"/>
    <w:rsid w:val="00B552FE"/>
    <w:rsid w:val="00B56C31"/>
    <w:rsid w:val="00B61F03"/>
    <w:rsid w:val="00B626E4"/>
    <w:rsid w:val="00B62EB1"/>
    <w:rsid w:val="00B64C30"/>
    <w:rsid w:val="00B67945"/>
    <w:rsid w:val="00B67FCF"/>
    <w:rsid w:val="00B71823"/>
    <w:rsid w:val="00B72F4A"/>
    <w:rsid w:val="00B74C00"/>
    <w:rsid w:val="00B76693"/>
    <w:rsid w:val="00B805C4"/>
    <w:rsid w:val="00B83C27"/>
    <w:rsid w:val="00B84358"/>
    <w:rsid w:val="00B84BC3"/>
    <w:rsid w:val="00B84BDD"/>
    <w:rsid w:val="00B8590B"/>
    <w:rsid w:val="00B87390"/>
    <w:rsid w:val="00B92812"/>
    <w:rsid w:val="00B93824"/>
    <w:rsid w:val="00B9563C"/>
    <w:rsid w:val="00B95D58"/>
    <w:rsid w:val="00BA076C"/>
    <w:rsid w:val="00BA0ACC"/>
    <w:rsid w:val="00BA72F2"/>
    <w:rsid w:val="00BA7D4A"/>
    <w:rsid w:val="00BB018B"/>
    <w:rsid w:val="00BB0C77"/>
    <w:rsid w:val="00BB0E11"/>
    <w:rsid w:val="00BB45A1"/>
    <w:rsid w:val="00BB7686"/>
    <w:rsid w:val="00BB7F7F"/>
    <w:rsid w:val="00BC171D"/>
    <w:rsid w:val="00BC17FC"/>
    <w:rsid w:val="00BC23F9"/>
    <w:rsid w:val="00BC2555"/>
    <w:rsid w:val="00BC26E9"/>
    <w:rsid w:val="00BC2B2A"/>
    <w:rsid w:val="00BC3421"/>
    <w:rsid w:val="00BC63B8"/>
    <w:rsid w:val="00BC732C"/>
    <w:rsid w:val="00BC7DED"/>
    <w:rsid w:val="00BD37C6"/>
    <w:rsid w:val="00BE1D1F"/>
    <w:rsid w:val="00BE2580"/>
    <w:rsid w:val="00BE266D"/>
    <w:rsid w:val="00BE3938"/>
    <w:rsid w:val="00BE425C"/>
    <w:rsid w:val="00BE4C11"/>
    <w:rsid w:val="00BE71C0"/>
    <w:rsid w:val="00BF5B02"/>
    <w:rsid w:val="00BF610C"/>
    <w:rsid w:val="00C0060B"/>
    <w:rsid w:val="00C0277D"/>
    <w:rsid w:val="00C03B40"/>
    <w:rsid w:val="00C04C87"/>
    <w:rsid w:val="00C053A1"/>
    <w:rsid w:val="00C073DC"/>
    <w:rsid w:val="00C13F23"/>
    <w:rsid w:val="00C16198"/>
    <w:rsid w:val="00C2083D"/>
    <w:rsid w:val="00C213AA"/>
    <w:rsid w:val="00C22E14"/>
    <w:rsid w:val="00C233CD"/>
    <w:rsid w:val="00C237E4"/>
    <w:rsid w:val="00C23ABF"/>
    <w:rsid w:val="00C24A53"/>
    <w:rsid w:val="00C25B8D"/>
    <w:rsid w:val="00C269D8"/>
    <w:rsid w:val="00C26C86"/>
    <w:rsid w:val="00C328E4"/>
    <w:rsid w:val="00C33FAB"/>
    <w:rsid w:val="00C35B92"/>
    <w:rsid w:val="00C35F4E"/>
    <w:rsid w:val="00C36BE3"/>
    <w:rsid w:val="00C4032F"/>
    <w:rsid w:val="00C40363"/>
    <w:rsid w:val="00C41432"/>
    <w:rsid w:val="00C41A36"/>
    <w:rsid w:val="00C43AC3"/>
    <w:rsid w:val="00C44047"/>
    <w:rsid w:val="00C45155"/>
    <w:rsid w:val="00C459D4"/>
    <w:rsid w:val="00C4689F"/>
    <w:rsid w:val="00C54247"/>
    <w:rsid w:val="00C5498F"/>
    <w:rsid w:val="00C551AD"/>
    <w:rsid w:val="00C55235"/>
    <w:rsid w:val="00C5560D"/>
    <w:rsid w:val="00C60969"/>
    <w:rsid w:val="00C648E6"/>
    <w:rsid w:val="00C64CD0"/>
    <w:rsid w:val="00C6578A"/>
    <w:rsid w:val="00C6684F"/>
    <w:rsid w:val="00C66F52"/>
    <w:rsid w:val="00C675CE"/>
    <w:rsid w:val="00C70215"/>
    <w:rsid w:val="00C70E70"/>
    <w:rsid w:val="00C71565"/>
    <w:rsid w:val="00C7335D"/>
    <w:rsid w:val="00C75E6F"/>
    <w:rsid w:val="00C75F8D"/>
    <w:rsid w:val="00C76D30"/>
    <w:rsid w:val="00C77380"/>
    <w:rsid w:val="00C80877"/>
    <w:rsid w:val="00C82C42"/>
    <w:rsid w:val="00C835A4"/>
    <w:rsid w:val="00C83698"/>
    <w:rsid w:val="00C83EB9"/>
    <w:rsid w:val="00C8550A"/>
    <w:rsid w:val="00C904E9"/>
    <w:rsid w:val="00C944ED"/>
    <w:rsid w:val="00C94FA1"/>
    <w:rsid w:val="00C96164"/>
    <w:rsid w:val="00C97736"/>
    <w:rsid w:val="00C97F4B"/>
    <w:rsid w:val="00CA2921"/>
    <w:rsid w:val="00CA345A"/>
    <w:rsid w:val="00CA63BC"/>
    <w:rsid w:val="00CB1E82"/>
    <w:rsid w:val="00CB4BA8"/>
    <w:rsid w:val="00CB4C46"/>
    <w:rsid w:val="00CB52D7"/>
    <w:rsid w:val="00CB7161"/>
    <w:rsid w:val="00CB7B2E"/>
    <w:rsid w:val="00CC262F"/>
    <w:rsid w:val="00CC3BBB"/>
    <w:rsid w:val="00CC3E14"/>
    <w:rsid w:val="00CC6248"/>
    <w:rsid w:val="00CC6732"/>
    <w:rsid w:val="00CC6FFD"/>
    <w:rsid w:val="00CD7267"/>
    <w:rsid w:val="00CE3C96"/>
    <w:rsid w:val="00CE51A8"/>
    <w:rsid w:val="00CE66E2"/>
    <w:rsid w:val="00CF091D"/>
    <w:rsid w:val="00CF369B"/>
    <w:rsid w:val="00D0090B"/>
    <w:rsid w:val="00D00E28"/>
    <w:rsid w:val="00D0269E"/>
    <w:rsid w:val="00D0532F"/>
    <w:rsid w:val="00D05DAE"/>
    <w:rsid w:val="00D07ADE"/>
    <w:rsid w:val="00D11191"/>
    <w:rsid w:val="00D12137"/>
    <w:rsid w:val="00D14AAA"/>
    <w:rsid w:val="00D15810"/>
    <w:rsid w:val="00D16D4E"/>
    <w:rsid w:val="00D16FE3"/>
    <w:rsid w:val="00D1736F"/>
    <w:rsid w:val="00D20E5B"/>
    <w:rsid w:val="00D221BE"/>
    <w:rsid w:val="00D231FE"/>
    <w:rsid w:val="00D239DB"/>
    <w:rsid w:val="00D2446E"/>
    <w:rsid w:val="00D24FA5"/>
    <w:rsid w:val="00D250B5"/>
    <w:rsid w:val="00D26C78"/>
    <w:rsid w:val="00D27F41"/>
    <w:rsid w:val="00D328BD"/>
    <w:rsid w:val="00D3333E"/>
    <w:rsid w:val="00D333B0"/>
    <w:rsid w:val="00D34981"/>
    <w:rsid w:val="00D36441"/>
    <w:rsid w:val="00D36D2E"/>
    <w:rsid w:val="00D4064E"/>
    <w:rsid w:val="00D42E68"/>
    <w:rsid w:val="00D44E9B"/>
    <w:rsid w:val="00D45536"/>
    <w:rsid w:val="00D4566A"/>
    <w:rsid w:val="00D47AEB"/>
    <w:rsid w:val="00D50DB9"/>
    <w:rsid w:val="00D516EA"/>
    <w:rsid w:val="00D52057"/>
    <w:rsid w:val="00D52C43"/>
    <w:rsid w:val="00D54769"/>
    <w:rsid w:val="00D55F42"/>
    <w:rsid w:val="00D56EA5"/>
    <w:rsid w:val="00D577FC"/>
    <w:rsid w:val="00D57815"/>
    <w:rsid w:val="00D57EF5"/>
    <w:rsid w:val="00D6458F"/>
    <w:rsid w:val="00D6507F"/>
    <w:rsid w:val="00D70093"/>
    <w:rsid w:val="00D70360"/>
    <w:rsid w:val="00D705AC"/>
    <w:rsid w:val="00D730BC"/>
    <w:rsid w:val="00D73912"/>
    <w:rsid w:val="00D77EB5"/>
    <w:rsid w:val="00D811C6"/>
    <w:rsid w:val="00D813B1"/>
    <w:rsid w:val="00D816A6"/>
    <w:rsid w:val="00D848C5"/>
    <w:rsid w:val="00D85226"/>
    <w:rsid w:val="00D8673F"/>
    <w:rsid w:val="00D87B94"/>
    <w:rsid w:val="00D918E5"/>
    <w:rsid w:val="00D92C9C"/>
    <w:rsid w:val="00D92D49"/>
    <w:rsid w:val="00D92EC1"/>
    <w:rsid w:val="00D95A36"/>
    <w:rsid w:val="00D967D3"/>
    <w:rsid w:val="00D96DEA"/>
    <w:rsid w:val="00DA0EAA"/>
    <w:rsid w:val="00DA1F3A"/>
    <w:rsid w:val="00DA2145"/>
    <w:rsid w:val="00DA219C"/>
    <w:rsid w:val="00DA3432"/>
    <w:rsid w:val="00DA36E4"/>
    <w:rsid w:val="00DA3F0C"/>
    <w:rsid w:val="00DA46F3"/>
    <w:rsid w:val="00DA4E41"/>
    <w:rsid w:val="00DA644E"/>
    <w:rsid w:val="00DB117A"/>
    <w:rsid w:val="00DB218F"/>
    <w:rsid w:val="00DB23E1"/>
    <w:rsid w:val="00DB34E4"/>
    <w:rsid w:val="00DB5173"/>
    <w:rsid w:val="00DB5B39"/>
    <w:rsid w:val="00DB5D13"/>
    <w:rsid w:val="00DB6CDD"/>
    <w:rsid w:val="00DB7240"/>
    <w:rsid w:val="00DB7873"/>
    <w:rsid w:val="00DB7DF5"/>
    <w:rsid w:val="00DC0661"/>
    <w:rsid w:val="00DC187B"/>
    <w:rsid w:val="00DC3721"/>
    <w:rsid w:val="00DC5C34"/>
    <w:rsid w:val="00DC6527"/>
    <w:rsid w:val="00DC7FCF"/>
    <w:rsid w:val="00DD13F3"/>
    <w:rsid w:val="00DD1B94"/>
    <w:rsid w:val="00DD61C3"/>
    <w:rsid w:val="00DD73C2"/>
    <w:rsid w:val="00DD75F3"/>
    <w:rsid w:val="00DE1773"/>
    <w:rsid w:val="00DE193E"/>
    <w:rsid w:val="00DE319B"/>
    <w:rsid w:val="00DE4906"/>
    <w:rsid w:val="00DF0128"/>
    <w:rsid w:val="00DF1481"/>
    <w:rsid w:val="00DF246B"/>
    <w:rsid w:val="00DF34FE"/>
    <w:rsid w:val="00DF4340"/>
    <w:rsid w:val="00DF4D7E"/>
    <w:rsid w:val="00DF56AA"/>
    <w:rsid w:val="00DF5E0E"/>
    <w:rsid w:val="00DF60D3"/>
    <w:rsid w:val="00DF78E7"/>
    <w:rsid w:val="00E01350"/>
    <w:rsid w:val="00E01CC0"/>
    <w:rsid w:val="00E05A14"/>
    <w:rsid w:val="00E0601A"/>
    <w:rsid w:val="00E06E7E"/>
    <w:rsid w:val="00E07496"/>
    <w:rsid w:val="00E07E6C"/>
    <w:rsid w:val="00E110E0"/>
    <w:rsid w:val="00E1174B"/>
    <w:rsid w:val="00E14AA6"/>
    <w:rsid w:val="00E15371"/>
    <w:rsid w:val="00E2057C"/>
    <w:rsid w:val="00E20844"/>
    <w:rsid w:val="00E20EE2"/>
    <w:rsid w:val="00E24104"/>
    <w:rsid w:val="00E2646E"/>
    <w:rsid w:val="00E302D0"/>
    <w:rsid w:val="00E30DC9"/>
    <w:rsid w:val="00E32A9E"/>
    <w:rsid w:val="00E339C4"/>
    <w:rsid w:val="00E35707"/>
    <w:rsid w:val="00E36AA1"/>
    <w:rsid w:val="00E37A9B"/>
    <w:rsid w:val="00E40B82"/>
    <w:rsid w:val="00E41ECB"/>
    <w:rsid w:val="00E43486"/>
    <w:rsid w:val="00E43C92"/>
    <w:rsid w:val="00E548FC"/>
    <w:rsid w:val="00E54FDB"/>
    <w:rsid w:val="00E5617D"/>
    <w:rsid w:val="00E563D7"/>
    <w:rsid w:val="00E57458"/>
    <w:rsid w:val="00E663F4"/>
    <w:rsid w:val="00E666F2"/>
    <w:rsid w:val="00E66DD4"/>
    <w:rsid w:val="00E670A3"/>
    <w:rsid w:val="00E675E2"/>
    <w:rsid w:val="00E678A0"/>
    <w:rsid w:val="00E70AC3"/>
    <w:rsid w:val="00E731A6"/>
    <w:rsid w:val="00E748CC"/>
    <w:rsid w:val="00E75415"/>
    <w:rsid w:val="00E775B1"/>
    <w:rsid w:val="00E807B8"/>
    <w:rsid w:val="00E8152A"/>
    <w:rsid w:val="00E87883"/>
    <w:rsid w:val="00E878F4"/>
    <w:rsid w:val="00E90994"/>
    <w:rsid w:val="00E92F6A"/>
    <w:rsid w:val="00E93629"/>
    <w:rsid w:val="00E93663"/>
    <w:rsid w:val="00E93B5C"/>
    <w:rsid w:val="00E93F32"/>
    <w:rsid w:val="00E94CEC"/>
    <w:rsid w:val="00E97126"/>
    <w:rsid w:val="00E97E00"/>
    <w:rsid w:val="00E97EA4"/>
    <w:rsid w:val="00E97EF9"/>
    <w:rsid w:val="00EA04EF"/>
    <w:rsid w:val="00EA6B1F"/>
    <w:rsid w:val="00EA6F19"/>
    <w:rsid w:val="00EA7CE8"/>
    <w:rsid w:val="00EB032C"/>
    <w:rsid w:val="00EB26D8"/>
    <w:rsid w:val="00EB6088"/>
    <w:rsid w:val="00EB704D"/>
    <w:rsid w:val="00EB7090"/>
    <w:rsid w:val="00EB72E8"/>
    <w:rsid w:val="00EC1048"/>
    <w:rsid w:val="00EC1BBE"/>
    <w:rsid w:val="00EC5CB5"/>
    <w:rsid w:val="00EC5CD7"/>
    <w:rsid w:val="00ED2657"/>
    <w:rsid w:val="00ED2B52"/>
    <w:rsid w:val="00ED453C"/>
    <w:rsid w:val="00ED5392"/>
    <w:rsid w:val="00EE1E94"/>
    <w:rsid w:val="00EE4C93"/>
    <w:rsid w:val="00EE5FB3"/>
    <w:rsid w:val="00EE6BE8"/>
    <w:rsid w:val="00EE7542"/>
    <w:rsid w:val="00EE7F79"/>
    <w:rsid w:val="00EF2079"/>
    <w:rsid w:val="00EF5035"/>
    <w:rsid w:val="00EF715A"/>
    <w:rsid w:val="00EF71C1"/>
    <w:rsid w:val="00EF7D49"/>
    <w:rsid w:val="00F00A52"/>
    <w:rsid w:val="00F06E14"/>
    <w:rsid w:val="00F077E9"/>
    <w:rsid w:val="00F119D6"/>
    <w:rsid w:val="00F12895"/>
    <w:rsid w:val="00F15D15"/>
    <w:rsid w:val="00F15F44"/>
    <w:rsid w:val="00F179D4"/>
    <w:rsid w:val="00F20988"/>
    <w:rsid w:val="00F24122"/>
    <w:rsid w:val="00F253C1"/>
    <w:rsid w:val="00F2576D"/>
    <w:rsid w:val="00F277B2"/>
    <w:rsid w:val="00F3138B"/>
    <w:rsid w:val="00F315F9"/>
    <w:rsid w:val="00F31B8E"/>
    <w:rsid w:val="00F33C56"/>
    <w:rsid w:val="00F347C7"/>
    <w:rsid w:val="00F34848"/>
    <w:rsid w:val="00F3651C"/>
    <w:rsid w:val="00F36693"/>
    <w:rsid w:val="00F36F09"/>
    <w:rsid w:val="00F42457"/>
    <w:rsid w:val="00F42D46"/>
    <w:rsid w:val="00F4496C"/>
    <w:rsid w:val="00F44F3A"/>
    <w:rsid w:val="00F45978"/>
    <w:rsid w:val="00F478EC"/>
    <w:rsid w:val="00F51197"/>
    <w:rsid w:val="00F51F10"/>
    <w:rsid w:val="00F529A5"/>
    <w:rsid w:val="00F55484"/>
    <w:rsid w:val="00F60977"/>
    <w:rsid w:val="00F60F00"/>
    <w:rsid w:val="00F614C0"/>
    <w:rsid w:val="00F623B1"/>
    <w:rsid w:val="00F632C6"/>
    <w:rsid w:val="00F65B47"/>
    <w:rsid w:val="00F65D6F"/>
    <w:rsid w:val="00F65EB8"/>
    <w:rsid w:val="00F702A6"/>
    <w:rsid w:val="00F72A33"/>
    <w:rsid w:val="00F76C52"/>
    <w:rsid w:val="00F804F8"/>
    <w:rsid w:val="00F81E3F"/>
    <w:rsid w:val="00F830B9"/>
    <w:rsid w:val="00F83848"/>
    <w:rsid w:val="00F84BEF"/>
    <w:rsid w:val="00F84E82"/>
    <w:rsid w:val="00F85896"/>
    <w:rsid w:val="00F8719D"/>
    <w:rsid w:val="00F904E6"/>
    <w:rsid w:val="00F91010"/>
    <w:rsid w:val="00F91DDE"/>
    <w:rsid w:val="00F92D88"/>
    <w:rsid w:val="00F9515B"/>
    <w:rsid w:val="00F9704D"/>
    <w:rsid w:val="00F975E9"/>
    <w:rsid w:val="00FA048E"/>
    <w:rsid w:val="00FA0818"/>
    <w:rsid w:val="00FA1B7D"/>
    <w:rsid w:val="00FA307D"/>
    <w:rsid w:val="00FA3A88"/>
    <w:rsid w:val="00FA459E"/>
    <w:rsid w:val="00FB0A80"/>
    <w:rsid w:val="00FB3BDE"/>
    <w:rsid w:val="00FB4063"/>
    <w:rsid w:val="00FB55C6"/>
    <w:rsid w:val="00FB5ED7"/>
    <w:rsid w:val="00FB6BB5"/>
    <w:rsid w:val="00FB6CB0"/>
    <w:rsid w:val="00FC07B9"/>
    <w:rsid w:val="00FC1474"/>
    <w:rsid w:val="00FC1EBD"/>
    <w:rsid w:val="00FC3037"/>
    <w:rsid w:val="00FC4CCA"/>
    <w:rsid w:val="00FC4E21"/>
    <w:rsid w:val="00FC5F6D"/>
    <w:rsid w:val="00FC68B1"/>
    <w:rsid w:val="00FC6D20"/>
    <w:rsid w:val="00FD0107"/>
    <w:rsid w:val="00FD1A1E"/>
    <w:rsid w:val="00FD2879"/>
    <w:rsid w:val="00FD2C2F"/>
    <w:rsid w:val="00FD3B31"/>
    <w:rsid w:val="00FD6A3F"/>
    <w:rsid w:val="00FE1663"/>
    <w:rsid w:val="00FE1823"/>
    <w:rsid w:val="00FE2CB3"/>
    <w:rsid w:val="00FE487A"/>
    <w:rsid w:val="00FE4BFB"/>
    <w:rsid w:val="00FE6882"/>
    <w:rsid w:val="00FE7CE6"/>
    <w:rsid w:val="00FF0569"/>
    <w:rsid w:val="00FF206E"/>
    <w:rsid w:val="00FF23C4"/>
    <w:rsid w:val="00FF2BF5"/>
    <w:rsid w:val="00FF3C69"/>
    <w:rsid w:val="00FF518B"/>
    <w:rsid w:val="00FF5605"/>
    <w:rsid w:val="00FF6E0A"/>
    <w:rsid w:val="00FF78D7"/>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colormru v:ext="edit" colors="red,#4d4d4f"/>
    </o:shapedefaults>
    <o:shapelayout v:ext="edit">
      <o:idmap v:ext="edit" data="1"/>
    </o:shapelayout>
  </w:shapeDefaults>
  <w:decimalSymbol w:val="."/>
  <w:listSeparator w:val=","/>
  <w14:docId w14:val="40E3D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107"/>
    <w:pPr>
      <w:spacing w:after="240" w:line="240" w:lineRule="atLeast"/>
    </w:pPr>
    <w:rPr>
      <w:rFonts w:ascii="Arial" w:hAnsi="Arial"/>
      <w:sz w:val="20"/>
    </w:rPr>
  </w:style>
  <w:style w:type="paragraph" w:styleId="Heading1">
    <w:name w:val="heading 1"/>
    <w:basedOn w:val="Normal"/>
    <w:next w:val="Normal"/>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Normal"/>
    <w:link w:val="Heading2Char"/>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qFormat/>
    <w:rsid w:val="00C55235"/>
    <w:pPr>
      <w:keepNext/>
      <w:spacing w:before="60" w:after="60"/>
      <w:outlineLvl w:val="2"/>
    </w:pPr>
    <w:rPr>
      <w:rFonts w:cs="Arial"/>
      <w:b/>
      <w:bCs/>
      <w:szCs w:val="26"/>
    </w:rPr>
  </w:style>
  <w:style w:type="paragraph" w:styleId="Heading4">
    <w:name w:val="heading 4"/>
    <w:basedOn w:val="Normal"/>
    <w:next w:val="Normal"/>
    <w:semiHidden/>
    <w:qFormat/>
    <w:rsid w:val="00AD5436"/>
    <w:pPr>
      <w:keepNext/>
      <w:numPr>
        <w:ilvl w:val="3"/>
        <w:numId w:val="5"/>
      </w:numPr>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rsid w:val="00226819"/>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MAReportDate">
    <w:name w:val="ACMA_ReportDate"/>
    <w:basedOn w:val="ACMAReportSubTitle"/>
    <w:qFormat/>
    <w:rsid w:val="00950159"/>
    <w:pPr>
      <w:spacing w:after="120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qFormat/>
    <w:rsid w:val="00950159"/>
    <w:pPr>
      <w:spacing w:before="1200" w:line="240" w:lineRule="auto"/>
    </w:pPr>
    <w:rPr>
      <w:b/>
      <w:color w:val="323232"/>
      <w:spacing w:val="-28"/>
      <w:sz w:val="53"/>
    </w:rPr>
  </w:style>
  <w:style w:type="paragraph" w:styleId="Caption">
    <w:name w:val="caption"/>
    <w:aliases w:val="Caption table"/>
    <w:basedOn w:val="Normal"/>
    <w:next w:val="Normal"/>
    <w:qFormat/>
    <w:rsid w:val="00E8152A"/>
    <w:pPr>
      <w:numPr>
        <w:numId w:val="9"/>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basedOn w:val="Normal"/>
    <w:qFormat/>
    <w:rsid w:val="001C6AEE"/>
    <w:pPr>
      <w:numPr>
        <w:numId w:val="1"/>
      </w:numPr>
      <w:spacing w:after="80"/>
    </w:pPr>
  </w:style>
  <w:style w:type="paragraph" w:styleId="ListBullet2">
    <w:name w:val="List Bullet 2"/>
    <w:basedOn w:val="Normal"/>
    <w:qFormat/>
    <w:rsid w:val="001C6AEE"/>
    <w:pPr>
      <w:numPr>
        <w:numId w:val="2"/>
      </w:numPr>
      <w:spacing w:after="80"/>
    </w:pPr>
  </w:style>
  <w:style w:type="paragraph" w:styleId="ListNumber">
    <w:name w:val="List Number"/>
    <w:basedOn w:val="Normal"/>
    <w:qFormat/>
    <w:rsid w:val="00C24A53"/>
    <w:pPr>
      <w:numPr>
        <w:numId w:val="3"/>
      </w:numPr>
      <w:spacing w:after="80"/>
    </w:pPr>
  </w:style>
  <w:style w:type="paragraph" w:styleId="ListNumber2">
    <w:name w:val="List Number 2"/>
    <w:basedOn w:val="Normal"/>
    <w:qFormat/>
    <w:rsid w:val="00247C59"/>
    <w:pPr>
      <w:numPr>
        <w:numId w:val="4"/>
      </w:numPr>
      <w:spacing w:after="80"/>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Footnote,Style 12,(NECG) Footnote Reference,Style 124,o,fr,Style 3,Appel note de bas de p1,Appel note de bas de p2,Appel note de bas de p3,Footnote Reference/"/>
    <w:basedOn w:val="DefaultParagraphFont"/>
    <w:uiPriority w:val="99"/>
    <w:rsid w:val="00566AB4"/>
    <w:rPr>
      <w:rFonts w:ascii="Arial" w:hAnsi="Arial"/>
      <w:vertAlign w:val="superscript"/>
    </w:rPr>
  </w:style>
  <w:style w:type="paragraph" w:styleId="FootnoteText">
    <w:name w:val="footnote text"/>
    <w:aliases w:val="ACMA Footnote Text,footnote text,Footnote Text Char1,Footnote Text Char Char,Footnote Text Char1 Char Char,Footnote Text Char Char Char Char,Footnote Text Char1 Char Char Char Char,Footnote Text Char Char Char Char Char Char,f,fn"/>
    <w:basedOn w:val="Normal"/>
    <w:link w:val="FootnoteTextChar"/>
    <w:uiPriority w:val="99"/>
    <w:rsid w:val="00566AB4"/>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semiHidden/>
    <w:rsid w:val="00EE7F79"/>
    <w:rPr>
      <w:sz w:val="16"/>
      <w:szCs w:val="16"/>
    </w:rPr>
  </w:style>
  <w:style w:type="paragraph" w:styleId="CommentText">
    <w:name w:val="annotation text"/>
    <w:basedOn w:val="Normal"/>
    <w:link w:val="CommentTextChar"/>
    <w:semiHidden/>
    <w:rsid w:val="00EE7F79"/>
    <w:pPr>
      <w:spacing w:line="240" w:lineRule="auto"/>
    </w:pPr>
    <w:rPr>
      <w:szCs w:val="20"/>
    </w:rPr>
  </w:style>
  <w:style w:type="character" w:customStyle="1" w:styleId="CommentTextChar">
    <w:name w:val="Comment Text Char"/>
    <w:basedOn w:val="DefaultParagraphFont"/>
    <w:link w:val="CommentText"/>
    <w:uiPriority w:val="49"/>
    <w:semiHidden/>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semiHidden/>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3F10EE"/>
    <w:pPr>
      <w:numPr>
        <w:numId w:val="7"/>
      </w:numPr>
      <w:spacing w:after="160"/>
    </w:pPr>
    <w:rPr>
      <w:rFonts w:ascii="Arial" w:hAnsi="Arial"/>
      <w:b/>
      <w:bCs/>
      <w:color w:val="323232"/>
      <w:sz w:val="20"/>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qFormat/>
    <w:rsid w:val="00E8152A"/>
    <w:pPr>
      <w:keepNext/>
      <w:numPr>
        <w:numId w:val="8"/>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2Char">
    <w:name w:val="Heading 2 Char"/>
    <w:basedOn w:val="DefaultParagraphFont"/>
    <w:link w:val="Heading2"/>
    <w:rsid w:val="00C944ED"/>
    <w:rPr>
      <w:rFonts w:ascii="Arial" w:hAnsi="Arial" w:cs="Arial"/>
      <w:b/>
      <w:bCs/>
      <w:iCs/>
      <w:sz w:val="28"/>
      <w:szCs w:val="28"/>
    </w:rPr>
  </w:style>
  <w:style w:type="character" w:customStyle="1" w:styleId="Heading3Char">
    <w:name w:val="Heading 3 Char"/>
    <w:basedOn w:val="DefaultParagraphFont"/>
    <w:link w:val="Heading3"/>
    <w:rsid w:val="00C944ED"/>
    <w:rPr>
      <w:rFonts w:ascii="Arial" w:hAnsi="Arial" w:cs="Arial"/>
      <w:b/>
      <w:bCs/>
      <w:sz w:val="20"/>
      <w:szCs w:val="26"/>
    </w:rPr>
  </w:style>
  <w:style w:type="paragraph" w:customStyle="1" w:styleId="Bodysubheader0">
    <w:name w:val="Body sub header"/>
    <w:basedOn w:val="Normal"/>
    <w:next w:val="Normal"/>
    <w:rsid w:val="005D7BB8"/>
    <w:pPr>
      <w:spacing w:after="0"/>
    </w:pPr>
    <w:rPr>
      <w:b/>
      <w:i/>
    </w:rPr>
  </w:style>
  <w:style w:type="paragraph" w:customStyle="1" w:styleId="Default">
    <w:name w:val="Default"/>
    <w:rsid w:val="002D35A8"/>
    <w:pPr>
      <w:autoSpaceDE w:val="0"/>
      <w:autoSpaceDN w:val="0"/>
      <w:adjustRightInd w:val="0"/>
    </w:pPr>
    <w:rPr>
      <w:rFonts w:ascii="Calibri" w:hAnsi="Calibri" w:cs="Calibri"/>
      <w:color w:val="000000"/>
    </w:rPr>
  </w:style>
  <w:style w:type="paragraph" w:styleId="BodyText">
    <w:name w:val="Body Text"/>
    <w:basedOn w:val="Normal"/>
    <w:link w:val="BodyTextChar1"/>
    <w:autoRedefine/>
    <w:qFormat/>
    <w:rsid w:val="00DC7FCF"/>
    <w:pPr>
      <w:spacing w:before="120" w:line="320" w:lineRule="exact"/>
      <w:jc w:val="both"/>
    </w:pPr>
    <w:rPr>
      <w:rFonts w:ascii="Verdana" w:eastAsia="'宋体" w:hAnsi="Verdana" w:cs="Arial"/>
      <w:sz w:val="22"/>
      <w:szCs w:val="22"/>
    </w:rPr>
  </w:style>
  <w:style w:type="character" w:customStyle="1" w:styleId="BodyTextChar">
    <w:name w:val="Body Text Char"/>
    <w:basedOn w:val="DefaultParagraphFont"/>
    <w:semiHidden/>
    <w:rsid w:val="00DC7FCF"/>
    <w:rPr>
      <w:rFonts w:ascii="Arial" w:hAnsi="Arial"/>
      <w:sz w:val="20"/>
    </w:rPr>
  </w:style>
  <w:style w:type="character" w:customStyle="1" w:styleId="BodyTextChar1">
    <w:name w:val="Body Text Char1"/>
    <w:basedOn w:val="DefaultParagraphFont"/>
    <w:link w:val="BodyText"/>
    <w:rsid w:val="00DC7FCF"/>
    <w:rPr>
      <w:rFonts w:ascii="Verdana" w:eastAsia="'宋体" w:hAnsi="Verdana" w:cs="Arial"/>
      <w:sz w:val="22"/>
      <w:szCs w:val="22"/>
    </w:rPr>
  </w:style>
  <w:style w:type="character" w:customStyle="1" w:styleId="FootnoteTextChar">
    <w:name w:val="Footnote Text Char"/>
    <w:aliases w:val="ACMA Footnote Text Char,footnote text Char,Footnote Text Char1 Char,Footnote Text Char Char Char,Footnote Text Char1 Char Char Char,Footnote Text Char Char Char Char Char,Footnote Text Char1 Char Char Char Char Char,f Char,fn Char"/>
    <w:basedOn w:val="DefaultParagraphFont"/>
    <w:link w:val="FootnoteText"/>
    <w:uiPriority w:val="99"/>
    <w:rsid w:val="00465F1A"/>
    <w:rPr>
      <w:rFonts w:ascii="Arial" w:hAnsi="Arial"/>
      <w:sz w:val="16"/>
      <w:szCs w:val="16"/>
    </w:rPr>
  </w:style>
  <w:style w:type="paragraph" w:styleId="ListParagraph">
    <w:name w:val="List Paragraph"/>
    <w:basedOn w:val="Normal"/>
    <w:link w:val="ListParagraphChar"/>
    <w:uiPriority w:val="34"/>
    <w:qFormat/>
    <w:rsid w:val="00AA13C9"/>
    <w:pPr>
      <w:ind w:left="720"/>
      <w:contextualSpacing/>
    </w:pPr>
  </w:style>
  <w:style w:type="paragraph" w:styleId="NormalWeb">
    <w:name w:val="Normal (Web)"/>
    <w:basedOn w:val="Normal"/>
    <w:uiPriority w:val="99"/>
    <w:semiHidden/>
    <w:unhideWhenUsed/>
    <w:rsid w:val="00101F81"/>
    <w:pPr>
      <w:spacing w:line="240" w:lineRule="auto"/>
    </w:pPr>
    <w:rPr>
      <w:rFonts w:ascii="Times New Roman" w:hAnsi="Times New Roman"/>
      <w:sz w:val="24"/>
    </w:rPr>
  </w:style>
  <w:style w:type="paragraph" w:styleId="Revision">
    <w:name w:val="Revision"/>
    <w:hidden/>
    <w:semiHidden/>
    <w:rsid w:val="00903728"/>
    <w:rPr>
      <w:rFonts w:ascii="Arial" w:hAnsi="Arial"/>
      <w:sz w:val="20"/>
    </w:rPr>
  </w:style>
  <w:style w:type="character" w:customStyle="1" w:styleId="ListParagraphChar">
    <w:name w:val="List Paragraph Char"/>
    <w:basedOn w:val="DefaultParagraphFont"/>
    <w:link w:val="ListParagraph"/>
    <w:uiPriority w:val="34"/>
    <w:rsid w:val="005B0224"/>
    <w:rPr>
      <w:rFonts w:ascii="Arial" w:hAnsi="Arial"/>
      <w:sz w:val="20"/>
    </w:rPr>
  </w:style>
  <w:style w:type="character" w:customStyle="1" w:styleId="ECCParagraph">
    <w:name w:val="ECC Paragraph"/>
    <w:basedOn w:val="DefaultParagraphFont"/>
    <w:uiPriority w:val="1"/>
    <w:qFormat/>
    <w:rsid w:val="006B6AC2"/>
    <w:rPr>
      <w:rFonts w:ascii="Arial" w:hAnsi="Arial"/>
      <w:noProof w:val="0"/>
      <w:sz w:val="20"/>
      <w:bdr w:val="none" w:sz="0" w:space="0" w:color="auto"/>
      <w:lang w:val="en-GB"/>
    </w:rPr>
  </w:style>
  <w:style w:type="paragraph" w:customStyle="1" w:styleId="ACMANumberedList">
    <w:name w:val="ACMA Numbered List"/>
    <w:rsid w:val="00411869"/>
    <w:pPr>
      <w:numPr>
        <w:numId w:val="16"/>
      </w:numPr>
      <w:spacing w:before="20" w:after="20"/>
    </w:pPr>
    <w:rPr>
      <w:szCs w:val="20"/>
      <w:lang w:eastAsia="en-US"/>
    </w:rPr>
  </w:style>
  <w:style w:type="paragraph" w:customStyle="1" w:styleId="ACMABulletLevel1">
    <w:name w:val="ACMA Bullet Level 1"/>
    <w:rsid w:val="00240AE9"/>
    <w:pPr>
      <w:tabs>
        <w:tab w:val="num" w:pos="-31680"/>
      </w:tabs>
      <w:spacing w:after="120"/>
      <w:ind w:left="357" w:hanging="357"/>
    </w:pPr>
    <w:rPr>
      <w:szCs w:val="20"/>
      <w:lang w:eastAsia="en-US"/>
    </w:rPr>
  </w:style>
  <w:style w:type="character" w:customStyle="1" w:styleId="UnresolvedMention1">
    <w:name w:val="Unresolved Mention1"/>
    <w:basedOn w:val="DefaultParagraphFont"/>
    <w:uiPriority w:val="99"/>
    <w:semiHidden/>
    <w:unhideWhenUsed/>
    <w:rsid w:val="00DA219C"/>
    <w:rPr>
      <w:color w:val="605E5C"/>
      <w:shd w:val="clear" w:color="auto" w:fill="E1DFDD"/>
    </w:rPr>
  </w:style>
  <w:style w:type="paragraph" w:styleId="BodyTextIndent3">
    <w:name w:val="Body Text Indent 3"/>
    <w:basedOn w:val="Normal"/>
    <w:link w:val="BodyTextIndent3Char"/>
    <w:rsid w:val="00BB018B"/>
    <w:pPr>
      <w:spacing w:after="120"/>
      <w:ind w:left="283"/>
    </w:pPr>
    <w:rPr>
      <w:sz w:val="16"/>
      <w:szCs w:val="16"/>
    </w:rPr>
  </w:style>
  <w:style w:type="character" w:customStyle="1" w:styleId="BodyTextIndent3Char">
    <w:name w:val="Body Text Indent 3 Char"/>
    <w:basedOn w:val="DefaultParagraphFont"/>
    <w:link w:val="BodyTextIndent3"/>
    <w:rsid w:val="00BB018B"/>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932159">
      <w:bodyDiv w:val="1"/>
      <w:marLeft w:val="0"/>
      <w:marRight w:val="0"/>
      <w:marTop w:val="0"/>
      <w:marBottom w:val="0"/>
      <w:divBdr>
        <w:top w:val="none" w:sz="0" w:space="0" w:color="auto"/>
        <w:left w:val="none" w:sz="0" w:space="0" w:color="auto"/>
        <w:bottom w:val="none" w:sz="0" w:space="0" w:color="auto"/>
        <w:right w:val="none" w:sz="0" w:space="0" w:color="auto"/>
      </w:divBdr>
    </w:div>
    <w:div w:id="249044959">
      <w:bodyDiv w:val="1"/>
      <w:marLeft w:val="0"/>
      <w:marRight w:val="0"/>
      <w:marTop w:val="0"/>
      <w:marBottom w:val="0"/>
      <w:divBdr>
        <w:top w:val="none" w:sz="0" w:space="0" w:color="auto"/>
        <w:left w:val="none" w:sz="0" w:space="0" w:color="auto"/>
        <w:bottom w:val="none" w:sz="0" w:space="0" w:color="auto"/>
        <w:right w:val="none" w:sz="0" w:space="0" w:color="auto"/>
      </w:divBdr>
    </w:div>
    <w:div w:id="352416141">
      <w:bodyDiv w:val="1"/>
      <w:marLeft w:val="0"/>
      <w:marRight w:val="0"/>
      <w:marTop w:val="0"/>
      <w:marBottom w:val="0"/>
      <w:divBdr>
        <w:top w:val="none" w:sz="0" w:space="0" w:color="auto"/>
        <w:left w:val="none" w:sz="0" w:space="0" w:color="auto"/>
        <w:bottom w:val="none" w:sz="0" w:space="0" w:color="auto"/>
        <w:right w:val="none" w:sz="0" w:space="0" w:color="auto"/>
      </w:divBdr>
    </w:div>
    <w:div w:id="355355284">
      <w:bodyDiv w:val="1"/>
      <w:marLeft w:val="0"/>
      <w:marRight w:val="0"/>
      <w:marTop w:val="0"/>
      <w:marBottom w:val="0"/>
      <w:divBdr>
        <w:top w:val="none" w:sz="0" w:space="0" w:color="auto"/>
        <w:left w:val="none" w:sz="0" w:space="0" w:color="auto"/>
        <w:bottom w:val="none" w:sz="0" w:space="0" w:color="auto"/>
        <w:right w:val="none" w:sz="0" w:space="0" w:color="auto"/>
      </w:divBdr>
      <w:divsChild>
        <w:div w:id="682391648">
          <w:marLeft w:val="0"/>
          <w:marRight w:val="0"/>
          <w:marTop w:val="0"/>
          <w:marBottom w:val="0"/>
          <w:divBdr>
            <w:top w:val="none" w:sz="0" w:space="0" w:color="auto"/>
            <w:left w:val="none" w:sz="0" w:space="0" w:color="auto"/>
            <w:bottom w:val="none" w:sz="0" w:space="0" w:color="auto"/>
            <w:right w:val="none" w:sz="0" w:space="0" w:color="auto"/>
          </w:divBdr>
          <w:divsChild>
            <w:div w:id="816530441">
              <w:marLeft w:val="0"/>
              <w:marRight w:val="0"/>
              <w:marTop w:val="0"/>
              <w:marBottom w:val="0"/>
              <w:divBdr>
                <w:top w:val="none" w:sz="0" w:space="0" w:color="auto"/>
                <w:left w:val="none" w:sz="0" w:space="0" w:color="auto"/>
                <w:bottom w:val="none" w:sz="0" w:space="0" w:color="auto"/>
                <w:right w:val="none" w:sz="0" w:space="0" w:color="auto"/>
              </w:divBdr>
              <w:divsChild>
                <w:div w:id="1206673386">
                  <w:marLeft w:val="0"/>
                  <w:marRight w:val="0"/>
                  <w:marTop w:val="0"/>
                  <w:marBottom w:val="0"/>
                  <w:divBdr>
                    <w:top w:val="none" w:sz="0" w:space="0" w:color="auto"/>
                    <w:left w:val="none" w:sz="0" w:space="0" w:color="auto"/>
                    <w:bottom w:val="none" w:sz="0" w:space="0" w:color="auto"/>
                    <w:right w:val="none" w:sz="0" w:space="0" w:color="auto"/>
                  </w:divBdr>
                  <w:divsChild>
                    <w:div w:id="1121341934">
                      <w:marLeft w:val="0"/>
                      <w:marRight w:val="0"/>
                      <w:marTop w:val="0"/>
                      <w:marBottom w:val="0"/>
                      <w:divBdr>
                        <w:top w:val="none" w:sz="0" w:space="0" w:color="auto"/>
                        <w:left w:val="none" w:sz="0" w:space="0" w:color="auto"/>
                        <w:bottom w:val="none" w:sz="0" w:space="0" w:color="auto"/>
                        <w:right w:val="none" w:sz="0" w:space="0" w:color="auto"/>
                      </w:divBdr>
                      <w:divsChild>
                        <w:div w:id="1165245012">
                          <w:marLeft w:val="0"/>
                          <w:marRight w:val="120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422568">
      <w:bodyDiv w:val="1"/>
      <w:marLeft w:val="0"/>
      <w:marRight w:val="0"/>
      <w:marTop w:val="0"/>
      <w:marBottom w:val="0"/>
      <w:divBdr>
        <w:top w:val="none" w:sz="0" w:space="0" w:color="auto"/>
        <w:left w:val="none" w:sz="0" w:space="0" w:color="auto"/>
        <w:bottom w:val="none" w:sz="0" w:space="0" w:color="auto"/>
        <w:right w:val="none" w:sz="0" w:space="0" w:color="auto"/>
      </w:divBdr>
    </w:div>
    <w:div w:id="569311695">
      <w:bodyDiv w:val="1"/>
      <w:marLeft w:val="0"/>
      <w:marRight w:val="0"/>
      <w:marTop w:val="0"/>
      <w:marBottom w:val="0"/>
      <w:divBdr>
        <w:top w:val="none" w:sz="0" w:space="0" w:color="auto"/>
        <w:left w:val="none" w:sz="0" w:space="0" w:color="auto"/>
        <w:bottom w:val="none" w:sz="0" w:space="0" w:color="auto"/>
        <w:right w:val="none" w:sz="0" w:space="0" w:color="auto"/>
      </w:divBdr>
    </w:div>
    <w:div w:id="642320153">
      <w:bodyDiv w:val="1"/>
      <w:marLeft w:val="0"/>
      <w:marRight w:val="0"/>
      <w:marTop w:val="0"/>
      <w:marBottom w:val="0"/>
      <w:divBdr>
        <w:top w:val="none" w:sz="0" w:space="0" w:color="auto"/>
        <w:left w:val="none" w:sz="0" w:space="0" w:color="auto"/>
        <w:bottom w:val="none" w:sz="0" w:space="0" w:color="auto"/>
        <w:right w:val="none" w:sz="0" w:space="0" w:color="auto"/>
      </w:divBdr>
    </w:div>
    <w:div w:id="709840188">
      <w:bodyDiv w:val="1"/>
      <w:marLeft w:val="0"/>
      <w:marRight w:val="0"/>
      <w:marTop w:val="0"/>
      <w:marBottom w:val="0"/>
      <w:divBdr>
        <w:top w:val="none" w:sz="0" w:space="0" w:color="auto"/>
        <w:left w:val="none" w:sz="0" w:space="0" w:color="auto"/>
        <w:bottom w:val="none" w:sz="0" w:space="0" w:color="auto"/>
        <w:right w:val="none" w:sz="0" w:space="0" w:color="auto"/>
      </w:divBdr>
    </w:div>
    <w:div w:id="921524977">
      <w:bodyDiv w:val="1"/>
      <w:marLeft w:val="0"/>
      <w:marRight w:val="0"/>
      <w:marTop w:val="0"/>
      <w:marBottom w:val="0"/>
      <w:divBdr>
        <w:top w:val="none" w:sz="0" w:space="0" w:color="auto"/>
        <w:left w:val="none" w:sz="0" w:space="0" w:color="auto"/>
        <w:bottom w:val="none" w:sz="0" w:space="0" w:color="auto"/>
        <w:right w:val="none" w:sz="0" w:space="0" w:color="auto"/>
      </w:divBdr>
    </w:div>
    <w:div w:id="1289508083">
      <w:bodyDiv w:val="1"/>
      <w:marLeft w:val="0"/>
      <w:marRight w:val="0"/>
      <w:marTop w:val="0"/>
      <w:marBottom w:val="0"/>
      <w:divBdr>
        <w:top w:val="none" w:sz="0" w:space="0" w:color="auto"/>
        <w:left w:val="none" w:sz="0" w:space="0" w:color="auto"/>
        <w:bottom w:val="none" w:sz="0" w:space="0" w:color="auto"/>
        <w:right w:val="none" w:sz="0" w:space="0" w:color="auto"/>
      </w:divBdr>
    </w:div>
    <w:div w:id="1324043811">
      <w:bodyDiv w:val="1"/>
      <w:marLeft w:val="0"/>
      <w:marRight w:val="0"/>
      <w:marTop w:val="0"/>
      <w:marBottom w:val="0"/>
      <w:divBdr>
        <w:top w:val="none" w:sz="0" w:space="0" w:color="auto"/>
        <w:left w:val="none" w:sz="0" w:space="0" w:color="auto"/>
        <w:bottom w:val="none" w:sz="0" w:space="0" w:color="auto"/>
        <w:right w:val="none" w:sz="0" w:space="0" w:color="auto"/>
      </w:divBdr>
    </w:div>
    <w:div w:id="1333409759">
      <w:bodyDiv w:val="1"/>
      <w:marLeft w:val="0"/>
      <w:marRight w:val="0"/>
      <w:marTop w:val="0"/>
      <w:marBottom w:val="0"/>
      <w:divBdr>
        <w:top w:val="none" w:sz="0" w:space="0" w:color="auto"/>
        <w:left w:val="none" w:sz="0" w:space="0" w:color="auto"/>
        <w:bottom w:val="none" w:sz="0" w:space="0" w:color="auto"/>
        <w:right w:val="none" w:sz="0" w:space="0" w:color="auto"/>
      </w:divBdr>
    </w:div>
    <w:div w:id="1388528073">
      <w:bodyDiv w:val="1"/>
      <w:marLeft w:val="0"/>
      <w:marRight w:val="0"/>
      <w:marTop w:val="0"/>
      <w:marBottom w:val="0"/>
      <w:divBdr>
        <w:top w:val="none" w:sz="0" w:space="0" w:color="auto"/>
        <w:left w:val="none" w:sz="0" w:space="0" w:color="auto"/>
        <w:bottom w:val="none" w:sz="0" w:space="0" w:color="auto"/>
        <w:right w:val="none" w:sz="0" w:space="0" w:color="auto"/>
      </w:divBdr>
    </w:div>
    <w:div w:id="1438334093">
      <w:bodyDiv w:val="1"/>
      <w:marLeft w:val="0"/>
      <w:marRight w:val="0"/>
      <w:marTop w:val="0"/>
      <w:marBottom w:val="0"/>
      <w:divBdr>
        <w:top w:val="none" w:sz="0" w:space="0" w:color="auto"/>
        <w:left w:val="none" w:sz="0" w:space="0" w:color="auto"/>
        <w:bottom w:val="none" w:sz="0" w:space="0" w:color="auto"/>
        <w:right w:val="none" w:sz="0" w:space="0" w:color="auto"/>
      </w:divBdr>
    </w:div>
    <w:div w:id="1487865121">
      <w:bodyDiv w:val="1"/>
      <w:marLeft w:val="0"/>
      <w:marRight w:val="0"/>
      <w:marTop w:val="0"/>
      <w:marBottom w:val="0"/>
      <w:divBdr>
        <w:top w:val="none" w:sz="0" w:space="0" w:color="auto"/>
        <w:left w:val="none" w:sz="0" w:space="0" w:color="auto"/>
        <w:bottom w:val="none" w:sz="0" w:space="0" w:color="auto"/>
        <w:right w:val="none" w:sz="0" w:space="0" w:color="auto"/>
      </w:divBdr>
    </w:div>
    <w:div w:id="1509558910">
      <w:bodyDiv w:val="1"/>
      <w:marLeft w:val="0"/>
      <w:marRight w:val="0"/>
      <w:marTop w:val="0"/>
      <w:marBottom w:val="0"/>
      <w:divBdr>
        <w:top w:val="none" w:sz="0" w:space="0" w:color="auto"/>
        <w:left w:val="none" w:sz="0" w:space="0" w:color="auto"/>
        <w:bottom w:val="none" w:sz="0" w:space="0" w:color="auto"/>
        <w:right w:val="none" w:sz="0" w:space="0" w:color="auto"/>
      </w:divBdr>
    </w:div>
    <w:div w:id="1640762717">
      <w:bodyDiv w:val="1"/>
      <w:marLeft w:val="0"/>
      <w:marRight w:val="0"/>
      <w:marTop w:val="0"/>
      <w:marBottom w:val="0"/>
      <w:divBdr>
        <w:top w:val="none" w:sz="0" w:space="0" w:color="auto"/>
        <w:left w:val="none" w:sz="0" w:space="0" w:color="auto"/>
        <w:bottom w:val="none" w:sz="0" w:space="0" w:color="auto"/>
        <w:right w:val="none" w:sz="0" w:space="0" w:color="auto"/>
      </w:divBdr>
    </w:div>
    <w:div w:id="1722896157">
      <w:bodyDiv w:val="1"/>
      <w:marLeft w:val="0"/>
      <w:marRight w:val="0"/>
      <w:marTop w:val="0"/>
      <w:marBottom w:val="0"/>
      <w:divBdr>
        <w:top w:val="none" w:sz="0" w:space="0" w:color="auto"/>
        <w:left w:val="none" w:sz="0" w:space="0" w:color="auto"/>
        <w:bottom w:val="none" w:sz="0" w:space="0" w:color="auto"/>
        <w:right w:val="none" w:sz="0" w:space="0" w:color="auto"/>
      </w:divBdr>
    </w:div>
    <w:div w:id="1854957463">
      <w:bodyDiv w:val="1"/>
      <w:marLeft w:val="0"/>
      <w:marRight w:val="0"/>
      <w:marTop w:val="0"/>
      <w:marBottom w:val="0"/>
      <w:divBdr>
        <w:top w:val="none" w:sz="0" w:space="0" w:color="auto"/>
        <w:left w:val="none" w:sz="0" w:space="0" w:color="auto"/>
        <w:bottom w:val="none" w:sz="0" w:space="0" w:color="auto"/>
        <w:right w:val="none" w:sz="0" w:space="0" w:color="auto"/>
      </w:divBdr>
    </w:div>
    <w:div w:id="2138061323">
      <w:bodyDiv w:val="1"/>
      <w:marLeft w:val="0"/>
      <w:marRight w:val="0"/>
      <w:marTop w:val="0"/>
      <w:marBottom w:val="0"/>
      <w:divBdr>
        <w:top w:val="none" w:sz="0" w:space="0" w:color="auto"/>
        <w:left w:val="none" w:sz="0" w:space="0" w:color="auto"/>
        <w:bottom w:val="none" w:sz="0" w:space="0" w:color="auto"/>
        <w:right w:val="none" w:sz="0" w:space="0" w:color="auto"/>
      </w:divBdr>
    </w:div>
    <w:div w:id="214349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oter" Target="footer8.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yperlink" Target="https://www.acma.gov.au/Industry/Spectrum/Spectrum-planning/Current-APs-info-and-resources/frequency-assignment-requirements-spectrum-planning-acma" TargetMode="External"/><Relationship Id="rId42"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candinfo@acma.gov.au" TargetMode="External"/><Relationship Id="rId25" Type="http://schemas.openxmlformats.org/officeDocument/2006/relationships/footer" Target="footer7.xml"/><Relationship Id="rId33" Type="http://schemas.openxmlformats.org/officeDocument/2006/relationships/hyperlink" Target="https://www.acma.gov.au/Industry/Spectrum/Spectrum-planning/Current-APs-info-and-resources/frequency-assignment-requirements-spectrum-planning-acma" TargetMode="External"/><Relationship Id="rId38"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https://creativecommons.org/licenses/by/4.0/" TargetMode="External"/><Relationship Id="rId20" Type="http://schemas.openxmlformats.org/officeDocument/2006/relationships/footer" Target="footer4.xml"/><Relationship Id="rId29" Type="http://schemas.openxmlformats.org/officeDocument/2006/relationships/hyperlink" Target="https://www.legislation.gov.au/Details/F2018L01045"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yperlink" Target="https://www.acma.gov.au/theACMA/issues-for-comment-index" TargetMode="External"/><Relationship Id="rId37" Type="http://schemas.openxmlformats.org/officeDocument/2006/relationships/header" Target="header9.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eader" Target="header7.xml"/><Relationship Id="rId28" Type="http://schemas.openxmlformats.org/officeDocument/2006/relationships/hyperlink" Target="https://www.acma.gov.au/theACMA/3_6-ghz-band-legislative-instruments-consultation" TargetMode="External"/><Relationship Id="rId36" Type="http://schemas.openxmlformats.org/officeDocument/2006/relationships/header" Target="header8.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yperlink" Target="https://www.legislation.gov.au/Details/F2018L01064"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i.creativecommons.org/l/by/3.0/88x31.png" TargetMode="External"/><Relationship Id="rId22" Type="http://schemas.openxmlformats.org/officeDocument/2006/relationships/header" Target="header6.xml"/><Relationship Id="rId27" Type="http://schemas.openxmlformats.org/officeDocument/2006/relationships/hyperlink" Target="https://www.acma.gov.au/theACMA/3_6-ghz-band-legislative-instruments-consultation" TargetMode="External"/><Relationship Id="rId30" Type="http://schemas.openxmlformats.org/officeDocument/2006/relationships/hyperlink" Target="https://www.acma.gov.au/Industry/Spectrum/Spectrum-planning/About-spectrum-planning/technical-framework-3_4-ghz" TargetMode="External"/><Relationship Id="rId35" Type="http://schemas.openxmlformats.org/officeDocument/2006/relationships/hyperlink" Target="http://www.comlaw.gov.au/Details/F2015L00729"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www.legislation.gov.au/Details/F2018L01063" TargetMode="External"/><Relationship Id="rId2" Type="http://schemas.openxmlformats.org/officeDocument/2006/relationships/hyperlink" Target="https://www.legislation.gov.au/Details/F2018L01063" TargetMode="External"/><Relationship Id="rId1" Type="http://schemas.openxmlformats.org/officeDocument/2006/relationships/hyperlink" Target="https://www.acma.gov.au/Industry/Spectrum/Radiocomms-licensing/Spectrum-licences/spectrum-licence-technical-liaison-groups-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DCCB2-AC8E-498A-A555-8437EAF8D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6165</Words>
  <Characters>35142</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41225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2018-08-01T04:26:00Z</dcterms:created>
  <dcterms:modified xsi:type="dcterms:W3CDTF">2018-08-01T05:21:00Z</dcterms:modified>
  <cp:category/>
</cp:coreProperties>
</file>