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12EFE5" w14:textId="78A0F862" w:rsidR="00F06E14" w:rsidRPr="00A17B1B" w:rsidRDefault="00EE4DE2" w:rsidP="00F06E14">
      <w:pPr>
        <w:pStyle w:val="Reportsubtitle"/>
      </w:pPr>
      <w:r w:rsidRPr="00EE4DE2">
        <w:rPr>
          <w:b/>
          <w:color w:val="auto"/>
        </w:rPr>
        <w:t>Indexation of Australian program production budget and licence fee figures</w:t>
      </w:r>
    </w:p>
    <w:p w14:paraId="258A05E6" w14:textId="1B4B4344" w:rsidR="00C97736" w:rsidRPr="00A17B1B" w:rsidRDefault="00E0342E" w:rsidP="00EC2B68">
      <w:pPr>
        <w:pStyle w:val="Reportdate"/>
        <w:spacing w:after="720"/>
        <w:rPr>
          <w:rFonts w:cs="Arial"/>
        </w:rPr>
        <w:sectPr w:rsidR="00C97736" w:rsidRPr="00A17B1B" w:rsidSect="005E250B">
          <w:headerReference w:type="default" r:id="rId12"/>
          <w:footerReference w:type="default" r:id="rId13"/>
          <w:headerReference w:type="first" r:id="rId14"/>
          <w:pgSz w:w="11906" w:h="16838" w:code="9"/>
          <w:pgMar w:top="3924" w:right="992" w:bottom="1440" w:left="1134" w:header="709" w:footer="454" w:gutter="0"/>
          <w:cols w:space="708"/>
          <w:docGrid w:linePitch="360"/>
        </w:sectPr>
      </w:pPr>
      <w:r>
        <w:t>December</w:t>
      </w:r>
      <w:r w:rsidR="00BD4421" w:rsidRPr="00A17B1B">
        <w:t xml:space="preserve"> 20</w:t>
      </w:r>
      <w:r w:rsidR="000971BD" w:rsidRPr="00A17B1B">
        <w:t>2</w:t>
      </w:r>
      <w:r w:rsidR="00A17B1B" w:rsidRPr="00A17B1B">
        <w:t>2</w:t>
      </w:r>
    </w:p>
    <w:p w14:paraId="3B111D00" w14:textId="77777777" w:rsidR="00284A74" w:rsidRPr="00A17B1B" w:rsidRDefault="00284A74" w:rsidP="00284A74">
      <w:pPr>
        <w:pStyle w:val="ACMACorporateAddressHeader"/>
      </w:pPr>
      <w:r w:rsidRPr="00A17B1B">
        <w:lastRenderedPageBreak/>
        <w:t>Canberra</w:t>
      </w:r>
    </w:p>
    <w:p w14:paraId="1A9257AD" w14:textId="77777777" w:rsidR="00284A74" w:rsidRPr="00A17B1B" w:rsidRDefault="00284A74" w:rsidP="00284A74">
      <w:pPr>
        <w:pStyle w:val="ACMACorporateAddresses"/>
      </w:pPr>
      <w:r w:rsidRPr="00A17B1B">
        <w:t xml:space="preserve">Red Building </w:t>
      </w:r>
      <w:r w:rsidRPr="00A17B1B">
        <w:br/>
        <w:t>Benjamin Offices</w:t>
      </w:r>
      <w:r w:rsidRPr="00A17B1B">
        <w:br/>
        <w:t xml:space="preserve">Chan Street </w:t>
      </w:r>
      <w:r w:rsidRPr="00A17B1B">
        <w:br/>
        <w:t>Belconnen ACT</w:t>
      </w:r>
    </w:p>
    <w:p w14:paraId="7B3A570B" w14:textId="77777777" w:rsidR="00284A74" w:rsidRPr="00A17B1B" w:rsidRDefault="00284A74" w:rsidP="00284A74">
      <w:pPr>
        <w:pStyle w:val="ACMACorporateAddresses"/>
      </w:pPr>
      <w:r w:rsidRPr="00A17B1B">
        <w:t>PO Box 78</w:t>
      </w:r>
      <w:r w:rsidRPr="00A17B1B">
        <w:br/>
        <w:t>Belconnen ACT 2616</w:t>
      </w:r>
    </w:p>
    <w:p w14:paraId="082A40FA"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580B7396" w14:textId="77777777" w:rsidR="00284A74" w:rsidRPr="00A17B1B" w:rsidRDefault="00284A74" w:rsidP="00284A74">
      <w:pPr>
        <w:pStyle w:val="ACMACorporateAddressHeader"/>
      </w:pPr>
      <w:r w:rsidRPr="00A17B1B">
        <w:t>Melbourne</w:t>
      </w:r>
    </w:p>
    <w:p w14:paraId="4A5E273F"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191468FE"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3F0C883A"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5ED2FC80" w14:textId="77777777" w:rsidR="00284A74" w:rsidRPr="00A17B1B" w:rsidRDefault="00284A74" w:rsidP="00284A74">
      <w:pPr>
        <w:pStyle w:val="ACMACorporateAddressHeader"/>
      </w:pPr>
      <w:r w:rsidRPr="00A17B1B">
        <w:t>Sydney</w:t>
      </w:r>
    </w:p>
    <w:p w14:paraId="5F2D95C3"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72D73CD1"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46451C1B"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64540D26" w14:textId="77777777" w:rsidR="00284A74" w:rsidRPr="00A17B1B" w:rsidRDefault="00284A74" w:rsidP="00284A74">
      <w:pPr>
        <w:pStyle w:val="ACMACopyrightHeader"/>
      </w:pPr>
      <w:r w:rsidRPr="00A17B1B">
        <w:t>Copyright notice</w:t>
      </w:r>
    </w:p>
    <w:p w14:paraId="078966BD" w14:textId="77777777" w:rsidR="00284A74" w:rsidRPr="00A17B1B" w:rsidRDefault="00284A74" w:rsidP="00284A74">
      <w:pPr>
        <w:pStyle w:val="ACMACClogo"/>
      </w:pPr>
      <w:r w:rsidRPr="00A17B1B">
        <w:rPr>
          <w:noProof/>
        </w:rPr>
        <w:drawing>
          <wp:inline distT="0" distB="0" distL="0" distR="0" wp14:anchorId="749F6487" wp14:editId="21E07CBD">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3D3724C5" w14:textId="77777777" w:rsidR="00284A74" w:rsidRPr="00A17B1B" w:rsidRDefault="00544485" w:rsidP="00284A74">
      <w:pPr>
        <w:pStyle w:val="ACMACorporateAddresses"/>
        <w:rPr>
          <w:rStyle w:val="Hyperlink"/>
        </w:rPr>
      </w:pPr>
      <w:hyperlink r:id="rId17" w:history="1">
        <w:r w:rsidR="00284A74" w:rsidRPr="00A17B1B">
          <w:rPr>
            <w:rStyle w:val="Hyperlink"/>
          </w:rPr>
          <w:t>https://creativecommons.org/licenses/by/4.0/</w:t>
        </w:r>
      </w:hyperlink>
    </w:p>
    <w:p w14:paraId="078A77AE" w14:textId="77777777" w:rsidR="00284A74" w:rsidRPr="00A17B1B" w:rsidRDefault="00284A74" w:rsidP="00284A74">
      <w:pPr>
        <w:pStyle w:val="ACMACorporateAddresses"/>
      </w:pPr>
      <w:r w:rsidRPr="00A17B1B">
        <w:t xml:space="preserve">With the exception of coats of arms, logos, emblems, images, other third-party material or devices protected by a trademark, this content is made available under the terms of the Creative Commons Attribution 4.0 International (CC BY 4.0) licence. </w:t>
      </w:r>
    </w:p>
    <w:p w14:paraId="661E0714" w14:textId="77777777" w:rsidR="00284A74" w:rsidRPr="00A17B1B" w:rsidRDefault="00284A74" w:rsidP="00284A74">
      <w:pPr>
        <w:pStyle w:val="ACMACorporateAddresses"/>
      </w:pPr>
      <w:r w:rsidRPr="00A17B1B">
        <w:t>We request attribution as © Commonwealth of Australia (Australian Communications and Media Authority) 202</w:t>
      </w:r>
      <w:r w:rsidR="00A17B1B" w:rsidRPr="00A17B1B">
        <w:t>2</w:t>
      </w:r>
      <w:r w:rsidRPr="00A17B1B">
        <w:t>.</w:t>
      </w:r>
    </w:p>
    <w:p w14:paraId="2902854D" w14:textId="77777777" w:rsidR="00284A74" w:rsidRPr="00A17B1B" w:rsidRDefault="00284A74" w:rsidP="00284A74">
      <w:pPr>
        <w:pStyle w:val="ACMACorporateAddresses"/>
      </w:pPr>
      <w:r w:rsidRPr="00A17B1B">
        <w:t>All other rights are reserved.</w:t>
      </w:r>
    </w:p>
    <w:p w14:paraId="60C09830" w14:textId="77777777" w:rsidR="00284A74" w:rsidRPr="00A17B1B" w:rsidRDefault="00284A74" w:rsidP="00284A74">
      <w:pPr>
        <w:pStyle w:val="ACMACorporateAddresses"/>
      </w:pPr>
      <w:r w:rsidRPr="00A17B1B">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79B52A3" w14:textId="77777777" w:rsidR="00284A74" w:rsidRPr="00A17B1B" w:rsidRDefault="00284A74" w:rsidP="00284A74">
      <w:pPr>
        <w:pStyle w:val="ACMACorporateAddresses"/>
      </w:pPr>
      <w:r w:rsidRPr="00A17B1B">
        <w:t>Written enquiries may be sent to:</w:t>
      </w:r>
    </w:p>
    <w:p w14:paraId="7CBE11F3" w14:textId="77777777" w:rsidR="00284A74" w:rsidRPr="00A17B1B" w:rsidRDefault="00284A74" w:rsidP="00284A74">
      <w:pPr>
        <w:pStyle w:val="ACMACorporateAddresses"/>
        <w:rPr>
          <w:rStyle w:val="Hyperlink"/>
        </w:rPr>
      </w:pPr>
      <w:r w:rsidRPr="00A17B1B">
        <w:t>Manager, Editorial Services</w:t>
      </w:r>
      <w:r w:rsidRPr="00A17B1B">
        <w:br/>
        <w:t>PO Box 13112</w:t>
      </w:r>
      <w:r w:rsidRPr="00A17B1B">
        <w:br/>
        <w:t>Law Courts</w:t>
      </w:r>
      <w:r w:rsidRPr="00A17B1B">
        <w:br/>
        <w:t>Melbourne VIC 8010</w:t>
      </w:r>
      <w:r w:rsidRPr="00A17B1B">
        <w:br/>
        <w:t xml:space="preserve">Email: </w:t>
      </w:r>
      <w:hyperlink r:id="rId18" w:history="1">
        <w:r w:rsidRPr="00A17B1B">
          <w:rPr>
            <w:rStyle w:val="Hyperlink"/>
          </w:rPr>
          <w:t>info@acma.gov.au</w:t>
        </w:r>
      </w:hyperlink>
    </w:p>
    <w:p w14:paraId="22C39635" w14:textId="77777777" w:rsidR="00D16FE3" w:rsidRPr="00A17B1B" w:rsidRDefault="00D16FE3" w:rsidP="00D16FE3">
      <w:pPr>
        <w:pStyle w:val="ACMACorporateAddresses"/>
        <w:sectPr w:rsidR="00D16FE3" w:rsidRPr="00A17B1B">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14:paraId="7C770231" w14:textId="0B91A4B8" w:rsidR="00C533B4" w:rsidRPr="00C533B4" w:rsidRDefault="00DF0799">
      <w:pPr>
        <w:pStyle w:val="TOC1"/>
        <w:rPr>
          <w:rFonts w:asciiTheme="minorHAnsi" w:eastAsiaTheme="minorEastAsia" w:hAnsiTheme="minorHAnsi" w:cstheme="minorBidi"/>
          <w:b w:val="0"/>
          <w:spacing w:val="0"/>
          <w:sz w:val="22"/>
          <w:szCs w:val="22"/>
        </w:rPr>
      </w:pPr>
      <w:r w:rsidRPr="00A17B1B">
        <w:rPr>
          <w:rFonts w:cs="Arial"/>
          <w:szCs w:val="26"/>
        </w:rPr>
        <w:lastRenderedPageBreak/>
        <w:fldChar w:fldCharType="begin"/>
      </w:r>
      <w:r w:rsidRPr="00A17B1B">
        <w:rPr>
          <w:rFonts w:cs="Arial"/>
        </w:rPr>
        <w:instrText xml:space="preserve"> TOC \o "1-3" \h \z \t "Exec summary heading,1" </w:instrText>
      </w:r>
      <w:r w:rsidRPr="00A17B1B">
        <w:rPr>
          <w:rFonts w:cs="Arial"/>
          <w:szCs w:val="26"/>
        </w:rPr>
        <w:fldChar w:fldCharType="separate"/>
      </w:r>
      <w:hyperlink w:anchor="_Toc121410376" w:history="1">
        <w:r w:rsidR="00C533B4" w:rsidRPr="00C533B4">
          <w:rPr>
            <w:rStyle w:val="Hyperlink"/>
            <w:color w:val="auto"/>
            <w:u w:val="none"/>
          </w:rPr>
          <w:t>Indexation of Australian program production budget and licence fee figures</w:t>
        </w:r>
        <w:r w:rsidR="00C533B4" w:rsidRPr="00C533B4">
          <w:rPr>
            <w:webHidden/>
          </w:rPr>
          <w:tab/>
        </w:r>
        <w:r w:rsidR="00C533B4" w:rsidRPr="00C533B4">
          <w:rPr>
            <w:webHidden/>
          </w:rPr>
          <w:fldChar w:fldCharType="begin"/>
        </w:r>
        <w:r w:rsidR="00C533B4" w:rsidRPr="00C533B4">
          <w:rPr>
            <w:webHidden/>
          </w:rPr>
          <w:instrText xml:space="preserve"> PAGEREF _Toc121410376 \h </w:instrText>
        </w:r>
        <w:r w:rsidR="00C533B4" w:rsidRPr="00C533B4">
          <w:rPr>
            <w:webHidden/>
          </w:rPr>
        </w:r>
        <w:r w:rsidR="00C533B4" w:rsidRPr="00C533B4">
          <w:rPr>
            <w:webHidden/>
          </w:rPr>
          <w:fldChar w:fldCharType="separate"/>
        </w:r>
        <w:r w:rsidR="00C533B4" w:rsidRPr="00C533B4">
          <w:rPr>
            <w:webHidden/>
          </w:rPr>
          <w:t>4</w:t>
        </w:r>
        <w:r w:rsidR="00C533B4" w:rsidRPr="00C533B4">
          <w:rPr>
            <w:webHidden/>
          </w:rPr>
          <w:fldChar w:fldCharType="end"/>
        </w:r>
      </w:hyperlink>
    </w:p>
    <w:p w14:paraId="7C9C0C3B" w14:textId="6469FBDC" w:rsidR="00C533B4" w:rsidRPr="00C533B4" w:rsidRDefault="00544485">
      <w:pPr>
        <w:pStyle w:val="TOC2"/>
        <w:rPr>
          <w:rFonts w:asciiTheme="minorHAnsi" w:eastAsiaTheme="minorEastAsia" w:hAnsiTheme="minorHAnsi" w:cstheme="minorBidi"/>
          <w:spacing w:val="0"/>
          <w:sz w:val="22"/>
          <w:szCs w:val="22"/>
        </w:rPr>
      </w:pPr>
      <w:hyperlink w:anchor="_Toc121410377" w:history="1">
        <w:r w:rsidR="00C533B4" w:rsidRPr="00C533B4">
          <w:rPr>
            <w:rStyle w:val="Hyperlink"/>
            <w:color w:val="auto"/>
            <w:u w:val="none"/>
          </w:rPr>
          <w:t>Production budgets and licence fees from 2021</w:t>
        </w:r>
        <w:r w:rsidR="00C533B4" w:rsidRPr="00C533B4">
          <w:rPr>
            <w:webHidden/>
          </w:rPr>
          <w:tab/>
        </w:r>
        <w:r w:rsidR="00C533B4" w:rsidRPr="00C533B4">
          <w:rPr>
            <w:webHidden/>
          </w:rPr>
          <w:fldChar w:fldCharType="begin"/>
        </w:r>
        <w:r w:rsidR="00C533B4" w:rsidRPr="00C533B4">
          <w:rPr>
            <w:webHidden/>
          </w:rPr>
          <w:instrText xml:space="preserve"> PAGEREF _Toc121410377 \h </w:instrText>
        </w:r>
        <w:r w:rsidR="00C533B4" w:rsidRPr="00C533B4">
          <w:rPr>
            <w:webHidden/>
          </w:rPr>
        </w:r>
        <w:r w:rsidR="00C533B4" w:rsidRPr="00C533B4">
          <w:rPr>
            <w:webHidden/>
          </w:rPr>
          <w:fldChar w:fldCharType="separate"/>
        </w:r>
        <w:r w:rsidR="00C533B4" w:rsidRPr="00C533B4">
          <w:rPr>
            <w:webHidden/>
          </w:rPr>
          <w:t>4</w:t>
        </w:r>
        <w:r w:rsidR="00C533B4" w:rsidRPr="00C533B4">
          <w:rPr>
            <w:webHidden/>
          </w:rPr>
          <w:fldChar w:fldCharType="end"/>
        </w:r>
      </w:hyperlink>
    </w:p>
    <w:p w14:paraId="098E2C26" w14:textId="3F6C1437" w:rsidR="00C533B4" w:rsidRPr="00C533B4" w:rsidRDefault="00C533B4" w:rsidP="00C533B4">
      <w:pPr>
        <w:pStyle w:val="TOC2"/>
        <w:ind w:left="0" w:firstLine="0"/>
        <w:rPr>
          <w:rFonts w:asciiTheme="minorHAnsi" w:eastAsiaTheme="minorEastAsia" w:hAnsiTheme="minorHAnsi" w:cstheme="minorBidi"/>
          <w:spacing w:val="0"/>
          <w:sz w:val="22"/>
          <w:szCs w:val="22"/>
        </w:rPr>
      </w:pPr>
      <w:r w:rsidRPr="00C533B4">
        <w:rPr>
          <w:rStyle w:val="Hyperlink"/>
          <w:color w:val="auto"/>
          <w:u w:val="none"/>
        </w:rPr>
        <w:t>How has the ACMA has calculated production budget and licence fee figures for 2023?</w:t>
      </w:r>
      <w:r w:rsidRPr="00C533B4">
        <w:rPr>
          <w:webHidden/>
        </w:rPr>
        <w:tab/>
      </w:r>
      <w:r w:rsidRPr="00C533B4">
        <w:rPr>
          <w:rStyle w:val="Hyperlink"/>
          <w:color w:val="auto"/>
          <w:u w:val="none"/>
        </w:rPr>
        <w:t>5</w:t>
      </w:r>
    </w:p>
    <w:p w14:paraId="2E4052E5" w14:textId="262FABC1" w:rsidR="00C533B4" w:rsidRDefault="00C533B4">
      <w:pPr>
        <w:pStyle w:val="TOC2"/>
        <w:rPr>
          <w:rFonts w:asciiTheme="minorHAnsi" w:eastAsiaTheme="minorEastAsia" w:hAnsiTheme="minorHAnsi" w:cstheme="minorBidi"/>
          <w:spacing w:val="0"/>
          <w:sz w:val="22"/>
          <w:szCs w:val="22"/>
        </w:rPr>
      </w:pPr>
      <w:r w:rsidRPr="00C533B4">
        <w:rPr>
          <w:rStyle w:val="Hyperlink"/>
          <w:color w:val="auto"/>
          <w:u w:val="none"/>
        </w:rPr>
        <w:t>Production budgets and licence fees comparison 2021-23</w:t>
      </w:r>
      <w:r w:rsidRPr="00C533B4">
        <w:rPr>
          <w:webHidden/>
        </w:rPr>
        <w:tab/>
      </w:r>
      <w:r w:rsidRPr="00C533B4">
        <w:rPr>
          <w:rStyle w:val="Hyperlink"/>
          <w:color w:val="auto"/>
          <w:u w:val="none"/>
        </w:rPr>
        <w:t>6</w:t>
      </w:r>
    </w:p>
    <w:p w14:paraId="095E3973" w14:textId="74B8F1A8" w:rsidR="004D56FF" w:rsidRPr="00A17B1B" w:rsidRDefault="00DF0799">
      <w:pPr>
        <w:rPr>
          <w:rFonts w:cs="Arial"/>
        </w:rPr>
        <w:sectPr w:rsidR="004D56FF" w:rsidRPr="00A17B1B" w:rsidSect="00C77380">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r w:rsidRPr="00A17B1B">
        <w:rPr>
          <w:rFonts w:cs="Arial"/>
        </w:rPr>
        <w:fldChar w:fldCharType="end"/>
      </w:r>
    </w:p>
    <w:p w14:paraId="4A36002D" w14:textId="77777777" w:rsidR="00EE4DE2" w:rsidRDefault="00EE4DE2" w:rsidP="00271D7A">
      <w:pPr>
        <w:pStyle w:val="Heading1"/>
      </w:pPr>
      <w:bookmarkStart w:id="0" w:name="_Toc121410376"/>
      <w:bookmarkStart w:id="1" w:name="_Hlk26868779"/>
      <w:r w:rsidRPr="00EE4DE2">
        <w:lastRenderedPageBreak/>
        <w:t>Indexation of Australian program production budget and licence fee figures</w:t>
      </w:r>
      <w:bookmarkEnd w:id="0"/>
    </w:p>
    <w:p w14:paraId="52B43A9B" w14:textId="77777777" w:rsidR="00EE4DE2" w:rsidRPr="00EE4DE2" w:rsidRDefault="00EE4DE2" w:rsidP="00EE4DE2">
      <w:pPr>
        <w:pStyle w:val="Paragraph"/>
      </w:pPr>
      <w:bookmarkStart w:id="2" w:name="_Hlk119575565"/>
      <w:bookmarkEnd w:id="1"/>
      <w:r w:rsidRPr="00EE4DE2">
        <w:t>Section 13 of the Broadcasting Services (Australian Content and Children’s Television) Standards 2020 (ACCTS) requires commercial free-to-air television licensees to broadcast at least 250 points each year of first release Australian programs from genres including drama, documentary and children’s non-drama</w:t>
      </w:r>
      <w:bookmarkEnd w:id="2"/>
      <w:r w:rsidRPr="00EE4DE2">
        <w:t xml:space="preserve">. </w:t>
      </w:r>
    </w:p>
    <w:p w14:paraId="2BDB0ACA" w14:textId="77777777" w:rsidR="00EE4DE2" w:rsidRDefault="00EE4DE2" w:rsidP="00EE4DE2">
      <w:pPr>
        <w:pStyle w:val="Paragraph"/>
        <w:rPr>
          <w:b/>
          <w:bCs/>
          <w:iCs/>
        </w:rPr>
      </w:pPr>
      <w:r w:rsidRPr="00EE4DE2">
        <w:t>Points are calculated by multiplying the duration of the program (in hours) by the pre-determined genre point allocation for the particular program genre and production budget.</w:t>
      </w:r>
    </w:p>
    <w:p w14:paraId="4E430D61" w14:textId="3D4E0F41" w:rsidR="005E250B" w:rsidRPr="00A770C5" w:rsidRDefault="00EE4DE2" w:rsidP="00A770C5">
      <w:pPr>
        <w:pStyle w:val="Heading2"/>
      </w:pPr>
      <w:bookmarkStart w:id="3" w:name="_Toc121410377"/>
      <w:r w:rsidRPr="00A770C5">
        <w:t>Production budgets and licence fees from 2021</w:t>
      </w:r>
      <w:bookmarkEnd w:id="3"/>
    </w:p>
    <w:p w14:paraId="38CFB0F5" w14:textId="5A16E560" w:rsidR="00EE4DE2" w:rsidRDefault="00EE4DE2" w:rsidP="00EE4DE2">
      <w:pPr>
        <w:pStyle w:val="Paragraph"/>
      </w:pPr>
      <w:r w:rsidRPr="00BD0240">
        <w:t>From 2021, Schedule 1 to the ACCTS set out the following genre point allocation.</w:t>
      </w:r>
    </w:p>
    <w:p w14:paraId="2DF9B0DE" w14:textId="0F43FA6C" w:rsidR="008117DF" w:rsidRDefault="00EE4DE2" w:rsidP="00EE4DE2">
      <w:pPr>
        <w:rPr>
          <w:rFonts w:cs="Arial"/>
          <w:szCs w:val="20"/>
        </w:rPr>
      </w:pPr>
      <w:r w:rsidRPr="00BD0240">
        <w:rPr>
          <w:rFonts w:cs="Arial"/>
          <w:noProof/>
        </w:rPr>
        <w:drawing>
          <wp:inline distT="0" distB="0" distL="0" distR="0" wp14:anchorId="5F030A71" wp14:editId="0D02B475">
            <wp:extent cx="5744308" cy="5334000"/>
            <wp:effectExtent l="0" t="0" r="889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49233" cy="5338573"/>
                    </a:xfrm>
                    <a:prstGeom prst="rect">
                      <a:avLst/>
                    </a:prstGeom>
                    <a:noFill/>
                    <a:ln>
                      <a:noFill/>
                    </a:ln>
                  </pic:spPr>
                </pic:pic>
              </a:graphicData>
            </a:graphic>
          </wp:inline>
        </w:drawing>
      </w:r>
    </w:p>
    <w:p w14:paraId="48402491" w14:textId="44591BD6" w:rsidR="008117DF" w:rsidRDefault="008117DF">
      <w:pPr>
        <w:spacing w:after="0" w:line="240" w:lineRule="auto"/>
        <w:rPr>
          <w:rFonts w:cs="Arial"/>
          <w:b/>
          <w:bCs/>
          <w:iCs/>
          <w:sz w:val="28"/>
          <w:szCs w:val="28"/>
        </w:rPr>
      </w:pPr>
    </w:p>
    <w:p w14:paraId="5F64E9CC" w14:textId="77777777" w:rsidR="00073BE1" w:rsidRDefault="00073BE1" w:rsidP="00EE4DE2">
      <w:pPr>
        <w:pStyle w:val="Heading2"/>
        <w:sectPr w:rsidR="00073BE1" w:rsidSect="00A82C71">
          <w:headerReference w:type="even" r:id="rId29"/>
          <w:headerReference w:type="default" r:id="rId30"/>
          <w:footerReference w:type="even" r:id="rId31"/>
          <w:footerReference w:type="default" r:id="rId32"/>
          <w:pgSz w:w="11906" w:h="16838" w:code="9"/>
          <w:pgMar w:top="1945" w:right="1134" w:bottom="1134" w:left="1134" w:header="709" w:footer="119" w:gutter="0"/>
          <w:cols w:space="708"/>
          <w:docGrid w:linePitch="360"/>
        </w:sectPr>
      </w:pPr>
      <w:bookmarkStart w:id="4" w:name="_Hlk119066812"/>
    </w:p>
    <w:p w14:paraId="3E8AD311" w14:textId="51BD6E78" w:rsidR="00EE4DE2" w:rsidRPr="00EE4DE2" w:rsidRDefault="008117DF" w:rsidP="00A82C71">
      <w:pPr>
        <w:pStyle w:val="Heading2"/>
        <w:spacing w:before="0"/>
      </w:pPr>
      <w:bookmarkStart w:id="5" w:name="_Toc121410378"/>
      <w:r>
        <w:lastRenderedPageBreak/>
        <w:t>How has the ACMA has calculated p</w:t>
      </w:r>
      <w:r w:rsidR="00EE4DE2" w:rsidRPr="00EE4DE2">
        <w:t>roduction budget and licence fee figures for 202</w:t>
      </w:r>
      <w:r w:rsidR="00DC009F">
        <w:t>3</w:t>
      </w:r>
      <w:r>
        <w:t>?</w:t>
      </w:r>
      <w:bookmarkEnd w:id="5"/>
    </w:p>
    <w:p w14:paraId="16F56E29" w14:textId="77777777" w:rsidR="00271D7A" w:rsidRDefault="00271D7A" w:rsidP="00EE4DE2">
      <w:pPr>
        <w:pStyle w:val="Paragraph"/>
        <w:spacing w:after="120"/>
      </w:pPr>
      <w:bookmarkStart w:id="6" w:name="_Hlk26868934"/>
      <w:bookmarkEnd w:id="4"/>
    </w:p>
    <w:p w14:paraId="3E2B88A7" w14:textId="216ABD85" w:rsidR="00EE4DE2" w:rsidRPr="00EE4DE2" w:rsidRDefault="00EE4DE2" w:rsidP="00EE4DE2">
      <w:pPr>
        <w:pStyle w:val="Paragraph"/>
        <w:spacing w:after="120"/>
      </w:pPr>
      <w:r w:rsidRPr="00BD0240">
        <w:t>Section 15 of the ACCTS specifies a formula for calculating increases for the production budget and licence fee figures</w:t>
      </w:r>
      <w:r w:rsidR="006C6978">
        <w:t xml:space="preserve"> </w:t>
      </w:r>
      <w:r w:rsidR="00074976">
        <w:t>from 1</w:t>
      </w:r>
      <w:r w:rsidR="006C6978">
        <w:t xml:space="preserve"> January of each year</w:t>
      </w:r>
      <w:r w:rsidRPr="00BD0240">
        <w:t>. If the CPI number</w:t>
      </w:r>
      <w:r w:rsidRPr="00BD0240">
        <w:rPr>
          <w:rStyle w:val="FootnoteReference"/>
        </w:rPr>
        <w:footnoteReference w:id="1"/>
      </w:r>
      <w:r w:rsidRPr="00BD0240">
        <w:t xml:space="preserve"> increases over the twelve months to the September quarter preceding 1</w:t>
      </w:r>
      <w:r>
        <w:t> </w:t>
      </w:r>
      <w:r w:rsidRPr="00BD0240">
        <w:t>January of the relevant year, an increase to the amount is calculated using the formula:</w:t>
      </w:r>
    </w:p>
    <w:p w14:paraId="27263EEB" w14:textId="0B5DDCD6" w:rsidR="00EE4DE2" w:rsidRPr="00D27C72" w:rsidRDefault="00B62923" w:rsidP="00D27C72">
      <w:pPr>
        <w:pStyle w:val="R2"/>
        <w:tabs>
          <w:tab w:val="clear" w:pos="794"/>
          <w:tab w:val="clear" w:pos="964"/>
          <w:tab w:val="left" w:pos="180"/>
          <w:tab w:val="left" w:pos="571"/>
        </w:tabs>
        <w:spacing w:before="0" w:line="240" w:lineRule="auto"/>
        <w:ind w:left="0" w:firstLine="0"/>
        <w:jc w:val="left"/>
        <w:rPr>
          <w:rFonts w:ascii="Arial" w:hAnsi="Arial" w:cs="Arial"/>
          <w:b/>
          <w:sz w:val="22"/>
          <w:szCs w:val="18"/>
        </w:rPr>
      </w:pPr>
      <w:r>
        <w:rPr>
          <w:rFonts w:ascii="Arial" w:hAnsi="Arial" w:cs="Arial"/>
          <w:b/>
        </w:rPr>
        <w:tab/>
      </w:r>
      <w:r w:rsidRPr="00D27C72">
        <w:rPr>
          <w:rFonts w:ascii="Arial" w:hAnsi="Arial" w:cs="Arial"/>
          <w:b/>
          <w:sz w:val="22"/>
          <w:szCs w:val="18"/>
        </w:rPr>
        <w:tab/>
      </w:r>
      <w:r w:rsidR="00EE4DE2" w:rsidRPr="00D27C72">
        <w:rPr>
          <w:rFonts w:ascii="Arial" w:hAnsi="Arial" w:cs="Arial"/>
          <w:b/>
          <w:sz w:val="22"/>
          <w:szCs w:val="18"/>
        </w:rPr>
        <w:t>‘previous indexable amount</w:t>
      </w:r>
      <w:r w:rsidR="00EE4DE2" w:rsidRPr="00D27C72">
        <w:rPr>
          <w:rStyle w:val="FootnoteReference"/>
          <w:rFonts w:cs="Arial"/>
          <w:b/>
          <w:sz w:val="22"/>
          <w:szCs w:val="18"/>
        </w:rPr>
        <w:footnoteReference w:id="2"/>
      </w:r>
      <w:r w:rsidR="00EE4DE2" w:rsidRPr="00D27C72">
        <w:rPr>
          <w:rFonts w:ascii="Arial" w:hAnsi="Arial" w:cs="Arial"/>
          <w:b/>
          <w:sz w:val="22"/>
          <w:szCs w:val="18"/>
        </w:rPr>
        <w:t xml:space="preserve"> x latest CPI number</w:t>
      </w:r>
      <w:r w:rsidR="00EE4DE2" w:rsidRPr="00D27C72">
        <w:rPr>
          <w:rStyle w:val="FootnoteReference"/>
          <w:rFonts w:cs="Arial"/>
          <w:b/>
          <w:sz w:val="22"/>
          <w:szCs w:val="18"/>
        </w:rPr>
        <w:footnoteReference w:id="3"/>
      </w:r>
      <w:r w:rsidR="00EE4DE2" w:rsidRPr="00D27C72">
        <w:rPr>
          <w:rFonts w:ascii="Arial" w:hAnsi="Arial" w:cs="Arial"/>
          <w:b/>
          <w:sz w:val="22"/>
          <w:szCs w:val="18"/>
        </w:rPr>
        <w:t xml:space="preserve"> </w:t>
      </w:r>
      <w:r w:rsidR="00EE4DE2" w:rsidRPr="00D27C72">
        <w:rPr>
          <w:rFonts w:ascii="Arial" w:hAnsi="Arial" w:cs="Arial"/>
          <w:b/>
          <w:sz w:val="22"/>
          <w:szCs w:val="18"/>
        </w:rPr>
        <w:sym w:font="Symbol" w:char="F0B8"/>
      </w:r>
      <w:r w:rsidR="00EE4DE2" w:rsidRPr="00D27C72">
        <w:rPr>
          <w:rFonts w:ascii="Arial" w:hAnsi="Arial" w:cs="Arial"/>
          <w:b/>
          <w:sz w:val="22"/>
          <w:szCs w:val="18"/>
        </w:rPr>
        <w:t xml:space="preserve"> earlier CPI number</w:t>
      </w:r>
      <w:r w:rsidR="00EE4DE2" w:rsidRPr="00D27C72">
        <w:rPr>
          <w:rStyle w:val="FootnoteReference"/>
          <w:rFonts w:cs="Arial"/>
          <w:b/>
          <w:sz w:val="22"/>
          <w:szCs w:val="18"/>
        </w:rPr>
        <w:footnoteReference w:id="4"/>
      </w:r>
      <w:r w:rsidR="00EE4DE2" w:rsidRPr="00D27C72">
        <w:rPr>
          <w:rFonts w:ascii="Arial" w:hAnsi="Arial" w:cs="Arial"/>
          <w:b/>
          <w:sz w:val="22"/>
          <w:szCs w:val="18"/>
        </w:rPr>
        <w:t xml:space="preserve">’. </w:t>
      </w:r>
    </w:p>
    <w:p w14:paraId="01488575" w14:textId="77777777" w:rsidR="00EE4DE2" w:rsidRPr="00BD0240" w:rsidRDefault="00EE4DE2" w:rsidP="00EE4DE2">
      <w:pPr>
        <w:pStyle w:val="R2"/>
        <w:tabs>
          <w:tab w:val="clear" w:pos="794"/>
          <w:tab w:val="clear" w:pos="964"/>
          <w:tab w:val="left" w:pos="180"/>
        </w:tabs>
        <w:spacing w:before="0" w:line="240" w:lineRule="auto"/>
        <w:ind w:left="0" w:firstLine="0"/>
        <w:jc w:val="left"/>
        <w:rPr>
          <w:rFonts w:ascii="Arial" w:hAnsi="Arial" w:cs="Arial"/>
        </w:rPr>
      </w:pPr>
    </w:p>
    <w:p w14:paraId="37901C30" w14:textId="1A1E2504" w:rsidR="00EE4DE2" w:rsidRPr="00BD0240" w:rsidRDefault="00EE4DE2" w:rsidP="00EE4DE2">
      <w:pPr>
        <w:pStyle w:val="Paragraph"/>
      </w:pPr>
      <w:r w:rsidRPr="00BD0240">
        <w:t xml:space="preserve">The result is to be rounded to the nearest thousand dollars and if the amount to be rounded is $500, it is to be rounded down. </w:t>
      </w:r>
    </w:p>
    <w:p w14:paraId="2E962B11" w14:textId="5B7F2D4F" w:rsidR="00EE4DE2" w:rsidRDefault="00EE4DE2" w:rsidP="00EE4DE2">
      <w:pPr>
        <w:pStyle w:val="Paragraph"/>
      </w:pPr>
      <w:r w:rsidRPr="00BD0240">
        <w:t>The following table sets out the production budget and licence fee figures for genre points calculation for 2023.</w:t>
      </w:r>
    </w:p>
    <w:tbl>
      <w:tblPr>
        <w:tblW w:w="5000" w:type="pct"/>
        <w:tblCellMar>
          <w:top w:w="57" w:type="dxa"/>
          <w:left w:w="57" w:type="dxa"/>
          <w:bottom w:w="57" w:type="dxa"/>
          <w:right w:w="57" w:type="dxa"/>
        </w:tblCellMar>
        <w:tblLook w:val="04A0" w:firstRow="1" w:lastRow="0" w:firstColumn="1" w:lastColumn="0" w:noHBand="0" w:noVBand="1"/>
      </w:tblPr>
      <w:tblGrid>
        <w:gridCol w:w="2311"/>
        <w:gridCol w:w="1070"/>
        <w:gridCol w:w="1004"/>
        <w:gridCol w:w="1004"/>
        <w:gridCol w:w="870"/>
        <w:gridCol w:w="793"/>
        <w:gridCol w:w="1282"/>
        <w:gridCol w:w="1284"/>
      </w:tblGrid>
      <w:tr w:rsidR="00681E1E" w:rsidRPr="00BD0240" w14:paraId="7FE001D4" w14:textId="77777777" w:rsidTr="00681E1E">
        <w:trPr>
          <w:cantSplit/>
        </w:trPr>
        <w:tc>
          <w:tcPr>
            <w:tcW w:w="1202" w:type="pct"/>
            <w:vMerge w:val="restart"/>
            <w:tcBorders>
              <w:top w:val="single" w:sz="8" w:space="0" w:color="auto"/>
              <w:left w:val="single" w:sz="8" w:space="0" w:color="auto"/>
              <w:right w:val="single" w:sz="8" w:space="0" w:color="auto"/>
            </w:tcBorders>
            <w:shd w:val="clear" w:color="000000" w:fill="FF9900"/>
            <w:vAlign w:val="center"/>
            <w:hideMark/>
          </w:tcPr>
          <w:p w14:paraId="12CDEE47" w14:textId="77777777" w:rsidR="00681E1E" w:rsidRPr="00A770C5" w:rsidRDefault="00681E1E" w:rsidP="00271D7A">
            <w:pPr>
              <w:jc w:val="center"/>
              <w:rPr>
                <w:b/>
                <w:bCs/>
                <w:sz w:val="22"/>
                <w:szCs w:val="28"/>
              </w:rPr>
            </w:pPr>
            <w:r w:rsidRPr="00A770C5">
              <w:rPr>
                <w:b/>
                <w:bCs/>
                <w:sz w:val="22"/>
                <w:szCs w:val="28"/>
              </w:rPr>
              <w:t>Production budgets and licence fees from 2022</w:t>
            </w:r>
          </w:p>
          <w:p w14:paraId="6FCA9112" w14:textId="013ADC42" w:rsidR="00681E1E" w:rsidRPr="00EE4DE2" w:rsidRDefault="00681E1E" w:rsidP="0009112E">
            <w:pPr>
              <w:widowControl w:val="0"/>
              <w:spacing w:after="0" w:line="240" w:lineRule="auto"/>
              <w:jc w:val="center"/>
              <w:rPr>
                <w:rFonts w:cs="Arial"/>
                <w:color w:val="0000FF"/>
                <w:szCs w:val="20"/>
                <w:u w:val="single"/>
              </w:rPr>
            </w:pPr>
            <w:hyperlink r:id="rId33" w:history="1">
              <w:r w:rsidRPr="00D27C72">
                <w:rPr>
                  <w:rStyle w:val="Hyperlink"/>
                  <w:rFonts w:cs="Arial"/>
                  <w:szCs w:val="20"/>
                </w:rPr>
                <w:t>Schedule 1 - Genre point allocation table with 2022 CPI increases</w:t>
              </w:r>
            </w:hyperlink>
          </w:p>
        </w:tc>
        <w:tc>
          <w:tcPr>
            <w:tcW w:w="1600" w:type="pct"/>
            <w:gridSpan w:val="3"/>
            <w:tcBorders>
              <w:top w:val="single" w:sz="8" w:space="0" w:color="auto"/>
              <w:left w:val="nil"/>
              <w:bottom w:val="single" w:sz="8" w:space="0" w:color="auto"/>
              <w:right w:val="single" w:sz="8" w:space="0" w:color="000000"/>
            </w:tcBorders>
            <w:shd w:val="clear" w:color="000000" w:fill="FF9900"/>
            <w:vAlign w:val="center"/>
            <w:hideMark/>
          </w:tcPr>
          <w:p w14:paraId="492C607E" w14:textId="77777777" w:rsidR="00681E1E" w:rsidRPr="00EE4DE2" w:rsidRDefault="00681E1E" w:rsidP="00D27C72">
            <w:pPr>
              <w:widowControl w:val="0"/>
              <w:spacing w:after="0" w:line="240" w:lineRule="auto"/>
              <w:jc w:val="center"/>
              <w:rPr>
                <w:rFonts w:cs="Arial"/>
                <w:b/>
                <w:bCs/>
                <w:szCs w:val="20"/>
              </w:rPr>
            </w:pPr>
            <w:r w:rsidRPr="00EE4DE2">
              <w:rPr>
                <w:rFonts w:cs="Arial"/>
                <w:b/>
                <w:bCs/>
                <w:szCs w:val="20"/>
              </w:rPr>
              <w:t>2023</w:t>
            </w:r>
          </w:p>
        </w:tc>
        <w:tc>
          <w:tcPr>
            <w:tcW w:w="2198" w:type="pct"/>
            <w:gridSpan w:val="4"/>
            <w:tcBorders>
              <w:top w:val="single" w:sz="8" w:space="0" w:color="auto"/>
              <w:left w:val="nil"/>
              <w:bottom w:val="single" w:sz="8" w:space="0" w:color="auto"/>
              <w:right w:val="single" w:sz="8" w:space="0" w:color="000000"/>
            </w:tcBorders>
            <w:shd w:val="clear" w:color="000000" w:fill="FF9900"/>
            <w:noWrap/>
            <w:vAlign w:val="center"/>
            <w:hideMark/>
          </w:tcPr>
          <w:p w14:paraId="467E8C7A" w14:textId="77777777" w:rsidR="00681E1E" w:rsidRPr="00EE4DE2" w:rsidRDefault="00681E1E" w:rsidP="00D27C72">
            <w:pPr>
              <w:widowControl w:val="0"/>
              <w:spacing w:after="0" w:line="240" w:lineRule="auto"/>
              <w:jc w:val="center"/>
              <w:rPr>
                <w:rFonts w:cs="Arial"/>
                <w:b/>
                <w:bCs/>
                <w:szCs w:val="20"/>
              </w:rPr>
            </w:pPr>
            <w:r w:rsidRPr="00EE4DE2">
              <w:rPr>
                <w:rFonts w:cs="Arial"/>
                <w:b/>
                <w:bCs/>
                <w:szCs w:val="20"/>
              </w:rPr>
              <w:t>Basis of calculation</w:t>
            </w:r>
          </w:p>
        </w:tc>
      </w:tr>
      <w:tr w:rsidR="00681E1E" w:rsidRPr="00BD0240" w14:paraId="711056A7" w14:textId="77777777" w:rsidTr="00681E1E">
        <w:trPr>
          <w:cantSplit/>
        </w:trPr>
        <w:tc>
          <w:tcPr>
            <w:tcW w:w="1202" w:type="pct"/>
            <w:vMerge/>
            <w:tcBorders>
              <w:left w:val="single" w:sz="8" w:space="0" w:color="auto"/>
              <w:bottom w:val="single" w:sz="8" w:space="0" w:color="auto"/>
              <w:right w:val="single" w:sz="8" w:space="0" w:color="auto"/>
            </w:tcBorders>
            <w:shd w:val="clear" w:color="000000" w:fill="FF9900"/>
            <w:vAlign w:val="center"/>
            <w:hideMark/>
          </w:tcPr>
          <w:p w14:paraId="4FB3163B" w14:textId="20109AE0" w:rsidR="00681E1E" w:rsidRPr="00EE4DE2" w:rsidRDefault="00681E1E" w:rsidP="0009112E">
            <w:pPr>
              <w:widowControl w:val="0"/>
              <w:spacing w:after="0" w:line="240" w:lineRule="auto"/>
              <w:jc w:val="center"/>
              <w:rPr>
                <w:rFonts w:cs="Arial"/>
                <w:color w:val="0000FF"/>
                <w:szCs w:val="20"/>
                <w:u w:val="single"/>
              </w:rPr>
            </w:pPr>
          </w:p>
        </w:tc>
        <w:tc>
          <w:tcPr>
            <w:tcW w:w="556" w:type="pct"/>
            <w:tcBorders>
              <w:top w:val="nil"/>
              <w:left w:val="nil"/>
              <w:bottom w:val="single" w:sz="8" w:space="0" w:color="auto"/>
              <w:right w:val="single" w:sz="4" w:space="0" w:color="auto"/>
            </w:tcBorders>
            <w:shd w:val="clear" w:color="000000" w:fill="FF9900"/>
            <w:vAlign w:val="center"/>
            <w:hideMark/>
          </w:tcPr>
          <w:p w14:paraId="2468A4C9" w14:textId="77777777" w:rsidR="00681E1E" w:rsidRPr="00EE4DE2" w:rsidRDefault="00681E1E" w:rsidP="0009112E">
            <w:pPr>
              <w:widowControl w:val="0"/>
              <w:spacing w:after="0" w:line="240" w:lineRule="auto"/>
              <w:jc w:val="center"/>
              <w:rPr>
                <w:rFonts w:cs="Arial"/>
                <w:b/>
                <w:bCs/>
                <w:szCs w:val="20"/>
              </w:rPr>
            </w:pPr>
            <w:r w:rsidRPr="00EE4DE2">
              <w:rPr>
                <w:rFonts w:cs="Arial"/>
                <w:b/>
                <w:bCs/>
                <w:szCs w:val="20"/>
              </w:rPr>
              <w:t>Points per hour broadcast</w:t>
            </w:r>
          </w:p>
        </w:tc>
        <w:tc>
          <w:tcPr>
            <w:tcW w:w="522" w:type="pct"/>
            <w:tcBorders>
              <w:top w:val="nil"/>
              <w:left w:val="nil"/>
              <w:bottom w:val="single" w:sz="8" w:space="0" w:color="auto"/>
              <w:right w:val="single" w:sz="4" w:space="0" w:color="auto"/>
            </w:tcBorders>
            <w:shd w:val="clear" w:color="000000" w:fill="FF9900"/>
            <w:vAlign w:val="center"/>
            <w:hideMark/>
          </w:tcPr>
          <w:p w14:paraId="5D867435" w14:textId="77777777" w:rsidR="00681E1E" w:rsidRPr="00EE4DE2" w:rsidRDefault="00681E1E" w:rsidP="00D27C72">
            <w:pPr>
              <w:widowControl w:val="0"/>
              <w:spacing w:after="0" w:line="240" w:lineRule="auto"/>
              <w:jc w:val="center"/>
              <w:rPr>
                <w:rFonts w:cs="Arial"/>
                <w:b/>
                <w:bCs/>
                <w:szCs w:val="20"/>
              </w:rPr>
            </w:pPr>
            <w:r w:rsidRPr="00EE4DE2">
              <w:rPr>
                <w:rFonts w:cs="Arial"/>
                <w:b/>
                <w:bCs/>
                <w:szCs w:val="20"/>
              </w:rPr>
              <w:t>Lower or only value ($)</w:t>
            </w:r>
          </w:p>
        </w:tc>
        <w:tc>
          <w:tcPr>
            <w:tcW w:w="522" w:type="pct"/>
            <w:tcBorders>
              <w:top w:val="nil"/>
              <w:left w:val="nil"/>
              <w:bottom w:val="single" w:sz="8" w:space="0" w:color="auto"/>
              <w:right w:val="single" w:sz="8" w:space="0" w:color="auto"/>
            </w:tcBorders>
            <w:shd w:val="clear" w:color="000000" w:fill="FF9900"/>
            <w:vAlign w:val="center"/>
            <w:hideMark/>
          </w:tcPr>
          <w:p w14:paraId="1584471C" w14:textId="77777777" w:rsidR="00681E1E" w:rsidRDefault="00681E1E" w:rsidP="00D27C72">
            <w:pPr>
              <w:widowControl w:val="0"/>
              <w:spacing w:after="0" w:line="240" w:lineRule="auto"/>
              <w:jc w:val="center"/>
              <w:rPr>
                <w:rFonts w:cs="Arial"/>
                <w:b/>
                <w:bCs/>
                <w:szCs w:val="20"/>
              </w:rPr>
            </w:pPr>
            <w:r w:rsidRPr="00EE4DE2">
              <w:rPr>
                <w:rFonts w:cs="Arial"/>
                <w:b/>
                <w:bCs/>
                <w:szCs w:val="20"/>
              </w:rPr>
              <w:t xml:space="preserve">Higher value </w:t>
            </w:r>
          </w:p>
          <w:p w14:paraId="0A24F025" w14:textId="2A12278E" w:rsidR="00681E1E" w:rsidRPr="00EE4DE2" w:rsidRDefault="00681E1E" w:rsidP="00D27C72">
            <w:pPr>
              <w:widowControl w:val="0"/>
              <w:spacing w:after="0" w:line="240" w:lineRule="auto"/>
              <w:jc w:val="center"/>
              <w:rPr>
                <w:rFonts w:cs="Arial"/>
                <w:b/>
                <w:bCs/>
                <w:szCs w:val="20"/>
              </w:rPr>
            </w:pPr>
            <w:r w:rsidRPr="00EE4DE2">
              <w:rPr>
                <w:rFonts w:cs="Arial"/>
                <w:b/>
                <w:bCs/>
                <w:szCs w:val="20"/>
              </w:rPr>
              <w:t>($)</w:t>
            </w:r>
          </w:p>
        </w:tc>
        <w:tc>
          <w:tcPr>
            <w:tcW w:w="452" w:type="pct"/>
            <w:tcBorders>
              <w:top w:val="nil"/>
              <w:left w:val="nil"/>
              <w:bottom w:val="single" w:sz="8" w:space="0" w:color="auto"/>
              <w:right w:val="single" w:sz="4" w:space="0" w:color="auto"/>
            </w:tcBorders>
            <w:shd w:val="clear" w:color="000000" w:fill="FF9900"/>
            <w:vAlign w:val="bottom"/>
            <w:hideMark/>
          </w:tcPr>
          <w:p w14:paraId="461D7B94" w14:textId="3749B343" w:rsidR="00681E1E" w:rsidRPr="00EE4DE2" w:rsidRDefault="00681E1E" w:rsidP="00D27C72">
            <w:pPr>
              <w:widowControl w:val="0"/>
              <w:spacing w:after="0" w:line="240" w:lineRule="auto"/>
              <w:jc w:val="center"/>
              <w:rPr>
                <w:rFonts w:cs="Arial"/>
                <w:szCs w:val="20"/>
              </w:rPr>
            </w:pPr>
            <w:r w:rsidRPr="00EE4DE2">
              <w:rPr>
                <w:rFonts w:cs="Arial"/>
                <w:szCs w:val="20"/>
              </w:rPr>
              <w:t>Latest CPI number (CPI number for quarter ending 30 S</w:t>
            </w:r>
            <w:r>
              <w:rPr>
                <w:rFonts w:cs="Arial"/>
                <w:szCs w:val="20"/>
              </w:rPr>
              <w:t>ep</w:t>
            </w:r>
            <w:r w:rsidRPr="00EE4DE2">
              <w:rPr>
                <w:rFonts w:cs="Arial"/>
                <w:szCs w:val="20"/>
              </w:rPr>
              <w:t xml:space="preserve"> of previous year)</w:t>
            </w:r>
          </w:p>
        </w:tc>
        <w:tc>
          <w:tcPr>
            <w:tcW w:w="412" w:type="pct"/>
            <w:tcBorders>
              <w:top w:val="nil"/>
              <w:left w:val="nil"/>
              <w:bottom w:val="single" w:sz="8" w:space="0" w:color="auto"/>
              <w:right w:val="single" w:sz="4" w:space="0" w:color="auto"/>
            </w:tcBorders>
            <w:shd w:val="clear" w:color="000000" w:fill="FF9900"/>
            <w:vAlign w:val="bottom"/>
            <w:hideMark/>
          </w:tcPr>
          <w:p w14:paraId="741AC92F" w14:textId="216ED90C" w:rsidR="00681E1E" w:rsidRPr="00EE4DE2" w:rsidRDefault="00681E1E" w:rsidP="00D27C72">
            <w:pPr>
              <w:widowControl w:val="0"/>
              <w:spacing w:after="0" w:line="240" w:lineRule="auto"/>
              <w:jc w:val="center"/>
              <w:rPr>
                <w:rFonts w:cs="Arial"/>
                <w:szCs w:val="20"/>
              </w:rPr>
            </w:pPr>
            <w:r w:rsidRPr="00EE4DE2">
              <w:rPr>
                <w:rFonts w:cs="Arial"/>
                <w:szCs w:val="20"/>
              </w:rPr>
              <w:t>Earlier CPI number (CPI number for quarter ending 30 S</w:t>
            </w:r>
            <w:r>
              <w:rPr>
                <w:rFonts w:cs="Arial"/>
                <w:szCs w:val="20"/>
              </w:rPr>
              <w:t>ep</w:t>
            </w:r>
            <w:r w:rsidRPr="00EE4DE2">
              <w:rPr>
                <w:rFonts w:cs="Arial"/>
                <w:szCs w:val="20"/>
              </w:rPr>
              <w:t xml:space="preserve"> two years before)</w:t>
            </w:r>
          </w:p>
        </w:tc>
        <w:tc>
          <w:tcPr>
            <w:tcW w:w="666" w:type="pct"/>
            <w:tcBorders>
              <w:top w:val="nil"/>
              <w:left w:val="nil"/>
              <w:bottom w:val="single" w:sz="8" w:space="0" w:color="auto"/>
              <w:right w:val="single" w:sz="4" w:space="0" w:color="auto"/>
            </w:tcBorders>
            <w:shd w:val="clear" w:color="000000" w:fill="FF9900"/>
            <w:vAlign w:val="bottom"/>
            <w:hideMark/>
          </w:tcPr>
          <w:p w14:paraId="42A509E8" w14:textId="77777777" w:rsidR="00681E1E" w:rsidRPr="00EE4DE2" w:rsidRDefault="00681E1E" w:rsidP="00D27C72">
            <w:pPr>
              <w:widowControl w:val="0"/>
              <w:spacing w:after="0" w:line="240" w:lineRule="auto"/>
              <w:jc w:val="center"/>
              <w:rPr>
                <w:rFonts w:cs="Arial"/>
                <w:szCs w:val="20"/>
              </w:rPr>
            </w:pPr>
            <w:r w:rsidRPr="00EE4DE2">
              <w:rPr>
                <w:rFonts w:cs="Arial"/>
                <w:szCs w:val="20"/>
              </w:rPr>
              <w:t xml:space="preserve">Lower or only original value x Latest CPI ÷ earlier CPI     </w:t>
            </w:r>
          </w:p>
        </w:tc>
        <w:tc>
          <w:tcPr>
            <w:tcW w:w="667" w:type="pct"/>
            <w:tcBorders>
              <w:top w:val="nil"/>
              <w:left w:val="nil"/>
              <w:bottom w:val="single" w:sz="8" w:space="0" w:color="auto"/>
              <w:right w:val="single" w:sz="8" w:space="0" w:color="auto"/>
            </w:tcBorders>
            <w:shd w:val="clear" w:color="000000" w:fill="FF9900"/>
            <w:vAlign w:val="bottom"/>
            <w:hideMark/>
          </w:tcPr>
          <w:p w14:paraId="5079F09B" w14:textId="77777777" w:rsidR="00681E1E" w:rsidRPr="00EE4DE2" w:rsidRDefault="00681E1E" w:rsidP="00D27C72">
            <w:pPr>
              <w:widowControl w:val="0"/>
              <w:spacing w:after="0" w:line="240" w:lineRule="auto"/>
              <w:jc w:val="center"/>
              <w:rPr>
                <w:rFonts w:cs="Arial"/>
                <w:szCs w:val="20"/>
              </w:rPr>
            </w:pPr>
            <w:r w:rsidRPr="00EE4DE2">
              <w:rPr>
                <w:rFonts w:cs="Arial"/>
                <w:szCs w:val="20"/>
              </w:rPr>
              <w:t xml:space="preserve">Higher original value x Latest CPI ÷ earlier CPI     </w:t>
            </w:r>
          </w:p>
        </w:tc>
      </w:tr>
      <w:tr w:rsidR="00EA0D39" w:rsidRPr="00BD0240" w14:paraId="7662C1FC" w14:textId="77777777" w:rsidTr="00F351A4">
        <w:trPr>
          <w:cantSplit/>
        </w:trPr>
        <w:tc>
          <w:tcPr>
            <w:tcW w:w="1202" w:type="pct"/>
            <w:tcBorders>
              <w:top w:val="nil"/>
              <w:left w:val="single" w:sz="8" w:space="0" w:color="auto"/>
              <w:bottom w:val="single" w:sz="8" w:space="0" w:color="auto"/>
              <w:right w:val="single" w:sz="8" w:space="0" w:color="auto"/>
            </w:tcBorders>
            <w:shd w:val="clear" w:color="auto" w:fill="FBD4B4" w:themeFill="accent6" w:themeFillTint="66"/>
            <w:vAlign w:val="center"/>
            <w:hideMark/>
          </w:tcPr>
          <w:p w14:paraId="1AD93789" w14:textId="77777777" w:rsidR="00EE4DE2" w:rsidRPr="00EE4DE2" w:rsidRDefault="00EE4DE2" w:rsidP="00EA0D39">
            <w:pPr>
              <w:widowControl w:val="0"/>
              <w:spacing w:after="120" w:line="240" w:lineRule="auto"/>
              <w:rPr>
                <w:rFonts w:cs="Arial"/>
                <w:b/>
                <w:bCs/>
                <w:szCs w:val="20"/>
              </w:rPr>
            </w:pPr>
            <w:r w:rsidRPr="00EE4DE2">
              <w:rPr>
                <w:rFonts w:cs="Arial"/>
                <w:b/>
                <w:bCs/>
                <w:szCs w:val="20"/>
              </w:rPr>
              <w:t>Commissioned first release Australian drama program (less than or equal to $464,000 production budget per hour)</w:t>
            </w:r>
          </w:p>
        </w:tc>
        <w:tc>
          <w:tcPr>
            <w:tcW w:w="556" w:type="pct"/>
            <w:tcBorders>
              <w:top w:val="nil"/>
              <w:left w:val="nil"/>
              <w:bottom w:val="single" w:sz="4" w:space="0" w:color="auto"/>
              <w:right w:val="single" w:sz="4" w:space="0" w:color="auto"/>
            </w:tcBorders>
            <w:shd w:val="clear" w:color="auto" w:fill="F1E2D3"/>
            <w:vAlign w:val="center"/>
            <w:hideMark/>
          </w:tcPr>
          <w:p w14:paraId="1A3447C8" w14:textId="77777777" w:rsidR="00EE4DE2" w:rsidRPr="00EE4DE2" w:rsidRDefault="00EE4DE2" w:rsidP="0009112E">
            <w:pPr>
              <w:widowControl w:val="0"/>
              <w:spacing w:after="0" w:line="240" w:lineRule="auto"/>
              <w:jc w:val="center"/>
              <w:rPr>
                <w:rFonts w:cs="Arial"/>
                <w:color w:val="000000"/>
                <w:szCs w:val="20"/>
              </w:rPr>
            </w:pPr>
            <w:r w:rsidRPr="00EE4DE2">
              <w:rPr>
                <w:rFonts w:cs="Arial"/>
                <w:color w:val="000000"/>
                <w:szCs w:val="20"/>
              </w:rPr>
              <w:t>1.5</w:t>
            </w:r>
          </w:p>
        </w:tc>
        <w:tc>
          <w:tcPr>
            <w:tcW w:w="522" w:type="pct"/>
            <w:tcBorders>
              <w:top w:val="nil"/>
              <w:left w:val="nil"/>
              <w:bottom w:val="single" w:sz="4" w:space="0" w:color="auto"/>
              <w:right w:val="single" w:sz="4" w:space="0" w:color="auto"/>
            </w:tcBorders>
            <w:shd w:val="clear" w:color="auto" w:fill="F1E2D3"/>
            <w:vAlign w:val="center"/>
            <w:hideMark/>
          </w:tcPr>
          <w:p w14:paraId="62B2824B"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498,000</w:t>
            </w:r>
          </w:p>
        </w:tc>
        <w:tc>
          <w:tcPr>
            <w:tcW w:w="522" w:type="pct"/>
            <w:tcBorders>
              <w:top w:val="nil"/>
              <w:left w:val="nil"/>
              <w:bottom w:val="single" w:sz="4" w:space="0" w:color="auto"/>
              <w:right w:val="single" w:sz="8" w:space="0" w:color="auto"/>
            </w:tcBorders>
            <w:shd w:val="clear" w:color="auto" w:fill="F1E2D3"/>
            <w:vAlign w:val="center"/>
            <w:hideMark/>
          </w:tcPr>
          <w:p w14:paraId="753D71C0"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N/A</w:t>
            </w:r>
          </w:p>
        </w:tc>
        <w:tc>
          <w:tcPr>
            <w:tcW w:w="452" w:type="pct"/>
            <w:tcBorders>
              <w:top w:val="nil"/>
              <w:left w:val="nil"/>
              <w:bottom w:val="single" w:sz="4" w:space="0" w:color="auto"/>
              <w:right w:val="single" w:sz="4" w:space="0" w:color="auto"/>
            </w:tcBorders>
            <w:shd w:val="clear" w:color="auto" w:fill="auto"/>
            <w:noWrap/>
            <w:vAlign w:val="center"/>
            <w:hideMark/>
          </w:tcPr>
          <w:p w14:paraId="5141D247" w14:textId="77777777" w:rsidR="00EE4DE2" w:rsidRPr="00EE4DE2" w:rsidRDefault="00EE4DE2" w:rsidP="00D27C72">
            <w:pPr>
              <w:widowControl w:val="0"/>
              <w:spacing w:after="0" w:line="240" w:lineRule="auto"/>
              <w:jc w:val="center"/>
              <w:rPr>
                <w:rFonts w:cs="Arial"/>
                <w:szCs w:val="20"/>
              </w:rPr>
            </w:pPr>
            <w:r w:rsidRPr="00EE4DE2">
              <w:rPr>
                <w:rFonts w:cs="Arial"/>
                <w:szCs w:val="20"/>
              </w:rPr>
              <w:t>128.40</w:t>
            </w:r>
          </w:p>
        </w:tc>
        <w:tc>
          <w:tcPr>
            <w:tcW w:w="412" w:type="pct"/>
            <w:tcBorders>
              <w:top w:val="nil"/>
              <w:left w:val="nil"/>
              <w:bottom w:val="single" w:sz="4" w:space="0" w:color="auto"/>
              <w:right w:val="single" w:sz="4" w:space="0" w:color="auto"/>
            </w:tcBorders>
            <w:shd w:val="clear" w:color="auto" w:fill="auto"/>
            <w:noWrap/>
            <w:vAlign w:val="center"/>
            <w:hideMark/>
          </w:tcPr>
          <w:p w14:paraId="652CCDA0" w14:textId="77777777" w:rsidR="00EE4DE2" w:rsidRPr="00EE4DE2" w:rsidRDefault="00EE4DE2" w:rsidP="00D27C72">
            <w:pPr>
              <w:widowControl w:val="0"/>
              <w:spacing w:after="0" w:line="240" w:lineRule="auto"/>
              <w:jc w:val="center"/>
              <w:rPr>
                <w:rFonts w:cs="Arial"/>
                <w:szCs w:val="20"/>
              </w:rPr>
            </w:pPr>
            <w:r w:rsidRPr="00EE4DE2">
              <w:rPr>
                <w:rFonts w:cs="Arial"/>
                <w:szCs w:val="20"/>
              </w:rPr>
              <w:t>119.70</w:t>
            </w:r>
          </w:p>
        </w:tc>
        <w:tc>
          <w:tcPr>
            <w:tcW w:w="666" w:type="pct"/>
            <w:tcBorders>
              <w:top w:val="nil"/>
              <w:left w:val="nil"/>
              <w:bottom w:val="single" w:sz="4" w:space="0" w:color="auto"/>
              <w:right w:val="single" w:sz="4" w:space="0" w:color="auto"/>
            </w:tcBorders>
            <w:shd w:val="clear" w:color="auto" w:fill="auto"/>
            <w:noWrap/>
            <w:vAlign w:val="center"/>
            <w:hideMark/>
          </w:tcPr>
          <w:p w14:paraId="02D9592E" w14:textId="77777777" w:rsidR="00EE4DE2" w:rsidRPr="00EE4DE2" w:rsidRDefault="00EE4DE2" w:rsidP="00D27C72">
            <w:pPr>
              <w:widowControl w:val="0"/>
              <w:spacing w:after="0" w:line="240" w:lineRule="auto"/>
              <w:jc w:val="center"/>
              <w:rPr>
                <w:rFonts w:cs="Arial"/>
                <w:szCs w:val="20"/>
              </w:rPr>
            </w:pPr>
            <w:r w:rsidRPr="00EE4DE2">
              <w:rPr>
                <w:rFonts w:cs="Arial"/>
                <w:szCs w:val="20"/>
              </w:rPr>
              <w:t>497,724.31</w:t>
            </w:r>
          </w:p>
        </w:tc>
        <w:tc>
          <w:tcPr>
            <w:tcW w:w="667" w:type="pct"/>
            <w:tcBorders>
              <w:top w:val="nil"/>
              <w:left w:val="nil"/>
              <w:bottom w:val="single" w:sz="4" w:space="0" w:color="auto"/>
              <w:right w:val="single" w:sz="8" w:space="0" w:color="auto"/>
            </w:tcBorders>
            <w:shd w:val="clear" w:color="auto" w:fill="auto"/>
            <w:noWrap/>
            <w:vAlign w:val="center"/>
            <w:hideMark/>
          </w:tcPr>
          <w:p w14:paraId="673EFC52" w14:textId="77777777" w:rsidR="00EE4DE2" w:rsidRPr="00EE4DE2" w:rsidRDefault="00EE4DE2" w:rsidP="00D27C72">
            <w:pPr>
              <w:widowControl w:val="0"/>
              <w:spacing w:after="0" w:line="240" w:lineRule="auto"/>
              <w:jc w:val="center"/>
              <w:rPr>
                <w:rFonts w:cs="Arial"/>
                <w:szCs w:val="20"/>
              </w:rPr>
            </w:pPr>
            <w:r w:rsidRPr="00EE4DE2">
              <w:rPr>
                <w:rFonts w:cs="Arial"/>
                <w:szCs w:val="20"/>
              </w:rPr>
              <w:t>N/A</w:t>
            </w:r>
          </w:p>
        </w:tc>
      </w:tr>
      <w:tr w:rsidR="00EA0D39" w:rsidRPr="00BD0240" w14:paraId="2E1ED714" w14:textId="77777777" w:rsidTr="00F351A4">
        <w:trPr>
          <w:cantSplit/>
        </w:trPr>
        <w:tc>
          <w:tcPr>
            <w:tcW w:w="1202" w:type="pct"/>
            <w:tcBorders>
              <w:top w:val="nil"/>
              <w:left w:val="single" w:sz="8" w:space="0" w:color="auto"/>
              <w:bottom w:val="single" w:sz="8" w:space="0" w:color="auto"/>
              <w:right w:val="single" w:sz="8" w:space="0" w:color="auto"/>
            </w:tcBorders>
            <w:shd w:val="clear" w:color="auto" w:fill="FDE9D9" w:themeFill="accent6" w:themeFillTint="33"/>
            <w:vAlign w:val="center"/>
            <w:hideMark/>
          </w:tcPr>
          <w:p w14:paraId="45B8DC7A" w14:textId="77777777" w:rsidR="00EE4DE2" w:rsidRPr="00EE4DE2" w:rsidRDefault="00EE4DE2" w:rsidP="00EA0D39">
            <w:pPr>
              <w:widowControl w:val="0"/>
              <w:spacing w:after="120" w:line="240" w:lineRule="auto"/>
              <w:rPr>
                <w:rFonts w:cs="Arial"/>
                <w:b/>
                <w:bCs/>
                <w:szCs w:val="20"/>
              </w:rPr>
            </w:pPr>
            <w:r w:rsidRPr="00EE4DE2">
              <w:rPr>
                <w:rFonts w:cs="Arial"/>
                <w:b/>
                <w:bCs/>
                <w:szCs w:val="20"/>
              </w:rPr>
              <w:t>Commissioned first release Australian drama program (more than $464,000 up to $721,000 production budget per hour)</w:t>
            </w:r>
          </w:p>
        </w:tc>
        <w:tc>
          <w:tcPr>
            <w:tcW w:w="556" w:type="pct"/>
            <w:tcBorders>
              <w:top w:val="nil"/>
              <w:left w:val="nil"/>
              <w:bottom w:val="single" w:sz="4" w:space="0" w:color="auto"/>
              <w:right w:val="single" w:sz="4" w:space="0" w:color="auto"/>
            </w:tcBorders>
            <w:shd w:val="clear" w:color="auto" w:fill="F1E2D3"/>
            <w:vAlign w:val="center"/>
            <w:hideMark/>
          </w:tcPr>
          <w:p w14:paraId="5FEF1EF1" w14:textId="77777777" w:rsidR="00EE4DE2" w:rsidRPr="00EE4DE2" w:rsidRDefault="00EE4DE2" w:rsidP="0009112E">
            <w:pPr>
              <w:widowControl w:val="0"/>
              <w:spacing w:after="0" w:line="240" w:lineRule="auto"/>
              <w:jc w:val="center"/>
              <w:rPr>
                <w:rFonts w:cs="Arial"/>
                <w:color w:val="000000"/>
                <w:szCs w:val="20"/>
              </w:rPr>
            </w:pPr>
            <w:r w:rsidRPr="00EE4DE2">
              <w:rPr>
                <w:rFonts w:cs="Arial"/>
                <w:color w:val="000000"/>
                <w:szCs w:val="20"/>
              </w:rPr>
              <w:t>4</w:t>
            </w:r>
          </w:p>
        </w:tc>
        <w:tc>
          <w:tcPr>
            <w:tcW w:w="522" w:type="pct"/>
            <w:tcBorders>
              <w:top w:val="nil"/>
              <w:left w:val="nil"/>
              <w:bottom w:val="single" w:sz="4" w:space="0" w:color="auto"/>
              <w:right w:val="single" w:sz="4" w:space="0" w:color="auto"/>
            </w:tcBorders>
            <w:shd w:val="clear" w:color="auto" w:fill="F1E2D3"/>
            <w:vAlign w:val="center"/>
            <w:hideMark/>
          </w:tcPr>
          <w:p w14:paraId="7382EF98"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498,000</w:t>
            </w:r>
          </w:p>
        </w:tc>
        <w:tc>
          <w:tcPr>
            <w:tcW w:w="522" w:type="pct"/>
            <w:tcBorders>
              <w:top w:val="nil"/>
              <w:left w:val="nil"/>
              <w:bottom w:val="single" w:sz="4" w:space="0" w:color="auto"/>
              <w:right w:val="single" w:sz="8" w:space="0" w:color="auto"/>
            </w:tcBorders>
            <w:shd w:val="clear" w:color="auto" w:fill="F1E2D3"/>
            <w:vAlign w:val="center"/>
            <w:hideMark/>
          </w:tcPr>
          <w:p w14:paraId="012E9794"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773,000</w:t>
            </w:r>
          </w:p>
        </w:tc>
        <w:tc>
          <w:tcPr>
            <w:tcW w:w="452" w:type="pct"/>
            <w:tcBorders>
              <w:top w:val="nil"/>
              <w:left w:val="nil"/>
              <w:bottom w:val="single" w:sz="4" w:space="0" w:color="auto"/>
              <w:right w:val="single" w:sz="4" w:space="0" w:color="auto"/>
            </w:tcBorders>
            <w:shd w:val="clear" w:color="auto" w:fill="auto"/>
            <w:noWrap/>
            <w:vAlign w:val="center"/>
            <w:hideMark/>
          </w:tcPr>
          <w:p w14:paraId="7379B7E5" w14:textId="77777777" w:rsidR="00EE4DE2" w:rsidRPr="00EE4DE2" w:rsidRDefault="00EE4DE2" w:rsidP="00D27C72">
            <w:pPr>
              <w:widowControl w:val="0"/>
              <w:spacing w:after="0" w:line="240" w:lineRule="auto"/>
              <w:jc w:val="center"/>
              <w:rPr>
                <w:rFonts w:cs="Arial"/>
                <w:szCs w:val="20"/>
              </w:rPr>
            </w:pPr>
            <w:r w:rsidRPr="00EE4DE2">
              <w:rPr>
                <w:rFonts w:cs="Arial"/>
                <w:szCs w:val="20"/>
              </w:rPr>
              <w:t>128.40</w:t>
            </w:r>
          </w:p>
        </w:tc>
        <w:tc>
          <w:tcPr>
            <w:tcW w:w="412" w:type="pct"/>
            <w:tcBorders>
              <w:top w:val="nil"/>
              <w:left w:val="nil"/>
              <w:bottom w:val="single" w:sz="4" w:space="0" w:color="auto"/>
              <w:right w:val="single" w:sz="4" w:space="0" w:color="auto"/>
            </w:tcBorders>
            <w:shd w:val="clear" w:color="auto" w:fill="auto"/>
            <w:noWrap/>
            <w:vAlign w:val="center"/>
            <w:hideMark/>
          </w:tcPr>
          <w:p w14:paraId="1F90AFB3" w14:textId="77777777" w:rsidR="00EE4DE2" w:rsidRPr="00EE4DE2" w:rsidRDefault="00EE4DE2" w:rsidP="00D27C72">
            <w:pPr>
              <w:widowControl w:val="0"/>
              <w:spacing w:after="0" w:line="240" w:lineRule="auto"/>
              <w:jc w:val="center"/>
              <w:rPr>
                <w:rFonts w:cs="Arial"/>
                <w:szCs w:val="20"/>
              </w:rPr>
            </w:pPr>
            <w:r w:rsidRPr="00EE4DE2">
              <w:rPr>
                <w:rFonts w:cs="Arial"/>
                <w:szCs w:val="20"/>
              </w:rPr>
              <w:t>119.70</w:t>
            </w:r>
          </w:p>
        </w:tc>
        <w:tc>
          <w:tcPr>
            <w:tcW w:w="666" w:type="pct"/>
            <w:tcBorders>
              <w:top w:val="nil"/>
              <w:left w:val="nil"/>
              <w:bottom w:val="single" w:sz="4" w:space="0" w:color="auto"/>
              <w:right w:val="single" w:sz="4" w:space="0" w:color="auto"/>
            </w:tcBorders>
            <w:shd w:val="clear" w:color="auto" w:fill="auto"/>
            <w:noWrap/>
            <w:vAlign w:val="center"/>
            <w:hideMark/>
          </w:tcPr>
          <w:p w14:paraId="0CB12D70" w14:textId="77777777" w:rsidR="00EE4DE2" w:rsidRPr="00EE4DE2" w:rsidRDefault="00EE4DE2" w:rsidP="00D27C72">
            <w:pPr>
              <w:widowControl w:val="0"/>
              <w:spacing w:after="0" w:line="240" w:lineRule="auto"/>
              <w:jc w:val="center"/>
              <w:rPr>
                <w:rFonts w:cs="Arial"/>
                <w:szCs w:val="20"/>
              </w:rPr>
            </w:pPr>
            <w:r w:rsidRPr="00EE4DE2">
              <w:rPr>
                <w:rFonts w:cs="Arial"/>
                <w:szCs w:val="20"/>
              </w:rPr>
              <w:t>497,724.31</w:t>
            </w:r>
          </w:p>
        </w:tc>
        <w:tc>
          <w:tcPr>
            <w:tcW w:w="667" w:type="pct"/>
            <w:tcBorders>
              <w:top w:val="nil"/>
              <w:left w:val="nil"/>
              <w:bottom w:val="single" w:sz="4" w:space="0" w:color="auto"/>
              <w:right w:val="single" w:sz="8" w:space="0" w:color="auto"/>
            </w:tcBorders>
            <w:shd w:val="clear" w:color="auto" w:fill="auto"/>
            <w:noWrap/>
            <w:vAlign w:val="center"/>
            <w:hideMark/>
          </w:tcPr>
          <w:p w14:paraId="0428D923" w14:textId="4BF997B9" w:rsidR="00EE4DE2" w:rsidRPr="00EE4DE2" w:rsidRDefault="00EE4DE2" w:rsidP="00D27C72">
            <w:pPr>
              <w:widowControl w:val="0"/>
              <w:spacing w:after="0" w:line="240" w:lineRule="auto"/>
              <w:jc w:val="center"/>
              <w:rPr>
                <w:rFonts w:cs="Arial"/>
                <w:szCs w:val="20"/>
              </w:rPr>
            </w:pPr>
            <w:r w:rsidRPr="00EE4DE2">
              <w:rPr>
                <w:rFonts w:cs="Arial"/>
                <w:szCs w:val="20"/>
              </w:rPr>
              <w:t>773,403.5</w:t>
            </w:r>
            <w:r w:rsidR="00E6505C">
              <w:rPr>
                <w:rFonts w:cs="Arial"/>
                <w:szCs w:val="20"/>
              </w:rPr>
              <w:t>1</w:t>
            </w:r>
          </w:p>
        </w:tc>
      </w:tr>
      <w:tr w:rsidR="00EA0D39" w:rsidRPr="00BD0240" w14:paraId="035FC48C" w14:textId="77777777" w:rsidTr="00F351A4">
        <w:trPr>
          <w:cantSplit/>
        </w:trPr>
        <w:tc>
          <w:tcPr>
            <w:tcW w:w="1202" w:type="pct"/>
            <w:tcBorders>
              <w:top w:val="nil"/>
              <w:left w:val="single" w:sz="8" w:space="0" w:color="auto"/>
              <w:bottom w:val="single" w:sz="4" w:space="0" w:color="auto"/>
              <w:right w:val="single" w:sz="8" w:space="0" w:color="auto"/>
            </w:tcBorders>
            <w:shd w:val="clear" w:color="auto" w:fill="FBD4B4" w:themeFill="accent6" w:themeFillTint="66"/>
            <w:vAlign w:val="center"/>
            <w:hideMark/>
          </w:tcPr>
          <w:p w14:paraId="702DD90E" w14:textId="77777777" w:rsidR="00EE4DE2" w:rsidRPr="00EE4DE2" w:rsidRDefault="00EE4DE2" w:rsidP="00EA0D39">
            <w:pPr>
              <w:widowControl w:val="0"/>
              <w:spacing w:after="120" w:line="240" w:lineRule="auto"/>
              <w:rPr>
                <w:rFonts w:cs="Arial"/>
                <w:b/>
                <w:bCs/>
                <w:szCs w:val="20"/>
              </w:rPr>
            </w:pPr>
            <w:r w:rsidRPr="00EE4DE2">
              <w:rPr>
                <w:rFonts w:cs="Arial"/>
                <w:b/>
                <w:bCs/>
                <w:szCs w:val="20"/>
              </w:rPr>
              <w:t>Commissioned first release Australian drama program (more than $721,000 up to $1,030,000 production budget per hour)</w:t>
            </w:r>
          </w:p>
        </w:tc>
        <w:tc>
          <w:tcPr>
            <w:tcW w:w="556" w:type="pct"/>
            <w:tcBorders>
              <w:top w:val="nil"/>
              <w:left w:val="nil"/>
              <w:bottom w:val="single" w:sz="4" w:space="0" w:color="auto"/>
              <w:right w:val="single" w:sz="4" w:space="0" w:color="auto"/>
            </w:tcBorders>
            <w:shd w:val="clear" w:color="auto" w:fill="F1E2D3"/>
            <w:vAlign w:val="center"/>
            <w:hideMark/>
          </w:tcPr>
          <w:p w14:paraId="29ECD02B" w14:textId="77777777" w:rsidR="00EE4DE2" w:rsidRPr="00EE4DE2" w:rsidRDefault="00EE4DE2" w:rsidP="0009112E">
            <w:pPr>
              <w:widowControl w:val="0"/>
              <w:spacing w:after="0" w:line="240" w:lineRule="auto"/>
              <w:jc w:val="center"/>
              <w:rPr>
                <w:rFonts w:cs="Arial"/>
                <w:color w:val="000000"/>
                <w:szCs w:val="20"/>
              </w:rPr>
            </w:pPr>
            <w:r w:rsidRPr="00EE4DE2">
              <w:rPr>
                <w:rFonts w:cs="Arial"/>
                <w:color w:val="000000"/>
                <w:szCs w:val="20"/>
              </w:rPr>
              <w:t>5</w:t>
            </w:r>
          </w:p>
        </w:tc>
        <w:tc>
          <w:tcPr>
            <w:tcW w:w="522" w:type="pct"/>
            <w:tcBorders>
              <w:top w:val="nil"/>
              <w:left w:val="nil"/>
              <w:bottom w:val="single" w:sz="4" w:space="0" w:color="auto"/>
              <w:right w:val="single" w:sz="4" w:space="0" w:color="auto"/>
            </w:tcBorders>
            <w:shd w:val="clear" w:color="auto" w:fill="F1E2D3"/>
            <w:vAlign w:val="center"/>
            <w:hideMark/>
          </w:tcPr>
          <w:p w14:paraId="7CFAD29D"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773,000</w:t>
            </w:r>
          </w:p>
        </w:tc>
        <w:tc>
          <w:tcPr>
            <w:tcW w:w="522" w:type="pct"/>
            <w:tcBorders>
              <w:top w:val="nil"/>
              <w:left w:val="nil"/>
              <w:bottom w:val="single" w:sz="4" w:space="0" w:color="auto"/>
              <w:right w:val="single" w:sz="8" w:space="0" w:color="auto"/>
            </w:tcBorders>
            <w:shd w:val="clear" w:color="auto" w:fill="F1E2D3"/>
            <w:vAlign w:val="center"/>
            <w:hideMark/>
          </w:tcPr>
          <w:p w14:paraId="3D6EDECD"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1,105,000</w:t>
            </w:r>
          </w:p>
        </w:tc>
        <w:tc>
          <w:tcPr>
            <w:tcW w:w="452" w:type="pct"/>
            <w:tcBorders>
              <w:top w:val="nil"/>
              <w:left w:val="nil"/>
              <w:bottom w:val="single" w:sz="4" w:space="0" w:color="auto"/>
              <w:right w:val="single" w:sz="4" w:space="0" w:color="auto"/>
            </w:tcBorders>
            <w:shd w:val="clear" w:color="auto" w:fill="auto"/>
            <w:noWrap/>
            <w:vAlign w:val="center"/>
            <w:hideMark/>
          </w:tcPr>
          <w:p w14:paraId="61662B6C" w14:textId="77777777" w:rsidR="00EE4DE2" w:rsidRPr="00EE4DE2" w:rsidRDefault="00EE4DE2" w:rsidP="00D27C72">
            <w:pPr>
              <w:widowControl w:val="0"/>
              <w:spacing w:after="0" w:line="240" w:lineRule="auto"/>
              <w:jc w:val="center"/>
              <w:rPr>
                <w:rFonts w:cs="Arial"/>
                <w:szCs w:val="20"/>
              </w:rPr>
            </w:pPr>
            <w:r w:rsidRPr="00EE4DE2">
              <w:rPr>
                <w:rFonts w:cs="Arial"/>
                <w:szCs w:val="20"/>
              </w:rPr>
              <w:t>128.40</w:t>
            </w:r>
          </w:p>
        </w:tc>
        <w:tc>
          <w:tcPr>
            <w:tcW w:w="412" w:type="pct"/>
            <w:tcBorders>
              <w:top w:val="nil"/>
              <w:left w:val="nil"/>
              <w:bottom w:val="single" w:sz="4" w:space="0" w:color="auto"/>
              <w:right w:val="single" w:sz="4" w:space="0" w:color="auto"/>
            </w:tcBorders>
            <w:shd w:val="clear" w:color="auto" w:fill="auto"/>
            <w:noWrap/>
            <w:vAlign w:val="center"/>
            <w:hideMark/>
          </w:tcPr>
          <w:p w14:paraId="279CBCFB" w14:textId="77777777" w:rsidR="00EE4DE2" w:rsidRPr="00EE4DE2" w:rsidRDefault="00EE4DE2" w:rsidP="00D27C72">
            <w:pPr>
              <w:widowControl w:val="0"/>
              <w:spacing w:after="0" w:line="240" w:lineRule="auto"/>
              <w:jc w:val="center"/>
              <w:rPr>
                <w:rFonts w:cs="Arial"/>
                <w:szCs w:val="20"/>
              </w:rPr>
            </w:pPr>
            <w:r w:rsidRPr="00EE4DE2">
              <w:rPr>
                <w:rFonts w:cs="Arial"/>
                <w:szCs w:val="20"/>
              </w:rPr>
              <w:t>119.70</w:t>
            </w:r>
          </w:p>
        </w:tc>
        <w:tc>
          <w:tcPr>
            <w:tcW w:w="666" w:type="pct"/>
            <w:tcBorders>
              <w:top w:val="nil"/>
              <w:left w:val="nil"/>
              <w:bottom w:val="single" w:sz="4" w:space="0" w:color="auto"/>
              <w:right w:val="single" w:sz="4" w:space="0" w:color="auto"/>
            </w:tcBorders>
            <w:shd w:val="clear" w:color="auto" w:fill="auto"/>
            <w:noWrap/>
            <w:vAlign w:val="center"/>
            <w:hideMark/>
          </w:tcPr>
          <w:p w14:paraId="430AAE7E" w14:textId="1330329D" w:rsidR="00EE4DE2" w:rsidRPr="00EE4DE2" w:rsidRDefault="00EE4DE2" w:rsidP="00D27C72">
            <w:pPr>
              <w:widowControl w:val="0"/>
              <w:spacing w:after="0" w:line="240" w:lineRule="auto"/>
              <w:jc w:val="center"/>
              <w:rPr>
                <w:rFonts w:cs="Arial"/>
                <w:szCs w:val="20"/>
              </w:rPr>
            </w:pPr>
            <w:r w:rsidRPr="00EE4DE2">
              <w:rPr>
                <w:rFonts w:cs="Arial"/>
                <w:szCs w:val="20"/>
              </w:rPr>
              <w:t>773,403.5</w:t>
            </w:r>
            <w:r w:rsidR="00E6505C">
              <w:rPr>
                <w:rFonts w:cs="Arial"/>
                <w:szCs w:val="20"/>
              </w:rPr>
              <w:t>1</w:t>
            </w:r>
          </w:p>
        </w:tc>
        <w:tc>
          <w:tcPr>
            <w:tcW w:w="667" w:type="pct"/>
            <w:tcBorders>
              <w:top w:val="nil"/>
              <w:left w:val="nil"/>
              <w:bottom w:val="single" w:sz="4" w:space="0" w:color="auto"/>
              <w:right w:val="single" w:sz="8" w:space="0" w:color="auto"/>
            </w:tcBorders>
            <w:shd w:val="clear" w:color="auto" w:fill="auto"/>
            <w:noWrap/>
            <w:vAlign w:val="center"/>
            <w:hideMark/>
          </w:tcPr>
          <w:p w14:paraId="0BD4F24A" w14:textId="77777777" w:rsidR="00EE4DE2" w:rsidRPr="00EE4DE2" w:rsidRDefault="00EE4DE2" w:rsidP="00D27C72">
            <w:pPr>
              <w:widowControl w:val="0"/>
              <w:spacing w:after="0" w:line="240" w:lineRule="auto"/>
              <w:jc w:val="center"/>
              <w:rPr>
                <w:rFonts w:cs="Arial"/>
                <w:szCs w:val="20"/>
              </w:rPr>
            </w:pPr>
            <w:r w:rsidRPr="00EE4DE2">
              <w:rPr>
                <w:rFonts w:cs="Arial"/>
                <w:szCs w:val="20"/>
              </w:rPr>
              <w:t>1,104,862.16</w:t>
            </w:r>
          </w:p>
        </w:tc>
      </w:tr>
      <w:tr w:rsidR="00EA0D39" w:rsidRPr="00BD0240" w14:paraId="6FF963A7" w14:textId="77777777" w:rsidTr="00F351A4">
        <w:trPr>
          <w:cantSplit/>
        </w:trPr>
        <w:tc>
          <w:tcPr>
            <w:tcW w:w="1202" w:type="pct"/>
            <w:tcBorders>
              <w:top w:val="single" w:sz="4" w:space="0" w:color="auto"/>
              <w:left w:val="single" w:sz="8" w:space="0" w:color="auto"/>
              <w:bottom w:val="single" w:sz="8" w:space="0" w:color="auto"/>
              <w:right w:val="single" w:sz="8" w:space="0" w:color="auto"/>
            </w:tcBorders>
            <w:shd w:val="clear" w:color="auto" w:fill="FDE9D9" w:themeFill="accent6" w:themeFillTint="33"/>
            <w:vAlign w:val="center"/>
            <w:hideMark/>
          </w:tcPr>
          <w:p w14:paraId="0C03E32A" w14:textId="77777777" w:rsidR="00EE4DE2" w:rsidRPr="00EE4DE2" w:rsidRDefault="00EE4DE2" w:rsidP="00EA0D39">
            <w:pPr>
              <w:widowControl w:val="0"/>
              <w:spacing w:after="120" w:line="240" w:lineRule="auto"/>
              <w:rPr>
                <w:rFonts w:cs="Arial"/>
                <w:b/>
                <w:bCs/>
                <w:szCs w:val="20"/>
              </w:rPr>
            </w:pPr>
            <w:r w:rsidRPr="00EE4DE2">
              <w:rPr>
                <w:rFonts w:cs="Arial"/>
                <w:b/>
                <w:bCs/>
                <w:szCs w:val="20"/>
              </w:rPr>
              <w:lastRenderedPageBreak/>
              <w:t>Commissioned first release Australian drama program (more than $1,030,000 up to $1,442,000 production budget per hour)</w:t>
            </w:r>
          </w:p>
        </w:tc>
        <w:tc>
          <w:tcPr>
            <w:tcW w:w="556" w:type="pct"/>
            <w:tcBorders>
              <w:top w:val="single" w:sz="4" w:space="0" w:color="auto"/>
              <w:left w:val="nil"/>
              <w:bottom w:val="single" w:sz="4" w:space="0" w:color="auto"/>
              <w:right w:val="single" w:sz="4" w:space="0" w:color="auto"/>
            </w:tcBorders>
            <w:shd w:val="clear" w:color="auto" w:fill="F1E2D3"/>
            <w:vAlign w:val="center"/>
            <w:hideMark/>
          </w:tcPr>
          <w:p w14:paraId="0C2E6D7F" w14:textId="77777777" w:rsidR="00EE4DE2" w:rsidRPr="00EE4DE2" w:rsidRDefault="00EE4DE2" w:rsidP="0009112E">
            <w:pPr>
              <w:widowControl w:val="0"/>
              <w:spacing w:after="0" w:line="240" w:lineRule="auto"/>
              <w:jc w:val="center"/>
              <w:rPr>
                <w:rFonts w:cs="Arial"/>
                <w:color w:val="000000"/>
                <w:szCs w:val="20"/>
              </w:rPr>
            </w:pPr>
            <w:r w:rsidRPr="00EE4DE2">
              <w:rPr>
                <w:rFonts w:cs="Arial"/>
                <w:color w:val="000000"/>
                <w:szCs w:val="20"/>
              </w:rPr>
              <w:t>6</w:t>
            </w:r>
          </w:p>
        </w:tc>
        <w:tc>
          <w:tcPr>
            <w:tcW w:w="522" w:type="pct"/>
            <w:tcBorders>
              <w:top w:val="single" w:sz="4" w:space="0" w:color="auto"/>
              <w:left w:val="nil"/>
              <w:bottom w:val="single" w:sz="4" w:space="0" w:color="auto"/>
              <w:right w:val="single" w:sz="4" w:space="0" w:color="auto"/>
            </w:tcBorders>
            <w:shd w:val="clear" w:color="auto" w:fill="F1E2D3"/>
            <w:vAlign w:val="center"/>
            <w:hideMark/>
          </w:tcPr>
          <w:p w14:paraId="6C2B4D31"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1,105,000</w:t>
            </w:r>
          </w:p>
        </w:tc>
        <w:tc>
          <w:tcPr>
            <w:tcW w:w="522" w:type="pct"/>
            <w:tcBorders>
              <w:top w:val="single" w:sz="4" w:space="0" w:color="auto"/>
              <w:left w:val="nil"/>
              <w:bottom w:val="single" w:sz="4" w:space="0" w:color="auto"/>
              <w:right w:val="single" w:sz="8" w:space="0" w:color="auto"/>
            </w:tcBorders>
            <w:shd w:val="clear" w:color="auto" w:fill="F1E2D3"/>
            <w:vAlign w:val="center"/>
            <w:hideMark/>
          </w:tcPr>
          <w:p w14:paraId="543D4982"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1,547,000</w:t>
            </w:r>
          </w:p>
        </w:tc>
        <w:tc>
          <w:tcPr>
            <w:tcW w:w="452" w:type="pct"/>
            <w:tcBorders>
              <w:top w:val="single" w:sz="4" w:space="0" w:color="auto"/>
              <w:left w:val="nil"/>
              <w:bottom w:val="single" w:sz="4" w:space="0" w:color="auto"/>
              <w:right w:val="single" w:sz="4" w:space="0" w:color="auto"/>
            </w:tcBorders>
            <w:shd w:val="clear" w:color="auto" w:fill="auto"/>
            <w:noWrap/>
            <w:vAlign w:val="center"/>
            <w:hideMark/>
          </w:tcPr>
          <w:p w14:paraId="4E39F20B" w14:textId="77777777" w:rsidR="00EE4DE2" w:rsidRPr="00EE4DE2" w:rsidRDefault="00EE4DE2" w:rsidP="00D27C72">
            <w:pPr>
              <w:widowControl w:val="0"/>
              <w:spacing w:after="0" w:line="240" w:lineRule="auto"/>
              <w:jc w:val="center"/>
              <w:rPr>
                <w:rFonts w:cs="Arial"/>
                <w:szCs w:val="20"/>
              </w:rPr>
            </w:pPr>
            <w:r w:rsidRPr="00EE4DE2">
              <w:rPr>
                <w:rFonts w:cs="Arial"/>
                <w:szCs w:val="20"/>
              </w:rPr>
              <w:t>128.40</w:t>
            </w:r>
          </w:p>
        </w:tc>
        <w:tc>
          <w:tcPr>
            <w:tcW w:w="412" w:type="pct"/>
            <w:tcBorders>
              <w:top w:val="single" w:sz="4" w:space="0" w:color="auto"/>
              <w:left w:val="nil"/>
              <w:bottom w:val="single" w:sz="4" w:space="0" w:color="auto"/>
              <w:right w:val="single" w:sz="4" w:space="0" w:color="auto"/>
            </w:tcBorders>
            <w:shd w:val="clear" w:color="auto" w:fill="auto"/>
            <w:noWrap/>
            <w:vAlign w:val="center"/>
            <w:hideMark/>
          </w:tcPr>
          <w:p w14:paraId="20076677" w14:textId="77777777" w:rsidR="00EE4DE2" w:rsidRPr="00EE4DE2" w:rsidRDefault="00EE4DE2" w:rsidP="00D27C72">
            <w:pPr>
              <w:widowControl w:val="0"/>
              <w:spacing w:after="0" w:line="240" w:lineRule="auto"/>
              <w:jc w:val="center"/>
              <w:rPr>
                <w:rFonts w:cs="Arial"/>
                <w:szCs w:val="20"/>
              </w:rPr>
            </w:pPr>
            <w:r w:rsidRPr="00EE4DE2">
              <w:rPr>
                <w:rFonts w:cs="Arial"/>
                <w:szCs w:val="20"/>
              </w:rPr>
              <w:t>119.70</w:t>
            </w:r>
          </w:p>
        </w:tc>
        <w:tc>
          <w:tcPr>
            <w:tcW w:w="666" w:type="pct"/>
            <w:tcBorders>
              <w:top w:val="single" w:sz="4" w:space="0" w:color="auto"/>
              <w:left w:val="nil"/>
              <w:bottom w:val="single" w:sz="4" w:space="0" w:color="auto"/>
              <w:right w:val="single" w:sz="4" w:space="0" w:color="auto"/>
            </w:tcBorders>
            <w:shd w:val="clear" w:color="auto" w:fill="auto"/>
            <w:noWrap/>
            <w:vAlign w:val="center"/>
            <w:hideMark/>
          </w:tcPr>
          <w:p w14:paraId="56F2AE3C" w14:textId="77777777" w:rsidR="00EE4DE2" w:rsidRPr="00EE4DE2" w:rsidRDefault="00EE4DE2" w:rsidP="00D27C72">
            <w:pPr>
              <w:widowControl w:val="0"/>
              <w:spacing w:after="0" w:line="240" w:lineRule="auto"/>
              <w:jc w:val="center"/>
              <w:rPr>
                <w:rFonts w:cs="Arial"/>
                <w:szCs w:val="20"/>
              </w:rPr>
            </w:pPr>
            <w:r w:rsidRPr="00EE4DE2">
              <w:rPr>
                <w:rFonts w:cs="Arial"/>
                <w:szCs w:val="20"/>
              </w:rPr>
              <w:t>1,104,862.16</w:t>
            </w:r>
          </w:p>
        </w:tc>
        <w:tc>
          <w:tcPr>
            <w:tcW w:w="667" w:type="pct"/>
            <w:tcBorders>
              <w:top w:val="single" w:sz="4" w:space="0" w:color="auto"/>
              <w:left w:val="nil"/>
              <w:bottom w:val="single" w:sz="4" w:space="0" w:color="auto"/>
              <w:right w:val="single" w:sz="8" w:space="0" w:color="auto"/>
            </w:tcBorders>
            <w:shd w:val="clear" w:color="auto" w:fill="auto"/>
            <w:noWrap/>
            <w:vAlign w:val="center"/>
            <w:hideMark/>
          </w:tcPr>
          <w:p w14:paraId="371306D1" w14:textId="77777777" w:rsidR="00EE4DE2" w:rsidRPr="00EE4DE2" w:rsidRDefault="00EE4DE2" w:rsidP="00D27C72">
            <w:pPr>
              <w:widowControl w:val="0"/>
              <w:spacing w:after="0" w:line="240" w:lineRule="auto"/>
              <w:jc w:val="center"/>
              <w:rPr>
                <w:rFonts w:cs="Arial"/>
                <w:szCs w:val="20"/>
              </w:rPr>
            </w:pPr>
            <w:r w:rsidRPr="00EE4DE2">
              <w:rPr>
                <w:rFonts w:cs="Arial"/>
                <w:szCs w:val="20"/>
              </w:rPr>
              <w:t>1,546,807.02</w:t>
            </w:r>
          </w:p>
        </w:tc>
      </w:tr>
      <w:tr w:rsidR="00EA0D39" w:rsidRPr="00BD0240" w14:paraId="7EA0AA10" w14:textId="77777777" w:rsidTr="00F351A4">
        <w:trPr>
          <w:cantSplit/>
        </w:trPr>
        <w:tc>
          <w:tcPr>
            <w:tcW w:w="1202" w:type="pct"/>
            <w:tcBorders>
              <w:top w:val="nil"/>
              <w:left w:val="single" w:sz="8" w:space="0" w:color="auto"/>
              <w:bottom w:val="single" w:sz="8" w:space="0" w:color="auto"/>
              <w:right w:val="single" w:sz="8" w:space="0" w:color="auto"/>
            </w:tcBorders>
            <w:shd w:val="clear" w:color="auto" w:fill="FBD4B4" w:themeFill="accent6" w:themeFillTint="66"/>
            <w:vAlign w:val="center"/>
            <w:hideMark/>
          </w:tcPr>
          <w:p w14:paraId="4D70F4CE" w14:textId="77777777" w:rsidR="00EE4DE2" w:rsidRPr="00EE4DE2" w:rsidRDefault="00EE4DE2" w:rsidP="00EA0D39">
            <w:pPr>
              <w:widowControl w:val="0"/>
              <w:spacing w:after="120" w:line="240" w:lineRule="auto"/>
              <w:rPr>
                <w:rFonts w:cs="Arial"/>
                <w:b/>
                <w:bCs/>
                <w:szCs w:val="20"/>
              </w:rPr>
            </w:pPr>
            <w:r w:rsidRPr="00EE4DE2">
              <w:rPr>
                <w:rFonts w:cs="Arial"/>
                <w:b/>
                <w:bCs/>
                <w:szCs w:val="20"/>
              </w:rPr>
              <w:t>Commissioned first release Australian drama program (more than $1,442,000 production budget per hour)</w:t>
            </w:r>
          </w:p>
        </w:tc>
        <w:tc>
          <w:tcPr>
            <w:tcW w:w="556" w:type="pct"/>
            <w:tcBorders>
              <w:top w:val="nil"/>
              <w:left w:val="nil"/>
              <w:bottom w:val="single" w:sz="4" w:space="0" w:color="auto"/>
              <w:right w:val="single" w:sz="4" w:space="0" w:color="auto"/>
            </w:tcBorders>
            <w:shd w:val="clear" w:color="auto" w:fill="F1E2D3"/>
            <w:vAlign w:val="center"/>
            <w:hideMark/>
          </w:tcPr>
          <w:p w14:paraId="016C557C" w14:textId="77777777" w:rsidR="00EE4DE2" w:rsidRPr="00EE4DE2" w:rsidRDefault="00EE4DE2" w:rsidP="0009112E">
            <w:pPr>
              <w:widowControl w:val="0"/>
              <w:spacing w:after="0" w:line="240" w:lineRule="auto"/>
              <w:jc w:val="center"/>
              <w:rPr>
                <w:rFonts w:cs="Arial"/>
                <w:color w:val="000000"/>
                <w:szCs w:val="20"/>
              </w:rPr>
            </w:pPr>
            <w:r w:rsidRPr="00EE4DE2">
              <w:rPr>
                <w:rFonts w:cs="Arial"/>
                <w:color w:val="000000"/>
                <w:szCs w:val="20"/>
              </w:rPr>
              <w:t>7</w:t>
            </w:r>
          </w:p>
        </w:tc>
        <w:tc>
          <w:tcPr>
            <w:tcW w:w="522" w:type="pct"/>
            <w:tcBorders>
              <w:top w:val="nil"/>
              <w:left w:val="nil"/>
              <w:bottom w:val="single" w:sz="4" w:space="0" w:color="auto"/>
              <w:right w:val="single" w:sz="4" w:space="0" w:color="auto"/>
            </w:tcBorders>
            <w:shd w:val="clear" w:color="auto" w:fill="F1E2D3"/>
            <w:vAlign w:val="center"/>
            <w:hideMark/>
          </w:tcPr>
          <w:p w14:paraId="341836F0"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1,547,000</w:t>
            </w:r>
          </w:p>
        </w:tc>
        <w:tc>
          <w:tcPr>
            <w:tcW w:w="522" w:type="pct"/>
            <w:tcBorders>
              <w:top w:val="nil"/>
              <w:left w:val="nil"/>
              <w:bottom w:val="single" w:sz="4" w:space="0" w:color="auto"/>
              <w:right w:val="single" w:sz="8" w:space="0" w:color="auto"/>
            </w:tcBorders>
            <w:shd w:val="clear" w:color="auto" w:fill="F1E2D3"/>
            <w:vAlign w:val="center"/>
            <w:hideMark/>
          </w:tcPr>
          <w:p w14:paraId="20005435"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N/A</w:t>
            </w:r>
          </w:p>
        </w:tc>
        <w:tc>
          <w:tcPr>
            <w:tcW w:w="452" w:type="pct"/>
            <w:tcBorders>
              <w:top w:val="nil"/>
              <w:left w:val="nil"/>
              <w:bottom w:val="single" w:sz="4" w:space="0" w:color="auto"/>
              <w:right w:val="single" w:sz="4" w:space="0" w:color="auto"/>
            </w:tcBorders>
            <w:shd w:val="clear" w:color="auto" w:fill="auto"/>
            <w:noWrap/>
            <w:vAlign w:val="center"/>
            <w:hideMark/>
          </w:tcPr>
          <w:p w14:paraId="47AB2B04" w14:textId="77777777" w:rsidR="00EE4DE2" w:rsidRPr="00EE4DE2" w:rsidRDefault="00EE4DE2" w:rsidP="00D27C72">
            <w:pPr>
              <w:widowControl w:val="0"/>
              <w:spacing w:after="0" w:line="240" w:lineRule="auto"/>
              <w:jc w:val="center"/>
              <w:rPr>
                <w:rFonts w:cs="Arial"/>
                <w:szCs w:val="20"/>
              </w:rPr>
            </w:pPr>
            <w:r w:rsidRPr="00EE4DE2">
              <w:rPr>
                <w:rFonts w:cs="Arial"/>
                <w:szCs w:val="20"/>
              </w:rPr>
              <w:t>128.40</w:t>
            </w:r>
          </w:p>
        </w:tc>
        <w:tc>
          <w:tcPr>
            <w:tcW w:w="412" w:type="pct"/>
            <w:tcBorders>
              <w:top w:val="nil"/>
              <w:left w:val="nil"/>
              <w:bottom w:val="single" w:sz="4" w:space="0" w:color="auto"/>
              <w:right w:val="single" w:sz="4" w:space="0" w:color="auto"/>
            </w:tcBorders>
            <w:shd w:val="clear" w:color="auto" w:fill="auto"/>
            <w:noWrap/>
            <w:vAlign w:val="center"/>
            <w:hideMark/>
          </w:tcPr>
          <w:p w14:paraId="0C9E0BAA" w14:textId="77777777" w:rsidR="00EE4DE2" w:rsidRPr="00EE4DE2" w:rsidRDefault="00EE4DE2" w:rsidP="00D27C72">
            <w:pPr>
              <w:widowControl w:val="0"/>
              <w:spacing w:after="0" w:line="240" w:lineRule="auto"/>
              <w:jc w:val="center"/>
              <w:rPr>
                <w:rFonts w:cs="Arial"/>
                <w:szCs w:val="20"/>
              </w:rPr>
            </w:pPr>
            <w:r w:rsidRPr="00EE4DE2">
              <w:rPr>
                <w:rFonts w:cs="Arial"/>
                <w:szCs w:val="20"/>
              </w:rPr>
              <w:t>119.70</w:t>
            </w:r>
          </w:p>
        </w:tc>
        <w:tc>
          <w:tcPr>
            <w:tcW w:w="666" w:type="pct"/>
            <w:tcBorders>
              <w:top w:val="nil"/>
              <w:left w:val="nil"/>
              <w:bottom w:val="single" w:sz="4" w:space="0" w:color="auto"/>
              <w:right w:val="single" w:sz="4" w:space="0" w:color="auto"/>
            </w:tcBorders>
            <w:shd w:val="clear" w:color="auto" w:fill="auto"/>
            <w:noWrap/>
            <w:vAlign w:val="center"/>
            <w:hideMark/>
          </w:tcPr>
          <w:p w14:paraId="26323467" w14:textId="77777777" w:rsidR="00EE4DE2" w:rsidRPr="00EE4DE2" w:rsidRDefault="00EE4DE2" w:rsidP="00D27C72">
            <w:pPr>
              <w:widowControl w:val="0"/>
              <w:spacing w:after="0" w:line="240" w:lineRule="auto"/>
              <w:jc w:val="center"/>
              <w:rPr>
                <w:rFonts w:cs="Arial"/>
                <w:szCs w:val="20"/>
              </w:rPr>
            </w:pPr>
            <w:r w:rsidRPr="00EE4DE2">
              <w:rPr>
                <w:rFonts w:cs="Arial"/>
                <w:szCs w:val="20"/>
              </w:rPr>
              <w:t>1,546,807.02</w:t>
            </w:r>
          </w:p>
        </w:tc>
        <w:tc>
          <w:tcPr>
            <w:tcW w:w="667" w:type="pct"/>
            <w:tcBorders>
              <w:top w:val="nil"/>
              <w:left w:val="nil"/>
              <w:bottom w:val="single" w:sz="4" w:space="0" w:color="auto"/>
              <w:right w:val="single" w:sz="8" w:space="0" w:color="auto"/>
            </w:tcBorders>
            <w:shd w:val="clear" w:color="auto" w:fill="auto"/>
            <w:noWrap/>
            <w:vAlign w:val="center"/>
            <w:hideMark/>
          </w:tcPr>
          <w:p w14:paraId="6F111D5F" w14:textId="77777777" w:rsidR="00EE4DE2" w:rsidRPr="00EE4DE2" w:rsidRDefault="00EE4DE2" w:rsidP="00D27C72">
            <w:pPr>
              <w:widowControl w:val="0"/>
              <w:spacing w:after="0" w:line="240" w:lineRule="auto"/>
              <w:jc w:val="center"/>
              <w:rPr>
                <w:rFonts w:cs="Arial"/>
                <w:szCs w:val="20"/>
              </w:rPr>
            </w:pPr>
            <w:r w:rsidRPr="00EE4DE2">
              <w:rPr>
                <w:rFonts w:cs="Arial"/>
                <w:szCs w:val="20"/>
              </w:rPr>
              <w:t>N/A</w:t>
            </w:r>
          </w:p>
        </w:tc>
      </w:tr>
      <w:tr w:rsidR="00EA0D39" w:rsidRPr="00BD0240" w14:paraId="462D0447" w14:textId="77777777" w:rsidTr="00F351A4">
        <w:trPr>
          <w:cantSplit/>
        </w:trPr>
        <w:tc>
          <w:tcPr>
            <w:tcW w:w="1202" w:type="pct"/>
            <w:tcBorders>
              <w:top w:val="nil"/>
              <w:left w:val="single" w:sz="8" w:space="0" w:color="auto"/>
              <w:bottom w:val="single" w:sz="8" w:space="0" w:color="auto"/>
              <w:right w:val="single" w:sz="8" w:space="0" w:color="auto"/>
            </w:tcBorders>
            <w:shd w:val="clear" w:color="auto" w:fill="FDE9D9" w:themeFill="accent6" w:themeFillTint="33"/>
            <w:vAlign w:val="center"/>
            <w:hideMark/>
          </w:tcPr>
          <w:p w14:paraId="74A91F05" w14:textId="77777777" w:rsidR="00EE4DE2" w:rsidRPr="00EE4DE2" w:rsidRDefault="00EE4DE2" w:rsidP="00EA0D39">
            <w:pPr>
              <w:widowControl w:val="0"/>
              <w:spacing w:after="120" w:line="240" w:lineRule="auto"/>
              <w:rPr>
                <w:rFonts w:cs="Arial"/>
                <w:b/>
                <w:bCs/>
                <w:szCs w:val="20"/>
              </w:rPr>
            </w:pPr>
            <w:r w:rsidRPr="00EE4DE2">
              <w:rPr>
                <w:rFonts w:cs="Arial"/>
                <w:b/>
                <w:bCs/>
                <w:szCs w:val="20"/>
              </w:rPr>
              <w:t>Acquired first release Australian film (licence fee per film less than $52,000)</w:t>
            </w:r>
          </w:p>
        </w:tc>
        <w:tc>
          <w:tcPr>
            <w:tcW w:w="556" w:type="pct"/>
            <w:tcBorders>
              <w:top w:val="nil"/>
              <w:left w:val="nil"/>
              <w:bottom w:val="single" w:sz="4" w:space="0" w:color="auto"/>
              <w:right w:val="single" w:sz="4" w:space="0" w:color="auto"/>
            </w:tcBorders>
            <w:shd w:val="clear" w:color="auto" w:fill="F1E2D3"/>
            <w:vAlign w:val="center"/>
            <w:hideMark/>
          </w:tcPr>
          <w:p w14:paraId="171802B9" w14:textId="77777777" w:rsidR="00EE4DE2" w:rsidRPr="00EE4DE2" w:rsidRDefault="00EE4DE2" w:rsidP="0009112E">
            <w:pPr>
              <w:widowControl w:val="0"/>
              <w:spacing w:after="0" w:line="240" w:lineRule="auto"/>
              <w:jc w:val="center"/>
              <w:rPr>
                <w:rFonts w:cs="Arial"/>
                <w:color w:val="000000"/>
                <w:szCs w:val="20"/>
              </w:rPr>
            </w:pPr>
            <w:r w:rsidRPr="00EE4DE2">
              <w:rPr>
                <w:rFonts w:cs="Arial"/>
                <w:color w:val="000000"/>
                <w:szCs w:val="20"/>
              </w:rPr>
              <w:t>1</w:t>
            </w:r>
          </w:p>
        </w:tc>
        <w:tc>
          <w:tcPr>
            <w:tcW w:w="522" w:type="pct"/>
            <w:tcBorders>
              <w:top w:val="nil"/>
              <w:left w:val="nil"/>
              <w:bottom w:val="single" w:sz="4" w:space="0" w:color="auto"/>
              <w:right w:val="single" w:sz="4" w:space="0" w:color="auto"/>
            </w:tcBorders>
            <w:shd w:val="clear" w:color="auto" w:fill="F1E2D3"/>
            <w:vAlign w:val="center"/>
            <w:hideMark/>
          </w:tcPr>
          <w:p w14:paraId="0F2D2915"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56,000</w:t>
            </w:r>
          </w:p>
        </w:tc>
        <w:tc>
          <w:tcPr>
            <w:tcW w:w="522" w:type="pct"/>
            <w:tcBorders>
              <w:top w:val="nil"/>
              <w:left w:val="nil"/>
              <w:bottom w:val="single" w:sz="4" w:space="0" w:color="auto"/>
              <w:right w:val="single" w:sz="8" w:space="0" w:color="auto"/>
            </w:tcBorders>
            <w:shd w:val="clear" w:color="auto" w:fill="F1E2D3"/>
            <w:vAlign w:val="center"/>
            <w:hideMark/>
          </w:tcPr>
          <w:p w14:paraId="528DD51B"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N/A</w:t>
            </w:r>
          </w:p>
        </w:tc>
        <w:tc>
          <w:tcPr>
            <w:tcW w:w="452" w:type="pct"/>
            <w:tcBorders>
              <w:top w:val="nil"/>
              <w:left w:val="nil"/>
              <w:bottom w:val="single" w:sz="4" w:space="0" w:color="auto"/>
              <w:right w:val="single" w:sz="4" w:space="0" w:color="auto"/>
            </w:tcBorders>
            <w:shd w:val="clear" w:color="auto" w:fill="auto"/>
            <w:noWrap/>
            <w:vAlign w:val="center"/>
            <w:hideMark/>
          </w:tcPr>
          <w:p w14:paraId="26355BC7" w14:textId="77777777" w:rsidR="00EE4DE2" w:rsidRPr="00EE4DE2" w:rsidRDefault="00EE4DE2" w:rsidP="00D27C72">
            <w:pPr>
              <w:widowControl w:val="0"/>
              <w:spacing w:after="0" w:line="240" w:lineRule="auto"/>
              <w:jc w:val="center"/>
              <w:rPr>
                <w:rFonts w:cs="Arial"/>
                <w:szCs w:val="20"/>
              </w:rPr>
            </w:pPr>
            <w:r w:rsidRPr="00EE4DE2">
              <w:rPr>
                <w:rFonts w:cs="Arial"/>
                <w:szCs w:val="20"/>
              </w:rPr>
              <w:t>128.40</w:t>
            </w:r>
          </w:p>
        </w:tc>
        <w:tc>
          <w:tcPr>
            <w:tcW w:w="412" w:type="pct"/>
            <w:tcBorders>
              <w:top w:val="nil"/>
              <w:left w:val="nil"/>
              <w:bottom w:val="single" w:sz="4" w:space="0" w:color="auto"/>
              <w:right w:val="single" w:sz="4" w:space="0" w:color="auto"/>
            </w:tcBorders>
            <w:shd w:val="clear" w:color="auto" w:fill="auto"/>
            <w:noWrap/>
            <w:vAlign w:val="center"/>
            <w:hideMark/>
          </w:tcPr>
          <w:p w14:paraId="680EBB81" w14:textId="77777777" w:rsidR="00EE4DE2" w:rsidRPr="00EE4DE2" w:rsidRDefault="00EE4DE2" w:rsidP="00D27C72">
            <w:pPr>
              <w:widowControl w:val="0"/>
              <w:spacing w:after="0" w:line="240" w:lineRule="auto"/>
              <w:jc w:val="center"/>
              <w:rPr>
                <w:rFonts w:cs="Arial"/>
                <w:szCs w:val="20"/>
              </w:rPr>
            </w:pPr>
            <w:r w:rsidRPr="00EE4DE2">
              <w:rPr>
                <w:rFonts w:cs="Arial"/>
                <w:szCs w:val="20"/>
              </w:rPr>
              <w:t>119.70</w:t>
            </w:r>
          </w:p>
        </w:tc>
        <w:tc>
          <w:tcPr>
            <w:tcW w:w="666" w:type="pct"/>
            <w:tcBorders>
              <w:top w:val="nil"/>
              <w:left w:val="nil"/>
              <w:bottom w:val="single" w:sz="4" w:space="0" w:color="auto"/>
              <w:right w:val="single" w:sz="4" w:space="0" w:color="auto"/>
            </w:tcBorders>
            <w:shd w:val="clear" w:color="auto" w:fill="auto"/>
            <w:noWrap/>
            <w:vAlign w:val="center"/>
            <w:hideMark/>
          </w:tcPr>
          <w:p w14:paraId="183C3861" w14:textId="77777777" w:rsidR="00EE4DE2" w:rsidRPr="00EE4DE2" w:rsidRDefault="00EE4DE2" w:rsidP="00D27C72">
            <w:pPr>
              <w:widowControl w:val="0"/>
              <w:spacing w:after="0" w:line="240" w:lineRule="auto"/>
              <w:jc w:val="center"/>
              <w:rPr>
                <w:rFonts w:cs="Arial"/>
                <w:szCs w:val="20"/>
              </w:rPr>
            </w:pPr>
            <w:r w:rsidRPr="00EE4DE2">
              <w:rPr>
                <w:rFonts w:cs="Arial"/>
                <w:szCs w:val="20"/>
              </w:rPr>
              <w:t>55,779.45</w:t>
            </w:r>
          </w:p>
        </w:tc>
        <w:tc>
          <w:tcPr>
            <w:tcW w:w="667" w:type="pct"/>
            <w:tcBorders>
              <w:top w:val="nil"/>
              <w:left w:val="nil"/>
              <w:bottom w:val="single" w:sz="4" w:space="0" w:color="auto"/>
              <w:right w:val="single" w:sz="8" w:space="0" w:color="auto"/>
            </w:tcBorders>
            <w:shd w:val="clear" w:color="auto" w:fill="auto"/>
            <w:noWrap/>
            <w:vAlign w:val="center"/>
            <w:hideMark/>
          </w:tcPr>
          <w:p w14:paraId="594BA605" w14:textId="77777777" w:rsidR="00EE4DE2" w:rsidRPr="00EE4DE2" w:rsidRDefault="00EE4DE2" w:rsidP="00D27C72">
            <w:pPr>
              <w:widowControl w:val="0"/>
              <w:spacing w:after="0" w:line="240" w:lineRule="auto"/>
              <w:jc w:val="center"/>
              <w:rPr>
                <w:rFonts w:cs="Arial"/>
                <w:szCs w:val="20"/>
              </w:rPr>
            </w:pPr>
            <w:r w:rsidRPr="00EE4DE2">
              <w:rPr>
                <w:rFonts w:cs="Arial"/>
                <w:szCs w:val="20"/>
              </w:rPr>
              <w:t>N/A</w:t>
            </w:r>
          </w:p>
        </w:tc>
      </w:tr>
      <w:tr w:rsidR="00EA0D39" w:rsidRPr="00BD0240" w14:paraId="2610B935" w14:textId="77777777" w:rsidTr="00F351A4">
        <w:trPr>
          <w:cantSplit/>
        </w:trPr>
        <w:tc>
          <w:tcPr>
            <w:tcW w:w="1202" w:type="pct"/>
            <w:tcBorders>
              <w:top w:val="nil"/>
              <w:left w:val="single" w:sz="8" w:space="0" w:color="auto"/>
              <w:bottom w:val="single" w:sz="8" w:space="0" w:color="auto"/>
              <w:right w:val="single" w:sz="8" w:space="0" w:color="auto"/>
            </w:tcBorders>
            <w:shd w:val="clear" w:color="auto" w:fill="FBD4B4" w:themeFill="accent6" w:themeFillTint="66"/>
            <w:vAlign w:val="center"/>
            <w:hideMark/>
          </w:tcPr>
          <w:p w14:paraId="4809F84D" w14:textId="77777777" w:rsidR="00EE4DE2" w:rsidRPr="00EE4DE2" w:rsidRDefault="00EE4DE2" w:rsidP="00EA0D39">
            <w:pPr>
              <w:widowControl w:val="0"/>
              <w:spacing w:after="120" w:line="240" w:lineRule="auto"/>
              <w:rPr>
                <w:rFonts w:cs="Arial"/>
                <w:b/>
                <w:bCs/>
                <w:szCs w:val="20"/>
              </w:rPr>
            </w:pPr>
            <w:r w:rsidRPr="00EE4DE2">
              <w:rPr>
                <w:rFonts w:cs="Arial"/>
                <w:b/>
                <w:bCs/>
                <w:szCs w:val="20"/>
              </w:rPr>
              <w:t>Acquired first release Australian film (licence fee per film equal to or more than $52,000)</w:t>
            </w:r>
          </w:p>
        </w:tc>
        <w:tc>
          <w:tcPr>
            <w:tcW w:w="556" w:type="pct"/>
            <w:tcBorders>
              <w:top w:val="nil"/>
              <w:left w:val="nil"/>
              <w:bottom w:val="single" w:sz="8" w:space="0" w:color="auto"/>
              <w:right w:val="single" w:sz="4" w:space="0" w:color="auto"/>
            </w:tcBorders>
            <w:shd w:val="clear" w:color="auto" w:fill="F1E2D3"/>
            <w:vAlign w:val="center"/>
            <w:hideMark/>
          </w:tcPr>
          <w:p w14:paraId="41877A03" w14:textId="77777777" w:rsidR="00EE4DE2" w:rsidRPr="00EE4DE2" w:rsidRDefault="00EE4DE2" w:rsidP="0009112E">
            <w:pPr>
              <w:widowControl w:val="0"/>
              <w:spacing w:after="0" w:line="240" w:lineRule="auto"/>
              <w:jc w:val="center"/>
              <w:rPr>
                <w:rFonts w:cs="Arial"/>
                <w:color w:val="000000"/>
                <w:szCs w:val="20"/>
              </w:rPr>
            </w:pPr>
            <w:r w:rsidRPr="00EE4DE2">
              <w:rPr>
                <w:rFonts w:cs="Arial"/>
                <w:color w:val="000000"/>
                <w:szCs w:val="20"/>
              </w:rPr>
              <w:t>2</w:t>
            </w:r>
          </w:p>
        </w:tc>
        <w:tc>
          <w:tcPr>
            <w:tcW w:w="522" w:type="pct"/>
            <w:tcBorders>
              <w:top w:val="nil"/>
              <w:left w:val="nil"/>
              <w:bottom w:val="single" w:sz="8" w:space="0" w:color="auto"/>
              <w:right w:val="single" w:sz="4" w:space="0" w:color="auto"/>
            </w:tcBorders>
            <w:shd w:val="clear" w:color="auto" w:fill="F1E2D3"/>
            <w:vAlign w:val="center"/>
            <w:hideMark/>
          </w:tcPr>
          <w:p w14:paraId="0560AF58"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56,000</w:t>
            </w:r>
          </w:p>
        </w:tc>
        <w:tc>
          <w:tcPr>
            <w:tcW w:w="522" w:type="pct"/>
            <w:tcBorders>
              <w:top w:val="nil"/>
              <w:left w:val="nil"/>
              <w:bottom w:val="single" w:sz="8" w:space="0" w:color="auto"/>
              <w:right w:val="single" w:sz="8" w:space="0" w:color="auto"/>
            </w:tcBorders>
            <w:shd w:val="clear" w:color="auto" w:fill="F1E2D3"/>
            <w:vAlign w:val="center"/>
            <w:hideMark/>
          </w:tcPr>
          <w:p w14:paraId="693365CF" w14:textId="77777777" w:rsidR="00EE4DE2" w:rsidRPr="00EE4DE2" w:rsidRDefault="00EE4DE2" w:rsidP="00D27C72">
            <w:pPr>
              <w:widowControl w:val="0"/>
              <w:spacing w:after="0" w:line="240" w:lineRule="auto"/>
              <w:jc w:val="center"/>
              <w:rPr>
                <w:rFonts w:cs="Arial"/>
                <w:color w:val="000000"/>
                <w:szCs w:val="20"/>
              </w:rPr>
            </w:pPr>
            <w:r w:rsidRPr="00EE4DE2">
              <w:rPr>
                <w:rFonts w:cs="Arial"/>
                <w:color w:val="000000"/>
                <w:szCs w:val="20"/>
              </w:rPr>
              <w:t>N/A</w:t>
            </w:r>
          </w:p>
        </w:tc>
        <w:tc>
          <w:tcPr>
            <w:tcW w:w="452" w:type="pct"/>
            <w:tcBorders>
              <w:top w:val="nil"/>
              <w:left w:val="nil"/>
              <w:bottom w:val="single" w:sz="8" w:space="0" w:color="auto"/>
              <w:right w:val="single" w:sz="4" w:space="0" w:color="auto"/>
            </w:tcBorders>
            <w:shd w:val="clear" w:color="auto" w:fill="auto"/>
            <w:noWrap/>
            <w:vAlign w:val="center"/>
            <w:hideMark/>
          </w:tcPr>
          <w:p w14:paraId="73D5A1CB" w14:textId="77777777" w:rsidR="00EE4DE2" w:rsidRPr="00EE4DE2" w:rsidRDefault="00EE4DE2" w:rsidP="00D27C72">
            <w:pPr>
              <w:widowControl w:val="0"/>
              <w:spacing w:after="0" w:line="240" w:lineRule="auto"/>
              <w:jc w:val="center"/>
              <w:rPr>
                <w:rFonts w:cs="Arial"/>
                <w:szCs w:val="20"/>
              </w:rPr>
            </w:pPr>
            <w:r w:rsidRPr="00EE4DE2">
              <w:rPr>
                <w:rFonts w:cs="Arial"/>
                <w:szCs w:val="20"/>
              </w:rPr>
              <w:t>128.40</w:t>
            </w:r>
          </w:p>
        </w:tc>
        <w:tc>
          <w:tcPr>
            <w:tcW w:w="412" w:type="pct"/>
            <w:tcBorders>
              <w:top w:val="nil"/>
              <w:left w:val="nil"/>
              <w:bottom w:val="single" w:sz="8" w:space="0" w:color="auto"/>
              <w:right w:val="single" w:sz="4" w:space="0" w:color="auto"/>
            </w:tcBorders>
            <w:shd w:val="clear" w:color="auto" w:fill="auto"/>
            <w:noWrap/>
            <w:vAlign w:val="center"/>
            <w:hideMark/>
          </w:tcPr>
          <w:p w14:paraId="65ACE2A7" w14:textId="77777777" w:rsidR="00EE4DE2" w:rsidRPr="00EE4DE2" w:rsidRDefault="00EE4DE2" w:rsidP="00D27C72">
            <w:pPr>
              <w:widowControl w:val="0"/>
              <w:spacing w:after="0" w:line="240" w:lineRule="auto"/>
              <w:jc w:val="center"/>
              <w:rPr>
                <w:rFonts w:cs="Arial"/>
                <w:szCs w:val="20"/>
              </w:rPr>
            </w:pPr>
            <w:r w:rsidRPr="00EE4DE2">
              <w:rPr>
                <w:rFonts w:cs="Arial"/>
                <w:szCs w:val="20"/>
              </w:rPr>
              <w:t>119.70</w:t>
            </w:r>
          </w:p>
        </w:tc>
        <w:tc>
          <w:tcPr>
            <w:tcW w:w="666" w:type="pct"/>
            <w:tcBorders>
              <w:top w:val="nil"/>
              <w:left w:val="nil"/>
              <w:bottom w:val="single" w:sz="8" w:space="0" w:color="auto"/>
              <w:right w:val="single" w:sz="4" w:space="0" w:color="auto"/>
            </w:tcBorders>
            <w:shd w:val="clear" w:color="auto" w:fill="auto"/>
            <w:noWrap/>
            <w:vAlign w:val="center"/>
            <w:hideMark/>
          </w:tcPr>
          <w:p w14:paraId="34800EE3" w14:textId="77777777" w:rsidR="00EE4DE2" w:rsidRPr="00EE4DE2" w:rsidRDefault="00EE4DE2" w:rsidP="00D27C72">
            <w:pPr>
              <w:widowControl w:val="0"/>
              <w:spacing w:after="0" w:line="240" w:lineRule="auto"/>
              <w:jc w:val="center"/>
              <w:rPr>
                <w:rFonts w:cs="Arial"/>
                <w:szCs w:val="20"/>
              </w:rPr>
            </w:pPr>
            <w:r w:rsidRPr="00EE4DE2">
              <w:rPr>
                <w:rFonts w:cs="Arial"/>
                <w:szCs w:val="20"/>
              </w:rPr>
              <w:t>55,779.45</w:t>
            </w:r>
          </w:p>
        </w:tc>
        <w:tc>
          <w:tcPr>
            <w:tcW w:w="667" w:type="pct"/>
            <w:tcBorders>
              <w:top w:val="nil"/>
              <w:left w:val="nil"/>
              <w:bottom w:val="single" w:sz="8" w:space="0" w:color="auto"/>
              <w:right w:val="single" w:sz="8" w:space="0" w:color="auto"/>
            </w:tcBorders>
            <w:shd w:val="clear" w:color="auto" w:fill="auto"/>
            <w:noWrap/>
            <w:vAlign w:val="center"/>
            <w:hideMark/>
          </w:tcPr>
          <w:p w14:paraId="2FC7FBB9" w14:textId="77777777" w:rsidR="00EE4DE2" w:rsidRPr="00EE4DE2" w:rsidRDefault="00EE4DE2" w:rsidP="00D27C72">
            <w:pPr>
              <w:widowControl w:val="0"/>
              <w:spacing w:after="0" w:line="240" w:lineRule="auto"/>
              <w:jc w:val="center"/>
              <w:rPr>
                <w:rFonts w:cs="Arial"/>
                <w:szCs w:val="20"/>
              </w:rPr>
            </w:pPr>
            <w:r w:rsidRPr="00EE4DE2">
              <w:rPr>
                <w:rFonts w:cs="Arial"/>
                <w:szCs w:val="20"/>
              </w:rPr>
              <w:t>N/A</w:t>
            </w:r>
          </w:p>
        </w:tc>
      </w:tr>
      <w:bookmarkEnd w:id="6"/>
    </w:tbl>
    <w:p w14:paraId="5CBF5779" w14:textId="77777777" w:rsidR="00C533B4" w:rsidRDefault="00C533B4" w:rsidP="00C533B4">
      <w:pPr>
        <w:pStyle w:val="Heading2"/>
      </w:pPr>
    </w:p>
    <w:p w14:paraId="0CA0A7BC" w14:textId="77777777" w:rsidR="00C533B4" w:rsidRDefault="00C533B4">
      <w:pPr>
        <w:spacing w:after="0" w:line="240" w:lineRule="auto"/>
        <w:rPr>
          <w:rFonts w:cs="Arial"/>
          <w:b/>
          <w:bCs/>
          <w:iCs/>
          <w:sz w:val="28"/>
          <w:szCs w:val="28"/>
        </w:rPr>
      </w:pPr>
      <w:r>
        <w:br w:type="page"/>
      </w:r>
    </w:p>
    <w:p w14:paraId="4A6F6538" w14:textId="338B935A" w:rsidR="00C533B4" w:rsidRDefault="00C533B4" w:rsidP="00C533B4">
      <w:pPr>
        <w:pStyle w:val="Heading2"/>
      </w:pPr>
      <w:bookmarkStart w:id="7" w:name="_Toc121410379"/>
      <w:r w:rsidRPr="00EE4DE2">
        <w:lastRenderedPageBreak/>
        <w:t xml:space="preserve">Production budgets and licence fees </w:t>
      </w:r>
      <w:r>
        <w:t>comparison 2021-23</w:t>
      </w:r>
      <w:bookmarkEnd w:id="7"/>
      <w:r>
        <w:t xml:space="preserve"> </w:t>
      </w:r>
    </w:p>
    <w:tbl>
      <w:tblPr>
        <w:tblW w:w="5000" w:type="pct"/>
        <w:tblCellMar>
          <w:top w:w="57" w:type="dxa"/>
          <w:left w:w="57" w:type="dxa"/>
          <w:bottom w:w="57" w:type="dxa"/>
          <w:right w:w="57" w:type="dxa"/>
        </w:tblCellMar>
        <w:tblLook w:val="04A0" w:firstRow="1" w:lastRow="0" w:firstColumn="1" w:lastColumn="0" w:noHBand="0" w:noVBand="1"/>
      </w:tblPr>
      <w:tblGrid>
        <w:gridCol w:w="872"/>
        <w:gridCol w:w="2915"/>
        <w:gridCol w:w="2915"/>
        <w:gridCol w:w="2916"/>
      </w:tblGrid>
      <w:tr w:rsidR="008B4C14" w:rsidRPr="00271D7A" w14:paraId="033FD859" w14:textId="77777777" w:rsidTr="007E20BA">
        <w:tc>
          <w:tcPr>
            <w:tcW w:w="453" w:type="pct"/>
            <w:tcBorders>
              <w:top w:val="single" w:sz="8" w:space="0" w:color="auto"/>
              <w:left w:val="single" w:sz="8" w:space="0" w:color="auto"/>
              <w:bottom w:val="nil"/>
              <w:right w:val="single" w:sz="8" w:space="0" w:color="auto"/>
            </w:tcBorders>
            <w:shd w:val="clear" w:color="auto" w:fill="FFFF66"/>
          </w:tcPr>
          <w:p w14:paraId="25AFF119" w14:textId="77777777" w:rsidR="008B4C14" w:rsidRPr="00A770C5" w:rsidRDefault="008B4C14" w:rsidP="000918BD">
            <w:pPr>
              <w:widowControl w:val="0"/>
              <w:spacing w:after="0" w:line="240" w:lineRule="auto"/>
              <w:jc w:val="center"/>
              <w:rPr>
                <w:rFonts w:cs="Arial"/>
                <w:color w:val="0000FF"/>
                <w:szCs w:val="20"/>
                <w:u w:val="single"/>
              </w:rPr>
            </w:pPr>
          </w:p>
        </w:tc>
        <w:tc>
          <w:tcPr>
            <w:tcW w:w="1515" w:type="pct"/>
            <w:tcBorders>
              <w:top w:val="single" w:sz="8" w:space="0" w:color="auto"/>
              <w:left w:val="single" w:sz="8" w:space="0" w:color="auto"/>
              <w:bottom w:val="nil"/>
              <w:right w:val="single" w:sz="8" w:space="0" w:color="auto"/>
            </w:tcBorders>
            <w:shd w:val="clear" w:color="auto" w:fill="92D050"/>
          </w:tcPr>
          <w:p w14:paraId="69C113DC" w14:textId="77777777" w:rsidR="008B4C14" w:rsidRPr="00102124" w:rsidRDefault="008B4C14" w:rsidP="000918BD">
            <w:pPr>
              <w:widowControl w:val="0"/>
              <w:spacing w:after="0" w:line="240" w:lineRule="auto"/>
              <w:jc w:val="center"/>
              <w:rPr>
                <w:rFonts w:cs="Arial"/>
                <w:color w:val="0000FF"/>
                <w:szCs w:val="20"/>
                <w:u w:val="single"/>
              </w:rPr>
            </w:pPr>
          </w:p>
        </w:tc>
        <w:tc>
          <w:tcPr>
            <w:tcW w:w="1515" w:type="pct"/>
            <w:vMerge w:val="restart"/>
            <w:tcBorders>
              <w:top w:val="single" w:sz="8" w:space="0" w:color="auto"/>
              <w:left w:val="single" w:sz="8" w:space="0" w:color="auto"/>
              <w:right w:val="single" w:sz="8" w:space="0" w:color="auto"/>
            </w:tcBorders>
            <w:shd w:val="clear" w:color="000000" w:fill="FF9900"/>
            <w:vAlign w:val="bottom"/>
            <w:hideMark/>
          </w:tcPr>
          <w:p w14:paraId="6E26778A" w14:textId="77777777" w:rsidR="008B4C14" w:rsidRPr="00271D7A" w:rsidRDefault="008B4C14" w:rsidP="000918BD">
            <w:pPr>
              <w:rPr>
                <w:b/>
                <w:bCs/>
                <w:szCs w:val="20"/>
              </w:rPr>
            </w:pPr>
            <w:r w:rsidRPr="00271D7A">
              <w:rPr>
                <w:b/>
                <w:bCs/>
                <w:szCs w:val="20"/>
              </w:rPr>
              <w:t>Production budgets and licence fees from 2022</w:t>
            </w:r>
          </w:p>
          <w:p w14:paraId="2F23DF93" w14:textId="54C4D315" w:rsidR="008B4C14" w:rsidRPr="00102124" w:rsidRDefault="008B4C14" w:rsidP="000918BD">
            <w:pPr>
              <w:rPr>
                <w:rFonts w:cs="Arial"/>
                <w:color w:val="0000FF"/>
                <w:szCs w:val="20"/>
                <w:u w:val="single"/>
              </w:rPr>
            </w:pPr>
            <w:hyperlink r:id="rId34" w:history="1">
              <w:r w:rsidRPr="00102124">
                <w:rPr>
                  <w:rStyle w:val="Hyperlink"/>
                  <w:rFonts w:cs="Arial"/>
                  <w:szCs w:val="20"/>
                </w:rPr>
                <w:t>Schedule 1 - Genre point allocation table with 2022 CPI increases</w:t>
              </w:r>
            </w:hyperlink>
          </w:p>
        </w:tc>
        <w:tc>
          <w:tcPr>
            <w:tcW w:w="1516" w:type="pct"/>
            <w:tcBorders>
              <w:top w:val="single" w:sz="8" w:space="0" w:color="auto"/>
              <w:left w:val="single" w:sz="8" w:space="0" w:color="auto"/>
              <w:bottom w:val="nil"/>
              <w:right w:val="single" w:sz="8" w:space="0" w:color="auto"/>
            </w:tcBorders>
            <w:shd w:val="clear" w:color="auto" w:fill="B2A1C7" w:themeFill="accent4" w:themeFillTint="99"/>
          </w:tcPr>
          <w:p w14:paraId="0E44DF86" w14:textId="77777777" w:rsidR="008B4C14" w:rsidRPr="00271D7A" w:rsidRDefault="008B4C14" w:rsidP="000918BD">
            <w:pPr>
              <w:widowControl w:val="0"/>
              <w:spacing w:after="0" w:line="240" w:lineRule="auto"/>
              <w:jc w:val="center"/>
              <w:rPr>
                <w:rFonts w:cs="Arial"/>
                <w:color w:val="0000FF"/>
                <w:szCs w:val="20"/>
                <w:u w:val="single"/>
              </w:rPr>
            </w:pPr>
          </w:p>
        </w:tc>
      </w:tr>
      <w:tr w:rsidR="008B4C14" w:rsidRPr="00271D7A" w14:paraId="57FB8146" w14:textId="77777777" w:rsidTr="007E20BA">
        <w:tc>
          <w:tcPr>
            <w:tcW w:w="453" w:type="pct"/>
            <w:tcBorders>
              <w:top w:val="nil"/>
              <w:left w:val="single" w:sz="8" w:space="0" w:color="auto"/>
              <w:bottom w:val="single" w:sz="8" w:space="0" w:color="auto"/>
              <w:right w:val="single" w:sz="8" w:space="0" w:color="auto"/>
            </w:tcBorders>
            <w:shd w:val="clear" w:color="auto" w:fill="FFFF66"/>
          </w:tcPr>
          <w:p w14:paraId="435B7871" w14:textId="77777777" w:rsidR="008B4C14" w:rsidRPr="00271D7A" w:rsidRDefault="008B4C14" w:rsidP="000918BD">
            <w:pPr>
              <w:rPr>
                <w:b/>
                <w:bCs/>
              </w:rPr>
            </w:pPr>
            <w:r w:rsidRPr="00271D7A">
              <w:rPr>
                <w:b/>
                <w:bCs/>
              </w:rPr>
              <w:t>ACCTS points</w:t>
            </w:r>
          </w:p>
        </w:tc>
        <w:tc>
          <w:tcPr>
            <w:tcW w:w="1515" w:type="pct"/>
            <w:tcBorders>
              <w:top w:val="nil"/>
              <w:left w:val="single" w:sz="8" w:space="0" w:color="auto"/>
              <w:bottom w:val="single" w:sz="8" w:space="0" w:color="auto"/>
              <w:right w:val="single" w:sz="8" w:space="0" w:color="auto"/>
            </w:tcBorders>
            <w:shd w:val="clear" w:color="auto" w:fill="92D050"/>
          </w:tcPr>
          <w:p w14:paraId="2728640A" w14:textId="77777777" w:rsidR="008B4C14" w:rsidRPr="00271D7A" w:rsidRDefault="008B4C14" w:rsidP="000918BD">
            <w:pPr>
              <w:rPr>
                <w:b/>
                <w:bCs/>
                <w:szCs w:val="20"/>
              </w:rPr>
            </w:pPr>
            <w:r w:rsidRPr="00271D7A">
              <w:rPr>
                <w:b/>
                <w:bCs/>
                <w:szCs w:val="20"/>
              </w:rPr>
              <w:t>Production budgets and licence fees from 2021</w:t>
            </w:r>
          </w:p>
          <w:p w14:paraId="5392AE12" w14:textId="77777777" w:rsidR="008B4C14" w:rsidRPr="00271D7A" w:rsidRDefault="008B4C14" w:rsidP="000918BD">
            <w:pPr>
              <w:rPr>
                <w:b/>
                <w:bCs/>
                <w:szCs w:val="20"/>
              </w:rPr>
            </w:pPr>
            <w:r w:rsidRPr="00A770C5">
              <w:rPr>
                <w:szCs w:val="20"/>
                <w:u w:color="0000FF"/>
              </w:rPr>
              <w:t xml:space="preserve">Schedule 1 - Genre point allocation table </w:t>
            </w:r>
            <w:r w:rsidRPr="00102124">
              <w:rPr>
                <w:szCs w:val="20"/>
                <w:u w:color="0000FF"/>
              </w:rPr>
              <w:t>in the ACCTS</w:t>
            </w:r>
            <w:r w:rsidRPr="00A770C5">
              <w:rPr>
                <w:rStyle w:val="FootnoteReference"/>
                <w:szCs w:val="20"/>
                <w:u w:color="0000FF"/>
              </w:rPr>
              <w:footnoteReference w:id="5"/>
            </w:r>
          </w:p>
        </w:tc>
        <w:tc>
          <w:tcPr>
            <w:tcW w:w="1515" w:type="pct"/>
            <w:vMerge/>
            <w:tcBorders>
              <w:left w:val="single" w:sz="8" w:space="0" w:color="auto"/>
              <w:bottom w:val="single" w:sz="8" w:space="0" w:color="auto"/>
              <w:right w:val="single" w:sz="8" w:space="0" w:color="auto"/>
            </w:tcBorders>
            <w:shd w:val="clear" w:color="000000" w:fill="FF9900"/>
            <w:hideMark/>
          </w:tcPr>
          <w:p w14:paraId="7A8B6500" w14:textId="5E337A14" w:rsidR="008B4C14" w:rsidRPr="00271D7A" w:rsidRDefault="008B4C14" w:rsidP="000918BD">
            <w:pPr>
              <w:rPr>
                <w:rFonts w:cs="Arial"/>
                <w:color w:val="0000FF"/>
                <w:szCs w:val="20"/>
                <w:u w:val="single"/>
              </w:rPr>
            </w:pPr>
          </w:p>
        </w:tc>
        <w:tc>
          <w:tcPr>
            <w:tcW w:w="1516" w:type="pct"/>
            <w:tcBorders>
              <w:top w:val="nil"/>
              <w:left w:val="single" w:sz="8" w:space="0" w:color="auto"/>
              <w:bottom w:val="single" w:sz="8" w:space="0" w:color="auto"/>
              <w:right w:val="single" w:sz="8" w:space="0" w:color="auto"/>
            </w:tcBorders>
            <w:shd w:val="clear" w:color="auto" w:fill="B2A1C7" w:themeFill="accent4" w:themeFillTint="99"/>
          </w:tcPr>
          <w:p w14:paraId="50AEA896" w14:textId="77777777" w:rsidR="008B4C14" w:rsidRPr="00271D7A" w:rsidRDefault="008B4C14" w:rsidP="000918BD">
            <w:pPr>
              <w:rPr>
                <w:b/>
                <w:bCs/>
                <w:szCs w:val="20"/>
              </w:rPr>
            </w:pPr>
            <w:r w:rsidRPr="00271D7A">
              <w:rPr>
                <w:b/>
                <w:bCs/>
                <w:szCs w:val="20"/>
              </w:rPr>
              <w:t>Production budgets and licence fees from 2023</w:t>
            </w:r>
          </w:p>
          <w:p w14:paraId="5786586F" w14:textId="77777777" w:rsidR="008B4C14" w:rsidRPr="00271D7A" w:rsidRDefault="008B4C14" w:rsidP="000918BD">
            <w:pPr>
              <w:rPr>
                <w:b/>
                <w:bCs/>
                <w:szCs w:val="20"/>
              </w:rPr>
            </w:pPr>
            <w:r w:rsidRPr="00A770C5">
              <w:rPr>
                <w:szCs w:val="20"/>
                <w:u w:color="0000FF"/>
              </w:rPr>
              <w:t>Schedule 1 - Genre point allocation table with 2023 CPI increases</w:t>
            </w:r>
          </w:p>
        </w:tc>
      </w:tr>
      <w:tr w:rsidR="00C533B4" w:rsidRPr="00271D7A" w14:paraId="16EBF477" w14:textId="77777777" w:rsidTr="007E20BA">
        <w:tc>
          <w:tcPr>
            <w:tcW w:w="453" w:type="pct"/>
            <w:tcBorders>
              <w:top w:val="nil"/>
              <w:left w:val="single" w:sz="8" w:space="0" w:color="auto"/>
              <w:bottom w:val="single" w:sz="8" w:space="0" w:color="auto"/>
              <w:right w:val="single" w:sz="8" w:space="0" w:color="auto"/>
            </w:tcBorders>
            <w:shd w:val="clear" w:color="auto" w:fill="FFFF66"/>
            <w:vAlign w:val="center"/>
          </w:tcPr>
          <w:p w14:paraId="669B4A4C" w14:textId="77777777" w:rsidR="00C533B4" w:rsidRPr="00271D7A" w:rsidRDefault="00C533B4" w:rsidP="000918BD">
            <w:pPr>
              <w:widowControl w:val="0"/>
              <w:spacing w:after="120" w:line="240" w:lineRule="auto"/>
              <w:rPr>
                <w:rFonts w:cs="Arial"/>
                <w:b/>
                <w:bCs/>
                <w:szCs w:val="20"/>
              </w:rPr>
            </w:pPr>
            <w:r w:rsidRPr="00271D7A">
              <w:rPr>
                <w:rFonts w:cs="Arial"/>
                <w:color w:val="000000"/>
                <w:szCs w:val="20"/>
              </w:rPr>
              <w:t>1.5</w:t>
            </w:r>
          </w:p>
        </w:tc>
        <w:tc>
          <w:tcPr>
            <w:tcW w:w="1515" w:type="pct"/>
            <w:tcBorders>
              <w:top w:val="nil"/>
              <w:left w:val="single" w:sz="8" w:space="0" w:color="auto"/>
              <w:bottom w:val="single" w:sz="8" w:space="0" w:color="auto"/>
              <w:right w:val="single" w:sz="8" w:space="0" w:color="auto"/>
            </w:tcBorders>
            <w:shd w:val="clear" w:color="auto" w:fill="C2D69B" w:themeFill="accent3" w:themeFillTint="99"/>
            <w:vAlign w:val="center"/>
          </w:tcPr>
          <w:p w14:paraId="6E7E26B7"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(less than or equal to $450,000 production budget per hour)</w:t>
            </w:r>
          </w:p>
        </w:tc>
        <w:tc>
          <w:tcPr>
            <w:tcW w:w="1515" w:type="pct"/>
            <w:tcBorders>
              <w:top w:val="nil"/>
              <w:left w:val="single" w:sz="8" w:space="0" w:color="auto"/>
              <w:bottom w:val="single" w:sz="8" w:space="0" w:color="auto"/>
              <w:right w:val="single" w:sz="8" w:space="0" w:color="auto"/>
            </w:tcBorders>
            <w:shd w:val="clear" w:color="auto" w:fill="FBD4B4" w:themeFill="accent6" w:themeFillTint="66"/>
            <w:vAlign w:val="center"/>
            <w:hideMark/>
          </w:tcPr>
          <w:p w14:paraId="78A023E7"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(less than or equal to $464,000 production budget per hour)</w:t>
            </w:r>
          </w:p>
        </w:tc>
        <w:tc>
          <w:tcPr>
            <w:tcW w:w="1516" w:type="pct"/>
            <w:tcBorders>
              <w:top w:val="nil"/>
              <w:left w:val="single" w:sz="8" w:space="0" w:color="auto"/>
              <w:bottom w:val="single" w:sz="8" w:space="0" w:color="auto"/>
              <w:right w:val="single" w:sz="8" w:space="0" w:color="auto"/>
            </w:tcBorders>
            <w:shd w:val="clear" w:color="auto" w:fill="CCC0D9" w:themeFill="accent4" w:themeFillTint="66"/>
            <w:vAlign w:val="center"/>
          </w:tcPr>
          <w:p w14:paraId="328E44A3"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(less than or equal to $498,000 production budget per hour)</w:t>
            </w:r>
          </w:p>
        </w:tc>
      </w:tr>
      <w:tr w:rsidR="00C533B4" w:rsidRPr="00271D7A" w14:paraId="1ED51318" w14:textId="77777777" w:rsidTr="007E20BA">
        <w:tc>
          <w:tcPr>
            <w:tcW w:w="453" w:type="pct"/>
            <w:tcBorders>
              <w:top w:val="nil"/>
              <w:left w:val="single" w:sz="8" w:space="0" w:color="auto"/>
              <w:bottom w:val="single" w:sz="8" w:space="0" w:color="auto"/>
              <w:right w:val="single" w:sz="8" w:space="0" w:color="auto"/>
            </w:tcBorders>
            <w:shd w:val="clear" w:color="auto" w:fill="FFFF66"/>
            <w:vAlign w:val="center"/>
          </w:tcPr>
          <w:p w14:paraId="750E2523" w14:textId="77777777" w:rsidR="00C533B4" w:rsidRPr="00271D7A" w:rsidRDefault="00C533B4" w:rsidP="000918BD">
            <w:pPr>
              <w:widowControl w:val="0"/>
              <w:spacing w:after="120" w:line="240" w:lineRule="auto"/>
              <w:rPr>
                <w:rFonts w:cs="Arial"/>
                <w:b/>
                <w:bCs/>
                <w:szCs w:val="20"/>
              </w:rPr>
            </w:pPr>
            <w:r w:rsidRPr="00271D7A">
              <w:rPr>
                <w:rFonts w:cs="Arial"/>
                <w:color w:val="000000"/>
                <w:szCs w:val="20"/>
              </w:rPr>
              <w:t>4</w:t>
            </w:r>
          </w:p>
        </w:tc>
        <w:tc>
          <w:tcPr>
            <w:tcW w:w="1515" w:type="pct"/>
            <w:tcBorders>
              <w:top w:val="nil"/>
              <w:left w:val="single" w:sz="8" w:space="0" w:color="auto"/>
              <w:bottom w:val="single" w:sz="8" w:space="0" w:color="auto"/>
              <w:right w:val="single" w:sz="8" w:space="0" w:color="auto"/>
            </w:tcBorders>
            <w:shd w:val="clear" w:color="auto" w:fill="EAF1DD" w:themeFill="accent3" w:themeFillTint="33"/>
            <w:vAlign w:val="center"/>
          </w:tcPr>
          <w:p w14:paraId="3AB39A7D" w14:textId="77777777" w:rsidR="00C533B4" w:rsidRPr="00271D7A" w:rsidRDefault="00C533B4" w:rsidP="000918BD">
            <w:pPr>
              <w:widowControl w:val="0"/>
              <w:spacing w:after="120" w:line="240" w:lineRule="auto"/>
              <w:rPr>
                <w:rFonts w:cs="Arial"/>
                <w:color w:val="EAF1DD" w:themeColor="accent3" w:themeTint="33"/>
                <w:szCs w:val="20"/>
              </w:rPr>
            </w:pPr>
            <w:r w:rsidRPr="00271D7A">
              <w:rPr>
                <w:rFonts w:cs="Arial"/>
                <w:szCs w:val="20"/>
              </w:rPr>
              <w:t>Commissioned first release Australian drama program (more than $450,000 up to $700,000 production budget per hour)</w:t>
            </w:r>
          </w:p>
        </w:tc>
        <w:tc>
          <w:tcPr>
            <w:tcW w:w="1515" w:type="pct"/>
            <w:tcBorders>
              <w:top w:val="nil"/>
              <w:left w:val="single" w:sz="8" w:space="0" w:color="auto"/>
              <w:bottom w:val="single" w:sz="8" w:space="0" w:color="auto"/>
              <w:right w:val="single" w:sz="8" w:space="0" w:color="auto"/>
            </w:tcBorders>
            <w:shd w:val="clear" w:color="auto" w:fill="FDE9D9" w:themeFill="accent6" w:themeFillTint="33"/>
            <w:vAlign w:val="center"/>
            <w:hideMark/>
          </w:tcPr>
          <w:p w14:paraId="173A811C"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(more than $464,000 up to $721,000 production budget per hour)</w:t>
            </w:r>
          </w:p>
        </w:tc>
        <w:tc>
          <w:tcPr>
            <w:tcW w:w="1516" w:type="pct"/>
            <w:tcBorders>
              <w:top w:val="nil"/>
              <w:left w:val="single" w:sz="8" w:space="0" w:color="auto"/>
              <w:bottom w:val="single" w:sz="8" w:space="0" w:color="auto"/>
              <w:right w:val="single" w:sz="8" w:space="0" w:color="auto"/>
            </w:tcBorders>
            <w:shd w:val="clear" w:color="auto" w:fill="E5DFEC" w:themeFill="accent4" w:themeFillTint="33"/>
            <w:vAlign w:val="center"/>
          </w:tcPr>
          <w:p w14:paraId="3A77BE87"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(more than $498,000 up to $778,000 production budget per hour)</w:t>
            </w:r>
          </w:p>
        </w:tc>
      </w:tr>
      <w:tr w:rsidR="00C533B4" w:rsidRPr="00271D7A" w14:paraId="14BB0BDB" w14:textId="77777777" w:rsidTr="007E20BA">
        <w:tc>
          <w:tcPr>
            <w:tcW w:w="453" w:type="pct"/>
            <w:tcBorders>
              <w:top w:val="nil"/>
              <w:left w:val="single" w:sz="8" w:space="0" w:color="auto"/>
              <w:bottom w:val="single" w:sz="4" w:space="0" w:color="auto"/>
              <w:right w:val="single" w:sz="8" w:space="0" w:color="auto"/>
            </w:tcBorders>
            <w:shd w:val="clear" w:color="auto" w:fill="FFFF66"/>
            <w:vAlign w:val="center"/>
          </w:tcPr>
          <w:p w14:paraId="6F4A2F39" w14:textId="77777777" w:rsidR="00C533B4" w:rsidRPr="00271D7A" w:rsidRDefault="00C533B4" w:rsidP="000918BD">
            <w:pPr>
              <w:widowControl w:val="0"/>
              <w:spacing w:after="120" w:line="240" w:lineRule="auto"/>
              <w:rPr>
                <w:rFonts w:cs="Arial"/>
                <w:b/>
                <w:bCs/>
                <w:szCs w:val="20"/>
              </w:rPr>
            </w:pPr>
            <w:r w:rsidRPr="00271D7A">
              <w:rPr>
                <w:rFonts w:cs="Arial"/>
                <w:color w:val="000000"/>
                <w:szCs w:val="20"/>
              </w:rPr>
              <w:t>5</w:t>
            </w:r>
          </w:p>
        </w:tc>
        <w:tc>
          <w:tcPr>
            <w:tcW w:w="1515" w:type="pct"/>
            <w:tcBorders>
              <w:top w:val="nil"/>
              <w:left w:val="single" w:sz="8" w:space="0" w:color="auto"/>
              <w:bottom w:val="single" w:sz="4" w:space="0" w:color="auto"/>
              <w:right w:val="single" w:sz="8" w:space="0" w:color="auto"/>
            </w:tcBorders>
            <w:shd w:val="clear" w:color="auto" w:fill="C2D69B" w:themeFill="accent3" w:themeFillTint="99"/>
            <w:vAlign w:val="center"/>
          </w:tcPr>
          <w:p w14:paraId="0C027DB2"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(more than $700,000 up to $1,000,000 production budget per hour)</w:t>
            </w:r>
          </w:p>
        </w:tc>
        <w:tc>
          <w:tcPr>
            <w:tcW w:w="1515" w:type="pct"/>
            <w:tcBorders>
              <w:top w:val="nil"/>
              <w:left w:val="single" w:sz="8" w:space="0" w:color="auto"/>
              <w:bottom w:val="single" w:sz="4" w:space="0" w:color="auto"/>
              <w:right w:val="single" w:sz="8" w:space="0" w:color="auto"/>
            </w:tcBorders>
            <w:shd w:val="clear" w:color="auto" w:fill="FBD4B4" w:themeFill="accent6" w:themeFillTint="66"/>
            <w:vAlign w:val="center"/>
            <w:hideMark/>
          </w:tcPr>
          <w:p w14:paraId="569CBD00"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(more than $721,000 up to $1,030,000 production budget per hour)</w:t>
            </w:r>
          </w:p>
        </w:tc>
        <w:tc>
          <w:tcPr>
            <w:tcW w:w="1516" w:type="pct"/>
            <w:tcBorders>
              <w:top w:val="nil"/>
              <w:left w:val="single" w:sz="8" w:space="0" w:color="auto"/>
              <w:bottom w:val="single" w:sz="4" w:space="0" w:color="auto"/>
              <w:right w:val="single" w:sz="8" w:space="0" w:color="auto"/>
            </w:tcBorders>
            <w:shd w:val="clear" w:color="auto" w:fill="CCC0D9" w:themeFill="accent4" w:themeFillTint="66"/>
            <w:vAlign w:val="center"/>
          </w:tcPr>
          <w:p w14:paraId="560B90B3"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(more than $778,000 up to $1,105,000 production budget per hour)</w:t>
            </w:r>
          </w:p>
        </w:tc>
      </w:tr>
      <w:tr w:rsidR="00C533B4" w:rsidRPr="00271D7A" w14:paraId="2CF35BD1" w14:textId="77777777" w:rsidTr="007E20BA">
        <w:tc>
          <w:tcPr>
            <w:tcW w:w="453" w:type="pct"/>
            <w:tcBorders>
              <w:top w:val="single" w:sz="4" w:space="0" w:color="auto"/>
              <w:left w:val="single" w:sz="8" w:space="0" w:color="auto"/>
              <w:bottom w:val="single" w:sz="8" w:space="0" w:color="auto"/>
              <w:right w:val="single" w:sz="8" w:space="0" w:color="auto"/>
            </w:tcBorders>
            <w:shd w:val="clear" w:color="auto" w:fill="FFFF66"/>
            <w:vAlign w:val="center"/>
          </w:tcPr>
          <w:p w14:paraId="66C28874" w14:textId="77777777" w:rsidR="00C533B4" w:rsidRPr="00271D7A" w:rsidRDefault="00C533B4" w:rsidP="000918BD">
            <w:pPr>
              <w:widowControl w:val="0"/>
              <w:spacing w:after="120" w:line="240" w:lineRule="auto"/>
              <w:rPr>
                <w:rFonts w:cs="Arial"/>
                <w:b/>
                <w:bCs/>
                <w:szCs w:val="20"/>
              </w:rPr>
            </w:pPr>
            <w:r w:rsidRPr="00271D7A">
              <w:rPr>
                <w:rFonts w:cs="Arial"/>
                <w:color w:val="000000"/>
                <w:szCs w:val="20"/>
              </w:rPr>
              <w:t>6</w:t>
            </w:r>
          </w:p>
        </w:tc>
        <w:tc>
          <w:tcPr>
            <w:tcW w:w="1515" w:type="pct"/>
            <w:tcBorders>
              <w:top w:val="single" w:sz="4" w:space="0" w:color="auto"/>
              <w:left w:val="single" w:sz="8" w:space="0" w:color="auto"/>
              <w:bottom w:val="single" w:sz="8" w:space="0" w:color="auto"/>
              <w:right w:val="single" w:sz="8" w:space="0" w:color="auto"/>
            </w:tcBorders>
            <w:shd w:val="clear" w:color="auto" w:fill="EAF1DD" w:themeFill="accent3" w:themeFillTint="33"/>
            <w:vAlign w:val="center"/>
          </w:tcPr>
          <w:p w14:paraId="4FF9B74F"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(more than $1,030,000 up to $1,400,000 production budget per hour)</w:t>
            </w:r>
          </w:p>
        </w:tc>
        <w:tc>
          <w:tcPr>
            <w:tcW w:w="1515" w:type="pct"/>
            <w:tcBorders>
              <w:top w:val="single" w:sz="4" w:space="0" w:color="auto"/>
              <w:left w:val="single" w:sz="8" w:space="0" w:color="auto"/>
              <w:bottom w:val="single" w:sz="8" w:space="0" w:color="auto"/>
              <w:right w:val="single" w:sz="8" w:space="0" w:color="auto"/>
            </w:tcBorders>
            <w:shd w:val="clear" w:color="auto" w:fill="FDE9D9" w:themeFill="accent6" w:themeFillTint="33"/>
            <w:vAlign w:val="center"/>
            <w:hideMark/>
          </w:tcPr>
          <w:p w14:paraId="39FA447D"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(more than $1,030,000 up to $1,442,000 production budget per hour)</w:t>
            </w:r>
          </w:p>
        </w:tc>
        <w:tc>
          <w:tcPr>
            <w:tcW w:w="1516" w:type="pct"/>
            <w:tcBorders>
              <w:top w:val="single" w:sz="4" w:space="0" w:color="auto"/>
              <w:left w:val="single" w:sz="8" w:space="0" w:color="auto"/>
              <w:bottom w:val="single" w:sz="8" w:space="0" w:color="auto"/>
              <w:right w:val="single" w:sz="8" w:space="0" w:color="auto"/>
            </w:tcBorders>
            <w:shd w:val="clear" w:color="auto" w:fill="E5DFEC" w:themeFill="accent4" w:themeFillTint="33"/>
            <w:vAlign w:val="center"/>
          </w:tcPr>
          <w:p w14:paraId="512253BD"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(more than $1,105,000 up to $1,547,000 production budget per hour)</w:t>
            </w:r>
          </w:p>
        </w:tc>
      </w:tr>
      <w:tr w:rsidR="00C533B4" w:rsidRPr="00271D7A" w14:paraId="5149451E" w14:textId="77777777" w:rsidTr="007E20BA">
        <w:tc>
          <w:tcPr>
            <w:tcW w:w="453" w:type="pct"/>
            <w:tcBorders>
              <w:top w:val="nil"/>
              <w:left w:val="single" w:sz="8" w:space="0" w:color="auto"/>
              <w:bottom w:val="single" w:sz="8" w:space="0" w:color="auto"/>
              <w:right w:val="single" w:sz="8" w:space="0" w:color="auto"/>
            </w:tcBorders>
            <w:shd w:val="clear" w:color="auto" w:fill="FFFF66"/>
            <w:vAlign w:val="center"/>
          </w:tcPr>
          <w:p w14:paraId="0F1638D2" w14:textId="77777777" w:rsidR="00C533B4" w:rsidRPr="00271D7A" w:rsidRDefault="00C533B4" w:rsidP="000918BD">
            <w:pPr>
              <w:widowControl w:val="0"/>
              <w:spacing w:after="120" w:line="240" w:lineRule="auto"/>
              <w:rPr>
                <w:rFonts w:cs="Arial"/>
                <w:b/>
                <w:bCs/>
                <w:szCs w:val="20"/>
              </w:rPr>
            </w:pPr>
            <w:r w:rsidRPr="00271D7A">
              <w:rPr>
                <w:rFonts w:cs="Arial"/>
                <w:color w:val="000000"/>
                <w:szCs w:val="20"/>
              </w:rPr>
              <w:t>7</w:t>
            </w:r>
          </w:p>
        </w:tc>
        <w:tc>
          <w:tcPr>
            <w:tcW w:w="1515" w:type="pct"/>
            <w:tcBorders>
              <w:top w:val="nil"/>
              <w:left w:val="single" w:sz="8" w:space="0" w:color="auto"/>
              <w:bottom w:val="single" w:sz="8" w:space="0" w:color="auto"/>
              <w:right w:val="single" w:sz="8" w:space="0" w:color="auto"/>
            </w:tcBorders>
            <w:shd w:val="clear" w:color="auto" w:fill="C2D69B" w:themeFill="accent3" w:themeFillTint="99"/>
            <w:vAlign w:val="center"/>
          </w:tcPr>
          <w:p w14:paraId="628E863C"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(more than $1,400,000 production budget per hour)</w:t>
            </w:r>
          </w:p>
        </w:tc>
        <w:tc>
          <w:tcPr>
            <w:tcW w:w="1515" w:type="pct"/>
            <w:tcBorders>
              <w:top w:val="nil"/>
              <w:left w:val="single" w:sz="8" w:space="0" w:color="auto"/>
              <w:bottom w:val="single" w:sz="8" w:space="0" w:color="auto"/>
              <w:right w:val="single" w:sz="8" w:space="0" w:color="auto"/>
            </w:tcBorders>
            <w:shd w:val="clear" w:color="auto" w:fill="FBD4B4" w:themeFill="accent6" w:themeFillTint="66"/>
            <w:vAlign w:val="center"/>
            <w:hideMark/>
          </w:tcPr>
          <w:p w14:paraId="10C0A39C"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(more than $1,442,000 production budget per hour)</w:t>
            </w:r>
          </w:p>
        </w:tc>
        <w:tc>
          <w:tcPr>
            <w:tcW w:w="1516" w:type="pct"/>
            <w:tcBorders>
              <w:top w:val="nil"/>
              <w:left w:val="single" w:sz="8" w:space="0" w:color="auto"/>
              <w:bottom w:val="single" w:sz="8" w:space="0" w:color="auto"/>
              <w:right w:val="single" w:sz="8" w:space="0" w:color="auto"/>
            </w:tcBorders>
            <w:shd w:val="clear" w:color="auto" w:fill="CCC0D9" w:themeFill="accent4" w:themeFillTint="66"/>
            <w:vAlign w:val="center"/>
          </w:tcPr>
          <w:p w14:paraId="49515C28" w14:textId="77777777" w:rsidR="00C533B4" w:rsidRPr="00271D7A" w:rsidRDefault="00C533B4" w:rsidP="000918BD">
            <w:pPr>
              <w:widowControl w:val="0"/>
              <w:spacing w:after="120" w:line="240" w:lineRule="auto"/>
              <w:rPr>
                <w:rFonts w:cs="Arial"/>
                <w:szCs w:val="20"/>
              </w:rPr>
            </w:pPr>
            <w:r w:rsidRPr="00271D7A">
              <w:rPr>
                <w:rFonts w:cs="Arial"/>
                <w:szCs w:val="20"/>
              </w:rPr>
              <w:t>Commissioned first release Australian drama program (more than $1,547,000 production budget per hour)</w:t>
            </w:r>
          </w:p>
        </w:tc>
      </w:tr>
      <w:tr w:rsidR="00C533B4" w:rsidRPr="00271D7A" w14:paraId="5B6BFA2F" w14:textId="77777777" w:rsidTr="007E20BA">
        <w:tc>
          <w:tcPr>
            <w:tcW w:w="453" w:type="pct"/>
            <w:tcBorders>
              <w:top w:val="nil"/>
              <w:left w:val="single" w:sz="8" w:space="0" w:color="auto"/>
              <w:bottom w:val="single" w:sz="8" w:space="0" w:color="auto"/>
              <w:right w:val="single" w:sz="8" w:space="0" w:color="auto"/>
            </w:tcBorders>
            <w:shd w:val="clear" w:color="auto" w:fill="FFFF66"/>
            <w:vAlign w:val="center"/>
          </w:tcPr>
          <w:p w14:paraId="02ED80E5" w14:textId="77777777" w:rsidR="00C533B4" w:rsidRPr="00271D7A" w:rsidRDefault="00C533B4" w:rsidP="000918BD">
            <w:pPr>
              <w:widowControl w:val="0"/>
              <w:spacing w:after="120" w:line="240" w:lineRule="auto"/>
              <w:rPr>
                <w:rFonts w:cs="Arial"/>
                <w:b/>
                <w:bCs/>
                <w:szCs w:val="20"/>
              </w:rPr>
            </w:pPr>
            <w:r w:rsidRPr="00271D7A">
              <w:rPr>
                <w:rFonts w:cs="Arial"/>
                <w:color w:val="000000"/>
                <w:szCs w:val="20"/>
              </w:rPr>
              <w:t>1</w:t>
            </w:r>
          </w:p>
        </w:tc>
        <w:tc>
          <w:tcPr>
            <w:tcW w:w="1515" w:type="pct"/>
            <w:tcBorders>
              <w:top w:val="nil"/>
              <w:left w:val="single" w:sz="8" w:space="0" w:color="auto"/>
              <w:bottom w:val="single" w:sz="8" w:space="0" w:color="auto"/>
              <w:right w:val="single" w:sz="8" w:space="0" w:color="auto"/>
            </w:tcBorders>
            <w:shd w:val="clear" w:color="auto" w:fill="EAF1DD" w:themeFill="accent3" w:themeFillTint="33"/>
            <w:vAlign w:val="center"/>
          </w:tcPr>
          <w:p w14:paraId="6C76815E" w14:textId="77777777" w:rsidR="00C533B4" w:rsidRPr="00271D7A" w:rsidRDefault="00C533B4" w:rsidP="000918BD">
            <w:pPr>
              <w:widowControl w:val="0"/>
              <w:spacing w:after="120" w:line="240" w:lineRule="auto"/>
              <w:rPr>
                <w:rFonts w:cs="Arial"/>
                <w:szCs w:val="20"/>
              </w:rPr>
            </w:pPr>
            <w:r w:rsidRPr="00271D7A">
              <w:rPr>
                <w:rFonts w:cs="Arial"/>
                <w:szCs w:val="20"/>
              </w:rPr>
              <w:t>Acquired first release Australian film (licence fee per film less than $50,000)</w:t>
            </w:r>
          </w:p>
        </w:tc>
        <w:tc>
          <w:tcPr>
            <w:tcW w:w="1515" w:type="pct"/>
            <w:tcBorders>
              <w:top w:val="nil"/>
              <w:left w:val="single" w:sz="8" w:space="0" w:color="auto"/>
              <w:bottom w:val="single" w:sz="8" w:space="0" w:color="auto"/>
              <w:right w:val="single" w:sz="8" w:space="0" w:color="auto"/>
            </w:tcBorders>
            <w:shd w:val="clear" w:color="auto" w:fill="FDE9D9" w:themeFill="accent6" w:themeFillTint="33"/>
            <w:vAlign w:val="center"/>
            <w:hideMark/>
          </w:tcPr>
          <w:p w14:paraId="194DEB7D" w14:textId="77777777" w:rsidR="00C533B4" w:rsidRPr="00271D7A" w:rsidRDefault="00C533B4" w:rsidP="000918BD">
            <w:pPr>
              <w:widowControl w:val="0"/>
              <w:spacing w:after="120" w:line="240" w:lineRule="auto"/>
              <w:rPr>
                <w:rFonts w:cs="Arial"/>
                <w:szCs w:val="20"/>
              </w:rPr>
            </w:pPr>
            <w:r w:rsidRPr="00271D7A">
              <w:rPr>
                <w:rFonts w:cs="Arial"/>
                <w:szCs w:val="20"/>
              </w:rPr>
              <w:t>Acquired first release Australian film (licence fee per film less than $52,000)</w:t>
            </w:r>
          </w:p>
        </w:tc>
        <w:tc>
          <w:tcPr>
            <w:tcW w:w="1516" w:type="pct"/>
            <w:tcBorders>
              <w:top w:val="nil"/>
              <w:left w:val="single" w:sz="8" w:space="0" w:color="auto"/>
              <w:bottom w:val="single" w:sz="8" w:space="0" w:color="auto"/>
              <w:right w:val="single" w:sz="8" w:space="0" w:color="auto"/>
            </w:tcBorders>
            <w:shd w:val="clear" w:color="auto" w:fill="E5DFEC" w:themeFill="accent4" w:themeFillTint="33"/>
          </w:tcPr>
          <w:p w14:paraId="5D4FDA06" w14:textId="77777777" w:rsidR="00C533B4" w:rsidRPr="00271D7A" w:rsidRDefault="00C533B4" w:rsidP="000918BD">
            <w:pPr>
              <w:widowControl w:val="0"/>
              <w:spacing w:after="120" w:line="240" w:lineRule="auto"/>
              <w:rPr>
                <w:rFonts w:cs="Arial"/>
                <w:szCs w:val="20"/>
              </w:rPr>
            </w:pPr>
            <w:r w:rsidRPr="00271D7A">
              <w:rPr>
                <w:rFonts w:cs="Arial"/>
                <w:szCs w:val="20"/>
              </w:rPr>
              <w:t>Acquired first release Australian film (licence fee per film less than $56,000)</w:t>
            </w:r>
          </w:p>
        </w:tc>
      </w:tr>
      <w:tr w:rsidR="00C533B4" w:rsidRPr="00271D7A" w14:paraId="5DFA0C4E" w14:textId="77777777" w:rsidTr="007E20BA">
        <w:tc>
          <w:tcPr>
            <w:tcW w:w="453" w:type="pct"/>
            <w:tcBorders>
              <w:top w:val="nil"/>
              <w:left w:val="single" w:sz="8" w:space="0" w:color="auto"/>
              <w:bottom w:val="single" w:sz="8" w:space="0" w:color="auto"/>
              <w:right w:val="single" w:sz="8" w:space="0" w:color="auto"/>
            </w:tcBorders>
            <w:shd w:val="clear" w:color="auto" w:fill="FFFF66"/>
            <w:vAlign w:val="center"/>
          </w:tcPr>
          <w:p w14:paraId="5869CD64" w14:textId="77777777" w:rsidR="00C533B4" w:rsidRPr="00271D7A" w:rsidRDefault="00C533B4" w:rsidP="000918BD">
            <w:pPr>
              <w:widowControl w:val="0"/>
              <w:spacing w:after="120" w:line="240" w:lineRule="auto"/>
              <w:rPr>
                <w:rFonts w:cs="Arial"/>
                <w:b/>
                <w:bCs/>
                <w:szCs w:val="20"/>
              </w:rPr>
            </w:pPr>
            <w:r w:rsidRPr="00271D7A">
              <w:rPr>
                <w:rFonts w:cs="Arial"/>
                <w:color w:val="000000"/>
                <w:szCs w:val="20"/>
              </w:rPr>
              <w:t>2</w:t>
            </w:r>
          </w:p>
        </w:tc>
        <w:tc>
          <w:tcPr>
            <w:tcW w:w="1515" w:type="pct"/>
            <w:tcBorders>
              <w:top w:val="nil"/>
              <w:left w:val="single" w:sz="8" w:space="0" w:color="auto"/>
              <w:bottom w:val="single" w:sz="8" w:space="0" w:color="auto"/>
              <w:right w:val="single" w:sz="8" w:space="0" w:color="auto"/>
            </w:tcBorders>
            <w:shd w:val="clear" w:color="auto" w:fill="EAF1DD" w:themeFill="accent3" w:themeFillTint="33"/>
            <w:vAlign w:val="center"/>
          </w:tcPr>
          <w:p w14:paraId="6DF959E1" w14:textId="77777777" w:rsidR="00C533B4" w:rsidRPr="00271D7A" w:rsidRDefault="00C533B4" w:rsidP="000918BD">
            <w:pPr>
              <w:widowControl w:val="0"/>
              <w:spacing w:after="120" w:line="240" w:lineRule="auto"/>
              <w:rPr>
                <w:rFonts w:cs="Arial"/>
                <w:szCs w:val="20"/>
              </w:rPr>
            </w:pPr>
            <w:r w:rsidRPr="00271D7A">
              <w:rPr>
                <w:rFonts w:cs="Arial"/>
                <w:szCs w:val="20"/>
              </w:rPr>
              <w:t>Acquired first release Australian film (licence fee per film equal to or more than $50,000)</w:t>
            </w:r>
          </w:p>
        </w:tc>
        <w:tc>
          <w:tcPr>
            <w:tcW w:w="1515" w:type="pct"/>
            <w:tcBorders>
              <w:top w:val="nil"/>
              <w:left w:val="single" w:sz="8" w:space="0" w:color="auto"/>
              <w:bottom w:val="single" w:sz="8" w:space="0" w:color="auto"/>
              <w:right w:val="single" w:sz="8" w:space="0" w:color="auto"/>
            </w:tcBorders>
            <w:shd w:val="clear" w:color="auto" w:fill="FBD4B4" w:themeFill="accent6" w:themeFillTint="66"/>
            <w:vAlign w:val="center"/>
            <w:hideMark/>
          </w:tcPr>
          <w:p w14:paraId="11FA03CD" w14:textId="77777777" w:rsidR="00C533B4" w:rsidRPr="00271D7A" w:rsidRDefault="00C533B4" w:rsidP="000918BD">
            <w:pPr>
              <w:widowControl w:val="0"/>
              <w:spacing w:after="120" w:line="240" w:lineRule="auto"/>
              <w:rPr>
                <w:rFonts w:cs="Arial"/>
                <w:szCs w:val="20"/>
              </w:rPr>
            </w:pPr>
            <w:r w:rsidRPr="00271D7A">
              <w:rPr>
                <w:rFonts w:cs="Arial"/>
                <w:szCs w:val="20"/>
              </w:rPr>
              <w:t>Acquired first release Australian film (licence fee per film equal to or more than $52,000)</w:t>
            </w:r>
          </w:p>
        </w:tc>
        <w:tc>
          <w:tcPr>
            <w:tcW w:w="1516" w:type="pct"/>
            <w:tcBorders>
              <w:top w:val="nil"/>
              <w:left w:val="single" w:sz="8" w:space="0" w:color="auto"/>
              <w:bottom w:val="single" w:sz="8" w:space="0" w:color="auto"/>
              <w:right w:val="single" w:sz="8" w:space="0" w:color="auto"/>
            </w:tcBorders>
            <w:shd w:val="clear" w:color="auto" w:fill="CCC0D9" w:themeFill="accent4" w:themeFillTint="66"/>
            <w:vAlign w:val="center"/>
          </w:tcPr>
          <w:p w14:paraId="3F709B13" w14:textId="77777777" w:rsidR="00C533B4" w:rsidRPr="00271D7A" w:rsidRDefault="00C533B4" w:rsidP="000918BD">
            <w:pPr>
              <w:widowControl w:val="0"/>
              <w:spacing w:after="120" w:line="240" w:lineRule="auto"/>
              <w:rPr>
                <w:rFonts w:cs="Arial"/>
                <w:szCs w:val="20"/>
              </w:rPr>
            </w:pPr>
            <w:r w:rsidRPr="00271D7A">
              <w:rPr>
                <w:rFonts w:cs="Arial"/>
                <w:szCs w:val="20"/>
              </w:rPr>
              <w:t>Acquired first release Australian film (licence fee per film equal to or more than $56,000)</w:t>
            </w:r>
          </w:p>
        </w:tc>
      </w:tr>
    </w:tbl>
    <w:p w14:paraId="5CB6F575" w14:textId="77777777" w:rsidR="00C533B4" w:rsidRPr="00295A39" w:rsidRDefault="00C533B4" w:rsidP="00C533B4">
      <w:pPr>
        <w:spacing w:after="0" w:line="240" w:lineRule="auto"/>
      </w:pPr>
    </w:p>
    <w:p w14:paraId="1C79326B" w14:textId="296B2946" w:rsidR="008713A1" w:rsidRDefault="008713A1" w:rsidP="00A82C71">
      <w:pPr>
        <w:spacing w:after="0" w:line="240" w:lineRule="auto"/>
        <w:rPr>
          <w:rFonts w:cs="Arial"/>
        </w:rPr>
      </w:pPr>
    </w:p>
    <w:sectPr w:rsidR="008713A1" w:rsidSect="00A82C71">
      <w:footerReference w:type="even" r:id="rId35"/>
      <w:footerReference w:type="default" r:id="rId36"/>
      <w:pgSz w:w="11906" w:h="16838" w:code="9"/>
      <w:pgMar w:top="1945" w:right="1134"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3CD6C5" w14:textId="77777777" w:rsidR="00EE4DE2" w:rsidRDefault="00EE4DE2">
      <w:r>
        <w:separator/>
      </w:r>
    </w:p>
  </w:endnote>
  <w:endnote w:type="continuationSeparator" w:id="0">
    <w:p w14:paraId="5B1AA7EB" w14:textId="77777777" w:rsidR="00EE4DE2" w:rsidRDefault="00EE4D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4CE2F" w14:textId="77777777" w:rsidR="005E250B" w:rsidRDefault="005E250B" w:rsidP="005E250B">
    <w:pPr>
      <w:pStyle w:val="Footer"/>
      <w:jc w:val="right"/>
    </w:pPr>
    <w:r w:rsidRPr="005E250B">
      <w:rPr>
        <w:noProof/>
        <w:vertAlign w:val="subscript"/>
      </w:rPr>
      <w:drawing>
        <wp:inline distT="0" distB="0" distL="0" distR="0" wp14:anchorId="5D34E6BB" wp14:editId="51847F61">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A0A74"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FF408"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6D3EF"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233D716F"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98EFE"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2BAF79E5"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437B9"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2EDA6357"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54700523"/>
      <w:docPartObj>
        <w:docPartGallery w:val="Page Numbers (Bottom of Page)"/>
        <w:docPartUnique/>
      </w:docPartObj>
    </w:sdtPr>
    <w:sdtEndPr/>
    <w:sdtContent>
      <w:p w14:paraId="6989C091" w14:textId="12ACEA2F" w:rsidR="00271D7A" w:rsidRDefault="00271D7A">
        <w:pPr>
          <w:pStyle w:val="Footer"/>
          <w:jc w:val="right"/>
        </w:pPr>
        <w:r>
          <w:t xml:space="preserve">Page | 4 </w:t>
        </w:r>
      </w:p>
    </w:sdtContent>
  </w:sdt>
  <w:p w14:paraId="74CC8238"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BA421" w14:textId="77777777" w:rsidR="00C053A1" w:rsidRPr="00A5474E" w:rsidRDefault="00C053A1"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6713565"/>
      <w:docPartObj>
        <w:docPartGallery w:val="Page Numbers (Bottom of Page)"/>
        <w:docPartUnique/>
      </w:docPartObj>
    </w:sdtPr>
    <w:sdtEndPr/>
    <w:sdtContent>
      <w:p w14:paraId="4E468847" w14:textId="77777777" w:rsidR="00271D7A" w:rsidRDefault="00271D7A">
        <w:pPr>
          <w:pStyle w:val="Footer"/>
          <w:jc w:val="right"/>
        </w:pPr>
        <w:r>
          <w:t xml:space="preserve">Page | 4 </w:t>
        </w:r>
      </w:p>
    </w:sdtContent>
  </w:sdt>
  <w:p w14:paraId="02E6E9AF" w14:textId="77777777" w:rsidR="00271D7A" w:rsidRPr="00A5474E" w:rsidRDefault="00271D7A" w:rsidP="00A5474E">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02DA1" w14:textId="77777777" w:rsidR="00271D7A" w:rsidRPr="00A5474E" w:rsidRDefault="00271D7A"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C4DDBF" w14:textId="77777777" w:rsidR="00EE4DE2" w:rsidRDefault="00EE4DE2" w:rsidP="00DB3A64">
      <w:pPr>
        <w:spacing w:after="0"/>
      </w:pPr>
      <w:r>
        <w:separator/>
      </w:r>
    </w:p>
  </w:footnote>
  <w:footnote w:type="continuationSeparator" w:id="0">
    <w:p w14:paraId="249D2850" w14:textId="77777777" w:rsidR="00EE4DE2" w:rsidRDefault="00EE4DE2">
      <w:r>
        <w:continuationSeparator/>
      </w:r>
    </w:p>
  </w:footnote>
  <w:footnote w:id="1">
    <w:p w14:paraId="3AB8F271" w14:textId="2D1A44C8" w:rsidR="00EE4DE2" w:rsidRDefault="00EE4DE2" w:rsidP="00544485">
      <w:pPr>
        <w:pStyle w:val="FootnoteText"/>
        <w:spacing w:line="240" w:lineRule="auto"/>
        <w:ind w:left="284" w:hanging="284"/>
      </w:pPr>
      <w:r>
        <w:rPr>
          <w:rStyle w:val="FootnoteReference"/>
        </w:rPr>
        <w:footnoteRef/>
      </w:r>
      <w:r>
        <w:t xml:space="preserve">  ‘CPI number’ means the </w:t>
      </w:r>
      <w:proofErr w:type="gramStart"/>
      <w:r>
        <w:t>All Group</w:t>
      </w:r>
      <w:proofErr w:type="gramEnd"/>
      <w:r>
        <w:t xml:space="preserve"> Consumer Price Index number (being the weighted average of the 8 Australian capital cities) published </w:t>
      </w:r>
      <w:r w:rsidR="00695BA7">
        <w:t xml:space="preserve">by </w:t>
      </w:r>
      <w:r>
        <w:t>the Australian Statistician.</w:t>
      </w:r>
    </w:p>
  </w:footnote>
  <w:footnote w:id="2">
    <w:p w14:paraId="152BDF85" w14:textId="467A02EF" w:rsidR="00EE4DE2" w:rsidRDefault="00EE4DE2" w:rsidP="00544485">
      <w:pPr>
        <w:pStyle w:val="FootnoteText"/>
        <w:spacing w:line="240" w:lineRule="auto"/>
        <w:ind w:left="284" w:hanging="284"/>
      </w:pPr>
      <w:r>
        <w:rPr>
          <w:rStyle w:val="FootnoteReference"/>
        </w:rPr>
        <w:footnoteRef/>
      </w:r>
      <w:r>
        <w:t xml:space="preserve">  ‘Previous indexable amount’ refers to the indexable amount in force immediately before 1 January of the relevant year.</w:t>
      </w:r>
    </w:p>
  </w:footnote>
  <w:footnote w:id="3">
    <w:p w14:paraId="3314C501" w14:textId="51CF6AE2" w:rsidR="00EE4DE2" w:rsidRDefault="00EE4DE2" w:rsidP="00544485">
      <w:pPr>
        <w:pStyle w:val="FootnoteText"/>
        <w:spacing w:line="240" w:lineRule="auto"/>
        <w:ind w:left="284" w:hanging="284"/>
      </w:pPr>
      <w:r>
        <w:rPr>
          <w:rStyle w:val="FootnoteReference"/>
        </w:rPr>
        <w:footnoteRef/>
      </w:r>
      <w:r>
        <w:t xml:space="preserve">  ‘Latest CPI number’ means the CPI number for the quarter ending on 30 September before the relevant year.</w:t>
      </w:r>
    </w:p>
  </w:footnote>
  <w:footnote w:id="4">
    <w:p w14:paraId="46B01F08" w14:textId="43611870" w:rsidR="00EE4DE2" w:rsidRDefault="00EE4DE2" w:rsidP="00544485">
      <w:pPr>
        <w:pStyle w:val="FootnoteText"/>
        <w:spacing w:line="240" w:lineRule="auto"/>
        <w:ind w:left="284" w:hanging="284"/>
      </w:pPr>
      <w:r>
        <w:rPr>
          <w:rStyle w:val="FootnoteReference"/>
        </w:rPr>
        <w:footnoteRef/>
      </w:r>
      <w:r>
        <w:t xml:space="preserve">  ‘Earlier CPI number’ means the CPI number for the quarter ending on 30 September two years before the relevant year.</w:t>
      </w:r>
    </w:p>
  </w:footnote>
  <w:footnote w:id="5">
    <w:p w14:paraId="260DE0E7" w14:textId="77777777" w:rsidR="008B4C14" w:rsidRDefault="008B4C14" w:rsidP="00544485">
      <w:pPr>
        <w:pStyle w:val="FootnoteText"/>
        <w:ind w:left="284" w:hanging="284"/>
      </w:pPr>
      <w:r>
        <w:rPr>
          <w:rStyle w:val="FootnoteReference"/>
        </w:rPr>
        <w:footnoteRef/>
      </w:r>
      <w:r>
        <w:t xml:space="preserve"> Where the ACCTS genre point allocation does not include dollar amount for production budgets or license fees the points remain static. For example, irrespective of CPI changes, Australian children’s non-drama and Australian documentary programs are allocated 1.5 points and 1 point per hour of commissioned content broadcast.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3BC03" w14:textId="77777777" w:rsidR="00C053A1" w:rsidRPr="00A5474E" w:rsidRDefault="00C053A1" w:rsidP="00A5474E">
    <w:pPr>
      <w:pStyle w:val="Header"/>
    </w:pPr>
    <w:r>
      <w:rPr>
        <w:noProof/>
      </w:rPr>
      <w:drawing>
        <wp:inline distT="0" distB="0" distL="0" distR="0" wp14:anchorId="5447DEA3" wp14:editId="6434EB54">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ADC1"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DFF34"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3827A"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E2AD897" w14:textId="77777777" w:rsidTr="003B0421">
      <w:trPr>
        <w:trHeight w:hRule="exact" w:val="988"/>
      </w:trPr>
      <w:tc>
        <w:tcPr>
          <w:tcW w:w="7678" w:type="dxa"/>
          <w:shd w:val="clear" w:color="auto" w:fill="auto"/>
        </w:tcPr>
        <w:p w14:paraId="3E3F519D" w14:textId="77777777" w:rsidR="00971914" w:rsidRDefault="00971914" w:rsidP="00971914">
          <w:pPr>
            <w:pStyle w:val="Header"/>
          </w:pPr>
        </w:p>
      </w:tc>
    </w:tr>
    <w:tr w:rsidR="00971914" w14:paraId="32E3B81D" w14:textId="77777777" w:rsidTr="003B0421">
      <w:tc>
        <w:tcPr>
          <w:tcW w:w="7678" w:type="dxa"/>
          <w:shd w:val="clear" w:color="auto" w:fill="auto"/>
        </w:tcPr>
        <w:p w14:paraId="6CC3E98D" w14:textId="77777777" w:rsidR="00971914" w:rsidRDefault="00971914" w:rsidP="00971914">
          <w:pPr>
            <w:pStyle w:val="GridTable31"/>
          </w:pPr>
          <w:r>
            <w:t xml:space="preserve">Contents </w:t>
          </w:r>
          <w:r w:rsidRPr="00915B1C">
            <w:rPr>
              <w:b w:val="0"/>
              <w:spacing w:val="0"/>
              <w:sz w:val="28"/>
              <w:szCs w:val="28"/>
            </w:rPr>
            <w:t>(Continued)</w:t>
          </w:r>
        </w:p>
      </w:tc>
    </w:tr>
    <w:tr w:rsidR="00971914" w14:paraId="59F3D057" w14:textId="77777777" w:rsidTr="003B0421">
      <w:trPr>
        <w:trHeight w:val="1220"/>
      </w:trPr>
      <w:tc>
        <w:tcPr>
          <w:tcW w:w="7678" w:type="dxa"/>
          <w:shd w:val="clear" w:color="auto" w:fill="auto"/>
        </w:tcPr>
        <w:p w14:paraId="651B0DF8" w14:textId="77777777" w:rsidR="00971914" w:rsidRDefault="00971914" w:rsidP="00971914"/>
      </w:tc>
    </w:tr>
  </w:tbl>
  <w:p w14:paraId="798C6CFF"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36F9B63" w14:textId="77777777" w:rsidTr="003B0421">
      <w:trPr>
        <w:trHeight w:hRule="exact" w:val="988"/>
      </w:trPr>
      <w:tc>
        <w:tcPr>
          <w:tcW w:w="7678" w:type="dxa"/>
          <w:shd w:val="clear" w:color="auto" w:fill="auto"/>
        </w:tcPr>
        <w:p w14:paraId="46BCC8C9" w14:textId="77777777" w:rsidR="00971914" w:rsidRDefault="00971914" w:rsidP="00971914">
          <w:pPr>
            <w:pStyle w:val="Header"/>
          </w:pPr>
        </w:p>
      </w:tc>
    </w:tr>
    <w:tr w:rsidR="00971914" w14:paraId="204C1398" w14:textId="77777777" w:rsidTr="003B0421">
      <w:tc>
        <w:tcPr>
          <w:tcW w:w="7678" w:type="dxa"/>
          <w:shd w:val="clear" w:color="auto" w:fill="auto"/>
        </w:tcPr>
        <w:p w14:paraId="7BA91308" w14:textId="77777777" w:rsidR="00971914" w:rsidRDefault="00971914" w:rsidP="00971914">
          <w:pPr>
            <w:pStyle w:val="GridTable31"/>
          </w:pPr>
          <w:r>
            <w:t xml:space="preserve">Contents </w:t>
          </w:r>
          <w:r w:rsidRPr="00915B1C">
            <w:rPr>
              <w:b w:val="0"/>
              <w:spacing w:val="0"/>
              <w:sz w:val="28"/>
              <w:szCs w:val="28"/>
            </w:rPr>
            <w:t>(Continued)</w:t>
          </w:r>
        </w:p>
      </w:tc>
    </w:tr>
    <w:tr w:rsidR="00971914" w14:paraId="6DD1BC5E" w14:textId="77777777" w:rsidTr="003B0421">
      <w:trPr>
        <w:trHeight w:val="1220"/>
      </w:trPr>
      <w:tc>
        <w:tcPr>
          <w:tcW w:w="7678" w:type="dxa"/>
          <w:shd w:val="clear" w:color="auto" w:fill="auto"/>
        </w:tcPr>
        <w:p w14:paraId="21986119" w14:textId="77777777" w:rsidR="00971914" w:rsidRDefault="00971914" w:rsidP="00971914"/>
      </w:tc>
    </w:tr>
  </w:tbl>
  <w:p w14:paraId="22345C82"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92A9F"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9922A"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6"/>
  </w:num>
  <w:num w:numId="6">
    <w:abstractNumId w:val="9"/>
  </w:num>
  <w:num w:numId="7">
    <w:abstractNumId w:val="7"/>
  </w:num>
  <w:num w:numId="8">
    <w:abstractNumId w:val="8"/>
  </w:num>
  <w:num w:numId="9">
    <w:abstractNumId w:val="10"/>
  </w:num>
  <w:num w:numId="10">
    <w:abstractNumId w:val="4"/>
  </w:num>
  <w:num w:numId="11">
    <w:abstractNumId w:val="2"/>
    <w:lvlOverride w:ilvl="0">
      <w:startOverride w:val="1"/>
    </w:lvlOverride>
  </w:num>
  <w:num w:numId="12">
    <w:abstractNumId w:val="2"/>
    <w:lvlOverride w:ilvl="0">
      <w:startOverride w:val="1"/>
    </w:lvlOverride>
  </w:num>
  <w:num w:numId="13">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DateAndTime/>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DE2"/>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3BE1"/>
    <w:rsid w:val="00074976"/>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2124"/>
    <w:rsid w:val="0010267F"/>
    <w:rsid w:val="00103829"/>
    <w:rsid w:val="00111FCE"/>
    <w:rsid w:val="00113F84"/>
    <w:rsid w:val="00116DB3"/>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A680D"/>
    <w:rsid w:val="001B28D9"/>
    <w:rsid w:val="001B58AA"/>
    <w:rsid w:val="001B7E48"/>
    <w:rsid w:val="001C17CE"/>
    <w:rsid w:val="001C36CA"/>
    <w:rsid w:val="001C44D1"/>
    <w:rsid w:val="001C6AEE"/>
    <w:rsid w:val="001C7630"/>
    <w:rsid w:val="001D4DD0"/>
    <w:rsid w:val="001D6D15"/>
    <w:rsid w:val="001F7558"/>
    <w:rsid w:val="00205B57"/>
    <w:rsid w:val="002157E0"/>
    <w:rsid w:val="00216A57"/>
    <w:rsid w:val="00217448"/>
    <w:rsid w:val="0022334F"/>
    <w:rsid w:val="00226819"/>
    <w:rsid w:val="00233101"/>
    <w:rsid w:val="00233817"/>
    <w:rsid w:val="002361E9"/>
    <w:rsid w:val="002367FF"/>
    <w:rsid w:val="00240CE9"/>
    <w:rsid w:val="0024119A"/>
    <w:rsid w:val="002434BA"/>
    <w:rsid w:val="00246089"/>
    <w:rsid w:val="00246093"/>
    <w:rsid w:val="00246702"/>
    <w:rsid w:val="00247C59"/>
    <w:rsid w:val="00247F2E"/>
    <w:rsid w:val="00250ADC"/>
    <w:rsid w:val="00250B07"/>
    <w:rsid w:val="00257553"/>
    <w:rsid w:val="00260FB2"/>
    <w:rsid w:val="00262128"/>
    <w:rsid w:val="00262DC7"/>
    <w:rsid w:val="0027165D"/>
    <w:rsid w:val="00271D7A"/>
    <w:rsid w:val="00273CEB"/>
    <w:rsid w:val="00281C89"/>
    <w:rsid w:val="0028282F"/>
    <w:rsid w:val="00284A74"/>
    <w:rsid w:val="0029593B"/>
    <w:rsid w:val="00295A39"/>
    <w:rsid w:val="00297FC5"/>
    <w:rsid w:val="002A0417"/>
    <w:rsid w:val="002A16D8"/>
    <w:rsid w:val="002A1BC8"/>
    <w:rsid w:val="002A3EF2"/>
    <w:rsid w:val="002B0DED"/>
    <w:rsid w:val="002B19A2"/>
    <w:rsid w:val="002B381A"/>
    <w:rsid w:val="002B4851"/>
    <w:rsid w:val="002B4FCC"/>
    <w:rsid w:val="002B7408"/>
    <w:rsid w:val="002B7CFD"/>
    <w:rsid w:val="002C210F"/>
    <w:rsid w:val="002D3600"/>
    <w:rsid w:val="002E4DDC"/>
    <w:rsid w:val="00302480"/>
    <w:rsid w:val="00302758"/>
    <w:rsid w:val="003125DD"/>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3623"/>
    <w:rsid w:val="003D71A3"/>
    <w:rsid w:val="003E2B8A"/>
    <w:rsid w:val="003F10EE"/>
    <w:rsid w:val="003F16F6"/>
    <w:rsid w:val="003F4DC7"/>
    <w:rsid w:val="003F5235"/>
    <w:rsid w:val="004027E4"/>
    <w:rsid w:val="0041071D"/>
    <w:rsid w:val="00414AFC"/>
    <w:rsid w:val="004151A7"/>
    <w:rsid w:val="00415310"/>
    <w:rsid w:val="00421709"/>
    <w:rsid w:val="00423763"/>
    <w:rsid w:val="00424641"/>
    <w:rsid w:val="0042762F"/>
    <w:rsid w:val="00427DC7"/>
    <w:rsid w:val="00431613"/>
    <w:rsid w:val="00431792"/>
    <w:rsid w:val="0043297A"/>
    <w:rsid w:val="00432EB2"/>
    <w:rsid w:val="0043714F"/>
    <w:rsid w:val="004438B5"/>
    <w:rsid w:val="00447037"/>
    <w:rsid w:val="004511C5"/>
    <w:rsid w:val="0045124D"/>
    <w:rsid w:val="00454596"/>
    <w:rsid w:val="0045605D"/>
    <w:rsid w:val="0046135B"/>
    <w:rsid w:val="00461D47"/>
    <w:rsid w:val="004718CC"/>
    <w:rsid w:val="00480B28"/>
    <w:rsid w:val="00481695"/>
    <w:rsid w:val="00495A96"/>
    <w:rsid w:val="00495BB3"/>
    <w:rsid w:val="004962DC"/>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144FA"/>
    <w:rsid w:val="005219E7"/>
    <w:rsid w:val="00521ED4"/>
    <w:rsid w:val="00525B37"/>
    <w:rsid w:val="00531B9A"/>
    <w:rsid w:val="00531D15"/>
    <w:rsid w:val="00537604"/>
    <w:rsid w:val="00542377"/>
    <w:rsid w:val="00544485"/>
    <w:rsid w:val="005476EB"/>
    <w:rsid w:val="00551782"/>
    <w:rsid w:val="00563EF1"/>
    <w:rsid w:val="00566AB4"/>
    <w:rsid w:val="00575AC5"/>
    <w:rsid w:val="0057605D"/>
    <w:rsid w:val="00581347"/>
    <w:rsid w:val="00581AC9"/>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49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60EC6"/>
    <w:rsid w:val="00664110"/>
    <w:rsid w:val="00664D17"/>
    <w:rsid w:val="00666520"/>
    <w:rsid w:val="00667C5B"/>
    <w:rsid w:val="00681E1E"/>
    <w:rsid w:val="00691EB8"/>
    <w:rsid w:val="00692CDE"/>
    <w:rsid w:val="00693073"/>
    <w:rsid w:val="00695BA7"/>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6978"/>
    <w:rsid w:val="006C70A0"/>
    <w:rsid w:val="006D27CB"/>
    <w:rsid w:val="006D2F08"/>
    <w:rsid w:val="006D576C"/>
    <w:rsid w:val="006D5865"/>
    <w:rsid w:val="006E4B1B"/>
    <w:rsid w:val="006E5445"/>
    <w:rsid w:val="006E7D93"/>
    <w:rsid w:val="007029A3"/>
    <w:rsid w:val="00702EA1"/>
    <w:rsid w:val="00706E4E"/>
    <w:rsid w:val="0070791C"/>
    <w:rsid w:val="0071383C"/>
    <w:rsid w:val="007141A7"/>
    <w:rsid w:val="007152CD"/>
    <w:rsid w:val="00715722"/>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5FC"/>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E20BA"/>
    <w:rsid w:val="007E3375"/>
    <w:rsid w:val="007E7683"/>
    <w:rsid w:val="007F49FA"/>
    <w:rsid w:val="007F54C4"/>
    <w:rsid w:val="007F6E9A"/>
    <w:rsid w:val="00800CCD"/>
    <w:rsid w:val="008044D4"/>
    <w:rsid w:val="00810AB4"/>
    <w:rsid w:val="008117DF"/>
    <w:rsid w:val="00817B56"/>
    <w:rsid w:val="00821A88"/>
    <w:rsid w:val="0082495D"/>
    <w:rsid w:val="00831AC3"/>
    <w:rsid w:val="00836FCE"/>
    <w:rsid w:val="008408FF"/>
    <w:rsid w:val="00851F3F"/>
    <w:rsid w:val="0085618F"/>
    <w:rsid w:val="00856EDC"/>
    <w:rsid w:val="008623B5"/>
    <w:rsid w:val="00870ABA"/>
    <w:rsid w:val="008710E1"/>
    <w:rsid w:val="008713A1"/>
    <w:rsid w:val="008716E5"/>
    <w:rsid w:val="00881CA9"/>
    <w:rsid w:val="00883628"/>
    <w:rsid w:val="00885544"/>
    <w:rsid w:val="0088634E"/>
    <w:rsid w:val="00893AB8"/>
    <w:rsid w:val="008A04C8"/>
    <w:rsid w:val="008A6913"/>
    <w:rsid w:val="008B4C14"/>
    <w:rsid w:val="008B70F3"/>
    <w:rsid w:val="008B71C4"/>
    <w:rsid w:val="008B76DF"/>
    <w:rsid w:val="008C10F4"/>
    <w:rsid w:val="008C65F7"/>
    <w:rsid w:val="008E4767"/>
    <w:rsid w:val="008E7A8C"/>
    <w:rsid w:val="0090203B"/>
    <w:rsid w:val="00903285"/>
    <w:rsid w:val="00906F40"/>
    <w:rsid w:val="0090731E"/>
    <w:rsid w:val="00915B1C"/>
    <w:rsid w:val="009174F3"/>
    <w:rsid w:val="0091797D"/>
    <w:rsid w:val="00923CBA"/>
    <w:rsid w:val="009242EB"/>
    <w:rsid w:val="00926703"/>
    <w:rsid w:val="00927691"/>
    <w:rsid w:val="00927A5F"/>
    <w:rsid w:val="00930510"/>
    <w:rsid w:val="00935B63"/>
    <w:rsid w:val="0094078F"/>
    <w:rsid w:val="00940FA3"/>
    <w:rsid w:val="00941FB0"/>
    <w:rsid w:val="009426D4"/>
    <w:rsid w:val="00947F25"/>
    <w:rsid w:val="00950159"/>
    <w:rsid w:val="0095490B"/>
    <w:rsid w:val="00960A33"/>
    <w:rsid w:val="00971914"/>
    <w:rsid w:val="00974363"/>
    <w:rsid w:val="00981898"/>
    <w:rsid w:val="0099577C"/>
    <w:rsid w:val="009B24A5"/>
    <w:rsid w:val="009B2601"/>
    <w:rsid w:val="009B4E9E"/>
    <w:rsid w:val="009C1690"/>
    <w:rsid w:val="009C6881"/>
    <w:rsid w:val="009C7759"/>
    <w:rsid w:val="009D043D"/>
    <w:rsid w:val="009D07C8"/>
    <w:rsid w:val="009D1D05"/>
    <w:rsid w:val="009D6C71"/>
    <w:rsid w:val="009E0631"/>
    <w:rsid w:val="009E16D0"/>
    <w:rsid w:val="009E2051"/>
    <w:rsid w:val="009E38FD"/>
    <w:rsid w:val="009F13D6"/>
    <w:rsid w:val="009F4C6B"/>
    <w:rsid w:val="009F78A8"/>
    <w:rsid w:val="00A02AD6"/>
    <w:rsid w:val="00A07096"/>
    <w:rsid w:val="00A07318"/>
    <w:rsid w:val="00A11370"/>
    <w:rsid w:val="00A17B1B"/>
    <w:rsid w:val="00A224CE"/>
    <w:rsid w:val="00A22522"/>
    <w:rsid w:val="00A2440D"/>
    <w:rsid w:val="00A24882"/>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2F8E"/>
    <w:rsid w:val="00A74B5E"/>
    <w:rsid w:val="00A770C5"/>
    <w:rsid w:val="00A81BED"/>
    <w:rsid w:val="00A81EC4"/>
    <w:rsid w:val="00A824E8"/>
    <w:rsid w:val="00A82C71"/>
    <w:rsid w:val="00A967FD"/>
    <w:rsid w:val="00AA2DE5"/>
    <w:rsid w:val="00AA7675"/>
    <w:rsid w:val="00AB156C"/>
    <w:rsid w:val="00AB5A0D"/>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6FA"/>
    <w:rsid w:val="00B4288C"/>
    <w:rsid w:val="00B43262"/>
    <w:rsid w:val="00B44100"/>
    <w:rsid w:val="00B46CBA"/>
    <w:rsid w:val="00B46F94"/>
    <w:rsid w:val="00B6003C"/>
    <w:rsid w:val="00B61F03"/>
    <w:rsid w:val="00B626E4"/>
    <w:rsid w:val="00B62923"/>
    <w:rsid w:val="00B72F4A"/>
    <w:rsid w:val="00B83C27"/>
    <w:rsid w:val="00B84BC3"/>
    <w:rsid w:val="00B84BDD"/>
    <w:rsid w:val="00B92812"/>
    <w:rsid w:val="00BB45A1"/>
    <w:rsid w:val="00BB7686"/>
    <w:rsid w:val="00BC23F9"/>
    <w:rsid w:val="00BC3421"/>
    <w:rsid w:val="00BC732C"/>
    <w:rsid w:val="00BD4421"/>
    <w:rsid w:val="00BD7249"/>
    <w:rsid w:val="00BE2580"/>
    <w:rsid w:val="00BE266D"/>
    <w:rsid w:val="00BE35CB"/>
    <w:rsid w:val="00BE3938"/>
    <w:rsid w:val="00BE4C11"/>
    <w:rsid w:val="00BE6588"/>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533B4"/>
    <w:rsid w:val="00C5498F"/>
    <w:rsid w:val="00C55235"/>
    <w:rsid w:val="00C64CD0"/>
    <w:rsid w:val="00C6684F"/>
    <w:rsid w:val="00C70E70"/>
    <w:rsid w:val="00C75F8D"/>
    <w:rsid w:val="00C77380"/>
    <w:rsid w:val="00C82940"/>
    <w:rsid w:val="00C87E8A"/>
    <w:rsid w:val="00C97736"/>
    <w:rsid w:val="00CA345A"/>
    <w:rsid w:val="00CB1E82"/>
    <w:rsid w:val="00CB4BA8"/>
    <w:rsid w:val="00CB52D7"/>
    <w:rsid w:val="00CC6732"/>
    <w:rsid w:val="00CE0BB5"/>
    <w:rsid w:val="00CE3C96"/>
    <w:rsid w:val="00CE51A8"/>
    <w:rsid w:val="00CF369B"/>
    <w:rsid w:val="00D00E28"/>
    <w:rsid w:val="00D0269E"/>
    <w:rsid w:val="00D05D6C"/>
    <w:rsid w:val="00D15810"/>
    <w:rsid w:val="00D16D4E"/>
    <w:rsid w:val="00D16FE3"/>
    <w:rsid w:val="00D27C72"/>
    <w:rsid w:val="00D27F41"/>
    <w:rsid w:val="00D36441"/>
    <w:rsid w:val="00D4064E"/>
    <w:rsid w:val="00D414E9"/>
    <w:rsid w:val="00D42EF0"/>
    <w:rsid w:val="00D44E9B"/>
    <w:rsid w:val="00D45FD2"/>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3A64"/>
    <w:rsid w:val="00DB5173"/>
    <w:rsid w:val="00DB7873"/>
    <w:rsid w:val="00DC009F"/>
    <w:rsid w:val="00DC187B"/>
    <w:rsid w:val="00DC7DEF"/>
    <w:rsid w:val="00DD1A43"/>
    <w:rsid w:val="00DD73C2"/>
    <w:rsid w:val="00DE319B"/>
    <w:rsid w:val="00DF0799"/>
    <w:rsid w:val="00DF2237"/>
    <w:rsid w:val="00DF34FE"/>
    <w:rsid w:val="00DF56AA"/>
    <w:rsid w:val="00DF56AF"/>
    <w:rsid w:val="00DF78E7"/>
    <w:rsid w:val="00E0342E"/>
    <w:rsid w:val="00E110E0"/>
    <w:rsid w:val="00E15371"/>
    <w:rsid w:val="00E23372"/>
    <w:rsid w:val="00E24104"/>
    <w:rsid w:val="00E302D0"/>
    <w:rsid w:val="00E31F9C"/>
    <w:rsid w:val="00E35707"/>
    <w:rsid w:val="00E36AA1"/>
    <w:rsid w:val="00E41ECB"/>
    <w:rsid w:val="00E42676"/>
    <w:rsid w:val="00E54FDB"/>
    <w:rsid w:val="00E5617D"/>
    <w:rsid w:val="00E563D7"/>
    <w:rsid w:val="00E6505C"/>
    <w:rsid w:val="00E663F4"/>
    <w:rsid w:val="00E666F2"/>
    <w:rsid w:val="00E66DD4"/>
    <w:rsid w:val="00E748CC"/>
    <w:rsid w:val="00E75415"/>
    <w:rsid w:val="00E775B1"/>
    <w:rsid w:val="00E8152A"/>
    <w:rsid w:val="00E8410A"/>
    <w:rsid w:val="00E93629"/>
    <w:rsid w:val="00E93B5C"/>
    <w:rsid w:val="00E94CEC"/>
    <w:rsid w:val="00EA04EF"/>
    <w:rsid w:val="00EA0D39"/>
    <w:rsid w:val="00EA1CE3"/>
    <w:rsid w:val="00EA6F19"/>
    <w:rsid w:val="00EB7090"/>
    <w:rsid w:val="00EC1BBE"/>
    <w:rsid w:val="00EC2B68"/>
    <w:rsid w:val="00EC3AEF"/>
    <w:rsid w:val="00EC5CD7"/>
    <w:rsid w:val="00EE4DE2"/>
    <w:rsid w:val="00EE5FB3"/>
    <w:rsid w:val="00EE7F79"/>
    <w:rsid w:val="00EF715A"/>
    <w:rsid w:val="00F01BC3"/>
    <w:rsid w:val="00F04366"/>
    <w:rsid w:val="00F06E14"/>
    <w:rsid w:val="00F179D4"/>
    <w:rsid w:val="00F33C56"/>
    <w:rsid w:val="00F347C7"/>
    <w:rsid w:val="00F34848"/>
    <w:rsid w:val="00F351A4"/>
    <w:rsid w:val="00F42D46"/>
    <w:rsid w:val="00F4496C"/>
    <w:rsid w:val="00F44F3A"/>
    <w:rsid w:val="00F45DD5"/>
    <w:rsid w:val="00F51F10"/>
    <w:rsid w:val="00F529A5"/>
    <w:rsid w:val="00F60F00"/>
    <w:rsid w:val="00F614C0"/>
    <w:rsid w:val="00F61C77"/>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37024B10"/>
  <w15:docId w15:val="{C3534D59-CF51-45E2-A66C-4209D4AAB7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74976"/>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ACMA Footnote Text,ABA Footnote Text"/>
    <w:basedOn w:val="Normal"/>
    <w:link w:val="FootnoteTextChar"/>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LegislationLvl1">
    <w:name w:val="Legislation Lvl 1"/>
    <w:rsid w:val="00EE4DE2"/>
    <w:pPr>
      <w:numPr>
        <w:numId w:val="13"/>
      </w:numPr>
    </w:pPr>
    <w:rPr>
      <w:bCs/>
      <w:sz w:val="22"/>
      <w:szCs w:val="20"/>
      <w:lang w:eastAsia="en-US"/>
    </w:rPr>
  </w:style>
  <w:style w:type="paragraph" w:customStyle="1" w:styleId="LegislationLvl2">
    <w:name w:val="Legislation Lvl 2"/>
    <w:rsid w:val="00EE4DE2"/>
    <w:pPr>
      <w:numPr>
        <w:ilvl w:val="1"/>
        <w:numId w:val="13"/>
      </w:numPr>
    </w:pPr>
    <w:rPr>
      <w:sz w:val="22"/>
      <w:szCs w:val="20"/>
      <w:lang w:eastAsia="en-US"/>
    </w:rPr>
  </w:style>
  <w:style w:type="paragraph" w:customStyle="1" w:styleId="LegislationLvl3">
    <w:name w:val="Legislation Lvl 3"/>
    <w:rsid w:val="00EE4DE2"/>
    <w:pPr>
      <w:numPr>
        <w:ilvl w:val="2"/>
        <w:numId w:val="13"/>
      </w:numPr>
    </w:pPr>
    <w:rPr>
      <w:sz w:val="22"/>
      <w:szCs w:val="20"/>
      <w:lang w:eastAsia="en-US"/>
    </w:rPr>
  </w:style>
  <w:style w:type="paragraph" w:customStyle="1" w:styleId="LegislationLvl4">
    <w:name w:val="Legislation Lvl 4"/>
    <w:rsid w:val="00EE4DE2"/>
    <w:pPr>
      <w:numPr>
        <w:ilvl w:val="3"/>
        <w:numId w:val="13"/>
      </w:numPr>
    </w:pPr>
    <w:rPr>
      <w:sz w:val="22"/>
      <w:szCs w:val="20"/>
      <w:lang w:eastAsia="en-US"/>
    </w:rPr>
  </w:style>
  <w:style w:type="paragraph" w:customStyle="1" w:styleId="ABAHeading3">
    <w:name w:val="ABA Heading 3"/>
    <w:next w:val="Normal"/>
    <w:rsid w:val="00EE4DE2"/>
    <w:pPr>
      <w:keepNext/>
      <w:suppressAutoHyphens/>
      <w:spacing w:before="120"/>
    </w:pPr>
    <w:rPr>
      <w:rFonts w:ascii="Arial" w:hAnsi="Arial"/>
      <w:b/>
      <w:szCs w:val="20"/>
      <w:lang w:eastAsia="en-US"/>
    </w:rPr>
  </w:style>
  <w:style w:type="paragraph" w:customStyle="1" w:styleId="R2">
    <w:name w:val="R2"/>
    <w:aliases w:val="(2)"/>
    <w:basedOn w:val="Normal"/>
    <w:rsid w:val="00EE4DE2"/>
    <w:pPr>
      <w:tabs>
        <w:tab w:val="right" w:pos="794"/>
        <w:tab w:val="left" w:pos="964"/>
      </w:tabs>
      <w:spacing w:before="180" w:after="0" w:line="260" w:lineRule="exact"/>
      <w:ind w:left="964" w:hanging="964"/>
      <w:jc w:val="both"/>
    </w:pPr>
    <w:rPr>
      <w:rFonts w:ascii="Times" w:hAnsi="Times"/>
      <w:sz w:val="24"/>
      <w:szCs w:val="20"/>
    </w:rPr>
  </w:style>
  <w:style w:type="character" w:customStyle="1" w:styleId="FootnoteTextChar">
    <w:name w:val="Footnote Text Char"/>
    <w:aliases w:val="Footnote text Char,ACMA Footnote Text Char,ABA Footnote Text Char"/>
    <w:basedOn w:val="DefaultParagraphFont"/>
    <w:link w:val="FootnoteText"/>
    <w:rsid w:val="00C533B4"/>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mailto:info@acma.gov.au" TargetMode="External"/><Relationship Id="rId26" Type="http://schemas.openxmlformats.org/officeDocument/2006/relationships/footer" Target="footer5.xml"/><Relationship Id="rId21" Type="http://schemas.openxmlformats.org/officeDocument/2006/relationships/footer" Target="footer2.xml"/><Relationship Id="rId34" Type="http://schemas.openxmlformats.org/officeDocument/2006/relationships/hyperlink" Target="https://www.acma.gov.au/sites/default/files/2022-03/Production%20budget%20and%20licence%20fees%202022.doc"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s://creativecommons.org/licenses/by/4.0/" TargetMode="External"/><Relationship Id="rId25" Type="http://schemas.openxmlformats.org/officeDocument/2006/relationships/footer" Target="footer4.xml"/><Relationship Id="rId33" Type="http://schemas.openxmlformats.org/officeDocument/2006/relationships/hyperlink" Target="https://www.acma.gov.au/sites/default/files/2022-03/Production%20budget%20and%20licence%20fees%202022.doc"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header" Target="header4.xm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6.xml"/><Relationship Id="rId32" Type="http://schemas.openxmlformats.org/officeDocument/2006/relationships/footer" Target="footer8.xml"/><Relationship Id="rId37"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i.creativecommons.org/l/by/3.0/88x31.png" TargetMode="External"/><Relationship Id="rId23" Type="http://schemas.openxmlformats.org/officeDocument/2006/relationships/header" Target="header5.xml"/><Relationship Id="rId28" Type="http://schemas.openxmlformats.org/officeDocument/2006/relationships/image" Target="media/image4.png"/><Relationship Id="rId36" Type="http://schemas.openxmlformats.org/officeDocument/2006/relationships/footer" Target="footer10.xml"/><Relationship Id="rId10" Type="http://schemas.openxmlformats.org/officeDocument/2006/relationships/footnotes" Target="footnotes.xml"/><Relationship Id="rId19" Type="http://schemas.openxmlformats.org/officeDocument/2006/relationships/header" Target="header3.xml"/><Relationship Id="rId31" Type="http://schemas.openxmlformats.org/officeDocument/2006/relationships/footer" Target="footer7.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eader" Target="header8.xml"/><Relationship Id="rId35" Type="http://schemas.openxmlformats.org/officeDocument/2006/relationships/footer" Target="footer9.xml"/><Relationship Id="rId8" Type="http://schemas.openxmlformats.org/officeDocument/2006/relationships/settings" Target="settings.xml"/><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ACMA-System\Templates\ACMA\ACMA%20repor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Notes0 xmlns="38bf77aa-a8d5-499a-a9e6-751757120959" xsi:nil="true"/>
    <_dlc_DocId xmlns="d71819ef-55b9-420a-86a4-d36bc037540e">AM7W7QW6R7VW-386709247-11399</_dlc_DocId>
    <_dlc_DocIdUrl xmlns="d71819ef-55b9-420a-86a4-d36bc037540e">
      <Url>http://collaboration/organisation/cccd/CCB/NMBS/_layouts/15/DocIdRedir.aspx?ID=AM7W7QW6R7VW-386709247-11399</Url>
      <Description>AM7W7QW6R7VW-386709247-11399</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698E563A6A95F46AC88DDA0C39A8500" ma:contentTypeVersion="1" ma:contentTypeDescription="Create a new document." ma:contentTypeScope="" ma:versionID="a5e79773f8238dc4a161052f05721bf0">
  <xsd:schema xmlns:xsd="http://www.w3.org/2001/XMLSchema" xmlns:xs="http://www.w3.org/2001/XMLSchema" xmlns:p="http://schemas.microsoft.com/office/2006/metadata/properties" xmlns:ns2="d71819ef-55b9-420a-86a4-d36bc037540e" xmlns:ns3="38bf77aa-a8d5-499a-a9e6-751757120959" targetNamespace="http://schemas.microsoft.com/office/2006/metadata/properties" ma:root="true" ma:fieldsID="8cfabe1f430afb81928be353137a7a11" ns2:_="" ns3:_="">
    <xsd:import namespace="d71819ef-55b9-420a-86a4-d36bc037540e"/>
    <xsd:import namespace="38bf77aa-a8d5-499a-a9e6-751757120959"/>
    <xsd:element name="properties">
      <xsd:complexType>
        <xsd:sequence>
          <xsd:element name="documentManagement">
            <xsd:complexType>
              <xsd:all>
                <xsd:element ref="ns2:_dlc_DocId" minOccurs="0"/>
                <xsd:element ref="ns2:_dlc_DocIdUrl" minOccurs="0"/>
                <xsd:element ref="ns2:_dlc_DocIdPersistId" minOccurs="0"/>
                <xsd:element ref="ns3:Notes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8bf77aa-a8d5-499a-a9e6-751757120959" elementFormDefault="qualified">
    <xsd:import namespace="http://schemas.microsoft.com/office/2006/documentManagement/types"/>
    <xsd:import namespace="http://schemas.microsoft.com/office/infopath/2007/PartnerControls"/>
    <xsd:element name="Notes0" ma:index="11" nillable="true" ma:displayName="Notes" ma:internalName="Notes0">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424F1-0DA6-46DA-A458-D98ECC7E6BFB}">
  <ds:schemaRefs>
    <ds:schemaRef ds:uri="http://schemas.microsoft.com/sharepoint/v3/contenttype/forms"/>
  </ds:schemaRefs>
</ds:datastoreItem>
</file>

<file path=customXml/itemProps2.xml><?xml version="1.0" encoding="utf-8"?>
<ds:datastoreItem xmlns:ds="http://schemas.openxmlformats.org/officeDocument/2006/customXml" ds:itemID="{BAB46C0F-1803-4B5E-87AE-E9C4C00E4BE0}">
  <ds:schemaRefs>
    <ds:schemaRef ds:uri="http://purl.org/dc/dcmitype/"/>
    <ds:schemaRef ds:uri="http://schemas.microsoft.com/office/2006/documentManagement/types"/>
    <ds:schemaRef ds:uri="http://www.w3.org/XML/1998/namespace"/>
    <ds:schemaRef ds:uri="http://schemas.microsoft.com/office/2006/metadata/properties"/>
    <ds:schemaRef ds:uri="http://purl.org/dc/terms/"/>
    <ds:schemaRef ds:uri="http://schemas.microsoft.com/office/infopath/2007/PartnerControls"/>
    <ds:schemaRef ds:uri="d71819ef-55b9-420a-86a4-d36bc037540e"/>
    <ds:schemaRef ds:uri="http://schemas.openxmlformats.org/package/2006/metadata/core-properties"/>
    <ds:schemaRef ds:uri="38bf77aa-a8d5-499a-a9e6-751757120959"/>
    <ds:schemaRef ds:uri="http://purl.org/dc/elements/1.1/"/>
  </ds:schemaRefs>
</ds:datastoreItem>
</file>

<file path=customXml/itemProps3.xml><?xml version="1.0" encoding="utf-8"?>
<ds:datastoreItem xmlns:ds="http://schemas.openxmlformats.org/officeDocument/2006/customXml" ds:itemID="{78026F72-A7C9-43F3-BE66-250F27FFE0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38bf77aa-a8d5-499a-a9e6-7517571209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F6C4D88-F116-4A28-88F8-DF35F929ACA2}">
  <ds:schemaRefs>
    <ds:schemaRef ds:uri="http://schemas.microsoft.com/sharepoint/events"/>
  </ds:schemaRefs>
</ds:datastoreItem>
</file>

<file path=customXml/itemProps5.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report.dotx</Template>
  <TotalTime>523</TotalTime>
  <Pages>7</Pages>
  <Words>1161</Words>
  <Characters>6619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7765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Katrina La Galle</dc:creator>
  <cp:keywords/>
  <dc:description/>
  <cp:lastModifiedBy>Amanda Henson</cp:lastModifiedBy>
  <cp:revision>21</cp:revision>
  <cp:lastPrinted>2022-12-08T04:42:00Z</cp:lastPrinted>
  <dcterms:created xsi:type="dcterms:W3CDTF">2022-11-11T03:26:00Z</dcterms:created>
  <dcterms:modified xsi:type="dcterms:W3CDTF">2022-12-13T03:25:00Z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0x0101004698E563A6A95F46AC88DDA0C39A8500</vt:lpwstr>
  </property>
  <property fmtid="{D5CDD505-2E9C-101B-9397-08002B2CF9AE}" pid="3" name="_dlc_DocIdItemGuid">
    <vt:lpwstr>69880230-58ad-4abe-8bdf-faaa599fb71a</vt:lpwstr>
  </property>
  <property fmtid="{D5CDD505-2E9C-101B-9397-08002B2CF9AE}" pid="4" name="TitusGUID">
    <vt:lpwstr>5193968f-a061-42e3-96ed-e9d320cc0258</vt:lpwstr>
  </property>
</Properties>
</file>