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911D5C" w14:textId="37CA2208" w:rsidR="00F06E14" w:rsidRPr="00A17B1B" w:rsidRDefault="00D668E2" w:rsidP="00A51D1A">
      <w:pPr>
        <w:pStyle w:val="Reporttitle"/>
      </w:pPr>
      <w:r>
        <w:t xml:space="preserve">Low Power Open Narrowcast licence </w:t>
      </w:r>
      <w:r w:rsidR="00A56D47">
        <w:t xml:space="preserve">conditions </w:t>
      </w:r>
      <w:r>
        <w:t>audit</w:t>
      </w:r>
    </w:p>
    <w:p w14:paraId="122023B9" w14:textId="6C9A837B" w:rsidR="00F06E14" w:rsidRPr="00A17B1B" w:rsidRDefault="00D27580" w:rsidP="00F06E14">
      <w:pPr>
        <w:pStyle w:val="Reportsubtitle"/>
      </w:pPr>
      <w:r>
        <w:t xml:space="preserve">Outcome </w:t>
      </w:r>
      <w:r w:rsidR="0086530D">
        <w:t>r</w:t>
      </w:r>
      <w:r w:rsidR="00D668E2">
        <w:t xml:space="preserve">eport </w:t>
      </w:r>
      <w:r>
        <w:t>2022</w:t>
      </w:r>
    </w:p>
    <w:p w14:paraId="760726C0" w14:textId="4CA56435" w:rsidR="00C97736" w:rsidRPr="00A17B1B" w:rsidRDefault="008360CC" w:rsidP="00EC2B68">
      <w:pPr>
        <w:pStyle w:val="Reportdate"/>
        <w:spacing w:after="720"/>
        <w:rPr>
          <w:rFonts w:cs="Arial"/>
        </w:rPr>
        <w:sectPr w:rsidR="00C97736" w:rsidRPr="00A17B1B"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December</w:t>
      </w:r>
      <w:r w:rsidRPr="00A17B1B">
        <w:t xml:space="preserve"> </w:t>
      </w:r>
      <w:r w:rsidR="00BD4421" w:rsidRPr="00A17B1B">
        <w:t>20</w:t>
      </w:r>
      <w:r w:rsidR="000971BD" w:rsidRPr="00A17B1B">
        <w:t>2</w:t>
      </w:r>
      <w:r w:rsidR="00A17B1B" w:rsidRPr="00A17B1B">
        <w:t>2</w:t>
      </w:r>
    </w:p>
    <w:p w14:paraId="0B669CF2" w14:textId="77777777" w:rsidR="00284A74" w:rsidRPr="00A17B1B" w:rsidRDefault="00284A74" w:rsidP="00284A74">
      <w:pPr>
        <w:pStyle w:val="ACMACorporateAddressHeader"/>
      </w:pPr>
      <w:r w:rsidRPr="00A17B1B">
        <w:lastRenderedPageBreak/>
        <w:t>Canberra</w:t>
      </w:r>
    </w:p>
    <w:p w14:paraId="7A9FB9DD" w14:textId="77777777" w:rsidR="00284A74" w:rsidRPr="00A17B1B" w:rsidRDefault="00284A74" w:rsidP="00284A74">
      <w:pPr>
        <w:pStyle w:val="ACMACorporateAddresses"/>
      </w:pPr>
      <w:r w:rsidRPr="00A17B1B">
        <w:t xml:space="preserve">Red Building </w:t>
      </w:r>
      <w:r w:rsidRPr="00A17B1B">
        <w:br/>
        <w:t>Benjamin Offices</w:t>
      </w:r>
      <w:r w:rsidRPr="00A17B1B">
        <w:br/>
        <w:t xml:space="preserve">Chan Street </w:t>
      </w:r>
      <w:r w:rsidRPr="00A17B1B">
        <w:br/>
        <w:t>Belconnen ACT</w:t>
      </w:r>
    </w:p>
    <w:p w14:paraId="5CAA5E33" w14:textId="77777777" w:rsidR="00284A74" w:rsidRPr="00A17B1B" w:rsidRDefault="00284A74" w:rsidP="00284A74">
      <w:pPr>
        <w:pStyle w:val="ACMACorporateAddresses"/>
      </w:pPr>
      <w:r w:rsidRPr="00A17B1B">
        <w:t>PO Box 78</w:t>
      </w:r>
      <w:r w:rsidRPr="00A17B1B">
        <w:br/>
        <w:t>Belconnen ACT 2616</w:t>
      </w:r>
    </w:p>
    <w:p w14:paraId="0EECC1BE"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2BD14920" w14:textId="77777777" w:rsidR="00284A74" w:rsidRPr="00A17B1B" w:rsidRDefault="00284A74" w:rsidP="00284A74">
      <w:pPr>
        <w:pStyle w:val="ACMACorporateAddressHeader"/>
      </w:pPr>
      <w:r w:rsidRPr="00A17B1B">
        <w:t>Melbourne</w:t>
      </w:r>
    </w:p>
    <w:p w14:paraId="16EF25D2"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6F8AB0EB"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36B21A16"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699F9B6D" w14:textId="77777777" w:rsidR="00284A74" w:rsidRPr="00A17B1B" w:rsidRDefault="00284A74" w:rsidP="00284A74">
      <w:pPr>
        <w:pStyle w:val="ACMACorporateAddressHeader"/>
      </w:pPr>
      <w:r w:rsidRPr="00A17B1B">
        <w:t>Sydney</w:t>
      </w:r>
    </w:p>
    <w:p w14:paraId="2B1A91D8"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3559DEDD"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53C7A47E"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2CFE584E" w14:textId="77777777" w:rsidR="00284A74" w:rsidRPr="00A17B1B" w:rsidRDefault="00284A74" w:rsidP="00284A74">
      <w:pPr>
        <w:pStyle w:val="ACMACopyrightHeader"/>
      </w:pPr>
      <w:r w:rsidRPr="00A17B1B">
        <w:t>Copyright notice</w:t>
      </w:r>
    </w:p>
    <w:p w14:paraId="348E7CB5" w14:textId="77777777" w:rsidR="00284A74" w:rsidRPr="00A17B1B" w:rsidRDefault="00284A74" w:rsidP="00284A74">
      <w:pPr>
        <w:pStyle w:val="ACMACClogo"/>
      </w:pPr>
      <w:r w:rsidRPr="00A17B1B">
        <w:rPr>
          <w:noProof/>
        </w:rPr>
        <w:drawing>
          <wp:inline distT="0" distB="0" distL="0" distR="0" wp14:anchorId="6BB74B29" wp14:editId="71CB484C">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5952F376" w14:textId="77777777" w:rsidR="00284A74" w:rsidRPr="00A17B1B" w:rsidRDefault="008D0271" w:rsidP="00284A74">
      <w:pPr>
        <w:pStyle w:val="ACMACorporateAddresses"/>
        <w:rPr>
          <w:rStyle w:val="Hyperlink"/>
        </w:rPr>
      </w:pPr>
      <w:hyperlink r:id="rId13" w:history="1">
        <w:r w:rsidR="00284A74" w:rsidRPr="00A17B1B">
          <w:rPr>
            <w:rStyle w:val="Hyperlink"/>
          </w:rPr>
          <w:t>https://creativecommons.org/licenses/by/4.0/</w:t>
        </w:r>
      </w:hyperlink>
    </w:p>
    <w:p w14:paraId="5E52C930" w14:textId="77777777" w:rsidR="00284A74" w:rsidRPr="00A17B1B" w:rsidRDefault="00284A74" w:rsidP="00284A74">
      <w:pPr>
        <w:pStyle w:val="ACMACorporateAddresses"/>
      </w:pPr>
      <w:r w:rsidRPr="00A17B1B">
        <w:t xml:space="preserve">With the exception of coats of arms, logos, emblems, images, other third-party material or devices protected by a trademark, this content is made available under the terms of the Creative Commons Attribution 4.0 International (CC BY 4.0) licence. </w:t>
      </w:r>
    </w:p>
    <w:p w14:paraId="28FD0FAE" w14:textId="77777777" w:rsidR="00284A74" w:rsidRPr="00A17B1B" w:rsidRDefault="00284A74" w:rsidP="00284A74">
      <w:pPr>
        <w:pStyle w:val="ACMACorporateAddresses"/>
      </w:pPr>
      <w:r w:rsidRPr="00A17B1B">
        <w:t>We request attribution as © Commonwealth of Australia (Australian Communications and Media Authority) 202</w:t>
      </w:r>
      <w:r w:rsidR="00A17B1B" w:rsidRPr="00A17B1B">
        <w:t>2</w:t>
      </w:r>
      <w:r w:rsidRPr="00A17B1B">
        <w:t>.</w:t>
      </w:r>
    </w:p>
    <w:p w14:paraId="0F4F4681" w14:textId="77777777" w:rsidR="00284A74" w:rsidRPr="00A17B1B" w:rsidRDefault="00284A74" w:rsidP="00284A74">
      <w:pPr>
        <w:pStyle w:val="ACMACorporateAddresses"/>
      </w:pPr>
      <w:r w:rsidRPr="00A17B1B">
        <w:t>All other rights are reserved.</w:t>
      </w:r>
    </w:p>
    <w:p w14:paraId="6F50707E" w14:textId="77777777" w:rsidR="00284A74" w:rsidRPr="00A17B1B" w:rsidRDefault="00284A74" w:rsidP="00284A74">
      <w:pPr>
        <w:pStyle w:val="ACMACorporateAddresses"/>
      </w:pPr>
      <w:r w:rsidRPr="00A17B1B">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BF8835D" w14:textId="77777777" w:rsidR="00284A74" w:rsidRPr="00A17B1B" w:rsidRDefault="00284A74" w:rsidP="00284A74">
      <w:pPr>
        <w:pStyle w:val="ACMACorporateAddresses"/>
      </w:pPr>
      <w:r w:rsidRPr="00A17B1B">
        <w:t>Written enquiries may be sent to:</w:t>
      </w:r>
    </w:p>
    <w:p w14:paraId="07D46EB7" w14:textId="77777777" w:rsidR="00284A74" w:rsidRPr="00A17B1B" w:rsidRDefault="00284A74" w:rsidP="00284A74">
      <w:pPr>
        <w:pStyle w:val="ACMACorporateAddresses"/>
        <w:rPr>
          <w:rStyle w:val="Hyperlink"/>
        </w:rPr>
      </w:pPr>
      <w:r w:rsidRPr="00A17B1B">
        <w:t>Manager, Editorial Services</w:t>
      </w:r>
      <w:r w:rsidRPr="00A17B1B">
        <w:br/>
        <w:t>PO Box 13112</w:t>
      </w:r>
      <w:r w:rsidRPr="00A17B1B">
        <w:br/>
        <w:t>Law Courts</w:t>
      </w:r>
      <w:r w:rsidRPr="00A17B1B">
        <w:br/>
        <w:t>Melbourne VIC 8010</w:t>
      </w:r>
      <w:r w:rsidRPr="00A17B1B">
        <w:br/>
        <w:t xml:space="preserve">Email: </w:t>
      </w:r>
      <w:hyperlink r:id="rId14" w:history="1">
        <w:r w:rsidRPr="00A17B1B">
          <w:rPr>
            <w:rStyle w:val="Hyperlink"/>
          </w:rPr>
          <w:t>info@acma.gov.au</w:t>
        </w:r>
      </w:hyperlink>
    </w:p>
    <w:p w14:paraId="7BA8138E" w14:textId="77777777" w:rsidR="00D16FE3" w:rsidRPr="00A17B1B" w:rsidRDefault="00D16FE3" w:rsidP="00D16FE3">
      <w:pPr>
        <w:pStyle w:val="ACMACorporateAddresses"/>
        <w:sectPr w:rsidR="00D16FE3" w:rsidRPr="00A17B1B">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7E38A286" w14:textId="09797B64" w:rsidR="001567A6" w:rsidRDefault="00DF0799">
      <w:pPr>
        <w:pStyle w:val="TOC1"/>
        <w:rPr>
          <w:rFonts w:asciiTheme="minorHAnsi" w:eastAsiaTheme="minorEastAsia" w:hAnsiTheme="minorHAnsi" w:cstheme="minorBidi"/>
          <w:b w:val="0"/>
          <w:spacing w:val="0"/>
          <w:sz w:val="22"/>
          <w:szCs w:val="22"/>
        </w:rPr>
      </w:pPr>
      <w:r w:rsidRPr="00A17B1B">
        <w:rPr>
          <w:rFonts w:cs="Arial"/>
        </w:rPr>
        <w:lastRenderedPageBreak/>
        <w:fldChar w:fldCharType="begin"/>
      </w:r>
      <w:r w:rsidRPr="00A17B1B">
        <w:rPr>
          <w:rFonts w:cs="Arial"/>
        </w:rPr>
        <w:instrText xml:space="preserve"> TOC \o "1-3" \h \z \t "Exec summary heading,1" </w:instrText>
      </w:r>
      <w:r w:rsidRPr="00A17B1B">
        <w:rPr>
          <w:rFonts w:cs="Arial"/>
        </w:rPr>
        <w:fldChar w:fldCharType="separate"/>
      </w:r>
      <w:hyperlink w:anchor="_Toc120015807" w:history="1">
        <w:r w:rsidR="001567A6" w:rsidRPr="00FC4683">
          <w:rPr>
            <w:rStyle w:val="Hyperlink"/>
          </w:rPr>
          <w:t>Executive summary</w:t>
        </w:r>
        <w:r w:rsidR="001567A6">
          <w:rPr>
            <w:webHidden/>
          </w:rPr>
          <w:tab/>
        </w:r>
        <w:r w:rsidR="001567A6">
          <w:rPr>
            <w:webHidden/>
          </w:rPr>
          <w:fldChar w:fldCharType="begin"/>
        </w:r>
        <w:r w:rsidR="001567A6">
          <w:rPr>
            <w:webHidden/>
          </w:rPr>
          <w:instrText xml:space="preserve"> PAGEREF _Toc120015807 \h </w:instrText>
        </w:r>
        <w:r w:rsidR="001567A6">
          <w:rPr>
            <w:webHidden/>
          </w:rPr>
        </w:r>
        <w:r w:rsidR="001567A6">
          <w:rPr>
            <w:webHidden/>
          </w:rPr>
          <w:fldChar w:fldCharType="separate"/>
        </w:r>
        <w:r w:rsidR="001567A6">
          <w:rPr>
            <w:webHidden/>
          </w:rPr>
          <w:t>1</w:t>
        </w:r>
        <w:r w:rsidR="001567A6">
          <w:rPr>
            <w:webHidden/>
          </w:rPr>
          <w:fldChar w:fldCharType="end"/>
        </w:r>
      </w:hyperlink>
    </w:p>
    <w:p w14:paraId="5DBFF71F" w14:textId="06E290E0" w:rsidR="001567A6" w:rsidRDefault="008D0271">
      <w:pPr>
        <w:pStyle w:val="TOC1"/>
        <w:rPr>
          <w:rFonts w:asciiTheme="minorHAnsi" w:eastAsiaTheme="minorEastAsia" w:hAnsiTheme="minorHAnsi" w:cstheme="minorBidi"/>
          <w:b w:val="0"/>
          <w:spacing w:val="0"/>
          <w:sz w:val="22"/>
          <w:szCs w:val="22"/>
        </w:rPr>
      </w:pPr>
      <w:hyperlink w:anchor="_Toc120015808" w:history="1">
        <w:r w:rsidR="001567A6" w:rsidRPr="00FC4683">
          <w:rPr>
            <w:rStyle w:val="Hyperlink"/>
          </w:rPr>
          <w:t>Audit methodology</w:t>
        </w:r>
        <w:r w:rsidR="001567A6">
          <w:rPr>
            <w:webHidden/>
          </w:rPr>
          <w:tab/>
        </w:r>
        <w:r w:rsidR="001567A6">
          <w:rPr>
            <w:webHidden/>
          </w:rPr>
          <w:fldChar w:fldCharType="begin"/>
        </w:r>
        <w:r w:rsidR="001567A6">
          <w:rPr>
            <w:webHidden/>
          </w:rPr>
          <w:instrText xml:space="preserve"> PAGEREF _Toc120015808 \h </w:instrText>
        </w:r>
        <w:r w:rsidR="001567A6">
          <w:rPr>
            <w:webHidden/>
          </w:rPr>
        </w:r>
        <w:r w:rsidR="001567A6">
          <w:rPr>
            <w:webHidden/>
          </w:rPr>
          <w:fldChar w:fldCharType="separate"/>
        </w:r>
        <w:r w:rsidR="001567A6">
          <w:rPr>
            <w:webHidden/>
          </w:rPr>
          <w:t>2</w:t>
        </w:r>
        <w:r w:rsidR="001567A6">
          <w:rPr>
            <w:webHidden/>
          </w:rPr>
          <w:fldChar w:fldCharType="end"/>
        </w:r>
      </w:hyperlink>
    </w:p>
    <w:p w14:paraId="287857A0" w14:textId="6C49DF76" w:rsidR="001567A6" w:rsidRDefault="008D0271">
      <w:pPr>
        <w:pStyle w:val="TOC1"/>
        <w:rPr>
          <w:rFonts w:asciiTheme="minorHAnsi" w:eastAsiaTheme="minorEastAsia" w:hAnsiTheme="minorHAnsi" w:cstheme="minorBidi"/>
          <w:b w:val="0"/>
          <w:spacing w:val="0"/>
          <w:sz w:val="22"/>
          <w:szCs w:val="22"/>
        </w:rPr>
      </w:pPr>
      <w:hyperlink w:anchor="_Toc120015809" w:history="1">
        <w:r w:rsidR="001567A6" w:rsidRPr="00FC4683">
          <w:rPr>
            <w:rStyle w:val="Hyperlink"/>
          </w:rPr>
          <w:t>Audit outcomes</w:t>
        </w:r>
        <w:r w:rsidR="001567A6">
          <w:rPr>
            <w:webHidden/>
          </w:rPr>
          <w:tab/>
        </w:r>
        <w:r w:rsidR="001567A6">
          <w:rPr>
            <w:webHidden/>
          </w:rPr>
          <w:fldChar w:fldCharType="begin"/>
        </w:r>
        <w:r w:rsidR="001567A6">
          <w:rPr>
            <w:webHidden/>
          </w:rPr>
          <w:instrText xml:space="preserve"> PAGEREF _Toc120015809 \h </w:instrText>
        </w:r>
        <w:r w:rsidR="001567A6">
          <w:rPr>
            <w:webHidden/>
          </w:rPr>
        </w:r>
        <w:r w:rsidR="001567A6">
          <w:rPr>
            <w:webHidden/>
          </w:rPr>
          <w:fldChar w:fldCharType="separate"/>
        </w:r>
        <w:r w:rsidR="001567A6">
          <w:rPr>
            <w:webHidden/>
          </w:rPr>
          <w:t>3</w:t>
        </w:r>
        <w:r w:rsidR="001567A6">
          <w:rPr>
            <w:webHidden/>
          </w:rPr>
          <w:fldChar w:fldCharType="end"/>
        </w:r>
      </w:hyperlink>
    </w:p>
    <w:p w14:paraId="2BC6562A" w14:textId="60D8C305" w:rsidR="001567A6" w:rsidRDefault="008D0271">
      <w:pPr>
        <w:pStyle w:val="TOC1"/>
        <w:rPr>
          <w:rFonts w:asciiTheme="minorHAnsi" w:eastAsiaTheme="minorEastAsia" w:hAnsiTheme="minorHAnsi" w:cstheme="minorBidi"/>
          <w:b w:val="0"/>
          <w:spacing w:val="0"/>
          <w:sz w:val="22"/>
          <w:szCs w:val="22"/>
        </w:rPr>
      </w:pPr>
      <w:hyperlink w:anchor="_Toc120015810" w:history="1">
        <w:r w:rsidR="001567A6" w:rsidRPr="00FC4683">
          <w:rPr>
            <w:rStyle w:val="Hyperlink"/>
          </w:rPr>
          <w:t>Summary</w:t>
        </w:r>
        <w:r w:rsidR="001567A6">
          <w:rPr>
            <w:webHidden/>
          </w:rPr>
          <w:tab/>
        </w:r>
        <w:r w:rsidR="001567A6">
          <w:rPr>
            <w:webHidden/>
          </w:rPr>
          <w:fldChar w:fldCharType="begin"/>
        </w:r>
        <w:r w:rsidR="001567A6">
          <w:rPr>
            <w:webHidden/>
          </w:rPr>
          <w:instrText xml:space="preserve"> PAGEREF _Toc120015810 \h </w:instrText>
        </w:r>
        <w:r w:rsidR="001567A6">
          <w:rPr>
            <w:webHidden/>
          </w:rPr>
        </w:r>
        <w:r w:rsidR="001567A6">
          <w:rPr>
            <w:webHidden/>
          </w:rPr>
          <w:fldChar w:fldCharType="separate"/>
        </w:r>
        <w:r w:rsidR="001567A6">
          <w:rPr>
            <w:webHidden/>
          </w:rPr>
          <w:t>5</w:t>
        </w:r>
        <w:r w:rsidR="001567A6">
          <w:rPr>
            <w:webHidden/>
          </w:rPr>
          <w:fldChar w:fldCharType="end"/>
        </w:r>
      </w:hyperlink>
    </w:p>
    <w:p w14:paraId="69ED95C4" w14:textId="72E45635" w:rsidR="004D56FF" w:rsidRPr="00A17B1B" w:rsidRDefault="00DF0799">
      <w:pPr>
        <w:rPr>
          <w:rFonts w:cs="Arial"/>
        </w:rPr>
        <w:sectPr w:rsidR="004D56FF" w:rsidRPr="00A17B1B"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sidRPr="00A17B1B">
        <w:rPr>
          <w:rFonts w:cs="Arial"/>
        </w:rPr>
        <w:fldChar w:fldCharType="end"/>
      </w:r>
    </w:p>
    <w:p w14:paraId="5A97697A" w14:textId="77777777" w:rsidR="009D6C71" w:rsidRPr="00A17B1B" w:rsidRDefault="009D6C71" w:rsidP="009174F3">
      <w:pPr>
        <w:pStyle w:val="Execsummaryheading"/>
      </w:pPr>
      <w:bookmarkStart w:id="0" w:name="_Toc120015807"/>
      <w:r w:rsidRPr="00A17B1B">
        <w:lastRenderedPageBreak/>
        <w:t>Executive summary</w:t>
      </w:r>
      <w:bookmarkEnd w:id="0"/>
    </w:p>
    <w:p w14:paraId="6BADAE04" w14:textId="31217363" w:rsidR="00D668E2" w:rsidRPr="00B8468F" w:rsidRDefault="00D668E2" w:rsidP="00AD5C7B">
      <w:pPr>
        <w:pStyle w:val="Paragraphbeforelist"/>
      </w:pPr>
      <w:r>
        <w:t xml:space="preserve">The ACMA undertook an audit of Low Power Open Narrowcast licence conditions </w:t>
      </w:r>
      <w:r w:rsidR="00480D67">
        <w:t xml:space="preserve">in the first half of </w:t>
      </w:r>
      <w:r>
        <w:t xml:space="preserve">2022. This audit </w:t>
      </w:r>
      <w:r w:rsidR="0086530D">
        <w:t>aimed</w:t>
      </w:r>
      <w:r>
        <w:t xml:space="preserve"> to:</w:t>
      </w:r>
    </w:p>
    <w:p w14:paraId="00F9B6DC" w14:textId="6B547634" w:rsidR="00D668E2" w:rsidRPr="00B8468F" w:rsidRDefault="0086530D" w:rsidP="00AD5C7B">
      <w:pPr>
        <w:pStyle w:val="Bulletlevel1"/>
      </w:pPr>
      <w:r>
        <w:t>t</w:t>
      </w:r>
      <w:r w:rsidR="00D668E2" w:rsidRPr="00B8468F">
        <w:t>est licensee understanding of regulatory requirements</w:t>
      </w:r>
    </w:p>
    <w:p w14:paraId="06E8BC84" w14:textId="22478F8B" w:rsidR="00D668E2" w:rsidRPr="00B8468F" w:rsidRDefault="0086530D" w:rsidP="00AD5C7B">
      <w:pPr>
        <w:pStyle w:val="Bulletlevel1"/>
      </w:pPr>
      <w:r>
        <w:t>a</w:t>
      </w:r>
      <w:r w:rsidR="00D668E2" w:rsidRPr="00B8468F">
        <w:t xml:space="preserve">ssess licensee compliance with licence conditions  </w:t>
      </w:r>
    </w:p>
    <w:p w14:paraId="2994B5F9" w14:textId="1337C2DF" w:rsidR="00D668E2" w:rsidRPr="00B8468F" w:rsidRDefault="00D668E2" w:rsidP="00AD5C7B">
      <w:pPr>
        <w:pStyle w:val="Bulletlevel1"/>
      </w:pPr>
      <w:r w:rsidRPr="00B8468F">
        <w:t>educat</w:t>
      </w:r>
      <w:r w:rsidR="0086530D">
        <w:t>e</w:t>
      </w:r>
      <w:r w:rsidRPr="00B8468F">
        <w:t xml:space="preserve"> industry to minimise public detriment</w:t>
      </w:r>
    </w:p>
    <w:p w14:paraId="4915E244" w14:textId="55D69CBB" w:rsidR="00D668E2" w:rsidRPr="00B8468F" w:rsidRDefault="0086530D" w:rsidP="00AD5C7B">
      <w:pPr>
        <w:pStyle w:val="Bulletlevel1last"/>
      </w:pPr>
      <w:r>
        <w:t>e</w:t>
      </w:r>
      <w:r w:rsidR="00D668E2" w:rsidRPr="00B8468F">
        <w:t xml:space="preserve">xplore potential concerns </w:t>
      </w:r>
      <w:r>
        <w:t>about</w:t>
      </w:r>
      <w:r w:rsidRPr="00B8468F">
        <w:t xml:space="preserve"> </w:t>
      </w:r>
      <w:r w:rsidR="00D668E2" w:rsidRPr="00B8468F">
        <w:t>the use of networked LPON licences and overpowering of transmitters</w:t>
      </w:r>
      <w:r w:rsidR="00D668E2">
        <w:t xml:space="preserve">. </w:t>
      </w:r>
    </w:p>
    <w:p w14:paraId="679633DD" w14:textId="579FF705" w:rsidR="00D668E2" w:rsidRDefault="0086530D" w:rsidP="001F45C5">
      <w:pPr>
        <w:pStyle w:val="Paragraph"/>
        <w:rPr>
          <w:b/>
        </w:rPr>
      </w:pPr>
      <w:r>
        <w:t xml:space="preserve">We </w:t>
      </w:r>
      <w:r w:rsidR="00D668E2">
        <w:t>advised stakeholders of the audit on 15 March 2022</w:t>
      </w:r>
      <w:r>
        <w:t xml:space="preserve"> via an e-bulletin and information on our website</w:t>
      </w:r>
      <w:r w:rsidR="00D668E2">
        <w:t xml:space="preserve">. </w:t>
      </w:r>
    </w:p>
    <w:p w14:paraId="08508FB0" w14:textId="4EE50222" w:rsidR="00D668E2" w:rsidRDefault="00D668E2" w:rsidP="001F45C5">
      <w:pPr>
        <w:pStyle w:val="Paragraph"/>
        <w:rPr>
          <w:iCs/>
          <w:snapToGrid w:val="0"/>
        </w:rPr>
      </w:pPr>
      <w:r w:rsidRPr="00FD6DBC">
        <w:rPr>
          <w:color w:val="000000" w:themeColor="text1"/>
        </w:rPr>
        <w:t xml:space="preserve">During </w:t>
      </w:r>
      <w:r>
        <w:rPr>
          <w:color w:val="000000" w:themeColor="text1"/>
        </w:rPr>
        <w:t xml:space="preserve">March and </w:t>
      </w:r>
      <w:r w:rsidRPr="00FD6DBC">
        <w:rPr>
          <w:color w:val="000000" w:themeColor="text1"/>
        </w:rPr>
        <w:t xml:space="preserve">April 2022, staff </w:t>
      </w:r>
      <w:r w:rsidRPr="00FD6DBC">
        <w:rPr>
          <w:iCs/>
          <w:snapToGrid w:val="0"/>
        </w:rPr>
        <w:t>audit</w:t>
      </w:r>
      <w:r w:rsidR="0086530D">
        <w:rPr>
          <w:iCs/>
          <w:snapToGrid w:val="0"/>
        </w:rPr>
        <w:t>ed 34</w:t>
      </w:r>
      <w:r w:rsidRPr="00FD6DBC">
        <w:rPr>
          <w:iCs/>
          <w:snapToGrid w:val="0"/>
        </w:rPr>
        <w:t xml:space="preserve"> LPON licensees in Victoria to identify compliance with record keeping and licence conditions. This audit include</w:t>
      </w:r>
      <w:r w:rsidR="00677916">
        <w:rPr>
          <w:iCs/>
          <w:snapToGrid w:val="0"/>
        </w:rPr>
        <w:t>d</w:t>
      </w:r>
      <w:r w:rsidRPr="00FD6DBC">
        <w:rPr>
          <w:iCs/>
          <w:snapToGrid w:val="0"/>
        </w:rPr>
        <w:t xml:space="preserve"> a desktop audit and fieldwork</w:t>
      </w:r>
      <w:r w:rsidR="0086530D">
        <w:rPr>
          <w:iCs/>
          <w:snapToGrid w:val="0"/>
        </w:rPr>
        <w:t xml:space="preserve">, </w:t>
      </w:r>
      <w:r w:rsidRPr="00FD6DBC">
        <w:rPr>
          <w:iCs/>
          <w:snapToGrid w:val="0"/>
        </w:rPr>
        <w:t>focused on a sample of licensees who h</w:t>
      </w:r>
      <w:r w:rsidR="00677916">
        <w:rPr>
          <w:iCs/>
          <w:snapToGrid w:val="0"/>
        </w:rPr>
        <w:t>eld</w:t>
      </w:r>
      <w:r w:rsidRPr="00FD6DBC">
        <w:rPr>
          <w:iCs/>
          <w:snapToGrid w:val="0"/>
        </w:rPr>
        <w:t xml:space="preserve"> a licence for longer than 12 months.</w:t>
      </w:r>
    </w:p>
    <w:p w14:paraId="35205C44" w14:textId="20571CBD" w:rsidR="00677916" w:rsidRDefault="00677916" w:rsidP="001F45C5">
      <w:pPr>
        <w:pStyle w:val="Paragraph"/>
        <w:rPr>
          <w:rFonts w:eastAsiaTheme="minorEastAsia"/>
        </w:rPr>
      </w:pPr>
      <w:r w:rsidRPr="00677916">
        <w:rPr>
          <w:rFonts w:eastAsiaTheme="minorEastAsia"/>
        </w:rPr>
        <w:t xml:space="preserve">The audit </w:t>
      </w:r>
      <w:r w:rsidR="003413AA">
        <w:rPr>
          <w:rFonts w:eastAsiaTheme="minorEastAsia"/>
        </w:rPr>
        <w:t>aimed</w:t>
      </w:r>
      <w:r w:rsidRPr="00677916">
        <w:rPr>
          <w:rFonts w:eastAsiaTheme="minorEastAsia"/>
        </w:rPr>
        <w:t xml:space="preserve"> to inform </w:t>
      </w:r>
      <w:r w:rsidR="003413AA">
        <w:rPr>
          <w:rFonts w:eastAsiaTheme="minorEastAsia"/>
        </w:rPr>
        <w:t xml:space="preserve">our </w:t>
      </w:r>
      <w:r w:rsidRPr="00677916">
        <w:rPr>
          <w:rFonts w:eastAsiaTheme="minorEastAsia"/>
        </w:rPr>
        <w:t xml:space="preserve">understanding of the LPON market and educate licensees about the regulatory requirements. </w:t>
      </w:r>
    </w:p>
    <w:p w14:paraId="6887E13F" w14:textId="760B193C" w:rsidR="00862B00" w:rsidRDefault="00677916" w:rsidP="001F45C5">
      <w:pPr>
        <w:pStyle w:val="Paragraph"/>
        <w:rPr>
          <w:rFonts w:eastAsiaTheme="minorEastAsia"/>
        </w:rPr>
      </w:pPr>
      <w:r>
        <w:rPr>
          <w:rFonts w:eastAsiaTheme="minorEastAsia"/>
        </w:rPr>
        <w:t>The audit found high levels of non-compliance amongst the licensees audited</w:t>
      </w:r>
      <w:r w:rsidR="003413AA">
        <w:rPr>
          <w:rFonts w:eastAsiaTheme="minorEastAsia"/>
        </w:rPr>
        <w:t xml:space="preserve"> – </w:t>
      </w:r>
      <w:r>
        <w:rPr>
          <w:rFonts w:eastAsiaTheme="minorEastAsia"/>
        </w:rPr>
        <w:t xml:space="preserve">over 85% </w:t>
      </w:r>
      <w:r w:rsidR="003413AA">
        <w:rPr>
          <w:rFonts w:eastAsiaTheme="minorEastAsia"/>
        </w:rPr>
        <w:t xml:space="preserve">were </w:t>
      </w:r>
      <w:r>
        <w:rPr>
          <w:rFonts w:eastAsiaTheme="minorEastAsia"/>
        </w:rPr>
        <w:t xml:space="preserve">non-compliant across the desktop and/or the field audit. </w:t>
      </w:r>
      <w:r w:rsidR="00AC6020">
        <w:rPr>
          <w:rFonts w:eastAsiaTheme="minorEastAsia"/>
        </w:rPr>
        <w:t xml:space="preserve">Our approach during the audit was to educate LPON licensees where </w:t>
      </w:r>
      <w:r w:rsidR="00AC6020">
        <w:rPr>
          <w:rFonts w:eastAsiaTheme="minorEastAsia"/>
        </w:rPr>
        <w:t>non</w:t>
      </w:r>
      <w:r w:rsidR="00D37ABF" w:rsidRPr="00677916">
        <w:rPr>
          <w:rFonts w:eastAsiaTheme="minorEastAsia"/>
        </w:rPr>
        <w:t>-</w:t>
      </w:r>
      <w:r w:rsidR="00AC6020">
        <w:rPr>
          <w:rFonts w:eastAsiaTheme="minorEastAsia"/>
        </w:rPr>
        <w:t>co</w:t>
      </w:r>
      <w:r w:rsidR="00AC6020">
        <w:rPr>
          <w:rFonts w:eastAsiaTheme="minorEastAsia"/>
        </w:rPr>
        <w:t xml:space="preserve">mpliance was identified. </w:t>
      </w:r>
      <w:r w:rsidRPr="00677916">
        <w:rPr>
          <w:rFonts w:eastAsiaTheme="minorEastAsia"/>
        </w:rPr>
        <w:t>For specific instances of non-compliance identified during the audits</w:t>
      </w:r>
      <w:r w:rsidR="003413AA">
        <w:rPr>
          <w:rFonts w:eastAsiaTheme="minorEastAsia"/>
        </w:rPr>
        <w:t>,</w:t>
      </w:r>
      <w:r w:rsidRPr="00677916">
        <w:rPr>
          <w:rFonts w:eastAsiaTheme="minorEastAsia"/>
        </w:rPr>
        <w:t xml:space="preserve"> we expect licensees to remediate </w:t>
      </w:r>
      <w:r>
        <w:rPr>
          <w:rFonts w:eastAsiaTheme="minorEastAsia"/>
        </w:rPr>
        <w:t>those issues</w:t>
      </w:r>
      <w:r w:rsidRPr="00677916">
        <w:rPr>
          <w:rFonts w:eastAsiaTheme="minorEastAsia"/>
        </w:rPr>
        <w:t xml:space="preserve">. </w:t>
      </w:r>
    </w:p>
    <w:p w14:paraId="0AFE5AC1" w14:textId="73A63333" w:rsidR="003413AA" w:rsidRDefault="00C201A8" w:rsidP="001F45C5">
      <w:pPr>
        <w:pStyle w:val="Paragraph"/>
        <w:rPr>
          <w:rFonts w:eastAsiaTheme="minorEastAsia"/>
        </w:rPr>
      </w:pPr>
      <w:r>
        <w:rPr>
          <w:rFonts w:eastAsiaTheme="minorEastAsia"/>
        </w:rPr>
        <w:t>W</w:t>
      </w:r>
      <w:r w:rsidR="003413AA">
        <w:rPr>
          <w:rFonts w:eastAsiaTheme="minorEastAsia"/>
        </w:rPr>
        <w:t xml:space="preserve">e </w:t>
      </w:r>
      <w:r w:rsidR="00D27580">
        <w:rPr>
          <w:rFonts w:eastAsiaTheme="minorEastAsia"/>
        </w:rPr>
        <w:t xml:space="preserve">will be conducting further audits to assess whether </w:t>
      </w:r>
      <w:r w:rsidR="003413AA">
        <w:rPr>
          <w:rFonts w:eastAsiaTheme="minorEastAsia"/>
        </w:rPr>
        <w:t xml:space="preserve">the non-compliance identified </w:t>
      </w:r>
      <w:r w:rsidR="00D27580">
        <w:rPr>
          <w:rFonts w:eastAsiaTheme="minorEastAsia"/>
        </w:rPr>
        <w:t xml:space="preserve">is representative of the levels of compliance in the wider LPON community. </w:t>
      </w:r>
    </w:p>
    <w:p w14:paraId="7A5A90F4" w14:textId="16077A13" w:rsidR="00D27580" w:rsidRPr="00D27580" w:rsidRDefault="003413AA" w:rsidP="00AD5C7B">
      <w:pPr>
        <w:pStyle w:val="Paragraphbeforelist"/>
        <w:rPr>
          <w:rFonts w:eastAsiaTheme="minorEastAsia"/>
        </w:rPr>
      </w:pPr>
      <w:r>
        <w:rPr>
          <w:rFonts w:eastAsiaTheme="minorEastAsia"/>
        </w:rPr>
        <w:t>Our</w:t>
      </w:r>
      <w:r w:rsidR="00645C13">
        <w:rPr>
          <w:rFonts w:eastAsiaTheme="minorEastAsia"/>
        </w:rPr>
        <w:t xml:space="preserve"> future audit program will focus</w:t>
      </w:r>
      <w:r w:rsidR="00677916">
        <w:rPr>
          <w:rFonts w:eastAsiaTheme="minorEastAsia"/>
        </w:rPr>
        <w:t xml:space="preserve"> </w:t>
      </w:r>
      <w:r w:rsidR="00645C13">
        <w:rPr>
          <w:rFonts w:eastAsiaTheme="minorEastAsia"/>
        </w:rPr>
        <w:t>on compliance action, as well as continu</w:t>
      </w:r>
      <w:r w:rsidR="00677916">
        <w:rPr>
          <w:rFonts w:eastAsiaTheme="minorEastAsia"/>
        </w:rPr>
        <w:t>ing to provide information to</w:t>
      </w:r>
      <w:r w:rsidR="00645C13">
        <w:rPr>
          <w:rFonts w:eastAsiaTheme="minorEastAsia"/>
        </w:rPr>
        <w:t xml:space="preserve"> LPON licensees and the sector </w:t>
      </w:r>
      <w:r w:rsidR="00677916">
        <w:rPr>
          <w:rFonts w:eastAsiaTheme="minorEastAsia"/>
        </w:rPr>
        <w:t>about compliance requirements</w:t>
      </w:r>
      <w:r w:rsidR="00645C13">
        <w:rPr>
          <w:rFonts w:eastAsiaTheme="minorEastAsia"/>
        </w:rPr>
        <w:t>.</w:t>
      </w:r>
    </w:p>
    <w:p w14:paraId="6C653078" w14:textId="77777777" w:rsidR="00C759C9" w:rsidRDefault="00C759C9" w:rsidP="00D668E2">
      <w:pPr>
        <w:rPr>
          <w:rFonts w:cs="Arial"/>
          <w:iCs/>
          <w:snapToGrid w:val="0"/>
          <w:sz w:val="21"/>
          <w:szCs w:val="21"/>
        </w:rPr>
      </w:pPr>
    </w:p>
    <w:p w14:paraId="4F2C744F" w14:textId="45B3996B" w:rsidR="00D668E2" w:rsidRDefault="00D668E2" w:rsidP="00D668E2">
      <w:pPr>
        <w:pStyle w:val="Heading1"/>
      </w:pPr>
      <w:bookmarkStart w:id="1" w:name="_Toc120015808"/>
      <w:r>
        <w:lastRenderedPageBreak/>
        <w:t>Audit methodology</w:t>
      </w:r>
      <w:bookmarkEnd w:id="1"/>
    </w:p>
    <w:p w14:paraId="6196DDED" w14:textId="37E2DF94" w:rsidR="003413AA" w:rsidRDefault="00D668E2" w:rsidP="001F45C5">
      <w:pPr>
        <w:pStyle w:val="Paragraph"/>
        <w:rPr>
          <w:snapToGrid w:val="0"/>
        </w:rPr>
      </w:pPr>
      <w:r w:rsidRPr="00C759C9">
        <w:rPr>
          <w:snapToGrid w:val="0"/>
        </w:rPr>
        <w:t xml:space="preserve">The audit </w:t>
      </w:r>
      <w:r w:rsidR="00DD0072">
        <w:rPr>
          <w:snapToGrid w:val="0"/>
        </w:rPr>
        <w:t xml:space="preserve">comprised </w:t>
      </w:r>
      <w:r w:rsidRPr="00C759C9">
        <w:rPr>
          <w:snapToGrid w:val="0"/>
        </w:rPr>
        <w:t xml:space="preserve">a desktop audit and a fieldwork component </w:t>
      </w:r>
      <w:r w:rsidR="00DD0072">
        <w:rPr>
          <w:snapToGrid w:val="0"/>
        </w:rPr>
        <w:t xml:space="preserve">to assess licensee compliance with LPON licence conditions and </w:t>
      </w:r>
      <w:r w:rsidRPr="00C759C9">
        <w:rPr>
          <w:snapToGrid w:val="0"/>
        </w:rPr>
        <w:t>focused on a sample of licensees who h</w:t>
      </w:r>
      <w:r w:rsidR="00677916">
        <w:rPr>
          <w:snapToGrid w:val="0"/>
        </w:rPr>
        <w:t>eld</w:t>
      </w:r>
      <w:r w:rsidRPr="00C759C9">
        <w:rPr>
          <w:snapToGrid w:val="0"/>
        </w:rPr>
        <w:t xml:space="preserve"> a licence for longer than 12 months.</w:t>
      </w:r>
      <w:r w:rsidR="00DD0072">
        <w:rPr>
          <w:snapToGrid w:val="0"/>
        </w:rPr>
        <w:t xml:space="preserve"> </w:t>
      </w:r>
    </w:p>
    <w:p w14:paraId="44CA3213" w14:textId="4BB45E6A" w:rsidR="00D668E2" w:rsidRPr="005B3E01" w:rsidRDefault="00205D56" w:rsidP="00AD5C7B">
      <w:pPr>
        <w:pStyle w:val="Paragraphbeforelist"/>
        <w:rPr>
          <w:snapToGrid w:val="0"/>
        </w:rPr>
      </w:pPr>
      <w:r>
        <w:rPr>
          <w:snapToGrid w:val="0"/>
        </w:rPr>
        <w:t xml:space="preserve">The audit examined </w:t>
      </w:r>
      <w:r w:rsidR="00C336B7">
        <w:rPr>
          <w:snapToGrid w:val="0"/>
        </w:rPr>
        <w:t>licensee compliance with the following con</w:t>
      </w:r>
      <w:r w:rsidR="00B1674C">
        <w:rPr>
          <w:snapToGrid w:val="0"/>
        </w:rPr>
        <w:t>ditions</w:t>
      </w:r>
      <w:r w:rsidR="005B3E01" w:rsidRPr="005B3E01">
        <w:rPr>
          <w:snapToGrid w:val="0"/>
        </w:rPr>
        <w:t>:</w:t>
      </w:r>
    </w:p>
    <w:p w14:paraId="636F8F5C" w14:textId="68E86248" w:rsidR="00AA6625" w:rsidRDefault="003413AA" w:rsidP="00AD5C7B">
      <w:pPr>
        <w:pStyle w:val="Bulletlevel1"/>
        <w:rPr>
          <w:snapToGrid w:val="0"/>
        </w:rPr>
      </w:pPr>
      <w:r>
        <w:rPr>
          <w:snapToGrid w:val="0"/>
        </w:rPr>
        <w:t>r</w:t>
      </w:r>
      <w:r w:rsidR="005B3E01">
        <w:rPr>
          <w:snapToGrid w:val="0"/>
        </w:rPr>
        <w:t>ecord</w:t>
      </w:r>
      <w:r>
        <w:rPr>
          <w:snapToGrid w:val="0"/>
        </w:rPr>
        <w:t>-</w:t>
      </w:r>
      <w:r w:rsidR="005B3E01">
        <w:rPr>
          <w:snapToGrid w:val="0"/>
        </w:rPr>
        <w:t>keeping requirements</w:t>
      </w:r>
      <w:r w:rsidR="008747EC">
        <w:rPr>
          <w:snapToGrid w:val="0"/>
        </w:rPr>
        <w:t xml:space="preserve"> (s</w:t>
      </w:r>
      <w:r w:rsidR="006849F1">
        <w:rPr>
          <w:snapToGrid w:val="0"/>
        </w:rPr>
        <w:t xml:space="preserve"> </w:t>
      </w:r>
      <w:r w:rsidR="008747EC">
        <w:rPr>
          <w:snapToGrid w:val="0"/>
        </w:rPr>
        <w:t xml:space="preserve">4.11(1)(c) of the </w:t>
      </w:r>
      <w:hyperlink r:id="rId24" w:history="1">
        <w:r w:rsidR="008747EC" w:rsidRPr="001F45C5">
          <w:rPr>
            <w:rStyle w:val="Hyperlink"/>
            <w:szCs w:val="20"/>
          </w:rPr>
          <w:t>Radiocommunications Licence Conditions (Broadcasting Licence) Determination 2015</w:t>
        </w:r>
      </w:hyperlink>
      <w:r w:rsidR="008747EC" w:rsidRPr="001F45C5">
        <w:rPr>
          <w:szCs w:val="20"/>
        </w:rPr>
        <w:t xml:space="preserve"> </w:t>
      </w:r>
      <w:r w:rsidR="008747EC" w:rsidRPr="00BD26E9">
        <w:rPr>
          <w:szCs w:val="20"/>
        </w:rPr>
        <w:t>(t</w:t>
      </w:r>
      <w:r w:rsidR="008747EC">
        <w:t>he Determination)</w:t>
      </w:r>
    </w:p>
    <w:p w14:paraId="7175357A" w14:textId="13E1EB46" w:rsidR="00AA6625" w:rsidRDefault="003413AA" w:rsidP="00AD5C7B">
      <w:pPr>
        <w:pStyle w:val="Bulletlevel1"/>
        <w:rPr>
          <w:snapToGrid w:val="0"/>
        </w:rPr>
      </w:pPr>
      <w:r>
        <w:rPr>
          <w:snapToGrid w:val="0"/>
        </w:rPr>
        <w:t>the ‘</w:t>
      </w:r>
      <w:r w:rsidRPr="00521421">
        <w:rPr>
          <w:snapToGrid w:val="0"/>
        </w:rPr>
        <w:t>reasonable regularity</w:t>
      </w:r>
      <w:r>
        <w:rPr>
          <w:snapToGrid w:val="0"/>
        </w:rPr>
        <w:t xml:space="preserve">' of service </w:t>
      </w:r>
      <w:r w:rsidR="00615C5C">
        <w:rPr>
          <w:snapToGrid w:val="0"/>
        </w:rPr>
        <w:t xml:space="preserve">provided </w:t>
      </w:r>
      <w:r w:rsidR="007C107F" w:rsidRPr="00521421">
        <w:rPr>
          <w:snapToGrid w:val="0"/>
        </w:rPr>
        <w:t xml:space="preserve">(s 4.11(1)(b) </w:t>
      </w:r>
      <w:r w:rsidR="004E1E01" w:rsidRPr="00521421">
        <w:rPr>
          <w:snapToGrid w:val="0"/>
        </w:rPr>
        <w:t xml:space="preserve">of the </w:t>
      </w:r>
      <w:r w:rsidR="008747EC">
        <w:rPr>
          <w:snapToGrid w:val="0"/>
        </w:rPr>
        <w:t>Determination</w:t>
      </w:r>
      <w:r w:rsidR="004B2BF2">
        <w:rPr>
          <w:snapToGrid w:val="0"/>
        </w:rPr>
        <w:t>)</w:t>
      </w:r>
    </w:p>
    <w:p w14:paraId="415F6ACE" w14:textId="224B8A0C" w:rsidR="00194E81" w:rsidRPr="00521421" w:rsidRDefault="003413AA" w:rsidP="00AD5C7B">
      <w:pPr>
        <w:pStyle w:val="Bulletlevel1"/>
        <w:rPr>
          <w:snapToGrid w:val="0"/>
        </w:rPr>
      </w:pPr>
      <w:r>
        <w:rPr>
          <w:snapToGrid w:val="0"/>
        </w:rPr>
        <w:t>the commencement of s</w:t>
      </w:r>
      <w:r w:rsidR="00194E81">
        <w:rPr>
          <w:snapToGrid w:val="0"/>
        </w:rPr>
        <w:t xml:space="preserve">ervice within 6 months </w:t>
      </w:r>
      <w:r w:rsidR="004B2BF2">
        <w:rPr>
          <w:snapToGrid w:val="0"/>
        </w:rPr>
        <w:t>from the day the licence is issued (s</w:t>
      </w:r>
      <w:r w:rsidR="006849F1">
        <w:rPr>
          <w:snapToGrid w:val="0"/>
        </w:rPr>
        <w:t xml:space="preserve"> </w:t>
      </w:r>
      <w:r w:rsidR="004B2BF2">
        <w:rPr>
          <w:snapToGrid w:val="0"/>
        </w:rPr>
        <w:t>4.11(1)(a) of the Determination)</w:t>
      </w:r>
    </w:p>
    <w:p w14:paraId="5500423D" w14:textId="1ED4344C" w:rsidR="005B3E01" w:rsidRDefault="003413AA" w:rsidP="00AD5C7B">
      <w:pPr>
        <w:pStyle w:val="Bulletlevel1"/>
        <w:rPr>
          <w:snapToGrid w:val="0"/>
        </w:rPr>
      </w:pPr>
      <w:r>
        <w:rPr>
          <w:snapToGrid w:val="0"/>
        </w:rPr>
        <w:t>s</w:t>
      </w:r>
      <w:r w:rsidR="00C72B50">
        <w:rPr>
          <w:snapToGrid w:val="0"/>
        </w:rPr>
        <w:t>tations operat</w:t>
      </w:r>
      <w:r>
        <w:rPr>
          <w:snapToGrid w:val="0"/>
        </w:rPr>
        <w:t>ing</w:t>
      </w:r>
      <w:r w:rsidR="00C72B50">
        <w:rPr>
          <w:snapToGrid w:val="0"/>
        </w:rPr>
        <w:t xml:space="preserve"> within </w:t>
      </w:r>
      <w:r w:rsidR="00CD1A1E">
        <w:rPr>
          <w:snapToGrid w:val="0"/>
        </w:rPr>
        <w:t>specified transmitter power levels (s</w:t>
      </w:r>
      <w:r w:rsidR="001B1781">
        <w:rPr>
          <w:snapToGrid w:val="0"/>
        </w:rPr>
        <w:t>s.</w:t>
      </w:r>
      <w:r w:rsidR="00CD1A1E">
        <w:rPr>
          <w:snapToGrid w:val="0"/>
        </w:rPr>
        <w:t xml:space="preserve"> 4.8.(b) and </w:t>
      </w:r>
      <w:r w:rsidR="001B1781">
        <w:rPr>
          <w:snapToGrid w:val="0"/>
        </w:rPr>
        <w:t>4.8(c) of the Determination</w:t>
      </w:r>
      <w:r w:rsidR="002D023B">
        <w:rPr>
          <w:snapToGrid w:val="0"/>
        </w:rPr>
        <w:t>)</w:t>
      </w:r>
      <w:r w:rsidR="008D58DF">
        <w:rPr>
          <w:snapToGrid w:val="0"/>
        </w:rPr>
        <w:t xml:space="preserve"> </w:t>
      </w:r>
    </w:p>
    <w:p w14:paraId="29F05A42" w14:textId="4DE7056D" w:rsidR="0079090B" w:rsidRPr="00521421" w:rsidRDefault="003413AA" w:rsidP="00AD5C7B">
      <w:pPr>
        <w:pStyle w:val="Bulletlevel1last"/>
        <w:rPr>
          <w:snapToGrid w:val="0"/>
        </w:rPr>
      </w:pPr>
      <w:r>
        <w:rPr>
          <w:snapToGrid w:val="0"/>
        </w:rPr>
        <w:t>w</w:t>
      </w:r>
      <w:r w:rsidR="009E1961">
        <w:rPr>
          <w:snapToGrid w:val="0"/>
        </w:rPr>
        <w:t xml:space="preserve">hether </w:t>
      </w:r>
      <w:r w:rsidR="004B2BF2">
        <w:rPr>
          <w:snapToGrid w:val="0"/>
        </w:rPr>
        <w:t xml:space="preserve">the transmitter is located at the location specified on the </w:t>
      </w:r>
      <w:r w:rsidR="00653EDD">
        <w:rPr>
          <w:snapToGrid w:val="0"/>
        </w:rPr>
        <w:t xml:space="preserve">relevant </w:t>
      </w:r>
      <w:r w:rsidR="000E7435">
        <w:rPr>
          <w:snapToGrid w:val="0"/>
        </w:rPr>
        <w:t xml:space="preserve">apparatus </w:t>
      </w:r>
      <w:r w:rsidR="004B2BF2">
        <w:rPr>
          <w:snapToGrid w:val="0"/>
        </w:rPr>
        <w:t>licence</w:t>
      </w:r>
      <w:r w:rsidR="000E7435">
        <w:rPr>
          <w:snapToGrid w:val="0"/>
        </w:rPr>
        <w:t xml:space="preserve"> issued to t</w:t>
      </w:r>
      <w:r w:rsidR="00653EDD">
        <w:rPr>
          <w:snapToGrid w:val="0"/>
        </w:rPr>
        <w:t>he licensee</w:t>
      </w:r>
      <w:r w:rsidR="004B2BF2">
        <w:rPr>
          <w:snapToGrid w:val="0"/>
        </w:rPr>
        <w:t xml:space="preserve">. </w:t>
      </w:r>
    </w:p>
    <w:p w14:paraId="7776CFE4" w14:textId="2B9A9DC9" w:rsidR="00D668E2" w:rsidRPr="00C759C9" w:rsidRDefault="00D668E2" w:rsidP="00AD5C7B">
      <w:pPr>
        <w:pStyle w:val="Heading2"/>
      </w:pPr>
      <w:r w:rsidRPr="00C759C9">
        <w:t>Licensee selection</w:t>
      </w:r>
    </w:p>
    <w:p w14:paraId="24124BD3" w14:textId="470102B5" w:rsidR="00D668E2" w:rsidRPr="00C759C9" w:rsidRDefault="00D668E2" w:rsidP="001F45C5">
      <w:pPr>
        <w:pStyle w:val="Paragraph"/>
        <w:rPr>
          <w:rFonts w:eastAsiaTheme="minorEastAsia"/>
        </w:rPr>
      </w:pPr>
      <w:r w:rsidRPr="00C759C9">
        <w:rPr>
          <w:rFonts w:eastAsiaTheme="minorEastAsia"/>
        </w:rPr>
        <w:t>A sample of 3</w:t>
      </w:r>
      <w:r w:rsidR="00C4347B">
        <w:rPr>
          <w:rFonts w:eastAsiaTheme="minorEastAsia"/>
        </w:rPr>
        <w:t>4</w:t>
      </w:r>
      <w:r w:rsidRPr="00C759C9">
        <w:rPr>
          <w:rFonts w:eastAsiaTheme="minorEastAsia"/>
        </w:rPr>
        <w:t xml:space="preserve"> LPON licensees was </w:t>
      </w:r>
      <w:r w:rsidR="003413AA">
        <w:rPr>
          <w:rFonts w:eastAsiaTheme="minorEastAsia"/>
        </w:rPr>
        <w:t>chosen</w:t>
      </w:r>
      <w:r w:rsidRPr="00C759C9">
        <w:rPr>
          <w:rFonts w:eastAsiaTheme="minorEastAsia"/>
        </w:rPr>
        <w:t>. The sample was designed to include a variety of licensee</w:t>
      </w:r>
      <w:r w:rsidR="00A9541F">
        <w:rPr>
          <w:rFonts w:eastAsiaTheme="minorEastAsia"/>
        </w:rPr>
        <w:t>s</w:t>
      </w:r>
      <w:r w:rsidR="003413AA">
        <w:rPr>
          <w:rFonts w:eastAsiaTheme="minorEastAsia"/>
        </w:rPr>
        <w:t>,</w:t>
      </w:r>
      <w:r w:rsidRPr="00C759C9">
        <w:rPr>
          <w:rFonts w:eastAsiaTheme="minorEastAsia"/>
        </w:rPr>
        <w:t xml:space="preserve"> including</w:t>
      </w:r>
      <w:r w:rsidR="00A9541F">
        <w:rPr>
          <w:rFonts w:eastAsiaTheme="minorEastAsia"/>
        </w:rPr>
        <w:t xml:space="preserve"> </w:t>
      </w:r>
      <w:r w:rsidRPr="00C759C9">
        <w:rPr>
          <w:rFonts w:eastAsiaTheme="minorEastAsia"/>
        </w:rPr>
        <w:t>newer and older licensees</w:t>
      </w:r>
      <w:r w:rsidR="00A9541F">
        <w:rPr>
          <w:rFonts w:eastAsiaTheme="minorEastAsia"/>
        </w:rPr>
        <w:t xml:space="preserve"> and those in </w:t>
      </w:r>
      <w:r w:rsidR="00A9541F" w:rsidRPr="00C759C9">
        <w:rPr>
          <w:rFonts w:eastAsiaTheme="minorEastAsia"/>
        </w:rPr>
        <w:t>metro</w:t>
      </w:r>
      <w:r w:rsidR="00A9541F">
        <w:rPr>
          <w:rFonts w:eastAsiaTheme="minorEastAsia"/>
        </w:rPr>
        <w:t>politan</w:t>
      </w:r>
      <w:r w:rsidR="00A9541F" w:rsidRPr="00C759C9">
        <w:rPr>
          <w:rFonts w:eastAsiaTheme="minorEastAsia"/>
        </w:rPr>
        <w:t xml:space="preserve"> and regional</w:t>
      </w:r>
      <w:r w:rsidR="00A9541F">
        <w:rPr>
          <w:rFonts w:eastAsiaTheme="minorEastAsia"/>
        </w:rPr>
        <w:t xml:space="preserve"> areas</w:t>
      </w:r>
      <w:r w:rsidRPr="00C759C9">
        <w:rPr>
          <w:rFonts w:eastAsiaTheme="minorEastAsia"/>
        </w:rPr>
        <w:t xml:space="preserve"> across Victoria. The total sample represented approximately 1.5% of total LPON licensees. </w:t>
      </w:r>
    </w:p>
    <w:p w14:paraId="1FFBD1D5" w14:textId="46C284C1" w:rsidR="00B32038" w:rsidRDefault="00C759C9" w:rsidP="00AD5C7B">
      <w:pPr>
        <w:pStyle w:val="Paragraphbeforelist"/>
        <w:rPr>
          <w:rFonts w:eastAsiaTheme="minorEastAsia"/>
        </w:rPr>
      </w:pPr>
      <w:r w:rsidRPr="00514D3C">
        <w:rPr>
          <w:rFonts w:eastAsiaTheme="minorEastAsia"/>
        </w:rPr>
        <w:t xml:space="preserve">Reminder letters were also issued to 51 new licensees (licences allocated during 2021) </w:t>
      </w:r>
      <w:r w:rsidR="00521421">
        <w:rPr>
          <w:rFonts w:eastAsiaTheme="minorEastAsia"/>
        </w:rPr>
        <w:t xml:space="preserve">about </w:t>
      </w:r>
      <w:r w:rsidRPr="001A1F96">
        <w:rPr>
          <w:rFonts w:eastAsiaTheme="minorEastAsia"/>
        </w:rPr>
        <w:t xml:space="preserve">the </w:t>
      </w:r>
      <w:r w:rsidR="00521421">
        <w:rPr>
          <w:rFonts w:eastAsiaTheme="minorEastAsia"/>
        </w:rPr>
        <w:t xml:space="preserve">need to comply with the </w:t>
      </w:r>
      <w:r w:rsidR="00A9541F">
        <w:rPr>
          <w:rFonts w:eastAsiaTheme="minorEastAsia"/>
        </w:rPr>
        <w:t>‘</w:t>
      </w:r>
      <w:hyperlink r:id="rId25" w:history="1">
        <w:r w:rsidR="00A9541F" w:rsidRPr="00A9541F">
          <w:rPr>
            <w:rStyle w:val="Hyperlink"/>
            <w:rFonts w:eastAsiaTheme="minorEastAsia"/>
          </w:rPr>
          <w:t>u</w:t>
        </w:r>
        <w:r w:rsidR="00C4347B" w:rsidRPr="00A9541F">
          <w:rPr>
            <w:rStyle w:val="Hyperlink"/>
            <w:rFonts w:eastAsiaTheme="minorEastAsia"/>
          </w:rPr>
          <w:t xml:space="preserve">se </w:t>
        </w:r>
        <w:r w:rsidR="00A9541F" w:rsidRPr="00A9541F">
          <w:rPr>
            <w:rStyle w:val="Hyperlink"/>
            <w:rFonts w:eastAsiaTheme="minorEastAsia"/>
          </w:rPr>
          <w:t>i</w:t>
        </w:r>
        <w:r w:rsidR="00C4347B" w:rsidRPr="00A9541F">
          <w:rPr>
            <w:rStyle w:val="Hyperlink"/>
            <w:rFonts w:eastAsiaTheme="minorEastAsia"/>
          </w:rPr>
          <w:t xml:space="preserve">t </w:t>
        </w:r>
        <w:r w:rsidR="00A9541F" w:rsidRPr="00A9541F">
          <w:rPr>
            <w:rStyle w:val="Hyperlink"/>
            <w:rFonts w:eastAsiaTheme="minorEastAsia"/>
          </w:rPr>
          <w:t>o</w:t>
        </w:r>
        <w:r w:rsidR="00C4347B" w:rsidRPr="00A9541F">
          <w:rPr>
            <w:rStyle w:val="Hyperlink"/>
            <w:rFonts w:eastAsiaTheme="minorEastAsia"/>
          </w:rPr>
          <w:t xml:space="preserve">r </w:t>
        </w:r>
        <w:r w:rsidR="00A9541F" w:rsidRPr="00A9541F">
          <w:rPr>
            <w:rStyle w:val="Hyperlink"/>
            <w:rFonts w:eastAsiaTheme="minorEastAsia"/>
          </w:rPr>
          <w:t>l</w:t>
        </w:r>
        <w:r w:rsidR="00C4347B" w:rsidRPr="00A9541F">
          <w:rPr>
            <w:rStyle w:val="Hyperlink"/>
            <w:rFonts w:eastAsiaTheme="minorEastAsia"/>
          </w:rPr>
          <w:t xml:space="preserve">ose </w:t>
        </w:r>
        <w:r w:rsidR="00A9541F" w:rsidRPr="00A9541F">
          <w:rPr>
            <w:rStyle w:val="Hyperlink"/>
            <w:rFonts w:eastAsiaTheme="minorEastAsia"/>
          </w:rPr>
          <w:t>i</w:t>
        </w:r>
        <w:r w:rsidR="00C4347B" w:rsidRPr="00A9541F">
          <w:rPr>
            <w:rStyle w:val="Hyperlink"/>
            <w:rFonts w:eastAsiaTheme="minorEastAsia"/>
          </w:rPr>
          <w:t>t</w:t>
        </w:r>
        <w:r w:rsidR="00A9541F">
          <w:rPr>
            <w:rStyle w:val="Hyperlink"/>
            <w:rFonts w:eastAsiaTheme="minorEastAsia"/>
          </w:rPr>
          <w:t>’</w:t>
        </w:r>
        <w:r w:rsidR="00C4347B" w:rsidRPr="00A9541F">
          <w:rPr>
            <w:rStyle w:val="Hyperlink"/>
            <w:rFonts w:eastAsiaTheme="minorEastAsia"/>
          </w:rPr>
          <w:t xml:space="preserve"> (</w:t>
        </w:r>
        <w:r w:rsidRPr="00A9541F">
          <w:rPr>
            <w:rStyle w:val="Hyperlink"/>
            <w:rFonts w:eastAsiaTheme="minorEastAsia"/>
          </w:rPr>
          <w:t>UIOLI</w:t>
        </w:r>
        <w:r w:rsidR="00C4347B" w:rsidRPr="00A9541F">
          <w:rPr>
            <w:rStyle w:val="Hyperlink"/>
            <w:rFonts w:eastAsiaTheme="minorEastAsia"/>
          </w:rPr>
          <w:t>)</w:t>
        </w:r>
        <w:r w:rsidRPr="00A9541F">
          <w:rPr>
            <w:rStyle w:val="Hyperlink"/>
            <w:rFonts w:eastAsiaTheme="minorEastAsia"/>
          </w:rPr>
          <w:t xml:space="preserve"> requirements</w:t>
        </w:r>
      </w:hyperlink>
      <w:r w:rsidR="00A9541F">
        <w:rPr>
          <w:rFonts w:eastAsiaTheme="minorEastAsia"/>
        </w:rPr>
        <w:t>,</w:t>
      </w:r>
      <w:r w:rsidR="00B32038">
        <w:rPr>
          <w:rFonts w:eastAsiaTheme="minorEastAsia"/>
        </w:rPr>
        <w:t xml:space="preserve"> </w:t>
      </w:r>
      <w:r w:rsidR="00A9541F">
        <w:rPr>
          <w:rFonts w:eastAsiaTheme="minorEastAsia"/>
        </w:rPr>
        <w:t>which include</w:t>
      </w:r>
      <w:r w:rsidR="00B32038">
        <w:rPr>
          <w:rFonts w:eastAsiaTheme="minorEastAsia"/>
        </w:rPr>
        <w:t>:</w:t>
      </w:r>
    </w:p>
    <w:p w14:paraId="41C0527F" w14:textId="346BEDEB" w:rsidR="00DC73C0" w:rsidRDefault="00A9541F" w:rsidP="00AD5C7B">
      <w:pPr>
        <w:pStyle w:val="Bulletlevel1"/>
      </w:pPr>
      <w:r>
        <w:t>s</w:t>
      </w:r>
      <w:r w:rsidR="00DC73C0">
        <w:t>tart</w:t>
      </w:r>
      <w:r>
        <w:t>ing</w:t>
      </w:r>
      <w:r w:rsidR="00DC73C0">
        <w:t xml:space="preserve"> broadcasting within 6 months of getting </w:t>
      </w:r>
      <w:r w:rsidR="009D062C">
        <w:t>a</w:t>
      </w:r>
      <w:r>
        <w:t xml:space="preserve"> </w:t>
      </w:r>
      <w:r w:rsidR="00DC73C0">
        <w:t>licence</w:t>
      </w:r>
    </w:p>
    <w:p w14:paraId="7F26139D" w14:textId="024A76E8" w:rsidR="00DC73C0" w:rsidRDefault="00DC73C0" w:rsidP="00AD5C7B">
      <w:pPr>
        <w:pStyle w:val="Bulletlevel1"/>
      </w:pPr>
      <w:r>
        <w:t>us</w:t>
      </w:r>
      <w:r w:rsidR="00A9541F">
        <w:t>ing</w:t>
      </w:r>
      <w:r>
        <w:t xml:space="preserve"> </w:t>
      </w:r>
      <w:r w:rsidR="009D062C">
        <w:t xml:space="preserve">the broadcasting service </w:t>
      </w:r>
      <w:r>
        <w:t xml:space="preserve">regularly </w:t>
      </w:r>
    </w:p>
    <w:p w14:paraId="3D02AA76" w14:textId="7DC057B4" w:rsidR="00DC73C0" w:rsidRPr="00521421" w:rsidRDefault="00DC73C0" w:rsidP="00AD5C7B">
      <w:pPr>
        <w:pStyle w:val="Bulletlevel1last"/>
      </w:pPr>
      <w:r>
        <w:t>keep</w:t>
      </w:r>
      <w:r w:rsidR="00A9541F">
        <w:t>ing</w:t>
      </w:r>
      <w:r>
        <w:t xml:space="preserve"> records</w:t>
      </w:r>
      <w:r w:rsidR="00D153B2">
        <w:t>.</w:t>
      </w:r>
      <w:r>
        <w:t xml:space="preserve"> </w:t>
      </w:r>
    </w:p>
    <w:p w14:paraId="6B325394" w14:textId="00DFCB13" w:rsidR="00C759C9" w:rsidRPr="00C759C9" w:rsidRDefault="00F968E2" w:rsidP="00AD5C7B">
      <w:pPr>
        <w:pStyle w:val="Paragraphbeforelist"/>
        <w:rPr>
          <w:rFonts w:eastAsiaTheme="minorEastAsia"/>
        </w:rPr>
      </w:pPr>
      <w:r w:rsidRPr="00514D3C">
        <w:rPr>
          <w:rFonts w:eastAsiaTheme="minorEastAsia"/>
        </w:rPr>
        <w:t xml:space="preserve">These letters </w:t>
      </w:r>
      <w:r w:rsidR="00521421">
        <w:rPr>
          <w:rFonts w:eastAsiaTheme="minorEastAsia"/>
        </w:rPr>
        <w:t xml:space="preserve">also </w:t>
      </w:r>
      <w:r w:rsidR="00706FD4" w:rsidRPr="00514D3C">
        <w:rPr>
          <w:rFonts w:eastAsiaTheme="minorEastAsia"/>
        </w:rPr>
        <w:t xml:space="preserve">educated </w:t>
      </w:r>
      <w:r w:rsidRPr="00514D3C">
        <w:rPr>
          <w:rFonts w:eastAsiaTheme="minorEastAsia"/>
        </w:rPr>
        <w:t>new lic</w:t>
      </w:r>
      <w:r w:rsidR="00270240" w:rsidRPr="00514D3C">
        <w:rPr>
          <w:rFonts w:eastAsiaTheme="minorEastAsia"/>
        </w:rPr>
        <w:t xml:space="preserve">ensees </w:t>
      </w:r>
      <w:r w:rsidR="00492099" w:rsidRPr="00514D3C">
        <w:rPr>
          <w:rFonts w:eastAsiaTheme="minorEastAsia"/>
        </w:rPr>
        <w:t>about</w:t>
      </w:r>
      <w:r w:rsidR="00EA4B48" w:rsidRPr="00521421">
        <w:rPr>
          <w:color w:val="000000"/>
          <w:shd w:val="clear" w:color="auto" w:fill="FFFFFF"/>
        </w:rPr>
        <w:t xml:space="preserve"> </w:t>
      </w:r>
      <w:r w:rsidR="00EA4B48" w:rsidRPr="00521421">
        <w:rPr>
          <w:rStyle w:val="normaltextrun"/>
          <w:color w:val="000000"/>
          <w:sz w:val="21"/>
          <w:szCs w:val="21"/>
          <w:shd w:val="clear" w:color="auto" w:fill="FFFFFF"/>
        </w:rPr>
        <w:t xml:space="preserve">their requirements under the </w:t>
      </w:r>
      <w:hyperlink r:id="rId26" w:tgtFrame="_blank" w:history="1">
        <w:r w:rsidR="00EA4B48" w:rsidRPr="001F45C5">
          <w:rPr>
            <w:rStyle w:val="normaltextrun"/>
            <w:color w:val="0000FF"/>
            <w:szCs w:val="20"/>
            <w:u w:val="single"/>
            <w:shd w:val="clear" w:color="auto" w:fill="FFFFFF"/>
          </w:rPr>
          <w:t>Radiocommunications Licence Conditions (Broadcasting Licence) Determination 2015</w:t>
        </w:r>
      </w:hyperlink>
      <w:r w:rsidR="00EA4B48" w:rsidRPr="00A9541F">
        <w:rPr>
          <w:rStyle w:val="normaltextrun"/>
          <w:color w:val="000000"/>
          <w:szCs w:val="20"/>
          <w:shd w:val="clear" w:color="auto" w:fill="FFFFFF"/>
        </w:rPr>
        <w:t xml:space="preserve"> </w:t>
      </w:r>
      <w:r w:rsidR="00EA4B48" w:rsidRPr="00BD26E9">
        <w:rPr>
          <w:rStyle w:val="normaltextrun"/>
          <w:color w:val="000000"/>
          <w:szCs w:val="20"/>
          <w:shd w:val="clear" w:color="auto" w:fill="FFFFFF"/>
        </w:rPr>
        <w:t xml:space="preserve">and the </w:t>
      </w:r>
      <w:hyperlink r:id="rId27" w:tgtFrame="_blank" w:history="1">
        <w:r w:rsidR="00EA4B48" w:rsidRPr="001F45C5">
          <w:rPr>
            <w:rStyle w:val="normaltextrun"/>
            <w:color w:val="0000FF"/>
            <w:szCs w:val="20"/>
            <w:u w:val="single"/>
            <w:shd w:val="clear" w:color="auto" w:fill="FFFFFF"/>
          </w:rPr>
          <w:t>Australian Communications Authority (LPON Transmitter Licences) Direction No. 2 of 2000</w:t>
        </w:r>
      </w:hyperlink>
      <w:r w:rsidR="00EA4B48" w:rsidRPr="00521421">
        <w:rPr>
          <w:rStyle w:val="normaltextrun"/>
          <w:color w:val="000000"/>
          <w:sz w:val="21"/>
          <w:szCs w:val="21"/>
          <w:shd w:val="clear" w:color="auto" w:fill="FFFFFF"/>
        </w:rPr>
        <w:t>.</w:t>
      </w:r>
      <w:r w:rsidR="00EA4B48" w:rsidRPr="00521421">
        <w:rPr>
          <w:rStyle w:val="eop"/>
          <w:color w:val="000000"/>
          <w:sz w:val="21"/>
          <w:szCs w:val="21"/>
          <w:shd w:val="clear" w:color="auto" w:fill="FFFFFF"/>
        </w:rPr>
        <w:t> </w:t>
      </w:r>
      <w:r w:rsidR="006447B7">
        <w:rPr>
          <w:rStyle w:val="eop"/>
          <w:color w:val="000000"/>
          <w:sz w:val="21"/>
          <w:szCs w:val="21"/>
          <w:shd w:val="clear" w:color="auto" w:fill="FFFFFF"/>
        </w:rPr>
        <w:t xml:space="preserve"> </w:t>
      </w:r>
    </w:p>
    <w:p w14:paraId="6CF3AA00" w14:textId="3DFA0BC2" w:rsidR="00D668E2" w:rsidRPr="00C759C9" w:rsidRDefault="00C759C9" w:rsidP="00AD5C7B">
      <w:pPr>
        <w:pStyle w:val="Heading2"/>
      </w:pPr>
      <w:r w:rsidRPr="00C759C9">
        <w:t>Desktop audit</w:t>
      </w:r>
    </w:p>
    <w:p w14:paraId="35691368" w14:textId="64E0D566" w:rsidR="00D668E2" w:rsidRPr="00C759C9" w:rsidRDefault="00D668E2" w:rsidP="00AD5C7B">
      <w:pPr>
        <w:pStyle w:val="Paragraphbeforelist"/>
        <w:rPr>
          <w:rFonts w:eastAsiaTheme="minorEastAsia"/>
        </w:rPr>
      </w:pPr>
      <w:r w:rsidRPr="00C759C9">
        <w:rPr>
          <w:rFonts w:eastAsiaTheme="minorEastAsia"/>
        </w:rPr>
        <w:t xml:space="preserve">Licensees selected were requested under the LPON Direction to provide </w:t>
      </w:r>
      <w:r w:rsidRPr="00C759C9">
        <w:rPr>
          <w:color w:val="000000" w:themeColor="text1"/>
        </w:rPr>
        <w:t>the following:</w:t>
      </w:r>
    </w:p>
    <w:p w14:paraId="1B1A4A42" w14:textId="0A0CF46F" w:rsidR="00D668E2" w:rsidRPr="00C759C9" w:rsidRDefault="00A9541F" w:rsidP="00AD5C7B">
      <w:pPr>
        <w:pStyle w:val="Bulletlevel1"/>
      </w:pPr>
      <w:r>
        <w:t>a</w:t>
      </w:r>
      <w:r w:rsidR="00D668E2" w:rsidRPr="00C759C9">
        <w:t xml:space="preserve"> copy of the logbook for 1 December 2021 to 31 January 2022</w:t>
      </w:r>
      <w:r w:rsidR="00514D3C">
        <w:t xml:space="preserve"> </w:t>
      </w:r>
      <w:r w:rsidR="00397BB7">
        <w:t>(</w:t>
      </w:r>
      <w:r w:rsidR="00397BB7">
        <w:rPr>
          <w:iCs/>
          <w:snapToGrid w:val="0"/>
        </w:rPr>
        <w:t>s</w:t>
      </w:r>
      <w:r w:rsidR="006849F1">
        <w:rPr>
          <w:iCs/>
          <w:snapToGrid w:val="0"/>
        </w:rPr>
        <w:t xml:space="preserve"> </w:t>
      </w:r>
      <w:r w:rsidR="00397BB7">
        <w:rPr>
          <w:iCs/>
          <w:snapToGrid w:val="0"/>
        </w:rPr>
        <w:t xml:space="preserve">4.11(1)(c) of </w:t>
      </w:r>
      <w:r w:rsidR="00397BB7" w:rsidRPr="00397BB7">
        <w:rPr>
          <w:iCs/>
          <w:snapToGrid w:val="0"/>
        </w:rPr>
        <w:t xml:space="preserve">the </w:t>
      </w:r>
      <w:r w:rsidR="00397BB7" w:rsidRPr="00521421">
        <w:rPr>
          <w:iCs/>
        </w:rPr>
        <w:t>Determination)</w:t>
      </w:r>
    </w:p>
    <w:p w14:paraId="5A9F98C5" w14:textId="2E09F5D5" w:rsidR="00D668E2" w:rsidRPr="00C759C9" w:rsidRDefault="00A9541F" w:rsidP="00AD5C7B">
      <w:pPr>
        <w:pStyle w:val="Bulletlevel1"/>
      </w:pPr>
      <w:r>
        <w:t>e</w:t>
      </w:r>
      <w:r w:rsidR="00D668E2" w:rsidRPr="00C759C9">
        <w:t>vidence that broadcast recordings are being kept</w:t>
      </w:r>
      <w:r w:rsidR="00397BB7">
        <w:t xml:space="preserve"> (s</w:t>
      </w:r>
      <w:r w:rsidR="00D668E2" w:rsidRPr="00C759C9">
        <w:t xml:space="preserve"> </w:t>
      </w:r>
      <w:r w:rsidR="00C16121">
        <w:t>4.11(1)(c) of the Determination)</w:t>
      </w:r>
      <w:r w:rsidR="00D668E2" w:rsidRPr="00C759C9">
        <w:t xml:space="preserve"> </w:t>
      </w:r>
    </w:p>
    <w:p w14:paraId="5CCEA642" w14:textId="4F28A600" w:rsidR="002B790E" w:rsidRPr="00C759C9" w:rsidRDefault="00A9541F" w:rsidP="00AD5C7B">
      <w:pPr>
        <w:pStyle w:val="Bulletlevel1last"/>
      </w:pPr>
      <w:r>
        <w:t>d</w:t>
      </w:r>
      <w:r w:rsidR="00D668E2" w:rsidRPr="00C759C9">
        <w:t>etails of the nature of the service being provided</w:t>
      </w:r>
      <w:r w:rsidR="001A1F96">
        <w:t xml:space="preserve"> </w:t>
      </w:r>
      <w:r w:rsidR="002B790E">
        <w:t>(s</w:t>
      </w:r>
      <w:r w:rsidR="002B790E" w:rsidRPr="00C759C9">
        <w:t xml:space="preserve"> </w:t>
      </w:r>
      <w:r w:rsidR="002B790E">
        <w:t>4.11(1)(c) of the Determination)</w:t>
      </w:r>
      <w:r w:rsidR="00CD2FF5">
        <w:t>.</w:t>
      </w:r>
      <w:r w:rsidR="002B790E" w:rsidRPr="00C759C9">
        <w:t xml:space="preserve"> </w:t>
      </w:r>
    </w:p>
    <w:p w14:paraId="5ACDC5B9" w14:textId="2934E9C0" w:rsidR="00D668E2" w:rsidRPr="00521421" w:rsidRDefault="00D668E2" w:rsidP="001F45C5">
      <w:pPr>
        <w:pStyle w:val="Paragraph"/>
      </w:pPr>
      <w:r w:rsidRPr="00521421">
        <w:rPr>
          <w:rFonts w:eastAsiaTheme="minorEastAsia"/>
        </w:rPr>
        <w:t xml:space="preserve">These records were </w:t>
      </w:r>
      <w:r w:rsidR="00A9541F">
        <w:rPr>
          <w:rFonts w:eastAsiaTheme="minorEastAsia"/>
        </w:rPr>
        <w:t xml:space="preserve">requested </w:t>
      </w:r>
      <w:r w:rsidRPr="00521421">
        <w:rPr>
          <w:rFonts w:eastAsiaTheme="minorEastAsia"/>
        </w:rPr>
        <w:t xml:space="preserve">to assess </w:t>
      </w:r>
      <w:r w:rsidR="00414AD2" w:rsidRPr="00521421">
        <w:rPr>
          <w:rFonts w:eastAsiaTheme="minorEastAsia"/>
        </w:rPr>
        <w:t xml:space="preserve">whether required records are being kept and </w:t>
      </w:r>
      <w:r w:rsidR="00A9541F">
        <w:rPr>
          <w:rFonts w:eastAsiaTheme="minorEastAsia"/>
        </w:rPr>
        <w:t xml:space="preserve">the </w:t>
      </w:r>
      <w:r w:rsidRPr="00521421">
        <w:rPr>
          <w:rFonts w:eastAsiaTheme="minorEastAsia"/>
        </w:rPr>
        <w:t>provision of a service under the licence. </w:t>
      </w:r>
    </w:p>
    <w:p w14:paraId="31819C4E" w14:textId="6DF83514" w:rsidR="00D668E2" w:rsidRPr="00C759C9" w:rsidRDefault="00C759C9" w:rsidP="001F45C5">
      <w:pPr>
        <w:pStyle w:val="Paragraph"/>
      </w:pPr>
      <w:r w:rsidRPr="00C759C9">
        <w:rPr>
          <w:rFonts w:eastAsiaTheme="minorEastAsia"/>
        </w:rPr>
        <w:t xml:space="preserve">The desktop audit was conducted in parallel with the field work audit. </w:t>
      </w:r>
      <w:r w:rsidR="00D668E2" w:rsidRPr="00C759C9">
        <w:rPr>
          <w:rFonts w:eastAsiaTheme="minorEastAsia"/>
        </w:rPr>
        <w:t xml:space="preserve"> </w:t>
      </w:r>
    </w:p>
    <w:p w14:paraId="1D8E94B4" w14:textId="635F9072" w:rsidR="00C759C9" w:rsidRPr="00C759C9" w:rsidRDefault="00C759C9" w:rsidP="001F45C5">
      <w:pPr>
        <w:pStyle w:val="Paragraph"/>
        <w:rPr>
          <w:rFonts w:eastAsiaTheme="minorEastAsia"/>
        </w:rPr>
      </w:pPr>
      <w:r w:rsidRPr="00C759C9">
        <w:rPr>
          <w:rFonts w:eastAsiaTheme="minorEastAsia"/>
        </w:rPr>
        <w:lastRenderedPageBreak/>
        <w:t>As part of the desktop audit</w:t>
      </w:r>
      <w:r w:rsidR="00A9541F">
        <w:rPr>
          <w:rFonts w:eastAsiaTheme="minorEastAsia"/>
        </w:rPr>
        <w:t>,</w:t>
      </w:r>
      <w:r w:rsidRPr="00C759C9">
        <w:rPr>
          <w:rFonts w:eastAsiaTheme="minorEastAsia"/>
        </w:rPr>
        <w:t xml:space="preserve"> </w:t>
      </w:r>
      <w:r w:rsidR="00A9541F">
        <w:rPr>
          <w:rFonts w:eastAsiaTheme="minorEastAsia"/>
        </w:rPr>
        <w:t xml:space="preserve">ACMA </w:t>
      </w:r>
      <w:r w:rsidR="00414AD2">
        <w:rPr>
          <w:rFonts w:eastAsiaTheme="minorEastAsia"/>
        </w:rPr>
        <w:t>s</w:t>
      </w:r>
      <w:r w:rsidRPr="00C759C9">
        <w:rPr>
          <w:rFonts w:eastAsiaTheme="minorEastAsia"/>
        </w:rPr>
        <w:t>taff e</w:t>
      </w:r>
      <w:r w:rsidR="00D668E2" w:rsidRPr="00C759C9">
        <w:rPr>
          <w:rFonts w:eastAsiaTheme="minorEastAsia"/>
        </w:rPr>
        <w:t>ngage</w:t>
      </w:r>
      <w:r w:rsidRPr="00C759C9">
        <w:rPr>
          <w:rFonts w:eastAsiaTheme="minorEastAsia"/>
        </w:rPr>
        <w:t>d</w:t>
      </w:r>
      <w:r w:rsidR="00D668E2" w:rsidRPr="00C759C9">
        <w:rPr>
          <w:rFonts w:eastAsiaTheme="minorEastAsia"/>
        </w:rPr>
        <w:t xml:space="preserve"> with LPON licensees </w:t>
      </w:r>
      <w:r w:rsidRPr="00C759C9">
        <w:rPr>
          <w:rFonts w:eastAsiaTheme="minorEastAsia"/>
        </w:rPr>
        <w:t xml:space="preserve">to provide </w:t>
      </w:r>
      <w:r w:rsidR="00A9541F">
        <w:rPr>
          <w:rFonts w:eastAsiaTheme="minorEastAsia"/>
        </w:rPr>
        <w:t>information about</w:t>
      </w:r>
      <w:r w:rsidR="00D668E2" w:rsidRPr="00C759C9">
        <w:rPr>
          <w:rFonts w:eastAsiaTheme="minorEastAsia"/>
        </w:rPr>
        <w:t xml:space="preserve"> record</w:t>
      </w:r>
      <w:r w:rsidR="00A9541F">
        <w:rPr>
          <w:rFonts w:eastAsiaTheme="minorEastAsia"/>
        </w:rPr>
        <w:t>-</w:t>
      </w:r>
      <w:r w:rsidR="00D668E2" w:rsidRPr="00C759C9">
        <w:rPr>
          <w:rFonts w:eastAsiaTheme="minorEastAsia"/>
        </w:rPr>
        <w:t>keeping and UIOLI requirements</w:t>
      </w:r>
      <w:r w:rsidR="00A9541F">
        <w:rPr>
          <w:rFonts w:eastAsiaTheme="minorEastAsia"/>
        </w:rPr>
        <w:t>,</w:t>
      </w:r>
      <w:r w:rsidR="00D668E2" w:rsidRPr="00C759C9">
        <w:rPr>
          <w:rFonts w:eastAsiaTheme="minorEastAsia"/>
        </w:rPr>
        <w:t xml:space="preserve"> as required. </w:t>
      </w:r>
    </w:p>
    <w:p w14:paraId="0A12F1E7" w14:textId="6CD64F1B" w:rsidR="00D668E2" w:rsidRPr="00C759C9" w:rsidRDefault="00A9541F" w:rsidP="00AD5C7B">
      <w:pPr>
        <w:pStyle w:val="Heading2"/>
      </w:pPr>
      <w:r>
        <w:t>F</w:t>
      </w:r>
      <w:r w:rsidR="00D668E2" w:rsidRPr="00C759C9">
        <w:t>ield audits</w:t>
      </w:r>
    </w:p>
    <w:p w14:paraId="13D6E67D" w14:textId="4659F90C" w:rsidR="00D668E2" w:rsidRPr="00C759C9" w:rsidRDefault="00D668E2" w:rsidP="001F45C5">
      <w:pPr>
        <w:pStyle w:val="Paragraph"/>
        <w:rPr>
          <w:b/>
          <w:bCs/>
        </w:rPr>
      </w:pPr>
      <w:r w:rsidRPr="00C759C9">
        <w:rPr>
          <w:rFonts w:eastAsiaTheme="minorEastAsia"/>
        </w:rPr>
        <w:t xml:space="preserve">The field audit </w:t>
      </w:r>
      <w:r w:rsidR="00C759C9" w:rsidRPr="00C759C9">
        <w:rPr>
          <w:rFonts w:eastAsiaTheme="minorEastAsia"/>
        </w:rPr>
        <w:t>was undertaken</w:t>
      </w:r>
      <w:r w:rsidRPr="00C759C9">
        <w:rPr>
          <w:rFonts w:eastAsiaTheme="minorEastAsia"/>
        </w:rPr>
        <w:t xml:space="preserve"> in Victoria and </w:t>
      </w:r>
      <w:r w:rsidR="00C759C9" w:rsidRPr="00C759C9">
        <w:rPr>
          <w:rFonts w:eastAsiaTheme="minorEastAsia"/>
        </w:rPr>
        <w:t>audited</w:t>
      </w:r>
      <w:r w:rsidRPr="00C759C9">
        <w:rPr>
          <w:rFonts w:eastAsiaTheme="minorEastAsia"/>
        </w:rPr>
        <w:t xml:space="preserve"> the same licensees as the desktop audit. </w:t>
      </w:r>
    </w:p>
    <w:p w14:paraId="36550C66" w14:textId="0B1735A1" w:rsidR="00D668E2" w:rsidRPr="00C759C9" w:rsidRDefault="00D668E2" w:rsidP="00AD5C7B">
      <w:pPr>
        <w:pStyle w:val="Paragraphbeforelist"/>
        <w:rPr>
          <w:b/>
          <w:bCs/>
        </w:rPr>
      </w:pPr>
      <w:r w:rsidRPr="00C759C9">
        <w:rPr>
          <w:rFonts w:eastAsiaTheme="minorEastAsia"/>
        </w:rPr>
        <w:t>The field audit include</w:t>
      </w:r>
      <w:r w:rsidR="00C759C9" w:rsidRPr="00C759C9">
        <w:rPr>
          <w:rFonts w:eastAsiaTheme="minorEastAsia"/>
        </w:rPr>
        <w:t>d</w:t>
      </w:r>
      <w:r w:rsidRPr="00C759C9">
        <w:rPr>
          <w:rFonts w:eastAsiaTheme="minorEastAsia"/>
        </w:rPr>
        <w:t>:</w:t>
      </w:r>
    </w:p>
    <w:p w14:paraId="77C9675D" w14:textId="19F75A83" w:rsidR="00D668E2" w:rsidRPr="00C759C9" w:rsidRDefault="00C201A8" w:rsidP="00AD5C7B">
      <w:pPr>
        <w:pStyle w:val="Bulletlevel1"/>
        <w:rPr>
          <w:b/>
          <w:bCs/>
        </w:rPr>
      </w:pPr>
      <w:r>
        <w:rPr>
          <w:rFonts w:eastAsiaTheme="minorEastAsia"/>
        </w:rPr>
        <w:t xml:space="preserve">physically </w:t>
      </w:r>
      <w:r w:rsidR="00D668E2" w:rsidRPr="00C759C9">
        <w:rPr>
          <w:rFonts w:eastAsiaTheme="minorEastAsia"/>
        </w:rPr>
        <w:t xml:space="preserve">checking that a transmitter </w:t>
      </w:r>
      <w:r w:rsidR="00A9541F">
        <w:rPr>
          <w:rFonts w:eastAsiaTheme="minorEastAsia"/>
        </w:rPr>
        <w:t>was</w:t>
      </w:r>
      <w:r w:rsidR="00A9541F" w:rsidRPr="00C759C9">
        <w:rPr>
          <w:rFonts w:eastAsiaTheme="minorEastAsia"/>
        </w:rPr>
        <w:t xml:space="preserve"> </w:t>
      </w:r>
      <w:r w:rsidR="00D668E2" w:rsidRPr="00C759C9">
        <w:rPr>
          <w:rFonts w:eastAsiaTheme="minorEastAsia"/>
        </w:rPr>
        <w:t>in place in the required location. </w:t>
      </w:r>
    </w:p>
    <w:p w14:paraId="11DC62DC" w14:textId="29A1A146" w:rsidR="00C759C9" w:rsidRPr="001F45C5" w:rsidRDefault="00C201A8" w:rsidP="002C2EFE">
      <w:pPr>
        <w:pStyle w:val="Bulletlevel1last"/>
        <w:rPr>
          <w:b/>
          <w:bCs/>
          <w:sz w:val="21"/>
          <w:szCs w:val="21"/>
        </w:rPr>
      </w:pPr>
      <w:r>
        <w:rPr>
          <w:rFonts w:eastAsiaTheme="minorEastAsia"/>
        </w:rPr>
        <w:t>f</w:t>
      </w:r>
      <w:r w:rsidR="00D668E2" w:rsidRPr="00C759C9">
        <w:rPr>
          <w:rFonts w:eastAsiaTheme="minorEastAsia"/>
        </w:rPr>
        <w:t xml:space="preserve">ield measurements to check whether a transmitter </w:t>
      </w:r>
      <w:r w:rsidR="00595758">
        <w:rPr>
          <w:rFonts w:eastAsiaTheme="minorEastAsia"/>
        </w:rPr>
        <w:t>was</w:t>
      </w:r>
      <w:r w:rsidR="00595758" w:rsidRPr="00C759C9">
        <w:rPr>
          <w:rFonts w:eastAsiaTheme="minorEastAsia"/>
        </w:rPr>
        <w:t xml:space="preserve"> </w:t>
      </w:r>
      <w:r w:rsidR="00D668E2" w:rsidRPr="00C759C9">
        <w:rPr>
          <w:rFonts w:eastAsiaTheme="minorEastAsia"/>
        </w:rPr>
        <w:t xml:space="preserve">transmitting, </w:t>
      </w:r>
      <w:r w:rsidR="00A9541F">
        <w:rPr>
          <w:rFonts w:eastAsiaTheme="minorEastAsia"/>
        </w:rPr>
        <w:t xml:space="preserve">whether it </w:t>
      </w:r>
      <w:r w:rsidR="00595758">
        <w:rPr>
          <w:rFonts w:eastAsiaTheme="minorEastAsia"/>
        </w:rPr>
        <w:t xml:space="preserve">was overpowered, and </w:t>
      </w:r>
      <w:r w:rsidR="00D668E2" w:rsidRPr="00C759C9">
        <w:rPr>
          <w:rFonts w:eastAsiaTheme="minorEastAsia"/>
        </w:rPr>
        <w:t>the antenna configuration</w:t>
      </w:r>
      <w:r w:rsidR="00D668E2" w:rsidRPr="00C759C9">
        <w:rPr>
          <w:b/>
          <w:bCs/>
        </w:rPr>
        <w:t xml:space="preserve">. </w:t>
      </w:r>
    </w:p>
    <w:p w14:paraId="03DE4770" w14:textId="01674A04" w:rsidR="00C759C9" w:rsidRPr="00C759C9" w:rsidRDefault="00C759C9" w:rsidP="00C759C9">
      <w:pPr>
        <w:pStyle w:val="ListNumber"/>
        <w:numPr>
          <w:ilvl w:val="0"/>
          <w:numId w:val="0"/>
        </w:numPr>
        <w:ind w:left="360" w:hanging="360"/>
        <w:rPr>
          <w:rFonts w:cs="Arial"/>
          <w:b/>
          <w:bCs/>
          <w:sz w:val="21"/>
          <w:szCs w:val="21"/>
        </w:rPr>
      </w:pPr>
    </w:p>
    <w:p w14:paraId="728F2303" w14:textId="77777777" w:rsidR="00C759C9" w:rsidRPr="00201085" w:rsidRDefault="00C759C9" w:rsidP="00C759C9">
      <w:pPr>
        <w:pStyle w:val="ListNumber"/>
        <w:numPr>
          <w:ilvl w:val="0"/>
          <w:numId w:val="0"/>
        </w:numPr>
        <w:ind w:left="360" w:hanging="360"/>
        <w:rPr>
          <w:rFonts w:cs="Arial"/>
          <w:b/>
          <w:bCs/>
          <w:sz w:val="21"/>
          <w:szCs w:val="21"/>
        </w:rPr>
      </w:pPr>
    </w:p>
    <w:p w14:paraId="74CA3D26" w14:textId="7BADD985" w:rsidR="00DD0072" w:rsidRDefault="00DD0072" w:rsidP="00DD0072">
      <w:pPr>
        <w:pStyle w:val="Heading1"/>
      </w:pPr>
      <w:bookmarkStart w:id="2" w:name="_Toc120015809"/>
      <w:r>
        <w:lastRenderedPageBreak/>
        <w:t>Audit outcomes</w:t>
      </w:r>
      <w:bookmarkEnd w:id="2"/>
    </w:p>
    <w:p w14:paraId="528C7675" w14:textId="293EFEFD" w:rsidR="00DD0072" w:rsidRDefault="00DD0072" w:rsidP="001F45C5">
      <w:pPr>
        <w:pStyle w:val="Paragraph"/>
        <w:rPr>
          <w:snapToGrid w:val="0"/>
        </w:rPr>
      </w:pPr>
      <w:r w:rsidRPr="00DD0072">
        <w:rPr>
          <w:snapToGrid w:val="0"/>
        </w:rPr>
        <w:t xml:space="preserve">The audit was conducted during March and April 2022. </w:t>
      </w:r>
    </w:p>
    <w:p w14:paraId="787DC2E6" w14:textId="55AE2853" w:rsidR="006277FF" w:rsidRDefault="006277FF" w:rsidP="00AD5C7B">
      <w:pPr>
        <w:pStyle w:val="Paragraphbeforelist"/>
        <w:rPr>
          <w:color w:val="000000" w:themeColor="text1"/>
        </w:rPr>
      </w:pPr>
      <w:r>
        <w:rPr>
          <w:color w:val="000000" w:themeColor="text1"/>
        </w:rPr>
        <w:t xml:space="preserve">Overall licensee compliance with their regulatory responsibilities was low. </w:t>
      </w:r>
      <w:r w:rsidR="00645C13">
        <w:rPr>
          <w:color w:val="000000" w:themeColor="text1"/>
        </w:rPr>
        <w:t xml:space="preserve">Many licensees </w:t>
      </w:r>
      <w:r>
        <w:rPr>
          <w:color w:val="000000" w:themeColor="text1"/>
        </w:rPr>
        <w:t>were found to be non-compliant in relation to:</w:t>
      </w:r>
    </w:p>
    <w:p w14:paraId="0CA245B8" w14:textId="5473FF56" w:rsidR="006277FF" w:rsidRPr="00BC3E7E" w:rsidRDefault="00595758" w:rsidP="00AD5C7B">
      <w:pPr>
        <w:pStyle w:val="Bulletlevel1"/>
      </w:pPr>
      <w:r>
        <w:t>r</w:t>
      </w:r>
      <w:r w:rsidR="006277FF" w:rsidRPr="00BC3E7E">
        <w:t>ecord</w:t>
      </w:r>
      <w:r>
        <w:t>-</w:t>
      </w:r>
      <w:r w:rsidR="006277FF" w:rsidRPr="00BC3E7E">
        <w:t>keeping requirements</w:t>
      </w:r>
      <w:r>
        <w:t xml:space="preserve"> – </w:t>
      </w:r>
      <w:r w:rsidR="00645C13">
        <w:t xml:space="preserve">many </w:t>
      </w:r>
      <w:r w:rsidR="006277FF" w:rsidRPr="00BC3E7E">
        <w:t xml:space="preserve">licensees </w:t>
      </w:r>
      <w:r>
        <w:t>were un</w:t>
      </w:r>
      <w:r w:rsidR="006277FF" w:rsidRPr="00BC3E7E">
        <w:t>able to provide logbooks, evidence of broadcast recordings and details of the nature of the service provided.</w:t>
      </w:r>
    </w:p>
    <w:p w14:paraId="6617C25C" w14:textId="28B6535E" w:rsidR="006277FF" w:rsidRPr="00BC3E7E" w:rsidRDefault="00595758" w:rsidP="00AD5C7B">
      <w:pPr>
        <w:pStyle w:val="Bulletlevel1"/>
      </w:pPr>
      <w:r>
        <w:t>u</w:t>
      </w:r>
      <w:r w:rsidR="006277FF" w:rsidRPr="00BC3E7E">
        <w:t>se</w:t>
      </w:r>
      <w:r>
        <w:t xml:space="preserve"> </w:t>
      </w:r>
      <w:r w:rsidR="006277FF" w:rsidRPr="00BC3E7E">
        <w:t>it or lose it conditions</w:t>
      </w:r>
      <w:r>
        <w:t xml:space="preserve"> – </w:t>
      </w:r>
      <w:r w:rsidR="00645C13">
        <w:t xml:space="preserve">many </w:t>
      </w:r>
      <w:r w:rsidR="006277FF" w:rsidRPr="00BC3E7E">
        <w:t xml:space="preserve">licensees </w:t>
      </w:r>
      <w:r>
        <w:t xml:space="preserve">were </w:t>
      </w:r>
      <w:r w:rsidR="00677916">
        <w:t>unable</w:t>
      </w:r>
      <w:r w:rsidR="006277FF" w:rsidRPr="00BC3E7E">
        <w:t xml:space="preserve"> to </w:t>
      </w:r>
      <w:r w:rsidR="00677916">
        <w:t>provide</w:t>
      </w:r>
      <w:r w:rsidR="006277FF" w:rsidRPr="00BC3E7E">
        <w:t xml:space="preserve"> evidence </w:t>
      </w:r>
      <w:r w:rsidR="00677916">
        <w:t xml:space="preserve">demonstrating </w:t>
      </w:r>
      <w:r w:rsidR="006277FF" w:rsidRPr="00BC3E7E">
        <w:t xml:space="preserve">that a service </w:t>
      </w:r>
      <w:r w:rsidRPr="00BC3E7E">
        <w:t>ha</w:t>
      </w:r>
      <w:r>
        <w:t>d</w:t>
      </w:r>
      <w:r w:rsidRPr="00BC3E7E">
        <w:t xml:space="preserve"> </w:t>
      </w:r>
      <w:r w:rsidR="006277FF" w:rsidRPr="00BC3E7E">
        <w:t>commenced, or that</w:t>
      </w:r>
      <w:r w:rsidR="00677916">
        <w:t xml:space="preserve"> the service</w:t>
      </w:r>
      <w:r w:rsidR="006277FF" w:rsidRPr="00BC3E7E">
        <w:t xml:space="preserve"> was being provided with reasonable regula</w:t>
      </w:r>
      <w:r>
        <w:t xml:space="preserve">rity </w:t>
      </w:r>
    </w:p>
    <w:p w14:paraId="3E68F97F" w14:textId="2805F089" w:rsidR="006277FF" w:rsidRDefault="00595758" w:rsidP="00AD5C7B">
      <w:pPr>
        <w:pStyle w:val="Bulletlevel1last"/>
      </w:pPr>
      <w:r>
        <w:t>l</w:t>
      </w:r>
      <w:r w:rsidR="006277FF" w:rsidRPr="00BC3E7E">
        <w:t>icence conditions</w:t>
      </w:r>
      <w:r>
        <w:t xml:space="preserve"> – </w:t>
      </w:r>
      <w:r w:rsidR="00645C13">
        <w:t>many</w:t>
      </w:r>
      <w:r w:rsidR="006277FF" w:rsidRPr="00BC3E7E">
        <w:t xml:space="preserve"> licensees </w:t>
      </w:r>
      <w:r>
        <w:t xml:space="preserve">were </w:t>
      </w:r>
      <w:r w:rsidR="006277FF" w:rsidRPr="00BC3E7E">
        <w:t xml:space="preserve">operating </w:t>
      </w:r>
      <w:r w:rsidR="00BC3E7E" w:rsidRPr="00BC3E7E">
        <w:t>overpowered</w:t>
      </w:r>
      <w:r w:rsidR="006277FF" w:rsidRPr="00BC3E7E">
        <w:t xml:space="preserve"> </w:t>
      </w:r>
      <w:r>
        <w:t xml:space="preserve">transmitters </w:t>
      </w:r>
      <w:r w:rsidR="006277FF" w:rsidRPr="00BC3E7E">
        <w:t xml:space="preserve">and/or </w:t>
      </w:r>
      <w:r>
        <w:t xml:space="preserve">did </w:t>
      </w:r>
      <w:r w:rsidR="006277FF" w:rsidRPr="00BC3E7E">
        <w:t xml:space="preserve">not </w:t>
      </w:r>
      <w:r w:rsidRPr="00BC3E7E">
        <w:t>hav</w:t>
      </w:r>
      <w:r>
        <w:t>e</w:t>
      </w:r>
      <w:r w:rsidRPr="00BC3E7E">
        <w:t xml:space="preserve"> </w:t>
      </w:r>
      <w:r w:rsidR="006277FF" w:rsidRPr="00BC3E7E">
        <w:t xml:space="preserve">a transmitter located at their licensed location. </w:t>
      </w:r>
    </w:p>
    <w:p w14:paraId="6605EB81" w14:textId="47089BED" w:rsidR="00D27580" w:rsidRPr="00D27580" w:rsidRDefault="00595758" w:rsidP="001F45C5">
      <w:pPr>
        <w:pStyle w:val="Paragraph"/>
      </w:pPr>
      <w:r>
        <w:t>A</w:t>
      </w:r>
      <w:r w:rsidR="00D27580">
        <w:t xml:space="preserve">s shown in </w:t>
      </w:r>
      <w:r w:rsidR="00D27580" w:rsidRPr="001F45C5">
        <w:t>Figure 1</w:t>
      </w:r>
      <w:r>
        <w:t>,</w:t>
      </w:r>
      <w:r w:rsidR="00D27580">
        <w:t xml:space="preserve"> </w:t>
      </w:r>
      <w:r w:rsidR="00D27580" w:rsidRPr="00D27580">
        <w:t>85% of LPON</w:t>
      </w:r>
      <w:r>
        <w:t xml:space="preserve"> licensee</w:t>
      </w:r>
      <w:r w:rsidR="00D27580" w:rsidRPr="00D27580">
        <w:t xml:space="preserve">s </w:t>
      </w:r>
      <w:r w:rsidR="00B80E98">
        <w:t xml:space="preserve">audited </w:t>
      </w:r>
      <w:r w:rsidR="00D27580" w:rsidRPr="00D27580">
        <w:t xml:space="preserve">were found to be non-compliant </w:t>
      </w:r>
      <w:r w:rsidR="00B80E98">
        <w:t>with requirements</w:t>
      </w:r>
      <w:r w:rsidR="00D27580" w:rsidRPr="00D27580">
        <w:t>.</w:t>
      </w:r>
    </w:p>
    <w:p w14:paraId="17F62473" w14:textId="77777777" w:rsidR="006277FF" w:rsidRPr="006277FF" w:rsidRDefault="006277FF" w:rsidP="006277FF">
      <w:pPr>
        <w:pStyle w:val="Figureheading"/>
      </w:pPr>
      <w:r w:rsidRPr="006277FF">
        <w:t>LPON audit compliance rates</w:t>
      </w:r>
    </w:p>
    <w:p w14:paraId="58E115FC" w14:textId="13391C76" w:rsidR="006277FF" w:rsidRDefault="00D37ABF" w:rsidP="006277FF">
      <w:pPr>
        <w:rPr>
          <w:color w:val="000000" w:themeColor="text1"/>
          <w:sz w:val="21"/>
        </w:rPr>
      </w:pPr>
      <w:r>
        <w:rPr>
          <w:noProof/>
        </w:rPr>
        <w:drawing>
          <wp:inline distT="0" distB="0" distL="0" distR="0" wp14:anchorId="11058F52" wp14:editId="5C2BE7F1">
            <wp:extent cx="4871085" cy="2916555"/>
            <wp:effectExtent l="0" t="0" r="5715" b="0"/>
            <wp:docPr id="2" name="Picture 2" descr="Graph showing 85% non-compliant and 15% compli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 showing 85% non-compliant and 15% compliant."/>
                    <pic:cNvPicPr/>
                  </pic:nvPicPr>
                  <pic:blipFill>
                    <a:blip r:embed="rId28"/>
                    <a:stretch>
                      <a:fillRect/>
                    </a:stretch>
                  </pic:blipFill>
                  <pic:spPr>
                    <a:xfrm>
                      <a:off x="0" y="0"/>
                      <a:ext cx="4871085" cy="2916555"/>
                    </a:xfrm>
                    <a:prstGeom prst="rect">
                      <a:avLst/>
                    </a:prstGeom>
                  </pic:spPr>
                </pic:pic>
              </a:graphicData>
            </a:graphic>
          </wp:inline>
        </w:drawing>
      </w:r>
    </w:p>
    <w:p w14:paraId="4E1545F4" w14:textId="590CCEFA" w:rsidR="006277FF" w:rsidRDefault="006277FF" w:rsidP="00AD5C7B">
      <w:pPr>
        <w:pStyle w:val="Paragraphbeforelist"/>
      </w:pPr>
      <w:r w:rsidRPr="001F45C5">
        <w:t>Figure 2</w:t>
      </w:r>
      <w:r>
        <w:t xml:space="preserve"> shows the main areas of non-compliance identified through the audit</w:t>
      </w:r>
      <w:r w:rsidR="00D27580">
        <w:t xml:space="preserve"> and the level of non-compliance for each. Overall</w:t>
      </w:r>
      <w:r w:rsidR="00677916">
        <w:t>,</w:t>
      </w:r>
      <w:r w:rsidR="00D27580">
        <w:t xml:space="preserve"> the </w:t>
      </w:r>
      <w:r w:rsidR="003779F4">
        <w:t xml:space="preserve">2 </w:t>
      </w:r>
      <w:r w:rsidR="00D66875">
        <w:t xml:space="preserve">most significant </w:t>
      </w:r>
      <w:r w:rsidR="00D27580">
        <w:t>areas of non-compliance were record</w:t>
      </w:r>
      <w:r w:rsidR="003779F4">
        <w:t xml:space="preserve"> </w:t>
      </w:r>
      <w:r w:rsidR="00D27580">
        <w:t>keeping</w:t>
      </w:r>
      <w:r w:rsidR="003779F4">
        <w:t>,</w:t>
      </w:r>
      <w:r w:rsidR="00D27580">
        <w:t xml:space="preserve"> and transmission and transmitter locations. </w:t>
      </w:r>
    </w:p>
    <w:p w14:paraId="78EB2F7C" w14:textId="3ADD7D6B" w:rsidR="006277FF" w:rsidRPr="006277FF" w:rsidRDefault="006277FF" w:rsidP="00EF318E">
      <w:pPr>
        <w:pStyle w:val="Figureheading"/>
      </w:pPr>
      <w:r w:rsidRPr="006277FF">
        <w:lastRenderedPageBreak/>
        <w:t>Main areas of non-compliance</w:t>
      </w:r>
    </w:p>
    <w:p w14:paraId="22C731B5" w14:textId="3720D5F1" w:rsidR="00D27580" w:rsidRDefault="00D37ABF" w:rsidP="00DD0072">
      <w:pPr>
        <w:rPr>
          <w:rFonts w:cs="Arial"/>
          <w:iCs/>
          <w:snapToGrid w:val="0"/>
          <w:sz w:val="21"/>
          <w:szCs w:val="21"/>
        </w:rPr>
      </w:pPr>
      <w:r>
        <w:rPr>
          <w:noProof/>
        </w:rPr>
        <w:drawing>
          <wp:inline distT="0" distB="0" distL="0" distR="0" wp14:anchorId="01BC3F11" wp14:editId="53D3B663">
            <wp:extent cx="4871085" cy="2807970"/>
            <wp:effectExtent l="0" t="0" r="5715" b="0"/>
            <wp:docPr id="5" name="Picture 5" descr="For record-keeping requirements, 21 (41%) were non-compliant. For Overpowered transmitters, 6 (12%) were non-compliant. Having no transmitter or transmissions, 22 (43%) were non-compliant. Using an unlicensed location, 2 (4%) were non-compli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For record-keeping requirements, 21 (41%) were non-compliant. For Overpowered transmitters, 6 (12%) were non-compliant. Having no transmitter or transmissions, 22 (43%) were non-compliant. Using an unlicensed location, 2 (4%) were non-compliant."/>
                    <pic:cNvPicPr/>
                  </pic:nvPicPr>
                  <pic:blipFill>
                    <a:blip r:embed="rId29"/>
                    <a:stretch>
                      <a:fillRect/>
                    </a:stretch>
                  </pic:blipFill>
                  <pic:spPr>
                    <a:xfrm>
                      <a:off x="0" y="0"/>
                      <a:ext cx="4871085" cy="2807970"/>
                    </a:xfrm>
                    <a:prstGeom prst="rect">
                      <a:avLst/>
                    </a:prstGeom>
                  </pic:spPr>
                </pic:pic>
              </a:graphicData>
            </a:graphic>
          </wp:inline>
        </w:drawing>
      </w:r>
    </w:p>
    <w:p w14:paraId="400FF1B8" w14:textId="0EB4DBC5" w:rsidR="00A06846" w:rsidRDefault="009C65F1" w:rsidP="002C2EFE">
      <w:pPr>
        <w:pStyle w:val="Tableorfigurenote"/>
      </w:pPr>
      <w:r>
        <w:t>Note: numbers may add up to more than 34 as some licen</w:t>
      </w:r>
      <w:r w:rsidR="00A06846">
        <w:t>s</w:t>
      </w:r>
      <w:r>
        <w:t>e</w:t>
      </w:r>
      <w:r w:rsidR="00A06846">
        <w:t>e</w:t>
      </w:r>
      <w:r>
        <w:t xml:space="preserve">s were non-compliant in more than one area. </w:t>
      </w:r>
    </w:p>
    <w:p w14:paraId="52644371" w14:textId="6D4CC016" w:rsidR="00D27580" w:rsidRDefault="00A06846" w:rsidP="00AD5C7B">
      <w:pPr>
        <w:pStyle w:val="Paragraphbeforelist"/>
      </w:pPr>
      <w:r>
        <w:t>M</w:t>
      </w:r>
      <w:r w:rsidR="002A6301">
        <w:t xml:space="preserve">any licensees were found to be non-compliant </w:t>
      </w:r>
      <w:r w:rsidR="00C201A8">
        <w:t>with</w:t>
      </w:r>
      <w:r>
        <w:t xml:space="preserve"> </w:t>
      </w:r>
      <w:r w:rsidR="002A6301">
        <w:t xml:space="preserve">several </w:t>
      </w:r>
      <w:r>
        <w:t>requirements</w:t>
      </w:r>
      <w:r w:rsidR="00D27580">
        <w:t>. For example, most licensees who had no transmitter or transmissions in place also failed to provide records as requested.</w:t>
      </w:r>
    </w:p>
    <w:p w14:paraId="6419A8CB" w14:textId="1A1EA116" w:rsidR="00D27580" w:rsidRDefault="00D27580" w:rsidP="00D27580">
      <w:pPr>
        <w:pStyle w:val="Heading1"/>
      </w:pPr>
      <w:bookmarkStart w:id="3" w:name="_Toc120015810"/>
      <w:r>
        <w:lastRenderedPageBreak/>
        <w:t>Summary</w:t>
      </w:r>
      <w:bookmarkEnd w:id="3"/>
    </w:p>
    <w:p w14:paraId="7F3CDB7C" w14:textId="554BFB90" w:rsidR="00C201A8" w:rsidRDefault="00D27580" w:rsidP="00C201A8">
      <w:pPr>
        <w:pStyle w:val="Paragraph"/>
        <w:rPr>
          <w:rFonts w:eastAsiaTheme="minorEastAsia"/>
        </w:rPr>
      </w:pPr>
      <w:r w:rsidRPr="001567A6">
        <w:rPr>
          <w:rFonts w:eastAsiaTheme="minorEastAsia"/>
        </w:rPr>
        <w:t xml:space="preserve">The levels of non-compliance identified by the audit are </w:t>
      </w:r>
      <w:r w:rsidR="005420BA">
        <w:rPr>
          <w:rFonts w:eastAsiaTheme="minorEastAsia"/>
        </w:rPr>
        <w:t>disappointing</w:t>
      </w:r>
      <w:r w:rsidRPr="001567A6">
        <w:rPr>
          <w:rFonts w:eastAsiaTheme="minorEastAsia"/>
        </w:rPr>
        <w:t xml:space="preserve">. </w:t>
      </w:r>
      <w:r w:rsidR="00C201A8">
        <w:rPr>
          <w:rFonts w:eastAsiaTheme="minorEastAsia"/>
        </w:rPr>
        <w:t>Consequently</w:t>
      </w:r>
      <w:r w:rsidR="002A6301">
        <w:rPr>
          <w:rFonts w:eastAsiaTheme="minorEastAsia"/>
        </w:rPr>
        <w:t>,</w:t>
      </w:r>
      <w:r w:rsidRPr="001567A6">
        <w:rPr>
          <w:rFonts w:eastAsiaTheme="minorEastAsia"/>
        </w:rPr>
        <w:t xml:space="preserve"> </w:t>
      </w:r>
      <w:r w:rsidR="00C201A8">
        <w:rPr>
          <w:rFonts w:eastAsiaTheme="minorEastAsia"/>
        </w:rPr>
        <w:t>and n</w:t>
      </w:r>
      <w:r w:rsidR="00C201A8" w:rsidRPr="001567A6">
        <w:rPr>
          <w:rFonts w:eastAsiaTheme="minorEastAsia"/>
        </w:rPr>
        <w:t xml:space="preserve">oting the small sample size </w:t>
      </w:r>
      <w:r w:rsidR="00C201A8">
        <w:rPr>
          <w:rFonts w:eastAsiaTheme="minorEastAsia"/>
        </w:rPr>
        <w:t>of this audit, we</w:t>
      </w:r>
      <w:r w:rsidRPr="001567A6">
        <w:rPr>
          <w:rFonts w:eastAsiaTheme="minorEastAsia"/>
        </w:rPr>
        <w:t xml:space="preserve"> intend</w:t>
      </w:r>
      <w:r w:rsidR="00C201A8">
        <w:rPr>
          <w:rFonts w:eastAsiaTheme="minorEastAsia"/>
        </w:rPr>
        <w:t xml:space="preserve"> </w:t>
      </w:r>
      <w:r w:rsidRPr="001567A6">
        <w:rPr>
          <w:rFonts w:eastAsiaTheme="minorEastAsia"/>
        </w:rPr>
        <w:t xml:space="preserve">to conduct </w:t>
      </w:r>
      <w:r w:rsidR="00A7276D">
        <w:rPr>
          <w:rFonts w:eastAsiaTheme="minorEastAsia"/>
        </w:rPr>
        <w:t>an expanded</w:t>
      </w:r>
      <w:r w:rsidRPr="001567A6">
        <w:rPr>
          <w:rFonts w:eastAsiaTheme="minorEastAsia"/>
        </w:rPr>
        <w:t xml:space="preserve"> audit</w:t>
      </w:r>
      <w:r w:rsidR="00A7276D">
        <w:rPr>
          <w:rFonts w:eastAsiaTheme="minorEastAsia"/>
        </w:rPr>
        <w:t xml:space="preserve"> program</w:t>
      </w:r>
      <w:r w:rsidR="001567A6" w:rsidRPr="001567A6">
        <w:rPr>
          <w:rFonts w:eastAsiaTheme="minorEastAsia"/>
        </w:rPr>
        <w:t xml:space="preserve">. </w:t>
      </w:r>
      <w:r w:rsidR="009D062C">
        <w:rPr>
          <w:rFonts w:eastAsiaTheme="minorEastAsia"/>
        </w:rPr>
        <w:t>This</w:t>
      </w:r>
      <w:r w:rsidR="001567A6" w:rsidRPr="001567A6">
        <w:rPr>
          <w:rFonts w:eastAsiaTheme="minorEastAsia"/>
        </w:rPr>
        <w:t xml:space="preserve"> will </w:t>
      </w:r>
      <w:r w:rsidRPr="001567A6">
        <w:rPr>
          <w:rFonts w:eastAsiaTheme="minorEastAsia"/>
        </w:rPr>
        <w:t xml:space="preserve">enable </w:t>
      </w:r>
      <w:r w:rsidR="00C201A8">
        <w:rPr>
          <w:rFonts w:eastAsiaTheme="minorEastAsia"/>
        </w:rPr>
        <w:t>us</w:t>
      </w:r>
      <w:r w:rsidR="00C201A8" w:rsidRPr="001567A6">
        <w:rPr>
          <w:rFonts w:eastAsiaTheme="minorEastAsia"/>
        </w:rPr>
        <w:t xml:space="preserve"> </w:t>
      </w:r>
      <w:r w:rsidRPr="001567A6">
        <w:rPr>
          <w:rFonts w:eastAsiaTheme="minorEastAsia"/>
        </w:rPr>
        <w:t xml:space="preserve">to </w:t>
      </w:r>
      <w:r w:rsidR="002A6301">
        <w:rPr>
          <w:rFonts w:eastAsiaTheme="minorEastAsia"/>
        </w:rPr>
        <w:t xml:space="preserve">better </w:t>
      </w:r>
      <w:r w:rsidRPr="001567A6">
        <w:rPr>
          <w:rFonts w:eastAsiaTheme="minorEastAsia"/>
        </w:rPr>
        <w:t xml:space="preserve">assess </w:t>
      </w:r>
      <w:r w:rsidR="001567A6" w:rsidRPr="001567A6">
        <w:rPr>
          <w:rFonts w:eastAsiaTheme="minorEastAsia"/>
        </w:rPr>
        <w:t>whether th</w:t>
      </w:r>
      <w:r w:rsidR="002A6301">
        <w:rPr>
          <w:rFonts w:eastAsiaTheme="minorEastAsia"/>
        </w:rPr>
        <w:t>e audit findings are</w:t>
      </w:r>
      <w:r w:rsidR="001567A6" w:rsidRPr="001567A6">
        <w:rPr>
          <w:rFonts w:eastAsiaTheme="minorEastAsia"/>
        </w:rPr>
        <w:t xml:space="preserve"> representative of </w:t>
      </w:r>
      <w:r w:rsidR="00C201A8">
        <w:rPr>
          <w:rFonts w:eastAsiaTheme="minorEastAsia"/>
        </w:rPr>
        <w:t xml:space="preserve">a </w:t>
      </w:r>
      <w:r w:rsidR="006B56BB">
        <w:rPr>
          <w:rFonts w:eastAsiaTheme="minorEastAsia"/>
        </w:rPr>
        <w:t>wider</w:t>
      </w:r>
      <w:r w:rsidR="00C201A8">
        <w:rPr>
          <w:rFonts w:eastAsiaTheme="minorEastAsia"/>
        </w:rPr>
        <w:t xml:space="preserve"> lack of </w:t>
      </w:r>
      <w:r w:rsidR="001567A6" w:rsidRPr="001567A6">
        <w:rPr>
          <w:rFonts w:eastAsiaTheme="minorEastAsia"/>
        </w:rPr>
        <w:t xml:space="preserve">compliance </w:t>
      </w:r>
      <w:r w:rsidR="002A6301">
        <w:rPr>
          <w:rFonts w:eastAsiaTheme="minorEastAsia"/>
        </w:rPr>
        <w:t>by LPON licensees</w:t>
      </w:r>
      <w:r w:rsidR="001567A6" w:rsidRPr="001567A6">
        <w:rPr>
          <w:rFonts w:eastAsiaTheme="minorEastAsia"/>
        </w:rPr>
        <w:t xml:space="preserve">. </w:t>
      </w:r>
    </w:p>
    <w:p w14:paraId="45768B60" w14:textId="42B86C60" w:rsidR="009D062C" w:rsidRDefault="009D062C" w:rsidP="00C201A8">
      <w:pPr>
        <w:pStyle w:val="Paragraph"/>
        <w:rPr>
          <w:rFonts w:eastAsiaTheme="minorEastAsia"/>
        </w:rPr>
      </w:pPr>
      <w:r>
        <w:rPr>
          <w:rFonts w:eastAsiaTheme="minorEastAsia"/>
        </w:rPr>
        <w:t xml:space="preserve">We will also review the information available on our website for LPON licensees </w:t>
      </w:r>
      <w:r>
        <w:rPr>
          <w:color w:val="000000" w:themeColor="text1"/>
        </w:rPr>
        <w:t>about record keeping and compliance with licence conditions,</w:t>
      </w:r>
      <w:r>
        <w:rPr>
          <w:rFonts w:eastAsiaTheme="minorEastAsia"/>
        </w:rPr>
        <w:t xml:space="preserve"> and will engage with industry on the outcomes of the audit. </w:t>
      </w:r>
    </w:p>
    <w:p w14:paraId="22D11B52" w14:textId="5AF0ED83" w:rsidR="001567A6" w:rsidRDefault="001567A6" w:rsidP="001F45C5">
      <w:pPr>
        <w:pStyle w:val="Paragraph"/>
        <w:rPr>
          <w:rFonts w:eastAsiaTheme="minorEastAsia"/>
        </w:rPr>
      </w:pPr>
      <w:r>
        <w:rPr>
          <w:rFonts w:eastAsiaTheme="minorEastAsia"/>
        </w:rPr>
        <w:t xml:space="preserve">Future audits will focus on compliance with the regulatory requirements </w:t>
      </w:r>
      <w:r w:rsidR="00C201A8">
        <w:rPr>
          <w:rFonts w:eastAsiaTheme="minorEastAsia"/>
        </w:rPr>
        <w:t xml:space="preserve">– we </w:t>
      </w:r>
      <w:r w:rsidR="00330172">
        <w:rPr>
          <w:rFonts w:eastAsiaTheme="minorEastAsia"/>
        </w:rPr>
        <w:t xml:space="preserve">will take </w:t>
      </w:r>
      <w:r w:rsidR="00C201A8">
        <w:rPr>
          <w:rFonts w:eastAsiaTheme="minorEastAsia"/>
        </w:rPr>
        <w:t xml:space="preserve">enforcement </w:t>
      </w:r>
      <w:r w:rsidR="00330172">
        <w:rPr>
          <w:rFonts w:eastAsiaTheme="minorEastAsia"/>
        </w:rPr>
        <w:t>action where non-</w:t>
      </w:r>
      <w:r w:rsidR="004C18FC">
        <w:rPr>
          <w:rFonts w:eastAsiaTheme="minorEastAsia"/>
        </w:rPr>
        <w:t>compliance</w:t>
      </w:r>
      <w:r w:rsidR="00330172">
        <w:rPr>
          <w:rFonts w:eastAsiaTheme="minorEastAsia"/>
        </w:rPr>
        <w:t xml:space="preserve"> is identified </w:t>
      </w:r>
      <w:r>
        <w:rPr>
          <w:rFonts w:eastAsiaTheme="minorEastAsia"/>
        </w:rPr>
        <w:t xml:space="preserve">as well as </w:t>
      </w:r>
      <w:r w:rsidR="00C201A8">
        <w:rPr>
          <w:rFonts w:eastAsiaTheme="minorEastAsia"/>
        </w:rPr>
        <w:t xml:space="preserve">educate </w:t>
      </w:r>
      <w:r>
        <w:rPr>
          <w:rFonts w:eastAsiaTheme="minorEastAsia"/>
        </w:rPr>
        <w:t xml:space="preserve">LPON licensees on their responsibilities. </w:t>
      </w:r>
    </w:p>
    <w:p w14:paraId="013DF3BA" w14:textId="600A2648" w:rsidR="001567A6" w:rsidRPr="001567A6" w:rsidRDefault="001567A6" w:rsidP="001F45C5">
      <w:pPr>
        <w:pStyle w:val="Paragraph"/>
        <w:rPr>
          <w:rFonts w:eastAsiaTheme="minorEastAsia"/>
        </w:rPr>
      </w:pPr>
    </w:p>
    <w:sectPr w:rsidR="001567A6" w:rsidRPr="001567A6" w:rsidSect="00C77380">
      <w:headerReference w:type="even" r:id="rId30"/>
      <w:headerReference w:type="default" r:id="rId31"/>
      <w:footerReference w:type="even" r:id="rId32"/>
      <w:footerReference w:type="default" r:id="rId33"/>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7E7056" w14:textId="77777777" w:rsidR="0004053C" w:rsidRDefault="0004053C">
      <w:r>
        <w:separator/>
      </w:r>
    </w:p>
  </w:endnote>
  <w:endnote w:type="continuationSeparator" w:id="0">
    <w:p w14:paraId="165BFA22" w14:textId="77777777" w:rsidR="0004053C" w:rsidRDefault="000405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41847" w14:textId="77777777" w:rsidR="005E250B" w:rsidRDefault="005E250B" w:rsidP="005E250B">
    <w:pPr>
      <w:pStyle w:val="Footer"/>
      <w:jc w:val="right"/>
    </w:pPr>
    <w:r w:rsidRPr="005E250B">
      <w:rPr>
        <w:noProof/>
        <w:vertAlign w:val="subscript"/>
      </w:rPr>
      <w:drawing>
        <wp:inline distT="0" distB="0" distL="0" distR="0" wp14:anchorId="4120DADC" wp14:editId="2478FA52">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68A24"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950604"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8F94C"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7F30BB10"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E21AC"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519E7709"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3FBE9"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53440E9B"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A9778"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B71C81C"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5BCA1"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72F22595"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2860B7" w14:textId="77777777" w:rsidR="0004053C" w:rsidRDefault="0004053C" w:rsidP="00DB3A64">
      <w:pPr>
        <w:spacing w:after="0"/>
      </w:pPr>
      <w:r>
        <w:separator/>
      </w:r>
    </w:p>
  </w:footnote>
  <w:footnote w:type="continuationSeparator" w:id="0">
    <w:p w14:paraId="3DBF6F57" w14:textId="77777777" w:rsidR="0004053C" w:rsidRDefault="000405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34207" w14:textId="77777777" w:rsidR="00C053A1" w:rsidRPr="00A5474E" w:rsidRDefault="00C053A1" w:rsidP="00A5474E">
    <w:pPr>
      <w:pStyle w:val="Header"/>
    </w:pPr>
    <w:r>
      <w:rPr>
        <w:noProof/>
      </w:rPr>
      <w:drawing>
        <wp:inline distT="0" distB="0" distL="0" distR="0" wp14:anchorId="21D43281" wp14:editId="64A24AEA">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B7DCB"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B60F2"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E4445"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7D6388E5" w14:textId="77777777" w:rsidTr="003B0421">
      <w:trPr>
        <w:trHeight w:hRule="exact" w:val="988"/>
      </w:trPr>
      <w:tc>
        <w:tcPr>
          <w:tcW w:w="7678" w:type="dxa"/>
          <w:shd w:val="clear" w:color="auto" w:fill="auto"/>
        </w:tcPr>
        <w:p w14:paraId="35078AC5" w14:textId="77777777" w:rsidR="00971914" w:rsidRDefault="00971914" w:rsidP="00971914">
          <w:pPr>
            <w:pStyle w:val="Header"/>
          </w:pPr>
        </w:p>
      </w:tc>
    </w:tr>
    <w:tr w:rsidR="00971914" w14:paraId="67984CBF" w14:textId="77777777" w:rsidTr="003B0421">
      <w:tc>
        <w:tcPr>
          <w:tcW w:w="7678" w:type="dxa"/>
          <w:shd w:val="clear" w:color="auto" w:fill="auto"/>
        </w:tcPr>
        <w:p w14:paraId="6E87B785" w14:textId="77777777" w:rsidR="00971914" w:rsidRDefault="00971914" w:rsidP="00971914">
          <w:pPr>
            <w:pStyle w:val="GridTable31"/>
          </w:pPr>
          <w:r>
            <w:t xml:space="preserve">Contents </w:t>
          </w:r>
          <w:r w:rsidRPr="00915B1C">
            <w:rPr>
              <w:b w:val="0"/>
              <w:spacing w:val="0"/>
              <w:sz w:val="28"/>
              <w:szCs w:val="28"/>
            </w:rPr>
            <w:t>(Continued)</w:t>
          </w:r>
        </w:p>
      </w:tc>
    </w:tr>
    <w:tr w:rsidR="00971914" w14:paraId="1C05A128" w14:textId="77777777" w:rsidTr="003B0421">
      <w:trPr>
        <w:trHeight w:val="1220"/>
      </w:trPr>
      <w:tc>
        <w:tcPr>
          <w:tcW w:w="7678" w:type="dxa"/>
          <w:shd w:val="clear" w:color="auto" w:fill="auto"/>
        </w:tcPr>
        <w:p w14:paraId="58C516B9" w14:textId="77777777" w:rsidR="00971914" w:rsidRDefault="00971914" w:rsidP="00971914"/>
      </w:tc>
    </w:tr>
  </w:tbl>
  <w:p w14:paraId="1F044F3A"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6D06DD5" w14:textId="77777777" w:rsidTr="003B0421">
      <w:trPr>
        <w:trHeight w:hRule="exact" w:val="988"/>
      </w:trPr>
      <w:tc>
        <w:tcPr>
          <w:tcW w:w="7678" w:type="dxa"/>
          <w:shd w:val="clear" w:color="auto" w:fill="auto"/>
        </w:tcPr>
        <w:p w14:paraId="1D95CC6F" w14:textId="77777777" w:rsidR="00971914" w:rsidRDefault="00971914" w:rsidP="00971914">
          <w:pPr>
            <w:pStyle w:val="Header"/>
          </w:pPr>
        </w:p>
      </w:tc>
    </w:tr>
    <w:tr w:rsidR="00971914" w14:paraId="37E153A0" w14:textId="77777777" w:rsidTr="003B0421">
      <w:tc>
        <w:tcPr>
          <w:tcW w:w="7678" w:type="dxa"/>
          <w:shd w:val="clear" w:color="auto" w:fill="auto"/>
        </w:tcPr>
        <w:p w14:paraId="55123DFF" w14:textId="77777777" w:rsidR="00971914" w:rsidRDefault="00971914" w:rsidP="00971914">
          <w:pPr>
            <w:pStyle w:val="GridTable31"/>
          </w:pPr>
          <w:r>
            <w:t xml:space="preserve">Contents </w:t>
          </w:r>
          <w:r w:rsidRPr="00915B1C">
            <w:rPr>
              <w:b w:val="0"/>
              <w:spacing w:val="0"/>
              <w:sz w:val="28"/>
              <w:szCs w:val="28"/>
            </w:rPr>
            <w:t>(Continued)</w:t>
          </w:r>
        </w:p>
      </w:tc>
    </w:tr>
    <w:tr w:rsidR="00971914" w14:paraId="171E1B82" w14:textId="77777777" w:rsidTr="003B0421">
      <w:trPr>
        <w:trHeight w:val="1220"/>
      </w:trPr>
      <w:tc>
        <w:tcPr>
          <w:tcW w:w="7678" w:type="dxa"/>
          <w:shd w:val="clear" w:color="auto" w:fill="auto"/>
        </w:tcPr>
        <w:p w14:paraId="5A5201DB" w14:textId="77777777" w:rsidR="00971914" w:rsidRDefault="00971914" w:rsidP="00971914"/>
      </w:tc>
    </w:tr>
  </w:tbl>
  <w:p w14:paraId="791201BF"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701A7"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86662"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1EB40FE"/>
    <w:multiLevelType w:val="hybridMultilevel"/>
    <w:tmpl w:val="3FC0030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B0A4A7E"/>
    <w:multiLevelType w:val="hybridMultilevel"/>
    <w:tmpl w:val="14067A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408F7818"/>
    <w:multiLevelType w:val="hybridMultilevel"/>
    <w:tmpl w:val="03984A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85828A2"/>
    <w:multiLevelType w:val="hybridMultilevel"/>
    <w:tmpl w:val="F968B2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8E83C61"/>
    <w:multiLevelType w:val="hybridMultilevel"/>
    <w:tmpl w:val="452E58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6D27C91"/>
    <w:multiLevelType w:val="hybridMultilevel"/>
    <w:tmpl w:val="43C65E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6517BC6"/>
    <w:multiLevelType w:val="hybridMultilevel"/>
    <w:tmpl w:val="384E55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B7656AD"/>
    <w:multiLevelType w:val="hybridMultilevel"/>
    <w:tmpl w:val="F118C7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B93122A"/>
    <w:multiLevelType w:val="hybridMultilevel"/>
    <w:tmpl w:val="240EB07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7"/>
  </w:num>
  <w:num w:numId="6">
    <w:abstractNumId w:val="14"/>
  </w:num>
  <w:num w:numId="7">
    <w:abstractNumId w:val="11"/>
  </w:num>
  <w:num w:numId="8">
    <w:abstractNumId w:val="13"/>
  </w:num>
  <w:num w:numId="9">
    <w:abstractNumId w:val="17"/>
  </w:num>
  <w:num w:numId="10">
    <w:abstractNumId w:val="5"/>
  </w:num>
  <w:num w:numId="11">
    <w:abstractNumId w:val="2"/>
    <w:lvlOverride w:ilvl="0">
      <w:startOverride w:val="1"/>
    </w:lvlOverride>
  </w:num>
  <w:num w:numId="12">
    <w:abstractNumId w:val="2"/>
    <w:lvlOverride w:ilvl="0">
      <w:startOverride w:val="1"/>
    </w:lvlOverride>
  </w:num>
  <w:num w:numId="13">
    <w:abstractNumId w:val="18"/>
  </w:num>
  <w:num w:numId="14">
    <w:abstractNumId w:val="6"/>
  </w:num>
  <w:num w:numId="15">
    <w:abstractNumId w:val="15"/>
  </w:num>
  <w:num w:numId="16">
    <w:abstractNumId w:val="4"/>
  </w:num>
  <w:num w:numId="17">
    <w:abstractNumId w:val="2"/>
  </w:num>
  <w:num w:numId="18">
    <w:abstractNumId w:val="14"/>
  </w:num>
  <w:num w:numId="19">
    <w:abstractNumId w:val="14"/>
  </w:num>
  <w:num w:numId="20">
    <w:abstractNumId w:val="9"/>
  </w:num>
  <w:num w:numId="21">
    <w:abstractNumId w:val="2"/>
  </w:num>
  <w:num w:numId="22">
    <w:abstractNumId w:val="8"/>
  </w:num>
  <w:num w:numId="23">
    <w:abstractNumId w:val="16"/>
  </w:num>
  <w:num w:numId="24">
    <w:abstractNumId w:val="12"/>
  </w:num>
  <w:num w:numId="25">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68E2"/>
    <w:rsid w:val="00010667"/>
    <w:rsid w:val="000129D5"/>
    <w:rsid w:val="00015AE7"/>
    <w:rsid w:val="000162DD"/>
    <w:rsid w:val="00016E21"/>
    <w:rsid w:val="0001719C"/>
    <w:rsid w:val="0002224E"/>
    <w:rsid w:val="000245E5"/>
    <w:rsid w:val="00026F91"/>
    <w:rsid w:val="00027CF3"/>
    <w:rsid w:val="0004053C"/>
    <w:rsid w:val="0004764C"/>
    <w:rsid w:val="0005011A"/>
    <w:rsid w:val="0005045A"/>
    <w:rsid w:val="00051C1E"/>
    <w:rsid w:val="000539F9"/>
    <w:rsid w:val="00054C27"/>
    <w:rsid w:val="00055EC3"/>
    <w:rsid w:val="000563CE"/>
    <w:rsid w:val="000659B6"/>
    <w:rsid w:val="0006686F"/>
    <w:rsid w:val="0006722A"/>
    <w:rsid w:val="00072F59"/>
    <w:rsid w:val="000732CF"/>
    <w:rsid w:val="00075B96"/>
    <w:rsid w:val="00077B5E"/>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3676"/>
    <w:rsid w:val="000D71D9"/>
    <w:rsid w:val="000D76E0"/>
    <w:rsid w:val="000D7E8B"/>
    <w:rsid w:val="000E4449"/>
    <w:rsid w:val="000E6097"/>
    <w:rsid w:val="000E7435"/>
    <w:rsid w:val="0010267F"/>
    <w:rsid w:val="00103829"/>
    <w:rsid w:val="00111FCE"/>
    <w:rsid w:val="00113F84"/>
    <w:rsid w:val="001179C2"/>
    <w:rsid w:val="001229A5"/>
    <w:rsid w:val="0012489B"/>
    <w:rsid w:val="00130017"/>
    <w:rsid w:val="00130F91"/>
    <w:rsid w:val="001349ED"/>
    <w:rsid w:val="00137424"/>
    <w:rsid w:val="00140318"/>
    <w:rsid w:val="00141AD9"/>
    <w:rsid w:val="00146CE6"/>
    <w:rsid w:val="00152903"/>
    <w:rsid w:val="00153FD5"/>
    <w:rsid w:val="0015614F"/>
    <w:rsid w:val="001567A6"/>
    <w:rsid w:val="001577C2"/>
    <w:rsid w:val="001633C4"/>
    <w:rsid w:val="00166C5F"/>
    <w:rsid w:val="001704D5"/>
    <w:rsid w:val="00171591"/>
    <w:rsid w:val="00173981"/>
    <w:rsid w:val="0017719D"/>
    <w:rsid w:val="00183FD7"/>
    <w:rsid w:val="00185CAB"/>
    <w:rsid w:val="0018646E"/>
    <w:rsid w:val="001875B7"/>
    <w:rsid w:val="00187CB3"/>
    <w:rsid w:val="0019050A"/>
    <w:rsid w:val="001910D4"/>
    <w:rsid w:val="00194E81"/>
    <w:rsid w:val="001976E3"/>
    <w:rsid w:val="001A1F96"/>
    <w:rsid w:val="001A3974"/>
    <w:rsid w:val="001A44EC"/>
    <w:rsid w:val="001B1781"/>
    <w:rsid w:val="001B28D9"/>
    <w:rsid w:val="001B58AA"/>
    <w:rsid w:val="001B7E48"/>
    <w:rsid w:val="001C17CE"/>
    <w:rsid w:val="001C36CA"/>
    <w:rsid w:val="001C396B"/>
    <w:rsid w:val="001C44D1"/>
    <w:rsid w:val="001C6AEE"/>
    <w:rsid w:val="001C6EB6"/>
    <w:rsid w:val="001C7630"/>
    <w:rsid w:val="001D4DD0"/>
    <w:rsid w:val="001D6D15"/>
    <w:rsid w:val="001F45C5"/>
    <w:rsid w:val="001F7558"/>
    <w:rsid w:val="00201BF0"/>
    <w:rsid w:val="00205B57"/>
    <w:rsid w:val="00205D56"/>
    <w:rsid w:val="002157E0"/>
    <w:rsid w:val="00216A57"/>
    <w:rsid w:val="00217448"/>
    <w:rsid w:val="0022334F"/>
    <w:rsid w:val="00226819"/>
    <w:rsid w:val="00233101"/>
    <w:rsid w:val="00233817"/>
    <w:rsid w:val="002367FF"/>
    <w:rsid w:val="002375FD"/>
    <w:rsid w:val="00240CE9"/>
    <w:rsid w:val="002434BA"/>
    <w:rsid w:val="00246089"/>
    <w:rsid w:val="00246093"/>
    <w:rsid w:val="00246702"/>
    <w:rsid w:val="00247953"/>
    <w:rsid w:val="00247C59"/>
    <w:rsid w:val="00247F2E"/>
    <w:rsid w:val="00250ADC"/>
    <w:rsid w:val="00250B07"/>
    <w:rsid w:val="00257553"/>
    <w:rsid w:val="00260FB2"/>
    <w:rsid w:val="00262128"/>
    <w:rsid w:val="00270240"/>
    <w:rsid w:val="0027165D"/>
    <w:rsid w:val="00273CEB"/>
    <w:rsid w:val="002753AE"/>
    <w:rsid w:val="00281C89"/>
    <w:rsid w:val="0028282F"/>
    <w:rsid w:val="00284A74"/>
    <w:rsid w:val="00284D33"/>
    <w:rsid w:val="0029593B"/>
    <w:rsid w:val="00297FC5"/>
    <w:rsid w:val="002A0417"/>
    <w:rsid w:val="002A16D8"/>
    <w:rsid w:val="002A1BC8"/>
    <w:rsid w:val="002A3EF2"/>
    <w:rsid w:val="002A6301"/>
    <w:rsid w:val="002B0DED"/>
    <w:rsid w:val="002B19A2"/>
    <w:rsid w:val="002B381A"/>
    <w:rsid w:val="002B4FCC"/>
    <w:rsid w:val="002B7408"/>
    <w:rsid w:val="002B790E"/>
    <w:rsid w:val="002B7CFD"/>
    <w:rsid w:val="002C210F"/>
    <w:rsid w:val="002C2EFE"/>
    <w:rsid w:val="002D023B"/>
    <w:rsid w:val="002D3600"/>
    <w:rsid w:val="002E4DDC"/>
    <w:rsid w:val="002E6D29"/>
    <w:rsid w:val="00302480"/>
    <w:rsid w:val="00302758"/>
    <w:rsid w:val="003125DD"/>
    <w:rsid w:val="003165E6"/>
    <w:rsid w:val="003215B5"/>
    <w:rsid w:val="003221CF"/>
    <w:rsid w:val="003233ED"/>
    <w:rsid w:val="00324D9F"/>
    <w:rsid w:val="00327948"/>
    <w:rsid w:val="0033000F"/>
    <w:rsid w:val="00330172"/>
    <w:rsid w:val="00332011"/>
    <w:rsid w:val="00332518"/>
    <w:rsid w:val="00332925"/>
    <w:rsid w:val="003332ED"/>
    <w:rsid w:val="003368DC"/>
    <w:rsid w:val="003413AA"/>
    <w:rsid w:val="00345927"/>
    <w:rsid w:val="00350584"/>
    <w:rsid w:val="00351857"/>
    <w:rsid w:val="003545E8"/>
    <w:rsid w:val="003610E1"/>
    <w:rsid w:val="003671BE"/>
    <w:rsid w:val="00370998"/>
    <w:rsid w:val="00372485"/>
    <w:rsid w:val="00373200"/>
    <w:rsid w:val="00375EF5"/>
    <w:rsid w:val="003767A5"/>
    <w:rsid w:val="003779F4"/>
    <w:rsid w:val="00381D15"/>
    <w:rsid w:val="00385254"/>
    <w:rsid w:val="00397BB7"/>
    <w:rsid w:val="003A04DB"/>
    <w:rsid w:val="003A5F5B"/>
    <w:rsid w:val="003A789A"/>
    <w:rsid w:val="003B12EC"/>
    <w:rsid w:val="003C641B"/>
    <w:rsid w:val="003C77E0"/>
    <w:rsid w:val="003D17D7"/>
    <w:rsid w:val="003D2678"/>
    <w:rsid w:val="003D6691"/>
    <w:rsid w:val="003D71A3"/>
    <w:rsid w:val="003E2B8A"/>
    <w:rsid w:val="003E2D12"/>
    <w:rsid w:val="003E5A6F"/>
    <w:rsid w:val="003F10EE"/>
    <w:rsid w:val="003F16F6"/>
    <w:rsid w:val="003F4DC7"/>
    <w:rsid w:val="003F5235"/>
    <w:rsid w:val="004027E4"/>
    <w:rsid w:val="0041071D"/>
    <w:rsid w:val="00414AD2"/>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1C5"/>
    <w:rsid w:val="0045124D"/>
    <w:rsid w:val="00454596"/>
    <w:rsid w:val="0045605D"/>
    <w:rsid w:val="0046135B"/>
    <w:rsid w:val="00461D47"/>
    <w:rsid w:val="00462063"/>
    <w:rsid w:val="004718CC"/>
    <w:rsid w:val="00473F09"/>
    <w:rsid w:val="00480D67"/>
    <w:rsid w:val="00481695"/>
    <w:rsid w:val="00483E93"/>
    <w:rsid w:val="00492099"/>
    <w:rsid w:val="00495A96"/>
    <w:rsid w:val="00495BB3"/>
    <w:rsid w:val="004962DC"/>
    <w:rsid w:val="004A56BB"/>
    <w:rsid w:val="004A70D6"/>
    <w:rsid w:val="004B1751"/>
    <w:rsid w:val="004B2BF2"/>
    <w:rsid w:val="004B549B"/>
    <w:rsid w:val="004C0253"/>
    <w:rsid w:val="004C18FC"/>
    <w:rsid w:val="004D56FF"/>
    <w:rsid w:val="004E0FEF"/>
    <w:rsid w:val="004E1E01"/>
    <w:rsid w:val="004E39D3"/>
    <w:rsid w:val="004E508A"/>
    <w:rsid w:val="004E616D"/>
    <w:rsid w:val="004F1BDE"/>
    <w:rsid w:val="004F2CEE"/>
    <w:rsid w:val="004F556E"/>
    <w:rsid w:val="004F591C"/>
    <w:rsid w:val="004F59E4"/>
    <w:rsid w:val="004F7F44"/>
    <w:rsid w:val="005037B4"/>
    <w:rsid w:val="005079BF"/>
    <w:rsid w:val="0051269A"/>
    <w:rsid w:val="005144FA"/>
    <w:rsid w:val="00514D3C"/>
    <w:rsid w:val="00521421"/>
    <w:rsid w:val="005219E7"/>
    <w:rsid w:val="00521ED4"/>
    <w:rsid w:val="00525B37"/>
    <w:rsid w:val="00531B9A"/>
    <w:rsid w:val="00531D15"/>
    <w:rsid w:val="00537604"/>
    <w:rsid w:val="00540F7E"/>
    <w:rsid w:val="005420BA"/>
    <w:rsid w:val="00542377"/>
    <w:rsid w:val="0054384E"/>
    <w:rsid w:val="005476EB"/>
    <w:rsid w:val="00551782"/>
    <w:rsid w:val="00563EF1"/>
    <w:rsid w:val="00566AB4"/>
    <w:rsid w:val="00575AC5"/>
    <w:rsid w:val="0057605D"/>
    <w:rsid w:val="00581347"/>
    <w:rsid w:val="00581AC9"/>
    <w:rsid w:val="005849F8"/>
    <w:rsid w:val="005938DF"/>
    <w:rsid w:val="00594E9C"/>
    <w:rsid w:val="00595758"/>
    <w:rsid w:val="005A099B"/>
    <w:rsid w:val="005A2D9C"/>
    <w:rsid w:val="005A55FE"/>
    <w:rsid w:val="005A6A11"/>
    <w:rsid w:val="005B3E01"/>
    <w:rsid w:val="005C2047"/>
    <w:rsid w:val="005D2502"/>
    <w:rsid w:val="005D40BB"/>
    <w:rsid w:val="005D47F3"/>
    <w:rsid w:val="005D49BF"/>
    <w:rsid w:val="005D4AA5"/>
    <w:rsid w:val="005D6F4E"/>
    <w:rsid w:val="005D7C73"/>
    <w:rsid w:val="005E250B"/>
    <w:rsid w:val="005E3ACD"/>
    <w:rsid w:val="005E7226"/>
    <w:rsid w:val="005E7A57"/>
    <w:rsid w:val="005F24B0"/>
    <w:rsid w:val="005F32A0"/>
    <w:rsid w:val="00601B57"/>
    <w:rsid w:val="00604315"/>
    <w:rsid w:val="00604E26"/>
    <w:rsid w:val="0060523F"/>
    <w:rsid w:val="006052CF"/>
    <w:rsid w:val="00607B8D"/>
    <w:rsid w:val="00611F5C"/>
    <w:rsid w:val="00615C5C"/>
    <w:rsid w:val="00616E09"/>
    <w:rsid w:val="00622A3B"/>
    <w:rsid w:val="00622EEA"/>
    <w:rsid w:val="0062396C"/>
    <w:rsid w:val="00623FF9"/>
    <w:rsid w:val="006277FF"/>
    <w:rsid w:val="00627D4E"/>
    <w:rsid w:val="006309F2"/>
    <w:rsid w:val="00632B89"/>
    <w:rsid w:val="0063333B"/>
    <w:rsid w:val="0063346D"/>
    <w:rsid w:val="00634478"/>
    <w:rsid w:val="006429D2"/>
    <w:rsid w:val="00644373"/>
    <w:rsid w:val="006447B7"/>
    <w:rsid w:val="00645915"/>
    <w:rsid w:val="00645C13"/>
    <w:rsid w:val="006519C3"/>
    <w:rsid w:val="00652B30"/>
    <w:rsid w:val="00653EDD"/>
    <w:rsid w:val="00656345"/>
    <w:rsid w:val="00656DC6"/>
    <w:rsid w:val="00660EC6"/>
    <w:rsid w:val="00664110"/>
    <w:rsid w:val="00664D17"/>
    <w:rsid w:val="006651C6"/>
    <w:rsid w:val="00666520"/>
    <w:rsid w:val="00667C5B"/>
    <w:rsid w:val="00677916"/>
    <w:rsid w:val="006849F1"/>
    <w:rsid w:val="00691EB8"/>
    <w:rsid w:val="00692CDE"/>
    <w:rsid w:val="00693073"/>
    <w:rsid w:val="0069673F"/>
    <w:rsid w:val="006977FF"/>
    <w:rsid w:val="006A01FA"/>
    <w:rsid w:val="006A0E9E"/>
    <w:rsid w:val="006A10C3"/>
    <w:rsid w:val="006A25AB"/>
    <w:rsid w:val="006A25C7"/>
    <w:rsid w:val="006A4AAD"/>
    <w:rsid w:val="006A6DA2"/>
    <w:rsid w:val="006A7AB2"/>
    <w:rsid w:val="006B52DE"/>
    <w:rsid w:val="006B56BB"/>
    <w:rsid w:val="006B5717"/>
    <w:rsid w:val="006B582F"/>
    <w:rsid w:val="006B5EB2"/>
    <w:rsid w:val="006B6A24"/>
    <w:rsid w:val="006C0CEB"/>
    <w:rsid w:val="006C1631"/>
    <w:rsid w:val="006C3B1E"/>
    <w:rsid w:val="006C47FD"/>
    <w:rsid w:val="006C5C19"/>
    <w:rsid w:val="006C70A0"/>
    <w:rsid w:val="006D27CB"/>
    <w:rsid w:val="006D2F08"/>
    <w:rsid w:val="006D576C"/>
    <w:rsid w:val="006D5865"/>
    <w:rsid w:val="006E3EAC"/>
    <w:rsid w:val="006E4B1B"/>
    <w:rsid w:val="006E5445"/>
    <w:rsid w:val="006E7D93"/>
    <w:rsid w:val="006F04BB"/>
    <w:rsid w:val="007029A3"/>
    <w:rsid w:val="00702EA1"/>
    <w:rsid w:val="00704041"/>
    <w:rsid w:val="00706E4E"/>
    <w:rsid w:val="00706FD4"/>
    <w:rsid w:val="0070791C"/>
    <w:rsid w:val="0071383C"/>
    <w:rsid w:val="007141A7"/>
    <w:rsid w:val="007152CD"/>
    <w:rsid w:val="00715722"/>
    <w:rsid w:val="00721032"/>
    <w:rsid w:val="00721B55"/>
    <w:rsid w:val="00726CE4"/>
    <w:rsid w:val="00727D33"/>
    <w:rsid w:val="00734143"/>
    <w:rsid w:val="00737E47"/>
    <w:rsid w:val="00740EAC"/>
    <w:rsid w:val="00744956"/>
    <w:rsid w:val="00745A5C"/>
    <w:rsid w:val="0074605F"/>
    <w:rsid w:val="00747E94"/>
    <w:rsid w:val="007537E7"/>
    <w:rsid w:val="00754C83"/>
    <w:rsid w:val="007576DE"/>
    <w:rsid w:val="00761E5C"/>
    <w:rsid w:val="00765DF8"/>
    <w:rsid w:val="00766749"/>
    <w:rsid w:val="00767C1B"/>
    <w:rsid w:val="007714A9"/>
    <w:rsid w:val="00774F88"/>
    <w:rsid w:val="00774FDB"/>
    <w:rsid w:val="007775FC"/>
    <w:rsid w:val="00777BA2"/>
    <w:rsid w:val="00781408"/>
    <w:rsid w:val="00784F7F"/>
    <w:rsid w:val="007878BD"/>
    <w:rsid w:val="0079090B"/>
    <w:rsid w:val="00796F25"/>
    <w:rsid w:val="007A2E98"/>
    <w:rsid w:val="007A3BA3"/>
    <w:rsid w:val="007A6CC0"/>
    <w:rsid w:val="007A7FEC"/>
    <w:rsid w:val="007B1499"/>
    <w:rsid w:val="007B1BBF"/>
    <w:rsid w:val="007B2960"/>
    <w:rsid w:val="007B355D"/>
    <w:rsid w:val="007B5862"/>
    <w:rsid w:val="007B7980"/>
    <w:rsid w:val="007C0DEF"/>
    <w:rsid w:val="007C107F"/>
    <w:rsid w:val="007C4488"/>
    <w:rsid w:val="007C5D5A"/>
    <w:rsid w:val="007C607F"/>
    <w:rsid w:val="007C6E44"/>
    <w:rsid w:val="007C79DD"/>
    <w:rsid w:val="007D1A97"/>
    <w:rsid w:val="007D2CD6"/>
    <w:rsid w:val="007D3063"/>
    <w:rsid w:val="007D3CEB"/>
    <w:rsid w:val="007D7E11"/>
    <w:rsid w:val="007E3375"/>
    <w:rsid w:val="007E5E7B"/>
    <w:rsid w:val="007E7683"/>
    <w:rsid w:val="007F49FA"/>
    <w:rsid w:val="007F54C4"/>
    <w:rsid w:val="007F6E9A"/>
    <w:rsid w:val="00800CCD"/>
    <w:rsid w:val="008044D4"/>
    <w:rsid w:val="00810AB4"/>
    <w:rsid w:val="00811E86"/>
    <w:rsid w:val="00817B56"/>
    <w:rsid w:val="00821A88"/>
    <w:rsid w:val="0082495D"/>
    <w:rsid w:val="00831AC3"/>
    <w:rsid w:val="00832A93"/>
    <w:rsid w:val="00833826"/>
    <w:rsid w:val="008360CC"/>
    <w:rsid w:val="00836FCE"/>
    <w:rsid w:val="008408FF"/>
    <w:rsid w:val="00851F3F"/>
    <w:rsid w:val="0085618F"/>
    <w:rsid w:val="00856EDC"/>
    <w:rsid w:val="008623B5"/>
    <w:rsid w:val="00862B00"/>
    <w:rsid w:val="0086530D"/>
    <w:rsid w:val="00870ABA"/>
    <w:rsid w:val="008710E1"/>
    <w:rsid w:val="008716E5"/>
    <w:rsid w:val="008747EC"/>
    <w:rsid w:val="0088000A"/>
    <w:rsid w:val="00881CA9"/>
    <w:rsid w:val="00883628"/>
    <w:rsid w:val="00885544"/>
    <w:rsid w:val="0088634E"/>
    <w:rsid w:val="00893AB8"/>
    <w:rsid w:val="008A04C8"/>
    <w:rsid w:val="008A6913"/>
    <w:rsid w:val="008B70F3"/>
    <w:rsid w:val="008B71C4"/>
    <w:rsid w:val="008B76DF"/>
    <w:rsid w:val="008C10F4"/>
    <w:rsid w:val="008C65F7"/>
    <w:rsid w:val="008D0271"/>
    <w:rsid w:val="008D58DF"/>
    <w:rsid w:val="008E4767"/>
    <w:rsid w:val="008E7A8C"/>
    <w:rsid w:val="0090203B"/>
    <w:rsid w:val="00903285"/>
    <w:rsid w:val="00906F40"/>
    <w:rsid w:val="0090731E"/>
    <w:rsid w:val="00915B1C"/>
    <w:rsid w:val="009174F3"/>
    <w:rsid w:val="0091797D"/>
    <w:rsid w:val="009227C6"/>
    <w:rsid w:val="00923CBA"/>
    <w:rsid w:val="009242EB"/>
    <w:rsid w:val="00926703"/>
    <w:rsid w:val="00927691"/>
    <w:rsid w:val="00927A5F"/>
    <w:rsid w:val="00930510"/>
    <w:rsid w:val="00933AF4"/>
    <w:rsid w:val="00935B63"/>
    <w:rsid w:val="0094078F"/>
    <w:rsid w:val="00940FA3"/>
    <w:rsid w:val="00941FB0"/>
    <w:rsid w:val="009426D4"/>
    <w:rsid w:val="00947F25"/>
    <w:rsid w:val="00950159"/>
    <w:rsid w:val="0095490B"/>
    <w:rsid w:val="00960A33"/>
    <w:rsid w:val="00971914"/>
    <w:rsid w:val="00974363"/>
    <w:rsid w:val="00981898"/>
    <w:rsid w:val="0099577C"/>
    <w:rsid w:val="00997DBC"/>
    <w:rsid w:val="009B24A5"/>
    <w:rsid w:val="009B2601"/>
    <w:rsid w:val="009B4E9E"/>
    <w:rsid w:val="009C1690"/>
    <w:rsid w:val="009C65F1"/>
    <w:rsid w:val="009C6881"/>
    <w:rsid w:val="009C7759"/>
    <w:rsid w:val="009D043D"/>
    <w:rsid w:val="009D062C"/>
    <w:rsid w:val="009D07C8"/>
    <w:rsid w:val="009D1D05"/>
    <w:rsid w:val="009D66ED"/>
    <w:rsid w:val="009D6C71"/>
    <w:rsid w:val="009E0631"/>
    <w:rsid w:val="009E16D0"/>
    <w:rsid w:val="009E1961"/>
    <w:rsid w:val="009E2051"/>
    <w:rsid w:val="009E38FD"/>
    <w:rsid w:val="009E4CEE"/>
    <w:rsid w:val="009F13D6"/>
    <w:rsid w:val="009F4C6B"/>
    <w:rsid w:val="009F78A8"/>
    <w:rsid w:val="00A02AD6"/>
    <w:rsid w:val="00A06846"/>
    <w:rsid w:val="00A07096"/>
    <w:rsid w:val="00A07318"/>
    <w:rsid w:val="00A11370"/>
    <w:rsid w:val="00A17B1B"/>
    <w:rsid w:val="00A224CE"/>
    <w:rsid w:val="00A22522"/>
    <w:rsid w:val="00A2440D"/>
    <w:rsid w:val="00A24882"/>
    <w:rsid w:val="00A24AFD"/>
    <w:rsid w:val="00A24F5C"/>
    <w:rsid w:val="00A32F96"/>
    <w:rsid w:val="00A40871"/>
    <w:rsid w:val="00A412AB"/>
    <w:rsid w:val="00A4193E"/>
    <w:rsid w:val="00A440E0"/>
    <w:rsid w:val="00A442EF"/>
    <w:rsid w:val="00A51D1A"/>
    <w:rsid w:val="00A5418D"/>
    <w:rsid w:val="00A5474E"/>
    <w:rsid w:val="00A55AAD"/>
    <w:rsid w:val="00A56D47"/>
    <w:rsid w:val="00A64234"/>
    <w:rsid w:val="00A70ADF"/>
    <w:rsid w:val="00A71466"/>
    <w:rsid w:val="00A7276D"/>
    <w:rsid w:val="00A74B5E"/>
    <w:rsid w:val="00A81BED"/>
    <w:rsid w:val="00A81EC4"/>
    <w:rsid w:val="00A824E8"/>
    <w:rsid w:val="00A9541F"/>
    <w:rsid w:val="00A967FD"/>
    <w:rsid w:val="00AA2228"/>
    <w:rsid w:val="00AA2DE5"/>
    <w:rsid w:val="00AA6625"/>
    <w:rsid w:val="00AB156C"/>
    <w:rsid w:val="00AB5A0D"/>
    <w:rsid w:val="00AB6814"/>
    <w:rsid w:val="00AC04BA"/>
    <w:rsid w:val="00AC0E39"/>
    <w:rsid w:val="00AC6020"/>
    <w:rsid w:val="00AD3082"/>
    <w:rsid w:val="00AD32B4"/>
    <w:rsid w:val="00AD4AD0"/>
    <w:rsid w:val="00AD5436"/>
    <w:rsid w:val="00AD5C7B"/>
    <w:rsid w:val="00AD60CD"/>
    <w:rsid w:val="00AD6C8C"/>
    <w:rsid w:val="00AE091D"/>
    <w:rsid w:val="00AE3B60"/>
    <w:rsid w:val="00AE53A1"/>
    <w:rsid w:val="00AF07F8"/>
    <w:rsid w:val="00AF2484"/>
    <w:rsid w:val="00AF63E7"/>
    <w:rsid w:val="00AF6E17"/>
    <w:rsid w:val="00B0165D"/>
    <w:rsid w:val="00B01B60"/>
    <w:rsid w:val="00B031F3"/>
    <w:rsid w:val="00B052A4"/>
    <w:rsid w:val="00B125DE"/>
    <w:rsid w:val="00B13FDD"/>
    <w:rsid w:val="00B1674C"/>
    <w:rsid w:val="00B22EB2"/>
    <w:rsid w:val="00B27442"/>
    <w:rsid w:val="00B31167"/>
    <w:rsid w:val="00B32038"/>
    <w:rsid w:val="00B329D8"/>
    <w:rsid w:val="00B32BB9"/>
    <w:rsid w:val="00B33AE1"/>
    <w:rsid w:val="00B37C38"/>
    <w:rsid w:val="00B4288C"/>
    <w:rsid w:val="00B43262"/>
    <w:rsid w:val="00B44100"/>
    <w:rsid w:val="00B46CBA"/>
    <w:rsid w:val="00B46F94"/>
    <w:rsid w:val="00B6003C"/>
    <w:rsid w:val="00B61F03"/>
    <w:rsid w:val="00B626E4"/>
    <w:rsid w:val="00B72F4A"/>
    <w:rsid w:val="00B80E98"/>
    <w:rsid w:val="00B83C27"/>
    <w:rsid w:val="00B84B29"/>
    <w:rsid w:val="00B84BC3"/>
    <w:rsid w:val="00B84BDD"/>
    <w:rsid w:val="00B92812"/>
    <w:rsid w:val="00BB10B9"/>
    <w:rsid w:val="00BB45A1"/>
    <w:rsid w:val="00BB7686"/>
    <w:rsid w:val="00BC23F9"/>
    <w:rsid w:val="00BC3421"/>
    <w:rsid w:val="00BC3E7E"/>
    <w:rsid w:val="00BC732C"/>
    <w:rsid w:val="00BD26E9"/>
    <w:rsid w:val="00BD4421"/>
    <w:rsid w:val="00BD7249"/>
    <w:rsid w:val="00BE2580"/>
    <w:rsid w:val="00BE266D"/>
    <w:rsid w:val="00BE35CB"/>
    <w:rsid w:val="00BE3938"/>
    <w:rsid w:val="00BE4C11"/>
    <w:rsid w:val="00BE6805"/>
    <w:rsid w:val="00BE71C0"/>
    <w:rsid w:val="00BF610C"/>
    <w:rsid w:val="00C0060B"/>
    <w:rsid w:val="00C01A6C"/>
    <w:rsid w:val="00C0277D"/>
    <w:rsid w:val="00C053A1"/>
    <w:rsid w:val="00C15E34"/>
    <w:rsid w:val="00C16121"/>
    <w:rsid w:val="00C16198"/>
    <w:rsid w:val="00C201A8"/>
    <w:rsid w:val="00C2083D"/>
    <w:rsid w:val="00C24A53"/>
    <w:rsid w:val="00C336B7"/>
    <w:rsid w:val="00C34A05"/>
    <w:rsid w:val="00C35CCE"/>
    <w:rsid w:val="00C4032F"/>
    <w:rsid w:val="00C4347B"/>
    <w:rsid w:val="00C44047"/>
    <w:rsid w:val="00C45155"/>
    <w:rsid w:val="00C5498F"/>
    <w:rsid w:val="00C55235"/>
    <w:rsid w:val="00C64CD0"/>
    <w:rsid w:val="00C6684F"/>
    <w:rsid w:val="00C67812"/>
    <w:rsid w:val="00C70E70"/>
    <w:rsid w:val="00C72B50"/>
    <w:rsid w:val="00C759C9"/>
    <w:rsid w:val="00C75F8D"/>
    <w:rsid w:val="00C77380"/>
    <w:rsid w:val="00C82940"/>
    <w:rsid w:val="00C87E8A"/>
    <w:rsid w:val="00C97736"/>
    <w:rsid w:val="00CA345A"/>
    <w:rsid w:val="00CB1E82"/>
    <w:rsid w:val="00CB4BA8"/>
    <w:rsid w:val="00CB52D7"/>
    <w:rsid w:val="00CB7CD1"/>
    <w:rsid w:val="00CC6732"/>
    <w:rsid w:val="00CD1A1E"/>
    <w:rsid w:val="00CD2FF5"/>
    <w:rsid w:val="00CD505E"/>
    <w:rsid w:val="00CE0BB5"/>
    <w:rsid w:val="00CE3C96"/>
    <w:rsid w:val="00CE51A8"/>
    <w:rsid w:val="00CF369B"/>
    <w:rsid w:val="00D00E28"/>
    <w:rsid w:val="00D0269E"/>
    <w:rsid w:val="00D05D6C"/>
    <w:rsid w:val="00D153B2"/>
    <w:rsid w:val="00D15810"/>
    <w:rsid w:val="00D16D4E"/>
    <w:rsid w:val="00D16FE3"/>
    <w:rsid w:val="00D27580"/>
    <w:rsid w:val="00D27F41"/>
    <w:rsid w:val="00D36441"/>
    <w:rsid w:val="00D37ABF"/>
    <w:rsid w:val="00D4064E"/>
    <w:rsid w:val="00D414E9"/>
    <w:rsid w:val="00D42EF0"/>
    <w:rsid w:val="00D44E9B"/>
    <w:rsid w:val="00D45FD2"/>
    <w:rsid w:val="00D47AEB"/>
    <w:rsid w:val="00D50DB9"/>
    <w:rsid w:val="00D51302"/>
    <w:rsid w:val="00D52C43"/>
    <w:rsid w:val="00D6507F"/>
    <w:rsid w:val="00D66875"/>
    <w:rsid w:val="00D668E2"/>
    <w:rsid w:val="00D730BC"/>
    <w:rsid w:val="00D73912"/>
    <w:rsid w:val="00D85226"/>
    <w:rsid w:val="00D87B94"/>
    <w:rsid w:val="00D92D49"/>
    <w:rsid w:val="00D92EC1"/>
    <w:rsid w:val="00D96DEA"/>
    <w:rsid w:val="00DA4E41"/>
    <w:rsid w:val="00DB117A"/>
    <w:rsid w:val="00DB3A64"/>
    <w:rsid w:val="00DB4FDC"/>
    <w:rsid w:val="00DB5173"/>
    <w:rsid w:val="00DB7873"/>
    <w:rsid w:val="00DC187B"/>
    <w:rsid w:val="00DC73C0"/>
    <w:rsid w:val="00DC7DEF"/>
    <w:rsid w:val="00DD0072"/>
    <w:rsid w:val="00DD1A43"/>
    <w:rsid w:val="00DD73C2"/>
    <w:rsid w:val="00DE319B"/>
    <w:rsid w:val="00DF0799"/>
    <w:rsid w:val="00DF2237"/>
    <w:rsid w:val="00DF34FE"/>
    <w:rsid w:val="00DF56AA"/>
    <w:rsid w:val="00DF56AF"/>
    <w:rsid w:val="00DF78E7"/>
    <w:rsid w:val="00E110E0"/>
    <w:rsid w:val="00E15371"/>
    <w:rsid w:val="00E23372"/>
    <w:rsid w:val="00E24104"/>
    <w:rsid w:val="00E302D0"/>
    <w:rsid w:val="00E35707"/>
    <w:rsid w:val="00E36AA1"/>
    <w:rsid w:val="00E41ECB"/>
    <w:rsid w:val="00E42676"/>
    <w:rsid w:val="00E54FDB"/>
    <w:rsid w:val="00E5617D"/>
    <w:rsid w:val="00E563D7"/>
    <w:rsid w:val="00E611D8"/>
    <w:rsid w:val="00E663F4"/>
    <w:rsid w:val="00E666F2"/>
    <w:rsid w:val="00E66DD4"/>
    <w:rsid w:val="00E726FD"/>
    <w:rsid w:val="00E748CC"/>
    <w:rsid w:val="00E75078"/>
    <w:rsid w:val="00E75415"/>
    <w:rsid w:val="00E775B1"/>
    <w:rsid w:val="00E8152A"/>
    <w:rsid w:val="00E90C33"/>
    <w:rsid w:val="00E93629"/>
    <w:rsid w:val="00E93B5C"/>
    <w:rsid w:val="00E94CEC"/>
    <w:rsid w:val="00EA04EF"/>
    <w:rsid w:val="00EA28D2"/>
    <w:rsid w:val="00EA4B48"/>
    <w:rsid w:val="00EA6F19"/>
    <w:rsid w:val="00EB7090"/>
    <w:rsid w:val="00EC1BBE"/>
    <w:rsid w:val="00EC2B68"/>
    <w:rsid w:val="00EC3AEF"/>
    <w:rsid w:val="00EC5CD7"/>
    <w:rsid w:val="00EE5FB3"/>
    <w:rsid w:val="00EE7488"/>
    <w:rsid w:val="00EE7F79"/>
    <w:rsid w:val="00EF318E"/>
    <w:rsid w:val="00EF715A"/>
    <w:rsid w:val="00F01BC3"/>
    <w:rsid w:val="00F04366"/>
    <w:rsid w:val="00F06E14"/>
    <w:rsid w:val="00F179D4"/>
    <w:rsid w:val="00F33C56"/>
    <w:rsid w:val="00F347C7"/>
    <w:rsid w:val="00F34848"/>
    <w:rsid w:val="00F42D46"/>
    <w:rsid w:val="00F4496C"/>
    <w:rsid w:val="00F44F3A"/>
    <w:rsid w:val="00F45DD5"/>
    <w:rsid w:val="00F51F10"/>
    <w:rsid w:val="00F529A5"/>
    <w:rsid w:val="00F60F00"/>
    <w:rsid w:val="00F614C0"/>
    <w:rsid w:val="00F61C77"/>
    <w:rsid w:val="00F83848"/>
    <w:rsid w:val="00F968E2"/>
    <w:rsid w:val="00F975E9"/>
    <w:rsid w:val="00FA1B7D"/>
    <w:rsid w:val="00FC07B9"/>
    <w:rsid w:val="00FC4E21"/>
    <w:rsid w:val="00FC5F6D"/>
    <w:rsid w:val="00FD0107"/>
    <w:rsid w:val="00FD2C2F"/>
    <w:rsid w:val="00FD3B31"/>
    <w:rsid w:val="00FE1823"/>
    <w:rsid w:val="00FE487A"/>
    <w:rsid w:val="00FF0569"/>
    <w:rsid w:val="00FF206E"/>
    <w:rsid w:val="00FF2DA5"/>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7659D5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CE0BB5"/>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A17B1B"/>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styleId="ListParagraph">
    <w:name w:val="List Paragraph"/>
    <w:aliases w:val="NFP GP Bulleted List,List Paragraph1,Recommendation,ACMA_ListParagraph,List Paragraph11,bullet point list,L,CV text,Dot pt,F5 List Paragraph,No Spacing1,List Paragraph Char Char Char,Indicator Text,Numbered Para 1,List Paragraph12"/>
    <w:basedOn w:val="Normal"/>
    <w:link w:val="ListParagraphChar"/>
    <w:uiPriority w:val="34"/>
    <w:qFormat/>
    <w:rsid w:val="00D668E2"/>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ListParagraphChar">
    <w:name w:val="List Paragraph Char"/>
    <w:aliases w:val="NFP GP Bulleted List Char,List Paragraph1 Char,Recommendation Char,ACMA_ListParagraph Char,List Paragraph11 Char,bullet point list Char,L Char,CV text Char,Dot pt Char,F5 List Paragraph Char,No Spacing1 Char,Indicator Text Char"/>
    <w:basedOn w:val="DefaultParagraphFont"/>
    <w:link w:val="ListParagraph"/>
    <w:uiPriority w:val="34"/>
    <w:locked/>
    <w:rsid w:val="00D668E2"/>
    <w:rPr>
      <w:rFonts w:asciiTheme="minorHAnsi" w:eastAsiaTheme="minorHAnsi" w:hAnsiTheme="minorHAnsi" w:cstheme="minorBidi"/>
      <w:sz w:val="22"/>
      <w:szCs w:val="22"/>
      <w:lang w:eastAsia="en-US"/>
    </w:rPr>
  </w:style>
  <w:style w:type="character" w:customStyle="1" w:styleId="normaltextrun">
    <w:name w:val="normaltextrun"/>
    <w:basedOn w:val="DefaultParagraphFont"/>
    <w:rsid w:val="00EA4B48"/>
  </w:style>
  <w:style w:type="character" w:customStyle="1" w:styleId="eop">
    <w:name w:val="eop"/>
    <w:basedOn w:val="DefaultParagraphFont"/>
    <w:rsid w:val="00EA4B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803040705">
      <w:bodyDiv w:val="1"/>
      <w:marLeft w:val="0"/>
      <w:marRight w:val="0"/>
      <w:marTop w:val="0"/>
      <w:marBottom w:val="0"/>
      <w:divBdr>
        <w:top w:val="none" w:sz="0" w:space="0" w:color="auto"/>
        <w:left w:val="none" w:sz="0" w:space="0" w:color="auto"/>
        <w:bottom w:val="none" w:sz="0" w:space="0" w:color="auto"/>
        <w:right w:val="none" w:sz="0" w:space="0" w:color="auto"/>
      </w:divBdr>
    </w:div>
    <w:div w:id="1278564896">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96401980">
      <w:bodyDiv w:val="1"/>
      <w:marLeft w:val="0"/>
      <w:marRight w:val="0"/>
      <w:marTop w:val="0"/>
      <w:marBottom w:val="0"/>
      <w:divBdr>
        <w:top w:val="none" w:sz="0" w:space="0" w:color="auto"/>
        <w:left w:val="none" w:sz="0" w:space="0" w:color="auto"/>
        <w:bottom w:val="none" w:sz="0" w:space="0" w:color="auto"/>
        <w:right w:val="none" w:sz="0" w:space="0" w:color="auto"/>
      </w:divBdr>
    </w:div>
    <w:div w:id="1776634781">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legislation.gov.au/Series/F2015L00210"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publications/2020-10/guide/lpon-use-it-or-lose-it-conditions" TargetMode="External"/><Relationship Id="rId33"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Series/F2015L00210" TargetMode="External"/><Relationship Id="rId32"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image" Target="media/image4.png"/><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Details/F2006B00135" TargetMode="External"/><Relationship Id="rId30" Type="http://schemas.openxmlformats.org/officeDocument/2006/relationships/header" Target="header7.xml"/><Relationship Id="rId35" Type="http://schemas.openxmlformats.org/officeDocument/2006/relationships/theme" Target="theme/theme1.xml"/><Relationship Id="rId8"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1318</Words>
  <Characters>7345</Characters>
  <Application>Microsoft Office Word</Application>
  <DocSecurity>0</DocSecurity>
  <Lines>183</Lines>
  <Paragraphs>105</Paragraphs>
  <ScaleCrop>false</ScaleCrop>
  <Manager/>
  <Company/>
  <LinksUpToDate>false</LinksUpToDate>
  <CharactersWithSpaces>8558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2022-12-15T00:04:00Z</dcterms:created>
  <dcterms:modified xsi:type="dcterms:W3CDTF">2022-12-15T00:07:00Z</dcterms:modified>
  <cp:category/>
</cp:coreProperties>
</file>