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9267D" w14:textId="415E8D93" w:rsidR="000D26AE" w:rsidRPr="00FB063F" w:rsidRDefault="000D26AE" w:rsidP="00A83C6F">
      <w:pPr>
        <w:pStyle w:val="Reporttitle"/>
        <w:rPr>
          <w:b w:val="0"/>
          <w:bCs/>
        </w:rPr>
      </w:pPr>
      <w:bookmarkStart w:id="0" w:name="_Hlk116836210"/>
      <w:r w:rsidRPr="00FB063F">
        <w:rPr>
          <w:b w:val="0"/>
          <w:bCs/>
        </w:rPr>
        <w:t>Automatic sunsetting of legislative instrument</w:t>
      </w:r>
      <w:r w:rsidR="007D04D7" w:rsidRPr="00FB063F">
        <w:rPr>
          <w:b w:val="0"/>
          <w:bCs/>
        </w:rPr>
        <w:t>s</w:t>
      </w:r>
      <w:r w:rsidRPr="00FB063F">
        <w:rPr>
          <w:b w:val="0"/>
          <w:bCs/>
        </w:rPr>
        <w:t xml:space="preserve"> </w:t>
      </w:r>
    </w:p>
    <w:p w14:paraId="7F856345" w14:textId="0FDDE8DD" w:rsidR="00F06E14" w:rsidRPr="00A83C6F" w:rsidRDefault="000D26AE">
      <w:pPr>
        <w:pStyle w:val="Reporttitle"/>
      </w:pPr>
      <w:r w:rsidRPr="00A83C6F">
        <w:t>Proposal to remake</w:t>
      </w:r>
      <w:r w:rsidR="006C4DEC" w:rsidRPr="00A83C6F">
        <w:t xml:space="preserve"> </w:t>
      </w:r>
      <w:r w:rsidR="00680DD7" w:rsidRPr="00A83C6F">
        <w:t>instruments</w:t>
      </w:r>
      <w:r w:rsidR="006C4DEC" w:rsidRPr="00A83C6F">
        <w:t xml:space="preserve"> for the </w:t>
      </w:r>
      <w:r w:rsidR="0063438D">
        <w:br/>
      </w:r>
      <w:r w:rsidR="006C4DEC" w:rsidRPr="00A83C6F">
        <w:t>700 MHz, 1800 MHz, 2.5 GHz and 2.5</w:t>
      </w:r>
      <w:r w:rsidR="00870B38" w:rsidRPr="00A83C6F">
        <w:t> </w:t>
      </w:r>
      <w:r w:rsidR="006C4DEC" w:rsidRPr="00A83C6F">
        <w:t xml:space="preserve">GHz </w:t>
      </w:r>
      <w:r w:rsidR="0063438D">
        <w:t>m</w:t>
      </w:r>
      <w:r w:rsidR="00827BB4" w:rsidRPr="00A83C6F">
        <w:t>id-</w:t>
      </w:r>
      <w:r w:rsidR="0063438D">
        <w:t>b</w:t>
      </w:r>
      <w:r w:rsidR="00827BB4" w:rsidRPr="00A83C6F">
        <w:t>and</w:t>
      </w:r>
      <w:r w:rsidR="006C4DEC" w:rsidRPr="00A83C6F">
        <w:t xml:space="preserve"> </w:t>
      </w:r>
      <w:r w:rsidR="0063438D">
        <w:t>g</w:t>
      </w:r>
      <w:r w:rsidR="006C4DEC" w:rsidRPr="00A83C6F">
        <w:t xml:space="preserve">ap </w:t>
      </w:r>
      <w:r w:rsidR="0063438D">
        <w:t>s</w:t>
      </w:r>
      <w:r w:rsidR="006C4DEC" w:rsidRPr="00A83C6F">
        <w:t>pectrum</w:t>
      </w:r>
      <w:r w:rsidR="006C436E">
        <w:t>-</w:t>
      </w:r>
      <w:r w:rsidR="0063438D">
        <w:t>l</w:t>
      </w:r>
      <w:r w:rsidR="006C4DEC" w:rsidRPr="00A83C6F">
        <w:t>icen</w:t>
      </w:r>
      <w:r w:rsidR="003C0D2A" w:rsidRPr="00A83C6F">
        <w:t>s</w:t>
      </w:r>
      <w:r w:rsidR="006C4DEC" w:rsidRPr="00A83C6F">
        <w:t xml:space="preserve">ed </w:t>
      </w:r>
      <w:r w:rsidR="0063438D">
        <w:t>b</w:t>
      </w:r>
      <w:r w:rsidR="006C4DEC" w:rsidRPr="00A83C6F">
        <w:t>ands</w:t>
      </w:r>
    </w:p>
    <w:p w14:paraId="3B3E516B" w14:textId="6C0A6ED4" w:rsidR="00F06E14" w:rsidRPr="00E162C4" w:rsidRDefault="00770B3F" w:rsidP="00F06E14">
      <w:pPr>
        <w:pStyle w:val="Reportsubtitle"/>
      </w:pPr>
      <w:r w:rsidRPr="00E162C4">
        <w:t xml:space="preserve">Consultation </w:t>
      </w:r>
      <w:r w:rsidR="006A692B">
        <w:t>paper</w:t>
      </w:r>
    </w:p>
    <w:bookmarkEnd w:id="0"/>
    <w:p w14:paraId="60C63961" w14:textId="78A8CA52" w:rsidR="00C97736" w:rsidRPr="00E162C4" w:rsidRDefault="006A692B" w:rsidP="00EC2B68">
      <w:pPr>
        <w:pStyle w:val="Reportdate"/>
        <w:spacing w:after="720"/>
        <w:rPr>
          <w:rFonts w:cs="Arial"/>
        </w:rPr>
        <w:sectPr w:rsidR="00C97736"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November</w:t>
      </w:r>
      <w:r w:rsidR="00BD4421" w:rsidRPr="00E162C4">
        <w:t xml:space="preserve"> 20</w:t>
      </w:r>
      <w:r w:rsidR="008E0428" w:rsidRPr="00E162C4">
        <w:t>2</w:t>
      </w:r>
      <w:r w:rsidR="00E162C4">
        <w:t>2</w:t>
      </w:r>
    </w:p>
    <w:p w14:paraId="2F943154" w14:textId="77777777" w:rsidR="0005011A" w:rsidRPr="00E162C4" w:rsidRDefault="0005011A" w:rsidP="00FC07B9">
      <w:pPr>
        <w:pStyle w:val="ACMACorporateAddressHeader"/>
      </w:pPr>
      <w:r w:rsidRPr="00E162C4">
        <w:lastRenderedPageBreak/>
        <w:t>Canberra</w:t>
      </w:r>
    </w:p>
    <w:p w14:paraId="63353D5A"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0C7F9DBC" w14:textId="77777777" w:rsidR="0005011A" w:rsidRPr="00E162C4" w:rsidRDefault="0005011A" w:rsidP="00FC07B9">
      <w:pPr>
        <w:pStyle w:val="ACMACorporateAddresses"/>
      </w:pPr>
      <w:r w:rsidRPr="00E162C4">
        <w:t>PO Box 78</w:t>
      </w:r>
      <w:r w:rsidRPr="00E162C4">
        <w:br/>
        <w:t>Belconnen ACT 2616</w:t>
      </w:r>
    </w:p>
    <w:p w14:paraId="16D2E853"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34278661" w14:textId="77777777" w:rsidR="0005011A" w:rsidRPr="00E162C4" w:rsidRDefault="0005011A" w:rsidP="00FC07B9">
      <w:pPr>
        <w:pStyle w:val="ACMACorporateAddressHeader"/>
      </w:pPr>
      <w:r w:rsidRPr="00E162C4">
        <w:t>Melbourne</w:t>
      </w:r>
    </w:p>
    <w:p w14:paraId="6B5B02FD"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1D8E9641"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0226F649"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2BC30A9D" w14:textId="77777777" w:rsidR="0005011A" w:rsidRPr="00E162C4" w:rsidRDefault="0005011A" w:rsidP="00FC07B9">
      <w:pPr>
        <w:pStyle w:val="ACMACorporateAddressHeader"/>
      </w:pPr>
      <w:r w:rsidRPr="00E162C4">
        <w:t>Sydney</w:t>
      </w:r>
    </w:p>
    <w:p w14:paraId="747AF670"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2C4D0985"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2272FD46"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306B249F" w14:textId="77777777" w:rsidR="00140318" w:rsidRPr="00E162C4" w:rsidRDefault="00140318" w:rsidP="00FC07B9">
      <w:pPr>
        <w:pStyle w:val="ACMACopyrightHeader"/>
      </w:pPr>
      <w:r w:rsidRPr="00E162C4">
        <w:t>Copyright notice</w:t>
      </w:r>
    </w:p>
    <w:p w14:paraId="1968B876" w14:textId="77777777" w:rsidR="00140318" w:rsidRPr="00E162C4" w:rsidRDefault="00623FF9" w:rsidP="00623FF9">
      <w:pPr>
        <w:pStyle w:val="ACMACClogo"/>
      </w:pPr>
      <w:r w:rsidRPr="00E162C4">
        <w:rPr>
          <w:noProof/>
        </w:rPr>
        <w:drawing>
          <wp:inline distT="0" distB="0" distL="0" distR="0" wp14:anchorId="17301EAE" wp14:editId="2C15C052">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1795265" w14:textId="77777777" w:rsidR="00AA2DE5" w:rsidRPr="00E162C4" w:rsidRDefault="00B12617" w:rsidP="00AA2DE5">
      <w:pPr>
        <w:pStyle w:val="ACMACorporateAddresses"/>
        <w:rPr>
          <w:rStyle w:val="Hyperlink"/>
        </w:rPr>
      </w:pPr>
      <w:hyperlink r:id="rId13" w:history="1">
        <w:r w:rsidR="00AA2DE5" w:rsidRPr="00E162C4">
          <w:rPr>
            <w:rStyle w:val="Hyperlink"/>
          </w:rPr>
          <w:t>https://creativecommons.org/licenses/by/4.0/</w:t>
        </w:r>
      </w:hyperlink>
    </w:p>
    <w:p w14:paraId="065ACA21"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64091ADE"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4C58B068" w14:textId="77777777" w:rsidR="00AA2DE5" w:rsidRPr="00E162C4" w:rsidRDefault="00AA2DE5" w:rsidP="00AA2DE5">
      <w:pPr>
        <w:pStyle w:val="ACMACorporateAddresses"/>
      </w:pPr>
      <w:r w:rsidRPr="00E162C4">
        <w:t>All other rights are reserved.</w:t>
      </w:r>
    </w:p>
    <w:p w14:paraId="017465FE"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9797D70" w14:textId="77777777" w:rsidR="00AA2DE5" w:rsidRPr="00E162C4" w:rsidRDefault="00AA2DE5" w:rsidP="00AA2DE5">
      <w:pPr>
        <w:pStyle w:val="ACMACorporateAddresses"/>
      </w:pPr>
      <w:r w:rsidRPr="00E162C4">
        <w:t>Written enquiries may be sent to:</w:t>
      </w:r>
    </w:p>
    <w:p w14:paraId="74CE2C6B"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248AFE68" w14:textId="77777777" w:rsidR="00D16FE3" w:rsidRPr="00E162C4" w:rsidRDefault="00D16FE3" w:rsidP="00D16FE3">
      <w:pPr>
        <w:pStyle w:val="ACMACorporateAddresses"/>
        <w:rPr>
          <w:rStyle w:val="Hyperlink"/>
        </w:rPr>
      </w:pPr>
    </w:p>
    <w:p w14:paraId="034EA73D"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468BF6E" w14:textId="61F2EE86" w:rsidR="00B06B28"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18276416" w:history="1">
        <w:r w:rsidR="00B06B28" w:rsidRPr="004D23F8">
          <w:rPr>
            <w:rStyle w:val="Hyperlink"/>
          </w:rPr>
          <w:t>Issues for comment</w:t>
        </w:r>
        <w:r w:rsidR="00B06B28">
          <w:rPr>
            <w:webHidden/>
          </w:rPr>
          <w:tab/>
        </w:r>
        <w:r w:rsidR="00B06B28">
          <w:rPr>
            <w:webHidden/>
          </w:rPr>
          <w:fldChar w:fldCharType="begin"/>
        </w:r>
        <w:r w:rsidR="00B06B28">
          <w:rPr>
            <w:webHidden/>
          </w:rPr>
          <w:instrText xml:space="preserve"> PAGEREF _Toc118276416 \h </w:instrText>
        </w:r>
        <w:r w:rsidR="00B06B28">
          <w:rPr>
            <w:webHidden/>
          </w:rPr>
        </w:r>
        <w:r w:rsidR="00B06B28">
          <w:rPr>
            <w:webHidden/>
          </w:rPr>
          <w:fldChar w:fldCharType="separate"/>
        </w:r>
        <w:r w:rsidR="00B06B28">
          <w:rPr>
            <w:webHidden/>
          </w:rPr>
          <w:t>1</w:t>
        </w:r>
        <w:r w:rsidR="00B06B28">
          <w:rPr>
            <w:webHidden/>
          </w:rPr>
          <w:fldChar w:fldCharType="end"/>
        </w:r>
      </w:hyperlink>
    </w:p>
    <w:p w14:paraId="3184A40C" w14:textId="10938150" w:rsidR="00B06B28" w:rsidRDefault="00B06B28">
      <w:pPr>
        <w:pStyle w:val="TOC1"/>
        <w:rPr>
          <w:rFonts w:asciiTheme="minorHAnsi" w:eastAsiaTheme="minorEastAsia" w:hAnsiTheme="minorHAnsi" w:cstheme="minorBidi"/>
          <w:b w:val="0"/>
          <w:spacing w:val="0"/>
          <w:sz w:val="22"/>
          <w:szCs w:val="22"/>
        </w:rPr>
      </w:pPr>
      <w:hyperlink w:anchor="_Toc118276417" w:history="1">
        <w:r w:rsidRPr="004D23F8">
          <w:rPr>
            <w:rStyle w:val="Hyperlink"/>
          </w:rPr>
          <w:t>Introduction</w:t>
        </w:r>
        <w:r>
          <w:rPr>
            <w:webHidden/>
          </w:rPr>
          <w:tab/>
        </w:r>
        <w:r>
          <w:rPr>
            <w:webHidden/>
          </w:rPr>
          <w:fldChar w:fldCharType="begin"/>
        </w:r>
        <w:r>
          <w:rPr>
            <w:webHidden/>
          </w:rPr>
          <w:instrText xml:space="preserve"> PAGEREF _Toc118276417 \h </w:instrText>
        </w:r>
        <w:r>
          <w:rPr>
            <w:webHidden/>
          </w:rPr>
        </w:r>
        <w:r>
          <w:rPr>
            <w:webHidden/>
          </w:rPr>
          <w:fldChar w:fldCharType="separate"/>
        </w:r>
        <w:r>
          <w:rPr>
            <w:webHidden/>
          </w:rPr>
          <w:t>2</w:t>
        </w:r>
        <w:r>
          <w:rPr>
            <w:webHidden/>
          </w:rPr>
          <w:fldChar w:fldCharType="end"/>
        </w:r>
      </w:hyperlink>
    </w:p>
    <w:p w14:paraId="489625F8" w14:textId="0FE600A7" w:rsidR="00B06B28" w:rsidRDefault="00B06B28">
      <w:pPr>
        <w:pStyle w:val="TOC2"/>
        <w:rPr>
          <w:rFonts w:asciiTheme="minorHAnsi" w:eastAsiaTheme="minorEastAsia" w:hAnsiTheme="minorHAnsi" w:cstheme="minorBidi"/>
          <w:spacing w:val="0"/>
          <w:sz w:val="22"/>
          <w:szCs w:val="22"/>
        </w:rPr>
      </w:pPr>
      <w:hyperlink w:anchor="_Toc118276418" w:history="1">
        <w:r w:rsidRPr="004D23F8">
          <w:rPr>
            <w:rStyle w:val="Hyperlink"/>
          </w:rPr>
          <w:t>Spectrum licence technical framework</w:t>
        </w:r>
        <w:r>
          <w:rPr>
            <w:webHidden/>
          </w:rPr>
          <w:tab/>
        </w:r>
        <w:r>
          <w:rPr>
            <w:webHidden/>
          </w:rPr>
          <w:fldChar w:fldCharType="begin"/>
        </w:r>
        <w:r>
          <w:rPr>
            <w:webHidden/>
          </w:rPr>
          <w:instrText xml:space="preserve"> PAGEREF _Toc118276418 \h </w:instrText>
        </w:r>
        <w:r>
          <w:rPr>
            <w:webHidden/>
          </w:rPr>
        </w:r>
        <w:r>
          <w:rPr>
            <w:webHidden/>
          </w:rPr>
          <w:fldChar w:fldCharType="separate"/>
        </w:r>
        <w:r>
          <w:rPr>
            <w:webHidden/>
          </w:rPr>
          <w:t>2</w:t>
        </w:r>
        <w:r>
          <w:rPr>
            <w:webHidden/>
          </w:rPr>
          <w:fldChar w:fldCharType="end"/>
        </w:r>
      </w:hyperlink>
    </w:p>
    <w:p w14:paraId="433B6B1E" w14:textId="78290A3C" w:rsidR="00B06B28" w:rsidRDefault="00B06B28">
      <w:pPr>
        <w:pStyle w:val="TOC2"/>
        <w:rPr>
          <w:rFonts w:asciiTheme="minorHAnsi" w:eastAsiaTheme="minorEastAsia" w:hAnsiTheme="minorHAnsi" w:cstheme="minorBidi"/>
          <w:spacing w:val="0"/>
          <w:sz w:val="22"/>
          <w:szCs w:val="22"/>
        </w:rPr>
      </w:pPr>
      <w:hyperlink w:anchor="_Toc118276419" w:history="1">
        <w:r w:rsidRPr="004D23F8">
          <w:rPr>
            <w:rStyle w:val="Hyperlink"/>
          </w:rPr>
          <w:t>Timeline for implementation of sunsetting decisions</w:t>
        </w:r>
        <w:r>
          <w:rPr>
            <w:webHidden/>
          </w:rPr>
          <w:tab/>
        </w:r>
        <w:r>
          <w:rPr>
            <w:webHidden/>
          </w:rPr>
          <w:fldChar w:fldCharType="begin"/>
        </w:r>
        <w:r>
          <w:rPr>
            <w:webHidden/>
          </w:rPr>
          <w:instrText xml:space="preserve"> PAGEREF _Toc118276419 \h </w:instrText>
        </w:r>
        <w:r>
          <w:rPr>
            <w:webHidden/>
          </w:rPr>
        </w:r>
        <w:r>
          <w:rPr>
            <w:webHidden/>
          </w:rPr>
          <w:fldChar w:fldCharType="separate"/>
        </w:r>
        <w:r>
          <w:rPr>
            <w:webHidden/>
          </w:rPr>
          <w:t>3</w:t>
        </w:r>
        <w:r>
          <w:rPr>
            <w:webHidden/>
          </w:rPr>
          <w:fldChar w:fldCharType="end"/>
        </w:r>
      </w:hyperlink>
    </w:p>
    <w:p w14:paraId="59893770" w14:textId="26A23B29" w:rsidR="00B06B28" w:rsidRDefault="00B06B28">
      <w:pPr>
        <w:pStyle w:val="TOC1"/>
        <w:rPr>
          <w:rFonts w:asciiTheme="minorHAnsi" w:eastAsiaTheme="minorEastAsia" w:hAnsiTheme="minorHAnsi" w:cstheme="minorBidi"/>
          <w:b w:val="0"/>
          <w:spacing w:val="0"/>
          <w:sz w:val="22"/>
          <w:szCs w:val="22"/>
        </w:rPr>
      </w:pPr>
      <w:hyperlink w:anchor="_Toc118276420" w:history="1">
        <w:r w:rsidRPr="004D23F8">
          <w:rPr>
            <w:rStyle w:val="Hyperlink"/>
          </w:rPr>
          <w:t>Proposed instrument considerations</w:t>
        </w:r>
        <w:r>
          <w:rPr>
            <w:webHidden/>
          </w:rPr>
          <w:tab/>
        </w:r>
        <w:r>
          <w:rPr>
            <w:webHidden/>
          </w:rPr>
          <w:fldChar w:fldCharType="begin"/>
        </w:r>
        <w:r>
          <w:rPr>
            <w:webHidden/>
          </w:rPr>
          <w:instrText xml:space="preserve"> PAGEREF _Toc118276420 \h </w:instrText>
        </w:r>
        <w:r>
          <w:rPr>
            <w:webHidden/>
          </w:rPr>
        </w:r>
        <w:r>
          <w:rPr>
            <w:webHidden/>
          </w:rPr>
          <w:fldChar w:fldCharType="separate"/>
        </w:r>
        <w:r>
          <w:rPr>
            <w:webHidden/>
          </w:rPr>
          <w:t>4</w:t>
        </w:r>
        <w:r>
          <w:rPr>
            <w:webHidden/>
          </w:rPr>
          <w:fldChar w:fldCharType="end"/>
        </w:r>
      </w:hyperlink>
    </w:p>
    <w:p w14:paraId="00209FDB" w14:textId="22C2D976" w:rsidR="00B06B28" w:rsidRDefault="00B06B28">
      <w:pPr>
        <w:pStyle w:val="TOC2"/>
        <w:rPr>
          <w:rFonts w:asciiTheme="minorHAnsi" w:eastAsiaTheme="minorEastAsia" w:hAnsiTheme="minorHAnsi" w:cstheme="minorBidi"/>
          <w:spacing w:val="0"/>
          <w:sz w:val="22"/>
          <w:szCs w:val="22"/>
        </w:rPr>
      </w:pPr>
      <w:hyperlink w:anchor="_Toc118276421" w:history="1">
        <w:r w:rsidRPr="004D23F8">
          <w:rPr>
            <w:rStyle w:val="Hyperlink"/>
          </w:rPr>
          <w:t>Non-band specific changes</w:t>
        </w:r>
        <w:r>
          <w:rPr>
            <w:webHidden/>
          </w:rPr>
          <w:tab/>
        </w:r>
        <w:r>
          <w:rPr>
            <w:webHidden/>
          </w:rPr>
          <w:fldChar w:fldCharType="begin"/>
        </w:r>
        <w:r>
          <w:rPr>
            <w:webHidden/>
          </w:rPr>
          <w:instrText xml:space="preserve"> PAGEREF _Toc118276421 \h </w:instrText>
        </w:r>
        <w:r>
          <w:rPr>
            <w:webHidden/>
          </w:rPr>
        </w:r>
        <w:r>
          <w:rPr>
            <w:webHidden/>
          </w:rPr>
          <w:fldChar w:fldCharType="separate"/>
        </w:r>
        <w:r>
          <w:rPr>
            <w:webHidden/>
          </w:rPr>
          <w:t>4</w:t>
        </w:r>
        <w:r>
          <w:rPr>
            <w:webHidden/>
          </w:rPr>
          <w:fldChar w:fldCharType="end"/>
        </w:r>
      </w:hyperlink>
    </w:p>
    <w:p w14:paraId="7EA131B4" w14:textId="532EA8B8" w:rsidR="00B06B28" w:rsidRDefault="00B06B28">
      <w:pPr>
        <w:pStyle w:val="TOC2"/>
        <w:rPr>
          <w:rFonts w:asciiTheme="minorHAnsi" w:eastAsiaTheme="minorEastAsia" w:hAnsiTheme="minorHAnsi" w:cstheme="minorBidi"/>
          <w:spacing w:val="0"/>
          <w:sz w:val="22"/>
          <w:szCs w:val="22"/>
        </w:rPr>
      </w:pPr>
      <w:hyperlink w:anchor="_Toc118276422" w:history="1">
        <w:r w:rsidRPr="004D23F8">
          <w:rPr>
            <w:rStyle w:val="Hyperlink"/>
          </w:rPr>
          <w:t>Band-specific changes</w:t>
        </w:r>
        <w:r>
          <w:rPr>
            <w:webHidden/>
          </w:rPr>
          <w:tab/>
        </w:r>
        <w:r>
          <w:rPr>
            <w:webHidden/>
          </w:rPr>
          <w:fldChar w:fldCharType="begin"/>
        </w:r>
        <w:r>
          <w:rPr>
            <w:webHidden/>
          </w:rPr>
          <w:instrText xml:space="preserve"> PAGEREF _Toc118276422 \h </w:instrText>
        </w:r>
        <w:r>
          <w:rPr>
            <w:webHidden/>
          </w:rPr>
        </w:r>
        <w:r>
          <w:rPr>
            <w:webHidden/>
          </w:rPr>
          <w:fldChar w:fldCharType="separate"/>
        </w:r>
        <w:r>
          <w:rPr>
            <w:webHidden/>
          </w:rPr>
          <w:t>6</w:t>
        </w:r>
        <w:r>
          <w:rPr>
            <w:webHidden/>
          </w:rPr>
          <w:fldChar w:fldCharType="end"/>
        </w:r>
      </w:hyperlink>
    </w:p>
    <w:p w14:paraId="08FCB97C" w14:textId="375BF655" w:rsidR="00B06B28" w:rsidRDefault="00B06B28">
      <w:pPr>
        <w:pStyle w:val="TOC1"/>
        <w:rPr>
          <w:rFonts w:asciiTheme="minorHAnsi" w:eastAsiaTheme="minorEastAsia" w:hAnsiTheme="minorHAnsi" w:cstheme="minorBidi"/>
          <w:b w:val="0"/>
          <w:spacing w:val="0"/>
          <w:sz w:val="22"/>
          <w:szCs w:val="22"/>
        </w:rPr>
      </w:pPr>
      <w:hyperlink w:anchor="_Toc118276423" w:history="1">
        <w:r w:rsidRPr="004D23F8">
          <w:rPr>
            <w:rStyle w:val="Hyperlink"/>
          </w:rPr>
          <w:t>Invitation to comment</w:t>
        </w:r>
        <w:r>
          <w:rPr>
            <w:webHidden/>
          </w:rPr>
          <w:tab/>
        </w:r>
        <w:r>
          <w:rPr>
            <w:webHidden/>
          </w:rPr>
          <w:fldChar w:fldCharType="begin"/>
        </w:r>
        <w:r>
          <w:rPr>
            <w:webHidden/>
          </w:rPr>
          <w:instrText xml:space="preserve"> PAGEREF _Toc118276423 \h </w:instrText>
        </w:r>
        <w:r>
          <w:rPr>
            <w:webHidden/>
          </w:rPr>
        </w:r>
        <w:r>
          <w:rPr>
            <w:webHidden/>
          </w:rPr>
          <w:fldChar w:fldCharType="separate"/>
        </w:r>
        <w:r>
          <w:rPr>
            <w:webHidden/>
          </w:rPr>
          <w:t>11</w:t>
        </w:r>
        <w:r>
          <w:rPr>
            <w:webHidden/>
          </w:rPr>
          <w:fldChar w:fldCharType="end"/>
        </w:r>
      </w:hyperlink>
    </w:p>
    <w:p w14:paraId="62648BE8" w14:textId="14FC1136" w:rsidR="00B06B28" w:rsidRDefault="00B06B28">
      <w:pPr>
        <w:pStyle w:val="TOC2"/>
        <w:rPr>
          <w:rFonts w:asciiTheme="minorHAnsi" w:eastAsiaTheme="minorEastAsia" w:hAnsiTheme="minorHAnsi" w:cstheme="minorBidi"/>
          <w:spacing w:val="0"/>
          <w:sz w:val="22"/>
          <w:szCs w:val="22"/>
        </w:rPr>
      </w:pPr>
      <w:hyperlink w:anchor="_Toc118276424" w:history="1">
        <w:r w:rsidRPr="004D23F8">
          <w:rPr>
            <w:rStyle w:val="Hyperlink"/>
          </w:rPr>
          <w:t>Making a submission</w:t>
        </w:r>
        <w:r>
          <w:rPr>
            <w:webHidden/>
          </w:rPr>
          <w:tab/>
        </w:r>
        <w:r>
          <w:rPr>
            <w:webHidden/>
          </w:rPr>
          <w:fldChar w:fldCharType="begin"/>
        </w:r>
        <w:r>
          <w:rPr>
            <w:webHidden/>
          </w:rPr>
          <w:instrText xml:space="preserve"> PAGEREF _Toc118276424 \h </w:instrText>
        </w:r>
        <w:r>
          <w:rPr>
            <w:webHidden/>
          </w:rPr>
        </w:r>
        <w:r>
          <w:rPr>
            <w:webHidden/>
          </w:rPr>
          <w:fldChar w:fldCharType="separate"/>
        </w:r>
        <w:r>
          <w:rPr>
            <w:webHidden/>
          </w:rPr>
          <w:t>11</w:t>
        </w:r>
        <w:r>
          <w:rPr>
            <w:webHidden/>
          </w:rPr>
          <w:fldChar w:fldCharType="end"/>
        </w:r>
      </w:hyperlink>
    </w:p>
    <w:p w14:paraId="46583685" w14:textId="2BD5C757" w:rsidR="00B06B28" w:rsidRDefault="00B06B28">
      <w:pPr>
        <w:pStyle w:val="TOC1"/>
        <w:rPr>
          <w:rFonts w:asciiTheme="minorHAnsi" w:eastAsiaTheme="minorEastAsia" w:hAnsiTheme="minorHAnsi" w:cstheme="minorBidi"/>
          <w:b w:val="0"/>
          <w:spacing w:val="0"/>
          <w:sz w:val="22"/>
          <w:szCs w:val="22"/>
        </w:rPr>
      </w:pPr>
      <w:hyperlink w:anchor="_Toc118276425" w:history="1">
        <w:r w:rsidRPr="004D23F8">
          <w:rPr>
            <w:rStyle w:val="Hyperlink"/>
          </w:rPr>
          <w:t>Appendix A: List of instruments</w:t>
        </w:r>
        <w:r>
          <w:rPr>
            <w:webHidden/>
          </w:rPr>
          <w:tab/>
        </w:r>
        <w:r>
          <w:rPr>
            <w:webHidden/>
          </w:rPr>
          <w:fldChar w:fldCharType="begin"/>
        </w:r>
        <w:r>
          <w:rPr>
            <w:webHidden/>
          </w:rPr>
          <w:instrText xml:space="preserve"> PAGEREF _Toc118276425 \h </w:instrText>
        </w:r>
        <w:r>
          <w:rPr>
            <w:webHidden/>
          </w:rPr>
        </w:r>
        <w:r>
          <w:rPr>
            <w:webHidden/>
          </w:rPr>
          <w:fldChar w:fldCharType="separate"/>
        </w:r>
        <w:r>
          <w:rPr>
            <w:webHidden/>
          </w:rPr>
          <w:t>12</w:t>
        </w:r>
        <w:r>
          <w:rPr>
            <w:webHidden/>
          </w:rPr>
          <w:fldChar w:fldCharType="end"/>
        </w:r>
      </w:hyperlink>
    </w:p>
    <w:p w14:paraId="2EF838DC" w14:textId="41307418"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5DA89B74" w14:textId="01D38F2B" w:rsidR="00715722" w:rsidRPr="00E162C4" w:rsidRDefault="00715722" w:rsidP="00715722">
      <w:pPr>
        <w:pStyle w:val="Heading1"/>
      </w:pPr>
      <w:bookmarkStart w:id="1" w:name="_Toc433122125"/>
      <w:bookmarkStart w:id="2" w:name="_Toc118276416"/>
      <w:r w:rsidRPr="00E162C4">
        <w:lastRenderedPageBreak/>
        <w:t>Issues for comment</w:t>
      </w:r>
      <w:bookmarkEnd w:id="1"/>
      <w:bookmarkEnd w:id="2"/>
    </w:p>
    <w:p w14:paraId="1EE82102" w14:textId="6182F45B" w:rsidR="00715722" w:rsidRPr="00E162C4" w:rsidRDefault="00584B51" w:rsidP="009A021C">
      <w:pPr>
        <w:pStyle w:val="Paragraphbeforelist"/>
      </w:pPr>
      <w:r>
        <w:t>We</w:t>
      </w:r>
      <w:r w:rsidR="00715722" w:rsidRPr="00E162C4">
        <w:t xml:space="preserve"> invite comments on the </w:t>
      </w:r>
      <w:r w:rsidR="00DF1523">
        <w:t xml:space="preserve">proposed amendments </w:t>
      </w:r>
      <w:r w:rsidR="00585EE5" w:rsidRPr="00E162C4">
        <w:t>set</w:t>
      </w:r>
      <w:r w:rsidR="00715722" w:rsidRPr="00E162C4">
        <w:t xml:space="preserve"> out in this paper</w:t>
      </w:r>
      <w:r w:rsidR="00DF1523">
        <w:t xml:space="preserve"> for the following instruments</w:t>
      </w:r>
      <w:r w:rsidR="00334FA2">
        <w:t>:</w:t>
      </w:r>
    </w:p>
    <w:p w14:paraId="21D0F587" w14:textId="2CE75684" w:rsidR="00715722" w:rsidRPr="00E162C4" w:rsidRDefault="00B034C2" w:rsidP="00C07787">
      <w:pPr>
        <w:pStyle w:val="Numberlistlevel1"/>
      </w:pPr>
      <w:r w:rsidRPr="00B034C2">
        <w:t xml:space="preserve">Radiocommunications Advisory Guidelines (Managing Interference from Spectrum Licensed Transmitters </w:t>
      </w:r>
      <w:r w:rsidR="0063438D">
        <w:t>–</w:t>
      </w:r>
      <w:r w:rsidRPr="00B034C2">
        <w:t xml:space="preserve"> 700 MHz Band)</w:t>
      </w:r>
      <w:r w:rsidR="00334FA2">
        <w:t>.</w:t>
      </w:r>
      <w:r w:rsidRPr="00B034C2">
        <w:t xml:space="preserve"> </w:t>
      </w:r>
    </w:p>
    <w:p w14:paraId="2F785E2A" w14:textId="03AD64B1" w:rsidR="004224EE" w:rsidRDefault="00B034C2" w:rsidP="00B034C2">
      <w:pPr>
        <w:pStyle w:val="Numberlistlevel1"/>
      </w:pPr>
      <w:r w:rsidRPr="00B034C2">
        <w:t xml:space="preserve">Radiocommunications Advisory Guidelines (Managing Interference to Spectrum Licensed Receivers </w:t>
      </w:r>
      <w:r w:rsidR="0063438D">
        <w:t>–</w:t>
      </w:r>
      <w:r w:rsidRPr="00B034C2">
        <w:t xml:space="preserve"> 700 MHz Band).</w:t>
      </w:r>
      <w:r w:rsidR="004224EE">
        <w:t xml:space="preserve"> </w:t>
      </w:r>
    </w:p>
    <w:p w14:paraId="7693FF0E" w14:textId="2DFC7BDF" w:rsidR="004224EE" w:rsidRDefault="00B034C2" w:rsidP="00B034C2">
      <w:pPr>
        <w:pStyle w:val="Numberlistlevel1"/>
      </w:pPr>
      <w:r w:rsidRPr="00B034C2">
        <w:t>Radiocommunications (Unacceptable Levels of Interference – 700 MHz Band) Determination.</w:t>
      </w:r>
    </w:p>
    <w:p w14:paraId="5C150B2E" w14:textId="1C87ED41" w:rsidR="004224EE" w:rsidRPr="00E162C4" w:rsidRDefault="00B034C2" w:rsidP="00B034C2">
      <w:pPr>
        <w:pStyle w:val="Numberlistlevel1"/>
      </w:pPr>
      <w:r w:rsidRPr="00B034C2">
        <w:t xml:space="preserve">Radiocommunications Advisory Guidelines (Managing Interference from Spectrum Licensed Transmitters </w:t>
      </w:r>
      <w:r w:rsidR="0063438D">
        <w:t>–</w:t>
      </w:r>
      <w:r w:rsidRPr="00B034C2">
        <w:t xml:space="preserve"> 1800 MHz Band)</w:t>
      </w:r>
      <w:r w:rsidR="00334FA2">
        <w:t>.</w:t>
      </w:r>
      <w:r w:rsidRPr="00B034C2">
        <w:t xml:space="preserve"> </w:t>
      </w:r>
      <w:r w:rsidR="004224EE">
        <w:t xml:space="preserve"> </w:t>
      </w:r>
    </w:p>
    <w:p w14:paraId="2E5AC066" w14:textId="5CC60DF9" w:rsidR="004224EE" w:rsidRDefault="00334FA2" w:rsidP="00334FA2">
      <w:pPr>
        <w:pStyle w:val="Numberlistlevel1"/>
      </w:pPr>
      <w:r w:rsidRPr="00334FA2">
        <w:t xml:space="preserve">Radiocommunications Advisory Guidelines (Managing Interference to Spectrum Licensed Receivers </w:t>
      </w:r>
      <w:r w:rsidR="0063438D">
        <w:t>–</w:t>
      </w:r>
      <w:r w:rsidRPr="00334FA2">
        <w:t xml:space="preserve"> 1800 MHz Band).</w:t>
      </w:r>
      <w:r w:rsidR="004224EE">
        <w:t xml:space="preserve"> </w:t>
      </w:r>
    </w:p>
    <w:p w14:paraId="222AE7E4" w14:textId="30B22BC4" w:rsidR="004224EE" w:rsidRDefault="00334FA2" w:rsidP="00334FA2">
      <w:pPr>
        <w:pStyle w:val="Numberlistlevel1"/>
      </w:pPr>
      <w:r w:rsidRPr="00334FA2">
        <w:t xml:space="preserve">Radiocommunications (Unacceptable Levels of Interference </w:t>
      </w:r>
      <w:r w:rsidR="0063438D">
        <w:t>–</w:t>
      </w:r>
      <w:r w:rsidRPr="00334FA2">
        <w:t xml:space="preserve"> 1800 MHz Band) Determination.</w:t>
      </w:r>
    </w:p>
    <w:p w14:paraId="15B6B977" w14:textId="5836D138" w:rsidR="004224EE" w:rsidRPr="004224EE" w:rsidRDefault="0063438D" w:rsidP="00334FA2">
      <w:pPr>
        <w:pStyle w:val="Numberlistlevel1"/>
      </w:pPr>
      <w:r>
        <w:t>T</w:t>
      </w:r>
      <w:r w:rsidR="00334FA2" w:rsidRPr="00334FA2">
        <w:t xml:space="preserve">he decision to </w:t>
      </w:r>
      <w:r w:rsidR="00585EE5">
        <w:t>repeal</w:t>
      </w:r>
      <w:r w:rsidR="00585EE5" w:rsidRPr="00334FA2">
        <w:t xml:space="preserve"> </w:t>
      </w:r>
      <w:r w:rsidR="00334FA2" w:rsidRPr="00334FA2">
        <w:t xml:space="preserve">the Radiocommunications Advisory Guidelines (Additional Device Boundary Criteria </w:t>
      </w:r>
      <w:r>
        <w:t>–</w:t>
      </w:r>
      <w:r w:rsidR="00334FA2" w:rsidRPr="00334FA2">
        <w:t xml:space="preserve"> 1800 MHz Lower Band) 2012 and include relevant provisions into the proposed Radiocommunications (Unacceptable Levels of Interference </w:t>
      </w:r>
      <w:r>
        <w:t>–</w:t>
      </w:r>
      <w:r w:rsidR="00334FA2" w:rsidRPr="00334FA2">
        <w:t xml:space="preserve"> 1800 MHz Band) Determination.</w:t>
      </w:r>
    </w:p>
    <w:p w14:paraId="0BE9708B" w14:textId="4A053DFD" w:rsidR="004224EE" w:rsidRPr="00E162C4" w:rsidRDefault="00334FA2" w:rsidP="00334FA2">
      <w:pPr>
        <w:pStyle w:val="Numberlistlevel1"/>
      </w:pPr>
      <w:r w:rsidRPr="00334FA2">
        <w:t>Radiocommunications Advisory Guidelines (Managing Interference from Spectrum Licensed Transmitters – 2.5 GHz Band)</w:t>
      </w:r>
      <w:r>
        <w:t>.</w:t>
      </w:r>
      <w:r w:rsidR="004224EE">
        <w:t xml:space="preserve"> </w:t>
      </w:r>
    </w:p>
    <w:p w14:paraId="158F2C5C" w14:textId="4627FB49" w:rsidR="004224EE" w:rsidRDefault="00334FA2" w:rsidP="00334FA2">
      <w:pPr>
        <w:pStyle w:val="Numberlistlevel1"/>
      </w:pPr>
      <w:r w:rsidRPr="00334FA2">
        <w:t>Radiocommunications Advisory Guidelines (Managing Interference to Spectrum Licensed Receivers – 2.5 GHz Band).</w:t>
      </w:r>
      <w:r w:rsidR="004224EE">
        <w:t xml:space="preserve"> </w:t>
      </w:r>
    </w:p>
    <w:p w14:paraId="30A5912D" w14:textId="06DFFA56" w:rsidR="004224EE" w:rsidRDefault="00334FA2" w:rsidP="00334FA2">
      <w:pPr>
        <w:pStyle w:val="Numberlistlevel1"/>
      </w:pPr>
      <w:r w:rsidRPr="00334FA2">
        <w:t>Radiocommunications (Unacceptable Levels of Interference – 2.5 GHz Band) Determination.</w:t>
      </w:r>
    </w:p>
    <w:p w14:paraId="3F1287E7" w14:textId="59936E69" w:rsidR="004224EE" w:rsidRPr="00E162C4" w:rsidRDefault="00334FA2" w:rsidP="00334FA2">
      <w:pPr>
        <w:pStyle w:val="Numberlistlevel1"/>
      </w:pPr>
      <w:r w:rsidRPr="00334FA2">
        <w:t>Radiocommunications Advisory Guidelines (Managing Interference from Spectrum Licensed Transmitters – 2.5 GHz Mid-Band Gap).</w:t>
      </w:r>
      <w:r w:rsidR="004224EE">
        <w:t xml:space="preserve"> </w:t>
      </w:r>
    </w:p>
    <w:p w14:paraId="44F46F33" w14:textId="07FFA2B1" w:rsidR="004224EE" w:rsidRDefault="00334FA2" w:rsidP="00334FA2">
      <w:pPr>
        <w:pStyle w:val="Numberlistlevel1"/>
      </w:pPr>
      <w:r w:rsidRPr="00334FA2">
        <w:t>Radiocommunications Advisory Guidelines (Managing Interference to Spectrum Licensed Receivers – 2.5 GHz Mid-Band Gap).</w:t>
      </w:r>
      <w:r w:rsidR="004224EE">
        <w:t xml:space="preserve"> </w:t>
      </w:r>
    </w:p>
    <w:p w14:paraId="7A33A6C1" w14:textId="75110D08" w:rsidR="00715722" w:rsidRPr="00787675" w:rsidRDefault="00334FA2" w:rsidP="00C07787">
      <w:pPr>
        <w:pStyle w:val="Numberlistlevel1"/>
        <w:rPr>
          <w:color w:val="000000"/>
        </w:rPr>
      </w:pPr>
      <w:r w:rsidRPr="00334FA2">
        <w:t>Radiocommunications (Unacceptable Levels of Interference – 2.5 GHz Mid-Band Gap) Determination.</w:t>
      </w:r>
    </w:p>
    <w:p w14:paraId="1A96A4D9" w14:textId="7C9D3FFA" w:rsidR="000B4664" w:rsidRDefault="00680DD7" w:rsidP="000B4664">
      <w:pPr>
        <w:pStyle w:val="Heading1"/>
      </w:pPr>
      <w:bookmarkStart w:id="3" w:name="_Toc118276417"/>
      <w:r>
        <w:lastRenderedPageBreak/>
        <w:t>Introduction</w:t>
      </w:r>
      <w:bookmarkEnd w:id="3"/>
    </w:p>
    <w:p w14:paraId="433400CD" w14:textId="3B8EC4F6" w:rsidR="00F10954" w:rsidRDefault="007D04D7" w:rsidP="007D04D7">
      <w:pPr>
        <w:pStyle w:val="Paragraph"/>
      </w:pPr>
      <w:r>
        <w:t xml:space="preserve">Under Part 4 of Chapter 3 of the </w:t>
      </w:r>
      <w:r w:rsidRPr="007A7F6A">
        <w:rPr>
          <w:i/>
          <w:iCs/>
        </w:rPr>
        <w:t>Legislation Act 2003</w:t>
      </w:r>
      <w:r>
        <w:t>, most legislative instruments ‘sunset’</w:t>
      </w:r>
      <w:r w:rsidR="0063438D">
        <w:t>. T</w:t>
      </w:r>
      <w:r>
        <w:t xml:space="preserve">hey are automatically repealed on 1 April or 1 October that first occurs 10 years after they are registered. This is an automatic process applying to most legislative instruments regardless of their particular content. </w:t>
      </w:r>
    </w:p>
    <w:p w14:paraId="133DE0BB" w14:textId="3D937734" w:rsidR="00E54CF1" w:rsidRDefault="00E54CF1" w:rsidP="00FB063F">
      <w:pPr>
        <w:pStyle w:val="Paragraphbeforelist"/>
      </w:pPr>
      <w:r>
        <w:t xml:space="preserve">Legislative instruments associated with the technical framework for several spectrum licence bands </w:t>
      </w:r>
      <w:r w:rsidR="00775A2E">
        <w:t>(technical framework instruments)</w:t>
      </w:r>
      <w:r>
        <w:t xml:space="preserve"> are due to sunset on </w:t>
      </w:r>
      <w:r w:rsidR="00C07787">
        <w:t xml:space="preserve">1 </w:t>
      </w:r>
      <w:r>
        <w:t>April 2023. The relevant spectrum licence bands are:</w:t>
      </w:r>
    </w:p>
    <w:p w14:paraId="47E332BC" w14:textId="77777777" w:rsidR="00E54CF1" w:rsidRDefault="00E54CF1" w:rsidP="00E54CF1">
      <w:pPr>
        <w:pStyle w:val="Bulletlevel1"/>
      </w:pPr>
      <w:r>
        <w:t>700 MHz</w:t>
      </w:r>
    </w:p>
    <w:p w14:paraId="721E371A" w14:textId="77777777" w:rsidR="00E54CF1" w:rsidRDefault="00E54CF1" w:rsidP="00E54CF1">
      <w:pPr>
        <w:pStyle w:val="Bulletlevel1"/>
      </w:pPr>
      <w:r>
        <w:t>1800 MHz</w:t>
      </w:r>
    </w:p>
    <w:p w14:paraId="61C3A742" w14:textId="77777777" w:rsidR="00E54CF1" w:rsidRDefault="00E54CF1" w:rsidP="00E54CF1">
      <w:pPr>
        <w:pStyle w:val="Bulletlevel1"/>
      </w:pPr>
      <w:r>
        <w:t>2.5 GHz</w:t>
      </w:r>
    </w:p>
    <w:p w14:paraId="29F48703" w14:textId="4CFFE2BB" w:rsidR="00E54CF1" w:rsidRDefault="00E54CF1" w:rsidP="00FB063F">
      <w:pPr>
        <w:pStyle w:val="Bulletlevel1last"/>
      </w:pPr>
      <w:r>
        <w:t xml:space="preserve">2.5 GHz </w:t>
      </w:r>
      <w:r w:rsidR="0063438D">
        <w:t>m</w:t>
      </w:r>
      <w:r>
        <w:t>id-</w:t>
      </w:r>
      <w:r w:rsidR="0063438D">
        <w:t>b</w:t>
      </w:r>
      <w:r>
        <w:t xml:space="preserve">and </w:t>
      </w:r>
      <w:r w:rsidR="0063438D">
        <w:t>g</w:t>
      </w:r>
      <w:r>
        <w:t>ap</w:t>
      </w:r>
      <w:r w:rsidR="00476232">
        <w:t>.</w:t>
      </w:r>
    </w:p>
    <w:p w14:paraId="24EC577B" w14:textId="624AA2F9" w:rsidR="00E54CF1" w:rsidRDefault="0063438D" w:rsidP="00E54CF1">
      <w:r>
        <w:t xml:space="preserve">We </w:t>
      </w:r>
      <w:r w:rsidR="00E54CF1">
        <w:t xml:space="preserve">can decide to revoke and remake the </w:t>
      </w:r>
      <w:r w:rsidR="00775A2E">
        <w:t>technical framework</w:t>
      </w:r>
      <w:r w:rsidR="00E54CF1">
        <w:t xml:space="preserve"> instruments or allow them to sunset. If any of the instruments are still required, </w:t>
      </w:r>
      <w:r>
        <w:t xml:space="preserve">our </w:t>
      </w:r>
      <w:r w:rsidR="00E54CF1">
        <w:t xml:space="preserve">approach has been to revoke the existing instrument and remake </w:t>
      </w:r>
      <w:r w:rsidR="0035360F">
        <w:t xml:space="preserve">it </w:t>
      </w:r>
      <w:r w:rsidR="00E54CF1">
        <w:t>after consultation.</w:t>
      </w:r>
      <w:r w:rsidR="009F7FA2" w:rsidRPr="009F7FA2">
        <w:t xml:space="preserve"> </w:t>
      </w:r>
      <w:r w:rsidR="009F7FA2">
        <w:t xml:space="preserve">A list of the instruments being considered is attached </w:t>
      </w:r>
      <w:r w:rsidR="00342B31">
        <w:t>at</w:t>
      </w:r>
      <w:r w:rsidR="009F7FA2">
        <w:t xml:space="preserve"> </w:t>
      </w:r>
      <w:hyperlink w:anchor="_Appendix_A_List" w:history="1">
        <w:r w:rsidR="009F7FA2" w:rsidRPr="0035360F">
          <w:rPr>
            <w:rStyle w:val="Hyperlink"/>
          </w:rPr>
          <w:t>Appendix A</w:t>
        </w:r>
      </w:hyperlink>
      <w:r w:rsidR="009F7FA2">
        <w:t>.</w:t>
      </w:r>
    </w:p>
    <w:p w14:paraId="21501F5D" w14:textId="601B8F4F" w:rsidR="00F10954" w:rsidRDefault="00F10954" w:rsidP="00F10954">
      <w:pPr>
        <w:pStyle w:val="Paragraph"/>
      </w:pPr>
      <w:r>
        <w:t xml:space="preserve">The ACMA has formed the preliminary view that these instruments are operating effectively and efficiently and, as such, they continue to form a necessary and useful part of the </w:t>
      </w:r>
      <w:r w:rsidR="00DF1523">
        <w:t>regulatory</w:t>
      </w:r>
      <w:r>
        <w:t xml:space="preserve"> framework. </w:t>
      </w:r>
    </w:p>
    <w:p w14:paraId="759998DF" w14:textId="5C3EB24B" w:rsidR="00DC5A40" w:rsidRDefault="00E54CF1" w:rsidP="00DC5A40">
      <w:pPr>
        <w:spacing w:before="240"/>
      </w:pPr>
      <w:r>
        <w:t xml:space="preserve">The purpose of this document is to consult on the proposals to remake the technical framework instruments and provide reasoning for any associated amendments. </w:t>
      </w:r>
    </w:p>
    <w:p w14:paraId="7B3BD165" w14:textId="15EB44D0" w:rsidR="00E54CF1" w:rsidRDefault="00E54CF1" w:rsidP="00C07787">
      <w:pPr>
        <w:spacing w:before="240"/>
      </w:pPr>
      <w:r>
        <w:t xml:space="preserve">Drafts of the proposed remade instruments are provided </w:t>
      </w:r>
      <w:r w:rsidR="006C436E">
        <w:t xml:space="preserve">in the key documents section of </w:t>
      </w:r>
      <w:r>
        <w:t>the consultation web</w:t>
      </w:r>
      <w:r w:rsidR="006C436E">
        <w:t xml:space="preserve"> page</w:t>
      </w:r>
      <w:r>
        <w:t>.</w:t>
      </w:r>
    </w:p>
    <w:p w14:paraId="0ED660AF" w14:textId="7CB9ED53" w:rsidR="00E54CF1" w:rsidRDefault="00E54CF1" w:rsidP="00E54CF1">
      <w:pPr>
        <w:pStyle w:val="Heading2"/>
      </w:pPr>
      <w:bookmarkStart w:id="4" w:name="_Toc118276418"/>
      <w:r>
        <w:t>Spectrum licence technical framework</w:t>
      </w:r>
      <w:bookmarkEnd w:id="4"/>
    </w:p>
    <w:p w14:paraId="0B8E1ECB" w14:textId="7DBBADB6" w:rsidR="008F4349" w:rsidRPr="00602151" w:rsidRDefault="008F4349" w:rsidP="008F4349">
      <w:pPr>
        <w:pStyle w:val="Paragraphbeforelist"/>
      </w:pPr>
      <w:r>
        <w:t>A</w:t>
      </w:r>
      <w:r w:rsidRPr="00602151">
        <w:t xml:space="preserve"> technical framework </w:t>
      </w:r>
      <w:r>
        <w:t>for a spectrum</w:t>
      </w:r>
      <w:r w:rsidR="006C436E">
        <w:t>-</w:t>
      </w:r>
      <w:r>
        <w:t xml:space="preserve">licensed band </w:t>
      </w:r>
      <w:r w:rsidRPr="00602151">
        <w:t xml:space="preserve">consists of </w:t>
      </w:r>
      <w:r>
        <w:t>3</w:t>
      </w:r>
      <w:r w:rsidRPr="00602151">
        <w:t xml:space="preserve"> interlocking regulatory elements provided for under the </w:t>
      </w:r>
      <w:r>
        <w:rPr>
          <w:i/>
          <w:iCs/>
        </w:rPr>
        <w:t>Radiocommunications</w:t>
      </w:r>
      <w:r>
        <w:rPr>
          <w:i/>
        </w:rPr>
        <w:t xml:space="preserve"> Act</w:t>
      </w:r>
      <w:r w:rsidRPr="0017386E">
        <w:rPr>
          <w:i/>
          <w:iCs/>
        </w:rPr>
        <w:t xml:space="preserve"> </w:t>
      </w:r>
      <w:r w:rsidRPr="00444889">
        <w:rPr>
          <w:i/>
          <w:iCs/>
        </w:rPr>
        <w:t>1992</w:t>
      </w:r>
      <w:r>
        <w:rPr>
          <w:i/>
          <w:iCs/>
        </w:rPr>
        <w:t xml:space="preserve"> </w:t>
      </w:r>
      <w:r w:rsidRPr="00101A7B">
        <w:t>(</w:t>
      </w:r>
      <w:r>
        <w:t xml:space="preserve">the </w:t>
      </w:r>
      <w:r w:rsidRPr="00602151">
        <w:t>Act</w:t>
      </w:r>
      <w:r>
        <w:t>)</w:t>
      </w:r>
      <w:r w:rsidRPr="00602151">
        <w:t>:</w:t>
      </w:r>
    </w:p>
    <w:p w14:paraId="66400AEA" w14:textId="4A0AA2F3" w:rsidR="008F4349" w:rsidRPr="00602151" w:rsidRDefault="008F4349" w:rsidP="008F4349">
      <w:pPr>
        <w:pStyle w:val="ListBullet"/>
      </w:pPr>
      <w:r w:rsidRPr="00FB063F">
        <w:rPr>
          <w:b/>
          <w:bCs/>
        </w:rPr>
        <w:t>The conditions specified in the spectrum licence</w:t>
      </w:r>
      <w:r w:rsidR="006C436E" w:rsidRPr="00FB063F">
        <w:rPr>
          <w:b/>
          <w:bCs/>
        </w:rPr>
        <w:t>.</w:t>
      </w:r>
      <w:r w:rsidR="006C436E">
        <w:t xml:space="preserve"> I</w:t>
      </w:r>
      <w:r w:rsidRPr="00602151">
        <w:t xml:space="preserve">n particular, the core conditions that define the spectrum space (both frequency and geographical area) and the level of emissions permitted inside and across the frequency boundaries of the licence (section 66 of the Act). Section 71 </w:t>
      </w:r>
      <w:r w:rsidR="00307949">
        <w:t xml:space="preserve">of the Act </w:t>
      </w:r>
      <w:r w:rsidRPr="00602151">
        <w:t xml:space="preserve">also provides for the ACMA to include other conditions in a spectrum licence. </w:t>
      </w:r>
    </w:p>
    <w:p w14:paraId="41EFA38D" w14:textId="2918B302" w:rsidR="008F4349" w:rsidRPr="00602151" w:rsidRDefault="008F4349" w:rsidP="008F4349">
      <w:pPr>
        <w:pStyle w:val="ListBullet"/>
      </w:pPr>
      <w:r w:rsidRPr="00FB063F">
        <w:rPr>
          <w:b/>
          <w:bCs/>
        </w:rPr>
        <w:t>A determination of unacceptable interference for the purpose of device registration in each band</w:t>
      </w:r>
      <w:r w:rsidRPr="00602151">
        <w:t xml:space="preserve"> </w:t>
      </w:r>
      <w:r w:rsidRPr="00FB063F">
        <w:rPr>
          <w:b/>
          <w:bCs/>
        </w:rPr>
        <w:t>(section 145 of the Act).</w:t>
      </w:r>
      <w:r w:rsidRPr="00CB7345">
        <w:t xml:space="preserve"> </w:t>
      </w:r>
      <w:r>
        <w:t xml:space="preserve">Under a spectrum licence, a radiocommunications device must not be used unless it is registered on the Register of Radiocommunications Licences or exempt from registration. </w:t>
      </w:r>
      <w:r w:rsidR="005E2A75">
        <w:t>We</w:t>
      </w:r>
      <w:r>
        <w:t xml:space="preserve"> may refuse to register a device if satisfied it would cause an unacceptable level of interference. A determination under section 145</w:t>
      </w:r>
      <w:r w:rsidRPr="00CB7345">
        <w:t xml:space="preserve"> defines </w:t>
      </w:r>
      <w:r>
        <w:t xml:space="preserve">what is an unacceptable level of interference, generally by reference to </w:t>
      </w:r>
      <w:r w:rsidRPr="00CB7345">
        <w:t>levels of emissions across geographical licence boundaries</w:t>
      </w:r>
      <w:r>
        <w:t>,</w:t>
      </w:r>
      <w:r w:rsidRPr="00CB7345">
        <w:t xml:space="preserve"> and also </w:t>
      </w:r>
      <w:r>
        <w:t>by reference to</w:t>
      </w:r>
      <w:r w:rsidRPr="00CB7345">
        <w:t xml:space="preserve"> various deployment</w:t>
      </w:r>
      <w:r>
        <w:t> </w:t>
      </w:r>
      <w:r w:rsidRPr="00CB7345">
        <w:t>constraints</w:t>
      </w:r>
      <w:r w:rsidRPr="00602151">
        <w:t>.</w:t>
      </w:r>
    </w:p>
    <w:p w14:paraId="21622B52" w14:textId="3398185D" w:rsidR="008F4349" w:rsidRPr="00602151" w:rsidRDefault="008F4349" w:rsidP="008F4349">
      <w:pPr>
        <w:pStyle w:val="ListBullet"/>
        <w:spacing w:after="240"/>
      </w:pPr>
      <w:r w:rsidRPr="00FB063F">
        <w:rPr>
          <w:b/>
          <w:bCs/>
        </w:rPr>
        <w:t>Radiocommunications advisory guidelines (RAG)</w:t>
      </w:r>
      <w:r w:rsidR="006C436E" w:rsidRPr="00FB063F">
        <w:rPr>
          <w:b/>
          <w:bCs/>
        </w:rPr>
        <w:t>.</w:t>
      </w:r>
      <w:r w:rsidR="006C436E">
        <w:t xml:space="preserve"> T</w:t>
      </w:r>
      <w:r w:rsidR="00064947">
        <w:t>hese</w:t>
      </w:r>
      <w:r w:rsidRPr="00602151">
        <w:t xml:space="preserve"> provide assistance and advice for coordination with stations </w:t>
      </w:r>
      <w:r>
        <w:t>providing</w:t>
      </w:r>
      <w:r w:rsidRPr="00602151">
        <w:t xml:space="preserve"> other services when and where required (section 262 of the Act). This includes detailing interference management </w:t>
      </w:r>
      <w:r>
        <w:t xml:space="preserve">guidelines in relation to </w:t>
      </w:r>
      <w:r w:rsidRPr="00602151">
        <w:t xml:space="preserve">apparatus </w:t>
      </w:r>
      <w:r>
        <w:t xml:space="preserve">licences </w:t>
      </w:r>
      <w:r w:rsidRPr="00602151">
        <w:t xml:space="preserve">and other spectrum licences. </w:t>
      </w:r>
    </w:p>
    <w:p w14:paraId="16DC5330" w14:textId="7FC37DA6" w:rsidR="000868F4" w:rsidRDefault="005E2A75" w:rsidP="008F4349">
      <w:pPr>
        <w:rPr>
          <w:rFonts w:cs="Arial"/>
          <w:bCs/>
          <w:iCs/>
        </w:rPr>
      </w:pPr>
      <w:r>
        <w:rPr>
          <w:rFonts w:cs="Arial"/>
          <w:bCs/>
          <w:iCs/>
        </w:rPr>
        <w:lastRenderedPageBreak/>
        <w:t>A</w:t>
      </w:r>
      <w:r w:rsidR="000868F4">
        <w:rPr>
          <w:rFonts w:cs="Arial"/>
          <w:bCs/>
          <w:iCs/>
        </w:rPr>
        <w:t xml:space="preserve">s stated in section 7 of the </w:t>
      </w:r>
      <w:hyperlink r:id="rId24" w:history="1">
        <w:r w:rsidR="000868F4" w:rsidRPr="00FB063F">
          <w:rPr>
            <w:rStyle w:val="Hyperlink"/>
            <w:rFonts w:cs="Arial"/>
            <w:bCs/>
          </w:rPr>
          <w:t>Australian Radiofrequency Spectrum Plan 2021</w:t>
        </w:r>
      </w:hyperlink>
      <w:r w:rsidR="000868F4">
        <w:rPr>
          <w:rFonts w:cs="Arial"/>
          <w:bCs/>
          <w:iCs/>
        </w:rPr>
        <w:t xml:space="preserve"> (</w:t>
      </w:r>
      <w:r>
        <w:rPr>
          <w:rFonts w:cs="Arial"/>
          <w:bCs/>
          <w:iCs/>
        </w:rPr>
        <w:t>the s</w:t>
      </w:r>
      <w:r w:rsidR="000868F4">
        <w:rPr>
          <w:rFonts w:cs="Arial"/>
          <w:bCs/>
          <w:iCs/>
        </w:rPr>
        <w:t xml:space="preserve">pectrum </w:t>
      </w:r>
      <w:r>
        <w:rPr>
          <w:rFonts w:cs="Arial"/>
          <w:bCs/>
          <w:iCs/>
        </w:rPr>
        <w:t>p</w:t>
      </w:r>
      <w:r w:rsidR="000868F4">
        <w:rPr>
          <w:rFonts w:cs="Arial"/>
          <w:bCs/>
          <w:iCs/>
        </w:rPr>
        <w:t xml:space="preserve">lan), services operating under a spectrum licence are taken to be a primary service unless the spectrum licence specifies otherwise. This provides devices operating under a spectrum licence the same status as other primary services defined in the </w:t>
      </w:r>
      <w:r>
        <w:rPr>
          <w:rFonts w:cs="Arial"/>
          <w:bCs/>
          <w:iCs/>
        </w:rPr>
        <w:t>s</w:t>
      </w:r>
      <w:r w:rsidR="000868F4">
        <w:rPr>
          <w:rFonts w:cs="Arial"/>
          <w:bCs/>
          <w:iCs/>
        </w:rPr>
        <w:t xml:space="preserve">pectrum </w:t>
      </w:r>
      <w:r>
        <w:rPr>
          <w:rFonts w:cs="Arial"/>
          <w:bCs/>
          <w:iCs/>
        </w:rPr>
        <w:t>p</w:t>
      </w:r>
      <w:r w:rsidR="000868F4">
        <w:rPr>
          <w:rFonts w:cs="Arial"/>
          <w:bCs/>
          <w:iCs/>
        </w:rPr>
        <w:t>lan. Other co-primary services could be authorised under another spectrum or apparatus licence and could operate on in-band or adjacent band frequencies. Guidance on how to manage interference with other co-primary (and secondary) services is provided in the RAGs.</w:t>
      </w:r>
    </w:p>
    <w:p w14:paraId="4E24AD20" w14:textId="1B9F0E80" w:rsidR="008F4349" w:rsidRDefault="008F4349" w:rsidP="008F4349">
      <w:pPr>
        <w:rPr>
          <w:rFonts w:cs="Arial"/>
          <w:bCs/>
          <w:iCs/>
        </w:rPr>
      </w:pPr>
      <w:r w:rsidRPr="00602151">
        <w:rPr>
          <w:rFonts w:cs="Arial"/>
          <w:bCs/>
          <w:iCs/>
        </w:rPr>
        <w:t>A more comprehensive explanation of</w:t>
      </w:r>
      <w:r w:rsidR="00585EE5">
        <w:rPr>
          <w:rFonts w:cs="Arial"/>
          <w:bCs/>
          <w:iCs/>
        </w:rPr>
        <w:t xml:space="preserve"> the</w:t>
      </w:r>
      <w:r w:rsidRPr="00602151">
        <w:rPr>
          <w:rFonts w:cs="Arial"/>
          <w:bCs/>
          <w:iCs/>
        </w:rPr>
        <w:t xml:space="preserve"> spectrum licence technical frameworks is provided in the document </w:t>
      </w:r>
      <w:hyperlink r:id="rId25" w:history="1">
        <w:r w:rsidR="005E2A75" w:rsidRPr="005E2A75">
          <w:rPr>
            <w:rStyle w:val="Hyperlink"/>
            <w:rFonts w:cs="Arial"/>
            <w:bCs/>
            <w:i/>
            <w:iCs/>
          </w:rPr>
          <w:t>Spectrum licensees</w:t>
        </w:r>
        <w:r w:rsidRPr="005E2A75">
          <w:rPr>
            <w:rStyle w:val="Hyperlink"/>
            <w:rFonts w:cs="Arial"/>
            <w:bCs/>
          </w:rPr>
          <w:t xml:space="preserve"> </w:t>
        </w:r>
        <w:r w:rsidRPr="005E2A75">
          <w:rPr>
            <w:rStyle w:val="Hyperlink"/>
            <w:rFonts w:cs="Arial"/>
            <w:bCs/>
            <w:i/>
            <w:iCs/>
          </w:rPr>
          <w:t>– know your obligations</w:t>
        </w:r>
      </w:hyperlink>
      <w:r w:rsidRPr="0038741C">
        <w:rPr>
          <w:rFonts w:cs="Arial"/>
          <w:bCs/>
          <w:iCs/>
        </w:rPr>
        <w:t>.</w:t>
      </w:r>
    </w:p>
    <w:p w14:paraId="31253861" w14:textId="79E5D237" w:rsidR="008F4349" w:rsidRDefault="008F4349" w:rsidP="008F4349">
      <w:pPr>
        <w:pStyle w:val="Heading2"/>
      </w:pPr>
      <w:bookmarkStart w:id="5" w:name="_Toc118276419"/>
      <w:r>
        <w:t>Timeline for implementation of sunsetting decisions</w:t>
      </w:r>
      <w:bookmarkEnd w:id="5"/>
    </w:p>
    <w:p w14:paraId="43D3912F" w14:textId="7C7602BA" w:rsidR="006C23F9" w:rsidRDefault="008F4349" w:rsidP="00307085">
      <w:r>
        <w:t>The</w:t>
      </w:r>
      <w:r w:rsidR="006C23F9">
        <w:t xml:space="preserve"> current technical framework</w:t>
      </w:r>
      <w:r>
        <w:t xml:space="preserve"> </w:t>
      </w:r>
      <w:r w:rsidR="00307085">
        <w:t>instruments</w:t>
      </w:r>
      <w:r>
        <w:t xml:space="preserve"> are due to sunset on </w:t>
      </w:r>
      <w:r w:rsidR="001A19A4">
        <w:t xml:space="preserve">1 </w:t>
      </w:r>
      <w:r w:rsidR="00307085">
        <w:t>April 2023</w:t>
      </w:r>
      <w:r>
        <w:t xml:space="preserve">. </w:t>
      </w:r>
      <w:r w:rsidR="006C23F9">
        <w:t xml:space="preserve">This means </w:t>
      </w:r>
      <w:r w:rsidR="00585EE5">
        <w:t xml:space="preserve">that </w:t>
      </w:r>
      <w:r w:rsidR="006C23F9">
        <w:t>t</w:t>
      </w:r>
      <w:r w:rsidR="00307085">
        <w:t xml:space="preserve">he </w:t>
      </w:r>
      <w:r w:rsidR="006C23F9">
        <w:t xml:space="preserve">new technical framework </w:t>
      </w:r>
      <w:r w:rsidR="00307085">
        <w:t>instruments</w:t>
      </w:r>
      <w:r w:rsidR="00C07787">
        <w:t xml:space="preserve"> made to replace them</w:t>
      </w:r>
      <w:r w:rsidR="00307085">
        <w:t xml:space="preserve"> need to be </w:t>
      </w:r>
      <w:r w:rsidR="006C23F9">
        <w:t xml:space="preserve">in force </w:t>
      </w:r>
      <w:r w:rsidR="00585EE5">
        <w:t>by that</w:t>
      </w:r>
      <w:r w:rsidR="00307085">
        <w:t xml:space="preserve"> date.</w:t>
      </w:r>
      <w:r w:rsidR="006C23F9">
        <w:t xml:space="preserve"> </w:t>
      </w:r>
      <w:r w:rsidR="005E2A75">
        <w:t xml:space="preserve">We </w:t>
      </w:r>
      <w:r w:rsidR="00585EE5">
        <w:t xml:space="preserve">will </w:t>
      </w:r>
      <w:r w:rsidR="00C07787">
        <w:t>make the new technical framework instrument</w:t>
      </w:r>
      <w:r w:rsidR="00585EE5">
        <w:t>s</w:t>
      </w:r>
      <w:r w:rsidR="00C07787">
        <w:t xml:space="preserve"> </w:t>
      </w:r>
      <w:r w:rsidR="006C23F9">
        <w:t xml:space="preserve">in </w:t>
      </w:r>
      <w:r w:rsidR="005E2A75">
        <w:t xml:space="preserve">the first quarter of </w:t>
      </w:r>
      <w:r w:rsidR="006C23F9">
        <w:t>2023 after considering the outcomes of this consultation process.</w:t>
      </w:r>
      <w:r w:rsidR="00C07787">
        <w:t xml:space="preserve"> </w:t>
      </w:r>
      <w:r w:rsidR="006C23F9">
        <w:t xml:space="preserve">It is intended that the new technical framework instruments </w:t>
      </w:r>
      <w:r w:rsidR="00C07787">
        <w:t xml:space="preserve">will </w:t>
      </w:r>
      <w:r w:rsidR="006C23F9">
        <w:t xml:space="preserve">revoke the </w:t>
      </w:r>
      <w:r w:rsidR="00C07787">
        <w:t>current</w:t>
      </w:r>
      <w:r w:rsidR="006C23F9">
        <w:t xml:space="preserve"> ones </w:t>
      </w:r>
      <w:r w:rsidR="000F615D">
        <w:t>so as to avoid duplication</w:t>
      </w:r>
      <w:r w:rsidR="006C23F9">
        <w:t xml:space="preserve">. </w:t>
      </w:r>
    </w:p>
    <w:p w14:paraId="60CA1029" w14:textId="5653A1CA" w:rsidR="00C558B2" w:rsidRDefault="006C23F9" w:rsidP="00307085">
      <w:r>
        <w:t xml:space="preserve">Spectrum licences in some bands will also need to be amended to incorporate any remade technical framework instruments. </w:t>
      </w:r>
      <w:r w:rsidR="00C558B2">
        <w:t>W</w:t>
      </w:r>
      <w:r w:rsidR="00C07787">
        <w:t>h</w:t>
      </w:r>
      <w:r w:rsidR="00C558B2">
        <w:t xml:space="preserve">ere required, </w:t>
      </w:r>
      <w:r w:rsidR="002917D6">
        <w:t>we</w:t>
      </w:r>
      <w:r w:rsidR="00C558B2">
        <w:t xml:space="preserve"> will also work with spectrum licensees to seek their agreement to make relevant amendments to their licences.</w:t>
      </w:r>
      <w:r>
        <w:t xml:space="preserve"> </w:t>
      </w:r>
    </w:p>
    <w:p w14:paraId="7C0E2BD4" w14:textId="77777777" w:rsidR="00124C2E" w:rsidRDefault="00124C2E">
      <w:pPr>
        <w:spacing w:after="0" w:line="240" w:lineRule="auto"/>
      </w:pPr>
      <w:r>
        <w:br w:type="page"/>
      </w:r>
    </w:p>
    <w:p w14:paraId="0B6ED44B" w14:textId="222D9D2C" w:rsidR="00680DD7" w:rsidRDefault="00BC3A03" w:rsidP="00124C2E">
      <w:pPr>
        <w:pStyle w:val="Heading1"/>
      </w:pPr>
      <w:bookmarkStart w:id="6" w:name="_Toc118276420"/>
      <w:r>
        <w:lastRenderedPageBreak/>
        <w:t>Proposed instrument considerations</w:t>
      </w:r>
      <w:bookmarkEnd w:id="6"/>
    </w:p>
    <w:p w14:paraId="0C87B3E9" w14:textId="062D7962" w:rsidR="00BC3A03" w:rsidRDefault="00D704C9" w:rsidP="00124C2E">
      <w:r>
        <w:t xml:space="preserve">As part of the review of the sunsetting </w:t>
      </w:r>
      <w:r w:rsidR="00C558B2">
        <w:t>technical framework</w:t>
      </w:r>
      <w:r>
        <w:t xml:space="preserve"> instruments, </w:t>
      </w:r>
      <w:r w:rsidR="008E6927">
        <w:t>we</w:t>
      </w:r>
      <w:r>
        <w:t xml:space="preserve"> assessed each individual instrument to </w:t>
      </w:r>
      <w:r w:rsidR="00AF0E17">
        <w:t xml:space="preserve">determine if </w:t>
      </w:r>
      <w:r>
        <w:t xml:space="preserve">it </w:t>
      </w:r>
      <w:r w:rsidR="00AF0E17">
        <w:t xml:space="preserve">was </w:t>
      </w:r>
      <w:r>
        <w:t xml:space="preserve">still required. </w:t>
      </w:r>
      <w:r w:rsidR="008E6927">
        <w:t xml:space="preserve">We </w:t>
      </w:r>
      <w:r>
        <w:t xml:space="preserve">concluded that the content of each instrument </w:t>
      </w:r>
      <w:r w:rsidR="00C7077A">
        <w:t>i</w:t>
      </w:r>
      <w:r>
        <w:t>s still required</w:t>
      </w:r>
      <w:r w:rsidR="008E6927">
        <w:t>,</w:t>
      </w:r>
      <w:r w:rsidR="00BE2B11">
        <w:t xml:space="preserve"> though some, mostly minor, amendments should be implemented</w:t>
      </w:r>
      <w:r>
        <w:t xml:space="preserve">. As such, the ACMA is not intending to </w:t>
      </w:r>
      <w:r w:rsidR="0028204C">
        <w:t xml:space="preserve">significantly </w:t>
      </w:r>
      <w:r>
        <w:t xml:space="preserve">alter the </w:t>
      </w:r>
      <w:r w:rsidR="008E7D94">
        <w:t xml:space="preserve">content </w:t>
      </w:r>
      <w:r>
        <w:t>of the</w:t>
      </w:r>
      <w:r w:rsidR="0028204C">
        <w:t xml:space="preserve"> instruments. The majority of changes to these instruments will be to ensure </w:t>
      </w:r>
      <w:r w:rsidR="00AF0E17">
        <w:t xml:space="preserve">consistency </w:t>
      </w:r>
      <w:r w:rsidR="0028204C">
        <w:t xml:space="preserve">between </w:t>
      </w:r>
      <w:r w:rsidR="00DF1523">
        <w:t xml:space="preserve">technical frameworks relevant to the </w:t>
      </w:r>
      <w:r w:rsidR="0028204C">
        <w:t xml:space="preserve">bands. </w:t>
      </w:r>
      <w:r w:rsidR="008E7D94">
        <w:t xml:space="preserve">This includes changes made as part of the recent </w:t>
      </w:r>
      <w:r w:rsidR="008E7D94" w:rsidRPr="00602151">
        <w:t xml:space="preserve">development and review of technical frameworks </w:t>
      </w:r>
      <w:r w:rsidR="008E7D94">
        <w:t>for</w:t>
      </w:r>
      <w:r w:rsidR="008E7D94" w:rsidRPr="00602151">
        <w:t xml:space="preserve"> the </w:t>
      </w:r>
      <w:r w:rsidR="008E7D94">
        <w:t xml:space="preserve">850/900 MHz, 1800 MHz, 2.3 GHz, </w:t>
      </w:r>
      <w:r w:rsidR="008E7D94" w:rsidRPr="00602151">
        <w:t>3.4 GHz and 26 GHz bands.</w:t>
      </w:r>
      <w:r w:rsidR="008E7D94">
        <w:t xml:space="preserve"> </w:t>
      </w:r>
      <w:r w:rsidR="0028204C">
        <w:t xml:space="preserve"> </w:t>
      </w:r>
    </w:p>
    <w:p w14:paraId="6B9657C5" w14:textId="199645F3" w:rsidR="00157FBA" w:rsidRDefault="00775A2E" w:rsidP="00124C2E">
      <w:r>
        <w:t>Drafts of the</w:t>
      </w:r>
      <w:r w:rsidR="00157FBA">
        <w:t xml:space="preserve"> proposed remade </w:t>
      </w:r>
      <w:r w:rsidR="009B634B">
        <w:t xml:space="preserve">technical framework </w:t>
      </w:r>
      <w:r w:rsidR="00157FBA">
        <w:t xml:space="preserve">instruments for </w:t>
      </w:r>
      <w:r>
        <w:t>e</w:t>
      </w:r>
      <w:r w:rsidR="00157FBA">
        <w:t xml:space="preserve">ach band can be found </w:t>
      </w:r>
      <w:r w:rsidR="008E6927">
        <w:t>in the key documents section of the consultation page</w:t>
      </w:r>
      <w:r w:rsidR="00157FBA">
        <w:t>.</w:t>
      </w:r>
    </w:p>
    <w:p w14:paraId="02D3CF4F" w14:textId="39B1FA4B" w:rsidR="00BC3A03" w:rsidRDefault="00BC3A03" w:rsidP="00BC3A03">
      <w:pPr>
        <w:pStyle w:val="Heading2"/>
      </w:pPr>
      <w:bookmarkStart w:id="7" w:name="_Non-band_specific_changes"/>
      <w:bookmarkStart w:id="8" w:name="_Toc118276421"/>
      <w:bookmarkEnd w:id="7"/>
      <w:r>
        <w:t>Non-band specific changes</w:t>
      </w:r>
      <w:bookmarkEnd w:id="8"/>
    </w:p>
    <w:p w14:paraId="5ACC7407" w14:textId="3506283C" w:rsidR="004432EA" w:rsidRDefault="00D704C9" w:rsidP="00D704C9">
      <w:r>
        <w:t>While the</w:t>
      </w:r>
      <w:r w:rsidR="00BE2B11">
        <w:t xml:space="preserve"> technical framework</w:t>
      </w:r>
      <w:r>
        <w:t xml:space="preserve"> instruments for each spectrum</w:t>
      </w:r>
      <w:r w:rsidR="006C436E">
        <w:t>-</w:t>
      </w:r>
      <w:r>
        <w:t>licen</w:t>
      </w:r>
      <w:r w:rsidR="00AF0E17">
        <w:t>s</w:t>
      </w:r>
      <w:r>
        <w:t xml:space="preserve">ed band are band specific, they do share </w:t>
      </w:r>
      <w:r w:rsidR="00BE2B11">
        <w:t xml:space="preserve">some </w:t>
      </w:r>
      <w:r>
        <w:t xml:space="preserve">common aspects. The ACMA is using this process to ensure, where possible, there is </w:t>
      </w:r>
      <w:r w:rsidR="00AF0E17">
        <w:t xml:space="preserve">consistency </w:t>
      </w:r>
      <w:r>
        <w:t>between these instruments</w:t>
      </w:r>
      <w:r w:rsidR="004C19CB">
        <w:t xml:space="preserve">. This includes incorporating changes made as part of </w:t>
      </w:r>
      <w:r w:rsidR="00BE2B11">
        <w:t>our</w:t>
      </w:r>
      <w:r w:rsidR="004C19CB">
        <w:t xml:space="preserve"> </w:t>
      </w:r>
      <w:hyperlink r:id="rId26" w:history="1">
        <w:r w:rsidR="00342B31">
          <w:rPr>
            <w:rStyle w:val="Hyperlink"/>
          </w:rPr>
          <w:t>ongoing program to review the technical frameworks of existing spectrum licence bands</w:t>
        </w:r>
      </w:hyperlink>
      <w:r w:rsidR="002F1C97">
        <w:t xml:space="preserve"> to ensure </w:t>
      </w:r>
      <w:r w:rsidR="002F1C97" w:rsidRPr="00C81938">
        <w:t>currency and consistency with current technologies and operational practices</w:t>
      </w:r>
      <w:r w:rsidR="002F1C97">
        <w:t>.</w:t>
      </w:r>
    </w:p>
    <w:p w14:paraId="76D5AD22" w14:textId="19A44F6F" w:rsidR="005A3C40" w:rsidRDefault="00BE42CE" w:rsidP="005A3C40">
      <w:pPr>
        <w:pStyle w:val="Heading3"/>
      </w:pPr>
      <w:r w:rsidRPr="00BE42CE">
        <w:t xml:space="preserve">Radiocommunications Advisory Guidelines (Managing Interference from </w:t>
      </w:r>
      <w:r w:rsidR="000F615D">
        <w:t>S</w:t>
      </w:r>
      <w:r w:rsidR="00BE2B11">
        <w:t xml:space="preserve">pectrum </w:t>
      </w:r>
      <w:r w:rsidR="000F615D">
        <w:t>L</w:t>
      </w:r>
      <w:r w:rsidR="00BE2B11">
        <w:t xml:space="preserve">icensed </w:t>
      </w:r>
      <w:r w:rsidR="00B04780">
        <w:t>T</w:t>
      </w:r>
      <w:r w:rsidRPr="00BE42CE">
        <w:t>ransmitters</w:t>
      </w:r>
      <w:r>
        <w:t>) (</w:t>
      </w:r>
      <w:r w:rsidR="005A3C40">
        <w:t>RAG T</w:t>
      </w:r>
      <w:r w:rsidR="0028204C">
        <w:t>x</w:t>
      </w:r>
      <w:r>
        <w:t>)</w:t>
      </w:r>
    </w:p>
    <w:p w14:paraId="57A5762A" w14:textId="3544C2EC" w:rsidR="005F5906" w:rsidRPr="00BE2B11" w:rsidRDefault="003C14E8" w:rsidP="005F5906">
      <w:pPr>
        <w:pStyle w:val="Paragraph"/>
        <w:rPr>
          <w:highlight w:val="green"/>
        </w:rPr>
      </w:pPr>
      <w:r>
        <w:t xml:space="preserve">The RAG Tx </w:t>
      </w:r>
      <w:r w:rsidR="00BE2B11">
        <w:t xml:space="preserve">generally provides guidance on </w:t>
      </w:r>
      <w:r>
        <w:t xml:space="preserve">coordination between </w:t>
      </w:r>
      <w:r w:rsidR="002F1C97">
        <w:t>s</w:t>
      </w:r>
      <w:r>
        <w:t>pectrum</w:t>
      </w:r>
      <w:r w:rsidR="006C436E">
        <w:t>-</w:t>
      </w:r>
      <w:r w:rsidR="002F1C97">
        <w:t>l</w:t>
      </w:r>
      <w:r>
        <w:t>icen</w:t>
      </w:r>
      <w:r w:rsidR="00CF0FDD">
        <w:t>s</w:t>
      </w:r>
      <w:r>
        <w:t xml:space="preserve">ed transmitters </w:t>
      </w:r>
      <w:r w:rsidR="00BE2B11">
        <w:t>and</w:t>
      </w:r>
      <w:r>
        <w:t xml:space="preserve"> receivers</w:t>
      </w:r>
      <w:r w:rsidR="00BE2B11">
        <w:t xml:space="preserve"> operating under apparatus and class licences</w:t>
      </w:r>
      <w:r>
        <w:t xml:space="preserve">. </w:t>
      </w:r>
      <w:r w:rsidR="00FE23A7">
        <w:t>T</w:t>
      </w:r>
      <w:r>
        <w:t>h</w:t>
      </w:r>
      <w:r w:rsidR="00A504AB">
        <w:t xml:space="preserve">e non-band specific changes to the RAG Tx </w:t>
      </w:r>
      <w:r w:rsidR="003114AE">
        <w:t xml:space="preserve">proposed to be made </w:t>
      </w:r>
      <w:r w:rsidR="0074514A">
        <w:t>include</w:t>
      </w:r>
      <w:r w:rsidR="003114AE">
        <w:t xml:space="preserve"> </w:t>
      </w:r>
      <w:r w:rsidR="00A504AB">
        <w:t>f</w:t>
      </w:r>
      <w:r w:rsidR="00063A35">
        <w:t>ormatting</w:t>
      </w:r>
      <w:r w:rsidR="00A504AB">
        <w:t xml:space="preserve">, </w:t>
      </w:r>
      <w:r>
        <w:t>structure</w:t>
      </w:r>
      <w:r w:rsidR="00A504AB">
        <w:t xml:space="preserve"> and definitions</w:t>
      </w:r>
      <w:r w:rsidR="00EB0549">
        <w:t xml:space="preserve"> to ensure </w:t>
      </w:r>
      <w:r w:rsidR="00CF0FDD">
        <w:t xml:space="preserve">consistency </w:t>
      </w:r>
      <w:r w:rsidR="00EB0549">
        <w:t xml:space="preserve">across </w:t>
      </w:r>
      <w:r w:rsidR="00EB0549" w:rsidRPr="00414EBC">
        <w:t>the bands</w:t>
      </w:r>
      <w:r w:rsidR="001B5693" w:rsidRPr="00414EBC">
        <w:t>.</w:t>
      </w:r>
      <w:r w:rsidR="005F5906" w:rsidRPr="00BE2B11">
        <w:t xml:space="preserve"> </w:t>
      </w:r>
    </w:p>
    <w:p w14:paraId="01562F9A" w14:textId="0AA26E7C" w:rsidR="004432EA" w:rsidRDefault="00FE23A7" w:rsidP="005F5906">
      <w:pPr>
        <w:pStyle w:val="Paragraph"/>
      </w:pPr>
      <w:r w:rsidRPr="00BE2B11">
        <w:t>The</w:t>
      </w:r>
      <w:r w:rsidR="00940D96">
        <w:t xml:space="preserve"> </w:t>
      </w:r>
      <w:hyperlink r:id="rId27" w:history="1">
        <w:r w:rsidR="00940D96" w:rsidRPr="00FB063F">
          <w:rPr>
            <w:rStyle w:val="Hyperlink"/>
          </w:rPr>
          <w:t>Radiocommunications (Mid-West Radio Quiet Zone) Frequency Band Plan 2011</w:t>
        </w:r>
      </w:hyperlink>
      <w:r w:rsidR="00940D96">
        <w:t xml:space="preserve"> </w:t>
      </w:r>
      <w:r w:rsidR="002541F3" w:rsidRPr="00BE2B11">
        <w:t>(ARQZWA band plan)</w:t>
      </w:r>
      <w:r w:rsidRPr="00BE2B11">
        <w:t xml:space="preserve">, which is referenced in </w:t>
      </w:r>
      <w:r w:rsidR="002541F3" w:rsidRPr="00BE2B11">
        <w:t>the RAG T</w:t>
      </w:r>
      <w:r w:rsidR="00F93C5B">
        <w:t>x</w:t>
      </w:r>
      <w:r w:rsidR="002541F3" w:rsidRPr="00BE2B11">
        <w:t xml:space="preserve"> for the </w:t>
      </w:r>
      <w:r w:rsidRPr="00BE2B11">
        <w:t xml:space="preserve">700 MHz, 2.5 GHz and 2.5 GHz Mid-Band Gap bands, </w:t>
      </w:r>
      <w:r w:rsidR="002541F3" w:rsidRPr="00BE2B11">
        <w:t xml:space="preserve">will also sunset on 1 April 2023. We are consulting on remaking the ARQZWA band plan in parallel to this process. Pending the outcome of that consultation, our intention is to update references in the RAG Tx to </w:t>
      </w:r>
      <w:r w:rsidR="0074514A">
        <w:t>refer</w:t>
      </w:r>
      <w:r w:rsidR="0074514A" w:rsidRPr="00BE2B11">
        <w:t xml:space="preserve"> </w:t>
      </w:r>
      <w:r w:rsidR="002541F3" w:rsidRPr="00BE2B11">
        <w:t xml:space="preserve">to the remade instrument. </w:t>
      </w:r>
    </w:p>
    <w:p w14:paraId="18C7C299" w14:textId="6C4B7059" w:rsidR="00BE42CE" w:rsidRDefault="00BE42CE" w:rsidP="00BE42CE">
      <w:pPr>
        <w:pStyle w:val="Heading3"/>
      </w:pPr>
      <w:bookmarkStart w:id="9" w:name="_Hlk115785942"/>
      <w:r w:rsidRPr="00BE42CE">
        <w:t xml:space="preserve">Radiocommunications Advisory Guidelines (Managing Interference </w:t>
      </w:r>
      <w:r w:rsidR="000A02AD">
        <w:t xml:space="preserve">to </w:t>
      </w:r>
      <w:r w:rsidR="0074514A">
        <w:t>S</w:t>
      </w:r>
      <w:r w:rsidR="00BE2B11">
        <w:t xml:space="preserve">pectrum </w:t>
      </w:r>
      <w:r w:rsidR="0074514A">
        <w:t>L</w:t>
      </w:r>
      <w:r w:rsidR="00BE2B11">
        <w:t xml:space="preserve">icensed </w:t>
      </w:r>
      <w:r w:rsidR="0074514A">
        <w:t>R</w:t>
      </w:r>
      <w:r w:rsidR="000A02AD">
        <w:t>eceivers</w:t>
      </w:r>
      <w:r w:rsidR="006D1D33">
        <w:t>)</w:t>
      </w:r>
      <w:r w:rsidR="000A02AD">
        <w:t xml:space="preserve"> </w:t>
      </w:r>
      <w:bookmarkEnd w:id="9"/>
      <w:r>
        <w:t xml:space="preserve">(RAG </w:t>
      </w:r>
      <w:r w:rsidR="000A02AD">
        <w:t>R</w:t>
      </w:r>
      <w:r>
        <w:t>x)</w:t>
      </w:r>
    </w:p>
    <w:p w14:paraId="783618A6" w14:textId="29F6ABBB" w:rsidR="00673036" w:rsidRPr="0060399A" w:rsidRDefault="003C14E8" w:rsidP="003C14E8">
      <w:pPr>
        <w:pStyle w:val="Paragraph"/>
      </w:pPr>
      <w:r>
        <w:t xml:space="preserve">The RAG Rx </w:t>
      </w:r>
      <w:r w:rsidR="00153C1C" w:rsidRPr="0060399A">
        <w:t xml:space="preserve">provide guidance on the protection of </w:t>
      </w:r>
      <w:r w:rsidRPr="0060399A">
        <w:t>spectrum</w:t>
      </w:r>
      <w:r w:rsidR="006C436E">
        <w:t>-</w:t>
      </w:r>
      <w:r w:rsidRPr="0060399A">
        <w:t>licen</w:t>
      </w:r>
      <w:r w:rsidR="00CF0FDD" w:rsidRPr="0060399A">
        <w:t>s</w:t>
      </w:r>
      <w:r w:rsidRPr="0060399A">
        <w:t xml:space="preserve">ed receivers. </w:t>
      </w:r>
      <w:r w:rsidR="00EB0549" w:rsidRPr="0060399A">
        <w:t xml:space="preserve">All the </w:t>
      </w:r>
      <w:r w:rsidRPr="0060399A">
        <w:t xml:space="preserve">RAG </w:t>
      </w:r>
      <w:r w:rsidR="00334FA2" w:rsidRPr="0060399A">
        <w:t>R</w:t>
      </w:r>
      <w:r w:rsidRPr="0060399A">
        <w:t>x</w:t>
      </w:r>
      <w:r w:rsidR="00EB0549" w:rsidRPr="0060399A">
        <w:t xml:space="preserve"> instruments’</w:t>
      </w:r>
      <w:r w:rsidRPr="0060399A">
        <w:t xml:space="preserve"> formatting, structure, </w:t>
      </w:r>
      <w:r w:rsidR="00EB0549" w:rsidRPr="0060399A">
        <w:t xml:space="preserve">and definitions </w:t>
      </w:r>
      <w:r w:rsidR="0074514A">
        <w:t>are proposed</w:t>
      </w:r>
      <w:r w:rsidR="00EB0549" w:rsidRPr="0060399A">
        <w:t xml:space="preserve"> to ensure </w:t>
      </w:r>
      <w:r w:rsidR="00CF0FDD" w:rsidRPr="0060399A">
        <w:t xml:space="preserve">consistency </w:t>
      </w:r>
      <w:r w:rsidR="00EB0549" w:rsidRPr="0060399A">
        <w:t>across the bands</w:t>
      </w:r>
      <w:r w:rsidR="001B5693" w:rsidRPr="0060399A">
        <w:t>.</w:t>
      </w:r>
    </w:p>
    <w:p w14:paraId="61D86DDC" w14:textId="2BADEA71" w:rsidR="008F594E" w:rsidRDefault="009F30E8" w:rsidP="00BC3A03">
      <w:pPr>
        <w:pStyle w:val="Paragraph"/>
      </w:pPr>
      <w:r>
        <w:t>T</w:t>
      </w:r>
      <w:r w:rsidR="0060399A">
        <w:t xml:space="preserve">he </w:t>
      </w:r>
      <w:r w:rsidR="00855B19" w:rsidRPr="008F594E">
        <w:t xml:space="preserve">RAG Rx </w:t>
      </w:r>
      <w:r w:rsidR="0060399A">
        <w:t xml:space="preserve">for the 1800 MHz, 2.5 GHz and 2.5 GHz </w:t>
      </w:r>
      <w:r w:rsidR="00366F78">
        <w:t>m</w:t>
      </w:r>
      <w:r w:rsidR="0060399A">
        <w:t>id-</w:t>
      </w:r>
      <w:r w:rsidR="00366F78">
        <w:t>b</w:t>
      </w:r>
      <w:r w:rsidR="0060399A">
        <w:t xml:space="preserve">and </w:t>
      </w:r>
      <w:r w:rsidR="00366F78">
        <w:t>g</w:t>
      </w:r>
      <w:r w:rsidR="0060399A">
        <w:t xml:space="preserve">ap </w:t>
      </w:r>
      <w:r>
        <w:t xml:space="preserve">indicate that </w:t>
      </w:r>
      <w:r w:rsidR="00855B19" w:rsidRPr="008F594E">
        <w:t>spectrum</w:t>
      </w:r>
      <w:r w:rsidR="006C436E">
        <w:t>-</w:t>
      </w:r>
      <w:r w:rsidR="00855B19" w:rsidRPr="008F594E">
        <w:t xml:space="preserve">licensed receivers </w:t>
      </w:r>
      <w:r>
        <w:t xml:space="preserve">are not afforded protection </w:t>
      </w:r>
      <w:r w:rsidR="00855B19" w:rsidRPr="008F594E">
        <w:t xml:space="preserve">from </w:t>
      </w:r>
      <w:r w:rsidR="004432EA">
        <w:t xml:space="preserve">transmitters operating under an </w:t>
      </w:r>
      <w:r w:rsidR="00855B19" w:rsidRPr="008F594E">
        <w:t xml:space="preserve">apparatus licence </w:t>
      </w:r>
      <w:r w:rsidR="00366F78">
        <w:t>that</w:t>
      </w:r>
      <w:r w:rsidR="00366F78" w:rsidRPr="008F594E">
        <w:t xml:space="preserve"> </w:t>
      </w:r>
      <w:r w:rsidR="00855B19" w:rsidRPr="008F594E">
        <w:t>w</w:t>
      </w:r>
      <w:r w:rsidR="004432EA">
        <w:t>as</w:t>
      </w:r>
      <w:r w:rsidR="00855B19" w:rsidRPr="008F594E">
        <w:t xml:space="preserve"> issued before a specified date. Th</w:t>
      </w:r>
      <w:r w:rsidR="00DE62CA">
        <w:t>is</w:t>
      </w:r>
      <w:r w:rsidR="00855B19" w:rsidRPr="008F594E">
        <w:t xml:space="preserve"> date is </w:t>
      </w:r>
      <w:r w:rsidR="00DE62CA">
        <w:t>usually</w:t>
      </w:r>
      <w:r w:rsidR="00855B19" w:rsidRPr="008F594E">
        <w:t xml:space="preserve"> </w:t>
      </w:r>
      <w:r w:rsidR="00DE62CA">
        <w:t xml:space="preserve">either </w:t>
      </w:r>
      <w:r w:rsidR="00855B19" w:rsidRPr="008F594E">
        <w:t>the date</w:t>
      </w:r>
      <w:r w:rsidR="00FB063F">
        <w:t>-</w:t>
      </w:r>
      <w:r w:rsidR="00855B19" w:rsidRPr="008F594E">
        <w:t xml:space="preserve">defined areas </w:t>
      </w:r>
      <w:r w:rsidR="00FB063F">
        <w:t xml:space="preserve">– </w:t>
      </w:r>
      <w:r w:rsidR="00855B19" w:rsidRPr="008F594E">
        <w:t xml:space="preserve">and frequencies were re-allocated for the issue of spectrum licences </w:t>
      </w:r>
      <w:r w:rsidR="00FB063F">
        <w:t xml:space="preserve">– </w:t>
      </w:r>
      <w:r w:rsidR="00855B19" w:rsidRPr="008F594E">
        <w:t>or the commencement date of the associated marketing plan</w:t>
      </w:r>
      <w:r w:rsidR="0060399A" w:rsidRPr="008F594E">
        <w:t xml:space="preserve"> for the allocation of spectrum licences</w:t>
      </w:r>
      <w:r w:rsidR="00DE62CA">
        <w:t xml:space="preserve"> in the band</w:t>
      </w:r>
      <w:r w:rsidR="00855B19" w:rsidRPr="008F594E">
        <w:t>. Our review analysed each band to determine if this guidance was still required</w:t>
      </w:r>
      <w:r w:rsidR="00366F78">
        <w:t xml:space="preserve">. This is, </w:t>
      </w:r>
      <w:r w:rsidR="00855B19" w:rsidRPr="008F594E">
        <w:t xml:space="preserve">whether there were still any </w:t>
      </w:r>
      <w:r w:rsidR="0060399A" w:rsidRPr="008F594E">
        <w:t xml:space="preserve">apparatus </w:t>
      </w:r>
      <w:r w:rsidR="00855B19" w:rsidRPr="008F594E">
        <w:t xml:space="preserve">licences issued that it applied to. For the 2.5 GHz and 2.5 GHz </w:t>
      </w:r>
      <w:r w:rsidR="00366F78">
        <w:t>m</w:t>
      </w:r>
      <w:r w:rsidR="00855B19" w:rsidRPr="008F594E">
        <w:t>id-</w:t>
      </w:r>
      <w:r w:rsidR="00366F78">
        <w:t>b</w:t>
      </w:r>
      <w:r w:rsidR="00855B19" w:rsidRPr="008F594E">
        <w:t xml:space="preserve">and </w:t>
      </w:r>
      <w:r w:rsidR="00366F78">
        <w:t>g</w:t>
      </w:r>
      <w:r w:rsidR="00855B19" w:rsidRPr="008F594E">
        <w:t>ap,</w:t>
      </w:r>
      <w:r w:rsidR="00414EBC" w:rsidRPr="008F594E">
        <w:t xml:space="preserve"> </w:t>
      </w:r>
      <w:r w:rsidR="00855B19" w:rsidRPr="008F594E">
        <w:t>the</w:t>
      </w:r>
      <w:r w:rsidR="0060399A">
        <w:t xml:space="preserve"> technical framework</w:t>
      </w:r>
      <w:r w:rsidR="00855B19" w:rsidRPr="008F594E">
        <w:t xml:space="preserve"> instruments </w:t>
      </w:r>
      <w:r w:rsidR="0074514A">
        <w:t>are proposed to be</w:t>
      </w:r>
      <w:r w:rsidR="0074514A" w:rsidRPr="008F594E">
        <w:t xml:space="preserve"> </w:t>
      </w:r>
      <w:r w:rsidR="00855B19" w:rsidRPr="008F594E">
        <w:t xml:space="preserve">updated to remove these </w:t>
      </w:r>
      <w:r w:rsidR="00855B19" w:rsidRPr="008F594E">
        <w:lastRenderedPageBreak/>
        <w:t>provisions as they</w:t>
      </w:r>
      <w:r w:rsidR="0074514A">
        <w:t xml:space="preserve"> are</w:t>
      </w:r>
      <w:r w:rsidR="00183215">
        <w:t xml:space="preserve"> </w:t>
      </w:r>
      <w:r w:rsidR="00855B19" w:rsidRPr="008F594E">
        <w:t>no longer required.</w:t>
      </w:r>
      <w:r w:rsidR="0060399A">
        <w:t xml:space="preserve"> However, </w:t>
      </w:r>
      <w:r w:rsidR="0074514A">
        <w:t xml:space="preserve">this guidance </w:t>
      </w:r>
      <w:r w:rsidR="0060399A">
        <w:t xml:space="preserve">is </w:t>
      </w:r>
      <w:r w:rsidR="00183215">
        <w:t xml:space="preserve">proposed to be </w:t>
      </w:r>
      <w:r w:rsidR="0060399A">
        <w:t xml:space="preserve">retained in the 1800 MHz band RAG Rx. </w:t>
      </w:r>
      <w:r w:rsidR="00366F78">
        <w:t>T</w:t>
      </w:r>
      <w:r w:rsidR="0060399A">
        <w:t xml:space="preserve">here </w:t>
      </w:r>
      <w:r w:rsidR="004432EA">
        <w:t xml:space="preserve">is </w:t>
      </w:r>
      <w:r w:rsidR="0060399A">
        <w:t xml:space="preserve">no such guidance in the </w:t>
      </w:r>
      <w:r w:rsidR="004432EA">
        <w:t xml:space="preserve">current </w:t>
      </w:r>
      <w:r w:rsidR="00366F78">
        <w:br/>
      </w:r>
      <w:r w:rsidR="0060399A">
        <w:t xml:space="preserve">700 MHz RAG Rx. </w:t>
      </w:r>
    </w:p>
    <w:p w14:paraId="562DC55A" w14:textId="52097EF3" w:rsidR="005A3C40" w:rsidRPr="00BC3A03" w:rsidRDefault="00BA0ABD" w:rsidP="005A3C40">
      <w:pPr>
        <w:pStyle w:val="Heading3"/>
      </w:pPr>
      <w:r w:rsidRPr="00BE42CE">
        <w:t>Radiocommunications (</w:t>
      </w:r>
      <w:r w:rsidR="005A3C40">
        <w:t>Unacceptable Level</w:t>
      </w:r>
      <w:r w:rsidR="00183215">
        <w:t>s</w:t>
      </w:r>
      <w:r w:rsidR="005A3C40">
        <w:t xml:space="preserve"> of </w:t>
      </w:r>
      <w:r w:rsidR="00183215">
        <w:t>I</w:t>
      </w:r>
      <w:r w:rsidR="005A3C40">
        <w:t>nterference</w:t>
      </w:r>
      <w:r>
        <w:t>) (</w:t>
      </w:r>
      <w:proofErr w:type="spellStart"/>
      <w:r>
        <w:t>ULoI</w:t>
      </w:r>
      <w:proofErr w:type="spellEnd"/>
      <w:r>
        <w:t>)</w:t>
      </w:r>
      <w:r w:rsidR="00F93C5B">
        <w:t xml:space="preserve"> Determinations</w:t>
      </w:r>
    </w:p>
    <w:p w14:paraId="2C6FEE37" w14:textId="6DDDDCB5" w:rsidR="00486AA3" w:rsidRDefault="00BA0ABD" w:rsidP="0008622E">
      <w:pPr>
        <w:pStyle w:val="Paragraph"/>
      </w:pPr>
      <w:r>
        <w:t xml:space="preserve">The </w:t>
      </w:r>
      <w:proofErr w:type="spellStart"/>
      <w:r>
        <w:t>ULoI</w:t>
      </w:r>
      <w:proofErr w:type="spellEnd"/>
      <w:r>
        <w:t xml:space="preserve"> </w:t>
      </w:r>
      <w:r w:rsidR="00366F78">
        <w:t>d</w:t>
      </w:r>
      <w:r w:rsidR="00183215">
        <w:t xml:space="preserve">eterminations </w:t>
      </w:r>
      <w:r w:rsidR="00B05E98" w:rsidRPr="00B05E98">
        <w:t>set out the circumstances in which devices are taken to cause unacceptable levels of interference, for the purposes of section 145 of the</w:t>
      </w:r>
      <w:r w:rsidR="00B05E98">
        <w:t xml:space="preserve"> Radiocommunications</w:t>
      </w:r>
      <w:r w:rsidR="00B05E98" w:rsidRPr="00B05E98">
        <w:t xml:space="preserve"> Act.</w:t>
      </w:r>
      <w:r>
        <w:t xml:space="preserve"> All </w:t>
      </w:r>
      <w:r w:rsidR="00366F78">
        <w:t xml:space="preserve">of </w:t>
      </w:r>
      <w:r>
        <w:t xml:space="preserve">the </w:t>
      </w:r>
      <w:proofErr w:type="spellStart"/>
      <w:r>
        <w:t>ULoI</w:t>
      </w:r>
      <w:proofErr w:type="spellEnd"/>
      <w:r>
        <w:t xml:space="preserve"> </w:t>
      </w:r>
      <w:r w:rsidR="00366F78">
        <w:t>d</w:t>
      </w:r>
      <w:r w:rsidR="00183215">
        <w:t xml:space="preserve">eterminations’ </w:t>
      </w:r>
      <w:r>
        <w:t xml:space="preserve">formatting, structure, and definitions </w:t>
      </w:r>
      <w:r w:rsidR="00183215">
        <w:t>are proposed to be</w:t>
      </w:r>
      <w:r>
        <w:t xml:space="preserve"> updated to ensure continuity across the bands. </w:t>
      </w:r>
    </w:p>
    <w:p w14:paraId="68039CF6" w14:textId="7368EF42" w:rsidR="00B05E98" w:rsidRDefault="00C7077A" w:rsidP="0008622E">
      <w:pPr>
        <w:pStyle w:val="Paragraph"/>
      </w:pPr>
      <w:bookmarkStart w:id="10" w:name="_Hlk115786180"/>
      <w:r w:rsidRPr="00C7077A">
        <w:t xml:space="preserve">In line with amendments </w:t>
      </w:r>
      <w:r>
        <w:t xml:space="preserve">that </w:t>
      </w:r>
      <w:r w:rsidRPr="00C7077A">
        <w:t xml:space="preserve">have </w:t>
      </w:r>
      <w:r>
        <w:t xml:space="preserve">recently </w:t>
      </w:r>
      <w:r w:rsidRPr="00C7077A">
        <w:t xml:space="preserve">been adopted in the </w:t>
      </w:r>
      <w:proofErr w:type="spellStart"/>
      <w:r w:rsidRPr="00C7077A">
        <w:t>ULoI</w:t>
      </w:r>
      <w:r>
        <w:t>s</w:t>
      </w:r>
      <w:proofErr w:type="spellEnd"/>
      <w:r w:rsidRPr="00C7077A">
        <w:t xml:space="preserve"> for the </w:t>
      </w:r>
      <w:r w:rsidR="00366F78">
        <w:br/>
      </w:r>
      <w:hyperlink r:id="rId28" w:history="1">
        <w:r w:rsidRPr="009F7FA2">
          <w:rPr>
            <w:rStyle w:val="Hyperlink"/>
          </w:rPr>
          <w:t>850/900 MHz</w:t>
        </w:r>
      </w:hyperlink>
      <w:r w:rsidRPr="00C7077A">
        <w:t xml:space="preserve">, </w:t>
      </w:r>
      <w:hyperlink r:id="rId29" w:history="1">
        <w:r w:rsidRPr="009F7FA2">
          <w:rPr>
            <w:rStyle w:val="Hyperlink"/>
          </w:rPr>
          <w:t>1800 MHz</w:t>
        </w:r>
      </w:hyperlink>
      <w:r w:rsidRPr="00C7077A">
        <w:t xml:space="preserve">, </w:t>
      </w:r>
      <w:hyperlink r:id="rId30" w:history="1">
        <w:r w:rsidRPr="009F7FA2">
          <w:rPr>
            <w:rStyle w:val="Hyperlink"/>
          </w:rPr>
          <w:t>2.3 GHz</w:t>
        </w:r>
      </w:hyperlink>
      <w:r w:rsidRPr="00C7077A">
        <w:t xml:space="preserve">, </w:t>
      </w:r>
      <w:hyperlink r:id="rId31" w:history="1">
        <w:r w:rsidRPr="009F7FA2">
          <w:rPr>
            <w:rStyle w:val="Hyperlink"/>
          </w:rPr>
          <w:t>3.4 GHz</w:t>
        </w:r>
      </w:hyperlink>
      <w:r w:rsidRPr="00C7077A">
        <w:t xml:space="preserve"> and </w:t>
      </w:r>
      <w:hyperlink r:id="rId32" w:history="1">
        <w:r w:rsidRPr="00D21D9D">
          <w:rPr>
            <w:rStyle w:val="Hyperlink"/>
          </w:rPr>
          <w:t>26 GHz bands</w:t>
        </w:r>
      </w:hyperlink>
      <w:r>
        <w:t xml:space="preserve">, the following </w:t>
      </w:r>
      <w:r w:rsidR="00B05E98" w:rsidRPr="00602151">
        <w:t xml:space="preserve">changes </w:t>
      </w:r>
      <w:r>
        <w:t xml:space="preserve">are </w:t>
      </w:r>
      <w:r w:rsidR="00183215">
        <w:t xml:space="preserve">also </w:t>
      </w:r>
      <w:r w:rsidR="00B05E98" w:rsidRPr="00602151">
        <w:t>proposed</w:t>
      </w:r>
      <w:bookmarkEnd w:id="10"/>
      <w:r w:rsidR="00B05E98" w:rsidRPr="00602151">
        <w:t>:</w:t>
      </w:r>
    </w:p>
    <w:p w14:paraId="7DF1A640" w14:textId="390ADEFF" w:rsidR="00B05E98" w:rsidRPr="00E32714" w:rsidRDefault="00B05E98" w:rsidP="00B05E98">
      <w:pPr>
        <w:pStyle w:val="ListBullet"/>
      </w:pPr>
      <w:bookmarkStart w:id="11" w:name="_Hlk115786193"/>
      <w:r w:rsidRPr="00F1089B">
        <w:rPr>
          <w:b/>
          <w:bCs/>
        </w:rPr>
        <w:t xml:space="preserve">Adopt a higher resolution </w:t>
      </w:r>
      <w:r w:rsidR="006861FD">
        <w:rPr>
          <w:b/>
          <w:bCs/>
        </w:rPr>
        <w:t>d</w:t>
      </w:r>
      <w:r w:rsidRPr="00F1089B">
        <w:rPr>
          <w:b/>
          <w:bCs/>
        </w:rPr>
        <w:t xml:space="preserve">igital </w:t>
      </w:r>
      <w:r w:rsidR="006861FD">
        <w:rPr>
          <w:b/>
          <w:bCs/>
        </w:rPr>
        <w:t>e</w:t>
      </w:r>
      <w:r w:rsidRPr="00F1089B">
        <w:rPr>
          <w:b/>
          <w:bCs/>
        </w:rPr>
        <w:t xml:space="preserve">levation </w:t>
      </w:r>
      <w:r w:rsidR="006861FD">
        <w:rPr>
          <w:b/>
          <w:bCs/>
        </w:rPr>
        <w:t>m</w:t>
      </w:r>
      <w:r w:rsidRPr="00F1089B">
        <w:rPr>
          <w:b/>
          <w:bCs/>
        </w:rPr>
        <w:t>odel (DEM</w:t>
      </w:r>
      <w:bookmarkEnd w:id="11"/>
      <w:r w:rsidRPr="00F1089B">
        <w:rPr>
          <w:b/>
          <w:bCs/>
        </w:rPr>
        <w:t>)</w:t>
      </w:r>
      <w:r w:rsidR="00366F78">
        <w:rPr>
          <w:b/>
          <w:bCs/>
        </w:rPr>
        <w:t>.</w:t>
      </w:r>
      <w:r w:rsidRPr="00602151">
        <w:t xml:space="preserve"> A DEM defines the height of terrain above sea level at specific intervals. It is used in predicting propagation losses between </w:t>
      </w:r>
      <w:r>
        <w:t>2</w:t>
      </w:r>
      <w:r w:rsidRPr="00602151">
        <w:t xml:space="preserve"> points. Currently</w:t>
      </w:r>
      <w:r w:rsidR="00183215">
        <w:t>,</w:t>
      </w:r>
      <w:r w:rsidRPr="00602151">
        <w:t xml:space="preserve"> the DBC makes use of a 9</w:t>
      </w:r>
      <w:r w:rsidR="006861FD">
        <w:t>-</w:t>
      </w:r>
      <w:r w:rsidRPr="00602151">
        <w:t xml:space="preserve">second DEM. This provides the height of terrain at approximately 250 m intervals. Higher resolution DEMs are now available and are progressively being implemented in new and revised spectrum licence technical frameworks. Geoscience Australia </w:t>
      </w:r>
      <w:r w:rsidR="00183215">
        <w:t>has</w:t>
      </w:r>
      <w:r w:rsidR="00183215" w:rsidRPr="00602151">
        <w:t xml:space="preserve"> </w:t>
      </w:r>
      <w:r w:rsidRPr="00602151">
        <w:t>published a 3</w:t>
      </w:r>
      <w:r w:rsidR="006861FD">
        <w:t>-</w:t>
      </w:r>
      <w:r w:rsidRPr="00602151">
        <w:t>second DEM</w:t>
      </w:r>
      <w:r w:rsidRPr="0038741C">
        <w:rPr>
          <w:rStyle w:val="FootnoteReference"/>
        </w:rPr>
        <w:footnoteReference w:id="2"/>
      </w:r>
      <w:r w:rsidRPr="0038741C">
        <w:t xml:space="preserve"> (equivalent to approximately 90</w:t>
      </w:r>
      <w:r w:rsidR="00F93C5B">
        <w:t xml:space="preserve"> </w:t>
      </w:r>
      <w:r w:rsidRPr="0038741C">
        <w:t>m resolution) that provides much higher terrain resolution.</w:t>
      </w:r>
      <w:r w:rsidRPr="00DB5756">
        <w:t xml:space="preserve"> The </w:t>
      </w:r>
      <w:r w:rsidR="00932FF0">
        <w:t xml:space="preserve">ACMA is ensuring the adoption of </w:t>
      </w:r>
      <w:r w:rsidR="006861FD">
        <w:br/>
      </w:r>
      <w:r w:rsidR="00932FF0">
        <w:t>3</w:t>
      </w:r>
      <w:r w:rsidR="006861FD">
        <w:t>-</w:t>
      </w:r>
      <w:r w:rsidR="00932FF0">
        <w:t>second</w:t>
      </w:r>
      <w:r w:rsidRPr="00DB5756">
        <w:t xml:space="preserve"> DEM</w:t>
      </w:r>
      <w:r w:rsidR="00932FF0">
        <w:t xml:space="preserve"> in all inst</w:t>
      </w:r>
      <w:r w:rsidR="00CF0FDD">
        <w:t>r</w:t>
      </w:r>
      <w:r w:rsidR="00932FF0">
        <w:t>uments</w:t>
      </w:r>
      <w:r w:rsidRPr="00DB5756">
        <w:t xml:space="preserve">. </w:t>
      </w:r>
    </w:p>
    <w:p w14:paraId="3A83DB30" w14:textId="1BE371D9" w:rsidR="00B05E98" w:rsidRPr="00602151" w:rsidRDefault="00B05E98" w:rsidP="00B05E98">
      <w:pPr>
        <w:pStyle w:val="ListBullet"/>
        <w:numPr>
          <w:ilvl w:val="0"/>
          <w:numId w:val="0"/>
        </w:numPr>
        <w:ind w:left="295"/>
      </w:pPr>
      <w:r w:rsidRPr="00D644ED">
        <w:t>To</w:t>
      </w:r>
      <w:r w:rsidRPr="00602151">
        <w:t xml:space="preserve"> take full advantage of a 3</w:t>
      </w:r>
      <w:r w:rsidR="006861FD">
        <w:t>-</w:t>
      </w:r>
      <w:r w:rsidRPr="00602151">
        <w:t xml:space="preserve">second DEM, it </w:t>
      </w:r>
      <w:r w:rsidR="00183215">
        <w:t>i</w:t>
      </w:r>
      <w:r w:rsidR="00183215" w:rsidRPr="00602151">
        <w:t xml:space="preserve">s </w:t>
      </w:r>
      <w:r w:rsidRPr="00602151">
        <w:t>further proposed that the resolution of path loss calculations be increased. Currently</w:t>
      </w:r>
      <w:r w:rsidR="00447D88">
        <w:t>,</w:t>
      </w:r>
      <w:r w:rsidRPr="00602151">
        <w:t xml:space="preserve"> the DBC is calculated at 500 m intervals along </w:t>
      </w:r>
      <w:r>
        <w:t xml:space="preserve">the </w:t>
      </w:r>
      <w:r w:rsidRPr="00602151">
        <w:t>360 radials</w:t>
      </w:r>
      <w:r>
        <w:t xml:space="preserve"> centred on the relevant radiocommunications device</w:t>
      </w:r>
      <w:r w:rsidRPr="00602151">
        <w:t>. Changing this to a resolution of 100 m, which more closely matches the resolution of a 3</w:t>
      </w:r>
      <w:r w:rsidR="006861FD">
        <w:t>-</w:t>
      </w:r>
      <w:r w:rsidRPr="00602151">
        <w:t xml:space="preserve">second DEM, would result in a more accurate prediction of propagation losses. </w:t>
      </w:r>
    </w:p>
    <w:p w14:paraId="2794E004" w14:textId="555E6EF2" w:rsidR="00B05E98" w:rsidRDefault="00CF0FDD" w:rsidP="00B05E98">
      <w:pPr>
        <w:pStyle w:val="ListBullet"/>
      </w:pPr>
      <w:bookmarkStart w:id="13" w:name="_Hlk115786207"/>
      <w:r>
        <w:rPr>
          <w:b/>
          <w:bCs/>
        </w:rPr>
        <w:t xml:space="preserve">Include provisions for </w:t>
      </w:r>
      <w:r w:rsidR="00B05E98" w:rsidRPr="00F1089B">
        <w:rPr>
          <w:b/>
          <w:bCs/>
        </w:rPr>
        <w:t>DBC failures over ocean paths</w:t>
      </w:r>
      <w:bookmarkEnd w:id="13"/>
      <w:r w:rsidR="00366F78">
        <w:rPr>
          <w:b/>
          <w:bCs/>
        </w:rPr>
        <w:t>.</w:t>
      </w:r>
      <w:r w:rsidR="00B05E98" w:rsidRPr="00602151">
        <w:t xml:space="preserve"> Currently</w:t>
      </w:r>
      <w:r w:rsidR="00B05E98">
        <w:t>,</w:t>
      </w:r>
      <w:r w:rsidR="00B05E98" w:rsidRPr="00602151">
        <w:t xml:space="preserve"> </w:t>
      </w:r>
      <w:r w:rsidR="00B05E98">
        <w:t>device boundary criteria (</w:t>
      </w:r>
      <w:r w:rsidR="00B05E98" w:rsidRPr="00602151">
        <w:t>DBC</w:t>
      </w:r>
      <w:r w:rsidR="00B05E98">
        <w:t>)</w:t>
      </w:r>
      <w:r w:rsidR="00B05E98" w:rsidRPr="00602151">
        <w:t xml:space="preserve"> failures </w:t>
      </w:r>
      <w:r w:rsidR="00E366F9">
        <w:t>–</w:t>
      </w:r>
      <w:r w:rsidR="00B05E98">
        <w:t xml:space="preserve"> the points at which the DBC results in the device boundary being outside the geographic area of the licence</w:t>
      </w:r>
      <w:r w:rsidR="00E366F9">
        <w:t xml:space="preserve"> –</w:t>
      </w:r>
      <w:r w:rsidR="00B05E98" w:rsidRPr="00CB7345">
        <w:t xml:space="preserve"> that are only over ocean paths </w:t>
      </w:r>
      <w:r w:rsidR="00B05E98">
        <w:t xml:space="preserve">result in the relevant device being taken to cause an unacceptable level of interference </w:t>
      </w:r>
      <w:r w:rsidR="00B05E98" w:rsidRPr="00602151">
        <w:t xml:space="preserve">by the s.145(4) determination. Through experience </w:t>
      </w:r>
      <w:r w:rsidR="00B05E98">
        <w:t xml:space="preserve">gained </w:t>
      </w:r>
      <w:r>
        <w:t>via</w:t>
      </w:r>
      <w:r w:rsidRPr="00602151">
        <w:t xml:space="preserve"> </w:t>
      </w:r>
      <w:r w:rsidR="00B05E98" w:rsidRPr="00602151">
        <w:t xml:space="preserve">the application of the DBC over time, </w:t>
      </w:r>
      <w:r w:rsidR="00932FF0">
        <w:t>spectrum licensees</w:t>
      </w:r>
      <w:r w:rsidR="00B05E98" w:rsidRPr="00602151">
        <w:t xml:space="preserve"> identified </w:t>
      </w:r>
      <w:r w:rsidR="00B05E98">
        <w:t xml:space="preserve">that </w:t>
      </w:r>
      <w:r w:rsidR="00B05E98" w:rsidRPr="00602151">
        <w:t xml:space="preserve">this unnecessarily restricts the deployment of some devices that pose no real interference risk. </w:t>
      </w:r>
      <w:r w:rsidR="00932FF0">
        <w:t xml:space="preserve">After reviewing </w:t>
      </w:r>
      <w:r>
        <w:t xml:space="preserve">the situation </w:t>
      </w:r>
      <w:r w:rsidR="00932FF0">
        <w:t>with spectrum licensees, the ACMA has adopted changes to address this issue</w:t>
      </w:r>
      <w:r w:rsidR="00B05E98" w:rsidRPr="00602151">
        <w:t xml:space="preserve">. </w:t>
      </w:r>
      <w:r w:rsidR="00B05E98" w:rsidRPr="00CB7345">
        <w:t xml:space="preserve">Specifically, </w:t>
      </w:r>
      <w:r w:rsidR="00932FF0">
        <w:t>by including</w:t>
      </w:r>
      <w:r w:rsidR="00B05E98" w:rsidRPr="00CB7345">
        <w:t xml:space="preserve"> a </w:t>
      </w:r>
      <w:r w:rsidR="00B05E98">
        <w:t>provision</w:t>
      </w:r>
      <w:r w:rsidR="00B05E98" w:rsidRPr="00CB7345">
        <w:t xml:space="preserve"> that states </w:t>
      </w:r>
      <w:r w:rsidR="00B05E98">
        <w:t xml:space="preserve">that </w:t>
      </w:r>
      <w:r w:rsidR="00B05E98" w:rsidRPr="00CB7345">
        <w:t>DBC failures that occur over ocean paths</w:t>
      </w:r>
      <w:r w:rsidR="00B05E98">
        <w:t>, where the relevant radial does not cross any land outside the geographic area of the licence, would not result in a device being taken to cause an unacceptable level of interference</w:t>
      </w:r>
      <w:r w:rsidR="00B05E98" w:rsidRPr="00602151">
        <w:t xml:space="preserve">. </w:t>
      </w:r>
    </w:p>
    <w:p w14:paraId="45CC58B8" w14:textId="22D31361" w:rsidR="00E55116" w:rsidRPr="008F594E" w:rsidRDefault="00AC24A1" w:rsidP="00B05E98">
      <w:pPr>
        <w:pStyle w:val="ListBullet"/>
      </w:pPr>
      <w:bookmarkStart w:id="14" w:name="_Hlk115786229"/>
      <w:r>
        <w:rPr>
          <w:b/>
          <w:bCs/>
        </w:rPr>
        <w:t xml:space="preserve">Include </w:t>
      </w:r>
      <w:r w:rsidR="00AB77A3">
        <w:rPr>
          <w:b/>
          <w:bCs/>
        </w:rPr>
        <w:t>a</w:t>
      </w:r>
      <w:r>
        <w:rPr>
          <w:b/>
          <w:bCs/>
        </w:rPr>
        <w:t xml:space="preserve"> </w:t>
      </w:r>
      <w:r w:rsidR="00E55116">
        <w:rPr>
          <w:b/>
          <w:bCs/>
        </w:rPr>
        <w:t xml:space="preserve">transitional </w:t>
      </w:r>
      <w:r w:rsidR="000E3959">
        <w:rPr>
          <w:b/>
          <w:bCs/>
        </w:rPr>
        <w:t>clause</w:t>
      </w:r>
      <w:bookmarkEnd w:id="14"/>
      <w:r w:rsidR="00366F78">
        <w:rPr>
          <w:b/>
          <w:bCs/>
        </w:rPr>
        <w:t>.</w:t>
      </w:r>
      <w:r w:rsidR="00E55116">
        <w:rPr>
          <w:b/>
          <w:bCs/>
        </w:rPr>
        <w:t xml:space="preserve"> </w:t>
      </w:r>
      <w:r w:rsidR="000E3959">
        <w:t xml:space="preserve">This transitional clause provides guidance to </w:t>
      </w:r>
      <w:r w:rsidR="002A074C">
        <w:t xml:space="preserve">spectrum licensees to help </w:t>
      </w:r>
      <w:r w:rsidR="005B5E55">
        <w:t>transition between</w:t>
      </w:r>
      <w:r w:rsidR="00482890">
        <w:t xml:space="preserve"> the previous version of the </w:t>
      </w:r>
      <w:proofErr w:type="spellStart"/>
      <w:r w:rsidR="00482890">
        <w:t>ULoI</w:t>
      </w:r>
      <w:proofErr w:type="spellEnd"/>
      <w:r w:rsidR="00482890">
        <w:t xml:space="preserve"> to the </w:t>
      </w:r>
      <w:r w:rsidR="00BF59FB">
        <w:t xml:space="preserve">updated version of the </w:t>
      </w:r>
      <w:proofErr w:type="spellStart"/>
      <w:r w:rsidR="00BF59FB">
        <w:t>ULoI</w:t>
      </w:r>
      <w:proofErr w:type="spellEnd"/>
      <w:r w:rsidR="00BF59FB">
        <w:t>.</w:t>
      </w:r>
      <w:r w:rsidR="00C7077A">
        <w:t xml:space="preserve"> </w:t>
      </w:r>
      <w:r w:rsidR="008F594E">
        <w:t>It</w:t>
      </w:r>
      <w:r w:rsidR="00C7077A">
        <w:t xml:space="preserve"> clarifies that </w:t>
      </w:r>
      <w:r w:rsidR="00C7077A" w:rsidRPr="0015000A">
        <w:t xml:space="preserve">a device is only required to adhere to the </w:t>
      </w:r>
      <w:r w:rsidR="00C7077A" w:rsidRPr="009B105A">
        <w:t xml:space="preserve">version of the </w:t>
      </w:r>
      <w:proofErr w:type="spellStart"/>
      <w:r w:rsidR="008F594E">
        <w:t>ULoI</w:t>
      </w:r>
      <w:proofErr w:type="spellEnd"/>
      <w:r w:rsidR="00C7077A" w:rsidRPr="0015000A">
        <w:t xml:space="preserve"> that </w:t>
      </w:r>
      <w:r w:rsidR="00C7077A">
        <w:t>was</w:t>
      </w:r>
      <w:r w:rsidR="00C7077A" w:rsidRPr="0015000A">
        <w:t xml:space="preserve"> in force at the time </w:t>
      </w:r>
      <w:r w:rsidR="00C7077A">
        <w:t>the</w:t>
      </w:r>
      <w:r w:rsidR="00C7077A" w:rsidRPr="0015000A">
        <w:t xml:space="preserve"> device </w:t>
      </w:r>
      <w:r w:rsidR="00C7077A">
        <w:t>was</w:t>
      </w:r>
      <w:r w:rsidR="00C7077A" w:rsidRPr="0015000A">
        <w:t xml:space="preserve"> registered. </w:t>
      </w:r>
      <w:r w:rsidR="008F594E">
        <w:t>This helps to</w:t>
      </w:r>
      <w:r w:rsidR="00C7077A" w:rsidRPr="0015000A">
        <w:t xml:space="preserve"> avoid any uncertainty over the impact the proposed changes may have on existing device registrations.</w:t>
      </w:r>
    </w:p>
    <w:p w14:paraId="5BBC5FCE" w14:textId="3A9986B6" w:rsidR="00B05E98" w:rsidRPr="00602151" w:rsidRDefault="00CF0FDD" w:rsidP="00B05E98">
      <w:pPr>
        <w:pStyle w:val="ListBullet"/>
      </w:pPr>
      <w:bookmarkStart w:id="15" w:name="_Hlk115786246"/>
      <w:r>
        <w:rPr>
          <w:b/>
          <w:bCs/>
        </w:rPr>
        <w:t xml:space="preserve">Correct/update </w:t>
      </w:r>
      <w:proofErr w:type="spellStart"/>
      <w:r w:rsidR="00B05E98" w:rsidRPr="00B05E98">
        <w:rPr>
          <w:b/>
          <w:bCs/>
        </w:rPr>
        <w:t>Vincenty’s</w:t>
      </w:r>
      <w:proofErr w:type="spellEnd"/>
      <w:r w:rsidR="00B05E98" w:rsidRPr="00B05E98">
        <w:rPr>
          <w:b/>
          <w:bCs/>
        </w:rPr>
        <w:t xml:space="preserve"> </w:t>
      </w:r>
      <w:r w:rsidR="00366F78">
        <w:rPr>
          <w:b/>
          <w:bCs/>
        </w:rPr>
        <w:t>d</w:t>
      </w:r>
      <w:r w:rsidR="00B05E98" w:rsidRPr="00B05E98">
        <w:rPr>
          <w:b/>
          <w:bCs/>
        </w:rPr>
        <w:t xml:space="preserve">irect </w:t>
      </w:r>
      <w:r w:rsidR="00366F78">
        <w:rPr>
          <w:b/>
          <w:bCs/>
        </w:rPr>
        <w:t>f</w:t>
      </w:r>
      <w:r w:rsidR="00B05E98" w:rsidRPr="00B05E98">
        <w:rPr>
          <w:b/>
          <w:bCs/>
        </w:rPr>
        <w:t>ormulae</w:t>
      </w:r>
      <w:bookmarkEnd w:id="15"/>
      <w:r w:rsidR="00366F78">
        <w:rPr>
          <w:b/>
          <w:bCs/>
        </w:rPr>
        <w:t>.</w:t>
      </w:r>
      <w:r w:rsidR="00B05E98" w:rsidRPr="00602151">
        <w:t xml:space="preserve"> Th</w:t>
      </w:r>
      <w:r w:rsidR="00B05E98">
        <w:t xml:space="preserve">is formula </w:t>
      </w:r>
      <w:r w:rsidR="00932FF0">
        <w:t xml:space="preserve">is used </w:t>
      </w:r>
      <w:r w:rsidR="00B05E98">
        <w:t xml:space="preserve">to calculate the longitude and latitude along </w:t>
      </w:r>
      <w:r w:rsidR="00932FF0">
        <w:t>the</w:t>
      </w:r>
      <w:r w:rsidR="00B05E98">
        <w:t xml:space="preserve"> radial from </w:t>
      </w:r>
      <w:r w:rsidR="00932FF0">
        <w:t>the transmitter when calculating the DBC.</w:t>
      </w:r>
      <w:r w:rsidR="00B05E98">
        <w:t xml:space="preserve"> </w:t>
      </w:r>
      <w:r w:rsidR="00E366F9">
        <w:t xml:space="preserve">We have </w:t>
      </w:r>
      <w:r w:rsidR="00B04780">
        <w:t>reviewed</w:t>
      </w:r>
      <w:r w:rsidR="00932FF0">
        <w:t xml:space="preserve"> the formulae in all bands to ensure consistency and </w:t>
      </w:r>
      <w:r w:rsidR="00447D88">
        <w:lastRenderedPageBreak/>
        <w:t>proposes to amend any typographical errors</w:t>
      </w:r>
      <w:r w:rsidR="00932FF0">
        <w:t xml:space="preserve"> that may have occurred in an instrument.</w:t>
      </w:r>
    </w:p>
    <w:p w14:paraId="0FB082C9" w14:textId="2ED1BD53" w:rsidR="005A3C40" w:rsidRDefault="005A3C40" w:rsidP="005A3C40">
      <w:pPr>
        <w:pStyle w:val="Heading2"/>
      </w:pPr>
      <w:bookmarkStart w:id="16" w:name="_Toc118276422"/>
      <w:r>
        <w:t>Band</w:t>
      </w:r>
      <w:r w:rsidR="00366F78">
        <w:t>-</w:t>
      </w:r>
      <w:r>
        <w:t>specific changes</w:t>
      </w:r>
      <w:bookmarkEnd w:id="16"/>
    </w:p>
    <w:p w14:paraId="4DEA3C8F" w14:textId="7D0173D7" w:rsidR="00124C2E" w:rsidRDefault="00124C2E" w:rsidP="005A3C40">
      <w:pPr>
        <w:pStyle w:val="Heading3"/>
      </w:pPr>
      <w:r>
        <w:t>700 MHz</w:t>
      </w:r>
      <w:r w:rsidR="00C11191">
        <w:t xml:space="preserve"> band</w:t>
      </w:r>
    </w:p>
    <w:p w14:paraId="7F01EA0B" w14:textId="665E2DC2" w:rsidR="00B27D99" w:rsidRDefault="00B27D99" w:rsidP="008F594E">
      <w:pPr>
        <w:spacing w:after="80"/>
      </w:pPr>
      <w:r>
        <w:t xml:space="preserve">The current 700 MHz spectrum </w:t>
      </w:r>
      <w:r w:rsidR="00C7077A">
        <w:t xml:space="preserve">licence technical </w:t>
      </w:r>
      <w:r w:rsidR="00C11191">
        <w:t xml:space="preserve">framework </w:t>
      </w:r>
      <w:r>
        <w:t>instruments are:</w:t>
      </w:r>
    </w:p>
    <w:p w14:paraId="077CA7AD" w14:textId="62236782" w:rsidR="00B27D99" w:rsidRDefault="00B12617" w:rsidP="00B27D99">
      <w:pPr>
        <w:pStyle w:val="Bulletlevel1"/>
      </w:pPr>
      <w:hyperlink r:id="rId33" w:history="1">
        <w:r w:rsidR="00B27D99" w:rsidRPr="00FF5DFF">
          <w:rPr>
            <w:rStyle w:val="Hyperlink"/>
          </w:rPr>
          <w:t xml:space="preserve">Radiocommunications Advisory Guidelines (Managing Interference from Transmitters </w:t>
        </w:r>
        <w:r w:rsidR="004224EE" w:rsidRPr="00FF5DFF">
          <w:rPr>
            <w:rStyle w:val="Hyperlink"/>
          </w:rPr>
          <w:t>–</w:t>
        </w:r>
        <w:r w:rsidR="00B27D99" w:rsidRPr="00FF5DFF">
          <w:rPr>
            <w:rStyle w:val="Hyperlink"/>
          </w:rPr>
          <w:t xml:space="preserve"> </w:t>
        </w:r>
        <w:r w:rsidR="004224EE" w:rsidRPr="00FF5DFF">
          <w:rPr>
            <w:rStyle w:val="Hyperlink"/>
          </w:rPr>
          <w:t>700 MH</w:t>
        </w:r>
        <w:r w:rsidR="00B27D99" w:rsidRPr="00FF5DFF">
          <w:rPr>
            <w:rStyle w:val="Hyperlink"/>
          </w:rPr>
          <w:t>z Band) 201</w:t>
        </w:r>
        <w:r w:rsidR="004224EE" w:rsidRPr="00FF5DFF">
          <w:rPr>
            <w:rStyle w:val="Hyperlink"/>
          </w:rPr>
          <w:t>2</w:t>
        </w:r>
      </w:hyperlink>
      <w:r w:rsidR="00B27D99">
        <w:t xml:space="preserve"> (</w:t>
      </w:r>
      <w:r w:rsidR="00334FA2">
        <w:t xml:space="preserve">700 MHz </w:t>
      </w:r>
      <w:r w:rsidR="00B27D99">
        <w:t>RAG Tx)</w:t>
      </w:r>
    </w:p>
    <w:p w14:paraId="54395F1B" w14:textId="735BC19E" w:rsidR="00B27D99" w:rsidRDefault="00476232" w:rsidP="00B27D99">
      <w:pPr>
        <w:pStyle w:val="Bulletlevel1"/>
      </w:pPr>
      <w:hyperlink r:id="rId34" w:history="1">
        <w:r w:rsidR="00B27D99" w:rsidRPr="00FF5DFF">
          <w:rPr>
            <w:rStyle w:val="Hyperlink"/>
          </w:rPr>
          <w:t xml:space="preserve">Radiocommunications Advisory Guidelines (Managing Interference to Receivers </w:t>
        </w:r>
        <w:r w:rsidR="004224EE" w:rsidRPr="00FF5DFF">
          <w:rPr>
            <w:rStyle w:val="Hyperlink"/>
          </w:rPr>
          <w:t>–</w:t>
        </w:r>
        <w:r w:rsidR="00B27D99" w:rsidRPr="00FF5DFF">
          <w:rPr>
            <w:rStyle w:val="Hyperlink"/>
          </w:rPr>
          <w:t xml:space="preserve"> </w:t>
        </w:r>
        <w:r w:rsidR="004224EE" w:rsidRPr="00FF5DFF">
          <w:rPr>
            <w:rStyle w:val="Hyperlink"/>
          </w:rPr>
          <w:t>700 M</w:t>
        </w:r>
        <w:r w:rsidR="00BF1C2F">
          <w:rPr>
            <w:rStyle w:val="Hyperlink"/>
          </w:rPr>
          <w:t>H</w:t>
        </w:r>
        <w:r w:rsidR="00B27D99" w:rsidRPr="00FF5DFF">
          <w:rPr>
            <w:rStyle w:val="Hyperlink"/>
          </w:rPr>
          <w:t>z Band) 201</w:t>
        </w:r>
        <w:r w:rsidR="004224EE" w:rsidRPr="00FF5DFF">
          <w:rPr>
            <w:rStyle w:val="Hyperlink"/>
          </w:rPr>
          <w:t>2</w:t>
        </w:r>
      </w:hyperlink>
      <w:r w:rsidR="00B27D99">
        <w:t xml:space="preserve"> (</w:t>
      </w:r>
      <w:r w:rsidR="006D17B3">
        <w:t>700 MHz RAG Rx</w:t>
      </w:r>
      <w:r w:rsidR="00B27D99">
        <w:t>)</w:t>
      </w:r>
    </w:p>
    <w:p w14:paraId="38025EAF" w14:textId="221FBA1E" w:rsidR="00B27D99" w:rsidRDefault="00476232" w:rsidP="00FB063F">
      <w:pPr>
        <w:pStyle w:val="Bulletlevel1last"/>
      </w:pPr>
      <w:hyperlink r:id="rId35" w:history="1">
        <w:r w:rsidR="004224EE" w:rsidRPr="00FF5DFF">
          <w:rPr>
            <w:rStyle w:val="Hyperlink"/>
          </w:rPr>
          <w:t>Radiocommunications (Unacceptable Levels of Interference – 700 MHz Band) Determination 2012</w:t>
        </w:r>
      </w:hyperlink>
      <w:r w:rsidR="00B27D99">
        <w:t xml:space="preserve"> (</w:t>
      </w:r>
      <w:r w:rsidR="006D17B3">
        <w:t xml:space="preserve">700 MHz </w:t>
      </w:r>
      <w:proofErr w:type="spellStart"/>
      <w:r w:rsidR="006D17B3">
        <w:t>ULoI</w:t>
      </w:r>
      <w:proofErr w:type="spellEnd"/>
      <w:r w:rsidR="00B27D99">
        <w:t>)</w:t>
      </w:r>
      <w:r w:rsidR="00447D88">
        <w:t>.</w:t>
      </w:r>
    </w:p>
    <w:p w14:paraId="6D896F0B" w14:textId="3633E425" w:rsidR="00E43313" w:rsidRDefault="00E43313" w:rsidP="00FB063F">
      <w:pPr>
        <w:pStyle w:val="Paragraphbeforelist"/>
      </w:pPr>
      <w:r>
        <w:t xml:space="preserve">In the review of the </w:t>
      </w:r>
      <w:r w:rsidR="00334FA2">
        <w:t>700 MHz RAG Tx</w:t>
      </w:r>
      <w:r>
        <w:t xml:space="preserve">, </w:t>
      </w:r>
      <w:r w:rsidR="00E366F9">
        <w:t xml:space="preserve">we </w:t>
      </w:r>
      <w:r w:rsidR="00DF1523">
        <w:t>considered</w:t>
      </w:r>
      <w:r>
        <w:t xml:space="preserve"> that the instrument was required and needs to be remade. In addition to the non-band specific changes, we also propose the following:</w:t>
      </w:r>
    </w:p>
    <w:p w14:paraId="5903E1B1" w14:textId="7FC431B6" w:rsidR="007C7492" w:rsidRDefault="00E43313" w:rsidP="00FB063F">
      <w:pPr>
        <w:pStyle w:val="Bulletlevel1"/>
      </w:pPr>
      <w:r>
        <w:t xml:space="preserve">Removal of </w:t>
      </w:r>
      <w:r w:rsidR="007C7492">
        <w:t xml:space="preserve">Part 4 related to </w:t>
      </w:r>
      <w:r w:rsidR="00447D88">
        <w:t>d</w:t>
      </w:r>
      <w:r w:rsidR="007C7492">
        <w:t>igital television receivers operating in the 700 MHz band. This part is no longer required as broadcast services have been re-located from the 694</w:t>
      </w:r>
      <w:r w:rsidR="00E366F9">
        <w:t>–</w:t>
      </w:r>
      <w:r w:rsidR="007C7492">
        <w:t>820 MHz band</w:t>
      </w:r>
      <w:r w:rsidR="00447D88">
        <w:t>.</w:t>
      </w:r>
    </w:p>
    <w:p w14:paraId="5E6C156D" w14:textId="49C9CC75" w:rsidR="00C6581C" w:rsidRDefault="007C7492" w:rsidP="00FB063F">
      <w:pPr>
        <w:pStyle w:val="Bulletlevel1"/>
      </w:pPr>
      <w:r>
        <w:t xml:space="preserve">Addition of a new section providing guidance on interference management expectations </w:t>
      </w:r>
      <w:r w:rsidR="00447D88">
        <w:t xml:space="preserve">for </w:t>
      </w:r>
      <w:r>
        <w:t>wireless microphones.</w:t>
      </w:r>
    </w:p>
    <w:p w14:paraId="48BEE401" w14:textId="6B01D565" w:rsidR="00C6581C" w:rsidRDefault="007C7492" w:rsidP="00FB063F">
      <w:pPr>
        <w:pStyle w:val="Bulletlevel1last"/>
      </w:pPr>
      <w:r>
        <w:t>Addition of new sections providing guidance on the management of interference with land mobile, point-to-point and point-to-multipoint services operating in the 804</w:t>
      </w:r>
      <w:r w:rsidR="00E366F9">
        <w:t>–</w:t>
      </w:r>
      <w:r>
        <w:t xml:space="preserve">809 MHz frequency range. </w:t>
      </w:r>
      <w:r w:rsidR="000868F4">
        <w:t xml:space="preserve">Similar to devices operating under 700 MHz spectrum licences that are not exempt from registration, devices operating under these apparatus licences are considered a primary service. </w:t>
      </w:r>
      <w:r>
        <w:t xml:space="preserve">Arrangements for these services have been put in place as part of the implementation of outcomes to the </w:t>
      </w:r>
      <w:hyperlink r:id="rId36" w:history="1">
        <w:r w:rsidRPr="007C7492">
          <w:rPr>
            <w:rStyle w:val="Hyperlink"/>
          </w:rPr>
          <w:t>803</w:t>
        </w:r>
        <w:r w:rsidR="00E366F9">
          <w:rPr>
            <w:rStyle w:val="Hyperlink"/>
          </w:rPr>
          <w:t>–</w:t>
        </w:r>
        <w:r w:rsidRPr="007C7492">
          <w:rPr>
            <w:rStyle w:val="Hyperlink"/>
          </w:rPr>
          <w:t>960 MHz band review</w:t>
        </w:r>
      </w:hyperlink>
      <w:r>
        <w:t>.</w:t>
      </w:r>
      <w:r w:rsidR="004D1237">
        <w:t xml:space="preserve"> As a result</w:t>
      </w:r>
      <w:r w:rsidR="005E2B09">
        <w:t>,</w:t>
      </w:r>
      <w:r w:rsidR="004D1237">
        <w:t xml:space="preserve"> apparatus licences affected by this replanning decision have been progressively </w:t>
      </w:r>
      <w:r w:rsidR="00C6581C">
        <w:t>re-locating</w:t>
      </w:r>
      <w:r w:rsidR="004D1237">
        <w:t xml:space="preserve"> into the </w:t>
      </w:r>
      <w:r w:rsidR="00E366F9">
        <w:br/>
      </w:r>
      <w:r w:rsidR="004D1237">
        <w:t>804</w:t>
      </w:r>
      <w:r w:rsidR="00E366F9">
        <w:t>–</w:t>
      </w:r>
      <w:r w:rsidR="004D1237">
        <w:t xml:space="preserve">809 MHz band. </w:t>
      </w:r>
    </w:p>
    <w:p w14:paraId="103092B6" w14:textId="3301E51C" w:rsidR="00B27D99" w:rsidRDefault="004D1237" w:rsidP="00FB063F">
      <w:pPr>
        <w:pStyle w:val="Paragraph"/>
      </w:pPr>
      <w:r>
        <w:t>The</w:t>
      </w:r>
      <w:r w:rsidR="00C6581C">
        <w:t>se</w:t>
      </w:r>
      <w:r>
        <w:t xml:space="preserve"> new sections point to protection criteria contained in </w:t>
      </w:r>
      <w:hyperlink r:id="rId37" w:history="1">
        <w:r w:rsidRPr="00C6581C">
          <w:rPr>
            <w:rStyle w:val="Hyperlink"/>
          </w:rPr>
          <w:t>RALI LM8, RALI FX16 and RALI FX22</w:t>
        </w:r>
      </w:hyperlink>
      <w:r>
        <w:t xml:space="preserve">. </w:t>
      </w:r>
      <w:r w:rsidR="00E366F9">
        <w:t>We</w:t>
      </w:r>
      <w:r>
        <w:t xml:space="preserve"> plan to review these RALIs in 2023. This will include a review of the associated protection requirements for new land mobile, point-to-point and point-to-multipoint </w:t>
      </w:r>
      <w:r w:rsidR="00C6581C">
        <w:t>licences issued</w:t>
      </w:r>
      <w:r>
        <w:t xml:space="preserve"> in the </w:t>
      </w:r>
      <w:r w:rsidR="00C6581C">
        <w:t>804</w:t>
      </w:r>
      <w:r w:rsidR="00C26130">
        <w:t>–</w:t>
      </w:r>
      <w:r w:rsidR="00C6581C">
        <w:t>809 MHz band. To support greater spectrum utilisation</w:t>
      </w:r>
      <w:r w:rsidR="000E538E">
        <w:t>, we</w:t>
      </w:r>
      <w:r w:rsidR="00C6581C">
        <w:t xml:space="preserve"> will consider a possible reduction in the level of protection provided to any new apparatus licences issued after a certain (to be determined) date. It is not intended that this review would impact the level of protection provided to existing apparatus licences or any apparatus licences re-locating as part of the 803</w:t>
      </w:r>
      <w:r w:rsidR="003A2083">
        <w:t>–</w:t>
      </w:r>
      <w:r w:rsidR="00C6581C">
        <w:t xml:space="preserve">960 MHz band review outcomes. </w:t>
      </w:r>
      <w:r>
        <w:t xml:space="preserve"> </w:t>
      </w:r>
    </w:p>
    <w:p w14:paraId="32790C83" w14:textId="77777777" w:rsidR="00B27D99" w:rsidRPr="00E162C4" w:rsidRDefault="00B27D99" w:rsidP="00B27D99">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uestion 1</w:t>
      </w:r>
    </w:p>
    <w:p w14:paraId="68E1C080" w14:textId="6ABF2C73" w:rsidR="00B27D99" w:rsidRPr="00E162C4" w:rsidRDefault="00B27D99" w:rsidP="00B27D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8C3A5F">
        <w:t xml:space="preserve">Radiocommunications Advisory Guidelines (Managing Interference </w:t>
      </w:r>
      <w:r w:rsidRPr="00A75DCD">
        <w:t xml:space="preserve">from Transmitters </w:t>
      </w:r>
      <w:r w:rsidR="003A2083">
        <w:t>–</w:t>
      </w:r>
      <w:r w:rsidRPr="00A75DCD">
        <w:t xml:space="preserve"> </w:t>
      </w:r>
      <w:r>
        <w:t>700</w:t>
      </w:r>
      <w:r w:rsidRPr="00A75DCD">
        <w:t xml:space="preserve"> MHz Band)</w:t>
      </w:r>
      <w:r w:rsidR="0081509C">
        <w:t>.</w:t>
      </w:r>
      <w:r w:rsidRPr="00A75DCD">
        <w:t xml:space="preserve"> </w:t>
      </w:r>
    </w:p>
    <w:p w14:paraId="0B470359" w14:textId="43192A58" w:rsidR="00B27D99" w:rsidRDefault="00777A72" w:rsidP="00FB063F">
      <w:pPr>
        <w:pStyle w:val="Paragraphbeforelist"/>
      </w:pPr>
      <w:r>
        <w:t xml:space="preserve">In the review of the </w:t>
      </w:r>
      <w:r w:rsidR="006D17B3">
        <w:t>700 MHz RAG Rx</w:t>
      </w:r>
      <w:r>
        <w:t xml:space="preserve">, </w:t>
      </w:r>
      <w:r w:rsidR="003A2083">
        <w:t>we</w:t>
      </w:r>
      <w:r>
        <w:t xml:space="preserve"> </w:t>
      </w:r>
      <w:r w:rsidR="00DF1523">
        <w:t>considered</w:t>
      </w:r>
      <w:r>
        <w:t xml:space="preserve"> that the instrument was required and needs to be remade. </w:t>
      </w:r>
      <w:r w:rsidR="00E43313">
        <w:t>In addition to the non-band specific changes, we also propose the following:</w:t>
      </w:r>
    </w:p>
    <w:p w14:paraId="52294604" w14:textId="682B87D8" w:rsidR="00E43313" w:rsidRDefault="00E43313" w:rsidP="00FB063F">
      <w:pPr>
        <w:pStyle w:val="Bulletlevel1"/>
      </w:pPr>
      <w:r>
        <w:t>Removal of Schedule 3 that provide</w:t>
      </w:r>
      <w:r w:rsidR="004C17CA">
        <w:t>s</w:t>
      </w:r>
      <w:r>
        <w:t xml:space="preserve"> guidance on the management of interference from broadcasting services operating in the 694</w:t>
      </w:r>
      <w:r w:rsidR="003A2083">
        <w:t>–</w:t>
      </w:r>
      <w:r>
        <w:t xml:space="preserve">820 MHz band. This schedule is no longer required as broadcast services have been re-located from the </w:t>
      </w:r>
      <w:r w:rsidR="003A2083">
        <w:br/>
      </w:r>
      <w:r>
        <w:t>694</w:t>
      </w:r>
      <w:r w:rsidR="003A2083">
        <w:t>–</w:t>
      </w:r>
      <w:r>
        <w:t xml:space="preserve">820 MHz band. </w:t>
      </w:r>
    </w:p>
    <w:p w14:paraId="33E63DE1" w14:textId="4FB78B67" w:rsidR="00E43313" w:rsidRDefault="00E43313" w:rsidP="00FB063F">
      <w:pPr>
        <w:pStyle w:val="Bulletlevel1last"/>
      </w:pPr>
      <w:r>
        <w:lastRenderedPageBreak/>
        <w:t xml:space="preserve">Movement of Schedule 4 to a new Clause 13 in Part 3 of the draft new </w:t>
      </w:r>
      <w:r w:rsidR="006D17B3">
        <w:t>700 MHz RAG Rx</w:t>
      </w:r>
      <w:r>
        <w:t xml:space="preserve">. This item provides information on </w:t>
      </w:r>
      <w:r w:rsidR="003A2083">
        <w:t>‘m</w:t>
      </w:r>
      <w:r>
        <w:t>anaging interference from frequency adjacent digital television transmitters</w:t>
      </w:r>
      <w:r w:rsidR="003A2083">
        <w:t>’</w:t>
      </w:r>
      <w:r>
        <w:t>.</w:t>
      </w:r>
    </w:p>
    <w:p w14:paraId="7C1A55B2" w14:textId="77777777" w:rsidR="00B27D99" w:rsidRPr="00E162C4" w:rsidRDefault="00B27D99" w:rsidP="00B27D99">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t>2</w:t>
      </w:r>
    </w:p>
    <w:p w14:paraId="195682B4" w14:textId="4F6BD3A5" w:rsidR="00B27D99" w:rsidRPr="00E162C4" w:rsidRDefault="00B27D99" w:rsidP="00B27D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8C3A5F">
        <w:t xml:space="preserve">Radiocommunications Advisory Guidelines (Managing Interference to Receivers </w:t>
      </w:r>
      <w:r w:rsidR="0081509C">
        <w:br/>
        <w:t>–</w:t>
      </w:r>
      <w:r w:rsidRPr="008C3A5F">
        <w:t xml:space="preserve"> </w:t>
      </w:r>
      <w:r>
        <w:t>700</w:t>
      </w:r>
      <w:r w:rsidRPr="008C3A5F">
        <w:t xml:space="preserve"> MHz Band)</w:t>
      </w:r>
      <w:r>
        <w:t>.</w:t>
      </w:r>
    </w:p>
    <w:p w14:paraId="28D6B48E" w14:textId="715A6212" w:rsidR="00E43313" w:rsidRDefault="009B634B" w:rsidP="00F538E7">
      <w:r>
        <w:t xml:space="preserve">In the review of the </w:t>
      </w:r>
      <w:r w:rsidR="006D17B3">
        <w:t xml:space="preserve">700 MHz </w:t>
      </w:r>
      <w:proofErr w:type="spellStart"/>
      <w:r w:rsidR="006D17B3">
        <w:t>ULoI</w:t>
      </w:r>
      <w:proofErr w:type="spellEnd"/>
      <w:r>
        <w:t xml:space="preserve">, </w:t>
      </w:r>
      <w:r w:rsidR="00445F25">
        <w:t>we</w:t>
      </w:r>
      <w:r>
        <w:t xml:space="preserve"> </w:t>
      </w:r>
      <w:r w:rsidR="00DF1523">
        <w:t>considered</w:t>
      </w:r>
      <w:r>
        <w:t xml:space="preserve"> that the instrument was required and needs to be remade. The ACMA did not identify any band</w:t>
      </w:r>
      <w:r w:rsidR="00445F25">
        <w:t>-</w:t>
      </w:r>
      <w:r>
        <w:t xml:space="preserve">specific changes required to the guideline. Therefore, no substantive changes have been proposed in the remaking of the </w:t>
      </w:r>
      <w:r w:rsidR="006D17B3">
        <w:t xml:space="preserve">700 MHz </w:t>
      </w:r>
      <w:proofErr w:type="spellStart"/>
      <w:r w:rsidR="006D17B3">
        <w:t>ULoI</w:t>
      </w:r>
      <w:proofErr w:type="spellEnd"/>
      <w:r>
        <w:t>.</w:t>
      </w:r>
    </w:p>
    <w:p w14:paraId="15ED7CA4" w14:textId="7D04DCA4" w:rsidR="00B27D99" w:rsidRPr="00E162C4" w:rsidRDefault="00B27D99" w:rsidP="00B27D99">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t>3</w:t>
      </w:r>
    </w:p>
    <w:p w14:paraId="52D358BF" w14:textId="4C809517" w:rsidR="00B27D99" w:rsidRPr="00E162C4" w:rsidRDefault="00B27D99" w:rsidP="00B27D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A75DCD">
        <w:t xml:space="preserve">Radiocommunications (Unacceptable Levels of Interference </w:t>
      </w:r>
      <w:r>
        <w:t>–</w:t>
      </w:r>
      <w:r w:rsidRPr="00A75DCD">
        <w:t xml:space="preserve"> </w:t>
      </w:r>
      <w:r>
        <w:t>700 M</w:t>
      </w:r>
      <w:r w:rsidRPr="00A75DCD">
        <w:t>Hz Band) Determination</w:t>
      </w:r>
      <w:r>
        <w:t>.</w:t>
      </w:r>
    </w:p>
    <w:p w14:paraId="3581F613" w14:textId="30AFDAA6" w:rsidR="00124C2E" w:rsidRDefault="00124C2E" w:rsidP="00EF5DFD">
      <w:pPr>
        <w:pStyle w:val="Heading3"/>
        <w:spacing w:before="360"/>
      </w:pPr>
      <w:r>
        <w:t>1800 MHz</w:t>
      </w:r>
      <w:r w:rsidR="00C11191">
        <w:t xml:space="preserve"> band</w:t>
      </w:r>
    </w:p>
    <w:p w14:paraId="5F37C7F1" w14:textId="7FD3B833" w:rsidR="00124C2E" w:rsidRDefault="005B77AA" w:rsidP="00FB063F">
      <w:pPr>
        <w:pStyle w:val="Paragraphbeforelist"/>
      </w:pPr>
      <w:r>
        <w:t xml:space="preserve">The current </w:t>
      </w:r>
      <w:r w:rsidR="0019303F">
        <w:t xml:space="preserve">1800 MHz spectrum </w:t>
      </w:r>
      <w:r w:rsidR="00C11191">
        <w:t xml:space="preserve">licence technical framework instruments </w:t>
      </w:r>
      <w:r w:rsidR="0019303F">
        <w:t>are:</w:t>
      </w:r>
    </w:p>
    <w:p w14:paraId="693E045A" w14:textId="1DA81A9E" w:rsidR="0019303F" w:rsidRDefault="00476232" w:rsidP="00EF5DFD">
      <w:pPr>
        <w:pStyle w:val="Bulletlevel1"/>
      </w:pPr>
      <w:hyperlink r:id="rId38" w:history="1">
        <w:r w:rsidR="00B74381" w:rsidRPr="00B74381">
          <w:rPr>
            <w:rStyle w:val="Hyperlink"/>
          </w:rPr>
          <w:t xml:space="preserve">Radiocommunications Advisory Guidelines (Managing Interference </w:t>
        </w:r>
        <w:bookmarkStart w:id="17" w:name="_Hlk115099572"/>
        <w:r w:rsidR="00B74381" w:rsidRPr="00B74381">
          <w:rPr>
            <w:rStyle w:val="Hyperlink"/>
          </w:rPr>
          <w:t xml:space="preserve">from Spectrum Licensed Transmitters </w:t>
        </w:r>
        <w:r w:rsidR="00445F25">
          <w:rPr>
            <w:rStyle w:val="Hyperlink"/>
          </w:rPr>
          <w:t>–</w:t>
        </w:r>
        <w:r w:rsidR="00B74381" w:rsidRPr="00B74381">
          <w:rPr>
            <w:rStyle w:val="Hyperlink"/>
          </w:rPr>
          <w:t xml:space="preserve"> 1800 MHz Band) 2012</w:t>
        </w:r>
        <w:bookmarkEnd w:id="17"/>
      </w:hyperlink>
      <w:r w:rsidR="00B74381">
        <w:t xml:space="preserve"> (</w:t>
      </w:r>
      <w:r w:rsidR="00334FA2">
        <w:t>1800 MHz RAG Tx</w:t>
      </w:r>
      <w:r w:rsidR="00B74381">
        <w:t>)</w:t>
      </w:r>
    </w:p>
    <w:p w14:paraId="55C00C74" w14:textId="5511D5A5" w:rsidR="0019303F" w:rsidRDefault="00476232" w:rsidP="00EF5DFD">
      <w:pPr>
        <w:pStyle w:val="Bulletlevel1"/>
      </w:pPr>
      <w:hyperlink r:id="rId39" w:history="1">
        <w:bookmarkStart w:id="18" w:name="_Hlk115099484"/>
        <w:r w:rsidR="00B74381" w:rsidRPr="00B74381">
          <w:rPr>
            <w:rStyle w:val="Hyperlink"/>
          </w:rPr>
          <w:t xml:space="preserve">Radiocommunications Advisory Guidelines (Managing Interference to Spectrum Licensed Receivers </w:t>
        </w:r>
        <w:r w:rsidR="00445F25">
          <w:rPr>
            <w:rStyle w:val="Hyperlink"/>
          </w:rPr>
          <w:t>–</w:t>
        </w:r>
        <w:r w:rsidR="00B74381" w:rsidRPr="00B74381">
          <w:rPr>
            <w:rStyle w:val="Hyperlink"/>
          </w:rPr>
          <w:t xml:space="preserve"> 1800 MHz Band) </w:t>
        </w:r>
        <w:bookmarkEnd w:id="18"/>
        <w:r w:rsidR="00B74381" w:rsidRPr="00B74381">
          <w:rPr>
            <w:rStyle w:val="Hyperlink"/>
          </w:rPr>
          <w:t>2012</w:t>
        </w:r>
      </w:hyperlink>
      <w:r w:rsidR="00B74381" w:rsidRPr="00B74381">
        <w:t xml:space="preserve"> </w:t>
      </w:r>
      <w:r w:rsidR="00B74381">
        <w:t xml:space="preserve"> (</w:t>
      </w:r>
      <w:r w:rsidR="006D17B3">
        <w:t>1800 MHz RAG Rx</w:t>
      </w:r>
      <w:r w:rsidR="00B74381">
        <w:t>)</w:t>
      </w:r>
    </w:p>
    <w:p w14:paraId="5FD07BB7" w14:textId="283E0843" w:rsidR="0019303F" w:rsidRDefault="00476232" w:rsidP="00EF5DFD">
      <w:pPr>
        <w:pStyle w:val="Bulletlevel1"/>
      </w:pPr>
      <w:hyperlink r:id="rId40" w:history="1">
        <w:bookmarkStart w:id="19" w:name="_Hlk115099673"/>
        <w:r w:rsidR="00B74381" w:rsidRPr="00B74381">
          <w:rPr>
            <w:rStyle w:val="Hyperlink"/>
          </w:rPr>
          <w:t>Radiocommunications Advisory Guidelines (Additional Device Boundary Criteria - 1800 MHz Lower Band)</w:t>
        </w:r>
        <w:bookmarkEnd w:id="19"/>
        <w:r w:rsidR="00B74381" w:rsidRPr="00B74381">
          <w:rPr>
            <w:rStyle w:val="Hyperlink"/>
          </w:rPr>
          <w:t xml:space="preserve"> 2012</w:t>
        </w:r>
      </w:hyperlink>
      <w:r w:rsidR="00B74381">
        <w:t xml:space="preserve"> (</w:t>
      </w:r>
      <w:r w:rsidR="00EF5DFD">
        <w:t xml:space="preserve">1800 MHz </w:t>
      </w:r>
      <w:r w:rsidR="0019303F">
        <w:t xml:space="preserve">RAG </w:t>
      </w:r>
      <w:r w:rsidR="00B74381">
        <w:t>DBC)</w:t>
      </w:r>
    </w:p>
    <w:p w14:paraId="3B0C1985" w14:textId="6ECFCCB3" w:rsidR="0019303F" w:rsidRDefault="00476232" w:rsidP="00FB063F">
      <w:pPr>
        <w:pStyle w:val="Bulletlevel1last"/>
      </w:pPr>
      <w:hyperlink r:id="rId41" w:history="1">
        <w:bookmarkStart w:id="20" w:name="_Hlk115099627"/>
        <w:r w:rsidR="00B74381" w:rsidRPr="00B74381">
          <w:rPr>
            <w:rStyle w:val="Hyperlink"/>
          </w:rPr>
          <w:t>Radiocommunications (Unacceptable Levels of Interference - 1800 MHz Band) Determination 2012</w:t>
        </w:r>
        <w:bookmarkEnd w:id="20"/>
      </w:hyperlink>
      <w:r w:rsidR="00B74381">
        <w:t xml:space="preserve"> (</w:t>
      </w:r>
      <w:r w:rsidR="006D17B3">
        <w:t xml:space="preserve">1800 MHz </w:t>
      </w:r>
      <w:proofErr w:type="spellStart"/>
      <w:r w:rsidR="006D17B3">
        <w:t>ULoI</w:t>
      </w:r>
      <w:proofErr w:type="spellEnd"/>
      <w:r w:rsidR="00B74381">
        <w:t>)</w:t>
      </w:r>
      <w:r w:rsidR="00A45767">
        <w:t>.</w:t>
      </w:r>
    </w:p>
    <w:p w14:paraId="6C10EDBE" w14:textId="34ECF17A" w:rsidR="00414EBC" w:rsidRPr="00F538E7" w:rsidRDefault="00157FBA" w:rsidP="00FB063F">
      <w:pPr>
        <w:pStyle w:val="Paragraphbeforelist"/>
      </w:pPr>
      <w:r>
        <w:t xml:space="preserve">In the review </w:t>
      </w:r>
      <w:r w:rsidRPr="00F538E7">
        <w:t xml:space="preserve">of the </w:t>
      </w:r>
      <w:r w:rsidR="00334FA2" w:rsidRPr="00F538E7">
        <w:t>1800 MHz RAG Tx</w:t>
      </w:r>
      <w:r w:rsidRPr="00F538E7">
        <w:t xml:space="preserve">, </w:t>
      </w:r>
      <w:r w:rsidR="00445F25">
        <w:t>we</w:t>
      </w:r>
      <w:r w:rsidRPr="00F538E7">
        <w:t xml:space="preserve"> </w:t>
      </w:r>
      <w:r w:rsidR="00DF1523">
        <w:t>considered</w:t>
      </w:r>
      <w:r w:rsidRPr="00F538E7">
        <w:t xml:space="preserve"> that the instrument was required and needs to be remade. </w:t>
      </w:r>
      <w:r w:rsidR="00414EBC" w:rsidRPr="00F538E7">
        <w:t>In addition to the non-band specific changes, we also propose the following:</w:t>
      </w:r>
    </w:p>
    <w:p w14:paraId="3042A2B1" w14:textId="75D33D66" w:rsidR="00414EBC" w:rsidRPr="00EF5DFD" w:rsidRDefault="00414EBC">
      <w:pPr>
        <w:pStyle w:val="Bulletlevel1"/>
      </w:pPr>
      <w:r w:rsidRPr="00F538E7">
        <w:t xml:space="preserve">Amend Part 3 </w:t>
      </w:r>
      <w:r w:rsidR="00445F25">
        <w:t>‘P</w:t>
      </w:r>
      <w:r w:rsidRPr="00EF5DFD">
        <w:t>oint to point fixed service receivers</w:t>
      </w:r>
      <w:r w:rsidR="00445F25">
        <w:t>’</w:t>
      </w:r>
      <w:r w:rsidRPr="00F538E7">
        <w:t xml:space="preserve"> </w:t>
      </w:r>
      <w:r w:rsidR="00F538E7" w:rsidRPr="00F538E7">
        <w:t>a</w:t>
      </w:r>
      <w:r w:rsidRPr="00EF5DFD">
        <w:t>s the reallocation declaration period has ended</w:t>
      </w:r>
      <w:r w:rsidR="00F538E7" w:rsidRPr="00F538E7">
        <w:t>. This means</w:t>
      </w:r>
      <w:r w:rsidRPr="00EF5DFD">
        <w:t xml:space="preserve"> the requirement to protect the affected fixed point</w:t>
      </w:r>
      <w:r w:rsidR="00445F25">
        <w:t>-</w:t>
      </w:r>
      <w:r w:rsidRPr="00EF5DFD">
        <w:t>to</w:t>
      </w:r>
      <w:r w:rsidR="00445F25">
        <w:t>-</w:t>
      </w:r>
      <w:r w:rsidRPr="00EF5DFD">
        <w:t xml:space="preserve">point receivers </w:t>
      </w:r>
      <w:r w:rsidR="00F538E7" w:rsidRPr="00F538E7">
        <w:t>i</w:t>
      </w:r>
      <w:r w:rsidRPr="00EF5DFD">
        <w:t xml:space="preserve">s no longer required. </w:t>
      </w:r>
      <w:r w:rsidR="00EF5DFD">
        <w:t xml:space="preserve">All </w:t>
      </w:r>
      <w:r w:rsidRPr="00EF5DFD">
        <w:t xml:space="preserve">other </w:t>
      </w:r>
      <w:r w:rsidR="00EF5DFD">
        <w:t>guidance</w:t>
      </w:r>
      <w:r w:rsidRPr="00EF5DFD">
        <w:t xml:space="preserve"> ha</w:t>
      </w:r>
      <w:r w:rsidR="00EF5DFD">
        <w:t>s</w:t>
      </w:r>
      <w:r w:rsidRPr="00EF5DFD">
        <w:t xml:space="preserve"> been maintained</w:t>
      </w:r>
      <w:r w:rsidR="00A45767">
        <w:t>.</w:t>
      </w:r>
      <w:r w:rsidRPr="00EF5DFD">
        <w:t xml:space="preserve"> </w:t>
      </w:r>
    </w:p>
    <w:p w14:paraId="4D055952" w14:textId="1F3A00BC" w:rsidR="00157FBA" w:rsidRPr="00EF5DFD" w:rsidRDefault="00F538E7" w:rsidP="00EF5DFD">
      <w:pPr>
        <w:pStyle w:val="Bulletlevel1"/>
        <w:spacing w:after="240"/>
      </w:pPr>
      <w:r w:rsidRPr="00F538E7">
        <w:t>R</w:t>
      </w:r>
      <w:r w:rsidR="00C3126F" w:rsidRPr="00EF5DFD">
        <w:t>emov</w:t>
      </w:r>
      <w:r w:rsidRPr="00F538E7">
        <w:t>al of</w:t>
      </w:r>
      <w:r w:rsidR="00C3126F" w:rsidRPr="00EF5DFD">
        <w:t xml:space="preserve"> Part 7 </w:t>
      </w:r>
      <w:r w:rsidR="00445F25">
        <w:t>‘</w:t>
      </w:r>
      <w:r w:rsidR="00C3126F" w:rsidRPr="00EF5DFD">
        <w:t>Use of Mobile Communications systems on-board Aircraft (MCA)</w:t>
      </w:r>
      <w:r w:rsidR="00445F25">
        <w:t>’</w:t>
      </w:r>
      <w:r w:rsidR="00C3126F" w:rsidRPr="00EF5DFD">
        <w:t>. Pa</w:t>
      </w:r>
      <w:r w:rsidRPr="00F538E7">
        <w:t>r</w:t>
      </w:r>
      <w:r w:rsidR="00C3126F" w:rsidRPr="00EF5DFD">
        <w:t xml:space="preserve">t 7 only provides recommendations to MCA services and does not provide any guidance to spectrum licensees on </w:t>
      </w:r>
      <w:r>
        <w:t>the management of interference</w:t>
      </w:r>
      <w:r w:rsidR="00A11923">
        <w:t>.</w:t>
      </w:r>
      <w:r w:rsidR="00C3126F" w:rsidRPr="00EF5DFD">
        <w:t xml:space="preserve"> </w:t>
      </w:r>
      <w:r w:rsidRPr="00F538E7">
        <w:t>This kind of guidance is not provided in any other RAG Tx</w:t>
      </w:r>
      <w:r>
        <w:t xml:space="preserve"> as it relates to issues that are not managed or regulated by the ACMA</w:t>
      </w:r>
      <w:r w:rsidRPr="00F538E7">
        <w:t xml:space="preserve">. </w:t>
      </w:r>
      <w:r>
        <w:t xml:space="preserve">It is expected that spectrum licensees will be required by airlines and the Civil Aviation Safety Authority to adhere to any relevant requirements before deploying (or </w:t>
      </w:r>
      <w:r w:rsidR="00EF5DFD">
        <w:t>third-party</w:t>
      </w:r>
      <w:r>
        <w:t xml:space="preserve"> authorising) services on aeroplanes</w:t>
      </w:r>
      <w:r w:rsidR="00EF5DFD">
        <w:t xml:space="preserve"> without the ACMA specifying </w:t>
      </w:r>
      <w:r w:rsidR="00A45767">
        <w:t>those requirements</w:t>
      </w:r>
      <w:r>
        <w:t xml:space="preserve">. </w:t>
      </w:r>
    </w:p>
    <w:p w14:paraId="0CE52957" w14:textId="1511ADE8" w:rsidR="008C3A5F" w:rsidRPr="00F538E7"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F538E7">
        <w:t xml:space="preserve">Question </w:t>
      </w:r>
      <w:r w:rsidR="00B27D99" w:rsidRPr="00F538E7">
        <w:t>4</w:t>
      </w:r>
    </w:p>
    <w:p w14:paraId="4E6FA155" w14:textId="0F3ADECD" w:rsidR="008C3A5F" w:rsidRPr="00F538E7" w:rsidRDefault="008C3A5F" w:rsidP="008C3A5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F538E7">
        <w:t xml:space="preserve">The ACMA seeks comment on the proposed amendments in the remaking of the Radiocommunications Advisory Guidelines (Managing Interference </w:t>
      </w:r>
      <w:r w:rsidR="00A75DCD" w:rsidRPr="00F538E7">
        <w:t xml:space="preserve">from Spectrum Licensed Transmitters </w:t>
      </w:r>
      <w:r w:rsidR="00445F25">
        <w:t>–</w:t>
      </w:r>
      <w:r w:rsidR="00A75DCD" w:rsidRPr="00F538E7">
        <w:t xml:space="preserve"> 1800 MHz Band) </w:t>
      </w:r>
    </w:p>
    <w:p w14:paraId="10230A10" w14:textId="2E7837D5" w:rsidR="005B4074" w:rsidRDefault="005B4074" w:rsidP="00EF5DFD">
      <w:pPr>
        <w:spacing w:before="240"/>
      </w:pPr>
      <w:r w:rsidRPr="00F538E7">
        <w:t xml:space="preserve">In the review of the </w:t>
      </w:r>
      <w:r w:rsidR="006D17B3" w:rsidRPr="00F538E7">
        <w:t>1800 MHz RAG Rx</w:t>
      </w:r>
      <w:r w:rsidRPr="00F538E7">
        <w:t xml:space="preserve">, </w:t>
      </w:r>
      <w:r w:rsidR="00275306">
        <w:t>we</w:t>
      </w:r>
      <w:r w:rsidR="009F5310" w:rsidRPr="00F538E7">
        <w:t xml:space="preserve"> </w:t>
      </w:r>
      <w:r w:rsidR="00DF1523">
        <w:t>considered</w:t>
      </w:r>
      <w:r w:rsidR="009F5310" w:rsidRPr="00F538E7">
        <w:t xml:space="preserve"> that the instrument was required and needs to be remade. </w:t>
      </w:r>
      <w:r w:rsidR="00275306">
        <w:t>We</w:t>
      </w:r>
      <w:r w:rsidRPr="00F538E7">
        <w:t xml:space="preserve"> did not identify </w:t>
      </w:r>
      <w:r w:rsidR="00713E14" w:rsidRPr="00F538E7">
        <w:t xml:space="preserve">any </w:t>
      </w:r>
      <w:r w:rsidR="00A5561F" w:rsidRPr="00F538E7">
        <w:t xml:space="preserve">band specific </w:t>
      </w:r>
      <w:r w:rsidR="00713E14" w:rsidRPr="00F538E7">
        <w:t xml:space="preserve">changes </w:t>
      </w:r>
      <w:r w:rsidR="00713E14" w:rsidRPr="00F538E7">
        <w:lastRenderedPageBreak/>
        <w:t>required</w:t>
      </w:r>
      <w:r w:rsidR="00615D5D" w:rsidRPr="00F538E7">
        <w:t xml:space="preserve"> to the guidelines</w:t>
      </w:r>
      <w:r w:rsidR="00713E14" w:rsidRPr="00F538E7">
        <w:t>. Therefore</w:t>
      </w:r>
      <w:r w:rsidR="00713E14">
        <w:t xml:space="preserve">, </w:t>
      </w:r>
      <w:r w:rsidR="00615D5D">
        <w:t>no substantive change</w:t>
      </w:r>
      <w:r w:rsidR="00122070">
        <w:t>s</w:t>
      </w:r>
      <w:r w:rsidR="00615D5D">
        <w:t xml:space="preserve"> have been proposed in the remaking of the </w:t>
      </w:r>
      <w:r w:rsidR="006D17B3">
        <w:t>1800 MHz RAG Rx</w:t>
      </w:r>
      <w:r w:rsidR="00615D5D">
        <w:t>.</w:t>
      </w:r>
    </w:p>
    <w:p w14:paraId="2103D162" w14:textId="3332E290"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rsidR="00B27D99">
        <w:t>5</w:t>
      </w:r>
    </w:p>
    <w:p w14:paraId="2A846AC1" w14:textId="5502B9A0" w:rsidR="008C3A5F" w:rsidRPr="00E162C4" w:rsidRDefault="008C3A5F" w:rsidP="008C3A5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8C3A5F">
        <w:t xml:space="preserve">Radiocommunications Advisory Guidelines (Managing Interference to Spectrum Licensed Receivers </w:t>
      </w:r>
      <w:r w:rsidR="00275306">
        <w:t>–</w:t>
      </w:r>
      <w:r w:rsidRPr="008C3A5F">
        <w:t xml:space="preserve"> 1800 MHz Band)</w:t>
      </w:r>
      <w:r>
        <w:t>.</w:t>
      </w:r>
    </w:p>
    <w:p w14:paraId="058C8F2A" w14:textId="64980165" w:rsidR="008C3A5F" w:rsidRDefault="008C3A5F" w:rsidP="00EF5DFD">
      <w:pPr>
        <w:spacing w:before="240"/>
      </w:pPr>
      <w:r>
        <w:t>In the</w:t>
      </w:r>
      <w:r w:rsidR="00EF5DFD">
        <w:t xml:space="preserve"> review of</w:t>
      </w:r>
      <w:r w:rsidR="00940D96">
        <w:t xml:space="preserve"> </w:t>
      </w:r>
      <w:hyperlink r:id="rId42" w:history="1">
        <w:r w:rsidR="00940D96" w:rsidRPr="00940D96">
          <w:rPr>
            <w:rStyle w:val="Hyperlink"/>
          </w:rPr>
          <w:t>1800 MHz band spectrum licence technical framework</w:t>
        </w:r>
      </w:hyperlink>
      <w:r w:rsidR="00EF5DFD">
        <w:t xml:space="preserve"> </w:t>
      </w:r>
      <w:r>
        <w:t xml:space="preserve">that was undertaken in 2021, </w:t>
      </w:r>
      <w:r w:rsidR="00275306">
        <w:t>we</w:t>
      </w:r>
      <w:r>
        <w:t xml:space="preserve"> consulted with spectrum licensees on proposed amendments to </w:t>
      </w:r>
      <w:r w:rsidR="00534659">
        <w:t>that</w:t>
      </w:r>
      <w:r>
        <w:t xml:space="preserve"> framework</w:t>
      </w:r>
      <w:r w:rsidR="00EF5DFD">
        <w:t xml:space="preserve">. This </w:t>
      </w:r>
      <w:r>
        <w:t xml:space="preserve">included the non-band specific </w:t>
      </w:r>
      <w:r w:rsidR="00534659">
        <w:t xml:space="preserve">amendments </w:t>
      </w:r>
      <w:r>
        <w:t xml:space="preserve">to the </w:t>
      </w:r>
      <w:r w:rsidR="006D17B3">
        <w:t xml:space="preserve">1800 MHz </w:t>
      </w:r>
      <w:proofErr w:type="spellStart"/>
      <w:r w:rsidR="006D17B3">
        <w:t>ULoI</w:t>
      </w:r>
      <w:proofErr w:type="spellEnd"/>
      <w:r>
        <w:t xml:space="preserve"> outlined </w:t>
      </w:r>
      <w:r w:rsidR="00EF5DFD">
        <w:t xml:space="preserve">earlier </w:t>
      </w:r>
      <w:r>
        <w:t xml:space="preserve">in this paper. These amendments were made to the </w:t>
      </w:r>
      <w:r w:rsidR="006D17B3">
        <w:t xml:space="preserve">1800 MHz </w:t>
      </w:r>
      <w:proofErr w:type="spellStart"/>
      <w:r w:rsidR="006D17B3">
        <w:t>ULoI</w:t>
      </w:r>
      <w:proofErr w:type="spellEnd"/>
      <w:r>
        <w:t xml:space="preserve"> in </w:t>
      </w:r>
      <w:hyperlink r:id="rId43" w:history="1">
        <w:r>
          <w:rPr>
            <w:rStyle w:val="Hyperlink"/>
          </w:rPr>
          <w:t>December</w:t>
        </w:r>
        <w:r w:rsidRPr="00B74381">
          <w:rPr>
            <w:rStyle w:val="Hyperlink"/>
          </w:rPr>
          <w:t xml:space="preserve"> 202</w:t>
        </w:r>
        <w:r>
          <w:rPr>
            <w:rStyle w:val="Hyperlink"/>
          </w:rPr>
          <w:t>1</w:t>
        </w:r>
      </w:hyperlink>
      <w:r>
        <w:t>.</w:t>
      </w:r>
    </w:p>
    <w:p w14:paraId="7C5CF0E8" w14:textId="3E9FBBF2" w:rsidR="008C3A5F" w:rsidRDefault="00EF5DFD" w:rsidP="00FB063F">
      <w:pPr>
        <w:pStyle w:val="Paragraphbeforelist"/>
      </w:pPr>
      <w:r>
        <w:t>As an outcome of our review</w:t>
      </w:r>
      <w:r w:rsidR="00534659">
        <w:t xml:space="preserve"> of</w:t>
      </w:r>
      <w:r>
        <w:t xml:space="preserve"> the 1800 MHz band technical framework </w:t>
      </w:r>
      <w:r w:rsidR="008C3A5F">
        <w:t xml:space="preserve">instruments, </w:t>
      </w:r>
      <w:r w:rsidR="00275306">
        <w:t xml:space="preserve">we </w:t>
      </w:r>
      <w:r>
        <w:t>propose</w:t>
      </w:r>
      <w:r w:rsidR="008C3A5F">
        <w:t xml:space="preserve"> to incorporate the </w:t>
      </w:r>
      <w:r>
        <w:t xml:space="preserve">1800 MHz </w:t>
      </w:r>
      <w:r w:rsidR="008C3A5F">
        <w:t xml:space="preserve">RAG DBC into the </w:t>
      </w:r>
      <w:r w:rsidR="006D17B3">
        <w:t xml:space="preserve">1800 MHz </w:t>
      </w:r>
      <w:proofErr w:type="spellStart"/>
      <w:r w:rsidR="006D17B3">
        <w:t>ULoI</w:t>
      </w:r>
      <w:proofErr w:type="spellEnd"/>
      <w:r w:rsidR="008C3A5F">
        <w:t xml:space="preserve">. The ACMA </w:t>
      </w:r>
      <w:r>
        <w:t>makes this proposal based</w:t>
      </w:r>
      <w:r w:rsidR="008C3A5F">
        <w:t xml:space="preserve"> on the following reasons:</w:t>
      </w:r>
    </w:p>
    <w:p w14:paraId="1492EC65" w14:textId="10FA0916" w:rsidR="008C3A5F" w:rsidRDefault="008C3A5F" w:rsidP="00FB063F">
      <w:pPr>
        <w:pStyle w:val="Bulletlevel1"/>
      </w:pPr>
      <w:r>
        <w:t xml:space="preserve">The inclusion of the </w:t>
      </w:r>
      <w:r w:rsidR="00EF5DFD">
        <w:t xml:space="preserve">1800 MHz </w:t>
      </w:r>
      <w:r>
        <w:t xml:space="preserve">RAG DBC into the </w:t>
      </w:r>
      <w:r w:rsidR="006D17B3">
        <w:t xml:space="preserve">1800 MHz </w:t>
      </w:r>
      <w:proofErr w:type="spellStart"/>
      <w:r w:rsidR="006D17B3">
        <w:t>ULoI</w:t>
      </w:r>
      <w:proofErr w:type="spellEnd"/>
      <w:r>
        <w:t xml:space="preserve"> reduce</w:t>
      </w:r>
      <w:r w:rsidR="00534659">
        <w:t>s</w:t>
      </w:r>
      <w:r>
        <w:t xml:space="preserve"> the complexity associated with having </w:t>
      </w:r>
      <w:r w:rsidR="00275306">
        <w:t xml:space="preserve">2 </w:t>
      </w:r>
      <w:r>
        <w:t xml:space="preserve">separate instruments. Spectrum </w:t>
      </w:r>
      <w:r w:rsidR="00DF1523">
        <w:t>l</w:t>
      </w:r>
      <w:r>
        <w:t>icensees will now only need to refer to one instrument when considering device boundary criteria</w:t>
      </w:r>
      <w:r w:rsidR="00EF5DFD">
        <w:t>.</w:t>
      </w:r>
    </w:p>
    <w:p w14:paraId="638398C2" w14:textId="633B401F" w:rsidR="008C3A5F" w:rsidRDefault="008C3A5F" w:rsidP="00FB063F">
      <w:pPr>
        <w:pStyle w:val="Bulletlevel1last"/>
      </w:pPr>
      <w:r>
        <w:t xml:space="preserve">Having one instrument allows </w:t>
      </w:r>
      <w:r w:rsidR="00275306">
        <w:t>us</w:t>
      </w:r>
      <w:r>
        <w:t xml:space="preserve"> to manage</w:t>
      </w:r>
      <w:r w:rsidR="00EF5DFD">
        <w:t xml:space="preserve"> any amendments</w:t>
      </w:r>
      <w:r>
        <w:t xml:space="preserve"> more effectively and ensure alignment between criteria in any future amendments.</w:t>
      </w:r>
    </w:p>
    <w:p w14:paraId="4A8841E9" w14:textId="727DE96E" w:rsidR="008C3A5F" w:rsidRDefault="008C3A5F" w:rsidP="008C3A5F">
      <w:r>
        <w:t>Therefore, the only band</w:t>
      </w:r>
      <w:r w:rsidR="00275306">
        <w:t>-</w:t>
      </w:r>
      <w:r>
        <w:t xml:space="preserve">specific changes to the </w:t>
      </w:r>
      <w:r w:rsidR="006D17B3">
        <w:t xml:space="preserve">1800 MHz </w:t>
      </w:r>
      <w:proofErr w:type="spellStart"/>
      <w:r w:rsidR="006D17B3">
        <w:t>ULoI</w:t>
      </w:r>
      <w:proofErr w:type="spellEnd"/>
      <w:r>
        <w:t xml:space="preserve"> will be the inclusion of the additional </w:t>
      </w:r>
      <w:r w:rsidR="00297D19">
        <w:t xml:space="preserve">device </w:t>
      </w:r>
      <w:r>
        <w:t>boundary criteria</w:t>
      </w:r>
      <w:r w:rsidR="00EF5DFD">
        <w:t xml:space="preserve"> from the 1800 MHz RAG DBC</w:t>
      </w:r>
      <w:r>
        <w:t xml:space="preserve">. </w:t>
      </w:r>
      <w:r w:rsidR="00297D19">
        <w:t>The ACMA also proposes to update the additional device boundary criteria to use the 3</w:t>
      </w:r>
      <w:r w:rsidR="00275306">
        <w:t>-</w:t>
      </w:r>
      <w:r w:rsidR="00297D19">
        <w:t>second DEM</w:t>
      </w:r>
      <w:r w:rsidR="00275306">
        <w:t>,</w:t>
      </w:r>
      <w:r w:rsidR="00297D19">
        <w:t xml:space="preserve"> as detailed in the </w:t>
      </w:r>
      <w:hyperlink w:anchor="_Non-band_specific_changes" w:history="1">
        <w:r w:rsidR="00297D19" w:rsidRPr="00FB063F">
          <w:rPr>
            <w:rStyle w:val="Hyperlink"/>
          </w:rPr>
          <w:t>non-band specific changes</w:t>
        </w:r>
      </w:hyperlink>
      <w:r w:rsidR="00297D19">
        <w:t xml:space="preserve"> section</w:t>
      </w:r>
      <w:r w:rsidR="00534659">
        <w:t xml:space="preserve"> above</w:t>
      </w:r>
      <w:r w:rsidR="00297D19">
        <w:t xml:space="preserve">. </w:t>
      </w:r>
    </w:p>
    <w:p w14:paraId="68557603" w14:textId="7123FAF6"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rsidR="00B27D99">
        <w:t>6</w:t>
      </w:r>
    </w:p>
    <w:p w14:paraId="319D4049" w14:textId="63712642" w:rsidR="008C3A5F" w:rsidRPr="00E162C4" w:rsidRDefault="008C3A5F" w:rsidP="008C3A5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00A75DCD" w:rsidRPr="00A75DCD">
        <w:t xml:space="preserve">Radiocommunications (Unacceptable Levels of Interference </w:t>
      </w:r>
      <w:r w:rsidR="00275306">
        <w:t>–</w:t>
      </w:r>
      <w:r w:rsidR="00A75DCD" w:rsidRPr="00A75DCD">
        <w:t xml:space="preserve"> 1800 MHz Band) Determination</w:t>
      </w:r>
      <w:r>
        <w:t>.</w:t>
      </w:r>
    </w:p>
    <w:p w14:paraId="3EBB6EAD" w14:textId="4A309949" w:rsidR="00DA55F6" w:rsidRDefault="00DA55F6" w:rsidP="00297D19">
      <w:pPr>
        <w:spacing w:before="240"/>
      </w:pPr>
      <w:r>
        <w:t xml:space="preserve">In the review of the </w:t>
      </w:r>
      <w:r w:rsidR="00297D19">
        <w:t xml:space="preserve">1800 MHz </w:t>
      </w:r>
      <w:r w:rsidRPr="003C478E">
        <w:t xml:space="preserve">RAG </w:t>
      </w:r>
      <w:r>
        <w:t xml:space="preserve">DBC, </w:t>
      </w:r>
      <w:r w:rsidR="00275306">
        <w:t>we</w:t>
      </w:r>
      <w:r>
        <w:t xml:space="preserve"> </w:t>
      </w:r>
      <w:r w:rsidR="00DF1523">
        <w:t xml:space="preserve">considered </w:t>
      </w:r>
      <w:r>
        <w:t xml:space="preserve">that the instrument was required, but its contents could be contained in the </w:t>
      </w:r>
      <w:r w:rsidR="006D17B3">
        <w:t xml:space="preserve">1800 MHz </w:t>
      </w:r>
      <w:proofErr w:type="spellStart"/>
      <w:r w:rsidR="006D17B3">
        <w:t>ULoI</w:t>
      </w:r>
      <w:proofErr w:type="spellEnd"/>
      <w:r>
        <w:t xml:space="preserve">. Therefore, the proposed </w:t>
      </w:r>
      <w:r w:rsidR="006D17B3">
        <w:t xml:space="preserve">1800 MHz </w:t>
      </w:r>
      <w:proofErr w:type="spellStart"/>
      <w:r w:rsidR="006D17B3">
        <w:t>ULoI</w:t>
      </w:r>
      <w:proofErr w:type="spellEnd"/>
      <w:r>
        <w:t xml:space="preserve"> has been updated to include the relevant criteria and </w:t>
      </w:r>
      <w:r w:rsidR="00C11191">
        <w:t xml:space="preserve">it is proposed to </w:t>
      </w:r>
      <w:r w:rsidR="00534659">
        <w:t xml:space="preserve">revoke </w:t>
      </w:r>
      <w:r>
        <w:t xml:space="preserve">the RAG DBC. </w:t>
      </w:r>
    </w:p>
    <w:p w14:paraId="299632DE" w14:textId="4EB9BBF5"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rsidR="00B27D99">
        <w:t>7</w:t>
      </w:r>
    </w:p>
    <w:p w14:paraId="022A322A" w14:textId="444DCD48" w:rsidR="008C3A5F" w:rsidRPr="00E162C4" w:rsidRDefault="008C3A5F" w:rsidP="008C3A5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w:t>
      </w:r>
      <w:r w:rsidR="00A75DCD">
        <w:t xml:space="preserve">decision to </w:t>
      </w:r>
      <w:r w:rsidR="00534659">
        <w:t xml:space="preserve">revoke </w:t>
      </w:r>
      <w:r w:rsidR="00A75DCD">
        <w:t>the</w:t>
      </w:r>
      <w:r>
        <w:t xml:space="preserve"> </w:t>
      </w:r>
      <w:r w:rsidR="00A75DCD" w:rsidRPr="00A75DCD">
        <w:t xml:space="preserve">Radiocommunications Advisory Guidelines (Additional Device Boundary Criteria </w:t>
      </w:r>
      <w:r w:rsidR="00275306">
        <w:t>–</w:t>
      </w:r>
      <w:r w:rsidR="00A75DCD" w:rsidRPr="00A75DCD">
        <w:t xml:space="preserve"> 1800 MHz Lower Band)</w:t>
      </w:r>
      <w:r w:rsidR="00A75DCD">
        <w:t xml:space="preserve"> 2012</w:t>
      </w:r>
      <w:r w:rsidR="00DA55F6">
        <w:t xml:space="preserve"> </w:t>
      </w:r>
      <w:r w:rsidR="00A75DCD">
        <w:t xml:space="preserve">and include relevant provisions into the remade </w:t>
      </w:r>
      <w:r w:rsidR="00A75DCD" w:rsidRPr="00A75DCD">
        <w:t xml:space="preserve">Radiocommunications (Unacceptable Levels of Interference </w:t>
      </w:r>
      <w:r w:rsidR="00275306">
        <w:t>–</w:t>
      </w:r>
      <w:r w:rsidR="00A75DCD" w:rsidRPr="00A75DCD">
        <w:t xml:space="preserve"> 1800 MHz Band) Determination</w:t>
      </w:r>
      <w:r>
        <w:t>.</w:t>
      </w:r>
    </w:p>
    <w:p w14:paraId="211B4CAE" w14:textId="49B0F0C6" w:rsidR="00124C2E" w:rsidRDefault="00124C2E" w:rsidP="00297D19">
      <w:pPr>
        <w:pStyle w:val="Heading3"/>
        <w:spacing w:before="240"/>
      </w:pPr>
      <w:r>
        <w:t>2.5 GHz</w:t>
      </w:r>
      <w:r w:rsidR="00C11191">
        <w:t xml:space="preserve"> band</w:t>
      </w:r>
    </w:p>
    <w:p w14:paraId="593EB316" w14:textId="3B67489B" w:rsidR="00961D8D" w:rsidRDefault="00961D8D" w:rsidP="00FB063F">
      <w:pPr>
        <w:pStyle w:val="Paragraphbeforelist"/>
      </w:pPr>
      <w:r>
        <w:t xml:space="preserve">The current 2.5 GHz spectrum </w:t>
      </w:r>
      <w:r w:rsidR="00C11191">
        <w:t xml:space="preserve">licence technical framework instruments </w:t>
      </w:r>
      <w:r>
        <w:t>are:</w:t>
      </w:r>
    </w:p>
    <w:p w14:paraId="556936A5" w14:textId="3436A396" w:rsidR="00961D8D" w:rsidRDefault="00B12617" w:rsidP="00961D8D">
      <w:pPr>
        <w:pStyle w:val="Bulletlevel1"/>
      </w:pPr>
      <w:hyperlink r:id="rId44" w:history="1">
        <w:r w:rsidR="00961D8D" w:rsidRPr="00827BB4">
          <w:rPr>
            <w:rStyle w:val="Hyperlink"/>
          </w:rPr>
          <w:t xml:space="preserve">Radiocommunications Advisory Guidelines (Managing Interference from Transmitters – 2.5 GHz Band) 2012 </w:t>
        </w:r>
      </w:hyperlink>
      <w:r w:rsidR="00961D8D">
        <w:t xml:space="preserve"> (</w:t>
      </w:r>
      <w:r w:rsidR="00334FA2">
        <w:t>2.5 GHz RAG Tx</w:t>
      </w:r>
      <w:r w:rsidR="00961D8D">
        <w:t>)</w:t>
      </w:r>
    </w:p>
    <w:p w14:paraId="4062481C" w14:textId="2F2E7B73" w:rsidR="00961D8D" w:rsidRDefault="00B12617" w:rsidP="00961D8D">
      <w:pPr>
        <w:pStyle w:val="Bulletlevel1"/>
      </w:pPr>
      <w:hyperlink r:id="rId45" w:history="1">
        <w:r w:rsidR="00961D8D" w:rsidRPr="00827BB4">
          <w:rPr>
            <w:rStyle w:val="Hyperlink"/>
          </w:rPr>
          <w:t xml:space="preserve">Radiocommunications Advisory Guidelines (Managing Interference to Receivers – 2.5 GHz Band) 2012 </w:t>
        </w:r>
      </w:hyperlink>
      <w:r w:rsidR="00961D8D">
        <w:t xml:space="preserve"> (</w:t>
      </w:r>
      <w:r w:rsidR="006D17B3">
        <w:t>2.5 GHz RAG Rx</w:t>
      </w:r>
      <w:r w:rsidR="00961D8D">
        <w:t>)</w:t>
      </w:r>
    </w:p>
    <w:p w14:paraId="157530CB" w14:textId="580A8B22" w:rsidR="00961D8D" w:rsidRDefault="00476232" w:rsidP="00FB063F">
      <w:pPr>
        <w:pStyle w:val="Bulletlevel1last"/>
      </w:pPr>
      <w:hyperlink r:id="rId46" w:history="1">
        <w:r w:rsidR="00961D8D" w:rsidRPr="00FF5DFF">
          <w:rPr>
            <w:rStyle w:val="Hyperlink"/>
          </w:rPr>
          <w:t xml:space="preserve">Radiocommunications (Unacceptable Levels of Interference – 2.5 GHz Band) Determination 2012 </w:t>
        </w:r>
      </w:hyperlink>
      <w:r w:rsidR="00961D8D">
        <w:t xml:space="preserve"> (</w:t>
      </w:r>
      <w:r w:rsidR="006D17B3">
        <w:t xml:space="preserve">2.5 GHz </w:t>
      </w:r>
      <w:proofErr w:type="spellStart"/>
      <w:r w:rsidR="006D17B3">
        <w:t>ULoI</w:t>
      </w:r>
      <w:proofErr w:type="spellEnd"/>
      <w:r w:rsidR="00961D8D">
        <w:t>)</w:t>
      </w:r>
      <w:r w:rsidR="00BC48D4">
        <w:t>.</w:t>
      </w:r>
    </w:p>
    <w:p w14:paraId="0DA9D0EF" w14:textId="4D8886D4" w:rsidR="00961D8D" w:rsidRDefault="00961D8D">
      <w:pPr>
        <w:spacing w:before="240"/>
      </w:pPr>
      <w:r>
        <w:lastRenderedPageBreak/>
        <w:t xml:space="preserve">In the review of the </w:t>
      </w:r>
      <w:r w:rsidR="00334FA2">
        <w:t>2.5 GHz RAG Tx</w:t>
      </w:r>
      <w:r>
        <w:t xml:space="preserve">, </w:t>
      </w:r>
      <w:r w:rsidR="00FB16B8">
        <w:t>we</w:t>
      </w:r>
      <w:r>
        <w:t xml:space="preserve"> </w:t>
      </w:r>
      <w:r w:rsidR="00DF1523">
        <w:t>considered</w:t>
      </w:r>
      <w:r>
        <w:t xml:space="preserve"> that the instrument was required and needs to be remade</w:t>
      </w:r>
      <w:r w:rsidRPr="00BA528C">
        <w:t xml:space="preserve">. </w:t>
      </w:r>
      <w:r w:rsidR="000A7A58" w:rsidRPr="00BA528C">
        <w:t xml:space="preserve">In addition to the non-band specific changes, we also propose including in Part 7 </w:t>
      </w:r>
      <w:r w:rsidR="00FB16B8">
        <w:t>‘</w:t>
      </w:r>
      <w:r w:rsidR="000A7A58" w:rsidRPr="00FB063F">
        <w:t>Radiodetermination service</w:t>
      </w:r>
      <w:r w:rsidR="006D65CC" w:rsidRPr="00FB063F">
        <w:t>s</w:t>
      </w:r>
      <w:r w:rsidR="00FB16B8">
        <w:t>’</w:t>
      </w:r>
      <w:r w:rsidR="006D65CC" w:rsidRPr="00BA528C">
        <w:t>, a reference to</w:t>
      </w:r>
      <w:r w:rsidR="000A7A58" w:rsidRPr="00BA528C">
        <w:t xml:space="preserve"> </w:t>
      </w:r>
      <w:r w:rsidR="00072676" w:rsidRPr="00BA528C">
        <w:t>Recommendation ITU</w:t>
      </w:r>
      <w:r w:rsidR="000A7A58" w:rsidRPr="00BA528C">
        <w:t xml:space="preserve">-R </w:t>
      </w:r>
      <w:bookmarkStart w:id="21" w:name="_Hlk115949234"/>
      <w:r w:rsidR="000A7A58" w:rsidRPr="00BA528C">
        <w:t xml:space="preserve">M.1849 </w:t>
      </w:r>
      <w:r w:rsidR="00FB16B8">
        <w:t>‘</w:t>
      </w:r>
      <w:r w:rsidR="000A7A58" w:rsidRPr="00FB063F">
        <w:t>Technical and operational aspects of ground-based meteorological radars</w:t>
      </w:r>
      <w:r w:rsidR="00FB16B8">
        <w:t>’</w:t>
      </w:r>
      <w:r w:rsidR="000A7A58" w:rsidRPr="00BA528C">
        <w:t>. This recommendation provides guidance on technical and operational characteristics of meteorological radars and develops related interference protection criteria which may assist spectrum licensees in protecting Bureau of Meteorology weather radars.</w:t>
      </w:r>
      <w:bookmarkEnd w:id="21"/>
    </w:p>
    <w:p w14:paraId="7454997B" w14:textId="0D50C144"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rsidR="004A5E16">
        <w:t>8</w:t>
      </w:r>
    </w:p>
    <w:p w14:paraId="5AC988D6" w14:textId="2542A8F8" w:rsidR="00B27D99" w:rsidRPr="00E162C4" w:rsidRDefault="00B27D99" w:rsidP="00B27D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8C3A5F">
        <w:t xml:space="preserve">Radiocommunications Advisory Guidelines (Managing Interference </w:t>
      </w:r>
      <w:r w:rsidRPr="00A75DCD">
        <w:t xml:space="preserve">from Transmitters </w:t>
      </w:r>
      <w:r>
        <w:t>–</w:t>
      </w:r>
      <w:r w:rsidRPr="00A75DCD">
        <w:t xml:space="preserve"> </w:t>
      </w:r>
      <w:r>
        <w:t>2.5 G</w:t>
      </w:r>
      <w:r w:rsidRPr="00A75DCD">
        <w:t>Hz Band)</w:t>
      </w:r>
      <w:r w:rsidR="00BC48D4">
        <w:t>.</w:t>
      </w:r>
      <w:r w:rsidRPr="00A75DCD">
        <w:t xml:space="preserve"> </w:t>
      </w:r>
    </w:p>
    <w:p w14:paraId="46C11EF1" w14:textId="4964A34B" w:rsidR="00961D8D" w:rsidRDefault="00961D8D" w:rsidP="00961D8D">
      <w:r>
        <w:t xml:space="preserve">In the </w:t>
      </w:r>
      <w:r w:rsidRPr="00297D19">
        <w:t xml:space="preserve">review of the </w:t>
      </w:r>
      <w:r w:rsidR="006D17B3" w:rsidRPr="007C3C7D">
        <w:t>2.5 GHz RAG Rx</w:t>
      </w:r>
      <w:r w:rsidRPr="006D1D33">
        <w:t xml:space="preserve">, </w:t>
      </w:r>
      <w:r w:rsidR="00950F20">
        <w:t>we</w:t>
      </w:r>
      <w:r w:rsidRPr="006D1D33">
        <w:t xml:space="preserve"> </w:t>
      </w:r>
      <w:r w:rsidR="00DF1523">
        <w:t>considered</w:t>
      </w:r>
      <w:r w:rsidRPr="006D1D33">
        <w:t xml:space="preserve"> that the instrument was required and needs to be remade. </w:t>
      </w:r>
      <w:r w:rsidR="00456C7A" w:rsidRPr="006D1D33">
        <w:t xml:space="preserve">While </w:t>
      </w:r>
      <w:r w:rsidR="00950F20">
        <w:t>we</w:t>
      </w:r>
      <w:r w:rsidRPr="006D1D33">
        <w:t xml:space="preserve"> did not identify any</w:t>
      </w:r>
      <w:r w:rsidR="00A5561F" w:rsidRPr="006D1D33">
        <w:t xml:space="preserve"> band</w:t>
      </w:r>
      <w:r w:rsidR="00950F20">
        <w:t>-</w:t>
      </w:r>
      <w:r w:rsidR="00A5561F" w:rsidRPr="006D1D33">
        <w:t>specific</w:t>
      </w:r>
      <w:r w:rsidRPr="006D1D33">
        <w:t xml:space="preserve"> changes required to the guideline</w:t>
      </w:r>
      <w:r w:rsidR="00930D27">
        <w:t>s</w:t>
      </w:r>
      <w:r w:rsidR="00456C7A" w:rsidRPr="006D1D33">
        <w:t>, clarity has been provided to the frequency offsets that the intermodulation response rejection applies over</w:t>
      </w:r>
      <w:r w:rsidRPr="006D1D33">
        <w:t xml:space="preserve">. </w:t>
      </w:r>
      <w:r w:rsidR="00456C7A" w:rsidRPr="006D1D33">
        <w:t>N</w:t>
      </w:r>
      <w:r w:rsidRPr="006D1D33">
        <w:t xml:space="preserve">o substantive changes have been proposed in the remaking of the </w:t>
      </w:r>
      <w:r w:rsidR="006D17B3" w:rsidRPr="006D1D33">
        <w:t>2.5 GHz RAG Rx</w:t>
      </w:r>
      <w:r w:rsidRPr="006D1D33">
        <w:t>.</w:t>
      </w:r>
    </w:p>
    <w:p w14:paraId="3B2E8952" w14:textId="6CBBF560"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 xml:space="preserve">uestion </w:t>
      </w:r>
      <w:r w:rsidR="004A5E16">
        <w:t>9</w:t>
      </w:r>
    </w:p>
    <w:p w14:paraId="5EA78618" w14:textId="482DB58D" w:rsidR="00B27D99" w:rsidRPr="00E162C4" w:rsidRDefault="00B27D99" w:rsidP="00B27D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8C3A5F">
        <w:t xml:space="preserve">Radiocommunications Advisory Guidelines (Managing Interference to Receivers </w:t>
      </w:r>
      <w:r w:rsidR="00950F20">
        <w:br/>
      </w:r>
      <w:r>
        <w:t>–</w:t>
      </w:r>
      <w:r w:rsidRPr="008C3A5F">
        <w:t xml:space="preserve"> </w:t>
      </w:r>
      <w:r>
        <w:t>2.5</w:t>
      </w:r>
      <w:r w:rsidRPr="008C3A5F">
        <w:t xml:space="preserve"> </w:t>
      </w:r>
      <w:r>
        <w:t>G</w:t>
      </w:r>
      <w:r w:rsidRPr="008C3A5F">
        <w:t>Hz Band)</w:t>
      </w:r>
      <w:r>
        <w:t>.</w:t>
      </w:r>
    </w:p>
    <w:p w14:paraId="26F72936" w14:textId="0C68C7D7" w:rsidR="00B6282D" w:rsidRDefault="00B6282D">
      <w:r>
        <w:t xml:space="preserve">In the review of the </w:t>
      </w:r>
      <w:r w:rsidR="006D17B3">
        <w:t xml:space="preserve">2.5 GHz </w:t>
      </w:r>
      <w:proofErr w:type="spellStart"/>
      <w:r w:rsidR="006D17B3">
        <w:t>ULoI</w:t>
      </w:r>
      <w:proofErr w:type="spellEnd"/>
      <w:r>
        <w:t xml:space="preserve">, </w:t>
      </w:r>
      <w:r w:rsidR="006D5529">
        <w:t>we</w:t>
      </w:r>
      <w:r>
        <w:t xml:space="preserve"> determined that the instrument was required and needs to be remade. </w:t>
      </w:r>
      <w:bookmarkStart w:id="22" w:name="_Hlk115445356"/>
      <w:r>
        <w:t xml:space="preserve">In addition to the non-band specific changes, </w:t>
      </w:r>
      <w:r w:rsidR="006D5529">
        <w:t>we</w:t>
      </w:r>
      <w:r>
        <w:t xml:space="preserve"> also propose to </w:t>
      </w:r>
      <w:bookmarkEnd w:id="22"/>
      <w:r w:rsidRPr="00F97226">
        <w:t>define a</w:t>
      </w:r>
      <w:r w:rsidR="00D21D9D">
        <w:t>n</w:t>
      </w:r>
      <w:r w:rsidRPr="00F97226">
        <w:t xml:space="preserve"> </w:t>
      </w:r>
      <w:r w:rsidR="00D21D9D" w:rsidRPr="00D21D9D">
        <w:t xml:space="preserve">advanced antenna systems (AAS) </w:t>
      </w:r>
      <w:r w:rsidR="006D5529">
        <w:t>l</w:t>
      </w:r>
      <w:r w:rsidR="00D21D9D" w:rsidRPr="00F97226">
        <w:t xml:space="preserve">evel of </w:t>
      </w:r>
      <w:r w:rsidR="006D5529">
        <w:t>p</w:t>
      </w:r>
      <w:r w:rsidR="00D21D9D" w:rsidRPr="00F97226">
        <w:t>rotection (LOP)</w:t>
      </w:r>
      <w:r w:rsidR="00D21D9D">
        <w:t xml:space="preserve"> based on the existing non-AAS LOP. This approach is in line with the approach taken in other bands</w:t>
      </w:r>
      <w:r w:rsidR="006D5529">
        <w:t xml:space="preserve">, including </w:t>
      </w:r>
      <w:r w:rsidR="00D21D9D">
        <w:t>1800 MHz, 2.3 GHz</w:t>
      </w:r>
      <w:r w:rsidR="006D5529">
        <w:t xml:space="preserve"> and</w:t>
      </w:r>
      <w:r w:rsidR="00D21D9D">
        <w:t xml:space="preserve"> 3.4 GHz. The new AAS LOP of </w:t>
      </w:r>
      <w:r w:rsidR="006D5529">
        <w:br/>
      </w:r>
      <w:r w:rsidR="00D21D9D" w:rsidRPr="006D1D33">
        <w:t>-108 dBm/30 kHz</w:t>
      </w:r>
      <w:r w:rsidR="00D21D9D">
        <w:t xml:space="preserve"> was derived from the existing non-AAS LOP of </w:t>
      </w:r>
      <w:r w:rsidR="00F97226" w:rsidRPr="00F97226">
        <w:t>-116 dBm/30kHz</w:t>
      </w:r>
      <w:r w:rsidRPr="00F97226">
        <w:t>. This helps</w:t>
      </w:r>
      <w:r>
        <w:t xml:space="preserve"> to differentiate </w:t>
      </w:r>
      <w:r w:rsidRPr="00602151">
        <w:t>between the</w:t>
      </w:r>
      <w:r w:rsidR="006D1D33">
        <w:t xml:space="preserve"> different</w:t>
      </w:r>
      <w:r w:rsidRPr="00602151">
        <w:t xml:space="preserve"> interference potential </w:t>
      </w:r>
      <w:r w:rsidR="006D1D33">
        <w:t>of these systems</w:t>
      </w:r>
      <w:r w:rsidRPr="00602151">
        <w:t>. Specifically, for non-AAS</w:t>
      </w:r>
      <w:r>
        <w:t>,</w:t>
      </w:r>
      <w:r w:rsidRPr="00602151">
        <w:t xml:space="preserve"> the interference environment is largely static (though there may be fluctuations due to factors like base station loading</w:t>
      </w:r>
      <w:r>
        <w:t>,</w:t>
      </w:r>
      <w:r w:rsidRPr="00602151">
        <w:t xml:space="preserve"> for example), while for AAS the use of beamforming results in a more dynamic interference environment.</w:t>
      </w:r>
    </w:p>
    <w:p w14:paraId="71D48D15" w14:textId="7390A05B"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uestion 1</w:t>
      </w:r>
      <w:r w:rsidR="004A5E16">
        <w:t>0</w:t>
      </w:r>
    </w:p>
    <w:p w14:paraId="01120B81" w14:textId="124B07E8" w:rsidR="00B27D99" w:rsidRPr="00E162C4" w:rsidRDefault="00B27D99" w:rsidP="00B27D9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23" w:name="_Hlk115260148"/>
      <w:r>
        <w:t xml:space="preserve">The ACMA seeks comment on the proposed amendments in the remaking of the </w:t>
      </w:r>
      <w:r w:rsidRPr="00A75DCD">
        <w:t xml:space="preserve">Radiocommunications (Unacceptable Levels of Interference </w:t>
      </w:r>
      <w:r>
        <w:t>–</w:t>
      </w:r>
      <w:r w:rsidRPr="00A75DCD">
        <w:t xml:space="preserve"> </w:t>
      </w:r>
      <w:r>
        <w:t>2.5 G</w:t>
      </w:r>
      <w:r w:rsidRPr="00A75DCD">
        <w:t>Hz Band) Determination</w:t>
      </w:r>
      <w:r>
        <w:t>.</w:t>
      </w:r>
    </w:p>
    <w:bookmarkEnd w:id="23"/>
    <w:p w14:paraId="5569918F" w14:textId="258330FE" w:rsidR="00124C2E" w:rsidRDefault="00124C2E" w:rsidP="006D1D33">
      <w:pPr>
        <w:pStyle w:val="Heading3"/>
        <w:spacing w:before="240"/>
      </w:pPr>
      <w:r>
        <w:t xml:space="preserve">2.5 GHz </w:t>
      </w:r>
      <w:r w:rsidR="006D5529">
        <w:t>m</w:t>
      </w:r>
      <w:r w:rsidR="00827BB4">
        <w:t>id-</w:t>
      </w:r>
      <w:r w:rsidR="006D5529">
        <w:t>b</w:t>
      </w:r>
      <w:r w:rsidR="00827BB4">
        <w:t>and</w:t>
      </w:r>
      <w:r>
        <w:t xml:space="preserve"> </w:t>
      </w:r>
      <w:r w:rsidR="006D5529">
        <w:t>g</w:t>
      </w:r>
      <w:r>
        <w:t>ap</w:t>
      </w:r>
    </w:p>
    <w:p w14:paraId="1B31229E" w14:textId="0EE7BA37" w:rsidR="00961D8D" w:rsidRDefault="00961D8D" w:rsidP="00FB063F">
      <w:pPr>
        <w:pStyle w:val="Paragraphbeforelist"/>
      </w:pPr>
      <w:r>
        <w:t xml:space="preserve">The current 2.5 GHz </w:t>
      </w:r>
      <w:r w:rsidR="006D5529">
        <w:rPr>
          <w:u w:color="0000FF"/>
        </w:rPr>
        <w:t>m</w:t>
      </w:r>
      <w:r>
        <w:rPr>
          <w:u w:color="0000FF"/>
        </w:rPr>
        <w:t>id</w:t>
      </w:r>
      <w:r w:rsidR="00827BB4">
        <w:rPr>
          <w:u w:color="0000FF"/>
        </w:rPr>
        <w:t>-</w:t>
      </w:r>
      <w:r w:rsidR="006D5529">
        <w:rPr>
          <w:u w:color="0000FF"/>
        </w:rPr>
        <w:t>b</w:t>
      </w:r>
      <w:r w:rsidRPr="00F845B5">
        <w:rPr>
          <w:u w:color="0000FF"/>
        </w:rPr>
        <w:t>and</w:t>
      </w:r>
      <w:r>
        <w:rPr>
          <w:u w:color="0000FF"/>
        </w:rPr>
        <w:t xml:space="preserve"> </w:t>
      </w:r>
      <w:r w:rsidR="006D5529">
        <w:rPr>
          <w:u w:color="0000FF"/>
        </w:rPr>
        <w:t>g</w:t>
      </w:r>
      <w:r>
        <w:rPr>
          <w:u w:color="0000FF"/>
        </w:rPr>
        <w:t>ap</w:t>
      </w:r>
      <w:r>
        <w:t xml:space="preserve"> spectrum </w:t>
      </w:r>
      <w:r w:rsidR="00C11191">
        <w:t xml:space="preserve">licence technical framework </w:t>
      </w:r>
      <w:r w:rsidR="006D5529">
        <w:br/>
      </w:r>
      <w:r w:rsidR="00C11191">
        <w:t xml:space="preserve">instruments </w:t>
      </w:r>
      <w:r>
        <w:t>are:</w:t>
      </w:r>
    </w:p>
    <w:p w14:paraId="4709B960" w14:textId="6ADF77EA" w:rsidR="00961D8D" w:rsidRDefault="00476232" w:rsidP="00961D8D">
      <w:pPr>
        <w:pStyle w:val="Bulletlevel1"/>
      </w:pPr>
      <w:hyperlink r:id="rId47" w:history="1">
        <w:r w:rsidR="00961D8D" w:rsidRPr="00827BB4">
          <w:rPr>
            <w:rStyle w:val="Hyperlink"/>
          </w:rPr>
          <w:t>Radiocommunications Advisory Guidelines (Managing Interference from Transmitters – 2.5 GHz Mid</w:t>
        </w:r>
        <w:r w:rsidR="00827BB4">
          <w:rPr>
            <w:rStyle w:val="Hyperlink"/>
          </w:rPr>
          <w:t>-</w:t>
        </w:r>
        <w:r w:rsidR="00961D8D" w:rsidRPr="00827BB4">
          <w:rPr>
            <w:rStyle w:val="Hyperlink"/>
          </w:rPr>
          <w:t>Band Gap) 2012</w:t>
        </w:r>
      </w:hyperlink>
      <w:r w:rsidR="00961D8D">
        <w:t xml:space="preserve"> (</w:t>
      </w:r>
      <w:r w:rsidR="00334FA2">
        <w:t>2.5 GHz MBG RAG Tx</w:t>
      </w:r>
      <w:r w:rsidR="00961D8D">
        <w:t>)</w:t>
      </w:r>
    </w:p>
    <w:p w14:paraId="5B1977A2" w14:textId="73D454BA" w:rsidR="00961D8D" w:rsidRDefault="00476232" w:rsidP="00961D8D">
      <w:pPr>
        <w:pStyle w:val="Bulletlevel1"/>
      </w:pPr>
      <w:hyperlink r:id="rId48" w:history="1">
        <w:r w:rsidR="00961D8D" w:rsidRPr="00827BB4">
          <w:rPr>
            <w:rStyle w:val="Hyperlink"/>
          </w:rPr>
          <w:t>Radiocommunications Advisory Guidelines (Managing Interference to Receivers – 2.5 GHz Mid</w:t>
        </w:r>
        <w:r w:rsidR="00827BB4" w:rsidRPr="00827BB4">
          <w:rPr>
            <w:rStyle w:val="Hyperlink"/>
          </w:rPr>
          <w:t>-</w:t>
        </w:r>
        <w:r w:rsidR="00961D8D" w:rsidRPr="00827BB4">
          <w:rPr>
            <w:rStyle w:val="Hyperlink"/>
          </w:rPr>
          <w:t>Band Gap</w:t>
        </w:r>
        <w:r w:rsidR="006D5529">
          <w:rPr>
            <w:rStyle w:val="Hyperlink"/>
          </w:rPr>
          <w:t>) 2012</w:t>
        </w:r>
      </w:hyperlink>
      <w:r w:rsidR="00961D8D" w:rsidRPr="00F845B5">
        <w:rPr>
          <w:u w:color="0000FF"/>
        </w:rPr>
        <w:t xml:space="preserve"> </w:t>
      </w:r>
      <w:r w:rsidR="00961D8D">
        <w:t>(</w:t>
      </w:r>
      <w:r w:rsidR="006D17B3">
        <w:t>2.5 GHz MBG RAG Rx</w:t>
      </w:r>
      <w:r w:rsidR="00961D8D">
        <w:t>)</w:t>
      </w:r>
    </w:p>
    <w:p w14:paraId="7B0F60EF" w14:textId="33C356E3" w:rsidR="00961D8D" w:rsidRDefault="00476232" w:rsidP="00FB063F">
      <w:pPr>
        <w:pStyle w:val="Bulletlevel1last"/>
      </w:pPr>
      <w:hyperlink r:id="rId49" w:history="1">
        <w:r w:rsidR="00961D8D" w:rsidRPr="00FF5DFF">
          <w:rPr>
            <w:rStyle w:val="Hyperlink"/>
          </w:rPr>
          <w:t>Radiocommunications (Unacceptable Levels of Interference – 2.5 GHz Mid</w:t>
        </w:r>
        <w:r w:rsidR="00827BB4" w:rsidRPr="00FF5DFF">
          <w:rPr>
            <w:rStyle w:val="Hyperlink"/>
          </w:rPr>
          <w:t>-</w:t>
        </w:r>
        <w:r w:rsidR="00961D8D" w:rsidRPr="00FF5DFF">
          <w:rPr>
            <w:rStyle w:val="Hyperlink"/>
          </w:rPr>
          <w:t>Band Gap) Determination 2012</w:t>
        </w:r>
      </w:hyperlink>
      <w:r w:rsidR="00961D8D">
        <w:t xml:space="preserve"> (</w:t>
      </w:r>
      <w:r w:rsidR="006D17B3">
        <w:t xml:space="preserve">2.5 GHz MBG </w:t>
      </w:r>
      <w:proofErr w:type="spellStart"/>
      <w:r w:rsidR="006D17B3">
        <w:t>ULoI</w:t>
      </w:r>
      <w:proofErr w:type="spellEnd"/>
      <w:r w:rsidR="00961D8D">
        <w:t>)</w:t>
      </w:r>
      <w:r w:rsidR="00BB50B9">
        <w:t>.</w:t>
      </w:r>
    </w:p>
    <w:p w14:paraId="50E52C31" w14:textId="3A23657C" w:rsidR="00961D8D" w:rsidRDefault="00961D8D" w:rsidP="00FE584C">
      <w:pPr>
        <w:spacing w:before="240"/>
      </w:pPr>
      <w:r>
        <w:t xml:space="preserve">In the review of the </w:t>
      </w:r>
      <w:r w:rsidR="00334FA2">
        <w:t>2.5 GHz MBG RAG Tx</w:t>
      </w:r>
      <w:r>
        <w:t xml:space="preserve">, </w:t>
      </w:r>
      <w:r w:rsidR="006D5529">
        <w:t>we</w:t>
      </w:r>
      <w:r>
        <w:t xml:space="preserve"> </w:t>
      </w:r>
      <w:r w:rsidR="00DF1523">
        <w:t>considered</w:t>
      </w:r>
      <w:r>
        <w:t xml:space="preserve"> that the instrument was required and needs to be remade. </w:t>
      </w:r>
      <w:r w:rsidR="006D5529">
        <w:t>We</w:t>
      </w:r>
      <w:r w:rsidR="000A7A58" w:rsidRPr="000A7A58">
        <w:t xml:space="preserve"> did not identify any band</w:t>
      </w:r>
      <w:r w:rsidR="006D5529">
        <w:t>-</w:t>
      </w:r>
      <w:r w:rsidR="000A7A58" w:rsidRPr="000A7A58">
        <w:t xml:space="preserve">specific changes </w:t>
      </w:r>
      <w:r w:rsidR="000A7A58" w:rsidRPr="000A7A58">
        <w:lastRenderedPageBreak/>
        <w:t xml:space="preserve">required to the guideline. Therefore, no substantive changes have been proposed in the remaking of the 2.5 </w:t>
      </w:r>
      <w:r w:rsidR="000A7A58">
        <w:t>GHz MBG RAG Tx</w:t>
      </w:r>
      <w:r w:rsidR="00DF1523">
        <w:t>.</w:t>
      </w:r>
    </w:p>
    <w:p w14:paraId="4D775145" w14:textId="46A19842"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uestion 1</w:t>
      </w:r>
      <w:r w:rsidR="004A5E16">
        <w:t>1</w:t>
      </w:r>
    </w:p>
    <w:p w14:paraId="7575AFE3" w14:textId="4A8D92F3" w:rsidR="008C3A5F" w:rsidRPr="00E162C4" w:rsidRDefault="004224EE" w:rsidP="008C3A5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24" w:name="_Hlk115260193"/>
      <w:r>
        <w:t xml:space="preserve">The ACMA seeks comment on the proposed amendments in the remaking of the </w:t>
      </w:r>
      <w:r w:rsidRPr="008C3A5F">
        <w:t xml:space="preserve">Radiocommunications Advisory Guidelines (Managing Interference </w:t>
      </w:r>
      <w:r w:rsidRPr="00A75DCD">
        <w:t xml:space="preserve">from Transmitters </w:t>
      </w:r>
      <w:r>
        <w:t>–</w:t>
      </w:r>
      <w:r w:rsidRPr="00A75DCD">
        <w:t xml:space="preserve"> </w:t>
      </w:r>
      <w:r>
        <w:t>2.5 G</w:t>
      </w:r>
      <w:r w:rsidRPr="00A75DCD">
        <w:t>Hz</w:t>
      </w:r>
      <w:r>
        <w:t xml:space="preserve"> </w:t>
      </w:r>
      <w:r w:rsidR="00827BB4">
        <w:t>Mid-Band</w:t>
      </w:r>
      <w:r>
        <w:t xml:space="preserve"> Gap</w:t>
      </w:r>
      <w:r w:rsidRPr="00A75DCD">
        <w:t>)</w:t>
      </w:r>
      <w:r w:rsidR="008C3A5F">
        <w:t>.</w:t>
      </w:r>
    </w:p>
    <w:bookmarkEnd w:id="24"/>
    <w:p w14:paraId="0F877ACD" w14:textId="3F077EA4" w:rsidR="00456C7A" w:rsidRPr="00FE584C" w:rsidRDefault="00961D8D" w:rsidP="00FB063F">
      <w:pPr>
        <w:pStyle w:val="Paragraphbeforelist"/>
      </w:pPr>
      <w:r w:rsidRPr="00FE584C">
        <w:t xml:space="preserve">In the review of the </w:t>
      </w:r>
      <w:r w:rsidR="006D17B3" w:rsidRPr="00FE584C">
        <w:t>2.5 GHz MBG RAG Rx</w:t>
      </w:r>
      <w:r w:rsidRPr="00FE584C">
        <w:t xml:space="preserve">, </w:t>
      </w:r>
      <w:r w:rsidR="006D5529">
        <w:t>we</w:t>
      </w:r>
      <w:r w:rsidRPr="00FE584C">
        <w:t xml:space="preserve"> </w:t>
      </w:r>
      <w:r w:rsidR="00DF1523">
        <w:t xml:space="preserve">considered </w:t>
      </w:r>
      <w:r w:rsidRPr="00FE584C">
        <w:t xml:space="preserve">that the instrument was required and needs to be remade. </w:t>
      </w:r>
      <w:r w:rsidR="00456C7A" w:rsidRPr="00FE584C">
        <w:t>In addition to the non-band specific changes, we also propose the following:</w:t>
      </w:r>
    </w:p>
    <w:p w14:paraId="53FEE615" w14:textId="7150E8AF" w:rsidR="00456C7A" w:rsidRPr="00FE584C" w:rsidRDefault="006D5529" w:rsidP="00456C7A">
      <w:pPr>
        <w:pStyle w:val="Bulletlevel1"/>
      </w:pPr>
      <w:r>
        <w:t>T</w:t>
      </w:r>
      <w:r w:rsidR="00BB50B9">
        <w:t xml:space="preserve">o </w:t>
      </w:r>
      <w:r w:rsidR="00032B7E" w:rsidRPr="00FE584C">
        <w:t xml:space="preserve">amend the </w:t>
      </w:r>
      <w:r w:rsidR="00655AA2" w:rsidRPr="00FE584C">
        <w:t xml:space="preserve">frequency range </w:t>
      </w:r>
      <w:r w:rsidR="00FE584C" w:rsidRPr="00FE584C">
        <w:t xml:space="preserve">that applies to </w:t>
      </w:r>
      <w:r w:rsidR="00655AA2" w:rsidRPr="00FE584C">
        <w:t xml:space="preserve">the receiver blocking </w:t>
      </w:r>
      <w:r w:rsidR="00EF21C4" w:rsidRPr="00FE584C">
        <w:t>criteri</w:t>
      </w:r>
      <w:r w:rsidR="00655AA2" w:rsidRPr="00FE584C">
        <w:t>on</w:t>
      </w:r>
      <w:r w:rsidR="00032B7E" w:rsidRPr="00FE584C">
        <w:t xml:space="preserve"> </w:t>
      </w:r>
      <w:r w:rsidR="00EF21C4" w:rsidRPr="00FE584C">
        <w:t xml:space="preserve">for an unwanted signal outside the frequency band. The current frequency limits incorrectly use the frequency limits specified in the 2.5 GHz </w:t>
      </w:r>
      <w:r w:rsidR="00655AA2" w:rsidRPr="00FE584C">
        <w:t xml:space="preserve">band rather than the 2.5 GHz </w:t>
      </w:r>
      <w:r>
        <w:t>m</w:t>
      </w:r>
      <w:r w:rsidR="00655AA2" w:rsidRPr="00FE584C">
        <w:t>id-</w:t>
      </w:r>
      <w:r>
        <w:t>b</w:t>
      </w:r>
      <w:r w:rsidR="00655AA2" w:rsidRPr="00FE584C">
        <w:t xml:space="preserve">and </w:t>
      </w:r>
      <w:r>
        <w:t>g</w:t>
      </w:r>
      <w:r w:rsidR="00655AA2" w:rsidRPr="00FE584C">
        <w:t xml:space="preserve">ap. </w:t>
      </w:r>
      <w:r w:rsidR="00473707">
        <w:t>As such, t</w:t>
      </w:r>
      <w:r w:rsidR="00EF21C4" w:rsidRPr="00FE584C">
        <w:t xml:space="preserve">he frequency limits </w:t>
      </w:r>
      <w:r w:rsidR="00BB50B9">
        <w:t>are proposed to be</w:t>
      </w:r>
      <w:r w:rsidR="00BB50B9" w:rsidRPr="00FE584C">
        <w:t xml:space="preserve"> </w:t>
      </w:r>
      <w:r w:rsidR="00EF21C4" w:rsidRPr="00FE584C">
        <w:t xml:space="preserve">changed from </w:t>
      </w:r>
      <w:r w:rsidR="00DE62CA">
        <w:t xml:space="preserve">the </w:t>
      </w:r>
      <w:r w:rsidR="00EF21C4" w:rsidRPr="00FE584C">
        <w:t>2480</w:t>
      </w:r>
      <w:r w:rsidR="00DE62CA">
        <w:t>–</w:t>
      </w:r>
      <w:r w:rsidR="00EF21C4" w:rsidRPr="00FE584C">
        <w:t xml:space="preserve">2590 MHz </w:t>
      </w:r>
      <w:r w:rsidR="00DE62CA">
        <w:t xml:space="preserve">frequency range </w:t>
      </w:r>
      <w:r w:rsidR="00EF21C4" w:rsidRPr="00FE584C">
        <w:t xml:space="preserve">to </w:t>
      </w:r>
      <w:r w:rsidR="00DE62CA">
        <w:t xml:space="preserve">the </w:t>
      </w:r>
      <w:r w:rsidR="00EF21C4" w:rsidRPr="00FE584C">
        <w:t>2555</w:t>
      </w:r>
      <w:r w:rsidR="00DE62CA">
        <w:t>–</w:t>
      </w:r>
      <w:r w:rsidR="00EF21C4" w:rsidRPr="00FE584C">
        <w:t>2635 MHz</w:t>
      </w:r>
      <w:r w:rsidR="00DE62CA">
        <w:t xml:space="preserve"> frequency range</w:t>
      </w:r>
      <w:r w:rsidR="00EF21C4" w:rsidRPr="00FE584C">
        <w:t>.</w:t>
      </w:r>
    </w:p>
    <w:p w14:paraId="3C9D1814" w14:textId="47FB768A" w:rsidR="00456C7A" w:rsidRPr="00FE584C" w:rsidRDefault="006D5529" w:rsidP="00FE584C">
      <w:pPr>
        <w:pStyle w:val="Bulletlevel1"/>
        <w:spacing w:after="240"/>
      </w:pPr>
      <w:r>
        <w:t>T</w:t>
      </w:r>
      <w:r w:rsidR="00BB50B9">
        <w:t xml:space="preserve">o </w:t>
      </w:r>
      <w:r w:rsidR="00456C7A" w:rsidRPr="00FE584C">
        <w:t xml:space="preserve">provide clarity to the frequency offsets that the intermodulation response rejection applies over. </w:t>
      </w:r>
    </w:p>
    <w:p w14:paraId="229F818A" w14:textId="7E35F1D8" w:rsidR="008C3A5F" w:rsidRPr="00E162C4" w:rsidRDefault="008C3A5F" w:rsidP="008C3A5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w:t>
      </w:r>
      <w:r w:rsidRPr="00E162C4">
        <w:t>uestion 1</w:t>
      </w:r>
      <w:r w:rsidR="004A5E16">
        <w:t>2</w:t>
      </w:r>
    </w:p>
    <w:p w14:paraId="5C394D71" w14:textId="624B14F3" w:rsidR="008C3A5F" w:rsidRPr="00E162C4" w:rsidRDefault="004224EE" w:rsidP="008C3A5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8C3A5F">
        <w:t xml:space="preserve">Radiocommunications Advisory Guidelines (Managing Interference to Receivers </w:t>
      </w:r>
      <w:r w:rsidR="006D5529">
        <w:br/>
      </w:r>
      <w:r>
        <w:t>–</w:t>
      </w:r>
      <w:r w:rsidRPr="008C3A5F">
        <w:t xml:space="preserve"> </w:t>
      </w:r>
      <w:r>
        <w:t>2.5</w:t>
      </w:r>
      <w:r w:rsidRPr="008C3A5F">
        <w:t xml:space="preserve"> </w:t>
      </w:r>
      <w:r>
        <w:t>G</w:t>
      </w:r>
      <w:r w:rsidRPr="008C3A5F">
        <w:t xml:space="preserve">Hz </w:t>
      </w:r>
      <w:r w:rsidR="00827BB4">
        <w:t>Mid-Band</w:t>
      </w:r>
      <w:r>
        <w:t xml:space="preserve"> Gap</w:t>
      </w:r>
      <w:r w:rsidRPr="008C3A5F">
        <w:t>)</w:t>
      </w:r>
      <w:r>
        <w:t>.</w:t>
      </w:r>
    </w:p>
    <w:p w14:paraId="6159D6DD" w14:textId="060EA7F7" w:rsidR="001636CC" w:rsidRPr="00FE584C" w:rsidRDefault="00961D8D" w:rsidP="00FB063F">
      <w:pPr>
        <w:pStyle w:val="Paragraphbeforelist"/>
      </w:pPr>
      <w:r w:rsidRPr="00FE584C">
        <w:t xml:space="preserve">In the review of the </w:t>
      </w:r>
      <w:r w:rsidR="006D17B3" w:rsidRPr="00FE584C">
        <w:t xml:space="preserve">2.5 GHz MBG </w:t>
      </w:r>
      <w:proofErr w:type="spellStart"/>
      <w:r w:rsidR="006D17B3" w:rsidRPr="00FE584C">
        <w:t>ULoI</w:t>
      </w:r>
      <w:proofErr w:type="spellEnd"/>
      <w:r w:rsidRPr="00FE584C">
        <w:t xml:space="preserve">, </w:t>
      </w:r>
      <w:r w:rsidR="006D5529">
        <w:t>we</w:t>
      </w:r>
      <w:r w:rsidRPr="00FE584C">
        <w:t xml:space="preserve"> determined that the instrument was required and needs to be remade. </w:t>
      </w:r>
      <w:r w:rsidR="008C61E6" w:rsidRPr="00FE584C">
        <w:t xml:space="preserve">In addition to the non-band specific changes, </w:t>
      </w:r>
      <w:r w:rsidR="006D5529">
        <w:t>we</w:t>
      </w:r>
      <w:r w:rsidR="008C61E6" w:rsidRPr="00FE584C">
        <w:t xml:space="preserve"> also propose to </w:t>
      </w:r>
      <w:r w:rsidR="001636CC" w:rsidRPr="00FE584C">
        <w:t>update the propagation model specified in Schedule 2</w:t>
      </w:r>
      <w:r w:rsidR="00BB50B9">
        <w:t>,</w:t>
      </w:r>
      <w:r w:rsidR="001636CC" w:rsidRPr="00FE584C">
        <w:t xml:space="preserve"> item (3) to reference the relevant ITU Recommendations</w:t>
      </w:r>
      <w:r w:rsidR="00DF1523">
        <w:t>:</w:t>
      </w:r>
    </w:p>
    <w:p w14:paraId="71F06D9A" w14:textId="0B78E1A4" w:rsidR="001636CC" w:rsidRPr="00FE584C" w:rsidRDefault="001636CC" w:rsidP="00FE584C">
      <w:pPr>
        <w:pStyle w:val="Bulletlevel1"/>
      </w:pPr>
      <w:r w:rsidRPr="00FE584C">
        <w:t xml:space="preserve">ITU-R Recommendation P.525-4 </w:t>
      </w:r>
      <w:r w:rsidR="006D5529">
        <w:t>‘</w:t>
      </w:r>
      <w:r w:rsidRPr="00FB063F">
        <w:t>Calculation of free-space attenuation</w:t>
      </w:r>
      <w:r w:rsidR="006D5529">
        <w:t>’</w:t>
      </w:r>
    </w:p>
    <w:p w14:paraId="1B83FB35" w14:textId="2106894B" w:rsidR="001636CC" w:rsidRPr="00FE584C" w:rsidRDefault="001636CC" w:rsidP="00FE584C">
      <w:pPr>
        <w:pStyle w:val="Bulletlevel1"/>
      </w:pPr>
      <w:r w:rsidRPr="00FE584C">
        <w:t xml:space="preserve">ITU-R Recommendation P.526-15 </w:t>
      </w:r>
      <w:r w:rsidR="006D5529">
        <w:t>‘</w:t>
      </w:r>
      <w:r w:rsidRPr="00FB063F">
        <w:t>Propagation by diffraction</w:t>
      </w:r>
      <w:r w:rsidR="006D5529">
        <w:t>’</w:t>
      </w:r>
    </w:p>
    <w:p w14:paraId="6D1FCA3D" w14:textId="12CDBBB8" w:rsidR="001636CC" w:rsidRPr="00FE584C" w:rsidRDefault="001636CC" w:rsidP="00FB063F">
      <w:pPr>
        <w:pStyle w:val="Bulletlevel1last"/>
      </w:pPr>
      <w:r w:rsidRPr="00FE584C">
        <w:t xml:space="preserve">ITU-R Recommendation P.2108-0 </w:t>
      </w:r>
      <w:r w:rsidR="00FF4480">
        <w:t>‘</w:t>
      </w:r>
      <w:r w:rsidRPr="00FB063F">
        <w:t>Prediction of clutter loss</w:t>
      </w:r>
      <w:r w:rsidR="00FF4480">
        <w:t>’</w:t>
      </w:r>
      <w:r w:rsidRPr="00FE584C">
        <w:rPr>
          <w:i/>
          <w:iCs/>
        </w:rPr>
        <w:t>.</w:t>
      </w:r>
    </w:p>
    <w:p w14:paraId="7C5D4507" w14:textId="59C819E2" w:rsidR="00961D8D" w:rsidRDefault="001636CC" w:rsidP="001636CC">
      <w:r w:rsidRPr="00FE584C">
        <w:t>This amendment aligns the propagation model</w:t>
      </w:r>
      <w:r w:rsidR="00FE584C" w:rsidRPr="00FE584C">
        <w:t>s used in the calculation of the device boundary criteria</w:t>
      </w:r>
      <w:r w:rsidRPr="00FE584C">
        <w:t xml:space="preserve"> in the 2.3 GHz and 3.4 GHz band</w:t>
      </w:r>
      <w:r w:rsidR="00FE584C" w:rsidRPr="00FE584C">
        <w:t xml:space="preserve"> </w:t>
      </w:r>
      <w:proofErr w:type="spellStart"/>
      <w:r w:rsidR="00FE584C" w:rsidRPr="00FE584C">
        <w:t>ULoIs</w:t>
      </w:r>
      <w:proofErr w:type="spellEnd"/>
      <w:r w:rsidRPr="00FE584C">
        <w:t>.</w:t>
      </w:r>
      <w:r w:rsidR="00FE584C">
        <w:t xml:space="preserve"> </w:t>
      </w:r>
    </w:p>
    <w:p w14:paraId="0CC7B4F6" w14:textId="4A5A2D31" w:rsidR="00C02F26" w:rsidRPr="00E162C4" w:rsidRDefault="008C3A5F" w:rsidP="00F361D7">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25" w:name="_Toc298924672"/>
      <w:bookmarkStart w:id="26" w:name="_Toc300909555"/>
      <w:bookmarkStart w:id="27" w:name="_Toc348105636"/>
      <w:r>
        <w:t>Q</w:t>
      </w:r>
      <w:r w:rsidR="00C02F26" w:rsidRPr="00E162C4">
        <w:t>uestion 1</w:t>
      </w:r>
      <w:r w:rsidR="004A5E16">
        <w:t>3</w:t>
      </w:r>
    </w:p>
    <w:p w14:paraId="6475FE48" w14:textId="7A038D83" w:rsidR="00C02F26" w:rsidRPr="00E162C4" w:rsidRDefault="004224EE" w:rsidP="00F361D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ACMA seeks comment on the proposed amendments in the remaking of the </w:t>
      </w:r>
      <w:r w:rsidRPr="00A75DCD">
        <w:t xml:space="preserve">Radiocommunications (Unacceptable Levels of Interference </w:t>
      </w:r>
      <w:r>
        <w:t>–</w:t>
      </w:r>
      <w:r w:rsidRPr="00A75DCD">
        <w:t xml:space="preserve"> </w:t>
      </w:r>
      <w:r>
        <w:t>2.5 G</w:t>
      </w:r>
      <w:r w:rsidRPr="00A75DCD">
        <w:t xml:space="preserve">Hz </w:t>
      </w:r>
      <w:r w:rsidR="00827BB4">
        <w:t>Mid-Band</w:t>
      </w:r>
      <w:r>
        <w:t xml:space="preserve"> Gap</w:t>
      </w:r>
      <w:r w:rsidRPr="00A75DCD">
        <w:t>) Determination</w:t>
      </w:r>
      <w:r w:rsidR="008C3A5F">
        <w:t>.</w:t>
      </w:r>
    </w:p>
    <w:p w14:paraId="1DA903D9" w14:textId="77777777" w:rsidR="006C1631" w:rsidRPr="00E162C4" w:rsidRDefault="006C1631" w:rsidP="006C1631">
      <w:pPr>
        <w:pStyle w:val="Heading1"/>
      </w:pPr>
      <w:bookmarkStart w:id="28" w:name="_Toc118276423"/>
      <w:bookmarkEnd w:id="25"/>
      <w:bookmarkEnd w:id="26"/>
      <w:bookmarkEnd w:id="27"/>
      <w:r w:rsidRPr="00E162C4">
        <w:lastRenderedPageBreak/>
        <w:t>Invitation to comment</w:t>
      </w:r>
      <w:bookmarkEnd w:id="28"/>
    </w:p>
    <w:p w14:paraId="780560B0" w14:textId="77777777" w:rsidR="006C1631" w:rsidRPr="00E162C4" w:rsidRDefault="006C1631" w:rsidP="006C1631">
      <w:pPr>
        <w:pStyle w:val="Heading2"/>
      </w:pPr>
      <w:bookmarkStart w:id="29" w:name="_Toc433122131"/>
      <w:bookmarkStart w:id="30" w:name="_Toc348105637"/>
      <w:bookmarkStart w:id="31" w:name="_Toc300909556"/>
      <w:bookmarkStart w:id="32" w:name="_Toc298924673"/>
      <w:bookmarkStart w:id="33" w:name="_Toc348105638"/>
      <w:bookmarkStart w:id="34" w:name="_Toc300909557"/>
      <w:bookmarkStart w:id="35" w:name="_Toc298924674"/>
      <w:bookmarkStart w:id="36" w:name="_Toc274296357"/>
      <w:bookmarkStart w:id="37" w:name="_Toc118276424"/>
      <w:r w:rsidRPr="00E162C4">
        <w:t>Making a submission</w:t>
      </w:r>
      <w:bookmarkEnd w:id="29"/>
      <w:bookmarkEnd w:id="30"/>
      <w:bookmarkEnd w:id="31"/>
      <w:bookmarkEnd w:id="32"/>
      <w:bookmarkEnd w:id="37"/>
    </w:p>
    <w:p w14:paraId="015B3D5F" w14:textId="48D53D27" w:rsidR="006C1631" w:rsidRPr="00E162C4" w:rsidRDefault="006C5FD4" w:rsidP="006C1631">
      <w:r w:rsidRPr="00E162C4">
        <w:t>We</w:t>
      </w:r>
      <w:r w:rsidR="006C1631" w:rsidRPr="00E162C4">
        <w:t xml:space="preserve"> invite comments on the issues set out in this </w:t>
      </w:r>
      <w:r w:rsidR="00BB50B9">
        <w:t>consultation</w:t>
      </w:r>
      <w:r w:rsidR="00BB50B9" w:rsidRPr="00E162C4">
        <w:t xml:space="preserve"> </w:t>
      </w:r>
      <w:r w:rsidR="006C1631" w:rsidRPr="00E162C4">
        <w:t xml:space="preserve">paper. </w:t>
      </w:r>
    </w:p>
    <w:p w14:paraId="244E1BB0" w14:textId="77777777" w:rsidR="0070133D" w:rsidRPr="00E162C4" w:rsidRDefault="00B12617" w:rsidP="0070133D">
      <w:pPr>
        <w:pStyle w:val="Bulletlevel1"/>
      </w:pPr>
      <w:hyperlink r:id="rId50"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6388EEED" w14:textId="77777777" w:rsidR="006C1631" w:rsidRPr="00E162C4" w:rsidRDefault="006C1631" w:rsidP="0070133D">
      <w:pPr>
        <w:pStyle w:val="Bulletlevel1"/>
      </w:pPr>
      <w:r w:rsidRPr="00E162C4">
        <w:t xml:space="preserve">Submissions by post can be sent to: </w:t>
      </w:r>
    </w:p>
    <w:p w14:paraId="1742E416" w14:textId="77777777" w:rsidR="006C1631" w:rsidRPr="008F594E" w:rsidRDefault="006C1631" w:rsidP="006C1631">
      <w:pPr>
        <w:tabs>
          <w:tab w:val="num" w:pos="295"/>
        </w:tabs>
        <w:spacing w:after="0"/>
        <w:ind w:left="295"/>
        <w:rPr>
          <w:szCs w:val="20"/>
        </w:rPr>
      </w:pPr>
      <w:r w:rsidRPr="008F594E">
        <w:rPr>
          <w:szCs w:val="20"/>
        </w:rPr>
        <w:t>The Manager</w:t>
      </w:r>
    </w:p>
    <w:p w14:paraId="4EE54E6C" w14:textId="77777777" w:rsidR="009B634B" w:rsidRPr="009B634B" w:rsidRDefault="009B634B" w:rsidP="009B634B">
      <w:pPr>
        <w:spacing w:after="0"/>
        <w:ind w:left="295"/>
        <w:rPr>
          <w:szCs w:val="20"/>
        </w:rPr>
      </w:pPr>
      <w:r w:rsidRPr="009B634B">
        <w:rPr>
          <w:szCs w:val="20"/>
        </w:rPr>
        <w:t>Wireless Broadband Section</w:t>
      </w:r>
    </w:p>
    <w:p w14:paraId="4DFE588E" w14:textId="77777777" w:rsidR="009B634B" w:rsidRPr="009B634B" w:rsidRDefault="009B634B" w:rsidP="009B634B">
      <w:pPr>
        <w:spacing w:after="0"/>
        <w:ind w:left="295"/>
        <w:rPr>
          <w:szCs w:val="20"/>
        </w:rPr>
      </w:pPr>
      <w:r w:rsidRPr="009B634B">
        <w:rPr>
          <w:szCs w:val="20"/>
        </w:rPr>
        <w:t>Australian Communications and Media Authority</w:t>
      </w:r>
    </w:p>
    <w:p w14:paraId="36D530BC" w14:textId="4F4A949F" w:rsidR="009B634B" w:rsidRPr="008F594E" w:rsidRDefault="009B634B" w:rsidP="009B634B">
      <w:pPr>
        <w:spacing w:after="0"/>
        <w:ind w:left="295"/>
        <w:rPr>
          <w:szCs w:val="20"/>
        </w:rPr>
      </w:pPr>
      <w:r w:rsidRPr="009B634B">
        <w:rPr>
          <w:szCs w:val="20"/>
        </w:rPr>
        <w:t>PO Box 78</w:t>
      </w:r>
    </w:p>
    <w:p w14:paraId="4D3739A0" w14:textId="77777777" w:rsidR="006C1631" w:rsidRPr="00E162C4" w:rsidRDefault="006C1631" w:rsidP="006C1631">
      <w:pPr>
        <w:ind w:left="295"/>
        <w:rPr>
          <w:szCs w:val="20"/>
        </w:rPr>
      </w:pPr>
      <w:r w:rsidRPr="008F594E">
        <w:rPr>
          <w:szCs w:val="20"/>
        </w:rPr>
        <w:t>Belconnen ACT 2616</w:t>
      </w:r>
    </w:p>
    <w:p w14:paraId="5AAA921B" w14:textId="7979168F" w:rsidR="006C1631" w:rsidRPr="00E162C4" w:rsidRDefault="006C1631" w:rsidP="006C1631">
      <w:r w:rsidRPr="00E162C4">
        <w:t xml:space="preserve">The closing date for submissions is </w:t>
      </w:r>
      <w:r w:rsidRPr="00FB063F">
        <w:rPr>
          <w:b/>
          <w:bCs/>
        </w:rPr>
        <w:t xml:space="preserve">COB, </w:t>
      </w:r>
      <w:r w:rsidR="00B04780" w:rsidRPr="00FB063F">
        <w:rPr>
          <w:b/>
          <w:bCs/>
        </w:rPr>
        <w:t>Friday 2 December 2022</w:t>
      </w:r>
      <w:r w:rsidRPr="00E162C4">
        <w:t>.</w:t>
      </w:r>
    </w:p>
    <w:p w14:paraId="5CB3EDA0" w14:textId="2DDEC5F1" w:rsidR="006C1631" w:rsidRPr="00E162C4" w:rsidRDefault="006C1631" w:rsidP="006C1631">
      <w:pPr>
        <w:rPr>
          <w:szCs w:val="20"/>
        </w:rPr>
      </w:pPr>
      <w:r w:rsidRPr="00E162C4">
        <w:t xml:space="preserve">Consultation enquiries can be emailed </w:t>
      </w:r>
      <w:r w:rsidRPr="00E162C4">
        <w:rPr>
          <w:szCs w:val="20"/>
        </w:rPr>
        <w:t>to</w:t>
      </w:r>
      <w:r w:rsidR="00FE584C">
        <w:rPr>
          <w:szCs w:val="20"/>
        </w:rPr>
        <w:t xml:space="preserve"> </w:t>
      </w:r>
      <w:hyperlink r:id="rId51" w:history="1">
        <w:r w:rsidR="00FE584C" w:rsidRPr="001579C3">
          <w:rPr>
            <w:rStyle w:val="Hyperlink"/>
            <w:szCs w:val="20"/>
          </w:rPr>
          <w:t>freqplan@acma.gov.au</w:t>
        </w:r>
      </w:hyperlink>
      <w:r w:rsidR="00FE584C">
        <w:rPr>
          <w:szCs w:val="20"/>
        </w:rPr>
        <w:t xml:space="preserve">. </w:t>
      </w:r>
    </w:p>
    <w:p w14:paraId="7DAFE877" w14:textId="77777777" w:rsidR="006C1631" w:rsidRPr="00E162C4" w:rsidRDefault="006C1631" w:rsidP="005B2F0D">
      <w:pPr>
        <w:pStyle w:val="Heading4"/>
      </w:pPr>
      <w:bookmarkStart w:id="38" w:name="_Toc348105639"/>
      <w:bookmarkStart w:id="39" w:name="_Toc300909558"/>
      <w:bookmarkStart w:id="40" w:name="_Hlk59627494"/>
      <w:bookmarkEnd w:id="33"/>
      <w:bookmarkEnd w:id="34"/>
      <w:r w:rsidRPr="00E162C4">
        <w:t>Publication of submissions</w:t>
      </w:r>
      <w:bookmarkEnd w:id="35"/>
      <w:bookmarkEnd w:id="36"/>
      <w:bookmarkEnd w:id="38"/>
      <w:bookmarkEnd w:id="39"/>
    </w:p>
    <w:p w14:paraId="60761929" w14:textId="77777777" w:rsidR="006C1631" w:rsidRPr="00E162C4" w:rsidRDefault="006C5FD4" w:rsidP="006C1631">
      <w:bookmarkStart w:id="41" w:name="_Toc348105640"/>
      <w:bookmarkStart w:id="42" w:name="_Toc300909559"/>
      <w:bookmarkStart w:id="43"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2DB02485" w14:textId="77777777" w:rsidR="006C1631" w:rsidRPr="00E162C4" w:rsidRDefault="006C1631" w:rsidP="006C1631">
      <w:r w:rsidRPr="00E162C4">
        <w:t>Confidential information will not be published or otherwise released unless required or authorised by law.</w:t>
      </w:r>
    </w:p>
    <w:p w14:paraId="5975C800" w14:textId="77777777" w:rsidR="006C1631" w:rsidRPr="00E162C4" w:rsidRDefault="006C1631" w:rsidP="005B2F0D">
      <w:pPr>
        <w:pStyle w:val="Heading4"/>
      </w:pPr>
      <w:r w:rsidRPr="00E162C4">
        <w:t>Privacy</w:t>
      </w:r>
    </w:p>
    <w:p w14:paraId="16867EFF"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52"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41"/>
    <w:bookmarkEnd w:id="42"/>
    <w:bookmarkEnd w:id="43"/>
    <w:p w14:paraId="40C2ABB1" w14:textId="6E1CB9AD" w:rsidR="009F7FA2"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53" w:history="1">
        <w:r w:rsidR="00E21056" w:rsidRPr="00E162C4">
          <w:rPr>
            <w:rStyle w:val="Hyperlink"/>
          </w:rPr>
          <w:t>privacy policy</w:t>
        </w:r>
      </w:hyperlink>
      <w:r w:rsidRPr="00E162C4">
        <w:t>.</w:t>
      </w:r>
      <w:r w:rsidR="00A4193E" w:rsidRPr="00E162C4">
        <w:t xml:space="preserve"> </w:t>
      </w:r>
    </w:p>
    <w:p w14:paraId="5F0C0BB8" w14:textId="77777777" w:rsidR="009F7FA2" w:rsidRDefault="009F7FA2">
      <w:pPr>
        <w:spacing w:after="0" w:line="240" w:lineRule="auto"/>
        <w:rPr>
          <w:rFonts w:cs="Arial"/>
        </w:rPr>
      </w:pPr>
      <w:r>
        <w:br w:type="page"/>
      </w:r>
    </w:p>
    <w:p w14:paraId="2D6DF354" w14:textId="79A74188" w:rsidR="00A4193E" w:rsidRDefault="009F7FA2" w:rsidP="009F7FA2">
      <w:pPr>
        <w:pStyle w:val="Heading1"/>
      </w:pPr>
      <w:bookmarkStart w:id="44" w:name="_Appendix_A_List"/>
      <w:bookmarkStart w:id="45" w:name="_Toc118276425"/>
      <w:bookmarkEnd w:id="44"/>
      <w:r>
        <w:lastRenderedPageBreak/>
        <w:t>Appendix A</w:t>
      </w:r>
      <w:r w:rsidR="00476232">
        <w:t>:</w:t>
      </w:r>
      <w:r>
        <w:t xml:space="preserve"> List of </w:t>
      </w:r>
      <w:r w:rsidR="00476232">
        <w:t>i</w:t>
      </w:r>
      <w:r>
        <w:t>nstruments</w:t>
      </w:r>
      <w:bookmarkEnd w:id="45"/>
    </w:p>
    <w:p w14:paraId="44EE0EB0" w14:textId="28C3527B" w:rsidR="009F7FA2" w:rsidRDefault="009F7FA2" w:rsidP="009F7FA2">
      <w:r>
        <w:t>Below is the full list of instruments that have been considered in this consultation.</w:t>
      </w:r>
    </w:p>
    <w:p w14:paraId="7CE8524A" w14:textId="35636509" w:rsidR="009F7FA2" w:rsidRDefault="00B12617" w:rsidP="009F7FA2">
      <w:pPr>
        <w:pStyle w:val="Bulletlevel1"/>
      </w:pPr>
      <w:hyperlink r:id="rId54" w:history="1">
        <w:r w:rsidR="009F7FA2" w:rsidRPr="00FF5DFF">
          <w:rPr>
            <w:rStyle w:val="Hyperlink"/>
          </w:rPr>
          <w:t>Radiocommunications Advisory Guidelines (Managing Interference from Transmitters – 700 MHz Band) 2012</w:t>
        </w:r>
      </w:hyperlink>
      <w:r w:rsidR="009F7FA2">
        <w:t xml:space="preserve"> </w:t>
      </w:r>
    </w:p>
    <w:p w14:paraId="77A9D1B9" w14:textId="4127D220" w:rsidR="009F7FA2" w:rsidRDefault="00B12617" w:rsidP="009F7FA2">
      <w:pPr>
        <w:pStyle w:val="Bulletlevel1"/>
      </w:pPr>
      <w:hyperlink r:id="rId55" w:history="1">
        <w:r w:rsidR="009F7FA2" w:rsidRPr="00FF5DFF">
          <w:rPr>
            <w:rStyle w:val="Hyperlink"/>
          </w:rPr>
          <w:t>Radiocommunications Advisory Guidelines (Managing Interference to Receivers – 700 M</w:t>
        </w:r>
        <w:r w:rsidR="009F7FA2">
          <w:rPr>
            <w:rStyle w:val="Hyperlink"/>
          </w:rPr>
          <w:t>H</w:t>
        </w:r>
        <w:r w:rsidR="009F7FA2" w:rsidRPr="00FF5DFF">
          <w:rPr>
            <w:rStyle w:val="Hyperlink"/>
          </w:rPr>
          <w:t xml:space="preserve">z Band) 2012 </w:t>
        </w:r>
      </w:hyperlink>
      <w:r w:rsidR="009F7FA2">
        <w:t xml:space="preserve"> </w:t>
      </w:r>
    </w:p>
    <w:p w14:paraId="48DF9553" w14:textId="5F0CADB1" w:rsidR="009F7FA2" w:rsidRDefault="00B12617" w:rsidP="009F7FA2">
      <w:pPr>
        <w:pStyle w:val="Bulletlevel1"/>
      </w:pPr>
      <w:hyperlink r:id="rId56" w:history="1">
        <w:r w:rsidR="009F7FA2" w:rsidRPr="00FF5DFF">
          <w:rPr>
            <w:rStyle w:val="Hyperlink"/>
          </w:rPr>
          <w:t xml:space="preserve">Radiocommunications (Unacceptable Levels of Interference – 700 MHz Band) Determination 2012 </w:t>
        </w:r>
      </w:hyperlink>
      <w:r w:rsidR="009F7FA2">
        <w:t xml:space="preserve"> </w:t>
      </w:r>
    </w:p>
    <w:p w14:paraId="7F41F8B4" w14:textId="2089E762" w:rsidR="009F7FA2" w:rsidRDefault="00476232" w:rsidP="009F7FA2">
      <w:pPr>
        <w:pStyle w:val="Bulletlevel1"/>
      </w:pPr>
      <w:hyperlink r:id="rId57" w:history="1">
        <w:r w:rsidR="009F7FA2" w:rsidRPr="00B74381">
          <w:rPr>
            <w:rStyle w:val="Hyperlink"/>
          </w:rPr>
          <w:t xml:space="preserve">Radiocommunications Advisory Guidelines (Managing Interference from Spectrum Licensed Transmitters </w:t>
        </w:r>
        <w:r w:rsidR="00B8247C">
          <w:rPr>
            <w:rStyle w:val="Hyperlink"/>
          </w:rPr>
          <w:t>–</w:t>
        </w:r>
        <w:r w:rsidR="009F7FA2" w:rsidRPr="00B74381">
          <w:rPr>
            <w:rStyle w:val="Hyperlink"/>
          </w:rPr>
          <w:t xml:space="preserve"> 1800 MHz Band) 2012 </w:t>
        </w:r>
      </w:hyperlink>
      <w:r w:rsidR="009F7FA2">
        <w:t xml:space="preserve"> </w:t>
      </w:r>
    </w:p>
    <w:p w14:paraId="20EF077B" w14:textId="657E6082" w:rsidR="009F7FA2" w:rsidRDefault="00476232" w:rsidP="009F7FA2">
      <w:pPr>
        <w:pStyle w:val="Bulletlevel1"/>
      </w:pPr>
      <w:hyperlink r:id="rId58" w:history="1">
        <w:r w:rsidR="009F7FA2" w:rsidRPr="00B74381">
          <w:rPr>
            <w:rStyle w:val="Hyperlink"/>
          </w:rPr>
          <w:t xml:space="preserve">Radiocommunications Advisory Guidelines (Managing Interference to Spectrum Licensed Receivers </w:t>
        </w:r>
        <w:r w:rsidR="00B8247C">
          <w:rPr>
            <w:rStyle w:val="Hyperlink"/>
          </w:rPr>
          <w:t>–</w:t>
        </w:r>
        <w:r w:rsidR="009F7FA2" w:rsidRPr="00B74381">
          <w:rPr>
            <w:rStyle w:val="Hyperlink"/>
          </w:rPr>
          <w:t xml:space="preserve"> 1800 MHz Band) 2012</w:t>
        </w:r>
      </w:hyperlink>
      <w:r w:rsidR="009F7FA2" w:rsidRPr="00B74381">
        <w:t xml:space="preserve"> </w:t>
      </w:r>
      <w:r w:rsidR="009F7FA2">
        <w:t xml:space="preserve"> </w:t>
      </w:r>
    </w:p>
    <w:p w14:paraId="0CFEB75A" w14:textId="3C494720" w:rsidR="009F7FA2" w:rsidRDefault="00476232" w:rsidP="009F7FA2">
      <w:pPr>
        <w:pStyle w:val="Bulletlevel1"/>
      </w:pPr>
      <w:hyperlink r:id="rId59" w:history="1">
        <w:r w:rsidR="009F7FA2" w:rsidRPr="00B74381">
          <w:rPr>
            <w:rStyle w:val="Hyperlink"/>
          </w:rPr>
          <w:t xml:space="preserve">Radiocommunications Advisory Guidelines (Additional Device Boundary Criteria </w:t>
        </w:r>
        <w:r w:rsidR="00B8247C">
          <w:rPr>
            <w:rStyle w:val="Hyperlink"/>
          </w:rPr>
          <w:t>–</w:t>
        </w:r>
        <w:r w:rsidR="009F7FA2" w:rsidRPr="00B74381">
          <w:rPr>
            <w:rStyle w:val="Hyperlink"/>
          </w:rPr>
          <w:t xml:space="preserve"> 1800 MHz Lower Band) 2012 </w:t>
        </w:r>
      </w:hyperlink>
      <w:r w:rsidR="009F7FA2">
        <w:t xml:space="preserve"> </w:t>
      </w:r>
    </w:p>
    <w:p w14:paraId="22CCBDFB" w14:textId="623A5FAE" w:rsidR="009F7FA2" w:rsidRDefault="00476232" w:rsidP="009F7FA2">
      <w:pPr>
        <w:pStyle w:val="Bulletlevel1"/>
      </w:pPr>
      <w:hyperlink r:id="rId60" w:history="1">
        <w:r w:rsidR="009F7FA2" w:rsidRPr="00B74381">
          <w:rPr>
            <w:rStyle w:val="Hyperlink"/>
          </w:rPr>
          <w:t xml:space="preserve">Radiocommunications (Unacceptable Levels of Interference </w:t>
        </w:r>
        <w:r w:rsidR="00B8247C">
          <w:rPr>
            <w:rStyle w:val="Hyperlink"/>
          </w:rPr>
          <w:t>–</w:t>
        </w:r>
        <w:r w:rsidR="009F7FA2" w:rsidRPr="00B74381">
          <w:rPr>
            <w:rStyle w:val="Hyperlink"/>
          </w:rPr>
          <w:t xml:space="preserve"> 1800 MHz Band) Determination 2012 </w:t>
        </w:r>
      </w:hyperlink>
      <w:r w:rsidR="009F7FA2">
        <w:t xml:space="preserve"> </w:t>
      </w:r>
    </w:p>
    <w:p w14:paraId="7D7DEB4F" w14:textId="2FB4F6E2" w:rsidR="009F7FA2" w:rsidRDefault="00B12617" w:rsidP="009F7FA2">
      <w:pPr>
        <w:pStyle w:val="Bulletlevel1"/>
      </w:pPr>
      <w:hyperlink r:id="rId61" w:history="1">
        <w:r w:rsidR="009F7FA2" w:rsidRPr="00827BB4">
          <w:rPr>
            <w:rStyle w:val="Hyperlink"/>
          </w:rPr>
          <w:t xml:space="preserve">Radiocommunications Advisory Guidelines (Managing Interference from Transmitters – 2.5 GHz Band) 2012 </w:t>
        </w:r>
      </w:hyperlink>
      <w:r w:rsidR="009F7FA2">
        <w:t xml:space="preserve"> </w:t>
      </w:r>
    </w:p>
    <w:p w14:paraId="62B93620" w14:textId="4C700D19" w:rsidR="009F7FA2" w:rsidRDefault="00B12617" w:rsidP="009F7FA2">
      <w:pPr>
        <w:pStyle w:val="Bulletlevel1"/>
      </w:pPr>
      <w:hyperlink r:id="rId62" w:history="1">
        <w:r w:rsidR="009F7FA2" w:rsidRPr="00827BB4">
          <w:rPr>
            <w:rStyle w:val="Hyperlink"/>
          </w:rPr>
          <w:t>Radiocommunications Advisory Guidelines (Managing Interference to</w:t>
        </w:r>
        <w:r w:rsidR="009F1372">
          <w:rPr>
            <w:rStyle w:val="Hyperlink"/>
          </w:rPr>
          <w:t xml:space="preserve"> </w:t>
        </w:r>
        <w:r w:rsidR="009F7FA2" w:rsidRPr="00827BB4">
          <w:rPr>
            <w:rStyle w:val="Hyperlink"/>
          </w:rPr>
          <w:t xml:space="preserve">Receivers – 2.5 GHz Band) 2012 </w:t>
        </w:r>
      </w:hyperlink>
      <w:r w:rsidR="009F7FA2">
        <w:t xml:space="preserve"> </w:t>
      </w:r>
    </w:p>
    <w:p w14:paraId="4B57B830" w14:textId="1B3D67A9" w:rsidR="009F7FA2" w:rsidRPr="00E067A0" w:rsidRDefault="00B12617" w:rsidP="009F7FA2">
      <w:pPr>
        <w:pStyle w:val="Bulletlevel1"/>
        <w:rPr>
          <w:rStyle w:val="Hyperlink"/>
          <w:color w:val="auto"/>
          <w:u w:val="none"/>
        </w:rPr>
      </w:pPr>
      <w:hyperlink r:id="rId63" w:history="1">
        <w:r w:rsidR="009F7FA2" w:rsidRPr="00FF5DFF">
          <w:rPr>
            <w:rStyle w:val="Hyperlink"/>
          </w:rPr>
          <w:t xml:space="preserve">Radiocommunications (Unacceptable Levels of Interference – 2.5 GHz Band) Determination 2012 </w:t>
        </w:r>
      </w:hyperlink>
    </w:p>
    <w:p w14:paraId="705223C0" w14:textId="01B35F7D" w:rsidR="009F7FA2" w:rsidRDefault="00B12617" w:rsidP="009F7FA2">
      <w:pPr>
        <w:pStyle w:val="Bulletlevel1"/>
      </w:pPr>
      <w:hyperlink r:id="rId64" w:history="1">
        <w:r w:rsidR="009F7FA2" w:rsidRPr="00827BB4">
          <w:rPr>
            <w:rStyle w:val="Hyperlink"/>
          </w:rPr>
          <w:t>Radiocommunications Advisory Guidelines (Managing Interference from Transmitters – 2.5 GHz Mid</w:t>
        </w:r>
        <w:r w:rsidR="009F7FA2">
          <w:rPr>
            <w:rStyle w:val="Hyperlink"/>
          </w:rPr>
          <w:t>-</w:t>
        </w:r>
        <w:r w:rsidR="009F7FA2" w:rsidRPr="00827BB4">
          <w:rPr>
            <w:rStyle w:val="Hyperlink"/>
          </w:rPr>
          <w:t xml:space="preserve">Band Gap) 2012 </w:t>
        </w:r>
      </w:hyperlink>
      <w:r w:rsidR="009F7FA2">
        <w:t xml:space="preserve"> </w:t>
      </w:r>
    </w:p>
    <w:p w14:paraId="1A327FF4" w14:textId="58EB0DCC" w:rsidR="009F7FA2" w:rsidRDefault="00476232" w:rsidP="009F7FA2">
      <w:pPr>
        <w:pStyle w:val="Bulletlevel1"/>
      </w:pPr>
      <w:hyperlink r:id="rId65" w:history="1">
        <w:r w:rsidR="009F7FA2" w:rsidRPr="00827BB4">
          <w:rPr>
            <w:rStyle w:val="Hyperlink"/>
          </w:rPr>
          <w:t>Radiocommunications Advisory Guidelines (Managing Interference to Receivers – 2.5 GHz Mid-Band Gap</w:t>
        </w:r>
        <w:r w:rsidR="00B8247C">
          <w:rPr>
            <w:rStyle w:val="Hyperlink"/>
          </w:rPr>
          <w:t>) 2012</w:t>
        </w:r>
      </w:hyperlink>
      <w:r w:rsidR="009F7FA2">
        <w:t xml:space="preserve"> </w:t>
      </w:r>
    </w:p>
    <w:p w14:paraId="1DBE85A7" w14:textId="7AF06E10" w:rsidR="009F7FA2" w:rsidRDefault="00476232" w:rsidP="002A17A0">
      <w:pPr>
        <w:pStyle w:val="Bulletlevel1"/>
      </w:pPr>
      <w:hyperlink r:id="rId66" w:history="1">
        <w:r w:rsidR="009F7FA2" w:rsidRPr="00FF5DFF">
          <w:rPr>
            <w:rStyle w:val="Hyperlink"/>
          </w:rPr>
          <w:t>Radiocommunications (Unacceptable Levels of Interference – 2.5 GHz Mid-Band Gap) Determination 2012</w:t>
        </w:r>
      </w:hyperlink>
      <w:r w:rsidR="00B8247C">
        <w:t>.</w:t>
      </w:r>
    </w:p>
    <w:p w14:paraId="68401166" w14:textId="77777777" w:rsidR="009F7FA2" w:rsidRDefault="009F7FA2" w:rsidP="009F7FA2"/>
    <w:p w14:paraId="1E201B3E" w14:textId="77777777" w:rsidR="009F7FA2" w:rsidRPr="00342B31" w:rsidRDefault="009F7FA2" w:rsidP="00E067A0"/>
    <w:p w14:paraId="4D023329" w14:textId="77777777" w:rsidR="009F7FA2" w:rsidRPr="00E162C4" w:rsidRDefault="009F7FA2" w:rsidP="005B2F0D">
      <w:pPr>
        <w:pStyle w:val="Paragraph"/>
      </w:pPr>
    </w:p>
    <w:bookmarkEnd w:id="40"/>
    <w:p w14:paraId="74E1D833" w14:textId="2B023896" w:rsidR="00FF3C69" w:rsidRPr="00E162C4" w:rsidRDefault="00FF3C69" w:rsidP="00851F3F"/>
    <w:sectPr w:rsidR="00FF3C69" w:rsidRPr="00E162C4" w:rsidSect="00C77380">
      <w:headerReference w:type="even" r:id="rId67"/>
      <w:headerReference w:type="default" r:id="rId68"/>
      <w:footerReference w:type="even" r:id="rId69"/>
      <w:footerReference w:type="default" r:id="rId7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B3E32" w14:textId="77777777" w:rsidR="006C4DEC" w:rsidRDefault="006C4DEC">
      <w:r>
        <w:separator/>
      </w:r>
    </w:p>
  </w:endnote>
  <w:endnote w:type="continuationSeparator" w:id="0">
    <w:p w14:paraId="040CE253" w14:textId="77777777" w:rsidR="006C4DEC" w:rsidRDefault="006C4DEC">
      <w:r>
        <w:continuationSeparator/>
      </w:r>
    </w:p>
  </w:endnote>
  <w:endnote w:type="continuationNotice" w:id="1">
    <w:p w14:paraId="7BC0EE8E" w14:textId="77777777" w:rsidR="00FB1A8D" w:rsidRDefault="00FB1A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41A43" w14:textId="77777777" w:rsidR="005E250B" w:rsidRDefault="005E250B" w:rsidP="005E250B">
    <w:pPr>
      <w:pStyle w:val="Footer"/>
      <w:jc w:val="right"/>
    </w:pPr>
    <w:r w:rsidRPr="005E250B">
      <w:rPr>
        <w:noProof/>
        <w:vertAlign w:val="subscript"/>
      </w:rPr>
      <w:drawing>
        <wp:inline distT="0" distB="0" distL="0" distR="0" wp14:anchorId="530C0D3C" wp14:editId="1064ABEA">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D78AD"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8029B"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A21F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767412C"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37C2A"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33F44A7"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283F7"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52D7E02"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A9DF6"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A5AE7B1"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B93F1"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1E75F5D"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70AA8" w14:textId="77777777" w:rsidR="006C4DEC" w:rsidRDefault="006C4DEC" w:rsidP="00EA0969">
      <w:pPr>
        <w:spacing w:after="0"/>
      </w:pPr>
      <w:r>
        <w:separator/>
      </w:r>
    </w:p>
  </w:footnote>
  <w:footnote w:type="continuationSeparator" w:id="0">
    <w:p w14:paraId="32AC4DFF" w14:textId="77777777" w:rsidR="006C4DEC" w:rsidRDefault="006C4DEC">
      <w:r>
        <w:continuationSeparator/>
      </w:r>
    </w:p>
  </w:footnote>
  <w:footnote w:type="continuationNotice" w:id="1">
    <w:p w14:paraId="0095315C" w14:textId="77777777" w:rsidR="00FB1A8D" w:rsidRDefault="00FB1A8D">
      <w:pPr>
        <w:spacing w:after="0" w:line="240" w:lineRule="auto"/>
      </w:pPr>
    </w:p>
  </w:footnote>
  <w:footnote w:id="2">
    <w:p w14:paraId="2D553F05" w14:textId="2384326E" w:rsidR="00B05E98" w:rsidRDefault="00B05E98" w:rsidP="00B05E98">
      <w:pPr>
        <w:pStyle w:val="FootnoteText"/>
        <w:spacing w:after="120"/>
      </w:pPr>
      <w:r>
        <w:rPr>
          <w:rStyle w:val="FootnoteReference"/>
        </w:rPr>
        <w:footnoteRef/>
      </w:r>
      <w:r>
        <w:t xml:space="preserve"> </w:t>
      </w:r>
      <w:bookmarkStart w:id="12" w:name="_Hlk56075657"/>
      <w:r w:rsidRPr="00F00EBD">
        <w:rPr>
          <w:iCs/>
        </w:rPr>
        <w:t xml:space="preserve">3 </w:t>
      </w:r>
      <w:r w:rsidR="00E366F9">
        <w:rPr>
          <w:iCs/>
        </w:rPr>
        <w:t>s</w:t>
      </w:r>
      <w:r w:rsidRPr="00F00EBD">
        <w:rPr>
          <w:iCs/>
        </w:rPr>
        <w:t xml:space="preserve">econd SRTM Derived Digital Elevation Model (DEM) </w:t>
      </w:r>
      <w:r w:rsidR="00E366F9">
        <w:rPr>
          <w:iCs/>
        </w:rPr>
        <w:t>v</w:t>
      </w:r>
      <w:r w:rsidRPr="00F00EBD">
        <w:rPr>
          <w:iCs/>
        </w:rPr>
        <w:t>ersion 1.0.</w:t>
      </w:r>
      <w:r>
        <w:rPr>
          <w:iCs/>
        </w:rPr>
        <w:t xml:space="preserve"> </w:t>
      </w:r>
      <w:bookmarkEnd w:id="12"/>
      <w:r w:rsidR="00E366F9">
        <w:rPr>
          <w:iCs/>
        </w:rPr>
        <w:t>r</w:t>
      </w:r>
      <w:r>
        <w:rPr>
          <w:iCs/>
        </w:rPr>
        <w:t xml:space="preserve">ecord 1.0, given the persistent identifier </w:t>
      </w:r>
      <w:hyperlink r:id="rId1" w:history="1">
        <w:r w:rsidRPr="003A1608">
          <w:rPr>
            <w:rStyle w:val="Hyperlink"/>
            <w:iCs/>
          </w:rPr>
          <w:t>http://pid.geoscience.gov.au/dataset/ga/69888</w:t>
        </w:r>
      </w:hyperlink>
      <w:r>
        <w:rPr>
          <w:iC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80A35" w14:textId="77777777" w:rsidR="00C053A1" w:rsidRPr="00A5474E" w:rsidRDefault="0021426C" w:rsidP="00A5474E">
    <w:pPr>
      <w:pStyle w:val="Header"/>
    </w:pPr>
    <w:r>
      <w:rPr>
        <w:noProof/>
      </w:rPr>
      <w:drawing>
        <wp:inline distT="0" distB="0" distL="0" distR="0" wp14:anchorId="58BC4630" wp14:editId="49DD8A36">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9BDA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81A5C"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92D4A"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1CDEA06" w14:textId="77777777" w:rsidTr="003B0421">
      <w:trPr>
        <w:trHeight w:hRule="exact" w:val="988"/>
      </w:trPr>
      <w:tc>
        <w:tcPr>
          <w:tcW w:w="7678" w:type="dxa"/>
          <w:shd w:val="clear" w:color="auto" w:fill="auto"/>
        </w:tcPr>
        <w:p w14:paraId="5798F3CD" w14:textId="77777777" w:rsidR="00971914" w:rsidRDefault="00971914" w:rsidP="00971914">
          <w:pPr>
            <w:pStyle w:val="Header"/>
          </w:pPr>
        </w:p>
      </w:tc>
    </w:tr>
    <w:tr w:rsidR="00971914" w14:paraId="1BEA7A4F" w14:textId="77777777" w:rsidTr="003B0421">
      <w:tc>
        <w:tcPr>
          <w:tcW w:w="7678" w:type="dxa"/>
          <w:shd w:val="clear" w:color="auto" w:fill="auto"/>
        </w:tcPr>
        <w:p w14:paraId="7397A6E4" w14:textId="77777777" w:rsidR="00971914" w:rsidRDefault="00971914" w:rsidP="00971914">
          <w:pPr>
            <w:pStyle w:val="GridTable31"/>
          </w:pPr>
          <w:r>
            <w:t xml:space="preserve">Contents </w:t>
          </w:r>
          <w:r w:rsidRPr="00915B1C">
            <w:rPr>
              <w:b w:val="0"/>
              <w:spacing w:val="0"/>
              <w:sz w:val="28"/>
              <w:szCs w:val="28"/>
            </w:rPr>
            <w:t>(Continued)</w:t>
          </w:r>
        </w:p>
      </w:tc>
    </w:tr>
    <w:tr w:rsidR="00971914" w14:paraId="23ED844C" w14:textId="77777777" w:rsidTr="003B0421">
      <w:trPr>
        <w:trHeight w:val="1220"/>
      </w:trPr>
      <w:tc>
        <w:tcPr>
          <w:tcW w:w="7678" w:type="dxa"/>
          <w:shd w:val="clear" w:color="auto" w:fill="auto"/>
        </w:tcPr>
        <w:p w14:paraId="0D62D762" w14:textId="77777777" w:rsidR="00971914" w:rsidRDefault="00971914" w:rsidP="00971914"/>
      </w:tc>
    </w:tr>
  </w:tbl>
  <w:p w14:paraId="69F92C34"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5981CA7" w14:textId="77777777" w:rsidTr="003B0421">
      <w:trPr>
        <w:trHeight w:hRule="exact" w:val="988"/>
      </w:trPr>
      <w:tc>
        <w:tcPr>
          <w:tcW w:w="7678" w:type="dxa"/>
          <w:shd w:val="clear" w:color="auto" w:fill="auto"/>
        </w:tcPr>
        <w:p w14:paraId="008A52D3" w14:textId="77777777" w:rsidR="00971914" w:rsidRDefault="00971914" w:rsidP="00971914">
          <w:pPr>
            <w:pStyle w:val="Header"/>
          </w:pPr>
        </w:p>
      </w:tc>
    </w:tr>
    <w:tr w:rsidR="00971914" w14:paraId="7C92F07B" w14:textId="77777777" w:rsidTr="003B0421">
      <w:tc>
        <w:tcPr>
          <w:tcW w:w="7678" w:type="dxa"/>
          <w:shd w:val="clear" w:color="auto" w:fill="auto"/>
        </w:tcPr>
        <w:p w14:paraId="47900EC2" w14:textId="77777777" w:rsidR="00971914" w:rsidRDefault="00971914" w:rsidP="00971914">
          <w:pPr>
            <w:pStyle w:val="GridTable31"/>
          </w:pPr>
          <w:r>
            <w:t xml:space="preserve">Contents </w:t>
          </w:r>
          <w:r w:rsidRPr="00915B1C">
            <w:rPr>
              <w:b w:val="0"/>
              <w:spacing w:val="0"/>
              <w:sz w:val="28"/>
              <w:szCs w:val="28"/>
            </w:rPr>
            <w:t>(Continued)</w:t>
          </w:r>
        </w:p>
      </w:tc>
    </w:tr>
    <w:tr w:rsidR="00971914" w14:paraId="77EFB97E" w14:textId="77777777" w:rsidTr="003B0421">
      <w:trPr>
        <w:trHeight w:val="1220"/>
      </w:trPr>
      <w:tc>
        <w:tcPr>
          <w:tcW w:w="7678" w:type="dxa"/>
          <w:shd w:val="clear" w:color="auto" w:fill="auto"/>
        </w:tcPr>
        <w:p w14:paraId="2C208DE1" w14:textId="77777777" w:rsidR="00971914" w:rsidRDefault="00971914" w:rsidP="00971914"/>
      </w:tc>
    </w:tr>
  </w:tbl>
  <w:p w14:paraId="42ABFEED"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AFBBB"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1386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865EA0"/>
    <w:multiLevelType w:val="hybridMultilevel"/>
    <w:tmpl w:val="13FAA060"/>
    <w:lvl w:ilvl="0" w:tplc="671612A2">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6DB3BF6"/>
    <w:multiLevelType w:val="hybridMultilevel"/>
    <w:tmpl w:val="2D2C490C"/>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B91713B"/>
    <w:multiLevelType w:val="hybridMultilevel"/>
    <w:tmpl w:val="701AF05E"/>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D7969BB"/>
    <w:multiLevelType w:val="hybridMultilevel"/>
    <w:tmpl w:val="FC40E806"/>
    <w:lvl w:ilvl="0" w:tplc="55F2986E">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41C86570"/>
    <w:multiLevelType w:val="hybridMultilevel"/>
    <w:tmpl w:val="78421BEE"/>
    <w:lvl w:ilvl="0" w:tplc="0C090001">
      <w:start w:val="1"/>
      <w:numFmt w:val="bullet"/>
      <w:lvlText w:val=""/>
      <w:lvlJc w:val="left"/>
      <w:pPr>
        <w:ind w:left="829" w:hanging="360"/>
      </w:pPr>
      <w:rPr>
        <w:rFonts w:ascii="Symbol" w:hAnsi="Symbol" w:hint="default"/>
      </w:rPr>
    </w:lvl>
    <w:lvl w:ilvl="1" w:tplc="0C090003" w:tentative="1">
      <w:start w:val="1"/>
      <w:numFmt w:val="bullet"/>
      <w:lvlText w:val="o"/>
      <w:lvlJc w:val="left"/>
      <w:pPr>
        <w:ind w:left="1549" w:hanging="360"/>
      </w:pPr>
      <w:rPr>
        <w:rFonts w:ascii="Courier New" w:hAnsi="Courier New" w:cs="Courier New" w:hint="default"/>
      </w:rPr>
    </w:lvl>
    <w:lvl w:ilvl="2" w:tplc="0C090005" w:tentative="1">
      <w:start w:val="1"/>
      <w:numFmt w:val="bullet"/>
      <w:lvlText w:val=""/>
      <w:lvlJc w:val="left"/>
      <w:pPr>
        <w:ind w:left="2269" w:hanging="360"/>
      </w:pPr>
      <w:rPr>
        <w:rFonts w:ascii="Wingdings" w:hAnsi="Wingdings" w:hint="default"/>
      </w:rPr>
    </w:lvl>
    <w:lvl w:ilvl="3" w:tplc="0C090001" w:tentative="1">
      <w:start w:val="1"/>
      <w:numFmt w:val="bullet"/>
      <w:lvlText w:val=""/>
      <w:lvlJc w:val="left"/>
      <w:pPr>
        <w:ind w:left="2989" w:hanging="360"/>
      </w:pPr>
      <w:rPr>
        <w:rFonts w:ascii="Symbol" w:hAnsi="Symbol" w:hint="default"/>
      </w:rPr>
    </w:lvl>
    <w:lvl w:ilvl="4" w:tplc="0C090003" w:tentative="1">
      <w:start w:val="1"/>
      <w:numFmt w:val="bullet"/>
      <w:lvlText w:val="o"/>
      <w:lvlJc w:val="left"/>
      <w:pPr>
        <w:ind w:left="3709" w:hanging="360"/>
      </w:pPr>
      <w:rPr>
        <w:rFonts w:ascii="Courier New" w:hAnsi="Courier New" w:cs="Courier New" w:hint="default"/>
      </w:rPr>
    </w:lvl>
    <w:lvl w:ilvl="5" w:tplc="0C090005" w:tentative="1">
      <w:start w:val="1"/>
      <w:numFmt w:val="bullet"/>
      <w:lvlText w:val=""/>
      <w:lvlJc w:val="left"/>
      <w:pPr>
        <w:ind w:left="4429" w:hanging="360"/>
      </w:pPr>
      <w:rPr>
        <w:rFonts w:ascii="Wingdings" w:hAnsi="Wingdings" w:hint="default"/>
      </w:rPr>
    </w:lvl>
    <w:lvl w:ilvl="6" w:tplc="0C090001" w:tentative="1">
      <w:start w:val="1"/>
      <w:numFmt w:val="bullet"/>
      <w:lvlText w:val=""/>
      <w:lvlJc w:val="left"/>
      <w:pPr>
        <w:ind w:left="5149" w:hanging="360"/>
      </w:pPr>
      <w:rPr>
        <w:rFonts w:ascii="Symbol" w:hAnsi="Symbol" w:hint="default"/>
      </w:rPr>
    </w:lvl>
    <w:lvl w:ilvl="7" w:tplc="0C090003" w:tentative="1">
      <w:start w:val="1"/>
      <w:numFmt w:val="bullet"/>
      <w:lvlText w:val="o"/>
      <w:lvlJc w:val="left"/>
      <w:pPr>
        <w:ind w:left="5869" w:hanging="360"/>
      </w:pPr>
      <w:rPr>
        <w:rFonts w:ascii="Courier New" w:hAnsi="Courier New" w:cs="Courier New" w:hint="default"/>
      </w:rPr>
    </w:lvl>
    <w:lvl w:ilvl="8" w:tplc="0C090005" w:tentative="1">
      <w:start w:val="1"/>
      <w:numFmt w:val="bullet"/>
      <w:lvlText w:val=""/>
      <w:lvlJc w:val="left"/>
      <w:pPr>
        <w:ind w:left="6589" w:hanging="360"/>
      </w:pPr>
      <w:rPr>
        <w:rFonts w:ascii="Wingdings" w:hAnsi="Wingdings" w:hint="default"/>
      </w:rPr>
    </w:lvl>
  </w:abstractNum>
  <w:abstractNum w:abstractNumId="1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10"/>
  </w:num>
  <w:num w:numId="6">
    <w:abstractNumId w:val="15"/>
  </w:num>
  <w:num w:numId="7">
    <w:abstractNumId w:val="13"/>
  </w:num>
  <w:num w:numId="8">
    <w:abstractNumId w:val="14"/>
  </w:num>
  <w:num w:numId="9">
    <w:abstractNumId w:val="16"/>
  </w:num>
  <w:num w:numId="10">
    <w:abstractNumId w:val="7"/>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1"/>
  </w:num>
  <w:num w:numId="17">
    <w:abstractNumId w:val="2"/>
    <w:lvlOverride w:ilvl="0">
      <w:startOverride w:val="1"/>
    </w:lvlOverride>
  </w:num>
  <w:num w:numId="18">
    <w:abstractNumId w:val="3"/>
  </w:num>
  <w:num w:numId="19">
    <w:abstractNumId w:val="3"/>
  </w:num>
  <w:num w:numId="20">
    <w:abstractNumId w:val="12"/>
  </w:num>
  <w:num w:numId="21">
    <w:abstractNumId w:val="9"/>
  </w:num>
  <w:num w:numId="22">
    <w:abstractNumId w:val="8"/>
  </w:num>
  <w:num w:numId="23">
    <w:abstractNumId w:val="6"/>
  </w:num>
  <w:num w:numId="24">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4DEC"/>
    <w:rsid w:val="00010667"/>
    <w:rsid w:val="00012152"/>
    <w:rsid w:val="000129D5"/>
    <w:rsid w:val="00015AE7"/>
    <w:rsid w:val="00016E21"/>
    <w:rsid w:val="0001719C"/>
    <w:rsid w:val="0002224E"/>
    <w:rsid w:val="00023A36"/>
    <w:rsid w:val="000245E5"/>
    <w:rsid w:val="00026F91"/>
    <w:rsid w:val="00032621"/>
    <w:rsid w:val="00032B7E"/>
    <w:rsid w:val="00043576"/>
    <w:rsid w:val="0004764C"/>
    <w:rsid w:val="0005011A"/>
    <w:rsid w:val="0005045A"/>
    <w:rsid w:val="00051C1E"/>
    <w:rsid w:val="000539F9"/>
    <w:rsid w:val="00054C27"/>
    <w:rsid w:val="00055EC3"/>
    <w:rsid w:val="000563CE"/>
    <w:rsid w:val="00063A35"/>
    <w:rsid w:val="00064947"/>
    <w:rsid w:val="000659B6"/>
    <w:rsid w:val="0006686F"/>
    <w:rsid w:val="0006722A"/>
    <w:rsid w:val="00072676"/>
    <w:rsid w:val="000732CF"/>
    <w:rsid w:val="00075732"/>
    <w:rsid w:val="0007576E"/>
    <w:rsid w:val="00075B96"/>
    <w:rsid w:val="0008196A"/>
    <w:rsid w:val="0008622E"/>
    <w:rsid w:val="000868F4"/>
    <w:rsid w:val="000915ED"/>
    <w:rsid w:val="0009209D"/>
    <w:rsid w:val="0009463C"/>
    <w:rsid w:val="000969BD"/>
    <w:rsid w:val="000969BF"/>
    <w:rsid w:val="000A02AD"/>
    <w:rsid w:val="000A0C22"/>
    <w:rsid w:val="000A1400"/>
    <w:rsid w:val="000A3C43"/>
    <w:rsid w:val="000A4A51"/>
    <w:rsid w:val="000A5D2B"/>
    <w:rsid w:val="000A7A58"/>
    <w:rsid w:val="000B4664"/>
    <w:rsid w:val="000B5DE3"/>
    <w:rsid w:val="000C0A57"/>
    <w:rsid w:val="000C230C"/>
    <w:rsid w:val="000C6AB4"/>
    <w:rsid w:val="000D26AE"/>
    <w:rsid w:val="000D71D9"/>
    <w:rsid w:val="000D76E0"/>
    <w:rsid w:val="000D7E8B"/>
    <w:rsid w:val="000E3959"/>
    <w:rsid w:val="000E4449"/>
    <w:rsid w:val="000E538E"/>
    <w:rsid w:val="000E6097"/>
    <w:rsid w:val="000F615D"/>
    <w:rsid w:val="00103829"/>
    <w:rsid w:val="00104807"/>
    <w:rsid w:val="00111FCE"/>
    <w:rsid w:val="00122070"/>
    <w:rsid w:val="001229A5"/>
    <w:rsid w:val="0012489B"/>
    <w:rsid w:val="00124C2E"/>
    <w:rsid w:val="00130017"/>
    <w:rsid w:val="00130F91"/>
    <w:rsid w:val="001349ED"/>
    <w:rsid w:val="00137424"/>
    <w:rsid w:val="00140318"/>
    <w:rsid w:val="00141AD9"/>
    <w:rsid w:val="00143FCD"/>
    <w:rsid w:val="00146CE6"/>
    <w:rsid w:val="00152903"/>
    <w:rsid w:val="001529A7"/>
    <w:rsid w:val="00153C1C"/>
    <w:rsid w:val="00153FD5"/>
    <w:rsid w:val="00155E77"/>
    <w:rsid w:val="0015614F"/>
    <w:rsid w:val="001577C2"/>
    <w:rsid w:val="00157FBA"/>
    <w:rsid w:val="001633C4"/>
    <w:rsid w:val="001636CC"/>
    <w:rsid w:val="001704D5"/>
    <w:rsid w:val="00171591"/>
    <w:rsid w:val="001726EA"/>
    <w:rsid w:val="00173981"/>
    <w:rsid w:val="0017719D"/>
    <w:rsid w:val="00177445"/>
    <w:rsid w:val="0018014F"/>
    <w:rsid w:val="00183215"/>
    <w:rsid w:val="00183FD7"/>
    <w:rsid w:val="00185CAB"/>
    <w:rsid w:val="001875B7"/>
    <w:rsid w:val="00187CB3"/>
    <w:rsid w:val="0019050A"/>
    <w:rsid w:val="001910D4"/>
    <w:rsid w:val="0019303F"/>
    <w:rsid w:val="001976E3"/>
    <w:rsid w:val="001A19A4"/>
    <w:rsid w:val="001A44EC"/>
    <w:rsid w:val="001B454C"/>
    <w:rsid w:val="001B5693"/>
    <w:rsid w:val="001B58AA"/>
    <w:rsid w:val="001B7E48"/>
    <w:rsid w:val="001C0104"/>
    <w:rsid w:val="001C17CE"/>
    <w:rsid w:val="001C36CA"/>
    <w:rsid w:val="001C43C2"/>
    <w:rsid w:val="001C44D1"/>
    <w:rsid w:val="001C6AEE"/>
    <w:rsid w:val="001C7630"/>
    <w:rsid w:val="001D0E7C"/>
    <w:rsid w:val="001D6D15"/>
    <w:rsid w:val="001F50F7"/>
    <w:rsid w:val="001F644A"/>
    <w:rsid w:val="001F7558"/>
    <w:rsid w:val="00201EE2"/>
    <w:rsid w:val="00205B57"/>
    <w:rsid w:val="0021426C"/>
    <w:rsid w:val="002157E0"/>
    <w:rsid w:val="00216A57"/>
    <w:rsid w:val="00217448"/>
    <w:rsid w:val="0022334F"/>
    <w:rsid w:val="00226819"/>
    <w:rsid w:val="00233101"/>
    <w:rsid w:val="00233817"/>
    <w:rsid w:val="0023539A"/>
    <w:rsid w:val="002367FF"/>
    <w:rsid w:val="00240CE9"/>
    <w:rsid w:val="002434BA"/>
    <w:rsid w:val="00246089"/>
    <w:rsid w:val="00246093"/>
    <w:rsid w:val="00246702"/>
    <w:rsid w:val="00247C59"/>
    <w:rsid w:val="00247F2E"/>
    <w:rsid w:val="00250ADC"/>
    <w:rsid w:val="00250B07"/>
    <w:rsid w:val="002541F3"/>
    <w:rsid w:val="00257553"/>
    <w:rsid w:val="00260FB2"/>
    <w:rsid w:val="00262128"/>
    <w:rsid w:val="00265D40"/>
    <w:rsid w:val="0027165D"/>
    <w:rsid w:val="00273CEB"/>
    <w:rsid w:val="00275306"/>
    <w:rsid w:val="00281C89"/>
    <w:rsid w:val="0028204C"/>
    <w:rsid w:val="0028282F"/>
    <w:rsid w:val="0029146C"/>
    <w:rsid w:val="002917D6"/>
    <w:rsid w:val="0029593B"/>
    <w:rsid w:val="00297D19"/>
    <w:rsid w:val="00297FC5"/>
    <w:rsid w:val="002A0417"/>
    <w:rsid w:val="002A074C"/>
    <w:rsid w:val="002A10D0"/>
    <w:rsid w:val="002A16D8"/>
    <w:rsid w:val="002A1B29"/>
    <w:rsid w:val="002A1BC8"/>
    <w:rsid w:val="002A3EF2"/>
    <w:rsid w:val="002B0DED"/>
    <w:rsid w:val="002B19A2"/>
    <w:rsid w:val="002B381A"/>
    <w:rsid w:val="002B4FCC"/>
    <w:rsid w:val="002B7408"/>
    <w:rsid w:val="002B7CFD"/>
    <w:rsid w:val="002C0530"/>
    <w:rsid w:val="002C210F"/>
    <w:rsid w:val="002C4785"/>
    <w:rsid w:val="002C4B58"/>
    <w:rsid w:val="002C5098"/>
    <w:rsid w:val="002D3600"/>
    <w:rsid w:val="002E4DDC"/>
    <w:rsid w:val="002F1C97"/>
    <w:rsid w:val="002F760F"/>
    <w:rsid w:val="00302480"/>
    <w:rsid w:val="00302758"/>
    <w:rsid w:val="00307085"/>
    <w:rsid w:val="0030717C"/>
    <w:rsid w:val="00307949"/>
    <w:rsid w:val="003079E1"/>
    <w:rsid w:val="003114AE"/>
    <w:rsid w:val="003165E6"/>
    <w:rsid w:val="003215B5"/>
    <w:rsid w:val="003221CF"/>
    <w:rsid w:val="00322B4C"/>
    <w:rsid w:val="003233ED"/>
    <w:rsid w:val="00324D9F"/>
    <w:rsid w:val="003253EE"/>
    <w:rsid w:val="00327948"/>
    <w:rsid w:val="00327E2F"/>
    <w:rsid w:val="0033000F"/>
    <w:rsid w:val="00332011"/>
    <w:rsid w:val="00332518"/>
    <w:rsid w:val="00332925"/>
    <w:rsid w:val="00332E3F"/>
    <w:rsid w:val="003332ED"/>
    <w:rsid w:val="00334FA2"/>
    <w:rsid w:val="003368DC"/>
    <w:rsid w:val="00342B31"/>
    <w:rsid w:val="0034490B"/>
    <w:rsid w:val="00345927"/>
    <w:rsid w:val="00347192"/>
    <w:rsid w:val="00350584"/>
    <w:rsid w:val="00351857"/>
    <w:rsid w:val="0035360F"/>
    <w:rsid w:val="003545E8"/>
    <w:rsid w:val="0035738A"/>
    <w:rsid w:val="003610E1"/>
    <w:rsid w:val="00366F78"/>
    <w:rsid w:val="003671BE"/>
    <w:rsid w:val="00372485"/>
    <w:rsid w:val="00373200"/>
    <w:rsid w:val="00375EF5"/>
    <w:rsid w:val="003767A5"/>
    <w:rsid w:val="003768B3"/>
    <w:rsid w:val="0037754C"/>
    <w:rsid w:val="003803BD"/>
    <w:rsid w:val="0038082F"/>
    <w:rsid w:val="00381D15"/>
    <w:rsid w:val="00382757"/>
    <w:rsid w:val="00382BB3"/>
    <w:rsid w:val="00385254"/>
    <w:rsid w:val="00390D91"/>
    <w:rsid w:val="00391DAC"/>
    <w:rsid w:val="003933E8"/>
    <w:rsid w:val="00394031"/>
    <w:rsid w:val="00396DC2"/>
    <w:rsid w:val="0039730D"/>
    <w:rsid w:val="003A04DB"/>
    <w:rsid w:val="003A2083"/>
    <w:rsid w:val="003A5F5B"/>
    <w:rsid w:val="003A789A"/>
    <w:rsid w:val="003B12EC"/>
    <w:rsid w:val="003C03B8"/>
    <w:rsid w:val="003C0D2A"/>
    <w:rsid w:val="003C14E8"/>
    <w:rsid w:val="003C2D9F"/>
    <w:rsid w:val="003C478E"/>
    <w:rsid w:val="003C77E0"/>
    <w:rsid w:val="003C7920"/>
    <w:rsid w:val="003D17D7"/>
    <w:rsid w:val="003D2678"/>
    <w:rsid w:val="003D71A3"/>
    <w:rsid w:val="003E2B8A"/>
    <w:rsid w:val="003F10EE"/>
    <w:rsid w:val="003F16F6"/>
    <w:rsid w:val="003F4DC7"/>
    <w:rsid w:val="003F5235"/>
    <w:rsid w:val="004027E4"/>
    <w:rsid w:val="00403365"/>
    <w:rsid w:val="0041071D"/>
    <w:rsid w:val="00414AFC"/>
    <w:rsid w:val="00414EBC"/>
    <w:rsid w:val="004151A7"/>
    <w:rsid w:val="00415310"/>
    <w:rsid w:val="00421709"/>
    <w:rsid w:val="004224EE"/>
    <w:rsid w:val="00423763"/>
    <w:rsid w:val="0042762F"/>
    <w:rsid w:val="00427DC7"/>
    <w:rsid w:val="00431613"/>
    <w:rsid w:val="00431792"/>
    <w:rsid w:val="0043297A"/>
    <w:rsid w:val="00432EB2"/>
    <w:rsid w:val="0043714F"/>
    <w:rsid w:val="004407BB"/>
    <w:rsid w:val="004432EA"/>
    <w:rsid w:val="004438B5"/>
    <w:rsid w:val="00445F25"/>
    <w:rsid w:val="00447037"/>
    <w:rsid w:val="00447D88"/>
    <w:rsid w:val="0045124D"/>
    <w:rsid w:val="00454596"/>
    <w:rsid w:val="0045605D"/>
    <w:rsid w:val="00456C7A"/>
    <w:rsid w:val="0046135B"/>
    <w:rsid w:val="00461D47"/>
    <w:rsid w:val="004718CC"/>
    <w:rsid w:val="004728B5"/>
    <w:rsid w:val="00473707"/>
    <w:rsid w:val="00476232"/>
    <w:rsid w:val="00481695"/>
    <w:rsid w:val="00482890"/>
    <w:rsid w:val="00486AA3"/>
    <w:rsid w:val="00486FF6"/>
    <w:rsid w:val="0048774E"/>
    <w:rsid w:val="004942C1"/>
    <w:rsid w:val="00495A96"/>
    <w:rsid w:val="00495BB3"/>
    <w:rsid w:val="004960F1"/>
    <w:rsid w:val="004A56BB"/>
    <w:rsid w:val="004A5E16"/>
    <w:rsid w:val="004A70D6"/>
    <w:rsid w:val="004B1751"/>
    <w:rsid w:val="004C0253"/>
    <w:rsid w:val="004C142C"/>
    <w:rsid w:val="004C17CA"/>
    <w:rsid w:val="004C19CB"/>
    <w:rsid w:val="004D0688"/>
    <w:rsid w:val="004D1237"/>
    <w:rsid w:val="004D56FF"/>
    <w:rsid w:val="004E39D3"/>
    <w:rsid w:val="004E508A"/>
    <w:rsid w:val="004E57A0"/>
    <w:rsid w:val="004E616D"/>
    <w:rsid w:val="004F1BDE"/>
    <w:rsid w:val="004F2CEE"/>
    <w:rsid w:val="004F556E"/>
    <w:rsid w:val="004F591C"/>
    <w:rsid w:val="004F7F44"/>
    <w:rsid w:val="00500A22"/>
    <w:rsid w:val="005037B4"/>
    <w:rsid w:val="005079BF"/>
    <w:rsid w:val="0051269A"/>
    <w:rsid w:val="005219E7"/>
    <w:rsid w:val="0053027D"/>
    <w:rsid w:val="00531B9A"/>
    <w:rsid w:val="00531D15"/>
    <w:rsid w:val="00534659"/>
    <w:rsid w:val="00537604"/>
    <w:rsid w:val="00542377"/>
    <w:rsid w:val="005476EB"/>
    <w:rsid w:val="00551782"/>
    <w:rsid w:val="00563EF1"/>
    <w:rsid w:val="00566AB4"/>
    <w:rsid w:val="00566ADA"/>
    <w:rsid w:val="00573812"/>
    <w:rsid w:val="00575AC5"/>
    <w:rsid w:val="0057605D"/>
    <w:rsid w:val="00581347"/>
    <w:rsid w:val="00581AC9"/>
    <w:rsid w:val="005849F8"/>
    <w:rsid w:val="00584B51"/>
    <w:rsid w:val="00585EE5"/>
    <w:rsid w:val="005938DF"/>
    <w:rsid w:val="00594E9C"/>
    <w:rsid w:val="005A099B"/>
    <w:rsid w:val="005A2D9C"/>
    <w:rsid w:val="005A3316"/>
    <w:rsid w:val="005A3C40"/>
    <w:rsid w:val="005A55FE"/>
    <w:rsid w:val="005A6A11"/>
    <w:rsid w:val="005B2F0D"/>
    <w:rsid w:val="005B4074"/>
    <w:rsid w:val="005B4AED"/>
    <w:rsid w:val="005B5E55"/>
    <w:rsid w:val="005B77AA"/>
    <w:rsid w:val="005C34EF"/>
    <w:rsid w:val="005C724E"/>
    <w:rsid w:val="005D2502"/>
    <w:rsid w:val="005D40BB"/>
    <w:rsid w:val="005D47F3"/>
    <w:rsid w:val="005D486E"/>
    <w:rsid w:val="005D49BF"/>
    <w:rsid w:val="005D4AA5"/>
    <w:rsid w:val="005D515B"/>
    <w:rsid w:val="005D6F4E"/>
    <w:rsid w:val="005D7C73"/>
    <w:rsid w:val="005E250B"/>
    <w:rsid w:val="005E2A75"/>
    <w:rsid w:val="005E2B09"/>
    <w:rsid w:val="005E3ACD"/>
    <w:rsid w:val="005E7226"/>
    <w:rsid w:val="005E7A57"/>
    <w:rsid w:val="005F24B0"/>
    <w:rsid w:val="005F5906"/>
    <w:rsid w:val="0060399A"/>
    <w:rsid w:val="00604315"/>
    <w:rsid w:val="00604E26"/>
    <w:rsid w:val="0060523F"/>
    <w:rsid w:val="006052CF"/>
    <w:rsid w:val="00607B8D"/>
    <w:rsid w:val="00611F5C"/>
    <w:rsid w:val="0061455C"/>
    <w:rsid w:val="00615D5D"/>
    <w:rsid w:val="00616E09"/>
    <w:rsid w:val="00622A3B"/>
    <w:rsid w:val="00622EEA"/>
    <w:rsid w:val="0062396C"/>
    <w:rsid w:val="00623FF9"/>
    <w:rsid w:val="0062437D"/>
    <w:rsid w:val="00627D4E"/>
    <w:rsid w:val="00632B89"/>
    <w:rsid w:val="0063346D"/>
    <w:rsid w:val="0063438D"/>
    <w:rsid w:val="00634478"/>
    <w:rsid w:val="0063697B"/>
    <w:rsid w:val="00644373"/>
    <w:rsid w:val="00645915"/>
    <w:rsid w:val="00646CC4"/>
    <w:rsid w:val="006519C3"/>
    <w:rsid w:val="00652B30"/>
    <w:rsid w:val="00655AA2"/>
    <w:rsid w:val="00656345"/>
    <w:rsid w:val="00656DC6"/>
    <w:rsid w:val="00660EC6"/>
    <w:rsid w:val="00661629"/>
    <w:rsid w:val="00664110"/>
    <w:rsid w:val="00664D17"/>
    <w:rsid w:val="00666520"/>
    <w:rsid w:val="00667C5B"/>
    <w:rsid w:val="00673036"/>
    <w:rsid w:val="00680DD7"/>
    <w:rsid w:val="006861FD"/>
    <w:rsid w:val="00691EB8"/>
    <w:rsid w:val="00692CDE"/>
    <w:rsid w:val="00693073"/>
    <w:rsid w:val="006969C0"/>
    <w:rsid w:val="006977FF"/>
    <w:rsid w:val="006A01FA"/>
    <w:rsid w:val="006A0E9E"/>
    <w:rsid w:val="006A25C7"/>
    <w:rsid w:val="006A2D22"/>
    <w:rsid w:val="006A3ECF"/>
    <w:rsid w:val="006A4AAD"/>
    <w:rsid w:val="006A4CCA"/>
    <w:rsid w:val="006A692B"/>
    <w:rsid w:val="006A6DA2"/>
    <w:rsid w:val="006A7AB2"/>
    <w:rsid w:val="006B0765"/>
    <w:rsid w:val="006B0912"/>
    <w:rsid w:val="006B52DE"/>
    <w:rsid w:val="006B5717"/>
    <w:rsid w:val="006B582F"/>
    <w:rsid w:val="006B5EB2"/>
    <w:rsid w:val="006C0CEB"/>
    <w:rsid w:val="006C1631"/>
    <w:rsid w:val="006C23F9"/>
    <w:rsid w:val="006C3B1E"/>
    <w:rsid w:val="006C436E"/>
    <w:rsid w:val="006C47FD"/>
    <w:rsid w:val="006C4DEC"/>
    <w:rsid w:val="006C54A7"/>
    <w:rsid w:val="006C5C19"/>
    <w:rsid w:val="006C5FD4"/>
    <w:rsid w:val="006C70A0"/>
    <w:rsid w:val="006D0EC2"/>
    <w:rsid w:val="006D17B3"/>
    <w:rsid w:val="006D1D33"/>
    <w:rsid w:val="006D27CB"/>
    <w:rsid w:val="006D2F08"/>
    <w:rsid w:val="006D5529"/>
    <w:rsid w:val="006D576C"/>
    <w:rsid w:val="006D5865"/>
    <w:rsid w:val="006D65CC"/>
    <w:rsid w:val="006E4B1B"/>
    <w:rsid w:val="006E5445"/>
    <w:rsid w:val="006E7D93"/>
    <w:rsid w:val="006F1D7C"/>
    <w:rsid w:val="00700943"/>
    <w:rsid w:val="0070133D"/>
    <w:rsid w:val="007029A3"/>
    <w:rsid w:val="00706E4E"/>
    <w:rsid w:val="0070791C"/>
    <w:rsid w:val="0071383C"/>
    <w:rsid w:val="00713E14"/>
    <w:rsid w:val="007141A7"/>
    <w:rsid w:val="00715722"/>
    <w:rsid w:val="00715BAF"/>
    <w:rsid w:val="00717F6D"/>
    <w:rsid w:val="00721032"/>
    <w:rsid w:val="00721B55"/>
    <w:rsid w:val="00726CE4"/>
    <w:rsid w:val="00734143"/>
    <w:rsid w:val="007368B4"/>
    <w:rsid w:val="00737E47"/>
    <w:rsid w:val="00740EAC"/>
    <w:rsid w:val="00744956"/>
    <w:rsid w:val="0074514A"/>
    <w:rsid w:val="00745A5C"/>
    <w:rsid w:val="0074605F"/>
    <w:rsid w:val="0074713D"/>
    <w:rsid w:val="00747E94"/>
    <w:rsid w:val="00754C83"/>
    <w:rsid w:val="00761E5C"/>
    <w:rsid w:val="00765DF8"/>
    <w:rsid w:val="00766749"/>
    <w:rsid w:val="00767C1B"/>
    <w:rsid w:val="00770B3F"/>
    <w:rsid w:val="007714A9"/>
    <w:rsid w:val="00774F88"/>
    <w:rsid w:val="00774FDB"/>
    <w:rsid w:val="00775A2E"/>
    <w:rsid w:val="00777A72"/>
    <w:rsid w:val="00777BA2"/>
    <w:rsid w:val="0078051B"/>
    <w:rsid w:val="00781408"/>
    <w:rsid w:val="00784F7F"/>
    <w:rsid w:val="00787675"/>
    <w:rsid w:val="007878BD"/>
    <w:rsid w:val="00796F25"/>
    <w:rsid w:val="007A2E98"/>
    <w:rsid w:val="007A3BA3"/>
    <w:rsid w:val="007A6CC0"/>
    <w:rsid w:val="007A7FEC"/>
    <w:rsid w:val="007B1499"/>
    <w:rsid w:val="007B14B9"/>
    <w:rsid w:val="007B1BBF"/>
    <w:rsid w:val="007B2960"/>
    <w:rsid w:val="007B355D"/>
    <w:rsid w:val="007B7980"/>
    <w:rsid w:val="007C0DEF"/>
    <w:rsid w:val="007C3C7D"/>
    <w:rsid w:val="007C5D5A"/>
    <w:rsid w:val="007C607F"/>
    <w:rsid w:val="007C7492"/>
    <w:rsid w:val="007C79DD"/>
    <w:rsid w:val="007D04D7"/>
    <w:rsid w:val="007D1A97"/>
    <w:rsid w:val="007D2CD6"/>
    <w:rsid w:val="007D3063"/>
    <w:rsid w:val="007D3CEB"/>
    <w:rsid w:val="007E7683"/>
    <w:rsid w:val="007F42C3"/>
    <w:rsid w:val="007F49FA"/>
    <w:rsid w:val="007F54C4"/>
    <w:rsid w:val="007F6E9A"/>
    <w:rsid w:val="00800CCD"/>
    <w:rsid w:val="00801FEB"/>
    <w:rsid w:val="008044D4"/>
    <w:rsid w:val="00810AB4"/>
    <w:rsid w:val="0081509C"/>
    <w:rsid w:val="00817B56"/>
    <w:rsid w:val="00821A88"/>
    <w:rsid w:val="00821E80"/>
    <w:rsid w:val="0082322E"/>
    <w:rsid w:val="0082495D"/>
    <w:rsid w:val="00827529"/>
    <w:rsid w:val="00827BB4"/>
    <w:rsid w:val="00831AC3"/>
    <w:rsid w:val="00833884"/>
    <w:rsid w:val="00836FCE"/>
    <w:rsid w:val="008408FF"/>
    <w:rsid w:val="00851F3F"/>
    <w:rsid w:val="0085346E"/>
    <w:rsid w:val="00855B19"/>
    <w:rsid w:val="00856EDC"/>
    <w:rsid w:val="008623B5"/>
    <w:rsid w:val="00863927"/>
    <w:rsid w:val="00870ABA"/>
    <w:rsid w:val="00870B38"/>
    <w:rsid w:val="008710E1"/>
    <w:rsid w:val="008716E5"/>
    <w:rsid w:val="00881CA9"/>
    <w:rsid w:val="008828B1"/>
    <w:rsid w:val="00883628"/>
    <w:rsid w:val="00883DAF"/>
    <w:rsid w:val="00885544"/>
    <w:rsid w:val="008861FF"/>
    <w:rsid w:val="0088634E"/>
    <w:rsid w:val="00893AB8"/>
    <w:rsid w:val="008A04C8"/>
    <w:rsid w:val="008A4066"/>
    <w:rsid w:val="008A6913"/>
    <w:rsid w:val="008B1FEA"/>
    <w:rsid w:val="008B70F3"/>
    <w:rsid w:val="008B71C4"/>
    <w:rsid w:val="008B76DF"/>
    <w:rsid w:val="008C10F4"/>
    <w:rsid w:val="008C23A2"/>
    <w:rsid w:val="008C3A5F"/>
    <w:rsid w:val="008C61E6"/>
    <w:rsid w:val="008C65F7"/>
    <w:rsid w:val="008E0428"/>
    <w:rsid w:val="008E4767"/>
    <w:rsid w:val="008E6927"/>
    <w:rsid w:val="008E7A8C"/>
    <w:rsid w:val="008E7D94"/>
    <w:rsid w:val="008F4349"/>
    <w:rsid w:val="008F4B50"/>
    <w:rsid w:val="008F594E"/>
    <w:rsid w:val="009010F6"/>
    <w:rsid w:val="0090203B"/>
    <w:rsid w:val="00903285"/>
    <w:rsid w:val="00906F40"/>
    <w:rsid w:val="0090731E"/>
    <w:rsid w:val="00915B1C"/>
    <w:rsid w:val="009174F3"/>
    <w:rsid w:val="0091797D"/>
    <w:rsid w:val="00923CBA"/>
    <w:rsid w:val="00923D00"/>
    <w:rsid w:val="00926703"/>
    <w:rsid w:val="00927691"/>
    <w:rsid w:val="00927A5F"/>
    <w:rsid w:val="00930510"/>
    <w:rsid w:val="00930AAB"/>
    <w:rsid w:val="00930D27"/>
    <w:rsid w:val="00932FF0"/>
    <w:rsid w:val="00935B63"/>
    <w:rsid w:val="00936E95"/>
    <w:rsid w:val="0094078F"/>
    <w:rsid w:val="00940D96"/>
    <w:rsid w:val="00940FA3"/>
    <w:rsid w:val="00941FB0"/>
    <w:rsid w:val="009426D4"/>
    <w:rsid w:val="00943F09"/>
    <w:rsid w:val="00944CBD"/>
    <w:rsid w:val="0094597F"/>
    <w:rsid w:val="00947F25"/>
    <w:rsid w:val="00950159"/>
    <w:rsid w:val="00950F20"/>
    <w:rsid w:val="0095490B"/>
    <w:rsid w:val="00960A33"/>
    <w:rsid w:val="00961D8D"/>
    <w:rsid w:val="00971914"/>
    <w:rsid w:val="00974363"/>
    <w:rsid w:val="00981898"/>
    <w:rsid w:val="0099577C"/>
    <w:rsid w:val="00997729"/>
    <w:rsid w:val="009A021C"/>
    <w:rsid w:val="009A1DB1"/>
    <w:rsid w:val="009A25CC"/>
    <w:rsid w:val="009B24A5"/>
    <w:rsid w:val="009B2601"/>
    <w:rsid w:val="009B4E9E"/>
    <w:rsid w:val="009B5ED4"/>
    <w:rsid w:val="009B634B"/>
    <w:rsid w:val="009C1690"/>
    <w:rsid w:val="009C2C2F"/>
    <w:rsid w:val="009C6881"/>
    <w:rsid w:val="009C7759"/>
    <w:rsid w:val="009D043D"/>
    <w:rsid w:val="009D07C8"/>
    <w:rsid w:val="009D4C85"/>
    <w:rsid w:val="009D6C71"/>
    <w:rsid w:val="009E0631"/>
    <w:rsid w:val="009E16D0"/>
    <w:rsid w:val="009E2051"/>
    <w:rsid w:val="009E38FD"/>
    <w:rsid w:val="009E3D12"/>
    <w:rsid w:val="009E50E6"/>
    <w:rsid w:val="009E6881"/>
    <w:rsid w:val="009F1372"/>
    <w:rsid w:val="009F13D6"/>
    <w:rsid w:val="009F30E8"/>
    <w:rsid w:val="009F4C6B"/>
    <w:rsid w:val="009F5310"/>
    <w:rsid w:val="009F78A8"/>
    <w:rsid w:val="009F7FA2"/>
    <w:rsid w:val="00A017E0"/>
    <w:rsid w:val="00A02AD6"/>
    <w:rsid w:val="00A07096"/>
    <w:rsid w:val="00A07318"/>
    <w:rsid w:val="00A11370"/>
    <w:rsid w:val="00A11923"/>
    <w:rsid w:val="00A224CE"/>
    <w:rsid w:val="00A22522"/>
    <w:rsid w:val="00A24AFD"/>
    <w:rsid w:val="00A24F5C"/>
    <w:rsid w:val="00A32F96"/>
    <w:rsid w:val="00A40871"/>
    <w:rsid w:val="00A412AB"/>
    <w:rsid w:val="00A4193E"/>
    <w:rsid w:val="00A43322"/>
    <w:rsid w:val="00A440E0"/>
    <w:rsid w:val="00A442EF"/>
    <w:rsid w:val="00A45767"/>
    <w:rsid w:val="00A478AC"/>
    <w:rsid w:val="00A504AB"/>
    <w:rsid w:val="00A51D1A"/>
    <w:rsid w:val="00A5418D"/>
    <w:rsid w:val="00A5474E"/>
    <w:rsid w:val="00A5561F"/>
    <w:rsid w:val="00A61777"/>
    <w:rsid w:val="00A64234"/>
    <w:rsid w:val="00A70ADF"/>
    <w:rsid w:val="00A71466"/>
    <w:rsid w:val="00A7230A"/>
    <w:rsid w:val="00A74B5E"/>
    <w:rsid w:val="00A75DCD"/>
    <w:rsid w:val="00A81BED"/>
    <w:rsid w:val="00A81EC4"/>
    <w:rsid w:val="00A8225E"/>
    <w:rsid w:val="00A824E8"/>
    <w:rsid w:val="00A82661"/>
    <w:rsid w:val="00A83C6F"/>
    <w:rsid w:val="00A85C35"/>
    <w:rsid w:val="00A967FD"/>
    <w:rsid w:val="00AA2DE5"/>
    <w:rsid w:val="00AB0A9F"/>
    <w:rsid w:val="00AB156C"/>
    <w:rsid w:val="00AB6814"/>
    <w:rsid w:val="00AB76BE"/>
    <w:rsid w:val="00AB77A3"/>
    <w:rsid w:val="00AC04BA"/>
    <w:rsid w:val="00AC0E39"/>
    <w:rsid w:val="00AC2156"/>
    <w:rsid w:val="00AC24A1"/>
    <w:rsid w:val="00AC280C"/>
    <w:rsid w:val="00AC7449"/>
    <w:rsid w:val="00AD1D62"/>
    <w:rsid w:val="00AD3082"/>
    <w:rsid w:val="00AD32B4"/>
    <w:rsid w:val="00AD4AD0"/>
    <w:rsid w:val="00AD5436"/>
    <w:rsid w:val="00AD60CD"/>
    <w:rsid w:val="00AD6C8C"/>
    <w:rsid w:val="00AD7E93"/>
    <w:rsid w:val="00AE091D"/>
    <w:rsid w:val="00AE3B60"/>
    <w:rsid w:val="00AE53A1"/>
    <w:rsid w:val="00AF0E17"/>
    <w:rsid w:val="00AF2484"/>
    <w:rsid w:val="00AF63E7"/>
    <w:rsid w:val="00AF6E17"/>
    <w:rsid w:val="00B0165D"/>
    <w:rsid w:val="00B01B60"/>
    <w:rsid w:val="00B031F3"/>
    <w:rsid w:val="00B034C2"/>
    <w:rsid w:val="00B04780"/>
    <w:rsid w:val="00B052A4"/>
    <w:rsid w:val="00B05E98"/>
    <w:rsid w:val="00B06B28"/>
    <w:rsid w:val="00B125DE"/>
    <w:rsid w:val="00B12617"/>
    <w:rsid w:val="00B13FDD"/>
    <w:rsid w:val="00B17936"/>
    <w:rsid w:val="00B20A08"/>
    <w:rsid w:val="00B22EB2"/>
    <w:rsid w:val="00B27442"/>
    <w:rsid w:val="00B27D99"/>
    <w:rsid w:val="00B31167"/>
    <w:rsid w:val="00B3233D"/>
    <w:rsid w:val="00B329D8"/>
    <w:rsid w:val="00B32BB9"/>
    <w:rsid w:val="00B33AE1"/>
    <w:rsid w:val="00B37C38"/>
    <w:rsid w:val="00B418D6"/>
    <w:rsid w:val="00B4288C"/>
    <w:rsid w:val="00B43262"/>
    <w:rsid w:val="00B44100"/>
    <w:rsid w:val="00B46CBA"/>
    <w:rsid w:val="00B46F94"/>
    <w:rsid w:val="00B50D17"/>
    <w:rsid w:val="00B6003C"/>
    <w:rsid w:val="00B61F03"/>
    <w:rsid w:val="00B626E4"/>
    <w:rsid w:val="00B6282D"/>
    <w:rsid w:val="00B72F4A"/>
    <w:rsid w:val="00B74381"/>
    <w:rsid w:val="00B76EAF"/>
    <w:rsid w:val="00B8247C"/>
    <w:rsid w:val="00B83C27"/>
    <w:rsid w:val="00B84BC3"/>
    <w:rsid w:val="00B84BDD"/>
    <w:rsid w:val="00B92812"/>
    <w:rsid w:val="00B93824"/>
    <w:rsid w:val="00BA0ABD"/>
    <w:rsid w:val="00BA3A17"/>
    <w:rsid w:val="00BA528C"/>
    <w:rsid w:val="00BA66BC"/>
    <w:rsid w:val="00BB45A1"/>
    <w:rsid w:val="00BB50B9"/>
    <w:rsid w:val="00BB6335"/>
    <w:rsid w:val="00BB7686"/>
    <w:rsid w:val="00BB7802"/>
    <w:rsid w:val="00BC23F9"/>
    <w:rsid w:val="00BC3421"/>
    <w:rsid w:val="00BC3A03"/>
    <w:rsid w:val="00BC48D4"/>
    <w:rsid w:val="00BC732C"/>
    <w:rsid w:val="00BD4421"/>
    <w:rsid w:val="00BE2580"/>
    <w:rsid w:val="00BE266D"/>
    <w:rsid w:val="00BE2B11"/>
    <w:rsid w:val="00BE3938"/>
    <w:rsid w:val="00BE42CE"/>
    <w:rsid w:val="00BE4C11"/>
    <w:rsid w:val="00BE71C0"/>
    <w:rsid w:val="00BF1C2F"/>
    <w:rsid w:val="00BF59FB"/>
    <w:rsid w:val="00BF610C"/>
    <w:rsid w:val="00C0060B"/>
    <w:rsid w:val="00C01A6C"/>
    <w:rsid w:val="00C0277D"/>
    <w:rsid w:val="00C02F26"/>
    <w:rsid w:val="00C053A1"/>
    <w:rsid w:val="00C07787"/>
    <w:rsid w:val="00C11191"/>
    <w:rsid w:val="00C11737"/>
    <w:rsid w:val="00C12986"/>
    <w:rsid w:val="00C16198"/>
    <w:rsid w:val="00C2083D"/>
    <w:rsid w:val="00C24466"/>
    <w:rsid w:val="00C24A53"/>
    <w:rsid w:val="00C2562A"/>
    <w:rsid w:val="00C26130"/>
    <w:rsid w:val="00C3126F"/>
    <w:rsid w:val="00C34A05"/>
    <w:rsid w:val="00C35CCE"/>
    <w:rsid w:val="00C37F6B"/>
    <w:rsid w:val="00C4032F"/>
    <w:rsid w:val="00C41F21"/>
    <w:rsid w:val="00C42F84"/>
    <w:rsid w:val="00C43AD5"/>
    <w:rsid w:val="00C44047"/>
    <w:rsid w:val="00C45155"/>
    <w:rsid w:val="00C47EF8"/>
    <w:rsid w:val="00C5498F"/>
    <w:rsid w:val="00C55235"/>
    <w:rsid w:val="00C558B2"/>
    <w:rsid w:val="00C64CD0"/>
    <w:rsid w:val="00C6581C"/>
    <w:rsid w:val="00C65B33"/>
    <w:rsid w:val="00C65F61"/>
    <w:rsid w:val="00C6684F"/>
    <w:rsid w:val="00C7077A"/>
    <w:rsid w:val="00C70E70"/>
    <w:rsid w:val="00C75F8D"/>
    <w:rsid w:val="00C77380"/>
    <w:rsid w:val="00C8054E"/>
    <w:rsid w:val="00C80ED4"/>
    <w:rsid w:val="00C87E8A"/>
    <w:rsid w:val="00C913D6"/>
    <w:rsid w:val="00C92273"/>
    <w:rsid w:val="00C97736"/>
    <w:rsid w:val="00CA345A"/>
    <w:rsid w:val="00CB1E82"/>
    <w:rsid w:val="00CB4BA8"/>
    <w:rsid w:val="00CB52D7"/>
    <w:rsid w:val="00CC6732"/>
    <w:rsid w:val="00CD0090"/>
    <w:rsid w:val="00CD6ACF"/>
    <w:rsid w:val="00CD6FF7"/>
    <w:rsid w:val="00CE3C96"/>
    <w:rsid w:val="00CE3E5A"/>
    <w:rsid w:val="00CE51A8"/>
    <w:rsid w:val="00CE7A05"/>
    <w:rsid w:val="00CF0BFE"/>
    <w:rsid w:val="00CF0FDD"/>
    <w:rsid w:val="00CF369B"/>
    <w:rsid w:val="00D00E28"/>
    <w:rsid w:val="00D0269E"/>
    <w:rsid w:val="00D03276"/>
    <w:rsid w:val="00D05D6C"/>
    <w:rsid w:val="00D06B2B"/>
    <w:rsid w:val="00D15810"/>
    <w:rsid w:val="00D16D4E"/>
    <w:rsid w:val="00D16FE3"/>
    <w:rsid w:val="00D21D9D"/>
    <w:rsid w:val="00D27F41"/>
    <w:rsid w:val="00D36441"/>
    <w:rsid w:val="00D37953"/>
    <w:rsid w:val="00D4064E"/>
    <w:rsid w:val="00D43B47"/>
    <w:rsid w:val="00D44E9B"/>
    <w:rsid w:val="00D47AEB"/>
    <w:rsid w:val="00D50DB9"/>
    <w:rsid w:val="00D51302"/>
    <w:rsid w:val="00D52C43"/>
    <w:rsid w:val="00D61243"/>
    <w:rsid w:val="00D6507F"/>
    <w:rsid w:val="00D704C9"/>
    <w:rsid w:val="00D730BC"/>
    <w:rsid w:val="00D73912"/>
    <w:rsid w:val="00D74E50"/>
    <w:rsid w:val="00D85226"/>
    <w:rsid w:val="00D87B94"/>
    <w:rsid w:val="00D92D49"/>
    <w:rsid w:val="00D92EC1"/>
    <w:rsid w:val="00D96DEA"/>
    <w:rsid w:val="00DA4E41"/>
    <w:rsid w:val="00DA55F6"/>
    <w:rsid w:val="00DA5D67"/>
    <w:rsid w:val="00DB117A"/>
    <w:rsid w:val="00DB1BC9"/>
    <w:rsid w:val="00DB5173"/>
    <w:rsid w:val="00DB7873"/>
    <w:rsid w:val="00DC187B"/>
    <w:rsid w:val="00DC5A40"/>
    <w:rsid w:val="00DD1A43"/>
    <w:rsid w:val="00DD73C2"/>
    <w:rsid w:val="00DE319B"/>
    <w:rsid w:val="00DE62CA"/>
    <w:rsid w:val="00DF1523"/>
    <w:rsid w:val="00DF34FE"/>
    <w:rsid w:val="00DF56AA"/>
    <w:rsid w:val="00DF56AF"/>
    <w:rsid w:val="00DF78E7"/>
    <w:rsid w:val="00E067A0"/>
    <w:rsid w:val="00E110E0"/>
    <w:rsid w:val="00E15371"/>
    <w:rsid w:val="00E162C4"/>
    <w:rsid w:val="00E21056"/>
    <w:rsid w:val="00E22E23"/>
    <w:rsid w:val="00E24104"/>
    <w:rsid w:val="00E245AB"/>
    <w:rsid w:val="00E302D0"/>
    <w:rsid w:val="00E35707"/>
    <w:rsid w:val="00E366F9"/>
    <w:rsid w:val="00E36AA1"/>
    <w:rsid w:val="00E41ECB"/>
    <w:rsid w:val="00E42676"/>
    <w:rsid w:val="00E43313"/>
    <w:rsid w:val="00E5426D"/>
    <w:rsid w:val="00E5469D"/>
    <w:rsid w:val="00E54CF1"/>
    <w:rsid w:val="00E54FDB"/>
    <w:rsid w:val="00E55116"/>
    <w:rsid w:val="00E5617D"/>
    <w:rsid w:val="00E563D7"/>
    <w:rsid w:val="00E663F4"/>
    <w:rsid w:val="00E666F2"/>
    <w:rsid w:val="00E66DD4"/>
    <w:rsid w:val="00E71872"/>
    <w:rsid w:val="00E7361F"/>
    <w:rsid w:val="00E748CC"/>
    <w:rsid w:val="00E74F15"/>
    <w:rsid w:val="00E75415"/>
    <w:rsid w:val="00E775B1"/>
    <w:rsid w:val="00E77682"/>
    <w:rsid w:val="00E810A7"/>
    <w:rsid w:val="00E8152A"/>
    <w:rsid w:val="00E93629"/>
    <w:rsid w:val="00E93B5C"/>
    <w:rsid w:val="00E94CEC"/>
    <w:rsid w:val="00EA04EF"/>
    <w:rsid w:val="00EA0969"/>
    <w:rsid w:val="00EA53C3"/>
    <w:rsid w:val="00EA6C79"/>
    <w:rsid w:val="00EA6F19"/>
    <w:rsid w:val="00EB0549"/>
    <w:rsid w:val="00EB0DCE"/>
    <w:rsid w:val="00EB7090"/>
    <w:rsid w:val="00EC1BBE"/>
    <w:rsid w:val="00EC2B68"/>
    <w:rsid w:val="00EC3AEF"/>
    <w:rsid w:val="00EC5CD7"/>
    <w:rsid w:val="00EE5FB3"/>
    <w:rsid w:val="00EE7F79"/>
    <w:rsid w:val="00EF21C4"/>
    <w:rsid w:val="00EF5DFD"/>
    <w:rsid w:val="00EF715A"/>
    <w:rsid w:val="00F06E14"/>
    <w:rsid w:val="00F10954"/>
    <w:rsid w:val="00F179D4"/>
    <w:rsid w:val="00F220CB"/>
    <w:rsid w:val="00F22A23"/>
    <w:rsid w:val="00F33C56"/>
    <w:rsid w:val="00F347C7"/>
    <w:rsid w:val="00F34848"/>
    <w:rsid w:val="00F361D7"/>
    <w:rsid w:val="00F42D46"/>
    <w:rsid w:val="00F44801"/>
    <w:rsid w:val="00F4496C"/>
    <w:rsid w:val="00F44F3A"/>
    <w:rsid w:val="00F51763"/>
    <w:rsid w:val="00F51BAF"/>
    <w:rsid w:val="00F51F10"/>
    <w:rsid w:val="00F529A5"/>
    <w:rsid w:val="00F5310D"/>
    <w:rsid w:val="00F538E7"/>
    <w:rsid w:val="00F60F00"/>
    <w:rsid w:val="00F614C0"/>
    <w:rsid w:val="00F64D5A"/>
    <w:rsid w:val="00F7222A"/>
    <w:rsid w:val="00F83848"/>
    <w:rsid w:val="00F93C5B"/>
    <w:rsid w:val="00F97226"/>
    <w:rsid w:val="00F975E9"/>
    <w:rsid w:val="00FA1B7D"/>
    <w:rsid w:val="00FB063F"/>
    <w:rsid w:val="00FB16B8"/>
    <w:rsid w:val="00FB1A8D"/>
    <w:rsid w:val="00FB3303"/>
    <w:rsid w:val="00FC07B9"/>
    <w:rsid w:val="00FC4E21"/>
    <w:rsid w:val="00FC5F6D"/>
    <w:rsid w:val="00FD0107"/>
    <w:rsid w:val="00FD2C2F"/>
    <w:rsid w:val="00FD3B31"/>
    <w:rsid w:val="00FE1823"/>
    <w:rsid w:val="00FE23A7"/>
    <w:rsid w:val="00FE300F"/>
    <w:rsid w:val="00FE487A"/>
    <w:rsid w:val="00FE584C"/>
    <w:rsid w:val="00FF0569"/>
    <w:rsid w:val="00FF206E"/>
    <w:rsid w:val="00FF3C69"/>
    <w:rsid w:val="00FF4480"/>
    <w:rsid w:val="00FF4B60"/>
    <w:rsid w:val="00FF5DFF"/>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13323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Style 13,FR"/>
    <w:basedOn w:val="DefaultParagraphFont"/>
    <w:uiPriority w:val="99"/>
    <w:rsid w:val="00566AB4"/>
    <w:rPr>
      <w:rFonts w:ascii="Arial" w:hAnsi="Arial"/>
      <w:vertAlign w:val="superscript"/>
    </w:rPr>
  </w:style>
  <w:style w:type="paragraph" w:styleId="FootnoteText">
    <w:name w:val="footnote text"/>
    <w:aliases w:val="Footnote text,ACMA Footnote Text,ABA Footnote Text,footnote text,Footnote Text Char1,Footnote Text Char Char,Footnote Text Char1 Char Char,Footnote Text Char Char Char Char,Footnote Text Char1 Char Char Char Char,f,fn"/>
    <w:basedOn w:val="Normal"/>
    <w:link w:val="FootnoteTextChar"/>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ListBulletChar">
    <w:name w:val="List Bullet Char"/>
    <w:basedOn w:val="DefaultParagraphFont"/>
    <w:link w:val="ListBullet"/>
    <w:rsid w:val="008F4349"/>
    <w:rPr>
      <w:rFonts w:ascii="Arial" w:hAnsi="Arial"/>
      <w:sz w:val="20"/>
    </w:rPr>
  </w:style>
  <w:style w:type="character" w:customStyle="1" w:styleId="FootnoteTextChar">
    <w:name w:val="Footnote Text Char"/>
    <w:aliases w:val="Footnote text Char,ACMA Footnote Text Char,ABA Footnote Text Char,footnote text Char,Footnote Text Char1 Char,Footnote Text Char Char Char,Footnote Text Char1 Char Char Char,Footnote Text Char Char Char Char Char,f Char,fn Char"/>
    <w:basedOn w:val="DefaultParagraphFont"/>
    <w:link w:val="FootnoteText"/>
    <w:rsid w:val="00B05E98"/>
    <w:rPr>
      <w:rFonts w:ascii="Arial" w:hAnsi="Arial"/>
      <w:sz w:val="16"/>
      <w:szCs w:val="16"/>
    </w:rPr>
  </w:style>
  <w:style w:type="paragraph" w:styleId="ListParagraph">
    <w:name w:val="List Paragraph"/>
    <w:basedOn w:val="Normal"/>
    <w:semiHidden/>
    <w:rsid w:val="006D0E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74741420">
      <w:bodyDiv w:val="1"/>
      <w:marLeft w:val="0"/>
      <w:marRight w:val="0"/>
      <w:marTop w:val="0"/>
      <w:marBottom w:val="0"/>
      <w:divBdr>
        <w:top w:val="none" w:sz="0" w:space="0" w:color="auto"/>
        <w:left w:val="none" w:sz="0" w:space="0" w:color="auto"/>
        <w:bottom w:val="none" w:sz="0" w:space="0" w:color="auto"/>
        <w:right w:val="none" w:sz="0" w:space="0" w:color="auto"/>
      </w:divBdr>
    </w:div>
    <w:div w:id="421488247">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34293051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71816011">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acma.gov.au/spectrum-licence-technical-framework-review" TargetMode="External"/><Relationship Id="rId21" Type="http://schemas.openxmlformats.org/officeDocument/2006/relationships/footer" Target="footer4.xml"/><Relationship Id="rId42" Type="http://schemas.openxmlformats.org/officeDocument/2006/relationships/hyperlink" Target="https://www.acma.gov.au/consultations/2021-10/review-1800-mhz-spectrum-licencing-technical-framework-consultation-352021" TargetMode="External"/><Relationship Id="rId47" Type="http://schemas.openxmlformats.org/officeDocument/2006/relationships/hyperlink" Target="https://www.legislation.gov.au/Details/F2012L02555" TargetMode="External"/><Relationship Id="rId63" Type="http://schemas.openxmlformats.org/officeDocument/2006/relationships/hyperlink" Target="https://www.legislation.gov.au/Details/F2012L02545" TargetMode="External"/><Relationship Id="rId68"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ma.gov.au/spectrum-licence-technical-framework-review"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australian-radiofrequency-spectrum-plan" TargetMode="External"/><Relationship Id="rId32" Type="http://schemas.openxmlformats.org/officeDocument/2006/relationships/hyperlink" Target="https://www.acma.gov.au/26-ghz-band" TargetMode="External"/><Relationship Id="rId37" Type="http://schemas.openxmlformats.org/officeDocument/2006/relationships/hyperlink" Target="https://www.acma.gov.au/ralis-frequency-coordination" TargetMode="External"/><Relationship Id="rId40" Type="http://schemas.openxmlformats.org/officeDocument/2006/relationships/hyperlink" Target="https://www.legislation.gov.au/Details/F2015C00769" TargetMode="External"/><Relationship Id="rId45" Type="http://schemas.openxmlformats.org/officeDocument/2006/relationships/hyperlink" Target="https://www.legislation.gov.au/Details/F2012L02549" TargetMode="External"/><Relationship Id="rId53" Type="http://schemas.openxmlformats.org/officeDocument/2006/relationships/hyperlink" Target="https://www.acma.gov.au/privacy-policy" TargetMode="External"/><Relationship Id="rId58" Type="http://schemas.openxmlformats.org/officeDocument/2006/relationships/hyperlink" Target="https://www.legislation.gov.au/Details/F2015C00771" TargetMode="External"/><Relationship Id="rId66" Type="http://schemas.openxmlformats.org/officeDocument/2006/relationships/hyperlink" Target="https://www.legislation.gov.au/Details/F2012L02553" TargetMode="External"/><Relationship Id="rId5" Type="http://schemas.openxmlformats.org/officeDocument/2006/relationships/webSettings" Target="webSettings.xml"/><Relationship Id="rId61" Type="http://schemas.openxmlformats.org/officeDocument/2006/relationships/hyperlink" Target="https://www.legislation.gov.au/Details/F2012L02550" TargetMode="External"/><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Series/F2011L01520" TargetMode="External"/><Relationship Id="rId30" Type="http://schemas.openxmlformats.org/officeDocument/2006/relationships/hyperlink" Target="https://www.acma.gov.au/spectrum-licence-technical-framework-review" TargetMode="External"/><Relationship Id="rId35" Type="http://schemas.openxmlformats.org/officeDocument/2006/relationships/hyperlink" Target="https://www.legislation.gov.au/Details/F2013C00200" TargetMode="External"/><Relationship Id="rId43" Type="http://schemas.openxmlformats.org/officeDocument/2006/relationships/hyperlink" Target="https://www.legislation.gov.au/Details/F2021L01827" TargetMode="External"/><Relationship Id="rId48" Type="http://schemas.openxmlformats.org/officeDocument/2006/relationships/hyperlink" Target="https://www.legislation.gov.au/Details/F2012L02558" TargetMode="External"/><Relationship Id="rId56" Type="http://schemas.openxmlformats.org/officeDocument/2006/relationships/hyperlink" Target="https://www.legislation.gov.au/Details/F2013C00200" TargetMode="External"/><Relationship Id="rId64" Type="http://schemas.openxmlformats.org/officeDocument/2006/relationships/hyperlink" Target="https://www.legislation.gov.au/Details/F2012L02555" TargetMode="External"/><Relationship Id="rId69" Type="http://schemas.openxmlformats.org/officeDocument/2006/relationships/footer" Target="footer7.xml"/><Relationship Id="rId8" Type="http://schemas.openxmlformats.org/officeDocument/2006/relationships/header" Target="header1.xml"/><Relationship Id="rId51" Type="http://schemas.openxmlformats.org/officeDocument/2006/relationships/hyperlink" Target="mailto:freqplan@acma.gov.au"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12-12/guide/spectrum-licensees-know-your-obligations" TargetMode="External"/><Relationship Id="rId33" Type="http://schemas.openxmlformats.org/officeDocument/2006/relationships/hyperlink" Target="https://www.legislation.gov.au/Details/F2012L02546" TargetMode="External"/><Relationship Id="rId38" Type="http://schemas.openxmlformats.org/officeDocument/2006/relationships/hyperlink" Target="https://www.legislation.gov.au/Details/F2017C01051" TargetMode="External"/><Relationship Id="rId46" Type="http://schemas.openxmlformats.org/officeDocument/2006/relationships/hyperlink" Target="https://www.legislation.gov.au/Details/F2012L02545" TargetMode="External"/><Relationship Id="rId59" Type="http://schemas.openxmlformats.org/officeDocument/2006/relationships/hyperlink" Target="https://www.legislation.gov.au/Details/F2015C00769" TargetMode="External"/><Relationship Id="rId67" Type="http://schemas.openxmlformats.org/officeDocument/2006/relationships/header" Target="header7.xml"/><Relationship Id="rId20" Type="http://schemas.openxmlformats.org/officeDocument/2006/relationships/header" Target="header6.xml"/><Relationship Id="rId41" Type="http://schemas.openxmlformats.org/officeDocument/2006/relationships/hyperlink" Target="https://www.legislation.gov.au/Details/F2022C00146" TargetMode="External"/><Relationship Id="rId54" Type="http://schemas.openxmlformats.org/officeDocument/2006/relationships/hyperlink" Target="https://www.legislation.gov.au/Details/F2012L02546" TargetMode="External"/><Relationship Id="rId62" Type="http://schemas.openxmlformats.org/officeDocument/2006/relationships/hyperlink" Target="https://www.legislation.gov.au/Details/F2012L02549" TargetMode="External"/><Relationship Id="rId7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850900-mhz-technical-framework" TargetMode="External"/><Relationship Id="rId36" Type="http://schemas.openxmlformats.org/officeDocument/2006/relationships/hyperlink" Target="https://www.acma.gov.au/803-960-mhz-overview" TargetMode="External"/><Relationship Id="rId49" Type="http://schemas.openxmlformats.org/officeDocument/2006/relationships/hyperlink" Target="https://www.legislation.gov.au/Details/F2012L02553" TargetMode="External"/><Relationship Id="rId57" Type="http://schemas.openxmlformats.org/officeDocument/2006/relationships/hyperlink" Target="https://www.legislation.gov.au/Details/F2017C01051" TargetMode="External"/><Relationship Id="rId10" Type="http://schemas.openxmlformats.org/officeDocument/2006/relationships/header" Target="header2.xml"/><Relationship Id="rId31" Type="http://schemas.openxmlformats.org/officeDocument/2006/relationships/hyperlink" Target="https://www.acma.gov.au/spectrum-licence-technical-framework-review" TargetMode="External"/><Relationship Id="rId44" Type="http://schemas.openxmlformats.org/officeDocument/2006/relationships/hyperlink" Target="https://www.legislation.gov.au/Details/F2012L02550" TargetMode="External"/><Relationship Id="rId52" Type="http://schemas.openxmlformats.org/officeDocument/2006/relationships/hyperlink" Target="https://www.acma.gov.au/publication-submissions" TargetMode="External"/><Relationship Id="rId60" Type="http://schemas.openxmlformats.org/officeDocument/2006/relationships/hyperlink" Target="https://www.legislation.gov.au/Details/F2022C00146" TargetMode="External"/><Relationship Id="rId65" Type="http://schemas.openxmlformats.org/officeDocument/2006/relationships/hyperlink" Target="https://www.legislation.gov.au/Details/F2012L02558"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legislation.gov.au/Details/F2015C00771" TargetMode="External"/><Relationship Id="rId34" Type="http://schemas.openxmlformats.org/officeDocument/2006/relationships/hyperlink" Target="https://www.legislation.gov.au/Details/F2012L02544" TargetMode="External"/><Relationship Id="rId50" Type="http://schemas.openxmlformats.org/officeDocument/2006/relationships/hyperlink" Target="https://www.acma.gov.au/have-your-say" TargetMode="External"/><Relationship Id="rId55" Type="http://schemas.openxmlformats.org/officeDocument/2006/relationships/hyperlink" Target="https://www.legislation.gov.au/Details/F2012L02544"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pid.geoscience.gov.au/dataset/ga/6988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5212</Words>
  <Characters>29452</Characters>
  <Application>Microsoft Office Word</Application>
  <DocSecurity>0</DocSecurity>
  <Lines>601</Lines>
  <Paragraphs>264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34400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2022-11-01T23:13:00Z</dcterms:created>
  <dcterms:modified xsi:type="dcterms:W3CDTF">2022-11-01T23:13:00Z</dcterms:modified>
  <cp:category/>
</cp:coreProperties>
</file>